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3566" w14:textId="351B1D7B" w:rsidR="004C4AD8" w:rsidRDefault="00B25C13" w:rsidP="005869AB">
      <w:pPr>
        <w:pStyle w:val="CERcovertitle"/>
        <w:tabs>
          <w:tab w:val="left" w:pos="5103"/>
        </w:tabs>
        <w:spacing w:before="2520"/>
        <w:ind w:left="5103" w:right="-41"/>
        <w:rPr>
          <w:rFonts w:asciiTheme="minorHAnsi" w:hAnsiTheme="minorHAnsi"/>
          <w:sz w:val="48"/>
          <w:szCs w:val="48"/>
        </w:rPr>
      </w:pPr>
      <w:r w:rsidRPr="00297E61">
        <w:rPr>
          <w:rFonts w:asciiTheme="minorHAnsi" w:hAnsiTheme="minorHAnsi"/>
          <w:sz w:val="48"/>
          <w:szCs w:val="48"/>
        </w:rPr>
        <mc:AlternateContent>
          <mc:Choice Requires="wps">
            <w:drawing>
              <wp:anchor distT="0" distB="0" distL="114300" distR="114300" simplePos="0" relativeHeight="251658244" behindDoc="0" locked="0" layoutInCell="1" allowOverlap="1" wp14:anchorId="082BFC96" wp14:editId="7A3C2216">
                <wp:simplePos x="0" y="0"/>
                <wp:positionH relativeFrom="margin">
                  <wp:posOffset>10079</wp:posOffset>
                </wp:positionH>
                <wp:positionV relativeFrom="paragraph">
                  <wp:posOffset>1113101</wp:posOffset>
                </wp:positionV>
                <wp:extent cx="6192000" cy="6185230"/>
                <wp:effectExtent l="0" t="0" r="0" b="6350"/>
                <wp:wrapNone/>
                <wp:docPr id="1565066867" name="Freeform: Shape 1565066867" descr="P1#y1">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lumMod val="60000"/>
                            <a:lumOff val="40000"/>
                          </a:schemeClr>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svg="http://schemas.microsoft.com/office/drawing/2016/SVG/main" xmlns:pic="http://schemas.openxmlformats.org/drawingml/2006/picture" xmlns:adec="http://schemas.microsoft.com/office/drawing/2017/decorative" xmlns:a16="http://schemas.microsoft.com/office/drawing/2014/main" xmlns:a="http://schemas.openxmlformats.org/drawingml/2006/main" xmlns:w16cei="http://schemas.microsoft.com/office/word/2026/wordml/cei">
            <w:pict w14:anchorId="1973C1A1">
              <v:shape id="Freeform: Shape 1565066867" style="position:absolute;margin-left:.8pt;margin-top:87.65pt;width:487.55pt;height:487.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P1#y1" coordsize="7550841,7542959" o:spid="_x0000_s1026" fillcolor="#c5d3a8 [1940]"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" w14:anchorId="42DD7C01">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w10:wrap anchorx="margin"/>
              </v:shape>
            </w:pict>
          </mc:Fallback>
        </mc:AlternateContent>
      </w:r>
    </w:p>
    <w:p w14:paraId="3BBC7122" w14:textId="45DFC87C" w:rsidR="005869AB" w:rsidRPr="00297E61" w:rsidRDefault="005869AB" w:rsidP="005869AB">
      <w:pPr>
        <w:pStyle w:val="CERcovertitle"/>
        <w:tabs>
          <w:tab w:val="left" w:pos="5103"/>
        </w:tabs>
        <w:spacing w:before="2520"/>
        <w:ind w:left="5103" w:right="-41"/>
        <w:rPr>
          <w:sz w:val="48"/>
          <w:szCs w:val="48"/>
        </w:rPr>
      </w:pPr>
      <w:r w:rsidRPr="00297E61">
        <w:rPr>
          <w:sz w:val="48"/>
          <w:szCs w:val="48"/>
        </w:rPr>
        <w:drawing>
          <wp:anchor distT="0" distB="0" distL="114300" distR="114300" simplePos="0" relativeHeight="251658245" behindDoc="0" locked="0" layoutInCell="1" allowOverlap="1" wp14:anchorId="15E3404A" wp14:editId="4A2605B6">
            <wp:simplePos x="0" y="0"/>
            <wp:positionH relativeFrom="column">
              <wp:posOffset>159710</wp:posOffset>
            </wp:positionH>
            <wp:positionV relativeFrom="page">
              <wp:posOffset>2562003</wp:posOffset>
            </wp:positionV>
            <wp:extent cx="2664000" cy="2664000"/>
            <wp:effectExtent l="0" t="0" r="0" b="0"/>
            <wp:wrapNone/>
            <wp:docPr id="22" name="Graphic 22" descr="P1#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P1#y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297E61" w:rsidRPr="00297E61">
        <w:rPr>
          <w:rFonts w:asciiTheme="minorHAnsi" w:hAnsiTheme="minorHAnsi"/>
          <w:sz w:val="48"/>
          <w:szCs w:val="48"/>
        </w:rPr>
        <w:t>Estimating emissions  and energy from  electricity production and consumption guideline</w:t>
      </w:r>
    </w:p>
    <w:p w14:paraId="474CFFB7" w14:textId="0B6DCD6D" w:rsidR="005869AB" w:rsidRPr="00531F3B" w:rsidRDefault="005869AB" w:rsidP="005869AB">
      <w:pPr>
        <w:pStyle w:val="BodyText1"/>
        <w:tabs>
          <w:tab w:val="left" w:pos="3969"/>
        </w:tabs>
        <w:ind w:left="5103" w:right="101"/>
      </w:pPr>
      <w:r>
        <w:rPr>
          <w:noProof/>
        </w:rPr>
        <w:drawing>
          <wp:anchor distT="0" distB="0" distL="114300" distR="114300" simplePos="0" relativeHeight="251658250" behindDoc="0" locked="0" layoutInCell="1" allowOverlap="1" wp14:anchorId="2FB6051D" wp14:editId="74EEF5E2">
            <wp:simplePos x="0" y="0"/>
            <wp:positionH relativeFrom="column">
              <wp:posOffset>3848100</wp:posOffset>
            </wp:positionH>
            <wp:positionV relativeFrom="page">
              <wp:posOffset>5474897</wp:posOffset>
            </wp:positionV>
            <wp:extent cx="1419860" cy="1419860"/>
            <wp:effectExtent l="0" t="0" r="8890" b="0"/>
            <wp:wrapNone/>
            <wp:docPr id="302912591" name="Graphic 302912591" descr="P2#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12591" name="Graphic 302912591" descr="P2#y2">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0" locked="0" layoutInCell="1" allowOverlap="1" wp14:anchorId="0E5BE2D4" wp14:editId="76199F14">
            <wp:simplePos x="0" y="0"/>
            <wp:positionH relativeFrom="column">
              <wp:posOffset>1657350</wp:posOffset>
            </wp:positionH>
            <wp:positionV relativeFrom="page">
              <wp:posOffset>5526509</wp:posOffset>
            </wp:positionV>
            <wp:extent cx="1327785" cy="1327785"/>
            <wp:effectExtent l="0" t="0" r="0" b="0"/>
            <wp:wrapNone/>
            <wp:docPr id="1265433460" name="Graphic 1265433460" descr="P2#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33460" name="Graphic 1265433460" descr="P2#y1">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25292C">
        <w:t>July 2026</w:t>
      </w:r>
    </w:p>
    <w:p w14:paraId="6FFAEB91" w14:textId="7B6B8B12" w:rsidR="001F0346" w:rsidRPr="00BA1F31" w:rsidRDefault="005869AB" w:rsidP="007F6A1D">
      <w:bookmarkStart w:id="0" w:name="_Toc174712893"/>
      <w:bookmarkStart w:id="1" w:name="_Toc174712985"/>
      <w:bookmarkStart w:id="2" w:name="_Toc175057678"/>
      <w:r>
        <w:rPr>
          <w:noProof/>
        </w:rPr>
        <w:drawing>
          <wp:anchor distT="0" distB="0" distL="114300" distR="114300" simplePos="0" relativeHeight="251658248" behindDoc="0" locked="0" layoutInCell="1" allowOverlap="1" wp14:anchorId="4FF8A7B8" wp14:editId="11471597">
            <wp:simplePos x="0" y="0"/>
            <wp:positionH relativeFrom="column">
              <wp:posOffset>4803922</wp:posOffset>
            </wp:positionH>
            <wp:positionV relativeFrom="page">
              <wp:posOffset>7152404</wp:posOffset>
            </wp:positionV>
            <wp:extent cx="1328400" cy="1328400"/>
            <wp:effectExtent l="0" t="0" r="5715" b="0"/>
            <wp:wrapNone/>
            <wp:docPr id="1889892832" name="Graphic 1889892832" descr="P3#y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92832" name="Graphic 1889892832" descr="P3#y4">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6F13E9DD" wp14:editId="69FFC356">
            <wp:simplePos x="0" y="0"/>
            <wp:positionH relativeFrom="column">
              <wp:posOffset>3219125</wp:posOffset>
            </wp:positionH>
            <wp:positionV relativeFrom="page">
              <wp:posOffset>7153984</wp:posOffset>
            </wp:positionV>
            <wp:extent cx="1328400" cy="1328400"/>
            <wp:effectExtent l="0" t="0" r="0" b="0"/>
            <wp:wrapNone/>
            <wp:docPr id="1036013163" name="Picture 1036013163" descr="P3#y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13163" name="Picture 1036013163" descr="P3#y3">
                      <a:extLst>
                        <a:ext uri="{C183D7F6-B498-43B3-948B-1728B52AA6E4}">
                          <adec:decorative xmlns:adec="http://schemas.microsoft.com/office/drawing/2017/decorative" val="1"/>
                        </a:ext>
                      </a:extLst>
                    </pic:cNvPr>
                    <pic:cNvPicPr/>
                  </pic:nvPicPr>
                  <pic:blipFill>
                    <a:blip r:embed="rId17">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13F5A46B" wp14:editId="51B15F1B">
            <wp:simplePos x="0" y="0"/>
            <wp:positionH relativeFrom="column">
              <wp:posOffset>1629883</wp:posOffset>
            </wp:positionH>
            <wp:positionV relativeFrom="page">
              <wp:posOffset>7178912</wp:posOffset>
            </wp:positionV>
            <wp:extent cx="1327785" cy="1306195"/>
            <wp:effectExtent l="0" t="0" r="0" b="0"/>
            <wp:wrapNone/>
            <wp:docPr id="24239820" name="Picture 24239820" descr="P3#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9820" name="Picture 24239820" descr="P3#y2">
                      <a:extLst>
                        <a:ext uri="{C183D7F6-B498-43B3-948B-1728B52AA6E4}">
                          <adec:decorative xmlns:adec="http://schemas.microsoft.com/office/drawing/2017/decorative" val="1"/>
                        </a:ext>
                      </a:extLst>
                    </pic:cNvPr>
                    <pic:cNvPicPr/>
                  </pic:nvPicPr>
                  <pic:blipFill>
                    <a:blip r:embed="rId18">
                      <a:duotone>
                        <a:prstClr val="black"/>
                        <a:schemeClr val="accent1">
                          <a:lumMod val="60000"/>
                          <a:lumOff val="40000"/>
                          <a:tint val="45000"/>
                          <a:satMod val="400000"/>
                        </a:schemeClr>
                      </a:duotone>
                      <a:extLst>
                        <a:ext uri="{BEBA8EAE-BF5A-486C-A8C5-ECC9F3942E4B}">
                          <a14:imgProps xmlns:a14="http://schemas.microsoft.com/office/drawing/2010/main">
                            <a14:imgLayer r:embed="rId19">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0" locked="0" layoutInCell="1" allowOverlap="1" wp14:anchorId="1C9A7E87" wp14:editId="6DF4D436">
            <wp:simplePos x="0" y="0"/>
            <wp:positionH relativeFrom="column">
              <wp:posOffset>76200</wp:posOffset>
            </wp:positionH>
            <wp:positionV relativeFrom="page">
              <wp:posOffset>5584751</wp:posOffset>
            </wp:positionV>
            <wp:extent cx="1327785" cy="1327785"/>
            <wp:effectExtent l="0" t="0" r="5715" b="0"/>
            <wp:wrapNone/>
            <wp:docPr id="886585983" name="Graphic 886585983" descr="P3#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85983" name="Graphic 886585983" descr="P3#y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p>
    <w:p w14:paraId="6519C78F" w14:textId="448286A3" w:rsidR="00235142" w:rsidRPr="00874B8F" w:rsidRDefault="0018495B" w:rsidP="005B2609">
      <w:pPr>
        <w:pStyle w:val="Heading1"/>
      </w:pPr>
      <w:bookmarkStart w:id="3" w:name="_Toc235706289"/>
      <w:r>
        <w:rPr>
          <w:noProof/>
        </w:rPr>
        <w:drawing>
          <wp:anchor distT="0" distB="0" distL="114300" distR="114300" simplePos="0" relativeHeight="251658242" behindDoc="0" locked="0" layoutInCell="1" allowOverlap="1" wp14:anchorId="1F99CBE1" wp14:editId="349D6EF3">
            <wp:simplePos x="0" y="0"/>
            <wp:positionH relativeFrom="column">
              <wp:posOffset>4803922</wp:posOffset>
            </wp:positionH>
            <wp:positionV relativeFrom="page">
              <wp:posOffset>7152404</wp:posOffset>
            </wp:positionV>
            <wp:extent cx="1328400" cy="1328400"/>
            <wp:effectExtent l="0" t="0" r="5715" b="0"/>
            <wp:wrapNone/>
            <wp:docPr id="27" name="Graphic 27" descr="P4#y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P4#y3">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27AA53C8" wp14:editId="095DB4CE">
            <wp:simplePos x="0" y="0"/>
            <wp:positionH relativeFrom="column">
              <wp:posOffset>3219125</wp:posOffset>
            </wp:positionH>
            <wp:positionV relativeFrom="page">
              <wp:posOffset>7153984</wp:posOffset>
            </wp:positionV>
            <wp:extent cx="1328400" cy="1328400"/>
            <wp:effectExtent l="0" t="0" r="0" b="0"/>
            <wp:wrapNone/>
            <wp:docPr id="26" name="Picture 26" descr="P4#y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4#y2">
                      <a:extLst>
                        <a:ext uri="{C183D7F6-B498-43B3-948B-1728B52AA6E4}">
                          <adec:decorative xmlns:adec="http://schemas.microsoft.com/office/drawing/2017/decorative" val="1"/>
                        </a:ext>
                      </a:extLst>
                    </pic:cNvPr>
                    <pic:cNvPicPr/>
                  </pic:nvPicPr>
                  <pic:blipFill>
                    <a:blip r:embed="rId17">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8F54FFC" wp14:editId="6B661C41">
            <wp:simplePos x="0" y="0"/>
            <wp:positionH relativeFrom="column">
              <wp:posOffset>1629883</wp:posOffset>
            </wp:positionH>
            <wp:positionV relativeFrom="page">
              <wp:posOffset>7178912</wp:posOffset>
            </wp:positionV>
            <wp:extent cx="1327785" cy="1306195"/>
            <wp:effectExtent l="0" t="0" r="0" b="0"/>
            <wp:wrapNone/>
            <wp:docPr id="25" name="Picture 25" descr="P4#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4#y1">
                      <a:extLst>
                        <a:ext uri="{C183D7F6-B498-43B3-948B-1728B52AA6E4}">
                          <adec:decorative xmlns:adec="http://schemas.microsoft.com/office/drawing/2017/decorative" val="1"/>
                        </a:ext>
                      </a:extLst>
                    </pic:cNvPr>
                    <pic:cNvPicPr/>
                  </pic:nvPicPr>
                  <pic:blipFill>
                    <a:blip r:embed="rId18">
                      <a:duotone>
                        <a:prstClr val="black"/>
                        <a:schemeClr val="accent1">
                          <a:lumMod val="60000"/>
                          <a:lumOff val="40000"/>
                          <a:tint val="45000"/>
                          <a:satMod val="400000"/>
                        </a:schemeClr>
                      </a:duotone>
                      <a:extLst>
                        <a:ext uri="{BEBA8EAE-BF5A-486C-A8C5-ECC9F3942E4B}">
                          <a14:imgProps xmlns:a14="http://schemas.microsoft.com/office/drawing/2010/main">
                            <a14:imgLayer r:embed="rId19">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0" locked="0" layoutInCell="1" allowOverlap="1" wp14:anchorId="4B5271F4" wp14:editId="5A4EDEA6">
            <wp:simplePos x="0" y="0"/>
            <wp:positionH relativeFrom="column">
              <wp:posOffset>76200</wp:posOffset>
            </wp:positionH>
            <wp:positionV relativeFrom="page">
              <wp:posOffset>5584751</wp:posOffset>
            </wp:positionV>
            <wp:extent cx="1327785" cy="1327785"/>
            <wp:effectExtent l="0" t="0" r="5715" b="0"/>
            <wp:wrapNone/>
            <wp:docPr id="16" name="Graphic 16" descr="P4#y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P4#y4">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4" w:name="_Toc447009035"/>
      <w:bookmarkStart w:id="5" w:name="_Toc413749884"/>
      <w:r w:rsidR="00235142" w:rsidRPr="00874B8F">
        <w:lastRenderedPageBreak/>
        <w:t>Contents</w:t>
      </w:r>
      <w:bookmarkEnd w:id="3"/>
    </w:p>
    <w:p w14:paraId="39ACD099" w14:textId="32774F51" w:rsidR="00397F81"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397F81">
        <w:rPr>
          <w:noProof/>
        </w:rPr>
        <w:t>Contents</w:t>
      </w:r>
      <w:r w:rsidR="00397F81">
        <w:rPr>
          <w:noProof/>
        </w:rPr>
        <w:tab/>
      </w:r>
      <w:r w:rsidR="00397F81">
        <w:rPr>
          <w:noProof/>
        </w:rPr>
        <w:fldChar w:fldCharType="begin"/>
      </w:r>
      <w:r w:rsidR="00397F81">
        <w:rPr>
          <w:noProof/>
        </w:rPr>
        <w:instrText xml:space="preserve"> PAGEREF _Toc235706289 \h </w:instrText>
      </w:r>
      <w:r w:rsidR="00397F81">
        <w:rPr>
          <w:noProof/>
        </w:rPr>
      </w:r>
      <w:r w:rsidR="00397F81">
        <w:rPr>
          <w:noProof/>
        </w:rPr>
        <w:fldChar w:fldCharType="separate"/>
      </w:r>
      <w:r w:rsidR="00397F81">
        <w:rPr>
          <w:noProof/>
        </w:rPr>
        <w:t>1</w:t>
      </w:r>
      <w:r w:rsidR="00397F81">
        <w:rPr>
          <w:noProof/>
        </w:rPr>
        <w:fldChar w:fldCharType="end"/>
      </w:r>
    </w:p>
    <w:p w14:paraId="35CB5D7E" w14:textId="4EECB00C" w:rsidR="00397F81" w:rsidRDefault="00397F81">
      <w:pPr>
        <w:pStyle w:val="TOC1"/>
        <w:rPr>
          <w:rFonts w:eastAsiaTheme="minorEastAsia" w:cstheme="minorBidi"/>
          <w:b w:val="0"/>
          <w:noProof/>
          <w:color w:val="auto"/>
          <w:kern w:val="2"/>
          <w:sz w:val="24"/>
          <w:lang w:eastAsia="en-AU"/>
          <w14:ligatures w14:val="standardContextual"/>
        </w:rPr>
      </w:pPr>
      <w:r w:rsidRPr="00E96BC4">
        <w:rPr>
          <w:iCs/>
          <w:noProof/>
        </w:rPr>
        <w:t>Definitions and abbreviations</w:t>
      </w:r>
      <w:r>
        <w:rPr>
          <w:noProof/>
        </w:rPr>
        <w:tab/>
      </w:r>
      <w:r>
        <w:rPr>
          <w:noProof/>
        </w:rPr>
        <w:fldChar w:fldCharType="begin"/>
      </w:r>
      <w:r>
        <w:rPr>
          <w:noProof/>
        </w:rPr>
        <w:instrText xml:space="preserve"> PAGEREF _Toc235706290 \h </w:instrText>
      </w:r>
      <w:r>
        <w:rPr>
          <w:noProof/>
        </w:rPr>
      </w:r>
      <w:r>
        <w:rPr>
          <w:noProof/>
        </w:rPr>
        <w:fldChar w:fldCharType="separate"/>
      </w:r>
      <w:r>
        <w:rPr>
          <w:noProof/>
        </w:rPr>
        <w:t>5</w:t>
      </w:r>
      <w:r>
        <w:rPr>
          <w:noProof/>
        </w:rPr>
        <w:fldChar w:fldCharType="end"/>
      </w:r>
    </w:p>
    <w:p w14:paraId="55CE716E" w14:textId="22217095"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Disclaimer</w:t>
      </w:r>
      <w:r>
        <w:rPr>
          <w:noProof/>
        </w:rPr>
        <w:tab/>
      </w:r>
      <w:r>
        <w:rPr>
          <w:noProof/>
        </w:rPr>
        <w:fldChar w:fldCharType="begin"/>
      </w:r>
      <w:r>
        <w:rPr>
          <w:noProof/>
        </w:rPr>
        <w:instrText xml:space="preserve"> PAGEREF _Toc235706291 \h </w:instrText>
      </w:r>
      <w:r>
        <w:rPr>
          <w:noProof/>
        </w:rPr>
      </w:r>
      <w:r>
        <w:rPr>
          <w:noProof/>
        </w:rPr>
        <w:fldChar w:fldCharType="separate"/>
      </w:r>
      <w:r>
        <w:rPr>
          <w:noProof/>
        </w:rPr>
        <w:t>7</w:t>
      </w:r>
      <w:r>
        <w:rPr>
          <w:noProof/>
        </w:rPr>
        <w:fldChar w:fldCharType="end"/>
      </w:r>
    </w:p>
    <w:p w14:paraId="6BE26DD0" w14:textId="35BBC846"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2025–26 updates</w:t>
      </w:r>
      <w:r>
        <w:rPr>
          <w:noProof/>
        </w:rPr>
        <w:tab/>
      </w:r>
      <w:r>
        <w:rPr>
          <w:noProof/>
        </w:rPr>
        <w:fldChar w:fldCharType="begin"/>
      </w:r>
      <w:r>
        <w:rPr>
          <w:noProof/>
        </w:rPr>
        <w:instrText xml:space="preserve"> PAGEREF _Toc235706292 \h </w:instrText>
      </w:r>
      <w:r>
        <w:rPr>
          <w:noProof/>
        </w:rPr>
      </w:r>
      <w:r>
        <w:rPr>
          <w:noProof/>
        </w:rPr>
        <w:fldChar w:fldCharType="separate"/>
      </w:r>
      <w:r>
        <w:rPr>
          <w:noProof/>
        </w:rPr>
        <w:t>8</w:t>
      </w:r>
      <w:r>
        <w:rPr>
          <w:noProof/>
        </w:rPr>
        <w:fldChar w:fldCharType="end"/>
      </w:r>
    </w:p>
    <w:p w14:paraId="689BB122" w14:textId="74EFC799"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1.</w:t>
      </w:r>
      <w:r>
        <w:rPr>
          <w:rFonts w:eastAsiaTheme="minorEastAsia" w:cstheme="minorBidi"/>
          <w:b w:val="0"/>
          <w:noProof/>
          <w:color w:val="auto"/>
          <w:kern w:val="2"/>
          <w:sz w:val="24"/>
          <w:lang w:eastAsia="en-AU"/>
          <w14:ligatures w14:val="standardContextual"/>
        </w:rPr>
        <w:tab/>
      </w:r>
      <w:r w:rsidRPr="00E96BC4">
        <w:rPr>
          <w:noProof/>
          <w:lang w:val="en-GB"/>
        </w:rPr>
        <w:t>Purpose of this guideline</w:t>
      </w:r>
      <w:r>
        <w:rPr>
          <w:noProof/>
        </w:rPr>
        <w:tab/>
      </w:r>
      <w:r>
        <w:rPr>
          <w:noProof/>
        </w:rPr>
        <w:fldChar w:fldCharType="begin"/>
      </w:r>
      <w:r>
        <w:rPr>
          <w:noProof/>
        </w:rPr>
        <w:instrText xml:space="preserve"> PAGEREF _Toc235706293 \h </w:instrText>
      </w:r>
      <w:r>
        <w:rPr>
          <w:noProof/>
        </w:rPr>
      </w:r>
      <w:r>
        <w:rPr>
          <w:noProof/>
        </w:rPr>
        <w:fldChar w:fldCharType="separate"/>
      </w:r>
      <w:r>
        <w:rPr>
          <w:noProof/>
        </w:rPr>
        <w:t>9</w:t>
      </w:r>
      <w:r>
        <w:rPr>
          <w:noProof/>
        </w:rPr>
        <w:fldChar w:fldCharType="end"/>
      </w:r>
    </w:p>
    <w:p w14:paraId="37E746D6" w14:textId="1904E641"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_Toc235706294 \h </w:instrText>
      </w:r>
      <w:r>
        <w:rPr>
          <w:noProof/>
        </w:rPr>
      </w:r>
      <w:r>
        <w:rPr>
          <w:noProof/>
        </w:rPr>
        <w:fldChar w:fldCharType="separate"/>
      </w:r>
      <w:r>
        <w:rPr>
          <w:noProof/>
        </w:rPr>
        <w:t>9</w:t>
      </w:r>
      <w:r>
        <w:rPr>
          <w:noProof/>
        </w:rPr>
        <w:fldChar w:fldCharType="end"/>
      </w:r>
    </w:p>
    <w:p w14:paraId="3E953F48" w14:textId="27725B30"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2.</w:t>
      </w:r>
      <w:r>
        <w:rPr>
          <w:rFonts w:eastAsiaTheme="minorEastAsia" w:cstheme="minorBidi"/>
          <w:b w:val="0"/>
          <w:noProof/>
          <w:color w:val="auto"/>
          <w:kern w:val="2"/>
          <w:sz w:val="24"/>
          <w:lang w:eastAsia="en-AU"/>
          <w14:ligatures w14:val="standardContextual"/>
        </w:rPr>
        <w:tab/>
      </w:r>
      <w:r w:rsidRPr="00E96BC4">
        <w:rPr>
          <w:noProof/>
          <w:lang w:val="en-GB"/>
        </w:rPr>
        <w:t>Good reporting practices</w:t>
      </w:r>
      <w:r>
        <w:rPr>
          <w:noProof/>
        </w:rPr>
        <w:tab/>
      </w:r>
      <w:r>
        <w:rPr>
          <w:noProof/>
        </w:rPr>
        <w:fldChar w:fldCharType="begin"/>
      </w:r>
      <w:r>
        <w:rPr>
          <w:noProof/>
        </w:rPr>
        <w:instrText xml:space="preserve"> PAGEREF _Toc235706295 \h </w:instrText>
      </w:r>
      <w:r>
        <w:rPr>
          <w:noProof/>
        </w:rPr>
      </w:r>
      <w:r>
        <w:rPr>
          <w:noProof/>
        </w:rPr>
        <w:fldChar w:fldCharType="separate"/>
      </w:r>
      <w:r>
        <w:rPr>
          <w:noProof/>
        </w:rPr>
        <w:t>9</w:t>
      </w:r>
      <w:r>
        <w:rPr>
          <w:noProof/>
        </w:rPr>
        <w:fldChar w:fldCharType="end"/>
      </w:r>
    </w:p>
    <w:p w14:paraId="7EA98831" w14:textId="338743A9"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Applying the principles for complying under the NGER Act</w:t>
      </w:r>
      <w:r>
        <w:rPr>
          <w:noProof/>
        </w:rPr>
        <w:tab/>
      </w:r>
      <w:r>
        <w:rPr>
          <w:noProof/>
        </w:rPr>
        <w:fldChar w:fldCharType="begin"/>
      </w:r>
      <w:r>
        <w:rPr>
          <w:noProof/>
        </w:rPr>
        <w:instrText xml:space="preserve"> PAGEREF _Toc235706296 \h </w:instrText>
      </w:r>
      <w:r>
        <w:rPr>
          <w:noProof/>
        </w:rPr>
      </w:r>
      <w:r>
        <w:rPr>
          <w:noProof/>
        </w:rPr>
        <w:fldChar w:fldCharType="separate"/>
      </w:r>
      <w:r>
        <w:rPr>
          <w:noProof/>
        </w:rPr>
        <w:t>11</w:t>
      </w:r>
      <w:r>
        <w:rPr>
          <w:noProof/>
        </w:rPr>
        <w:fldChar w:fldCharType="end"/>
      </w:r>
    </w:p>
    <w:p w14:paraId="48DAB43D" w14:textId="6DE2EAC8"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2.2.</w:t>
      </w:r>
      <w:r>
        <w:rPr>
          <w:rFonts w:eastAsiaTheme="minorEastAsia" w:cstheme="minorBidi"/>
          <w:noProof/>
          <w:color w:val="auto"/>
          <w:kern w:val="2"/>
          <w:sz w:val="24"/>
          <w:lang w:eastAsia="en-AU"/>
          <w14:ligatures w14:val="standardContextual"/>
        </w:rPr>
        <w:tab/>
      </w:r>
      <w:r>
        <w:rPr>
          <w:noProof/>
        </w:rPr>
        <w:t>Working with financial and process control data</w:t>
      </w:r>
      <w:r>
        <w:rPr>
          <w:noProof/>
        </w:rPr>
        <w:tab/>
      </w:r>
      <w:r>
        <w:rPr>
          <w:noProof/>
        </w:rPr>
        <w:fldChar w:fldCharType="begin"/>
      </w:r>
      <w:r>
        <w:rPr>
          <w:noProof/>
        </w:rPr>
        <w:instrText xml:space="preserve"> PAGEREF _Toc235706297 \h </w:instrText>
      </w:r>
      <w:r>
        <w:rPr>
          <w:noProof/>
        </w:rPr>
      </w:r>
      <w:r>
        <w:rPr>
          <w:noProof/>
        </w:rPr>
        <w:fldChar w:fldCharType="separate"/>
      </w:r>
      <w:r>
        <w:rPr>
          <w:noProof/>
        </w:rPr>
        <w:t>12</w:t>
      </w:r>
      <w:r>
        <w:rPr>
          <w:noProof/>
        </w:rPr>
        <w:fldChar w:fldCharType="end"/>
      </w:r>
    </w:p>
    <w:p w14:paraId="09416C7E" w14:textId="3C7A7335"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3.</w:t>
      </w:r>
      <w:r>
        <w:rPr>
          <w:rFonts w:eastAsiaTheme="minorEastAsia" w:cstheme="minorBidi"/>
          <w:b w:val="0"/>
          <w:noProof/>
          <w:color w:val="auto"/>
          <w:kern w:val="2"/>
          <w:sz w:val="24"/>
          <w:lang w:eastAsia="en-AU"/>
          <w14:ligatures w14:val="standardContextual"/>
        </w:rPr>
        <w:tab/>
      </w:r>
      <w:r w:rsidRPr="00E96BC4">
        <w:rPr>
          <w:noProof/>
          <w:lang w:val="en-GB"/>
        </w:rPr>
        <w:t>General principles on estimating scope 1 emissions</w:t>
      </w:r>
      <w:r>
        <w:rPr>
          <w:noProof/>
        </w:rPr>
        <w:tab/>
      </w:r>
      <w:r>
        <w:rPr>
          <w:noProof/>
        </w:rPr>
        <w:fldChar w:fldCharType="begin"/>
      </w:r>
      <w:r>
        <w:rPr>
          <w:noProof/>
        </w:rPr>
        <w:instrText xml:space="preserve"> PAGEREF _Toc235706298 \h </w:instrText>
      </w:r>
      <w:r>
        <w:rPr>
          <w:noProof/>
        </w:rPr>
      </w:r>
      <w:r>
        <w:rPr>
          <w:noProof/>
        </w:rPr>
        <w:fldChar w:fldCharType="separate"/>
      </w:r>
      <w:r>
        <w:rPr>
          <w:noProof/>
        </w:rPr>
        <w:t>12</w:t>
      </w:r>
      <w:r>
        <w:rPr>
          <w:noProof/>
        </w:rPr>
        <w:fldChar w:fldCharType="end"/>
      </w:r>
    </w:p>
    <w:p w14:paraId="2DEBD991" w14:textId="363066E3"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Common emissions sources for electricity production</w:t>
      </w:r>
      <w:r>
        <w:rPr>
          <w:noProof/>
        </w:rPr>
        <w:tab/>
      </w:r>
      <w:r>
        <w:rPr>
          <w:noProof/>
        </w:rPr>
        <w:fldChar w:fldCharType="begin"/>
      </w:r>
      <w:r>
        <w:rPr>
          <w:noProof/>
        </w:rPr>
        <w:instrText xml:space="preserve"> PAGEREF _Toc235706299 \h </w:instrText>
      </w:r>
      <w:r>
        <w:rPr>
          <w:noProof/>
        </w:rPr>
      </w:r>
      <w:r>
        <w:rPr>
          <w:noProof/>
        </w:rPr>
        <w:fldChar w:fldCharType="separate"/>
      </w:r>
      <w:r>
        <w:rPr>
          <w:noProof/>
        </w:rPr>
        <w:t>12</w:t>
      </w:r>
      <w:r>
        <w:rPr>
          <w:noProof/>
        </w:rPr>
        <w:fldChar w:fldCharType="end"/>
      </w:r>
    </w:p>
    <w:p w14:paraId="4C066791" w14:textId="4DA40913" w:rsidR="00397F81" w:rsidRDefault="00397F81">
      <w:pPr>
        <w:pStyle w:val="TOC4"/>
        <w:rPr>
          <w:rFonts w:eastAsiaTheme="minorEastAsia" w:cstheme="minorBidi"/>
          <w:noProof/>
          <w:color w:val="auto"/>
          <w:kern w:val="2"/>
          <w:sz w:val="24"/>
          <w:lang w:eastAsia="en-AU"/>
          <w14:ligatures w14:val="standardContextual"/>
        </w:rPr>
      </w:pPr>
      <w:r>
        <w:rPr>
          <w:noProof/>
        </w:rPr>
        <w:t>Identifying reportable scope 1 emissions sources</w:t>
      </w:r>
      <w:r>
        <w:rPr>
          <w:noProof/>
        </w:rPr>
        <w:tab/>
      </w:r>
      <w:r>
        <w:rPr>
          <w:noProof/>
        </w:rPr>
        <w:fldChar w:fldCharType="begin"/>
      </w:r>
      <w:r>
        <w:rPr>
          <w:noProof/>
        </w:rPr>
        <w:instrText xml:space="preserve"> PAGEREF _Toc235706300 \h </w:instrText>
      </w:r>
      <w:r>
        <w:rPr>
          <w:noProof/>
        </w:rPr>
      </w:r>
      <w:r>
        <w:rPr>
          <w:noProof/>
        </w:rPr>
        <w:fldChar w:fldCharType="separate"/>
      </w:r>
      <w:r>
        <w:rPr>
          <w:noProof/>
        </w:rPr>
        <w:t>14</w:t>
      </w:r>
      <w:r>
        <w:rPr>
          <w:noProof/>
        </w:rPr>
        <w:fldChar w:fldCharType="end"/>
      </w:r>
    </w:p>
    <w:p w14:paraId="2CC001FD" w14:textId="0A5A557A"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Methods for estimating emissions</w:t>
      </w:r>
      <w:r>
        <w:rPr>
          <w:noProof/>
        </w:rPr>
        <w:tab/>
      </w:r>
      <w:r>
        <w:rPr>
          <w:noProof/>
        </w:rPr>
        <w:fldChar w:fldCharType="begin"/>
      </w:r>
      <w:r>
        <w:rPr>
          <w:noProof/>
        </w:rPr>
        <w:instrText xml:space="preserve"> PAGEREF _Toc235706301 \h </w:instrText>
      </w:r>
      <w:r>
        <w:rPr>
          <w:noProof/>
        </w:rPr>
      </w:r>
      <w:r>
        <w:rPr>
          <w:noProof/>
        </w:rPr>
        <w:fldChar w:fldCharType="separate"/>
      </w:r>
      <w:r>
        <w:rPr>
          <w:noProof/>
        </w:rPr>
        <w:t>15</w:t>
      </w:r>
      <w:r>
        <w:rPr>
          <w:noProof/>
        </w:rPr>
        <w:fldChar w:fldCharType="end"/>
      </w:r>
    </w:p>
    <w:p w14:paraId="5D19185B" w14:textId="4BE64993"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3.3.</w:t>
      </w:r>
      <w:r>
        <w:rPr>
          <w:rFonts w:eastAsiaTheme="minorEastAsia" w:cstheme="minorBidi"/>
          <w:noProof/>
          <w:color w:val="auto"/>
          <w:kern w:val="2"/>
          <w:sz w:val="24"/>
          <w:lang w:eastAsia="en-AU"/>
          <w14:ligatures w14:val="standardContextual"/>
        </w:rPr>
        <w:tab/>
      </w:r>
      <w:r>
        <w:rPr>
          <w:noProof/>
        </w:rPr>
        <w:t>Thresholds for estimating and reporting emissions</w:t>
      </w:r>
      <w:r>
        <w:rPr>
          <w:noProof/>
        </w:rPr>
        <w:tab/>
      </w:r>
      <w:r>
        <w:rPr>
          <w:noProof/>
        </w:rPr>
        <w:fldChar w:fldCharType="begin"/>
      </w:r>
      <w:r>
        <w:rPr>
          <w:noProof/>
        </w:rPr>
        <w:instrText xml:space="preserve"> PAGEREF _Toc235706302 \h </w:instrText>
      </w:r>
      <w:r>
        <w:rPr>
          <w:noProof/>
        </w:rPr>
      </w:r>
      <w:r>
        <w:rPr>
          <w:noProof/>
        </w:rPr>
        <w:fldChar w:fldCharType="separate"/>
      </w:r>
      <w:r>
        <w:rPr>
          <w:noProof/>
        </w:rPr>
        <w:t>16</w:t>
      </w:r>
      <w:r>
        <w:rPr>
          <w:noProof/>
        </w:rPr>
        <w:fldChar w:fldCharType="end"/>
      </w:r>
    </w:p>
    <w:p w14:paraId="26C845E8" w14:textId="35E4F551" w:rsidR="00397F81" w:rsidRDefault="00397F81">
      <w:pPr>
        <w:pStyle w:val="TOC4"/>
        <w:rPr>
          <w:rFonts w:eastAsiaTheme="minorEastAsia" w:cstheme="minorBidi"/>
          <w:noProof/>
          <w:color w:val="auto"/>
          <w:kern w:val="2"/>
          <w:sz w:val="24"/>
          <w:lang w:eastAsia="en-AU"/>
          <w14:ligatures w14:val="standardContextual"/>
        </w:rPr>
      </w:pPr>
      <w:r>
        <w:rPr>
          <w:noProof/>
        </w:rPr>
        <w:t>Separate instance of a source</w:t>
      </w:r>
      <w:r>
        <w:rPr>
          <w:noProof/>
        </w:rPr>
        <w:tab/>
      </w:r>
      <w:r>
        <w:rPr>
          <w:noProof/>
        </w:rPr>
        <w:fldChar w:fldCharType="begin"/>
      </w:r>
      <w:r>
        <w:rPr>
          <w:noProof/>
        </w:rPr>
        <w:instrText xml:space="preserve"> PAGEREF _Toc235706303 \h </w:instrText>
      </w:r>
      <w:r>
        <w:rPr>
          <w:noProof/>
        </w:rPr>
      </w:r>
      <w:r>
        <w:rPr>
          <w:noProof/>
        </w:rPr>
        <w:fldChar w:fldCharType="separate"/>
      </w:r>
      <w:r>
        <w:rPr>
          <w:noProof/>
        </w:rPr>
        <w:t>16</w:t>
      </w:r>
      <w:r>
        <w:rPr>
          <w:noProof/>
        </w:rPr>
        <w:fldChar w:fldCharType="end"/>
      </w:r>
    </w:p>
    <w:p w14:paraId="6C2EAFDE" w14:textId="4EABB95F" w:rsidR="00397F81" w:rsidRDefault="00397F81">
      <w:pPr>
        <w:pStyle w:val="TOC4"/>
        <w:rPr>
          <w:rFonts w:eastAsiaTheme="minorEastAsia" w:cstheme="minorBidi"/>
          <w:noProof/>
          <w:color w:val="auto"/>
          <w:kern w:val="2"/>
          <w:sz w:val="24"/>
          <w:lang w:eastAsia="en-AU"/>
          <w14:ligatures w14:val="standardContextual"/>
        </w:rPr>
      </w:pPr>
      <w:r>
        <w:rPr>
          <w:noProof/>
        </w:rPr>
        <w:t>Thresholds for estimating incidental emissions</w:t>
      </w:r>
      <w:r>
        <w:rPr>
          <w:noProof/>
        </w:rPr>
        <w:tab/>
      </w:r>
      <w:r>
        <w:rPr>
          <w:noProof/>
        </w:rPr>
        <w:fldChar w:fldCharType="begin"/>
      </w:r>
      <w:r>
        <w:rPr>
          <w:noProof/>
        </w:rPr>
        <w:instrText xml:space="preserve"> PAGEREF _Toc235706304 \h </w:instrText>
      </w:r>
      <w:r>
        <w:rPr>
          <w:noProof/>
        </w:rPr>
      </w:r>
      <w:r>
        <w:rPr>
          <w:noProof/>
        </w:rPr>
        <w:fldChar w:fldCharType="separate"/>
      </w:r>
      <w:r>
        <w:rPr>
          <w:noProof/>
        </w:rPr>
        <w:t>16</w:t>
      </w:r>
      <w:r>
        <w:rPr>
          <w:noProof/>
        </w:rPr>
        <w:fldChar w:fldCharType="end"/>
      </w:r>
    </w:p>
    <w:p w14:paraId="561DC8A4" w14:textId="0FA6AA74"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3.4.</w:t>
      </w:r>
      <w:r>
        <w:rPr>
          <w:rFonts w:eastAsiaTheme="minorEastAsia" w:cstheme="minorBidi"/>
          <w:noProof/>
          <w:color w:val="auto"/>
          <w:kern w:val="2"/>
          <w:sz w:val="24"/>
          <w:lang w:eastAsia="en-AU"/>
          <w14:ligatures w14:val="standardContextual"/>
        </w:rPr>
        <w:tab/>
      </w:r>
      <w:r>
        <w:rPr>
          <w:noProof/>
        </w:rPr>
        <w:t>Uncertainty</w:t>
      </w:r>
      <w:r>
        <w:rPr>
          <w:noProof/>
        </w:rPr>
        <w:tab/>
      </w:r>
      <w:r>
        <w:rPr>
          <w:noProof/>
        </w:rPr>
        <w:fldChar w:fldCharType="begin"/>
      </w:r>
      <w:r>
        <w:rPr>
          <w:noProof/>
        </w:rPr>
        <w:instrText xml:space="preserve"> PAGEREF _Toc235706305 \h </w:instrText>
      </w:r>
      <w:r>
        <w:rPr>
          <w:noProof/>
        </w:rPr>
      </w:r>
      <w:r>
        <w:rPr>
          <w:noProof/>
        </w:rPr>
        <w:fldChar w:fldCharType="separate"/>
      </w:r>
      <w:r>
        <w:rPr>
          <w:noProof/>
        </w:rPr>
        <w:t>17</w:t>
      </w:r>
      <w:r>
        <w:rPr>
          <w:noProof/>
        </w:rPr>
        <w:fldChar w:fldCharType="end"/>
      </w:r>
    </w:p>
    <w:p w14:paraId="4FA7121F" w14:textId="17769B1C"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4.</w:t>
      </w:r>
      <w:r>
        <w:rPr>
          <w:rFonts w:eastAsiaTheme="minorEastAsia" w:cstheme="minorBidi"/>
          <w:b w:val="0"/>
          <w:noProof/>
          <w:color w:val="auto"/>
          <w:kern w:val="2"/>
          <w:sz w:val="24"/>
          <w:lang w:eastAsia="en-AU"/>
          <w14:ligatures w14:val="standardContextual"/>
        </w:rPr>
        <w:tab/>
      </w:r>
      <w:r w:rsidRPr="00E96BC4">
        <w:rPr>
          <w:noProof/>
          <w:lang w:val="en-GB"/>
        </w:rPr>
        <w:t>Estimating emissions from fuel combustion</w:t>
      </w:r>
      <w:r>
        <w:rPr>
          <w:noProof/>
        </w:rPr>
        <w:tab/>
      </w:r>
      <w:r>
        <w:rPr>
          <w:noProof/>
        </w:rPr>
        <w:fldChar w:fldCharType="begin"/>
      </w:r>
      <w:r>
        <w:rPr>
          <w:noProof/>
        </w:rPr>
        <w:instrText xml:space="preserve"> PAGEREF _Toc235706306 \h </w:instrText>
      </w:r>
      <w:r>
        <w:rPr>
          <w:noProof/>
        </w:rPr>
      </w:r>
      <w:r>
        <w:rPr>
          <w:noProof/>
        </w:rPr>
        <w:fldChar w:fldCharType="separate"/>
      </w:r>
      <w:r>
        <w:rPr>
          <w:noProof/>
        </w:rPr>
        <w:t>18</w:t>
      </w:r>
      <w:r>
        <w:rPr>
          <w:noProof/>
        </w:rPr>
        <w:fldChar w:fldCharType="end"/>
      </w:r>
    </w:p>
    <w:p w14:paraId="576F013B" w14:textId="12F56011"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bCs/>
          <w:noProof/>
        </w:rPr>
        <w:t>Example: difference between estimating emissions using emission factors and energy content of fuel combusted, and direct measurement of emissions</w:t>
      </w:r>
      <w:r>
        <w:rPr>
          <w:noProof/>
        </w:rPr>
        <w:tab/>
      </w:r>
      <w:r>
        <w:rPr>
          <w:noProof/>
        </w:rPr>
        <w:fldChar w:fldCharType="begin"/>
      </w:r>
      <w:r>
        <w:rPr>
          <w:noProof/>
        </w:rPr>
        <w:instrText xml:space="preserve"> PAGEREF _Toc235706307 \h </w:instrText>
      </w:r>
      <w:r>
        <w:rPr>
          <w:noProof/>
        </w:rPr>
      </w:r>
      <w:r>
        <w:rPr>
          <w:noProof/>
        </w:rPr>
        <w:fldChar w:fldCharType="separate"/>
      </w:r>
      <w:r>
        <w:rPr>
          <w:noProof/>
        </w:rPr>
        <w:t>18</w:t>
      </w:r>
      <w:r>
        <w:rPr>
          <w:noProof/>
        </w:rPr>
        <w:fldChar w:fldCharType="end"/>
      </w:r>
    </w:p>
    <w:p w14:paraId="588F29B2" w14:textId="5FAE8306"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4.1.</w:t>
      </w:r>
      <w:r>
        <w:rPr>
          <w:rFonts w:eastAsiaTheme="minorEastAsia" w:cstheme="minorBidi"/>
          <w:noProof/>
          <w:color w:val="auto"/>
          <w:kern w:val="2"/>
          <w:sz w:val="24"/>
          <w:lang w:eastAsia="en-AU"/>
          <w14:ligatures w14:val="standardContextual"/>
        </w:rPr>
        <w:tab/>
      </w:r>
      <w:r>
        <w:rPr>
          <w:noProof/>
        </w:rPr>
        <w:t>Method 1, 2 and 3 – using emission factors and energy content of fuel combusted</w:t>
      </w:r>
      <w:r>
        <w:rPr>
          <w:noProof/>
        </w:rPr>
        <w:tab/>
      </w:r>
      <w:r>
        <w:rPr>
          <w:noProof/>
        </w:rPr>
        <w:fldChar w:fldCharType="begin"/>
      </w:r>
      <w:r>
        <w:rPr>
          <w:noProof/>
        </w:rPr>
        <w:instrText xml:space="preserve"> PAGEREF _Toc235706308 \h </w:instrText>
      </w:r>
      <w:r>
        <w:rPr>
          <w:noProof/>
        </w:rPr>
      </w:r>
      <w:r>
        <w:rPr>
          <w:noProof/>
        </w:rPr>
        <w:fldChar w:fldCharType="separate"/>
      </w:r>
      <w:r>
        <w:rPr>
          <w:noProof/>
        </w:rPr>
        <w:t>19</w:t>
      </w:r>
      <w:r>
        <w:rPr>
          <w:noProof/>
        </w:rPr>
        <w:fldChar w:fldCharType="end"/>
      </w:r>
    </w:p>
    <w:p w14:paraId="073F75C6" w14:textId="31D737FC" w:rsidR="00397F81" w:rsidRDefault="00397F81">
      <w:pPr>
        <w:pStyle w:val="TOC4"/>
        <w:rPr>
          <w:rFonts w:eastAsiaTheme="minorEastAsia" w:cstheme="minorBidi"/>
          <w:noProof/>
          <w:color w:val="auto"/>
          <w:kern w:val="2"/>
          <w:sz w:val="24"/>
          <w:lang w:eastAsia="en-AU"/>
          <w14:ligatures w14:val="standardContextual"/>
        </w:rPr>
      </w:pPr>
      <w:r>
        <w:rPr>
          <w:noProof/>
        </w:rPr>
        <w:t>Quantity of fuel combusted required for Methods 1, 2 and 3</w:t>
      </w:r>
      <w:r>
        <w:rPr>
          <w:noProof/>
        </w:rPr>
        <w:tab/>
      </w:r>
      <w:r>
        <w:rPr>
          <w:noProof/>
        </w:rPr>
        <w:fldChar w:fldCharType="begin"/>
      </w:r>
      <w:r>
        <w:rPr>
          <w:noProof/>
        </w:rPr>
        <w:instrText xml:space="preserve"> PAGEREF _Toc235706309 \h </w:instrText>
      </w:r>
      <w:r>
        <w:rPr>
          <w:noProof/>
        </w:rPr>
      </w:r>
      <w:r>
        <w:rPr>
          <w:noProof/>
        </w:rPr>
        <w:fldChar w:fldCharType="separate"/>
      </w:r>
      <w:r>
        <w:rPr>
          <w:noProof/>
        </w:rPr>
        <w:t>19</w:t>
      </w:r>
      <w:r>
        <w:rPr>
          <w:noProof/>
        </w:rPr>
        <w:fldChar w:fldCharType="end"/>
      </w:r>
    </w:p>
    <w:p w14:paraId="2895D3D2" w14:textId="0ACA0906" w:rsidR="00397F81" w:rsidRDefault="00397F81">
      <w:pPr>
        <w:pStyle w:val="TOC4"/>
        <w:rPr>
          <w:rFonts w:eastAsiaTheme="minorEastAsia" w:cstheme="minorBidi"/>
          <w:noProof/>
          <w:color w:val="auto"/>
          <w:kern w:val="2"/>
          <w:sz w:val="24"/>
          <w:lang w:eastAsia="en-AU"/>
          <w14:ligatures w14:val="standardContextual"/>
        </w:rPr>
      </w:pPr>
      <w:r>
        <w:rPr>
          <w:noProof/>
        </w:rPr>
        <w:t>Method 1 – default emission factors</w:t>
      </w:r>
      <w:r>
        <w:rPr>
          <w:noProof/>
        </w:rPr>
        <w:tab/>
      </w:r>
      <w:r>
        <w:rPr>
          <w:noProof/>
        </w:rPr>
        <w:fldChar w:fldCharType="begin"/>
      </w:r>
      <w:r>
        <w:rPr>
          <w:noProof/>
        </w:rPr>
        <w:instrText xml:space="preserve"> PAGEREF _Toc235706310 \h </w:instrText>
      </w:r>
      <w:r>
        <w:rPr>
          <w:noProof/>
        </w:rPr>
      </w:r>
      <w:r>
        <w:rPr>
          <w:noProof/>
        </w:rPr>
        <w:fldChar w:fldCharType="separate"/>
      </w:r>
      <w:r>
        <w:rPr>
          <w:noProof/>
        </w:rPr>
        <w:t>19</w:t>
      </w:r>
      <w:r>
        <w:rPr>
          <w:noProof/>
        </w:rPr>
        <w:fldChar w:fldCharType="end"/>
      </w:r>
    </w:p>
    <w:p w14:paraId="16EBDD2F" w14:textId="4E294CA6" w:rsidR="00397F81" w:rsidRDefault="00397F81">
      <w:pPr>
        <w:pStyle w:val="TOC4"/>
        <w:rPr>
          <w:rFonts w:eastAsiaTheme="minorEastAsia" w:cstheme="minorBidi"/>
          <w:noProof/>
          <w:color w:val="auto"/>
          <w:kern w:val="2"/>
          <w:sz w:val="24"/>
          <w:lang w:eastAsia="en-AU"/>
          <w14:ligatures w14:val="standardContextual"/>
        </w:rPr>
      </w:pPr>
      <w:r>
        <w:rPr>
          <w:noProof/>
        </w:rPr>
        <w:t>Methods 2 and 3 – fuel sampling and analysis</w:t>
      </w:r>
      <w:r>
        <w:rPr>
          <w:noProof/>
        </w:rPr>
        <w:tab/>
      </w:r>
      <w:r>
        <w:rPr>
          <w:noProof/>
        </w:rPr>
        <w:fldChar w:fldCharType="begin"/>
      </w:r>
      <w:r>
        <w:rPr>
          <w:noProof/>
        </w:rPr>
        <w:instrText xml:space="preserve"> PAGEREF _Toc235706311 \h </w:instrText>
      </w:r>
      <w:r>
        <w:rPr>
          <w:noProof/>
        </w:rPr>
      </w:r>
      <w:r>
        <w:rPr>
          <w:noProof/>
        </w:rPr>
        <w:fldChar w:fldCharType="separate"/>
      </w:r>
      <w:r>
        <w:rPr>
          <w:noProof/>
        </w:rPr>
        <w:t>19</w:t>
      </w:r>
      <w:r>
        <w:rPr>
          <w:noProof/>
        </w:rPr>
        <w:fldChar w:fldCharType="end"/>
      </w:r>
    </w:p>
    <w:p w14:paraId="719108E5" w14:textId="20F71A99"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4.2.</w:t>
      </w:r>
      <w:r>
        <w:rPr>
          <w:rFonts w:eastAsiaTheme="minorEastAsia" w:cstheme="minorBidi"/>
          <w:noProof/>
          <w:color w:val="auto"/>
          <w:kern w:val="2"/>
          <w:sz w:val="24"/>
          <w:lang w:eastAsia="en-AU"/>
          <w14:ligatures w14:val="standardContextual"/>
        </w:rPr>
        <w:tab/>
      </w:r>
      <w:r>
        <w:rPr>
          <w:noProof/>
        </w:rPr>
        <w:t>Method 4 – Direct measurement of emissions</w:t>
      </w:r>
      <w:r>
        <w:rPr>
          <w:noProof/>
        </w:rPr>
        <w:tab/>
      </w:r>
      <w:r>
        <w:rPr>
          <w:noProof/>
        </w:rPr>
        <w:fldChar w:fldCharType="begin"/>
      </w:r>
      <w:r>
        <w:rPr>
          <w:noProof/>
        </w:rPr>
        <w:instrText xml:space="preserve"> PAGEREF _Toc235706312 \h </w:instrText>
      </w:r>
      <w:r>
        <w:rPr>
          <w:noProof/>
        </w:rPr>
      </w:r>
      <w:r>
        <w:rPr>
          <w:noProof/>
        </w:rPr>
        <w:fldChar w:fldCharType="separate"/>
      </w:r>
      <w:r>
        <w:rPr>
          <w:noProof/>
        </w:rPr>
        <w:t>20</w:t>
      </w:r>
      <w:r>
        <w:rPr>
          <w:noProof/>
        </w:rPr>
        <w:fldChar w:fldCharType="end"/>
      </w:r>
    </w:p>
    <w:p w14:paraId="640F3B91" w14:textId="7A521321"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4.3.</w:t>
      </w:r>
      <w:r>
        <w:rPr>
          <w:rFonts w:eastAsiaTheme="minorEastAsia" w:cstheme="minorBidi"/>
          <w:noProof/>
          <w:color w:val="auto"/>
          <w:kern w:val="2"/>
          <w:sz w:val="24"/>
          <w:lang w:eastAsia="en-AU"/>
          <w14:ligatures w14:val="standardContextual"/>
        </w:rPr>
        <w:tab/>
      </w:r>
      <w:r>
        <w:rPr>
          <w:noProof/>
        </w:rPr>
        <w:t>Estimating emissions from combustion of solid fuels</w:t>
      </w:r>
      <w:r>
        <w:rPr>
          <w:noProof/>
        </w:rPr>
        <w:tab/>
      </w:r>
      <w:r>
        <w:rPr>
          <w:noProof/>
        </w:rPr>
        <w:fldChar w:fldCharType="begin"/>
      </w:r>
      <w:r>
        <w:rPr>
          <w:noProof/>
        </w:rPr>
        <w:instrText xml:space="preserve"> PAGEREF _Toc235706313 \h </w:instrText>
      </w:r>
      <w:r>
        <w:rPr>
          <w:noProof/>
        </w:rPr>
      </w:r>
      <w:r>
        <w:rPr>
          <w:noProof/>
        </w:rPr>
        <w:fldChar w:fldCharType="separate"/>
      </w:r>
      <w:r>
        <w:rPr>
          <w:noProof/>
        </w:rPr>
        <w:t>20</w:t>
      </w:r>
      <w:r>
        <w:rPr>
          <w:noProof/>
        </w:rPr>
        <w:fldChar w:fldCharType="end"/>
      </w:r>
    </w:p>
    <w:p w14:paraId="376D059D" w14:textId="6B83ECF5"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4.3.1.</w:t>
      </w:r>
      <w:r>
        <w:rPr>
          <w:rFonts w:eastAsiaTheme="minorEastAsia" w:cstheme="minorBidi"/>
          <w:noProof/>
          <w:color w:val="auto"/>
          <w:kern w:val="2"/>
          <w:sz w:val="24"/>
          <w:lang w:eastAsia="en-AU"/>
          <w14:ligatures w14:val="standardContextual"/>
        </w:rPr>
        <w:tab/>
      </w:r>
      <w:r w:rsidRPr="00E96BC4">
        <w:rPr>
          <w:noProof/>
          <w:lang w:val="en-GB"/>
        </w:rPr>
        <w:t>Sampling and analysis requirements for Methods 2 and 3 for solid fuels</w:t>
      </w:r>
      <w:r>
        <w:rPr>
          <w:noProof/>
        </w:rPr>
        <w:tab/>
      </w:r>
      <w:r>
        <w:rPr>
          <w:noProof/>
        </w:rPr>
        <w:fldChar w:fldCharType="begin"/>
      </w:r>
      <w:r>
        <w:rPr>
          <w:noProof/>
        </w:rPr>
        <w:instrText xml:space="preserve"> PAGEREF _Toc235706314 \h </w:instrText>
      </w:r>
      <w:r>
        <w:rPr>
          <w:noProof/>
        </w:rPr>
      </w:r>
      <w:r>
        <w:rPr>
          <w:noProof/>
        </w:rPr>
        <w:fldChar w:fldCharType="separate"/>
      </w:r>
      <w:r>
        <w:rPr>
          <w:noProof/>
        </w:rPr>
        <w:t>21</w:t>
      </w:r>
      <w:r>
        <w:rPr>
          <w:noProof/>
        </w:rPr>
        <w:fldChar w:fldCharType="end"/>
      </w:r>
    </w:p>
    <w:p w14:paraId="6C7D2D00" w14:textId="3E97C72D" w:rsidR="00397F81" w:rsidRDefault="00397F81">
      <w:pPr>
        <w:pStyle w:val="TOC4"/>
        <w:rPr>
          <w:rFonts w:eastAsiaTheme="minorEastAsia" w:cstheme="minorBidi"/>
          <w:noProof/>
          <w:color w:val="auto"/>
          <w:kern w:val="2"/>
          <w:sz w:val="24"/>
          <w:lang w:eastAsia="en-AU"/>
          <w14:ligatures w14:val="standardContextual"/>
        </w:rPr>
      </w:pPr>
      <w:r>
        <w:rPr>
          <w:noProof/>
        </w:rPr>
        <w:t>Bias testing</w:t>
      </w:r>
      <w:r>
        <w:rPr>
          <w:noProof/>
        </w:rPr>
        <w:tab/>
      </w:r>
      <w:r>
        <w:rPr>
          <w:noProof/>
        </w:rPr>
        <w:fldChar w:fldCharType="begin"/>
      </w:r>
      <w:r>
        <w:rPr>
          <w:noProof/>
        </w:rPr>
        <w:instrText xml:space="preserve"> PAGEREF _Toc235706315 \h </w:instrText>
      </w:r>
      <w:r>
        <w:rPr>
          <w:noProof/>
        </w:rPr>
      </w:r>
      <w:r>
        <w:rPr>
          <w:noProof/>
        </w:rPr>
        <w:fldChar w:fldCharType="separate"/>
      </w:r>
      <w:r>
        <w:rPr>
          <w:noProof/>
        </w:rPr>
        <w:t>23</w:t>
      </w:r>
      <w:r>
        <w:rPr>
          <w:noProof/>
        </w:rPr>
        <w:fldChar w:fldCharType="end"/>
      </w:r>
    </w:p>
    <w:p w14:paraId="19345875" w14:textId="031839CC"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4.4.</w:t>
      </w:r>
      <w:r>
        <w:rPr>
          <w:rFonts w:eastAsiaTheme="minorEastAsia" w:cstheme="minorBidi"/>
          <w:noProof/>
          <w:color w:val="auto"/>
          <w:kern w:val="2"/>
          <w:sz w:val="24"/>
          <w:lang w:eastAsia="en-AU"/>
          <w14:ligatures w14:val="standardContextual"/>
        </w:rPr>
        <w:tab/>
      </w:r>
      <w:r>
        <w:rPr>
          <w:noProof/>
        </w:rPr>
        <w:t>Emissions from combustion of gaseous fuels</w:t>
      </w:r>
      <w:r>
        <w:rPr>
          <w:noProof/>
        </w:rPr>
        <w:tab/>
      </w:r>
      <w:r>
        <w:rPr>
          <w:noProof/>
        </w:rPr>
        <w:fldChar w:fldCharType="begin"/>
      </w:r>
      <w:r>
        <w:rPr>
          <w:noProof/>
        </w:rPr>
        <w:instrText xml:space="preserve"> PAGEREF _Toc235706316 \h </w:instrText>
      </w:r>
      <w:r>
        <w:rPr>
          <w:noProof/>
        </w:rPr>
      </w:r>
      <w:r>
        <w:rPr>
          <w:noProof/>
        </w:rPr>
        <w:fldChar w:fldCharType="separate"/>
      </w:r>
      <w:r>
        <w:rPr>
          <w:noProof/>
        </w:rPr>
        <w:t>23</w:t>
      </w:r>
      <w:r>
        <w:rPr>
          <w:noProof/>
        </w:rPr>
        <w:fldChar w:fldCharType="end"/>
      </w:r>
    </w:p>
    <w:p w14:paraId="083232EF" w14:textId="3EF669DD"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4.4.1.</w:t>
      </w:r>
      <w:r>
        <w:rPr>
          <w:rFonts w:eastAsiaTheme="minorEastAsia" w:cstheme="minorBidi"/>
          <w:noProof/>
          <w:color w:val="auto"/>
          <w:kern w:val="2"/>
          <w:sz w:val="24"/>
          <w:lang w:eastAsia="en-AU"/>
          <w14:ligatures w14:val="standardContextual"/>
        </w:rPr>
        <w:tab/>
      </w:r>
      <w:r w:rsidRPr="00E96BC4">
        <w:rPr>
          <w:noProof/>
          <w:lang w:val="en-GB"/>
        </w:rPr>
        <w:t>Sampling and analysis requirements for Methods 2 and 3 for gaseous fuels</w:t>
      </w:r>
      <w:r>
        <w:rPr>
          <w:noProof/>
        </w:rPr>
        <w:tab/>
      </w:r>
      <w:r>
        <w:rPr>
          <w:noProof/>
        </w:rPr>
        <w:fldChar w:fldCharType="begin"/>
      </w:r>
      <w:r>
        <w:rPr>
          <w:noProof/>
        </w:rPr>
        <w:instrText xml:space="preserve"> PAGEREF _Toc235706317 \h </w:instrText>
      </w:r>
      <w:r>
        <w:rPr>
          <w:noProof/>
        </w:rPr>
      </w:r>
      <w:r>
        <w:rPr>
          <w:noProof/>
        </w:rPr>
        <w:fldChar w:fldCharType="separate"/>
      </w:r>
      <w:r>
        <w:rPr>
          <w:noProof/>
        </w:rPr>
        <w:t>25</w:t>
      </w:r>
      <w:r>
        <w:rPr>
          <w:noProof/>
        </w:rPr>
        <w:fldChar w:fldCharType="end"/>
      </w:r>
    </w:p>
    <w:p w14:paraId="08D8B7AB" w14:textId="7DF9F8A8" w:rsidR="00397F81" w:rsidRDefault="00397F81">
      <w:pPr>
        <w:pStyle w:val="TOC4"/>
        <w:rPr>
          <w:rFonts w:eastAsiaTheme="minorEastAsia" w:cstheme="minorBidi"/>
          <w:noProof/>
          <w:color w:val="auto"/>
          <w:kern w:val="2"/>
          <w:sz w:val="24"/>
          <w:lang w:eastAsia="en-AU"/>
          <w14:ligatures w14:val="standardContextual"/>
        </w:rPr>
      </w:pPr>
      <w:r>
        <w:rPr>
          <w:noProof/>
        </w:rPr>
        <w:t>Bias testing</w:t>
      </w:r>
      <w:r>
        <w:rPr>
          <w:noProof/>
        </w:rPr>
        <w:tab/>
      </w:r>
      <w:r>
        <w:rPr>
          <w:noProof/>
        </w:rPr>
        <w:fldChar w:fldCharType="begin"/>
      </w:r>
      <w:r>
        <w:rPr>
          <w:noProof/>
        </w:rPr>
        <w:instrText xml:space="preserve"> PAGEREF _Toc235706318 \h </w:instrText>
      </w:r>
      <w:r>
        <w:rPr>
          <w:noProof/>
        </w:rPr>
      </w:r>
      <w:r>
        <w:rPr>
          <w:noProof/>
        </w:rPr>
        <w:fldChar w:fldCharType="separate"/>
      </w:r>
      <w:r>
        <w:rPr>
          <w:noProof/>
        </w:rPr>
        <w:t>26</w:t>
      </w:r>
      <w:r>
        <w:rPr>
          <w:noProof/>
        </w:rPr>
        <w:fldChar w:fldCharType="end"/>
      </w:r>
    </w:p>
    <w:p w14:paraId="7D0AE17A" w14:textId="21625082"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4.5.</w:t>
      </w:r>
      <w:r>
        <w:rPr>
          <w:rFonts w:eastAsiaTheme="minorEastAsia" w:cstheme="minorBidi"/>
          <w:noProof/>
          <w:color w:val="auto"/>
          <w:kern w:val="2"/>
          <w:sz w:val="24"/>
          <w:lang w:eastAsia="en-AU"/>
          <w14:ligatures w14:val="standardContextual"/>
        </w:rPr>
        <w:tab/>
      </w:r>
      <w:r>
        <w:rPr>
          <w:noProof/>
        </w:rPr>
        <w:t>Emissions from combustion of liquid fuels</w:t>
      </w:r>
      <w:r>
        <w:rPr>
          <w:noProof/>
        </w:rPr>
        <w:tab/>
      </w:r>
      <w:r>
        <w:rPr>
          <w:noProof/>
        </w:rPr>
        <w:fldChar w:fldCharType="begin"/>
      </w:r>
      <w:r>
        <w:rPr>
          <w:noProof/>
        </w:rPr>
        <w:instrText xml:space="preserve"> PAGEREF _Toc235706319 \h </w:instrText>
      </w:r>
      <w:r>
        <w:rPr>
          <w:noProof/>
        </w:rPr>
      </w:r>
      <w:r>
        <w:rPr>
          <w:noProof/>
        </w:rPr>
        <w:fldChar w:fldCharType="separate"/>
      </w:r>
      <w:r>
        <w:rPr>
          <w:noProof/>
        </w:rPr>
        <w:t>27</w:t>
      </w:r>
      <w:r>
        <w:rPr>
          <w:noProof/>
        </w:rPr>
        <w:fldChar w:fldCharType="end"/>
      </w:r>
    </w:p>
    <w:p w14:paraId="2578F4AA" w14:textId="3CD298AD"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4.5.1.</w:t>
      </w:r>
      <w:r>
        <w:rPr>
          <w:rFonts w:eastAsiaTheme="minorEastAsia" w:cstheme="minorBidi"/>
          <w:noProof/>
          <w:color w:val="auto"/>
          <w:kern w:val="2"/>
          <w:sz w:val="24"/>
          <w:lang w:eastAsia="en-AU"/>
          <w14:ligatures w14:val="standardContextual"/>
        </w:rPr>
        <w:tab/>
      </w:r>
      <w:r w:rsidRPr="00E96BC4">
        <w:rPr>
          <w:noProof/>
          <w:lang w:val="en-GB"/>
        </w:rPr>
        <w:t>Sampling and analysis requirements for Methods 2 and 3 for liquid fuels</w:t>
      </w:r>
      <w:r>
        <w:rPr>
          <w:noProof/>
        </w:rPr>
        <w:tab/>
      </w:r>
      <w:r>
        <w:rPr>
          <w:noProof/>
        </w:rPr>
        <w:fldChar w:fldCharType="begin"/>
      </w:r>
      <w:r>
        <w:rPr>
          <w:noProof/>
        </w:rPr>
        <w:instrText xml:space="preserve"> PAGEREF _Toc235706320 \h </w:instrText>
      </w:r>
      <w:r>
        <w:rPr>
          <w:noProof/>
        </w:rPr>
      </w:r>
      <w:r>
        <w:rPr>
          <w:noProof/>
        </w:rPr>
        <w:fldChar w:fldCharType="separate"/>
      </w:r>
      <w:r>
        <w:rPr>
          <w:noProof/>
        </w:rPr>
        <w:t>27</w:t>
      </w:r>
      <w:r>
        <w:rPr>
          <w:noProof/>
        </w:rPr>
        <w:fldChar w:fldCharType="end"/>
      </w:r>
    </w:p>
    <w:p w14:paraId="2C4EF49A" w14:textId="5E12AD85" w:rsidR="00397F81" w:rsidRDefault="00397F81">
      <w:pPr>
        <w:pStyle w:val="TOC4"/>
        <w:rPr>
          <w:rFonts w:eastAsiaTheme="minorEastAsia" w:cstheme="minorBidi"/>
          <w:noProof/>
          <w:color w:val="auto"/>
          <w:kern w:val="2"/>
          <w:sz w:val="24"/>
          <w:lang w:eastAsia="en-AU"/>
          <w14:ligatures w14:val="standardContextual"/>
        </w:rPr>
      </w:pPr>
      <w:r>
        <w:rPr>
          <w:noProof/>
        </w:rPr>
        <w:t>Bias testing</w:t>
      </w:r>
      <w:r>
        <w:rPr>
          <w:noProof/>
        </w:rPr>
        <w:tab/>
      </w:r>
      <w:r>
        <w:rPr>
          <w:noProof/>
        </w:rPr>
        <w:fldChar w:fldCharType="begin"/>
      </w:r>
      <w:r>
        <w:rPr>
          <w:noProof/>
        </w:rPr>
        <w:instrText xml:space="preserve"> PAGEREF _Toc235706321 \h </w:instrText>
      </w:r>
      <w:r>
        <w:rPr>
          <w:noProof/>
        </w:rPr>
      </w:r>
      <w:r>
        <w:rPr>
          <w:noProof/>
        </w:rPr>
        <w:fldChar w:fldCharType="separate"/>
      </w:r>
      <w:r>
        <w:rPr>
          <w:noProof/>
        </w:rPr>
        <w:t>28</w:t>
      </w:r>
      <w:r>
        <w:rPr>
          <w:noProof/>
        </w:rPr>
        <w:fldChar w:fldCharType="end"/>
      </w:r>
    </w:p>
    <w:p w14:paraId="6C0A7F6D" w14:textId="108F24DB"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4.6.</w:t>
      </w:r>
      <w:r>
        <w:rPr>
          <w:rFonts w:eastAsiaTheme="minorEastAsia" w:cstheme="minorBidi"/>
          <w:noProof/>
          <w:color w:val="auto"/>
          <w:kern w:val="2"/>
          <w:sz w:val="24"/>
          <w:lang w:eastAsia="en-AU"/>
          <w14:ligatures w14:val="standardContextual"/>
        </w:rPr>
        <w:tab/>
      </w:r>
      <w:r>
        <w:rPr>
          <w:noProof/>
        </w:rPr>
        <w:t>Emissions from consumption of PBOGs</w:t>
      </w:r>
      <w:r>
        <w:rPr>
          <w:noProof/>
        </w:rPr>
        <w:tab/>
      </w:r>
      <w:r>
        <w:rPr>
          <w:noProof/>
        </w:rPr>
        <w:fldChar w:fldCharType="begin"/>
      </w:r>
      <w:r>
        <w:rPr>
          <w:noProof/>
        </w:rPr>
        <w:instrText xml:space="preserve"> PAGEREF _Toc235706322 \h </w:instrText>
      </w:r>
      <w:r>
        <w:rPr>
          <w:noProof/>
        </w:rPr>
      </w:r>
      <w:r>
        <w:rPr>
          <w:noProof/>
        </w:rPr>
        <w:fldChar w:fldCharType="separate"/>
      </w:r>
      <w:r>
        <w:rPr>
          <w:noProof/>
        </w:rPr>
        <w:t>28</w:t>
      </w:r>
      <w:r>
        <w:rPr>
          <w:noProof/>
        </w:rPr>
        <w:fldChar w:fldCharType="end"/>
      </w:r>
    </w:p>
    <w:p w14:paraId="69C75D60" w14:textId="490460A5"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5.</w:t>
      </w:r>
      <w:r>
        <w:rPr>
          <w:rFonts w:eastAsiaTheme="minorEastAsia" w:cstheme="minorBidi"/>
          <w:b w:val="0"/>
          <w:noProof/>
          <w:color w:val="auto"/>
          <w:kern w:val="2"/>
          <w:sz w:val="24"/>
          <w:lang w:eastAsia="en-AU"/>
          <w14:ligatures w14:val="standardContextual"/>
        </w:rPr>
        <w:tab/>
      </w:r>
      <w:r w:rsidRPr="00E96BC4">
        <w:rPr>
          <w:noProof/>
          <w:lang w:val="en-GB"/>
        </w:rPr>
        <w:t>Estimating emissions of sulphur hexafluoride</w:t>
      </w:r>
      <w:r>
        <w:rPr>
          <w:noProof/>
        </w:rPr>
        <w:tab/>
      </w:r>
      <w:r>
        <w:rPr>
          <w:noProof/>
        </w:rPr>
        <w:fldChar w:fldCharType="begin"/>
      </w:r>
      <w:r>
        <w:rPr>
          <w:noProof/>
        </w:rPr>
        <w:instrText xml:space="preserve"> PAGEREF _Toc235706323 \h </w:instrText>
      </w:r>
      <w:r>
        <w:rPr>
          <w:noProof/>
        </w:rPr>
      </w:r>
      <w:r>
        <w:rPr>
          <w:noProof/>
        </w:rPr>
        <w:fldChar w:fldCharType="separate"/>
      </w:r>
      <w:r>
        <w:rPr>
          <w:noProof/>
        </w:rPr>
        <w:t>29</w:t>
      </w:r>
      <w:r>
        <w:rPr>
          <w:noProof/>
        </w:rPr>
        <w:fldChar w:fldCharType="end"/>
      </w:r>
    </w:p>
    <w:p w14:paraId="2056118E" w14:textId="3AE711D9"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6.</w:t>
      </w:r>
      <w:r>
        <w:rPr>
          <w:rFonts w:eastAsiaTheme="minorEastAsia" w:cstheme="minorBidi"/>
          <w:b w:val="0"/>
          <w:noProof/>
          <w:color w:val="auto"/>
          <w:kern w:val="2"/>
          <w:sz w:val="24"/>
          <w:lang w:eastAsia="en-AU"/>
          <w14:ligatures w14:val="standardContextual"/>
        </w:rPr>
        <w:tab/>
      </w:r>
      <w:r w:rsidRPr="00E96BC4">
        <w:rPr>
          <w:noProof/>
          <w:lang w:val="en-GB"/>
        </w:rPr>
        <w:t>Reporting scope 2 emissions from purchased, acquired or lost electricity</w:t>
      </w:r>
      <w:r>
        <w:rPr>
          <w:noProof/>
        </w:rPr>
        <w:tab/>
      </w:r>
      <w:r>
        <w:rPr>
          <w:noProof/>
        </w:rPr>
        <w:fldChar w:fldCharType="begin"/>
      </w:r>
      <w:r>
        <w:rPr>
          <w:noProof/>
        </w:rPr>
        <w:instrText xml:space="preserve"> PAGEREF _Toc235706324 \h </w:instrText>
      </w:r>
      <w:r>
        <w:rPr>
          <w:noProof/>
        </w:rPr>
      </w:r>
      <w:r>
        <w:rPr>
          <w:noProof/>
        </w:rPr>
        <w:fldChar w:fldCharType="separate"/>
      </w:r>
      <w:r>
        <w:rPr>
          <w:noProof/>
        </w:rPr>
        <w:t>30</w:t>
      </w:r>
      <w:r>
        <w:rPr>
          <w:noProof/>
        </w:rPr>
        <w:fldChar w:fldCharType="end"/>
      </w:r>
    </w:p>
    <w:p w14:paraId="20EC3AB9" w14:textId="39367DB2"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lastRenderedPageBreak/>
        <w:t>6.1.</w:t>
      </w:r>
      <w:r>
        <w:rPr>
          <w:rFonts w:eastAsiaTheme="minorEastAsia" w:cstheme="minorBidi"/>
          <w:noProof/>
          <w:color w:val="auto"/>
          <w:kern w:val="2"/>
          <w:sz w:val="24"/>
          <w:lang w:eastAsia="en-AU"/>
          <w14:ligatures w14:val="standardContextual"/>
        </w:rPr>
        <w:tab/>
      </w:r>
      <w:r>
        <w:rPr>
          <w:noProof/>
        </w:rPr>
        <w:t>When to report scope 2 emissions</w:t>
      </w:r>
      <w:r>
        <w:rPr>
          <w:noProof/>
        </w:rPr>
        <w:tab/>
      </w:r>
      <w:r>
        <w:rPr>
          <w:noProof/>
        </w:rPr>
        <w:fldChar w:fldCharType="begin"/>
      </w:r>
      <w:r>
        <w:rPr>
          <w:noProof/>
        </w:rPr>
        <w:instrText xml:space="preserve"> PAGEREF _Toc235706325 \h </w:instrText>
      </w:r>
      <w:r>
        <w:rPr>
          <w:noProof/>
        </w:rPr>
      </w:r>
      <w:r>
        <w:rPr>
          <w:noProof/>
        </w:rPr>
        <w:fldChar w:fldCharType="separate"/>
      </w:r>
      <w:r>
        <w:rPr>
          <w:noProof/>
        </w:rPr>
        <w:t>30</w:t>
      </w:r>
      <w:r>
        <w:rPr>
          <w:noProof/>
        </w:rPr>
        <w:fldChar w:fldCharType="end"/>
      </w:r>
    </w:p>
    <w:p w14:paraId="21957F49" w14:textId="3F70F989"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t>6.1.1.</w:t>
      </w:r>
      <w:r>
        <w:rPr>
          <w:rFonts w:eastAsiaTheme="minorEastAsia" w:cstheme="minorBidi"/>
          <w:noProof/>
          <w:color w:val="auto"/>
          <w:kern w:val="2"/>
          <w:sz w:val="24"/>
          <w:lang w:eastAsia="en-AU"/>
          <w14:ligatures w14:val="standardContextual"/>
        </w:rPr>
        <w:tab/>
      </w:r>
      <w:r>
        <w:rPr>
          <w:noProof/>
        </w:rPr>
        <w:t>Meaning of ‘purchased’ or ‘acquired’ electricity</w:t>
      </w:r>
      <w:r>
        <w:rPr>
          <w:noProof/>
        </w:rPr>
        <w:tab/>
      </w:r>
      <w:r>
        <w:rPr>
          <w:noProof/>
        </w:rPr>
        <w:fldChar w:fldCharType="begin"/>
      </w:r>
      <w:r>
        <w:rPr>
          <w:noProof/>
        </w:rPr>
        <w:instrText xml:space="preserve"> PAGEREF _Toc235706326 \h </w:instrText>
      </w:r>
      <w:r>
        <w:rPr>
          <w:noProof/>
        </w:rPr>
      </w:r>
      <w:r>
        <w:rPr>
          <w:noProof/>
        </w:rPr>
        <w:fldChar w:fldCharType="separate"/>
      </w:r>
      <w:r>
        <w:rPr>
          <w:noProof/>
        </w:rPr>
        <w:t>30</w:t>
      </w:r>
      <w:r>
        <w:rPr>
          <w:noProof/>
        </w:rPr>
        <w:fldChar w:fldCharType="end"/>
      </w:r>
    </w:p>
    <w:p w14:paraId="7F40D035" w14:textId="692770DC"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rFonts w:ascii="Calibri" w:eastAsia="Calibri" w:hAnsi="Calibri" w:cs="Calibri"/>
          <w:b/>
          <w:noProof/>
        </w:rPr>
        <w:t>Example: Purchased electricity</w:t>
      </w:r>
      <w:r>
        <w:rPr>
          <w:noProof/>
        </w:rPr>
        <w:tab/>
      </w:r>
      <w:r>
        <w:rPr>
          <w:noProof/>
        </w:rPr>
        <w:fldChar w:fldCharType="begin"/>
      </w:r>
      <w:r>
        <w:rPr>
          <w:noProof/>
        </w:rPr>
        <w:instrText xml:space="preserve"> PAGEREF _Toc235706327 \h </w:instrText>
      </w:r>
      <w:r>
        <w:rPr>
          <w:noProof/>
        </w:rPr>
      </w:r>
      <w:r>
        <w:rPr>
          <w:noProof/>
        </w:rPr>
        <w:fldChar w:fldCharType="separate"/>
      </w:r>
      <w:r>
        <w:rPr>
          <w:noProof/>
        </w:rPr>
        <w:t>31</w:t>
      </w:r>
      <w:r>
        <w:rPr>
          <w:noProof/>
        </w:rPr>
        <w:fldChar w:fldCharType="end"/>
      </w:r>
    </w:p>
    <w:p w14:paraId="74808666" w14:textId="07E8CB95"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t>6.1.2.</w:t>
      </w:r>
      <w:r>
        <w:rPr>
          <w:rFonts w:eastAsiaTheme="minorEastAsia" w:cstheme="minorBidi"/>
          <w:noProof/>
          <w:color w:val="auto"/>
          <w:kern w:val="2"/>
          <w:sz w:val="24"/>
          <w:lang w:eastAsia="en-AU"/>
          <w14:ligatures w14:val="standardContextual"/>
        </w:rPr>
        <w:tab/>
      </w:r>
      <w:r>
        <w:rPr>
          <w:noProof/>
        </w:rPr>
        <w:t>Loss of electricity from an electricity transmission or distribution network</w:t>
      </w:r>
      <w:r>
        <w:rPr>
          <w:noProof/>
        </w:rPr>
        <w:tab/>
      </w:r>
      <w:r>
        <w:rPr>
          <w:noProof/>
        </w:rPr>
        <w:fldChar w:fldCharType="begin"/>
      </w:r>
      <w:r>
        <w:rPr>
          <w:noProof/>
        </w:rPr>
        <w:instrText xml:space="preserve"> PAGEREF _Toc235706328 \h </w:instrText>
      </w:r>
      <w:r>
        <w:rPr>
          <w:noProof/>
        </w:rPr>
      </w:r>
      <w:r>
        <w:rPr>
          <w:noProof/>
        </w:rPr>
        <w:fldChar w:fldCharType="separate"/>
      </w:r>
      <w:r>
        <w:rPr>
          <w:noProof/>
        </w:rPr>
        <w:t>31</w:t>
      </w:r>
      <w:r>
        <w:rPr>
          <w:noProof/>
        </w:rPr>
        <w:fldChar w:fldCharType="end"/>
      </w:r>
    </w:p>
    <w:p w14:paraId="01B0EEB8" w14:textId="3151C835"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t>6.1.3.</w:t>
      </w:r>
      <w:r>
        <w:rPr>
          <w:rFonts w:eastAsiaTheme="minorEastAsia" w:cstheme="minorBidi"/>
          <w:noProof/>
          <w:color w:val="auto"/>
          <w:kern w:val="2"/>
          <w:sz w:val="24"/>
          <w:lang w:eastAsia="en-AU"/>
          <w14:ligatures w14:val="standardContextual"/>
        </w:rPr>
        <w:tab/>
      </w:r>
      <w:r>
        <w:rPr>
          <w:noProof/>
        </w:rPr>
        <w:t>Unaccounted for energy</w:t>
      </w:r>
      <w:r>
        <w:rPr>
          <w:noProof/>
        </w:rPr>
        <w:tab/>
      </w:r>
      <w:r>
        <w:rPr>
          <w:noProof/>
        </w:rPr>
        <w:fldChar w:fldCharType="begin"/>
      </w:r>
      <w:r>
        <w:rPr>
          <w:noProof/>
        </w:rPr>
        <w:instrText xml:space="preserve"> PAGEREF _Toc235706329 \h </w:instrText>
      </w:r>
      <w:r>
        <w:rPr>
          <w:noProof/>
        </w:rPr>
      </w:r>
      <w:r>
        <w:rPr>
          <w:noProof/>
        </w:rPr>
        <w:fldChar w:fldCharType="separate"/>
      </w:r>
      <w:r>
        <w:rPr>
          <w:noProof/>
        </w:rPr>
        <w:t>31</w:t>
      </w:r>
      <w:r>
        <w:rPr>
          <w:noProof/>
        </w:rPr>
        <w:fldChar w:fldCharType="end"/>
      </w:r>
    </w:p>
    <w:p w14:paraId="7BC2BF77" w14:textId="587EBE52"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bCs/>
          <w:noProof/>
        </w:rPr>
        <w:t>Example: Reporting scope 2 emissions based on an electricity bill that includes UFE</w:t>
      </w:r>
      <w:r>
        <w:rPr>
          <w:noProof/>
        </w:rPr>
        <w:tab/>
      </w:r>
      <w:r>
        <w:rPr>
          <w:noProof/>
        </w:rPr>
        <w:fldChar w:fldCharType="begin"/>
      </w:r>
      <w:r>
        <w:rPr>
          <w:noProof/>
        </w:rPr>
        <w:instrText xml:space="preserve"> PAGEREF _Toc235706330 \h </w:instrText>
      </w:r>
      <w:r>
        <w:rPr>
          <w:noProof/>
        </w:rPr>
      </w:r>
      <w:r>
        <w:rPr>
          <w:noProof/>
        </w:rPr>
        <w:fldChar w:fldCharType="separate"/>
      </w:r>
      <w:r>
        <w:rPr>
          <w:noProof/>
        </w:rPr>
        <w:t>33</w:t>
      </w:r>
      <w:r>
        <w:rPr>
          <w:noProof/>
        </w:rPr>
        <w:fldChar w:fldCharType="end"/>
      </w:r>
    </w:p>
    <w:p w14:paraId="79382207" w14:textId="0274E6CC"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6.2.</w:t>
      </w:r>
      <w:r>
        <w:rPr>
          <w:rFonts w:eastAsiaTheme="minorEastAsia" w:cstheme="minorBidi"/>
          <w:noProof/>
          <w:color w:val="auto"/>
          <w:kern w:val="2"/>
          <w:sz w:val="24"/>
          <w:lang w:eastAsia="en-AU"/>
          <w14:ligatures w14:val="standardContextual"/>
        </w:rPr>
        <w:tab/>
      </w:r>
      <w:r>
        <w:rPr>
          <w:noProof/>
        </w:rPr>
        <w:t>Methods for estimating scope 2 emissions</w:t>
      </w:r>
      <w:r>
        <w:rPr>
          <w:noProof/>
        </w:rPr>
        <w:tab/>
      </w:r>
      <w:r>
        <w:rPr>
          <w:noProof/>
        </w:rPr>
        <w:fldChar w:fldCharType="begin"/>
      </w:r>
      <w:r>
        <w:rPr>
          <w:noProof/>
        </w:rPr>
        <w:instrText xml:space="preserve"> PAGEREF _Toc235706331 \h </w:instrText>
      </w:r>
      <w:r>
        <w:rPr>
          <w:noProof/>
        </w:rPr>
      </w:r>
      <w:r>
        <w:rPr>
          <w:noProof/>
        </w:rPr>
        <w:fldChar w:fldCharType="separate"/>
      </w:r>
      <w:r>
        <w:rPr>
          <w:noProof/>
        </w:rPr>
        <w:t>33</w:t>
      </w:r>
      <w:r>
        <w:rPr>
          <w:noProof/>
        </w:rPr>
        <w:fldChar w:fldCharType="end"/>
      </w:r>
    </w:p>
    <w:p w14:paraId="797E69BD" w14:textId="3A9BFF95"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t>6.2.1.</w:t>
      </w:r>
      <w:r>
        <w:rPr>
          <w:rFonts w:eastAsiaTheme="minorEastAsia" w:cstheme="minorBidi"/>
          <w:noProof/>
          <w:color w:val="auto"/>
          <w:kern w:val="2"/>
          <w:sz w:val="24"/>
          <w:lang w:eastAsia="en-AU"/>
          <w14:ligatures w14:val="standardContextual"/>
        </w:rPr>
        <w:tab/>
      </w:r>
      <w:r>
        <w:rPr>
          <w:noProof/>
        </w:rPr>
        <w:t>Mandatory location-based methods for estimating scope 2 emissions</w:t>
      </w:r>
      <w:r>
        <w:rPr>
          <w:noProof/>
        </w:rPr>
        <w:tab/>
      </w:r>
      <w:r>
        <w:rPr>
          <w:noProof/>
        </w:rPr>
        <w:fldChar w:fldCharType="begin"/>
      </w:r>
      <w:r>
        <w:rPr>
          <w:noProof/>
        </w:rPr>
        <w:instrText xml:space="preserve"> PAGEREF _Toc235706332 \h </w:instrText>
      </w:r>
      <w:r>
        <w:rPr>
          <w:noProof/>
        </w:rPr>
      </w:r>
      <w:r>
        <w:rPr>
          <w:noProof/>
        </w:rPr>
        <w:fldChar w:fldCharType="separate"/>
      </w:r>
      <w:r>
        <w:rPr>
          <w:noProof/>
        </w:rPr>
        <w:t>34</w:t>
      </w:r>
      <w:r>
        <w:rPr>
          <w:noProof/>
        </w:rPr>
        <w:fldChar w:fldCharType="end"/>
      </w:r>
    </w:p>
    <w:p w14:paraId="01AB79F7" w14:textId="1FD2F25D"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Cs/>
          <w:noProof/>
        </w:rPr>
        <w:t xml:space="preserve">Emission factors for </w:t>
      </w:r>
      <w:r>
        <w:rPr>
          <w:noProof/>
        </w:rPr>
        <w:t>electricity from the main electricity grid (Method A1)</w:t>
      </w:r>
      <w:r>
        <w:rPr>
          <w:noProof/>
        </w:rPr>
        <w:tab/>
      </w:r>
      <w:r>
        <w:rPr>
          <w:noProof/>
        </w:rPr>
        <w:fldChar w:fldCharType="begin"/>
      </w:r>
      <w:r>
        <w:rPr>
          <w:noProof/>
        </w:rPr>
        <w:instrText xml:space="preserve"> PAGEREF _Toc235706333 \h </w:instrText>
      </w:r>
      <w:r>
        <w:rPr>
          <w:noProof/>
        </w:rPr>
      </w:r>
      <w:r>
        <w:rPr>
          <w:noProof/>
        </w:rPr>
        <w:fldChar w:fldCharType="separate"/>
      </w:r>
      <w:r>
        <w:rPr>
          <w:noProof/>
        </w:rPr>
        <w:t>35</w:t>
      </w:r>
      <w:r>
        <w:rPr>
          <w:noProof/>
        </w:rPr>
        <w:fldChar w:fldCharType="end"/>
      </w:r>
    </w:p>
    <w:p w14:paraId="2A72A76A" w14:textId="31EF161B"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Pr>
          <w:noProof/>
        </w:rPr>
        <w:t>Emission factors for electricity from other sources (Method A2)</w:t>
      </w:r>
      <w:r>
        <w:rPr>
          <w:noProof/>
        </w:rPr>
        <w:tab/>
      </w:r>
      <w:r>
        <w:rPr>
          <w:noProof/>
        </w:rPr>
        <w:fldChar w:fldCharType="begin"/>
      </w:r>
      <w:r>
        <w:rPr>
          <w:noProof/>
        </w:rPr>
        <w:instrText xml:space="preserve"> PAGEREF _Toc235706334 \h </w:instrText>
      </w:r>
      <w:r>
        <w:rPr>
          <w:noProof/>
        </w:rPr>
      </w:r>
      <w:r>
        <w:rPr>
          <w:noProof/>
        </w:rPr>
        <w:fldChar w:fldCharType="separate"/>
      </w:r>
      <w:r>
        <w:rPr>
          <w:noProof/>
        </w:rPr>
        <w:t>35</w:t>
      </w:r>
      <w:r>
        <w:rPr>
          <w:noProof/>
        </w:rPr>
        <w:fldChar w:fldCharType="end"/>
      </w:r>
    </w:p>
    <w:p w14:paraId="0B8D4735" w14:textId="104F163E"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Pr>
          <w:noProof/>
        </w:rPr>
        <w:t>Information for electricity suppliers</w:t>
      </w:r>
      <w:r>
        <w:rPr>
          <w:noProof/>
        </w:rPr>
        <w:tab/>
      </w:r>
      <w:r>
        <w:rPr>
          <w:noProof/>
        </w:rPr>
        <w:fldChar w:fldCharType="begin"/>
      </w:r>
      <w:r>
        <w:rPr>
          <w:noProof/>
        </w:rPr>
        <w:instrText xml:space="preserve"> PAGEREF _Toc235706335 \h </w:instrText>
      </w:r>
      <w:r>
        <w:rPr>
          <w:noProof/>
        </w:rPr>
      </w:r>
      <w:r>
        <w:rPr>
          <w:noProof/>
        </w:rPr>
        <w:fldChar w:fldCharType="separate"/>
      </w:r>
      <w:r>
        <w:rPr>
          <w:noProof/>
        </w:rPr>
        <w:t>35</w:t>
      </w:r>
      <w:r>
        <w:rPr>
          <w:noProof/>
        </w:rPr>
        <w:fldChar w:fldCharType="end"/>
      </w:r>
    </w:p>
    <w:p w14:paraId="45F1817D" w14:textId="5472B6E0"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Pr>
          <w:noProof/>
        </w:rPr>
        <w:t>Matters to be Identified for electricity purchased, acquired or lost from other sources</w:t>
      </w:r>
      <w:r>
        <w:rPr>
          <w:noProof/>
        </w:rPr>
        <w:tab/>
      </w:r>
      <w:r>
        <w:rPr>
          <w:noProof/>
        </w:rPr>
        <w:fldChar w:fldCharType="begin"/>
      </w:r>
      <w:r>
        <w:rPr>
          <w:noProof/>
        </w:rPr>
        <w:instrText xml:space="preserve"> PAGEREF _Toc235706336 \h </w:instrText>
      </w:r>
      <w:r>
        <w:rPr>
          <w:noProof/>
        </w:rPr>
      </w:r>
      <w:r>
        <w:rPr>
          <w:noProof/>
        </w:rPr>
        <w:fldChar w:fldCharType="separate"/>
      </w:r>
      <w:r>
        <w:rPr>
          <w:noProof/>
        </w:rPr>
        <w:t>36</w:t>
      </w:r>
      <w:r>
        <w:rPr>
          <w:noProof/>
        </w:rPr>
        <w:fldChar w:fldCharType="end"/>
      </w:r>
    </w:p>
    <w:p w14:paraId="5D016BF4" w14:textId="25E4246F"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t>6.2.2.</w:t>
      </w:r>
      <w:r>
        <w:rPr>
          <w:rFonts w:eastAsiaTheme="minorEastAsia" w:cstheme="minorBidi"/>
          <w:noProof/>
          <w:color w:val="auto"/>
          <w:kern w:val="2"/>
          <w:sz w:val="24"/>
          <w:lang w:eastAsia="en-AU"/>
          <w14:ligatures w14:val="standardContextual"/>
        </w:rPr>
        <w:tab/>
      </w:r>
      <w:r>
        <w:rPr>
          <w:noProof/>
        </w:rPr>
        <w:t>Voluntary market-based method for estimating scope 2 emissions</w:t>
      </w:r>
      <w:r>
        <w:rPr>
          <w:noProof/>
        </w:rPr>
        <w:tab/>
      </w:r>
      <w:r>
        <w:rPr>
          <w:noProof/>
        </w:rPr>
        <w:fldChar w:fldCharType="begin"/>
      </w:r>
      <w:r>
        <w:rPr>
          <w:noProof/>
        </w:rPr>
        <w:instrText xml:space="preserve"> PAGEREF _Toc235706337 \h </w:instrText>
      </w:r>
      <w:r>
        <w:rPr>
          <w:noProof/>
        </w:rPr>
      </w:r>
      <w:r>
        <w:rPr>
          <w:noProof/>
        </w:rPr>
        <w:fldChar w:fldCharType="separate"/>
      </w:r>
      <w:r>
        <w:rPr>
          <w:noProof/>
        </w:rPr>
        <w:t>36</w:t>
      </w:r>
      <w:r>
        <w:rPr>
          <w:noProof/>
        </w:rPr>
        <w:fldChar w:fldCharType="end"/>
      </w:r>
    </w:p>
    <w:p w14:paraId="1A975DCA" w14:textId="5AAFA8F0"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6.3.</w:t>
      </w:r>
      <w:r>
        <w:rPr>
          <w:rFonts w:eastAsiaTheme="minorEastAsia" w:cstheme="minorBidi"/>
          <w:noProof/>
          <w:color w:val="auto"/>
          <w:kern w:val="2"/>
          <w:sz w:val="24"/>
          <w:lang w:eastAsia="en-AU"/>
          <w14:ligatures w14:val="standardContextual"/>
        </w:rPr>
        <w:tab/>
      </w:r>
      <w:r>
        <w:rPr>
          <w:noProof/>
        </w:rPr>
        <w:t>Reporting scope 2 emissions in EERS</w:t>
      </w:r>
      <w:r>
        <w:rPr>
          <w:noProof/>
        </w:rPr>
        <w:tab/>
      </w:r>
      <w:r>
        <w:rPr>
          <w:noProof/>
        </w:rPr>
        <w:fldChar w:fldCharType="begin"/>
      </w:r>
      <w:r>
        <w:rPr>
          <w:noProof/>
        </w:rPr>
        <w:instrText xml:space="preserve"> PAGEREF _Toc235706338 \h </w:instrText>
      </w:r>
      <w:r>
        <w:rPr>
          <w:noProof/>
        </w:rPr>
      </w:r>
      <w:r>
        <w:rPr>
          <w:noProof/>
        </w:rPr>
        <w:fldChar w:fldCharType="separate"/>
      </w:r>
      <w:r>
        <w:rPr>
          <w:noProof/>
        </w:rPr>
        <w:t>37</w:t>
      </w:r>
      <w:r>
        <w:rPr>
          <w:noProof/>
        </w:rPr>
        <w:fldChar w:fldCharType="end"/>
      </w:r>
    </w:p>
    <w:p w14:paraId="3BF5C24F" w14:textId="74CB7E55"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6.4.</w:t>
      </w:r>
      <w:r>
        <w:rPr>
          <w:rFonts w:eastAsiaTheme="minorEastAsia" w:cstheme="minorBidi"/>
          <w:noProof/>
          <w:color w:val="auto"/>
          <w:kern w:val="2"/>
          <w:sz w:val="24"/>
          <w:lang w:eastAsia="en-AU"/>
          <w14:ligatures w14:val="standardContextual"/>
        </w:rPr>
        <w:tab/>
      </w:r>
      <w:r>
        <w:rPr>
          <w:noProof/>
        </w:rPr>
        <w:t>Evidence to keep for scope 2 emissions estimates</w:t>
      </w:r>
      <w:r>
        <w:rPr>
          <w:noProof/>
        </w:rPr>
        <w:tab/>
      </w:r>
      <w:r>
        <w:rPr>
          <w:noProof/>
        </w:rPr>
        <w:fldChar w:fldCharType="begin"/>
      </w:r>
      <w:r>
        <w:rPr>
          <w:noProof/>
        </w:rPr>
        <w:instrText xml:space="preserve"> PAGEREF _Toc235706339 \h </w:instrText>
      </w:r>
      <w:r>
        <w:rPr>
          <w:noProof/>
        </w:rPr>
      </w:r>
      <w:r>
        <w:rPr>
          <w:noProof/>
        </w:rPr>
        <w:fldChar w:fldCharType="separate"/>
      </w:r>
      <w:r>
        <w:rPr>
          <w:noProof/>
        </w:rPr>
        <w:t>38</w:t>
      </w:r>
      <w:r>
        <w:rPr>
          <w:noProof/>
        </w:rPr>
        <w:fldChar w:fldCharType="end"/>
      </w:r>
    </w:p>
    <w:p w14:paraId="5E2C25D1" w14:textId="3890FF60"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7.</w:t>
      </w:r>
      <w:r>
        <w:rPr>
          <w:rFonts w:eastAsiaTheme="minorEastAsia" w:cstheme="minorBidi"/>
          <w:b w:val="0"/>
          <w:noProof/>
          <w:color w:val="auto"/>
          <w:kern w:val="2"/>
          <w:sz w:val="24"/>
          <w:lang w:eastAsia="en-AU"/>
          <w14:ligatures w14:val="standardContextual"/>
        </w:rPr>
        <w:tab/>
      </w:r>
      <w:r w:rsidRPr="00E96BC4">
        <w:rPr>
          <w:noProof/>
          <w:lang w:val="en-GB"/>
        </w:rPr>
        <w:t>Electricity production and consumption</w:t>
      </w:r>
      <w:r>
        <w:rPr>
          <w:noProof/>
        </w:rPr>
        <w:tab/>
      </w:r>
      <w:r>
        <w:rPr>
          <w:noProof/>
        </w:rPr>
        <w:fldChar w:fldCharType="begin"/>
      </w:r>
      <w:r>
        <w:rPr>
          <w:noProof/>
        </w:rPr>
        <w:instrText xml:space="preserve"> PAGEREF _Toc235706340 \h </w:instrText>
      </w:r>
      <w:r>
        <w:rPr>
          <w:noProof/>
        </w:rPr>
      </w:r>
      <w:r>
        <w:rPr>
          <w:noProof/>
        </w:rPr>
        <w:fldChar w:fldCharType="separate"/>
      </w:r>
      <w:r>
        <w:rPr>
          <w:noProof/>
        </w:rPr>
        <w:t>38</w:t>
      </w:r>
      <w:r>
        <w:rPr>
          <w:noProof/>
        </w:rPr>
        <w:fldChar w:fldCharType="end"/>
      </w:r>
    </w:p>
    <w:p w14:paraId="5EB3A9F3" w14:textId="3463F46C"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7.1.</w:t>
      </w:r>
      <w:r>
        <w:rPr>
          <w:rFonts w:eastAsiaTheme="minorEastAsia" w:cstheme="minorBidi"/>
          <w:noProof/>
          <w:color w:val="auto"/>
          <w:kern w:val="2"/>
          <w:sz w:val="24"/>
          <w:lang w:eastAsia="en-AU"/>
          <w14:ligatures w14:val="standardContextual"/>
        </w:rPr>
        <w:tab/>
      </w:r>
      <w:r>
        <w:rPr>
          <w:noProof/>
        </w:rPr>
        <w:t>Energy as a fuel or energy commodity</w:t>
      </w:r>
      <w:r>
        <w:rPr>
          <w:noProof/>
        </w:rPr>
        <w:tab/>
      </w:r>
      <w:r>
        <w:rPr>
          <w:noProof/>
        </w:rPr>
        <w:fldChar w:fldCharType="begin"/>
      </w:r>
      <w:r>
        <w:rPr>
          <w:noProof/>
        </w:rPr>
        <w:instrText xml:space="preserve"> PAGEREF _Toc235706341 \h </w:instrText>
      </w:r>
      <w:r>
        <w:rPr>
          <w:noProof/>
        </w:rPr>
      </w:r>
      <w:r>
        <w:rPr>
          <w:noProof/>
        </w:rPr>
        <w:fldChar w:fldCharType="separate"/>
      </w:r>
      <w:r>
        <w:rPr>
          <w:noProof/>
        </w:rPr>
        <w:t>38</w:t>
      </w:r>
      <w:r>
        <w:rPr>
          <w:noProof/>
        </w:rPr>
        <w:fldChar w:fldCharType="end"/>
      </w:r>
    </w:p>
    <w:p w14:paraId="2D8BC61D" w14:textId="3D87E3F6"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bCs/>
          <w:noProof/>
        </w:rPr>
        <w:t>Example: Energy production and consumption from a gas-fired power station</w:t>
      </w:r>
      <w:r>
        <w:rPr>
          <w:noProof/>
        </w:rPr>
        <w:tab/>
      </w:r>
      <w:r>
        <w:rPr>
          <w:noProof/>
        </w:rPr>
        <w:fldChar w:fldCharType="begin"/>
      </w:r>
      <w:r>
        <w:rPr>
          <w:noProof/>
        </w:rPr>
        <w:instrText xml:space="preserve"> PAGEREF _Toc235706342 \h </w:instrText>
      </w:r>
      <w:r>
        <w:rPr>
          <w:noProof/>
        </w:rPr>
      </w:r>
      <w:r>
        <w:rPr>
          <w:noProof/>
        </w:rPr>
        <w:fldChar w:fldCharType="separate"/>
      </w:r>
      <w:r>
        <w:rPr>
          <w:noProof/>
        </w:rPr>
        <w:t>39</w:t>
      </w:r>
      <w:r>
        <w:rPr>
          <w:noProof/>
        </w:rPr>
        <w:fldChar w:fldCharType="end"/>
      </w:r>
    </w:p>
    <w:p w14:paraId="663C2385" w14:textId="5E62643B"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7.2.</w:t>
      </w:r>
      <w:r>
        <w:rPr>
          <w:rFonts w:eastAsiaTheme="minorEastAsia" w:cstheme="minorBidi"/>
          <w:noProof/>
          <w:color w:val="auto"/>
          <w:kern w:val="2"/>
          <w:sz w:val="24"/>
          <w:lang w:eastAsia="en-AU"/>
          <w14:ligatures w14:val="standardContextual"/>
        </w:rPr>
        <w:tab/>
      </w:r>
      <w:r>
        <w:rPr>
          <w:noProof/>
        </w:rPr>
        <w:t>Estimating energy production and consumption</w:t>
      </w:r>
      <w:r>
        <w:rPr>
          <w:noProof/>
        </w:rPr>
        <w:tab/>
      </w:r>
      <w:r>
        <w:rPr>
          <w:noProof/>
        </w:rPr>
        <w:fldChar w:fldCharType="begin"/>
      </w:r>
      <w:r>
        <w:rPr>
          <w:noProof/>
        </w:rPr>
        <w:instrText xml:space="preserve"> PAGEREF _Toc235706343 \h </w:instrText>
      </w:r>
      <w:r>
        <w:rPr>
          <w:noProof/>
        </w:rPr>
      </w:r>
      <w:r>
        <w:rPr>
          <w:noProof/>
        </w:rPr>
        <w:fldChar w:fldCharType="separate"/>
      </w:r>
      <w:r>
        <w:rPr>
          <w:noProof/>
        </w:rPr>
        <w:t>39</w:t>
      </w:r>
      <w:r>
        <w:rPr>
          <w:noProof/>
        </w:rPr>
        <w:fldChar w:fldCharType="end"/>
      </w:r>
    </w:p>
    <w:p w14:paraId="2C2B8F1E" w14:textId="09EDAB15"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7.3.</w:t>
      </w:r>
      <w:r>
        <w:rPr>
          <w:rFonts w:eastAsiaTheme="minorEastAsia" w:cstheme="minorBidi"/>
          <w:noProof/>
          <w:color w:val="auto"/>
          <w:kern w:val="2"/>
          <w:sz w:val="24"/>
          <w:lang w:eastAsia="en-AU"/>
          <w14:ligatures w14:val="standardContextual"/>
        </w:rPr>
        <w:tab/>
      </w:r>
      <w:r>
        <w:rPr>
          <w:noProof/>
        </w:rPr>
        <w:t>Electricity production and consumption</w:t>
      </w:r>
      <w:r>
        <w:rPr>
          <w:noProof/>
        </w:rPr>
        <w:tab/>
      </w:r>
      <w:r>
        <w:rPr>
          <w:noProof/>
        </w:rPr>
        <w:fldChar w:fldCharType="begin"/>
      </w:r>
      <w:r>
        <w:rPr>
          <w:noProof/>
        </w:rPr>
        <w:instrText xml:space="preserve"> PAGEREF _Toc235706344 \h </w:instrText>
      </w:r>
      <w:r>
        <w:rPr>
          <w:noProof/>
        </w:rPr>
      </w:r>
      <w:r>
        <w:rPr>
          <w:noProof/>
        </w:rPr>
        <w:fldChar w:fldCharType="separate"/>
      </w:r>
      <w:r>
        <w:rPr>
          <w:noProof/>
        </w:rPr>
        <w:t>39</w:t>
      </w:r>
      <w:r>
        <w:rPr>
          <w:noProof/>
        </w:rPr>
        <w:fldChar w:fldCharType="end"/>
      </w:r>
    </w:p>
    <w:p w14:paraId="1E1E37A9" w14:textId="2192791B"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noProof/>
          <w:color w:val="auto"/>
        </w:rPr>
        <w:t xml:space="preserve">Example: </w:t>
      </w:r>
      <w:r w:rsidRPr="00E96BC4">
        <w:rPr>
          <w:b/>
          <w:bCs/>
          <w:noProof/>
        </w:rPr>
        <w:t>Electricity threshold</w:t>
      </w:r>
      <w:r>
        <w:rPr>
          <w:noProof/>
        </w:rPr>
        <w:tab/>
      </w:r>
      <w:r>
        <w:rPr>
          <w:noProof/>
        </w:rPr>
        <w:fldChar w:fldCharType="begin"/>
      </w:r>
      <w:r>
        <w:rPr>
          <w:noProof/>
        </w:rPr>
        <w:instrText xml:space="preserve"> PAGEREF _Toc235706345 \h </w:instrText>
      </w:r>
      <w:r>
        <w:rPr>
          <w:noProof/>
        </w:rPr>
      </w:r>
      <w:r>
        <w:rPr>
          <w:noProof/>
        </w:rPr>
        <w:fldChar w:fldCharType="separate"/>
      </w:r>
      <w:r>
        <w:rPr>
          <w:noProof/>
        </w:rPr>
        <w:t>41</w:t>
      </w:r>
      <w:r>
        <w:rPr>
          <w:noProof/>
        </w:rPr>
        <w:fldChar w:fldCharType="end"/>
      </w:r>
    </w:p>
    <w:p w14:paraId="084A05FF" w14:textId="32DD2631"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7.3.1.</w:t>
      </w:r>
      <w:r>
        <w:rPr>
          <w:rFonts w:eastAsiaTheme="minorEastAsia" w:cstheme="minorBidi"/>
          <w:noProof/>
          <w:color w:val="auto"/>
          <w:kern w:val="2"/>
          <w:sz w:val="24"/>
          <w:lang w:eastAsia="en-AU"/>
          <w14:ligatures w14:val="standardContextual"/>
        </w:rPr>
        <w:tab/>
      </w:r>
      <w:r w:rsidRPr="00E96BC4">
        <w:rPr>
          <w:noProof/>
          <w:lang w:val="en-GB"/>
        </w:rPr>
        <w:t>Quantifying electricity consumption</w:t>
      </w:r>
      <w:r>
        <w:rPr>
          <w:noProof/>
        </w:rPr>
        <w:tab/>
      </w:r>
      <w:r>
        <w:rPr>
          <w:noProof/>
        </w:rPr>
        <w:fldChar w:fldCharType="begin"/>
      </w:r>
      <w:r>
        <w:rPr>
          <w:noProof/>
        </w:rPr>
        <w:instrText xml:space="preserve"> PAGEREF _Toc235706346 \h </w:instrText>
      </w:r>
      <w:r>
        <w:rPr>
          <w:noProof/>
        </w:rPr>
      </w:r>
      <w:r>
        <w:rPr>
          <w:noProof/>
        </w:rPr>
        <w:fldChar w:fldCharType="separate"/>
      </w:r>
      <w:r>
        <w:rPr>
          <w:noProof/>
        </w:rPr>
        <w:t>41</w:t>
      </w:r>
      <w:r>
        <w:rPr>
          <w:noProof/>
        </w:rPr>
        <w:fldChar w:fldCharType="end"/>
      </w:r>
    </w:p>
    <w:p w14:paraId="1AD4B293" w14:textId="7F60C906"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bCs/>
          <w:noProof/>
        </w:rPr>
        <w:t>Example: Quantifying electricity consumption at a hydro power plant</w:t>
      </w:r>
      <w:r>
        <w:rPr>
          <w:noProof/>
        </w:rPr>
        <w:tab/>
      </w:r>
      <w:r>
        <w:rPr>
          <w:noProof/>
        </w:rPr>
        <w:fldChar w:fldCharType="begin"/>
      </w:r>
      <w:r>
        <w:rPr>
          <w:noProof/>
        </w:rPr>
        <w:instrText xml:space="preserve"> PAGEREF _Toc235706347 \h </w:instrText>
      </w:r>
      <w:r>
        <w:rPr>
          <w:noProof/>
        </w:rPr>
      </w:r>
      <w:r>
        <w:rPr>
          <w:noProof/>
        </w:rPr>
        <w:fldChar w:fldCharType="separate"/>
      </w:r>
      <w:r>
        <w:rPr>
          <w:noProof/>
        </w:rPr>
        <w:t>42</w:t>
      </w:r>
      <w:r>
        <w:rPr>
          <w:noProof/>
        </w:rPr>
        <w:fldChar w:fldCharType="end"/>
      </w:r>
    </w:p>
    <w:p w14:paraId="6CD367F3" w14:textId="6B9278A9"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7.3.2.</w:t>
      </w:r>
      <w:r>
        <w:rPr>
          <w:rFonts w:eastAsiaTheme="minorEastAsia" w:cstheme="minorBidi"/>
          <w:noProof/>
          <w:color w:val="auto"/>
          <w:kern w:val="2"/>
          <w:sz w:val="24"/>
          <w:lang w:eastAsia="en-AU"/>
          <w14:ligatures w14:val="standardContextual"/>
        </w:rPr>
        <w:tab/>
      </w:r>
      <w:r w:rsidRPr="00E96BC4">
        <w:rPr>
          <w:noProof/>
          <w:lang w:val="en-GB"/>
        </w:rPr>
        <w:t>Quantifying electricity production</w:t>
      </w:r>
      <w:r>
        <w:rPr>
          <w:noProof/>
        </w:rPr>
        <w:tab/>
      </w:r>
      <w:r>
        <w:rPr>
          <w:noProof/>
        </w:rPr>
        <w:fldChar w:fldCharType="begin"/>
      </w:r>
      <w:r>
        <w:rPr>
          <w:noProof/>
        </w:rPr>
        <w:instrText xml:space="preserve"> PAGEREF _Toc235706348 \h </w:instrText>
      </w:r>
      <w:r>
        <w:rPr>
          <w:noProof/>
        </w:rPr>
      </w:r>
      <w:r>
        <w:rPr>
          <w:noProof/>
        </w:rPr>
        <w:fldChar w:fldCharType="separate"/>
      </w:r>
      <w:r>
        <w:rPr>
          <w:noProof/>
        </w:rPr>
        <w:t>42</w:t>
      </w:r>
      <w:r>
        <w:rPr>
          <w:noProof/>
        </w:rPr>
        <w:fldChar w:fldCharType="end"/>
      </w:r>
    </w:p>
    <w:p w14:paraId="0547B81D" w14:textId="4553E86F" w:rsidR="00397F81" w:rsidRDefault="00397F81">
      <w:pPr>
        <w:pStyle w:val="TOC4"/>
        <w:rPr>
          <w:rFonts w:eastAsiaTheme="minorEastAsia" w:cstheme="minorBidi"/>
          <w:noProof/>
          <w:color w:val="auto"/>
          <w:kern w:val="2"/>
          <w:sz w:val="24"/>
          <w:lang w:eastAsia="en-AU"/>
          <w14:ligatures w14:val="standardContextual"/>
        </w:rPr>
      </w:pPr>
      <w:r>
        <w:rPr>
          <w:noProof/>
        </w:rPr>
        <w:t>Reporting consumption and production of electricity for use onsite in EERS</w:t>
      </w:r>
      <w:r>
        <w:rPr>
          <w:noProof/>
        </w:rPr>
        <w:tab/>
      </w:r>
      <w:r>
        <w:rPr>
          <w:noProof/>
        </w:rPr>
        <w:fldChar w:fldCharType="begin"/>
      </w:r>
      <w:r>
        <w:rPr>
          <w:noProof/>
        </w:rPr>
        <w:instrText xml:space="preserve"> PAGEREF _Toc235706349 \h </w:instrText>
      </w:r>
      <w:r>
        <w:rPr>
          <w:noProof/>
        </w:rPr>
      </w:r>
      <w:r>
        <w:rPr>
          <w:noProof/>
        </w:rPr>
        <w:fldChar w:fldCharType="separate"/>
      </w:r>
      <w:r>
        <w:rPr>
          <w:noProof/>
        </w:rPr>
        <w:t>43</w:t>
      </w:r>
      <w:r>
        <w:rPr>
          <w:noProof/>
        </w:rPr>
        <w:fldChar w:fldCharType="end"/>
      </w:r>
    </w:p>
    <w:p w14:paraId="2B6ED421" w14:textId="4FE13F57"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Pr>
          <w:noProof/>
        </w:rPr>
        <w:t>Example: Reporting consumption and production of fossil fuel-derived electricity for use onsite in EERS</w:t>
      </w:r>
      <w:r>
        <w:rPr>
          <w:noProof/>
        </w:rPr>
        <w:tab/>
      </w:r>
      <w:r>
        <w:rPr>
          <w:noProof/>
        </w:rPr>
        <w:fldChar w:fldCharType="begin"/>
      </w:r>
      <w:r>
        <w:rPr>
          <w:noProof/>
        </w:rPr>
        <w:instrText xml:space="preserve"> PAGEREF _Toc235706350 \h </w:instrText>
      </w:r>
      <w:r>
        <w:rPr>
          <w:noProof/>
        </w:rPr>
      </w:r>
      <w:r>
        <w:rPr>
          <w:noProof/>
        </w:rPr>
        <w:fldChar w:fldCharType="separate"/>
      </w:r>
      <w:r>
        <w:rPr>
          <w:noProof/>
        </w:rPr>
        <w:t>44</w:t>
      </w:r>
      <w:r>
        <w:rPr>
          <w:noProof/>
        </w:rPr>
        <w:fldChar w:fldCharType="end"/>
      </w:r>
    </w:p>
    <w:p w14:paraId="55CCB42E" w14:textId="51C27BFF" w:rsidR="00397F81" w:rsidRDefault="00397F81">
      <w:pPr>
        <w:pStyle w:val="TOC4"/>
        <w:rPr>
          <w:rFonts w:eastAsiaTheme="minorEastAsia" w:cstheme="minorBidi"/>
          <w:noProof/>
          <w:color w:val="auto"/>
          <w:kern w:val="2"/>
          <w:sz w:val="24"/>
          <w:lang w:eastAsia="en-AU"/>
          <w14:ligatures w14:val="standardContextual"/>
        </w:rPr>
      </w:pPr>
      <w:r>
        <w:rPr>
          <w:noProof/>
        </w:rPr>
        <w:t>Measuring electricity production</w:t>
      </w:r>
      <w:r>
        <w:rPr>
          <w:noProof/>
        </w:rPr>
        <w:tab/>
      </w:r>
      <w:r>
        <w:rPr>
          <w:noProof/>
        </w:rPr>
        <w:fldChar w:fldCharType="begin"/>
      </w:r>
      <w:r>
        <w:rPr>
          <w:noProof/>
        </w:rPr>
        <w:instrText xml:space="preserve"> PAGEREF _Toc235706351 \h </w:instrText>
      </w:r>
      <w:r>
        <w:rPr>
          <w:noProof/>
        </w:rPr>
      </w:r>
      <w:r>
        <w:rPr>
          <w:noProof/>
        </w:rPr>
        <w:fldChar w:fldCharType="separate"/>
      </w:r>
      <w:r>
        <w:rPr>
          <w:noProof/>
        </w:rPr>
        <w:t>44</w:t>
      </w:r>
      <w:r>
        <w:rPr>
          <w:noProof/>
        </w:rPr>
        <w:fldChar w:fldCharType="end"/>
      </w:r>
    </w:p>
    <w:p w14:paraId="29291969" w14:textId="1D67F32A"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bCs/>
          <w:noProof/>
        </w:rPr>
        <w:t>Example: Quantifying electricity production at a gas-fired power plant</w:t>
      </w:r>
      <w:r>
        <w:rPr>
          <w:noProof/>
        </w:rPr>
        <w:tab/>
      </w:r>
      <w:r>
        <w:rPr>
          <w:noProof/>
        </w:rPr>
        <w:fldChar w:fldCharType="begin"/>
      </w:r>
      <w:r>
        <w:rPr>
          <w:noProof/>
        </w:rPr>
        <w:instrText xml:space="preserve"> PAGEREF _Toc235706352 \h </w:instrText>
      </w:r>
      <w:r>
        <w:rPr>
          <w:noProof/>
        </w:rPr>
      </w:r>
      <w:r>
        <w:rPr>
          <w:noProof/>
        </w:rPr>
        <w:fldChar w:fldCharType="separate"/>
      </w:r>
      <w:r>
        <w:rPr>
          <w:noProof/>
        </w:rPr>
        <w:t>45</w:t>
      </w:r>
      <w:r>
        <w:rPr>
          <w:noProof/>
        </w:rPr>
        <w:fldChar w:fldCharType="end"/>
      </w:r>
    </w:p>
    <w:p w14:paraId="28C09CAD" w14:textId="69851864"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7.3.3.</w:t>
      </w:r>
      <w:r>
        <w:rPr>
          <w:rFonts w:eastAsiaTheme="minorEastAsia" w:cstheme="minorBidi"/>
          <w:noProof/>
          <w:color w:val="auto"/>
          <w:kern w:val="2"/>
          <w:sz w:val="24"/>
          <w:lang w:eastAsia="en-AU"/>
          <w14:ligatures w14:val="standardContextual"/>
        </w:rPr>
        <w:tab/>
      </w:r>
      <w:r w:rsidRPr="00E96BC4">
        <w:rPr>
          <w:noProof/>
          <w:lang w:val="en-GB"/>
        </w:rPr>
        <w:t>Cogeneration</w:t>
      </w:r>
      <w:r>
        <w:rPr>
          <w:noProof/>
        </w:rPr>
        <w:tab/>
      </w:r>
      <w:r>
        <w:rPr>
          <w:noProof/>
        </w:rPr>
        <w:fldChar w:fldCharType="begin"/>
      </w:r>
      <w:r>
        <w:rPr>
          <w:noProof/>
        </w:rPr>
        <w:instrText xml:space="preserve"> PAGEREF _Toc235706353 \h </w:instrText>
      </w:r>
      <w:r>
        <w:rPr>
          <w:noProof/>
        </w:rPr>
      </w:r>
      <w:r>
        <w:rPr>
          <w:noProof/>
        </w:rPr>
        <w:fldChar w:fldCharType="separate"/>
      </w:r>
      <w:r>
        <w:rPr>
          <w:noProof/>
        </w:rPr>
        <w:t>45</w:t>
      </w:r>
      <w:r>
        <w:rPr>
          <w:noProof/>
        </w:rPr>
        <w:fldChar w:fldCharType="end"/>
      </w:r>
    </w:p>
    <w:p w14:paraId="00474FED" w14:textId="1DF1ADD8"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7.4.</w:t>
      </w:r>
      <w:r>
        <w:rPr>
          <w:rFonts w:eastAsiaTheme="minorEastAsia" w:cstheme="minorBidi"/>
          <w:noProof/>
          <w:color w:val="auto"/>
          <w:kern w:val="2"/>
          <w:sz w:val="24"/>
          <w:lang w:eastAsia="en-AU"/>
          <w14:ligatures w14:val="standardContextual"/>
        </w:rPr>
        <w:tab/>
      </w:r>
      <w:r>
        <w:rPr>
          <w:noProof/>
        </w:rPr>
        <w:t>Renewable energy commodity production and consumption</w:t>
      </w:r>
      <w:r>
        <w:rPr>
          <w:noProof/>
        </w:rPr>
        <w:tab/>
      </w:r>
      <w:r>
        <w:rPr>
          <w:noProof/>
        </w:rPr>
        <w:fldChar w:fldCharType="begin"/>
      </w:r>
      <w:r>
        <w:rPr>
          <w:noProof/>
        </w:rPr>
        <w:instrText xml:space="preserve"> PAGEREF _Toc235706354 \h </w:instrText>
      </w:r>
      <w:r>
        <w:rPr>
          <w:noProof/>
        </w:rPr>
      </w:r>
      <w:r>
        <w:rPr>
          <w:noProof/>
        </w:rPr>
        <w:fldChar w:fldCharType="separate"/>
      </w:r>
      <w:r>
        <w:rPr>
          <w:noProof/>
        </w:rPr>
        <w:t>46</w:t>
      </w:r>
      <w:r>
        <w:rPr>
          <w:noProof/>
        </w:rPr>
        <w:fldChar w:fldCharType="end"/>
      </w:r>
    </w:p>
    <w:p w14:paraId="4AD1D79E" w14:textId="2CF4DE92"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noProof/>
        </w:rPr>
        <w:t>Example: Consumption of a renewable energy commodity</w:t>
      </w:r>
      <w:r>
        <w:rPr>
          <w:noProof/>
        </w:rPr>
        <w:tab/>
      </w:r>
      <w:r>
        <w:rPr>
          <w:noProof/>
        </w:rPr>
        <w:fldChar w:fldCharType="begin"/>
      </w:r>
      <w:r>
        <w:rPr>
          <w:noProof/>
        </w:rPr>
        <w:instrText xml:space="preserve"> PAGEREF _Toc235706355 \h </w:instrText>
      </w:r>
      <w:r>
        <w:rPr>
          <w:noProof/>
        </w:rPr>
      </w:r>
      <w:r>
        <w:rPr>
          <w:noProof/>
        </w:rPr>
        <w:fldChar w:fldCharType="separate"/>
      </w:r>
      <w:r>
        <w:rPr>
          <w:noProof/>
        </w:rPr>
        <w:t>46</w:t>
      </w:r>
      <w:r>
        <w:rPr>
          <w:noProof/>
        </w:rPr>
        <w:fldChar w:fldCharType="end"/>
      </w:r>
    </w:p>
    <w:p w14:paraId="6F499BCB" w14:textId="5359F760" w:rsidR="00397F81" w:rsidRDefault="00397F81">
      <w:pPr>
        <w:pStyle w:val="TOC5"/>
        <w:tabs>
          <w:tab w:val="right" w:leader="dot" w:pos="9730"/>
        </w:tabs>
        <w:rPr>
          <w:rFonts w:eastAsiaTheme="minorEastAsia" w:cstheme="minorBidi"/>
          <w:noProof/>
          <w:color w:val="auto"/>
          <w:kern w:val="2"/>
          <w:sz w:val="24"/>
          <w:lang w:eastAsia="en-AU"/>
          <w14:ligatures w14:val="standardContextual"/>
        </w:rPr>
      </w:pPr>
      <w:r w:rsidRPr="00E96BC4">
        <w:rPr>
          <w:b/>
          <w:noProof/>
        </w:rPr>
        <w:t>Example: Reporting production of electricity from a renewable energy commodity</w:t>
      </w:r>
      <w:r>
        <w:rPr>
          <w:noProof/>
        </w:rPr>
        <w:tab/>
      </w:r>
      <w:r>
        <w:rPr>
          <w:noProof/>
        </w:rPr>
        <w:fldChar w:fldCharType="begin"/>
      </w:r>
      <w:r>
        <w:rPr>
          <w:noProof/>
        </w:rPr>
        <w:instrText xml:space="preserve"> PAGEREF _Toc235706356 \h </w:instrText>
      </w:r>
      <w:r>
        <w:rPr>
          <w:noProof/>
        </w:rPr>
      </w:r>
      <w:r>
        <w:rPr>
          <w:noProof/>
        </w:rPr>
        <w:fldChar w:fldCharType="separate"/>
      </w:r>
      <w:r>
        <w:rPr>
          <w:noProof/>
        </w:rPr>
        <w:t>47</w:t>
      </w:r>
      <w:r>
        <w:rPr>
          <w:noProof/>
        </w:rPr>
        <w:fldChar w:fldCharType="end"/>
      </w:r>
    </w:p>
    <w:p w14:paraId="75EAA956" w14:textId="28571219"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7.4.1.</w:t>
      </w:r>
      <w:r>
        <w:rPr>
          <w:rFonts w:eastAsiaTheme="minorEastAsia" w:cstheme="minorBidi"/>
          <w:noProof/>
          <w:color w:val="auto"/>
          <w:kern w:val="2"/>
          <w:sz w:val="24"/>
          <w:lang w:eastAsia="en-AU"/>
          <w14:ligatures w14:val="standardContextual"/>
        </w:rPr>
        <w:tab/>
      </w:r>
      <w:r w:rsidRPr="00E96BC4">
        <w:rPr>
          <w:noProof/>
          <w:lang w:val="en-GB"/>
        </w:rPr>
        <w:t>Reporting of NGER data alongside RET data</w:t>
      </w:r>
      <w:r>
        <w:rPr>
          <w:noProof/>
        </w:rPr>
        <w:tab/>
      </w:r>
      <w:r>
        <w:rPr>
          <w:noProof/>
        </w:rPr>
        <w:fldChar w:fldCharType="begin"/>
      </w:r>
      <w:r>
        <w:rPr>
          <w:noProof/>
        </w:rPr>
        <w:instrText xml:space="preserve"> PAGEREF _Toc235706357 \h </w:instrText>
      </w:r>
      <w:r>
        <w:rPr>
          <w:noProof/>
        </w:rPr>
      </w:r>
      <w:r>
        <w:rPr>
          <w:noProof/>
        </w:rPr>
        <w:fldChar w:fldCharType="separate"/>
      </w:r>
      <w:r>
        <w:rPr>
          <w:noProof/>
        </w:rPr>
        <w:t>47</w:t>
      </w:r>
      <w:r>
        <w:rPr>
          <w:noProof/>
        </w:rPr>
        <w:fldChar w:fldCharType="end"/>
      </w:r>
    </w:p>
    <w:p w14:paraId="466F4C57" w14:textId="46D3A769"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7.5.</w:t>
      </w:r>
      <w:r>
        <w:rPr>
          <w:rFonts w:eastAsiaTheme="minorEastAsia" w:cstheme="minorBidi"/>
          <w:noProof/>
          <w:color w:val="auto"/>
          <w:kern w:val="2"/>
          <w:sz w:val="24"/>
          <w:lang w:eastAsia="en-AU"/>
          <w14:ligatures w14:val="standardContextual"/>
        </w:rPr>
        <w:tab/>
      </w:r>
      <w:r>
        <w:rPr>
          <w:noProof/>
        </w:rPr>
        <w:t>Energy consumption from fuel use</w:t>
      </w:r>
      <w:r>
        <w:rPr>
          <w:noProof/>
        </w:rPr>
        <w:tab/>
      </w:r>
      <w:r>
        <w:rPr>
          <w:noProof/>
        </w:rPr>
        <w:fldChar w:fldCharType="begin"/>
      </w:r>
      <w:r>
        <w:rPr>
          <w:noProof/>
        </w:rPr>
        <w:instrText xml:space="preserve"> PAGEREF _Toc235706358 \h </w:instrText>
      </w:r>
      <w:r>
        <w:rPr>
          <w:noProof/>
        </w:rPr>
      </w:r>
      <w:r>
        <w:rPr>
          <w:noProof/>
        </w:rPr>
        <w:fldChar w:fldCharType="separate"/>
      </w:r>
      <w:r>
        <w:rPr>
          <w:noProof/>
        </w:rPr>
        <w:t>47</w:t>
      </w:r>
      <w:r>
        <w:rPr>
          <w:noProof/>
        </w:rPr>
        <w:fldChar w:fldCharType="end"/>
      </w:r>
    </w:p>
    <w:p w14:paraId="36D08870" w14:textId="29A79B2B" w:rsidR="00397F81" w:rsidRDefault="00397F81">
      <w:pPr>
        <w:pStyle w:val="TOC3"/>
        <w:tabs>
          <w:tab w:val="left" w:pos="1320"/>
        </w:tabs>
        <w:rPr>
          <w:rFonts w:eastAsiaTheme="minorEastAsia" w:cstheme="minorBidi"/>
          <w:noProof/>
          <w:color w:val="auto"/>
          <w:kern w:val="2"/>
          <w:sz w:val="24"/>
          <w:lang w:eastAsia="en-AU"/>
          <w14:ligatures w14:val="standardContextual"/>
        </w:rPr>
      </w:pPr>
      <w:r w:rsidRPr="00E96BC4">
        <w:rPr>
          <w:noProof/>
          <w:lang w:val="en-GB"/>
        </w:rPr>
        <w:t>7.5.1.</w:t>
      </w:r>
      <w:r>
        <w:rPr>
          <w:rFonts w:eastAsiaTheme="minorEastAsia" w:cstheme="minorBidi"/>
          <w:noProof/>
          <w:color w:val="auto"/>
          <w:kern w:val="2"/>
          <w:sz w:val="24"/>
          <w:lang w:eastAsia="en-AU"/>
          <w14:ligatures w14:val="standardContextual"/>
        </w:rPr>
        <w:tab/>
      </w:r>
      <w:r w:rsidRPr="00E96BC4">
        <w:rPr>
          <w:noProof/>
          <w:lang w:val="en-GB"/>
        </w:rPr>
        <w:t>Blended fuels and other fuel mixes</w:t>
      </w:r>
      <w:r>
        <w:rPr>
          <w:noProof/>
        </w:rPr>
        <w:tab/>
      </w:r>
      <w:r>
        <w:rPr>
          <w:noProof/>
        </w:rPr>
        <w:fldChar w:fldCharType="begin"/>
      </w:r>
      <w:r>
        <w:rPr>
          <w:noProof/>
        </w:rPr>
        <w:instrText xml:space="preserve"> PAGEREF _Toc235706359 \h </w:instrText>
      </w:r>
      <w:r>
        <w:rPr>
          <w:noProof/>
        </w:rPr>
      </w:r>
      <w:r>
        <w:rPr>
          <w:noProof/>
        </w:rPr>
        <w:fldChar w:fldCharType="separate"/>
      </w:r>
      <w:r>
        <w:rPr>
          <w:noProof/>
        </w:rPr>
        <w:t>48</w:t>
      </w:r>
      <w:r>
        <w:rPr>
          <w:noProof/>
        </w:rPr>
        <w:fldChar w:fldCharType="end"/>
      </w:r>
    </w:p>
    <w:p w14:paraId="790EFA90" w14:textId="64E2F731"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7.6.</w:t>
      </w:r>
      <w:r>
        <w:rPr>
          <w:rFonts w:eastAsiaTheme="minorEastAsia" w:cstheme="minorBidi"/>
          <w:noProof/>
          <w:color w:val="auto"/>
          <w:kern w:val="2"/>
          <w:sz w:val="24"/>
          <w:lang w:eastAsia="en-AU"/>
          <w14:ligatures w14:val="standardContextual"/>
        </w:rPr>
        <w:tab/>
      </w:r>
      <w:r>
        <w:rPr>
          <w:noProof/>
        </w:rPr>
        <w:t>Reporting of battery energy storage system (BESS) activities</w:t>
      </w:r>
      <w:r>
        <w:rPr>
          <w:noProof/>
        </w:rPr>
        <w:tab/>
      </w:r>
      <w:r>
        <w:rPr>
          <w:noProof/>
        </w:rPr>
        <w:fldChar w:fldCharType="begin"/>
      </w:r>
      <w:r>
        <w:rPr>
          <w:noProof/>
        </w:rPr>
        <w:instrText xml:space="preserve"> PAGEREF _Toc235706360 \h </w:instrText>
      </w:r>
      <w:r>
        <w:rPr>
          <w:noProof/>
        </w:rPr>
      </w:r>
      <w:r>
        <w:rPr>
          <w:noProof/>
        </w:rPr>
        <w:fldChar w:fldCharType="separate"/>
      </w:r>
      <w:r>
        <w:rPr>
          <w:noProof/>
        </w:rPr>
        <w:t>48</w:t>
      </w:r>
      <w:r>
        <w:rPr>
          <w:noProof/>
        </w:rPr>
        <w:fldChar w:fldCharType="end"/>
      </w:r>
    </w:p>
    <w:p w14:paraId="4EAF6A43" w14:textId="053B289C"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t>7.6.1.</w:t>
      </w:r>
      <w:r>
        <w:rPr>
          <w:rFonts w:eastAsiaTheme="minorEastAsia" w:cstheme="minorBidi"/>
          <w:noProof/>
          <w:color w:val="auto"/>
          <w:kern w:val="2"/>
          <w:sz w:val="24"/>
          <w:lang w:eastAsia="en-AU"/>
          <w14:ligatures w14:val="standardContextual"/>
        </w:rPr>
        <w:tab/>
      </w:r>
      <w:r>
        <w:rPr>
          <w:noProof/>
        </w:rPr>
        <w:t>Principles of BESS reporting</w:t>
      </w:r>
      <w:r>
        <w:rPr>
          <w:noProof/>
        </w:rPr>
        <w:tab/>
      </w:r>
      <w:r>
        <w:rPr>
          <w:noProof/>
        </w:rPr>
        <w:fldChar w:fldCharType="begin"/>
      </w:r>
      <w:r>
        <w:rPr>
          <w:noProof/>
        </w:rPr>
        <w:instrText xml:space="preserve"> PAGEREF _Toc235706361 \h </w:instrText>
      </w:r>
      <w:r>
        <w:rPr>
          <w:noProof/>
        </w:rPr>
      </w:r>
      <w:r>
        <w:rPr>
          <w:noProof/>
        </w:rPr>
        <w:fldChar w:fldCharType="separate"/>
      </w:r>
      <w:r>
        <w:rPr>
          <w:noProof/>
        </w:rPr>
        <w:t>48</w:t>
      </w:r>
      <w:r>
        <w:rPr>
          <w:noProof/>
        </w:rPr>
        <w:fldChar w:fldCharType="end"/>
      </w:r>
    </w:p>
    <w:p w14:paraId="3A8C613C" w14:textId="71C4339D" w:rsidR="00397F81" w:rsidRDefault="00397F81">
      <w:pPr>
        <w:pStyle w:val="TOC3"/>
        <w:tabs>
          <w:tab w:val="left" w:pos="1320"/>
        </w:tabs>
        <w:rPr>
          <w:rFonts w:eastAsiaTheme="minorEastAsia" w:cstheme="minorBidi"/>
          <w:noProof/>
          <w:color w:val="auto"/>
          <w:kern w:val="2"/>
          <w:sz w:val="24"/>
          <w:lang w:eastAsia="en-AU"/>
          <w14:ligatures w14:val="standardContextual"/>
        </w:rPr>
      </w:pPr>
      <w:r>
        <w:rPr>
          <w:noProof/>
        </w:rPr>
        <w:lastRenderedPageBreak/>
        <w:t>7.6.2.</w:t>
      </w:r>
      <w:r>
        <w:rPr>
          <w:rFonts w:eastAsiaTheme="minorEastAsia" w:cstheme="minorBidi"/>
          <w:noProof/>
          <w:color w:val="auto"/>
          <w:kern w:val="2"/>
          <w:sz w:val="24"/>
          <w:lang w:eastAsia="en-AU"/>
          <w14:ligatures w14:val="standardContextual"/>
        </w:rPr>
        <w:tab/>
      </w:r>
      <w:r>
        <w:rPr>
          <w:noProof/>
        </w:rPr>
        <w:t>Reporting VPP activities (a ‘BESS network’)</w:t>
      </w:r>
      <w:r>
        <w:rPr>
          <w:noProof/>
        </w:rPr>
        <w:tab/>
      </w:r>
      <w:r>
        <w:rPr>
          <w:noProof/>
        </w:rPr>
        <w:fldChar w:fldCharType="begin"/>
      </w:r>
      <w:r>
        <w:rPr>
          <w:noProof/>
        </w:rPr>
        <w:instrText xml:space="preserve"> PAGEREF _Toc235706362 \h </w:instrText>
      </w:r>
      <w:r>
        <w:rPr>
          <w:noProof/>
        </w:rPr>
      </w:r>
      <w:r>
        <w:rPr>
          <w:noProof/>
        </w:rPr>
        <w:fldChar w:fldCharType="separate"/>
      </w:r>
      <w:r>
        <w:rPr>
          <w:noProof/>
        </w:rPr>
        <w:t>49</w:t>
      </w:r>
      <w:r>
        <w:rPr>
          <w:noProof/>
        </w:rPr>
        <w:fldChar w:fldCharType="end"/>
      </w:r>
    </w:p>
    <w:p w14:paraId="367B0CEB" w14:textId="19CAF1EE"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7.7.</w:t>
      </w:r>
      <w:r>
        <w:rPr>
          <w:rFonts w:eastAsiaTheme="minorEastAsia" w:cstheme="minorBidi"/>
          <w:noProof/>
          <w:color w:val="auto"/>
          <w:kern w:val="2"/>
          <w:sz w:val="24"/>
          <w:lang w:eastAsia="en-AU"/>
          <w14:ligatures w14:val="standardContextual"/>
        </w:rPr>
        <w:tab/>
      </w:r>
      <w:r>
        <w:rPr>
          <w:noProof/>
        </w:rPr>
        <w:t>Net Energy Consumption</w:t>
      </w:r>
      <w:r>
        <w:rPr>
          <w:noProof/>
        </w:rPr>
        <w:tab/>
      </w:r>
      <w:r>
        <w:rPr>
          <w:noProof/>
        </w:rPr>
        <w:fldChar w:fldCharType="begin"/>
      </w:r>
      <w:r>
        <w:rPr>
          <w:noProof/>
        </w:rPr>
        <w:instrText xml:space="preserve"> PAGEREF _Toc235706363 \h </w:instrText>
      </w:r>
      <w:r>
        <w:rPr>
          <w:noProof/>
        </w:rPr>
      </w:r>
      <w:r>
        <w:rPr>
          <w:noProof/>
        </w:rPr>
        <w:fldChar w:fldCharType="separate"/>
      </w:r>
      <w:r>
        <w:rPr>
          <w:noProof/>
        </w:rPr>
        <w:t>49</w:t>
      </w:r>
      <w:r>
        <w:rPr>
          <w:noProof/>
        </w:rPr>
        <w:fldChar w:fldCharType="end"/>
      </w:r>
    </w:p>
    <w:p w14:paraId="29AB7035" w14:textId="11277912" w:rsidR="00397F81" w:rsidRDefault="00397F81">
      <w:pPr>
        <w:pStyle w:val="TOC4"/>
        <w:rPr>
          <w:rFonts w:eastAsiaTheme="minorEastAsia" w:cstheme="minorBidi"/>
          <w:noProof/>
          <w:color w:val="auto"/>
          <w:kern w:val="2"/>
          <w:sz w:val="24"/>
          <w:lang w:eastAsia="en-AU"/>
          <w14:ligatures w14:val="standardContextual"/>
        </w:rPr>
      </w:pPr>
      <w:r>
        <w:rPr>
          <w:noProof/>
        </w:rPr>
        <w:t>Defining primary and secondary energy commodities</w:t>
      </w:r>
      <w:r>
        <w:rPr>
          <w:noProof/>
        </w:rPr>
        <w:tab/>
      </w:r>
      <w:r>
        <w:rPr>
          <w:noProof/>
        </w:rPr>
        <w:fldChar w:fldCharType="begin"/>
      </w:r>
      <w:r>
        <w:rPr>
          <w:noProof/>
        </w:rPr>
        <w:instrText xml:space="preserve"> PAGEREF _Toc235706364 \h </w:instrText>
      </w:r>
      <w:r>
        <w:rPr>
          <w:noProof/>
        </w:rPr>
      </w:r>
      <w:r>
        <w:rPr>
          <w:noProof/>
        </w:rPr>
        <w:fldChar w:fldCharType="separate"/>
      </w:r>
      <w:r>
        <w:rPr>
          <w:noProof/>
        </w:rPr>
        <w:t>49</w:t>
      </w:r>
      <w:r>
        <w:rPr>
          <w:noProof/>
        </w:rPr>
        <w:fldChar w:fldCharType="end"/>
      </w:r>
    </w:p>
    <w:p w14:paraId="30FC7D1E" w14:textId="1FBCF05B" w:rsidR="00397F81" w:rsidRDefault="00397F81">
      <w:pPr>
        <w:pStyle w:val="TOC4"/>
        <w:rPr>
          <w:rFonts w:eastAsiaTheme="minorEastAsia" w:cstheme="minorBidi"/>
          <w:noProof/>
          <w:color w:val="auto"/>
          <w:kern w:val="2"/>
          <w:sz w:val="24"/>
          <w:lang w:eastAsia="en-AU"/>
          <w14:ligatures w14:val="standardContextual"/>
        </w:rPr>
      </w:pPr>
      <w:r>
        <w:rPr>
          <w:noProof/>
        </w:rPr>
        <w:t>Calculating net energy consumption</w:t>
      </w:r>
      <w:r>
        <w:rPr>
          <w:noProof/>
        </w:rPr>
        <w:tab/>
      </w:r>
      <w:r>
        <w:rPr>
          <w:noProof/>
        </w:rPr>
        <w:fldChar w:fldCharType="begin"/>
      </w:r>
      <w:r>
        <w:rPr>
          <w:noProof/>
        </w:rPr>
        <w:instrText xml:space="preserve"> PAGEREF _Toc235706365 \h </w:instrText>
      </w:r>
      <w:r>
        <w:rPr>
          <w:noProof/>
        </w:rPr>
      </w:r>
      <w:r>
        <w:rPr>
          <w:noProof/>
        </w:rPr>
        <w:fldChar w:fldCharType="separate"/>
      </w:r>
      <w:r>
        <w:rPr>
          <w:noProof/>
        </w:rPr>
        <w:t>49</w:t>
      </w:r>
      <w:r>
        <w:rPr>
          <w:noProof/>
        </w:rPr>
        <w:fldChar w:fldCharType="end"/>
      </w:r>
    </w:p>
    <w:p w14:paraId="6158B5E6" w14:textId="56AB542C"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8.</w:t>
      </w:r>
      <w:r>
        <w:rPr>
          <w:rFonts w:eastAsiaTheme="minorEastAsia" w:cstheme="minorBidi"/>
          <w:b w:val="0"/>
          <w:noProof/>
          <w:color w:val="auto"/>
          <w:kern w:val="2"/>
          <w:sz w:val="24"/>
          <w:lang w:eastAsia="en-AU"/>
          <w14:ligatures w14:val="standardContextual"/>
        </w:rPr>
        <w:tab/>
      </w:r>
      <w:r w:rsidRPr="00E96BC4">
        <w:rPr>
          <w:noProof/>
          <w:lang w:val="en-GB"/>
        </w:rPr>
        <w:t>Measurement requirements</w:t>
      </w:r>
      <w:r>
        <w:rPr>
          <w:noProof/>
        </w:rPr>
        <w:tab/>
      </w:r>
      <w:r>
        <w:rPr>
          <w:noProof/>
        </w:rPr>
        <w:fldChar w:fldCharType="begin"/>
      </w:r>
      <w:r>
        <w:rPr>
          <w:noProof/>
        </w:rPr>
        <w:instrText xml:space="preserve"> PAGEREF _Toc235706366 \h </w:instrText>
      </w:r>
      <w:r>
        <w:rPr>
          <w:noProof/>
        </w:rPr>
      </w:r>
      <w:r>
        <w:rPr>
          <w:noProof/>
        </w:rPr>
        <w:fldChar w:fldCharType="separate"/>
      </w:r>
      <w:r>
        <w:rPr>
          <w:noProof/>
        </w:rPr>
        <w:t>51</w:t>
      </w:r>
      <w:r>
        <w:rPr>
          <w:noProof/>
        </w:rPr>
        <w:fldChar w:fldCharType="end"/>
      </w:r>
    </w:p>
    <w:p w14:paraId="234715C4" w14:textId="0971927E"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8.1.</w:t>
      </w:r>
      <w:r>
        <w:rPr>
          <w:rFonts w:eastAsiaTheme="minorEastAsia" w:cstheme="minorBidi"/>
          <w:noProof/>
          <w:color w:val="auto"/>
          <w:kern w:val="2"/>
          <w:sz w:val="24"/>
          <w:lang w:eastAsia="en-AU"/>
          <w14:ligatures w14:val="standardContextual"/>
        </w:rPr>
        <w:tab/>
      </w:r>
      <w:r>
        <w:rPr>
          <w:noProof/>
        </w:rPr>
        <w:t>Measurement Criteria</w:t>
      </w:r>
      <w:r>
        <w:rPr>
          <w:noProof/>
        </w:rPr>
        <w:tab/>
      </w:r>
      <w:r>
        <w:rPr>
          <w:noProof/>
        </w:rPr>
        <w:fldChar w:fldCharType="begin"/>
      </w:r>
      <w:r>
        <w:rPr>
          <w:noProof/>
        </w:rPr>
        <w:instrText xml:space="preserve"> PAGEREF _Toc235706367 \h </w:instrText>
      </w:r>
      <w:r>
        <w:rPr>
          <w:noProof/>
        </w:rPr>
      </w:r>
      <w:r>
        <w:rPr>
          <w:noProof/>
        </w:rPr>
        <w:fldChar w:fldCharType="separate"/>
      </w:r>
      <w:r>
        <w:rPr>
          <w:noProof/>
        </w:rPr>
        <w:t>51</w:t>
      </w:r>
      <w:r>
        <w:rPr>
          <w:noProof/>
        </w:rPr>
        <w:fldChar w:fldCharType="end"/>
      </w:r>
    </w:p>
    <w:p w14:paraId="791AD88A" w14:textId="56610EE5" w:rsidR="00397F81" w:rsidRDefault="00397F81">
      <w:pPr>
        <w:pStyle w:val="TOC4"/>
        <w:rPr>
          <w:rFonts w:eastAsiaTheme="minorEastAsia" w:cstheme="minorBidi"/>
          <w:noProof/>
          <w:color w:val="auto"/>
          <w:kern w:val="2"/>
          <w:sz w:val="24"/>
          <w:lang w:eastAsia="en-AU"/>
          <w14:ligatures w14:val="standardContextual"/>
        </w:rPr>
      </w:pPr>
      <w:r>
        <w:rPr>
          <w:noProof/>
        </w:rPr>
        <w:t>Specific notes regarding measurement criteria per fuel states</w:t>
      </w:r>
      <w:r>
        <w:rPr>
          <w:noProof/>
        </w:rPr>
        <w:tab/>
      </w:r>
      <w:r>
        <w:rPr>
          <w:noProof/>
        </w:rPr>
        <w:fldChar w:fldCharType="begin"/>
      </w:r>
      <w:r>
        <w:rPr>
          <w:noProof/>
        </w:rPr>
        <w:instrText xml:space="preserve"> PAGEREF _Toc235706368 \h </w:instrText>
      </w:r>
      <w:r>
        <w:rPr>
          <w:noProof/>
        </w:rPr>
      </w:r>
      <w:r>
        <w:rPr>
          <w:noProof/>
        </w:rPr>
        <w:fldChar w:fldCharType="separate"/>
      </w:r>
      <w:r>
        <w:rPr>
          <w:noProof/>
        </w:rPr>
        <w:t>52</w:t>
      </w:r>
      <w:r>
        <w:rPr>
          <w:noProof/>
        </w:rPr>
        <w:fldChar w:fldCharType="end"/>
      </w:r>
    </w:p>
    <w:p w14:paraId="15F22C42" w14:textId="69C0232F"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8.2.</w:t>
      </w:r>
      <w:r>
        <w:rPr>
          <w:rFonts w:eastAsiaTheme="minorEastAsia" w:cstheme="minorBidi"/>
          <w:noProof/>
          <w:color w:val="auto"/>
          <w:kern w:val="2"/>
          <w:sz w:val="24"/>
          <w:lang w:eastAsia="en-AU"/>
          <w14:ligatures w14:val="standardContextual"/>
        </w:rPr>
        <w:tab/>
      </w:r>
      <w:r>
        <w:rPr>
          <w:noProof/>
        </w:rPr>
        <w:t>Metering considerations</w:t>
      </w:r>
      <w:r>
        <w:rPr>
          <w:noProof/>
        </w:rPr>
        <w:tab/>
      </w:r>
      <w:r>
        <w:rPr>
          <w:noProof/>
        </w:rPr>
        <w:fldChar w:fldCharType="begin"/>
      </w:r>
      <w:r>
        <w:rPr>
          <w:noProof/>
        </w:rPr>
        <w:instrText xml:space="preserve"> PAGEREF _Toc235706369 \h </w:instrText>
      </w:r>
      <w:r>
        <w:rPr>
          <w:noProof/>
        </w:rPr>
      </w:r>
      <w:r>
        <w:rPr>
          <w:noProof/>
        </w:rPr>
        <w:fldChar w:fldCharType="separate"/>
      </w:r>
      <w:r>
        <w:rPr>
          <w:noProof/>
        </w:rPr>
        <w:t>52</w:t>
      </w:r>
      <w:r>
        <w:rPr>
          <w:noProof/>
        </w:rPr>
        <w:fldChar w:fldCharType="end"/>
      </w:r>
    </w:p>
    <w:p w14:paraId="069898DA" w14:textId="683B6068"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8.3.</w:t>
      </w:r>
      <w:r>
        <w:rPr>
          <w:rFonts w:eastAsiaTheme="minorEastAsia" w:cstheme="minorBidi"/>
          <w:noProof/>
          <w:color w:val="auto"/>
          <w:kern w:val="2"/>
          <w:sz w:val="24"/>
          <w:lang w:eastAsia="en-AU"/>
          <w14:ligatures w14:val="standardContextual"/>
        </w:rPr>
        <w:tab/>
      </w:r>
      <w:r>
        <w:rPr>
          <w:noProof/>
        </w:rPr>
        <w:t>Industry practice (measurement criterion BBB)</w:t>
      </w:r>
      <w:r>
        <w:rPr>
          <w:noProof/>
        </w:rPr>
        <w:tab/>
      </w:r>
      <w:r>
        <w:rPr>
          <w:noProof/>
        </w:rPr>
        <w:fldChar w:fldCharType="begin"/>
      </w:r>
      <w:r>
        <w:rPr>
          <w:noProof/>
        </w:rPr>
        <w:instrText xml:space="preserve"> PAGEREF _Toc235706370 \h </w:instrText>
      </w:r>
      <w:r>
        <w:rPr>
          <w:noProof/>
        </w:rPr>
      </w:r>
      <w:r>
        <w:rPr>
          <w:noProof/>
        </w:rPr>
        <w:fldChar w:fldCharType="separate"/>
      </w:r>
      <w:r>
        <w:rPr>
          <w:noProof/>
        </w:rPr>
        <w:t>55</w:t>
      </w:r>
      <w:r>
        <w:rPr>
          <w:noProof/>
        </w:rPr>
        <w:fldChar w:fldCharType="end"/>
      </w:r>
    </w:p>
    <w:p w14:paraId="272C9181" w14:textId="79CA746C" w:rsidR="00397F81" w:rsidRDefault="00397F81">
      <w:pPr>
        <w:pStyle w:val="TOC4"/>
        <w:rPr>
          <w:rFonts w:eastAsiaTheme="minorEastAsia" w:cstheme="minorBidi"/>
          <w:noProof/>
          <w:color w:val="auto"/>
          <w:kern w:val="2"/>
          <w:sz w:val="24"/>
          <w:lang w:eastAsia="en-AU"/>
          <w14:ligatures w14:val="standardContextual"/>
        </w:rPr>
      </w:pPr>
      <w:r w:rsidRPr="00E96BC4">
        <w:rPr>
          <w:rFonts w:eastAsiaTheme="majorEastAsia"/>
          <w:noProof/>
        </w:rPr>
        <w:t>Measuring fuel consumption based on electricity production</w:t>
      </w:r>
      <w:r>
        <w:rPr>
          <w:noProof/>
        </w:rPr>
        <w:tab/>
      </w:r>
      <w:r>
        <w:rPr>
          <w:noProof/>
        </w:rPr>
        <w:fldChar w:fldCharType="begin"/>
      </w:r>
      <w:r>
        <w:rPr>
          <w:noProof/>
        </w:rPr>
        <w:instrText xml:space="preserve"> PAGEREF _Toc235706371 \h </w:instrText>
      </w:r>
      <w:r>
        <w:rPr>
          <w:noProof/>
        </w:rPr>
      </w:r>
      <w:r>
        <w:rPr>
          <w:noProof/>
        </w:rPr>
        <w:fldChar w:fldCharType="separate"/>
      </w:r>
      <w:r>
        <w:rPr>
          <w:noProof/>
        </w:rPr>
        <w:t>56</w:t>
      </w:r>
      <w:r>
        <w:rPr>
          <w:noProof/>
        </w:rPr>
        <w:fldChar w:fldCharType="end"/>
      </w:r>
    </w:p>
    <w:p w14:paraId="73D6BF14" w14:textId="6B53B7FD" w:rsidR="00397F81" w:rsidRDefault="00397F81">
      <w:pPr>
        <w:pStyle w:val="TOC2"/>
        <w:tabs>
          <w:tab w:val="left" w:pos="880"/>
          <w:tab w:val="right" w:leader="dot" w:pos="9730"/>
        </w:tabs>
        <w:rPr>
          <w:rFonts w:eastAsiaTheme="minorEastAsia" w:cstheme="minorBidi"/>
          <w:noProof/>
          <w:color w:val="auto"/>
          <w:kern w:val="2"/>
          <w:sz w:val="24"/>
          <w:lang w:eastAsia="en-AU"/>
          <w14:ligatures w14:val="standardContextual"/>
        </w:rPr>
      </w:pPr>
      <w:r>
        <w:rPr>
          <w:noProof/>
        </w:rPr>
        <w:t>8.4.</w:t>
      </w:r>
      <w:r>
        <w:rPr>
          <w:rFonts w:eastAsiaTheme="minorEastAsia" w:cstheme="minorBidi"/>
          <w:noProof/>
          <w:color w:val="auto"/>
          <w:kern w:val="2"/>
          <w:sz w:val="24"/>
          <w:lang w:eastAsia="en-AU"/>
          <w14:ligatures w14:val="standardContextual"/>
        </w:rPr>
        <w:tab/>
      </w:r>
      <w:r>
        <w:rPr>
          <w:noProof/>
        </w:rPr>
        <w:t>Temporarily unavailability of a method of estimating emissions</w:t>
      </w:r>
      <w:r>
        <w:rPr>
          <w:noProof/>
        </w:rPr>
        <w:tab/>
      </w:r>
      <w:r>
        <w:rPr>
          <w:noProof/>
        </w:rPr>
        <w:fldChar w:fldCharType="begin"/>
      </w:r>
      <w:r>
        <w:rPr>
          <w:noProof/>
        </w:rPr>
        <w:instrText xml:space="preserve"> PAGEREF _Toc235706372 \h </w:instrText>
      </w:r>
      <w:r>
        <w:rPr>
          <w:noProof/>
        </w:rPr>
      </w:r>
      <w:r>
        <w:rPr>
          <w:noProof/>
        </w:rPr>
        <w:fldChar w:fldCharType="separate"/>
      </w:r>
      <w:r>
        <w:rPr>
          <w:noProof/>
        </w:rPr>
        <w:t>56</w:t>
      </w:r>
      <w:r>
        <w:rPr>
          <w:noProof/>
        </w:rPr>
        <w:fldChar w:fldCharType="end"/>
      </w:r>
    </w:p>
    <w:p w14:paraId="106D4B78" w14:textId="25E88975" w:rsidR="00397F81" w:rsidRDefault="00397F81">
      <w:pPr>
        <w:pStyle w:val="TOC1"/>
        <w:rPr>
          <w:rFonts w:eastAsiaTheme="minorEastAsia" w:cstheme="minorBidi"/>
          <w:b w:val="0"/>
          <w:noProof/>
          <w:color w:val="auto"/>
          <w:kern w:val="2"/>
          <w:sz w:val="24"/>
          <w:lang w:eastAsia="en-AU"/>
          <w14:ligatures w14:val="standardContextual"/>
        </w:rPr>
      </w:pPr>
      <w:r w:rsidRPr="00E96BC4">
        <w:rPr>
          <w:noProof/>
          <w:lang w:val="en-GB"/>
        </w:rPr>
        <w:t>9.</w:t>
      </w:r>
      <w:r>
        <w:rPr>
          <w:rFonts w:eastAsiaTheme="minorEastAsia" w:cstheme="minorBidi"/>
          <w:b w:val="0"/>
          <w:noProof/>
          <w:color w:val="auto"/>
          <w:kern w:val="2"/>
          <w:sz w:val="24"/>
          <w:lang w:eastAsia="en-AU"/>
          <w14:ligatures w14:val="standardContextual"/>
        </w:rPr>
        <w:tab/>
      </w:r>
      <w:r w:rsidRPr="00E96BC4">
        <w:rPr>
          <w:noProof/>
          <w:lang w:val="en-GB"/>
        </w:rPr>
        <w:t>More information and references</w:t>
      </w:r>
      <w:r>
        <w:rPr>
          <w:noProof/>
        </w:rPr>
        <w:tab/>
      </w:r>
      <w:r>
        <w:rPr>
          <w:noProof/>
        </w:rPr>
        <w:fldChar w:fldCharType="begin"/>
      </w:r>
      <w:r>
        <w:rPr>
          <w:noProof/>
        </w:rPr>
        <w:instrText xml:space="preserve"> PAGEREF _Toc235706373 \h </w:instrText>
      </w:r>
      <w:r>
        <w:rPr>
          <w:noProof/>
        </w:rPr>
      </w:r>
      <w:r>
        <w:rPr>
          <w:noProof/>
        </w:rPr>
        <w:fldChar w:fldCharType="separate"/>
      </w:r>
      <w:r>
        <w:rPr>
          <w:noProof/>
        </w:rPr>
        <w:t>57</w:t>
      </w:r>
      <w:r>
        <w:rPr>
          <w:noProof/>
        </w:rPr>
        <w:fldChar w:fldCharType="end"/>
      </w:r>
    </w:p>
    <w:p w14:paraId="4BF4EEF8" w14:textId="1A018AD9" w:rsidR="00397F81" w:rsidRDefault="00397F81">
      <w:pPr>
        <w:pStyle w:val="TOC2"/>
        <w:tabs>
          <w:tab w:val="right" w:leader="dot" w:pos="9730"/>
        </w:tabs>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_Toc235706374 \h </w:instrText>
      </w:r>
      <w:r>
        <w:rPr>
          <w:noProof/>
        </w:rPr>
      </w:r>
      <w:r>
        <w:rPr>
          <w:noProof/>
        </w:rPr>
        <w:fldChar w:fldCharType="separate"/>
      </w:r>
      <w:r>
        <w:rPr>
          <w:noProof/>
        </w:rPr>
        <w:t>57</w:t>
      </w:r>
      <w:r>
        <w:rPr>
          <w:noProof/>
        </w:rPr>
        <w:fldChar w:fldCharType="end"/>
      </w:r>
    </w:p>
    <w:p w14:paraId="0E8078AA" w14:textId="38B60ECA" w:rsidR="00397F81" w:rsidRDefault="00397F81">
      <w:pPr>
        <w:pStyle w:val="TOC2"/>
        <w:tabs>
          <w:tab w:val="right" w:leader="dot" w:pos="9730"/>
        </w:tabs>
        <w:rPr>
          <w:rFonts w:eastAsiaTheme="minorEastAsia" w:cstheme="minorBidi"/>
          <w:noProof/>
          <w:color w:val="auto"/>
          <w:kern w:val="2"/>
          <w:sz w:val="24"/>
          <w:lang w:eastAsia="en-AU"/>
          <w14:ligatures w14:val="standardContextual"/>
        </w:rPr>
      </w:pPr>
      <w:r>
        <w:rPr>
          <w:noProof/>
        </w:rPr>
        <w:t>References</w:t>
      </w:r>
      <w:r>
        <w:rPr>
          <w:noProof/>
        </w:rPr>
        <w:tab/>
      </w:r>
      <w:r>
        <w:rPr>
          <w:noProof/>
        </w:rPr>
        <w:fldChar w:fldCharType="begin"/>
      </w:r>
      <w:r>
        <w:rPr>
          <w:noProof/>
        </w:rPr>
        <w:instrText xml:space="preserve"> PAGEREF _Toc235706375 \h </w:instrText>
      </w:r>
      <w:r>
        <w:rPr>
          <w:noProof/>
        </w:rPr>
      </w:r>
      <w:r>
        <w:rPr>
          <w:noProof/>
        </w:rPr>
        <w:fldChar w:fldCharType="separate"/>
      </w:r>
      <w:r>
        <w:rPr>
          <w:noProof/>
        </w:rPr>
        <w:t>57</w:t>
      </w:r>
      <w:r>
        <w:rPr>
          <w:noProof/>
        </w:rPr>
        <w:fldChar w:fldCharType="end"/>
      </w:r>
    </w:p>
    <w:p w14:paraId="71A1B9B1" w14:textId="40674B7A" w:rsidR="00397F81" w:rsidRDefault="00397F81">
      <w:pPr>
        <w:pStyle w:val="TOC1"/>
        <w:rPr>
          <w:rFonts w:eastAsiaTheme="minorEastAsia" w:cstheme="minorBidi"/>
          <w:b w:val="0"/>
          <w:noProof/>
          <w:color w:val="auto"/>
          <w:kern w:val="2"/>
          <w:sz w:val="24"/>
          <w:lang w:eastAsia="en-AU"/>
          <w14:ligatures w14:val="standardContextual"/>
        </w:rPr>
      </w:pPr>
      <w:r>
        <w:rPr>
          <w:noProof/>
        </w:rPr>
        <w:t>Appendices</w:t>
      </w:r>
      <w:r>
        <w:rPr>
          <w:noProof/>
        </w:rPr>
        <w:tab/>
      </w:r>
      <w:r>
        <w:rPr>
          <w:noProof/>
        </w:rPr>
        <w:fldChar w:fldCharType="begin"/>
      </w:r>
      <w:r>
        <w:rPr>
          <w:noProof/>
        </w:rPr>
        <w:instrText xml:space="preserve"> PAGEREF _Toc235706376 \h </w:instrText>
      </w:r>
      <w:r>
        <w:rPr>
          <w:noProof/>
        </w:rPr>
      </w:r>
      <w:r>
        <w:rPr>
          <w:noProof/>
        </w:rPr>
        <w:fldChar w:fldCharType="separate"/>
      </w:r>
      <w:r>
        <w:rPr>
          <w:noProof/>
        </w:rPr>
        <w:t>58</w:t>
      </w:r>
      <w:r>
        <w:rPr>
          <w:noProof/>
        </w:rPr>
        <w:fldChar w:fldCharType="end"/>
      </w:r>
    </w:p>
    <w:p w14:paraId="645DB462" w14:textId="5B29A79C" w:rsidR="00397F81" w:rsidRDefault="00397F81">
      <w:pPr>
        <w:pStyle w:val="TOC2"/>
        <w:tabs>
          <w:tab w:val="right" w:leader="dot" w:pos="9730"/>
        </w:tabs>
        <w:rPr>
          <w:rFonts w:eastAsiaTheme="minorEastAsia" w:cstheme="minorBidi"/>
          <w:noProof/>
          <w:color w:val="auto"/>
          <w:kern w:val="2"/>
          <w:sz w:val="24"/>
          <w:lang w:eastAsia="en-AU"/>
          <w14:ligatures w14:val="standardContextual"/>
        </w:rPr>
      </w:pPr>
      <w:r>
        <w:rPr>
          <w:noProof/>
        </w:rPr>
        <w:t>Appendix A – Case examples for electricity sector facilities</w:t>
      </w:r>
      <w:r>
        <w:rPr>
          <w:noProof/>
        </w:rPr>
        <w:tab/>
      </w:r>
      <w:r>
        <w:rPr>
          <w:noProof/>
        </w:rPr>
        <w:fldChar w:fldCharType="begin"/>
      </w:r>
      <w:r>
        <w:rPr>
          <w:noProof/>
        </w:rPr>
        <w:instrText xml:space="preserve"> PAGEREF _Toc235706377 \h </w:instrText>
      </w:r>
      <w:r>
        <w:rPr>
          <w:noProof/>
        </w:rPr>
      </w:r>
      <w:r>
        <w:rPr>
          <w:noProof/>
        </w:rPr>
        <w:fldChar w:fldCharType="separate"/>
      </w:r>
      <w:r>
        <w:rPr>
          <w:noProof/>
        </w:rPr>
        <w:t>58</w:t>
      </w:r>
      <w:r>
        <w:rPr>
          <w:noProof/>
        </w:rPr>
        <w:fldChar w:fldCharType="end"/>
      </w:r>
    </w:p>
    <w:p w14:paraId="79DE01D1" w14:textId="489099F9" w:rsidR="00397F81" w:rsidRDefault="00397F81">
      <w:pPr>
        <w:pStyle w:val="TOC3"/>
        <w:rPr>
          <w:rFonts w:eastAsiaTheme="minorEastAsia" w:cstheme="minorBidi"/>
          <w:noProof/>
          <w:color w:val="auto"/>
          <w:kern w:val="2"/>
          <w:sz w:val="24"/>
          <w:lang w:eastAsia="en-AU"/>
          <w14:ligatures w14:val="standardContextual"/>
        </w:rPr>
      </w:pPr>
      <w:r w:rsidRPr="00E96BC4">
        <w:rPr>
          <w:noProof/>
          <w:lang w:val="en-GB"/>
        </w:rPr>
        <w:t>Case example 1: Gas-fired power plant</w:t>
      </w:r>
      <w:r>
        <w:rPr>
          <w:noProof/>
        </w:rPr>
        <w:tab/>
      </w:r>
      <w:r>
        <w:rPr>
          <w:noProof/>
        </w:rPr>
        <w:fldChar w:fldCharType="begin"/>
      </w:r>
      <w:r>
        <w:rPr>
          <w:noProof/>
        </w:rPr>
        <w:instrText xml:space="preserve"> PAGEREF _Toc235706378 \h </w:instrText>
      </w:r>
      <w:r>
        <w:rPr>
          <w:noProof/>
        </w:rPr>
      </w:r>
      <w:r>
        <w:rPr>
          <w:noProof/>
        </w:rPr>
        <w:fldChar w:fldCharType="separate"/>
      </w:r>
      <w:r>
        <w:rPr>
          <w:noProof/>
        </w:rPr>
        <w:t>58</w:t>
      </w:r>
      <w:r>
        <w:rPr>
          <w:noProof/>
        </w:rPr>
        <w:fldChar w:fldCharType="end"/>
      </w:r>
    </w:p>
    <w:p w14:paraId="54F8B68C" w14:textId="4F3E8176" w:rsidR="00397F81" w:rsidRDefault="00397F81">
      <w:pPr>
        <w:pStyle w:val="TOC4"/>
        <w:rPr>
          <w:rFonts w:eastAsiaTheme="minorEastAsia" w:cstheme="minorBidi"/>
          <w:noProof/>
          <w:color w:val="auto"/>
          <w:kern w:val="2"/>
          <w:sz w:val="24"/>
          <w:lang w:eastAsia="en-AU"/>
          <w14:ligatures w14:val="standardContextual"/>
        </w:rPr>
      </w:pPr>
      <w:r>
        <w:rPr>
          <w:noProof/>
        </w:rPr>
        <w:t>NGER activities and industry sector</w:t>
      </w:r>
      <w:r>
        <w:rPr>
          <w:noProof/>
        </w:rPr>
        <w:tab/>
      </w:r>
      <w:r>
        <w:rPr>
          <w:noProof/>
        </w:rPr>
        <w:fldChar w:fldCharType="begin"/>
      </w:r>
      <w:r>
        <w:rPr>
          <w:noProof/>
        </w:rPr>
        <w:instrText xml:space="preserve"> PAGEREF _Toc235706379 \h </w:instrText>
      </w:r>
      <w:r>
        <w:rPr>
          <w:noProof/>
        </w:rPr>
      </w:r>
      <w:r>
        <w:rPr>
          <w:noProof/>
        </w:rPr>
        <w:fldChar w:fldCharType="separate"/>
      </w:r>
      <w:r>
        <w:rPr>
          <w:noProof/>
        </w:rPr>
        <w:t>58</w:t>
      </w:r>
      <w:r>
        <w:rPr>
          <w:noProof/>
        </w:rPr>
        <w:fldChar w:fldCharType="end"/>
      </w:r>
    </w:p>
    <w:p w14:paraId="647FEA01" w14:textId="1D4BF990" w:rsidR="00397F81" w:rsidRDefault="00397F81">
      <w:pPr>
        <w:pStyle w:val="TOC3"/>
        <w:rPr>
          <w:rFonts w:eastAsiaTheme="minorEastAsia" w:cstheme="minorBidi"/>
          <w:noProof/>
          <w:color w:val="auto"/>
          <w:kern w:val="2"/>
          <w:sz w:val="24"/>
          <w:lang w:eastAsia="en-AU"/>
          <w14:ligatures w14:val="standardContextual"/>
        </w:rPr>
      </w:pPr>
      <w:r w:rsidRPr="00E96BC4">
        <w:rPr>
          <w:noProof/>
          <w:lang w:val="en-GB"/>
        </w:rPr>
        <w:t>Case example 2: Hydro power plant</w:t>
      </w:r>
      <w:r>
        <w:rPr>
          <w:noProof/>
        </w:rPr>
        <w:tab/>
      </w:r>
      <w:r>
        <w:rPr>
          <w:noProof/>
        </w:rPr>
        <w:fldChar w:fldCharType="begin"/>
      </w:r>
      <w:r>
        <w:rPr>
          <w:noProof/>
        </w:rPr>
        <w:instrText xml:space="preserve"> PAGEREF _Toc235706380 \h </w:instrText>
      </w:r>
      <w:r>
        <w:rPr>
          <w:noProof/>
        </w:rPr>
      </w:r>
      <w:r>
        <w:rPr>
          <w:noProof/>
        </w:rPr>
        <w:fldChar w:fldCharType="separate"/>
      </w:r>
      <w:r>
        <w:rPr>
          <w:noProof/>
        </w:rPr>
        <w:t>63</w:t>
      </w:r>
      <w:r>
        <w:rPr>
          <w:noProof/>
        </w:rPr>
        <w:fldChar w:fldCharType="end"/>
      </w:r>
    </w:p>
    <w:p w14:paraId="1A411DB4" w14:textId="6BE3A035" w:rsidR="00397F81" w:rsidRDefault="00397F81">
      <w:pPr>
        <w:pStyle w:val="TOC4"/>
        <w:rPr>
          <w:rFonts w:eastAsiaTheme="minorEastAsia" w:cstheme="minorBidi"/>
          <w:noProof/>
          <w:color w:val="auto"/>
          <w:kern w:val="2"/>
          <w:sz w:val="24"/>
          <w:lang w:eastAsia="en-AU"/>
          <w14:ligatures w14:val="standardContextual"/>
        </w:rPr>
      </w:pPr>
      <w:r>
        <w:rPr>
          <w:noProof/>
        </w:rPr>
        <w:t>NGER activities and industry sector</w:t>
      </w:r>
      <w:r>
        <w:rPr>
          <w:noProof/>
        </w:rPr>
        <w:tab/>
      </w:r>
      <w:r>
        <w:rPr>
          <w:noProof/>
        </w:rPr>
        <w:fldChar w:fldCharType="begin"/>
      </w:r>
      <w:r>
        <w:rPr>
          <w:noProof/>
        </w:rPr>
        <w:instrText xml:space="preserve"> PAGEREF _Toc235706381 \h </w:instrText>
      </w:r>
      <w:r>
        <w:rPr>
          <w:noProof/>
        </w:rPr>
      </w:r>
      <w:r>
        <w:rPr>
          <w:noProof/>
        </w:rPr>
        <w:fldChar w:fldCharType="separate"/>
      </w:r>
      <w:r>
        <w:rPr>
          <w:noProof/>
        </w:rPr>
        <w:t>63</w:t>
      </w:r>
      <w:r>
        <w:rPr>
          <w:noProof/>
        </w:rPr>
        <w:fldChar w:fldCharType="end"/>
      </w:r>
    </w:p>
    <w:p w14:paraId="6A75B548" w14:textId="4F1D4719" w:rsidR="00235142" w:rsidRDefault="00235142" w:rsidP="00235142">
      <w:r>
        <w:fldChar w:fldCharType="end"/>
      </w:r>
    </w:p>
    <w:p w14:paraId="7CDA73F9" w14:textId="51F212FD" w:rsidR="002B4789" w:rsidRPr="00FF338C" w:rsidRDefault="00235142" w:rsidP="002B4789">
      <w:pPr>
        <w:pStyle w:val="Caption"/>
      </w:pPr>
      <w:r>
        <w:br w:type="page"/>
      </w:r>
      <w:bookmarkStart w:id="6" w:name="_Toc106705741"/>
      <w:bookmarkStart w:id="7" w:name="_Toc235706290"/>
      <w:bookmarkEnd w:id="4"/>
      <w:bookmarkEnd w:id="5"/>
      <w:r w:rsidR="002B4789" w:rsidRPr="00E67D71">
        <w:rPr>
          <w:rStyle w:val="Heading1Char"/>
          <w:rFonts w:eastAsia="Cambria"/>
          <w:i w:val="0"/>
        </w:rPr>
        <w:lastRenderedPageBreak/>
        <w:t>Definitions and abbreviations</w:t>
      </w:r>
      <w:bookmarkEnd w:id="6"/>
      <w:bookmarkEnd w:id="7"/>
      <w:r w:rsidR="002B4789" w:rsidRPr="00FF338C">
        <w:t xml:space="preserve"> </w:t>
      </w:r>
    </w:p>
    <w:tbl>
      <w:tblPr>
        <w:tblStyle w:val="CERTable"/>
        <w:tblW w:w="9781" w:type="dxa"/>
        <w:tblLook w:val="04A0" w:firstRow="1" w:lastRow="0" w:firstColumn="1" w:lastColumn="0" w:noHBand="0" w:noVBand="1"/>
      </w:tblPr>
      <w:tblGrid>
        <w:gridCol w:w="1575"/>
        <w:gridCol w:w="8206"/>
      </w:tblGrid>
      <w:tr w:rsidR="002B4789" w:rsidRPr="00FF338C" w14:paraId="6F73C883" w14:textId="77777777" w:rsidTr="00EC10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75" w:type="dxa"/>
          </w:tcPr>
          <w:p w14:paraId="63A00C0B" w14:textId="77777777" w:rsidR="002B4789" w:rsidRPr="00FF338C" w:rsidRDefault="002B4789">
            <w:r w:rsidRPr="00FF338C">
              <w:t>Term</w:t>
            </w:r>
          </w:p>
        </w:tc>
        <w:tc>
          <w:tcPr>
            <w:tcW w:w="8206" w:type="dxa"/>
          </w:tcPr>
          <w:p w14:paraId="0DFAF41E" w14:textId="77777777" w:rsidR="002B4789" w:rsidRPr="00FF338C" w:rsidRDefault="002B4789">
            <w:pPr>
              <w:cnfStyle w:val="100000000000" w:firstRow="1" w:lastRow="0" w:firstColumn="0" w:lastColumn="0" w:oddVBand="0" w:evenVBand="0" w:oddHBand="0" w:evenHBand="0" w:firstRowFirstColumn="0" w:firstRowLastColumn="0" w:lastRowFirstColumn="0" w:lastRowLastColumn="0"/>
            </w:pPr>
            <w:r w:rsidRPr="00FF338C">
              <w:t>Meaning</w:t>
            </w:r>
          </w:p>
        </w:tc>
      </w:tr>
      <w:tr w:rsidR="002B4789" w:rsidRPr="00FF338C" w14:paraId="51E855D5"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47E02A79" w14:textId="77777777" w:rsidR="002B4789" w:rsidRPr="00FF338C" w:rsidRDefault="002B4789">
            <w:r w:rsidRPr="00FF338C">
              <w:t>ANZSIC</w:t>
            </w:r>
          </w:p>
        </w:tc>
        <w:tc>
          <w:tcPr>
            <w:tcW w:w="8206" w:type="dxa"/>
          </w:tcPr>
          <w:p w14:paraId="7DCA388C" w14:textId="77777777" w:rsidR="002B4789" w:rsidRPr="00FF338C" w:rsidRDefault="002B4789">
            <w:pPr>
              <w:cnfStyle w:val="000000100000" w:firstRow="0" w:lastRow="0" w:firstColumn="0" w:lastColumn="0" w:oddVBand="0" w:evenVBand="0" w:oddHBand="1" w:evenHBand="0" w:firstRowFirstColumn="0" w:firstRowLastColumn="0" w:lastRowFirstColumn="0" w:lastRowLastColumn="0"/>
            </w:pPr>
            <w:r w:rsidRPr="00FF338C">
              <w:t>Australian and New Zealand Standard Industrial Classification</w:t>
            </w:r>
          </w:p>
        </w:tc>
      </w:tr>
      <w:tr w:rsidR="002B4789" w:rsidRPr="00FF338C" w14:paraId="20D2F26B"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931B9B3" w14:textId="77777777" w:rsidR="002B4789" w:rsidRPr="00FF338C" w:rsidRDefault="002B4789">
            <w:proofErr w:type="spellStart"/>
            <w:r>
              <w:t>BoP</w:t>
            </w:r>
            <w:proofErr w:type="spellEnd"/>
          </w:p>
        </w:tc>
        <w:tc>
          <w:tcPr>
            <w:tcW w:w="8206" w:type="dxa"/>
          </w:tcPr>
          <w:p w14:paraId="63ADE264" w14:textId="77777777" w:rsidR="002B4789" w:rsidRPr="00FF338C" w:rsidRDefault="002B4789">
            <w:pPr>
              <w:cnfStyle w:val="000000010000" w:firstRow="0" w:lastRow="0" w:firstColumn="0" w:lastColumn="0" w:oddVBand="0" w:evenVBand="0" w:oddHBand="0" w:evenHBand="1" w:firstRowFirstColumn="0" w:firstRowLastColumn="0" w:lastRowFirstColumn="0" w:lastRowLastColumn="0"/>
            </w:pPr>
            <w:r>
              <w:t>Basis of Preparation</w:t>
            </w:r>
          </w:p>
        </w:tc>
      </w:tr>
      <w:tr w:rsidR="002B4789" w:rsidRPr="00FF338C" w14:paraId="204FEA86" w14:textId="77777777" w:rsidTr="79B44B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7AAAF69" w14:textId="77777777" w:rsidR="002B4789" w:rsidRPr="00FF338C" w:rsidRDefault="002B4789">
            <w:pPr>
              <w:spacing w:before="60" w:after="60"/>
            </w:pPr>
            <w:r w:rsidRPr="00FF338C">
              <w:t>CEM</w:t>
            </w:r>
          </w:p>
        </w:tc>
        <w:tc>
          <w:tcPr>
            <w:tcW w:w="8206" w:type="dxa"/>
          </w:tcPr>
          <w:p w14:paraId="4A18465B" w14:textId="21E73089" w:rsidR="002B4789" w:rsidRPr="00FF338C" w:rsidDel="000F461A" w:rsidRDefault="002B4789">
            <w:pPr>
              <w:spacing w:before="60" w:after="60"/>
              <w:cnfStyle w:val="000000100000" w:firstRow="0" w:lastRow="0" w:firstColumn="0" w:lastColumn="0" w:oddVBand="0" w:evenVBand="0" w:oddHBand="1" w:evenHBand="0" w:firstRowFirstColumn="0" w:firstRowLastColumn="0" w:lastRowFirstColumn="0" w:lastRowLastColumn="0"/>
            </w:pPr>
            <w:r w:rsidRPr="00FF338C">
              <w:t xml:space="preserve">Continuous </w:t>
            </w:r>
            <w:r w:rsidR="00662705">
              <w:t>e</w:t>
            </w:r>
            <w:r w:rsidRPr="00FF338C">
              <w:t xml:space="preserve">missions </w:t>
            </w:r>
            <w:r w:rsidR="00662705">
              <w:t>m</w:t>
            </w:r>
            <w:r w:rsidRPr="00FF338C">
              <w:t>onitoring</w:t>
            </w:r>
          </w:p>
        </w:tc>
      </w:tr>
      <w:tr w:rsidR="002B4789" w:rsidRPr="00FF338C" w14:paraId="3A54F114"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34E4EBE0" w14:textId="77777777" w:rsidR="002B4789" w:rsidRDefault="002B4789">
            <w:pPr>
              <w:spacing w:before="60" w:after="60"/>
            </w:pPr>
            <w:r w:rsidRPr="00FF338C">
              <w:t>Department</w:t>
            </w:r>
          </w:p>
        </w:tc>
        <w:tc>
          <w:tcPr>
            <w:tcW w:w="8206" w:type="dxa"/>
          </w:tcPr>
          <w:p w14:paraId="4D39B802" w14:textId="070A30BE" w:rsidR="002B4789" w:rsidRDefault="002B4789">
            <w:pPr>
              <w:spacing w:before="60" w:after="60"/>
              <w:cnfStyle w:val="000000010000" w:firstRow="0" w:lastRow="0" w:firstColumn="0" w:lastColumn="0" w:oddVBand="0" w:evenVBand="0" w:oddHBand="0" w:evenHBand="1" w:firstRowFirstColumn="0" w:firstRowLastColumn="0" w:lastRowFirstColumn="0" w:lastRowLastColumn="0"/>
            </w:pPr>
            <w:r>
              <w:t xml:space="preserve">The Australian Government </w:t>
            </w:r>
            <w:r w:rsidRPr="00FF338C">
              <w:t xml:space="preserve">Department of </w:t>
            </w:r>
            <w:r w:rsidRPr="003A2603">
              <w:t>Climate Change, Energy, the Environment and Water</w:t>
            </w:r>
          </w:p>
        </w:tc>
      </w:tr>
      <w:tr w:rsidR="002B4789" w:rsidRPr="00FF338C" w14:paraId="2C9217F0" w14:textId="77777777" w:rsidTr="79B44B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67B169A0" w14:textId="77777777" w:rsidR="002B4789" w:rsidRPr="00FF338C" w:rsidRDefault="002B4789">
            <w:pPr>
              <w:spacing w:before="60" w:after="60"/>
            </w:pPr>
            <w:r>
              <w:t>EERS</w:t>
            </w:r>
          </w:p>
        </w:tc>
        <w:tc>
          <w:tcPr>
            <w:tcW w:w="8206" w:type="dxa"/>
          </w:tcPr>
          <w:p w14:paraId="1C2E0568" w14:textId="77777777" w:rsidR="002B4789" w:rsidRDefault="002B4789">
            <w:pPr>
              <w:spacing w:before="60" w:after="60"/>
              <w:cnfStyle w:val="000000100000" w:firstRow="0" w:lastRow="0" w:firstColumn="0" w:lastColumn="0" w:oddVBand="0" w:evenVBand="0" w:oddHBand="1" w:evenHBand="0" w:firstRowFirstColumn="0" w:firstRowLastColumn="0" w:lastRowFirstColumn="0" w:lastRowLastColumn="0"/>
            </w:pPr>
            <w:r>
              <w:t>Emissions and Energy Reporting System</w:t>
            </w:r>
          </w:p>
        </w:tc>
      </w:tr>
      <w:tr w:rsidR="002B4789" w:rsidRPr="00FF338C" w14:paraId="16CC9450"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17F7F7E3" w14:textId="77777777" w:rsidR="002B4789" w:rsidRPr="00FF338C" w:rsidRDefault="002B4789">
            <w:r w:rsidRPr="00FF338C">
              <w:t>GJ</w:t>
            </w:r>
          </w:p>
        </w:tc>
        <w:tc>
          <w:tcPr>
            <w:tcW w:w="8206" w:type="dxa"/>
          </w:tcPr>
          <w:p w14:paraId="1EED75CA" w14:textId="77777777" w:rsidR="002B4789" w:rsidRPr="00FF338C" w:rsidRDefault="002B4789">
            <w:pPr>
              <w:cnfStyle w:val="000000010000" w:firstRow="0" w:lastRow="0" w:firstColumn="0" w:lastColumn="0" w:oddVBand="0" w:evenVBand="0" w:oddHBand="0" w:evenHBand="1" w:firstRowFirstColumn="0" w:firstRowLastColumn="0" w:lastRowFirstColumn="0" w:lastRowLastColumn="0"/>
            </w:pPr>
            <w:r w:rsidRPr="00FF338C">
              <w:t>Gigajoules</w:t>
            </w:r>
          </w:p>
        </w:tc>
      </w:tr>
      <w:tr w:rsidR="002B4789" w:rsidRPr="00FF338C" w14:paraId="53EE1479"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416270F1" w14:textId="77777777" w:rsidR="002B4789" w:rsidRPr="00FF338C" w:rsidRDefault="002B4789">
            <w:r w:rsidRPr="00FF338C">
              <w:t>GWh</w:t>
            </w:r>
          </w:p>
        </w:tc>
        <w:tc>
          <w:tcPr>
            <w:tcW w:w="8206" w:type="dxa"/>
          </w:tcPr>
          <w:p w14:paraId="7893AA02" w14:textId="77777777" w:rsidR="002B4789" w:rsidRPr="00FF338C" w:rsidRDefault="002B4789">
            <w:pPr>
              <w:cnfStyle w:val="000000100000" w:firstRow="0" w:lastRow="0" w:firstColumn="0" w:lastColumn="0" w:oddVBand="0" w:evenVBand="0" w:oddHBand="1" w:evenHBand="0" w:firstRowFirstColumn="0" w:firstRowLastColumn="0" w:lastRowFirstColumn="0" w:lastRowLastColumn="0"/>
            </w:pPr>
            <w:r w:rsidRPr="00FF338C">
              <w:t>Gigawatt hours</w:t>
            </w:r>
          </w:p>
        </w:tc>
      </w:tr>
      <w:tr w:rsidR="002B4789" w:rsidRPr="00FF338C" w14:paraId="4DFD0F25"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6F9448A3" w14:textId="77777777" w:rsidR="002B4789" w:rsidRPr="00FF338C" w:rsidRDefault="002B4789">
            <w:r w:rsidRPr="00FF338C">
              <w:t>ISO</w:t>
            </w:r>
          </w:p>
        </w:tc>
        <w:tc>
          <w:tcPr>
            <w:tcW w:w="8206" w:type="dxa"/>
          </w:tcPr>
          <w:p w14:paraId="26B37786" w14:textId="6B13ABD4" w:rsidR="002B4789" w:rsidRPr="00FF338C" w:rsidRDefault="002B4789">
            <w:pPr>
              <w:cnfStyle w:val="000000010000" w:firstRow="0" w:lastRow="0" w:firstColumn="0" w:lastColumn="0" w:oddVBand="0" w:evenVBand="0" w:oddHBand="0" w:evenHBand="1" w:firstRowFirstColumn="0" w:firstRowLastColumn="0" w:lastRowFirstColumn="0" w:lastRowLastColumn="0"/>
            </w:pPr>
            <w:r w:rsidRPr="00FF338C">
              <w:t>International Organisation for Standardisation</w:t>
            </w:r>
          </w:p>
        </w:tc>
      </w:tr>
      <w:tr w:rsidR="002B4789" w:rsidRPr="00FF338C" w14:paraId="103FABD4"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003AD284" w14:textId="77777777" w:rsidR="002B4789" w:rsidRPr="00FF338C" w:rsidRDefault="002B4789">
            <w:r>
              <w:t>kt</w:t>
            </w:r>
          </w:p>
        </w:tc>
        <w:tc>
          <w:tcPr>
            <w:tcW w:w="8206" w:type="dxa"/>
          </w:tcPr>
          <w:p w14:paraId="6BAABDC9" w14:textId="77777777" w:rsidR="002B4789" w:rsidRPr="00FF338C" w:rsidRDefault="002B4789">
            <w:pPr>
              <w:cnfStyle w:val="000000100000" w:firstRow="0" w:lastRow="0" w:firstColumn="0" w:lastColumn="0" w:oddVBand="0" w:evenVBand="0" w:oddHBand="1" w:evenHBand="0" w:firstRowFirstColumn="0" w:firstRowLastColumn="0" w:lastRowFirstColumn="0" w:lastRowLastColumn="0"/>
            </w:pPr>
            <w:proofErr w:type="spellStart"/>
            <w:r>
              <w:t>Kilotonne</w:t>
            </w:r>
            <w:proofErr w:type="spellEnd"/>
          </w:p>
        </w:tc>
      </w:tr>
      <w:tr w:rsidR="002B4789" w:rsidRPr="00FF338C" w14:paraId="01A85B07"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75AFA3C7" w14:textId="77777777" w:rsidR="002B4789" w:rsidRPr="00FF338C" w:rsidRDefault="002B4789">
            <w:r w:rsidRPr="00FF338C">
              <w:t>kWh</w:t>
            </w:r>
          </w:p>
        </w:tc>
        <w:tc>
          <w:tcPr>
            <w:tcW w:w="8206" w:type="dxa"/>
          </w:tcPr>
          <w:p w14:paraId="6E2AF93C" w14:textId="77777777" w:rsidR="002B4789" w:rsidRPr="00FF338C" w:rsidRDefault="002B4789">
            <w:pPr>
              <w:cnfStyle w:val="000000010000" w:firstRow="0" w:lastRow="0" w:firstColumn="0" w:lastColumn="0" w:oddVBand="0" w:evenVBand="0" w:oddHBand="0" w:evenHBand="1" w:firstRowFirstColumn="0" w:firstRowLastColumn="0" w:lastRowFirstColumn="0" w:lastRowLastColumn="0"/>
            </w:pPr>
            <w:r w:rsidRPr="00FF338C">
              <w:t>Kilowatt hours</w:t>
            </w:r>
          </w:p>
        </w:tc>
      </w:tr>
      <w:tr w:rsidR="00153ADB" w:rsidRPr="00FF338C" w14:paraId="21806812"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444558AB" w14:textId="48373BBF" w:rsidR="00153ADB" w:rsidRPr="00FF338C" w:rsidRDefault="00153ADB">
            <w:r>
              <w:t>MTBI</w:t>
            </w:r>
          </w:p>
        </w:tc>
        <w:tc>
          <w:tcPr>
            <w:tcW w:w="8206" w:type="dxa"/>
          </w:tcPr>
          <w:p w14:paraId="33676AFE" w14:textId="2F078766" w:rsidR="00153ADB" w:rsidRPr="00FF338C" w:rsidRDefault="000A07E0">
            <w:pPr>
              <w:cnfStyle w:val="000000100000" w:firstRow="0" w:lastRow="0" w:firstColumn="0" w:lastColumn="0" w:oddVBand="0" w:evenVBand="0" w:oddHBand="1" w:evenHBand="0" w:firstRowFirstColumn="0" w:firstRowLastColumn="0" w:lastRowFirstColumn="0" w:lastRowLastColumn="0"/>
            </w:pPr>
            <w:r>
              <w:t>M</w:t>
            </w:r>
            <w:r w:rsidRPr="000A07E0">
              <w:t>atters to be identified, as specified in Schedule 4 of the NGER Measurement Determination</w:t>
            </w:r>
          </w:p>
        </w:tc>
      </w:tr>
      <w:tr w:rsidR="00153ADB" w:rsidRPr="00FF338C" w14:paraId="3B148D9E"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082D898D" w14:textId="3F92679C" w:rsidR="00153ADB" w:rsidRPr="00FF338C" w:rsidRDefault="00153ADB" w:rsidP="00153ADB">
            <w:r w:rsidRPr="00FF338C">
              <w:t>MW</w:t>
            </w:r>
          </w:p>
        </w:tc>
        <w:tc>
          <w:tcPr>
            <w:tcW w:w="8206" w:type="dxa"/>
          </w:tcPr>
          <w:p w14:paraId="56028E29" w14:textId="6E9D96E6" w:rsidR="00153ADB" w:rsidRPr="00FF338C" w:rsidRDefault="00153ADB" w:rsidP="00153ADB">
            <w:pPr>
              <w:cnfStyle w:val="000000010000" w:firstRow="0" w:lastRow="0" w:firstColumn="0" w:lastColumn="0" w:oddVBand="0" w:evenVBand="0" w:oddHBand="0" w:evenHBand="1" w:firstRowFirstColumn="0" w:firstRowLastColumn="0" w:lastRowFirstColumn="0" w:lastRowLastColumn="0"/>
            </w:pPr>
            <w:r w:rsidRPr="00FF338C">
              <w:t>Megawatts</w:t>
            </w:r>
          </w:p>
        </w:tc>
      </w:tr>
      <w:tr w:rsidR="00153ADB" w:rsidRPr="00FF338C" w14:paraId="4A213C08"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14D4C72F" w14:textId="2EB2DD7B" w:rsidR="00153ADB" w:rsidRPr="00FF338C" w:rsidRDefault="00153ADB" w:rsidP="00153ADB">
            <w:r w:rsidRPr="00FF338C">
              <w:t>MWh</w:t>
            </w:r>
          </w:p>
        </w:tc>
        <w:tc>
          <w:tcPr>
            <w:tcW w:w="8206" w:type="dxa"/>
          </w:tcPr>
          <w:p w14:paraId="41EA0727" w14:textId="1EE78F21" w:rsidR="00153ADB" w:rsidRPr="00FF338C" w:rsidRDefault="00153ADB" w:rsidP="00153ADB">
            <w:pPr>
              <w:cnfStyle w:val="000000100000" w:firstRow="0" w:lastRow="0" w:firstColumn="0" w:lastColumn="0" w:oddVBand="0" w:evenVBand="0" w:oddHBand="1" w:evenHBand="0" w:firstRowFirstColumn="0" w:firstRowLastColumn="0" w:lastRowFirstColumn="0" w:lastRowLastColumn="0"/>
            </w:pPr>
            <w:r w:rsidRPr="00FF338C">
              <w:t>Megawatt hours</w:t>
            </w:r>
          </w:p>
        </w:tc>
      </w:tr>
      <w:tr w:rsidR="002B4789" w:rsidRPr="00FF338C" w14:paraId="1031AF1C"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32B8C222" w14:textId="77777777" w:rsidR="002B4789" w:rsidRPr="00FF338C" w:rsidRDefault="002B4789">
            <w:r w:rsidRPr="00FF338C">
              <w:t>NGER</w:t>
            </w:r>
          </w:p>
        </w:tc>
        <w:tc>
          <w:tcPr>
            <w:tcW w:w="8206" w:type="dxa"/>
          </w:tcPr>
          <w:p w14:paraId="74FC5ABB" w14:textId="77777777" w:rsidR="002B4789" w:rsidRPr="00FF338C" w:rsidRDefault="002B4789">
            <w:pPr>
              <w:cnfStyle w:val="000000010000" w:firstRow="0" w:lastRow="0" w:firstColumn="0" w:lastColumn="0" w:oddVBand="0" w:evenVBand="0" w:oddHBand="0" w:evenHBand="1" w:firstRowFirstColumn="0" w:firstRowLastColumn="0" w:lastRowFirstColumn="0" w:lastRowLastColumn="0"/>
            </w:pPr>
            <w:r w:rsidRPr="00FF338C">
              <w:t>National Greenhouse and Energy Reporting</w:t>
            </w:r>
          </w:p>
        </w:tc>
      </w:tr>
      <w:tr w:rsidR="002B4789" w:rsidRPr="00FF338C" w14:paraId="3FD80AB0"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D178815" w14:textId="77777777" w:rsidR="002B4789" w:rsidRPr="00FF338C" w:rsidRDefault="002B4789">
            <w:r w:rsidRPr="00FF338C">
              <w:t>NGER Act</w:t>
            </w:r>
          </w:p>
        </w:tc>
        <w:tc>
          <w:tcPr>
            <w:tcW w:w="8206" w:type="dxa"/>
          </w:tcPr>
          <w:p w14:paraId="6ACC6F55" w14:textId="77777777" w:rsidR="002B4789" w:rsidRPr="00FF338C" w:rsidRDefault="002B4789">
            <w:pPr>
              <w:cnfStyle w:val="000000100000" w:firstRow="0" w:lastRow="0" w:firstColumn="0" w:lastColumn="0" w:oddVBand="0" w:evenVBand="0" w:oddHBand="1" w:evenHBand="0" w:firstRowFirstColumn="0" w:firstRowLastColumn="0" w:lastRowFirstColumn="0" w:lastRowLastColumn="0"/>
              <w:rPr>
                <w:i/>
              </w:rPr>
            </w:pPr>
            <w:r w:rsidRPr="00FF338C">
              <w:rPr>
                <w:i/>
              </w:rPr>
              <w:t>National Greenhouse and Energy Reporting Act 2007</w:t>
            </w:r>
          </w:p>
        </w:tc>
      </w:tr>
      <w:tr w:rsidR="002B4789" w:rsidRPr="00FF338C" w14:paraId="2014CF4E"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E1ED0B0" w14:textId="1F1A7236" w:rsidR="002B4789" w:rsidRDefault="002B4789">
            <w:r w:rsidRPr="00FF338C">
              <w:t xml:space="preserve">NGER </w:t>
            </w:r>
            <w:r w:rsidR="009D2D7A">
              <w:t>l</w:t>
            </w:r>
            <w:r w:rsidRPr="00FF338C">
              <w:t>egislation</w:t>
            </w:r>
          </w:p>
        </w:tc>
        <w:tc>
          <w:tcPr>
            <w:tcW w:w="8206" w:type="dxa"/>
          </w:tcPr>
          <w:p w14:paraId="5F38C61A" w14:textId="27B41A24" w:rsidR="002B4789" w:rsidRPr="00EB51E3" w:rsidRDefault="002B4789">
            <w:pPr>
              <w:cnfStyle w:val="000000010000" w:firstRow="0" w:lastRow="0" w:firstColumn="0" w:lastColumn="0" w:oddVBand="0" w:evenVBand="0" w:oddHBand="0" w:evenHBand="1" w:firstRowFirstColumn="0" w:firstRowLastColumn="0" w:lastRowFirstColumn="0" w:lastRowLastColumn="0"/>
              <w:rPr>
                <w:i/>
              </w:rPr>
            </w:pPr>
            <w:r>
              <w:t>The NGER Act, the NGER Regulations</w:t>
            </w:r>
            <w:r w:rsidR="005102C5">
              <w:t xml:space="preserve">, </w:t>
            </w:r>
            <w:r>
              <w:t>the NGER Measurement Determination</w:t>
            </w:r>
            <w:r w:rsidR="005102C5">
              <w:t xml:space="preserve">, and </w:t>
            </w:r>
            <w:r w:rsidR="00FA7522">
              <w:t>the National Greenhouse and Energy Reporting (Safeguard Mechanism) Rule 2015 (Safeguard Mechanism Rule)</w:t>
            </w:r>
            <w:r w:rsidR="005102C5">
              <w:t xml:space="preserve"> </w:t>
            </w:r>
          </w:p>
        </w:tc>
      </w:tr>
      <w:tr w:rsidR="002B4789" w:rsidRPr="00FF338C" w14:paraId="3676E215"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961A07A" w14:textId="77777777" w:rsidR="002B4789" w:rsidRPr="00FF338C" w:rsidRDefault="002B4789">
            <w:r>
              <w:t>NGER Measurement Determination</w:t>
            </w:r>
          </w:p>
        </w:tc>
        <w:tc>
          <w:tcPr>
            <w:tcW w:w="8206" w:type="dxa"/>
          </w:tcPr>
          <w:p w14:paraId="11564A8E" w14:textId="77777777" w:rsidR="002B4789" w:rsidRPr="00C67339" w:rsidRDefault="002B4789">
            <w:pPr>
              <w:cnfStyle w:val="000000100000" w:firstRow="0" w:lastRow="0" w:firstColumn="0" w:lastColumn="0" w:oddVBand="0" w:evenVBand="0" w:oddHBand="1" w:evenHBand="0" w:firstRowFirstColumn="0" w:firstRowLastColumn="0" w:lastRowFirstColumn="0" w:lastRowLastColumn="0"/>
              <w:rPr>
                <w:iCs/>
              </w:rPr>
            </w:pPr>
            <w:r w:rsidRPr="00C67339">
              <w:rPr>
                <w:iCs/>
              </w:rPr>
              <w:t>National Greenhouse and Energy Reporting (Measurement) Determination 2008</w:t>
            </w:r>
          </w:p>
        </w:tc>
      </w:tr>
      <w:tr w:rsidR="002B4789" w:rsidRPr="00FF338C" w14:paraId="145D0A80"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09CC17D3" w14:textId="77777777" w:rsidR="002B4789" w:rsidRPr="00FF338C" w:rsidRDefault="002B4789">
            <w:r w:rsidRPr="00FF338C">
              <w:t>NGER Regulations</w:t>
            </w:r>
          </w:p>
        </w:tc>
        <w:tc>
          <w:tcPr>
            <w:tcW w:w="8206" w:type="dxa"/>
          </w:tcPr>
          <w:p w14:paraId="75BAA51C" w14:textId="77777777" w:rsidR="002B4789" w:rsidRPr="00C67339" w:rsidRDefault="002B4789">
            <w:pPr>
              <w:cnfStyle w:val="000000010000" w:firstRow="0" w:lastRow="0" w:firstColumn="0" w:lastColumn="0" w:oddVBand="0" w:evenVBand="0" w:oddHBand="0" w:evenHBand="1" w:firstRowFirstColumn="0" w:firstRowLastColumn="0" w:lastRowFirstColumn="0" w:lastRowLastColumn="0"/>
              <w:rPr>
                <w:iCs/>
              </w:rPr>
            </w:pPr>
            <w:r w:rsidRPr="00C67339">
              <w:rPr>
                <w:iCs/>
              </w:rPr>
              <w:t>National Greenhouse and Energy Reporting Regulations 2008</w:t>
            </w:r>
          </w:p>
        </w:tc>
      </w:tr>
      <w:tr w:rsidR="002B4789" w:rsidRPr="00FF338C" w14:paraId="71095282"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763F31F6" w14:textId="77777777" w:rsidR="002B4789" w:rsidRPr="00FF338C" w:rsidRDefault="002B4789">
            <w:r w:rsidRPr="00FF338C">
              <w:lastRenderedPageBreak/>
              <w:t>PBOGs</w:t>
            </w:r>
          </w:p>
        </w:tc>
        <w:tc>
          <w:tcPr>
            <w:tcW w:w="8206" w:type="dxa"/>
          </w:tcPr>
          <w:p w14:paraId="716CABD7" w14:textId="77777777" w:rsidR="002B4789" w:rsidRPr="00FF338C" w:rsidRDefault="002B4789">
            <w:pPr>
              <w:cnfStyle w:val="000000100000" w:firstRow="0" w:lastRow="0" w:firstColumn="0" w:lastColumn="0" w:oddVBand="0" w:evenVBand="0" w:oddHBand="1" w:evenHBand="0" w:firstRowFirstColumn="0" w:firstRowLastColumn="0" w:lastRowFirstColumn="0" w:lastRowLastColumn="0"/>
            </w:pPr>
            <w:r w:rsidRPr="00FF338C">
              <w:t>Petroleum</w:t>
            </w:r>
            <w:r>
              <w:t>-</w:t>
            </w:r>
            <w:r w:rsidRPr="00FF338C">
              <w:t>based oils and greases</w:t>
            </w:r>
          </w:p>
        </w:tc>
      </w:tr>
      <w:tr w:rsidR="002B4789" w:rsidRPr="00FF338C" w14:paraId="1CE3E4EE" w14:textId="77777777" w:rsidTr="79B44B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0DAF4BBA" w14:textId="77777777" w:rsidR="002B4789" w:rsidRPr="00FF338C" w:rsidRDefault="002B4789">
            <w:r w:rsidRPr="00FF338C">
              <w:t>PEM</w:t>
            </w:r>
          </w:p>
        </w:tc>
        <w:tc>
          <w:tcPr>
            <w:tcW w:w="8206" w:type="dxa"/>
          </w:tcPr>
          <w:p w14:paraId="18F8D3D9" w14:textId="77777777" w:rsidR="002B4789" w:rsidRPr="00FF338C" w:rsidRDefault="002B4789">
            <w:pPr>
              <w:cnfStyle w:val="000000010000" w:firstRow="0" w:lastRow="0" w:firstColumn="0" w:lastColumn="0" w:oddVBand="0" w:evenVBand="0" w:oddHBand="0" w:evenHBand="1" w:firstRowFirstColumn="0" w:firstRowLastColumn="0" w:lastRowFirstColumn="0" w:lastRowLastColumn="0"/>
            </w:pPr>
            <w:r w:rsidRPr="00FF338C">
              <w:t>Periodic Emissions Monitoring</w:t>
            </w:r>
          </w:p>
        </w:tc>
      </w:tr>
      <w:tr w:rsidR="00717F5E" w:rsidRPr="00FF338C" w14:paraId="157EDA46"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0ED2739A" w14:textId="381A2CC7" w:rsidR="00717F5E" w:rsidRPr="00FF338C" w:rsidRDefault="00717F5E">
            <w:r>
              <w:t>Reporter</w:t>
            </w:r>
          </w:p>
        </w:tc>
        <w:tc>
          <w:tcPr>
            <w:tcW w:w="8206" w:type="dxa"/>
          </w:tcPr>
          <w:p w14:paraId="3AA98C79" w14:textId="56CA3B0C" w:rsidR="00717F5E" w:rsidRPr="00FF338C" w:rsidRDefault="00717F5E">
            <w:pPr>
              <w:cnfStyle w:val="000000100000" w:firstRow="0" w:lastRow="0" w:firstColumn="0" w:lastColumn="0" w:oddVBand="0" w:evenVBand="0" w:oddHBand="1" w:evenHBand="0" w:firstRowFirstColumn="0" w:firstRowLastColumn="0" w:lastRowFirstColumn="0" w:lastRowLastColumn="0"/>
            </w:pPr>
            <w:r w:rsidRPr="002B4789">
              <w:t>An entity required to report emissions and energy production and consumption to the Clean Energy Regulator under section 19, 22G, or 22X of the NGER Act</w:t>
            </w:r>
          </w:p>
        </w:tc>
      </w:tr>
      <w:tr w:rsidR="00717F5E" w:rsidRPr="00FF338C" w14:paraId="7AEB9711" w14:textId="77777777" w:rsidTr="00D214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34C09C1C" w14:textId="3DD71954" w:rsidR="00717F5E" w:rsidRPr="00FF338C" w:rsidRDefault="00717F5E">
            <w:r>
              <w:t>S</w:t>
            </w:r>
            <w:r w:rsidRPr="00FF338C">
              <w:t xml:space="preserve">afeguard </w:t>
            </w:r>
            <w:r w:rsidR="00925F2C">
              <w:t>M</w:t>
            </w:r>
            <w:r w:rsidRPr="00FF338C">
              <w:t>echanism</w:t>
            </w:r>
          </w:p>
        </w:tc>
        <w:tc>
          <w:tcPr>
            <w:tcW w:w="8206" w:type="dxa"/>
          </w:tcPr>
          <w:p w14:paraId="5C31BB4E" w14:textId="3D1546D7" w:rsidR="00717F5E" w:rsidRPr="00FF338C" w:rsidRDefault="007D6FEC">
            <w:pPr>
              <w:cnfStyle w:val="000000010000" w:firstRow="0" w:lastRow="0" w:firstColumn="0" w:lastColumn="0" w:oddVBand="0" w:evenVBand="0" w:oddHBand="0" w:evenHBand="1" w:firstRowFirstColumn="0" w:firstRowLastColumn="0" w:lastRowFirstColumn="0" w:lastRowLastColumn="0"/>
            </w:pPr>
            <w:r w:rsidRPr="00D2141E">
              <w:rPr>
                <w:bCs/>
              </w:rPr>
              <w:t>The Australian Government’s mechanism to</w:t>
            </w:r>
            <w:r w:rsidR="00C13AF3">
              <w:rPr>
                <w:bCs/>
              </w:rPr>
              <w:t xml:space="preserve"> contribute to the achievement of</w:t>
            </w:r>
            <w:r w:rsidRPr="00D2141E">
              <w:rPr>
                <w:bCs/>
              </w:rPr>
              <w:t xml:space="preserve"> Australia’s greenhouse gas emissions reduction targets. See </w:t>
            </w:r>
            <w:bookmarkStart w:id="8" w:name="_Hlk139525957"/>
            <w:r w:rsidRPr="007D6FEC">
              <w:fldChar w:fldCharType="begin"/>
            </w:r>
            <w:r w:rsidR="007C6102">
              <w:instrText>HYPERLINK "https://cer.gov.au/schemes/safeguard-mechanism" \o "A link to the Safeguard Mechanism scheme page of the Clean Energy Regulator website"</w:instrText>
            </w:r>
            <w:r w:rsidRPr="007D6FEC">
              <w:fldChar w:fldCharType="separate"/>
            </w:r>
            <w:r w:rsidRPr="00D2141E">
              <w:rPr>
                <w:rStyle w:val="Hyperlink"/>
                <w:rFonts w:asciiTheme="minorHAnsi" w:hAnsiTheme="minorHAnsi"/>
                <w:bCs/>
              </w:rPr>
              <w:t>the Safeguard Mechanism</w:t>
            </w:r>
            <w:r w:rsidRPr="007D6FEC">
              <w:rPr>
                <w:bCs/>
              </w:rPr>
              <w:fldChar w:fldCharType="end"/>
            </w:r>
            <w:bookmarkEnd w:id="8"/>
            <w:r w:rsidRPr="00D2141E">
              <w:rPr>
                <w:bCs/>
              </w:rPr>
              <w:t xml:space="preserve"> for more information</w:t>
            </w:r>
            <w:r w:rsidR="004B0870">
              <w:rPr>
                <w:rFonts w:ascii="ZWAdobeF" w:hAnsi="ZWAdobeF" w:cs="ZWAdobeF"/>
                <w:bCs/>
                <w:color w:val="auto"/>
                <w:sz w:val="2"/>
                <w:szCs w:val="2"/>
              </w:rPr>
              <w:t>0F</w:t>
            </w:r>
            <w:r>
              <w:rPr>
                <w:rStyle w:val="FootnoteReference"/>
                <w:bCs/>
              </w:rPr>
              <w:footnoteReference w:id="2"/>
            </w:r>
          </w:p>
        </w:tc>
      </w:tr>
      <w:tr w:rsidR="003C4745" w:rsidRPr="00FF338C" w14:paraId="1EA29E29" w14:textId="77777777" w:rsidTr="79B44B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206C8D61" w14:textId="0E8D9D48" w:rsidR="006A17ED" w:rsidRDefault="00AC2164">
            <w:r w:rsidRPr="002C556E">
              <w:t>Scope 1 emission</w:t>
            </w:r>
          </w:p>
        </w:tc>
        <w:tc>
          <w:tcPr>
            <w:tcW w:w="8206" w:type="dxa"/>
          </w:tcPr>
          <w:p w14:paraId="7F78897E" w14:textId="71913E00" w:rsidR="006A17ED" w:rsidRPr="006A17ED" w:rsidRDefault="003A28DC">
            <w:pPr>
              <w:cnfStyle w:val="000000100000" w:firstRow="0" w:lastRow="0" w:firstColumn="0" w:lastColumn="0" w:oddVBand="0" w:evenVBand="0" w:oddHBand="1" w:evenHBand="0" w:firstRowFirstColumn="0" w:firstRowLastColumn="0" w:lastRowFirstColumn="0" w:lastRowLastColumn="0"/>
              <w:rPr>
                <w:bCs/>
              </w:rPr>
            </w:pPr>
            <w:r w:rsidRPr="003A28DC">
              <w:t>Scope 1 greenhouse gas emissions are emissions released into the atmosphere as a direct result of the activities at your facility.</w:t>
            </w:r>
            <w:r w:rsidR="00437CF5">
              <w:t xml:space="preserve"> </w:t>
            </w:r>
            <w:r w:rsidR="00437CF5" w:rsidRPr="00437CF5">
              <w:t>Scope 1 emissions are also referred to as direct emissions.</w:t>
            </w:r>
            <w:r w:rsidR="00F92FB8">
              <w:t xml:space="preserve"> </w:t>
            </w:r>
            <w:r w:rsidR="00F92FB8" w:rsidRPr="00F92FB8">
              <w:t>Scope 2 emissions are also referred to as indirect emissions.</w:t>
            </w:r>
          </w:p>
        </w:tc>
      </w:tr>
      <w:tr w:rsidR="003C4745" w:rsidRPr="00FF338C" w14:paraId="4556ED1B" w14:textId="77777777" w:rsidTr="79B44B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5A770F19" w14:textId="72699EE6" w:rsidR="00EF344C" w:rsidRPr="002C556E" w:rsidRDefault="00C9689E">
            <w:r w:rsidRPr="002C556E">
              <w:t>Scope 2 emission</w:t>
            </w:r>
          </w:p>
        </w:tc>
        <w:tc>
          <w:tcPr>
            <w:tcW w:w="8206" w:type="dxa"/>
          </w:tcPr>
          <w:p w14:paraId="248B0601" w14:textId="4ABB2418" w:rsidR="00EF344C" w:rsidRPr="002C556E" w:rsidRDefault="00573F2E">
            <w:pPr>
              <w:cnfStyle w:val="000000010000" w:firstRow="0" w:lastRow="0" w:firstColumn="0" w:lastColumn="0" w:oddVBand="0" w:evenVBand="0" w:oddHBand="0" w:evenHBand="1" w:firstRowFirstColumn="0" w:firstRowLastColumn="0" w:lastRowFirstColumn="0" w:lastRowLastColumn="0"/>
            </w:pPr>
            <w:r w:rsidRPr="00573F2E">
              <w:t>Scope 2 emissions for a facility represent the emissions that were released outside your facility boundary to produce the electricity that you imported into the facility and used. </w:t>
            </w:r>
          </w:p>
        </w:tc>
      </w:tr>
      <w:tr w:rsidR="00EA7886" w:rsidRPr="00FF338C" w14:paraId="372ECC0B" w14:textId="77777777" w:rsidTr="00D2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14:paraId="7B969958" w14:textId="0204BC96" w:rsidR="00EA7886" w:rsidRPr="00FF338C" w:rsidRDefault="00530034" w:rsidP="00717F5E">
            <w:r w:rsidRPr="00530034">
              <w:t>t CO</w:t>
            </w:r>
            <w:r w:rsidRPr="00530034">
              <w:rPr>
                <w:vertAlign w:val="subscript"/>
              </w:rPr>
              <w:t>2</w:t>
            </w:r>
            <w:r w:rsidRPr="00530034">
              <w:t>-e</w:t>
            </w:r>
          </w:p>
        </w:tc>
        <w:tc>
          <w:tcPr>
            <w:tcW w:w="8206" w:type="dxa"/>
          </w:tcPr>
          <w:p w14:paraId="5B85CDA3" w14:textId="7CAEFA04" w:rsidR="00EA7886" w:rsidRPr="00FF338C" w:rsidRDefault="00530034" w:rsidP="00717F5E">
            <w:pPr>
              <w:cnfStyle w:val="000000100000" w:firstRow="0" w:lastRow="0" w:firstColumn="0" w:lastColumn="0" w:oddVBand="0" w:evenVBand="0" w:oddHBand="1" w:evenHBand="0" w:firstRowFirstColumn="0" w:firstRowLastColumn="0" w:lastRowFirstColumn="0" w:lastRowLastColumn="0"/>
            </w:pPr>
            <w:r w:rsidRPr="00530034">
              <w:t>Tonnes of carbon dioxide equivalence</w:t>
            </w:r>
          </w:p>
        </w:tc>
      </w:tr>
    </w:tbl>
    <w:p w14:paraId="40B874F5" w14:textId="7978351C" w:rsidR="00235142" w:rsidRDefault="00235142" w:rsidP="00235142">
      <w:pPr>
        <w:spacing w:after="0"/>
      </w:pPr>
    </w:p>
    <w:p w14:paraId="38331809" w14:textId="42F3D5C6" w:rsidR="00AD1537" w:rsidRPr="00F44F8C" w:rsidRDefault="00AD1537" w:rsidP="00AD1537">
      <w:pPr>
        <w:spacing w:after="0"/>
        <w:rPr>
          <w:lang w:val="en-GB"/>
        </w:rPr>
      </w:pPr>
      <w:r w:rsidRPr="00D02F02">
        <w:rPr>
          <w:rStyle w:val="ui-provider"/>
        </w:rPr>
        <w:t xml:space="preserve">Please refer to Division 2 of the NGER Act, </w:t>
      </w:r>
      <w:r w:rsidR="001271C9" w:rsidRPr="00D02F02">
        <w:rPr>
          <w:rStyle w:val="ui-provider"/>
        </w:rPr>
        <w:t xml:space="preserve">1.03 </w:t>
      </w:r>
      <w:r w:rsidR="00D76423">
        <w:rPr>
          <w:rStyle w:val="ui-provider"/>
        </w:rPr>
        <w:t xml:space="preserve">of the </w:t>
      </w:r>
      <w:r w:rsidRPr="00D02F02">
        <w:rPr>
          <w:rStyle w:val="ui-provider"/>
        </w:rPr>
        <w:t>NGER Regulation</w:t>
      </w:r>
      <w:r w:rsidR="00D76423">
        <w:rPr>
          <w:rStyle w:val="ui-provider"/>
        </w:rPr>
        <w:t>s</w:t>
      </w:r>
      <w:r w:rsidRPr="00D02F02">
        <w:rPr>
          <w:rStyle w:val="ui-provider"/>
        </w:rPr>
        <w:t xml:space="preserve"> and Division 1.1.2 of the NGER Measurement Determination for defined terms in NGER legislation. </w:t>
      </w:r>
    </w:p>
    <w:p w14:paraId="139A6045" w14:textId="246BFC87" w:rsidR="001B624B" w:rsidRDefault="001B624B" w:rsidP="00235142">
      <w:pPr>
        <w:spacing w:after="0"/>
      </w:pPr>
    </w:p>
    <w:p w14:paraId="199F6703" w14:textId="77777777" w:rsidR="00A12012" w:rsidRDefault="00A12012">
      <w:pPr>
        <w:spacing w:after="0"/>
        <w:rPr>
          <w:rFonts w:ascii="Calibri" w:eastAsia="Times New Roman" w:hAnsi="Calibri" w:cs="Calibri"/>
          <w:b/>
          <w:bCs/>
          <w:kern w:val="32"/>
          <w:sz w:val="40"/>
          <w:lang w:val="en-GB"/>
        </w:rPr>
      </w:pPr>
      <w:bookmarkStart w:id="9" w:name="_Toc106705742"/>
      <w:r>
        <w:rPr>
          <w:lang w:val="en-GB"/>
        </w:rPr>
        <w:br w:type="page"/>
      </w:r>
    </w:p>
    <w:p w14:paraId="1049B3E6" w14:textId="363490AF" w:rsidR="001B624B" w:rsidRPr="00FF338C" w:rsidRDefault="001B624B" w:rsidP="001B624B">
      <w:pPr>
        <w:pStyle w:val="Heading1"/>
        <w:rPr>
          <w:lang w:val="en-GB"/>
        </w:rPr>
      </w:pPr>
      <w:bookmarkStart w:id="10" w:name="_Toc235706291"/>
      <w:r w:rsidRPr="00FF338C">
        <w:rPr>
          <w:lang w:val="en-GB"/>
        </w:rPr>
        <w:lastRenderedPageBreak/>
        <w:t>Disclaimer</w:t>
      </w:r>
      <w:bookmarkEnd w:id="9"/>
      <w:bookmarkEnd w:id="10"/>
    </w:p>
    <w:p w14:paraId="76872CDB" w14:textId="0F7B1876" w:rsidR="001B624B" w:rsidRPr="000B3301" w:rsidRDefault="001B624B" w:rsidP="00B85497">
      <w:pPr>
        <w:autoSpaceDE w:val="0"/>
        <w:autoSpaceDN w:val="0"/>
        <w:adjustRightInd w:val="0"/>
        <w:spacing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36FBC3A8" w:rsidRPr="000B3301">
        <w:rPr>
          <w:lang w:eastAsia="en-AU"/>
        </w:rPr>
        <w:t>CER</w:t>
      </w:r>
      <w:r w:rsidRPr="000B3301">
        <w:rPr>
          <w:lang w:eastAsia="en-AU"/>
        </w:rPr>
        <w:t xml:space="preserve">) to assist entities to comply with their reporting obligations under the </w:t>
      </w:r>
      <w:hyperlink r:id="rId22"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11" w:name="_Ref105748531"/>
      <w:r w:rsidR="004B0870">
        <w:rPr>
          <w:rFonts w:ascii="ZWAdobeF" w:hAnsi="ZWAdobeF" w:cs="ZWAdobeF"/>
          <w:color w:val="auto"/>
          <w:sz w:val="2"/>
          <w:szCs w:val="2"/>
        </w:rPr>
        <w:t>1F</w:t>
      </w:r>
      <w:r w:rsidRPr="00A469D7">
        <w:rPr>
          <w:rStyle w:val="FootnoteReference"/>
          <w:color w:val="000000"/>
          <w:lang w:eastAsia="en-AU"/>
        </w:rPr>
        <w:footnoteReference w:id="3"/>
      </w:r>
      <w:bookmarkEnd w:id="11"/>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3AD0D781" w14:textId="77777777" w:rsidR="001B624B" w:rsidRPr="000B3301" w:rsidRDefault="001B624B" w:rsidP="00B85497">
      <w:pPr>
        <w:autoSpaceDE w:val="0"/>
        <w:autoSpaceDN w:val="0"/>
        <w:adjustRightInd w:val="0"/>
        <w:spacing w:after="0"/>
        <w:rPr>
          <w:lang w:eastAsia="en-AU"/>
        </w:rPr>
      </w:pPr>
    </w:p>
    <w:p w14:paraId="78E832C5" w14:textId="7FA353C6" w:rsidR="001B624B" w:rsidRPr="000B3301" w:rsidRDefault="001B624B" w:rsidP="00B85497">
      <w:pPr>
        <w:autoSpaceDE w:val="0"/>
        <w:autoSpaceDN w:val="0"/>
        <w:adjustRightInd w:val="0"/>
        <w:spacing w:after="0"/>
        <w:ind w:left="50"/>
        <w:rPr>
          <w:lang w:eastAsia="en-AU"/>
        </w:rPr>
      </w:pPr>
      <w:r w:rsidRPr="004C131A">
        <w:rPr>
          <w:lang w:eastAsia="en-AU"/>
        </w:rPr>
        <w:t xml:space="preserve">This guideline only applies to the </w:t>
      </w:r>
      <w:r w:rsidR="00112195">
        <w:rPr>
          <w:lang w:eastAsia="en-AU"/>
        </w:rPr>
        <w:t>2025</w:t>
      </w:r>
      <w:r w:rsidR="00BE751E">
        <w:rPr>
          <w:lang w:eastAsia="en-AU"/>
        </w:rPr>
        <w:t>–</w:t>
      </w:r>
      <w:r w:rsidR="00112195">
        <w:rPr>
          <w:lang w:eastAsia="en-AU"/>
        </w:rPr>
        <w:t>26</w:t>
      </w:r>
      <w:r w:rsidR="00112195" w:rsidRPr="004C131A">
        <w:rPr>
          <w:lang w:eastAsia="en-AU"/>
        </w:rPr>
        <w:t xml:space="preserve"> </w:t>
      </w:r>
      <w:r w:rsidRPr="004C131A">
        <w:rPr>
          <w:lang w:eastAsia="en-AU"/>
        </w:rPr>
        <w:t>NGER reporting year and should be read in conjunction with the NGER Act</w:t>
      </w:r>
      <w:r w:rsidRPr="00DE2AFF">
        <w:rPr>
          <w:lang w:eastAsia="en-AU"/>
        </w:rPr>
        <w:t xml:space="preserve">, </w:t>
      </w:r>
      <w:hyperlink r:id="rId23" w:tooltip="A link to the Australian Government legislation - the National Greenhouse and Energy regulations 2008" w:history="1">
        <w:r w:rsidRPr="00B85497">
          <w:rPr>
            <w:rStyle w:val="Hyperlink"/>
            <w:lang w:eastAsia="en-AU"/>
          </w:rPr>
          <w:t>National Greenhouse and Energy Regulations 2008</w:t>
        </w:r>
      </w:hyperlink>
      <w:r w:rsidR="004B0870">
        <w:rPr>
          <w:rFonts w:ascii="ZWAdobeF" w:hAnsi="ZWAdobeF" w:cs="ZWAdobeF"/>
          <w:color w:val="auto"/>
          <w:sz w:val="2"/>
          <w:szCs w:val="2"/>
        </w:rPr>
        <w:t>2F</w:t>
      </w:r>
      <w:r w:rsidRPr="00DE2AFF">
        <w:rPr>
          <w:rStyle w:val="FootnoteReference"/>
          <w:color w:val="000000"/>
          <w:lang w:eastAsia="en-AU"/>
        </w:rPr>
        <w:footnoteReference w:id="4"/>
      </w:r>
      <w:r w:rsidRPr="00DE2AFF">
        <w:rPr>
          <w:color w:val="000000"/>
          <w:lang w:eastAsia="en-AU"/>
        </w:rPr>
        <w:t xml:space="preserve"> (</w:t>
      </w:r>
      <w:r w:rsidRPr="001166CF">
        <w:rPr>
          <w:lang w:eastAsia="en-AU"/>
        </w:rPr>
        <w:t xml:space="preserve">NGER Regulations), and </w:t>
      </w:r>
      <w:hyperlink r:id="rId24" w:tooltip="A link to the Australian Government legislation - the National Greenhouse and Energy Measurement Determination" w:history="1">
        <w:r w:rsidRPr="00B85497">
          <w:rPr>
            <w:rStyle w:val="Hyperlink"/>
            <w:lang w:eastAsia="en-AU"/>
          </w:rPr>
          <w:t>National Greenhouse and Energy Reporting (Measurement) Determination 2008</w:t>
        </w:r>
      </w:hyperlink>
      <w:r w:rsidR="004B0870">
        <w:rPr>
          <w:rFonts w:ascii="ZWAdobeF" w:hAnsi="ZWAdobeF" w:cs="ZWAdobeF"/>
          <w:color w:val="auto"/>
          <w:sz w:val="2"/>
          <w:szCs w:val="2"/>
        </w:rPr>
        <w:t>3F</w:t>
      </w:r>
      <w:r w:rsidRPr="00DE2AFF">
        <w:rPr>
          <w:rStyle w:val="FootnoteReference"/>
          <w:color w:val="000000"/>
          <w:lang w:eastAsia="en-AU"/>
        </w:rPr>
        <w:footnoteReference w:id="5"/>
      </w:r>
      <w:r w:rsidRPr="00DE2AFF">
        <w:rPr>
          <w:lang w:eastAsia="en-AU"/>
        </w:rPr>
        <w:t xml:space="preserve"> (NGER Measurement Determination), as</w:t>
      </w:r>
      <w:r w:rsidRPr="004C131A">
        <w:rPr>
          <w:lang w:eastAsia="en-AU"/>
        </w:rPr>
        <w:t xml:space="preserve"> in force for this reporting period. These</w:t>
      </w:r>
      <w:r w:rsidRPr="000B3301">
        <w:rPr>
          <w:lang w:eastAsia="en-AU"/>
        </w:rPr>
        <w:t xml:space="preserve"> laws and their interpretation are subject to change, which may affect the accuracy of the information contained in the guideline. </w:t>
      </w:r>
    </w:p>
    <w:p w14:paraId="7EF0B7A2" w14:textId="77777777" w:rsidR="001B624B" w:rsidRPr="000B3301" w:rsidRDefault="001B624B" w:rsidP="00B85497">
      <w:pPr>
        <w:autoSpaceDE w:val="0"/>
        <w:autoSpaceDN w:val="0"/>
        <w:adjustRightInd w:val="0"/>
        <w:spacing w:after="0"/>
        <w:rPr>
          <w:lang w:eastAsia="en-AU"/>
        </w:rPr>
      </w:pPr>
    </w:p>
    <w:p w14:paraId="73C1BCA8" w14:textId="33E2B518" w:rsidR="001B624B" w:rsidRPr="000B3301" w:rsidRDefault="001B624B" w:rsidP="00B85497">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5" w:tooltip="A link to the NGER scheme page of the Clean Energy Regulator website" w:history="1">
        <w:r w:rsidRPr="00452C2E">
          <w:rPr>
            <w:rStyle w:val="Hyperlink"/>
            <w:lang w:eastAsia="en-AU"/>
          </w:rPr>
          <w:t>National Greenhouse and Energy Reporting (NGER) scheme</w:t>
        </w:r>
      </w:hyperlink>
      <w:r w:rsidR="004B0870">
        <w:rPr>
          <w:rFonts w:ascii="ZWAdobeF" w:hAnsi="ZWAdobeF" w:cs="ZWAdobeF"/>
          <w:color w:val="auto"/>
          <w:sz w:val="2"/>
          <w:szCs w:val="2"/>
        </w:rPr>
        <w:t>4F</w:t>
      </w:r>
      <w:r>
        <w:rPr>
          <w:rStyle w:val="FootnoteReference"/>
          <w:lang w:eastAsia="en-AU"/>
        </w:rPr>
        <w:footnoteReference w:id="6"/>
      </w:r>
      <w:r w:rsidRPr="000B3301">
        <w:rPr>
          <w:lang w:eastAsia="en-AU"/>
        </w:rPr>
        <w:t xml:space="preserve"> at all times.</w:t>
      </w:r>
      <w:r w:rsidR="00494FFC">
        <w:rPr>
          <w:lang w:eastAsia="en-AU"/>
        </w:rPr>
        <w:t xml:space="preserve"> The</w:t>
      </w:r>
      <w:r w:rsidRPr="000B3301">
        <w:rPr>
          <w:lang w:eastAsia="en-AU"/>
        </w:rPr>
        <w:t xml:space="preserve"> </w:t>
      </w:r>
      <w:r w:rsidR="10FFBB21"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based on this </w:t>
      </w:r>
      <w:r>
        <w:rPr>
          <w:lang w:eastAsia="en-AU"/>
        </w:rPr>
        <w:t>guidance</w:t>
      </w:r>
      <w:r w:rsidRPr="000B3301">
        <w:rPr>
          <w:lang w:eastAsia="en-AU"/>
        </w:rPr>
        <w:t>.</w:t>
      </w:r>
    </w:p>
    <w:p w14:paraId="6A6F6E24" w14:textId="77777777" w:rsidR="001B624B" w:rsidRPr="000B3301" w:rsidRDefault="001B624B" w:rsidP="00B85497">
      <w:pPr>
        <w:autoSpaceDE w:val="0"/>
        <w:autoSpaceDN w:val="0"/>
        <w:adjustRightInd w:val="0"/>
        <w:spacing w:after="0"/>
        <w:rPr>
          <w:lang w:eastAsia="en-AU"/>
        </w:rPr>
      </w:pPr>
    </w:p>
    <w:p w14:paraId="4FE157AF" w14:textId="48DB6726" w:rsidR="001B624B" w:rsidRPr="000B3301" w:rsidRDefault="0133FB2F" w:rsidP="00B85497">
      <w:pPr>
        <w:autoSpaceDE w:val="0"/>
        <w:autoSpaceDN w:val="0"/>
        <w:adjustRightInd w:val="0"/>
        <w:spacing w:after="0"/>
        <w:rPr>
          <w:lang w:eastAsia="en-AU"/>
        </w:rPr>
      </w:pPr>
      <w:r w:rsidRPr="261A47E1">
        <w:rPr>
          <w:lang w:eastAsia="en-AU"/>
        </w:rPr>
        <w:t>CER</w:t>
      </w:r>
      <w:r w:rsidR="001B624B" w:rsidRPr="000B3301">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12EDB10A" w14:textId="77777777" w:rsidR="001B624B" w:rsidRPr="000B3301" w:rsidRDefault="001B624B" w:rsidP="00B85497">
      <w:pPr>
        <w:autoSpaceDE w:val="0"/>
        <w:autoSpaceDN w:val="0"/>
        <w:adjustRightInd w:val="0"/>
        <w:spacing w:after="0"/>
        <w:rPr>
          <w:lang w:eastAsia="en-AU"/>
        </w:rPr>
      </w:pPr>
    </w:p>
    <w:p w14:paraId="43AD85A7" w14:textId="7B999599" w:rsidR="001B624B" w:rsidRPr="00A82423" w:rsidRDefault="001B624B" w:rsidP="00B85497">
      <w:pPr>
        <w:spacing w:after="0"/>
      </w:pPr>
      <w:r w:rsidRPr="000B3301">
        <w:rPr>
          <w:lang w:eastAsia="en-AU"/>
        </w:rPr>
        <w:t xml:space="preserve">If an entity chooses to meet their obligations under the NGER </w:t>
      </w:r>
      <w:r w:rsidR="00BE751E">
        <w:rPr>
          <w:lang w:eastAsia="en-AU"/>
        </w:rPr>
        <w:t>S</w:t>
      </w:r>
      <w:r w:rsidRPr="000B3301">
        <w:rPr>
          <w:lang w:eastAsia="en-AU"/>
        </w:rPr>
        <w:t xml:space="preserve">cheme in a manner that is inconsistent with the guidance provided in this document, </w:t>
      </w:r>
      <w:r w:rsidR="584B6439" w:rsidRPr="261A47E1">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7BEF92AB" w14:textId="77777777" w:rsidR="001B624B" w:rsidRDefault="001B624B" w:rsidP="001B624B">
      <w:pPr>
        <w:spacing w:after="0"/>
        <w:rPr>
          <w:rFonts w:eastAsia="Times New Roman"/>
          <w:b/>
          <w:bCs/>
          <w:color w:val="005874"/>
          <w:kern w:val="32"/>
          <w:sz w:val="40"/>
        </w:rPr>
      </w:pPr>
      <w:r>
        <w:br w:type="page"/>
      </w:r>
    </w:p>
    <w:p w14:paraId="67148F13" w14:textId="003A0F57" w:rsidR="004A2E03" w:rsidRPr="00074D44" w:rsidRDefault="00112195" w:rsidP="004A2E03">
      <w:pPr>
        <w:pStyle w:val="Heading1"/>
        <w:rPr>
          <w:lang w:val="en-GB"/>
        </w:rPr>
      </w:pPr>
      <w:bookmarkStart w:id="12" w:name="_Toc235706292"/>
      <w:r>
        <w:rPr>
          <w:lang w:val="en-GB"/>
        </w:rPr>
        <w:lastRenderedPageBreak/>
        <w:t>2025</w:t>
      </w:r>
      <w:r w:rsidR="002D5140">
        <w:rPr>
          <w:lang w:val="en-GB"/>
        </w:rPr>
        <w:t>–</w:t>
      </w:r>
      <w:r>
        <w:rPr>
          <w:lang w:val="en-GB"/>
        </w:rPr>
        <w:t>26</w:t>
      </w:r>
      <w:r w:rsidRPr="00074D44">
        <w:rPr>
          <w:lang w:val="en-GB"/>
        </w:rPr>
        <w:t xml:space="preserve"> </w:t>
      </w:r>
      <w:r w:rsidR="004A2E03" w:rsidRPr="00074D44">
        <w:rPr>
          <w:lang w:val="en-GB"/>
        </w:rPr>
        <w:t>updates</w:t>
      </w:r>
      <w:bookmarkEnd w:id="12"/>
      <w:r w:rsidR="004A2E03" w:rsidRPr="00074D44">
        <w:rPr>
          <w:lang w:val="en-GB"/>
        </w:rPr>
        <w:t> </w:t>
      </w:r>
    </w:p>
    <w:p w14:paraId="2FAA136B" w14:textId="6C8FD62F" w:rsidR="00DA4688" w:rsidRPr="00330B59" w:rsidRDefault="005838E4" w:rsidP="00D2141E">
      <w:pPr>
        <w:pStyle w:val="paragraph"/>
        <w:rPr>
          <w:rStyle w:val="normaltextrun"/>
          <w:rFonts w:ascii="Calibri" w:hAnsi="Calibri" w:cs="Calibri"/>
          <w:b/>
          <w:bCs/>
          <w:color w:val="000000" w:themeColor="text1"/>
          <w:kern w:val="32"/>
          <w:sz w:val="40"/>
          <w:szCs w:val="22"/>
        </w:rPr>
      </w:pPr>
      <w:r>
        <w:rPr>
          <w:rStyle w:val="normaltextrun"/>
          <w:rFonts w:ascii="Calibri" w:eastAsiaTheme="minorEastAsia" w:hAnsi="Calibri" w:cs="Calibri"/>
          <w:color w:val="000000"/>
          <w:sz w:val="22"/>
          <w:szCs w:val="22"/>
        </w:rPr>
        <w:t xml:space="preserve">Changes in this document for the </w:t>
      </w:r>
      <w:r w:rsidR="00112195">
        <w:rPr>
          <w:rStyle w:val="normaltextrun"/>
          <w:rFonts w:ascii="Calibri" w:eastAsiaTheme="minorEastAsia" w:hAnsi="Calibri" w:cs="Calibri"/>
          <w:color w:val="000000"/>
          <w:sz w:val="22"/>
          <w:szCs w:val="22"/>
        </w:rPr>
        <w:t>2025</w:t>
      </w:r>
      <w:r w:rsidR="002D5140">
        <w:rPr>
          <w:rStyle w:val="normaltextrun"/>
          <w:rFonts w:ascii="Calibri" w:eastAsiaTheme="minorEastAsia" w:hAnsi="Calibri" w:cs="Calibri"/>
          <w:color w:val="000000"/>
          <w:sz w:val="22"/>
          <w:szCs w:val="22"/>
        </w:rPr>
        <w:t>–</w:t>
      </w:r>
      <w:r w:rsidR="00C3230A">
        <w:rPr>
          <w:rStyle w:val="normaltextrun"/>
          <w:rFonts w:ascii="Calibri" w:eastAsiaTheme="minorEastAsia" w:hAnsi="Calibri" w:cs="Calibri"/>
          <w:color w:val="000000"/>
          <w:sz w:val="22"/>
          <w:szCs w:val="22"/>
        </w:rPr>
        <w:t>26</w:t>
      </w:r>
      <w:r w:rsidR="00112195">
        <w:rPr>
          <w:rStyle w:val="normaltextrun"/>
          <w:rFonts w:ascii="Calibri" w:eastAsiaTheme="minorEastAsia" w:hAnsi="Calibri" w:cs="Calibri"/>
          <w:color w:val="000000"/>
          <w:sz w:val="22"/>
          <w:szCs w:val="22"/>
        </w:rPr>
        <w:t>-</w:t>
      </w:r>
      <w:r>
        <w:rPr>
          <w:rStyle w:val="normaltextrun"/>
          <w:rFonts w:ascii="Calibri" w:eastAsiaTheme="minorEastAsia" w:hAnsi="Calibri" w:cs="Calibri"/>
          <w:color w:val="000000"/>
          <w:sz w:val="22"/>
          <w:szCs w:val="22"/>
        </w:rPr>
        <w:t>reporting year:</w:t>
      </w:r>
      <w:r>
        <w:rPr>
          <w:rStyle w:val="eop"/>
          <w:rFonts w:ascii="Calibri" w:eastAsiaTheme="minorEastAsia" w:hAnsi="Calibri" w:cs="Calibri"/>
          <w:color w:val="000000"/>
          <w:sz w:val="22"/>
        </w:rPr>
        <w:t> </w:t>
      </w:r>
    </w:p>
    <w:p w14:paraId="4F137180" w14:textId="0254FB3E" w:rsidR="00F956A0" w:rsidRDefault="00F956A0" w:rsidP="00D2141E">
      <w:pPr>
        <w:pStyle w:val="CERbullets"/>
        <w:rPr>
          <w:rStyle w:val="normaltextrun"/>
          <w:rFonts w:ascii="Calibri" w:hAnsi="Calibri" w:cs="Calibri"/>
          <w:szCs w:val="22"/>
        </w:rPr>
      </w:pPr>
      <w:r>
        <w:rPr>
          <w:rStyle w:val="normaltextrun"/>
          <w:rFonts w:ascii="Calibri" w:hAnsi="Calibri" w:cs="Calibri"/>
          <w:szCs w:val="22"/>
        </w:rPr>
        <w:t xml:space="preserve">Chapter 6.1.1: Updated information for meaning of ‘purchased’ or ‘acquired’ electricity. </w:t>
      </w:r>
    </w:p>
    <w:p w14:paraId="12195288" w14:textId="7416763B" w:rsidR="00A17FAB" w:rsidRPr="00BF3F47" w:rsidRDefault="00D939FB" w:rsidP="00D2141E">
      <w:pPr>
        <w:pStyle w:val="CERbullets"/>
        <w:rPr>
          <w:rStyle w:val="normaltextrun"/>
          <w:rFonts w:ascii="Calibri" w:hAnsi="Calibri" w:cs="Calibri"/>
          <w:szCs w:val="22"/>
        </w:rPr>
      </w:pPr>
      <w:r w:rsidRPr="00052C55">
        <w:rPr>
          <w:rStyle w:val="normaltextrun"/>
          <w:rFonts w:ascii="Calibri" w:hAnsi="Calibri" w:cs="Calibri"/>
          <w:szCs w:val="22"/>
        </w:rPr>
        <w:t>Chapter 6</w:t>
      </w:r>
      <w:r w:rsidR="00C27980" w:rsidRPr="00E5622F">
        <w:rPr>
          <w:rStyle w:val="normaltextrun"/>
          <w:rFonts w:ascii="Calibri" w:hAnsi="Calibri" w:cs="Calibri"/>
          <w:szCs w:val="22"/>
        </w:rPr>
        <w:t>.2.1</w:t>
      </w:r>
      <w:r w:rsidR="00EB085D" w:rsidRPr="00052C55">
        <w:rPr>
          <w:rStyle w:val="normaltextrun"/>
          <w:rFonts w:ascii="Calibri" w:hAnsi="Calibri" w:cs="Calibri"/>
          <w:szCs w:val="22"/>
        </w:rPr>
        <w:t xml:space="preserve">: </w:t>
      </w:r>
      <w:r w:rsidR="000132D8" w:rsidRPr="00052C55">
        <w:rPr>
          <w:rStyle w:val="normaltextrun"/>
          <w:rFonts w:ascii="Calibri" w:hAnsi="Calibri" w:cs="Calibri"/>
          <w:szCs w:val="22"/>
        </w:rPr>
        <w:t xml:space="preserve">Additional discussion of scope 2 reporting methods, </w:t>
      </w:r>
      <w:r w:rsidR="00663FE1" w:rsidRPr="00052C55">
        <w:rPr>
          <w:rStyle w:val="normaltextrun"/>
          <w:rFonts w:ascii="Calibri" w:hAnsi="Calibri" w:cs="Calibri"/>
          <w:szCs w:val="22"/>
        </w:rPr>
        <w:t xml:space="preserve">in relation </w:t>
      </w:r>
      <w:r w:rsidR="00AA6BDD" w:rsidRPr="00052C55">
        <w:rPr>
          <w:rStyle w:val="normaltextrun"/>
          <w:rFonts w:ascii="Calibri" w:hAnsi="Calibri" w:cs="Calibri"/>
          <w:szCs w:val="22"/>
        </w:rPr>
        <w:t xml:space="preserve">to </w:t>
      </w:r>
      <w:r w:rsidR="0080075F" w:rsidRPr="00052C55">
        <w:rPr>
          <w:rStyle w:val="normaltextrun"/>
          <w:rFonts w:ascii="Calibri" w:hAnsi="Calibri" w:cs="Calibri"/>
          <w:szCs w:val="22"/>
        </w:rPr>
        <w:t>electricity purchased</w:t>
      </w:r>
      <w:r w:rsidR="0080075F" w:rsidRPr="000F7CA8">
        <w:rPr>
          <w:rStyle w:val="normaltextrun"/>
          <w:rFonts w:ascii="Calibri" w:hAnsi="Calibri" w:cs="Calibri"/>
          <w:szCs w:val="22"/>
        </w:rPr>
        <w:t xml:space="preserve">, acquired or lost from other sources </w:t>
      </w:r>
      <w:r w:rsidRPr="00052C55">
        <w:rPr>
          <w:rStyle w:val="normaltextrun"/>
          <w:rFonts w:ascii="Calibri" w:hAnsi="Calibri" w:cs="Calibri"/>
          <w:szCs w:val="22"/>
        </w:rPr>
        <w:t xml:space="preserve">and </w:t>
      </w:r>
      <w:r w:rsidR="00663FE1" w:rsidRPr="00052C55">
        <w:rPr>
          <w:rStyle w:val="normaltextrun"/>
          <w:rFonts w:ascii="Calibri" w:hAnsi="Calibri" w:cs="Calibri"/>
          <w:szCs w:val="22"/>
        </w:rPr>
        <w:t xml:space="preserve">the new </w:t>
      </w:r>
      <w:r w:rsidR="001F2AF3">
        <w:rPr>
          <w:rStyle w:val="normaltextrun"/>
          <w:rFonts w:ascii="Calibri" w:hAnsi="Calibri" w:cs="Calibri"/>
          <w:szCs w:val="22"/>
        </w:rPr>
        <w:t>matters to be identified (</w:t>
      </w:r>
      <w:r w:rsidR="00663FE1" w:rsidRPr="00052C55">
        <w:rPr>
          <w:rStyle w:val="normaltextrun"/>
          <w:rFonts w:ascii="Calibri" w:hAnsi="Calibri" w:cs="Calibri"/>
          <w:szCs w:val="22"/>
        </w:rPr>
        <w:t>MTBI</w:t>
      </w:r>
      <w:r w:rsidR="00910B5E" w:rsidRPr="00E5622F">
        <w:rPr>
          <w:rStyle w:val="normaltextrun"/>
          <w:rFonts w:ascii="Calibri" w:hAnsi="Calibri" w:cs="Calibri"/>
          <w:szCs w:val="22"/>
        </w:rPr>
        <w:t>s</w:t>
      </w:r>
      <w:r w:rsidR="001F2AF3">
        <w:rPr>
          <w:rStyle w:val="normaltextrun"/>
          <w:rFonts w:ascii="Calibri" w:hAnsi="Calibri" w:cs="Calibri"/>
          <w:szCs w:val="22"/>
        </w:rPr>
        <w:t>)</w:t>
      </w:r>
      <w:r w:rsidR="00663FE1" w:rsidRPr="00052C55">
        <w:rPr>
          <w:rStyle w:val="normaltextrun"/>
          <w:rFonts w:ascii="Calibri" w:hAnsi="Calibri" w:cs="Calibri"/>
          <w:szCs w:val="22"/>
        </w:rPr>
        <w:t xml:space="preserve"> </w:t>
      </w:r>
      <w:r w:rsidRPr="00052C55">
        <w:rPr>
          <w:rStyle w:val="normaltextrun"/>
          <w:rFonts w:ascii="Calibri" w:hAnsi="Calibri" w:cs="Calibri"/>
          <w:szCs w:val="22"/>
        </w:rPr>
        <w:t>for this method</w:t>
      </w:r>
      <w:r w:rsidR="0097576F" w:rsidRPr="00052C55">
        <w:rPr>
          <w:rStyle w:val="normaltextrun"/>
          <w:rFonts w:ascii="Calibri" w:hAnsi="Calibri" w:cs="Calibri"/>
          <w:szCs w:val="22"/>
        </w:rPr>
        <w:t>.</w:t>
      </w:r>
    </w:p>
    <w:p w14:paraId="5E394ED2" w14:textId="77777777" w:rsidR="00BF3F47" w:rsidRDefault="00B44709" w:rsidP="00F66D26">
      <w:pPr>
        <w:pStyle w:val="CERbullets"/>
        <w:rPr>
          <w:rStyle w:val="normaltextrun"/>
          <w:rFonts w:ascii="Calibri" w:hAnsi="Calibri" w:cs="Calibri"/>
          <w:szCs w:val="22"/>
        </w:rPr>
      </w:pPr>
      <w:r w:rsidRPr="00052C55">
        <w:rPr>
          <w:rStyle w:val="normaltextrun"/>
          <w:rFonts w:ascii="Calibri" w:hAnsi="Calibri" w:cs="Calibri"/>
          <w:szCs w:val="22"/>
        </w:rPr>
        <w:t xml:space="preserve">Chapter </w:t>
      </w:r>
      <w:r w:rsidR="00052C55" w:rsidRPr="00052C55">
        <w:rPr>
          <w:rStyle w:val="normaltextrun"/>
          <w:rFonts w:ascii="Calibri" w:hAnsi="Calibri" w:cs="Calibri"/>
          <w:szCs w:val="22"/>
        </w:rPr>
        <w:t>6.2.2: Summary of changes to</w:t>
      </w:r>
      <w:r w:rsidR="00052C55" w:rsidRPr="00052C55">
        <w:t xml:space="preserve"> reporting of </w:t>
      </w:r>
      <w:r w:rsidR="00052C55" w:rsidRPr="00052C55">
        <w:rPr>
          <w:rStyle w:val="normaltextrun"/>
          <w:rFonts w:ascii="Calibri" w:hAnsi="Calibri" w:cs="Calibri"/>
          <w:szCs w:val="22"/>
        </w:rPr>
        <w:t>Voluntary market-based method for estimating scope 2 emissions</w:t>
      </w:r>
      <w:r w:rsidR="00C6021E">
        <w:rPr>
          <w:rStyle w:val="normaltextrun"/>
          <w:rFonts w:ascii="Calibri" w:hAnsi="Calibri" w:cs="Calibri"/>
          <w:szCs w:val="22"/>
        </w:rPr>
        <w:t>.</w:t>
      </w:r>
    </w:p>
    <w:p w14:paraId="1FB49D16" w14:textId="1BD248A1" w:rsidR="00F66D26" w:rsidRPr="0042174A" w:rsidRDefault="00F66D26" w:rsidP="00F66D26">
      <w:pPr>
        <w:pStyle w:val="CERbullets"/>
        <w:rPr>
          <w:rStyle w:val="normaltextrun"/>
          <w:rFonts w:ascii="Calibri" w:hAnsi="Calibri" w:cs="Calibri"/>
          <w:szCs w:val="22"/>
        </w:rPr>
      </w:pPr>
      <w:r w:rsidRPr="00330B59">
        <w:rPr>
          <w:rStyle w:val="normaltextrun"/>
          <w:rFonts w:ascii="Calibri" w:eastAsiaTheme="minorEastAsia" w:hAnsi="Calibri" w:cs="Calibri"/>
          <w:szCs w:val="22"/>
          <w:lang w:val="en-GB"/>
        </w:rPr>
        <w:t>Minor stylistic and formatting changes</w:t>
      </w:r>
      <w:r>
        <w:rPr>
          <w:rStyle w:val="normaltextrun"/>
          <w:rFonts w:ascii="Calibri" w:eastAsiaTheme="minorEastAsia" w:hAnsi="Calibri" w:cs="Calibri"/>
          <w:szCs w:val="22"/>
          <w:lang w:val="en-GB"/>
        </w:rPr>
        <w:t xml:space="preserve"> have </w:t>
      </w:r>
      <w:r w:rsidR="00BF3F47">
        <w:rPr>
          <w:rStyle w:val="normaltextrun"/>
          <w:rFonts w:ascii="Calibri" w:eastAsiaTheme="minorEastAsia" w:hAnsi="Calibri" w:cs="Calibri"/>
          <w:szCs w:val="22"/>
          <w:lang w:val="en-GB"/>
        </w:rPr>
        <w:t xml:space="preserve">also </w:t>
      </w:r>
      <w:r>
        <w:rPr>
          <w:rStyle w:val="normaltextrun"/>
          <w:rFonts w:ascii="Calibri" w:eastAsiaTheme="minorEastAsia" w:hAnsi="Calibri" w:cs="Calibri"/>
          <w:szCs w:val="22"/>
          <w:lang w:val="en-GB"/>
        </w:rPr>
        <w:t>been made throughout this guidance document.</w:t>
      </w:r>
    </w:p>
    <w:p w14:paraId="5A5BB79C" w14:textId="77777777" w:rsidR="00F66D26" w:rsidRPr="00052C55" w:rsidRDefault="00F66D26" w:rsidP="00EC2D37">
      <w:pPr>
        <w:pStyle w:val="CERbullets"/>
        <w:numPr>
          <w:ilvl w:val="0"/>
          <w:numId w:val="0"/>
        </w:numPr>
        <w:ind w:left="360"/>
        <w:rPr>
          <w:rStyle w:val="normaltextrun"/>
          <w:rFonts w:ascii="Calibri" w:hAnsi="Calibri" w:cs="Calibri"/>
          <w:szCs w:val="22"/>
        </w:rPr>
      </w:pPr>
    </w:p>
    <w:p w14:paraId="54263F11" w14:textId="3F6EA662" w:rsidR="005838E4" w:rsidRDefault="005838E4" w:rsidP="00CC59E1">
      <w:pPr>
        <w:pStyle w:val="CERbullets"/>
        <w:numPr>
          <w:ilvl w:val="0"/>
          <w:numId w:val="0"/>
        </w:numPr>
        <w:ind w:left="360"/>
        <w:rPr>
          <w:rFonts w:ascii="Calibri" w:hAnsi="Calibri" w:cs="Calibri"/>
          <w:szCs w:val="22"/>
        </w:rPr>
      </w:pPr>
      <w:r>
        <w:rPr>
          <w:rFonts w:ascii="Calibri" w:hAnsi="Calibri" w:cs="Calibri"/>
          <w:szCs w:val="22"/>
        </w:rPr>
        <w:br/>
      </w:r>
    </w:p>
    <w:p w14:paraId="5A4E5AEC" w14:textId="371E104F" w:rsidR="005838E4" w:rsidRDefault="005838E4" w:rsidP="005838E4">
      <w:pPr>
        <w:pStyle w:val="paragraph"/>
        <w:spacing w:before="0" w:beforeAutospacing="0" w:after="0" w:afterAutospacing="0"/>
        <w:textAlignment w:val="baseline"/>
        <w:rPr>
          <w:rStyle w:val="eop"/>
          <w:rFonts w:ascii="Calibri" w:eastAsiaTheme="minorEastAsia" w:hAnsi="Calibri" w:cs="Calibri"/>
          <w:sz w:val="22"/>
        </w:rPr>
      </w:pPr>
      <w:r>
        <w:rPr>
          <w:rStyle w:val="normaltextrun"/>
          <w:rFonts w:ascii="Calibri" w:eastAsiaTheme="minorEastAsia" w:hAnsi="Calibri" w:cs="Calibri"/>
          <w:sz w:val="22"/>
          <w:szCs w:val="22"/>
        </w:rPr>
        <w:t xml:space="preserve">Read about the </w:t>
      </w:r>
      <w:hyperlink r:id="rId26" w:tooltip="A link to the NGER amendments page of the Clean Energy Regulator website" w:history="1">
        <w:r w:rsidR="00112195">
          <w:rPr>
            <w:rStyle w:val="normaltextrun"/>
            <w:rFonts w:ascii="Calibri" w:eastAsiaTheme="minorEastAsia" w:hAnsi="Calibri" w:cs="Calibri"/>
            <w:color w:val="006C93"/>
            <w:sz w:val="22"/>
            <w:szCs w:val="22"/>
            <w:u w:val="single"/>
          </w:rPr>
          <w:t>changes to the NGER Legislation for the 2025</w:t>
        </w:r>
        <w:r w:rsidR="00CB0CD5">
          <w:rPr>
            <w:rStyle w:val="normaltextrun"/>
            <w:rFonts w:ascii="Calibri" w:eastAsiaTheme="minorEastAsia" w:hAnsi="Calibri" w:cs="Calibri"/>
            <w:color w:val="006C93"/>
            <w:sz w:val="22"/>
            <w:szCs w:val="22"/>
            <w:u w:val="single"/>
          </w:rPr>
          <w:t>–</w:t>
        </w:r>
        <w:r w:rsidR="00112195">
          <w:rPr>
            <w:rStyle w:val="normaltextrun"/>
            <w:rFonts w:ascii="Calibri" w:eastAsiaTheme="minorEastAsia" w:hAnsi="Calibri" w:cs="Calibri"/>
            <w:color w:val="006C93"/>
            <w:sz w:val="22"/>
            <w:szCs w:val="22"/>
            <w:u w:val="single"/>
          </w:rPr>
          <w:t>26 reporting period</w:t>
        </w:r>
      </w:hyperlink>
      <w:r w:rsidR="004B0870">
        <w:rPr>
          <w:rFonts w:ascii="ZWAdobeF" w:hAnsi="ZWAdobeF" w:cs="ZWAdobeF"/>
          <w:sz w:val="2"/>
          <w:szCs w:val="2"/>
        </w:rPr>
        <w:t>5F</w:t>
      </w:r>
      <w:r w:rsidR="004672B4">
        <w:rPr>
          <w:rStyle w:val="FootnoteReference"/>
          <w:rFonts w:ascii="Segoe UI" w:hAnsi="Segoe UI" w:cs="Segoe UI"/>
          <w:sz w:val="18"/>
          <w:szCs w:val="18"/>
        </w:rPr>
        <w:footnoteReference w:id="7"/>
      </w:r>
      <w:r>
        <w:rPr>
          <w:rStyle w:val="normaltextrun"/>
          <w:rFonts w:ascii="Calibri" w:eastAsiaTheme="minorEastAsia" w:hAnsi="Calibri" w:cs="Calibri"/>
          <w:sz w:val="22"/>
          <w:szCs w:val="22"/>
        </w:rPr>
        <w:t>.  </w:t>
      </w:r>
      <w:r>
        <w:rPr>
          <w:rStyle w:val="eop"/>
          <w:rFonts w:ascii="Calibri" w:eastAsiaTheme="minorEastAsia" w:hAnsi="Calibri" w:cs="Calibri"/>
          <w:sz w:val="22"/>
        </w:rPr>
        <w:t> </w:t>
      </w:r>
    </w:p>
    <w:p w14:paraId="74D47633" w14:textId="77777777" w:rsidR="002439A1" w:rsidRDefault="002439A1">
      <w:pPr>
        <w:spacing w:after="0"/>
        <w:rPr>
          <w:rStyle w:val="eop"/>
          <w:rFonts w:ascii="Calibri" w:eastAsiaTheme="minorEastAsia" w:hAnsi="Calibri" w:cs="Calibri"/>
          <w:color w:val="auto"/>
          <w:lang w:eastAsia="en-AU"/>
        </w:rPr>
      </w:pPr>
      <w:r>
        <w:rPr>
          <w:rStyle w:val="eop"/>
          <w:rFonts w:ascii="Calibri" w:eastAsiaTheme="minorEastAsia" w:hAnsi="Calibri" w:cs="Calibri"/>
        </w:rPr>
        <w:br w:type="page"/>
      </w:r>
    </w:p>
    <w:p w14:paraId="133626B6" w14:textId="7AB70FE2" w:rsidR="004A2E03" w:rsidRPr="00FF338C" w:rsidRDefault="000315DF" w:rsidP="00DB4B56">
      <w:pPr>
        <w:pStyle w:val="Heading1"/>
        <w:numPr>
          <w:ilvl w:val="0"/>
          <w:numId w:val="3"/>
        </w:numPr>
        <w:ind w:left="426" w:hanging="426"/>
        <w:rPr>
          <w:lang w:val="en-GB"/>
        </w:rPr>
      </w:pPr>
      <w:bookmarkStart w:id="13" w:name="_Toc139895787"/>
      <w:bookmarkStart w:id="14" w:name="_Toc139895918"/>
      <w:bookmarkStart w:id="15" w:name="_Toc139896010"/>
      <w:bookmarkStart w:id="16" w:name="_Toc140062865"/>
      <w:bookmarkStart w:id="17" w:name="_Toc140141822"/>
      <w:bookmarkStart w:id="18" w:name="_Toc142059103"/>
      <w:bookmarkStart w:id="19" w:name="_Toc147852440"/>
      <w:bookmarkEnd w:id="13"/>
      <w:bookmarkEnd w:id="14"/>
      <w:bookmarkEnd w:id="15"/>
      <w:bookmarkEnd w:id="16"/>
      <w:bookmarkEnd w:id="17"/>
      <w:bookmarkEnd w:id="18"/>
      <w:bookmarkEnd w:id="19"/>
      <w:r>
        <w:lastRenderedPageBreak/>
        <w:t xml:space="preserve"> </w:t>
      </w:r>
      <w:bookmarkStart w:id="20" w:name="_Ref511987459"/>
      <w:bookmarkStart w:id="21" w:name="_Toc512010382"/>
      <w:bookmarkStart w:id="22" w:name="_Toc512339580"/>
      <w:bookmarkStart w:id="23" w:name="_Toc106705744"/>
      <w:bookmarkStart w:id="24" w:name="_Toc235706293"/>
      <w:r w:rsidR="004A2E03" w:rsidRPr="00FF338C">
        <w:rPr>
          <w:lang w:val="en-GB"/>
        </w:rPr>
        <w:t>Purpose of this guideline</w:t>
      </w:r>
      <w:bookmarkEnd w:id="20"/>
      <w:bookmarkEnd w:id="21"/>
      <w:bookmarkEnd w:id="22"/>
      <w:bookmarkEnd w:id="23"/>
      <w:bookmarkEnd w:id="24"/>
    </w:p>
    <w:p w14:paraId="162C646C" w14:textId="3D9CCC95" w:rsidR="00513620" w:rsidRDefault="00513620" w:rsidP="00513620"/>
    <w:p w14:paraId="1F77CC04" w14:textId="6371A2C6" w:rsidR="004A2E03" w:rsidRPr="00FF338C" w:rsidRDefault="00776CC5" w:rsidP="004A2E03">
      <w:r>
        <w:t>This guideline</w:t>
      </w:r>
      <w:r w:rsidDel="00613654">
        <w:t xml:space="preserve"> </w:t>
      </w:r>
      <w:r>
        <w:t>provide</w:t>
      </w:r>
      <w:r w:rsidR="00613654">
        <w:t>s</w:t>
      </w:r>
      <w:r>
        <w:t xml:space="preserve"> information to assist </w:t>
      </w:r>
      <w:r w:rsidR="006A57B2">
        <w:t>NGER reporters</w:t>
      </w:r>
      <w:r>
        <w:t xml:space="preserve"> </w:t>
      </w:r>
      <w:r w:rsidR="00C47E87">
        <w:t>to report</w:t>
      </w:r>
      <w:r w:rsidR="00721F49">
        <w:t xml:space="preserve"> </w:t>
      </w:r>
      <w:r w:rsidR="0035428D">
        <w:t>emission</w:t>
      </w:r>
      <w:r w:rsidR="0056179D">
        <w:t>s</w:t>
      </w:r>
      <w:r w:rsidR="004A2E03" w:rsidRPr="00FF338C">
        <w:t xml:space="preserve"> and </w:t>
      </w:r>
      <w:r w:rsidR="0035428D">
        <w:t xml:space="preserve">energy </w:t>
      </w:r>
      <w:r w:rsidR="00F321B5">
        <w:t xml:space="preserve">from </w:t>
      </w:r>
      <w:r w:rsidR="004A2E03" w:rsidRPr="00FF338C">
        <w:t xml:space="preserve">electricity </w:t>
      </w:r>
      <w:r w:rsidR="00CF41BA">
        <w:t>production</w:t>
      </w:r>
      <w:r w:rsidR="00F321B5">
        <w:t xml:space="preserve"> and</w:t>
      </w:r>
      <w:r w:rsidR="00CF41BA">
        <w:t xml:space="preserve"> </w:t>
      </w:r>
      <w:r w:rsidR="00256BFD">
        <w:t>consumption</w:t>
      </w:r>
      <w:r w:rsidR="004A2E03" w:rsidRPr="00FF338C">
        <w:t xml:space="preserve"> under the NGER Act</w:t>
      </w:r>
      <w:r w:rsidR="004A2E03">
        <w:t xml:space="preserve"> and</w:t>
      </w:r>
      <w:r w:rsidR="00D20942">
        <w:t xml:space="preserve"> other requirements</w:t>
      </w:r>
      <w:r w:rsidR="004A2E03">
        <w:t xml:space="preserve"> </w:t>
      </w:r>
      <w:r w:rsidR="00D20942">
        <w:t xml:space="preserve">under </w:t>
      </w:r>
      <w:r w:rsidR="004A2E03">
        <w:t>the</w:t>
      </w:r>
      <w:r w:rsidR="004A2E03" w:rsidRPr="004710E1">
        <w:rPr>
          <w:i/>
          <w:iCs/>
        </w:rPr>
        <w:t xml:space="preserve"> </w:t>
      </w:r>
      <w:hyperlink r:id="rId27" w:tooltip="A link to the Australian Government legislation - the National Greenhouse and Energy Reporting (Safeguard Mechanism) rule" w:history="1">
        <w:r w:rsidR="004A2E03" w:rsidRPr="0088632B">
          <w:rPr>
            <w:rStyle w:val="Hyperlink"/>
            <w:rFonts w:asciiTheme="minorHAnsi" w:hAnsiTheme="minorHAnsi"/>
          </w:rPr>
          <w:t>National Greenhouse and Energy Reporting (Safeguard Mechanism) Rule 2015</w:t>
        </w:r>
      </w:hyperlink>
      <w:r w:rsidR="004B0870">
        <w:rPr>
          <w:rFonts w:ascii="ZWAdobeF" w:hAnsi="ZWAdobeF" w:cs="ZWAdobeF"/>
          <w:color w:val="auto"/>
          <w:sz w:val="2"/>
          <w:szCs w:val="2"/>
        </w:rPr>
        <w:t>6F</w:t>
      </w:r>
      <w:r w:rsidR="004A2E03">
        <w:rPr>
          <w:rStyle w:val="FootnoteReference"/>
        </w:rPr>
        <w:footnoteReference w:id="8"/>
      </w:r>
      <w:r w:rsidR="004A2E03" w:rsidRPr="004710E1">
        <w:t xml:space="preserve"> (Safeguard </w:t>
      </w:r>
      <w:r w:rsidR="004A2E03">
        <w:t xml:space="preserve">Mechanism </w:t>
      </w:r>
      <w:r w:rsidR="004A2E03" w:rsidRPr="004710E1">
        <w:t>Rule</w:t>
      </w:r>
      <w:r w:rsidR="004A2E03">
        <w:t>)</w:t>
      </w:r>
      <w:r w:rsidR="004A2E03" w:rsidRPr="00FF338C">
        <w:t>.</w:t>
      </w:r>
    </w:p>
    <w:p w14:paraId="188ED8AF" w14:textId="56C910C1" w:rsidR="004A2E03" w:rsidRPr="00FF338C" w:rsidRDefault="004A2E03" w:rsidP="0035044B">
      <w:pPr>
        <w:pStyle w:val="CERbullets"/>
        <w:numPr>
          <w:ilvl w:val="0"/>
          <w:numId w:val="0"/>
        </w:numPr>
        <w:ind w:left="360"/>
      </w:pPr>
    </w:p>
    <w:p w14:paraId="3B1B795B" w14:textId="77777777" w:rsidR="004A2E03" w:rsidRPr="00FF338C" w:rsidRDefault="004A2E03" w:rsidP="00DB4B56">
      <w:pPr>
        <w:pStyle w:val="Heading2"/>
        <w:numPr>
          <w:ilvl w:val="1"/>
          <w:numId w:val="3"/>
        </w:numPr>
        <w:ind w:left="426" w:hanging="426"/>
      </w:pPr>
      <w:bookmarkStart w:id="25" w:name="_Toc512010383"/>
      <w:bookmarkStart w:id="26" w:name="_Toc512339581"/>
      <w:bookmarkStart w:id="27" w:name="_Toc106705745"/>
      <w:bookmarkStart w:id="28" w:name="_Toc235706294"/>
      <w:r w:rsidRPr="00FF338C">
        <w:t>Focus of this guideline</w:t>
      </w:r>
      <w:bookmarkEnd w:id="25"/>
      <w:bookmarkEnd w:id="26"/>
      <w:bookmarkEnd w:id="27"/>
      <w:bookmarkEnd w:id="28"/>
    </w:p>
    <w:p w14:paraId="280B7259" w14:textId="42452BA1" w:rsidR="004A2E03" w:rsidRPr="00FF338C" w:rsidRDefault="004A2E03" w:rsidP="004A2E03">
      <w:pPr>
        <w:rPr>
          <w:rFonts w:eastAsia="Times New Roman"/>
          <w:b/>
          <w:color w:val="005874"/>
          <w:sz w:val="30"/>
          <w:szCs w:val="30"/>
        </w:rPr>
      </w:pPr>
      <w:r w:rsidRPr="00BD5B0F">
        <w:t>The guideline focuses on</w:t>
      </w:r>
      <w:r>
        <w:t>:</w:t>
      </w:r>
    </w:p>
    <w:p w14:paraId="5A2E9573" w14:textId="340E3279" w:rsidR="004A2E03" w:rsidRPr="00FF338C" w:rsidRDefault="004A2E03" w:rsidP="00B3330E">
      <w:pPr>
        <w:numPr>
          <w:ilvl w:val="0"/>
          <w:numId w:val="1"/>
        </w:numPr>
        <w:spacing w:before="120" w:after="120"/>
      </w:pPr>
      <w:r>
        <w:t xml:space="preserve">good </w:t>
      </w:r>
      <w:r w:rsidR="00D77263">
        <w:t xml:space="preserve">reporting </w:t>
      </w:r>
      <w:r>
        <w:t>practice</w:t>
      </w:r>
      <w:r w:rsidR="00D77263">
        <w:t>s</w:t>
      </w:r>
      <w:r>
        <w:t xml:space="preserve"> — </w:t>
      </w:r>
      <w:r w:rsidR="00AC77B9">
        <w:t>Chapter</w:t>
      </w:r>
      <w:r>
        <w:t xml:space="preserve"> 2</w:t>
      </w:r>
    </w:p>
    <w:p w14:paraId="482843CE" w14:textId="696FBE91" w:rsidR="004A2E03" w:rsidRPr="00FF338C" w:rsidRDefault="004A2E03" w:rsidP="00B3330E">
      <w:pPr>
        <w:numPr>
          <w:ilvl w:val="0"/>
          <w:numId w:val="1"/>
        </w:numPr>
        <w:spacing w:before="120" w:after="120"/>
      </w:pPr>
      <w:r w:rsidRPr="00FF338C">
        <w:t xml:space="preserve">estimating scope 1 emissions </w:t>
      </w:r>
      <w:r>
        <w:t xml:space="preserve">— </w:t>
      </w:r>
      <w:r w:rsidR="00AC77B9">
        <w:t>Chapter</w:t>
      </w:r>
      <w:r>
        <w:t xml:space="preserve"> 3</w:t>
      </w:r>
    </w:p>
    <w:p w14:paraId="4BBE064F" w14:textId="30440F4E" w:rsidR="004A2E03" w:rsidRPr="00FF338C" w:rsidRDefault="004A2E03" w:rsidP="00B3330E">
      <w:pPr>
        <w:numPr>
          <w:ilvl w:val="0"/>
          <w:numId w:val="1"/>
        </w:numPr>
        <w:spacing w:before="120" w:after="120"/>
      </w:pPr>
      <w:r>
        <w:t>e</w:t>
      </w:r>
      <w:r w:rsidRPr="00FF338C">
        <w:t xml:space="preserve">stimating emissions from fuel combustion </w:t>
      </w:r>
      <w:r w:rsidR="00CA29F9">
        <w:t>for electricity production</w:t>
      </w:r>
      <w:r>
        <w:t xml:space="preserve">— </w:t>
      </w:r>
      <w:r w:rsidR="00AC77B9">
        <w:t>Chapter</w:t>
      </w:r>
      <w:r>
        <w:t xml:space="preserve"> 4</w:t>
      </w:r>
    </w:p>
    <w:p w14:paraId="5404E1AF" w14:textId="4E7F5486" w:rsidR="004A2E03" w:rsidRPr="00FF338C" w:rsidRDefault="004A2E03" w:rsidP="00B3330E">
      <w:pPr>
        <w:numPr>
          <w:ilvl w:val="0"/>
          <w:numId w:val="1"/>
        </w:numPr>
        <w:spacing w:before="120" w:after="120"/>
      </w:pPr>
      <w:r>
        <w:t>e</w:t>
      </w:r>
      <w:r w:rsidRPr="00FF338C">
        <w:t>stimating emissions of sulphur hexafluoride</w:t>
      </w:r>
      <w:r>
        <w:t xml:space="preserve"> — </w:t>
      </w:r>
      <w:r w:rsidR="00AC77B9">
        <w:t>Chapter</w:t>
      </w:r>
      <w:r>
        <w:t xml:space="preserve"> 5</w:t>
      </w:r>
      <w:r w:rsidR="00AD3FE5">
        <w:t>. Additional</w:t>
      </w:r>
      <w:r w:rsidR="00201AE0">
        <w:t xml:space="preserve"> </w:t>
      </w:r>
      <w:r w:rsidR="00DD170B">
        <w:t>guidance</w:t>
      </w:r>
      <w:r w:rsidR="00DD170B" w:rsidDel="005F7BF6">
        <w:t xml:space="preserve"> </w:t>
      </w:r>
      <w:r w:rsidR="007A71FD">
        <w:t>is also provided</w:t>
      </w:r>
      <w:r w:rsidR="00412A62">
        <w:t xml:space="preserve"> </w:t>
      </w:r>
      <w:r w:rsidR="006C1CE1">
        <w:t>in the</w:t>
      </w:r>
      <w:r w:rsidR="007A71FD">
        <w:t xml:space="preserve"> </w:t>
      </w:r>
      <w:hyperlink r:id="rId28" w:tooltip="A link to the Reporting Hydrofluorocarbons and Sulphur Hexaflouride gases guide the Clean Energy Regulator website" w:history="1">
        <w:r w:rsidRPr="79B44BC7">
          <w:rPr>
            <w:rStyle w:val="Hyperlink"/>
            <w:rFonts w:asciiTheme="minorHAnsi" w:hAnsiTheme="minorHAnsi"/>
          </w:rPr>
          <w:t>Reporting Hydrofluorocarbons and Sulphur Hexafluoride gases guideline</w:t>
        </w:r>
      </w:hyperlink>
      <w:r w:rsidR="004B0870">
        <w:rPr>
          <w:rFonts w:ascii="ZWAdobeF" w:hAnsi="ZWAdobeF" w:cs="ZWAdobeF"/>
          <w:color w:val="auto"/>
          <w:sz w:val="2"/>
          <w:szCs w:val="2"/>
        </w:rPr>
        <w:t>7F</w:t>
      </w:r>
      <w:r>
        <w:rPr>
          <w:rStyle w:val="FootnoteReference"/>
          <w:color w:val="005874"/>
          <w:u w:val="single"/>
        </w:rPr>
        <w:footnoteReference w:id="9"/>
      </w:r>
    </w:p>
    <w:p w14:paraId="5A52E05F" w14:textId="78DDB7E1" w:rsidR="004A2E03" w:rsidRPr="00FF338C" w:rsidRDefault="004A2E03" w:rsidP="00B3330E">
      <w:pPr>
        <w:numPr>
          <w:ilvl w:val="0"/>
          <w:numId w:val="1"/>
        </w:numPr>
        <w:spacing w:before="120" w:after="120"/>
      </w:pPr>
      <w:r>
        <w:t>s</w:t>
      </w:r>
      <w:r w:rsidRPr="00FF338C">
        <w:t xml:space="preserve">cope 2 emissions from electricity use </w:t>
      </w:r>
      <w:r>
        <w:t xml:space="preserve">— </w:t>
      </w:r>
      <w:r w:rsidR="00AC77B9">
        <w:t>Chapter</w:t>
      </w:r>
      <w:r>
        <w:t xml:space="preserve"> 6</w:t>
      </w:r>
      <w:r w:rsidR="0041337F">
        <w:t>. Addit</w:t>
      </w:r>
      <w:r w:rsidR="000457C7">
        <w:t>i</w:t>
      </w:r>
      <w:r w:rsidR="0041337F">
        <w:t xml:space="preserve">onal </w:t>
      </w:r>
      <w:r w:rsidR="000457C7">
        <w:t xml:space="preserve">guidance </w:t>
      </w:r>
      <w:r w:rsidR="00271043">
        <w:t xml:space="preserve">is also provided </w:t>
      </w:r>
      <w:r w:rsidR="009F14B8">
        <w:t>in the</w:t>
      </w:r>
      <w:r w:rsidR="00C63064">
        <w:t xml:space="preserve"> </w:t>
      </w:r>
      <w:hyperlink r:id="rId29" w:tooltip="A link to the Voluntary market-based scope 2 emissions guide the Clean Energy Regulator website" w:history="1">
        <w:r w:rsidR="00C63064" w:rsidRPr="001876A4">
          <w:rPr>
            <w:rStyle w:val="Hyperlink"/>
            <w:rFonts w:asciiTheme="minorHAnsi" w:hAnsiTheme="minorHAnsi"/>
          </w:rPr>
          <w:t>Voluntary market-based scope 2 emissions guideline</w:t>
        </w:r>
      </w:hyperlink>
      <w:r w:rsidR="004B0870">
        <w:rPr>
          <w:rFonts w:ascii="ZWAdobeF" w:hAnsi="ZWAdobeF" w:cs="ZWAdobeF"/>
          <w:color w:val="auto"/>
          <w:sz w:val="2"/>
          <w:szCs w:val="2"/>
        </w:rPr>
        <w:t>8F</w:t>
      </w:r>
      <w:r w:rsidR="001876A4">
        <w:rPr>
          <w:rStyle w:val="FootnoteReference"/>
        </w:rPr>
        <w:footnoteReference w:id="10"/>
      </w:r>
      <w:r w:rsidR="00C63064">
        <w:t xml:space="preserve"> </w:t>
      </w:r>
      <w:r w:rsidR="00CA29F9">
        <w:t xml:space="preserve"> </w:t>
      </w:r>
    </w:p>
    <w:p w14:paraId="387688A2" w14:textId="21D12E23" w:rsidR="004A2E03" w:rsidRPr="00FF338C" w:rsidRDefault="004A2E03" w:rsidP="00B3330E">
      <w:pPr>
        <w:numPr>
          <w:ilvl w:val="0"/>
          <w:numId w:val="1"/>
        </w:numPr>
        <w:spacing w:before="120" w:after="120"/>
      </w:pPr>
      <w:r>
        <w:t>r</w:t>
      </w:r>
      <w:r w:rsidRPr="00FF338C">
        <w:t>eporting energy production and consumption</w:t>
      </w:r>
      <w:r>
        <w:t xml:space="preserve"> — </w:t>
      </w:r>
      <w:r w:rsidR="00AC77B9">
        <w:t>Chapter</w:t>
      </w:r>
      <w:r>
        <w:t xml:space="preserve"> 7</w:t>
      </w:r>
    </w:p>
    <w:p w14:paraId="36648CD0" w14:textId="799AB5D8" w:rsidR="004A2E03" w:rsidRPr="00FF338C" w:rsidRDefault="004A2E03" w:rsidP="00B3330E">
      <w:pPr>
        <w:numPr>
          <w:ilvl w:val="0"/>
          <w:numId w:val="1"/>
        </w:numPr>
        <w:spacing w:before="120" w:after="120"/>
      </w:pPr>
      <w:r>
        <w:t>m</w:t>
      </w:r>
      <w:r w:rsidRPr="00FF338C">
        <w:t>easurement requirements</w:t>
      </w:r>
      <w:r>
        <w:t xml:space="preserve"> — </w:t>
      </w:r>
      <w:r w:rsidR="00AC77B9">
        <w:t>Chapter</w:t>
      </w:r>
      <w:r>
        <w:t xml:space="preserve"> 8.</w:t>
      </w:r>
    </w:p>
    <w:p w14:paraId="4A7AD8DC" w14:textId="080620E1" w:rsidR="004A2E03" w:rsidRPr="00FF338C" w:rsidRDefault="004A2E03" w:rsidP="004A2E03">
      <w:r w:rsidRPr="001B671E">
        <w:t xml:space="preserve">This </w:t>
      </w:r>
      <w:r>
        <w:t>document</w:t>
      </w:r>
      <w:r w:rsidRPr="001B671E">
        <w:t xml:space="preserve"> will not cover </w:t>
      </w:r>
      <w:r w:rsidR="00CE373E">
        <w:t>other</w:t>
      </w:r>
      <w:r w:rsidRPr="001B671E">
        <w:t xml:space="preserve"> NGER reporting requirements such as determining facility and operational control and using the Emissions and Energy Reporting System (EERS).</w:t>
      </w:r>
      <w:r w:rsidRPr="00FF338C">
        <w:t xml:space="preserve"> </w:t>
      </w:r>
      <w:r>
        <w:t xml:space="preserve">See </w:t>
      </w:r>
      <w:hyperlink r:id="rId30" w:tooltip="A link to the NGER reporting guides on the Clean Energy Regulator website" w:history="1">
        <w:r w:rsidR="00A330B5">
          <w:rPr>
            <w:rStyle w:val="Hyperlink"/>
            <w:rFonts w:asciiTheme="minorHAnsi" w:hAnsiTheme="minorHAnsi"/>
          </w:rPr>
          <w:t>NGER Reporting Guides</w:t>
        </w:r>
      </w:hyperlink>
      <w:r w:rsidR="004B0870">
        <w:rPr>
          <w:rFonts w:ascii="ZWAdobeF" w:hAnsi="ZWAdobeF" w:cs="ZWAdobeF"/>
          <w:color w:val="auto"/>
          <w:sz w:val="2"/>
          <w:szCs w:val="2"/>
        </w:rPr>
        <w:t>9F</w:t>
      </w:r>
      <w:r>
        <w:rPr>
          <w:rStyle w:val="FootnoteReference"/>
          <w:color w:val="005874"/>
          <w:u w:val="single"/>
        </w:rPr>
        <w:footnoteReference w:id="11"/>
      </w:r>
      <w:r>
        <w:t xml:space="preserve"> for more guidance</w:t>
      </w:r>
      <w:r w:rsidRPr="00FF338C">
        <w:t>.</w:t>
      </w:r>
    </w:p>
    <w:p w14:paraId="65DE4CD5" w14:textId="6324B49A" w:rsidR="004A2E03" w:rsidRPr="00FF338C" w:rsidRDefault="004A2E03" w:rsidP="008E6B32">
      <w:pPr>
        <w:pStyle w:val="Heading1"/>
        <w:numPr>
          <w:ilvl w:val="0"/>
          <w:numId w:val="3"/>
        </w:numPr>
        <w:ind w:left="426" w:hanging="426"/>
        <w:rPr>
          <w:lang w:val="en-GB"/>
        </w:rPr>
      </w:pPr>
      <w:bookmarkStart w:id="29" w:name="_Toc235706295"/>
      <w:bookmarkStart w:id="30" w:name="_Toc512010384"/>
      <w:bookmarkStart w:id="31" w:name="_Toc512339582"/>
      <w:bookmarkStart w:id="32" w:name="_Toc106705746"/>
      <w:r w:rsidRPr="008851B3">
        <w:rPr>
          <w:lang w:val="en-GB"/>
        </w:rPr>
        <w:t>Good reporting</w:t>
      </w:r>
      <w:r w:rsidR="00145749" w:rsidRPr="008851B3">
        <w:rPr>
          <w:lang w:val="en-GB"/>
        </w:rPr>
        <w:t xml:space="preserve"> practice</w:t>
      </w:r>
      <w:r w:rsidR="00F5572E" w:rsidRPr="008851B3">
        <w:rPr>
          <w:lang w:val="en-GB"/>
        </w:rPr>
        <w:t>s</w:t>
      </w:r>
      <w:bookmarkEnd w:id="29"/>
      <w:r w:rsidRPr="008851B3">
        <w:rPr>
          <w:lang w:val="en-GB"/>
        </w:rPr>
        <w:t xml:space="preserve"> </w:t>
      </w:r>
      <w:bookmarkEnd w:id="30"/>
      <w:bookmarkEnd w:id="31"/>
      <w:bookmarkEnd w:id="32"/>
    </w:p>
    <w:p w14:paraId="1C366A36" w14:textId="2367DF8B" w:rsidR="004A2E03" w:rsidRPr="00FF338C" w:rsidRDefault="009B6858" w:rsidP="00EC2D37">
      <w:pPr>
        <w:spacing w:before="240"/>
      </w:pPr>
      <w:r>
        <w:t>NGER reporters</w:t>
      </w:r>
      <w:r w:rsidR="004A2E03" w:rsidRPr="00FF338C">
        <w:t xml:space="preserve"> must keep </w:t>
      </w:r>
      <w:r w:rsidR="000C0A1E" w:rsidRPr="00FF338C">
        <w:t xml:space="preserve">accessible </w:t>
      </w:r>
      <w:r w:rsidR="004A2E03" w:rsidRPr="00FF338C">
        <w:t>records of the</w:t>
      </w:r>
      <w:r w:rsidR="006E02F9">
        <w:t>ir</w:t>
      </w:r>
      <w:r w:rsidR="004A2E03" w:rsidRPr="00FF338C">
        <w:t xml:space="preserve"> activities and facilities </w:t>
      </w:r>
      <w:r w:rsidR="000438E0">
        <w:t>that are subject to</w:t>
      </w:r>
      <w:r w:rsidR="004A2E03" w:rsidRPr="00FF338C">
        <w:t xml:space="preserve"> the NGER Act. </w:t>
      </w:r>
      <w:r w:rsidR="000C0A1E">
        <w:t>These r</w:t>
      </w:r>
      <w:r w:rsidR="004A2E03" w:rsidRPr="00FF338C">
        <w:t xml:space="preserve">ecords must be kept for </w:t>
      </w:r>
      <w:r w:rsidR="001848D4">
        <w:t>5</w:t>
      </w:r>
      <w:r w:rsidR="004A2E03" w:rsidRPr="00FF338C">
        <w:t xml:space="preserve"> years and enable</w:t>
      </w:r>
      <w:r w:rsidR="00494FFC">
        <w:t xml:space="preserve"> the</w:t>
      </w:r>
      <w:r w:rsidR="004A2E03" w:rsidRPr="00FF338C">
        <w:t xml:space="preserve"> </w:t>
      </w:r>
      <w:r w:rsidR="2FAEFFCC">
        <w:t>CER</w:t>
      </w:r>
      <w:r w:rsidR="004A2E03" w:rsidRPr="00FF338C">
        <w:t xml:space="preserve"> to ascertain whether the </w:t>
      </w:r>
      <w:r w:rsidR="000C0A1E">
        <w:t>NGER reporter</w:t>
      </w:r>
      <w:r w:rsidR="004A2E03" w:rsidRPr="00FF338C">
        <w:t xml:space="preserve"> has complied with the NGER Act. </w:t>
      </w:r>
    </w:p>
    <w:p w14:paraId="6E95637E" w14:textId="487CA4F3" w:rsidR="004A2E03" w:rsidRPr="00FF338C" w:rsidRDefault="004A2E03" w:rsidP="004A2E03">
      <w:r w:rsidRPr="00FF338C">
        <w:t xml:space="preserve">The record-keeping requirements include preparing and documenting source and activity data capture, as well as recording and processing data using the general estimation principles in section 1.13 of the </w:t>
      </w:r>
      <w:r>
        <w:t>NGER Measurement Determination</w:t>
      </w:r>
      <w:r w:rsidR="0023098D">
        <w:t>.</w:t>
      </w:r>
    </w:p>
    <w:p w14:paraId="45778498" w14:textId="2E07AF32" w:rsidR="00FF55C0" w:rsidRPr="00FF338C" w:rsidRDefault="00FF55C0" w:rsidP="00FF55C0">
      <w:pPr>
        <w:pStyle w:val="Caption"/>
      </w:pPr>
      <w:bookmarkStart w:id="33" w:name="_Ref199338749"/>
      <w:r>
        <w:t xml:space="preserve">Table </w:t>
      </w:r>
      <w:r>
        <w:fldChar w:fldCharType="begin"/>
      </w:r>
      <w:r>
        <w:instrText>SEQ Table \* ARABIC</w:instrText>
      </w:r>
      <w:r>
        <w:fldChar w:fldCharType="separate"/>
      </w:r>
      <w:r w:rsidR="0069639D">
        <w:rPr>
          <w:noProof/>
        </w:rPr>
        <w:t>1</w:t>
      </w:r>
      <w:r>
        <w:fldChar w:fldCharType="end"/>
      </w:r>
      <w:bookmarkEnd w:id="33"/>
      <w:r>
        <w:t xml:space="preserve"> </w:t>
      </w:r>
      <w:r w:rsidRPr="00FF338C">
        <w:t>– General estimation principles for NGER reporting</w:t>
      </w:r>
      <w:r>
        <w:t>.</w:t>
      </w:r>
    </w:p>
    <w:tbl>
      <w:tblPr>
        <w:tblStyle w:val="CERTable"/>
        <w:tblW w:w="9776" w:type="dxa"/>
        <w:tblLook w:val="06A0" w:firstRow="1" w:lastRow="0" w:firstColumn="1" w:lastColumn="0" w:noHBand="1" w:noVBand="1"/>
      </w:tblPr>
      <w:tblGrid>
        <w:gridCol w:w="2972"/>
        <w:gridCol w:w="6804"/>
      </w:tblGrid>
      <w:tr w:rsidR="004A2E03" w:rsidRPr="00C64711" w14:paraId="1561BC63" w14:textId="77777777" w:rsidTr="00BC1A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hideMark/>
          </w:tcPr>
          <w:p w14:paraId="2C1E7A1A" w14:textId="77777777" w:rsidR="004A2E03" w:rsidRPr="003F37EC" w:rsidRDefault="004A2E03">
            <w:pPr>
              <w:rPr>
                <w:szCs w:val="22"/>
              </w:rPr>
            </w:pPr>
            <w:r w:rsidRPr="003F37EC">
              <w:rPr>
                <w:szCs w:val="22"/>
              </w:rPr>
              <w:lastRenderedPageBreak/>
              <w:t>General estimation principles</w:t>
            </w:r>
          </w:p>
        </w:tc>
        <w:tc>
          <w:tcPr>
            <w:tcW w:w="6804" w:type="dxa"/>
            <w:hideMark/>
          </w:tcPr>
          <w:p w14:paraId="283F09A5" w14:textId="7707011F" w:rsidR="004A2E03" w:rsidRPr="00EE0C1D" w:rsidRDefault="004A2E03">
            <w:pPr>
              <w:cnfStyle w:val="100000000000" w:firstRow="1" w:lastRow="0" w:firstColumn="0" w:lastColumn="0" w:oddVBand="0" w:evenVBand="0" w:oddHBand="0" w:evenHBand="0" w:firstRowFirstColumn="0" w:firstRowLastColumn="0" w:lastRowFirstColumn="0" w:lastRowLastColumn="0"/>
              <w:rPr>
                <w:szCs w:val="22"/>
              </w:rPr>
            </w:pPr>
            <w:r w:rsidRPr="00EE0C1D">
              <w:rPr>
                <w:szCs w:val="22"/>
              </w:rPr>
              <w:t>Example for NGER reporting</w:t>
            </w:r>
          </w:p>
        </w:tc>
      </w:tr>
      <w:tr w:rsidR="004A2E03" w:rsidRPr="00C64711" w14:paraId="0AB3393E" w14:textId="77777777" w:rsidTr="00BC1A51">
        <w:tc>
          <w:tcPr>
            <w:cnfStyle w:val="001000000000" w:firstRow="0" w:lastRow="0" w:firstColumn="1" w:lastColumn="0" w:oddVBand="0" w:evenVBand="0" w:oddHBand="0" w:evenHBand="0" w:firstRowFirstColumn="0" w:firstRowLastColumn="0" w:lastRowFirstColumn="0" w:lastRowLastColumn="0"/>
            <w:tcW w:w="2972" w:type="dxa"/>
            <w:hideMark/>
          </w:tcPr>
          <w:p w14:paraId="6184D357" w14:textId="77777777" w:rsidR="004A2E03" w:rsidRPr="00C67339" w:rsidRDefault="004A2E03">
            <w:pPr>
              <w:rPr>
                <w:b w:val="0"/>
                <w:szCs w:val="22"/>
              </w:rPr>
            </w:pPr>
            <w:r w:rsidRPr="00C67339">
              <w:rPr>
                <w:szCs w:val="22"/>
              </w:rPr>
              <w:t>Transparency</w:t>
            </w:r>
          </w:p>
          <w:p w14:paraId="3FACA558" w14:textId="77777777" w:rsidR="004A2E03" w:rsidRPr="00717F5E" w:rsidRDefault="004A2E03">
            <w:pPr>
              <w:rPr>
                <w:b w:val="0"/>
                <w:szCs w:val="22"/>
              </w:rPr>
            </w:pPr>
            <w:r w:rsidRPr="00717F5E">
              <w:rPr>
                <w:b w:val="0"/>
                <w:szCs w:val="22"/>
              </w:rPr>
              <w:t>Emission estimates must be documented and verifiable.</w:t>
            </w:r>
          </w:p>
        </w:tc>
        <w:tc>
          <w:tcPr>
            <w:tcW w:w="6804" w:type="dxa"/>
            <w:hideMark/>
          </w:tcPr>
          <w:p w14:paraId="5D4FFAA8" w14:textId="09CF7C66"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pPr>
            <w:r>
              <w:t xml:space="preserve">All key decisions and assumptions made to prepare NGER reporting, including decision on sampling frequency and method selection for each activity should be documented and updated each year. This includes decisions regarding selection of the NGER executive officer, and where relevant the NGER nominated report submitter. </w:t>
            </w:r>
          </w:p>
          <w:p w14:paraId="604FE921"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 xml:space="preserve">All activity data </w:t>
            </w:r>
            <w:r w:rsidDel="009C5038">
              <w:t xml:space="preserve">should </w:t>
            </w:r>
            <w:r>
              <w:t xml:space="preserve">be recorded with a clear audit trail. This includes all sampling parameters, </w:t>
            </w:r>
            <w:r w:rsidDel="00C52927">
              <w:t>data and</w:t>
            </w:r>
            <w:r>
              <w:t xml:space="preserve"> techniques used to calculate emissions, as well as records for how the sampling performed meets the sampling requirements irrespective of whether the sampling is performed by a third party.</w:t>
            </w:r>
          </w:p>
          <w:p w14:paraId="74AF789E" w14:textId="3DE2C66F"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rFonts w:cs="Arial"/>
                <w:color w:val="000000"/>
                <w:szCs w:val="22"/>
              </w:rPr>
            </w:pPr>
            <w:r>
              <w:t xml:space="preserve">All data processing </w:t>
            </w:r>
            <w:r w:rsidDel="009C5038">
              <w:t xml:space="preserve">should </w:t>
            </w:r>
            <w:r>
              <w:t xml:space="preserve">be kept for </w:t>
            </w:r>
            <w:r w:rsidR="001848D4">
              <w:t>5</w:t>
            </w:r>
            <w:r>
              <w:t xml:space="preserve"> years. This may include identifying how records for all samples are kept easily accessible</w:t>
            </w:r>
            <w:r w:rsidR="003B2F81">
              <w:t>.</w:t>
            </w:r>
            <w:r>
              <w:t xml:space="preserve"> </w:t>
            </w:r>
            <w:r w:rsidR="003B2F81">
              <w:t>F</w:t>
            </w:r>
            <w:r>
              <w:t xml:space="preserve">or example, if a facility changes </w:t>
            </w:r>
            <w:r w:rsidR="004539D1">
              <w:t>ownership</w:t>
            </w:r>
            <w:r>
              <w:t>.</w:t>
            </w:r>
          </w:p>
        </w:tc>
      </w:tr>
      <w:tr w:rsidR="004A2E03" w:rsidRPr="00C64711" w14:paraId="2EDEE806" w14:textId="77777777" w:rsidTr="00BC1A51">
        <w:tc>
          <w:tcPr>
            <w:cnfStyle w:val="001000000000" w:firstRow="0" w:lastRow="0" w:firstColumn="1" w:lastColumn="0" w:oddVBand="0" w:evenVBand="0" w:oddHBand="0" w:evenHBand="0" w:firstRowFirstColumn="0" w:firstRowLastColumn="0" w:lastRowFirstColumn="0" w:lastRowLastColumn="0"/>
            <w:tcW w:w="2972" w:type="dxa"/>
            <w:hideMark/>
          </w:tcPr>
          <w:p w14:paraId="18A7AC1C" w14:textId="77777777" w:rsidR="004A2E03" w:rsidRPr="00C67339" w:rsidRDefault="004A2E03">
            <w:pPr>
              <w:rPr>
                <w:b w:val="0"/>
                <w:szCs w:val="22"/>
              </w:rPr>
            </w:pPr>
            <w:r w:rsidRPr="00C67339">
              <w:rPr>
                <w:szCs w:val="22"/>
              </w:rPr>
              <w:t>Comparability</w:t>
            </w:r>
          </w:p>
          <w:p w14:paraId="73826491" w14:textId="77777777" w:rsidR="004A2E03" w:rsidRPr="00717F5E" w:rsidRDefault="004A2E03">
            <w:pPr>
              <w:rPr>
                <w:b w:val="0"/>
                <w:szCs w:val="22"/>
              </w:rPr>
            </w:pPr>
            <w:r w:rsidRPr="00717F5E">
              <w:rPr>
                <w:b w:val="0"/>
                <w:szCs w:val="22"/>
              </w:rPr>
              <w:t>Emission estimates using a particular method and produced by a registered corporation or liable entity in an industry sector must be comparable with emission estimates produced by similar corporations or entities in that industry sector using the same method and consistent with the emission estimates published by the Department in the National Greenhouse Accounts.</w:t>
            </w:r>
          </w:p>
        </w:tc>
        <w:tc>
          <w:tcPr>
            <w:tcW w:w="6804" w:type="dxa"/>
          </w:tcPr>
          <w:p w14:paraId="6C5909EE" w14:textId="5C6295CC"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Appropriately using the rules and requirements of the NGER Measurement Determination will achieve this for most activity data and emissions estimates.</w:t>
            </w:r>
          </w:p>
        </w:tc>
      </w:tr>
      <w:tr w:rsidR="004A2E03" w:rsidRPr="00C64711" w14:paraId="073DE341" w14:textId="77777777" w:rsidTr="00BC1A51">
        <w:tc>
          <w:tcPr>
            <w:cnfStyle w:val="001000000000" w:firstRow="0" w:lastRow="0" w:firstColumn="1" w:lastColumn="0" w:oddVBand="0" w:evenVBand="0" w:oddHBand="0" w:evenHBand="0" w:firstRowFirstColumn="0" w:firstRowLastColumn="0" w:lastRowFirstColumn="0" w:lastRowLastColumn="0"/>
            <w:tcW w:w="2972" w:type="dxa"/>
            <w:hideMark/>
          </w:tcPr>
          <w:p w14:paraId="3877EBB2" w14:textId="77777777" w:rsidR="004A2E03" w:rsidRPr="00C67339" w:rsidRDefault="004A2E03">
            <w:pPr>
              <w:rPr>
                <w:b w:val="0"/>
                <w:szCs w:val="22"/>
              </w:rPr>
            </w:pPr>
            <w:r w:rsidRPr="00C67339">
              <w:rPr>
                <w:szCs w:val="22"/>
              </w:rPr>
              <w:t>Accuracy</w:t>
            </w:r>
          </w:p>
          <w:p w14:paraId="6B99EA5F" w14:textId="359C1F40" w:rsidR="004A2E03" w:rsidRPr="00717F5E" w:rsidRDefault="004A2E03">
            <w:pPr>
              <w:rPr>
                <w:b w:val="0"/>
                <w:szCs w:val="22"/>
              </w:rPr>
            </w:pPr>
            <w:r w:rsidRPr="00717F5E">
              <w:rPr>
                <w:b w:val="0"/>
                <w:szCs w:val="22"/>
              </w:rPr>
              <w:t xml:space="preserve">Having regard to the availability of reasonable resources by a registered corporation or liable entity and the requirements of the NGER Measurement Determination, uncertainties in emission estimates must be minimised and any estimates must neither be over nor </w:t>
            </w:r>
            <w:r w:rsidRPr="00717F5E" w:rsidDel="00CE5314">
              <w:rPr>
                <w:b w:val="0"/>
                <w:szCs w:val="22"/>
              </w:rPr>
              <w:t>underestimates</w:t>
            </w:r>
            <w:r w:rsidRPr="00717F5E">
              <w:rPr>
                <w:b w:val="0"/>
                <w:szCs w:val="22"/>
              </w:rPr>
              <w:t xml:space="preserve"> of the true values at a 95% confidence level.</w:t>
            </w:r>
          </w:p>
        </w:tc>
        <w:tc>
          <w:tcPr>
            <w:tcW w:w="6804" w:type="dxa"/>
            <w:hideMark/>
          </w:tcPr>
          <w:p w14:paraId="0AC12F22"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This is particularly relevant:</w:t>
            </w:r>
          </w:p>
          <w:p w14:paraId="3039DF21" w14:textId="2134CCF3" w:rsidR="004A2E03" w:rsidRPr="00C67339" w:rsidRDefault="00FB2F82" w:rsidP="008E6B3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I</w:t>
            </w:r>
            <w:r w:rsidR="004A2E03" w:rsidRPr="00C67339">
              <w:t xml:space="preserve">n respect </w:t>
            </w:r>
            <w:r w:rsidR="00667231">
              <w:t>to</w:t>
            </w:r>
            <w:r w:rsidR="004A2E03" w:rsidRPr="00C67339">
              <w:t xml:space="preserve"> sampling, for example when higher order methods are used, sampling should occur in a manner and frequency which minimises uncertainties so that estimates within a 95</w:t>
            </w:r>
            <w:r w:rsidR="004A2E03">
              <w:t>%</w:t>
            </w:r>
            <w:r w:rsidR="004A2E03" w:rsidRPr="00C67339">
              <w:t xml:space="preserve"> confidence interval lie as close to the true values as possible</w:t>
            </w:r>
            <w:r>
              <w:t>.</w:t>
            </w:r>
            <w:r w:rsidR="004A2E03" w:rsidRPr="00C67339">
              <w:t xml:space="preserve"> </w:t>
            </w:r>
          </w:p>
          <w:p w14:paraId="3731BC2C" w14:textId="23CCCB83" w:rsidR="004A2E03" w:rsidRPr="00C67339" w:rsidRDefault="00FB2F82" w:rsidP="008E6B3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t>W</w:t>
            </w:r>
            <w:r w:rsidR="004A2E03" w:rsidRPr="00C67339">
              <w:t>here industry practice may be used to capture data</w:t>
            </w:r>
            <w:r w:rsidR="004A2E03">
              <w:t>, f</w:t>
            </w:r>
            <w:r w:rsidR="004A2E03" w:rsidRPr="00C67339">
              <w:t>or example</w:t>
            </w:r>
            <w:r w:rsidR="004A2E03">
              <w:t>,</w:t>
            </w:r>
            <w:r w:rsidR="004A2E03" w:rsidRPr="00C67339">
              <w:t xml:space="preserve"> BBB criteria – see </w:t>
            </w:r>
            <w:hyperlink w:anchor="_Measurement_Criteria" w:history="1">
              <w:r w:rsidR="004A2E03">
                <w:rPr>
                  <w:rStyle w:val="Hyperlink"/>
                </w:rPr>
                <w:t>chapter</w:t>
              </w:r>
              <w:r w:rsidR="004A2E03" w:rsidRPr="00C67339">
                <w:rPr>
                  <w:rStyle w:val="Hyperlink"/>
                  <w:rFonts w:asciiTheme="minorHAnsi" w:hAnsiTheme="minorHAnsi"/>
                  <w:szCs w:val="22"/>
                </w:rPr>
                <w:t xml:space="preserve"> 8.1</w:t>
              </w:r>
            </w:hyperlink>
            <w:r w:rsidR="004A2E03" w:rsidRPr="00C67339">
              <w:t xml:space="preserve"> </w:t>
            </w:r>
            <w:r w:rsidR="004A2E03">
              <w:t>of this guideline</w:t>
            </w:r>
            <w:r w:rsidR="004A2E03" w:rsidRPr="00C67339">
              <w:t>.</w:t>
            </w:r>
          </w:p>
          <w:p w14:paraId="0A0CACE5" w14:textId="77777777" w:rsidR="004A2E03"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Estimates should be neutral without bias.</w:t>
            </w:r>
          </w:p>
          <w:p w14:paraId="2351768E"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 xml:space="preserve">Bias testing for fuel combustion emissions from coal fired power plants </w:t>
            </w:r>
            <w:r w:rsidDel="003E6E75">
              <w:t xml:space="preserve">should </w:t>
            </w:r>
            <w:r>
              <w:t>be performed and documented.</w:t>
            </w:r>
          </w:p>
        </w:tc>
      </w:tr>
      <w:tr w:rsidR="004A2E03" w:rsidRPr="00C64711" w14:paraId="7A7F9DFB" w14:textId="77777777" w:rsidTr="00BC1A51">
        <w:tc>
          <w:tcPr>
            <w:cnfStyle w:val="001000000000" w:firstRow="0" w:lastRow="0" w:firstColumn="1" w:lastColumn="0" w:oddVBand="0" w:evenVBand="0" w:oddHBand="0" w:evenHBand="0" w:firstRowFirstColumn="0" w:firstRowLastColumn="0" w:lastRowFirstColumn="0" w:lastRowLastColumn="0"/>
            <w:tcW w:w="2972" w:type="dxa"/>
            <w:hideMark/>
          </w:tcPr>
          <w:p w14:paraId="6C43FAE5" w14:textId="77777777" w:rsidR="004A2E03" w:rsidRPr="00C67339" w:rsidRDefault="004A2E03">
            <w:pPr>
              <w:rPr>
                <w:szCs w:val="22"/>
              </w:rPr>
            </w:pPr>
            <w:r w:rsidRPr="00C67339">
              <w:rPr>
                <w:szCs w:val="22"/>
              </w:rPr>
              <w:lastRenderedPageBreak/>
              <w:t>Completeness</w:t>
            </w:r>
          </w:p>
          <w:p w14:paraId="06FD0B92" w14:textId="77777777" w:rsidR="004A2E03" w:rsidRPr="00717F5E" w:rsidRDefault="004A2E03">
            <w:pPr>
              <w:rPr>
                <w:b w:val="0"/>
                <w:szCs w:val="22"/>
              </w:rPr>
            </w:pPr>
            <w:r w:rsidRPr="00717F5E">
              <w:rPr>
                <w:b w:val="0"/>
                <w:szCs w:val="22"/>
              </w:rPr>
              <w:t>Subject to any applicable reporting thresholds, all emission sources identified in section 1.10 of the NGER Measurement Determination, and production and consumption of all fuels and energy commodities listed in Schedule 1 of the NGER Regulations, must be accounted for.</w:t>
            </w:r>
          </w:p>
        </w:tc>
        <w:tc>
          <w:tcPr>
            <w:tcW w:w="6804" w:type="dxa"/>
            <w:hideMark/>
          </w:tcPr>
          <w:p w14:paraId="34B19491"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 xml:space="preserve">All reportable emissions and energy </w:t>
            </w:r>
            <w:r w:rsidDel="00E62861">
              <w:t xml:space="preserve">should </w:t>
            </w:r>
            <w:r>
              <w:t>be accounted for, including the fuel combustion emissions that occur through contractor activities considered to form part of the facility, for example, for electricity transmission or distribution networks or contractor activities at new facility being commissioned within the operational control of the reporter.</w:t>
            </w:r>
          </w:p>
          <w:p w14:paraId="1B9D3ED1"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szCs w:val="22"/>
              </w:rPr>
            </w:pPr>
            <w:r>
              <w:t xml:space="preserve">All energy production and consumption, subject to relevant thresholds, </w:t>
            </w:r>
            <w:r w:rsidDel="00A03285">
              <w:t xml:space="preserve">should </w:t>
            </w:r>
            <w:r>
              <w:t>be reported – including reporting the use of own produced electricity at electricity generators.</w:t>
            </w:r>
          </w:p>
        </w:tc>
      </w:tr>
    </w:tbl>
    <w:p w14:paraId="0CDCA005" w14:textId="77777777" w:rsidR="004A2E03" w:rsidRPr="00FF338C" w:rsidRDefault="004A2E03" w:rsidP="004A2E03"/>
    <w:p w14:paraId="06F3A0C8" w14:textId="204B8819" w:rsidR="004A2E03" w:rsidRPr="00FF338C" w:rsidRDefault="004A2E03" w:rsidP="00DB4B56">
      <w:pPr>
        <w:pStyle w:val="Heading2"/>
        <w:numPr>
          <w:ilvl w:val="1"/>
          <w:numId w:val="3"/>
        </w:numPr>
        <w:ind w:left="426" w:hanging="426"/>
      </w:pPr>
      <w:bookmarkStart w:id="34" w:name="_Toc512010385"/>
      <w:bookmarkStart w:id="35" w:name="_Toc512339583"/>
      <w:bookmarkStart w:id="36" w:name="_Toc106705747"/>
      <w:bookmarkStart w:id="37" w:name="_Toc235706296"/>
      <w:r w:rsidRPr="00FF338C">
        <w:t xml:space="preserve">Applying the principles </w:t>
      </w:r>
      <w:bookmarkEnd w:id="34"/>
      <w:bookmarkEnd w:id="35"/>
      <w:bookmarkEnd w:id="36"/>
      <w:r w:rsidR="00116A2E" w:rsidDel="00AA6A6C">
        <w:t xml:space="preserve">for </w:t>
      </w:r>
      <w:r w:rsidR="005D769F" w:rsidDel="00AA6A6C">
        <w:t>compl</w:t>
      </w:r>
      <w:r w:rsidR="00BE1CAE" w:rsidDel="00AA6A6C">
        <w:t>ying</w:t>
      </w:r>
      <w:r w:rsidR="00116A2E" w:rsidDel="00AA6A6C">
        <w:t xml:space="preserve"> </w:t>
      </w:r>
      <w:r w:rsidR="008C1D22" w:rsidDel="00AA6A6C">
        <w:t>under</w:t>
      </w:r>
      <w:r w:rsidR="008C1D22">
        <w:t xml:space="preserve"> </w:t>
      </w:r>
      <w:r w:rsidR="002A2A44">
        <w:t xml:space="preserve">the </w:t>
      </w:r>
      <w:r w:rsidR="008C1D22">
        <w:t>NGER A</w:t>
      </w:r>
      <w:r w:rsidR="00851F5B">
        <w:t>ct</w:t>
      </w:r>
      <w:bookmarkEnd w:id="37"/>
    </w:p>
    <w:p w14:paraId="4B6BDEA4" w14:textId="721CA59C" w:rsidR="004A2E03" w:rsidRPr="00FF338C" w:rsidRDefault="004A2E03" w:rsidP="004A2E03">
      <w:r>
        <w:t>E</w:t>
      </w:r>
      <w:r w:rsidRPr="00FF338C">
        <w:t>xecutive officer</w:t>
      </w:r>
      <w:r>
        <w:t>s</w:t>
      </w:r>
      <w:r w:rsidRPr="00FF338C">
        <w:t xml:space="preserve"> must approve the submission of a report to </w:t>
      </w:r>
      <w:r w:rsidR="6ECA8E5D">
        <w:t>CER</w:t>
      </w:r>
      <w:r w:rsidRPr="00FF338C">
        <w:t xml:space="preserve">, declaring that the report has been prepared in accordance with the NGER legislation. This includes confirming that the general principles have been appropriately applied. </w:t>
      </w:r>
    </w:p>
    <w:p w14:paraId="04490615" w14:textId="3ECE5FB7" w:rsidR="004A2E03" w:rsidRPr="00FF338C" w:rsidRDefault="004A2E03" w:rsidP="004A2E03">
      <w:r w:rsidRPr="00FF338C">
        <w:t>Registered corporations and the accountable executive officer are responsible for determining appropriate internal reporting processes and controls.</w:t>
      </w:r>
      <w:r>
        <w:t xml:space="preserve"> </w:t>
      </w:r>
      <w:r w:rsidR="00DA5EB8">
        <w:t>C</w:t>
      </w:r>
      <w:r w:rsidRPr="00FF338C">
        <w:t>onsideration should be given to the following:</w:t>
      </w:r>
    </w:p>
    <w:p w14:paraId="3CE77099" w14:textId="6E5E941E" w:rsidR="004A2E03" w:rsidRPr="006C00B6" w:rsidRDefault="00DA5EB8" w:rsidP="00D2141E">
      <w:pPr>
        <w:numPr>
          <w:ilvl w:val="0"/>
          <w:numId w:val="1"/>
        </w:numPr>
        <w:spacing w:before="120" w:after="120"/>
        <w:rPr>
          <w:b/>
        </w:rPr>
      </w:pPr>
      <w:r>
        <w:t>Th</w:t>
      </w:r>
      <w:r w:rsidR="004A2E03" w:rsidRPr="00EF64A7">
        <w:t>e NGER reporting responsibility may be delegated to an individual with limited control over the activity and source data required to prepare the report.</w:t>
      </w:r>
      <w:r w:rsidR="005720FB">
        <w:t xml:space="preserve"> </w:t>
      </w:r>
      <w:r w:rsidR="00EF64A7">
        <w:t xml:space="preserve">In </w:t>
      </w:r>
      <w:r w:rsidR="00EF64A7" w:rsidRPr="00FF338C">
        <w:t>these circumstances</w:t>
      </w:r>
      <w:r w:rsidR="00EF64A7">
        <w:t>,</w:t>
      </w:r>
      <w:r w:rsidR="00EF64A7" w:rsidRPr="00FF338C">
        <w:t xml:space="preserve"> </w:t>
      </w:r>
      <w:r w:rsidR="004A2E03" w:rsidRPr="00FF338C">
        <w:t xml:space="preserve">it may be difficult to confirm whether data is complete and accurate. Reporters </w:t>
      </w:r>
      <w:r w:rsidR="004A2E03">
        <w:t xml:space="preserve">are responsible for having </w:t>
      </w:r>
      <w:r w:rsidR="004A2E03" w:rsidRPr="00FF338C">
        <w:t>processes in place to ensure the quality of NGER data.</w:t>
      </w:r>
    </w:p>
    <w:p w14:paraId="15D781E0" w14:textId="510F3279" w:rsidR="004A2E03" w:rsidRPr="00FF338C" w:rsidRDefault="004A2E03" w:rsidP="00B3330E">
      <w:pPr>
        <w:numPr>
          <w:ilvl w:val="0"/>
          <w:numId w:val="1"/>
        </w:numPr>
        <w:spacing w:before="120" w:after="120"/>
      </w:pPr>
      <w:r w:rsidRPr="006046BA">
        <w:t>Formalising reliance on existing data processes</w:t>
      </w:r>
      <w:r w:rsidRPr="00FF338C">
        <w:t xml:space="preserve"> </w:t>
      </w:r>
      <w:r w:rsidR="002C293C">
        <w:t>which</w:t>
      </w:r>
      <w:r w:rsidRPr="00FF338C">
        <w:t xml:space="preserve"> may be suitable to rely upon for NGER reporting, for example:</w:t>
      </w:r>
    </w:p>
    <w:p w14:paraId="079E39E8" w14:textId="655B5998" w:rsidR="004A2E03" w:rsidRPr="00D2141E" w:rsidRDefault="004A2E03" w:rsidP="008E6B32">
      <w:pPr>
        <w:pStyle w:val="CERbullets"/>
        <w:numPr>
          <w:ilvl w:val="1"/>
          <w:numId w:val="1"/>
        </w:numPr>
      </w:pPr>
      <w:r w:rsidRPr="00D2141E">
        <w:t xml:space="preserve">Electricity generation data, including delivery to an electricity network </w:t>
      </w:r>
      <w:r w:rsidR="009419B9" w:rsidRPr="00D2141E">
        <w:t>such as</w:t>
      </w:r>
      <w:r w:rsidRPr="00D2141E">
        <w:t xml:space="preserve"> the </w:t>
      </w:r>
      <w:r w:rsidR="009419B9" w:rsidRPr="00D2141E">
        <w:t>National Electricity Market,</w:t>
      </w:r>
      <w:r w:rsidRPr="00D2141E">
        <w:t xml:space="preserve"> to estimate and report energy production data. </w:t>
      </w:r>
      <w:r w:rsidR="00DA609D" w:rsidRPr="00D2141E">
        <w:t>Th</w:t>
      </w:r>
      <w:r w:rsidR="00DA609D">
        <w:t>is</w:t>
      </w:r>
      <w:r w:rsidRPr="00D2141E">
        <w:t xml:space="preserve"> data may be controlled by engineering or accounting departments</w:t>
      </w:r>
    </w:p>
    <w:p w14:paraId="5C20305A" w14:textId="26E20695" w:rsidR="004A2E03" w:rsidRPr="00D2141E" w:rsidRDefault="004A2E03" w:rsidP="008E6B32">
      <w:pPr>
        <w:pStyle w:val="CERbullets"/>
        <w:numPr>
          <w:ilvl w:val="1"/>
          <w:numId w:val="1"/>
        </w:numPr>
      </w:pPr>
      <w:r w:rsidRPr="00D2141E">
        <w:t>Fuel consumption data measured based on invoices for fuel deliveries</w:t>
      </w:r>
      <w:r w:rsidR="00730206">
        <w:t>. F</w:t>
      </w:r>
      <w:r w:rsidRPr="00D2141E">
        <w:t xml:space="preserve">or example, criteria ‘A’ or ‘AA’, see </w:t>
      </w:r>
      <w:hyperlink w:anchor="_Measurement_Criteria" w:history="1">
        <w:r>
          <w:rPr>
            <w:rStyle w:val="Hyperlink"/>
            <w:rFonts w:asciiTheme="minorHAnsi" w:hAnsiTheme="minorHAnsi"/>
          </w:rPr>
          <w:t>chapter</w:t>
        </w:r>
        <w:r w:rsidRPr="003420C7">
          <w:rPr>
            <w:rStyle w:val="Hyperlink"/>
            <w:rFonts w:asciiTheme="minorHAnsi" w:hAnsiTheme="minorHAnsi"/>
          </w:rPr>
          <w:t xml:space="preserve"> 8.1</w:t>
        </w:r>
      </w:hyperlink>
      <w:r w:rsidRPr="00D2141E">
        <w:t xml:space="preserve"> of this guideline. Purchasing or accounts teams may be in control of </w:t>
      </w:r>
      <w:r w:rsidR="008251EA" w:rsidRPr="00D2141E">
        <w:t>th</w:t>
      </w:r>
      <w:r w:rsidR="008251EA">
        <w:t>is</w:t>
      </w:r>
      <w:r w:rsidRPr="00D2141E">
        <w:t xml:space="preserve"> data, with reconciliation of the amounts paid for fuel deliveries and recorded in the accounting system</w:t>
      </w:r>
      <w:r>
        <w:t>.</w:t>
      </w:r>
    </w:p>
    <w:p w14:paraId="59EBD9F1" w14:textId="65B8234A" w:rsidR="004A2E03" w:rsidRPr="00EE0C1D" w:rsidRDefault="004A2E03" w:rsidP="00B3330E">
      <w:pPr>
        <w:numPr>
          <w:ilvl w:val="0"/>
          <w:numId w:val="1"/>
        </w:numPr>
        <w:spacing w:before="120" w:after="120"/>
      </w:pPr>
      <w:r w:rsidRPr="006046BA">
        <w:t xml:space="preserve">Accountability for ensuring the data used for NGER reporting is complete and accurate </w:t>
      </w:r>
      <w:r w:rsidRPr="006046BA" w:rsidDel="00A30DCC">
        <w:t xml:space="preserve">should </w:t>
      </w:r>
      <w:r w:rsidRPr="006046BA">
        <w:t>be formalised.</w:t>
      </w:r>
      <w:r w:rsidRPr="003F37EC">
        <w:t xml:space="preserve"> This includes</w:t>
      </w:r>
      <w:r w:rsidRPr="00EE0C1D">
        <w:t>:</w:t>
      </w:r>
    </w:p>
    <w:p w14:paraId="4814C5F2" w14:textId="4FF1B200" w:rsidR="004A2E03" w:rsidRPr="00D2141E" w:rsidRDefault="005720FB" w:rsidP="008E6B32">
      <w:pPr>
        <w:pStyle w:val="CERbullets"/>
        <w:numPr>
          <w:ilvl w:val="1"/>
          <w:numId w:val="1"/>
        </w:numPr>
      </w:pPr>
      <w:r w:rsidRPr="00D2141E">
        <w:t>f</w:t>
      </w:r>
      <w:r w:rsidR="004A2E03" w:rsidRPr="00D2141E">
        <w:t xml:space="preserve">ormal approval of the data </w:t>
      </w:r>
    </w:p>
    <w:p w14:paraId="090C681E" w14:textId="2D7370DD" w:rsidR="004A2E03" w:rsidRPr="00D2141E" w:rsidRDefault="005720FB" w:rsidP="008E6B32">
      <w:pPr>
        <w:pStyle w:val="CERbullets"/>
        <w:numPr>
          <w:ilvl w:val="1"/>
          <w:numId w:val="1"/>
        </w:numPr>
      </w:pPr>
      <w:r w:rsidRPr="00D2141E">
        <w:t>s</w:t>
      </w:r>
      <w:r w:rsidR="004A2E03" w:rsidRPr="00D2141E">
        <w:t xml:space="preserve">ense checks on total amounts to be reported </w:t>
      </w:r>
    </w:p>
    <w:p w14:paraId="3C030E9B" w14:textId="6CEC655E" w:rsidR="004A2E03" w:rsidRPr="00FF338C" w:rsidRDefault="004261DF" w:rsidP="00B3330E">
      <w:pPr>
        <w:pStyle w:val="CERbullets"/>
        <w:numPr>
          <w:ilvl w:val="1"/>
          <w:numId w:val="1"/>
        </w:numPr>
      </w:pPr>
      <w:r w:rsidRPr="004261DF">
        <w:t>a</w:t>
      </w:r>
      <w:r w:rsidR="004A2E03" w:rsidRPr="006046BA">
        <w:t xml:space="preserve"> formal process to </w:t>
      </w:r>
      <w:r w:rsidRPr="004261DF">
        <w:t>inform the person(s) responsible for submitting the NGER report of any</w:t>
      </w:r>
      <w:r w:rsidR="004A2E03" w:rsidRPr="006046BA">
        <w:t xml:space="preserve"> changes </w:t>
      </w:r>
      <w:r w:rsidRPr="004261DF">
        <w:t>to the</w:t>
      </w:r>
      <w:r w:rsidR="004A2E03" w:rsidRPr="006046BA">
        <w:t xml:space="preserve"> data</w:t>
      </w:r>
      <w:r w:rsidR="004A2E03" w:rsidRPr="00FF338C">
        <w:t xml:space="preserve"> – in live production environments, changes to source measurements are common over the course of a reporting year and can be caused by a range of factors. </w:t>
      </w:r>
    </w:p>
    <w:p w14:paraId="22E7B0BB" w14:textId="567AD32E" w:rsidR="004A2E03" w:rsidRPr="00FF338C" w:rsidRDefault="00D2141E" w:rsidP="00D2141E">
      <w:pPr>
        <w:numPr>
          <w:ilvl w:val="0"/>
          <w:numId w:val="1"/>
        </w:numPr>
        <w:spacing w:before="120" w:after="120"/>
      </w:pPr>
      <w:r>
        <w:t>U</w:t>
      </w:r>
      <w:r w:rsidR="00E601A7">
        <w:t>sing</w:t>
      </w:r>
      <w:r w:rsidR="004A2E03">
        <w:t xml:space="preserve"> a</w:t>
      </w:r>
      <w:r w:rsidR="004A2E03" w:rsidRPr="006046BA">
        <w:rPr>
          <w:color w:val="auto"/>
        </w:rPr>
        <w:t xml:space="preserve"> Basis of Preparation (</w:t>
      </w:r>
      <w:proofErr w:type="spellStart"/>
      <w:r w:rsidR="004A2E03" w:rsidRPr="006046BA">
        <w:rPr>
          <w:color w:val="auto"/>
        </w:rPr>
        <w:t>BoP</w:t>
      </w:r>
      <w:proofErr w:type="spellEnd"/>
      <w:r w:rsidR="004A2E03" w:rsidRPr="006046BA">
        <w:rPr>
          <w:color w:val="auto"/>
        </w:rPr>
        <w:t>)</w:t>
      </w:r>
      <w:r w:rsidR="004A2E03" w:rsidRPr="00FF338C">
        <w:rPr>
          <w:b/>
          <w:color w:val="auto"/>
        </w:rPr>
        <w:t xml:space="preserve"> </w:t>
      </w:r>
      <w:r w:rsidR="004A2E03" w:rsidRPr="00FF338C">
        <w:t>–</w:t>
      </w:r>
      <w:r w:rsidR="004A2E03">
        <w:rPr>
          <w:color w:val="auto"/>
        </w:rPr>
        <w:t xml:space="preserve"> </w:t>
      </w:r>
      <w:r w:rsidR="004A2E03" w:rsidRPr="00FF338C">
        <w:rPr>
          <w:color w:val="auto"/>
        </w:rPr>
        <w:t xml:space="preserve">a </w:t>
      </w:r>
      <w:proofErr w:type="spellStart"/>
      <w:r w:rsidR="004A2E03" w:rsidRPr="00FF338C">
        <w:rPr>
          <w:color w:val="auto"/>
        </w:rPr>
        <w:t>BoP</w:t>
      </w:r>
      <w:proofErr w:type="spellEnd"/>
      <w:r w:rsidR="004A2E03" w:rsidRPr="00FF338C">
        <w:rPr>
          <w:color w:val="auto"/>
        </w:rPr>
        <w:t xml:space="preserve"> supports a reporter in meeting </w:t>
      </w:r>
      <w:r w:rsidR="00627400">
        <w:rPr>
          <w:color w:val="auto"/>
        </w:rPr>
        <w:t>the</w:t>
      </w:r>
      <w:r w:rsidR="00627400" w:rsidRPr="79B44BC7">
        <w:rPr>
          <w:color w:val="auto"/>
        </w:rPr>
        <w:t xml:space="preserve"> </w:t>
      </w:r>
      <w:r w:rsidR="004A2E03" w:rsidRPr="00FF338C">
        <w:rPr>
          <w:color w:val="auto"/>
        </w:rPr>
        <w:t>record keeping requirements under</w:t>
      </w:r>
      <w:r w:rsidR="004A2E03">
        <w:rPr>
          <w:color w:val="auto"/>
        </w:rPr>
        <w:t xml:space="preserve"> </w:t>
      </w:r>
      <w:r w:rsidR="004A2E03" w:rsidRPr="00FF338C">
        <w:rPr>
          <w:color w:val="auto"/>
        </w:rPr>
        <w:t xml:space="preserve">the NGER Act. A </w:t>
      </w:r>
      <w:proofErr w:type="spellStart"/>
      <w:r w:rsidR="004A2E03" w:rsidRPr="00FF338C">
        <w:rPr>
          <w:color w:val="auto"/>
        </w:rPr>
        <w:t>BoP</w:t>
      </w:r>
      <w:proofErr w:type="spellEnd"/>
      <w:r w:rsidR="004A2E03" w:rsidRPr="00FF338C">
        <w:rPr>
          <w:color w:val="auto"/>
        </w:rPr>
        <w:t xml:space="preserve"> </w:t>
      </w:r>
      <w:r w:rsidR="00291550" w:rsidRPr="79B44BC7">
        <w:rPr>
          <w:color w:val="auto"/>
        </w:rPr>
        <w:t>records</w:t>
      </w:r>
      <w:r w:rsidR="004A2E03" w:rsidRPr="00FF338C">
        <w:rPr>
          <w:color w:val="auto"/>
        </w:rPr>
        <w:t xml:space="preserve"> the methodology </w:t>
      </w:r>
      <w:r w:rsidR="00627400">
        <w:rPr>
          <w:color w:val="auto"/>
        </w:rPr>
        <w:t>used to</w:t>
      </w:r>
      <w:r w:rsidR="004A2E03" w:rsidRPr="79B44BC7">
        <w:rPr>
          <w:color w:val="auto"/>
        </w:rPr>
        <w:t xml:space="preserve"> prepare</w:t>
      </w:r>
      <w:r w:rsidR="00450152">
        <w:rPr>
          <w:color w:val="auto"/>
        </w:rPr>
        <w:t xml:space="preserve"> the</w:t>
      </w:r>
      <w:r w:rsidR="004A2E03" w:rsidRPr="00FF338C">
        <w:rPr>
          <w:color w:val="auto"/>
        </w:rPr>
        <w:t xml:space="preserve"> NGER report, including details such as facility layout, data sources and calculation methods. </w:t>
      </w:r>
      <w:r w:rsidR="00136769">
        <w:rPr>
          <w:color w:val="auto"/>
        </w:rPr>
        <w:t xml:space="preserve">Read more about the </w:t>
      </w:r>
      <w:proofErr w:type="spellStart"/>
      <w:r w:rsidR="00136769">
        <w:rPr>
          <w:color w:val="auto"/>
        </w:rPr>
        <w:t>BoP</w:t>
      </w:r>
      <w:proofErr w:type="spellEnd"/>
      <w:r w:rsidR="00121A21">
        <w:rPr>
          <w:color w:val="auto"/>
        </w:rPr>
        <w:t xml:space="preserve"> </w:t>
      </w:r>
      <w:r w:rsidR="00121A21">
        <w:rPr>
          <w:color w:val="auto"/>
        </w:rPr>
        <w:lastRenderedPageBreak/>
        <w:t xml:space="preserve">in the </w:t>
      </w:r>
      <w:hyperlink r:id="rId31" w:tooltip="A link to the NGER quick help topics guide on the Clean Energy Regulator website" w:history="1">
        <w:r w:rsidR="003E7DA4">
          <w:rPr>
            <w:rStyle w:val="Hyperlink"/>
            <w:rFonts w:asciiTheme="minorHAnsi" w:hAnsiTheme="minorHAnsi"/>
          </w:rPr>
          <w:t>NGER technical reporting information</w:t>
        </w:r>
      </w:hyperlink>
      <w:r w:rsidR="004B0870">
        <w:rPr>
          <w:rFonts w:ascii="ZWAdobeF" w:hAnsi="ZWAdobeF" w:cs="ZWAdobeF"/>
          <w:color w:val="auto"/>
          <w:sz w:val="2"/>
          <w:szCs w:val="2"/>
        </w:rPr>
        <w:t>10F</w:t>
      </w:r>
      <w:r w:rsidR="0010394F">
        <w:rPr>
          <w:rStyle w:val="FootnoteReference"/>
        </w:rPr>
        <w:footnoteReference w:id="12"/>
      </w:r>
      <w:r w:rsidR="00121A21">
        <w:rPr>
          <w:color w:val="auto"/>
        </w:rPr>
        <w:t>.</w:t>
      </w:r>
      <w:r w:rsidR="007F590E">
        <w:rPr>
          <w:color w:val="auto"/>
        </w:rPr>
        <w:t xml:space="preserve"> </w:t>
      </w:r>
      <w:r w:rsidR="00494FFC">
        <w:rPr>
          <w:color w:val="auto"/>
        </w:rPr>
        <w:t>The</w:t>
      </w:r>
      <w:r w:rsidR="004A2E03" w:rsidRPr="79B44BC7">
        <w:rPr>
          <w:color w:val="auto"/>
        </w:rPr>
        <w:t xml:space="preserve"> </w:t>
      </w:r>
      <w:r w:rsidR="28E692F8">
        <w:t>CER</w:t>
      </w:r>
      <w:r w:rsidR="004A2E03" w:rsidRPr="00FF338C">
        <w:t xml:space="preserve"> encourages reporters to </w:t>
      </w:r>
      <w:r w:rsidR="004A2E03">
        <w:t xml:space="preserve">voluntarily </w:t>
      </w:r>
      <w:r w:rsidR="004A2E03" w:rsidRPr="00FF338C">
        <w:t xml:space="preserve">submit their </w:t>
      </w:r>
      <w:proofErr w:type="spellStart"/>
      <w:r w:rsidR="004A2E03" w:rsidRPr="00FF338C">
        <w:t>BoP</w:t>
      </w:r>
      <w:proofErr w:type="spellEnd"/>
      <w:r w:rsidR="004A2E03" w:rsidRPr="00FF338C">
        <w:t xml:space="preserve"> (or a summary thereof) with each year’s NGER report.</w:t>
      </w:r>
    </w:p>
    <w:p w14:paraId="2D73B639" w14:textId="77777777" w:rsidR="004A2E03" w:rsidRPr="00FF338C" w:rsidRDefault="004A2E03" w:rsidP="00DB4B56">
      <w:pPr>
        <w:pStyle w:val="Heading2"/>
        <w:numPr>
          <w:ilvl w:val="1"/>
          <w:numId w:val="3"/>
        </w:numPr>
        <w:ind w:left="426" w:hanging="426"/>
      </w:pPr>
      <w:bookmarkStart w:id="38" w:name="_Toc511376928"/>
      <w:bookmarkStart w:id="39" w:name="_Toc511388525"/>
      <w:bookmarkStart w:id="40" w:name="_Toc511389447"/>
      <w:bookmarkStart w:id="41" w:name="_Toc511392956"/>
      <w:bookmarkStart w:id="42" w:name="_Toc511654414"/>
      <w:bookmarkStart w:id="43" w:name="_Ref511925663"/>
      <w:bookmarkStart w:id="44" w:name="_Toc512010386"/>
      <w:bookmarkStart w:id="45" w:name="_Toc512339584"/>
      <w:bookmarkStart w:id="46" w:name="_Toc106705748"/>
      <w:bookmarkStart w:id="47" w:name="_Toc235706297"/>
      <w:r w:rsidRPr="00FF338C">
        <w:t xml:space="preserve">Working with </w:t>
      </w:r>
      <w:bookmarkEnd w:id="38"/>
      <w:bookmarkEnd w:id="39"/>
      <w:bookmarkEnd w:id="40"/>
      <w:bookmarkEnd w:id="41"/>
      <w:bookmarkEnd w:id="42"/>
      <w:bookmarkEnd w:id="43"/>
      <w:r w:rsidRPr="00FF338C">
        <w:t>financial and process control data</w:t>
      </w:r>
      <w:bookmarkEnd w:id="44"/>
      <w:bookmarkEnd w:id="45"/>
      <w:bookmarkEnd w:id="46"/>
      <w:bookmarkEnd w:id="47"/>
    </w:p>
    <w:p w14:paraId="4B227CB4" w14:textId="303CECFC" w:rsidR="004A2E03" w:rsidRPr="00FF338C" w:rsidRDefault="004A2E03" w:rsidP="004A2E03">
      <w:pPr>
        <w:spacing w:before="120" w:after="120"/>
      </w:pPr>
      <w:r w:rsidRPr="00FF338C">
        <w:t>Facilities constituted by electricity generation, transmission and distribution activities are characterised by a high degree of metering and measurement conducted for both financial and process control purposes. Typical parameters which are directly metered include electricity consumed, electricity produced, electricity sold</w:t>
      </w:r>
      <w:r w:rsidR="006C22C7">
        <w:t>,</w:t>
      </w:r>
      <w:r w:rsidRPr="00FF338C">
        <w:t xml:space="preserve"> and fuels purchased. Meters and other measurement devices can be owned and controlled </w:t>
      </w:r>
      <w:r>
        <w:t xml:space="preserve">by </w:t>
      </w:r>
      <w:r w:rsidRPr="00FF338C">
        <w:t>the reporting organisation, or by customers, vendors and third-party intermediaries.</w:t>
      </w:r>
    </w:p>
    <w:p w14:paraId="0516D09F" w14:textId="77777777" w:rsidR="004A2E03" w:rsidRPr="00FF338C" w:rsidRDefault="004A2E03" w:rsidP="004A2E03">
      <w:pPr>
        <w:spacing w:before="120" w:after="120"/>
      </w:pPr>
      <w:r w:rsidRPr="00FF338C">
        <w:t>Much of this metered information may be suitable for use in the preparation of NGER reports. Staff responsible for process control and financial accounting are usually important contributors to a complete and accurate NGER report and should be involved in ensuring that the measurement requirements for NGER reporting are met and appropriately documented.</w:t>
      </w:r>
    </w:p>
    <w:p w14:paraId="574E2553" w14:textId="48DBB2F0" w:rsidR="004A2E03" w:rsidRPr="00FF338C" w:rsidRDefault="004A2E03" w:rsidP="004A2E03">
      <w:r w:rsidRPr="00FF338C">
        <w:t xml:space="preserve">NGER can be prescriptive in terms of the location of metering points (for example, measuring electricity production ‘at the terminals’), the types of measurement devices </w:t>
      </w:r>
      <w:r>
        <w:t xml:space="preserve">and how they are to be </w:t>
      </w:r>
      <w:r w:rsidRPr="00FF338C">
        <w:t>calibrated, and the extent of sampling which is considered representative.</w:t>
      </w:r>
    </w:p>
    <w:p w14:paraId="6BFAB884" w14:textId="77777777" w:rsidR="004A2E03" w:rsidRPr="00FF338C" w:rsidRDefault="004A2E03" w:rsidP="00B3330E">
      <w:pPr>
        <w:pStyle w:val="Heading1"/>
        <w:numPr>
          <w:ilvl w:val="0"/>
          <w:numId w:val="3"/>
        </w:numPr>
        <w:rPr>
          <w:lang w:val="en-GB"/>
        </w:rPr>
      </w:pPr>
      <w:bookmarkStart w:id="48" w:name="_Toc512010387"/>
      <w:bookmarkStart w:id="49" w:name="_Toc512339585"/>
      <w:bookmarkStart w:id="50" w:name="_Toc106705749"/>
      <w:bookmarkStart w:id="51" w:name="_Toc235706298"/>
      <w:r w:rsidRPr="00FF338C">
        <w:rPr>
          <w:lang w:val="en-GB"/>
        </w:rPr>
        <w:t>General principles on estimating scope 1 emissions</w:t>
      </w:r>
      <w:bookmarkEnd w:id="48"/>
      <w:bookmarkEnd w:id="49"/>
      <w:bookmarkEnd w:id="50"/>
      <w:bookmarkEnd w:id="51"/>
    </w:p>
    <w:p w14:paraId="0C859837" w14:textId="621E812D" w:rsidR="004A2E03" w:rsidRPr="00FF338C" w:rsidRDefault="004A2E03" w:rsidP="00EC2D37">
      <w:pPr>
        <w:spacing w:before="240"/>
      </w:pPr>
      <w:r w:rsidRPr="00FF338C">
        <w:t>Direct, or scope 1 emissions</w:t>
      </w:r>
      <w:r>
        <w:t>,</w:t>
      </w:r>
      <w:r w:rsidRPr="00FF338C">
        <w:t xml:space="preserve"> are defined in </w:t>
      </w:r>
      <w:r w:rsidR="0081398F">
        <w:t xml:space="preserve">NGER </w:t>
      </w:r>
      <w:r w:rsidR="0029218A">
        <w:t>r</w:t>
      </w:r>
      <w:r w:rsidR="00F3774A">
        <w:t xml:space="preserve">egulation </w:t>
      </w:r>
      <w:r w:rsidR="004F4148" w:rsidRPr="00FF338C">
        <w:t>2.23</w:t>
      </w:r>
      <w:r w:rsidR="004F4148">
        <w:t xml:space="preserve"> </w:t>
      </w:r>
      <w:r w:rsidRPr="00FF338C">
        <w:t xml:space="preserve">as </w:t>
      </w:r>
      <w:r w:rsidRPr="003F37EC">
        <w:t>‘</w:t>
      </w:r>
      <w:r w:rsidRPr="00C67339">
        <w:t xml:space="preserve">the release of greenhouse gas into the atmosphere as a direct result of an activity or series of activities (including ancillary activities) that constitute the facility’. </w:t>
      </w:r>
    </w:p>
    <w:p w14:paraId="7C2D3DFC" w14:textId="405EBEB1" w:rsidR="004A2E03" w:rsidRPr="00FF338C" w:rsidRDefault="004A2E03" w:rsidP="00DB4B56">
      <w:pPr>
        <w:pStyle w:val="Heading2"/>
        <w:numPr>
          <w:ilvl w:val="1"/>
          <w:numId w:val="3"/>
        </w:numPr>
        <w:ind w:left="426" w:hanging="426"/>
      </w:pPr>
      <w:bookmarkStart w:id="52" w:name="_Toc512010388"/>
      <w:bookmarkStart w:id="53" w:name="_Toc512339586"/>
      <w:bookmarkStart w:id="54" w:name="_Toc106705750"/>
      <w:bookmarkStart w:id="55" w:name="_Toc235706299"/>
      <w:r w:rsidRPr="00FF338C">
        <w:t xml:space="preserve">Common emissions sources for electricity </w:t>
      </w:r>
      <w:bookmarkEnd w:id="52"/>
      <w:bookmarkEnd w:id="53"/>
      <w:bookmarkEnd w:id="54"/>
      <w:r w:rsidR="00A54A68">
        <w:t>production</w:t>
      </w:r>
      <w:bookmarkEnd w:id="55"/>
      <w:r w:rsidR="008F364D" w:rsidRPr="00FF338C">
        <w:t xml:space="preserve"> </w:t>
      </w:r>
    </w:p>
    <w:p w14:paraId="6EAFDBBD" w14:textId="02C27D51" w:rsidR="004A2E03" w:rsidRPr="00FF338C" w:rsidRDefault="004A2E03" w:rsidP="004A2E03">
      <w:r>
        <w:t xml:space="preserve">Sources of </w:t>
      </w:r>
      <w:r w:rsidRPr="00FF338C">
        <w:t xml:space="preserve">emissions </w:t>
      </w:r>
      <w:r>
        <w:t xml:space="preserve">that </w:t>
      </w:r>
      <w:r w:rsidRPr="00FF338C">
        <w:t xml:space="preserve">are reportable under the NGER legislation are defined </w:t>
      </w:r>
      <w:r w:rsidR="00B86D1D">
        <w:t>in</w:t>
      </w:r>
      <w:r w:rsidR="00B86D1D" w:rsidRPr="00FF338C">
        <w:t xml:space="preserve"> </w:t>
      </w:r>
      <w:r w:rsidRPr="00FF338C">
        <w:t xml:space="preserve">section 1.10 of the </w:t>
      </w:r>
      <w:r>
        <w:t>NGER Measurement Determination</w:t>
      </w:r>
      <w:r w:rsidRPr="00FF338C">
        <w:t xml:space="preserve">. Sources of scope 1 emissions common to facilities </w:t>
      </w:r>
      <w:r w:rsidR="00B3442E">
        <w:t>producing</w:t>
      </w:r>
      <w:r w:rsidRPr="00FF338C">
        <w:t xml:space="preserve"> electricity </w:t>
      </w:r>
      <w:r w:rsidR="00E42A39">
        <w:t xml:space="preserve">from </w:t>
      </w:r>
      <w:r w:rsidR="00B3442E">
        <w:t xml:space="preserve">generating </w:t>
      </w:r>
      <w:r w:rsidR="00275339">
        <w:t>units</w:t>
      </w:r>
      <w:r w:rsidRPr="00FF338C" w:rsidDel="00EA71F7">
        <w:t xml:space="preserve"> </w:t>
      </w:r>
      <w:r w:rsidRPr="00FF338C">
        <w:t xml:space="preserve">are shown </w:t>
      </w:r>
      <w:r>
        <w:t>below</w:t>
      </w:r>
      <w:r w:rsidRPr="00FF338C">
        <w:t>.</w:t>
      </w:r>
    </w:p>
    <w:p w14:paraId="223C5F79" w14:textId="5EEED240" w:rsidR="008A4B1B" w:rsidRDefault="008A4B1B" w:rsidP="0035044B">
      <w:pPr>
        <w:pStyle w:val="Caption"/>
        <w:keepNext/>
      </w:pPr>
      <w:r>
        <w:lastRenderedPageBreak/>
        <w:t xml:space="preserve">Table </w:t>
      </w:r>
      <w:r>
        <w:fldChar w:fldCharType="begin"/>
      </w:r>
      <w:r>
        <w:instrText>SEQ Table \* ARABIC</w:instrText>
      </w:r>
      <w:r>
        <w:fldChar w:fldCharType="separate"/>
      </w:r>
      <w:r w:rsidR="0069639D">
        <w:rPr>
          <w:noProof/>
        </w:rPr>
        <w:t>2</w:t>
      </w:r>
      <w:r>
        <w:fldChar w:fldCharType="end"/>
      </w:r>
      <w:r>
        <w:t xml:space="preserve"> – </w:t>
      </w:r>
      <w:r w:rsidRPr="00416AD6">
        <w:t>Common scope 1 emissions sources related to electricity productio</w:t>
      </w:r>
      <w:r w:rsidR="00BE4303">
        <w:t>n.</w:t>
      </w:r>
    </w:p>
    <w:tbl>
      <w:tblPr>
        <w:tblStyle w:val="CERTable"/>
        <w:tblW w:w="9776" w:type="dxa"/>
        <w:tblLook w:val="06A0" w:firstRow="1" w:lastRow="0" w:firstColumn="1" w:lastColumn="0" w:noHBand="1" w:noVBand="1"/>
      </w:tblPr>
      <w:tblGrid>
        <w:gridCol w:w="1696"/>
        <w:gridCol w:w="8080"/>
      </w:tblGrid>
      <w:tr w:rsidR="004A2E03" w:rsidRPr="00C64711" w14:paraId="4BE02872" w14:textId="77777777" w:rsidTr="00BC1A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hideMark/>
          </w:tcPr>
          <w:p w14:paraId="3A8F4A85" w14:textId="77777777" w:rsidR="004A2E03" w:rsidRPr="00C67339" w:rsidRDefault="004A2E03">
            <w:pPr>
              <w:rPr>
                <w:szCs w:val="22"/>
              </w:rPr>
            </w:pPr>
            <w:r w:rsidRPr="00C67339">
              <w:rPr>
                <w:szCs w:val="22"/>
              </w:rPr>
              <w:t>Emissions source</w:t>
            </w:r>
          </w:p>
        </w:tc>
        <w:tc>
          <w:tcPr>
            <w:tcW w:w="8080" w:type="dxa"/>
            <w:hideMark/>
          </w:tcPr>
          <w:p w14:paraId="262A9D45" w14:textId="133D9C6C" w:rsidR="004A2E03" w:rsidRPr="00C67339" w:rsidRDefault="005371F3">
            <w:pPr>
              <w:cnfStyle w:val="100000000000" w:firstRow="1" w:lastRow="0" w:firstColumn="0" w:lastColumn="0" w:oddVBand="0" w:evenVBand="0" w:oddHBand="0" w:evenHBand="0" w:firstRowFirstColumn="0" w:firstRowLastColumn="0" w:lastRowFirstColumn="0" w:lastRowLastColumn="0"/>
              <w:rPr>
                <w:szCs w:val="22"/>
              </w:rPr>
            </w:pPr>
            <w:r>
              <w:rPr>
                <w:szCs w:val="22"/>
              </w:rPr>
              <w:t>Activity</w:t>
            </w:r>
            <w:r w:rsidR="00CF0989">
              <w:rPr>
                <w:szCs w:val="22"/>
              </w:rPr>
              <w:t xml:space="preserve"> releasing emission</w:t>
            </w:r>
          </w:p>
        </w:tc>
      </w:tr>
      <w:tr w:rsidR="004A2E03" w:rsidRPr="00C64711" w14:paraId="5E96408F" w14:textId="77777777" w:rsidTr="00BC1A51">
        <w:tc>
          <w:tcPr>
            <w:cnfStyle w:val="001000000000" w:firstRow="0" w:lastRow="0" w:firstColumn="1" w:lastColumn="0" w:oddVBand="0" w:evenVBand="0" w:oddHBand="0" w:evenHBand="0" w:firstRowFirstColumn="0" w:firstRowLastColumn="0" w:lastRowFirstColumn="0" w:lastRowLastColumn="0"/>
            <w:tcW w:w="1696" w:type="dxa"/>
            <w:vMerge w:val="restart"/>
          </w:tcPr>
          <w:p w14:paraId="717C8915" w14:textId="64C4620C" w:rsidR="004A2E03" w:rsidRPr="00C67339" w:rsidRDefault="004A2E03">
            <w:pPr>
              <w:rPr>
                <w:szCs w:val="22"/>
              </w:rPr>
            </w:pPr>
            <w:r w:rsidRPr="00C67339">
              <w:rPr>
                <w:szCs w:val="22"/>
              </w:rPr>
              <w:t>Fuel combustion</w:t>
            </w:r>
          </w:p>
          <w:p w14:paraId="51A3EB81" w14:textId="77777777" w:rsidR="004A2E03" w:rsidRPr="008A5BA7" w:rsidRDefault="004A2E03">
            <w:pPr>
              <w:rPr>
                <w:szCs w:val="22"/>
              </w:rPr>
            </w:pPr>
            <w:r w:rsidRPr="00E26BF6">
              <w:rPr>
                <w:szCs w:val="22"/>
              </w:rPr>
              <w:t>(Item 1A in s1.10)</w:t>
            </w:r>
          </w:p>
          <w:p w14:paraId="188E9DE4" w14:textId="16AD1164" w:rsidR="004A2E03" w:rsidRPr="00C67339" w:rsidRDefault="004A2E03">
            <w:pPr>
              <w:rPr>
                <w:szCs w:val="22"/>
              </w:rPr>
            </w:pPr>
            <w:r w:rsidRPr="00E26BF6">
              <w:rPr>
                <w:szCs w:val="22"/>
              </w:rPr>
              <w:t xml:space="preserve">See </w:t>
            </w:r>
            <w:hyperlink w:anchor="_Estimating_emissions_from_2" w:history="1">
              <w:r w:rsidRPr="00E26BF6">
                <w:rPr>
                  <w:rStyle w:val="Hyperlink"/>
                  <w:rFonts w:asciiTheme="minorHAnsi" w:hAnsiTheme="minorHAnsi"/>
                  <w:szCs w:val="22"/>
                </w:rPr>
                <w:t>chapter 4</w:t>
              </w:r>
            </w:hyperlink>
            <w:r w:rsidRPr="00E26BF6">
              <w:rPr>
                <w:szCs w:val="22"/>
              </w:rPr>
              <w:t xml:space="preserve"> of this </w:t>
            </w:r>
            <w:r w:rsidRPr="00E26BF6">
              <w:t>guideline</w:t>
            </w:r>
            <w:r w:rsidRPr="00E26BF6">
              <w:rPr>
                <w:szCs w:val="22"/>
              </w:rPr>
              <w:t>.</w:t>
            </w:r>
          </w:p>
        </w:tc>
        <w:tc>
          <w:tcPr>
            <w:tcW w:w="8080" w:type="dxa"/>
          </w:tcPr>
          <w:p w14:paraId="324BE821" w14:textId="77777777"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rFonts w:cs="Arial"/>
                <w:b/>
                <w:color w:val="000000"/>
                <w:szCs w:val="22"/>
              </w:rPr>
            </w:pPr>
            <w:r w:rsidRPr="00C67339">
              <w:rPr>
                <w:rFonts w:cs="Arial"/>
                <w:b/>
                <w:color w:val="000000"/>
                <w:szCs w:val="22"/>
              </w:rPr>
              <w:t>Electricity generation purposes</w:t>
            </w:r>
          </w:p>
          <w:p w14:paraId="25150B96" w14:textId="47411DB9"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2"/>
              </w:rPr>
            </w:pPr>
            <w:r>
              <w:rPr>
                <w:rFonts w:cs="Arial"/>
                <w:color w:val="000000"/>
                <w:szCs w:val="22"/>
              </w:rPr>
              <w:t xml:space="preserve">This is combustion </w:t>
            </w:r>
            <w:r w:rsidRPr="00C67339">
              <w:rPr>
                <w:rFonts w:cs="Arial"/>
                <w:color w:val="000000"/>
                <w:szCs w:val="22"/>
              </w:rPr>
              <w:t xml:space="preserve">of fuel to generate electricity either for use in own facility or for use </w:t>
            </w:r>
            <w:r>
              <w:rPr>
                <w:rFonts w:cs="Arial"/>
                <w:color w:val="000000"/>
                <w:szCs w:val="22"/>
              </w:rPr>
              <w:t xml:space="preserve">in an </w:t>
            </w:r>
            <w:r w:rsidRPr="00C67339">
              <w:rPr>
                <w:rFonts w:cs="Arial"/>
                <w:color w:val="000000"/>
                <w:szCs w:val="22"/>
              </w:rPr>
              <w:t xml:space="preserve">outside facility (including delivery into an electricity network). These are the most significant emissions from </w:t>
            </w:r>
            <w:r w:rsidR="00E05E4E">
              <w:rPr>
                <w:rFonts w:cs="Arial"/>
                <w:color w:val="000000"/>
                <w:szCs w:val="22"/>
              </w:rPr>
              <w:t>electricity production</w:t>
            </w:r>
            <w:r w:rsidRPr="00C67339">
              <w:rPr>
                <w:rFonts w:cs="Arial"/>
                <w:color w:val="000000"/>
                <w:szCs w:val="22"/>
              </w:rPr>
              <w:t>. Examples include:</w:t>
            </w:r>
          </w:p>
          <w:p w14:paraId="336A4BEA"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color w:val="auto"/>
                <w:kern w:val="0"/>
                <w:szCs w:val="22"/>
              </w:rPr>
            </w:pPr>
            <w:r w:rsidRPr="79B44BC7">
              <w:rPr>
                <w:color w:val="auto"/>
              </w:rPr>
              <w:t>coal fired power station (solid fuel combustion)</w:t>
            </w:r>
          </w:p>
          <w:p w14:paraId="0FEF225B"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color w:val="auto"/>
                <w:kern w:val="0"/>
                <w:szCs w:val="22"/>
              </w:rPr>
            </w:pPr>
            <w:r w:rsidRPr="79B44BC7">
              <w:rPr>
                <w:color w:val="auto"/>
              </w:rPr>
              <w:t>gas fired power station (gaseous fuel combustion)</w:t>
            </w:r>
          </w:p>
          <w:p w14:paraId="6405C86F" w14:textId="77777777" w:rsidR="004A2E03" w:rsidRPr="00C67339" w:rsidRDefault="004A2E03" w:rsidP="00B3330E">
            <w:pPr>
              <w:numPr>
                <w:ilvl w:val="0"/>
                <w:numId w:val="1"/>
              </w:numPr>
              <w:spacing w:after="120"/>
              <w:cnfStyle w:val="000000000000" w:firstRow="0" w:lastRow="0" w:firstColumn="0" w:lastColumn="0" w:oddVBand="0" w:evenVBand="0" w:oddHBand="0" w:evenHBand="0" w:firstRowFirstColumn="0" w:firstRowLastColumn="0" w:lastRowFirstColumn="0" w:lastRowLastColumn="0"/>
              <w:rPr>
                <w:rFonts w:cs="Arial"/>
                <w:color w:val="000000"/>
                <w:szCs w:val="22"/>
              </w:rPr>
            </w:pPr>
            <w:r w:rsidRPr="79B44BC7">
              <w:rPr>
                <w:color w:val="auto"/>
              </w:rPr>
              <w:t>diesel fired</w:t>
            </w:r>
            <w:r>
              <w:t xml:space="preserve"> electricity generator (liquid fuel combustion).</w:t>
            </w:r>
          </w:p>
          <w:p w14:paraId="4CE74030" w14:textId="1C5D4502" w:rsidR="004A2E03" w:rsidRPr="003F37EC" w:rsidRDefault="004A2E03" w:rsidP="00D2141E">
            <w:pPr>
              <w:cnfStyle w:val="000000000000" w:firstRow="0" w:lastRow="0" w:firstColumn="0" w:lastColumn="0" w:oddVBand="0" w:evenVBand="0" w:oddHBand="0" w:evenHBand="0" w:firstRowFirstColumn="0" w:firstRowLastColumn="0" w:lastRowFirstColumn="0" w:lastRowLastColumn="0"/>
              <w:rPr>
                <w:rFonts w:cs="Arial"/>
                <w:color w:val="000000"/>
              </w:rPr>
            </w:pPr>
            <w:r w:rsidRPr="006046BA">
              <w:t>Note</w:t>
            </w:r>
            <w:r w:rsidRPr="005430DC">
              <w:t>: It</w:t>
            </w:r>
            <w:r w:rsidRPr="003F37EC">
              <w:t xml:space="preserve"> is important t</w:t>
            </w:r>
            <w:r>
              <w:t xml:space="preserve">hat </w:t>
            </w:r>
            <w:r w:rsidRPr="003F37EC">
              <w:t>fuel combustion for electricity</w:t>
            </w:r>
            <w:r>
              <w:t xml:space="preserve"> generation</w:t>
            </w:r>
            <w:r w:rsidRPr="003F37EC">
              <w:t xml:space="preserve"> purpose</w:t>
            </w:r>
            <w:r>
              <w:t>s be reported</w:t>
            </w:r>
            <w:r w:rsidRPr="003F37EC">
              <w:t xml:space="preserve"> as </w:t>
            </w:r>
            <w:r w:rsidR="00C4243F" w:rsidRPr="003F37EC">
              <w:t>such and</w:t>
            </w:r>
            <w:r w:rsidRPr="003F37EC">
              <w:t xml:space="preserve"> </w:t>
            </w:r>
            <w:r w:rsidRPr="00C67339">
              <w:t>not</w:t>
            </w:r>
            <w:r>
              <w:t xml:space="preserve"> reported</w:t>
            </w:r>
            <w:r w:rsidRPr="00C67339">
              <w:t xml:space="preserve"> as fuel combustion for stationary energy purposes</w:t>
            </w:r>
            <w:r w:rsidRPr="003F37EC">
              <w:t>.</w:t>
            </w:r>
            <w:r w:rsidR="004F479D">
              <w:t xml:space="preserve"> </w:t>
            </w:r>
            <w:r w:rsidR="004F479D" w:rsidRPr="00D2141E">
              <w:t>Fuel combustion for generating units that do not meet the electricity production reporting threshold (</w:t>
            </w:r>
            <w:r w:rsidR="00533DD5">
              <w:t>r</w:t>
            </w:r>
            <w:r w:rsidR="004F479D" w:rsidRPr="00D2141E">
              <w:t>egulation 4.19) can be reported as fuel combustion for stationary energy purposes</w:t>
            </w:r>
            <w:r w:rsidR="004F479D">
              <w:t>.</w:t>
            </w:r>
            <w:r w:rsidR="00755DD8">
              <w:t xml:space="preserve"> See </w:t>
            </w:r>
            <w:r>
              <w:fldChar w:fldCharType="begin" w:fldLock="1"/>
            </w:r>
            <w:r>
              <w:instrText>REF _Ref199338865</w:instrText>
            </w:r>
            <w:r>
              <w:fldChar w:fldCharType="separate"/>
            </w:r>
            <w:r w:rsidR="00755DD8">
              <w:t xml:space="preserve">Table </w:t>
            </w:r>
            <w:r w:rsidR="00755DD8">
              <w:rPr>
                <w:noProof/>
              </w:rPr>
              <w:t>10</w:t>
            </w:r>
            <w:r>
              <w:fldChar w:fldCharType="end"/>
            </w:r>
            <w:r w:rsidR="00755DD8">
              <w:t xml:space="preserve"> for more information.</w:t>
            </w:r>
          </w:p>
        </w:tc>
      </w:tr>
      <w:tr w:rsidR="004A2E03" w:rsidRPr="00C64711" w14:paraId="51D906E6" w14:textId="77777777" w:rsidTr="00BC1A51">
        <w:tc>
          <w:tcPr>
            <w:cnfStyle w:val="001000000000" w:firstRow="0" w:lastRow="0" w:firstColumn="1" w:lastColumn="0" w:oddVBand="0" w:evenVBand="0" w:oddHBand="0" w:evenHBand="0" w:firstRowFirstColumn="0" w:firstRowLastColumn="0" w:lastRowFirstColumn="0" w:lastRowLastColumn="0"/>
            <w:tcW w:w="1696" w:type="dxa"/>
            <w:vMerge/>
          </w:tcPr>
          <w:p w14:paraId="4537A6F5" w14:textId="77777777" w:rsidR="004A2E03" w:rsidRPr="00C67339" w:rsidRDefault="004A2E03">
            <w:pPr>
              <w:rPr>
                <w:szCs w:val="22"/>
              </w:rPr>
            </w:pPr>
          </w:p>
        </w:tc>
        <w:tc>
          <w:tcPr>
            <w:tcW w:w="8080" w:type="dxa"/>
          </w:tcPr>
          <w:p w14:paraId="030CEC42" w14:textId="77777777"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b/>
                <w:szCs w:val="22"/>
              </w:rPr>
            </w:pPr>
            <w:r w:rsidRPr="00C67339">
              <w:rPr>
                <w:b/>
                <w:szCs w:val="22"/>
              </w:rPr>
              <w:t>Stationary energy purposes</w:t>
            </w:r>
          </w:p>
          <w:p w14:paraId="5E6A9254" w14:textId="4601A6C2" w:rsidR="009A4270" w:rsidRDefault="00CD6635" w:rsidP="00CF3293">
            <w:pPr>
              <w:spacing w:after="120"/>
              <w:cnfStyle w:val="000000000000" w:firstRow="0" w:lastRow="0" w:firstColumn="0" w:lastColumn="0" w:oddVBand="0" w:evenVBand="0" w:oddHBand="0" w:evenHBand="0" w:firstRowFirstColumn="0" w:firstRowLastColumn="0" w:lastRowFirstColumn="0" w:lastRowLastColumn="0"/>
            </w:pPr>
            <w:r>
              <w:t>‘</w:t>
            </w:r>
            <w:r w:rsidR="6852E8E1">
              <w:t>S</w:t>
            </w:r>
            <w:r w:rsidR="00674BA2">
              <w:t>tationary energy purposes</w:t>
            </w:r>
            <w:r>
              <w:t>’</w:t>
            </w:r>
            <w:r w:rsidR="00674BA2">
              <w:t xml:space="preserve"> means</w:t>
            </w:r>
            <w:r w:rsidR="004A2E03">
              <w:t xml:space="preserve"> fuel </w:t>
            </w:r>
            <w:r w:rsidR="00674BA2">
              <w:t xml:space="preserve">combusted </w:t>
            </w:r>
            <w:r w:rsidR="00217F59">
              <w:t>for</w:t>
            </w:r>
            <w:r w:rsidR="00EC0907">
              <w:t xml:space="preserve"> </w:t>
            </w:r>
            <w:r w:rsidR="00A25881">
              <w:t>‘</w:t>
            </w:r>
            <w:r w:rsidR="004A2E03">
              <w:t xml:space="preserve">stationary </w:t>
            </w:r>
            <w:r w:rsidR="00A25881">
              <w:t xml:space="preserve">equipment’ </w:t>
            </w:r>
            <w:r w:rsidR="008350B3">
              <w:t xml:space="preserve">or </w:t>
            </w:r>
            <w:r w:rsidR="00217F59">
              <w:t>non-</w:t>
            </w:r>
            <w:r w:rsidR="00674BA2">
              <w:t>transport</w:t>
            </w:r>
            <w:r w:rsidR="00674BA2" w:rsidDel="00545D9C">
              <w:t xml:space="preserve"> energy purposes</w:t>
            </w:r>
            <w:r w:rsidR="00674BA2">
              <w:t>.</w:t>
            </w:r>
            <w:r w:rsidR="004A2E03">
              <w:t xml:space="preserve"> Stationary equipment includes</w:t>
            </w:r>
            <w:r w:rsidR="009A4270">
              <w:t>:</w:t>
            </w:r>
          </w:p>
          <w:p w14:paraId="713C8A43" w14:textId="2D5E5572" w:rsidR="009A4270" w:rsidRPr="00D2141E" w:rsidRDefault="004A2E03" w:rsidP="009A4270">
            <w:pPr>
              <w:pStyle w:val="CERbullets"/>
              <w:cnfStyle w:val="000000000000" w:firstRow="0" w:lastRow="0" w:firstColumn="0" w:lastColumn="0" w:oddVBand="0" w:evenVBand="0" w:oddHBand="0" w:evenHBand="0" w:firstRowFirstColumn="0" w:firstRowLastColumn="0" w:lastRowFirstColumn="0" w:lastRowLastColumn="0"/>
              <w:rPr>
                <w:b/>
              </w:rPr>
            </w:pPr>
            <w:r>
              <w:t>onsite mobile equipment that is not registered</w:t>
            </w:r>
            <w:r w:rsidR="003D413F" w:rsidDel="00D14F3C">
              <w:t xml:space="preserve"> </w:t>
            </w:r>
            <w:r w:rsidR="008831B3">
              <w:t>for</w:t>
            </w:r>
            <w:r w:rsidR="000144F7">
              <w:t xml:space="preserve"> road</w:t>
            </w:r>
            <w:r w:rsidR="00D33713">
              <w:t xml:space="preserve"> </w:t>
            </w:r>
            <w:r w:rsidR="008831B3">
              <w:t>use</w:t>
            </w:r>
            <w:r>
              <w:t xml:space="preserve">, such as diesel-powered </w:t>
            </w:r>
            <w:r w:rsidDel="00013C67">
              <w:t>dozer</w:t>
            </w:r>
            <w:r w:rsidR="00E512E3" w:rsidDel="00013C67">
              <w:t>s</w:t>
            </w:r>
            <w:r w:rsidR="002E3588" w:rsidDel="00013C67">
              <w:t>,</w:t>
            </w:r>
            <w:r w:rsidR="002E3588" w:rsidDel="0021694D">
              <w:t xml:space="preserve"> </w:t>
            </w:r>
            <w:r w:rsidR="00257858">
              <w:t>forkli</w:t>
            </w:r>
            <w:r w:rsidR="00E60F5B">
              <w:t>ft</w:t>
            </w:r>
            <w:r w:rsidR="00E512E3">
              <w:t>s</w:t>
            </w:r>
            <w:r w:rsidR="00F16BC8">
              <w:t xml:space="preserve">, </w:t>
            </w:r>
            <w:r w:rsidR="004C793D">
              <w:t>and</w:t>
            </w:r>
            <w:r w:rsidR="00E60F5B">
              <w:t xml:space="preserve"> </w:t>
            </w:r>
            <w:r w:rsidR="00136787">
              <w:t xml:space="preserve">excavators </w:t>
            </w:r>
            <w:r w:rsidR="001E004F">
              <w:t xml:space="preserve"> </w:t>
            </w:r>
          </w:p>
          <w:p w14:paraId="4AC82D60" w14:textId="1DE59002" w:rsidR="009A4270" w:rsidRPr="00D2141E" w:rsidRDefault="00F16BC8" w:rsidP="009A4270">
            <w:pPr>
              <w:pStyle w:val="CERbullets"/>
              <w:cnfStyle w:val="000000000000" w:firstRow="0" w:lastRow="0" w:firstColumn="0" w:lastColumn="0" w:oddVBand="0" w:evenVBand="0" w:oddHBand="0" w:evenHBand="0" w:firstRowFirstColumn="0" w:firstRowLastColumn="0" w:lastRowFirstColumn="0" w:lastRowLastColumn="0"/>
              <w:rPr>
                <w:b/>
              </w:rPr>
            </w:pPr>
            <w:r>
              <w:t xml:space="preserve">portable generators </w:t>
            </w:r>
            <w:r w:rsidR="009A4270" w:rsidRPr="001F3DA5">
              <w:rPr>
                <w:color w:val="000000" w:themeColor="text1"/>
              </w:rPr>
              <w:t>that do not meet the electricity production reporting threshold (</w:t>
            </w:r>
            <w:r w:rsidR="00CC5913">
              <w:rPr>
                <w:color w:val="000000" w:themeColor="text1"/>
              </w:rPr>
              <w:t>r</w:t>
            </w:r>
            <w:r w:rsidR="009A4270" w:rsidRPr="001F3DA5">
              <w:rPr>
                <w:color w:val="000000" w:themeColor="text1"/>
              </w:rPr>
              <w:t>egulation 4.19)</w:t>
            </w:r>
          </w:p>
          <w:p w14:paraId="64DBF5A9" w14:textId="5AD336B5" w:rsidR="009A4270" w:rsidRPr="00D2141E" w:rsidRDefault="00170DAF" w:rsidP="009A4270">
            <w:pPr>
              <w:pStyle w:val="CERbullets"/>
              <w:cnfStyle w:val="000000000000" w:firstRow="0" w:lastRow="0" w:firstColumn="0" w:lastColumn="0" w:oddVBand="0" w:evenVBand="0" w:oddHBand="0" w:evenHBand="0" w:firstRowFirstColumn="0" w:firstRowLastColumn="0" w:lastRowFirstColumn="0" w:lastRowLastColumn="0"/>
              <w:rPr>
                <w:b/>
              </w:rPr>
            </w:pPr>
            <w:r>
              <w:t>portable lighting tower</w:t>
            </w:r>
            <w:r w:rsidR="008350B3">
              <w:t>s</w:t>
            </w:r>
          </w:p>
          <w:p w14:paraId="21D05EFE" w14:textId="30B4358F" w:rsidR="004A2E03" w:rsidRPr="00C67339" w:rsidRDefault="002A665B" w:rsidP="00D2141E">
            <w:pPr>
              <w:pStyle w:val="CERbullets"/>
              <w:cnfStyle w:val="000000000000" w:firstRow="0" w:lastRow="0" w:firstColumn="0" w:lastColumn="0" w:oddVBand="0" w:evenVBand="0" w:oddHBand="0" w:evenHBand="0" w:firstRowFirstColumn="0" w:firstRowLastColumn="0" w:lastRowFirstColumn="0" w:lastRowLastColumn="0"/>
              <w:rPr>
                <w:b/>
              </w:rPr>
            </w:pPr>
            <w:r>
              <w:t>gas compressor</w:t>
            </w:r>
            <w:r w:rsidR="007C1CAA">
              <w:t>s</w:t>
            </w:r>
            <w:r w:rsidR="004A2E03">
              <w:t>.</w:t>
            </w:r>
          </w:p>
        </w:tc>
      </w:tr>
      <w:tr w:rsidR="004A2E03" w:rsidRPr="00C64711" w14:paraId="5762D53C" w14:textId="77777777" w:rsidTr="00BC1A51">
        <w:tc>
          <w:tcPr>
            <w:cnfStyle w:val="001000000000" w:firstRow="0" w:lastRow="0" w:firstColumn="1" w:lastColumn="0" w:oddVBand="0" w:evenVBand="0" w:oddHBand="0" w:evenHBand="0" w:firstRowFirstColumn="0" w:firstRowLastColumn="0" w:lastRowFirstColumn="0" w:lastRowLastColumn="0"/>
            <w:tcW w:w="1696" w:type="dxa"/>
            <w:vMerge/>
          </w:tcPr>
          <w:p w14:paraId="0DEA811F" w14:textId="77777777" w:rsidR="004A2E03" w:rsidRPr="00C67339" w:rsidRDefault="004A2E03">
            <w:pPr>
              <w:rPr>
                <w:szCs w:val="22"/>
              </w:rPr>
            </w:pPr>
          </w:p>
        </w:tc>
        <w:tc>
          <w:tcPr>
            <w:tcW w:w="8080" w:type="dxa"/>
          </w:tcPr>
          <w:p w14:paraId="78683463" w14:textId="77777777"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b/>
                <w:szCs w:val="22"/>
              </w:rPr>
            </w:pPr>
            <w:r w:rsidRPr="00C67339">
              <w:rPr>
                <w:b/>
                <w:szCs w:val="22"/>
              </w:rPr>
              <w:t>Transport energy purposes</w:t>
            </w:r>
          </w:p>
          <w:p w14:paraId="06351F6F" w14:textId="2430C917" w:rsidR="00525874" w:rsidRDefault="008350B3">
            <w:pPr>
              <w:spacing w:after="120"/>
              <w:cnfStyle w:val="000000000000" w:firstRow="0" w:lastRow="0" w:firstColumn="0" w:lastColumn="0" w:oddVBand="0" w:evenVBand="0" w:oddHBand="0" w:evenHBand="0" w:firstRowFirstColumn="0" w:firstRowLastColumn="0" w:lastRowFirstColumn="0" w:lastRowLastColumn="0"/>
              <w:rPr>
                <w:szCs w:val="22"/>
              </w:rPr>
            </w:pPr>
            <w:r>
              <w:rPr>
                <w:szCs w:val="22"/>
              </w:rPr>
              <w:t>‘</w:t>
            </w:r>
            <w:r w:rsidR="005A2709">
              <w:rPr>
                <w:szCs w:val="22"/>
              </w:rPr>
              <w:t>T</w:t>
            </w:r>
            <w:r w:rsidR="00BD7E84" w:rsidRPr="00BD7E84">
              <w:rPr>
                <w:szCs w:val="22"/>
              </w:rPr>
              <w:t>ransport energy purposes</w:t>
            </w:r>
            <w:r>
              <w:rPr>
                <w:szCs w:val="22"/>
              </w:rPr>
              <w:t>’</w:t>
            </w:r>
            <w:r w:rsidR="00BD7E84" w:rsidRPr="00BD7E84">
              <w:rPr>
                <w:szCs w:val="22"/>
              </w:rPr>
              <w:t xml:space="preserve"> </w:t>
            </w:r>
            <w:r>
              <w:rPr>
                <w:szCs w:val="22"/>
              </w:rPr>
              <w:t>means</w:t>
            </w:r>
            <w:r w:rsidR="00BD7E84" w:rsidRPr="00BD7E84">
              <w:rPr>
                <w:szCs w:val="22"/>
              </w:rPr>
              <w:t xml:space="preserve"> fuel combusted </w:t>
            </w:r>
            <w:r w:rsidR="000E7445">
              <w:rPr>
                <w:szCs w:val="22"/>
              </w:rPr>
              <w:t>fo</w:t>
            </w:r>
            <w:r w:rsidR="00E85038">
              <w:rPr>
                <w:szCs w:val="22"/>
              </w:rPr>
              <w:t>r</w:t>
            </w:r>
            <w:r w:rsidR="00BD7E84" w:rsidRPr="00BD7E84">
              <w:rPr>
                <w:szCs w:val="22"/>
              </w:rPr>
              <w:t>:</w:t>
            </w:r>
          </w:p>
          <w:p w14:paraId="21DC5ABF" w14:textId="77777777" w:rsidR="00525874" w:rsidRPr="00525874" w:rsidRDefault="00BD7E84" w:rsidP="00525874">
            <w:pPr>
              <w:pStyle w:val="CERbullets"/>
              <w:cnfStyle w:val="000000000000" w:firstRow="0" w:lastRow="0" w:firstColumn="0" w:lastColumn="0" w:oddVBand="0" w:evenVBand="0" w:oddHBand="0" w:evenHBand="0" w:firstRowFirstColumn="0" w:firstRowLastColumn="0" w:lastRowFirstColumn="0" w:lastRowLastColumn="0"/>
              <w:rPr>
                <w:rStyle w:val="CERbulletsChar"/>
                <w:szCs w:val="22"/>
              </w:rPr>
            </w:pPr>
            <w:r w:rsidRPr="00D2141E">
              <w:rPr>
                <w:rStyle w:val="CERbulletsChar"/>
              </w:rPr>
              <w:t>transport by vehicles registered for road use</w:t>
            </w:r>
          </w:p>
          <w:p w14:paraId="2968D5FA" w14:textId="77777777" w:rsidR="00525874" w:rsidRPr="00525874" w:rsidRDefault="00BD7E84" w:rsidP="00525874">
            <w:pPr>
              <w:pStyle w:val="CERbullets"/>
              <w:cnfStyle w:val="000000000000" w:firstRow="0" w:lastRow="0" w:firstColumn="0" w:lastColumn="0" w:oddVBand="0" w:evenVBand="0" w:oddHBand="0" w:evenHBand="0" w:firstRowFirstColumn="0" w:firstRowLastColumn="0" w:lastRowFirstColumn="0" w:lastRowLastColumn="0"/>
              <w:rPr>
                <w:rStyle w:val="CERbulletsChar"/>
                <w:szCs w:val="22"/>
              </w:rPr>
            </w:pPr>
            <w:r w:rsidRPr="00D2141E">
              <w:rPr>
                <w:rStyle w:val="CERbulletsChar"/>
              </w:rPr>
              <w:t>rail transport</w:t>
            </w:r>
          </w:p>
          <w:p w14:paraId="3976C790" w14:textId="77777777" w:rsidR="004B1242" w:rsidRPr="004B1242" w:rsidRDefault="00BD7E84" w:rsidP="00525874">
            <w:pPr>
              <w:pStyle w:val="CERbullets"/>
              <w:cnfStyle w:val="000000000000" w:firstRow="0" w:lastRow="0" w:firstColumn="0" w:lastColumn="0" w:oddVBand="0" w:evenVBand="0" w:oddHBand="0" w:evenHBand="0" w:firstRowFirstColumn="0" w:firstRowLastColumn="0" w:lastRowFirstColumn="0" w:lastRowLastColumn="0"/>
              <w:rPr>
                <w:rStyle w:val="CERbulletsChar"/>
                <w:szCs w:val="22"/>
              </w:rPr>
            </w:pPr>
            <w:r w:rsidRPr="00D2141E">
              <w:rPr>
                <w:rStyle w:val="CERbulletsChar"/>
              </w:rPr>
              <w:t>waterborne transport</w:t>
            </w:r>
          </w:p>
          <w:p w14:paraId="50AEA7A9" w14:textId="7DAE6B5B" w:rsidR="004A2E03" w:rsidRPr="00C67339" w:rsidRDefault="00BD7E84" w:rsidP="00D2141E">
            <w:pPr>
              <w:pStyle w:val="CERbullets"/>
              <w:cnfStyle w:val="000000000000" w:firstRow="0" w:lastRow="0" w:firstColumn="0" w:lastColumn="0" w:oddVBand="0" w:evenVBand="0" w:oddHBand="0" w:evenHBand="0" w:firstRowFirstColumn="0" w:firstRowLastColumn="0" w:lastRowFirstColumn="0" w:lastRowLastColumn="0"/>
              <w:rPr>
                <w:szCs w:val="22"/>
              </w:rPr>
            </w:pPr>
            <w:r w:rsidRPr="00D2141E">
              <w:rPr>
                <w:rStyle w:val="CERbulletsChar"/>
              </w:rPr>
              <w:t>air transport.</w:t>
            </w:r>
          </w:p>
        </w:tc>
      </w:tr>
      <w:tr w:rsidR="004A2E03" w:rsidRPr="00C64711" w14:paraId="3F77C04B" w14:textId="77777777" w:rsidTr="79B44BC7">
        <w:tc>
          <w:tcPr>
            <w:cnfStyle w:val="001000000000" w:firstRow="0" w:lastRow="0" w:firstColumn="1" w:lastColumn="0" w:oddVBand="0" w:evenVBand="0" w:oddHBand="0" w:evenHBand="0" w:firstRowFirstColumn="0" w:firstRowLastColumn="0" w:lastRowFirstColumn="0" w:lastRowLastColumn="0"/>
            <w:tcW w:w="1696" w:type="dxa"/>
            <w:vMerge/>
          </w:tcPr>
          <w:p w14:paraId="059B4CA5" w14:textId="77777777" w:rsidR="004A2E03" w:rsidRPr="00C67339" w:rsidRDefault="004A2E03">
            <w:pPr>
              <w:rPr>
                <w:szCs w:val="22"/>
              </w:rPr>
            </w:pPr>
          </w:p>
        </w:tc>
        <w:tc>
          <w:tcPr>
            <w:tcW w:w="8080" w:type="dxa"/>
            <w:tcBorders>
              <w:bottom w:val="single" w:sz="8" w:space="0" w:color="E8E8E8" w:themeColor="background2"/>
            </w:tcBorders>
          </w:tcPr>
          <w:p w14:paraId="31D8145C" w14:textId="77777777"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b/>
                <w:szCs w:val="22"/>
              </w:rPr>
            </w:pPr>
            <w:r w:rsidRPr="00C67339">
              <w:rPr>
                <w:b/>
                <w:szCs w:val="22"/>
              </w:rPr>
              <w:t>Combustion of petroleum-based oils and greases (PBOGs)</w:t>
            </w:r>
          </w:p>
          <w:p w14:paraId="4991CCA9" w14:textId="699C9A18"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szCs w:val="22"/>
              </w:rPr>
            </w:pPr>
            <w:r w:rsidRPr="00C67339">
              <w:rPr>
                <w:szCs w:val="22"/>
              </w:rPr>
              <w:t>When used as lubricants, PBOGs are partly oxidised, resulting in fuel combustion emissions</w:t>
            </w:r>
            <w:r>
              <w:rPr>
                <w:szCs w:val="22"/>
              </w:rPr>
              <w:t>. See</w:t>
            </w:r>
            <w:r w:rsidRPr="00C67339">
              <w:rPr>
                <w:szCs w:val="22"/>
              </w:rPr>
              <w:t xml:space="preserve"> </w:t>
            </w:r>
            <w:hyperlink w:anchor="_Emissions_from_consumption" w:history="1">
              <w:r>
                <w:rPr>
                  <w:rStyle w:val="Hyperlink"/>
                  <w:rFonts w:asciiTheme="minorHAnsi" w:hAnsiTheme="minorHAnsi"/>
                  <w:szCs w:val="22"/>
                </w:rPr>
                <w:t>chapter 4.6</w:t>
              </w:r>
            </w:hyperlink>
            <w:r w:rsidRPr="00C67339">
              <w:rPr>
                <w:szCs w:val="22"/>
              </w:rPr>
              <w:t xml:space="preserve"> </w:t>
            </w:r>
            <w:r>
              <w:rPr>
                <w:szCs w:val="22"/>
              </w:rPr>
              <w:t>of</w:t>
            </w:r>
            <w:r w:rsidRPr="00C67339">
              <w:rPr>
                <w:szCs w:val="22"/>
              </w:rPr>
              <w:t xml:space="preserve"> this guideline</w:t>
            </w:r>
            <w:r>
              <w:rPr>
                <w:szCs w:val="22"/>
              </w:rPr>
              <w:t xml:space="preserve"> for more information</w:t>
            </w:r>
            <w:r w:rsidRPr="00C67339">
              <w:rPr>
                <w:szCs w:val="22"/>
              </w:rPr>
              <w:t>.</w:t>
            </w:r>
          </w:p>
          <w:p w14:paraId="796554EB" w14:textId="77777777" w:rsidR="004A2E03" w:rsidRPr="00C67339" w:rsidRDefault="004A2E03">
            <w:pPr>
              <w:spacing w:after="120"/>
              <w:cnfStyle w:val="000000000000" w:firstRow="0" w:lastRow="0" w:firstColumn="0" w:lastColumn="0" w:oddVBand="0" w:evenVBand="0" w:oddHBand="0" w:evenHBand="0" w:firstRowFirstColumn="0" w:firstRowLastColumn="0" w:lastRowFirstColumn="0" w:lastRowLastColumn="0"/>
              <w:rPr>
                <w:szCs w:val="22"/>
              </w:rPr>
            </w:pPr>
            <w:r w:rsidRPr="006046BA">
              <w:rPr>
                <w:szCs w:val="22"/>
              </w:rPr>
              <w:t>Note</w:t>
            </w:r>
            <w:r w:rsidRPr="005430DC">
              <w:rPr>
                <w:bCs/>
                <w:szCs w:val="22"/>
              </w:rPr>
              <w:t>: PBOGs</w:t>
            </w:r>
            <w:r w:rsidRPr="00C67339">
              <w:rPr>
                <w:szCs w:val="22"/>
              </w:rPr>
              <w:t xml:space="preserve"> consumed without combustion</w:t>
            </w:r>
            <w:r>
              <w:rPr>
                <w:szCs w:val="22"/>
              </w:rPr>
              <w:t xml:space="preserve"> must </w:t>
            </w:r>
            <w:r w:rsidRPr="00C67339">
              <w:rPr>
                <w:szCs w:val="22"/>
              </w:rPr>
              <w:t>be reported as energy consumed without combustion.</w:t>
            </w:r>
          </w:p>
        </w:tc>
      </w:tr>
      <w:tr w:rsidR="00503817" w:rsidRPr="00C64711" w14:paraId="357FD14F" w14:textId="77777777" w:rsidTr="00BC1A51">
        <w:trPr>
          <w:trHeight w:val="2351"/>
        </w:trPr>
        <w:tc>
          <w:tcPr>
            <w:cnfStyle w:val="001000000000" w:firstRow="0" w:lastRow="0" w:firstColumn="1" w:lastColumn="0" w:oddVBand="0" w:evenVBand="0" w:oddHBand="0" w:evenHBand="0" w:firstRowFirstColumn="0" w:firstRowLastColumn="0" w:lastRowFirstColumn="0" w:lastRowLastColumn="0"/>
            <w:tcW w:w="1696" w:type="dxa"/>
            <w:tcBorders>
              <w:top w:val="single" w:sz="8" w:space="0" w:color="E8E8E8" w:themeColor="background2"/>
              <w:bottom w:val="single" w:sz="4" w:space="0" w:color="FCBA5C" w:themeColor="accent2"/>
            </w:tcBorders>
          </w:tcPr>
          <w:p w14:paraId="7018E013" w14:textId="7F202ECF" w:rsidR="004A2E03" w:rsidRPr="00253A6C" w:rsidRDefault="004A2E03">
            <w:pPr>
              <w:rPr>
                <w:szCs w:val="22"/>
              </w:rPr>
            </w:pPr>
            <w:r w:rsidRPr="00EE5638">
              <w:rPr>
                <w:szCs w:val="22"/>
              </w:rPr>
              <w:lastRenderedPageBreak/>
              <w:t xml:space="preserve">Emissions of </w:t>
            </w:r>
            <w:r w:rsidRPr="00253A6C">
              <w:rPr>
                <w:szCs w:val="22"/>
              </w:rPr>
              <w:t>sulphur hexafluoride gases</w:t>
            </w:r>
          </w:p>
          <w:p w14:paraId="05592926" w14:textId="77777777" w:rsidR="004A2E03" w:rsidRPr="00256727" w:rsidRDefault="004A2E03">
            <w:pPr>
              <w:spacing w:after="120"/>
              <w:rPr>
                <w:szCs w:val="22"/>
              </w:rPr>
            </w:pPr>
            <w:r w:rsidRPr="00256727">
              <w:rPr>
                <w:szCs w:val="22"/>
              </w:rPr>
              <w:t xml:space="preserve">(Item 30 in s1.10) </w:t>
            </w:r>
          </w:p>
          <w:p w14:paraId="488C4E2D" w14:textId="56CA4D44" w:rsidR="004A2E03" w:rsidRPr="00EE5638" w:rsidRDefault="004A2E03">
            <w:pPr>
              <w:spacing w:after="120"/>
              <w:rPr>
                <w:szCs w:val="22"/>
              </w:rPr>
            </w:pPr>
            <w:r w:rsidRPr="00256727">
              <w:rPr>
                <w:szCs w:val="22"/>
              </w:rPr>
              <w:t xml:space="preserve">See </w:t>
            </w:r>
            <w:hyperlink w:anchor="_Estimating_emissions_of" w:history="1">
              <w:r w:rsidRPr="00256727">
                <w:rPr>
                  <w:rStyle w:val="Hyperlink"/>
                  <w:rFonts w:asciiTheme="minorHAnsi" w:hAnsiTheme="minorHAnsi"/>
                  <w:szCs w:val="22"/>
                </w:rPr>
                <w:t>chapter 5</w:t>
              </w:r>
            </w:hyperlink>
            <w:r w:rsidRPr="00256727">
              <w:rPr>
                <w:szCs w:val="22"/>
              </w:rPr>
              <w:t xml:space="preserve"> of this guideline and the separate guidance document.</w:t>
            </w:r>
          </w:p>
        </w:tc>
        <w:tc>
          <w:tcPr>
            <w:tcW w:w="8080" w:type="dxa"/>
            <w:tcBorders>
              <w:top w:val="single" w:sz="8" w:space="0" w:color="E8E8E8" w:themeColor="background2"/>
              <w:bottom w:val="single" w:sz="4" w:space="0" w:color="FCBA5C" w:themeColor="accent2"/>
            </w:tcBorders>
          </w:tcPr>
          <w:p w14:paraId="499FF71A" w14:textId="77777777" w:rsidR="004A2E03" w:rsidRPr="00253A6C" w:rsidRDefault="004A2E03">
            <w:pPr>
              <w:spacing w:after="120"/>
              <w:cnfStyle w:val="000000000000" w:firstRow="0" w:lastRow="0" w:firstColumn="0" w:lastColumn="0" w:oddVBand="0" w:evenVBand="0" w:oddHBand="0" w:evenHBand="0" w:firstRowFirstColumn="0" w:firstRowLastColumn="0" w:lastRowFirstColumn="0" w:lastRowLastColumn="0"/>
              <w:rPr>
                <w:szCs w:val="22"/>
              </w:rPr>
            </w:pPr>
            <w:r w:rsidRPr="00EE5638">
              <w:rPr>
                <w:szCs w:val="22"/>
              </w:rPr>
              <w:t>Emissions of sulphur hexafluoride (SF</w:t>
            </w:r>
            <w:r w:rsidRPr="00EE5638">
              <w:rPr>
                <w:szCs w:val="22"/>
                <w:vertAlign w:val="subscript"/>
              </w:rPr>
              <w:t>6</w:t>
            </w:r>
            <w:r w:rsidRPr="00EE5638">
              <w:rPr>
                <w:szCs w:val="22"/>
              </w:rPr>
              <w:t xml:space="preserve">) occur when the gas leaks from switch gear and circuit breaker equipment, which is widely used at facilities constituted by </w:t>
            </w:r>
            <w:r w:rsidRPr="00253A6C">
              <w:rPr>
                <w:szCs w:val="22"/>
              </w:rPr>
              <w:t>electricity transmission and distribution activities.</w:t>
            </w:r>
          </w:p>
          <w:p w14:paraId="18D789B9" w14:textId="175C8CE9" w:rsidR="004A2E03" w:rsidRPr="00253A6C" w:rsidRDefault="004A2E03">
            <w:pPr>
              <w:spacing w:after="120"/>
              <w:cnfStyle w:val="000000000000" w:firstRow="0" w:lastRow="0" w:firstColumn="0" w:lastColumn="0" w:oddVBand="0" w:evenVBand="0" w:oddHBand="0" w:evenHBand="0" w:firstRowFirstColumn="0" w:firstRowLastColumn="0" w:lastRowFirstColumn="0" w:lastRowLastColumn="0"/>
              <w:rPr>
                <w:szCs w:val="22"/>
              </w:rPr>
            </w:pPr>
            <w:r w:rsidRPr="00253A6C">
              <w:rPr>
                <w:szCs w:val="22"/>
              </w:rPr>
              <w:t>SF</w:t>
            </w:r>
            <w:r w:rsidRPr="00253A6C">
              <w:rPr>
                <w:szCs w:val="22"/>
                <w:vertAlign w:val="subscript"/>
              </w:rPr>
              <w:t>6</w:t>
            </w:r>
            <w:r w:rsidRPr="00253A6C">
              <w:rPr>
                <w:szCs w:val="22"/>
              </w:rPr>
              <w:t xml:space="preserve"> has a global warming potential of </w:t>
            </w:r>
            <w:r w:rsidRPr="000B3301">
              <w:rPr>
                <w:szCs w:val="22"/>
              </w:rPr>
              <w:t>2</w:t>
            </w:r>
            <w:r>
              <w:rPr>
                <w:szCs w:val="22"/>
              </w:rPr>
              <w:t>3</w:t>
            </w:r>
            <w:r w:rsidRPr="000B3301">
              <w:rPr>
                <w:szCs w:val="22"/>
              </w:rPr>
              <w:t>,</w:t>
            </w:r>
            <w:r>
              <w:rPr>
                <w:szCs w:val="22"/>
              </w:rPr>
              <w:t>5</w:t>
            </w:r>
            <w:r w:rsidRPr="000B3301">
              <w:rPr>
                <w:szCs w:val="22"/>
              </w:rPr>
              <w:t>00</w:t>
            </w:r>
            <w:r w:rsidR="008D5FA2">
              <w:rPr>
                <w:szCs w:val="22"/>
              </w:rPr>
              <w:t> </w:t>
            </w:r>
            <w:r w:rsidRPr="00253A6C">
              <w:rPr>
                <w:szCs w:val="22"/>
              </w:rPr>
              <w:t>t</w:t>
            </w:r>
            <w:r w:rsidR="008D5FA2">
              <w:rPr>
                <w:szCs w:val="22"/>
              </w:rPr>
              <w:t> </w:t>
            </w:r>
            <w:r w:rsidRPr="00253A6C">
              <w:rPr>
                <w:szCs w:val="22"/>
              </w:rPr>
              <w:t>CO</w:t>
            </w:r>
            <w:r w:rsidRPr="00253A6C">
              <w:rPr>
                <w:szCs w:val="22"/>
                <w:vertAlign w:val="subscript"/>
              </w:rPr>
              <w:t>2</w:t>
            </w:r>
            <w:r w:rsidRPr="00253A6C">
              <w:rPr>
                <w:szCs w:val="22"/>
              </w:rPr>
              <w:t>-e per t of SF</w:t>
            </w:r>
            <w:r w:rsidRPr="00253A6C">
              <w:rPr>
                <w:szCs w:val="22"/>
                <w:vertAlign w:val="subscript"/>
              </w:rPr>
              <w:t>6</w:t>
            </w:r>
            <w:r w:rsidRPr="00253A6C">
              <w:rPr>
                <w:szCs w:val="22"/>
              </w:rPr>
              <w:t>.</w:t>
            </w:r>
          </w:p>
          <w:p w14:paraId="077F30CD" w14:textId="53D658B2" w:rsidR="004A2E03" w:rsidRPr="00C67339" w:rsidRDefault="00494FFC">
            <w:pPr>
              <w:spacing w:after="120"/>
              <w:cnfStyle w:val="000000000000" w:firstRow="0" w:lastRow="0" w:firstColumn="0" w:lastColumn="0" w:oddVBand="0" w:evenVBand="0" w:oddHBand="0" w:evenHBand="0" w:firstRowFirstColumn="0" w:firstRowLastColumn="0" w:lastRowFirstColumn="0" w:lastRowLastColumn="0"/>
            </w:pPr>
            <w:r>
              <w:t xml:space="preserve">The </w:t>
            </w:r>
            <w:r w:rsidR="1522B602" w:rsidRPr="07316941">
              <w:t>CER</w:t>
            </w:r>
            <w:r w:rsidR="004A2E03" w:rsidRPr="07316941">
              <w:t xml:space="preserve"> publishes separate guidance for </w:t>
            </w:r>
            <w:hyperlink r:id="rId32" w:tooltip="A link to the Reporting Hydrofluorocarbons and Sulphur Hexaflouride gases guide the Clean Energy Regulator website" w:history="1">
              <w:r w:rsidR="0000408D" w:rsidRPr="0000408D">
                <w:rPr>
                  <w:rStyle w:val="Hyperlink"/>
                  <w:rFonts w:asciiTheme="minorHAnsi" w:hAnsiTheme="minorHAnsi"/>
                </w:rPr>
                <w:t>r</w:t>
              </w:r>
              <w:r w:rsidR="00317536" w:rsidRPr="0000408D">
                <w:rPr>
                  <w:rStyle w:val="Hyperlink"/>
                  <w:rFonts w:asciiTheme="minorHAnsi" w:hAnsiTheme="minorHAnsi"/>
                </w:rPr>
                <w:t>eporting hydrofluorocarbons and sulphur hexafluoride gases</w:t>
              </w:r>
            </w:hyperlink>
            <w:r w:rsidR="004B0870">
              <w:rPr>
                <w:rFonts w:ascii="ZWAdobeF" w:hAnsi="ZWAdobeF" w:cs="ZWAdobeF"/>
                <w:color w:val="auto"/>
                <w:sz w:val="2"/>
                <w:szCs w:val="2"/>
              </w:rPr>
              <w:t>11F</w:t>
            </w:r>
            <w:r w:rsidR="004A2E03">
              <w:rPr>
                <w:rStyle w:val="FootnoteReference"/>
                <w:color w:val="005874"/>
                <w:u w:val="single"/>
              </w:rPr>
              <w:footnoteReference w:id="13"/>
            </w:r>
            <w:r w:rsidR="004A2E03">
              <w:rPr>
                <w:rStyle w:val="Hyperlink"/>
                <w:rFonts w:asciiTheme="minorHAnsi" w:hAnsiTheme="minorHAnsi"/>
              </w:rPr>
              <w:t>.</w:t>
            </w:r>
          </w:p>
        </w:tc>
      </w:tr>
    </w:tbl>
    <w:p w14:paraId="038D9D51" w14:textId="77777777" w:rsidR="004A2E03" w:rsidRPr="00FF338C" w:rsidRDefault="004A2E03" w:rsidP="004A2E03"/>
    <w:p w14:paraId="6AD8E931" w14:textId="08DB838A" w:rsidR="004A2E03" w:rsidRPr="00FF338C" w:rsidRDefault="004A2E03" w:rsidP="004A2E03">
      <w:bookmarkStart w:id="56" w:name="_Ref511655729"/>
      <w:r w:rsidRPr="00FF338C">
        <w:t>Other reportable scope 1 emissions sources may occur</w:t>
      </w:r>
      <w:r>
        <w:t xml:space="preserve"> </w:t>
      </w:r>
      <w:r w:rsidR="002B4AA1" w:rsidRPr="00FF338C">
        <w:t xml:space="preserve">at </w:t>
      </w:r>
      <w:r w:rsidR="0081135B">
        <w:t xml:space="preserve">a facility that generates </w:t>
      </w:r>
      <w:r w:rsidR="002B4AA1" w:rsidRPr="00FF338C">
        <w:t>electricity</w:t>
      </w:r>
      <w:r w:rsidR="0081135B">
        <w:t>.</w:t>
      </w:r>
      <w:r w:rsidR="002B4AA1" w:rsidRPr="00FF338C">
        <w:t xml:space="preserve"> </w:t>
      </w:r>
      <w:r>
        <w:t xml:space="preserve"> </w:t>
      </w:r>
      <w:r w:rsidR="002B4AA1">
        <w:t>H</w:t>
      </w:r>
      <w:r>
        <w:t>owever</w:t>
      </w:r>
      <w:r w:rsidR="00675794">
        <w:t>,</w:t>
      </w:r>
      <w:r>
        <w:t xml:space="preserve"> t</w:t>
      </w:r>
      <w:r w:rsidRPr="00FF338C">
        <w:t xml:space="preserve">his guideline </w:t>
      </w:r>
      <w:r w:rsidR="002B4AA1">
        <w:t xml:space="preserve">will </w:t>
      </w:r>
      <w:r w:rsidR="00675794">
        <w:t>only</w:t>
      </w:r>
      <w:r w:rsidRPr="00FF338C">
        <w:t xml:space="preserve"> cover emissions sources </w:t>
      </w:r>
      <w:r w:rsidR="00A54A0A" w:rsidRPr="00131265">
        <w:t>commonly</w:t>
      </w:r>
      <w:r w:rsidR="00A54A0A">
        <w:t xml:space="preserve"> associated with electricity generation</w:t>
      </w:r>
      <w:r w:rsidRPr="00FF338C">
        <w:t>.</w:t>
      </w:r>
    </w:p>
    <w:p w14:paraId="1E76E28E" w14:textId="77777777" w:rsidR="004A2E03" w:rsidRPr="00FF338C" w:rsidRDefault="004A2E03" w:rsidP="004A2E03">
      <w:pPr>
        <w:pStyle w:val="Heading4"/>
      </w:pPr>
      <w:bookmarkStart w:id="57" w:name="_Toc526867685"/>
      <w:bookmarkStart w:id="58" w:name="_Toc526869727"/>
      <w:bookmarkStart w:id="59" w:name="_Toc235706300"/>
      <w:r w:rsidRPr="00FF338C">
        <w:t>Identifying reportable scope 1 emissions sources</w:t>
      </w:r>
      <w:bookmarkEnd w:id="57"/>
      <w:bookmarkEnd w:id="58"/>
      <w:bookmarkEnd w:id="59"/>
    </w:p>
    <w:p w14:paraId="53B7ABFF" w14:textId="7FA206BC" w:rsidR="004A2E03" w:rsidRDefault="004A2E03" w:rsidP="004A2E03">
      <w:r w:rsidRPr="00FF338C">
        <w:t xml:space="preserve">Emissions from the sources listed in section 1.10 of the </w:t>
      </w:r>
      <w:r>
        <w:t>NGER Measurement Determination</w:t>
      </w:r>
      <w:r w:rsidRPr="00FF338C">
        <w:t xml:space="preserve"> are required to be estimated and reported for the facilities at which they occur and for which a method exists in the </w:t>
      </w:r>
      <w:r>
        <w:t>NGER Measurement Determination</w:t>
      </w:r>
      <w:r w:rsidRPr="00FF338C">
        <w:t xml:space="preserve">. Reporters </w:t>
      </w:r>
      <w:r>
        <w:t>must</w:t>
      </w:r>
      <w:r w:rsidRPr="00FF338C">
        <w:t xml:space="preserve"> </w:t>
      </w:r>
      <w:r>
        <w:t xml:space="preserve">identify and document </w:t>
      </w:r>
      <w:r w:rsidRPr="00FF338C">
        <w:t>all emissions sources occurring at reportable facilities</w:t>
      </w:r>
      <w:r>
        <w:t>.</w:t>
      </w:r>
    </w:p>
    <w:p w14:paraId="0BCAE9EF" w14:textId="5D128FF7" w:rsidR="007E0E89" w:rsidRPr="00FF338C" w:rsidRDefault="007E0E89" w:rsidP="004A2E03">
      <w:r>
        <w:t>However</w:t>
      </w:r>
      <w:r w:rsidRPr="00FF338C">
        <w:t xml:space="preserve">, </w:t>
      </w:r>
      <w:r w:rsidR="00DB3469">
        <w:t xml:space="preserve">if there is no source or </w:t>
      </w:r>
      <w:r w:rsidR="009B58BD">
        <w:t>method</w:t>
      </w:r>
      <w:r w:rsidR="00681F7A">
        <w:t xml:space="preserve"> in NGE</w:t>
      </w:r>
      <w:r w:rsidR="00751C63">
        <w:t xml:space="preserve">R, the emissions </w:t>
      </w:r>
      <w:r w:rsidR="00D306FE">
        <w:t xml:space="preserve">are not reportable. For example, </w:t>
      </w:r>
      <w:r w:rsidRPr="00FF338C">
        <w:t xml:space="preserve">a gas fired power station may engage in occasional flaring or venting of fuels, </w:t>
      </w:r>
      <w:r w:rsidR="00BD7933">
        <w:t xml:space="preserve">but as there is </w:t>
      </w:r>
      <w:r w:rsidRPr="00FF338C">
        <w:t xml:space="preserve">no source or method in </w:t>
      </w:r>
      <w:r>
        <w:t xml:space="preserve">NGER </w:t>
      </w:r>
      <w:r w:rsidRPr="00FF338C">
        <w:t>to estimate these emissions</w:t>
      </w:r>
      <w:r w:rsidR="00A027A0">
        <w:t>, they are not reportable</w:t>
      </w:r>
      <w:r w:rsidRPr="00FF338C">
        <w:t>.</w:t>
      </w:r>
    </w:p>
    <w:bookmarkEnd w:id="56"/>
    <w:p w14:paraId="484E30D3" w14:textId="77777777" w:rsidR="004A2E03" w:rsidRPr="00FF338C" w:rsidRDefault="004A2E03" w:rsidP="004A2E03">
      <w:r w:rsidRPr="00FF338C">
        <w:rPr>
          <w:rFonts w:eastAsiaTheme="minorHAnsi"/>
        </w:rPr>
        <w:t xml:space="preserve">Additionally, separate occurrences of an emissions source can be identified in accordance with section 1.9B of the </w:t>
      </w:r>
      <w:r>
        <w:rPr>
          <w:rFonts w:eastAsiaTheme="minorHAnsi"/>
        </w:rPr>
        <w:t>NGER Measurement Determination</w:t>
      </w:r>
      <w:r w:rsidRPr="00FF338C">
        <w:rPr>
          <w:rFonts w:eastAsiaTheme="minorHAnsi"/>
        </w:rPr>
        <w:t>. This allows</w:t>
      </w:r>
      <w:r w:rsidRPr="00FF338C" w:rsidDel="00B11246">
        <w:rPr>
          <w:rFonts w:eastAsiaTheme="minorHAnsi"/>
        </w:rPr>
        <w:t xml:space="preserve"> </w:t>
      </w:r>
      <w:r w:rsidRPr="00FF338C">
        <w:t>reporters flexibility to measure, estimate and report separate occurrences of a source differently where appropriate.</w:t>
      </w:r>
    </w:p>
    <w:p w14:paraId="1F6E496A" w14:textId="77777777" w:rsidR="00583144" w:rsidRDefault="00583144">
      <w:pPr>
        <w:spacing w:after="0"/>
        <w:rPr>
          <w:rFonts w:asciiTheme="majorHAnsi" w:eastAsia="Times New Roman" w:hAnsiTheme="majorHAnsi"/>
          <w:b/>
          <w:bCs/>
          <w:sz w:val="32"/>
          <w:szCs w:val="32"/>
        </w:rPr>
      </w:pPr>
      <w:bookmarkStart w:id="60" w:name="_Toc106705751"/>
      <w:r>
        <w:br w:type="page"/>
      </w:r>
    </w:p>
    <w:p w14:paraId="7AB3EAA9" w14:textId="3C04CE62" w:rsidR="004A2E03" w:rsidRPr="00FF338C" w:rsidRDefault="004A2E03" w:rsidP="00DB4B56">
      <w:pPr>
        <w:pStyle w:val="Heading2"/>
        <w:numPr>
          <w:ilvl w:val="1"/>
          <w:numId w:val="3"/>
        </w:numPr>
        <w:ind w:left="426" w:hanging="426"/>
      </w:pPr>
      <w:bookmarkStart w:id="61" w:name="_Toc235706301"/>
      <w:r>
        <w:lastRenderedPageBreak/>
        <w:t>Methods for estimating emissions</w:t>
      </w:r>
      <w:bookmarkEnd w:id="60"/>
      <w:bookmarkEnd w:id="61"/>
    </w:p>
    <w:p w14:paraId="28997FBC" w14:textId="53BF5A77" w:rsidR="00C6257C" w:rsidRDefault="004A2E03" w:rsidP="00583144">
      <w:pPr>
        <w:rPr>
          <w:rFonts w:ascii="Calibri Light" w:eastAsiaTheme="minorHAnsi" w:hAnsi="Calibri Light" w:cs="Calibri Light"/>
          <w:i/>
          <w:iCs/>
          <w:sz w:val="18"/>
          <w:szCs w:val="18"/>
        </w:rPr>
      </w:pPr>
      <w:r>
        <w:t xml:space="preserve">Available </w:t>
      </w:r>
      <w:r w:rsidRPr="00FF338C">
        <w:t xml:space="preserve">emissions estimation methods differ by emissions source, activity, fuel type and greenhouse gas. </w:t>
      </w:r>
      <w:r w:rsidRPr="00FF338C">
        <w:rPr>
          <w:color w:val="auto"/>
        </w:rPr>
        <w:t xml:space="preserve">Up to </w:t>
      </w:r>
      <w:r w:rsidR="001848D4">
        <w:rPr>
          <w:color w:val="auto"/>
        </w:rPr>
        <w:t>4</w:t>
      </w:r>
      <w:r>
        <w:rPr>
          <w:color w:val="auto"/>
        </w:rPr>
        <w:t xml:space="preserve"> alternative</w:t>
      </w:r>
      <w:r w:rsidRPr="00FF338C">
        <w:rPr>
          <w:color w:val="auto"/>
        </w:rPr>
        <w:t xml:space="preserve"> methods for estimating emissions are provided in the </w:t>
      </w:r>
      <w:r>
        <w:rPr>
          <w:color w:val="auto"/>
        </w:rPr>
        <w:t>NGER Measurement Determination</w:t>
      </w:r>
      <w:r w:rsidRPr="00FF338C">
        <w:rPr>
          <w:color w:val="auto"/>
        </w:rPr>
        <w:t xml:space="preserve">, as detailed </w:t>
      </w:r>
      <w:r>
        <w:rPr>
          <w:color w:val="auto"/>
        </w:rPr>
        <w:t>in</w:t>
      </w:r>
      <w:r w:rsidR="002F66C4">
        <w:rPr>
          <w:color w:val="auto"/>
        </w:rPr>
        <w:t xml:space="preserve"> </w:t>
      </w:r>
      <w:r w:rsidR="002F66C4">
        <w:rPr>
          <w:color w:val="auto"/>
        </w:rPr>
        <w:fldChar w:fldCharType="begin" w:fldLock="1"/>
      </w:r>
      <w:r w:rsidR="002F66C4">
        <w:rPr>
          <w:color w:val="auto"/>
        </w:rPr>
        <w:instrText xml:space="preserve"> REF _Ref199335554 </w:instrText>
      </w:r>
      <w:r w:rsidR="002F66C4">
        <w:rPr>
          <w:color w:val="auto"/>
        </w:rPr>
        <w:fldChar w:fldCharType="separate"/>
      </w:r>
      <w:r w:rsidR="002F66C4">
        <w:t xml:space="preserve">Table </w:t>
      </w:r>
      <w:r w:rsidR="002F66C4">
        <w:rPr>
          <w:noProof/>
        </w:rPr>
        <w:t>3</w:t>
      </w:r>
      <w:r w:rsidR="002F66C4">
        <w:rPr>
          <w:color w:val="auto"/>
        </w:rPr>
        <w:fldChar w:fldCharType="end"/>
      </w:r>
      <w:r w:rsidRPr="00FF338C">
        <w:rPr>
          <w:color w:val="auto"/>
        </w:rPr>
        <w:t>.</w:t>
      </w:r>
      <w:r w:rsidR="00405629">
        <w:rPr>
          <w:color w:val="auto"/>
        </w:rPr>
        <w:t xml:space="preserve"> </w:t>
      </w:r>
      <w:bookmarkStart w:id="62" w:name="_Ref140142784"/>
      <w:bookmarkStart w:id="63" w:name="_Ref511381718"/>
    </w:p>
    <w:p w14:paraId="43518CBC" w14:textId="1F1A4461" w:rsidR="00D932DA" w:rsidRDefault="00D932DA" w:rsidP="00D2141E">
      <w:pPr>
        <w:pStyle w:val="Caption"/>
        <w:keepNext/>
      </w:pPr>
      <w:bookmarkStart w:id="64" w:name="_Ref199335554"/>
      <w:bookmarkEnd w:id="62"/>
      <w:bookmarkEnd w:id="63"/>
      <w:r>
        <w:t xml:space="preserve">Table </w:t>
      </w:r>
      <w:r>
        <w:fldChar w:fldCharType="begin"/>
      </w:r>
      <w:r>
        <w:instrText>SEQ Table \* ARABIC</w:instrText>
      </w:r>
      <w:r>
        <w:fldChar w:fldCharType="separate"/>
      </w:r>
      <w:r w:rsidR="0069639D">
        <w:rPr>
          <w:noProof/>
        </w:rPr>
        <w:t>3</w:t>
      </w:r>
      <w:r>
        <w:fldChar w:fldCharType="end"/>
      </w:r>
      <w:bookmarkEnd w:id="64"/>
      <w:r>
        <w:t xml:space="preserve"> </w:t>
      </w:r>
      <w:r w:rsidRPr="00FF338C">
        <w:t>– General estimation methods available in NGER</w:t>
      </w:r>
      <w:r>
        <w:t>.</w:t>
      </w:r>
    </w:p>
    <w:tbl>
      <w:tblPr>
        <w:tblStyle w:val="CERTable"/>
        <w:tblW w:w="5000" w:type="pct"/>
        <w:tblLook w:val="0420" w:firstRow="1" w:lastRow="0" w:firstColumn="0" w:lastColumn="0" w:noHBand="0" w:noVBand="1"/>
      </w:tblPr>
      <w:tblGrid>
        <w:gridCol w:w="2562"/>
        <w:gridCol w:w="2392"/>
        <w:gridCol w:w="2390"/>
        <w:gridCol w:w="2396"/>
      </w:tblGrid>
      <w:tr w:rsidR="00E8658A" w:rsidRPr="00C64711" w14:paraId="259DFB6C" w14:textId="77777777" w:rsidTr="009A0C68">
        <w:trPr>
          <w:cnfStyle w:val="100000000000" w:firstRow="1" w:lastRow="0" w:firstColumn="0" w:lastColumn="0" w:oddVBand="0" w:evenVBand="0" w:oddHBand="0" w:evenHBand="0" w:firstRowFirstColumn="0" w:firstRowLastColumn="0" w:lastRowFirstColumn="0" w:lastRowLastColumn="0"/>
          <w:tblHeader/>
        </w:trPr>
        <w:tc>
          <w:tcPr>
            <w:tcW w:w="1315" w:type="pct"/>
          </w:tcPr>
          <w:p w14:paraId="30D52BD0" w14:textId="7DEACE90" w:rsidR="004A2E03" w:rsidRPr="00C67339" w:rsidRDefault="004A2E03">
            <w:pPr>
              <w:pStyle w:val="Body"/>
              <w:ind w:left="0"/>
              <w:rPr>
                <w:rFonts w:asciiTheme="minorHAnsi" w:hAnsiTheme="minorHAnsi"/>
                <w:sz w:val="22"/>
                <w:szCs w:val="22"/>
              </w:rPr>
            </w:pPr>
            <w:r w:rsidRPr="00C67339">
              <w:rPr>
                <w:rFonts w:asciiTheme="minorHAnsi" w:hAnsiTheme="minorHAnsi"/>
                <w:sz w:val="22"/>
                <w:szCs w:val="22"/>
              </w:rPr>
              <w:t>Method 1</w:t>
            </w:r>
          </w:p>
        </w:tc>
        <w:tc>
          <w:tcPr>
            <w:tcW w:w="1228" w:type="pct"/>
          </w:tcPr>
          <w:p w14:paraId="7CFE9F27" w14:textId="77777777" w:rsidR="004A2E03" w:rsidRPr="00C67339" w:rsidRDefault="004A2E03">
            <w:pPr>
              <w:pStyle w:val="Body"/>
              <w:ind w:left="0"/>
              <w:rPr>
                <w:rFonts w:asciiTheme="minorHAnsi" w:hAnsiTheme="minorHAnsi"/>
                <w:sz w:val="22"/>
                <w:szCs w:val="22"/>
              </w:rPr>
            </w:pPr>
            <w:r w:rsidRPr="00C67339">
              <w:rPr>
                <w:rFonts w:asciiTheme="minorHAnsi" w:hAnsiTheme="minorHAnsi"/>
                <w:sz w:val="22"/>
                <w:szCs w:val="22"/>
              </w:rPr>
              <w:t>Method 2</w:t>
            </w:r>
          </w:p>
        </w:tc>
        <w:tc>
          <w:tcPr>
            <w:tcW w:w="1227" w:type="pct"/>
          </w:tcPr>
          <w:p w14:paraId="4F2C9E24" w14:textId="77777777" w:rsidR="004A2E03" w:rsidRPr="00C67339" w:rsidRDefault="004A2E03">
            <w:pPr>
              <w:pStyle w:val="Body"/>
              <w:ind w:left="0"/>
              <w:rPr>
                <w:rFonts w:asciiTheme="minorHAnsi" w:hAnsiTheme="minorHAnsi"/>
                <w:sz w:val="22"/>
                <w:szCs w:val="22"/>
              </w:rPr>
            </w:pPr>
            <w:r w:rsidRPr="00C67339">
              <w:rPr>
                <w:rFonts w:asciiTheme="minorHAnsi" w:hAnsiTheme="minorHAnsi"/>
                <w:sz w:val="22"/>
                <w:szCs w:val="22"/>
              </w:rPr>
              <w:t>Method 3</w:t>
            </w:r>
          </w:p>
        </w:tc>
        <w:tc>
          <w:tcPr>
            <w:tcW w:w="1230" w:type="pct"/>
          </w:tcPr>
          <w:p w14:paraId="7DBBB865" w14:textId="77777777" w:rsidR="004A2E03" w:rsidRPr="00C67339" w:rsidRDefault="004A2E03">
            <w:pPr>
              <w:pStyle w:val="Body"/>
              <w:ind w:left="0"/>
              <w:rPr>
                <w:rFonts w:asciiTheme="minorHAnsi" w:hAnsiTheme="minorHAnsi"/>
                <w:sz w:val="22"/>
                <w:szCs w:val="22"/>
              </w:rPr>
            </w:pPr>
            <w:r w:rsidRPr="00C67339">
              <w:rPr>
                <w:rFonts w:asciiTheme="minorHAnsi" w:hAnsiTheme="minorHAnsi"/>
                <w:sz w:val="22"/>
                <w:szCs w:val="22"/>
              </w:rPr>
              <w:t>Method 4</w:t>
            </w:r>
          </w:p>
        </w:tc>
      </w:tr>
      <w:tr w:rsidR="004A2E03" w:rsidRPr="00C64711" w14:paraId="75901149" w14:textId="77777777" w:rsidTr="008E6B32">
        <w:trPr>
          <w:cnfStyle w:val="000000100000" w:firstRow="0" w:lastRow="0" w:firstColumn="0" w:lastColumn="0" w:oddVBand="0" w:evenVBand="0" w:oddHBand="1" w:evenHBand="0" w:firstRowFirstColumn="0" w:firstRowLastColumn="0" w:lastRowFirstColumn="0" w:lastRowLastColumn="0"/>
        </w:trPr>
        <w:tc>
          <w:tcPr>
            <w:tcW w:w="1315" w:type="pct"/>
            <w:shd w:val="clear" w:color="auto" w:fill="F2F2F2" w:themeFill="background1" w:themeFillShade="F2"/>
          </w:tcPr>
          <w:p w14:paraId="2EE740A7" w14:textId="6A9F93BA" w:rsidR="004A2E03" w:rsidRPr="00642427" w:rsidRDefault="004A2E03" w:rsidP="00D2141E">
            <w:pPr>
              <w:pStyle w:val="Sub-para"/>
              <w:ind w:left="0" w:firstLine="0"/>
              <w:rPr>
                <w:b/>
              </w:rPr>
            </w:pPr>
            <w:r w:rsidRPr="00620728">
              <w:rPr>
                <w:bCs/>
              </w:rPr>
              <w:t xml:space="preserve">Use of default </w:t>
            </w:r>
            <w:r w:rsidRPr="004F2B48">
              <w:rPr>
                <w:bCs/>
              </w:rPr>
              <w:t>emission factors for fuel types and emissions sources</w:t>
            </w:r>
          </w:p>
        </w:tc>
        <w:tc>
          <w:tcPr>
            <w:tcW w:w="1228" w:type="pct"/>
          </w:tcPr>
          <w:p w14:paraId="625ECAA4" w14:textId="38A25D7E" w:rsidR="004A2E03" w:rsidRPr="00BB2DE7" w:rsidRDefault="004A2E03" w:rsidP="00D2141E">
            <w:pPr>
              <w:pStyle w:val="Sub-para"/>
              <w:ind w:left="0" w:firstLine="0"/>
            </w:pPr>
            <w:r w:rsidRPr="000845CB">
              <w:t>Use of industry sampling methods and Australian or i</w:t>
            </w:r>
            <w:r w:rsidRPr="00CD2EA4">
              <w:t>nternational standards for analysis of fuels and raw materials</w:t>
            </w:r>
            <w:r w:rsidR="299C3D25">
              <w:t xml:space="preserve"> to determine emission factor</w:t>
            </w:r>
            <w:r w:rsidR="7A5A8758">
              <w:t>.</w:t>
            </w:r>
          </w:p>
        </w:tc>
        <w:tc>
          <w:tcPr>
            <w:tcW w:w="1227" w:type="pct"/>
          </w:tcPr>
          <w:p w14:paraId="77715F80" w14:textId="1B4E983B" w:rsidR="004A2E03" w:rsidRPr="00CD2EA4" w:rsidRDefault="004A2E03" w:rsidP="00D2141E">
            <w:pPr>
              <w:pStyle w:val="Sub-para"/>
              <w:ind w:left="0" w:firstLine="0"/>
            </w:pPr>
            <w:r w:rsidRPr="000845CB">
              <w:t>Use of Australian or international standards for sampling and analysis of fuels and raw m</w:t>
            </w:r>
            <w:r w:rsidRPr="00CD2EA4">
              <w:t>aterials</w:t>
            </w:r>
            <w:r w:rsidR="0FE749C0">
              <w:t xml:space="preserve"> to determine </w:t>
            </w:r>
            <w:r w:rsidR="298BA264">
              <w:t>emission factor</w:t>
            </w:r>
            <w:r>
              <w:t>.</w:t>
            </w:r>
          </w:p>
        </w:tc>
        <w:tc>
          <w:tcPr>
            <w:tcW w:w="1230" w:type="pct"/>
          </w:tcPr>
          <w:p w14:paraId="175D68F4" w14:textId="77777777" w:rsidR="004A2E03" w:rsidRPr="00CD2EA4" w:rsidRDefault="004A2E03" w:rsidP="00D2141E">
            <w:pPr>
              <w:pStyle w:val="Sub-para"/>
              <w:ind w:left="0" w:firstLine="0"/>
            </w:pPr>
            <w:r w:rsidRPr="000845CB">
              <w:t xml:space="preserve">Use of </w:t>
            </w:r>
            <w:r w:rsidRPr="00BE04C1">
              <w:t>direct measurement of emissions released from the source</w:t>
            </w:r>
          </w:p>
        </w:tc>
      </w:tr>
      <w:tr w:rsidR="004A2E03" w:rsidRPr="00C64711" w14:paraId="5DDD8D99" w14:textId="77777777" w:rsidTr="008E6B32">
        <w:trPr>
          <w:cnfStyle w:val="000000010000" w:firstRow="0" w:lastRow="0" w:firstColumn="0" w:lastColumn="0" w:oddVBand="0" w:evenVBand="0" w:oddHBand="0" w:evenHBand="1" w:firstRowFirstColumn="0" w:firstRowLastColumn="0" w:lastRowFirstColumn="0" w:lastRowLastColumn="0"/>
        </w:trPr>
        <w:tc>
          <w:tcPr>
            <w:tcW w:w="1315" w:type="pct"/>
            <w:shd w:val="clear" w:color="auto" w:fill="F2F2F2" w:themeFill="background1" w:themeFillShade="F2"/>
          </w:tcPr>
          <w:p w14:paraId="32F403A6" w14:textId="13E1E0AC" w:rsidR="004A2E03" w:rsidRPr="00642427" w:rsidRDefault="004A2E03">
            <w:pPr>
              <w:pStyle w:val="Sub-para"/>
              <w:ind w:left="0" w:firstLine="0"/>
              <w:rPr>
                <w:b/>
              </w:rPr>
            </w:pPr>
            <w:r w:rsidRPr="00580869">
              <w:rPr>
                <w:bCs/>
              </w:rPr>
              <w:t xml:space="preserve">Useful when emission source is </w:t>
            </w:r>
            <w:proofErr w:type="gramStart"/>
            <w:r w:rsidRPr="00580869">
              <w:rPr>
                <w:bCs/>
              </w:rPr>
              <w:t>fairly homogenous</w:t>
            </w:r>
            <w:proofErr w:type="gramEnd"/>
            <w:r w:rsidRPr="00AC6CEC">
              <w:rPr>
                <w:bCs/>
              </w:rPr>
              <w:t xml:space="preserve">, </w:t>
            </w:r>
            <w:r w:rsidRPr="009924F4">
              <w:rPr>
                <w:bCs/>
              </w:rPr>
              <w:t>for example</w:t>
            </w:r>
            <w:r w:rsidR="005A6D35" w:rsidRPr="00033F1A">
              <w:rPr>
                <w:bCs/>
              </w:rPr>
              <w:t>,</w:t>
            </w:r>
            <w:r w:rsidRPr="009924F4">
              <w:rPr>
                <w:bCs/>
              </w:rPr>
              <w:t xml:space="preserve"> liquid fuels</w:t>
            </w:r>
          </w:p>
        </w:tc>
        <w:tc>
          <w:tcPr>
            <w:tcW w:w="1228" w:type="pct"/>
          </w:tcPr>
          <w:p w14:paraId="563CC0F5" w14:textId="77777777" w:rsidR="004A2E03" w:rsidRPr="00BB2DE7" w:rsidRDefault="004A2E03">
            <w:pPr>
              <w:pStyle w:val="Sub-para"/>
              <w:ind w:left="0" w:firstLine="0"/>
            </w:pPr>
            <w:r w:rsidRPr="006046BA">
              <w:t>Useful when</w:t>
            </w:r>
            <w:r w:rsidRPr="000845CB">
              <w:t xml:space="preserve"> fuels exhibit some variability in key qualities</w:t>
            </w:r>
            <w:r>
              <w:t>,</w:t>
            </w:r>
            <w:r w:rsidRPr="000845CB">
              <w:t xml:space="preserve"> </w:t>
            </w:r>
            <w:r w:rsidRPr="00CD2EA4">
              <w:t>for example</w:t>
            </w:r>
            <w:r w:rsidRPr="00BB2DE7">
              <w:t xml:space="preserve"> gaseous fuels</w:t>
            </w:r>
            <w:r>
              <w:t>.</w:t>
            </w:r>
          </w:p>
        </w:tc>
        <w:tc>
          <w:tcPr>
            <w:tcW w:w="1227" w:type="pct"/>
          </w:tcPr>
          <w:p w14:paraId="73C3660B" w14:textId="77777777" w:rsidR="004A2E03" w:rsidRPr="00BB2DE7" w:rsidRDefault="004A2E03">
            <w:pPr>
              <w:pStyle w:val="Sub-para"/>
              <w:ind w:left="0" w:firstLine="0"/>
            </w:pPr>
            <w:r w:rsidRPr="006046BA">
              <w:t>Useful when</w:t>
            </w:r>
            <w:r w:rsidRPr="000845CB">
              <w:t xml:space="preserve"> fuels exhibit some variability in key qualities</w:t>
            </w:r>
            <w:r>
              <w:t>,</w:t>
            </w:r>
            <w:r w:rsidRPr="000845CB">
              <w:t xml:space="preserve"> </w:t>
            </w:r>
            <w:r w:rsidRPr="00CD2EA4">
              <w:t>for example,</w:t>
            </w:r>
            <w:r w:rsidRPr="00BB2DE7">
              <w:t xml:space="preserve"> gaseous fuels</w:t>
            </w:r>
            <w:r>
              <w:t>.</w:t>
            </w:r>
          </w:p>
        </w:tc>
        <w:tc>
          <w:tcPr>
            <w:tcW w:w="1230" w:type="pct"/>
          </w:tcPr>
          <w:p w14:paraId="2A2EBB8B" w14:textId="77777777" w:rsidR="004A2E03" w:rsidRPr="006138F0" w:rsidRDefault="004A2E03">
            <w:pPr>
              <w:pStyle w:val="Sub-para"/>
              <w:ind w:left="0" w:firstLine="0"/>
            </w:pPr>
            <w:r w:rsidRPr="006046BA">
              <w:t>Useful when</w:t>
            </w:r>
            <w:r w:rsidRPr="000845CB">
              <w:t xml:space="preserve"> a high level of accuracy is desired</w:t>
            </w:r>
            <w:r w:rsidRPr="00CD2EA4">
              <w:t xml:space="preserve">, </w:t>
            </w:r>
            <w:r w:rsidRPr="00BB2DE7">
              <w:t>for example for large emission sources</w:t>
            </w:r>
            <w:r>
              <w:t>.</w:t>
            </w:r>
          </w:p>
        </w:tc>
      </w:tr>
      <w:tr w:rsidR="004A2E03" w:rsidRPr="00C64711" w14:paraId="4164B65C" w14:textId="77777777" w:rsidTr="008E6B32">
        <w:trPr>
          <w:cnfStyle w:val="000000100000" w:firstRow="0" w:lastRow="0" w:firstColumn="0" w:lastColumn="0" w:oddVBand="0" w:evenVBand="0" w:oddHBand="1" w:evenHBand="0" w:firstRowFirstColumn="0" w:firstRowLastColumn="0" w:lastRowFirstColumn="0" w:lastRowLastColumn="0"/>
        </w:trPr>
        <w:tc>
          <w:tcPr>
            <w:tcW w:w="5000" w:type="pct"/>
            <w:gridSpan w:val="4"/>
            <w:tcBorders>
              <w:bottom w:val="single" w:sz="4" w:space="0" w:color="FCBA5C" w:themeColor="accent2"/>
            </w:tcBorders>
          </w:tcPr>
          <w:p w14:paraId="178E1913" w14:textId="77777777" w:rsidR="004A2E03" w:rsidRPr="00C67339" w:rsidRDefault="004A2E03">
            <w:pPr>
              <w:pStyle w:val="Body"/>
              <w:ind w:left="0"/>
              <w:rPr>
                <w:rFonts w:asciiTheme="minorHAnsi" w:hAnsiTheme="minorHAnsi"/>
                <w:sz w:val="22"/>
                <w:szCs w:val="22"/>
              </w:rPr>
            </w:pPr>
            <w:r w:rsidRPr="00C67339">
              <w:rPr>
                <w:noProof/>
                <w:sz w:val="22"/>
                <w:szCs w:val="22"/>
                <w:lang w:val="en-AU" w:eastAsia="en-AU"/>
              </w:rPr>
              <mc:AlternateContent>
                <mc:Choice Requires="wpg">
                  <w:drawing>
                    <wp:anchor distT="0" distB="0" distL="114300" distR="114300" simplePos="0" relativeHeight="251658243" behindDoc="0" locked="0" layoutInCell="1" allowOverlap="1" wp14:anchorId="7F30F4DB" wp14:editId="57722485">
                      <wp:simplePos x="0" y="0"/>
                      <wp:positionH relativeFrom="column">
                        <wp:posOffset>-6350</wp:posOffset>
                      </wp:positionH>
                      <wp:positionV relativeFrom="paragraph">
                        <wp:posOffset>4445</wp:posOffset>
                      </wp:positionV>
                      <wp:extent cx="6086475" cy="343535"/>
                      <wp:effectExtent l="0" t="0" r="0" b="0"/>
                      <wp:wrapNone/>
                      <wp:docPr id="3" name="Group 3" descr="P330C13T4#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86475" cy="343535"/>
                                <a:chOff x="0" y="38135"/>
                                <a:chExt cx="5666377" cy="343857"/>
                              </a:xfrm>
                            </wpg:grpSpPr>
                            <wps:wsp>
                              <wps:cNvPr id="5" name="Text Box 5"/>
                              <wps:cNvSpPr txBox="1"/>
                              <wps:spPr>
                                <a:xfrm>
                                  <a:off x="0" y="38135"/>
                                  <a:ext cx="1698171" cy="343857"/>
                                </a:xfrm>
                                <a:prstGeom prst="rect">
                                  <a:avLst/>
                                </a:prstGeom>
                                <a:noFill/>
                                <a:ln w="6350">
                                  <a:noFill/>
                                </a:ln>
                              </wps:spPr>
                              <wps:txbx>
                                <w:txbxContent>
                                  <w:p w14:paraId="3C0DB44D" w14:textId="77777777" w:rsidR="004A2E03" w:rsidRPr="00DB463F" w:rsidRDefault="004A2E03" w:rsidP="004A2E03">
                                    <w:pPr>
                                      <w:ind w:left="-142"/>
                                      <w:rPr>
                                        <w:b/>
                                      </w:rPr>
                                    </w:pPr>
                                    <w:r>
                                      <w:rPr>
                                        <w:b/>
                                      </w:rPr>
                                      <w:t>Generally least</w:t>
                                    </w:r>
                                    <w:r w:rsidRPr="00DB463F">
                                      <w:rPr>
                                        <w:b/>
                                      </w:rPr>
                                      <w:t xml:space="preserve"> accurate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918857" y="45763"/>
                                  <a:ext cx="1747520" cy="272415"/>
                                </a:xfrm>
                                <a:prstGeom prst="rect">
                                  <a:avLst/>
                                </a:prstGeom>
                                <a:noFill/>
                                <a:ln w="6350">
                                  <a:noFill/>
                                </a:ln>
                              </wps:spPr>
                              <wps:txbx>
                                <w:txbxContent>
                                  <w:p w14:paraId="23435E05" w14:textId="77777777" w:rsidR="004A2E03" w:rsidRDefault="004A2E03" w:rsidP="004A2E03">
                                    <w:pPr>
                                      <w:ind w:right="39"/>
                                      <w:jc w:val="right"/>
                                      <w:rPr>
                                        <w:b/>
                                      </w:rPr>
                                    </w:pPr>
                                    <w:r>
                                      <w:rPr>
                                        <w:b/>
                                      </w:rPr>
                                      <w:t>Generally most</w:t>
                                    </w:r>
                                    <w:r w:rsidRPr="00DB463F">
                                      <w:rPr>
                                        <w:b/>
                                      </w:rPr>
                                      <w:t xml:space="preserve"> accurate</w:t>
                                    </w:r>
                                  </w:p>
                                  <w:p w14:paraId="6A7AAC9F" w14:textId="77777777" w:rsidR="004A2E03" w:rsidRDefault="004A2E03" w:rsidP="004A2E03">
                                    <w:pPr>
                                      <w:ind w:right="39"/>
                                      <w:jc w:val="right"/>
                                      <w:rPr>
                                        <w:b/>
                                      </w:rPr>
                                    </w:pPr>
                                  </w:p>
                                  <w:p w14:paraId="7F3D428C" w14:textId="77777777" w:rsidR="004A2E03" w:rsidRDefault="004A2E03" w:rsidP="004A2E03">
                                    <w:pPr>
                                      <w:ind w:right="39"/>
                                      <w:jc w:val="right"/>
                                      <w:rPr>
                                        <w:b/>
                                      </w:rPr>
                                    </w:pPr>
                                  </w:p>
                                  <w:p w14:paraId="6C2EFF8D" w14:textId="77777777" w:rsidR="004A2E03" w:rsidRPr="00DB463F" w:rsidRDefault="004A2E03" w:rsidP="004A2E03">
                                    <w:pPr>
                                      <w:ind w:right="39"/>
                                      <w:jc w:val="righ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Arrow Connector 8"/>
                              <wps:cNvCnPr/>
                              <wps:spPr>
                                <a:xfrm flipV="1">
                                  <a:off x="1698171" y="175522"/>
                                  <a:ext cx="2340000" cy="0"/>
                                </a:xfrm>
                                <a:prstGeom prst="straightConnector1">
                                  <a:avLst/>
                                </a:prstGeom>
                                <a:ln w="38100">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F30F4DB" id="Group 3" o:spid="_x0000_s1026" alt="P330C13T4#y1" style="position:absolute;margin-left:-.5pt;margin-top:.35pt;width:479.25pt;height:27.05pt;z-index:251658243;mso-width-relative:margin;mso-height-relative:margin" coordorigin=",381" coordsize="56663,3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">
                      <v:shapetype id="_x0000_t202" coordsize="21600,21600" o:spt="202" path="m,l,21600r21600,l21600,xe">
                        <v:stroke joinstyle="miter"/>
                        <v:path gradientshapeok="t" o:connecttype="rect"/>
                      </v:shapetype>
                      <v:shape id="Text Box 5" o:spid="_x0000_s1027" type="#_x0000_t202" style="position:absolute;top:381;width:16981;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C0DB44D" w14:textId="77777777" w:rsidR="004A2E03" w:rsidRPr="00DB463F" w:rsidRDefault="004A2E03" w:rsidP="004A2E03">
                              <w:pPr>
                                <w:ind w:left="-142"/>
                                <w:rPr>
                                  <w:b/>
                                </w:rPr>
                              </w:pPr>
                              <w:r>
                                <w:rPr>
                                  <w:b/>
                                </w:rPr>
                                <w:t>Generally least</w:t>
                              </w:r>
                              <w:r w:rsidRPr="00DB463F">
                                <w:rPr>
                                  <w:b/>
                                </w:rPr>
                                <w:t xml:space="preserve"> accurate</w:t>
                              </w:r>
                            </w:p>
                          </w:txbxContent>
                        </v:textbox>
                      </v:shape>
                      <v:shape id="Text Box 7" o:spid="_x0000_s1028" type="#_x0000_t202" style="position:absolute;left:39188;top:457;width:17475;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23435E05" w14:textId="77777777" w:rsidR="004A2E03" w:rsidRDefault="004A2E03" w:rsidP="004A2E03">
                              <w:pPr>
                                <w:ind w:right="39"/>
                                <w:jc w:val="right"/>
                                <w:rPr>
                                  <w:b/>
                                </w:rPr>
                              </w:pPr>
                              <w:r>
                                <w:rPr>
                                  <w:b/>
                                </w:rPr>
                                <w:t>Generally most</w:t>
                              </w:r>
                              <w:r w:rsidRPr="00DB463F">
                                <w:rPr>
                                  <w:b/>
                                </w:rPr>
                                <w:t xml:space="preserve"> accurate</w:t>
                              </w:r>
                            </w:p>
                            <w:p w14:paraId="6A7AAC9F" w14:textId="77777777" w:rsidR="004A2E03" w:rsidRDefault="004A2E03" w:rsidP="004A2E03">
                              <w:pPr>
                                <w:ind w:right="39"/>
                                <w:jc w:val="right"/>
                                <w:rPr>
                                  <w:b/>
                                </w:rPr>
                              </w:pPr>
                            </w:p>
                            <w:p w14:paraId="7F3D428C" w14:textId="77777777" w:rsidR="004A2E03" w:rsidRDefault="004A2E03" w:rsidP="004A2E03">
                              <w:pPr>
                                <w:ind w:right="39"/>
                                <w:jc w:val="right"/>
                                <w:rPr>
                                  <w:b/>
                                </w:rPr>
                              </w:pPr>
                            </w:p>
                            <w:p w14:paraId="6C2EFF8D" w14:textId="77777777" w:rsidR="004A2E03" w:rsidRPr="00DB463F" w:rsidRDefault="004A2E03" w:rsidP="004A2E03">
                              <w:pPr>
                                <w:ind w:right="39"/>
                                <w:jc w:val="right"/>
                                <w:rPr>
                                  <w:b/>
                                </w:rPr>
                              </w:pPr>
                            </w:p>
                          </w:txbxContent>
                        </v:textbox>
                      </v:shape>
                      <v:shapetype id="_x0000_t32" coordsize="21600,21600" o:spt="32" o:oned="t" path="m,l21600,21600e" filled="f">
                        <v:path arrowok="t" fillok="f" o:connecttype="none"/>
                        <o:lock v:ext="edit" shapetype="t"/>
                      </v:shapetype>
                      <v:shape id="Straight Arrow Connector 8" o:spid="_x0000_s1029" type="#_x0000_t32" style="position:absolute;left:16981;top:1755;width:234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" strokecolor="black [3040]" strokeweight="3pt">
                        <v:stroke startarrow="block" endarrow="block"/>
                      </v:shape>
                    </v:group>
                  </w:pict>
                </mc:Fallback>
              </mc:AlternateContent>
            </w:r>
          </w:p>
        </w:tc>
      </w:tr>
    </w:tbl>
    <w:p w14:paraId="4FB4B3B3" w14:textId="77777777" w:rsidR="004A2E03" w:rsidRPr="00FF338C" w:rsidRDefault="004A2E03" w:rsidP="004A2E03">
      <w:pPr>
        <w:rPr>
          <w:color w:val="auto"/>
        </w:rPr>
      </w:pPr>
    </w:p>
    <w:p w14:paraId="625EB06B" w14:textId="77777777" w:rsidR="004A2E03" w:rsidRDefault="004A2E03" w:rsidP="004A2E03">
      <w:pPr>
        <w:rPr>
          <w:color w:val="auto"/>
        </w:rPr>
      </w:pPr>
      <w:r w:rsidRPr="00FF338C">
        <w:rPr>
          <w:color w:val="auto"/>
        </w:rPr>
        <w:t>In selecting available methods for estimating emissions, reporters can make their own judgements to balance the costs of using the higher-order methods with the benefits of potentially improved</w:t>
      </w:r>
      <w:r>
        <w:rPr>
          <w:color w:val="auto"/>
        </w:rPr>
        <w:t xml:space="preserve"> accuracy of </w:t>
      </w:r>
      <w:r w:rsidRPr="00FF338C">
        <w:rPr>
          <w:color w:val="auto"/>
        </w:rPr>
        <w:t>emission</w:t>
      </w:r>
      <w:r>
        <w:rPr>
          <w:color w:val="auto"/>
        </w:rPr>
        <w:t>s</w:t>
      </w:r>
      <w:r w:rsidRPr="00FF338C">
        <w:rPr>
          <w:color w:val="auto"/>
        </w:rPr>
        <w:t xml:space="preserve"> estimates.</w:t>
      </w:r>
    </w:p>
    <w:p w14:paraId="65A2E344" w14:textId="62AA4D2F" w:rsidR="004A2E03" w:rsidRDefault="00721ABF" w:rsidP="004A2E03">
      <w:r>
        <w:rPr>
          <w:color w:val="auto"/>
        </w:rPr>
        <w:t xml:space="preserve">In some </w:t>
      </w:r>
      <w:r w:rsidR="0086033C">
        <w:rPr>
          <w:color w:val="auto"/>
        </w:rPr>
        <w:t>circumstances</w:t>
      </w:r>
      <w:r>
        <w:rPr>
          <w:color w:val="auto"/>
        </w:rPr>
        <w:t>, the NGER legislation restricts the different types of Methods available</w:t>
      </w:r>
      <w:r w:rsidR="0086033C">
        <w:rPr>
          <w:color w:val="auto"/>
        </w:rPr>
        <w:t xml:space="preserve">. For example, </w:t>
      </w:r>
      <w:r w:rsidR="004A2E03" w:rsidRPr="00FF338C">
        <w:rPr>
          <w:color w:val="auto"/>
        </w:rPr>
        <w:t xml:space="preserve">Method 1 </w:t>
      </w:r>
      <w:r w:rsidR="0086033C">
        <w:rPr>
          <w:b/>
          <w:bCs/>
          <w:color w:val="auto"/>
        </w:rPr>
        <w:t>can</w:t>
      </w:r>
      <w:r w:rsidR="004A2E03" w:rsidRPr="00D2141E">
        <w:rPr>
          <w:b/>
          <w:bCs/>
          <w:color w:val="auto"/>
        </w:rPr>
        <w:t>not</w:t>
      </w:r>
      <w:r w:rsidR="004A2E03" w:rsidRPr="00D2141E">
        <w:rPr>
          <w:b/>
          <w:color w:val="auto"/>
        </w:rPr>
        <w:t xml:space="preserve"> be</w:t>
      </w:r>
      <w:r w:rsidR="004A2E03" w:rsidRPr="00FF338C">
        <w:rPr>
          <w:color w:val="auto"/>
        </w:rPr>
        <w:t xml:space="preserve"> used </w:t>
      </w:r>
      <w:r w:rsidR="004A2E03">
        <w:rPr>
          <w:color w:val="auto"/>
        </w:rPr>
        <w:t xml:space="preserve">to estimate </w:t>
      </w:r>
      <w:r w:rsidR="004A2E03" w:rsidRPr="00FF338C">
        <w:rPr>
          <w:color w:val="auto"/>
        </w:rPr>
        <w:t xml:space="preserve">emissions of carbon dioxide for </w:t>
      </w:r>
      <w:r w:rsidR="004A2E03">
        <w:rPr>
          <w:color w:val="auto"/>
        </w:rPr>
        <w:t xml:space="preserve">the main fuel combusted from the operation of the </w:t>
      </w:r>
      <w:r w:rsidR="004A2E03" w:rsidRPr="00FF338C">
        <w:rPr>
          <w:color w:val="auto"/>
        </w:rPr>
        <w:t xml:space="preserve">facilities with the </w:t>
      </w:r>
      <w:r w:rsidR="004A2E03" w:rsidRPr="00FF338C">
        <w:t>Australian and New Zealand Standard Industrial Classification</w:t>
      </w:r>
      <w:r w:rsidR="00AC5D36">
        <w:rPr>
          <w:color w:val="auto"/>
        </w:rPr>
        <w:t xml:space="preserve"> </w:t>
      </w:r>
      <w:r w:rsidR="00595714">
        <w:rPr>
          <w:color w:val="auto"/>
        </w:rPr>
        <w:t>(</w:t>
      </w:r>
      <w:r w:rsidR="00AC5D36">
        <w:rPr>
          <w:color w:val="auto"/>
        </w:rPr>
        <w:t>ANZSIC</w:t>
      </w:r>
      <w:r w:rsidR="00595714">
        <w:rPr>
          <w:color w:val="auto"/>
        </w:rPr>
        <w:t>) code</w:t>
      </w:r>
      <w:r w:rsidR="004A2E03" w:rsidRPr="00FF338C">
        <w:rPr>
          <w:color w:val="auto"/>
        </w:rPr>
        <w:t xml:space="preserve"> of 2611 where the generating unit has the capacity to produce 30</w:t>
      </w:r>
      <w:r w:rsidR="004A2E03">
        <w:rPr>
          <w:color w:val="auto"/>
        </w:rPr>
        <w:t xml:space="preserve"> MW</w:t>
      </w:r>
      <w:r w:rsidR="004A2E03" w:rsidRPr="00FF338C">
        <w:rPr>
          <w:color w:val="auto"/>
        </w:rPr>
        <w:t xml:space="preserve"> or more of electricity and generates more than 50,000 </w:t>
      </w:r>
      <w:r w:rsidR="004A2E03">
        <w:rPr>
          <w:color w:val="auto"/>
        </w:rPr>
        <w:t xml:space="preserve">MWh </w:t>
      </w:r>
      <w:r w:rsidR="004A2E03" w:rsidRPr="00FF338C">
        <w:rPr>
          <w:color w:val="auto"/>
        </w:rPr>
        <w:t>of electricity in a reporting yea</w:t>
      </w:r>
      <w:r w:rsidR="00A579A5">
        <w:rPr>
          <w:color w:val="auto"/>
        </w:rPr>
        <w:t>r</w:t>
      </w:r>
      <w:r w:rsidR="004B0870">
        <w:rPr>
          <w:rFonts w:ascii="ZWAdobeF" w:hAnsi="ZWAdobeF" w:cs="ZWAdobeF"/>
          <w:color w:val="auto"/>
          <w:sz w:val="2"/>
          <w:szCs w:val="2"/>
        </w:rPr>
        <w:t>12F</w:t>
      </w:r>
      <w:r w:rsidR="004A2E03" w:rsidRPr="00FF338C">
        <w:rPr>
          <w:rStyle w:val="FootnoteReference"/>
          <w:color w:val="auto"/>
        </w:rPr>
        <w:footnoteReference w:id="14"/>
      </w:r>
      <w:r w:rsidR="00A579A5" w:rsidRPr="00FF338C">
        <w:rPr>
          <w:color w:val="auto"/>
        </w:rPr>
        <w:t>.</w:t>
      </w:r>
      <w:r w:rsidR="00A579A5">
        <w:rPr>
          <w:color w:val="auto"/>
        </w:rPr>
        <w:t xml:space="preserve"> </w:t>
      </w:r>
      <w:r w:rsidR="004A2E03">
        <w:t>This requirement is based on total generation and production capacity of the generating units at the facility.</w:t>
      </w:r>
    </w:p>
    <w:p w14:paraId="359819CD" w14:textId="77777777" w:rsidR="00583144" w:rsidRDefault="00583144">
      <w:pPr>
        <w:spacing w:after="0"/>
        <w:rPr>
          <w:rFonts w:asciiTheme="majorHAnsi" w:eastAsia="Times New Roman" w:hAnsiTheme="majorHAnsi"/>
          <w:b/>
          <w:bCs/>
          <w:sz w:val="32"/>
          <w:szCs w:val="32"/>
        </w:rPr>
      </w:pPr>
      <w:bookmarkStart w:id="65" w:name="_Thresholds_for_estimating"/>
      <w:bookmarkStart w:id="66" w:name="_Toc511376907"/>
      <w:bookmarkStart w:id="67" w:name="_Toc511388504"/>
      <w:bookmarkStart w:id="68" w:name="_Toc511389426"/>
      <w:bookmarkStart w:id="69" w:name="_Toc511392935"/>
      <w:bookmarkStart w:id="70" w:name="_Toc511732465"/>
      <w:bookmarkStart w:id="71" w:name="_Toc512010390"/>
      <w:bookmarkStart w:id="72" w:name="_Toc512339588"/>
      <w:bookmarkStart w:id="73" w:name="_Toc106705752"/>
      <w:bookmarkEnd w:id="65"/>
      <w:r>
        <w:br w:type="page"/>
      </w:r>
    </w:p>
    <w:p w14:paraId="34F5A536" w14:textId="1AF1495C" w:rsidR="004A2E03" w:rsidRPr="00FF338C" w:rsidRDefault="004A2E03" w:rsidP="00DB4B56">
      <w:pPr>
        <w:pStyle w:val="Heading2"/>
        <w:numPr>
          <w:ilvl w:val="1"/>
          <w:numId w:val="3"/>
        </w:numPr>
        <w:ind w:left="426" w:hanging="426"/>
      </w:pPr>
      <w:bookmarkStart w:id="74" w:name="_Toc235706302"/>
      <w:r w:rsidRPr="00FF338C">
        <w:lastRenderedPageBreak/>
        <w:t>Thresholds for estimating and reporting emissions</w:t>
      </w:r>
      <w:bookmarkEnd w:id="66"/>
      <w:bookmarkEnd w:id="67"/>
      <w:bookmarkEnd w:id="68"/>
      <w:bookmarkEnd w:id="69"/>
      <w:bookmarkEnd w:id="70"/>
      <w:bookmarkEnd w:id="71"/>
      <w:bookmarkEnd w:id="72"/>
      <w:bookmarkEnd w:id="73"/>
      <w:bookmarkEnd w:id="74"/>
    </w:p>
    <w:p w14:paraId="4ECFC59C" w14:textId="1A9FDDE5" w:rsidR="004A2E03" w:rsidRDefault="00BC2CB1" w:rsidP="004A2E03">
      <w:pPr>
        <w:rPr>
          <w:color w:val="auto"/>
        </w:rPr>
      </w:pPr>
      <w:r>
        <w:rPr>
          <w:color w:val="auto"/>
        </w:rPr>
        <w:t xml:space="preserve">All emissions from the use of </w:t>
      </w:r>
      <w:r w:rsidR="0078115E">
        <w:rPr>
          <w:color w:val="auto"/>
        </w:rPr>
        <w:t>sulphur hexaflu</w:t>
      </w:r>
      <w:r w:rsidR="00885257">
        <w:rPr>
          <w:color w:val="auto"/>
        </w:rPr>
        <w:t xml:space="preserve">oride </w:t>
      </w:r>
      <w:r w:rsidR="003D3CD8">
        <w:rPr>
          <w:color w:val="auto"/>
        </w:rPr>
        <w:t xml:space="preserve">must be reported. </w:t>
      </w:r>
      <w:r w:rsidR="004A2E03" w:rsidRPr="00EE5638">
        <w:rPr>
          <w:color w:val="auto"/>
        </w:rPr>
        <w:t xml:space="preserve">The emissions from the combustion of fuels </w:t>
      </w:r>
      <w:r w:rsidR="0069532A">
        <w:rPr>
          <w:color w:val="auto"/>
        </w:rPr>
        <w:t xml:space="preserve">must be reported </w:t>
      </w:r>
      <w:r w:rsidR="004A2E03" w:rsidRPr="00FF338C">
        <w:rPr>
          <w:color w:val="auto"/>
        </w:rPr>
        <w:t xml:space="preserve">if the quantity consumed is greater than the thresholds listed </w:t>
      </w:r>
      <w:r w:rsidR="004A2E03">
        <w:rPr>
          <w:color w:val="auto"/>
        </w:rPr>
        <w:t>below</w:t>
      </w:r>
      <w:r w:rsidR="004A2E03" w:rsidRPr="00FF338C">
        <w:rPr>
          <w:color w:val="auto"/>
        </w:rPr>
        <w:t xml:space="preserve">. </w:t>
      </w:r>
    </w:p>
    <w:p w14:paraId="13DCC5F8" w14:textId="6E60B1C1" w:rsidR="004A2E03" w:rsidRDefault="004A2E03" w:rsidP="00B85497">
      <w:pPr>
        <w:keepNext/>
        <w:spacing w:after="0"/>
        <w:rPr>
          <w:i/>
          <w:iCs/>
          <w:color w:val="454743" w:themeColor="text2"/>
          <w:sz w:val="18"/>
          <w:szCs w:val="18"/>
        </w:rPr>
      </w:pPr>
      <w:bookmarkStart w:id="75" w:name="_Ref511316059"/>
      <w:r w:rsidRPr="00FF338C">
        <w:rPr>
          <w:i/>
          <w:iCs/>
          <w:color w:val="454743" w:themeColor="text2"/>
          <w:sz w:val="18"/>
          <w:szCs w:val="18"/>
        </w:rPr>
        <w:t xml:space="preserve">Table </w:t>
      </w:r>
      <w:r w:rsidRPr="00FF338C">
        <w:rPr>
          <w:i/>
          <w:iCs/>
          <w:color w:val="454743" w:themeColor="text2"/>
          <w:sz w:val="18"/>
          <w:szCs w:val="18"/>
        </w:rPr>
        <w:fldChar w:fldCharType="begin"/>
      </w:r>
      <w:r w:rsidRPr="00FF338C">
        <w:rPr>
          <w:i/>
          <w:iCs/>
          <w:color w:val="454743" w:themeColor="text2"/>
          <w:sz w:val="18"/>
          <w:szCs w:val="18"/>
        </w:rPr>
        <w:instrText xml:space="preserve"> SEQ Table \* ARABIC </w:instrText>
      </w:r>
      <w:r w:rsidRPr="00FF338C">
        <w:rPr>
          <w:i/>
          <w:iCs/>
          <w:color w:val="454743" w:themeColor="text2"/>
          <w:sz w:val="18"/>
          <w:szCs w:val="18"/>
        </w:rPr>
        <w:fldChar w:fldCharType="separate"/>
      </w:r>
      <w:r w:rsidR="0069639D">
        <w:rPr>
          <w:i/>
          <w:iCs/>
          <w:noProof/>
          <w:color w:val="454743" w:themeColor="text2"/>
          <w:sz w:val="18"/>
          <w:szCs w:val="18"/>
        </w:rPr>
        <w:t>4</w:t>
      </w:r>
      <w:r w:rsidRPr="00FF338C">
        <w:rPr>
          <w:i/>
          <w:iCs/>
          <w:color w:val="454743" w:themeColor="text2"/>
          <w:sz w:val="18"/>
          <w:szCs w:val="18"/>
        </w:rPr>
        <w:fldChar w:fldCharType="end"/>
      </w:r>
      <w:bookmarkEnd w:id="75"/>
      <w:r w:rsidRPr="00FF338C">
        <w:rPr>
          <w:i/>
          <w:iCs/>
          <w:color w:val="454743" w:themeColor="text2"/>
          <w:sz w:val="18"/>
          <w:szCs w:val="18"/>
        </w:rPr>
        <w:t xml:space="preserve"> – Thresholds for emission estimation</w:t>
      </w:r>
      <w:r w:rsidR="002D44DF">
        <w:rPr>
          <w:i/>
          <w:iCs/>
          <w:color w:val="454743" w:themeColor="text2"/>
          <w:sz w:val="18"/>
          <w:szCs w:val="18"/>
        </w:rPr>
        <w:t>.</w:t>
      </w:r>
    </w:p>
    <w:p w14:paraId="17A37BD6" w14:textId="77777777" w:rsidR="004A2E03" w:rsidRPr="00FF338C" w:rsidRDefault="004A2E03" w:rsidP="004A2E03">
      <w:pPr>
        <w:spacing w:after="0"/>
        <w:rPr>
          <w:i/>
          <w:iCs/>
          <w:color w:val="auto"/>
          <w:sz w:val="18"/>
          <w:szCs w:val="18"/>
        </w:rPr>
      </w:pPr>
    </w:p>
    <w:tbl>
      <w:tblPr>
        <w:tblStyle w:val="CERTable"/>
        <w:tblW w:w="5000" w:type="pct"/>
        <w:tblLook w:val="04A0" w:firstRow="1" w:lastRow="0" w:firstColumn="1" w:lastColumn="0" w:noHBand="0" w:noVBand="1"/>
      </w:tblPr>
      <w:tblGrid>
        <w:gridCol w:w="4870"/>
        <w:gridCol w:w="4870"/>
      </w:tblGrid>
      <w:tr w:rsidR="004A2E03" w:rsidRPr="00C64711" w14:paraId="3CD9E87E" w14:textId="77777777" w:rsidTr="009A0C68">
        <w:trPr>
          <w:cnfStyle w:val="100000000000" w:firstRow="1" w:lastRow="0" w:firstColumn="0" w:lastColumn="0" w:oddVBand="0" w:evenVBand="0" w:oddHBand="0" w:evenHBand="0" w:firstRowFirstColumn="0" w:firstRowLastColumn="0" w:lastRowFirstColumn="0" w:lastRowLastColumn="0"/>
          <w:trHeight w:val="827"/>
          <w:tblHeader/>
        </w:trPr>
        <w:tc>
          <w:tcPr>
            <w:cnfStyle w:val="001000000000" w:firstRow="0" w:lastRow="0" w:firstColumn="1" w:lastColumn="0" w:oddVBand="0" w:evenVBand="0" w:oddHBand="0" w:evenHBand="0" w:firstRowFirstColumn="0" w:firstRowLastColumn="0" w:lastRowFirstColumn="0" w:lastRowLastColumn="0"/>
            <w:tcW w:w="2500" w:type="pct"/>
          </w:tcPr>
          <w:p w14:paraId="75D271D1" w14:textId="77777777" w:rsidR="004A2E03" w:rsidRPr="00C67339" w:rsidRDefault="004A2E03">
            <w:pPr>
              <w:rPr>
                <w:rFonts w:cs="Arial"/>
                <w:color w:val="auto"/>
                <w:szCs w:val="22"/>
              </w:rPr>
            </w:pPr>
            <w:r w:rsidRPr="00C67339">
              <w:rPr>
                <w:rFonts w:cs="Arial"/>
                <w:szCs w:val="22"/>
              </w:rPr>
              <w:t>Emission source</w:t>
            </w:r>
          </w:p>
        </w:tc>
        <w:tc>
          <w:tcPr>
            <w:tcW w:w="2500" w:type="pct"/>
          </w:tcPr>
          <w:p w14:paraId="25655E28" w14:textId="3357E364" w:rsidR="004A2E03" w:rsidRPr="00C67339" w:rsidRDefault="004A2E03">
            <w:pPr>
              <w:cnfStyle w:val="100000000000" w:firstRow="1" w:lastRow="0" w:firstColumn="0" w:lastColumn="0" w:oddVBand="0" w:evenVBand="0" w:oddHBand="0" w:evenHBand="0" w:firstRowFirstColumn="0" w:firstRowLastColumn="0" w:lastRowFirstColumn="0" w:lastRowLastColumn="0"/>
              <w:rPr>
                <w:rFonts w:cs="Arial"/>
                <w:color w:val="auto"/>
                <w:szCs w:val="22"/>
              </w:rPr>
            </w:pPr>
            <w:r w:rsidRPr="00C67339">
              <w:rPr>
                <w:rFonts w:cs="Arial"/>
                <w:szCs w:val="22"/>
              </w:rPr>
              <w:t xml:space="preserve">Estimation threshold per each separate instance of the source </w:t>
            </w:r>
            <w:r w:rsidR="00B73C79">
              <w:rPr>
                <w:rFonts w:cs="Arial"/>
                <w:szCs w:val="22"/>
              </w:rPr>
              <w:t>during the reporting</w:t>
            </w:r>
            <w:r w:rsidRPr="00C67339">
              <w:rPr>
                <w:rFonts w:cs="Arial"/>
                <w:szCs w:val="22"/>
              </w:rPr>
              <w:t xml:space="preserve"> year</w:t>
            </w:r>
          </w:p>
        </w:tc>
      </w:tr>
      <w:tr w:rsidR="004A2E03" w:rsidRPr="00C64711" w14:paraId="2E6AF040" w14:textId="77777777" w:rsidTr="008E6B32">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2500" w:type="pct"/>
          </w:tcPr>
          <w:p w14:paraId="0EB8F9F3" w14:textId="77777777" w:rsidR="004A2E03" w:rsidRPr="00C67339" w:rsidRDefault="004A2E03">
            <w:pPr>
              <w:rPr>
                <w:rFonts w:cs="Arial"/>
                <w:b w:val="0"/>
                <w:color w:val="auto"/>
                <w:szCs w:val="22"/>
              </w:rPr>
            </w:pPr>
            <w:r w:rsidRPr="00C67339">
              <w:rPr>
                <w:rFonts w:cs="Arial"/>
                <w:szCs w:val="22"/>
              </w:rPr>
              <w:t>Solid fuel combustion</w:t>
            </w:r>
          </w:p>
        </w:tc>
        <w:tc>
          <w:tcPr>
            <w:tcW w:w="2500" w:type="pct"/>
          </w:tcPr>
          <w:p w14:paraId="6959A063" w14:textId="71B2A085" w:rsidR="004A2E03" w:rsidRPr="00C67339" w:rsidRDefault="004A2E03">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C67339">
              <w:rPr>
                <w:rFonts w:cs="Arial"/>
                <w:szCs w:val="22"/>
              </w:rPr>
              <w:t>1</w:t>
            </w:r>
            <w:r w:rsidR="00FE2F71">
              <w:rPr>
                <w:rFonts w:cs="Arial"/>
                <w:szCs w:val="22"/>
              </w:rPr>
              <w:t> t</w:t>
            </w:r>
            <w:r w:rsidRPr="00C67339">
              <w:rPr>
                <w:rFonts w:cs="Arial"/>
                <w:szCs w:val="22"/>
              </w:rPr>
              <w:t xml:space="preserve"> (per section 2.2 of the NGER Measurement Determination)</w:t>
            </w:r>
          </w:p>
        </w:tc>
      </w:tr>
      <w:tr w:rsidR="004A2E03" w:rsidRPr="00C64711" w14:paraId="47D4C934" w14:textId="77777777" w:rsidTr="008E6B32">
        <w:trPr>
          <w:cnfStyle w:val="000000010000" w:firstRow="0" w:lastRow="0" w:firstColumn="0" w:lastColumn="0" w:oddVBand="0" w:evenVBand="0" w:oddHBand="0" w:evenHBand="1" w:firstRowFirstColumn="0" w:firstRowLastColumn="0" w:lastRowFirstColumn="0" w:lastRowLastColumn="0"/>
          <w:trHeight w:val="1972"/>
        </w:trPr>
        <w:tc>
          <w:tcPr>
            <w:cnfStyle w:val="001000000000" w:firstRow="0" w:lastRow="0" w:firstColumn="1" w:lastColumn="0" w:oddVBand="0" w:evenVBand="0" w:oddHBand="0" w:evenHBand="0" w:firstRowFirstColumn="0" w:firstRowLastColumn="0" w:lastRowFirstColumn="0" w:lastRowLastColumn="0"/>
            <w:tcW w:w="2500" w:type="pct"/>
          </w:tcPr>
          <w:p w14:paraId="578F8B82" w14:textId="77777777" w:rsidR="004A2E03" w:rsidRPr="00C67339" w:rsidRDefault="004A2E03">
            <w:pPr>
              <w:rPr>
                <w:rFonts w:cs="Arial"/>
                <w:b w:val="0"/>
                <w:color w:val="auto"/>
                <w:szCs w:val="22"/>
              </w:rPr>
            </w:pPr>
            <w:r w:rsidRPr="00C67339">
              <w:rPr>
                <w:rFonts w:cs="Arial"/>
                <w:szCs w:val="22"/>
              </w:rPr>
              <w:t xml:space="preserve">Liquid fuel combustion </w:t>
            </w:r>
          </w:p>
        </w:tc>
        <w:tc>
          <w:tcPr>
            <w:tcW w:w="2500" w:type="pct"/>
          </w:tcPr>
          <w:p w14:paraId="38E7E646" w14:textId="2AF14D34" w:rsidR="004A2E03" w:rsidRPr="00D92140" w:rsidRDefault="004A2E03" w:rsidP="00B3330E">
            <w:pPr>
              <w:pStyle w:val="CERbullets"/>
              <w:numPr>
                <w:ilvl w:val="0"/>
                <w:numId w:val="12"/>
              </w:numPr>
              <w:ind w:left="357" w:hanging="357"/>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bookmarkStart w:id="76" w:name="_Hlk48047265"/>
            <w:r w:rsidRPr="25383661">
              <w:rPr>
                <w:rFonts w:ascii="Calibri" w:hAnsi="Calibri" w:cs="Calibri"/>
                <w:color w:val="000000" w:themeColor="text1"/>
              </w:rPr>
              <w:t>1</w:t>
            </w:r>
            <w:r w:rsidR="00615F28" w:rsidRPr="25383661">
              <w:rPr>
                <w:rFonts w:ascii="Calibri" w:hAnsi="Calibri" w:cs="Calibri"/>
                <w:color w:val="000000" w:themeColor="text1"/>
              </w:rPr>
              <w:t> </w:t>
            </w:r>
            <w:proofErr w:type="spellStart"/>
            <w:r w:rsidR="00615F28" w:rsidRPr="25383661">
              <w:rPr>
                <w:rFonts w:ascii="Calibri" w:hAnsi="Calibri" w:cs="Calibri"/>
                <w:color w:val="000000" w:themeColor="text1"/>
              </w:rPr>
              <w:t>kL</w:t>
            </w:r>
            <w:proofErr w:type="spellEnd"/>
          </w:p>
          <w:p w14:paraId="3379E26C" w14:textId="4312F94F" w:rsidR="004A2E03" w:rsidRPr="00D92140" w:rsidRDefault="004A2E03" w:rsidP="00B3330E">
            <w:pPr>
              <w:pStyle w:val="CERbullets"/>
              <w:numPr>
                <w:ilvl w:val="0"/>
                <w:numId w:val="12"/>
              </w:numPr>
              <w:ind w:left="357" w:hanging="357"/>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D92140">
              <w:rPr>
                <w:rFonts w:ascii="Calibri" w:hAnsi="Calibri" w:cs="Calibri"/>
                <w:color w:val="000000"/>
              </w:rPr>
              <w:t>5</w:t>
            </w:r>
            <w:r w:rsidR="00615F28">
              <w:rPr>
                <w:rFonts w:ascii="Calibri" w:hAnsi="Calibri" w:cs="Calibri"/>
                <w:color w:val="000000"/>
              </w:rPr>
              <w:t> </w:t>
            </w:r>
            <w:proofErr w:type="spellStart"/>
            <w:r w:rsidR="00615F28">
              <w:rPr>
                <w:rFonts w:ascii="Calibri" w:hAnsi="Calibri" w:cs="Calibri"/>
                <w:color w:val="000000"/>
              </w:rPr>
              <w:t>kL</w:t>
            </w:r>
            <w:proofErr w:type="spellEnd"/>
            <w:r w:rsidRPr="00D92140">
              <w:rPr>
                <w:rFonts w:ascii="Calibri" w:hAnsi="Calibri" w:cs="Calibri"/>
                <w:color w:val="000000"/>
              </w:rPr>
              <w:t xml:space="preserve"> for petroleum-based oils (other than those used as fuels) and petroleum-based greases</w:t>
            </w:r>
            <w:r>
              <w:rPr>
                <w:rFonts w:ascii="Calibri" w:hAnsi="Calibri" w:cs="Calibri"/>
                <w:color w:val="000000"/>
              </w:rPr>
              <w:t>.</w:t>
            </w:r>
          </w:p>
          <w:bookmarkEnd w:id="76"/>
          <w:p w14:paraId="65F01EA7" w14:textId="77777777" w:rsidR="004A2E03" w:rsidRPr="00C67339" w:rsidRDefault="004A2E03">
            <w:pPr>
              <w:cnfStyle w:val="000000010000" w:firstRow="0" w:lastRow="0" w:firstColumn="0" w:lastColumn="0" w:oddVBand="0" w:evenVBand="0" w:oddHBand="0" w:evenHBand="1" w:firstRowFirstColumn="0" w:firstRowLastColumn="0" w:lastRowFirstColumn="0" w:lastRowLastColumn="0"/>
              <w:rPr>
                <w:rFonts w:cs="Arial"/>
                <w:szCs w:val="22"/>
                <w:vertAlign w:val="superscript"/>
              </w:rPr>
            </w:pPr>
            <w:r w:rsidRPr="00C67339">
              <w:rPr>
                <w:rFonts w:cs="Arial"/>
                <w:szCs w:val="22"/>
              </w:rPr>
              <w:t>(per section 2.39 of the NGER Measurement Determination)</w:t>
            </w:r>
          </w:p>
        </w:tc>
      </w:tr>
      <w:tr w:rsidR="004A2E03" w:rsidRPr="00C64711" w14:paraId="19591081" w14:textId="77777777" w:rsidTr="008E6B32">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2500" w:type="pct"/>
          </w:tcPr>
          <w:p w14:paraId="10C6F61E" w14:textId="7ED167F7" w:rsidR="004A2E03" w:rsidRPr="00EE5638" w:rsidRDefault="00364E8A">
            <w:pPr>
              <w:rPr>
                <w:rFonts w:cs="Arial"/>
                <w:b w:val="0"/>
                <w:color w:val="auto"/>
              </w:rPr>
            </w:pPr>
            <w:r w:rsidRPr="00C67339">
              <w:rPr>
                <w:rFonts w:cs="Arial"/>
                <w:szCs w:val="22"/>
              </w:rPr>
              <w:t>Gaseous fuel combustion</w:t>
            </w:r>
          </w:p>
        </w:tc>
        <w:tc>
          <w:tcPr>
            <w:tcW w:w="2500" w:type="pct"/>
          </w:tcPr>
          <w:p w14:paraId="3BDC9BFD" w14:textId="428E6A10" w:rsidR="004A2E03" w:rsidRPr="00EE5638" w:rsidRDefault="00364E8A">
            <w:pPr>
              <w:cnfStyle w:val="000000100000" w:firstRow="0" w:lastRow="0" w:firstColumn="0" w:lastColumn="0" w:oddVBand="0" w:evenVBand="0" w:oddHBand="1" w:evenHBand="0" w:firstRowFirstColumn="0" w:firstRowLastColumn="0" w:lastRowFirstColumn="0" w:lastRowLastColumn="0"/>
              <w:rPr>
                <w:rFonts w:cs="Arial"/>
                <w:color w:val="auto"/>
                <w:szCs w:val="22"/>
              </w:rPr>
            </w:pPr>
            <w:r w:rsidRPr="00C67339">
              <w:rPr>
                <w:rFonts w:cs="Arial"/>
                <w:szCs w:val="22"/>
              </w:rPr>
              <w:t>100</w:t>
            </w:r>
            <w:r>
              <w:rPr>
                <w:rFonts w:cs="Arial"/>
                <w:color w:val="auto"/>
                <w:szCs w:val="22"/>
              </w:rPr>
              <w:t>0 </w:t>
            </w:r>
            <w:r>
              <w:rPr>
                <w:color w:val="auto"/>
                <w:szCs w:val="22"/>
              </w:rPr>
              <w:t>m</w:t>
            </w:r>
            <w:r>
              <w:rPr>
                <w:color w:val="auto"/>
                <w:szCs w:val="22"/>
                <w:vertAlign w:val="superscript"/>
              </w:rPr>
              <w:t>3</w:t>
            </w:r>
            <w:r w:rsidRPr="00C67339">
              <w:rPr>
                <w:color w:val="auto"/>
                <w:szCs w:val="22"/>
              </w:rPr>
              <w:t xml:space="preserve"> </w:t>
            </w:r>
            <w:r w:rsidRPr="00C67339">
              <w:rPr>
                <w:rFonts w:cs="Arial"/>
                <w:color w:val="auto"/>
                <w:szCs w:val="22"/>
              </w:rPr>
              <w:t xml:space="preserve">(per </w:t>
            </w:r>
            <w:r w:rsidRPr="00C67339">
              <w:rPr>
                <w:rFonts w:cs="Arial"/>
                <w:szCs w:val="22"/>
              </w:rPr>
              <w:t>section 2.18 of the NGER Measurement Determination)</w:t>
            </w:r>
          </w:p>
        </w:tc>
      </w:tr>
    </w:tbl>
    <w:p w14:paraId="08DAE54E" w14:textId="77777777" w:rsidR="004A2E03" w:rsidRPr="00FF338C" w:rsidRDefault="004A2E03" w:rsidP="004A2E03">
      <w:pPr>
        <w:pStyle w:val="Heading4"/>
      </w:pPr>
      <w:bookmarkStart w:id="77" w:name="_Separate_instance_of"/>
      <w:bookmarkStart w:id="78" w:name="_Toc526867688"/>
      <w:bookmarkStart w:id="79" w:name="_Toc526869730"/>
      <w:bookmarkStart w:id="80" w:name="_Toc235706303"/>
      <w:bookmarkEnd w:id="77"/>
      <w:r w:rsidRPr="00FF338C">
        <w:t>Separate instance of a source</w:t>
      </w:r>
      <w:bookmarkEnd w:id="78"/>
      <w:bookmarkEnd w:id="79"/>
      <w:bookmarkEnd w:id="80"/>
    </w:p>
    <w:p w14:paraId="509B9CE7" w14:textId="77777777" w:rsidR="004A2E03" w:rsidRPr="00FF338C" w:rsidRDefault="004A2E03" w:rsidP="004A2E03">
      <w:pPr>
        <w:rPr>
          <w:color w:val="auto"/>
        </w:rPr>
      </w:pPr>
      <w:r w:rsidRPr="00FF338C">
        <w:rPr>
          <w:color w:val="auto"/>
        </w:rPr>
        <w:t xml:space="preserve">The estimation thresholds apply to each </w:t>
      </w:r>
      <w:r>
        <w:rPr>
          <w:color w:val="auto"/>
        </w:rPr>
        <w:t>‘</w:t>
      </w:r>
      <w:r w:rsidRPr="002A64B3">
        <w:rPr>
          <w:color w:val="auto"/>
        </w:rPr>
        <w:t>instance of a source</w:t>
      </w:r>
      <w:r>
        <w:rPr>
          <w:color w:val="auto"/>
        </w:rPr>
        <w:t>’, which is defined by s</w:t>
      </w:r>
      <w:r w:rsidRPr="00FF338C">
        <w:rPr>
          <w:color w:val="auto"/>
        </w:rPr>
        <w:t xml:space="preserve">ection 1.9A of the </w:t>
      </w:r>
      <w:r>
        <w:rPr>
          <w:color w:val="auto"/>
        </w:rPr>
        <w:t>NGER Measurement Determination as follows</w:t>
      </w:r>
      <w:r w:rsidRPr="00FF338C">
        <w:rPr>
          <w:color w:val="auto"/>
        </w:rPr>
        <w:t>:</w:t>
      </w:r>
    </w:p>
    <w:p w14:paraId="7CDF3344" w14:textId="0A1D2FDC" w:rsidR="004A2E03" w:rsidRPr="00C67339" w:rsidDel="00463115" w:rsidRDefault="004A2E03" w:rsidP="00B3330E">
      <w:pPr>
        <w:pStyle w:val="CERbullets"/>
        <w:numPr>
          <w:ilvl w:val="0"/>
          <w:numId w:val="12"/>
        </w:numPr>
        <w:ind w:left="357" w:hanging="357"/>
        <w:rPr>
          <w:rFonts w:ascii="Calibri" w:hAnsi="Calibri" w:cs="Calibri"/>
          <w:color w:val="000000"/>
          <w:kern w:val="2"/>
        </w:rPr>
      </w:pPr>
      <w:r w:rsidRPr="00C67339" w:rsidDel="00463115">
        <w:rPr>
          <w:rFonts w:ascii="Calibri" w:hAnsi="Calibri" w:cs="Calibri"/>
          <w:color w:val="000000"/>
          <w:kern w:val="2"/>
        </w:rPr>
        <w:t xml:space="preserve">If </w:t>
      </w:r>
      <w:r w:rsidR="00AF5B63">
        <w:rPr>
          <w:rFonts w:ascii="Calibri" w:hAnsi="Calibri" w:cs="Calibri"/>
          <w:color w:val="000000"/>
          <w:kern w:val="2"/>
        </w:rPr>
        <w:t>2</w:t>
      </w:r>
      <w:r w:rsidRPr="00C67339" w:rsidDel="00463115">
        <w:rPr>
          <w:rFonts w:ascii="Calibri" w:hAnsi="Calibri" w:cs="Calibri"/>
          <w:color w:val="000000"/>
          <w:kern w:val="2"/>
        </w:rPr>
        <w:t xml:space="preserve"> or more different activities of a facility have the same source of emissions, each activity is taken to be a separate </w:t>
      </w:r>
      <w:r>
        <w:rPr>
          <w:rFonts w:ascii="Calibri" w:hAnsi="Calibri" w:cs="Calibri"/>
          <w:color w:val="000000"/>
          <w:kern w:val="2"/>
        </w:rPr>
        <w:t>‘</w:t>
      </w:r>
      <w:r w:rsidRPr="00C67339" w:rsidDel="00463115">
        <w:rPr>
          <w:rFonts w:ascii="Calibri" w:hAnsi="Calibri" w:cs="Calibri"/>
          <w:color w:val="000000"/>
          <w:kern w:val="2"/>
        </w:rPr>
        <w:t>instance of the source</w:t>
      </w:r>
      <w:r>
        <w:rPr>
          <w:rFonts w:ascii="Calibri" w:hAnsi="Calibri" w:cs="Calibri"/>
          <w:color w:val="000000"/>
          <w:kern w:val="2"/>
        </w:rPr>
        <w:t>’</w:t>
      </w:r>
      <w:r w:rsidRPr="00C67339" w:rsidDel="00463115">
        <w:rPr>
          <w:rFonts w:ascii="Calibri" w:hAnsi="Calibri" w:cs="Calibri"/>
          <w:color w:val="000000"/>
          <w:kern w:val="2"/>
        </w:rPr>
        <w:t xml:space="preserve"> if the activity is performed by a class of equipment different from that used by another activity. </w:t>
      </w:r>
    </w:p>
    <w:p w14:paraId="3E707F48" w14:textId="453F425D" w:rsidR="00264B9D" w:rsidRPr="00793902" w:rsidRDefault="004A2E03" w:rsidP="004A2E03">
      <w:pPr>
        <w:rPr>
          <w:color w:val="auto"/>
        </w:rPr>
      </w:pPr>
      <w:r w:rsidRPr="00FF338C">
        <w:rPr>
          <w:color w:val="auto"/>
        </w:rPr>
        <w:t xml:space="preserve">For example, </w:t>
      </w:r>
      <w:r w:rsidR="00AF5B63">
        <w:rPr>
          <w:color w:val="auto"/>
        </w:rPr>
        <w:t>2</w:t>
      </w:r>
      <w:r w:rsidRPr="00FF338C">
        <w:rPr>
          <w:color w:val="auto"/>
        </w:rPr>
        <w:t xml:space="preserve"> compressors at a facility that are the same class of equipment and perform the same activity from the combustion of natural gas will be the same instance of the source. However, diesel may be combusted in generators used for electricity production and in light vehicles. </w:t>
      </w:r>
      <w:r>
        <w:rPr>
          <w:color w:val="auto"/>
        </w:rPr>
        <w:t>In this example each</w:t>
      </w:r>
      <w:r w:rsidRPr="00FF338C">
        <w:rPr>
          <w:color w:val="auto"/>
        </w:rPr>
        <w:t xml:space="preserve"> class of equipment has the same source of emissions (</w:t>
      </w:r>
      <w:r>
        <w:rPr>
          <w:color w:val="auto"/>
        </w:rPr>
        <w:t xml:space="preserve">see </w:t>
      </w:r>
      <w:r w:rsidRPr="00FF338C">
        <w:rPr>
          <w:color w:val="auto"/>
        </w:rPr>
        <w:t>1A ‘Fuel combustion’</w:t>
      </w:r>
      <w:r>
        <w:rPr>
          <w:color w:val="auto"/>
        </w:rPr>
        <w:t xml:space="preserve"> in </w:t>
      </w:r>
      <w:r w:rsidRPr="00FF338C">
        <w:rPr>
          <w:color w:val="auto"/>
        </w:rPr>
        <w:t xml:space="preserve">section 1.10 of the </w:t>
      </w:r>
      <w:r>
        <w:rPr>
          <w:color w:val="auto"/>
        </w:rPr>
        <w:t>NGER Measurement Determination</w:t>
      </w:r>
      <w:r w:rsidRPr="00FF338C">
        <w:rPr>
          <w:color w:val="auto"/>
        </w:rPr>
        <w:t xml:space="preserve">) but are separate instances of the source as they are </w:t>
      </w:r>
      <w:r w:rsidR="00AF5B63">
        <w:rPr>
          <w:color w:val="auto"/>
        </w:rPr>
        <w:t>2</w:t>
      </w:r>
      <w:r w:rsidRPr="00FF338C">
        <w:rPr>
          <w:color w:val="auto"/>
        </w:rPr>
        <w:t xml:space="preserve"> different classes of equipment used in different activities. </w:t>
      </w:r>
    </w:p>
    <w:p w14:paraId="411B79A3" w14:textId="77777777" w:rsidR="004A2E03" w:rsidRPr="00FF338C" w:rsidRDefault="004A2E03" w:rsidP="004A2E03">
      <w:pPr>
        <w:pStyle w:val="Heading4"/>
        <w:rPr>
          <w:color w:val="FF0000"/>
        </w:rPr>
      </w:pPr>
      <w:bookmarkStart w:id="81" w:name="_Toc526867689"/>
      <w:bookmarkStart w:id="82" w:name="_Toc526869731"/>
      <w:bookmarkStart w:id="83" w:name="_Toc235706304"/>
      <w:r w:rsidRPr="00FF338C">
        <w:t>Thresholds for estimating incidental emissions</w:t>
      </w:r>
      <w:bookmarkEnd w:id="81"/>
      <w:bookmarkEnd w:id="82"/>
      <w:bookmarkEnd w:id="83"/>
    </w:p>
    <w:p w14:paraId="5616383B" w14:textId="77777777" w:rsidR="004A2E03" w:rsidRPr="00FF338C" w:rsidRDefault="004A2E03" w:rsidP="004A2E03">
      <w:r w:rsidRPr="00FF338C">
        <w:t xml:space="preserve">NGER allows smaller ‘incidental emissions’ to be estimated without using a prescribed estimation method. Incidental emissions can be estimated using another method, so long as </w:t>
      </w:r>
      <w:r>
        <w:t>that method satisfies</w:t>
      </w:r>
      <w:r w:rsidRPr="00FF338C">
        <w:t xml:space="preserve"> the general estimation principles in section 1.13 of the </w:t>
      </w:r>
      <w:r>
        <w:t>NGER Measurement Determination</w:t>
      </w:r>
      <w:r w:rsidRPr="00FF338C">
        <w:t>.</w:t>
      </w:r>
    </w:p>
    <w:p w14:paraId="740AF170" w14:textId="7E116259" w:rsidR="004A2E03" w:rsidRPr="002E567B" w:rsidRDefault="00D636E6" w:rsidP="00084932">
      <w:pPr>
        <w:rPr>
          <w:i/>
          <w:color w:val="454743" w:themeColor="text2"/>
          <w:sz w:val="18"/>
          <w:szCs w:val="18"/>
        </w:rPr>
      </w:pPr>
      <w:proofErr w:type="spellStart"/>
      <w:r>
        <w:t>Subregulation</w:t>
      </w:r>
      <w:proofErr w:type="spellEnd"/>
      <w:r>
        <w:t xml:space="preserve"> </w:t>
      </w:r>
      <w:r w:rsidR="002F4BEC">
        <w:t xml:space="preserve">4.27(5) of the </w:t>
      </w:r>
      <w:r w:rsidR="004A2E03">
        <w:t xml:space="preserve">NGER </w:t>
      </w:r>
      <w:r w:rsidR="002F4BEC">
        <w:t>R</w:t>
      </w:r>
      <w:r w:rsidR="004A2E03">
        <w:t>egulation</w:t>
      </w:r>
      <w:r w:rsidR="002F4BEC">
        <w:t>s</w:t>
      </w:r>
      <w:r w:rsidR="004A2E03" w:rsidRPr="00FF338C">
        <w:t xml:space="preserve"> prescribes maximum thresholds</w:t>
      </w:r>
      <w:r w:rsidR="004A2E03">
        <w:t xml:space="preserve"> per facility</w:t>
      </w:r>
      <w:r w:rsidR="004A2E03" w:rsidRPr="00FF338C">
        <w:t xml:space="preserve"> for this allowance to estimate incidental emissions without using a prescribed method:</w:t>
      </w:r>
    </w:p>
    <w:p w14:paraId="62DD5D88" w14:textId="77777777" w:rsidR="004A2E03" w:rsidRDefault="004A2E03" w:rsidP="004A2E03">
      <w:pPr>
        <w:spacing w:after="0"/>
      </w:pPr>
    </w:p>
    <w:p w14:paraId="100031AF" w14:textId="036FA92A" w:rsidR="002F66C4" w:rsidRDefault="002F66C4" w:rsidP="00084932">
      <w:pPr>
        <w:pStyle w:val="Caption"/>
        <w:keepNext/>
      </w:pPr>
      <w:bookmarkStart w:id="84" w:name="_Ref232605398"/>
      <w:r>
        <w:lastRenderedPageBreak/>
        <w:t xml:space="preserve">Table </w:t>
      </w:r>
      <w:r>
        <w:fldChar w:fldCharType="begin"/>
      </w:r>
      <w:r>
        <w:instrText>SEQ Table \* ARABIC</w:instrText>
      </w:r>
      <w:r>
        <w:fldChar w:fldCharType="separate"/>
      </w:r>
      <w:r w:rsidR="0069639D">
        <w:rPr>
          <w:noProof/>
        </w:rPr>
        <w:t>5</w:t>
      </w:r>
      <w:r>
        <w:fldChar w:fldCharType="end"/>
      </w:r>
      <w:bookmarkEnd w:id="84"/>
      <w:r>
        <w:t xml:space="preserve"> </w:t>
      </w:r>
      <w:r w:rsidRPr="00C92612">
        <w:t>– Greenhouse gas emissions incidental reporting thresholds.</w:t>
      </w:r>
    </w:p>
    <w:tbl>
      <w:tblPr>
        <w:tblStyle w:val="CERTable"/>
        <w:tblW w:w="0" w:type="auto"/>
        <w:tblLook w:val="04A0" w:firstRow="1" w:lastRow="0" w:firstColumn="1" w:lastColumn="0" w:noHBand="0" w:noVBand="1"/>
      </w:tblPr>
      <w:tblGrid>
        <w:gridCol w:w="4390"/>
        <w:gridCol w:w="2693"/>
        <w:gridCol w:w="2647"/>
      </w:tblGrid>
      <w:tr w:rsidR="00503817" w14:paraId="1A7849AE" w14:textId="77777777" w:rsidTr="009A0C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0" w:type="dxa"/>
          </w:tcPr>
          <w:p w14:paraId="615A1062" w14:textId="77777777" w:rsidR="004A2E03" w:rsidRDefault="004A2E03">
            <w:r>
              <w:t>Application type and level</w:t>
            </w:r>
          </w:p>
        </w:tc>
        <w:tc>
          <w:tcPr>
            <w:tcW w:w="2693" w:type="dxa"/>
          </w:tcPr>
          <w:p w14:paraId="5733619B" w14:textId="77777777" w:rsidR="004A2E03" w:rsidRDefault="004A2E03">
            <w:pPr>
              <w:cnfStyle w:val="100000000000" w:firstRow="1" w:lastRow="0" w:firstColumn="0" w:lastColumn="0" w:oddVBand="0" w:evenVBand="0" w:oddHBand="0" w:evenHBand="0" w:firstRowFirstColumn="0" w:firstRowLastColumn="0" w:lastRowFirstColumn="0" w:lastRowLastColumn="0"/>
            </w:pPr>
            <w:r>
              <w:t>Scope 1 emissions (CO</w:t>
            </w:r>
            <w:r w:rsidRPr="00C16E87">
              <w:rPr>
                <w:vertAlign w:val="subscript"/>
              </w:rPr>
              <w:t>2</w:t>
            </w:r>
            <w:r>
              <w:t>-e)</w:t>
            </w:r>
          </w:p>
        </w:tc>
        <w:tc>
          <w:tcPr>
            <w:tcW w:w="2647" w:type="dxa"/>
          </w:tcPr>
          <w:p w14:paraId="693467A0" w14:textId="77777777" w:rsidR="004A2E03" w:rsidRDefault="004A2E03">
            <w:pPr>
              <w:cnfStyle w:val="100000000000" w:firstRow="1" w:lastRow="0" w:firstColumn="0" w:lastColumn="0" w:oddVBand="0" w:evenVBand="0" w:oddHBand="0" w:evenHBand="0" w:firstRowFirstColumn="0" w:firstRowLastColumn="0" w:lastRowFirstColumn="0" w:lastRowLastColumn="0"/>
            </w:pPr>
            <w:r>
              <w:t>Scope 2 emissions (CO</w:t>
            </w:r>
            <w:r w:rsidRPr="00C16E87">
              <w:rPr>
                <w:vertAlign w:val="subscript"/>
              </w:rPr>
              <w:t>2</w:t>
            </w:r>
            <w:r>
              <w:t>-e)</w:t>
            </w:r>
          </w:p>
        </w:tc>
      </w:tr>
      <w:tr w:rsidR="004A2E03" w14:paraId="540D65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13AF68E9" w14:textId="77777777" w:rsidR="004A2E03" w:rsidRDefault="004A2E03">
            <w:r>
              <w:t>Total emissions from fuel combustion at a facility</w:t>
            </w:r>
          </w:p>
        </w:tc>
        <w:tc>
          <w:tcPr>
            <w:tcW w:w="2693" w:type="dxa"/>
          </w:tcPr>
          <w:p w14:paraId="4B587E2C" w14:textId="2FA3A3D9" w:rsidR="004A2E03" w:rsidRDefault="004A2E03">
            <w:pPr>
              <w:cnfStyle w:val="000000100000" w:firstRow="0" w:lastRow="0" w:firstColumn="0" w:lastColumn="0" w:oddVBand="0" w:evenVBand="0" w:oddHBand="1" w:evenHBand="0" w:firstRowFirstColumn="0" w:firstRowLastColumn="0" w:lastRowFirstColumn="0" w:lastRowLastColumn="0"/>
            </w:pPr>
            <w:r>
              <w:t>12</w:t>
            </w:r>
            <w:r w:rsidR="00826ED1">
              <w:t> </w:t>
            </w:r>
            <w:r>
              <w:t>kt or less</w:t>
            </w:r>
          </w:p>
        </w:tc>
        <w:tc>
          <w:tcPr>
            <w:tcW w:w="2647" w:type="dxa"/>
          </w:tcPr>
          <w:p w14:paraId="1CED3B6C" w14:textId="6C7183F2" w:rsidR="004A2E03" w:rsidRDefault="004A2E03">
            <w:pPr>
              <w:cnfStyle w:val="000000100000" w:firstRow="0" w:lastRow="0" w:firstColumn="0" w:lastColumn="0" w:oddVBand="0" w:evenVBand="0" w:oddHBand="1" w:evenHBand="0" w:firstRowFirstColumn="0" w:firstRowLastColumn="0" w:lastRowFirstColumn="0" w:lastRowLastColumn="0"/>
            </w:pPr>
            <w:r>
              <w:t>12</w:t>
            </w:r>
            <w:r w:rsidR="00826ED1">
              <w:t> </w:t>
            </w:r>
            <w:r>
              <w:t>kt or less</w:t>
            </w:r>
          </w:p>
        </w:tc>
      </w:tr>
      <w:tr w:rsidR="004A2E03" w14:paraId="718E22DA" w14:textId="77777777" w:rsidTr="00D052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bottom w:val="single" w:sz="8" w:space="0" w:color="E8E8E8" w:themeColor="background2"/>
            </w:tcBorders>
          </w:tcPr>
          <w:p w14:paraId="20ED034C" w14:textId="77777777" w:rsidR="004A2E03" w:rsidRDefault="004A2E03">
            <w:proofErr w:type="gramStart"/>
            <w:r>
              <w:t>Amount</w:t>
            </w:r>
            <w:proofErr w:type="gramEnd"/>
            <w:r>
              <w:t xml:space="preserve"> of emissions from a source, other than combustion of fuel, at a facility</w:t>
            </w:r>
          </w:p>
        </w:tc>
        <w:tc>
          <w:tcPr>
            <w:tcW w:w="2693" w:type="dxa"/>
            <w:tcBorders>
              <w:bottom w:val="single" w:sz="8" w:space="0" w:color="E8E8E8" w:themeColor="background2"/>
            </w:tcBorders>
          </w:tcPr>
          <w:p w14:paraId="3FA43474" w14:textId="4BC1FCA5" w:rsidR="004A2E03" w:rsidRDefault="004A2E03">
            <w:pPr>
              <w:cnfStyle w:val="000000010000" w:firstRow="0" w:lastRow="0" w:firstColumn="0" w:lastColumn="0" w:oddVBand="0" w:evenVBand="0" w:oddHBand="0" w:evenHBand="1" w:firstRowFirstColumn="0" w:firstRowLastColumn="0" w:lastRowFirstColumn="0" w:lastRowLastColumn="0"/>
            </w:pPr>
            <w:r>
              <w:t>3</w:t>
            </w:r>
            <w:r w:rsidR="00826ED1">
              <w:t> </w:t>
            </w:r>
            <w:r>
              <w:t>kt or less</w:t>
            </w:r>
          </w:p>
        </w:tc>
        <w:tc>
          <w:tcPr>
            <w:tcW w:w="2647" w:type="dxa"/>
            <w:tcBorders>
              <w:bottom w:val="single" w:sz="8" w:space="0" w:color="E8E8E8" w:themeColor="background2"/>
            </w:tcBorders>
          </w:tcPr>
          <w:p w14:paraId="197D28AD" w14:textId="54F4BBDC" w:rsidR="004A2E03" w:rsidRDefault="004A2E03">
            <w:pPr>
              <w:cnfStyle w:val="000000010000" w:firstRow="0" w:lastRow="0" w:firstColumn="0" w:lastColumn="0" w:oddVBand="0" w:evenVBand="0" w:oddHBand="0" w:evenHBand="1" w:firstRowFirstColumn="0" w:firstRowLastColumn="0" w:lastRowFirstColumn="0" w:lastRowLastColumn="0"/>
            </w:pPr>
            <w:r>
              <w:t>3</w:t>
            </w:r>
            <w:r w:rsidR="00826ED1">
              <w:t> </w:t>
            </w:r>
            <w:r>
              <w:t>kt or less</w:t>
            </w:r>
          </w:p>
        </w:tc>
      </w:tr>
      <w:tr w:rsidR="00503817" w14:paraId="0DE87F4A" w14:textId="77777777" w:rsidTr="00D052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single" w:sz="8" w:space="0" w:color="E8E8E8" w:themeColor="background2"/>
              <w:bottom w:val="single" w:sz="4" w:space="0" w:color="FCBA5C" w:themeColor="accent2"/>
            </w:tcBorders>
          </w:tcPr>
          <w:p w14:paraId="74DBF343" w14:textId="77777777" w:rsidR="004A2E03" w:rsidRDefault="004A2E03">
            <w:r>
              <w:t>Total emissions, from a source other than combustion of fuel, at a facility</w:t>
            </w:r>
          </w:p>
        </w:tc>
        <w:tc>
          <w:tcPr>
            <w:tcW w:w="2693" w:type="dxa"/>
            <w:tcBorders>
              <w:top w:val="single" w:sz="8" w:space="0" w:color="E8E8E8" w:themeColor="background2"/>
              <w:bottom w:val="single" w:sz="4" w:space="0" w:color="FCBA5C" w:themeColor="accent2"/>
            </w:tcBorders>
          </w:tcPr>
          <w:p w14:paraId="35104B19" w14:textId="2230658C" w:rsidR="004A2E03" w:rsidRDefault="004A2E03">
            <w:pPr>
              <w:cnfStyle w:val="000000100000" w:firstRow="0" w:lastRow="0" w:firstColumn="0" w:lastColumn="0" w:oddVBand="0" w:evenVBand="0" w:oddHBand="1" w:evenHBand="0" w:firstRowFirstColumn="0" w:firstRowLastColumn="0" w:lastRowFirstColumn="0" w:lastRowLastColumn="0"/>
            </w:pPr>
            <w:r>
              <w:t>12</w:t>
            </w:r>
            <w:r w:rsidR="00826ED1">
              <w:t> </w:t>
            </w:r>
            <w:r>
              <w:t>kt or less</w:t>
            </w:r>
          </w:p>
        </w:tc>
        <w:tc>
          <w:tcPr>
            <w:tcW w:w="2647" w:type="dxa"/>
            <w:tcBorders>
              <w:top w:val="single" w:sz="8" w:space="0" w:color="E8E8E8" w:themeColor="background2"/>
              <w:bottom w:val="single" w:sz="4" w:space="0" w:color="FCBA5C" w:themeColor="accent2"/>
            </w:tcBorders>
          </w:tcPr>
          <w:p w14:paraId="4D1DDE5D" w14:textId="057829D3" w:rsidR="004A2E03" w:rsidRDefault="004A2E03">
            <w:pPr>
              <w:cnfStyle w:val="000000100000" w:firstRow="0" w:lastRow="0" w:firstColumn="0" w:lastColumn="0" w:oddVBand="0" w:evenVBand="0" w:oddHBand="1" w:evenHBand="0" w:firstRowFirstColumn="0" w:firstRowLastColumn="0" w:lastRowFirstColumn="0" w:lastRowLastColumn="0"/>
            </w:pPr>
            <w:r>
              <w:t>12</w:t>
            </w:r>
            <w:r w:rsidR="00826ED1">
              <w:t> </w:t>
            </w:r>
            <w:r>
              <w:t>kt or less</w:t>
            </w:r>
          </w:p>
        </w:tc>
      </w:tr>
    </w:tbl>
    <w:p w14:paraId="2B67E3C5" w14:textId="1F09946D" w:rsidR="004A2E03" w:rsidRPr="00FF338C" w:rsidRDefault="004A2E03" w:rsidP="004A2E03">
      <w:pPr>
        <w:spacing w:before="240"/>
      </w:pPr>
      <w:r w:rsidRPr="003A0F07">
        <w:t xml:space="preserve">This allowance provides some flexibility to estimate smaller incidental emissions without having to meet all </w:t>
      </w:r>
      <w:r>
        <w:t>requirements of</w:t>
      </w:r>
      <w:r w:rsidRPr="003A0F07">
        <w:t xml:space="preserve"> prescribed methods. However, the emissions </w:t>
      </w:r>
      <w:r>
        <w:t>must</w:t>
      </w:r>
      <w:r w:rsidRPr="003A0F07">
        <w:t xml:space="preserve"> be appropriately estimated each </w:t>
      </w:r>
      <w:r w:rsidR="00367622">
        <w:t xml:space="preserve">reporting </w:t>
      </w:r>
      <w:r w:rsidRPr="003A0F07">
        <w:t>year.</w:t>
      </w:r>
    </w:p>
    <w:p w14:paraId="4B99C4A6" w14:textId="5C935A8A" w:rsidR="004A2E03" w:rsidRPr="00D2141E" w:rsidRDefault="004A2E03" w:rsidP="004A2E03">
      <w:r w:rsidRPr="00D2141E">
        <w:t>Note: It is also important to note this is an annual allowance, accordingly, emissions sources considered incidental one</w:t>
      </w:r>
      <w:r>
        <w:t xml:space="preserve"> </w:t>
      </w:r>
      <w:r w:rsidR="00367622">
        <w:t>reporting</w:t>
      </w:r>
      <w:r w:rsidRPr="00D2141E">
        <w:t xml:space="preserve"> year may not be so the following year. Reporters</w:t>
      </w:r>
      <w:r w:rsidRPr="00D2141E" w:rsidDel="00976700">
        <w:t xml:space="preserve"> </w:t>
      </w:r>
      <w:r w:rsidRPr="00D2141E">
        <w:t xml:space="preserve">must check they meet the threshold each </w:t>
      </w:r>
      <w:r w:rsidR="00367622">
        <w:t xml:space="preserve">reporting </w:t>
      </w:r>
      <w:r w:rsidRPr="00D2141E">
        <w:t>year.</w:t>
      </w:r>
    </w:p>
    <w:p w14:paraId="79C580EE" w14:textId="6F6C6358" w:rsidR="007F5233" w:rsidRPr="001E1406" w:rsidRDefault="007F5233" w:rsidP="007F5233">
      <w:r>
        <w:t xml:space="preserve">See the </w:t>
      </w:r>
      <w:hyperlink r:id="rId33" w:tooltip="A link to the Aggregated facility reporting, percentage estimates, and incidental emissions and energy guide the Clean Energy Regulator website" w:history="1">
        <w:r w:rsidR="00A56784" w:rsidRPr="00F603A0">
          <w:rPr>
            <w:rStyle w:val="Hyperlink"/>
            <w:rFonts w:asciiTheme="minorHAnsi" w:hAnsiTheme="minorHAnsi"/>
          </w:rPr>
          <w:t>Guidance on aggregated facility reporting</w:t>
        </w:r>
        <w:r w:rsidR="000C0AFD">
          <w:rPr>
            <w:rStyle w:val="Hyperlink"/>
            <w:rFonts w:asciiTheme="minorHAnsi" w:hAnsiTheme="minorHAnsi"/>
          </w:rPr>
          <w:t>,</w:t>
        </w:r>
        <w:r w:rsidR="00A56784" w:rsidRPr="00F603A0">
          <w:rPr>
            <w:rStyle w:val="Hyperlink"/>
            <w:rFonts w:asciiTheme="minorHAnsi" w:hAnsiTheme="minorHAnsi"/>
          </w:rPr>
          <w:t xml:space="preserve"> percentage estimates</w:t>
        </w:r>
        <w:r w:rsidR="008D6ED6">
          <w:rPr>
            <w:rStyle w:val="Hyperlink"/>
            <w:rFonts w:asciiTheme="minorHAnsi" w:hAnsiTheme="minorHAnsi"/>
          </w:rPr>
          <w:t>,</w:t>
        </w:r>
        <w:r w:rsidR="00A56784" w:rsidRPr="00F603A0">
          <w:rPr>
            <w:rStyle w:val="Hyperlink"/>
            <w:rFonts w:asciiTheme="minorHAnsi" w:hAnsiTheme="minorHAnsi"/>
          </w:rPr>
          <w:t xml:space="preserve"> and incidental emissions and energy</w:t>
        </w:r>
      </w:hyperlink>
      <w:r w:rsidR="004B0870">
        <w:rPr>
          <w:rFonts w:ascii="ZWAdobeF" w:hAnsi="ZWAdobeF" w:cs="ZWAdobeF"/>
          <w:color w:val="auto"/>
          <w:sz w:val="2"/>
          <w:szCs w:val="2"/>
        </w:rPr>
        <w:t>13F</w:t>
      </w:r>
      <w:r w:rsidR="00F603A0">
        <w:rPr>
          <w:rStyle w:val="FootnoteReference"/>
        </w:rPr>
        <w:footnoteReference w:id="15"/>
      </w:r>
      <w:r w:rsidR="00F603A0">
        <w:t xml:space="preserve"> for more information</w:t>
      </w:r>
      <w:r w:rsidR="00636CD1">
        <w:t>.</w:t>
      </w:r>
    </w:p>
    <w:p w14:paraId="6519E41A" w14:textId="77777777" w:rsidR="004A2E03" w:rsidRPr="00FF338C" w:rsidRDefault="004A2E03" w:rsidP="00DB4B56">
      <w:pPr>
        <w:pStyle w:val="Heading2"/>
        <w:numPr>
          <w:ilvl w:val="1"/>
          <w:numId w:val="3"/>
        </w:numPr>
        <w:ind w:left="426" w:hanging="426"/>
      </w:pPr>
      <w:bookmarkStart w:id="85" w:name="_Toc512010391"/>
      <w:bookmarkStart w:id="86" w:name="_Toc512339589"/>
      <w:bookmarkStart w:id="87" w:name="_Toc106705753"/>
      <w:bookmarkStart w:id="88" w:name="_Toc235706305"/>
      <w:r w:rsidRPr="00FF338C">
        <w:t>Uncertainty</w:t>
      </w:r>
      <w:bookmarkEnd w:id="85"/>
      <w:bookmarkEnd w:id="86"/>
      <w:bookmarkEnd w:id="87"/>
      <w:bookmarkEnd w:id="88"/>
    </w:p>
    <w:p w14:paraId="2D50A472" w14:textId="7DF47329" w:rsidR="004A2E03" w:rsidRPr="00FF338C" w:rsidRDefault="004A2E03" w:rsidP="004A2E03">
      <w:r w:rsidRPr="00FF338C">
        <w:t>Uncertainty must be reported for a facility if the scope 1 emissions from the combustion of an energy type or for a source are 25,000</w:t>
      </w:r>
      <w:r w:rsidR="00B20246">
        <w:t> </w:t>
      </w:r>
      <w:r w:rsidRPr="00FF338C">
        <w:t>t</w:t>
      </w:r>
      <w:r w:rsidR="00B20246">
        <w:t> </w:t>
      </w:r>
      <w:r w:rsidRPr="00FF338C">
        <w:t>CO</w:t>
      </w:r>
      <w:r w:rsidRPr="00FF338C">
        <w:rPr>
          <w:vertAlign w:val="subscript"/>
        </w:rPr>
        <w:t>2</w:t>
      </w:r>
      <w:r w:rsidRPr="00FF338C">
        <w:t>-e or more in a reporting year</w:t>
      </w:r>
      <w:r>
        <w:t xml:space="preserve"> (r</w:t>
      </w:r>
      <w:r w:rsidRPr="00BE7AE6">
        <w:t>egulations 4.08 and 4.17A of the NGER Regulations</w:t>
      </w:r>
      <w:r>
        <w:t>)</w:t>
      </w:r>
      <w:r w:rsidRPr="00FF338C">
        <w:t>. This may particularly be the case for fuel combustion in electricity generators</w:t>
      </w:r>
      <w:r>
        <w:t xml:space="preserve">, </w:t>
      </w:r>
      <w:r w:rsidRPr="00FF338C">
        <w:t xml:space="preserve">for example coal or gas fired power stations. </w:t>
      </w:r>
    </w:p>
    <w:p w14:paraId="09C16B94" w14:textId="77777777" w:rsidR="004A2E03" w:rsidRDefault="004A2E03" w:rsidP="004A2E03">
      <w:pPr>
        <w:spacing w:after="0"/>
      </w:pPr>
      <w:r>
        <w:t>The NGER Measurement Determination</w:t>
      </w:r>
      <w:r w:rsidRPr="00FF338C">
        <w:t xml:space="preserve"> sets out how to assess uncertainty </w:t>
      </w:r>
      <w:r>
        <w:t>as follows:</w:t>
      </w:r>
    </w:p>
    <w:p w14:paraId="5C48CF27" w14:textId="249146FA" w:rsidR="004A2E03" w:rsidRDefault="004A2E03" w:rsidP="00B3330E">
      <w:pPr>
        <w:pStyle w:val="Sub-para"/>
        <w:numPr>
          <w:ilvl w:val="0"/>
          <w:numId w:val="1"/>
        </w:numPr>
      </w:pPr>
      <w:r w:rsidRPr="00FF338C">
        <w:t xml:space="preserve">Part 8.3 </w:t>
      </w:r>
      <w:r>
        <w:t xml:space="preserve">– </w:t>
      </w:r>
      <w:r w:rsidRPr="00FF338C">
        <w:t xml:space="preserve">where </w:t>
      </w:r>
      <w:r w:rsidR="07AE8538">
        <w:t>M</w:t>
      </w:r>
      <w:r>
        <w:t>ethod</w:t>
      </w:r>
      <w:r w:rsidRPr="00FF338C">
        <w:t xml:space="preserve"> 1 is used to estimate scope 1 emissions</w:t>
      </w:r>
      <w:r>
        <w:t>.</w:t>
      </w:r>
    </w:p>
    <w:p w14:paraId="703FE275" w14:textId="4D5DBED0" w:rsidR="004A2E03" w:rsidRDefault="004A2E03" w:rsidP="00B3330E">
      <w:pPr>
        <w:pStyle w:val="Sub-para"/>
        <w:numPr>
          <w:ilvl w:val="0"/>
          <w:numId w:val="1"/>
        </w:numPr>
      </w:pPr>
      <w:r w:rsidRPr="00FF338C">
        <w:t xml:space="preserve">Part 8.4 </w:t>
      </w:r>
      <w:r>
        <w:t xml:space="preserve">– </w:t>
      </w:r>
      <w:r w:rsidRPr="00FF338C">
        <w:t xml:space="preserve">where </w:t>
      </w:r>
      <w:r w:rsidR="3D965788">
        <w:t>M</w:t>
      </w:r>
      <w:r>
        <w:t>ethod</w:t>
      </w:r>
      <w:r w:rsidRPr="00FF338C">
        <w:t xml:space="preserve"> 2, 3 or 4 is used to estimate scope 1 emissions</w:t>
      </w:r>
      <w:r>
        <w:t>.</w:t>
      </w:r>
    </w:p>
    <w:p w14:paraId="5DDF93CB" w14:textId="31809BD8" w:rsidR="004A2E03" w:rsidRPr="00EE0C1D" w:rsidRDefault="004A2E03" w:rsidP="004A2E03">
      <w:pPr>
        <w:pStyle w:val="Sub-para"/>
        <w:ind w:left="0" w:firstLine="0"/>
      </w:pPr>
      <w:r>
        <w:t>See</w:t>
      </w:r>
      <w:r w:rsidRPr="00FF338C">
        <w:t xml:space="preserve"> the </w:t>
      </w:r>
      <w:hyperlink r:id="rId34" w:tooltip="A link to the Reporting uncertainty guide the Clean Energy Regulator website" w:history="1">
        <w:r w:rsidRPr="00C67339">
          <w:rPr>
            <w:rStyle w:val="Hyperlink"/>
            <w:rFonts w:asciiTheme="minorHAnsi" w:hAnsiTheme="minorHAnsi"/>
            <w:iCs/>
          </w:rPr>
          <w:t>Reporting uncertainty</w:t>
        </w:r>
        <w:r w:rsidRPr="00EE0C1D">
          <w:rPr>
            <w:rStyle w:val="Hyperlink"/>
            <w:rFonts w:asciiTheme="minorHAnsi" w:hAnsiTheme="minorHAnsi"/>
          </w:rPr>
          <w:t xml:space="preserve"> guideline</w:t>
        </w:r>
      </w:hyperlink>
      <w:r w:rsidR="004B0870">
        <w:rPr>
          <w:rFonts w:ascii="ZWAdobeF" w:hAnsi="ZWAdobeF" w:cs="ZWAdobeF"/>
          <w:sz w:val="2"/>
          <w:szCs w:val="2"/>
        </w:rPr>
        <w:t>14F</w:t>
      </w:r>
      <w:r w:rsidRPr="00FF338C">
        <w:rPr>
          <w:rStyle w:val="FootnoteReference"/>
        </w:rPr>
        <w:footnoteReference w:id="16"/>
      </w:r>
      <w:r>
        <w:t xml:space="preserve"> for more information</w:t>
      </w:r>
      <w:r w:rsidRPr="00FF338C">
        <w:t>.</w:t>
      </w:r>
    </w:p>
    <w:p w14:paraId="0C5DC442" w14:textId="77777777" w:rsidR="00583144" w:rsidRDefault="00583144">
      <w:pPr>
        <w:spacing w:after="0"/>
        <w:rPr>
          <w:rFonts w:ascii="Calibri" w:eastAsia="Times New Roman" w:hAnsi="Calibri" w:cs="Calibri"/>
          <w:b/>
          <w:bCs/>
          <w:kern w:val="32"/>
          <w:sz w:val="40"/>
          <w:lang w:val="en-GB"/>
        </w:rPr>
      </w:pPr>
      <w:bookmarkStart w:id="89" w:name="_Estimating_emissions_from"/>
      <w:bookmarkStart w:id="90" w:name="_Ref511911416"/>
      <w:bookmarkStart w:id="91" w:name="_Toc512010392"/>
      <w:bookmarkStart w:id="92" w:name="_Toc512339590"/>
      <w:bookmarkStart w:id="93" w:name="_Toc106705754"/>
      <w:bookmarkEnd w:id="89"/>
      <w:r>
        <w:rPr>
          <w:lang w:val="en-GB"/>
        </w:rPr>
        <w:br w:type="page"/>
      </w:r>
    </w:p>
    <w:p w14:paraId="6535C529" w14:textId="184AE5C7" w:rsidR="004A2E03" w:rsidRPr="00FF338C" w:rsidRDefault="004A2E03" w:rsidP="00B3330E">
      <w:pPr>
        <w:pStyle w:val="Heading1"/>
        <w:numPr>
          <w:ilvl w:val="0"/>
          <w:numId w:val="3"/>
        </w:numPr>
        <w:rPr>
          <w:lang w:val="en-GB"/>
        </w:rPr>
      </w:pPr>
      <w:bookmarkStart w:id="94" w:name="_Estimating_emissions_from_2"/>
      <w:bookmarkStart w:id="95" w:name="_Toc235706306"/>
      <w:bookmarkEnd w:id="94"/>
      <w:r w:rsidRPr="00FF338C">
        <w:rPr>
          <w:lang w:val="en-GB"/>
        </w:rPr>
        <w:lastRenderedPageBreak/>
        <w:t>Estimating emissions from fuel combustion</w:t>
      </w:r>
      <w:bookmarkEnd w:id="90"/>
      <w:bookmarkEnd w:id="91"/>
      <w:bookmarkEnd w:id="92"/>
      <w:bookmarkEnd w:id="93"/>
      <w:bookmarkEnd w:id="95"/>
    </w:p>
    <w:p w14:paraId="7C21DF2D" w14:textId="145F4BA7" w:rsidR="00734346" w:rsidRDefault="004A2E03" w:rsidP="00EC2D37">
      <w:pPr>
        <w:spacing w:before="240" w:after="0"/>
        <w:rPr>
          <w:color w:val="auto"/>
        </w:rPr>
      </w:pPr>
      <w:r w:rsidRPr="00FF338C">
        <w:t xml:space="preserve">Fuel combustion accounts for a large proportion of scope 1 emissions from the electricity sector. Available estimation methods are provided in </w:t>
      </w:r>
      <w:r>
        <w:t>c</w:t>
      </w:r>
      <w:r w:rsidRPr="00FF338C">
        <w:t xml:space="preserve">hapter 2 of the </w:t>
      </w:r>
      <w:r>
        <w:t>NGER Measurement Determination</w:t>
      </w:r>
      <w:r w:rsidRPr="00FF338C">
        <w:t xml:space="preserve"> </w:t>
      </w:r>
      <w:r w:rsidRPr="00FF338C">
        <w:rPr>
          <w:color w:val="auto"/>
        </w:rPr>
        <w:t xml:space="preserve">and vary according </w:t>
      </w:r>
      <w:r w:rsidR="00250E83">
        <w:rPr>
          <w:color w:val="auto"/>
        </w:rPr>
        <w:t>to</w:t>
      </w:r>
      <w:r w:rsidR="0060185E">
        <w:rPr>
          <w:color w:val="auto"/>
        </w:rPr>
        <w:t>:</w:t>
      </w:r>
      <w:r w:rsidR="00250E83">
        <w:rPr>
          <w:color w:val="auto"/>
        </w:rPr>
        <w:t xml:space="preserve"> </w:t>
      </w:r>
    </w:p>
    <w:p w14:paraId="698578C8" w14:textId="788EA05F" w:rsidR="004A2E03" w:rsidRDefault="007662A0" w:rsidP="00D2141E">
      <w:pPr>
        <w:pStyle w:val="CERbullets"/>
      </w:pPr>
      <w:r>
        <w:t>t</w:t>
      </w:r>
      <w:r w:rsidR="004A2E03" w:rsidRPr="00FF338C">
        <w:t xml:space="preserve">he physical state of the fuel being combusted, </w:t>
      </w:r>
      <w:r w:rsidR="004A2E03">
        <w:t>for example:</w:t>
      </w:r>
    </w:p>
    <w:p w14:paraId="4E6C72D7" w14:textId="52766C40" w:rsidR="007662A0" w:rsidRPr="003D09A1" w:rsidRDefault="00771A1F" w:rsidP="0005403B">
      <w:pPr>
        <w:pStyle w:val="Sub-para"/>
        <w:numPr>
          <w:ilvl w:val="0"/>
          <w:numId w:val="20"/>
        </w:numPr>
      </w:pPr>
      <w:r w:rsidRPr="00D2141E">
        <w:t xml:space="preserve">Part 2.2 </w:t>
      </w:r>
      <w:r>
        <w:t xml:space="preserve">– </w:t>
      </w:r>
      <w:r w:rsidR="003D09A1">
        <w:t>combustion of solid fuel</w:t>
      </w:r>
    </w:p>
    <w:p w14:paraId="6634BB6B" w14:textId="106DA891" w:rsidR="003D09A1" w:rsidRDefault="003D09A1" w:rsidP="0005403B">
      <w:pPr>
        <w:pStyle w:val="Sub-para"/>
        <w:numPr>
          <w:ilvl w:val="0"/>
          <w:numId w:val="18"/>
        </w:numPr>
      </w:pPr>
      <w:r>
        <w:t>Part 2.3 – combustion of gaseous fuel</w:t>
      </w:r>
    </w:p>
    <w:p w14:paraId="586EF0DD" w14:textId="3BCBADFA" w:rsidR="003D09A1" w:rsidRPr="003D09A1" w:rsidRDefault="003D09A1" w:rsidP="0005403B">
      <w:pPr>
        <w:pStyle w:val="Sub-para"/>
        <w:numPr>
          <w:ilvl w:val="0"/>
          <w:numId w:val="18"/>
        </w:numPr>
      </w:pPr>
      <w:r>
        <w:t>Part 2.4 – combustion of liquid fuel</w:t>
      </w:r>
    </w:p>
    <w:p w14:paraId="4BA9C310" w14:textId="752A973F" w:rsidR="00734346" w:rsidRDefault="00734346" w:rsidP="00734346">
      <w:pPr>
        <w:pStyle w:val="CERbullets"/>
      </w:pPr>
      <w:r>
        <w:t>t</w:t>
      </w:r>
      <w:r w:rsidR="004A2E03" w:rsidRPr="00FF338C">
        <w:t xml:space="preserve">he type </w:t>
      </w:r>
      <w:r w:rsidR="004A2E03" w:rsidRPr="00604B1A">
        <w:rPr>
          <w:color w:val="000000" w:themeColor="text1"/>
        </w:rPr>
        <w:t>of</w:t>
      </w:r>
      <w:r w:rsidR="004A2E03" w:rsidRPr="00FF338C">
        <w:t xml:space="preserve"> greenhouse gas emitted, being carbon dioxide, methane and nitrous oxide (as applicable).</w:t>
      </w:r>
    </w:p>
    <w:p w14:paraId="0ECEF58F" w14:textId="7F04F2E2" w:rsidR="004A2E03" w:rsidRPr="00FF338C" w:rsidRDefault="004A2E03" w:rsidP="00D2141E">
      <w:pPr>
        <w:spacing w:before="240"/>
      </w:pPr>
      <w:r w:rsidRPr="00FF338C">
        <w:t xml:space="preserve">Depending on the </w:t>
      </w:r>
      <w:r>
        <w:t>applicable greenhouse gas,</w:t>
      </w:r>
      <w:r w:rsidRPr="00FF338C" w:rsidDel="006924E9">
        <w:t xml:space="preserve"> </w:t>
      </w:r>
      <w:r w:rsidRPr="00FF338C">
        <w:t xml:space="preserve">emissions from fuel combustion can be estimated by: </w:t>
      </w:r>
    </w:p>
    <w:p w14:paraId="34AF2E7D" w14:textId="76F07FBB" w:rsidR="004A2E03" w:rsidRPr="00FF338C" w:rsidRDefault="004A2E03" w:rsidP="00D2141E">
      <w:pPr>
        <w:pStyle w:val="Sub-para"/>
        <w:numPr>
          <w:ilvl w:val="0"/>
          <w:numId w:val="1"/>
        </w:numPr>
      </w:pPr>
      <w:r w:rsidRPr="00FF338C">
        <w:t>the use of emission factors and energy content of the</w:t>
      </w:r>
      <w:r>
        <w:t xml:space="preserve"> fuel combusted (</w:t>
      </w:r>
      <w:r w:rsidR="6C271546">
        <w:t>M</w:t>
      </w:r>
      <w:r>
        <w:t>ethods</w:t>
      </w:r>
      <w:r w:rsidRPr="00FF338C">
        <w:t xml:space="preserve"> 1, 2 or 3</w:t>
      </w:r>
      <w:r>
        <w:t>)</w:t>
      </w:r>
    </w:p>
    <w:p w14:paraId="3F974C73" w14:textId="3E100F59" w:rsidR="004A2E03" w:rsidRPr="00FF338C" w:rsidRDefault="004A2E03" w:rsidP="00D2141E">
      <w:pPr>
        <w:pStyle w:val="Sub-para"/>
        <w:numPr>
          <w:ilvl w:val="0"/>
          <w:numId w:val="1"/>
        </w:numPr>
      </w:pPr>
      <w:r w:rsidRPr="00FF338C">
        <w:t>d</w:t>
      </w:r>
      <w:r>
        <w:t>irect measurement of emissions</w:t>
      </w:r>
      <w:r w:rsidRPr="00FF338C">
        <w:t xml:space="preserve"> </w:t>
      </w:r>
      <w:r>
        <w:t>(</w:t>
      </w:r>
      <w:r w:rsidR="0AB7F988">
        <w:t>M</w:t>
      </w:r>
      <w:r>
        <w:t>ethod</w:t>
      </w:r>
      <w:r w:rsidRPr="00FF338C">
        <w:t xml:space="preserve"> 4</w:t>
      </w:r>
      <w:r>
        <w:t>)</w:t>
      </w:r>
      <w:r w:rsidRPr="00FF338C">
        <w:t xml:space="preserve">. </w:t>
      </w:r>
    </w:p>
    <w:p w14:paraId="2A5CA5DB" w14:textId="620334C1" w:rsidR="004A2E03" w:rsidRPr="00FF338C" w:rsidRDefault="004A2E03" w:rsidP="004A2E03"/>
    <w:tbl>
      <w:tblPr>
        <w:tblStyle w:val="CERCallout"/>
        <w:tblW w:w="5000" w:type="pct"/>
        <w:tblLook w:val="04A0" w:firstRow="1" w:lastRow="0" w:firstColumn="1" w:lastColumn="0" w:noHBand="0" w:noVBand="1"/>
      </w:tblPr>
      <w:tblGrid>
        <w:gridCol w:w="9710"/>
      </w:tblGrid>
      <w:tr w:rsidR="00D67F2D" w:rsidRPr="00FF338C" w14:paraId="5444B4A3" w14:textId="77777777" w:rsidTr="008E6B32">
        <w:trPr>
          <w:cnfStyle w:val="100000000000" w:firstRow="1" w:lastRow="0" w:firstColumn="0" w:lastColumn="0" w:oddVBand="0" w:evenVBand="0" w:oddHBand="0" w:evenHBand="0" w:firstRowFirstColumn="0" w:firstRowLastColumn="0" w:lastRowFirstColumn="0" w:lastRowLastColumn="0"/>
        </w:trPr>
        <w:tc>
          <w:tcPr>
            <w:tcW w:w="5000" w:type="pct"/>
            <w:hideMark/>
          </w:tcPr>
          <w:p w14:paraId="3F538060" w14:textId="3D6AB75D" w:rsidR="004A2E03" w:rsidRPr="00302E97" w:rsidRDefault="004A2E03">
            <w:pPr>
              <w:pStyle w:val="Heading5"/>
              <w:ind w:left="5"/>
              <w:rPr>
                <w:b/>
                <w:bCs/>
              </w:rPr>
            </w:pPr>
            <w:bookmarkStart w:id="96" w:name="_Toc526867692"/>
            <w:bookmarkStart w:id="97" w:name="_Toc526869734"/>
            <w:bookmarkStart w:id="98" w:name="_Toc235706307"/>
            <w:r w:rsidRPr="00323ED2">
              <w:rPr>
                <w:rFonts w:cstheme="minorHAnsi"/>
                <w:b/>
                <w:bCs/>
                <w:szCs w:val="22"/>
              </w:rPr>
              <w:t>Example</w:t>
            </w:r>
            <w:r w:rsidR="00F903A3">
              <w:rPr>
                <w:b/>
                <w:bCs/>
              </w:rPr>
              <w:t>:</w:t>
            </w:r>
            <w:r w:rsidRPr="00302E97">
              <w:rPr>
                <w:b/>
                <w:bCs/>
              </w:rPr>
              <w:t xml:space="preserve"> difference between estimating emissions using emission factors and energy content of fuel combusted, and direct measurement of emissions</w:t>
            </w:r>
            <w:bookmarkEnd w:id="96"/>
            <w:bookmarkEnd w:id="97"/>
            <w:bookmarkEnd w:id="98"/>
          </w:p>
          <w:p w14:paraId="0170B719" w14:textId="23957206" w:rsidR="004A2E03" w:rsidRPr="00D12436" w:rsidRDefault="004A2E03">
            <w:pPr>
              <w:ind w:left="5"/>
              <w:rPr>
                <w:b w:val="0"/>
                <w:bCs/>
              </w:rPr>
            </w:pPr>
            <w:hyperlink w:anchor="_Case_example_1:" w:history="1">
              <w:r w:rsidRPr="00D12436">
                <w:rPr>
                  <w:rStyle w:val="Hyperlink"/>
                  <w:rFonts w:asciiTheme="minorHAnsi" w:hAnsiTheme="minorHAnsi"/>
                  <w:b w:val="0"/>
                  <w:bCs/>
                </w:rPr>
                <w:t>Case example 1 in Appendix A</w:t>
              </w:r>
            </w:hyperlink>
            <w:r w:rsidRPr="00D12436">
              <w:rPr>
                <w:b w:val="0"/>
                <w:bCs/>
              </w:rPr>
              <w:t xml:space="preserve"> illustrates the </w:t>
            </w:r>
            <w:r w:rsidR="00A9485E" w:rsidRPr="00D12436">
              <w:rPr>
                <w:b w:val="0"/>
                <w:bCs/>
              </w:rPr>
              <w:t>principal</w:t>
            </w:r>
            <w:r w:rsidRPr="00D12436">
              <w:rPr>
                <w:b w:val="0"/>
                <w:bCs/>
              </w:rPr>
              <w:t xml:space="preserve"> difference in respect of a gas-fired power station between estimating emissions using emission factors and energy content of fuel combusted, and direct measurement of emissions. </w:t>
            </w:r>
          </w:p>
          <w:p w14:paraId="5C2CF3DA" w14:textId="77777777" w:rsidR="004A2E03" w:rsidRPr="00D12436" w:rsidRDefault="004A2E03">
            <w:pPr>
              <w:ind w:left="3"/>
              <w:rPr>
                <w:b w:val="0"/>
                <w:bCs/>
              </w:rPr>
            </w:pPr>
            <w:r w:rsidRPr="00D12436">
              <w:rPr>
                <w:b w:val="0"/>
                <w:bCs/>
              </w:rPr>
              <w:t>Scope 1 emissions occur when carbon dioxide (CO</w:t>
            </w:r>
            <w:r w:rsidRPr="00D12436">
              <w:rPr>
                <w:b w:val="0"/>
                <w:bCs/>
                <w:vertAlign w:val="subscript"/>
              </w:rPr>
              <w:t>2</w:t>
            </w:r>
            <w:r w:rsidRPr="00D12436">
              <w:rPr>
                <w:b w:val="0"/>
                <w:bCs/>
              </w:rPr>
              <w:t>), methane (CH</w:t>
            </w:r>
            <w:r w:rsidRPr="00D12436">
              <w:rPr>
                <w:b w:val="0"/>
                <w:bCs/>
                <w:vertAlign w:val="subscript"/>
              </w:rPr>
              <w:t>4</w:t>
            </w:r>
            <w:r w:rsidRPr="00D12436">
              <w:rPr>
                <w:b w:val="0"/>
                <w:bCs/>
              </w:rPr>
              <w:t>) and nitrous oxide (N</w:t>
            </w:r>
            <w:r w:rsidRPr="00D12436">
              <w:rPr>
                <w:b w:val="0"/>
                <w:bCs/>
                <w:vertAlign w:val="subscript"/>
              </w:rPr>
              <w:t>2</w:t>
            </w:r>
            <w:r w:rsidRPr="00D12436">
              <w:rPr>
                <w:b w:val="0"/>
                <w:bCs/>
              </w:rPr>
              <w:t xml:space="preserve">O) are released through the discharge point </w:t>
            </w:r>
            <w:proofErr w:type="gramStart"/>
            <w:r w:rsidRPr="00D12436">
              <w:rPr>
                <w:b w:val="0"/>
                <w:bCs/>
              </w:rPr>
              <w:t>as a result of</w:t>
            </w:r>
            <w:proofErr w:type="gramEnd"/>
            <w:r w:rsidRPr="00D12436">
              <w:rPr>
                <w:b w:val="0"/>
                <w:bCs/>
              </w:rPr>
              <w:t xml:space="preserve"> combusting gaseous fuel to generate electricity.</w:t>
            </w:r>
          </w:p>
          <w:p w14:paraId="4393CDC2" w14:textId="77777777" w:rsidR="004A2E03" w:rsidRPr="00D12436" w:rsidRDefault="004A2E03" w:rsidP="00B3330E">
            <w:pPr>
              <w:numPr>
                <w:ilvl w:val="0"/>
                <w:numId w:val="1"/>
              </w:numPr>
              <w:spacing w:before="120" w:beforeAutospacing="0" w:after="120"/>
              <w:rPr>
                <w:b w:val="0"/>
                <w:bCs/>
              </w:rPr>
            </w:pPr>
            <w:r w:rsidRPr="00D12436">
              <w:rPr>
                <w:b w:val="0"/>
                <w:bCs/>
              </w:rPr>
              <w:t xml:space="preserve">Estimating emissions using emission factors and energy content of fuel combusted involves </w:t>
            </w:r>
            <w:r w:rsidRPr="00D12436">
              <w:rPr>
                <w:b w:val="0"/>
                <w:bCs/>
                <w:color w:val="auto"/>
              </w:rPr>
              <w:t>estimating</w:t>
            </w:r>
            <w:r w:rsidRPr="00D12436">
              <w:rPr>
                <w:b w:val="0"/>
                <w:bCs/>
              </w:rPr>
              <w:t xml:space="preserve"> the gases released through the chimney using the amount of fuel combusted (number 2 in the diagram provided in the case example) – it then applies energy content and emission factors for the gaseous fuel combusted to estimate the emissions, rather than measuring the emissions directly.</w:t>
            </w:r>
          </w:p>
          <w:p w14:paraId="18496F6F" w14:textId="77777777" w:rsidR="004A2E03" w:rsidRPr="00FF338C" w:rsidRDefault="004A2E03" w:rsidP="00B3330E">
            <w:pPr>
              <w:numPr>
                <w:ilvl w:val="0"/>
                <w:numId w:val="1"/>
              </w:numPr>
              <w:spacing w:before="120" w:beforeAutospacing="0" w:after="120"/>
              <w:rPr>
                <w:b w:val="0"/>
              </w:rPr>
            </w:pPr>
            <w:r w:rsidRPr="00D12436">
              <w:rPr>
                <w:b w:val="0"/>
                <w:bCs/>
              </w:rPr>
              <w:t xml:space="preserve">Direct measurement of emissions involves direct </w:t>
            </w:r>
            <w:r w:rsidRPr="00D12436">
              <w:rPr>
                <w:b w:val="0"/>
                <w:bCs/>
                <w:color w:val="auto"/>
              </w:rPr>
              <w:t>measurement</w:t>
            </w:r>
            <w:r w:rsidRPr="00D12436">
              <w:rPr>
                <w:b w:val="0"/>
                <w:bCs/>
              </w:rPr>
              <w:t xml:space="preserve"> of the gases released through the chimney using appropriate gas monitoring equipment at the chimney (see number 3 in the case example).</w:t>
            </w:r>
          </w:p>
        </w:tc>
      </w:tr>
    </w:tbl>
    <w:p w14:paraId="29255555" w14:textId="77777777" w:rsidR="00291507" w:rsidRDefault="00291507" w:rsidP="00291507">
      <w:pPr>
        <w:pStyle w:val="Heading2"/>
        <w:ind w:left="426"/>
      </w:pPr>
      <w:bookmarkStart w:id="99" w:name="_Toc512010393"/>
      <w:bookmarkStart w:id="100" w:name="_Toc512339591"/>
      <w:bookmarkStart w:id="101" w:name="_Toc106705755"/>
    </w:p>
    <w:p w14:paraId="04DA8CC9" w14:textId="77777777" w:rsidR="00291507" w:rsidRDefault="00291507">
      <w:pPr>
        <w:spacing w:after="0"/>
        <w:rPr>
          <w:rFonts w:asciiTheme="majorHAnsi" w:eastAsia="Times New Roman" w:hAnsiTheme="majorHAnsi"/>
          <w:b/>
          <w:bCs/>
          <w:sz w:val="32"/>
          <w:szCs w:val="32"/>
        </w:rPr>
      </w:pPr>
      <w:r>
        <w:br w:type="page"/>
      </w:r>
    </w:p>
    <w:p w14:paraId="31C4C98F" w14:textId="18475D7F" w:rsidR="004A2E03" w:rsidRPr="00FF338C" w:rsidRDefault="004A2E03" w:rsidP="00DB4B56">
      <w:pPr>
        <w:pStyle w:val="Heading2"/>
        <w:numPr>
          <w:ilvl w:val="1"/>
          <w:numId w:val="3"/>
        </w:numPr>
        <w:ind w:left="426" w:hanging="426"/>
      </w:pPr>
      <w:bookmarkStart w:id="102" w:name="_Toc235706308"/>
      <w:r w:rsidRPr="00FF338C">
        <w:lastRenderedPageBreak/>
        <w:t>Method 1, 2 and 3 – using emission factors and energy content of fuel combusted</w:t>
      </w:r>
      <w:bookmarkEnd w:id="99"/>
      <w:bookmarkEnd w:id="100"/>
      <w:bookmarkEnd w:id="101"/>
      <w:bookmarkEnd w:id="102"/>
    </w:p>
    <w:p w14:paraId="65752FB7" w14:textId="628B09C7" w:rsidR="004A2E03" w:rsidRPr="00FF338C" w:rsidRDefault="004A2E03" w:rsidP="004A2E03">
      <w:r w:rsidRPr="00FF338C">
        <w:t xml:space="preserve">For </w:t>
      </w:r>
      <w:r w:rsidR="06BD88F3">
        <w:t>M</w:t>
      </w:r>
      <w:r w:rsidRPr="00FF338C">
        <w:t>ethods 1, 2 and 3</w:t>
      </w:r>
      <w:r>
        <w:t>,</w:t>
      </w:r>
      <w:r w:rsidRPr="00FF338C">
        <w:t xml:space="preserve"> greenhouse gas emissions from fuel combustion are based on:</w:t>
      </w:r>
    </w:p>
    <w:p w14:paraId="5BB4653B" w14:textId="379B59F1" w:rsidR="004A2E03" w:rsidRPr="00FF338C" w:rsidRDefault="004A2E03" w:rsidP="00B3330E">
      <w:pPr>
        <w:numPr>
          <w:ilvl w:val="0"/>
          <w:numId w:val="1"/>
        </w:numPr>
        <w:spacing w:before="120" w:after="120"/>
        <w:ind w:right="284"/>
      </w:pPr>
      <w:r w:rsidRPr="00FF338C">
        <w:t xml:space="preserve">measuring the fuel consumed for combustion during the </w:t>
      </w:r>
      <w:r w:rsidR="007F312E">
        <w:t xml:space="preserve">reporting </w:t>
      </w:r>
      <w:r w:rsidRPr="00FF338C">
        <w:t>year (Q)</w:t>
      </w:r>
    </w:p>
    <w:p w14:paraId="329C7BE6" w14:textId="3262F001" w:rsidR="004A2E03" w:rsidRPr="00FF338C" w:rsidRDefault="004A2E03" w:rsidP="00B3330E">
      <w:pPr>
        <w:numPr>
          <w:ilvl w:val="0"/>
          <w:numId w:val="1"/>
        </w:numPr>
        <w:spacing w:before="120" w:after="120"/>
        <w:ind w:right="284"/>
      </w:pPr>
      <w:r w:rsidRPr="00FF338C">
        <w:t>applying appropriate energy content and emission factors for carbon dioxide, methane and nitrous oxide.</w:t>
      </w:r>
    </w:p>
    <w:p w14:paraId="3849FCDF" w14:textId="7F68F1B7" w:rsidR="004A2E03" w:rsidRPr="00FF338C" w:rsidRDefault="004A2E03" w:rsidP="004A2E03">
      <w:pPr>
        <w:pStyle w:val="Heading4"/>
      </w:pPr>
      <w:bookmarkStart w:id="103" w:name="_Toc526867694"/>
      <w:bookmarkStart w:id="104" w:name="_Toc526869736"/>
      <w:bookmarkStart w:id="105" w:name="_Toc235706309"/>
      <w:r w:rsidRPr="00FF338C">
        <w:t xml:space="preserve">Quantity of fuel combusted required for </w:t>
      </w:r>
      <w:r w:rsidR="7D45E645">
        <w:t>M</w:t>
      </w:r>
      <w:r w:rsidRPr="00FF338C">
        <w:t>ethod</w:t>
      </w:r>
      <w:r>
        <w:t>s</w:t>
      </w:r>
      <w:r w:rsidRPr="00FF338C">
        <w:t xml:space="preserve"> 1, 2 and 3</w:t>
      </w:r>
      <w:bookmarkEnd w:id="103"/>
      <w:bookmarkEnd w:id="104"/>
      <w:bookmarkEnd w:id="105"/>
    </w:p>
    <w:p w14:paraId="0976DA72" w14:textId="11B7C5EC" w:rsidR="004A2E03" w:rsidRDefault="004A2E03" w:rsidP="004A2E03">
      <w:r w:rsidRPr="00FF338C">
        <w:t xml:space="preserve">The accuracy and completeness of the emissions estimates depend on measurement of the quantity of fuel consumed for combustion during the </w:t>
      </w:r>
      <w:r w:rsidR="007F312E">
        <w:t>reporting</w:t>
      </w:r>
      <w:r w:rsidRPr="00FF338C">
        <w:t xml:space="preserve"> year (Q).</w:t>
      </w:r>
    </w:p>
    <w:p w14:paraId="2FA6FC51" w14:textId="77777777" w:rsidR="004A2E03" w:rsidRDefault="004A2E03" w:rsidP="004A2E03">
      <w:r w:rsidRPr="00FF338C">
        <w:t>Whilst these differ</w:t>
      </w:r>
      <w:r>
        <w:t xml:space="preserve"> for </w:t>
      </w:r>
      <w:r w:rsidRPr="00FF338C">
        <w:t>each fuel category (solid, gaseous and liquid), there is significant commonality.</w:t>
      </w:r>
    </w:p>
    <w:p w14:paraId="342A6C0B" w14:textId="49DF5816" w:rsidR="004A2E03" w:rsidRPr="00FF338C" w:rsidRDefault="004A2E03" w:rsidP="004A2E03">
      <w:r w:rsidRPr="00FF338C">
        <w:t xml:space="preserve">More detail on measurement requirements is available in </w:t>
      </w:r>
      <w:hyperlink w:anchor="_Measurement_requirements" w:history="1">
        <w:r w:rsidRPr="009F2565">
          <w:rPr>
            <w:rStyle w:val="Hyperlink"/>
            <w:rFonts w:asciiTheme="minorHAnsi" w:hAnsiTheme="minorHAnsi"/>
          </w:rPr>
          <w:t>chapter 8</w:t>
        </w:r>
      </w:hyperlink>
      <w:r w:rsidRPr="00FF338C">
        <w:t xml:space="preserve"> </w:t>
      </w:r>
      <w:r>
        <w:t>of this guideline</w:t>
      </w:r>
      <w:r w:rsidRPr="00FF338C">
        <w:t>.</w:t>
      </w:r>
    </w:p>
    <w:p w14:paraId="5A7FB9D0" w14:textId="77777777" w:rsidR="004A2E03" w:rsidRPr="00FF338C" w:rsidRDefault="004A2E03" w:rsidP="004A2E03">
      <w:pPr>
        <w:pStyle w:val="Heading4"/>
      </w:pPr>
      <w:bookmarkStart w:id="106" w:name="_Toc526867695"/>
      <w:bookmarkStart w:id="107" w:name="_Toc526869737"/>
      <w:bookmarkStart w:id="108" w:name="_Toc235706310"/>
      <w:r w:rsidRPr="00FF338C">
        <w:t>Method 1 – default emission factors</w:t>
      </w:r>
      <w:bookmarkEnd w:id="106"/>
      <w:bookmarkEnd w:id="107"/>
      <w:bookmarkEnd w:id="108"/>
    </w:p>
    <w:p w14:paraId="710835E7" w14:textId="77777777" w:rsidR="004A2E03" w:rsidRDefault="004A2E03" w:rsidP="004A2E03">
      <w:r w:rsidRPr="00FF338C">
        <w:t xml:space="preserve">Method 1 requires measuring the quantity of fuel combusted, determining the correct fuel type from Schedule 1 of the </w:t>
      </w:r>
      <w:r>
        <w:t>NGER Measurement Determination</w:t>
      </w:r>
      <w:r w:rsidRPr="00FF338C">
        <w:t xml:space="preserve"> and use of the corresponding default emission factors</w:t>
      </w:r>
      <w:r>
        <w:t xml:space="preserve"> listed within Schedule 1 of the NGER Measurement Determination.</w:t>
      </w:r>
      <w:r w:rsidRPr="00FF338C">
        <w:t xml:space="preserve"> </w:t>
      </w:r>
    </w:p>
    <w:p w14:paraId="6308DAD9" w14:textId="77777777" w:rsidR="004A2E03" w:rsidRDefault="004A2E03" w:rsidP="004A2E03">
      <w:bookmarkStart w:id="109" w:name="OLE_LINK2"/>
      <w:r>
        <w:t xml:space="preserve">Reporters can use either the default </w:t>
      </w:r>
      <w:r w:rsidRPr="00FF338C">
        <w:t>energy content factor</w:t>
      </w:r>
      <w:r>
        <w:t xml:space="preserve"> for the </w:t>
      </w:r>
      <w:r w:rsidRPr="00FF338C">
        <w:t xml:space="preserve">fuel type </w:t>
      </w:r>
      <w:r>
        <w:t xml:space="preserve">listed within Schedule 1 of the NGER Measurement Determination or a non-default energy content factor </w:t>
      </w:r>
      <w:r w:rsidRPr="00FF338C">
        <w:t xml:space="preserve">estimated under section 6.5 of the </w:t>
      </w:r>
      <w:r>
        <w:t>NGER Measurement Determination</w:t>
      </w:r>
      <w:r w:rsidRPr="00FF338C">
        <w:t>.</w:t>
      </w:r>
      <w:bookmarkEnd w:id="109"/>
      <w:r w:rsidRPr="00FF338C">
        <w:t xml:space="preserve"> </w:t>
      </w:r>
    </w:p>
    <w:p w14:paraId="65C0A174" w14:textId="43570334" w:rsidR="004A2E03" w:rsidRPr="00FF338C" w:rsidRDefault="004A2E03" w:rsidP="004A2E03">
      <w:r w:rsidRPr="0018616C">
        <w:t xml:space="preserve">Method 1 </w:t>
      </w:r>
      <w:r>
        <w:t>must</w:t>
      </w:r>
      <w:r w:rsidRPr="0018616C">
        <w:t xml:space="preserve"> not be used to estimate carbon dioxide emissions from the </w:t>
      </w:r>
      <w:r w:rsidRPr="00502833">
        <w:t xml:space="preserve">combustion of </w:t>
      </w:r>
      <w:r w:rsidR="00662791">
        <w:t>a</w:t>
      </w:r>
      <w:r w:rsidRPr="00502833">
        <w:t xml:space="preserve"> solid</w:t>
      </w:r>
      <w:r w:rsidRPr="0018616C">
        <w:t xml:space="preserve"> or </w:t>
      </w:r>
      <w:r w:rsidRPr="00502833">
        <w:t>gaseous fossil fuel</w:t>
      </w:r>
      <w:r w:rsidRPr="0018616C">
        <w:t xml:space="preserve"> </w:t>
      </w:r>
      <w:r>
        <w:t>if</w:t>
      </w:r>
      <w:r w:rsidR="00620979">
        <w:t xml:space="preserve"> the following conditions are met</w:t>
      </w:r>
      <w:r w:rsidRPr="00FF338C">
        <w:t>:</w:t>
      </w:r>
    </w:p>
    <w:p w14:paraId="29FECB30" w14:textId="617861C0" w:rsidR="004A2E03" w:rsidRPr="00FF338C" w:rsidRDefault="004A2E03" w:rsidP="00B3330E">
      <w:pPr>
        <w:numPr>
          <w:ilvl w:val="0"/>
          <w:numId w:val="1"/>
        </w:numPr>
        <w:spacing w:before="120" w:after="120"/>
        <w:ind w:right="284"/>
      </w:pPr>
      <w:r>
        <w:t xml:space="preserve">the solid or gaseous fuel </w:t>
      </w:r>
      <w:r w:rsidR="00662791">
        <w:t>is</w:t>
      </w:r>
      <w:r>
        <w:t xml:space="preserve"> the main fuel combusted for the operation of the facility</w:t>
      </w:r>
    </w:p>
    <w:p w14:paraId="2EC5C76E" w14:textId="5089D890" w:rsidR="004A2E03" w:rsidRPr="00FF338C" w:rsidRDefault="004A2E03" w:rsidP="00B3330E">
      <w:pPr>
        <w:numPr>
          <w:ilvl w:val="0"/>
          <w:numId w:val="1"/>
        </w:numPr>
        <w:spacing w:before="120" w:after="120"/>
        <w:ind w:right="284"/>
      </w:pPr>
      <w:r w:rsidRPr="00FF338C">
        <w:t>the princip</w:t>
      </w:r>
      <w:r>
        <w:t>al</w:t>
      </w:r>
      <w:r w:rsidRPr="00FF338C">
        <w:t xml:space="preserve"> activity of the facility is electricity generation from fossil fuels (ANZSIC code 2611</w:t>
      </w:r>
      <w:r w:rsidR="004B0870">
        <w:rPr>
          <w:rFonts w:ascii="ZWAdobeF" w:hAnsi="ZWAdobeF" w:cs="ZWAdobeF"/>
          <w:color w:val="auto"/>
          <w:sz w:val="2"/>
          <w:szCs w:val="2"/>
        </w:rPr>
        <w:t>15F</w:t>
      </w:r>
      <w:r w:rsidRPr="00FF338C">
        <w:rPr>
          <w:rStyle w:val="FootnoteReference"/>
        </w:rPr>
        <w:footnoteReference w:id="17"/>
      </w:r>
      <w:r w:rsidRPr="00FF338C">
        <w:t>)</w:t>
      </w:r>
    </w:p>
    <w:p w14:paraId="74809C60" w14:textId="047ABFFC" w:rsidR="004A2E03" w:rsidRDefault="004A2E03" w:rsidP="004A2E03">
      <w:pPr>
        <w:pStyle w:val="CERbullets"/>
      </w:pPr>
      <w:r>
        <w:t xml:space="preserve">the </w:t>
      </w:r>
      <w:r w:rsidR="009E58BB">
        <w:t>total</w:t>
      </w:r>
      <w:r>
        <w:t xml:space="preserve"> capacity of all generating units </w:t>
      </w:r>
      <w:r w:rsidR="00F06D36">
        <w:t>combined</w:t>
      </w:r>
      <w:r>
        <w:t xml:space="preserve"> at the facility is 30</w:t>
      </w:r>
      <w:r w:rsidR="00C56DC5">
        <w:t> </w:t>
      </w:r>
      <w:r>
        <w:t>MW or more</w:t>
      </w:r>
    </w:p>
    <w:p w14:paraId="57B82056" w14:textId="0896C4E3" w:rsidR="008933B4" w:rsidRDefault="004A2E03" w:rsidP="004F7F48">
      <w:pPr>
        <w:pStyle w:val="CERbullets"/>
      </w:pPr>
      <w:r>
        <w:t>the facility generates more than 50,000</w:t>
      </w:r>
      <w:r w:rsidR="003B651F">
        <w:t> </w:t>
      </w:r>
      <w:r>
        <w:t xml:space="preserve">MWh </w:t>
      </w:r>
      <w:r w:rsidR="00775FC7">
        <w:t xml:space="preserve">of electricity </w:t>
      </w:r>
      <w:r>
        <w:t xml:space="preserve">in a reporting year. </w:t>
      </w:r>
    </w:p>
    <w:p w14:paraId="7CB3EB82" w14:textId="77777777" w:rsidR="004A2E03" w:rsidRPr="00FF338C" w:rsidRDefault="004A2E03" w:rsidP="004A2E03">
      <w:pPr>
        <w:pStyle w:val="Heading4"/>
      </w:pPr>
      <w:bookmarkStart w:id="110" w:name="_Toc526867696"/>
      <w:bookmarkStart w:id="111" w:name="_Toc526869738"/>
      <w:bookmarkStart w:id="112" w:name="_Toc235706311"/>
      <w:r w:rsidRPr="00FF338C">
        <w:t>Method</w:t>
      </w:r>
      <w:r>
        <w:t>s</w:t>
      </w:r>
      <w:r w:rsidRPr="00FF338C">
        <w:t xml:space="preserve"> 2 and 3 – fuel sampling and analysis</w:t>
      </w:r>
      <w:bookmarkEnd w:id="110"/>
      <w:bookmarkEnd w:id="111"/>
      <w:bookmarkEnd w:id="112"/>
    </w:p>
    <w:p w14:paraId="1D5ED82F" w14:textId="77777777" w:rsidR="004A2E03" w:rsidRDefault="004A2E03" w:rsidP="004A2E03">
      <w:r w:rsidRPr="00FF338C">
        <w:t>Methods 2 and 3 require sampling and analysis of the properties of the fuel combusted to estimate a facility specific emission factor rather than using the default emission factor.</w:t>
      </w:r>
    </w:p>
    <w:p w14:paraId="5A984396" w14:textId="77777777" w:rsidR="004A2E03" w:rsidRPr="00FF338C" w:rsidRDefault="004A2E03" w:rsidP="004A2E03">
      <w:r>
        <w:t xml:space="preserve">Reporters can use either the default </w:t>
      </w:r>
      <w:r w:rsidRPr="00FF338C">
        <w:t>energy content factor</w:t>
      </w:r>
      <w:r>
        <w:t xml:space="preserve"> for the </w:t>
      </w:r>
      <w:r w:rsidRPr="00FF338C">
        <w:t xml:space="preserve">fuel type </w:t>
      </w:r>
      <w:r>
        <w:t xml:space="preserve">listed within Schedule 1 of the NGER Measurement Determination or a non-default energy content factor </w:t>
      </w:r>
      <w:r w:rsidRPr="00FF338C">
        <w:t xml:space="preserve">estimated under section 6.5 of the </w:t>
      </w:r>
      <w:r>
        <w:t>NGER Measurement Determination</w:t>
      </w:r>
      <w:r w:rsidRPr="00FF338C">
        <w:t xml:space="preserve">. </w:t>
      </w:r>
    </w:p>
    <w:p w14:paraId="1E65BA65" w14:textId="2E92A15C" w:rsidR="004A2E03" w:rsidRPr="00FF338C" w:rsidRDefault="004A2E03" w:rsidP="004A2E03">
      <w:r w:rsidRPr="00FF338C">
        <w:lastRenderedPageBreak/>
        <w:t xml:space="preserve">Method 3 generally only differs from </w:t>
      </w:r>
      <w:r w:rsidR="56D31C97">
        <w:t>M</w:t>
      </w:r>
      <w:r w:rsidRPr="00FF338C">
        <w:t xml:space="preserve">ethod 2 in requiring the use of an </w:t>
      </w:r>
      <w:r w:rsidR="006911EB">
        <w:t>i</w:t>
      </w:r>
      <w:r w:rsidRPr="00FF338C">
        <w:t>nternational or Australian standard for sampling and analysis.</w:t>
      </w:r>
    </w:p>
    <w:p w14:paraId="3FAC738E" w14:textId="40AB0194" w:rsidR="004A2E03" w:rsidRPr="00FF338C" w:rsidRDefault="004A2E03" w:rsidP="004A2E03">
      <w:r w:rsidRPr="00FF338C">
        <w:t>The sampling and analysis requirements differ considerably per fuel category</w:t>
      </w:r>
      <w:r>
        <w:t xml:space="preserve">: </w:t>
      </w:r>
      <w:r w:rsidRPr="00FF338C">
        <w:t>solid, gaseous or liquid fuel.</w:t>
      </w:r>
      <w:r>
        <w:t xml:space="preserve"> See</w:t>
      </w:r>
      <w:r w:rsidRPr="00FF338C">
        <w:t xml:space="preserve"> </w:t>
      </w:r>
      <w:r>
        <w:t>chapters</w:t>
      </w:r>
      <w:r w:rsidRPr="00C67339">
        <w:t xml:space="preserve"> </w:t>
      </w:r>
      <w:hyperlink w:anchor="_Estimating_emissions_from_1" w:history="1">
        <w:r w:rsidRPr="00D64647">
          <w:rPr>
            <w:rStyle w:val="Hyperlink"/>
            <w:rFonts w:asciiTheme="minorHAnsi" w:hAnsiTheme="minorHAnsi"/>
          </w:rPr>
          <w:t>4.3</w:t>
        </w:r>
      </w:hyperlink>
      <w:r w:rsidRPr="00C67339">
        <w:t xml:space="preserve">, </w:t>
      </w:r>
      <w:hyperlink w:anchor="_Emissions_from_combustion" w:history="1">
        <w:r w:rsidRPr="00D64647">
          <w:rPr>
            <w:rStyle w:val="Hyperlink"/>
            <w:rFonts w:asciiTheme="minorHAnsi" w:hAnsiTheme="minorHAnsi"/>
          </w:rPr>
          <w:t>4.4</w:t>
        </w:r>
      </w:hyperlink>
      <w:r w:rsidRPr="00C67339">
        <w:t xml:space="preserve"> and </w:t>
      </w:r>
      <w:hyperlink w:anchor="_Emissions_from_combustion_1" w:history="1">
        <w:r w:rsidRPr="00D64647">
          <w:rPr>
            <w:rStyle w:val="Hyperlink"/>
            <w:rFonts w:asciiTheme="minorHAnsi" w:hAnsiTheme="minorHAnsi"/>
          </w:rPr>
          <w:t>4.5</w:t>
        </w:r>
      </w:hyperlink>
      <w:r w:rsidRPr="00FF338C">
        <w:t xml:space="preserve"> </w:t>
      </w:r>
      <w:r>
        <w:t xml:space="preserve">of this guideline for guidance on </w:t>
      </w:r>
      <w:r w:rsidRPr="00FF338C">
        <w:t>emissions estimation methods for each fuel category.</w:t>
      </w:r>
    </w:p>
    <w:p w14:paraId="5108AA3F" w14:textId="73C89920" w:rsidR="004A2E03" w:rsidRPr="00FF338C" w:rsidRDefault="004A2E03" w:rsidP="00DB4B56">
      <w:pPr>
        <w:pStyle w:val="Heading2"/>
        <w:numPr>
          <w:ilvl w:val="1"/>
          <w:numId w:val="3"/>
        </w:numPr>
        <w:ind w:left="426" w:hanging="426"/>
      </w:pPr>
      <w:bookmarkStart w:id="113" w:name="_Toc107922545"/>
      <w:bookmarkStart w:id="114" w:name="_Toc107922546"/>
      <w:bookmarkStart w:id="115" w:name="_Toc107922547"/>
      <w:bookmarkStart w:id="116" w:name="_Toc107922548"/>
      <w:bookmarkStart w:id="117" w:name="_Toc107922549"/>
      <w:bookmarkStart w:id="118" w:name="_Toc512010394"/>
      <w:bookmarkStart w:id="119" w:name="_Toc512339592"/>
      <w:bookmarkStart w:id="120" w:name="_Toc106705756"/>
      <w:bookmarkStart w:id="121" w:name="_Toc235706312"/>
      <w:bookmarkEnd w:id="113"/>
      <w:bookmarkEnd w:id="114"/>
      <w:bookmarkEnd w:id="115"/>
      <w:bookmarkEnd w:id="116"/>
      <w:bookmarkEnd w:id="117"/>
      <w:r w:rsidRPr="00FF338C">
        <w:t>Method 4 – Direct measurement of emissions</w:t>
      </w:r>
      <w:bookmarkEnd w:id="118"/>
      <w:bookmarkEnd w:id="119"/>
      <w:bookmarkEnd w:id="120"/>
      <w:bookmarkEnd w:id="121"/>
    </w:p>
    <w:p w14:paraId="547800BC" w14:textId="4F7A20F0" w:rsidR="004A2E03" w:rsidRPr="00FF338C" w:rsidRDefault="004A2E03" w:rsidP="004A2E03">
      <w:r w:rsidRPr="00FF338C">
        <w:t xml:space="preserve">Part 1.3 of the </w:t>
      </w:r>
      <w:r>
        <w:t>NGER Measurement Determination</w:t>
      </w:r>
      <w:r w:rsidRPr="00FF338C">
        <w:t xml:space="preserve"> provides the requirements for direct measurement of emissions under </w:t>
      </w:r>
      <w:r w:rsidR="536B1958">
        <w:t>M</w:t>
      </w:r>
      <w:r w:rsidRPr="00FF338C">
        <w:t>ethod 4. There are</w:t>
      </w:r>
      <w:r w:rsidR="00AF5B63">
        <w:t xml:space="preserve"> 2</w:t>
      </w:r>
      <w:r w:rsidRPr="00FF338C">
        <w:t xml:space="preserve"> monitoring approaches: </w:t>
      </w:r>
    </w:p>
    <w:p w14:paraId="1AC121F0" w14:textId="77777777" w:rsidR="004A2E03" w:rsidRPr="00FF338C" w:rsidRDefault="004A2E03" w:rsidP="00B3330E">
      <w:pPr>
        <w:numPr>
          <w:ilvl w:val="0"/>
          <w:numId w:val="1"/>
        </w:numPr>
        <w:spacing w:before="120" w:after="120"/>
        <w:ind w:right="284"/>
      </w:pPr>
      <w:r w:rsidRPr="00FF338C">
        <w:t>continuous emissions monitoring (CEM)</w:t>
      </w:r>
    </w:p>
    <w:p w14:paraId="7E3FAE67" w14:textId="757DE2B5" w:rsidR="004A2E03" w:rsidRPr="00FF338C" w:rsidRDefault="004A2E03" w:rsidP="00B3330E">
      <w:pPr>
        <w:numPr>
          <w:ilvl w:val="0"/>
          <w:numId w:val="1"/>
        </w:numPr>
        <w:spacing w:before="120" w:after="120"/>
        <w:ind w:right="284"/>
      </w:pPr>
      <w:r w:rsidRPr="00FF338C">
        <w:t>periodic emissions monitoring (PEM).</w:t>
      </w:r>
    </w:p>
    <w:p w14:paraId="6C12AACA" w14:textId="55351B5C" w:rsidR="004A2E03" w:rsidRPr="00FF338C" w:rsidRDefault="004A2E03" w:rsidP="004A2E03">
      <w:r w:rsidRPr="00FF338C">
        <w:t xml:space="preserve">Application of </w:t>
      </w:r>
      <w:r w:rsidR="1956F846">
        <w:t>M</w:t>
      </w:r>
      <w:r w:rsidRPr="00FF338C">
        <w:t xml:space="preserve">ethod 4 to estimate emissions requires compliance with specific requirements for representative sampling, analysis of samples, and the use of equipment. </w:t>
      </w:r>
    </w:p>
    <w:p w14:paraId="232EED83" w14:textId="6E55C693" w:rsidR="004A2E03" w:rsidRPr="00FF338C" w:rsidRDefault="004A2E03" w:rsidP="004A2E03">
      <w:r>
        <w:t>See</w:t>
      </w:r>
      <w:r w:rsidRPr="00FF338C">
        <w:t xml:space="preserve"> </w:t>
      </w:r>
      <w:hyperlink w:anchor="_Metering_considerations">
        <w:r w:rsidRPr="14A501AD">
          <w:rPr>
            <w:rStyle w:val="Hyperlink"/>
            <w:rFonts w:asciiTheme="minorHAnsi" w:hAnsiTheme="minorHAnsi"/>
          </w:rPr>
          <w:t>chapter 8.2</w:t>
        </w:r>
      </w:hyperlink>
      <w:r w:rsidRPr="00FF338C">
        <w:t xml:space="preserve"> of this guideline</w:t>
      </w:r>
      <w:r>
        <w:t xml:space="preserve"> for more </w:t>
      </w:r>
      <w:r w:rsidRPr="00FF338C">
        <w:t xml:space="preserve">information on the use of metering equipment for </w:t>
      </w:r>
      <w:r w:rsidR="11C8F1AF">
        <w:t>M</w:t>
      </w:r>
      <w:r w:rsidRPr="00FF338C">
        <w:t>ethod 4.</w:t>
      </w:r>
    </w:p>
    <w:p w14:paraId="5A5A843E" w14:textId="77777777" w:rsidR="004A2E03" w:rsidRPr="00FF338C" w:rsidRDefault="004A2E03" w:rsidP="00DB4B56">
      <w:pPr>
        <w:pStyle w:val="Heading2"/>
        <w:numPr>
          <w:ilvl w:val="1"/>
          <w:numId w:val="3"/>
        </w:numPr>
        <w:ind w:left="426" w:hanging="426"/>
      </w:pPr>
      <w:bookmarkStart w:id="122" w:name="_Estimating_emissions_from_1"/>
      <w:bookmarkStart w:id="123" w:name="_Toc512010395"/>
      <w:bookmarkStart w:id="124" w:name="_Toc512339593"/>
      <w:bookmarkStart w:id="125" w:name="_Toc106705757"/>
      <w:bookmarkStart w:id="126" w:name="_Toc235706313"/>
      <w:bookmarkEnd w:id="122"/>
      <w:r w:rsidRPr="00FF338C">
        <w:t>Estimating emissions from combustion of solid fuels</w:t>
      </w:r>
      <w:bookmarkEnd w:id="123"/>
      <w:bookmarkEnd w:id="124"/>
      <w:bookmarkEnd w:id="125"/>
      <w:bookmarkEnd w:id="126"/>
    </w:p>
    <w:p w14:paraId="5D902D91" w14:textId="28540F8D" w:rsidR="004A2E03" w:rsidRDefault="004A2E03" w:rsidP="004A2E03">
      <w:r w:rsidRPr="00FF338C">
        <w:t>In the electricity sector, solid fuels are primarily combusted for electricity generation purposes</w:t>
      </w:r>
      <w:r>
        <w:t xml:space="preserve">, </w:t>
      </w:r>
      <w:r w:rsidRPr="00FF338C">
        <w:t xml:space="preserve">for example, at coal fired power stations. The methods available for estimating emissions from the combustion of solid fuels are outlined </w:t>
      </w:r>
      <w:r>
        <w:t>below</w:t>
      </w:r>
      <w:r w:rsidRPr="00FF338C">
        <w:t>.</w:t>
      </w:r>
    </w:p>
    <w:p w14:paraId="34C18E15" w14:textId="6B26C799" w:rsidR="00011733" w:rsidRDefault="00011733" w:rsidP="00084932">
      <w:pPr>
        <w:pStyle w:val="Caption"/>
        <w:keepNext/>
      </w:pPr>
      <w:r>
        <w:t xml:space="preserve">Figure </w:t>
      </w:r>
      <w:r>
        <w:fldChar w:fldCharType="begin"/>
      </w:r>
      <w:r>
        <w:instrText>SEQ Figure \* ARABIC</w:instrText>
      </w:r>
      <w:r>
        <w:fldChar w:fldCharType="separate"/>
      </w:r>
      <w:r w:rsidR="0069639D">
        <w:rPr>
          <w:noProof/>
        </w:rPr>
        <w:t>1</w:t>
      </w:r>
      <w:r>
        <w:fldChar w:fldCharType="end"/>
      </w:r>
      <w:r w:rsidRPr="005B200F">
        <w:t xml:space="preserve"> – Available methods for estimating emissions from the combustion of solid fuels.</w:t>
      </w:r>
    </w:p>
    <w:p w14:paraId="5563D9B2" w14:textId="507237BE" w:rsidR="002A6738" w:rsidRDefault="00A57A5C" w:rsidP="00256727">
      <w:r>
        <w:rPr>
          <w:noProof/>
        </w:rPr>
        <w:drawing>
          <wp:inline distT="0" distB="0" distL="0" distR="0" wp14:anchorId="02D3686F" wp14:editId="3E236E9B">
            <wp:extent cx="6184900" cy="4077367"/>
            <wp:effectExtent l="0" t="0" r="6350" b="0"/>
            <wp:docPr id="9" name="Picture 9" descr="Decision tree for estimating emissions from solid fuel combustion. If 1 tonne or more of a solid fuel is combusted to produce electricity and the main activity at the facility is electricity generation, then carbon dioxide (CO₂) emissions can be estimated using Method 2 (Division 2.2.3), Method 3 (Division 2.2.4) or Method 4 (Part 1.3). Otherwise Method 1 (Division 2.2.2), Method 2, Method 3 or Method 4 may be used. Methane (CH₄) and nitrous oxide (N₂O) emissions must use Method 1 (Division 2.2.2). If less than 1 tonne of fuel is combusted, reporting is no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cision tree for estimating emissions from solid fuel combustion. If 1 tonne or more of a solid fuel is combusted to produce electricity and the main activity at the facility is electricity generation, then carbon dioxide (CO₂) emissions can be estimated using Method 2 (Division 2.2.3), Method 3 (Division 2.2.4) or Method 4 (Part 1.3). Otherwise Method 1 (Division 2.2.2), Method 2, Method 3 or Method 4 may be used. Methane (CH₄) and nitrous oxide (N₂O) emissions must use Method 1 (Division 2.2.2). If less than 1 tonne of fuel is combusted, reporting is not required."/>
                    <pic:cNvPicPr/>
                  </pic:nvPicPr>
                  <pic:blipFill rotWithShape="1">
                    <a:blip r:embed="rId35">
                      <a:extLst>
                        <a:ext uri="{28A0092B-C50C-407E-A947-70E740481C1C}">
                          <a14:useLocalDpi xmlns:a14="http://schemas.microsoft.com/office/drawing/2010/main" val="0"/>
                        </a:ext>
                      </a:extLst>
                    </a:blip>
                    <a:srcRect/>
                    <a:stretch>
                      <a:fillRect/>
                    </a:stretch>
                  </pic:blipFill>
                  <pic:spPr bwMode="auto">
                    <a:xfrm>
                      <a:off x="0" y="0"/>
                      <a:ext cx="6184901" cy="4077368"/>
                    </a:xfrm>
                    <a:prstGeom prst="rect">
                      <a:avLst/>
                    </a:prstGeom>
                    <a:ln>
                      <a:noFill/>
                    </a:ln>
                    <a:extLst>
                      <a:ext uri="{53640926-AAD7-44D8-BBD7-CCE9431645EC}">
                        <a14:shadowObscured xmlns:a14="http://schemas.microsoft.com/office/drawing/2010/main"/>
                      </a:ext>
                    </a:extLst>
                  </pic:spPr>
                </pic:pic>
              </a:graphicData>
            </a:graphic>
          </wp:inline>
        </w:drawing>
      </w:r>
    </w:p>
    <w:p w14:paraId="02510B0F" w14:textId="2F403A86" w:rsidR="00A57A5C" w:rsidRDefault="00A57A5C" w:rsidP="00256727">
      <w:r w:rsidRPr="00FF338C">
        <w:lastRenderedPageBreak/>
        <w:t xml:space="preserve">For </w:t>
      </w:r>
      <w:r w:rsidR="20F0704D">
        <w:t>M</w:t>
      </w:r>
      <w:r w:rsidRPr="00FF338C">
        <w:t>ethod</w:t>
      </w:r>
      <w:r>
        <w:t>s</w:t>
      </w:r>
      <w:r w:rsidRPr="00FF338C">
        <w:t xml:space="preserve"> 1, 2 and 3</w:t>
      </w:r>
      <w:r>
        <w:t>,</w:t>
      </w:r>
      <w:r w:rsidRPr="00FF338C">
        <w:t xml:space="preserve"> fuel quantities of solid fuels combusted should be measured per the measurement requirements in Division 2.2.5 of the </w:t>
      </w:r>
      <w:r>
        <w:t>NGER Measurement Determination</w:t>
      </w:r>
      <w:r w:rsidRPr="00FF338C">
        <w:t xml:space="preserve"> </w:t>
      </w:r>
      <w:r>
        <w:t>–</w:t>
      </w:r>
      <w:r w:rsidRPr="00FF338C">
        <w:t xml:space="preserve"> </w:t>
      </w:r>
      <w:r>
        <w:t>see</w:t>
      </w:r>
      <w:r w:rsidRPr="00FF338C">
        <w:t xml:space="preserve"> </w:t>
      </w:r>
      <w:hyperlink w:anchor="_Measurement_Criteria" w:history="1">
        <w:r w:rsidR="00C83BBF" w:rsidRPr="00C83BBF">
          <w:rPr>
            <w:rStyle w:val="Hyperlink"/>
            <w:rFonts w:asciiTheme="minorHAnsi" w:hAnsiTheme="minorHAnsi"/>
          </w:rPr>
          <w:t>Chapter 8</w:t>
        </w:r>
      </w:hyperlink>
      <w:r w:rsidRPr="00FF338C">
        <w:t xml:space="preserve"> </w:t>
      </w:r>
      <w:r>
        <w:t>of this guideline</w:t>
      </w:r>
      <w:r w:rsidRPr="00FF338C">
        <w:t>.</w:t>
      </w:r>
    </w:p>
    <w:p w14:paraId="7A21FDAF" w14:textId="6727024C" w:rsidR="00A57A5C" w:rsidRDefault="00A57A5C" w:rsidP="00A57A5C">
      <w:r>
        <w:t xml:space="preserve">Method 1, set out in Division 2.2.2 of the NGER Measurement Determination, uses the default emission factors set out in Schedule 1 of the NGER Measurement Determination. Method 1 is the only method available for estimation of emissions of methane and nitrous oxide from the combustion of solid fuels. Method 1 may be used for estimating emissions of carbon dioxide, subject to the criteria in subsection 2.3(3) of the NGER Measurement Determination. </w:t>
      </w:r>
      <w:r w:rsidR="6270017D">
        <w:t>M</w:t>
      </w:r>
      <w:r>
        <w:t xml:space="preserve">ethod 1 must </w:t>
      </w:r>
      <w:r w:rsidRPr="00032840">
        <w:t>not</w:t>
      </w:r>
      <w:r>
        <w:t xml:space="preserve"> be used if: </w:t>
      </w:r>
    </w:p>
    <w:p w14:paraId="050E2E79" w14:textId="77777777" w:rsidR="00A57A5C" w:rsidRDefault="00A57A5C" w:rsidP="008E6B32">
      <w:pPr>
        <w:pStyle w:val="CERbullets"/>
      </w:pPr>
      <w:r>
        <w:t>the principal activity of the facility is electricity generation (ANZSIC industry classification and code 2611)</w:t>
      </w:r>
    </w:p>
    <w:p w14:paraId="0C1980CC" w14:textId="7BE8AC64" w:rsidR="00A57A5C" w:rsidRDefault="00A57A5C" w:rsidP="008E6B32">
      <w:pPr>
        <w:pStyle w:val="CERbullets"/>
      </w:pPr>
      <w:r>
        <w:t xml:space="preserve">the </w:t>
      </w:r>
      <w:r w:rsidR="004F439B" w:rsidRPr="008E6B32">
        <w:t>total</w:t>
      </w:r>
      <w:r>
        <w:t xml:space="preserve"> capacity of all generating units at the facility is 30</w:t>
      </w:r>
      <w:r w:rsidR="006C3334" w:rsidRPr="008E6B32">
        <w:t> </w:t>
      </w:r>
      <w:r>
        <w:t>MW or more</w:t>
      </w:r>
    </w:p>
    <w:p w14:paraId="496EC55C" w14:textId="077595FF" w:rsidR="00A57A5C" w:rsidRPr="00FF338C" w:rsidRDefault="00A57A5C" w:rsidP="008E6B32">
      <w:pPr>
        <w:pStyle w:val="CERbullets"/>
      </w:pPr>
      <w:r>
        <w:t>the facility generates more than 50,000</w:t>
      </w:r>
      <w:r w:rsidR="006C3334" w:rsidRPr="008E6B32">
        <w:t> </w:t>
      </w:r>
      <w:r>
        <w:t xml:space="preserve">MWh in a reporting year. </w:t>
      </w:r>
    </w:p>
    <w:p w14:paraId="44A946DD" w14:textId="48EE52B4" w:rsidR="000F1113" w:rsidRDefault="0051694C" w:rsidP="000F1113">
      <w:r>
        <w:t xml:space="preserve">The energy content factor used to estimate </w:t>
      </w:r>
      <w:r w:rsidR="00182E37">
        <w:t xml:space="preserve">emissions under </w:t>
      </w:r>
      <w:r w:rsidR="439AB5CB">
        <w:t>M</w:t>
      </w:r>
      <w:r w:rsidR="00182E37">
        <w:t xml:space="preserve">ethod 1 can </w:t>
      </w:r>
      <w:r w:rsidR="008E5A0F">
        <w:t>either be</w:t>
      </w:r>
      <w:r w:rsidR="002306CF">
        <w:t xml:space="preserve"> taken f</w:t>
      </w:r>
      <w:r w:rsidR="008E5A0F">
        <w:t xml:space="preserve">rom </w:t>
      </w:r>
      <w:r w:rsidR="002306CF">
        <w:t xml:space="preserve">Part 1 of Schedule 1 of the NGER Measurement Determination or </w:t>
      </w:r>
      <w:r w:rsidR="00B05B47">
        <w:t>estimated via analysis of the fuel in accordance with the standard</w:t>
      </w:r>
      <w:r w:rsidR="00B02BE5">
        <w:t xml:space="preserve"> listed in Schedule 2 of the NGER Measurement Determination, or equivalent.</w:t>
      </w:r>
    </w:p>
    <w:p w14:paraId="6F548488" w14:textId="2A02D957" w:rsidR="00470C75" w:rsidRPr="00FF338C" w:rsidRDefault="002B0919" w:rsidP="00D2141E">
      <w:r>
        <w:t xml:space="preserve">If </w:t>
      </w:r>
      <w:r w:rsidR="00470C75">
        <w:t xml:space="preserve">performing analysis to determine an energy content factor, </w:t>
      </w:r>
      <w:r w:rsidR="000E4601">
        <w:t xml:space="preserve">see </w:t>
      </w:r>
      <w:r>
        <w:fldChar w:fldCharType="begin" w:fldLock="1"/>
      </w:r>
      <w:r>
        <w:instrText>REF _Ref199338749</w:instrText>
      </w:r>
      <w:r>
        <w:fldChar w:fldCharType="separate"/>
      </w:r>
      <w:r>
        <w:fldChar w:fldCharType="end"/>
      </w:r>
      <w:r>
        <w:fldChar w:fldCharType="begin" w:fldLock="1"/>
      </w:r>
      <w:r>
        <w:instrText>REF _Ref199338756</w:instrText>
      </w:r>
      <w:r>
        <w:fldChar w:fldCharType="separate"/>
      </w:r>
      <w:r w:rsidR="00D26885">
        <w:t xml:space="preserve">Table </w:t>
      </w:r>
      <w:r w:rsidR="00D26885">
        <w:rPr>
          <w:noProof/>
        </w:rPr>
        <w:t>6</w:t>
      </w:r>
      <w:r>
        <w:fldChar w:fldCharType="end"/>
      </w:r>
      <w:r w:rsidR="000E4601">
        <w:t xml:space="preserve"> for fur</w:t>
      </w:r>
      <w:r w:rsidR="00BD4970">
        <w:t>ther information.</w:t>
      </w:r>
    </w:p>
    <w:p w14:paraId="39963D8D" w14:textId="77777777" w:rsidR="00A57A5C" w:rsidRPr="00FF338C" w:rsidRDefault="00A57A5C" w:rsidP="00B3330E">
      <w:pPr>
        <w:pStyle w:val="Heading3"/>
        <w:numPr>
          <w:ilvl w:val="2"/>
          <w:numId w:val="3"/>
        </w:numPr>
        <w:ind w:left="505" w:hanging="505"/>
        <w:rPr>
          <w:lang w:val="en-GB"/>
        </w:rPr>
      </w:pPr>
      <w:bookmarkStart w:id="127" w:name="_Ref511917503"/>
      <w:bookmarkStart w:id="128" w:name="_Toc512010396"/>
      <w:bookmarkStart w:id="129" w:name="_Toc512339594"/>
      <w:bookmarkStart w:id="130" w:name="_Toc235706314"/>
      <w:r w:rsidRPr="00FF338C">
        <w:rPr>
          <w:lang w:val="en-GB"/>
        </w:rPr>
        <w:t>Sampling and analysis requirements for Methods 2 and 3 for solid fuels</w:t>
      </w:r>
      <w:bookmarkEnd w:id="127"/>
      <w:bookmarkEnd w:id="128"/>
      <w:bookmarkEnd w:id="129"/>
      <w:bookmarkEnd w:id="130"/>
    </w:p>
    <w:p w14:paraId="53C42FF9" w14:textId="5345F656" w:rsidR="00A57A5C" w:rsidRDefault="00A57A5C" w:rsidP="00A57A5C">
      <w:r>
        <w:t>Method 2 is derived from the methodologies published in the Technical Guidelines for the Generator Efficiency Standards program</w:t>
      </w:r>
      <w:r w:rsidR="004B0870">
        <w:rPr>
          <w:rFonts w:ascii="ZWAdobeF" w:hAnsi="ZWAdobeF" w:cs="ZWAdobeF"/>
          <w:color w:val="auto"/>
          <w:sz w:val="2"/>
          <w:szCs w:val="2"/>
        </w:rPr>
        <w:t>16F</w:t>
      </w:r>
      <w:r>
        <w:rPr>
          <w:rStyle w:val="FootnoteReference"/>
        </w:rPr>
        <w:footnoteReference w:id="18"/>
      </w:r>
      <w:r>
        <w:t xml:space="preserve"> and is designed to enable more accurate emissions estimates to be made.  </w:t>
      </w:r>
    </w:p>
    <w:p w14:paraId="287156EC" w14:textId="66F7A32C" w:rsidR="00A57A5C" w:rsidRPr="002226F1" w:rsidRDefault="00A57A5C" w:rsidP="00A57A5C">
      <w:r>
        <w:t xml:space="preserve">Under </w:t>
      </w:r>
      <w:r w:rsidR="7FF6248B">
        <w:t>M</w:t>
      </w:r>
      <w:r>
        <w:t>ethod</w:t>
      </w:r>
      <w:r w:rsidR="00017423">
        <w:t>s</w:t>
      </w:r>
      <w:r>
        <w:t xml:space="preserve"> 2</w:t>
      </w:r>
      <w:r w:rsidR="00017423">
        <w:t xml:space="preserve"> and 3</w:t>
      </w:r>
      <w:r>
        <w:t xml:space="preserve">, representative and unbiased samples of consumed fuels must be analysed for carbon, ash or moisture content in accordance with the prescribed Australian or international documentary standards or their equivalent. </w:t>
      </w:r>
      <w:r w:rsidR="001848D4">
        <w:t>Two</w:t>
      </w:r>
      <w:r>
        <w:t xml:space="preserve"> different versions of </w:t>
      </w:r>
      <w:r w:rsidR="21F92BD0">
        <w:t>M</w:t>
      </w:r>
      <w:r>
        <w:t>ethod 2 are available. The first, which uses a default oxidation factor, is set out in subdivision 2.2.3.1 of the NGER Measurement Determination. The second allows reporters to use an estimated oxidation factor determined by reference to additional information about the fuels combusted by the facility and is set out in subdivision 2.2.3.2. Default oxidation factors are drawn from those utilised in the National Greenhouse Accounts.</w:t>
      </w:r>
    </w:p>
    <w:p w14:paraId="4C4CDB9F" w14:textId="2E02C004" w:rsidR="00A13EE8" w:rsidRPr="002226F1" w:rsidRDefault="00A13EE8" w:rsidP="00A57A5C">
      <w:r>
        <w:t xml:space="preserve">The energy content factor used to estimate emissions under </w:t>
      </w:r>
      <w:r w:rsidR="6D56E296">
        <w:t>M</w:t>
      </w:r>
      <w:r>
        <w:t xml:space="preserve">ethods 2 and 3 can either be taken from Part 1 of Schedule 1 of the NGER Measurement </w:t>
      </w:r>
      <w:r w:rsidR="00D57B6B">
        <w:t>Determination or</w:t>
      </w:r>
      <w:r>
        <w:t xml:space="preserve"> estimated via analysis of the fuel in accordance with the standard listed in Schedule 2 of the NGER Measurement Determination or equivalent.</w:t>
      </w:r>
    </w:p>
    <w:p w14:paraId="0847ACDD" w14:textId="1BF0F341" w:rsidR="00A4338E" w:rsidRDefault="00A4338E" w:rsidP="009A0F87">
      <w:pPr>
        <w:pStyle w:val="Caption"/>
        <w:keepNext/>
      </w:pPr>
      <w:bookmarkStart w:id="131" w:name="_Ref199338756"/>
      <w:r>
        <w:t xml:space="preserve">Table </w:t>
      </w:r>
      <w:r>
        <w:fldChar w:fldCharType="begin"/>
      </w:r>
      <w:r>
        <w:instrText>SEQ Table \* ARABIC</w:instrText>
      </w:r>
      <w:r>
        <w:fldChar w:fldCharType="separate"/>
      </w:r>
      <w:r w:rsidR="0069639D">
        <w:rPr>
          <w:noProof/>
        </w:rPr>
        <w:t>6</w:t>
      </w:r>
      <w:r>
        <w:fldChar w:fldCharType="end"/>
      </w:r>
      <w:bookmarkEnd w:id="131"/>
      <w:r>
        <w:t xml:space="preserve"> </w:t>
      </w:r>
      <w:r w:rsidRPr="008D5E6B">
        <w:t>– Solid fuel sampling and analysis frequency.</w:t>
      </w:r>
    </w:p>
    <w:tbl>
      <w:tblPr>
        <w:tblStyle w:val="CERTable"/>
        <w:tblW w:w="5000" w:type="pct"/>
        <w:tblLook w:val="04A0" w:firstRow="1" w:lastRow="0" w:firstColumn="1" w:lastColumn="0" w:noHBand="0" w:noVBand="1"/>
      </w:tblPr>
      <w:tblGrid>
        <w:gridCol w:w="2663"/>
        <w:gridCol w:w="3567"/>
        <w:gridCol w:w="3510"/>
      </w:tblGrid>
      <w:tr w:rsidR="00503817" w:rsidRPr="00C64711" w14:paraId="257AE65E" w14:textId="77777777" w:rsidTr="008E6B32">
        <w:trPr>
          <w:cnfStyle w:val="100000000000" w:firstRow="1" w:lastRow="0" w:firstColumn="0" w:lastColumn="0" w:oddVBand="0" w:evenVBand="0" w:oddHBand="0" w:evenHBand="0" w:firstRowFirstColumn="0" w:firstRowLastColumn="0" w:lastRowFirstColumn="0" w:lastRowLastColumn="0"/>
          <w:cantSplit w:val="0"/>
          <w:trHeight w:val="190"/>
          <w:tblHeader/>
        </w:trPr>
        <w:tc>
          <w:tcPr>
            <w:cnfStyle w:val="001000000000" w:firstRow="0" w:lastRow="0" w:firstColumn="1" w:lastColumn="0" w:oddVBand="0" w:evenVBand="0" w:oddHBand="0" w:evenHBand="0" w:firstRowFirstColumn="0" w:firstRowLastColumn="0" w:lastRowFirstColumn="0" w:lastRowLastColumn="0"/>
            <w:tcW w:w="1367" w:type="pct"/>
          </w:tcPr>
          <w:p w14:paraId="3AC44027" w14:textId="77777777" w:rsidR="00A57A5C" w:rsidRPr="00871997" w:rsidRDefault="00A57A5C">
            <w:pPr>
              <w:pStyle w:val="Body"/>
              <w:ind w:left="0"/>
              <w:rPr>
                <w:rFonts w:asciiTheme="minorHAnsi" w:hAnsiTheme="minorHAnsi"/>
                <w:sz w:val="22"/>
                <w:szCs w:val="22"/>
              </w:rPr>
            </w:pPr>
            <w:r w:rsidRPr="00871997">
              <w:rPr>
                <w:rFonts w:asciiTheme="minorHAnsi" w:hAnsiTheme="minorHAnsi"/>
                <w:sz w:val="22"/>
                <w:szCs w:val="22"/>
              </w:rPr>
              <w:t>Parameter</w:t>
            </w:r>
          </w:p>
        </w:tc>
        <w:tc>
          <w:tcPr>
            <w:tcW w:w="1831" w:type="pct"/>
          </w:tcPr>
          <w:p w14:paraId="15DDF36F" w14:textId="77777777" w:rsidR="00A57A5C" w:rsidRPr="00871997" w:rsidRDefault="00A57A5C">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1997">
              <w:rPr>
                <w:rFonts w:asciiTheme="minorHAnsi" w:hAnsiTheme="minorHAnsi"/>
                <w:sz w:val="22"/>
                <w:szCs w:val="22"/>
              </w:rPr>
              <w:t>Minimum fuel sampling and analysis frequency</w:t>
            </w:r>
          </w:p>
        </w:tc>
        <w:tc>
          <w:tcPr>
            <w:tcW w:w="1802" w:type="pct"/>
          </w:tcPr>
          <w:p w14:paraId="7ED0A5F0" w14:textId="77777777" w:rsidR="00A57A5C" w:rsidRPr="00871997" w:rsidRDefault="00A57A5C">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Furnace ash and f</w:t>
            </w:r>
            <w:r w:rsidRPr="00871997">
              <w:rPr>
                <w:rFonts w:asciiTheme="minorHAnsi" w:hAnsiTheme="minorHAnsi"/>
                <w:sz w:val="22"/>
                <w:szCs w:val="22"/>
              </w:rPr>
              <w:t>ly ash sampling and analysis frequency</w:t>
            </w:r>
          </w:p>
        </w:tc>
      </w:tr>
      <w:tr w:rsidR="00A57A5C" w:rsidRPr="00C64711" w14:paraId="20C834FF" w14:textId="77777777" w:rsidTr="008E6B32">
        <w:trPr>
          <w:cnfStyle w:val="000000100000" w:firstRow="0" w:lastRow="0" w:firstColumn="0" w:lastColumn="0" w:oddVBand="0" w:evenVBand="0" w:oddHBand="1" w:evenHBand="0" w:firstRowFirstColumn="0" w:firstRowLastColumn="0" w:lastRowFirstColumn="0" w:lastRowLastColumn="0"/>
          <w:cantSplit w:val="0"/>
          <w:trHeight w:val="190"/>
        </w:trPr>
        <w:tc>
          <w:tcPr>
            <w:cnfStyle w:val="001000000000" w:firstRow="0" w:lastRow="0" w:firstColumn="1" w:lastColumn="0" w:oddVBand="0" w:evenVBand="0" w:oddHBand="0" w:evenHBand="0" w:firstRowFirstColumn="0" w:firstRowLastColumn="0" w:lastRowFirstColumn="0" w:lastRowLastColumn="0"/>
            <w:tcW w:w="1367" w:type="pct"/>
          </w:tcPr>
          <w:p w14:paraId="76E4797D"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 xml:space="preserve">Energy content factors </w:t>
            </w:r>
          </w:p>
        </w:tc>
        <w:tc>
          <w:tcPr>
            <w:tcW w:w="1831" w:type="pct"/>
            <w:vMerge w:val="restart"/>
          </w:tcPr>
          <w:p w14:paraId="3615AC58" w14:textId="5618FC97" w:rsidR="00A57A5C" w:rsidRPr="006138F0" w:rsidRDefault="00A57A5C">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5E1BF7">
              <w:rPr>
                <w:rFonts w:asciiTheme="minorHAnsi" w:hAnsiTheme="minorHAnsi"/>
                <w:sz w:val="22"/>
                <w:szCs w:val="22"/>
              </w:rPr>
              <w:t>Monthly composite sample</w:t>
            </w:r>
            <w:r w:rsidR="00915CDA">
              <w:rPr>
                <w:rFonts w:asciiTheme="minorHAnsi" w:hAnsiTheme="minorHAnsi"/>
                <w:sz w:val="22"/>
                <w:szCs w:val="22"/>
              </w:rPr>
              <w:t>.</w:t>
            </w:r>
            <w:r w:rsidRPr="006138F0">
              <w:rPr>
                <w:rFonts w:asciiTheme="minorHAnsi" w:hAnsiTheme="minorHAnsi"/>
                <w:bCs/>
                <w:sz w:val="22"/>
                <w:szCs w:val="22"/>
              </w:rPr>
              <w:t xml:space="preserve"> </w:t>
            </w:r>
          </w:p>
          <w:p w14:paraId="7881703A" w14:textId="77777777" w:rsidR="00A57A5C" w:rsidRPr="00872A70" w:rsidRDefault="00A57A5C">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Samples must be taken on </w:t>
            </w:r>
            <w:r>
              <w:rPr>
                <w:rFonts w:asciiTheme="minorHAnsi" w:hAnsiTheme="minorHAnsi"/>
                <w:sz w:val="22"/>
                <w:szCs w:val="22"/>
              </w:rPr>
              <w:t>‘</w:t>
            </w:r>
            <w:r w:rsidRPr="00872A70">
              <w:rPr>
                <w:rFonts w:asciiTheme="minorHAnsi" w:hAnsiTheme="minorHAnsi"/>
                <w:sz w:val="22"/>
                <w:szCs w:val="22"/>
              </w:rPr>
              <w:t>enough occasions to produce a representative sample</w:t>
            </w:r>
            <w:r>
              <w:rPr>
                <w:rFonts w:asciiTheme="minorHAnsi" w:hAnsiTheme="minorHAnsi"/>
                <w:sz w:val="22"/>
                <w:szCs w:val="22"/>
              </w:rPr>
              <w:t>’</w:t>
            </w:r>
            <w:r w:rsidRPr="00872A70">
              <w:rPr>
                <w:rFonts w:asciiTheme="minorHAnsi" w:hAnsiTheme="minorHAnsi"/>
                <w:sz w:val="22"/>
                <w:szCs w:val="22"/>
              </w:rPr>
              <w:t xml:space="preserve">, </w:t>
            </w:r>
            <w:r>
              <w:rPr>
                <w:rFonts w:asciiTheme="minorHAnsi" w:hAnsiTheme="minorHAnsi"/>
                <w:sz w:val="22"/>
                <w:szCs w:val="22"/>
              </w:rPr>
              <w:t xml:space="preserve">per </w:t>
            </w:r>
            <w:r w:rsidRPr="00F21075">
              <w:rPr>
                <w:rFonts w:asciiTheme="minorHAnsi" w:hAnsiTheme="minorHAnsi"/>
                <w:sz w:val="22"/>
                <w:szCs w:val="22"/>
              </w:rPr>
              <w:t>subsection 2.7(2)</w:t>
            </w:r>
            <w:r>
              <w:rPr>
                <w:rFonts w:asciiTheme="minorHAnsi" w:hAnsiTheme="minorHAnsi"/>
                <w:sz w:val="22"/>
                <w:szCs w:val="22"/>
              </w:rPr>
              <w:t xml:space="preserve"> of the </w:t>
            </w:r>
            <w:r w:rsidRPr="00872A70">
              <w:rPr>
                <w:rFonts w:asciiTheme="minorHAnsi" w:hAnsiTheme="minorHAnsi"/>
                <w:sz w:val="22"/>
                <w:szCs w:val="22"/>
              </w:rPr>
              <w:t xml:space="preserve">NGER Measurement Determination. </w:t>
            </w:r>
          </w:p>
          <w:p w14:paraId="18BB4D1F" w14:textId="3AE378F2" w:rsidR="00A57A5C" w:rsidRPr="00872A70" w:rsidRDefault="00A57A5C">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lastRenderedPageBreak/>
              <w:t xml:space="preserve">A mechanical sampling system designed and operated in accordance with AS 4264 </w:t>
            </w:r>
            <w:r>
              <w:rPr>
                <w:rFonts w:asciiTheme="minorHAnsi" w:hAnsiTheme="minorHAnsi"/>
                <w:sz w:val="22"/>
                <w:szCs w:val="22"/>
              </w:rPr>
              <w:t>must</w:t>
            </w:r>
            <w:r w:rsidRPr="00872A70">
              <w:rPr>
                <w:rFonts w:asciiTheme="minorHAnsi" w:hAnsiTheme="minorHAnsi"/>
                <w:sz w:val="22"/>
                <w:szCs w:val="22"/>
              </w:rPr>
              <w:t xml:space="preserve"> be used to sample the solid fuel. Ideally, this would be set up to obtain coal as it is either being loaded at the coal source, unloaded at the facility or at a point immediately prior to combustion.</w:t>
            </w:r>
          </w:p>
          <w:p w14:paraId="648A4F0A" w14:textId="77777777" w:rsidR="00A57A5C" w:rsidRPr="00872A70" w:rsidRDefault="00A57A5C">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If necessary, manual sampling of the coal may be used provided that the sampling equipment and procedure used is in accordance with AS 4264.</w:t>
            </w:r>
          </w:p>
          <w:p w14:paraId="4EFC70BF" w14:textId="1FCF70B2" w:rsidR="00A1694A" w:rsidRDefault="00A57A5C">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Analysis must be undertaken in line with the standards listed for the </w:t>
            </w:r>
            <w:r w:rsidR="004443CE">
              <w:rPr>
                <w:rFonts w:asciiTheme="minorHAnsi" w:hAnsiTheme="minorHAnsi"/>
                <w:sz w:val="22"/>
                <w:szCs w:val="22"/>
              </w:rPr>
              <w:t>fuel</w:t>
            </w:r>
            <w:r w:rsidRPr="00872A70">
              <w:rPr>
                <w:rFonts w:asciiTheme="minorHAnsi" w:hAnsiTheme="minorHAnsi"/>
                <w:sz w:val="22"/>
                <w:szCs w:val="22"/>
              </w:rPr>
              <w:t xml:space="preserve"> listed in Schedule 2 of the NGER Measurement </w:t>
            </w:r>
            <w:r w:rsidR="00935EFE">
              <w:rPr>
                <w:rFonts w:asciiTheme="minorHAnsi" w:hAnsiTheme="minorHAnsi"/>
                <w:sz w:val="22"/>
                <w:szCs w:val="22"/>
              </w:rPr>
              <w:t>D</w:t>
            </w:r>
            <w:r w:rsidRPr="00872A70">
              <w:rPr>
                <w:rFonts w:asciiTheme="minorHAnsi" w:hAnsiTheme="minorHAnsi"/>
                <w:sz w:val="22"/>
                <w:szCs w:val="22"/>
              </w:rPr>
              <w:t>etermination.</w:t>
            </w:r>
          </w:p>
          <w:p w14:paraId="290715FD" w14:textId="2B3962A5" w:rsidR="00A57A5C" w:rsidRPr="00872A70" w:rsidRDefault="00A1694A">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A </w:t>
            </w:r>
            <w:r w:rsidRPr="00A1694A">
              <w:rPr>
                <w:rFonts w:asciiTheme="minorHAnsi" w:hAnsiTheme="minorHAnsi"/>
                <w:sz w:val="22"/>
                <w:szCs w:val="22"/>
                <w:lang w:val="en-AU"/>
              </w:rPr>
              <w:t>standard that is equivalent to a standard set out in Schedule 2</w:t>
            </w:r>
            <w:r>
              <w:rPr>
                <w:rFonts w:asciiTheme="minorHAnsi" w:hAnsiTheme="minorHAnsi"/>
                <w:sz w:val="22"/>
                <w:szCs w:val="22"/>
                <w:lang w:val="en-AU"/>
              </w:rPr>
              <w:t xml:space="preserve"> may also be used. </w:t>
            </w:r>
          </w:p>
        </w:tc>
        <w:tc>
          <w:tcPr>
            <w:tcW w:w="1802" w:type="pct"/>
          </w:tcPr>
          <w:p w14:paraId="0FE35F35"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highlight w:val="yellow"/>
              </w:rPr>
            </w:pPr>
            <w:r w:rsidRPr="00872A70">
              <w:rPr>
                <w:rFonts w:asciiTheme="minorHAnsi" w:hAnsiTheme="minorHAnsi"/>
                <w:sz w:val="22"/>
                <w:szCs w:val="22"/>
              </w:rPr>
              <w:lastRenderedPageBreak/>
              <w:t>NA</w:t>
            </w:r>
          </w:p>
        </w:tc>
      </w:tr>
      <w:tr w:rsidR="00A57A5C" w:rsidRPr="00C64711" w14:paraId="3EA45391" w14:textId="77777777" w:rsidTr="008E6B32">
        <w:trPr>
          <w:cnfStyle w:val="000000010000" w:firstRow="0" w:lastRow="0" w:firstColumn="0" w:lastColumn="0" w:oddVBand="0" w:evenVBand="0" w:oddHBand="0" w:evenHBand="1" w:firstRowFirstColumn="0" w:firstRowLastColumn="0" w:lastRowFirstColumn="0" w:lastRowLastColumn="0"/>
          <w:cantSplit w:val="0"/>
          <w:trHeight w:val="182"/>
        </w:trPr>
        <w:tc>
          <w:tcPr>
            <w:cnfStyle w:val="001000000000" w:firstRow="0" w:lastRow="0" w:firstColumn="1" w:lastColumn="0" w:oddVBand="0" w:evenVBand="0" w:oddHBand="0" w:evenHBand="0" w:firstRowFirstColumn="0" w:firstRowLastColumn="0" w:lastRowFirstColumn="0" w:lastRowLastColumn="0"/>
            <w:tcW w:w="1367" w:type="pct"/>
          </w:tcPr>
          <w:p w14:paraId="3BA5CBB7"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Carbon</w:t>
            </w:r>
          </w:p>
        </w:tc>
        <w:tc>
          <w:tcPr>
            <w:tcW w:w="1831" w:type="pct"/>
            <w:vMerge/>
          </w:tcPr>
          <w:p w14:paraId="62850458"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p>
        </w:tc>
        <w:tc>
          <w:tcPr>
            <w:tcW w:w="1802" w:type="pct"/>
          </w:tcPr>
          <w:p w14:paraId="24048E25" w14:textId="77250573" w:rsidR="00A57A5C"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Fly ash must be sampled as</w:t>
            </w:r>
            <w:r w:rsidRPr="00872A70">
              <w:rPr>
                <w:rFonts w:asciiTheme="minorHAnsi" w:hAnsiTheme="minorHAnsi"/>
                <w:sz w:val="22"/>
                <w:szCs w:val="22"/>
              </w:rPr>
              <w:t xml:space="preserve"> </w:t>
            </w:r>
            <w:r>
              <w:rPr>
                <w:rFonts w:asciiTheme="minorHAnsi" w:hAnsiTheme="minorHAnsi"/>
                <w:sz w:val="22"/>
                <w:szCs w:val="22"/>
              </w:rPr>
              <w:t xml:space="preserve">per </w:t>
            </w:r>
            <w:r w:rsidRPr="00872A70">
              <w:rPr>
                <w:rFonts w:asciiTheme="minorHAnsi" w:hAnsiTheme="minorHAnsi"/>
                <w:sz w:val="22"/>
                <w:szCs w:val="22"/>
              </w:rPr>
              <w:t>section 2.11 of the NGER Measurement Determination</w:t>
            </w:r>
            <w:r>
              <w:rPr>
                <w:rFonts w:asciiTheme="minorHAnsi" w:hAnsiTheme="minorHAnsi"/>
                <w:sz w:val="22"/>
                <w:szCs w:val="22"/>
              </w:rPr>
              <w:t>.</w:t>
            </w:r>
          </w:p>
          <w:p w14:paraId="5DCDE3AD"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Furnace ash must be analysed and sampled according to section 2.9 </w:t>
            </w:r>
            <w:r>
              <w:rPr>
                <w:rFonts w:asciiTheme="minorHAnsi" w:hAnsiTheme="minorHAnsi"/>
                <w:sz w:val="22"/>
                <w:szCs w:val="22"/>
              </w:rPr>
              <w:lastRenderedPageBreak/>
              <w:t xml:space="preserve">and 2.10 </w:t>
            </w:r>
            <w:r w:rsidRPr="00872A70">
              <w:rPr>
                <w:rFonts w:asciiTheme="minorHAnsi" w:hAnsiTheme="minorHAnsi"/>
                <w:sz w:val="22"/>
                <w:szCs w:val="22"/>
              </w:rPr>
              <w:t>of the NGER Measurement Determination</w:t>
            </w:r>
            <w:r>
              <w:rPr>
                <w:rFonts w:asciiTheme="minorHAnsi" w:hAnsiTheme="minorHAnsi"/>
                <w:sz w:val="22"/>
                <w:szCs w:val="22"/>
              </w:rPr>
              <w:t>.</w:t>
            </w:r>
          </w:p>
        </w:tc>
      </w:tr>
      <w:tr w:rsidR="00A57A5C" w:rsidRPr="00C64711" w14:paraId="76B22321" w14:textId="77777777" w:rsidTr="008E6B32">
        <w:trPr>
          <w:cnfStyle w:val="000000100000" w:firstRow="0" w:lastRow="0" w:firstColumn="0" w:lastColumn="0" w:oddVBand="0" w:evenVBand="0" w:oddHBand="1" w:evenHBand="0" w:firstRowFirstColumn="0" w:firstRowLastColumn="0" w:lastRowFirstColumn="0" w:lastRowLastColumn="0"/>
          <w:cantSplit w:val="0"/>
          <w:trHeight w:val="1799"/>
        </w:trPr>
        <w:tc>
          <w:tcPr>
            <w:cnfStyle w:val="001000000000" w:firstRow="0" w:lastRow="0" w:firstColumn="1" w:lastColumn="0" w:oddVBand="0" w:evenVBand="0" w:oddHBand="0" w:evenHBand="0" w:firstRowFirstColumn="0" w:firstRowLastColumn="0" w:lastRowFirstColumn="0" w:lastRowLastColumn="0"/>
            <w:tcW w:w="1367" w:type="pct"/>
          </w:tcPr>
          <w:p w14:paraId="4126B4D9"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lastRenderedPageBreak/>
              <w:t>Moisture</w:t>
            </w:r>
          </w:p>
        </w:tc>
        <w:tc>
          <w:tcPr>
            <w:tcW w:w="1831" w:type="pct"/>
            <w:vMerge w:val="restart"/>
          </w:tcPr>
          <w:p w14:paraId="04F4B424" w14:textId="77777777" w:rsidR="00A57A5C" w:rsidRPr="00872A70" w:rsidRDefault="00A57A5C">
            <w:pPr>
              <w:pStyle w:val="Body"/>
              <w:ind w:left="2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One delivery of coal will normally represent one day or one trainload of coal. As such, if the delivery of coal is continuous, sampling for moisture and ash should be undertaken daily.</w:t>
            </w:r>
          </w:p>
        </w:tc>
        <w:tc>
          <w:tcPr>
            <w:tcW w:w="1802" w:type="pct"/>
          </w:tcPr>
          <w:p w14:paraId="3AAF6B3F"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NA</w:t>
            </w:r>
          </w:p>
        </w:tc>
      </w:tr>
      <w:tr w:rsidR="00A57A5C" w:rsidRPr="00C64711" w14:paraId="50150102" w14:textId="77777777" w:rsidTr="008E6B32">
        <w:trPr>
          <w:cnfStyle w:val="000000010000" w:firstRow="0" w:lastRow="0" w:firstColumn="0" w:lastColumn="0" w:oddVBand="0" w:evenVBand="0" w:oddHBand="0" w:evenHBand="1" w:firstRowFirstColumn="0" w:firstRowLastColumn="0" w:lastRowFirstColumn="0" w:lastRowLastColumn="0"/>
          <w:cantSplit w:val="0"/>
          <w:trHeight w:val="16"/>
        </w:trPr>
        <w:tc>
          <w:tcPr>
            <w:cnfStyle w:val="001000000000" w:firstRow="0" w:lastRow="0" w:firstColumn="1" w:lastColumn="0" w:oddVBand="0" w:evenVBand="0" w:oddHBand="0" w:evenHBand="0" w:firstRowFirstColumn="0" w:firstRowLastColumn="0" w:lastRowFirstColumn="0" w:lastRowLastColumn="0"/>
            <w:tcW w:w="1367" w:type="pct"/>
            <w:tcBorders>
              <w:bottom w:val="single" w:sz="8" w:space="0" w:color="E8E8E8" w:themeColor="background2"/>
            </w:tcBorders>
          </w:tcPr>
          <w:p w14:paraId="2AFAA1A0"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Ash</w:t>
            </w:r>
          </w:p>
        </w:tc>
        <w:tc>
          <w:tcPr>
            <w:tcW w:w="1831" w:type="pct"/>
            <w:vMerge/>
            <w:tcBorders>
              <w:bottom w:val="single" w:sz="8" w:space="0" w:color="E8E8E8" w:themeColor="background2"/>
            </w:tcBorders>
          </w:tcPr>
          <w:p w14:paraId="6C173BAF"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p>
        </w:tc>
        <w:tc>
          <w:tcPr>
            <w:tcW w:w="1802" w:type="pct"/>
            <w:tcBorders>
              <w:bottom w:val="single" w:sz="8" w:space="0" w:color="E8E8E8" w:themeColor="background2"/>
            </w:tcBorders>
          </w:tcPr>
          <w:p w14:paraId="52598A21"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NA</w:t>
            </w:r>
          </w:p>
        </w:tc>
      </w:tr>
      <w:tr w:rsidR="0069532A" w:rsidRPr="00C64711" w14:paraId="12FEC07F" w14:textId="77777777" w:rsidTr="008E6B32">
        <w:trPr>
          <w:cnfStyle w:val="000000100000" w:firstRow="0" w:lastRow="0" w:firstColumn="0" w:lastColumn="0" w:oddVBand="0" w:evenVBand="0" w:oddHBand="1" w:evenHBand="0" w:firstRowFirstColumn="0" w:firstRowLastColumn="0" w:lastRowFirstColumn="0" w:lastRowLastColumn="0"/>
          <w:cantSplit w:val="0"/>
          <w:trHeight w:val="16"/>
        </w:trPr>
        <w:tc>
          <w:tcPr>
            <w:cnfStyle w:val="001000000000" w:firstRow="0" w:lastRow="0" w:firstColumn="1" w:lastColumn="0" w:oddVBand="0" w:evenVBand="0" w:oddHBand="0" w:evenHBand="0" w:firstRowFirstColumn="0" w:firstRowLastColumn="0" w:lastRowFirstColumn="0" w:lastRowLastColumn="0"/>
            <w:tcW w:w="1367" w:type="pct"/>
            <w:tcBorders>
              <w:top w:val="single" w:sz="8" w:space="0" w:color="E8E8E8" w:themeColor="background2"/>
              <w:bottom w:val="single" w:sz="4" w:space="0" w:color="FCBA5C" w:themeColor="accent2"/>
            </w:tcBorders>
          </w:tcPr>
          <w:p w14:paraId="50D48E94"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Exceptions</w:t>
            </w:r>
          </w:p>
          <w:p w14:paraId="056EB057" w14:textId="77777777" w:rsidR="00A57A5C" w:rsidRPr="00872A70" w:rsidRDefault="00A57A5C">
            <w:pPr>
              <w:pStyle w:val="Body"/>
              <w:ind w:left="0"/>
              <w:rPr>
                <w:rFonts w:asciiTheme="minorHAnsi" w:hAnsiTheme="minorHAnsi"/>
                <w:b w:val="0"/>
                <w:sz w:val="22"/>
                <w:szCs w:val="22"/>
              </w:rPr>
            </w:pPr>
          </w:p>
        </w:tc>
        <w:tc>
          <w:tcPr>
            <w:tcW w:w="1831" w:type="pct"/>
            <w:tcBorders>
              <w:top w:val="single" w:sz="8" w:space="0" w:color="E8E8E8" w:themeColor="background2"/>
              <w:bottom w:val="single" w:sz="4" w:space="0" w:color="FCBA5C" w:themeColor="accent2"/>
            </w:tcBorders>
          </w:tcPr>
          <w:p w14:paraId="026FB4A7" w14:textId="77777777" w:rsidR="00A57A5C" w:rsidRPr="00BD3F61"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5E1BF7">
              <w:rPr>
                <w:rFonts w:asciiTheme="minorHAnsi" w:hAnsiTheme="minorHAnsi"/>
                <w:sz w:val="22"/>
                <w:szCs w:val="22"/>
              </w:rPr>
              <w:t>If delivery lasts one month or less</w:t>
            </w:r>
            <w:r>
              <w:rPr>
                <w:rFonts w:asciiTheme="minorHAnsi" w:hAnsiTheme="minorHAnsi"/>
                <w:bCs/>
                <w:sz w:val="22"/>
                <w:szCs w:val="22"/>
              </w:rPr>
              <w:t>,</w:t>
            </w:r>
            <w:r w:rsidRPr="00032840">
              <w:rPr>
                <w:rFonts w:asciiTheme="minorHAnsi" w:hAnsiTheme="minorHAnsi"/>
                <w:bCs/>
                <w:sz w:val="22"/>
                <w:szCs w:val="22"/>
              </w:rPr>
              <w:t xml:space="preserve"> </w:t>
            </w:r>
            <w:r w:rsidRPr="006138F0">
              <w:rPr>
                <w:rFonts w:asciiTheme="minorHAnsi" w:hAnsiTheme="minorHAnsi"/>
                <w:bCs/>
                <w:sz w:val="22"/>
                <w:szCs w:val="22"/>
              </w:rPr>
              <w:t>analysis must be carried out</w:t>
            </w:r>
            <w:r>
              <w:rPr>
                <w:rFonts w:asciiTheme="minorHAnsi" w:hAnsiTheme="minorHAnsi"/>
                <w:bCs/>
                <w:sz w:val="22"/>
                <w:szCs w:val="22"/>
              </w:rPr>
              <w:t xml:space="preserve"> on</w:t>
            </w:r>
            <w:r w:rsidRPr="006138F0">
              <w:rPr>
                <w:rFonts w:asciiTheme="minorHAnsi" w:hAnsiTheme="minorHAnsi"/>
                <w:bCs/>
                <w:sz w:val="22"/>
                <w:szCs w:val="22"/>
              </w:rPr>
              <w:t xml:space="preserve"> each </w:t>
            </w:r>
            <w:r w:rsidRPr="00CE6FAC">
              <w:rPr>
                <w:rFonts w:asciiTheme="minorHAnsi" w:hAnsiTheme="minorHAnsi"/>
                <w:bCs/>
                <w:sz w:val="22"/>
                <w:szCs w:val="22"/>
              </w:rPr>
              <w:t>deliv</w:t>
            </w:r>
            <w:r w:rsidRPr="008E7ED5">
              <w:rPr>
                <w:rFonts w:asciiTheme="minorHAnsi" w:hAnsiTheme="minorHAnsi"/>
                <w:bCs/>
                <w:sz w:val="22"/>
                <w:szCs w:val="22"/>
              </w:rPr>
              <w:t>ery unless fuel properties do not change significantly between deliveries over a period of a month, in which case analysis may be carried out monthly.</w:t>
            </w:r>
          </w:p>
          <w:p w14:paraId="1272233E"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E1BF7">
              <w:rPr>
                <w:rFonts w:asciiTheme="minorHAnsi" w:hAnsiTheme="minorHAnsi"/>
                <w:sz w:val="22"/>
                <w:szCs w:val="22"/>
              </w:rPr>
              <w:t>If a delivery of fuel lasts for more than a month and fuel properties do not change significantly before the next delivery</w:t>
            </w:r>
            <w:r>
              <w:rPr>
                <w:rFonts w:asciiTheme="minorHAnsi" w:hAnsiTheme="minorHAnsi"/>
                <w:bCs/>
                <w:sz w:val="22"/>
                <w:szCs w:val="22"/>
              </w:rPr>
              <w:t>,</w:t>
            </w:r>
            <w:r w:rsidRPr="006138F0">
              <w:rPr>
                <w:rFonts w:asciiTheme="minorHAnsi" w:hAnsiTheme="minorHAnsi"/>
                <w:bCs/>
                <w:sz w:val="22"/>
                <w:szCs w:val="22"/>
              </w:rPr>
              <w:t xml:space="preserve"> energy</w:t>
            </w:r>
            <w:r w:rsidRPr="00872A70">
              <w:rPr>
                <w:rFonts w:asciiTheme="minorHAnsi" w:hAnsiTheme="minorHAnsi"/>
                <w:sz w:val="22"/>
                <w:szCs w:val="22"/>
              </w:rPr>
              <w:t xml:space="preserve"> content and carbon analysis may be conducted on a delivery basis, rather than monthly basis.</w:t>
            </w:r>
          </w:p>
        </w:tc>
        <w:tc>
          <w:tcPr>
            <w:tcW w:w="1802" w:type="pct"/>
            <w:tcBorders>
              <w:top w:val="single" w:sz="8" w:space="0" w:color="E8E8E8" w:themeColor="background2"/>
              <w:bottom w:val="single" w:sz="4" w:space="0" w:color="FCBA5C" w:themeColor="accent2"/>
            </w:tcBorders>
          </w:tcPr>
          <w:p w14:paraId="3FBEBA52"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NA</w:t>
            </w:r>
          </w:p>
        </w:tc>
      </w:tr>
    </w:tbl>
    <w:p w14:paraId="522B8068" w14:textId="77777777" w:rsidR="00A57A5C" w:rsidRPr="00FF338C" w:rsidRDefault="00A57A5C" w:rsidP="00A57A5C">
      <w:pPr>
        <w:pStyle w:val="Heading4"/>
      </w:pPr>
      <w:bookmarkStart w:id="132" w:name="_Toc235706315"/>
      <w:r w:rsidRPr="00FF338C">
        <w:lastRenderedPageBreak/>
        <w:t>Bias testing</w:t>
      </w:r>
      <w:bookmarkEnd w:id="132"/>
    </w:p>
    <w:p w14:paraId="69E9FF6E" w14:textId="7EF17A86" w:rsidR="00A57A5C" w:rsidRPr="00FF338C" w:rsidRDefault="00D3590F" w:rsidP="00A57A5C">
      <w:r>
        <w:t>When</w:t>
      </w:r>
      <w:r w:rsidR="00A57A5C" w:rsidRPr="00FF338C">
        <w:t xml:space="preserve"> </w:t>
      </w:r>
      <w:r w:rsidR="58171BA4">
        <w:t>M</w:t>
      </w:r>
      <w:r w:rsidR="00A57A5C" w:rsidRPr="00FF338C">
        <w:t xml:space="preserve">ethod 2 or 3 is selected, samples must be </w:t>
      </w:r>
      <w:r w:rsidR="00A57A5C">
        <w:t>‘</w:t>
      </w:r>
      <w:r w:rsidR="00A57A5C" w:rsidRPr="00FF338C">
        <w:t>free of bias so that any estimates are neither over nor under</w:t>
      </w:r>
      <w:r w:rsidR="00A57A5C">
        <w:t>-</w:t>
      </w:r>
      <w:r w:rsidR="00A57A5C" w:rsidRPr="00FF338C">
        <w:t>estimates of the true value</w:t>
      </w:r>
      <w:r w:rsidR="00A57A5C">
        <w:t>’, per s</w:t>
      </w:r>
      <w:r w:rsidR="00A57A5C" w:rsidRPr="00FF338C">
        <w:t xml:space="preserve">ection 2.7 of the </w:t>
      </w:r>
      <w:r w:rsidR="00A57A5C">
        <w:t>NGER Measurement Determination</w:t>
      </w:r>
      <w:r w:rsidR="00A57A5C" w:rsidRPr="00FF338C">
        <w:t xml:space="preserve">. Bias </w:t>
      </w:r>
      <w:r w:rsidR="00A57A5C">
        <w:t>must</w:t>
      </w:r>
      <w:r w:rsidR="00A57A5C" w:rsidRPr="00FF338C">
        <w:t xml:space="preserve"> be tested in accordance with an appropriate standard</w:t>
      </w:r>
      <w:r w:rsidR="00A57A5C">
        <w:t xml:space="preserve">, </w:t>
      </w:r>
      <w:r w:rsidR="00A57A5C" w:rsidRPr="00FF338C">
        <w:t>for example, AS 4264.4</w:t>
      </w:r>
      <w:r w:rsidR="00A57A5C">
        <w:t xml:space="preserve"> -</w:t>
      </w:r>
      <w:r w:rsidR="00A57A5C" w:rsidRPr="00FF338C">
        <w:t>1996</w:t>
      </w:r>
      <w:r w:rsidR="00A57A5C">
        <w:t xml:space="preserve"> </w:t>
      </w:r>
      <w:r w:rsidR="00A57A5C" w:rsidRPr="00B85497">
        <w:rPr>
          <w:i/>
          <w:iCs/>
        </w:rPr>
        <w:t>Coal and coke – Sampling – Determination of precision and bias</w:t>
      </w:r>
      <w:r w:rsidR="00A57A5C" w:rsidRPr="00FF338C">
        <w:t xml:space="preserve">. </w:t>
      </w:r>
    </w:p>
    <w:p w14:paraId="50F8FD25" w14:textId="23253E54" w:rsidR="00A57A5C" w:rsidRPr="00FF338C" w:rsidRDefault="00A57A5C" w:rsidP="00A57A5C">
      <w:r w:rsidRPr="00FF338C">
        <w:t xml:space="preserve">In the case of bias testing of mechanical samplers, the reference samples are usually </w:t>
      </w:r>
      <w:r w:rsidR="00F34460">
        <w:t>‘</w:t>
      </w:r>
      <w:r w:rsidRPr="00FF338C">
        <w:t>stopped belt samples</w:t>
      </w:r>
      <w:r w:rsidR="00F34460">
        <w:t>’</w:t>
      </w:r>
      <w:r w:rsidRPr="00FF338C">
        <w:t xml:space="preserve"> off a conveyor belt. For the purposes of verification of a coal sampling system, the coal samples taken for bias testing (pairs consisting of a reference sample and a sample taken by the coal sampler) should be analysed for total moisture and ash.</w:t>
      </w:r>
    </w:p>
    <w:p w14:paraId="7B145AA4" w14:textId="77777777" w:rsidR="00A57A5C" w:rsidRPr="00FF338C" w:rsidRDefault="00A57A5C" w:rsidP="00A57A5C">
      <w:r w:rsidRPr="00FF338C">
        <w:t>Bias testing should always be carried out on a new sampling system. For an existing system, the following verification procedure may be followed if there is some doubt about the conformance of the sampling system:</w:t>
      </w:r>
    </w:p>
    <w:p w14:paraId="56E63C7D" w14:textId="77777777" w:rsidR="00A57A5C" w:rsidRPr="00FF338C" w:rsidRDefault="00A57A5C" w:rsidP="00A57A5C">
      <w:pPr>
        <w:pStyle w:val="CERbullets"/>
      </w:pPr>
      <w:r w:rsidRPr="00FF338C">
        <w:t>conduct a detailed technical audit of the sampling system</w:t>
      </w:r>
    </w:p>
    <w:p w14:paraId="59AB6B70" w14:textId="77777777" w:rsidR="00A57A5C" w:rsidRPr="00FF338C" w:rsidRDefault="00A57A5C" w:rsidP="00A57A5C">
      <w:pPr>
        <w:pStyle w:val="CERbullets"/>
      </w:pPr>
      <w:r w:rsidRPr="00FF338C">
        <w:t>correct any non-conformances that have been observed</w:t>
      </w:r>
    </w:p>
    <w:p w14:paraId="20459456" w14:textId="77777777" w:rsidR="00A57A5C" w:rsidRPr="00FF338C" w:rsidRDefault="00A57A5C" w:rsidP="00B3330E">
      <w:pPr>
        <w:pStyle w:val="ListParagraph"/>
        <w:numPr>
          <w:ilvl w:val="0"/>
          <w:numId w:val="1"/>
        </w:numPr>
      </w:pPr>
      <w:r w:rsidRPr="00FF338C">
        <w:t>conduct a limited bias test on the system, usually with the coal that exhibits the widest stochastic variability in total moisture or ash, to provide a more quantitative verification that the sampling system is performing correctly.</w:t>
      </w:r>
    </w:p>
    <w:p w14:paraId="28586941" w14:textId="77777777" w:rsidR="00A57A5C" w:rsidRPr="00FF338C" w:rsidRDefault="00A57A5C" w:rsidP="00A57A5C">
      <w:pPr>
        <w:rPr>
          <w:b/>
        </w:rPr>
      </w:pPr>
      <w:r w:rsidRPr="00FF338C">
        <w:t xml:space="preserve">If you are aware of bias, it must be eliminated where possible. Following the implementation of measures to eliminate bias, the presence of residual bias </w:t>
      </w:r>
      <w:r>
        <w:t>must</w:t>
      </w:r>
      <w:r w:rsidRPr="00FF338C">
        <w:t xml:space="preserve"> be retested and assessed. If any remaining bias exists which cannot feasibly be eliminated, data </w:t>
      </w:r>
      <w:r>
        <w:t>must</w:t>
      </w:r>
      <w:r w:rsidRPr="00FF338C">
        <w:t xml:space="preserve"> be corrected to account for the bias, the corrections documented, and records kept.</w:t>
      </w:r>
    </w:p>
    <w:p w14:paraId="62CABD6D" w14:textId="77777777" w:rsidR="00A57A5C" w:rsidRPr="00FF338C" w:rsidRDefault="00A57A5C" w:rsidP="00DB4B56">
      <w:pPr>
        <w:pStyle w:val="Heading2"/>
        <w:numPr>
          <w:ilvl w:val="1"/>
          <w:numId w:val="3"/>
        </w:numPr>
        <w:ind w:left="426" w:hanging="426"/>
      </w:pPr>
      <w:bookmarkStart w:id="133" w:name="_Emissions_from_combustion"/>
      <w:bookmarkStart w:id="134" w:name="_Toc512010397"/>
      <w:bookmarkStart w:id="135" w:name="_Toc512339595"/>
      <w:bookmarkStart w:id="136" w:name="_Toc106705758"/>
      <w:bookmarkStart w:id="137" w:name="_Toc235706316"/>
      <w:bookmarkEnd w:id="133"/>
      <w:r w:rsidRPr="00FF338C">
        <w:t>Emissions from combustion of gaseous fuels</w:t>
      </w:r>
      <w:bookmarkEnd w:id="134"/>
      <w:bookmarkEnd w:id="135"/>
      <w:bookmarkEnd w:id="136"/>
      <w:bookmarkEnd w:id="137"/>
    </w:p>
    <w:p w14:paraId="16D1DE22" w14:textId="77777777" w:rsidR="00A57A5C" w:rsidRDefault="00A57A5C" w:rsidP="00A57A5C">
      <w:r w:rsidRPr="00FF338C">
        <w:t>In the electricity sector, gaseous fuels can be combusted for generation purposes (</w:t>
      </w:r>
      <w:r>
        <w:t>for example</w:t>
      </w:r>
      <w:r w:rsidRPr="00FF338C">
        <w:t xml:space="preserve"> at a gas-fired power plant) or in other equipment. The methods available for estimating emissions from the combustion of liquid fuels are outlined </w:t>
      </w:r>
      <w:r>
        <w:t>below</w:t>
      </w:r>
      <w:r w:rsidRPr="00FF338C">
        <w:t>.</w:t>
      </w:r>
    </w:p>
    <w:p w14:paraId="0C438889" w14:textId="02B5466E" w:rsidR="00A57A5C" w:rsidRDefault="00A57A5C" w:rsidP="00A57A5C">
      <w:pPr>
        <w:pStyle w:val="Caption"/>
        <w:keepNext/>
      </w:pPr>
      <w:bookmarkStart w:id="138" w:name="_Ref508014406"/>
      <w:bookmarkStart w:id="139" w:name="_Ref506301095"/>
      <w:r w:rsidRPr="00FF338C">
        <w:lastRenderedPageBreak/>
        <w:t xml:space="preserve">Figure </w:t>
      </w:r>
      <w:r>
        <w:fldChar w:fldCharType="begin"/>
      </w:r>
      <w:r>
        <w:instrText>SEQ Figure \* ARABIC</w:instrText>
      </w:r>
      <w:r>
        <w:fldChar w:fldCharType="separate"/>
      </w:r>
      <w:r w:rsidR="0069639D">
        <w:rPr>
          <w:noProof/>
        </w:rPr>
        <w:t>2</w:t>
      </w:r>
      <w:r>
        <w:fldChar w:fldCharType="end"/>
      </w:r>
      <w:bookmarkEnd w:id="138"/>
      <w:bookmarkEnd w:id="139"/>
      <w:r w:rsidRPr="00FF338C">
        <w:t xml:space="preserve"> – Available methods for estimating emissions from the combustion of gaseous fuels</w:t>
      </w:r>
      <w:r w:rsidR="002D44DF">
        <w:t>.</w:t>
      </w:r>
    </w:p>
    <w:p w14:paraId="15D99C81" w14:textId="77777777" w:rsidR="00A57A5C" w:rsidRPr="00346DE4" w:rsidRDefault="00A57A5C" w:rsidP="00256727">
      <w:pPr>
        <w:jc w:val="center"/>
      </w:pPr>
      <w:r w:rsidRPr="006A383E">
        <w:rPr>
          <w:noProof/>
        </w:rPr>
        <w:drawing>
          <wp:inline distT="0" distB="0" distL="0" distR="0" wp14:anchorId="34838425" wp14:editId="4E77F256">
            <wp:extent cx="6184900" cy="4279265"/>
            <wp:effectExtent l="0" t="0" r="6350" b="6985"/>
            <wp:docPr id="14" name="Picture 14" descr="Decision tree for estimating emissions from gaseous fuel combustion. If 1,000 cubic metres or more of a fuel is combusted to produce electricity, carbon dioxide (CO₂) emissions can be estimated using Method 2 (Division 2.3.3), Method 3 (Division 2.3.4) or Method 4 (Part 1.3) when the activity meets subsection 2.19(3) of the NGER Measurement Determination. Otherwise, Method 1 (Division 2.3.2), Method 2, Method 3 or Method 4 may be used. Methane (CH₄) emissions may be estimated using Method 1 (Division 2.3.2) or Method 2 (Division 2.3.3). Nitrous oxide (N₂O) emissions must use Method 1 (Division 2.3.2). If less than 1,000 cubic metres of fuel is combusted, reporting is no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cision tree for estimating emissions from gaseous fuel combustion. If 1,000 cubic metres or more of a fuel is combusted to produce electricity, carbon dioxide (CO₂) emissions can be estimated using Method 2 (Division 2.3.3), Method 3 (Division 2.3.4) or Method 4 (Part 1.3) when the activity meets subsection 2.19(3) of the NGER Measurement Determination. Otherwise, Method 1 (Division 2.3.2), Method 2, Method 3 or Method 4 may be used. Methane (CH₄) emissions may be estimated using Method 1 (Division 2.3.2) or Method 2 (Division 2.3.3). Nitrous oxide (N₂O) emissions must use Method 1 (Division 2.3.2). If less than 1,000 cubic metres of fuel is combusted, reporting is not required."/>
                    <pic:cNvPicPr/>
                  </pic:nvPicPr>
                  <pic:blipFill>
                    <a:blip r:embed="rId36"/>
                    <a:stretch>
                      <a:fillRect/>
                    </a:stretch>
                  </pic:blipFill>
                  <pic:spPr>
                    <a:xfrm>
                      <a:off x="0" y="0"/>
                      <a:ext cx="6184900" cy="4279265"/>
                    </a:xfrm>
                    <a:prstGeom prst="rect">
                      <a:avLst/>
                    </a:prstGeom>
                  </pic:spPr>
                </pic:pic>
              </a:graphicData>
            </a:graphic>
          </wp:inline>
        </w:drawing>
      </w:r>
    </w:p>
    <w:p w14:paraId="5855C532" w14:textId="68496CC3" w:rsidR="00A57A5C" w:rsidRDefault="00A57A5C" w:rsidP="00A57A5C">
      <w:r w:rsidRPr="00FF338C">
        <w:t xml:space="preserve">For </w:t>
      </w:r>
      <w:r w:rsidR="0C337204">
        <w:t>M</w:t>
      </w:r>
      <w:r w:rsidRPr="00FF338C">
        <w:t>ethod</w:t>
      </w:r>
      <w:r>
        <w:t>s</w:t>
      </w:r>
      <w:r w:rsidRPr="00FF338C">
        <w:t xml:space="preserve"> 1, 2 and 3</w:t>
      </w:r>
      <w:r>
        <w:t>,</w:t>
      </w:r>
      <w:r w:rsidRPr="00FF338C">
        <w:t xml:space="preserve"> fuel quantities of gaseous fuels combusted should be measured per Division 2.3.6 in the </w:t>
      </w:r>
      <w:r>
        <w:t>NGER Measurement Determination</w:t>
      </w:r>
      <w:r w:rsidRPr="00FF338C">
        <w:t xml:space="preserve">. </w:t>
      </w:r>
      <w:r>
        <w:t xml:space="preserve">See </w:t>
      </w:r>
      <w:hyperlink w:anchor="_Measurement_requirements">
        <w:r w:rsidR="001B7109">
          <w:rPr>
            <w:rStyle w:val="Hyperlink"/>
            <w:rFonts w:asciiTheme="minorHAnsi" w:hAnsiTheme="minorHAnsi"/>
          </w:rPr>
          <w:t>Chapter 8</w:t>
        </w:r>
      </w:hyperlink>
      <w:r w:rsidRPr="00FF338C">
        <w:t xml:space="preserve"> </w:t>
      </w:r>
      <w:r>
        <w:t xml:space="preserve">of this guideline for more information on </w:t>
      </w:r>
      <w:r w:rsidRPr="00FF338C">
        <w:t>measurement requirements.</w:t>
      </w:r>
    </w:p>
    <w:p w14:paraId="0CA7619C" w14:textId="78AA23CA" w:rsidR="00E92CA0" w:rsidRDefault="008801E1" w:rsidP="008801E1">
      <w:r>
        <w:t xml:space="preserve">The energy content factor used to estimate emissions under </w:t>
      </w:r>
      <w:r w:rsidR="368C91C3">
        <w:t>M</w:t>
      </w:r>
      <w:r>
        <w:t xml:space="preserve">ethod 1, 2 </w:t>
      </w:r>
      <w:r w:rsidR="00272AB2">
        <w:t>and</w:t>
      </w:r>
      <w:r>
        <w:t xml:space="preserve"> 3 can either be</w:t>
      </w:r>
      <w:r w:rsidR="00E92CA0">
        <w:t>:</w:t>
      </w:r>
      <w:r>
        <w:t xml:space="preserve"> </w:t>
      </w:r>
    </w:p>
    <w:p w14:paraId="3560EBC3" w14:textId="1C527CF4" w:rsidR="00E92CA0" w:rsidRDefault="008801E1" w:rsidP="00E92CA0">
      <w:pPr>
        <w:pStyle w:val="CERbullets"/>
      </w:pPr>
      <w:r>
        <w:t xml:space="preserve">taken from Part </w:t>
      </w:r>
      <w:r w:rsidR="002C5826">
        <w:t>2</w:t>
      </w:r>
      <w:r>
        <w:t xml:space="preserve"> of Schedule </w:t>
      </w:r>
      <w:r w:rsidR="00A57A5C">
        <w:t>1 of the NGER Measurement Determination</w:t>
      </w:r>
      <w:r>
        <w:t xml:space="preserve"> </w:t>
      </w:r>
    </w:p>
    <w:p w14:paraId="6BCBEA38" w14:textId="0C41C025" w:rsidR="008801E1" w:rsidRDefault="008801E1" w:rsidP="00E92CA0">
      <w:pPr>
        <w:pStyle w:val="CERbullets"/>
      </w:pPr>
      <w:r>
        <w:t xml:space="preserve">estimated via analysis of the fuel in accordance with the standard listed in </w:t>
      </w:r>
      <w:r w:rsidR="00280E6D">
        <w:t>Subdivision 2.3.3.2</w:t>
      </w:r>
      <w:r>
        <w:t xml:space="preserve"> of the NGER Measurement Determination, or equivalent</w:t>
      </w:r>
    </w:p>
    <w:p w14:paraId="64ECEF9F" w14:textId="1AB31FD9" w:rsidR="00E92CA0" w:rsidRDefault="00FB2104" w:rsidP="00D2141E">
      <w:pPr>
        <w:pStyle w:val="CERbullets"/>
      </w:pPr>
      <w:r>
        <w:t xml:space="preserve">equal to </w:t>
      </w:r>
      <w:r w:rsidR="00F947A4">
        <w:t xml:space="preserve">one, if the </w:t>
      </w:r>
      <w:r w:rsidR="00395DE9">
        <w:t>quantity of fuel has been measured in GJ.</w:t>
      </w:r>
    </w:p>
    <w:p w14:paraId="15D0B932" w14:textId="10EC4226" w:rsidR="00E37251" w:rsidRDefault="008801E1" w:rsidP="00D2141E">
      <w:pPr>
        <w:spacing w:before="240"/>
      </w:pPr>
      <w:r>
        <w:t xml:space="preserve">If performing analysis to determine an energy content factor, see </w:t>
      </w:r>
      <w:r>
        <w:fldChar w:fldCharType="begin" w:fldLock="1"/>
      </w:r>
      <w:r>
        <w:instrText>REF _Ref199338788</w:instrText>
      </w:r>
      <w:r>
        <w:fldChar w:fldCharType="separate"/>
      </w:r>
      <w:r w:rsidR="006C799F">
        <w:t xml:space="preserve">Table </w:t>
      </w:r>
      <w:r w:rsidR="006C799F">
        <w:rPr>
          <w:noProof/>
        </w:rPr>
        <w:t>7</w:t>
      </w:r>
      <w:r>
        <w:fldChar w:fldCharType="end"/>
      </w:r>
      <w:r w:rsidR="006C799F">
        <w:t xml:space="preserve"> </w:t>
      </w:r>
      <w:r>
        <w:t xml:space="preserve">and </w:t>
      </w:r>
      <w:r>
        <w:fldChar w:fldCharType="begin" w:fldLock="1"/>
      </w:r>
      <w:r>
        <w:instrText>REF _Ref199338824</w:instrText>
      </w:r>
      <w:r>
        <w:fldChar w:fldCharType="separate"/>
      </w:r>
      <w:r w:rsidR="006C799F">
        <w:t xml:space="preserve">Table </w:t>
      </w:r>
      <w:r w:rsidR="006C799F">
        <w:rPr>
          <w:noProof/>
        </w:rPr>
        <w:t>8</w:t>
      </w:r>
      <w:r>
        <w:fldChar w:fldCharType="end"/>
      </w:r>
      <w:r w:rsidR="006C799F">
        <w:t xml:space="preserve"> </w:t>
      </w:r>
      <w:r>
        <w:t>for further information.</w:t>
      </w:r>
    </w:p>
    <w:p w14:paraId="6D7B022D" w14:textId="3CFD7E22" w:rsidR="00A57A5C" w:rsidRDefault="00A57A5C" w:rsidP="00A57A5C">
      <w:r>
        <w:t>Method 1, set out in Division 2.3.</w:t>
      </w:r>
      <w:r w:rsidR="00914176">
        <w:t>2</w:t>
      </w:r>
      <w:r>
        <w:t xml:space="preserve"> of the NGER Measurement Determination, uses the default emission factors set out in Schedule 1 of the NGER Measurement Determination. Method 1 is the only method available for estimation of emissions of methane and nitrous oxide from the combustion of gaseous fuels. Method 1 may be used for estimating emissions of carbon dioxide, subject to the criteria in subsection 2.19(3) of the NGER Measurement Determination. </w:t>
      </w:r>
      <w:r w:rsidR="451A786B">
        <w:t>M</w:t>
      </w:r>
      <w:r w:rsidR="0ADF0A35">
        <w:t>ethod 1 must not be used if</w:t>
      </w:r>
      <w:r>
        <w:t xml:space="preserve">: </w:t>
      </w:r>
    </w:p>
    <w:p w14:paraId="474879A4" w14:textId="2F69FCFC" w:rsidR="00544453" w:rsidRDefault="00A57A5C" w:rsidP="00544453">
      <w:pPr>
        <w:pStyle w:val="CERbullets"/>
      </w:pPr>
      <w:r w:rsidRPr="006138F0">
        <w:t xml:space="preserve">the </w:t>
      </w:r>
      <w:r w:rsidR="00544453" w:rsidRPr="006138F0">
        <w:t>principal activity of the facility is electricity generation (ANZSIC industry classification code 2611)</w:t>
      </w:r>
    </w:p>
    <w:p w14:paraId="230F7195" w14:textId="2D6BB48B" w:rsidR="00A57A5C" w:rsidRPr="00FF338C" w:rsidRDefault="00A57A5C" w:rsidP="00A57A5C">
      <w:pPr>
        <w:pStyle w:val="CERbullets"/>
      </w:pPr>
      <w:r>
        <w:t xml:space="preserve">the </w:t>
      </w:r>
      <w:r w:rsidR="00AB7434">
        <w:t>total</w:t>
      </w:r>
      <w:r w:rsidRPr="006138F0">
        <w:t xml:space="preserve"> capacity of all generating units at the facility is 30</w:t>
      </w:r>
      <w:r w:rsidR="008963C2">
        <w:t> </w:t>
      </w:r>
      <w:r w:rsidRPr="006138F0">
        <w:t>MW or more</w:t>
      </w:r>
    </w:p>
    <w:p w14:paraId="6B9E947D" w14:textId="75118847" w:rsidR="00A57A5C" w:rsidRDefault="00A57A5C" w:rsidP="00A57A5C">
      <w:pPr>
        <w:pStyle w:val="CERbullets"/>
      </w:pPr>
      <w:r w:rsidRPr="006138F0">
        <w:t>the</w:t>
      </w:r>
      <w:r>
        <w:t xml:space="preserve"> facility generates more than 50,000</w:t>
      </w:r>
      <w:r w:rsidR="008963C2">
        <w:t> </w:t>
      </w:r>
      <w:r>
        <w:t>MWh in a reporting year.</w:t>
      </w:r>
    </w:p>
    <w:p w14:paraId="3DB36F47" w14:textId="77777777" w:rsidR="00A57A5C" w:rsidRPr="00FF338C" w:rsidRDefault="00A57A5C" w:rsidP="00B3330E">
      <w:pPr>
        <w:pStyle w:val="Heading3"/>
        <w:numPr>
          <w:ilvl w:val="2"/>
          <w:numId w:val="3"/>
        </w:numPr>
        <w:ind w:left="505" w:hanging="505"/>
        <w:rPr>
          <w:lang w:val="en-GB"/>
        </w:rPr>
      </w:pPr>
      <w:bookmarkStart w:id="140" w:name="_Sampling_and_analysis"/>
      <w:bookmarkStart w:id="141" w:name="_Ref511917520"/>
      <w:bookmarkStart w:id="142" w:name="_Ref511988321"/>
      <w:bookmarkStart w:id="143" w:name="_Toc512010398"/>
      <w:bookmarkStart w:id="144" w:name="_Toc512339596"/>
      <w:bookmarkStart w:id="145" w:name="_Toc235706317"/>
      <w:bookmarkEnd w:id="140"/>
      <w:r w:rsidRPr="00FF338C">
        <w:rPr>
          <w:lang w:val="en-GB"/>
        </w:rPr>
        <w:lastRenderedPageBreak/>
        <w:t>Sampling and analysis requirements for Methods 2 and 3 for gaseous fuels</w:t>
      </w:r>
      <w:bookmarkEnd w:id="141"/>
      <w:bookmarkEnd w:id="142"/>
      <w:bookmarkEnd w:id="143"/>
      <w:bookmarkEnd w:id="144"/>
      <w:bookmarkEnd w:id="145"/>
    </w:p>
    <w:p w14:paraId="27C0D7FA" w14:textId="6B0ACD26" w:rsidR="00A57A5C" w:rsidRPr="00FF338C" w:rsidRDefault="00A57A5C" w:rsidP="00A57A5C">
      <w:r w:rsidRPr="00FF338C">
        <w:t xml:space="preserve">Sampling and analysis should be undertaken for the parameters listed and at the frequencies indicated in </w:t>
      </w:r>
      <w:r>
        <w:fldChar w:fldCharType="begin" w:fldLock="1"/>
      </w:r>
      <w:r>
        <w:instrText>REF _Ref199338788</w:instrText>
      </w:r>
      <w:r>
        <w:fldChar w:fldCharType="separate"/>
      </w:r>
      <w:r w:rsidR="006C799F">
        <w:t xml:space="preserve">Table </w:t>
      </w:r>
      <w:r w:rsidR="006C799F">
        <w:rPr>
          <w:noProof/>
        </w:rPr>
        <w:t>7</w:t>
      </w:r>
      <w:r>
        <w:fldChar w:fldCharType="end"/>
      </w:r>
      <w:r w:rsidR="006C799F">
        <w:t xml:space="preserve"> and </w:t>
      </w:r>
      <w:r>
        <w:fldChar w:fldCharType="begin" w:fldLock="1"/>
      </w:r>
      <w:r>
        <w:instrText>REF _Ref199338824</w:instrText>
      </w:r>
      <w:r>
        <w:fldChar w:fldCharType="separate"/>
      </w:r>
      <w:r w:rsidR="006C799F">
        <w:t xml:space="preserve">Table </w:t>
      </w:r>
      <w:r w:rsidR="006C799F">
        <w:rPr>
          <w:noProof/>
        </w:rPr>
        <w:t>8</w:t>
      </w:r>
      <w:r>
        <w:fldChar w:fldCharType="end"/>
      </w:r>
      <w:r w:rsidRPr="00FF338C">
        <w:t xml:space="preserve">as per the following divisions of the </w:t>
      </w:r>
      <w:r>
        <w:t>NGER Measurement Determination</w:t>
      </w:r>
      <w:r w:rsidRPr="00FF338C">
        <w:t>:</w:t>
      </w:r>
    </w:p>
    <w:p w14:paraId="2C2A5BDA" w14:textId="77777777" w:rsidR="00A57A5C" w:rsidRPr="00FF338C" w:rsidRDefault="00A57A5C" w:rsidP="00A57A5C">
      <w:pPr>
        <w:pStyle w:val="CERbullets"/>
      </w:pPr>
      <w:r w:rsidRPr="00FF338C">
        <w:t>Method 2: Subdivision 2.3.3.2 (CO</w:t>
      </w:r>
      <w:r w:rsidRPr="00FF338C">
        <w:rPr>
          <w:vertAlign w:val="subscript"/>
        </w:rPr>
        <w:t>2</w:t>
      </w:r>
      <w:r w:rsidRPr="00FF338C">
        <w:t>), and Division 2.3.5 (CH</w:t>
      </w:r>
      <w:r w:rsidRPr="00FF338C">
        <w:rPr>
          <w:vertAlign w:val="subscript"/>
        </w:rPr>
        <w:t>4</w:t>
      </w:r>
      <w:r w:rsidRPr="00FF338C">
        <w:t>).</w:t>
      </w:r>
    </w:p>
    <w:p w14:paraId="70127F5A" w14:textId="77777777" w:rsidR="00A57A5C" w:rsidRPr="00FF338C" w:rsidRDefault="00A57A5C" w:rsidP="00A57A5C">
      <w:pPr>
        <w:pStyle w:val="CERbullets"/>
      </w:pPr>
      <w:bookmarkStart w:id="146" w:name="_Hlk75261883"/>
      <w:r w:rsidRPr="00FF338C">
        <w:t>Method 3: Division 2.3.4.</w:t>
      </w:r>
    </w:p>
    <w:bookmarkEnd w:id="146"/>
    <w:p w14:paraId="10AC92A3" w14:textId="77777777" w:rsidR="00A57A5C" w:rsidRPr="00FF338C" w:rsidRDefault="00A57A5C" w:rsidP="00A57A5C">
      <w:r w:rsidRPr="00FF338C">
        <w:t xml:space="preserve">An accredited laboratory or similar laboratory complying with </w:t>
      </w:r>
      <w:r>
        <w:t>I</w:t>
      </w:r>
      <w:r w:rsidRPr="009752E3">
        <w:t xml:space="preserve">nternational Organization for Standardization </w:t>
      </w:r>
      <w:r>
        <w:t>(</w:t>
      </w:r>
      <w:r w:rsidRPr="00FF338C">
        <w:t>ISO</w:t>
      </w:r>
      <w:r>
        <w:t>)</w:t>
      </w:r>
      <w:r w:rsidRPr="00FF338C">
        <w:t xml:space="preserve"> 17025 should be used to conduct gas analysis. If an online analyser is used, it </w:t>
      </w:r>
      <w:r>
        <w:t>must</w:t>
      </w:r>
      <w:r w:rsidRPr="00FF338C">
        <w:t xml:space="preserve"> be calibrated in line with an appropriate standard </w:t>
      </w:r>
      <w:r>
        <w:t xml:space="preserve">– </w:t>
      </w:r>
      <w:r w:rsidRPr="00FF338C">
        <w:t>for example, ISO 6975:1997.</w:t>
      </w:r>
    </w:p>
    <w:p w14:paraId="47824344" w14:textId="77777777" w:rsidR="00A57A5C" w:rsidRPr="00FF338C" w:rsidRDefault="00A57A5C" w:rsidP="00A57A5C">
      <w:r w:rsidRPr="00FF338C">
        <w:t>The density of a gaseous fuel must be analysed in accordance with ISO 6976:1995 or in accordance with a standard that is equivalent to that standard.</w:t>
      </w:r>
    </w:p>
    <w:p w14:paraId="703B2951" w14:textId="5FFD0597" w:rsidR="008C4A6A" w:rsidRDefault="008C4A6A" w:rsidP="009A0F87">
      <w:pPr>
        <w:pStyle w:val="Caption"/>
        <w:keepNext/>
      </w:pPr>
      <w:bookmarkStart w:id="147" w:name="_Ref199338788"/>
      <w:r>
        <w:t xml:space="preserve">Table </w:t>
      </w:r>
      <w:r>
        <w:fldChar w:fldCharType="begin"/>
      </w:r>
      <w:r>
        <w:instrText>SEQ Table \* ARABIC</w:instrText>
      </w:r>
      <w:r>
        <w:fldChar w:fldCharType="separate"/>
      </w:r>
      <w:r w:rsidR="0069639D">
        <w:rPr>
          <w:noProof/>
        </w:rPr>
        <w:t>7</w:t>
      </w:r>
      <w:r>
        <w:fldChar w:fldCharType="end"/>
      </w:r>
      <w:bookmarkEnd w:id="147"/>
      <w:r>
        <w:t xml:space="preserve"> </w:t>
      </w:r>
      <w:r w:rsidRPr="006379A0">
        <w:t>– Gaseous fuel sampling and analysis frequency – Pipeline quality gases.</w:t>
      </w:r>
    </w:p>
    <w:tbl>
      <w:tblPr>
        <w:tblStyle w:val="CERTable"/>
        <w:tblW w:w="5000" w:type="pct"/>
        <w:tblLook w:val="04A0" w:firstRow="1" w:lastRow="0" w:firstColumn="1" w:lastColumn="0" w:noHBand="0" w:noVBand="1"/>
      </w:tblPr>
      <w:tblGrid>
        <w:gridCol w:w="2176"/>
        <w:gridCol w:w="7564"/>
      </w:tblGrid>
      <w:tr w:rsidR="00A57A5C" w:rsidRPr="00C64711" w14:paraId="257D311B" w14:textId="77777777" w:rsidTr="008E6B32">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117" w:type="pct"/>
          </w:tcPr>
          <w:p w14:paraId="2DD36AFC"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Parameter</w:t>
            </w:r>
          </w:p>
        </w:tc>
        <w:tc>
          <w:tcPr>
            <w:tcW w:w="3883" w:type="pct"/>
          </w:tcPr>
          <w:p w14:paraId="22BC1BA4" w14:textId="77777777" w:rsidR="00A57A5C" w:rsidRPr="00872A70" w:rsidRDefault="00A57A5C">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Minimum fuel sampling and analysis frequency </w:t>
            </w:r>
          </w:p>
        </w:tc>
      </w:tr>
      <w:tr w:rsidR="00A57A5C" w:rsidRPr="00C64711" w14:paraId="12140132" w14:textId="77777777" w:rsidTr="008E6B32">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117" w:type="pct"/>
          </w:tcPr>
          <w:p w14:paraId="4700B312"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Gas composition</w:t>
            </w:r>
          </w:p>
        </w:tc>
        <w:tc>
          <w:tcPr>
            <w:tcW w:w="3883" w:type="pct"/>
          </w:tcPr>
          <w:p w14:paraId="00E2A657"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Monthly</w:t>
            </w:r>
          </w:p>
        </w:tc>
      </w:tr>
      <w:tr w:rsidR="00A57A5C" w:rsidRPr="00C64711" w14:paraId="0C903F5B" w14:textId="77777777" w:rsidTr="008E6B32">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117" w:type="pct"/>
          </w:tcPr>
          <w:p w14:paraId="247E8760"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Energy content</w:t>
            </w:r>
          </w:p>
        </w:tc>
        <w:tc>
          <w:tcPr>
            <w:tcW w:w="3883" w:type="pct"/>
          </w:tcPr>
          <w:p w14:paraId="251C334C"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Monthly if category 1 or 2 gas measuring equipment used</w:t>
            </w:r>
          </w:p>
          <w:p w14:paraId="45E8BC65"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Continuous if category 3 or 4 gas measuring equipment used</w:t>
            </w:r>
          </w:p>
        </w:tc>
      </w:tr>
    </w:tbl>
    <w:p w14:paraId="3A7EB0D9" w14:textId="77777777" w:rsidR="000D1C5C" w:rsidRDefault="000D1C5C" w:rsidP="00A57A5C">
      <w:pPr>
        <w:rPr>
          <w:iCs/>
        </w:rPr>
      </w:pPr>
    </w:p>
    <w:p w14:paraId="47343BCF" w14:textId="73EB46DC" w:rsidR="00FD64AC" w:rsidRDefault="000D1C5C" w:rsidP="00A57A5C">
      <w:pPr>
        <w:rPr>
          <w:iCs/>
        </w:rPr>
      </w:pPr>
      <w:r w:rsidRPr="00872A70">
        <w:rPr>
          <w:iCs/>
        </w:rPr>
        <w:t>See section 2.31 of the NGER Measurement Determination for classifications of measuring equipment.</w:t>
      </w:r>
    </w:p>
    <w:p w14:paraId="240A5B69" w14:textId="77777777" w:rsidR="00FD64AC" w:rsidRDefault="00FD64AC">
      <w:pPr>
        <w:spacing w:after="0"/>
        <w:rPr>
          <w:iCs/>
        </w:rPr>
      </w:pPr>
      <w:r>
        <w:rPr>
          <w:iCs/>
        </w:rPr>
        <w:br w:type="page"/>
      </w:r>
    </w:p>
    <w:p w14:paraId="29B08501" w14:textId="77777777" w:rsidR="00D66352" w:rsidRDefault="00D66352" w:rsidP="00A57A5C">
      <w:pPr>
        <w:rPr>
          <w:szCs w:val="22"/>
        </w:rPr>
      </w:pPr>
    </w:p>
    <w:p w14:paraId="2D7F3015" w14:textId="38526AA2" w:rsidR="008C4A6A" w:rsidRDefault="008C4A6A" w:rsidP="009A0F87">
      <w:pPr>
        <w:pStyle w:val="Caption"/>
        <w:keepNext/>
      </w:pPr>
      <w:bookmarkStart w:id="148" w:name="_Ref199338824"/>
      <w:r>
        <w:t xml:space="preserve">Table </w:t>
      </w:r>
      <w:r>
        <w:fldChar w:fldCharType="begin"/>
      </w:r>
      <w:r>
        <w:instrText>SEQ Table \* ARABIC</w:instrText>
      </w:r>
      <w:r>
        <w:fldChar w:fldCharType="separate"/>
      </w:r>
      <w:r w:rsidR="0069639D">
        <w:rPr>
          <w:noProof/>
        </w:rPr>
        <w:t>8</w:t>
      </w:r>
      <w:r>
        <w:fldChar w:fldCharType="end"/>
      </w:r>
      <w:bookmarkEnd w:id="148"/>
      <w:r>
        <w:t xml:space="preserve"> </w:t>
      </w:r>
      <w:r w:rsidRPr="00934D14">
        <w:t>– Gaseous fuel sampling and analysis frequency – All other gases (including fugitive emissions).</w:t>
      </w:r>
    </w:p>
    <w:tbl>
      <w:tblPr>
        <w:tblStyle w:val="CERTable"/>
        <w:tblW w:w="5000" w:type="pct"/>
        <w:tblLook w:val="04A0" w:firstRow="1" w:lastRow="0" w:firstColumn="1" w:lastColumn="0" w:noHBand="0" w:noVBand="1"/>
      </w:tblPr>
      <w:tblGrid>
        <w:gridCol w:w="2176"/>
        <w:gridCol w:w="7564"/>
      </w:tblGrid>
      <w:tr w:rsidR="00D66352" w:rsidRPr="00C64711" w14:paraId="776F8C01" w14:textId="77777777" w:rsidTr="008E6B32">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117" w:type="pct"/>
          </w:tcPr>
          <w:p w14:paraId="16867CFC" w14:textId="77777777" w:rsidR="00D66352" w:rsidRPr="00872A70" w:rsidRDefault="00D66352">
            <w:pPr>
              <w:pStyle w:val="Body"/>
              <w:ind w:left="0"/>
              <w:rPr>
                <w:rFonts w:asciiTheme="minorHAnsi" w:hAnsiTheme="minorHAnsi"/>
                <w:sz w:val="22"/>
                <w:szCs w:val="22"/>
              </w:rPr>
            </w:pPr>
            <w:r w:rsidRPr="00872A70">
              <w:rPr>
                <w:rFonts w:asciiTheme="minorHAnsi" w:hAnsiTheme="minorHAnsi"/>
                <w:sz w:val="22"/>
                <w:szCs w:val="22"/>
              </w:rPr>
              <w:t>Parameter</w:t>
            </w:r>
          </w:p>
        </w:tc>
        <w:tc>
          <w:tcPr>
            <w:tcW w:w="3883" w:type="pct"/>
          </w:tcPr>
          <w:p w14:paraId="407584AC" w14:textId="77777777" w:rsidR="00D66352" w:rsidRPr="00872A70" w:rsidRDefault="00D66352">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Minimum fuel sampling and analysis frequency </w:t>
            </w:r>
          </w:p>
        </w:tc>
      </w:tr>
      <w:tr w:rsidR="00D66352" w:rsidRPr="00C64711" w14:paraId="7CF119D0" w14:textId="77777777" w:rsidTr="008E6B32">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117" w:type="pct"/>
          </w:tcPr>
          <w:p w14:paraId="3F3C0CFF" w14:textId="77777777" w:rsidR="00D66352" w:rsidRPr="00872A70" w:rsidRDefault="00D66352">
            <w:pPr>
              <w:pStyle w:val="Body"/>
              <w:ind w:left="0"/>
              <w:rPr>
                <w:rFonts w:asciiTheme="minorHAnsi" w:hAnsiTheme="minorHAnsi"/>
                <w:sz w:val="22"/>
                <w:szCs w:val="22"/>
              </w:rPr>
            </w:pPr>
            <w:r w:rsidRPr="00872A70">
              <w:rPr>
                <w:rFonts w:asciiTheme="minorHAnsi" w:hAnsiTheme="minorHAnsi"/>
                <w:sz w:val="22"/>
                <w:szCs w:val="22"/>
              </w:rPr>
              <w:t xml:space="preserve">Gas composition </w:t>
            </w:r>
          </w:p>
        </w:tc>
        <w:tc>
          <w:tcPr>
            <w:tcW w:w="3883" w:type="pct"/>
          </w:tcPr>
          <w:p w14:paraId="7DCB57B8" w14:textId="77777777" w:rsidR="00D66352" w:rsidRPr="00872A70" w:rsidRDefault="00D66352">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Monthly</w:t>
            </w:r>
          </w:p>
        </w:tc>
      </w:tr>
      <w:tr w:rsidR="00D66352" w:rsidRPr="00C64711" w14:paraId="2A8D34DA" w14:textId="77777777" w:rsidTr="008E6B32">
        <w:trPr>
          <w:cnfStyle w:val="000000010000" w:firstRow="0" w:lastRow="0" w:firstColumn="0" w:lastColumn="0" w:oddVBand="0" w:evenVBand="0" w:oddHBand="0" w:evenHBand="1"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117" w:type="pct"/>
            <w:tcBorders>
              <w:bottom w:val="single" w:sz="8" w:space="0" w:color="E8E8E8" w:themeColor="background2"/>
            </w:tcBorders>
          </w:tcPr>
          <w:p w14:paraId="48783706" w14:textId="77777777" w:rsidR="00D66352" w:rsidRPr="00872A70" w:rsidRDefault="00D66352">
            <w:pPr>
              <w:pStyle w:val="Body"/>
              <w:ind w:left="0"/>
              <w:rPr>
                <w:rFonts w:asciiTheme="minorHAnsi" w:hAnsiTheme="minorHAnsi"/>
                <w:sz w:val="22"/>
                <w:szCs w:val="22"/>
              </w:rPr>
            </w:pPr>
            <w:r w:rsidRPr="00872A70">
              <w:rPr>
                <w:rFonts w:asciiTheme="minorHAnsi" w:hAnsiTheme="minorHAnsi"/>
                <w:sz w:val="22"/>
                <w:szCs w:val="22"/>
              </w:rPr>
              <w:t>Energy content</w:t>
            </w:r>
          </w:p>
        </w:tc>
        <w:tc>
          <w:tcPr>
            <w:tcW w:w="3883" w:type="pct"/>
            <w:tcBorders>
              <w:bottom w:val="single" w:sz="8" w:space="0" w:color="E8E8E8" w:themeColor="background2"/>
            </w:tcBorders>
          </w:tcPr>
          <w:p w14:paraId="46E3C1C3" w14:textId="77777777" w:rsidR="00D66352" w:rsidRPr="00872A70" w:rsidRDefault="00D66352">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Monthly</w:t>
            </w:r>
          </w:p>
        </w:tc>
      </w:tr>
      <w:tr w:rsidR="00503817" w:rsidRPr="00C64711" w14:paraId="502AB7FD" w14:textId="77777777" w:rsidTr="008E6B32">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117" w:type="pct"/>
            <w:tcBorders>
              <w:top w:val="single" w:sz="8" w:space="0" w:color="E8E8E8" w:themeColor="background2"/>
              <w:bottom w:val="single" w:sz="4" w:space="0" w:color="FCBA5C" w:themeColor="accent2"/>
            </w:tcBorders>
          </w:tcPr>
          <w:p w14:paraId="06314EF7" w14:textId="77777777" w:rsidR="00D66352" w:rsidRPr="00872A70" w:rsidRDefault="00D66352">
            <w:pPr>
              <w:pStyle w:val="Body"/>
              <w:ind w:left="0"/>
              <w:rPr>
                <w:rFonts w:asciiTheme="minorHAnsi" w:hAnsiTheme="minorHAnsi"/>
                <w:sz w:val="22"/>
                <w:szCs w:val="22"/>
              </w:rPr>
            </w:pPr>
            <w:r w:rsidRPr="00872A70">
              <w:rPr>
                <w:rFonts w:asciiTheme="minorHAnsi" w:hAnsiTheme="minorHAnsi"/>
                <w:sz w:val="22"/>
                <w:szCs w:val="22"/>
              </w:rPr>
              <w:t>Exception</w:t>
            </w:r>
          </w:p>
        </w:tc>
        <w:tc>
          <w:tcPr>
            <w:tcW w:w="3883" w:type="pct"/>
            <w:tcBorders>
              <w:top w:val="single" w:sz="8" w:space="0" w:color="E8E8E8" w:themeColor="background2"/>
              <w:bottom w:val="single" w:sz="4" w:space="0" w:color="FCBA5C" w:themeColor="accent2"/>
            </w:tcBorders>
          </w:tcPr>
          <w:p w14:paraId="2CAEFCF3" w14:textId="5272AB83" w:rsidR="00D66352" w:rsidRPr="00872A70" w:rsidRDefault="00D66352">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If a reporter certifies in writing that such frequency of analysis will cause significant hardship or expense, the analysis may be undertaken at a frequency that will allow an unbiased estimate to be obtained</w:t>
            </w:r>
          </w:p>
        </w:tc>
      </w:tr>
    </w:tbl>
    <w:p w14:paraId="39394850" w14:textId="77777777" w:rsidR="00D66352" w:rsidRDefault="00D66352" w:rsidP="00A57A5C">
      <w:pPr>
        <w:rPr>
          <w:iCs/>
        </w:rPr>
      </w:pPr>
    </w:p>
    <w:p w14:paraId="2B0BE21C" w14:textId="77777777" w:rsidR="00A57A5C" w:rsidRPr="00FF338C" w:rsidRDefault="00A57A5C" w:rsidP="00A57A5C">
      <w:r w:rsidRPr="00532F92">
        <w:rPr>
          <w:bCs/>
        </w:rPr>
        <w:t>Note: Gaseous</w:t>
      </w:r>
      <w:r w:rsidRPr="00FF338C">
        <w:t xml:space="preserve"> fuel is typically delivered with set energy content specifications. Whilst these specifications can be useful to sense-check fuel sampling and analysis, they may not meet the NGER requirements for fuel sampling and analysis. </w:t>
      </w:r>
      <w:r>
        <w:t>T</w:t>
      </w:r>
      <w:r w:rsidRPr="00FF338C">
        <w:t xml:space="preserve">he reporter should establish and document that sufficient fuel sampling and analysis has been performed. Alternatively, the reporter can use the default energy content factor for the fuel type specified in Part 2 of Schedule 1 of the </w:t>
      </w:r>
      <w:r>
        <w:t>NGER Measurement Determination</w:t>
      </w:r>
      <w:r w:rsidRPr="00FF338C">
        <w:t>.</w:t>
      </w:r>
    </w:p>
    <w:p w14:paraId="01EE1F7F" w14:textId="77777777" w:rsidR="00A57A5C" w:rsidRPr="00FF338C" w:rsidRDefault="00A57A5C" w:rsidP="00A57A5C">
      <w:pPr>
        <w:pStyle w:val="Heading4"/>
      </w:pPr>
      <w:bookmarkStart w:id="149" w:name="_Toc235706318"/>
      <w:r w:rsidRPr="00FF338C">
        <w:t>Bias testing</w:t>
      </w:r>
      <w:bookmarkEnd w:id="149"/>
    </w:p>
    <w:p w14:paraId="273AFE04" w14:textId="77777777" w:rsidR="00A57A5C" w:rsidRPr="00FF338C" w:rsidRDefault="00A57A5C" w:rsidP="00A57A5C">
      <w:r w:rsidRPr="00FF338C">
        <w:t>Samples</w:t>
      </w:r>
      <w:r w:rsidRPr="00FF338C" w:rsidDel="00B876E6">
        <w:t xml:space="preserve"> </w:t>
      </w:r>
      <w:r>
        <w:t>must</w:t>
      </w:r>
      <w:r w:rsidRPr="00FF338C">
        <w:t xml:space="preserve"> be </w:t>
      </w:r>
      <w:r>
        <w:t>‘</w:t>
      </w:r>
      <w:r w:rsidRPr="00FF338C">
        <w:t>free of bias so that any estimates are neither over nor under</w:t>
      </w:r>
      <w:r>
        <w:t>-</w:t>
      </w:r>
      <w:r w:rsidRPr="00FF338C">
        <w:t>estimates of the true value</w:t>
      </w:r>
      <w:r>
        <w:t>’, per s</w:t>
      </w:r>
      <w:r w:rsidRPr="00FF338C">
        <w:t xml:space="preserve">ection 2.44 of the </w:t>
      </w:r>
      <w:r>
        <w:t>NGER Measurement Determination</w:t>
      </w:r>
      <w:r w:rsidRPr="00FF338C">
        <w:t xml:space="preserve">. </w:t>
      </w:r>
    </w:p>
    <w:p w14:paraId="1D2F9FBF" w14:textId="77777777" w:rsidR="00A57A5C" w:rsidRPr="00FF338C" w:rsidRDefault="00A57A5C" w:rsidP="00A57A5C">
      <w:r w:rsidRPr="00FF338C">
        <w:t xml:space="preserve">Bias is less likely to occur in the sampling and analysis of gaseous fuels. If you are aware of bias, it must be eliminated where possible. Following the implementation of measures to eliminate bias, the presence of residual bias </w:t>
      </w:r>
      <w:r>
        <w:t>must</w:t>
      </w:r>
      <w:r w:rsidRPr="00FF338C">
        <w:t xml:space="preserve"> be retested and assessed. If any remaining bias exists which cannot feasibly be eliminated, data </w:t>
      </w:r>
      <w:r>
        <w:t>must</w:t>
      </w:r>
      <w:r w:rsidRPr="00FF338C">
        <w:t xml:space="preserve"> be corrected to account for the bias, the corrections documented</w:t>
      </w:r>
      <w:r>
        <w:t>,</w:t>
      </w:r>
      <w:r w:rsidRPr="00FF338C">
        <w:t xml:space="preserve"> and </w:t>
      </w:r>
      <w:r>
        <w:t xml:space="preserve">the </w:t>
      </w:r>
      <w:r w:rsidRPr="00FF338C">
        <w:t>records kept.</w:t>
      </w:r>
    </w:p>
    <w:p w14:paraId="34E900CB" w14:textId="77777777" w:rsidR="00FD64AC" w:rsidRDefault="00FD64AC">
      <w:pPr>
        <w:spacing w:after="0"/>
        <w:rPr>
          <w:rFonts w:asciiTheme="majorHAnsi" w:eastAsia="Times New Roman" w:hAnsiTheme="majorHAnsi"/>
          <w:b/>
          <w:bCs/>
          <w:sz w:val="32"/>
          <w:szCs w:val="32"/>
        </w:rPr>
      </w:pPr>
      <w:bookmarkStart w:id="150" w:name="_Emissions_from_combustion_1"/>
      <w:bookmarkStart w:id="151" w:name="_Toc512010399"/>
      <w:bookmarkStart w:id="152" w:name="_Toc512339597"/>
      <w:bookmarkStart w:id="153" w:name="_Toc106705759"/>
      <w:bookmarkEnd w:id="150"/>
      <w:r>
        <w:br w:type="page"/>
      </w:r>
    </w:p>
    <w:p w14:paraId="47102705" w14:textId="2E455560" w:rsidR="00A57A5C" w:rsidRPr="00FF338C" w:rsidRDefault="00A57A5C" w:rsidP="00DB4B56">
      <w:pPr>
        <w:pStyle w:val="Heading2"/>
        <w:numPr>
          <w:ilvl w:val="1"/>
          <w:numId w:val="3"/>
        </w:numPr>
        <w:ind w:left="426" w:hanging="426"/>
      </w:pPr>
      <w:bookmarkStart w:id="154" w:name="_Toc235706319"/>
      <w:r w:rsidRPr="00FF338C">
        <w:lastRenderedPageBreak/>
        <w:t>Emissions from combustion of liquid fuels</w:t>
      </w:r>
      <w:bookmarkEnd w:id="151"/>
      <w:bookmarkEnd w:id="152"/>
      <w:bookmarkEnd w:id="153"/>
      <w:bookmarkEnd w:id="154"/>
    </w:p>
    <w:p w14:paraId="51B5D357" w14:textId="77777777" w:rsidR="00A57A5C" w:rsidRDefault="00A57A5C" w:rsidP="00A57A5C">
      <w:r w:rsidRPr="00FF338C">
        <w:t>In the electricity sector, liquid fuels can be combusted for generation purposes or in other equipment – including for transport purposes</w:t>
      </w:r>
      <w:r>
        <w:t xml:space="preserve">, </w:t>
      </w:r>
      <w:r w:rsidRPr="00FF338C">
        <w:t>for example</w:t>
      </w:r>
      <w:r>
        <w:t>,</w:t>
      </w:r>
      <w:r w:rsidRPr="00FF338C">
        <w:t xml:space="preserve"> road-registered combustion engine vehicles. The methods available for estimating emissions from the combustion of liquid fuels are outlined </w:t>
      </w:r>
      <w:r>
        <w:t>below</w:t>
      </w:r>
      <w:r w:rsidRPr="00FF338C">
        <w:t>.</w:t>
      </w:r>
    </w:p>
    <w:p w14:paraId="4779995B" w14:textId="3D96FDF1" w:rsidR="00A57A5C" w:rsidRPr="00227CF6" w:rsidRDefault="00A57A5C" w:rsidP="00A57A5C">
      <w:pPr>
        <w:pStyle w:val="Caption"/>
        <w:rPr>
          <w:noProof/>
          <w:szCs w:val="24"/>
        </w:rPr>
      </w:pPr>
      <w:bookmarkStart w:id="155" w:name="_Ref512240952"/>
      <w:r>
        <w:t xml:space="preserve">Figure </w:t>
      </w:r>
      <w:r>
        <w:fldChar w:fldCharType="begin"/>
      </w:r>
      <w:r>
        <w:instrText>SEQ Figure \* ARABIC</w:instrText>
      </w:r>
      <w:r>
        <w:fldChar w:fldCharType="separate"/>
      </w:r>
      <w:r w:rsidR="0069639D">
        <w:rPr>
          <w:noProof/>
        </w:rPr>
        <w:t>3</w:t>
      </w:r>
      <w:r>
        <w:fldChar w:fldCharType="end"/>
      </w:r>
      <w:bookmarkEnd w:id="155"/>
      <w:r>
        <w:t xml:space="preserve"> – Available methods for estimating emissions from the combustion of liquid fuels</w:t>
      </w:r>
      <w:r w:rsidR="002D44DF">
        <w:t>.</w:t>
      </w:r>
    </w:p>
    <w:p w14:paraId="1EFD0F5A" w14:textId="77777777" w:rsidR="00A57A5C" w:rsidRPr="00FF338C" w:rsidRDefault="00A57A5C" w:rsidP="00A57A5C">
      <w:r>
        <w:rPr>
          <w:noProof/>
          <w:lang w:eastAsia="en-AU"/>
        </w:rPr>
        <w:drawing>
          <wp:inline distT="0" distB="0" distL="0" distR="0" wp14:anchorId="7C356C72" wp14:editId="7180ACA3">
            <wp:extent cx="5048250" cy="3003265"/>
            <wp:effectExtent l="0" t="0" r="0" b="6985"/>
            <wp:docPr id="17" name="Picture 17" descr="Decision tree for estimating emissions from liquid fuel combustion. If 1 kilolitre or more of a liquid fuel is combusted for electricity generation, carbon dioxide (CO₂) emissions may be estimated using Method 1 (Division 2.4.2), Method 2 (Division 2.4.3), Method 3 (Division 2.4.4) or Method 4 (Part 1.3). Methane (CH₄) and nitrous oxide (N₂O) emissions may be estimated using Method 1 (Division 2.4.2) or Method 2 (Division 2.4.5). The same method must be used for both CH₄ and N₂O. If less than 1 kilolitre of fuel is combusted, reporting is no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ecision tree for estimating emissions from liquid fuel combustion. If 1 kilolitre or more of a liquid fuel is combusted for electricity generation, carbon dioxide (CO₂) emissions may be estimated using Method 1 (Division 2.4.2), Method 2 (Division 2.4.3), Method 3 (Division 2.4.4) or Method 4 (Part 1.3). Methane (CH₄) and nitrous oxide (N₂O) emissions may be estimated using Method 1 (Division 2.4.2) or Method 2 (Division 2.4.5). The same method must be used for both CH₄ and N₂O. If less than 1 kilolitre of fuel is combusted, reporting is not required."/>
                    <pic:cNvPicPr>
                      <a:picLocks noChangeAspect="1" noChangeArrowheads="1"/>
                    </pic:cNvPicPr>
                  </pic:nvPicPr>
                  <pic:blipFill>
                    <a:blip r:embed="rId37"/>
                    <a:stretch>
                      <a:fillRect/>
                    </a:stretch>
                  </pic:blipFill>
                  <pic:spPr bwMode="auto">
                    <a:xfrm>
                      <a:off x="0" y="0"/>
                      <a:ext cx="5061507" cy="3011152"/>
                    </a:xfrm>
                    <a:prstGeom prst="rect">
                      <a:avLst/>
                    </a:prstGeom>
                    <a:noFill/>
                  </pic:spPr>
                </pic:pic>
              </a:graphicData>
            </a:graphic>
          </wp:inline>
        </w:drawing>
      </w:r>
    </w:p>
    <w:p w14:paraId="6D42BA9F" w14:textId="10F58C29" w:rsidR="00A57A5C" w:rsidRPr="00FF338C" w:rsidRDefault="00A57A5C" w:rsidP="00A57A5C">
      <w:pPr>
        <w:rPr>
          <w:color w:val="auto"/>
        </w:rPr>
      </w:pPr>
      <w:r w:rsidRPr="00FF338C">
        <w:rPr>
          <w:color w:val="auto"/>
        </w:rPr>
        <w:t xml:space="preserve">Method 1 is available for estimating emissions of carbon dioxide </w:t>
      </w:r>
      <w:r>
        <w:rPr>
          <w:color w:val="auto"/>
        </w:rPr>
        <w:t>for</w:t>
      </w:r>
      <w:r w:rsidRPr="00FF338C">
        <w:rPr>
          <w:color w:val="auto"/>
        </w:rPr>
        <w:t xml:space="preserve"> all liquid fuel power generators. </w:t>
      </w:r>
    </w:p>
    <w:p w14:paraId="33FE582E" w14:textId="1233CA1B" w:rsidR="00A57A5C" w:rsidRDefault="00A57A5C" w:rsidP="00A57A5C">
      <w:r w:rsidRPr="00FF338C">
        <w:t xml:space="preserve">For </w:t>
      </w:r>
      <w:r w:rsidR="792FD118">
        <w:t>M</w:t>
      </w:r>
      <w:r w:rsidRPr="00FF338C">
        <w:t>ethod</w:t>
      </w:r>
      <w:r>
        <w:t>s</w:t>
      </w:r>
      <w:r w:rsidRPr="00FF338C">
        <w:t xml:space="preserve"> 1, 2 and 3</w:t>
      </w:r>
      <w:r w:rsidR="00DF1E7A">
        <w:t>,</w:t>
      </w:r>
      <w:r w:rsidRPr="00FF338C">
        <w:t xml:space="preserve"> fuel quantities of liquid fuels combusted should be measured as per Division 2.4.6 in the </w:t>
      </w:r>
      <w:r>
        <w:t xml:space="preserve">NGER Measurement Determination. See </w:t>
      </w:r>
      <w:hyperlink w:anchor="_Measurement_requirements">
        <w:r w:rsidRPr="225BD912">
          <w:rPr>
            <w:rStyle w:val="Hyperlink"/>
            <w:rFonts w:asciiTheme="minorHAnsi" w:hAnsiTheme="minorHAnsi"/>
          </w:rPr>
          <w:t>Chapter 8</w:t>
        </w:r>
      </w:hyperlink>
      <w:r w:rsidRPr="00FF338C">
        <w:t xml:space="preserve"> </w:t>
      </w:r>
      <w:r>
        <w:t>of this guideline for more information</w:t>
      </w:r>
      <w:r w:rsidRPr="00FF338C">
        <w:t xml:space="preserve">. </w:t>
      </w:r>
    </w:p>
    <w:p w14:paraId="3D5AD8A1" w14:textId="2BDAC933" w:rsidR="00220AF6" w:rsidRDefault="00220AF6" w:rsidP="00220AF6">
      <w:r>
        <w:t xml:space="preserve">The energy content factor used to estimate emissions under </w:t>
      </w:r>
      <w:r w:rsidR="2F51476D">
        <w:t>M</w:t>
      </w:r>
      <w:r>
        <w:t xml:space="preserve">ethod 1, 2 and 3 can either be: </w:t>
      </w:r>
    </w:p>
    <w:p w14:paraId="36C91E84" w14:textId="361BF543" w:rsidR="00BF4D3C" w:rsidRDefault="00220AF6" w:rsidP="00220AF6">
      <w:pPr>
        <w:pStyle w:val="CERbullets"/>
      </w:pPr>
      <w:r>
        <w:t xml:space="preserve">taken from Part </w:t>
      </w:r>
      <w:r w:rsidR="00BF4D3C">
        <w:t>3</w:t>
      </w:r>
      <w:r>
        <w:t xml:space="preserve"> of Schedule 1 of the NGER Measurement Determination</w:t>
      </w:r>
      <w:r w:rsidR="00BF4D3C">
        <w:t xml:space="preserve"> for stationary energy purposes</w:t>
      </w:r>
    </w:p>
    <w:p w14:paraId="10735E0F" w14:textId="59C89251" w:rsidR="00DA1154" w:rsidRDefault="00DA1154" w:rsidP="00220AF6">
      <w:pPr>
        <w:pStyle w:val="CERbullets"/>
      </w:pPr>
      <w:r>
        <w:t>taken from Division 4.1 of Schedule 1 of the NGER Measurement Determination for transport energy purposes</w:t>
      </w:r>
    </w:p>
    <w:p w14:paraId="0CED0B43" w14:textId="49A26465" w:rsidR="00220AF6" w:rsidRPr="00DA1154" w:rsidRDefault="00220AF6" w:rsidP="00D2141E">
      <w:pPr>
        <w:pStyle w:val="CERbullets"/>
      </w:pPr>
      <w:r>
        <w:t>estimated via analysis of the fuel in accordance with the standard listed in Subdivision 2.</w:t>
      </w:r>
      <w:r w:rsidR="00DA1154">
        <w:t>4</w:t>
      </w:r>
      <w:r>
        <w:t>.3.2 of the NGER Measurement Determination or equivalent</w:t>
      </w:r>
      <w:r w:rsidR="000C6D39">
        <w:t>.</w:t>
      </w:r>
    </w:p>
    <w:p w14:paraId="3F899E46" w14:textId="5C74708E" w:rsidR="00A57A5C" w:rsidRPr="00FF338C" w:rsidRDefault="00A57A5C" w:rsidP="00B3330E">
      <w:pPr>
        <w:pStyle w:val="Heading3"/>
        <w:numPr>
          <w:ilvl w:val="2"/>
          <w:numId w:val="3"/>
        </w:numPr>
        <w:ind w:left="505" w:hanging="505"/>
        <w:rPr>
          <w:lang w:val="en-GB"/>
        </w:rPr>
      </w:pPr>
      <w:bookmarkStart w:id="156" w:name="_Sampling_and_analysis_1"/>
      <w:bookmarkStart w:id="157" w:name="_Ref511917530"/>
      <w:bookmarkStart w:id="158" w:name="_Ref511988410"/>
      <w:bookmarkStart w:id="159" w:name="_Toc512010400"/>
      <w:bookmarkStart w:id="160" w:name="_Toc512339598"/>
      <w:bookmarkStart w:id="161" w:name="_Toc235706320"/>
      <w:bookmarkEnd w:id="156"/>
      <w:r w:rsidRPr="00FF338C">
        <w:rPr>
          <w:lang w:val="en-GB"/>
        </w:rPr>
        <w:t xml:space="preserve">Sampling and analysis requirements for </w:t>
      </w:r>
      <w:r w:rsidR="2EB70EE9" w:rsidRPr="371987C6">
        <w:rPr>
          <w:lang w:val="en-GB"/>
        </w:rPr>
        <w:t>M</w:t>
      </w:r>
      <w:r w:rsidRPr="00FF338C">
        <w:rPr>
          <w:lang w:val="en-GB"/>
        </w:rPr>
        <w:t>ethods 2 and 3 for liquid fuels</w:t>
      </w:r>
      <w:bookmarkEnd w:id="157"/>
      <w:bookmarkEnd w:id="158"/>
      <w:bookmarkEnd w:id="159"/>
      <w:bookmarkEnd w:id="160"/>
      <w:bookmarkEnd w:id="161"/>
    </w:p>
    <w:p w14:paraId="1D89BACC" w14:textId="2978677C" w:rsidR="00A57A5C" w:rsidRPr="00FF338C" w:rsidRDefault="00A57A5C" w:rsidP="00A57A5C">
      <w:r w:rsidRPr="00FF338C">
        <w:t xml:space="preserve">Sampling and analysis </w:t>
      </w:r>
      <w:r>
        <w:t>must</w:t>
      </w:r>
      <w:r w:rsidRPr="00FF338C">
        <w:t xml:space="preserve"> be undertaken for the parameters listed and at the frequencies indicated in </w:t>
      </w:r>
      <w:r>
        <w:fldChar w:fldCharType="begin" w:fldLock="1"/>
      </w:r>
      <w:r>
        <w:instrText>REF _Ref199338850</w:instrText>
      </w:r>
      <w:r>
        <w:fldChar w:fldCharType="separate"/>
      </w:r>
      <w:r w:rsidR="006C799F">
        <w:t xml:space="preserve">Table </w:t>
      </w:r>
      <w:r w:rsidR="006C799F">
        <w:rPr>
          <w:noProof/>
        </w:rPr>
        <w:t>9</w:t>
      </w:r>
      <w:r>
        <w:fldChar w:fldCharType="end"/>
      </w:r>
      <w:r w:rsidR="006C799F">
        <w:t xml:space="preserve"> </w:t>
      </w:r>
      <w:r w:rsidRPr="00FF338C">
        <w:t xml:space="preserve">as per the following divisions of the </w:t>
      </w:r>
      <w:r>
        <w:t>NGER Measurement Determination</w:t>
      </w:r>
      <w:r w:rsidRPr="00FF338C">
        <w:t>:</w:t>
      </w:r>
    </w:p>
    <w:p w14:paraId="47CFF601" w14:textId="77777777" w:rsidR="00A57A5C" w:rsidRPr="00FF338C" w:rsidRDefault="00A57A5C" w:rsidP="00A57A5C">
      <w:pPr>
        <w:pStyle w:val="CERbullets"/>
      </w:pPr>
      <w:r w:rsidRPr="00FF338C">
        <w:t>Method 2</w:t>
      </w:r>
      <w:r>
        <w:t xml:space="preserve"> - </w:t>
      </w:r>
      <w:r w:rsidRPr="00FF338C">
        <w:t>Subdivision 2.4.3.2 (CO</w:t>
      </w:r>
      <w:r w:rsidRPr="00FF338C">
        <w:rPr>
          <w:vertAlign w:val="subscript"/>
        </w:rPr>
        <w:t>2</w:t>
      </w:r>
      <w:r w:rsidRPr="00FF338C">
        <w:t>) and Division 2.4.5 (CH</w:t>
      </w:r>
      <w:r w:rsidRPr="00FF338C">
        <w:rPr>
          <w:vertAlign w:val="subscript"/>
        </w:rPr>
        <w:t>4</w:t>
      </w:r>
      <w:r w:rsidRPr="00FF338C">
        <w:t xml:space="preserve"> and N</w:t>
      </w:r>
      <w:r w:rsidRPr="00FF338C">
        <w:rPr>
          <w:vertAlign w:val="subscript"/>
        </w:rPr>
        <w:t>2</w:t>
      </w:r>
      <w:r w:rsidRPr="00FF338C">
        <w:t>O)</w:t>
      </w:r>
    </w:p>
    <w:p w14:paraId="101D72A9" w14:textId="77777777" w:rsidR="00A57A5C" w:rsidRPr="00FF338C" w:rsidRDefault="00A57A5C" w:rsidP="00A57A5C">
      <w:pPr>
        <w:pStyle w:val="CERbullets"/>
      </w:pPr>
      <w:r w:rsidRPr="00FF338C">
        <w:t>Method 3</w:t>
      </w:r>
      <w:r>
        <w:t xml:space="preserve"> - </w:t>
      </w:r>
      <w:r w:rsidRPr="00FF338C">
        <w:t>Division 2.4.4.</w:t>
      </w:r>
    </w:p>
    <w:p w14:paraId="54C47F41" w14:textId="77777777" w:rsidR="00A57A5C" w:rsidRPr="00FF338C" w:rsidRDefault="00A57A5C" w:rsidP="00A57A5C">
      <w:r w:rsidRPr="00FF338C">
        <w:t>An</w:t>
      </w:r>
      <w:r>
        <w:t xml:space="preserve"> </w:t>
      </w:r>
      <w:r w:rsidRPr="00FF338C">
        <w:t xml:space="preserve">accredited laboratory or </w:t>
      </w:r>
      <w:r w:rsidRPr="001166CF">
        <w:t>a</w:t>
      </w:r>
      <w:r w:rsidRPr="00FF338C">
        <w:t xml:space="preserve"> laboratory </w:t>
      </w:r>
      <w:r w:rsidRPr="001166CF">
        <w:t>that meets requirements equivalent to those in AS</w:t>
      </w:r>
      <w:r w:rsidRPr="00FF338C">
        <w:t xml:space="preserve"> ISO</w:t>
      </w:r>
      <w:r w:rsidRPr="001166CF">
        <w:t>/IEC</w:t>
      </w:r>
      <w:r w:rsidRPr="00FF338C">
        <w:t xml:space="preserve"> 17025</w:t>
      </w:r>
      <w:r w:rsidRPr="001166CF">
        <w:t>:2005</w:t>
      </w:r>
      <w:r w:rsidRPr="00FF338C" w:rsidDel="00FC2666">
        <w:t xml:space="preserve"> </w:t>
      </w:r>
      <w:r>
        <w:t>must</w:t>
      </w:r>
      <w:r w:rsidRPr="00FF338C">
        <w:t xml:space="preserve"> be used to conduct liquid analysis.</w:t>
      </w:r>
    </w:p>
    <w:p w14:paraId="5A9ECB36" w14:textId="7C928F60" w:rsidR="00554FE5" w:rsidRDefault="00554FE5" w:rsidP="009A0F87">
      <w:pPr>
        <w:pStyle w:val="Caption"/>
        <w:keepNext/>
      </w:pPr>
      <w:bookmarkStart w:id="162" w:name="_Ref199338850"/>
      <w:r>
        <w:lastRenderedPageBreak/>
        <w:t xml:space="preserve">Table </w:t>
      </w:r>
      <w:r>
        <w:fldChar w:fldCharType="begin"/>
      </w:r>
      <w:r>
        <w:instrText>SEQ Table \* ARABIC</w:instrText>
      </w:r>
      <w:r>
        <w:fldChar w:fldCharType="separate"/>
      </w:r>
      <w:r w:rsidR="0069639D">
        <w:rPr>
          <w:noProof/>
        </w:rPr>
        <w:t>9</w:t>
      </w:r>
      <w:r>
        <w:fldChar w:fldCharType="end"/>
      </w:r>
      <w:bookmarkEnd w:id="162"/>
      <w:r w:rsidRPr="005A27E8">
        <w:t xml:space="preserve"> – Liquid fuel sampling and analysis frequency.</w:t>
      </w:r>
    </w:p>
    <w:tbl>
      <w:tblPr>
        <w:tblStyle w:val="CERTable"/>
        <w:tblW w:w="5000" w:type="pct"/>
        <w:tblLook w:val="04A0" w:firstRow="1" w:lastRow="0" w:firstColumn="1" w:lastColumn="0" w:noHBand="0" w:noVBand="1"/>
      </w:tblPr>
      <w:tblGrid>
        <w:gridCol w:w="1973"/>
        <w:gridCol w:w="7767"/>
      </w:tblGrid>
      <w:tr w:rsidR="00A57A5C" w:rsidRPr="00C64711" w14:paraId="4A1FB49A" w14:textId="77777777" w:rsidTr="00017C64">
        <w:trPr>
          <w:cnfStyle w:val="100000000000" w:firstRow="1" w:lastRow="0" w:firstColumn="0" w:lastColumn="0" w:oddVBand="0" w:evenVBand="0" w:oddHBand="0" w:evenHBand="0" w:firstRowFirstColumn="0" w:firstRowLastColumn="0" w:lastRowFirstColumn="0" w:lastRowLastColumn="0"/>
          <w:trHeight w:val="365"/>
          <w:tblHeader/>
        </w:trPr>
        <w:tc>
          <w:tcPr>
            <w:cnfStyle w:val="001000000000" w:firstRow="0" w:lastRow="0" w:firstColumn="1" w:lastColumn="0" w:oddVBand="0" w:evenVBand="0" w:oddHBand="0" w:evenHBand="0" w:firstRowFirstColumn="0" w:firstRowLastColumn="0" w:lastRowFirstColumn="0" w:lastRowLastColumn="0"/>
            <w:tcW w:w="1013" w:type="pct"/>
          </w:tcPr>
          <w:p w14:paraId="319639F9"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Parameter</w:t>
            </w:r>
          </w:p>
        </w:tc>
        <w:tc>
          <w:tcPr>
            <w:tcW w:w="3987" w:type="pct"/>
          </w:tcPr>
          <w:p w14:paraId="6B3ACEE2" w14:textId="77777777" w:rsidR="00A57A5C" w:rsidRPr="00872A70" w:rsidRDefault="00A57A5C">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Minimum fuel sampling and analysis frequency</w:t>
            </w:r>
            <w:r>
              <w:rPr>
                <w:rFonts w:asciiTheme="minorHAnsi" w:hAnsiTheme="minorHAnsi"/>
                <w:sz w:val="22"/>
                <w:szCs w:val="22"/>
              </w:rPr>
              <w:t xml:space="preserve"> for all liquid fuel types</w:t>
            </w:r>
          </w:p>
        </w:tc>
      </w:tr>
      <w:tr w:rsidR="00A57A5C" w:rsidRPr="00C64711" w14:paraId="4D6A5BD3" w14:textId="77777777" w:rsidTr="008E6B3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13" w:type="pct"/>
          </w:tcPr>
          <w:p w14:paraId="3D606591"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Energy</w:t>
            </w:r>
          </w:p>
        </w:tc>
        <w:tc>
          <w:tcPr>
            <w:tcW w:w="3987" w:type="pct"/>
          </w:tcPr>
          <w:p w14:paraId="36253B8D"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Quarterly or by delivery</w:t>
            </w:r>
          </w:p>
        </w:tc>
      </w:tr>
      <w:tr w:rsidR="00A57A5C" w:rsidRPr="00C64711" w14:paraId="34AA4763" w14:textId="77777777" w:rsidTr="008E6B32">
        <w:trPr>
          <w:cnfStyle w:val="000000010000" w:firstRow="0" w:lastRow="0" w:firstColumn="0" w:lastColumn="0" w:oddVBand="0" w:evenVBand="0" w:oddHBand="0" w:evenHBand="1"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013" w:type="pct"/>
          </w:tcPr>
          <w:p w14:paraId="0451920F"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Carbon</w:t>
            </w:r>
          </w:p>
        </w:tc>
        <w:tc>
          <w:tcPr>
            <w:tcW w:w="3987" w:type="pct"/>
          </w:tcPr>
          <w:p w14:paraId="485D0C36"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Quarterly or by delivery</w:t>
            </w:r>
          </w:p>
        </w:tc>
      </w:tr>
    </w:tbl>
    <w:p w14:paraId="03817DA8" w14:textId="77777777" w:rsidR="00A57A5C" w:rsidRPr="00FF338C" w:rsidRDefault="00A57A5C" w:rsidP="00A57A5C"/>
    <w:p w14:paraId="19BE3D99" w14:textId="2467AC93" w:rsidR="00A57A5C" w:rsidRPr="00FF338C" w:rsidRDefault="00A57A5C" w:rsidP="00A57A5C">
      <w:r w:rsidRPr="00FF338C">
        <w:t xml:space="preserve">Standards for analysis of liquid fuels are listed in subdivision 2.4.3.2 of the </w:t>
      </w:r>
      <w:r>
        <w:t>NGER Measurement Determination</w:t>
      </w:r>
      <w:r w:rsidRPr="00FF338C">
        <w:t xml:space="preserve">. If a reporter is considering the use of </w:t>
      </w:r>
      <w:r w:rsidR="42CD2A94" w:rsidRPr="00FF338C">
        <w:t>M</w:t>
      </w:r>
      <w:r w:rsidRPr="00FF338C">
        <w:t xml:space="preserve">ethod 2 or </w:t>
      </w:r>
      <w:r w:rsidR="60AFBCDB" w:rsidRPr="00FF338C">
        <w:t>M</w:t>
      </w:r>
      <w:r w:rsidRPr="00FF338C">
        <w:t xml:space="preserve">ethod 3 for a liquid fuel type which does not have an analysis standard, </w:t>
      </w:r>
      <w:r>
        <w:t xml:space="preserve">they </w:t>
      </w:r>
      <w:r w:rsidRPr="00FF338C">
        <w:t xml:space="preserve">should </w:t>
      </w:r>
      <w:hyperlink r:id="rId38" w:tooltip="A link to the 'contact us' page of the Clean Energy Regulator website" w:history="1">
        <w:r w:rsidR="00E94163">
          <w:rPr>
            <w:rStyle w:val="Hyperlink"/>
            <w:rFonts w:asciiTheme="minorHAnsi" w:hAnsiTheme="minorHAnsi"/>
          </w:rPr>
          <w:t>contact the CER</w:t>
        </w:r>
      </w:hyperlink>
      <w:r w:rsidR="004B0870">
        <w:rPr>
          <w:rFonts w:ascii="ZWAdobeF" w:hAnsi="ZWAdobeF" w:cs="ZWAdobeF"/>
          <w:color w:val="auto"/>
          <w:sz w:val="2"/>
          <w:szCs w:val="2"/>
        </w:rPr>
        <w:t>17F</w:t>
      </w:r>
      <w:r>
        <w:rPr>
          <w:rStyle w:val="FootnoteReference"/>
        </w:rPr>
        <w:footnoteReference w:id="19"/>
      </w:r>
      <w:r w:rsidRPr="00FF338C">
        <w:t xml:space="preserve"> to discuss options for fuel sampling and analysis.</w:t>
      </w:r>
    </w:p>
    <w:p w14:paraId="324DC676" w14:textId="77777777" w:rsidR="00A57A5C" w:rsidRPr="00FF338C" w:rsidRDefault="00A57A5C" w:rsidP="00A57A5C">
      <w:pPr>
        <w:pStyle w:val="Heading4"/>
      </w:pPr>
      <w:bookmarkStart w:id="163" w:name="_Toc235706321"/>
      <w:r w:rsidRPr="00FF338C">
        <w:t>Bias testing</w:t>
      </w:r>
      <w:bookmarkEnd w:id="163"/>
    </w:p>
    <w:p w14:paraId="6CC37954" w14:textId="77777777" w:rsidR="00A57A5C" w:rsidRPr="00FF338C" w:rsidRDefault="00A57A5C" w:rsidP="00A57A5C">
      <w:r w:rsidRPr="00FF338C">
        <w:t>Samples</w:t>
      </w:r>
      <w:r w:rsidRPr="00FF338C" w:rsidDel="001869EB">
        <w:t xml:space="preserve"> </w:t>
      </w:r>
      <w:r>
        <w:t>must</w:t>
      </w:r>
      <w:r w:rsidRPr="00FF338C">
        <w:t xml:space="preserve"> be </w:t>
      </w:r>
      <w:r>
        <w:t>‘</w:t>
      </w:r>
      <w:r w:rsidRPr="00FF338C">
        <w:t>free of bias so that any estimates are neither over nor under</w:t>
      </w:r>
      <w:r>
        <w:t>-</w:t>
      </w:r>
      <w:r w:rsidRPr="00FF338C">
        <w:t>estimates of the true value</w:t>
      </w:r>
      <w:r>
        <w:t>’, per s</w:t>
      </w:r>
      <w:r w:rsidRPr="00FF338C">
        <w:t xml:space="preserve">ection 2.44 of the </w:t>
      </w:r>
      <w:r>
        <w:t>NGER Measurement Determination</w:t>
      </w:r>
      <w:r w:rsidRPr="00FF338C">
        <w:t xml:space="preserve">. Bias is less likely to occur in the sampling and analysis of liquid fuels. </w:t>
      </w:r>
    </w:p>
    <w:p w14:paraId="22126AE7" w14:textId="77777777" w:rsidR="00A57A5C" w:rsidRPr="00FF338C" w:rsidRDefault="00A57A5C" w:rsidP="00A57A5C">
      <w:r w:rsidRPr="00FF338C">
        <w:t xml:space="preserve">If a reporter is aware of bias, it must be eliminated where possible. Following implementation of measures to eliminate bias, the presence of residual bias </w:t>
      </w:r>
      <w:r>
        <w:t>must</w:t>
      </w:r>
      <w:r w:rsidRPr="00FF338C">
        <w:t xml:space="preserve"> be retested and assessed. If any remaining bias exists that cannot feasibly be eliminated, data </w:t>
      </w:r>
      <w:r>
        <w:t>must</w:t>
      </w:r>
      <w:r w:rsidRPr="00FF338C">
        <w:t xml:space="preserve"> be corrected to account for the bias, the corrections documented</w:t>
      </w:r>
      <w:r>
        <w:t>,</w:t>
      </w:r>
      <w:r w:rsidRPr="00FF338C">
        <w:t xml:space="preserve"> and </w:t>
      </w:r>
      <w:r>
        <w:t xml:space="preserve">the </w:t>
      </w:r>
      <w:r w:rsidRPr="00FF338C">
        <w:t>records kept.</w:t>
      </w:r>
    </w:p>
    <w:p w14:paraId="379BDC3C" w14:textId="77777777" w:rsidR="00A57A5C" w:rsidRPr="00FF338C" w:rsidRDefault="00A57A5C" w:rsidP="00DB4B56">
      <w:pPr>
        <w:pStyle w:val="Heading2"/>
        <w:numPr>
          <w:ilvl w:val="1"/>
          <w:numId w:val="3"/>
        </w:numPr>
        <w:ind w:left="426" w:hanging="426"/>
      </w:pPr>
      <w:bookmarkStart w:id="164" w:name="_Emissions_from_consumption"/>
      <w:bookmarkStart w:id="165" w:name="_Ref511911315"/>
      <w:bookmarkStart w:id="166" w:name="_Toc512010401"/>
      <w:bookmarkStart w:id="167" w:name="_Toc512339599"/>
      <w:bookmarkStart w:id="168" w:name="_Toc106705760"/>
      <w:bookmarkStart w:id="169" w:name="_Toc235706322"/>
      <w:bookmarkEnd w:id="164"/>
      <w:r w:rsidRPr="00FF338C">
        <w:t>Emissions from consumption of PBOGs</w:t>
      </w:r>
      <w:bookmarkEnd w:id="165"/>
      <w:bookmarkEnd w:id="166"/>
      <w:bookmarkEnd w:id="167"/>
      <w:bookmarkEnd w:id="168"/>
      <w:bookmarkEnd w:id="169"/>
    </w:p>
    <w:p w14:paraId="715CCC1A" w14:textId="77777777" w:rsidR="00A57A5C" w:rsidRDefault="00A57A5C" w:rsidP="00A57A5C">
      <w:r w:rsidRPr="00FF338C">
        <w:t xml:space="preserve">PBOGs used as lubricants are considered to have undergone a degree of oxidation and are therefore reported under the fuel combustion emissions source. Available emissions estimation methods are summarised </w:t>
      </w:r>
      <w:r>
        <w:t>below</w:t>
      </w:r>
      <w:r w:rsidRPr="00FF338C">
        <w:t xml:space="preserve">. </w:t>
      </w:r>
    </w:p>
    <w:p w14:paraId="5DDFAC91" w14:textId="12D94003" w:rsidR="00A57A5C" w:rsidRPr="00FF338C" w:rsidRDefault="00A57A5C" w:rsidP="00FD64AC">
      <w:pPr>
        <w:pStyle w:val="Caption"/>
      </w:pPr>
      <w:bookmarkStart w:id="170" w:name="_Ref511908794"/>
      <w:r w:rsidRPr="00FF338C">
        <w:lastRenderedPageBreak/>
        <w:t xml:space="preserve">Figure </w:t>
      </w:r>
      <w:r>
        <w:fldChar w:fldCharType="begin"/>
      </w:r>
      <w:r>
        <w:instrText>SEQ Figure \* ARABIC</w:instrText>
      </w:r>
      <w:r>
        <w:fldChar w:fldCharType="separate"/>
      </w:r>
      <w:r w:rsidR="0069639D">
        <w:rPr>
          <w:noProof/>
        </w:rPr>
        <w:t>4</w:t>
      </w:r>
      <w:r>
        <w:fldChar w:fldCharType="end"/>
      </w:r>
      <w:bookmarkEnd w:id="170"/>
      <w:r w:rsidRPr="00FF338C">
        <w:t xml:space="preserve"> – Available methods for estimating emissions from consumption of PBOGs</w:t>
      </w:r>
      <w:r w:rsidR="00617B66">
        <w:t xml:space="preserve"> when they are used as a lubricant</w:t>
      </w:r>
      <w:r w:rsidR="002D44DF">
        <w:t>.</w:t>
      </w:r>
      <w:r>
        <w:rPr>
          <w:noProof/>
          <w:lang w:eastAsia="en-AU"/>
        </w:rPr>
        <w:drawing>
          <wp:inline distT="0" distB="0" distL="0" distR="0" wp14:anchorId="743BDA82" wp14:editId="39A540A7">
            <wp:extent cx="5391150" cy="3207393"/>
            <wp:effectExtent l="0" t="0" r="0" b="0"/>
            <wp:docPr id="10" name="Picture 10" descr="Decision tree for estimating emissions from consumption of petroleum-based oils and greases (PBOGs) when used as a lubricant. If 5 kilolitres or more are consumed during the reporting year, carbon dioxide (CO₂) emissions may be estimated using Method 1 (Section 2.48A), Method 2 (Section 2.48B) or Method 3 (Section 2.48C). Methane (CH₄) and nitrous oxide (N₂O) emissions are not required to be estimated. If less than 5 kilolitres are consumed, reporting is no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ecision tree for estimating emissions from consumption of petroleum-based oils and greases (PBOGs) when used as a lubricant. If 5 kilolitres or more are consumed during the reporting year, carbon dioxide (CO₂) emissions may be estimated using Method 1 (Section 2.48A), Method 2 (Section 2.48B) or Method 3 (Section 2.48C). Methane (CH₄) and nitrous oxide (N₂O) emissions are not required to be estimated. If less than 5 kilolitres are consumed, reporting is not required."/>
                    <pic:cNvPicPr>
                      <a:picLocks noChangeAspect="1" noChangeArrowheads="1"/>
                    </pic:cNvPicPr>
                  </pic:nvPicPr>
                  <pic:blipFill>
                    <a:blip r:embed="rId39"/>
                    <a:stretch>
                      <a:fillRect/>
                    </a:stretch>
                  </pic:blipFill>
                  <pic:spPr bwMode="auto">
                    <a:xfrm>
                      <a:off x="0" y="0"/>
                      <a:ext cx="5411589" cy="3219553"/>
                    </a:xfrm>
                    <a:prstGeom prst="rect">
                      <a:avLst/>
                    </a:prstGeom>
                    <a:noFill/>
                  </pic:spPr>
                </pic:pic>
              </a:graphicData>
            </a:graphic>
          </wp:inline>
        </w:drawing>
      </w:r>
    </w:p>
    <w:p w14:paraId="68EC165B" w14:textId="36CB4F43" w:rsidR="00A57A5C" w:rsidRPr="00FF338C" w:rsidRDefault="00A57A5C" w:rsidP="00A57A5C">
      <w:r w:rsidRPr="00FF338C">
        <w:t>Whe</w:t>
      </w:r>
      <w:r w:rsidR="003D7159">
        <w:t>n</w:t>
      </w:r>
      <w:r w:rsidRPr="00FF338C">
        <w:t xml:space="preserve"> PBOGs are used as a fuel, </w:t>
      </w:r>
      <w:r w:rsidR="007E6CC8">
        <w:t>the</w:t>
      </w:r>
      <w:r w:rsidRPr="00FF338C">
        <w:t xml:space="preserve"> emissions </w:t>
      </w:r>
      <w:r w:rsidRPr="00FF338C" w:rsidDel="00AE3FC7">
        <w:t xml:space="preserve">should </w:t>
      </w:r>
      <w:r w:rsidRPr="00FF338C">
        <w:t xml:space="preserve">be </w:t>
      </w:r>
      <w:r w:rsidR="004F1EC3">
        <w:t>estimated</w:t>
      </w:r>
      <w:r w:rsidRPr="00FF338C">
        <w:t xml:space="preserve"> as per </w:t>
      </w:r>
      <w:r>
        <w:t>‘</w:t>
      </w:r>
      <w:r w:rsidRPr="00FF338C">
        <w:t xml:space="preserve">liquid fuels other than </w:t>
      </w:r>
      <w:r>
        <w:t>PBOGs’</w:t>
      </w:r>
      <w:r w:rsidRPr="00FF338C">
        <w:t xml:space="preserve">. </w:t>
      </w:r>
    </w:p>
    <w:p w14:paraId="44229F8A" w14:textId="416D68EA" w:rsidR="00A57A5C" w:rsidRDefault="00A57A5C" w:rsidP="00A57A5C">
      <w:r>
        <w:t>See</w:t>
      </w:r>
      <w:r w:rsidRPr="00FF338C">
        <w:t xml:space="preserve"> the </w:t>
      </w:r>
      <w:hyperlink r:id="rId40" w:tooltip="A link to the Fuel combustiopn guideline on the Clean Energy Regulator website" w:history="1">
        <w:r w:rsidR="003C0144" w:rsidRPr="001F0D25">
          <w:rPr>
            <w:rStyle w:val="Hyperlink"/>
            <w:rFonts w:asciiTheme="minorHAnsi" w:hAnsiTheme="minorHAnsi"/>
          </w:rPr>
          <w:t>Fuel combustion guideline</w:t>
        </w:r>
      </w:hyperlink>
      <w:r w:rsidR="004B0870">
        <w:rPr>
          <w:rFonts w:ascii="ZWAdobeF" w:hAnsi="ZWAdobeF" w:cs="ZWAdobeF"/>
          <w:color w:val="auto"/>
          <w:sz w:val="2"/>
          <w:szCs w:val="2"/>
        </w:rPr>
        <w:t>18F</w:t>
      </w:r>
      <w:r w:rsidR="001F0D25">
        <w:rPr>
          <w:rStyle w:val="FootnoteReference"/>
        </w:rPr>
        <w:footnoteReference w:id="20"/>
      </w:r>
      <w:r w:rsidR="003C0144">
        <w:t xml:space="preserve"> and</w:t>
      </w:r>
      <w:r w:rsidRPr="00FF338C">
        <w:t xml:space="preserve"> the </w:t>
      </w:r>
      <w:hyperlink r:id="rId41" w:tooltip="A link to the Petroleum-based oils and greases guideline on the Clean Energy Regulator website" w:history="1">
        <w:r w:rsidRPr="00872A70">
          <w:rPr>
            <w:rStyle w:val="Hyperlink"/>
            <w:rFonts w:asciiTheme="minorHAnsi" w:hAnsiTheme="minorHAnsi"/>
            <w:iCs/>
          </w:rPr>
          <w:t>Petroleum-based oils and greases</w:t>
        </w:r>
        <w:r w:rsidRPr="00463115">
          <w:rPr>
            <w:rStyle w:val="Hyperlink"/>
            <w:rFonts w:asciiTheme="minorHAnsi" w:hAnsiTheme="minorHAnsi"/>
          </w:rPr>
          <w:t xml:space="preserve"> guideline</w:t>
        </w:r>
      </w:hyperlink>
      <w:r w:rsidR="004B0870">
        <w:rPr>
          <w:rFonts w:ascii="ZWAdobeF" w:hAnsi="ZWAdobeF" w:cs="ZWAdobeF"/>
          <w:color w:val="auto"/>
          <w:sz w:val="2"/>
          <w:szCs w:val="2"/>
        </w:rPr>
        <w:t>19F</w:t>
      </w:r>
      <w:r w:rsidRPr="00FF338C">
        <w:rPr>
          <w:rStyle w:val="FootnoteReference"/>
        </w:rPr>
        <w:footnoteReference w:id="21"/>
      </w:r>
      <w:r>
        <w:t xml:space="preserve"> for more information</w:t>
      </w:r>
      <w:r w:rsidR="00E00D00">
        <w:t xml:space="preserve"> on reporting emissions from the consumption of PBOGs</w:t>
      </w:r>
      <w:r w:rsidRPr="00FF338C">
        <w:t>.</w:t>
      </w:r>
    </w:p>
    <w:p w14:paraId="7F4F3BFC" w14:textId="77777777" w:rsidR="00A57A5C" w:rsidRPr="00EE5638" w:rsidRDefault="00A57A5C" w:rsidP="00B3330E">
      <w:pPr>
        <w:pStyle w:val="Heading1"/>
        <w:numPr>
          <w:ilvl w:val="0"/>
          <w:numId w:val="3"/>
        </w:numPr>
        <w:rPr>
          <w:lang w:val="en-GB"/>
        </w:rPr>
      </w:pPr>
      <w:bookmarkStart w:id="171" w:name="_Toc233026099"/>
      <w:bookmarkStart w:id="172" w:name="_Estimating_emissions_of"/>
      <w:bookmarkStart w:id="173" w:name="_Ref511911381"/>
      <w:bookmarkStart w:id="174" w:name="_Toc512010402"/>
      <w:bookmarkStart w:id="175" w:name="_Toc512339600"/>
      <w:bookmarkStart w:id="176" w:name="_Toc106705761"/>
      <w:bookmarkStart w:id="177" w:name="_Toc235706323"/>
      <w:bookmarkEnd w:id="171"/>
      <w:bookmarkEnd w:id="172"/>
      <w:r w:rsidRPr="00EE5638">
        <w:rPr>
          <w:lang w:val="en-GB"/>
        </w:rPr>
        <w:t>Estimating emissions of sulphur hexafluoride</w:t>
      </w:r>
      <w:bookmarkEnd w:id="173"/>
      <w:bookmarkEnd w:id="174"/>
      <w:bookmarkEnd w:id="175"/>
      <w:bookmarkEnd w:id="176"/>
      <w:bookmarkEnd w:id="177"/>
    </w:p>
    <w:p w14:paraId="1DBD1DFF" w14:textId="34C64197" w:rsidR="00A57A5C" w:rsidRPr="00253A6C" w:rsidRDefault="00A57A5C" w:rsidP="00EC2D37">
      <w:pPr>
        <w:spacing w:before="240"/>
      </w:pPr>
      <w:r w:rsidRPr="00253A6C">
        <w:t>Sulphur hexafluoride (SF</w:t>
      </w:r>
      <w:r w:rsidRPr="00253A6C">
        <w:rPr>
          <w:vertAlign w:val="subscript"/>
        </w:rPr>
        <w:t>6</w:t>
      </w:r>
      <w:r w:rsidRPr="00253A6C">
        <w:t xml:space="preserve">) is used in many electricity sector facilities, for </w:t>
      </w:r>
      <w:r w:rsidR="00915970">
        <w:t>example</w:t>
      </w:r>
      <w:r w:rsidR="00DF5FCC">
        <w:t>,</w:t>
      </w:r>
      <w:r w:rsidRPr="00253A6C">
        <w:t xml:space="preserve"> in electrical switchgear. Any emissions of SF</w:t>
      </w:r>
      <w:r w:rsidRPr="00253A6C">
        <w:rPr>
          <w:vertAlign w:val="subscript"/>
        </w:rPr>
        <w:t>6</w:t>
      </w:r>
      <w:r w:rsidRPr="00253A6C">
        <w:t xml:space="preserve"> where it is used in gas insulated switch gear and circuit breakers is required to be reported </w:t>
      </w:r>
      <w:r w:rsidRPr="000B3301">
        <w:t xml:space="preserve">as there </w:t>
      </w:r>
      <w:r w:rsidR="006E0498" w:rsidRPr="000B3301">
        <w:t>is</w:t>
      </w:r>
      <w:r w:rsidRPr="000B3301">
        <w:t xml:space="preserve"> no reporting threshold</w:t>
      </w:r>
      <w:r>
        <w:t xml:space="preserve"> li</w:t>
      </w:r>
      <w:r w:rsidRPr="000B3301">
        <w:t>s</w:t>
      </w:r>
      <w:r>
        <w:t>ted within the NGER legislation</w:t>
      </w:r>
      <w:r w:rsidRPr="00253A6C">
        <w:t xml:space="preserve">. </w:t>
      </w:r>
    </w:p>
    <w:p w14:paraId="37C7BD4C" w14:textId="48445B81" w:rsidR="008E6B32" w:rsidRDefault="00A57A5C" w:rsidP="00FD64AC">
      <w:pPr>
        <w:rPr>
          <w:rFonts w:ascii="Calibri Light" w:eastAsiaTheme="minorHAnsi" w:hAnsi="Calibri Light" w:cs="Calibri Light"/>
          <w:i/>
          <w:iCs/>
          <w:sz w:val="18"/>
          <w:szCs w:val="18"/>
        </w:rPr>
      </w:pPr>
      <w:r w:rsidRPr="00253A6C">
        <w:t>The following methods are available for estimating emissions of sulphur hexafluoride.</w:t>
      </w:r>
    </w:p>
    <w:p w14:paraId="28EE51A7" w14:textId="3BAAF6BD" w:rsidR="00A57A5C" w:rsidRPr="00EE5638" w:rsidRDefault="00A57A5C" w:rsidP="00A57A5C">
      <w:pPr>
        <w:pStyle w:val="Caption"/>
      </w:pPr>
      <w:r w:rsidRPr="00253A6C">
        <w:t xml:space="preserve">Figure </w:t>
      </w:r>
      <w:r>
        <w:fldChar w:fldCharType="begin"/>
      </w:r>
      <w:r>
        <w:instrText>SEQ Figure \* ARABIC</w:instrText>
      </w:r>
      <w:r>
        <w:fldChar w:fldCharType="separate"/>
      </w:r>
      <w:r w:rsidR="0069639D">
        <w:rPr>
          <w:noProof/>
        </w:rPr>
        <w:t>5</w:t>
      </w:r>
      <w:r>
        <w:fldChar w:fldCharType="end"/>
      </w:r>
      <w:r w:rsidRPr="00EE5638">
        <w:t xml:space="preserve"> – Available methods for estimating emissions of sulphur hexafluoride</w:t>
      </w:r>
      <w:r w:rsidR="002D44DF">
        <w:t>.</w:t>
      </w:r>
    </w:p>
    <w:p w14:paraId="59BF451D" w14:textId="77777777" w:rsidR="00A57A5C" w:rsidRPr="00E84BDE" w:rsidRDefault="00A57A5C" w:rsidP="00D66352">
      <w:pPr>
        <w:jc w:val="center"/>
      </w:pPr>
      <w:r w:rsidRPr="00EE5638">
        <w:rPr>
          <w:noProof/>
          <w:lang w:eastAsia="en-AU"/>
        </w:rPr>
        <w:drawing>
          <wp:inline distT="0" distB="0" distL="0" distR="0" wp14:anchorId="5DF46B1F" wp14:editId="24AFCB77">
            <wp:extent cx="5261610" cy="1039142"/>
            <wp:effectExtent l="0" t="0" r="0" b="8890"/>
            <wp:docPr id="11" name="Picture 11" descr="Diagram showing available methods for estimating sulphur hexafluoride (SF₆) emissions. There is no minimum reporting threshold for SF₆. All relevant holdings or release of SF₆, must be estimated using Method 1 (Section 4.102), Method 2 (Section 4.103) or Method 3 (subsection 4.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howing available methods for estimating sulphur hexafluoride (SF₆) emissions. There is no minimum reporting threshold for SF₆. All relevant holdings or release of SF₆, must be estimated using Method 1 (Section 4.102), Method 2 (Section 4.103) or Method 3 (subsection 4.104(2))."/>
                    <pic:cNvPicPr>
                      <a:picLocks noChangeAspect="1" noChangeArrowheads="1"/>
                    </pic:cNvPicPr>
                  </pic:nvPicPr>
                  <pic:blipFill>
                    <a:blip r:embed="rId42"/>
                    <a:stretch>
                      <a:fillRect/>
                    </a:stretch>
                  </pic:blipFill>
                  <pic:spPr bwMode="auto">
                    <a:xfrm>
                      <a:off x="0" y="0"/>
                      <a:ext cx="5261610" cy="1039142"/>
                    </a:xfrm>
                    <a:prstGeom prst="rect">
                      <a:avLst/>
                    </a:prstGeom>
                    <a:noFill/>
                  </pic:spPr>
                </pic:pic>
              </a:graphicData>
            </a:graphic>
          </wp:inline>
        </w:drawing>
      </w:r>
    </w:p>
    <w:p w14:paraId="19CB5463" w14:textId="5B6D9DE9" w:rsidR="00A57A5C" w:rsidRPr="00E84BDE" w:rsidRDefault="00A57A5C" w:rsidP="00A57A5C">
      <w:r w:rsidRPr="00E84BDE">
        <w:t xml:space="preserve">See the </w:t>
      </w:r>
      <w:hyperlink r:id="rId43" w:tooltip="A link to the Reporting Hydrofluorocarbons and Sulphur Hexafluoride gases guideline on the Clean Energy Regulator website" w:history="1">
        <w:r w:rsidRPr="00E84BDE">
          <w:rPr>
            <w:rStyle w:val="Hyperlink"/>
            <w:rFonts w:asciiTheme="minorHAnsi" w:hAnsiTheme="minorHAnsi"/>
            <w:iCs/>
          </w:rPr>
          <w:t>Reporting Hydrofluorocarbons and Sulphur Hexafluoride gases</w:t>
        </w:r>
        <w:r w:rsidRPr="00E84BDE">
          <w:rPr>
            <w:rStyle w:val="Hyperlink"/>
            <w:rFonts w:asciiTheme="minorHAnsi" w:hAnsiTheme="minorHAnsi"/>
            <w:i/>
          </w:rPr>
          <w:t xml:space="preserve"> </w:t>
        </w:r>
        <w:r w:rsidRPr="00E84BDE">
          <w:rPr>
            <w:rStyle w:val="Hyperlink"/>
            <w:rFonts w:asciiTheme="minorHAnsi" w:hAnsiTheme="minorHAnsi"/>
          </w:rPr>
          <w:t>guideline</w:t>
        </w:r>
      </w:hyperlink>
      <w:r w:rsidR="004B0870">
        <w:rPr>
          <w:rFonts w:ascii="ZWAdobeF" w:hAnsi="ZWAdobeF" w:cs="ZWAdobeF"/>
          <w:color w:val="auto"/>
          <w:sz w:val="2"/>
          <w:szCs w:val="2"/>
        </w:rPr>
        <w:t>20F</w:t>
      </w:r>
      <w:r w:rsidRPr="00E84BDE">
        <w:rPr>
          <w:rStyle w:val="FootnoteReference"/>
        </w:rPr>
        <w:footnoteReference w:id="22"/>
      </w:r>
      <w:r w:rsidRPr="00E84BDE">
        <w:t xml:space="preserve"> for more information.</w:t>
      </w:r>
    </w:p>
    <w:p w14:paraId="0ABE4910" w14:textId="663EAED5" w:rsidR="0024665C" w:rsidRPr="00FF338C" w:rsidRDefault="0024665C" w:rsidP="0024665C">
      <w:pPr>
        <w:pStyle w:val="Heading1"/>
        <w:numPr>
          <w:ilvl w:val="0"/>
          <w:numId w:val="3"/>
        </w:numPr>
        <w:rPr>
          <w:lang w:val="en-GB"/>
        </w:rPr>
      </w:pPr>
      <w:bookmarkStart w:id="178" w:name="_Toc74235127"/>
      <w:bookmarkStart w:id="179" w:name="_Toc75334324"/>
      <w:bookmarkStart w:id="180" w:name="_Toc75438182"/>
      <w:bookmarkStart w:id="181" w:name="_Toc74235128"/>
      <w:bookmarkStart w:id="182" w:name="_Toc75334325"/>
      <w:bookmarkStart w:id="183" w:name="_Toc75438183"/>
      <w:bookmarkStart w:id="184" w:name="_Toc74235129"/>
      <w:bookmarkStart w:id="185" w:name="_Toc75334326"/>
      <w:bookmarkStart w:id="186" w:name="_Toc75438184"/>
      <w:bookmarkStart w:id="187" w:name="_Toc74235130"/>
      <w:bookmarkStart w:id="188" w:name="_Toc75334327"/>
      <w:bookmarkStart w:id="189" w:name="_Toc75438185"/>
      <w:bookmarkStart w:id="190" w:name="_Toc74235132"/>
      <w:bookmarkStart w:id="191" w:name="_Toc75334329"/>
      <w:bookmarkStart w:id="192" w:name="_Toc75438187"/>
      <w:bookmarkStart w:id="193" w:name="_Toc74235133"/>
      <w:bookmarkStart w:id="194" w:name="_Toc75334330"/>
      <w:bookmarkStart w:id="195" w:name="_Toc75438188"/>
      <w:bookmarkStart w:id="196" w:name="_Toc74235134"/>
      <w:bookmarkStart w:id="197" w:name="_Toc75334331"/>
      <w:bookmarkStart w:id="198" w:name="_Toc75438189"/>
      <w:bookmarkStart w:id="199" w:name="_Toc74235135"/>
      <w:bookmarkStart w:id="200" w:name="_Toc75334332"/>
      <w:bookmarkStart w:id="201" w:name="_Toc75438190"/>
      <w:bookmarkStart w:id="202" w:name="_Reporting_scope_2"/>
      <w:bookmarkStart w:id="203" w:name="_Toc235706324"/>
      <w:bookmarkStart w:id="204" w:name="_Toc512010405"/>
      <w:bookmarkStart w:id="205" w:name="_Toc512339603"/>
      <w:bookmarkStart w:id="206" w:name="_Toc106705762"/>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lang w:val="en-GB"/>
        </w:rPr>
        <w:lastRenderedPageBreak/>
        <w:t xml:space="preserve">Reporting </w:t>
      </w:r>
      <w:r w:rsidDel="008B598B">
        <w:rPr>
          <w:lang w:val="en-GB"/>
        </w:rPr>
        <w:t>s</w:t>
      </w:r>
      <w:r w:rsidRPr="00FF338C">
        <w:rPr>
          <w:lang w:val="en-GB"/>
        </w:rPr>
        <w:t xml:space="preserve">cope 2 emissions from </w:t>
      </w:r>
      <w:r>
        <w:rPr>
          <w:lang w:val="en-GB"/>
        </w:rPr>
        <w:t xml:space="preserve">purchased, acquired or lost </w:t>
      </w:r>
      <w:r w:rsidRPr="00FF338C">
        <w:rPr>
          <w:lang w:val="en-GB"/>
        </w:rPr>
        <w:t>electricity</w:t>
      </w:r>
      <w:bookmarkEnd w:id="203"/>
      <w:r w:rsidRPr="00FF338C">
        <w:rPr>
          <w:lang w:val="en-GB"/>
        </w:rPr>
        <w:t xml:space="preserve"> </w:t>
      </w:r>
    </w:p>
    <w:p w14:paraId="4105A389" w14:textId="6D56CB06" w:rsidR="0024665C" w:rsidRPr="00E010F5" w:rsidRDefault="0024665C" w:rsidP="00EC2D37">
      <w:pPr>
        <w:spacing w:before="240"/>
        <w:rPr>
          <w:rFonts w:ascii="Calibri" w:hAnsi="Calibri" w:cs="Calibri"/>
          <w:szCs w:val="22"/>
        </w:rPr>
      </w:pPr>
      <w:hyperlink r:id="rId44" w:anchor="types-of-emissions" w:tooltip="A link to the About emissions and energy data page of the Clean Energy Regulator website" w:history="1">
        <w:r w:rsidRPr="00287D6B">
          <w:rPr>
            <w:rStyle w:val="Hyperlink"/>
            <w:rFonts w:cs="Calibri"/>
          </w:rPr>
          <w:t>Scope 2 emissions</w:t>
        </w:r>
      </w:hyperlink>
      <w:r w:rsidR="004B0870">
        <w:rPr>
          <w:rFonts w:ascii="ZWAdobeF" w:hAnsi="ZWAdobeF" w:cs="ZWAdobeF"/>
          <w:color w:val="auto"/>
          <w:sz w:val="2"/>
          <w:szCs w:val="2"/>
        </w:rPr>
        <w:t>21F</w:t>
      </w:r>
      <w:r w:rsidRPr="00E010F5">
        <w:rPr>
          <w:rStyle w:val="FootnoteReference"/>
          <w:rFonts w:ascii="Calibri" w:hAnsi="Calibri" w:cs="Calibri"/>
          <w:szCs w:val="22"/>
        </w:rPr>
        <w:footnoteReference w:id="23"/>
      </w:r>
      <w:r w:rsidRPr="00E010F5">
        <w:rPr>
          <w:rFonts w:ascii="Calibri" w:hAnsi="Calibri" w:cs="Calibri"/>
          <w:szCs w:val="22"/>
        </w:rPr>
        <w:t xml:space="preserve"> are defined in 2.24 of the NGER Regulations as greenhouse gases released into the atmosphere as a direct result of one or more activities that generate electricity, heating, cooling, or steam that is consumed by the facility but not created at the facility.</w:t>
      </w:r>
    </w:p>
    <w:p w14:paraId="105F8581" w14:textId="12855DCB" w:rsidR="0024665C" w:rsidRDefault="0024665C" w:rsidP="0024665C">
      <w:pPr>
        <w:rPr>
          <w:rFonts w:ascii="Calibri" w:hAnsi="Calibri" w:cs="Calibri"/>
          <w:szCs w:val="22"/>
        </w:rPr>
      </w:pPr>
      <w:r w:rsidRPr="00E010F5">
        <w:rPr>
          <w:rFonts w:ascii="Calibri" w:hAnsi="Calibri" w:cs="Calibri"/>
          <w:szCs w:val="22"/>
        </w:rPr>
        <w:t>Scope 2 emissions are reported for</w:t>
      </w:r>
      <w:r>
        <w:rPr>
          <w:rFonts w:ascii="Calibri" w:hAnsi="Calibri" w:cs="Calibri"/>
          <w:szCs w:val="22"/>
        </w:rPr>
        <w:t xml:space="preserve">: </w:t>
      </w:r>
    </w:p>
    <w:p w14:paraId="3B916B53" w14:textId="77777777" w:rsidR="0024665C" w:rsidRDefault="0024665C" w:rsidP="0024665C">
      <w:pPr>
        <w:pStyle w:val="CERbullets"/>
      </w:pPr>
      <w:r w:rsidRPr="00E010F5">
        <w:t xml:space="preserve">purchased or acquired electricity consumed during the operation of your facility </w:t>
      </w:r>
    </w:p>
    <w:p w14:paraId="54CF113D" w14:textId="77777777" w:rsidR="0024665C" w:rsidRDefault="0024665C" w:rsidP="0024665C">
      <w:pPr>
        <w:pStyle w:val="CERbullets"/>
      </w:pPr>
      <w:r w:rsidRPr="00E010F5">
        <w:t>the loss of electricity from an electricity transmission or distribution network</w:t>
      </w:r>
      <w:r>
        <w:t>, usually due to line losses</w:t>
      </w:r>
      <w:r w:rsidRPr="00E010F5">
        <w:t xml:space="preserve"> </w:t>
      </w:r>
    </w:p>
    <w:p w14:paraId="26D532F2" w14:textId="77777777" w:rsidR="0024665C" w:rsidRDefault="0024665C" w:rsidP="0024665C">
      <w:pPr>
        <w:pStyle w:val="CERbullets"/>
      </w:pPr>
      <w:r w:rsidRPr="00E010F5">
        <w:t xml:space="preserve">electricity consumed by utility scale batteries and </w:t>
      </w:r>
      <w:proofErr w:type="gramStart"/>
      <w:r w:rsidRPr="00E010F5">
        <w:t>battery</w:t>
      </w:r>
      <w:proofErr w:type="gramEnd"/>
      <w:r w:rsidRPr="00E010F5">
        <w:t xml:space="preserve"> electric vehicles (BEVs). </w:t>
      </w:r>
    </w:p>
    <w:p w14:paraId="5C1022F6" w14:textId="525BA5C1" w:rsidR="0024665C" w:rsidRPr="00E010F5" w:rsidRDefault="0024665C" w:rsidP="0024665C">
      <w:pPr>
        <w:pStyle w:val="CERbullets"/>
        <w:numPr>
          <w:ilvl w:val="0"/>
          <w:numId w:val="0"/>
        </w:numPr>
      </w:pPr>
      <w:r w:rsidRPr="00E010F5">
        <w:t>Read</w:t>
      </w:r>
      <w:r w:rsidR="00C267B7">
        <w:t xml:space="preserve"> </w:t>
      </w:r>
      <w:hyperlink w:anchor="_Reporting_of_battery" w:history="1">
        <w:r w:rsidR="00597984" w:rsidRPr="00C476EE">
          <w:rPr>
            <w:rStyle w:val="Hyperlink"/>
            <w:rFonts w:asciiTheme="minorHAnsi" w:hAnsiTheme="minorHAnsi"/>
          </w:rPr>
          <w:t>chapter</w:t>
        </w:r>
        <w:r w:rsidR="00305920">
          <w:rPr>
            <w:rStyle w:val="Hyperlink"/>
            <w:rFonts w:asciiTheme="minorHAnsi" w:hAnsiTheme="minorHAnsi"/>
          </w:rPr>
          <w:t xml:space="preserve"> 7.6</w:t>
        </w:r>
        <w:r w:rsidR="00597984" w:rsidRPr="00C476EE">
          <w:rPr>
            <w:rStyle w:val="Hyperlink"/>
            <w:rFonts w:asciiTheme="minorHAnsi" w:hAnsiTheme="minorHAnsi"/>
          </w:rPr>
          <w:t xml:space="preserve"> </w:t>
        </w:r>
      </w:hyperlink>
      <w:r w:rsidRPr="00E010F5">
        <w:t>of this guideline for principles about reporting emissions from the operation of a battery at a facility under the NGER Scheme.</w:t>
      </w:r>
    </w:p>
    <w:p w14:paraId="721A2848" w14:textId="77777777" w:rsidR="0024665C" w:rsidRPr="00090FD0" w:rsidRDefault="0024665C" w:rsidP="00D2141E">
      <w:pPr>
        <w:pStyle w:val="Heading2"/>
        <w:numPr>
          <w:ilvl w:val="1"/>
          <w:numId w:val="3"/>
        </w:numPr>
        <w:ind w:hanging="792"/>
      </w:pPr>
      <w:bookmarkStart w:id="207" w:name="_Toc235706325"/>
      <w:r>
        <w:t>When to report scope 2 emissions</w:t>
      </w:r>
      <w:bookmarkEnd w:id="207"/>
      <w:r>
        <w:t xml:space="preserve">  </w:t>
      </w:r>
    </w:p>
    <w:p w14:paraId="70884817" w14:textId="138D1D47" w:rsidR="0024665C" w:rsidRPr="005A415A" w:rsidRDefault="0024665C" w:rsidP="00EC2D37">
      <w:pPr>
        <w:pStyle w:val="BodyText1"/>
        <w:spacing w:before="0"/>
        <w:rPr>
          <w:szCs w:val="22"/>
        </w:rPr>
      </w:pPr>
      <w:r w:rsidRPr="005A415A">
        <w:rPr>
          <w:szCs w:val="22"/>
        </w:rPr>
        <w:t>You must report</w:t>
      </w:r>
      <w:r w:rsidR="003554EE">
        <w:rPr>
          <w:szCs w:val="22"/>
        </w:rPr>
        <w:t xml:space="preserve"> </w:t>
      </w:r>
      <w:r w:rsidR="00BC6257">
        <w:rPr>
          <w:szCs w:val="22"/>
        </w:rPr>
        <w:t>s</w:t>
      </w:r>
      <w:r w:rsidRPr="005A415A">
        <w:rPr>
          <w:szCs w:val="22"/>
        </w:rPr>
        <w:t xml:space="preserve">cope 2 emissions </w:t>
      </w:r>
      <w:r w:rsidR="00AA5349">
        <w:rPr>
          <w:szCs w:val="22"/>
        </w:rPr>
        <w:t>using a location-based</w:t>
      </w:r>
      <w:r w:rsidR="00AA5349" w:rsidRPr="005A415A">
        <w:rPr>
          <w:szCs w:val="22"/>
        </w:rPr>
        <w:t xml:space="preserve"> </w:t>
      </w:r>
      <w:r w:rsidR="00AA5349">
        <w:rPr>
          <w:szCs w:val="22"/>
        </w:rPr>
        <w:t xml:space="preserve">approach </w:t>
      </w:r>
      <w:r w:rsidRPr="005A415A">
        <w:rPr>
          <w:szCs w:val="22"/>
        </w:rPr>
        <w:t>if your facility consumes more than 20,000 kWh of purchased</w:t>
      </w:r>
      <w:r w:rsidR="00687657">
        <w:rPr>
          <w:szCs w:val="22"/>
        </w:rPr>
        <w:t>,</w:t>
      </w:r>
      <w:r w:rsidRPr="005A415A">
        <w:rPr>
          <w:szCs w:val="22"/>
        </w:rPr>
        <w:t xml:space="preserve"> acquired </w:t>
      </w:r>
      <w:r w:rsidR="00687657">
        <w:rPr>
          <w:szCs w:val="22"/>
        </w:rPr>
        <w:t xml:space="preserve">or lost </w:t>
      </w:r>
      <w:r w:rsidRPr="005A415A">
        <w:rPr>
          <w:szCs w:val="22"/>
        </w:rPr>
        <w:t>electricity in the reporting year and the electricity:</w:t>
      </w:r>
    </w:p>
    <w:p w14:paraId="374296F6" w14:textId="77777777" w:rsidR="0024665C" w:rsidRPr="00201EEF" w:rsidRDefault="0024665C" w:rsidP="0024665C">
      <w:pPr>
        <w:pStyle w:val="CERbullets"/>
      </w:pPr>
      <w:r w:rsidRPr="00201EEF">
        <w:t xml:space="preserve">is used for the operation of a facility </w:t>
      </w:r>
    </w:p>
    <w:p w14:paraId="53BB7F45" w14:textId="5FD71557" w:rsidR="0024665C" w:rsidRDefault="0024665C" w:rsidP="00D2141E">
      <w:pPr>
        <w:pStyle w:val="CERbullets"/>
      </w:pPr>
      <w:r w:rsidRPr="00201EEF">
        <w:t xml:space="preserve">is purchased or acquired from the main electricity grid in your </w:t>
      </w:r>
      <w:r w:rsidR="00BC6257">
        <w:t>s</w:t>
      </w:r>
      <w:r w:rsidRPr="00201EEF">
        <w:t xml:space="preserve">tate or </w:t>
      </w:r>
      <w:r w:rsidR="00BC6257">
        <w:t>t</w:t>
      </w:r>
      <w:r w:rsidRPr="00201EEF">
        <w:t>erritory</w:t>
      </w:r>
      <w:r>
        <w:t xml:space="preserve"> (most common example)</w:t>
      </w:r>
      <w:r w:rsidRPr="00201EEF">
        <w:t xml:space="preserve"> or from </w:t>
      </w:r>
      <w:r w:rsidR="00D15DA3">
        <w:t xml:space="preserve">a network other than </w:t>
      </w:r>
      <w:r w:rsidR="007B5355">
        <w:t>the main electricity grid in a State or Territory</w:t>
      </w:r>
      <w:r w:rsidRPr="00201EEF">
        <w:t xml:space="preserve"> </w:t>
      </w:r>
      <w:r>
        <w:t>(for example, a microgrid</w:t>
      </w:r>
      <w:r w:rsidR="004F282C">
        <w:t xml:space="preserve"> or </w:t>
      </w:r>
      <w:r w:rsidR="00EB318A">
        <w:t>other ‘behind the meter’ configurations</w:t>
      </w:r>
      <w:r>
        <w:t>)</w:t>
      </w:r>
      <w:r w:rsidRPr="00201EEF">
        <w:t>.</w:t>
      </w:r>
    </w:p>
    <w:p w14:paraId="0E9BD1E4" w14:textId="602B3F8A" w:rsidR="00AA5349" w:rsidRPr="00BE33AE" w:rsidRDefault="007B6A39" w:rsidP="00B924E8">
      <w:pPr>
        <w:pStyle w:val="BodyText1"/>
      </w:pPr>
      <w:r>
        <w:t xml:space="preserve">Additionally, you may choose to also report scope 2 emissions using a market-based approach. </w:t>
      </w:r>
      <w:r w:rsidR="00EE7585">
        <w:t xml:space="preserve">The methods required for these approaches will be described in </w:t>
      </w:r>
      <w:hyperlink w:anchor="_Methods_for_estimating" w:history="1">
        <w:r w:rsidR="00EE7585" w:rsidRPr="0012522C">
          <w:rPr>
            <w:rStyle w:val="Hyperlink"/>
            <w:rFonts w:asciiTheme="minorHAnsi" w:hAnsiTheme="minorHAnsi"/>
          </w:rPr>
          <w:t xml:space="preserve">chapter </w:t>
        </w:r>
        <w:r w:rsidR="0012522C" w:rsidRPr="0012522C">
          <w:rPr>
            <w:rStyle w:val="Hyperlink"/>
            <w:rFonts w:asciiTheme="minorHAnsi" w:hAnsiTheme="minorHAnsi"/>
          </w:rPr>
          <w:t>6.2</w:t>
        </w:r>
      </w:hyperlink>
      <w:r w:rsidR="0012522C">
        <w:t xml:space="preserve"> of this guideline.</w:t>
      </w:r>
    </w:p>
    <w:p w14:paraId="7AF4437A" w14:textId="04B49634" w:rsidR="0024665C" w:rsidRPr="00A36A5E" w:rsidRDefault="0024665C" w:rsidP="0024665C">
      <w:pPr>
        <w:pStyle w:val="BodyText1"/>
      </w:pPr>
    </w:p>
    <w:p w14:paraId="07CD88AC" w14:textId="132440FE" w:rsidR="0024665C" w:rsidRPr="00723F4A" w:rsidRDefault="0024665C" w:rsidP="00D2141E">
      <w:pPr>
        <w:pStyle w:val="Heading3"/>
        <w:numPr>
          <w:ilvl w:val="2"/>
          <w:numId w:val="3"/>
        </w:numPr>
        <w:ind w:left="851" w:hanging="851"/>
      </w:pPr>
      <w:bookmarkStart w:id="208" w:name="_Toc235706326"/>
      <w:r>
        <w:t xml:space="preserve">Meaning of </w:t>
      </w:r>
      <w:r w:rsidRPr="00723F4A">
        <w:t>‘purchased</w:t>
      </w:r>
      <w:r w:rsidR="00460018">
        <w:t>’</w:t>
      </w:r>
      <w:r w:rsidRPr="00723F4A">
        <w:t xml:space="preserve"> or </w:t>
      </w:r>
      <w:r w:rsidR="00460018">
        <w:t>‘</w:t>
      </w:r>
      <w:r w:rsidRPr="00723F4A">
        <w:t>acquired’</w:t>
      </w:r>
      <w:r>
        <w:t xml:space="preserve"> electricity</w:t>
      </w:r>
      <w:bookmarkEnd w:id="208"/>
      <w:r>
        <w:t xml:space="preserve"> </w:t>
      </w:r>
    </w:p>
    <w:p w14:paraId="42FB0D5B" w14:textId="5AAE99D1" w:rsidR="005B60F8" w:rsidRDefault="005B60F8" w:rsidP="0024665C">
      <w:r>
        <w:t>‘Acquired’ electricity means electricity</w:t>
      </w:r>
      <w:r w:rsidR="00267DB7">
        <w:t xml:space="preserve"> obtained</w:t>
      </w:r>
      <w:r>
        <w:t xml:space="preserve"> from outside your NGER facility boundary. </w:t>
      </w:r>
    </w:p>
    <w:p w14:paraId="7300F0F1" w14:textId="773DB213" w:rsidR="0024665C" w:rsidRPr="002E1981" w:rsidRDefault="0024665C" w:rsidP="0024665C">
      <w:pPr>
        <w:rPr>
          <w:rFonts w:ascii="Calibri" w:hAnsi="Calibri" w:cs="Calibri"/>
          <w:szCs w:val="22"/>
        </w:rPr>
      </w:pPr>
      <w:r w:rsidRPr="002E1981">
        <w:t>‘</w:t>
      </w:r>
      <w:r w:rsidRPr="002E1981">
        <w:rPr>
          <w:rFonts w:ascii="Calibri" w:hAnsi="Calibri" w:cs="Calibri"/>
          <w:szCs w:val="22"/>
        </w:rPr>
        <w:t xml:space="preserve">Purchased’ electricity </w:t>
      </w:r>
      <w:r w:rsidR="00981EA4" w:rsidRPr="002E1981">
        <w:rPr>
          <w:rFonts w:ascii="Calibri" w:hAnsi="Calibri" w:cs="Calibri"/>
          <w:szCs w:val="22"/>
        </w:rPr>
        <w:t>includes</w:t>
      </w:r>
      <w:r w:rsidRPr="002E1981">
        <w:rPr>
          <w:rFonts w:ascii="Calibri" w:hAnsi="Calibri" w:cs="Calibri"/>
          <w:szCs w:val="22"/>
        </w:rPr>
        <w:t xml:space="preserve"> electricity</w:t>
      </w:r>
      <w:r w:rsidR="00CF0544" w:rsidRPr="002E1981">
        <w:rPr>
          <w:rFonts w:ascii="Calibri" w:hAnsi="Calibri" w:cs="Calibri"/>
          <w:szCs w:val="22"/>
        </w:rPr>
        <w:t xml:space="preserve"> obtained</w:t>
      </w:r>
      <w:r w:rsidRPr="002E1981">
        <w:rPr>
          <w:rFonts w:ascii="Calibri" w:hAnsi="Calibri" w:cs="Calibri"/>
          <w:szCs w:val="22"/>
        </w:rPr>
        <w:t>:</w:t>
      </w:r>
    </w:p>
    <w:p w14:paraId="0628522D" w14:textId="77777777" w:rsidR="0024665C" w:rsidRPr="002E1981" w:rsidRDefault="0024665C" w:rsidP="0024665C">
      <w:pPr>
        <w:pStyle w:val="CERbullets"/>
      </w:pPr>
      <w:r w:rsidRPr="002E1981">
        <w:t xml:space="preserve">through a commercial transaction </w:t>
      </w:r>
    </w:p>
    <w:p w14:paraId="53E54F4E" w14:textId="7D47DD78" w:rsidR="0024665C" w:rsidRPr="002E1981" w:rsidRDefault="0024665C" w:rsidP="0024665C">
      <w:pPr>
        <w:pStyle w:val="CERbullets"/>
      </w:pPr>
      <w:r w:rsidRPr="002E1981">
        <w:t>through a contractual arrangement</w:t>
      </w:r>
      <w:r w:rsidR="00580DA9" w:rsidRPr="002E1981">
        <w:t>,</w:t>
      </w:r>
      <w:r w:rsidRPr="002E1981">
        <w:t xml:space="preserve"> or</w:t>
      </w:r>
    </w:p>
    <w:p w14:paraId="1F203DB4" w14:textId="7F849357" w:rsidR="0024665C" w:rsidRPr="002E1981" w:rsidRDefault="0024665C" w:rsidP="0024665C">
      <w:pPr>
        <w:pStyle w:val="CERbullets"/>
      </w:pPr>
      <w:r w:rsidRPr="002E1981">
        <w:t>by providing financial, service, product, or other consideration to the electricity provider.</w:t>
      </w:r>
    </w:p>
    <w:p w14:paraId="32EBD81E" w14:textId="1508A621" w:rsidR="0024665C" w:rsidRPr="00D47929" w:rsidRDefault="004F3079" w:rsidP="0024665C">
      <w:pPr>
        <w:rPr>
          <w:rFonts w:ascii="Calibri" w:hAnsi="Calibri" w:cs="Calibri"/>
          <w:sz w:val="24"/>
        </w:rPr>
      </w:pPr>
      <w:r w:rsidRPr="00580DA9">
        <w:rPr>
          <w:rFonts w:ascii="Calibri" w:hAnsi="Calibri" w:cs="Calibri"/>
          <w:szCs w:val="22"/>
        </w:rPr>
        <w:t>W</w:t>
      </w:r>
      <w:r w:rsidR="0024665C" w:rsidRPr="00580DA9">
        <w:rPr>
          <w:rFonts w:ascii="Calibri" w:hAnsi="Calibri" w:cs="Calibri"/>
          <w:szCs w:val="22"/>
        </w:rPr>
        <w:t xml:space="preserve">e expect you to keep records of </w:t>
      </w:r>
      <w:r w:rsidRPr="00580DA9">
        <w:rPr>
          <w:rFonts w:ascii="Calibri" w:hAnsi="Calibri" w:cs="Calibri"/>
          <w:szCs w:val="22"/>
        </w:rPr>
        <w:t>any purchase</w:t>
      </w:r>
      <w:r w:rsidR="00150707" w:rsidRPr="00580DA9">
        <w:rPr>
          <w:rFonts w:ascii="Calibri" w:hAnsi="Calibri" w:cs="Calibri"/>
          <w:szCs w:val="22"/>
        </w:rPr>
        <w:t>d</w:t>
      </w:r>
      <w:r w:rsidRPr="00580DA9">
        <w:rPr>
          <w:rFonts w:ascii="Calibri" w:hAnsi="Calibri" w:cs="Calibri"/>
          <w:szCs w:val="22"/>
        </w:rPr>
        <w:t xml:space="preserve"> or acquired electricity.</w:t>
      </w:r>
      <w:r w:rsidR="00150707" w:rsidRPr="00580DA9">
        <w:rPr>
          <w:rFonts w:ascii="Calibri" w:hAnsi="Calibri" w:cs="Calibri"/>
          <w:szCs w:val="22"/>
        </w:rPr>
        <w:t xml:space="preserve"> This may include electricity invoices or </w:t>
      </w:r>
      <w:r w:rsidR="0024665C" w:rsidRPr="00580DA9">
        <w:rPr>
          <w:rFonts w:ascii="Calibri" w:hAnsi="Calibri" w:cs="Calibri"/>
          <w:szCs w:val="22"/>
        </w:rPr>
        <w:t>details of how the electricity was acquired.</w:t>
      </w:r>
      <w:r w:rsidR="0024665C">
        <w:rPr>
          <w:rFonts w:ascii="Calibri" w:hAnsi="Calibri" w:cs="Calibri"/>
          <w:sz w:val="24"/>
        </w:rPr>
        <w:br/>
      </w:r>
    </w:p>
    <w:tbl>
      <w:tblPr>
        <w:tblStyle w:val="CERCallout"/>
        <w:tblW w:w="5000" w:type="pct"/>
        <w:tblLook w:val="04A0" w:firstRow="1" w:lastRow="0" w:firstColumn="1" w:lastColumn="0" w:noHBand="0" w:noVBand="1"/>
      </w:tblPr>
      <w:tblGrid>
        <w:gridCol w:w="9710"/>
      </w:tblGrid>
      <w:tr w:rsidR="00D67F2D" w:rsidRPr="00FF338C" w14:paraId="3363CF8F" w14:textId="77777777" w:rsidTr="008E6B32">
        <w:trPr>
          <w:cnfStyle w:val="100000000000" w:firstRow="1" w:lastRow="0" w:firstColumn="0" w:lastColumn="0" w:oddVBand="0" w:evenVBand="0" w:oddHBand="0" w:evenHBand="0" w:firstRowFirstColumn="0" w:firstRowLastColumn="0" w:lastRowFirstColumn="0" w:lastRowLastColumn="0"/>
        </w:trPr>
        <w:tc>
          <w:tcPr>
            <w:tcW w:w="5000" w:type="pct"/>
          </w:tcPr>
          <w:p w14:paraId="1CCEB371" w14:textId="146E273E" w:rsidR="0024665C" w:rsidRPr="00D47929" w:rsidRDefault="0024665C" w:rsidP="008E6B32">
            <w:pPr>
              <w:pStyle w:val="Heading5"/>
              <w:ind w:left="0"/>
              <w:rPr>
                <w:rFonts w:ascii="Calibri" w:eastAsia="Calibri" w:hAnsi="Calibri" w:cs="Calibri"/>
                <w:b/>
                <w:bCs/>
              </w:rPr>
            </w:pPr>
            <w:bookmarkStart w:id="209" w:name="_Toc235706327"/>
            <w:r w:rsidRPr="008216A7">
              <w:rPr>
                <w:rFonts w:ascii="Calibri" w:eastAsia="Calibri" w:hAnsi="Calibri" w:cs="Calibri"/>
                <w:b/>
              </w:rPr>
              <w:lastRenderedPageBreak/>
              <w:t>Example</w:t>
            </w:r>
            <w:r w:rsidR="009054D1">
              <w:rPr>
                <w:rFonts w:ascii="Calibri" w:eastAsia="Calibri" w:hAnsi="Calibri" w:cs="Calibri"/>
                <w:b/>
              </w:rPr>
              <w:t>:</w:t>
            </w:r>
            <w:r w:rsidRPr="008216A7">
              <w:rPr>
                <w:rFonts w:ascii="Calibri" w:eastAsia="Calibri" w:hAnsi="Calibri" w:cs="Calibri"/>
                <w:b/>
              </w:rPr>
              <w:t xml:space="preserve"> Purchased electricity</w:t>
            </w:r>
            <w:bookmarkEnd w:id="209"/>
          </w:p>
          <w:p w14:paraId="40C6C6E6" w14:textId="619C7BB9" w:rsidR="0024665C" w:rsidRPr="00933223" w:rsidRDefault="0024665C" w:rsidP="00933223">
            <w:pPr>
              <w:spacing w:before="120" w:after="120"/>
              <w:ind w:left="0"/>
              <w:rPr>
                <w:rFonts w:ascii="Calibri" w:eastAsia="Calibri" w:hAnsi="Calibri" w:cs="Calibri"/>
                <w:b w:val="0"/>
                <w:bCs/>
              </w:rPr>
            </w:pPr>
            <w:hyperlink w:anchor="_Case_example_1:" w:history="1">
              <w:r w:rsidRPr="00933223">
                <w:rPr>
                  <w:rStyle w:val="Hyperlink"/>
                </w:rPr>
                <w:t>Case example 1 in Appendix A</w:t>
              </w:r>
            </w:hyperlink>
            <w:r w:rsidRPr="00933223">
              <w:rPr>
                <w:rFonts w:ascii="Calibri" w:eastAsia="Calibri" w:hAnsi="Calibri" w:cs="Calibri"/>
                <w:b w:val="0"/>
                <w:bCs/>
              </w:rPr>
              <w:t xml:space="preserve"> illustrates how electricity produced at one facility leads to scope 2 emissions at another facility.</w:t>
            </w:r>
          </w:p>
          <w:p w14:paraId="24C93F05" w14:textId="3C5D4B71" w:rsidR="0024665C" w:rsidRPr="00D47929" w:rsidRDefault="0024665C">
            <w:pPr>
              <w:numPr>
                <w:ilvl w:val="0"/>
                <w:numId w:val="1"/>
              </w:numPr>
              <w:spacing w:before="120" w:beforeAutospacing="0" w:after="120"/>
              <w:rPr>
                <w:rFonts w:ascii="Calibri" w:eastAsia="Calibri" w:hAnsi="Calibri" w:cs="Calibri"/>
                <w:b w:val="0"/>
                <w:bCs/>
              </w:rPr>
            </w:pPr>
            <w:r w:rsidRPr="00D47929">
              <w:rPr>
                <w:rFonts w:ascii="Calibri" w:eastAsia="Calibri" w:hAnsi="Calibri" w:cs="Calibri"/>
                <w:b w:val="0"/>
                <w:bCs/>
              </w:rPr>
              <w:t>Electricity produced at the gas-fired power plant (see number 4 in</w:t>
            </w:r>
            <w:r w:rsidR="00C44F0B">
              <w:rPr>
                <w:rFonts w:eastAsiaTheme="minorEastAsia"/>
                <w:bCs/>
              </w:rPr>
              <w:t xml:space="preserve"> </w:t>
            </w:r>
            <w:r w:rsidR="00C44F0B" w:rsidRPr="008221B7">
              <w:rPr>
                <w:rFonts w:eastAsiaTheme="minorEastAsia"/>
              </w:rPr>
              <w:fldChar w:fldCharType="begin" w:fldLock="1"/>
            </w:r>
            <w:r w:rsidR="00C44F0B" w:rsidRPr="00C44F0B">
              <w:rPr>
                <w:rFonts w:eastAsiaTheme="minorEastAsia"/>
                <w:b w:val="0"/>
                <w:bCs/>
              </w:rPr>
              <w:instrText xml:space="preserve"> </w:instrText>
            </w:r>
            <w:r w:rsidR="00C44F0B" w:rsidRPr="007D0A6E">
              <w:rPr>
                <w:rFonts w:eastAsiaTheme="minorEastAsia"/>
                <w:bCs/>
              </w:rPr>
              <w:instrText xml:space="preserve">REF </w:instrText>
            </w:r>
            <w:r w:rsidR="00C44F0B" w:rsidRPr="00C44F0B">
              <w:rPr>
                <w:rFonts w:eastAsiaTheme="minorEastAsia"/>
                <w:b w:val="0"/>
                <w:bCs/>
              </w:rPr>
              <w:instrText xml:space="preserve">_Ref199339978 </w:instrText>
            </w:r>
            <w:r w:rsidR="00C44F0B" w:rsidRPr="007D0A6E">
              <w:rPr>
                <w:rFonts w:eastAsiaTheme="minorEastAsia"/>
                <w:bCs/>
              </w:rPr>
              <w:instrText xml:space="preserve"> \* MERGEFORMAT </w:instrText>
            </w:r>
            <w:r w:rsidR="00C44F0B" w:rsidRPr="008221B7">
              <w:rPr>
                <w:rFonts w:eastAsiaTheme="minorEastAsia"/>
                <w:bCs/>
              </w:rPr>
              <w:fldChar w:fldCharType="separate"/>
            </w:r>
            <w:r w:rsidR="00C44F0B" w:rsidRPr="007D0A6E">
              <w:rPr>
                <w:bCs/>
              </w:rPr>
              <w:t xml:space="preserve">Figure </w:t>
            </w:r>
            <w:r w:rsidR="00C44F0B" w:rsidRPr="007D0A6E">
              <w:rPr>
                <w:bCs/>
                <w:noProof/>
              </w:rPr>
              <w:t>7</w:t>
            </w:r>
            <w:r w:rsidR="00C44F0B" w:rsidRPr="008221B7">
              <w:rPr>
                <w:rFonts w:eastAsiaTheme="minorEastAsia"/>
              </w:rPr>
              <w:fldChar w:fldCharType="end"/>
            </w:r>
            <w:r w:rsidRPr="00D47929">
              <w:rPr>
                <w:rFonts w:ascii="Calibri" w:eastAsia="Calibri" w:hAnsi="Calibri" w:cs="Calibri"/>
                <w:b w:val="0"/>
                <w:bCs/>
              </w:rPr>
              <w:t xml:space="preserve">) is delivered to a separate facility without passing through a main electricity grid (see number 6 in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rsidRPr="00D47929">
              <w:rPr>
                <w:rFonts w:ascii="Calibri" w:eastAsia="Calibri" w:hAnsi="Calibri" w:cs="Calibri"/>
                <w:b w:val="0"/>
                <w:bCs/>
              </w:rPr>
              <w:t>).</w:t>
            </w:r>
          </w:p>
          <w:p w14:paraId="57837802" w14:textId="7DE8E72A" w:rsidR="0024665C" w:rsidRPr="00D47929" w:rsidRDefault="00D25DFF">
            <w:pPr>
              <w:numPr>
                <w:ilvl w:val="0"/>
                <w:numId w:val="1"/>
              </w:numPr>
              <w:spacing w:before="120" w:beforeAutospacing="0" w:after="120"/>
              <w:rPr>
                <w:rFonts w:ascii="Calibri" w:eastAsia="Calibri" w:hAnsi="Calibri" w:cs="Calibri"/>
                <w:b w:val="0"/>
                <w:bCs/>
              </w:rPr>
            </w:pPr>
            <w:r>
              <w:rPr>
                <w:rFonts w:ascii="Calibri" w:eastAsia="Calibri" w:hAnsi="Calibri" w:cs="Calibri"/>
                <w:b w:val="0"/>
                <w:bCs/>
              </w:rPr>
              <w:t>For</w:t>
            </w:r>
            <w:r w:rsidRPr="00D47929">
              <w:rPr>
                <w:rFonts w:ascii="Calibri" w:eastAsia="Calibri" w:hAnsi="Calibri" w:cs="Calibri"/>
                <w:b w:val="0"/>
                <w:bCs/>
              </w:rPr>
              <w:t xml:space="preserve"> </w:t>
            </w:r>
            <w:r w:rsidR="0024665C" w:rsidRPr="00D47929">
              <w:rPr>
                <w:rFonts w:ascii="Calibri" w:eastAsia="Calibri" w:hAnsi="Calibri" w:cs="Calibri"/>
                <w:b w:val="0"/>
                <w:bCs/>
              </w:rPr>
              <w:t xml:space="preserve">the electricity used at the separate facility, scope 2 emissions must be reported by that facility. The emission factor applicable for the electricity produced from the gas-fired power plant can be obtained from the supplier to estimate accurate scope 2 emissions. If that emission factor is unavailable, the emission factor for the Northern Territory </w:t>
            </w:r>
            <w:r w:rsidR="007A7BF5">
              <w:rPr>
                <w:rFonts w:ascii="Calibri" w:eastAsia="Calibri" w:hAnsi="Calibri" w:cs="Calibri"/>
                <w:b w:val="0"/>
                <w:bCs/>
              </w:rPr>
              <w:t xml:space="preserve">must </w:t>
            </w:r>
            <w:r w:rsidR="0024665C" w:rsidRPr="00D47929">
              <w:rPr>
                <w:rFonts w:ascii="Calibri" w:eastAsia="Calibri" w:hAnsi="Calibri" w:cs="Calibri"/>
                <w:b w:val="0"/>
                <w:bCs/>
              </w:rPr>
              <w:t>be used.</w:t>
            </w:r>
          </w:p>
          <w:p w14:paraId="699FD2B8" w14:textId="6E551783" w:rsidR="0024665C" w:rsidRPr="00796F35" w:rsidRDefault="0024665C">
            <w:pPr>
              <w:spacing w:before="120" w:after="120"/>
              <w:ind w:left="0"/>
              <w:rPr>
                <w:rFonts w:ascii="Calibri" w:eastAsia="Calibri" w:hAnsi="Calibri" w:cs="Calibri"/>
                <w:b w:val="0"/>
              </w:rPr>
            </w:pPr>
            <w:r w:rsidRPr="00D47929">
              <w:rPr>
                <w:rFonts w:ascii="Calibri" w:eastAsia="Calibri" w:hAnsi="Calibri" w:cs="Calibri"/>
                <w:b w:val="0"/>
                <w:bCs/>
              </w:rPr>
              <w:t xml:space="preserve">In addition, the gas-fired power station uses some of its own produced electricity (see number 5 in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rsidRPr="00D47929">
              <w:rPr>
                <w:rFonts w:ascii="Calibri" w:eastAsia="Calibri" w:hAnsi="Calibri" w:cs="Calibri"/>
                <w:b w:val="0"/>
                <w:bCs/>
              </w:rPr>
              <w:t xml:space="preserve">). This is not ‘purchased or acquired electricity’ leading to scope 2 emissions. It is instead consumption of own produced electricity – see </w:t>
            </w:r>
            <w:hyperlink w:anchor="_Electricity_production_and" w:history="1">
              <w:r w:rsidR="001B27DD">
                <w:rPr>
                  <w:rStyle w:val="Hyperlink"/>
                  <w:bCs/>
                </w:rPr>
                <w:t>Chapter 7.3</w:t>
              </w:r>
            </w:hyperlink>
            <w:r w:rsidRPr="00D47929">
              <w:rPr>
                <w:rFonts w:ascii="Calibri" w:eastAsia="Calibri" w:hAnsi="Calibri" w:cs="Calibri"/>
                <w:b w:val="0"/>
                <w:bCs/>
              </w:rPr>
              <w:t xml:space="preserve"> of this guideline for more information. Scope 1 emissions are estimated from fuel combustion.</w:t>
            </w:r>
          </w:p>
        </w:tc>
      </w:tr>
    </w:tbl>
    <w:p w14:paraId="171E7E50" w14:textId="77777777" w:rsidR="0024665C" w:rsidRDefault="0024665C" w:rsidP="0024665C">
      <w:pPr>
        <w:rPr>
          <w:rFonts w:ascii="Calibri" w:hAnsi="Calibri" w:cs="Calibri"/>
          <w:b/>
          <w:bCs/>
          <w:sz w:val="24"/>
        </w:rPr>
      </w:pPr>
    </w:p>
    <w:p w14:paraId="07E082FB" w14:textId="150F00A7" w:rsidR="0024665C" w:rsidRPr="004D1F78" w:rsidRDefault="0024665C" w:rsidP="0015088A">
      <w:pPr>
        <w:pStyle w:val="Heading3"/>
        <w:numPr>
          <w:ilvl w:val="2"/>
          <w:numId w:val="3"/>
        </w:numPr>
        <w:ind w:left="851" w:hanging="851"/>
      </w:pPr>
      <w:bookmarkStart w:id="210" w:name="_Toc235706328"/>
      <w:r>
        <w:t xml:space="preserve">Loss of electricity from an </w:t>
      </w:r>
      <w:r w:rsidRPr="004D1F78">
        <w:t>electricity transmission or distribution network</w:t>
      </w:r>
      <w:bookmarkEnd w:id="210"/>
    </w:p>
    <w:p w14:paraId="4B0D8856" w14:textId="0EF2AC07" w:rsidR="0024665C" w:rsidRDefault="0024665C" w:rsidP="0024665C">
      <w:pPr>
        <w:rPr>
          <w:rFonts w:ascii="Calibri" w:hAnsi="Calibri" w:cs="Calibri"/>
          <w:szCs w:val="22"/>
        </w:rPr>
      </w:pPr>
      <w:r w:rsidRPr="000C317A">
        <w:rPr>
          <w:rFonts w:ascii="Calibri" w:hAnsi="Calibri" w:cs="Calibri"/>
          <w:szCs w:val="22"/>
        </w:rPr>
        <w:t xml:space="preserve">A </w:t>
      </w:r>
      <w:r w:rsidR="00963CE4">
        <w:rPr>
          <w:rFonts w:ascii="Calibri" w:hAnsi="Calibri" w:cs="Calibri"/>
          <w:szCs w:val="22"/>
        </w:rPr>
        <w:t>facility</w:t>
      </w:r>
      <w:r w:rsidRPr="000C317A">
        <w:rPr>
          <w:rFonts w:ascii="Calibri" w:hAnsi="Calibri" w:cs="Calibri"/>
          <w:szCs w:val="22"/>
        </w:rPr>
        <w:t xml:space="preserve"> </w:t>
      </w:r>
      <w:r w:rsidR="00EC7474">
        <w:rPr>
          <w:rFonts w:ascii="Calibri" w:hAnsi="Calibri" w:cs="Calibri"/>
          <w:szCs w:val="22"/>
        </w:rPr>
        <w:t xml:space="preserve">that operates </w:t>
      </w:r>
      <w:r w:rsidR="008A7DF6">
        <w:rPr>
          <w:rFonts w:ascii="Calibri" w:hAnsi="Calibri" w:cs="Calibri"/>
          <w:szCs w:val="22"/>
        </w:rPr>
        <w:t xml:space="preserve">a </w:t>
      </w:r>
      <w:r w:rsidRPr="000C317A">
        <w:rPr>
          <w:rFonts w:ascii="Calibri" w:hAnsi="Calibri" w:cs="Calibri"/>
          <w:szCs w:val="22"/>
        </w:rPr>
        <w:t xml:space="preserve">transmission or distribution network must report scope 2 emissions </w:t>
      </w:r>
      <w:r w:rsidR="00E70CB4">
        <w:rPr>
          <w:rFonts w:ascii="Calibri" w:hAnsi="Calibri" w:cs="Calibri"/>
          <w:szCs w:val="22"/>
        </w:rPr>
        <w:t>covering</w:t>
      </w:r>
      <w:r w:rsidR="00E70CB4" w:rsidRPr="000C317A">
        <w:rPr>
          <w:rFonts w:ascii="Calibri" w:hAnsi="Calibri" w:cs="Calibri"/>
          <w:szCs w:val="22"/>
        </w:rPr>
        <w:t xml:space="preserve"> </w:t>
      </w:r>
      <w:r w:rsidRPr="000C317A">
        <w:rPr>
          <w:rFonts w:ascii="Calibri" w:hAnsi="Calibri" w:cs="Calibri"/>
          <w:szCs w:val="22"/>
        </w:rPr>
        <w:t xml:space="preserve">the amount of electricity lost </w:t>
      </w:r>
      <w:r w:rsidR="00327560">
        <w:rPr>
          <w:rFonts w:ascii="Calibri" w:hAnsi="Calibri" w:cs="Calibri"/>
          <w:szCs w:val="22"/>
        </w:rPr>
        <w:t>from</w:t>
      </w:r>
      <w:r w:rsidR="00365514" w:rsidRPr="000C317A">
        <w:rPr>
          <w:rFonts w:ascii="Calibri" w:hAnsi="Calibri" w:cs="Calibri"/>
          <w:szCs w:val="22"/>
        </w:rPr>
        <w:t xml:space="preserve"> </w:t>
      </w:r>
      <w:r w:rsidRPr="000C317A">
        <w:rPr>
          <w:rFonts w:ascii="Calibri" w:hAnsi="Calibri" w:cs="Calibri"/>
          <w:szCs w:val="22"/>
        </w:rPr>
        <w:t>transmi</w:t>
      </w:r>
      <w:r w:rsidR="005909EF">
        <w:rPr>
          <w:rFonts w:ascii="Calibri" w:hAnsi="Calibri" w:cs="Calibri"/>
          <w:szCs w:val="22"/>
        </w:rPr>
        <w:t>ss</w:t>
      </w:r>
      <w:r w:rsidRPr="000C317A">
        <w:rPr>
          <w:rFonts w:ascii="Calibri" w:hAnsi="Calibri" w:cs="Calibri"/>
          <w:szCs w:val="22"/>
        </w:rPr>
        <w:t>i</w:t>
      </w:r>
      <w:r w:rsidR="00365514">
        <w:rPr>
          <w:rFonts w:ascii="Calibri" w:hAnsi="Calibri" w:cs="Calibri"/>
          <w:szCs w:val="22"/>
        </w:rPr>
        <w:t>on</w:t>
      </w:r>
      <w:r w:rsidR="0059457D">
        <w:rPr>
          <w:rFonts w:ascii="Calibri" w:hAnsi="Calibri" w:cs="Calibri"/>
          <w:szCs w:val="22"/>
        </w:rPr>
        <w:t xml:space="preserve"> or distribution</w:t>
      </w:r>
      <w:r w:rsidR="00217834">
        <w:rPr>
          <w:rFonts w:ascii="Calibri" w:hAnsi="Calibri" w:cs="Calibri"/>
          <w:szCs w:val="22"/>
        </w:rPr>
        <w:t xml:space="preserve"> of</w:t>
      </w:r>
      <w:r w:rsidRPr="000C317A">
        <w:rPr>
          <w:rFonts w:ascii="Calibri" w:hAnsi="Calibri" w:cs="Calibri"/>
          <w:szCs w:val="22"/>
        </w:rPr>
        <w:t xml:space="preserve"> the electricity </w:t>
      </w:r>
      <w:r w:rsidR="00327560">
        <w:rPr>
          <w:rFonts w:ascii="Calibri" w:hAnsi="Calibri" w:cs="Calibri"/>
          <w:szCs w:val="22"/>
        </w:rPr>
        <w:t>through</w:t>
      </w:r>
      <w:r w:rsidR="00327560" w:rsidRPr="000C317A">
        <w:rPr>
          <w:rFonts w:ascii="Calibri" w:hAnsi="Calibri" w:cs="Calibri"/>
          <w:szCs w:val="22"/>
        </w:rPr>
        <w:t xml:space="preserve"> </w:t>
      </w:r>
      <w:r w:rsidRPr="000C317A">
        <w:rPr>
          <w:rFonts w:ascii="Calibri" w:hAnsi="Calibri" w:cs="Calibri"/>
          <w:szCs w:val="22"/>
        </w:rPr>
        <w:t xml:space="preserve">the network. </w:t>
      </w:r>
    </w:p>
    <w:p w14:paraId="61342B13" w14:textId="49B42E9F" w:rsidR="0024665C" w:rsidRPr="000C317A" w:rsidRDefault="0024665C" w:rsidP="0024665C">
      <w:pPr>
        <w:rPr>
          <w:rFonts w:ascii="Calibri" w:hAnsi="Calibri" w:cs="Calibri"/>
          <w:szCs w:val="22"/>
        </w:rPr>
      </w:pPr>
      <w:r w:rsidRPr="000C317A">
        <w:rPr>
          <w:rFonts w:ascii="Calibri" w:hAnsi="Calibri" w:cs="Calibri"/>
          <w:szCs w:val="22"/>
        </w:rPr>
        <w:t xml:space="preserve">As electricity flows through transmission and distribution networks, energy is lost due to electrical resistance and the heating of conductors. This lost energy in NGER is referred as “the loss of electricity from an electricity transmission or distribution network in the main electricity grid or in a network other than the main electricity grid in the </w:t>
      </w:r>
      <w:r w:rsidR="00041EEE">
        <w:rPr>
          <w:rFonts w:ascii="Calibri" w:hAnsi="Calibri" w:cs="Calibri"/>
          <w:szCs w:val="22"/>
        </w:rPr>
        <w:t>s</w:t>
      </w:r>
      <w:r w:rsidRPr="000C317A">
        <w:rPr>
          <w:rFonts w:ascii="Calibri" w:hAnsi="Calibri" w:cs="Calibri"/>
          <w:szCs w:val="22"/>
        </w:rPr>
        <w:t xml:space="preserve">tate or </w:t>
      </w:r>
      <w:r w:rsidR="00041EEE">
        <w:rPr>
          <w:rFonts w:ascii="Calibri" w:hAnsi="Calibri" w:cs="Calibri"/>
          <w:szCs w:val="22"/>
        </w:rPr>
        <w:t>t</w:t>
      </w:r>
      <w:r w:rsidRPr="000C317A">
        <w:rPr>
          <w:rFonts w:ascii="Calibri" w:hAnsi="Calibri" w:cs="Calibri"/>
          <w:szCs w:val="22"/>
        </w:rPr>
        <w:t xml:space="preserve">erritory”. </w:t>
      </w:r>
    </w:p>
    <w:p w14:paraId="29655DF5" w14:textId="672C26B8" w:rsidR="0024665C" w:rsidRPr="000C317A" w:rsidRDefault="0024665C" w:rsidP="0024665C">
      <w:pPr>
        <w:rPr>
          <w:rFonts w:ascii="Calibri" w:hAnsi="Calibri" w:cs="Calibri"/>
          <w:szCs w:val="22"/>
        </w:rPr>
      </w:pPr>
      <w:r w:rsidRPr="000C317A">
        <w:rPr>
          <w:rFonts w:ascii="Calibri" w:hAnsi="Calibri" w:cs="Calibri"/>
          <w:szCs w:val="22"/>
        </w:rPr>
        <w:t>We have adopted the definition of a network from</w:t>
      </w:r>
      <w:r w:rsidR="004A4F98">
        <w:rPr>
          <w:rFonts w:ascii="Calibri" w:hAnsi="Calibri" w:cs="Calibri"/>
          <w:szCs w:val="22"/>
        </w:rPr>
        <w:t xml:space="preserve"> the</w:t>
      </w:r>
      <w:r w:rsidRPr="000C317A">
        <w:rPr>
          <w:rFonts w:ascii="Calibri" w:hAnsi="Calibri" w:cs="Calibri"/>
          <w:szCs w:val="22"/>
        </w:rPr>
        <w:t xml:space="preserve"> </w:t>
      </w:r>
      <w:hyperlink r:id="rId45" w:tooltip="A link to the National Electricty Rules page on the Australian Energy Market Commission website." w:history="1">
        <w:r w:rsidRPr="000C317A">
          <w:rPr>
            <w:rStyle w:val="Hyperlink"/>
            <w:rFonts w:asciiTheme="minorHAnsi" w:hAnsiTheme="minorHAnsi" w:cstheme="minorBidi"/>
            <w:szCs w:val="22"/>
          </w:rPr>
          <w:t>National Electricity Rules</w:t>
        </w:r>
      </w:hyperlink>
      <w:r w:rsidR="004B0870">
        <w:rPr>
          <w:rFonts w:ascii="ZWAdobeF" w:hAnsi="ZWAdobeF" w:cs="ZWAdobeF"/>
          <w:color w:val="auto"/>
          <w:sz w:val="2"/>
          <w:szCs w:val="2"/>
        </w:rPr>
        <w:t>22F</w:t>
      </w:r>
      <w:r w:rsidRPr="4E27CAA4">
        <w:rPr>
          <w:rStyle w:val="FootnoteReference"/>
          <w:rFonts w:ascii="Calibri" w:hAnsi="Calibri" w:cs="Calibri"/>
        </w:rPr>
        <w:footnoteReference w:id="24"/>
      </w:r>
      <w:r w:rsidRPr="000C317A">
        <w:rPr>
          <w:rFonts w:ascii="Calibri" w:hAnsi="Calibri" w:cs="Calibri"/>
          <w:szCs w:val="22"/>
        </w:rPr>
        <w:t xml:space="preserve"> made by the Australian Energy Market Commission (AEMC). A network is defined as </w:t>
      </w:r>
      <w:r w:rsidR="0007086A">
        <w:rPr>
          <w:rFonts w:ascii="Calibri" w:hAnsi="Calibri" w:cs="Calibri"/>
          <w:szCs w:val="22"/>
        </w:rPr>
        <w:t>“</w:t>
      </w:r>
      <w:r w:rsidRPr="000C317A">
        <w:rPr>
          <w:rFonts w:ascii="Calibri" w:hAnsi="Calibri" w:cs="Calibri"/>
          <w:szCs w:val="22"/>
        </w:rPr>
        <w:t>the apparatus, equipment, plant and buildings used to convey, and control the conveyance of, electricity</w:t>
      </w:r>
      <w:r w:rsidR="005D79B1">
        <w:rPr>
          <w:rFonts w:ascii="Calibri" w:hAnsi="Calibri" w:cs="Calibri"/>
          <w:szCs w:val="22"/>
        </w:rPr>
        <w:t xml:space="preserve"> to customers (whether wholesale or retail)</w:t>
      </w:r>
      <w:r w:rsidRPr="000C317A">
        <w:rPr>
          <w:rFonts w:ascii="Calibri" w:hAnsi="Calibri" w:cs="Calibri"/>
          <w:szCs w:val="22"/>
        </w:rPr>
        <w:t xml:space="preserve"> excluding any </w:t>
      </w:r>
      <w:r w:rsidRPr="005D79B1">
        <w:rPr>
          <w:rFonts w:ascii="Calibri" w:hAnsi="Calibri" w:cs="Calibri"/>
          <w:szCs w:val="22"/>
        </w:rPr>
        <w:t>connection assets</w:t>
      </w:r>
      <w:r w:rsidRPr="000C317A">
        <w:rPr>
          <w:rFonts w:ascii="Calibri" w:hAnsi="Calibri" w:cs="Calibri"/>
          <w:szCs w:val="22"/>
        </w:rPr>
        <w:t>. In relation to a Network Service Provider, a network owned, operated or controlled by that Network Service Provider</w:t>
      </w:r>
      <w:r w:rsidR="005D79B1">
        <w:rPr>
          <w:rFonts w:ascii="Calibri" w:hAnsi="Calibri" w:cs="Calibri"/>
          <w:szCs w:val="22"/>
        </w:rPr>
        <w:t>”</w:t>
      </w:r>
      <w:r w:rsidRPr="000C317A">
        <w:rPr>
          <w:rFonts w:ascii="Calibri" w:hAnsi="Calibri" w:cs="Calibri"/>
          <w:szCs w:val="22"/>
        </w:rPr>
        <w:t>.</w:t>
      </w:r>
      <w:r>
        <w:rPr>
          <w:rFonts w:ascii="Calibri" w:hAnsi="Calibri" w:cs="Calibri"/>
          <w:szCs w:val="22"/>
        </w:rPr>
        <w:t xml:space="preserve"> </w:t>
      </w:r>
      <w:r w:rsidR="00DF7A60">
        <w:rPr>
          <w:rFonts w:ascii="Calibri" w:hAnsi="Calibri" w:cs="Calibri"/>
          <w:szCs w:val="22"/>
        </w:rPr>
        <w:t xml:space="preserve">A single connection </w:t>
      </w:r>
      <w:r w:rsidR="00752D27">
        <w:rPr>
          <w:rFonts w:ascii="Calibri" w:hAnsi="Calibri" w:cs="Calibri"/>
          <w:szCs w:val="22"/>
        </w:rPr>
        <w:t>between two facilities would be included in this definition.</w:t>
      </w:r>
    </w:p>
    <w:p w14:paraId="30D2429E" w14:textId="54333870" w:rsidR="0024665C" w:rsidRDefault="0024665C" w:rsidP="0024665C">
      <w:pPr>
        <w:rPr>
          <w:highlight w:val="yellow"/>
        </w:rPr>
      </w:pPr>
      <w:r w:rsidRPr="000C317A">
        <w:rPr>
          <w:rFonts w:ascii="Calibri" w:hAnsi="Calibri" w:cs="Calibri"/>
          <w:szCs w:val="22"/>
        </w:rPr>
        <w:t xml:space="preserve">Generally, calculations of </w:t>
      </w:r>
      <w:r w:rsidRPr="009D204C">
        <w:rPr>
          <w:rFonts w:ascii="Calibri" w:hAnsi="Calibri" w:cs="Calibri"/>
          <w:szCs w:val="22"/>
        </w:rPr>
        <w:t>transmission or distribution losses from a facility are based on the amount of electricity entering the network and the amount of electricity leaving the network measured</w:t>
      </w:r>
      <w:r w:rsidR="005E15C5">
        <w:rPr>
          <w:rFonts w:ascii="Calibri" w:hAnsi="Calibri" w:cs="Calibri"/>
          <w:szCs w:val="22"/>
        </w:rPr>
        <w:t xml:space="preserve"> at the connection points. </w:t>
      </w:r>
    </w:p>
    <w:p w14:paraId="0D526D3C" w14:textId="7FB988E3" w:rsidR="0024665C" w:rsidRPr="001D2686" w:rsidRDefault="0024665C" w:rsidP="00D2141E">
      <w:pPr>
        <w:pStyle w:val="Heading3"/>
        <w:numPr>
          <w:ilvl w:val="2"/>
          <w:numId w:val="3"/>
        </w:numPr>
        <w:ind w:left="851" w:hanging="851"/>
      </w:pPr>
      <w:bookmarkStart w:id="211" w:name="_Toc235706329"/>
      <w:r w:rsidRPr="00E87F0D">
        <w:t xml:space="preserve">Unaccounted for </w:t>
      </w:r>
      <w:r w:rsidR="007F371B">
        <w:t>e</w:t>
      </w:r>
      <w:r w:rsidRPr="00E87F0D">
        <w:t>nergy</w:t>
      </w:r>
      <w:bookmarkEnd w:id="211"/>
    </w:p>
    <w:p w14:paraId="2E35555D" w14:textId="6F285FA1" w:rsidR="0024665C" w:rsidRPr="000C317A" w:rsidRDefault="0024665C" w:rsidP="0024665C">
      <w:pPr>
        <w:rPr>
          <w:szCs w:val="22"/>
        </w:rPr>
      </w:pPr>
      <w:r w:rsidRPr="000C317A">
        <w:rPr>
          <w:szCs w:val="22"/>
        </w:rPr>
        <w:t xml:space="preserve">In May 2022, the Australian Energy Market Operator (AEMO) introduced a </w:t>
      </w:r>
      <w:hyperlink r:id="rId46" w:tooltip="A link to the Global Settlement Framework page on the Australian Energy Market Operator website." w:history="1">
        <w:r w:rsidRPr="000C317A">
          <w:rPr>
            <w:rStyle w:val="Hyperlink"/>
            <w:rFonts w:asciiTheme="minorHAnsi" w:hAnsiTheme="minorHAnsi"/>
          </w:rPr>
          <w:t>Global Settlement Framework</w:t>
        </w:r>
      </w:hyperlink>
      <w:r w:rsidR="004B0870">
        <w:rPr>
          <w:rFonts w:ascii="ZWAdobeF" w:hAnsi="ZWAdobeF" w:cs="ZWAdobeF"/>
          <w:color w:val="auto"/>
          <w:sz w:val="2"/>
          <w:szCs w:val="2"/>
        </w:rPr>
        <w:t>23F</w:t>
      </w:r>
      <w:r w:rsidRPr="000C317A">
        <w:rPr>
          <w:rStyle w:val="FootnoteReference"/>
          <w:szCs w:val="22"/>
        </w:rPr>
        <w:footnoteReference w:id="25"/>
      </w:r>
      <w:r w:rsidRPr="000C317A">
        <w:rPr>
          <w:szCs w:val="22"/>
        </w:rPr>
        <w:t xml:space="preserve"> to invoice all retailers </w:t>
      </w:r>
      <w:r w:rsidRPr="00825A78">
        <w:rPr>
          <w:szCs w:val="22"/>
        </w:rPr>
        <w:t xml:space="preserve">for </w:t>
      </w:r>
      <w:r>
        <w:rPr>
          <w:szCs w:val="22"/>
        </w:rPr>
        <w:t>u</w:t>
      </w:r>
      <w:r w:rsidRPr="00825A78">
        <w:rPr>
          <w:szCs w:val="22"/>
        </w:rPr>
        <w:t xml:space="preserve">naccounted for </w:t>
      </w:r>
      <w:r>
        <w:rPr>
          <w:szCs w:val="22"/>
        </w:rPr>
        <w:t>e</w:t>
      </w:r>
      <w:r w:rsidRPr="00825A78">
        <w:rPr>
          <w:szCs w:val="22"/>
        </w:rPr>
        <w:t xml:space="preserve">nergy </w:t>
      </w:r>
      <w:r w:rsidRPr="000C317A">
        <w:rPr>
          <w:szCs w:val="22"/>
        </w:rPr>
        <w:t>(UFE) within a distribution area.</w:t>
      </w:r>
    </w:p>
    <w:p w14:paraId="4F189DF6" w14:textId="77777777" w:rsidR="0024665C" w:rsidRPr="00825A78" w:rsidRDefault="0024665C" w:rsidP="0024665C">
      <w:pPr>
        <w:rPr>
          <w:szCs w:val="22"/>
        </w:rPr>
      </w:pPr>
      <w:r w:rsidRPr="00825A78">
        <w:rPr>
          <w:szCs w:val="22"/>
        </w:rPr>
        <w:lastRenderedPageBreak/>
        <w:t xml:space="preserve">UFE is the discrepancy between the amount of electricity </w:t>
      </w:r>
      <w:r w:rsidRPr="00D2141E">
        <w:rPr>
          <w:b/>
          <w:bCs/>
          <w:szCs w:val="22"/>
        </w:rPr>
        <w:t>supplied</w:t>
      </w:r>
      <w:r w:rsidRPr="007F371B">
        <w:rPr>
          <w:szCs w:val="22"/>
        </w:rPr>
        <w:t xml:space="preserve"> </w:t>
      </w:r>
      <w:r w:rsidRPr="00825A78">
        <w:rPr>
          <w:szCs w:val="22"/>
        </w:rPr>
        <w:t>into a distribution area and</w:t>
      </w:r>
      <w:r>
        <w:rPr>
          <w:szCs w:val="22"/>
        </w:rPr>
        <w:t xml:space="preserve"> the amount of</w:t>
      </w:r>
      <w:r w:rsidRPr="00825A78">
        <w:rPr>
          <w:szCs w:val="22"/>
        </w:rPr>
        <w:t xml:space="preserve"> </w:t>
      </w:r>
      <w:r>
        <w:rPr>
          <w:szCs w:val="22"/>
        </w:rPr>
        <w:t xml:space="preserve">electricity </w:t>
      </w:r>
      <w:r w:rsidRPr="00D2141E">
        <w:rPr>
          <w:b/>
          <w:bCs/>
          <w:szCs w:val="22"/>
        </w:rPr>
        <w:t>consumed</w:t>
      </w:r>
      <w:r>
        <w:rPr>
          <w:szCs w:val="22"/>
        </w:rPr>
        <w:t xml:space="preserve"> </w:t>
      </w:r>
      <w:r w:rsidRPr="00825A78">
        <w:rPr>
          <w:szCs w:val="22"/>
        </w:rPr>
        <w:t>in that distribution area based on electricity end-user metering.</w:t>
      </w:r>
    </w:p>
    <w:p w14:paraId="7E70C3A6" w14:textId="77777777" w:rsidR="0024665C" w:rsidRPr="00825A78" w:rsidRDefault="0024665C" w:rsidP="0024665C">
      <w:pPr>
        <w:rPr>
          <w:szCs w:val="22"/>
        </w:rPr>
      </w:pPr>
      <w:r w:rsidRPr="00825A78">
        <w:rPr>
          <w:szCs w:val="22"/>
        </w:rPr>
        <w:t xml:space="preserve">Electricity retailers may adjust customer invoices for UFE. As a result, some electricity users may notice </w:t>
      </w:r>
      <w:r>
        <w:rPr>
          <w:szCs w:val="22"/>
        </w:rPr>
        <w:t>UFE</w:t>
      </w:r>
      <w:r w:rsidRPr="00825A78">
        <w:rPr>
          <w:szCs w:val="22"/>
        </w:rPr>
        <w:t xml:space="preserve"> on their invoices. The quantity of UFE may be positive or negative.</w:t>
      </w:r>
    </w:p>
    <w:p w14:paraId="470EBCFA" w14:textId="77777777" w:rsidR="0024665C" w:rsidRPr="00825A78" w:rsidRDefault="0024665C" w:rsidP="0024665C">
      <w:pPr>
        <w:rPr>
          <w:szCs w:val="22"/>
        </w:rPr>
      </w:pPr>
      <w:r w:rsidRPr="00825A78">
        <w:rPr>
          <w:szCs w:val="22"/>
        </w:rPr>
        <w:t>If a retailer includes an item in your invoice for UFE, you should not include it in your electricity consumption for reporting scope 2 emissions under NGER. That is, you should only report the total of the other electricity quantities in your customer invoice, without adjustment for UFE.</w:t>
      </w:r>
    </w:p>
    <w:p w14:paraId="1B749E76" w14:textId="490D31DD" w:rsidR="0024665C" w:rsidRPr="00825A78" w:rsidRDefault="0024665C" w:rsidP="0024665C">
      <w:pPr>
        <w:rPr>
          <w:szCs w:val="22"/>
        </w:rPr>
      </w:pPr>
      <w:r w:rsidRPr="00825A78">
        <w:rPr>
          <w:szCs w:val="22"/>
        </w:rPr>
        <w:t xml:space="preserve">If you are aware that your electricity invoice includes </w:t>
      </w:r>
      <w:r w:rsidR="000172A7" w:rsidRPr="00825A78">
        <w:rPr>
          <w:szCs w:val="22"/>
        </w:rPr>
        <w:t>UFE,</w:t>
      </w:r>
      <w:r w:rsidRPr="00825A78">
        <w:rPr>
          <w:szCs w:val="22"/>
        </w:rPr>
        <w:t xml:space="preserve"> but it</w:t>
      </w:r>
      <w:r w:rsidR="00090B6E">
        <w:rPr>
          <w:szCs w:val="22"/>
        </w:rPr>
        <w:t>’</w:t>
      </w:r>
      <w:r w:rsidR="00B34843">
        <w:rPr>
          <w:szCs w:val="22"/>
        </w:rPr>
        <w:t>s</w:t>
      </w:r>
      <w:r w:rsidRPr="00825A78">
        <w:rPr>
          <w:szCs w:val="22"/>
        </w:rPr>
        <w:t xml:space="preserve"> not explicitly quantified, you should:</w:t>
      </w:r>
    </w:p>
    <w:p w14:paraId="63EFCDF6" w14:textId="77777777" w:rsidR="0024665C" w:rsidRPr="005453B4" w:rsidRDefault="0024665C" w:rsidP="0024665C">
      <w:pPr>
        <w:pStyle w:val="CERbullets"/>
      </w:pPr>
      <w:r w:rsidRPr="005453B4">
        <w:t>consult your electricity retailer to obtain more information</w:t>
      </w:r>
    </w:p>
    <w:p w14:paraId="01BD3FF2" w14:textId="77777777" w:rsidR="0024665C" w:rsidRPr="005453B4" w:rsidRDefault="0024665C" w:rsidP="0024665C">
      <w:pPr>
        <w:pStyle w:val="CERbullets"/>
      </w:pPr>
      <w:r w:rsidRPr="005453B4">
        <w:t xml:space="preserve">document the method you used for estimating UFE in your </w:t>
      </w:r>
      <w:proofErr w:type="spellStart"/>
      <w:r w:rsidRPr="005453B4">
        <w:t>BoP</w:t>
      </w:r>
      <w:proofErr w:type="spellEnd"/>
      <w:r w:rsidRPr="005453B4">
        <w:t>. </w:t>
      </w:r>
    </w:p>
    <w:tbl>
      <w:tblPr>
        <w:tblStyle w:val="CERCallout"/>
        <w:tblW w:w="10038" w:type="dxa"/>
        <w:tblLook w:val="04A0" w:firstRow="1" w:lastRow="0" w:firstColumn="1" w:lastColumn="0" w:noHBand="0" w:noVBand="1"/>
      </w:tblPr>
      <w:tblGrid>
        <w:gridCol w:w="10038"/>
      </w:tblGrid>
      <w:tr w:rsidR="00D67F2D" w:rsidRPr="008A503B" w14:paraId="76A27486" w14:textId="77777777" w:rsidTr="0077525C">
        <w:trPr>
          <w:cnfStyle w:val="100000000000" w:firstRow="1" w:lastRow="0" w:firstColumn="0" w:lastColumn="0" w:oddVBand="0" w:evenVBand="0" w:oddHBand="0" w:evenHBand="0" w:firstRowFirstColumn="0" w:firstRowLastColumn="0" w:lastRowFirstColumn="0" w:lastRowLastColumn="0"/>
        </w:trPr>
        <w:tc>
          <w:tcPr>
            <w:tcW w:w="10038" w:type="dxa"/>
          </w:tcPr>
          <w:p w14:paraId="56446487" w14:textId="303E18F6" w:rsidR="0024665C" w:rsidRPr="006E2CCA" w:rsidRDefault="0024665C" w:rsidP="001F2AF3">
            <w:pPr>
              <w:pStyle w:val="Heading5"/>
              <w:rPr>
                <w:szCs w:val="22"/>
              </w:rPr>
            </w:pPr>
            <w:bookmarkStart w:id="212" w:name="_Toc235706330"/>
            <w:r w:rsidRPr="001F2AF3">
              <w:rPr>
                <w:b/>
                <w:bCs/>
              </w:rPr>
              <w:lastRenderedPageBreak/>
              <w:t>Example: Reporting scope 2 emissions based on an electricity bill that includes UFE</w:t>
            </w:r>
            <w:bookmarkEnd w:id="212"/>
          </w:p>
          <w:p w14:paraId="18D17639" w14:textId="611BAA84" w:rsidR="0024665C" w:rsidRPr="001561D5" w:rsidRDefault="0024665C">
            <w:pPr>
              <w:spacing w:before="37" w:after="25"/>
              <w:ind w:left="0"/>
              <w:rPr>
                <w:rFonts w:ascii="Calibri" w:hAnsi="Calibri" w:cs="Calibri"/>
                <w:szCs w:val="22"/>
              </w:rPr>
            </w:pPr>
            <w:r>
              <w:rPr>
                <w:rFonts w:ascii="Calibri" w:hAnsi="Calibri" w:cs="Calibri"/>
                <w:b w:val="0"/>
                <w:szCs w:val="22"/>
              </w:rPr>
              <w:t>This</w:t>
            </w:r>
            <w:r w:rsidRPr="183F6EF4">
              <w:rPr>
                <w:rFonts w:ascii="Calibri" w:hAnsi="Calibri" w:cs="Calibri"/>
                <w:b w:val="0"/>
                <w:szCs w:val="22"/>
              </w:rPr>
              <w:t xml:space="preserve"> electricity invoice display</w:t>
            </w:r>
            <w:r>
              <w:rPr>
                <w:rFonts w:ascii="Calibri" w:hAnsi="Calibri" w:cs="Calibri"/>
                <w:b w:val="0"/>
                <w:szCs w:val="22"/>
              </w:rPr>
              <w:t>s</w:t>
            </w:r>
            <w:r w:rsidRPr="183F6EF4">
              <w:rPr>
                <w:rFonts w:ascii="Calibri" w:hAnsi="Calibri" w:cs="Calibri"/>
                <w:b w:val="0"/>
                <w:szCs w:val="22"/>
              </w:rPr>
              <w:t xml:space="preserve"> </w:t>
            </w:r>
            <w:r>
              <w:rPr>
                <w:rFonts w:ascii="Calibri" w:hAnsi="Calibri" w:cs="Calibri"/>
                <w:b w:val="0"/>
                <w:szCs w:val="22"/>
              </w:rPr>
              <w:t xml:space="preserve">the quantities of electricity that add up to your </w:t>
            </w:r>
            <w:r w:rsidR="009D46AB">
              <w:rPr>
                <w:rFonts w:ascii="Calibri" w:hAnsi="Calibri" w:cs="Calibri"/>
                <w:b w:val="0"/>
                <w:szCs w:val="22"/>
              </w:rPr>
              <w:t>t</w:t>
            </w:r>
            <w:r>
              <w:rPr>
                <w:rFonts w:ascii="Calibri" w:hAnsi="Calibri" w:cs="Calibri"/>
                <w:b w:val="0"/>
                <w:szCs w:val="22"/>
              </w:rPr>
              <w:t xml:space="preserve">otal </w:t>
            </w:r>
            <w:r w:rsidR="009D46AB">
              <w:rPr>
                <w:rFonts w:ascii="Calibri" w:hAnsi="Calibri" w:cs="Calibri"/>
                <w:b w:val="0"/>
                <w:szCs w:val="22"/>
              </w:rPr>
              <w:t>c</w:t>
            </w:r>
            <w:r>
              <w:rPr>
                <w:rFonts w:ascii="Calibri" w:hAnsi="Calibri" w:cs="Calibri"/>
                <w:b w:val="0"/>
                <w:szCs w:val="22"/>
              </w:rPr>
              <w:t xml:space="preserve">onsumption </w:t>
            </w:r>
            <w:r w:rsidR="009D46AB">
              <w:rPr>
                <w:rFonts w:ascii="Calibri" w:hAnsi="Calibri" w:cs="Calibri"/>
                <w:b w:val="0"/>
                <w:szCs w:val="22"/>
              </w:rPr>
              <w:t>c</w:t>
            </w:r>
            <w:r>
              <w:rPr>
                <w:rFonts w:ascii="Calibri" w:hAnsi="Calibri" w:cs="Calibri"/>
                <w:b w:val="0"/>
                <w:szCs w:val="22"/>
              </w:rPr>
              <w:t xml:space="preserve">harges. This includes a quantity of </w:t>
            </w:r>
            <w:r w:rsidR="00BD3557">
              <w:rPr>
                <w:rFonts w:ascii="Calibri" w:hAnsi="Calibri" w:cs="Calibri"/>
                <w:b w:val="0"/>
                <w:szCs w:val="22"/>
              </w:rPr>
              <w:t>u</w:t>
            </w:r>
            <w:r w:rsidRPr="000E42BC">
              <w:rPr>
                <w:rFonts w:ascii="Calibri" w:hAnsi="Calibri" w:cs="Calibri"/>
                <w:b w:val="0"/>
                <w:szCs w:val="22"/>
              </w:rPr>
              <w:t xml:space="preserve">naccounted for </w:t>
            </w:r>
            <w:r w:rsidR="00BD3557">
              <w:rPr>
                <w:rFonts w:ascii="Calibri" w:hAnsi="Calibri" w:cs="Calibri"/>
                <w:b w:val="0"/>
                <w:szCs w:val="22"/>
              </w:rPr>
              <w:t>e</w:t>
            </w:r>
            <w:r w:rsidRPr="000E42BC">
              <w:rPr>
                <w:rFonts w:ascii="Calibri" w:hAnsi="Calibri" w:cs="Calibri"/>
                <w:b w:val="0"/>
                <w:szCs w:val="22"/>
              </w:rPr>
              <w:t>nergy</w:t>
            </w:r>
            <w:r>
              <w:rPr>
                <w:rFonts w:ascii="Calibri" w:hAnsi="Calibri" w:cs="Calibri"/>
                <w:b w:val="0"/>
                <w:szCs w:val="22"/>
              </w:rPr>
              <w:t xml:space="preserve"> which should not be included in </w:t>
            </w:r>
            <w:r w:rsidRPr="00D2141E">
              <w:rPr>
                <w:rFonts w:ascii="Calibri" w:hAnsi="Calibri" w:cs="Calibri"/>
                <w:szCs w:val="22"/>
              </w:rPr>
              <w:t>your</w:t>
            </w:r>
            <w:r w:rsidRPr="00BD3557">
              <w:rPr>
                <w:rFonts w:ascii="Calibri" w:hAnsi="Calibri" w:cs="Calibri"/>
                <w:b w:val="0"/>
                <w:iCs/>
                <w:szCs w:val="22"/>
              </w:rPr>
              <w:t xml:space="preserve"> </w:t>
            </w:r>
            <w:r>
              <w:rPr>
                <w:rFonts w:ascii="Calibri" w:hAnsi="Calibri" w:cs="Calibri"/>
                <w:b w:val="0"/>
                <w:szCs w:val="22"/>
              </w:rPr>
              <w:t>electricity consumption reported under NGER.</w:t>
            </w:r>
            <w:r>
              <w:rPr>
                <w:rFonts w:ascii="Calibri" w:hAnsi="Calibri" w:cs="Calibri"/>
                <w:b w:val="0"/>
                <w:szCs w:val="22"/>
              </w:rPr>
              <w:br/>
            </w:r>
          </w:p>
          <w:tbl>
            <w:tblPr>
              <w:tblW w:w="9470" w:type="dxa"/>
              <w:tblLook w:val="04A0" w:firstRow="1" w:lastRow="0" w:firstColumn="1" w:lastColumn="0" w:noHBand="0" w:noVBand="1"/>
            </w:tblPr>
            <w:tblGrid>
              <w:gridCol w:w="2520"/>
              <w:gridCol w:w="3543"/>
              <w:gridCol w:w="1706"/>
              <w:gridCol w:w="1701"/>
            </w:tblGrid>
            <w:tr w:rsidR="0024665C" w:rsidRPr="001561D5" w14:paraId="22F68B94" w14:textId="77777777" w:rsidTr="00BE117F">
              <w:trPr>
                <w:cantSplit/>
                <w:trHeight w:val="530"/>
              </w:trPr>
              <w:tc>
                <w:tcPr>
                  <w:tcW w:w="2520" w:type="dxa"/>
                  <w:tcBorders>
                    <w:top w:val="nil"/>
                    <w:left w:val="nil"/>
                    <w:bottom w:val="single" w:sz="12" w:space="0" w:color="FCBA5C"/>
                    <w:right w:val="nil"/>
                  </w:tcBorders>
                  <w:shd w:val="clear" w:color="auto" w:fill="E8E8E8" w:themeFill="background2"/>
                  <w:vAlign w:val="center"/>
                  <w:hideMark/>
                </w:tcPr>
                <w:p w14:paraId="36B120C1" w14:textId="70A75AEE" w:rsidR="0024665C" w:rsidRPr="001561D5" w:rsidRDefault="0024665C">
                  <w:pPr>
                    <w:spacing w:after="0"/>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Energy </w:t>
                  </w:r>
                  <w:r w:rsidR="00BD3557">
                    <w:rPr>
                      <w:rFonts w:ascii="Calibri" w:eastAsia="Times New Roman" w:hAnsi="Calibri" w:cs="Calibri"/>
                      <w:b/>
                      <w:lang w:val="en-GB" w:eastAsia="en-AU"/>
                    </w:rPr>
                    <w:t>c</w:t>
                  </w:r>
                  <w:r w:rsidRPr="183F6EF4">
                    <w:rPr>
                      <w:rFonts w:ascii="Calibri" w:eastAsia="Times New Roman" w:hAnsi="Calibri" w:cs="Calibri"/>
                      <w:b/>
                      <w:lang w:val="en-GB" w:eastAsia="en-AU"/>
                    </w:rPr>
                    <w:t>harge</w:t>
                  </w:r>
                  <w:r>
                    <w:rPr>
                      <w:rFonts w:ascii="Calibri" w:eastAsia="Times New Roman" w:hAnsi="Calibri" w:cs="Calibri"/>
                      <w:b/>
                      <w:color w:val="000000"/>
                      <w:lang w:eastAsia="en-AU"/>
                    </w:rPr>
                    <w:t>s</w:t>
                  </w:r>
                </w:p>
              </w:tc>
              <w:tc>
                <w:tcPr>
                  <w:tcW w:w="3543" w:type="dxa"/>
                  <w:tcBorders>
                    <w:top w:val="nil"/>
                    <w:left w:val="nil"/>
                    <w:bottom w:val="single" w:sz="12" w:space="0" w:color="FCBA5C"/>
                    <w:right w:val="nil"/>
                  </w:tcBorders>
                  <w:shd w:val="clear" w:color="auto" w:fill="E8E8E8" w:themeFill="background2"/>
                  <w:vAlign w:val="center"/>
                  <w:hideMark/>
                </w:tcPr>
                <w:p w14:paraId="444260DB" w14:textId="2A27D6E2" w:rsidR="0024665C" w:rsidRPr="001561D5" w:rsidRDefault="0024665C">
                  <w:pPr>
                    <w:spacing w:after="0"/>
                    <w:jc w:val="center"/>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Contract </w:t>
                  </w:r>
                  <w:r w:rsidR="00BD3557">
                    <w:rPr>
                      <w:rFonts w:ascii="Calibri" w:eastAsia="Times New Roman" w:hAnsi="Calibri" w:cs="Calibri"/>
                      <w:b/>
                      <w:lang w:val="en-GB" w:eastAsia="en-AU"/>
                    </w:rPr>
                    <w:t>r</w:t>
                  </w:r>
                  <w:r w:rsidRPr="183F6EF4">
                    <w:rPr>
                      <w:rFonts w:ascii="Calibri" w:eastAsia="Times New Roman" w:hAnsi="Calibri" w:cs="Calibri"/>
                      <w:b/>
                      <w:lang w:val="en-GB" w:eastAsia="en-AU"/>
                    </w:rPr>
                    <w:t>ate x (DLF x MLF)</w:t>
                  </w:r>
                </w:p>
              </w:tc>
              <w:tc>
                <w:tcPr>
                  <w:tcW w:w="1706" w:type="dxa"/>
                  <w:tcBorders>
                    <w:top w:val="nil"/>
                    <w:left w:val="nil"/>
                    <w:bottom w:val="single" w:sz="12" w:space="0" w:color="FCBA5C"/>
                    <w:right w:val="nil"/>
                  </w:tcBorders>
                  <w:shd w:val="clear" w:color="auto" w:fill="E8E8E8" w:themeFill="background2"/>
                  <w:vAlign w:val="center"/>
                  <w:hideMark/>
                </w:tcPr>
                <w:p w14:paraId="418A9C1B" w14:textId="38F9C931" w:rsidR="0024665C" w:rsidRPr="001561D5" w:rsidRDefault="0024665C">
                  <w:pPr>
                    <w:spacing w:after="0"/>
                    <w:jc w:val="center"/>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Metered </w:t>
                  </w:r>
                  <w:r w:rsidR="00BD3557">
                    <w:rPr>
                      <w:rFonts w:ascii="Calibri" w:eastAsia="Times New Roman" w:hAnsi="Calibri" w:cs="Calibri"/>
                      <w:b/>
                      <w:lang w:val="en-GB" w:eastAsia="en-AU"/>
                    </w:rPr>
                    <w:t>r</w:t>
                  </w:r>
                  <w:r w:rsidRPr="183F6EF4">
                    <w:rPr>
                      <w:rFonts w:ascii="Calibri" w:eastAsia="Times New Roman" w:hAnsi="Calibri" w:cs="Calibri"/>
                      <w:b/>
                      <w:lang w:val="en-GB" w:eastAsia="en-AU"/>
                    </w:rPr>
                    <w:t>ate</w:t>
                  </w:r>
                </w:p>
              </w:tc>
              <w:tc>
                <w:tcPr>
                  <w:tcW w:w="1701" w:type="dxa"/>
                  <w:tcBorders>
                    <w:top w:val="nil"/>
                    <w:left w:val="nil"/>
                    <w:bottom w:val="single" w:sz="12" w:space="0" w:color="FCBA5C"/>
                    <w:right w:val="nil"/>
                  </w:tcBorders>
                  <w:shd w:val="clear" w:color="auto" w:fill="E8E8E8" w:themeFill="background2"/>
                  <w:vAlign w:val="center"/>
                  <w:hideMark/>
                </w:tcPr>
                <w:p w14:paraId="7D939CE2" w14:textId="77777777" w:rsidR="0024665C" w:rsidRPr="001561D5" w:rsidRDefault="0024665C">
                  <w:pPr>
                    <w:spacing w:after="0"/>
                    <w:jc w:val="center"/>
                    <w:rPr>
                      <w:rFonts w:ascii="Calibri" w:eastAsia="Times New Roman" w:hAnsi="Calibri" w:cs="Calibri"/>
                      <w:b/>
                      <w:color w:val="000000"/>
                      <w:lang w:eastAsia="en-AU"/>
                    </w:rPr>
                  </w:pPr>
                  <w:r w:rsidRPr="183F6EF4">
                    <w:rPr>
                      <w:rFonts w:ascii="Calibri" w:eastAsia="Times New Roman" w:hAnsi="Calibri" w:cs="Calibri"/>
                      <w:b/>
                      <w:lang w:val="en-GB" w:eastAsia="en-AU"/>
                    </w:rPr>
                    <w:t>Quantity</w:t>
                  </w:r>
                </w:p>
              </w:tc>
            </w:tr>
            <w:tr w:rsidR="0024665C" w:rsidRPr="001561D5" w14:paraId="66F9B89F" w14:textId="77777777" w:rsidTr="00BE117F">
              <w:trPr>
                <w:cantSplit/>
                <w:trHeight w:val="310"/>
              </w:trPr>
              <w:tc>
                <w:tcPr>
                  <w:tcW w:w="2520" w:type="dxa"/>
                  <w:tcBorders>
                    <w:top w:val="nil"/>
                    <w:left w:val="nil"/>
                    <w:bottom w:val="single" w:sz="8" w:space="0" w:color="D1D1D1" w:themeColor="background2" w:themeShade="E6"/>
                    <w:right w:val="nil"/>
                  </w:tcBorders>
                  <w:shd w:val="clear" w:color="auto" w:fill="F2F2F2" w:themeFill="background1" w:themeFillShade="F2"/>
                  <w:vAlign w:val="center"/>
                  <w:hideMark/>
                </w:tcPr>
                <w:p w14:paraId="675581CF" w14:textId="37BF4A04" w:rsidR="0024665C" w:rsidRPr="001561D5" w:rsidRDefault="0024665C">
                  <w:pPr>
                    <w:spacing w:after="0"/>
                    <w:jc w:val="both"/>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Peak </w:t>
                  </w:r>
                  <w:r w:rsidR="00BD3557">
                    <w:rPr>
                      <w:rFonts w:ascii="Calibri" w:eastAsia="Times New Roman" w:hAnsi="Calibri" w:cs="Calibri"/>
                      <w:b/>
                      <w:lang w:val="en-GB" w:eastAsia="en-AU"/>
                    </w:rPr>
                    <w:t>e</w:t>
                  </w:r>
                  <w:r w:rsidRPr="183F6EF4">
                    <w:rPr>
                      <w:rFonts w:ascii="Calibri" w:eastAsia="Times New Roman" w:hAnsi="Calibri" w:cs="Calibri"/>
                      <w:b/>
                      <w:lang w:val="en-GB" w:eastAsia="en-AU"/>
                    </w:rPr>
                    <w:t>nergy</w:t>
                  </w:r>
                </w:p>
              </w:tc>
              <w:tc>
                <w:tcPr>
                  <w:tcW w:w="3543" w:type="dxa"/>
                  <w:tcBorders>
                    <w:top w:val="nil"/>
                    <w:left w:val="nil"/>
                    <w:bottom w:val="single" w:sz="8" w:space="0" w:color="D1D1D1" w:themeColor="background2" w:themeShade="E6"/>
                    <w:right w:val="nil"/>
                  </w:tcBorders>
                  <w:vAlign w:val="center"/>
                  <w:hideMark/>
                </w:tcPr>
                <w:p w14:paraId="5661C242" w14:textId="77777777" w:rsidR="0024665C" w:rsidRPr="001561D5" w:rsidRDefault="0024665C">
                  <w:pPr>
                    <w:spacing w:after="0"/>
                    <w:jc w:val="center"/>
                    <w:rPr>
                      <w:rFonts w:ascii="Calibri" w:eastAsia="Times New Roman" w:hAnsi="Calibri" w:cs="Calibri"/>
                      <w:color w:val="000000"/>
                      <w:lang w:eastAsia="en-AU"/>
                    </w:rPr>
                  </w:pPr>
                  <w:r w:rsidRPr="183F6EF4">
                    <w:rPr>
                      <w:rFonts w:ascii="Calibri" w:eastAsia="Times New Roman" w:hAnsi="Calibri" w:cs="Calibri"/>
                      <w:lang w:val="en-GB" w:eastAsia="en-AU"/>
                    </w:rPr>
                    <w:t xml:space="preserve">7.2440 c/kWh </w:t>
                  </w:r>
                  <w:r>
                    <w:rPr>
                      <w:rFonts w:ascii="Calibri" w:eastAsia="Times New Roman" w:hAnsi="Calibri" w:cs="Calibri"/>
                      <w:lang w:val="en-GB" w:eastAsia="en-AU"/>
                    </w:rPr>
                    <w:t>x (</w:t>
                  </w:r>
                  <w:r w:rsidRPr="183F6EF4">
                    <w:rPr>
                      <w:rFonts w:ascii="Calibri" w:eastAsia="Times New Roman" w:hAnsi="Calibri" w:cs="Calibri"/>
                      <w:lang w:val="en-GB" w:eastAsia="en-AU"/>
                    </w:rPr>
                    <w:t xml:space="preserve">1.0680 </w:t>
                  </w:r>
                  <w:r>
                    <w:rPr>
                      <w:rFonts w:ascii="Calibri" w:eastAsia="Times New Roman" w:hAnsi="Calibri" w:cs="Calibri"/>
                      <w:lang w:val="en-GB" w:eastAsia="en-AU"/>
                    </w:rPr>
                    <w:t xml:space="preserve">x </w:t>
                  </w:r>
                  <w:r w:rsidRPr="183F6EF4">
                    <w:rPr>
                      <w:rFonts w:ascii="Calibri" w:eastAsia="Times New Roman" w:hAnsi="Calibri" w:cs="Calibri"/>
                      <w:lang w:val="en-GB" w:eastAsia="en-AU"/>
                    </w:rPr>
                    <w:t>0.9747</w:t>
                  </w:r>
                  <w:r>
                    <w:rPr>
                      <w:rFonts w:ascii="Calibri" w:eastAsia="Times New Roman" w:hAnsi="Calibri" w:cs="Calibri"/>
                      <w:lang w:val="en-GB" w:eastAsia="en-AU"/>
                    </w:rPr>
                    <w:t>)</w:t>
                  </w:r>
                </w:p>
              </w:tc>
              <w:tc>
                <w:tcPr>
                  <w:tcW w:w="1706" w:type="dxa"/>
                  <w:tcBorders>
                    <w:top w:val="nil"/>
                    <w:left w:val="nil"/>
                    <w:bottom w:val="single" w:sz="8" w:space="0" w:color="D1D1D1" w:themeColor="background2" w:themeShade="E6"/>
                    <w:right w:val="nil"/>
                  </w:tcBorders>
                  <w:vAlign w:val="center"/>
                  <w:hideMark/>
                </w:tcPr>
                <w:p w14:paraId="7F663291" w14:textId="77777777" w:rsidR="0024665C" w:rsidRPr="001561D5" w:rsidRDefault="0024665C">
                  <w:pPr>
                    <w:spacing w:after="0"/>
                    <w:jc w:val="center"/>
                    <w:rPr>
                      <w:rFonts w:ascii="Calibri" w:eastAsia="Times New Roman" w:hAnsi="Calibri" w:cs="Calibri"/>
                      <w:color w:val="000000"/>
                      <w:lang w:eastAsia="en-AU"/>
                    </w:rPr>
                  </w:pPr>
                  <w:r w:rsidRPr="183F6EF4">
                    <w:rPr>
                      <w:rFonts w:ascii="Calibri" w:eastAsia="Times New Roman" w:hAnsi="Calibri" w:cs="Calibri"/>
                      <w:lang w:val="en-GB" w:eastAsia="en-AU"/>
                    </w:rPr>
                    <w:t>7.5409 c/kWh</w:t>
                  </w:r>
                </w:p>
              </w:tc>
              <w:tc>
                <w:tcPr>
                  <w:tcW w:w="1701" w:type="dxa"/>
                  <w:tcBorders>
                    <w:top w:val="nil"/>
                    <w:left w:val="nil"/>
                    <w:bottom w:val="single" w:sz="8" w:space="0" w:color="D1D1D1" w:themeColor="background2" w:themeShade="E6"/>
                    <w:right w:val="nil"/>
                  </w:tcBorders>
                  <w:vAlign w:val="center"/>
                  <w:hideMark/>
                </w:tcPr>
                <w:p w14:paraId="0EAEE7A7"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15,591.29 kWh</w:t>
                  </w:r>
                </w:p>
              </w:tc>
            </w:tr>
            <w:tr w:rsidR="0024665C" w:rsidRPr="001561D5" w14:paraId="33C2F7EF" w14:textId="77777777" w:rsidTr="00BE117F">
              <w:trPr>
                <w:cantSplit/>
                <w:trHeight w:val="300"/>
              </w:trPr>
              <w:tc>
                <w:tcPr>
                  <w:tcW w:w="2520" w:type="dxa"/>
                  <w:tcBorders>
                    <w:top w:val="nil"/>
                    <w:left w:val="nil"/>
                    <w:bottom w:val="single" w:sz="8" w:space="0" w:color="D1D1D1" w:themeColor="background2" w:themeShade="E6"/>
                    <w:right w:val="nil"/>
                  </w:tcBorders>
                  <w:shd w:val="clear" w:color="auto" w:fill="F2F2F2" w:themeFill="background1" w:themeFillShade="F2"/>
                  <w:vAlign w:val="center"/>
                  <w:hideMark/>
                </w:tcPr>
                <w:p w14:paraId="152CAC7E" w14:textId="00DB4C03" w:rsidR="0024665C" w:rsidRPr="001561D5" w:rsidRDefault="0024665C">
                  <w:pPr>
                    <w:spacing w:after="0"/>
                    <w:jc w:val="both"/>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Shoulder </w:t>
                  </w:r>
                  <w:r w:rsidR="00BD3557">
                    <w:rPr>
                      <w:rFonts w:ascii="Calibri" w:eastAsia="Times New Roman" w:hAnsi="Calibri" w:cs="Calibri"/>
                      <w:b/>
                      <w:lang w:val="en-GB" w:eastAsia="en-AU"/>
                    </w:rPr>
                    <w:t>e</w:t>
                  </w:r>
                  <w:r w:rsidRPr="183F6EF4">
                    <w:rPr>
                      <w:rFonts w:ascii="Calibri" w:eastAsia="Times New Roman" w:hAnsi="Calibri" w:cs="Calibri"/>
                      <w:b/>
                      <w:lang w:val="en-GB" w:eastAsia="en-AU"/>
                    </w:rPr>
                    <w:t>nergy</w:t>
                  </w:r>
                </w:p>
              </w:tc>
              <w:tc>
                <w:tcPr>
                  <w:tcW w:w="3543" w:type="dxa"/>
                  <w:tcBorders>
                    <w:top w:val="nil"/>
                    <w:left w:val="nil"/>
                    <w:bottom w:val="single" w:sz="8" w:space="0" w:color="D1D1D1" w:themeColor="background2" w:themeShade="E6"/>
                    <w:right w:val="nil"/>
                  </w:tcBorders>
                  <w:vAlign w:val="center"/>
                  <w:hideMark/>
                </w:tcPr>
                <w:p w14:paraId="6DE2137F" w14:textId="77777777" w:rsidR="0024665C" w:rsidRPr="001561D5" w:rsidRDefault="0024665C">
                  <w:pPr>
                    <w:spacing w:after="0"/>
                    <w:jc w:val="center"/>
                    <w:rPr>
                      <w:rFonts w:ascii="Calibri" w:eastAsia="Times New Roman" w:hAnsi="Calibri" w:cs="Calibri"/>
                      <w:color w:val="000000"/>
                      <w:lang w:eastAsia="en-AU"/>
                    </w:rPr>
                  </w:pPr>
                  <w:r w:rsidRPr="183F6EF4">
                    <w:rPr>
                      <w:rFonts w:ascii="Calibri" w:eastAsia="Times New Roman" w:hAnsi="Calibri" w:cs="Calibri"/>
                      <w:lang w:val="en-GB" w:eastAsia="en-AU"/>
                    </w:rPr>
                    <w:t xml:space="preserve">6.3420 c/kWh </w:t>
                  </w:r>
                  <w:r>
                    <w:rPr>
                      <w:rFonts w:ascii="Calibri" w:eastAsia="Times New Roman" w:hAnsi="Calibri" w:cs="Calibri"/>
                      <w:lang w:val="en-GB" w:eastAsia="en-AU"/>
                    </w:rPr>
                    <w:t>x</w:t>
                  </w:r>
                  <w:r w:rsidRPr="183F6EF4">
                    <w:rPr>
                      <w:rFonts w:ascii="Calibri" w:eastAsia="Times New Roman" w:hAnsi="Calibri" w:cs="Calibri"/>
                      <w:lang w:val="en-GB" w:eastAsia="en-AU"/>
                    </w:rPr>
                    <w:t xml:space="preserve"> </w:t>
                  </w:r>
                  <w:r>
                    <w:rPr>
                      <w:rFonts w:ascii="Calibri" w:eastAsia="Times New Roman" w:hAnsi="Calibri" w:cs="Calibri"/>
                      <w:lang w:val="en-GB" w:eastAsia="en-AU"/>
                    </w:rPr>
                    <w:t>(</w:t>
                  </w:r>
                  <w:r w:rsidRPr="183F6EF4">
                    <w:rPr>
                      <w:rFonts w:ascii="Calibri" w:eastAsia="Times New Roman" w:hAnsi="Calibri" w:cs="Calibri"/>
                      <w:lang w:val="en-GB" w:eastAsia="en-AU"/>
                    </w:rPr>
                    <w:t xml:space="preserve">1.0680 </w:t>
                  </w:r>
                  <w:r>
                    <w:rPr>
                      <w:rFonts w:ascii="Calibri" w:eastAsia="Times New Roman" w:hAnsi="Calibri" w:cs="Calibri"/>
                      <w:lang w:val="en-GB" w:eastAsia="en-AU"/>
                    </w:rPr>
                    <w:t>x</w:t>
                  </w:r>
                  <w:r w:rsidRPr="183F6EF4">
                    <w:rPr>
                      <w:rFonts w:ascii="Calibri" w:eastAsia="Times New Roman" w:hAnsi="Calibri" w:cs="Calibri"/>
                      <w:lang w:val="en-GB" w:eastAsia="en-AU"/>
                    </w:rPr>
                    <w:t xml:space="preserve"> 0.9744</w:t>
                  </w:r>
                  <w:r>
                    <w:rPr>
                      <w:rFonts w:ascii="Calibri" w:eastAsia="Times New Roman" w:hAnsi="Calibri" w:cs="Calibri"/>
                      <w:lang w:val="en-GB" w:eastAsia="en-AU"/>
                    </w:rPr>
                    <w:t>)</w:t>
                  </w:r>
                </w:p>
              </w:tc>
              <w:tc>
                <w:tcPr>
                  <w:tcW w:w="1706" w:type="dxa"/>
                  <w:tcBorders>
                    <w:top w:val="nil"/>
                    <w:left w:val="nil"/>
                    <w:bottom w:val="single" w:sz="8" w:space="0" w:color="D1D1D1" w:themeColor="background2" w:themeShade="E6"/>
                    <w:right w:val="nil"/>
                  </w:tcBorders>
                  <w:vAlign w:val="center"/>
                  <w:hideMark/>
                </w:tcPr>
                <w:p w14:paraId="1512D20C" w14:textId="77777777" w:rsidR="0024665C" w:rsidRPr="001561D5" w:rsidRDefault="0024665C">
                  <w:pPr>
                    <w:spacing w:after="0"/>
                    <w:jc w:val="center"/>
                    <w:rPr>
                      <w:rFonts w:ascii="Calibri" w:eastAsia="Times New Roman" w:hAnsi="Calibri" w:cs="Calibri"/>
                      <w:color w:val="000000"/>
                      <w:lang w:eastAsia="en-AU"/>
                    </w:rPr>
                  </w:pPr>
                  <w:r w:rsidRPr="183F6EF4">
                    <w:rPr>
                      <w:rFonts w:ascii="Calibri" w:eastAsia="Times New Roman" w:hAnsi="Calibri" w:cs="Calibri"/>
                      <w:lang w:val="en-GB" w:eastAsia="en-AU"/>
                    </w:rPr>
                    <w:t>6.5998 c/kWh</w:t>
                  </w:r>
                </w:p>
              </w:tc>
              <w:tc>
                <w:tcPr>
                  <w:tcW w:w="1701" w:type="dxa"/>
                  <w:tcBorders>
                    <w:top w:val="nil"/>
                    <w:left w:val="nil"/>
                    <w:bottom w:val="single" w:sz="8" w:space="0" w:color="D1D1D1" w:themeColor="background2" w:themeShade="E6"/>
                    <w:right w:val="nil"/>
                  </w:tcBorders>
                  <w:vAlign w:val="center"/>
                  <w:hideMark/>
                </w:tcPr>
                <w:p w14:paraId="0E10C0D9"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6,075.95 kWh</w:t>
                  </w:r>
                </w:p>
              </w:tc>
            </w:tr>
            <w:tr w:rsidR="0024665C" w:rsidRPr="001561D5" w14:paraId="61E88BC2" w14:textId="77777777" w:rsidTr="00BE117F">
              <w:trPr>
                <w:cantSplit/>
                <w:trHeight w:val="300"/>
              </w:trPr>
              <w:tc>
                <w:tcPr>
                  <w:tcW w:w="2520" w:type="dxa"/>
                  <w:tcBorders>
                    <w:top w:val="nil"/>
                    <w:left w:val="nil"/>
                    <w:bottom w:val="single" w:sz="8" w:space="0" w:color="D1D1D1" w:themeColor="background2" w:themeShade="E6"/>
                    <w:right w:val="nil"/>
                  </w:tcBorders>
                  <w:shd w:val="clear" w:color="auto" w:fill="F2F2F2" w:themeFill="background1" w:themeFillShade="F2"/>
                  <w:vAlign w:val="center"/>
                  <w:hideMark/>
                </w:tcPr>
                <w:p w14:paraId="59AE6104" w14:textId="02191F13" w:rsidR="0024665C" w:rsidRPr="001561D5" w:rsidRDefault="0024665C">
                  <w:pPr>
                    <w:spacing w:after="0"/>
                    <w:jc w:val="both"/>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Off </w:t>
                  </w:r>
                  <w:r w:rsidR="00BD3557">
                    <w:rPr>
                      <w:rFonts w:ascii="Calibri" w:eastAsia="Times New Roman" w:hAnsi="Calibri" w:cs="Calibri"/>
                      <w:b/>
                      <w:lang w:val="en-GB" w:eastAsia="en-AU"/>
                    </w:rPr>
                    <w:t>p</w:t>
                  </w:r>
                  <w:r w:rsidRPr="183F6EF4">
                    <w:rPr>
                      <w:rFonts w:ascii="Calibri" w:eastAsia="Times New Roman" w:hAnsi="Calibri" w:cs="Calibri"/>
                      <w:b/>
                      <w:lang w:val="en-GB" w:eastAsia="en-AU"/>
                    </w:rPr>
                    <w:t xml:space="preserve">eak </w:t>
                  </w:r>
                  <w:r w:rsidR="00BD3557">
                    <w:rPr>
                      <w:rFonts w:ascii="Calibri" w:eastAsia="Times New Roman" w:hAnsi="Calibri" w:cs="Calibri"/>
                      <w:b/>
                      <w:lang w:val="en-GB" w:eastAsia="en-AU"/>
                    </w:rPr>
                    <w:t>e</w:t>
                  </w:r>
                  <w:r w:rsidRPr="183F6EF4">
                    <w:rPr>
                      <w:rFonts w:ascii="Calibri" w:eastAsia="Times New Roman" w:hAnsi="Calibri" w:cs="Calibri"/>
                      <w:b/>
                      <w:lang w:val="en-GB" w:eastAsia="en-AU"/>
                    </w:rPr>
                    <w:t>nergy</w:t>
                  </w:r>
                </w:p>
              </w:tc>
              <w:tc>
                <w:tcPr>
                  <w:tcW w:w="3543" w:type="dxa"/>
                  <w:tcBorders>
                    <w:top w:val="nil"/>
                    <w:left w:val="nil"/>
                    <w:bottom w:val="single" w:sz="8" w:space="0" w:color="D1D1D1" w:themeColor="background2" w:themeShade="E6"/>
                    <w:right w:val="nil"/>
                  </w:tcBorders>
                  <w:vAlign w:val="center"/>
                  <w:hideMark/>
                </w:tcPr>
                <w:p w14:paraId="11CCC473" w14:textId="7DC0AAAF" w:rsidR="0024665C" w:rsidRPr="001561D5" w:rsidRDefault="0024665C">
                  <w:pPr>
                    <w:spacing w:after="0"/>
                    <w:jc w:val="center"/>
                    <w:rPr>
                      <w:rFonts w:ascii="Calibri" w:eastAsia="Times New Roman" w:hAnsi="Calibri" w:cs="Calibri"/>
                      <w:color w:val="000000"/>
                      <w:lang w:eastAsia="en-AU"/>
                    </w:rPr>
                  </w:pPr>
                  <w:r w:rsidRPr="183F6EF4">
                    <w:rPr>
                      <w:rFonts w:ascii="Calibri" w:eastAsia="Times New Roman" w:hAnsi="Calibri" w:cs="Calibri"/>
                      <w:lang w:val="en-GB" w:eastAsia="en-AU"/>
                    </w:rPr>
                    <w:t xml:space="preserve">4.8757 c/kWh </w:t>
                  </w:r>
                  <w:r>
                    <w:rPr>
                      <w:rFonts w:ascii="Calibri" w:eastAsia="Times New Roman" w:hAnsi="Calibri" w:cs="Calibri"/>
                      <w:lang w:val="en-GB" w:eastAsia="en-AU"/>
                    </w:rPr>
                    <w:t>x (</w:t>
                  </w:r>
                  <w:r w:rsidRPr="183F6EF4">
                    <w:rPr>
                      <w:rFonts w:ascii="Calibri" w:eastAsia="Times New Roman" w:hAnsi="Calibri" w:cs="Calibri"/>
                      <w:lang w:val="en-GB" w:eastAsia="en-AU"/>
                    </w:rPr>
                    <w:t xml:space="preserve">1.0680 </w:t>
                  </w:r>
                  <w:r>
                    <w:rPr>
                      <w:rFonts w:ascii="Calibri" w:eastAsia="Times New Roman" w:hAnsi="Calibri" w:cs="Calibri"/>
                      <w:lang w:val="en-GB" w:eastAsia="en-AU"/>
                    </w:rPr>
                    <w:t xml:space="preserve">x </w:t>
                  </w:r>
                  <w:r w:rsidRPr="183F6EF4">
                    <w:rPr>
                      <w:rFonts w:ascii="Calibri" w:eastAsia="Times New Roman" w:hAnsi="Calibri" w:cs="Calibri"/>
                      <w:lang w:val="en-GB" w:eastAsia="en-AU"/>
                    </w:rPr>
                    <w:t>0.9747</w:t>
                  </w:r>
                  <w:r>
                    <w:rPr>
                      <w:rFonts w:ascii="Calibri" w:eastAsia="Times New Roman" w:hAnsi="Calibri" w:cs="Calibri"/>
                      <w:lang w:val="en-GB" w:eastAsia="en-AU"/>
                    </w:rPr>
                    <w:t>)</w:t>
                  </w:r>
                </w:p>
              </w:tc>
              <w:tc>
                <w:tcPr>
                  <w:tcW w:w="1706" w:type="dxa"/>
                  <w:tcBorders>
                    <w:top w:val="nil"/>
                    <w:left w:val="nil"/>
                    <w:bottom w:val="single" w:sz="8" w:space="0" w:color="D1D1D1" w:themeColor="background2" w:themeShade="E6"/>
                    <w:right w:val="nil"/>
                  </w:tcBorders>
                  <w:vAlign w:val="center"/>
                  <w:hideMark/>
                </w:tcPr>
                <w:p w14:paraId="77993C20" w14:textId="77777777" w:rsidR="0024665C" w:rsidRPr="001561D5" w:rsidRDefault="0024665C">
                  <w:pPr>
                    <w:spacing w:after="0"/>
                    <w:jc w:val="center"/>
                    <w:rPr>
                      <w:rFonts w:ascii="Calibri" w:eastAsia="Times New Roman" w:hAnsi="Calibri" w:cs="Calibri"/>
                      <w:color w:val="000000"/>
                      <w:lang w:eastAsia="en-AU"/>
                    </w:rPr>
                  </w:pPr>
                  <w:r w:rsidRPr="183F6EF4">
                    <w:rPr>
                      <w:rFonts w:ascii="Calibri" w:eastAsia="Times New Roman" w:hAnsi="Calibri" w:cs="Calibri"/>
                      <w:lang w:val="en-GB" w:eastAsia="en-AU"/>
                    </w:rPr>
                    <w:t>5.0755 c/kwh</w:t>
                  </w:r>
                </w:p>
              </w:tc>
              <w:tc>
                <w:tcPr>
                  <w:tcW w:w="1701" w:type="dxa"/>
                  <w:tcBorders>
                    <w:top w:val="nil"/>
                    <w:left w:val="nil"/>
                    <w:bottom w:val="single" w:sz="8" w:space="0" w:color="D1D1D1" w:themeColor="background2" w:themeShade="E6"/>
                    <w:right w:val="nil"/>
                  </w:tcBorders>
                  <w:vAlign w:val="center"/>
                  <w:hideMark/>
                </w:tcPr>
                <w:p w14:paraId="4CA49B59"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82,523.46 kWh</w:t>
                  </w:r>
                </w:p>
              </w:tc>
            </w:tr>
            <w:tr w:rsidR="0024665C" w:rsidRPr="001561D5" w14:paraId="5E01E918" w14:textId="77777777" w:rsidTr="00BE117F">
              <w:trPr>
                <w:cantSplit/>
                <w:trHeight w:val="300"/>
              </w:trPr>
              <w:tc>
                <w:tcPr>
                  <w:tcW w:w="2520" w:type="dxa"/>
                  <w:tcBorders>
                    <w:top w:val="nil"/>
                    <w:left w:val="nil"/>
                    <w:bottom w:val="single" w:sz="8" w:space="0" w:color="D1D1D1" w:themeColor="background2" w:themeShade="E6"/>
                    <w:right w:val="nil"/>
                  </w:tcBorders>
                  <w:shd w:val="clear" w:color="auto" w:fill="F2F2F2" w:themeFill="background1" w:themeFillShade="F2"/>
                  <w:vAlign w:val="center"/>
                  <w:hideMark/>
                </w:tcPr>
                <w:p w14:paraId="314676EE" w14:textId="281E1866" w:rsidR="0024665C" w:rsidRPr="001561D5" w:rsidRDefault="0024665C">
                  <w:pPr>
                    <w:spacing w:after="0"/>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Unaccounted for </w:t>
                  </w:r>
                  <w:r w:rsidR="00BD3557">
                    <w:rPr>
                      <w:rFonts w:ascii="Calibri" w:eastAsia="Times New Roman" w:hAnsi="Calibri" w:cs="Calibri"/>
                      <w:b/>
                      <w:lang w:val="en-GB" w:eastAsia="en-AU"/>
                    </w:rPr>
                    <w:t>e</w:t>
                  </w:r>
                  <w:r w:rsidRPr="183F6EF4">
                    <w:rPr>
                      <w:rFonts w:ascii="Calibri" w:eastAsia="Times New Roman" w:hAnsi="Calibri" w:cs="Calibri"/>
                      <w:b/>
                      <w:lang w:val="en-GB" w:eastAsia="en-AU"/>
                    </w:rPr>
                    <w:t>nergy</w:t>
                  </w:r>
                </w:p>
              </w:tc>
              <w:tc>
                <w:tcPr>
                  <w:tcW w:w="3543" w:type="dxa"/>
                  <w:tcBorders>
                    <w:top w:val="nil"/>
                    <w:left w:val="nil"/>
                    <w:bottom w:val="single" w:sz="8" w:space="0" w:color="D1D1D1" w:themeColor="background2" w:themeShade="E6"/>
                    <w:right w:val="nil"/>
                  </w:tcBorders>
                  <w:vAlign w:val="center"/>
                  <w:hideMark/>
                </w:tcPr>
                <w:p w14:paraId="774D600D"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 </w:t>
                  </w:r>
                </w:p>
              </w:tc>
              <w:tc>
                <w:tcPr>
                  <w:tcW w:w="1706" w:type="dxa"/>
                  <w:tcBorders>
                    <w:top w:val="nil"/>
                    <w:left w:val="nil"/>
                    <w:bottom w:val="single" w:sz="8" w:space="0" w:color="D1D1D1" w:themeColor="background2" w:themeShade="E6"/>
                    <w:right w:val="nil"/>
                  </w:tcBorders>
                  <w:vAlign w:val="center"/>
                  <w:hideMark/>
                </w:tcPr>
                <w:p w14:paraId="6E6AB986"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 </w:t>
                  </w:r>
                </w:p>
              </w:tc>
              <w:tc>
                <w:tcPr>
                  <w:tcW w:w="1701" w:type="dxa"/>
                  <w:tcBorders>
                    <w:top w:val="nil"/>
                    <w:left w:val="nil"/>
                    <w:bottom w:val="single" w:sz="8" w:space="0" w:color="D1D1D1" w:themeColor="background2" w:themeShade="E6"/>
                    <w:right w:val="nil"/>
                  </w:tcBorders>
                  <w:vAlign w:val="center"/>
                  <w:hideMark/>
                </w:tcPr>
                <w:p w14:paraId="0F5C2B9D"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-3,214.90 kWh</w:t>
                  </w:r>
                </w:p>
              </w:tc>
            </w:tr>
            <w:tr w:rsidR="0024665C" w:rsidRPr="001561D5" w14:paraId="2DEEE3D3" w14:textId="77777777" w:rsidTr="00BE117F">
              <w:trPr>
                <w:cantSplit/>
                <w:trHeight w:val="300"/>
              </w:trPr>
              <w:tc>
                <w:tcPr>
                  <w:tcW w:w="2520" w:type="dxa"/>
                  <w:tcBorders>
                    <w:top w:val="nil"/>
                    <w:left w:val="nil"/>
                    <w:bottom w:val="single" w:sz="8" w:space="0" w:color="D1D1D1" w:themeColor="background2" w:themeShade="E6"/>
                    <w:right w:val="nil"/>
                  </w:tcBorders>
                  <w:shd w:val="clear" w:color="auto" w:fill="F2F2F2" w:themeFill="background1" w:themeFillShade="F2"/>
                  <w:vAlign w:val="center"/>
                  <w:hideMark/>
                </w:tcPr>
                <w:p w14:paraId="0A582D5E" w14:textId="595B9989" w:rsidR="0024665C" w:rsidRPr="001561D5" w:rsidRDefault="0024665C">
                  <w:pPr>
                    <w:spacing w:after="0"/>
                    <w:rPr>
                      <w:rFonts w:ascii="Calibri" w:eastAsia="Times New Roman" w:hAnsi="Calibri" w:cs="Calibri"/>
                      <w:b/>
                      <w:color w:val="000000"/>
                      <w:lang w:eastAsia="en-AU"/>
                    </w:rPr>
                  </w:pPr>
                  <w:r w:rsidRPr="183F6EF4">
                    <w:rPr>
                      <w:rFonts w:ascii="Calibri" w:eastAsia="Times New Roman" w:hAnsi="Calibri" w:cs="Calibri"/>
                      <w:b/>
                      <w:lang w:val="en-GB" w:eastAsia="en-AU"/>
                    </w:rPr>
                    <w:t xml:space="preserve">Total </w:t>
                  </w:r>
                  <w:r w:rsidR="009D46AB">
                    <w:rPr>
                      <w:rFonts w:ascii="Calibri" w:eastAsia="Times New Roman" w:hAnsi="Calibri" w:cs="Calibri"/>
                      <w:b/>
                      <w:lang w:val="en-GB" w:eastAsia="en-AU"/>
                    </w:rPr>
                    <w:t>c</w:t>
                  </w:r>
                  <w:r w:rsidRPr="183F6EF4">
                    <w:rPr>
                      <w:rFonts w:ascii="Calibri" w:eastAsia="Times New Roman" w:hAnsi="Calibri" w:cs="Calibri"/>
                      <w:b/>
                      <w:lang w:val="en-GB" w:eastAsia="en-AU"/>
                    </w:rPr>
                    <w:t xml:space="preserve">onsumption </w:t>
                  </w:r>
                  <w:r w:rsidR="009D46AB">
                    <w:rPr>
                      <w:rFonts w:ascii="Calibri" w:eastAsia="Times New Roman" w:hAnsi="Calibri" w:cs="Calibri"/>
                      <w:b/>
                      <w:lang w:val="en-GB" w:eastAsia="en-AU"/>
                    </w:rPr>
                    <w:t>c</w:t>
                  </w:r>
                  <w:r w:rsidRPr="183F6EF4">
                    <w:rPr>
                      <w:rFonts w:ascii="Calibri" w:eastAsia="Times New Roman" w:hAnsi="Calibri" w:cs="Calibri"/>
                      <w:b/>
                      <w:lang w:val="en-GB" w:eastAsia="en-AU"/>
                    </w:rPr>
                    <w:t>harges</w:t>
                  </w:r>
                </w:p>
              </w:tc>
              <w:tc>
                <w:tcPr>
                  <w:tcW w:w="3543" w:type="dxa"/>
                  <w:tcBorders>
                    <w:top w:val="nil"/>
                    <w:left w:val="nil"/>
                    <w:bottom w:val="single" w:sz="8" w:space="0" w:color="D1D1D1" w:themeColor="background2" w:themeShade="E6"/>
                    <w:right w:val="nil"/>
                  </w:tcBorders>
                  <w:vAlign w:val="center"/>
                  <w:hideMark/>
                </w:tcPr>
                <w:p w14:paraId="73D114FC"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 </w:t>
                  </w:r>
                </w:p>
              </w:tc>
              <w:tc>
                <w:tcPr>
                  <w:tcW w:w="1706" w:type="dxa"/>
                  <w:tcBorders>
                    <w:top w:val="nil"/>
                    <w:left w:val="nil"/>
                    <w:bottom w:val="single" w:sz="8" w:space="0" w:color="D1D1D1" w:themeColor="background2" w:themeShade="E6"/>
                    <w:right w:val="nil"/>
                  </w:tcBorders>
                  <w:vAlign w:val="center"/>
                  <w:hideMark/>
                </w:tcPr>
                <w:p w14:paraId="371EFD56"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 </w:t>
                  </w:r>
                </w:p>
              </w:tc>
              <w:tc>
                <w:tcPr>
                  <w:tcW w:w="1701" w:type="dxa"/>
                  <w:tcBorders>
                    <w:top w:val="nil"/>
                    <w:left w:val="nil"/>
                    <w:bottom w:val="single" w:sz="8" w:space="0" w:color="D1D1D1" w:themeColor="background2" w:themeShade="E6"/>
                    <w:right w:val="nil"/>
                  </w:tcBorders>
                  <w:vAlign w:val="center"/>
                  <w:hideMark/>
                </w:tcPr>
                <w:p w14:paraId="3AE99466" w14:textId="77777777" w:rsidR="0024665C" w:rsidRPr="001561D5" w:rsidRDefault="0024665C">
                  <w:pPr>
                    <w:spacing w:after="0"/>
                    <w:jc w:val="right"/>
                    <w:rPr>
                      <w:rFonts w:ascii="Calibri" w:eastAsia="Times New Roman" w:hAnsi="Calibri" w:cs="Calibri"/>
                      <w:color w:val="000000"/>
                      <w:lang w:eastAsia="en-AU"/>
                    </w:rPr>
                  </w:pPr>
                  <w:r w:rsidRPr="183F6EF4">
                    <w:rPr>
                      <w:rFonts w:ascii="Calibri" w:eastAsia="Times New Roman" w:hAnsi="Calibri" w:cs="Calibri"/>
                      <w:lang w:val="en-GB" w:eastAsia="en-AU"/>
                    </w:rPr>
                    <w:t>100,975.80 kWh</w:t>
                  </w:r>
                </w:p>
              </w:tc>
            </w:tr>
          </w:tbl>
          <w:p w14:paraId="40A6D62A" w14:textId="77777777" w:rsidR="0024665C" w:rsidRDefault="0024665C">
            <w:pPr>
              <w:spacing w:before="160"/>
              <w:ind w:left="0"/>
              <w:rPr>
                <w:rFonts w:ascii="Calibri" w:hAnsi="Calibri" w:cs="Calibri"/>
                <w:szCs w:val="22"/>
              </w:rPr>
            </w:pPr>
            <w:r>
              <w:rPr>
                <w:rFonts w:ascii="Calibri" w:hAnsi="Calibri" w:cs="Calibri"/>
                <w:b w:val="0"/>
                <w:szCs w:val="22"/>
              </w:rPr>
              <w:t>You should add up the electricity quantities without including the UFE:</w:t>
            </w:r>
          </w:p>
          <w:p w14:paraId="5B72F228" w14:textId="272D3904" w:rsidR="0024665C" w:rsidRPr="000C317A" w:rsidRDefault="0024665C">
            <w:pPr>
              <w:spacing w:before="160"/>
              <w:ind w:left="0"/>
              <w:rPr>
                <w:rFonts w:ascii="Calibri" w:hAnsi="Calibri" w:cs="Calibri"/>
                <w:b w:val="0"/>
                <w:szCs w:val="22"/>
              </w:rPr>
            </w:pPr>
            <w:r>
              <w:rPr>
                <w:rFonts w:ascii="Calibri" w:hAnsi="Calibri" w:cs="Calibri"/>
                <w:b w:val="0"/>
                <w:szCs w:val="22"/>
              </w:rPr>
              <w:t xml:space="preserve">     </w:t>
            </w:r>
            <w:r w:rsidRPr="000E42BC">
              <w:rPr>
                <w:rFonts w:ascii="Calibri" w:hAnsi="Calibri" w:cs="Calibri"/>
                <w:b w:val="0"/>
                <w:szCs w:val="22"/>
              </w:rPr>
              <w:t>15,591.29 kWh</w:t>
            </w:r>
            <w:r>
              <w:rPr>
                <w:rFonts w:ascii="Calibri" w:hAnsi="Calibri" w:cs="Calibri"/>
                <w:b w:val="0"/>
                <w:szCs w:val="22"/>
              </w:rPr>
              <w:t xml:space="preserve"> (Peak </w:t>
            </w:r>
            <w:r w:rsidR="000842B5">
              <w:rPr>
                <w:rFonts w:ascii="Calibri" w:hAnsi="Calibri" w:cs="Calibri"/>
                <w:b w:val="0"/>
                <w:szCs w:val="22"/>
              </w:rPr>
              <w:t>e</w:t>
            </w:r>
            <w:r>
              <w:rPr>
                <w:rFonts w:ascii="Calibri" w:hAnsi="Calibri" w:cs="Calibri"/>
                <w:b w:val="0"/>
                <w:szCs w:val="22"/>
              </w:rPr>
              <w:t xml:space="preserve">nergy) </w:t>
            </w:r>
            <w:r>
              <w:rPr>
                <w:rFonts w:ascii="Calibri" w:hAnsi="Calibri" w:cs="Calibri"/>
                <w:b w:val="0"/>
                <w:szCs w:val="22"/>
              </w:rPr>
              <w:br/>
              <w:t xml:space="preserve">+     </w:t>
            </w:r>
            <w:r w:rsidRPr="000E42BC">
              <w:rPr>
                <w:rFonts w:ascii="Calibri" w:hAnsi="Calibri" w:cs="Calibri"/>
                <w:b w:val="0"/>
                <w:szCs w:val="22"/>
              </w:rPr>
              <w:t>6,075.95 kWh</w:t>
            </w:r>
            <w:r>
              <w:rPr>
                <w:rFonts w:ascii="Calibri" w:hAnsi="Calibri" w:cs="Calibri"/>
                <w:b w:val="0"/>
                <w:szCs w:val="22"/>
              </w:rPr>
              <w:t xml:space="preserve"> (Shoulder </w:t>
            </w:r>
            <w:r w:rsidR="000842B5">
              <w:rPr>
                <w:rFonts w:ascii="Calibri" w:hAnsi="Calibri" w:cs="Calibri"/>
                <w:b w:val="0"/>
                <w:szCs w:val="22"/>
              </w:rPr>
              <w:t>e</w:t>
            </w:r>
            <w:r>
              <w:rPr>
                <w:rFonts w:ascii="Calibri" w:hAnsi="Calibri" w:cs="Calibri"/>
                <w:b w:val="0"/>
                <w:szCs w:val="22"/>
              </w:rPr>
              <w:t xml:space="preserve">nergy) </w:t>
            </w:r>
            <w:r>
              <w:rPr>
                <w:rFonts w:ascii="Calibri" w:hAnsi="Calibri" w:cs="Calibri"/>
                <w:b w:val="0"/>
                <w:szCs w:val="22"/>
              </w:rPr>
              <w:br/>
            </w:r>
            <w:r w:rsidRPr="00033F1A">
              <w:rPr>
                <w:rFonts w:ascii="Calibri" w:hAnsi="Calibri" w:cs="Calibri"/>
                <w:b w:val="0"/>
                <w:bCs/>
                <w:szCs w:val="22"/>
                <w:u w:val="single"/>
              </w:rPr>
              <w:t xml:space="preserve">+    82,523.46 kWh (Off </w:t>
            </w:r>
            <w:r w:rsidR="000842B5" w:rsidRPr="00033F1A">
              <w:rPr>
                <w:rFonts w:ascii="Calibri" w:hAnsi="Calibri" w:cs="Calibri"/>
                <w:b w:val="0"/>
                <w:bCs/>
                <w:szCs w:val="22"/>
                <w:u w:val="single"/>
              </w:rPr>
              <w:t>p</w:t>
            </w:r>
            <w:r w:rsidRPr="00033F1A">
              <w:rPr>
                <w:rFonts w:ascii="Calibri" w:hAnsi="Calibri" w:cs="Calibri"/>
                <w:b w:val="0"/>
                <w:bCs/>
                <w:szCs w:val="22"/>
                <w:u w:val="single"/>
              </w:rPr>
              <w:t xml:space="preserve">eak </w:t>
            </w:r>
            <w:r w:rsidR="000842B5" w:rsidRPr="00033F1A">
              <w:rPr>
                <w:rFonts w:ascii="Calibri" w:hAnsi="Calibri" w:cs="Calibri"/>
                <w:b w:val="0"/>
                <w:bCs/>
                <w:szCs w:val="22"/>
                <w:u w:val="single"/>
              </w:rPr>
              <w:t>e</w:t>
            </w:r>
            <w:r w:rsidRPr="00033F1A">
              <w:rPr>
                <w:rFonts w:ascii="Calibri" w:hAnsi="Calibri" w:cs="Calibri"/>
                <w:b w:val="0"/>
                <w:bCs/>
                <w:szCs w:val="22"/>
                <w:u w:val="single"/>
              </w:rPr>
              <w:t>nergy)</w:t>
            </w:r>
            <w:r>
              <w:rPr>
                <w:rFonts w:ascii="Calibri" w:hAnsi="Calibri" w:cs="Calibri"/>
                <w:b w:val="0"/>
                <w:szCs w:val="22"/>
              </w:rPr>
              <w:t xml:space="preserve"> </w:t>
            </w:r>
            <w:r>
              <w:rPr>
                <w:rFonts w:ascii="Calibri" w:hAnsi="Calibri" w:cs="Calibri"/>
                <w:bCs/>
                <w:szCs w:val="22"/>
              </w:rPr>
              <w:br/>
              <w:t xml:space="preserve">    </w:t>
            </w:r>
            <w:r w:rsidRPr="004B2CCD">
              <w:rPr>
                <w:rFonts w:ascii="Calibri" w:hAnsi="Calibri" w:cs="Calibri"/>
                <w:szCs w:val="22"/>
              </w:rPr>
              <w:t>104,190.70 kWh</w:t>
            </w:r>
            <w:r>
              <w:rPr>
                <w:rFonts w:ascii="Calibri" w:hAnsi="Calibri" w:cs="Calibri"/>
                <w:b w:val="0"/>
                <w:szCs w:val="22"/>
              </w:rPr>
              <w:t xml:space="preserve"> </w:t>
            </w:r>
            <w:r>
              <w:rPr>
                <w:rFonts w:ascii="Calibri" w:hAnsi="Calibri" w:cs="Calibri"/>
                <w:b w:val="0"/>
                <w:szCs w:val="22"/>
              </w:rPr>
              <w:br/>
            </w:r>
            <w:r>
              <w:rPr>
                <w:rFonts w:ascii="Calibri" w:hAnsi="Calibri" w:cs="Calibri"/>
                <w:b w:val="0"/>
                <w:szCs w:val="22"/>
              </w:rPr>
              <w:br/>
            </w:r>
            <w:r w:rsidRPr="000C317A">
              <w:rPr>
                <w:rFonts w:ascii="Calibri" w:hAnsi="Calibri" w:cs="Calibri"/>
                <w:b w:val="0"/>
                <w:szCs w:val="22"/>
              </w:rPr>
              <w:t>This is the amount of electricity that you should report as scope 2 emissions from the consumption of electricity purchased from the grid.</w:t>
            </w:r>
          </w:p>
          <w:p w14:paraId="63C0CDC2" w14:textId="77777777" w:rsidR="0024665C" w:rsidRPr="008A503B" w:rsidRDefault="0024665C">
            <w:pPr>
              <w:ind w:left="0"/>
              <w:rPr>
                <w:rFonts w:ascii="Calibri" w:hAnsi="Calibri" w:cs="Calibri"/>
                <w:b w:val="0"/>
                <w:szCs w:val="22"/>
              </w:rPr>
            </w:pPr>
            <w:r w:rsidRPr="000C317A">
              <w:rPr>
                <w:b w:val="0"/>
              </w:rPr>
              <w:t xml:space="preserve">The UFE guidance provided above is for facilities that are </w:t>
            </w:r>
            <w:r w:rsidRPr="00D2141E">
              <w:rPr>
                <w:bCs/>
              </w:rPr>
              <w:t>electricity retail customers</w:t>
            </w:r>
            <w:r w:rsidRPr="000C317A">
              <w:rPr>
                <w:b w:val="0"/>
              </w:rPr>
              <w:t xml:space="preserve">. </w:t>
            </w:r>
            <w:r w:rsidRPr="000C317A">
              <w:rPr>
                <w:b w:val="0"/>
              </w:rPr>
              <w:br/>
            </w:r>
            <w:r w:rsidRPr="000C317A">
              <w:rPr>
                <w:b w:val="0"/>
              </w:rPr>
              <w:br/>
              <w:t>If your facility has a principal activity of electricity transmission (ANZSIC code 262) or electricity distribution (ANZSIC code 263), you should continue to report line losses according to section 7.2 (1A) of the NGER Determination.</w:t>
            </w:r>
          </w:p>
        </w:tc>
      </w:tr>
    </w:tbl>
    <w:p w14:paraId="71C9F736" w14:textId="77777777" w:rsidR="0024665C" w:rsidRPr="001D2686" w:rsidRDefault="0024665C" w:rsidP="00D2141E">
      <w:pPr>
        <w:pStyle w:val="Heading2"/>
        <w:numPr>
          <w:ilvl w:val="1"/>
          <w:numId w:val="3"/>
        </w:numPr>
        <w:ind w:left="851" w:hanging="851"/>
      </w:pPr>
      <w:bookmarkStart w:id="213" w:name="_Methods_for_estimating"/>
      <w:bookmarkStart w:id="214" w:name="_Toc235706331"/>
      <w:bookmarkEnd w:id="213"/>
      <w:r w:rsidRPr="001D2686">
        <w:t xml:space="preserve">Methods for estimating </w:t>
      </w:r>
      <w:r>
        <w:t>s</w:t>
      </w:r>
      <w:r w:rsidRPr="001D2686">
        <w:t>cope 2 emission</w:t>
      </w:r>
      <w:r>
        <w:t>s</w:t>
      </w:r>
      <w:bookmarkEnd w:id="214"/>
      <w:r w:rsidRPr="001D2686">
        <w:t xml:space="preserve"> </w:t>
      </w:r>
    </w:p>
    <w:p w14:paraId="6C1DCE9F" w14:textId="4C4B7573" w:rsidR="0024665C" w:rsidRDefault="0024665C" w:rsidP="001F2AF3">
      <w:pPr>
        <w:pStyle w:val="BodyText1"/>
        <w:spacing w:before="0"/>
      </w:pPr>
      <w:r>
        <w:t xml:space="preserve">Most methods for estimating emissions under the NGER Scheme are location-based methods. This means that the emissions are tied to a time and physical location. Location-based emissions estimation methods are based on onsite consumption multiplied by industry averages and typically do not reflect a company’s decision to purchase renewable energy or products. </w:t>
      </w:r>
    </w:p>
    <w:p w14:paraId="4E8C9B47" w14:textId="6360F2DC" w:rsidR="0024665C" w:rsidRDefault="0024665C" w:rsidP="0024665C">
      <w:pPr>
        <w:pStyle w:val="BodyText1"/>
      </w:pPr>
      <w:r>
        <w:t>Location-based and market-based accounting methods are distinct and complementary approaches for estimating emissions. For scope 2 emissions, they are different ways of accounting for the indirect emissions from the consumption of electricity. Together, these methods provide a more complete picture of emissions from electricity use.</w:t>
      </w:r>
    </w:p>
    <w:p w14:paraId="032DD3D4" w14:textId="5EA6CEFB" w:rsidR="0024665C" w:rsidRDefault="0024665C" w:rsidP="0024665C">
      <w:pPr>
        <w:pStyle w:val="CERbullets"/>
        <w:numPr>
          <w:ilvl w:val="0"/>
          <w:numId w:val="0"/>
        </w:numPr>
      </w:pPr>
      <w:r w:rsidRPr="007D39BF">
        <w:t xml:space="preserve">Chapter 7 of the NGER Measurement Determination specifies </w:t>
      </w:r>
      <w:r>
        <w:t>the two</w:t>
      </w:r>
      <w:r w:rsidRPr="007D39BF">
        <w:t xml:space="preserve"> </w:t>
      </w:r>
      <w:r>
        <w:t xml:space="preserve">types of </w:t>
      </w:r>
      <w:r w:rsidRPr="007D39BF">
        <w:t>method</w:t>
      </w:r>
      <w:r w:rsidR="00284CBB">
        <w:t>s</w:t>
      </w:r>
      <w:r w:rsidRPr="007D39BF">
        <w:t xml:space="preserve"> </w:t>
      </w:r>
      <w:r>
        <w:t xml:space="preserve">for reporting </w:t>
      </w:r>
      <w:r w:rsidRPr="007D39BF">
        <w:t>scope 2 emissions</w:t>
      </w:r>
      <w:r>
        <w:t xml:space="preserve">: </w:t>
      </w:r>
    </w:p>
    <w:p w14:paraId="1024281D" w14:textId="77380529" w:rsidR="0024665C" w:rsidRPr="00BE117F" w:rsidRDefault="0024665C" w:rsidP="00BE117F">
      <w:pPr>
        <w:pStyle w:val="CERbullets"/>
      </w:pPr>
      <w:r w:rsidRPr="00BE117F" w:rsidDel="00B253DE">
        <w:t>M</w:t>
      </w:r>
      <w:r w:rsidRPr="00BE117F">
        <w:t>andatory location-based method for purchased, acquired or lost electricity</w:t>
      </w:r>
    </w:p>
    <w:p w14:paraId="56238793" w14:textId="77777777" w:rsidR="0024665C" w:rsidRPr="00BE117F" w:rsidRDefault="0024665C" w:rsidP="00BE117F">
      <w:pPr>
        <w:pStyle w:val="CERbullets"/>
      </w:pPr>
      <w:r w:rsidRPr="00BE117F">
        <w:t xml:space="preserve">Voluntary market-based method for purchased or acquired electricity </w:t>
      </w:r>
    </w:p>
    <w:p w14:paraId="2C14F53C" w14:textId="77777777" w:rsidR="0024665C" w:rsidRDefault="0024665C" w:rsidP="00932CBF">
      <w:pPr>
        <w:pStyle w:val="BodyText1"/>
      </w:pPr>
    </w:p>
    <w:tbl>
      <w:tblPr>
        <w:tblStyle w:val="CERCallout"/>
        <w:tblW w:w="5000" w:type="pct"/>
        <w:tblLook w:val="04A0" w:firstRow="1" w:lastRow="0" w:firstColumn="1" w:lastColumn="0" w:noHBand="0" w:noVBand="1"/>
      </w:tblPr>
      <w:tblGrid>
        <w:gridCol w:w="9710"/>
      </w:tblGrid>
      <w:tr w:rsidR="00D67F2D" w14:paraId="1A9B1399" w14:textId="77777777" w:rsidTr="00BE117F">
        <w:trPr>
          <w:cnfStyle w:val="100000000000" w:firstRow="1" w:lastRow="0" w:firstColumn="0" w:lastColumn="0" w:oddVBand="0" w:evenVBand="0" w:oddHBand="0" w:evenHBand="0" w:firstRowFirstColumn="0" w:firstRowLastColumn="0" w:lastRowFirstColumn="0" w:lastRowLastColumn="0"/>
          <w:trHeight w:val="442"/>
        </w:trPr>
        <w:tc>
          <w:tcPr>
            <w:tcW w:w="5000" w:type="pct"/>
          </w:tcPr>
          <w:p w14:paraId="3B10C8AD" w14:textId="6CB5D799" w:rsidR="0024665C" w:rsidRDefault="0024665C">
            <w:pPr>
              <w:pStyle w:val="CERbullets"/>
              <w:numPr>
                <w:ilvl w:val="0"/>
                <w:numId w:val="0"/>
              </w:numPr>
            </w:pPr>
            <w:r>
              <w:rPr>
                <w:b w:val="0"/>
              </w:rPr>
              <w:t xml:space="preserve">When determining </w:t>
            </w:r>
            <w:hyperlink r:id="rId47" w:tooltip="A link to the Assess your obligations page of the Clean Energy Regulator website" w:history="1">
              <w:r>
                <w:rPr>
                  <w:rStyle w:val="Hyperlink"/>
                  <w:rFonts w:asciiTheme="minorHAnsi" w:hAnsiTheme="minorHAnsi"/>
                </w:rPr>
                <w:t>your r</w:t>
              </w:r>
              <w:r w:rsidRPr="00D6638C">
                <w:rPr>
                  <w:rStyle w:val="Hyperlink"/>
                  <w:rFonts w:asciiTheme="minorHAnsi" w:hAnsiTheme="minorHAnsi"/>
                </w:rPr>
                <w:t>eporting obligations</w:t>
              </w:r>
            </w:hyperlink>
            <w:r w:rsidR="004B0870">
              <w:rPr>
                <w:rFonts w:ascii="ZWAdobeF" w:hAnsi="ZWAdobeF" w:cs="ZWAdobeF"/>
                <w:b w:val="0"/>
                <w:sz w:val="2"/>
                <w:szCs w:val="2"/>
              </w:rPr>
              <w:t>24F</w:t>
            </w:r>
            <w:r>
              <w:rPr>
                <w:rStyle w:val="FootnoteReference"/>
              </w:rPr>
              <w:footnoteReference w:id="26"/>
            </w:r>
            <w:r>
              <w:rPr>
                <w:b w:val="0"/>
              </w:rPr>
              <w:t xml:space="preserve">, you must use a location-based method to estimate scope 2 emissions. </w:t>
            </w:r>
          </w:p>
          <w:p w14:paraId="0DEF7270" w14:textId="77777777" w:rsidR="0024665C" w:rsidRDefault="0024665C">
            <w:pPr>
              <w:pStyle w:val="CERbullets"/>
              <w:numPr>
                <w:ilvl w:val="0"/>
                <w:numId w:val="0"/>
              </w:numPr>
            </w:pPr>
            <w:r>
              <w:rPr>
                <w:b w:val="0"/>
              </w:rPr>
              <w:t>Location-based methods are described in section 7.2 and 7.3 of the NGER Measurement Determination.</w:t>
            </w:r>
          </w:p>
          <w:p w14:paraId="3605E125" w14:textId="4FC45A51" w:rsidR="0024665C" w:rsidRPr="00D01A38" w:rsidRDefault="0024665C">
            <w:pPr>
              <w:pStyle w:val="CERbullets"/>
              <w:numPr>
                <w:ilvl w:val="0"/>
                <w:numId w:val="0"/>
              </w:numPr>
              <w:rPr>
                <w:b w:val="0"/>
                <w:bCs/>
              </w:rPr>
            </w:pPr>
            <w:r>
              <w:rPr>
                <w:b w:val="0"/>
                <w:bCs/>
              </w:rPr>
              <w:t xml:space="preserve">You cannot use the </w:t>
            </w:r>
            <w:r w:rsidRPr="00D01A38">
              <w:rPr>
                <w:b w:val="0"/>
                <w:bCs/>
              </w:rPr>
              <w:t xml:space="preserve">voluntary market-based method for scope 2 emissions (Method B) to determine if </w:t>
            </w:r>
            <w:r>
              <w:rPr>
                <w:b w:val="0"/>
                <w:bCs/>
              </w:rPr>
              <w:t>your</w:t>
            </w:r>
            <w:r w:rsidRPr="00D01A38">
              <w:rPr>
                <w:b w:val="0"/>
                <w:bCs/>
              </w:rPr>
              <w:t xml:space="preserve"> </w:t>
            </w:r>
            <w:r w:rsidRPr="0037673C">
              <w:rPr>
                <w:b w:val="0"/>
                <w:bCs/>
              </w:rPr>
              <w:t>c</w:t>
            </w:r>
            <w:r>
              <w:rPr>
                <w:b w:val="0"/>
                <w:bCs/>
              </w:rPr>
              <w:t>ontrolling c</w:t>
            </w:r>
            <w:r w:rsidRPr="0037673C">
              <w:rPr>
                <w:b w:val="0"/>
                <w:bCs/>
              </w:rPr>
              <w:t>orporation’s</w:t>
            </w:r>
            <w:r w:rsidRPr="00D01A38">
              <w:rPr>
                <w:b w:val="0"/>
                <w:bCs/>
              </w:rPr>
              <w:t xml:space="preserve"> group meets </w:t>
            </w:r>
            <w:hyperlink r:id="rId48" w:anchor="nger-thresholds" w:tooltip="A link to the NGER reporting thresholds section of the Assess your obligations page of the Clean Energy Regulator website" w:history="1">
              <w:r w:rsidRPr="008C4A37">
                <w:rPr>
                  <w:rStyle w:val="Hyperlink"/>
                  <w:rFonts w:asciiTheme="minorHAnsi" w:hAnsiTheme="minorHAnsi"/>
                  <w:bCs/>
                </w:rPr>
                <w:t>a</w:t>
              </w:r>
              <w:r>
                <w:rPr>
                  <w:rStyle w:val="Hyperlink"/>
                  <w:rFonts w:asciiTheme="minorHAnsi" w:hAnsiTheme="minorHAnsi"/>
                  <w:bCs/>
                </w:rPr>
                <w:t>n NGER reporting</w:t>
              </w:r>
              <w:r w:rsidRPr="008C4A37">
                <w:rPr>
                  <w:rStyle w:val="Hyperlink"/>
                  <w:rFonts w:asciiTheme="minorHAnsi" w:hAnsiTheme="minorHAnsi"/>
                  <w:bCs/>
                </w:rPr>
                <w:t xml:space="preserve"> threshold</w:t>
              </w:r>
            </w:hyperlink>
            <w:r w:rsidR="004B0870">
              <w:rPr>
                <w:rFonts w:ascii="ZWAdobeF" w:hAnsi="ZWAdobeF" w:cs="ZWAdobeF"/>
                <w:b w:val="0"/>
                <w:sz w:val="2"/>
                <w:szCs w:val="2"/>
              </w:rPr>
              <w:t>25F</w:t>
            </w:r>
            <w:r>
              <w:rPr>
                <w:rStyle w:val="FootnoteReference"/>
                <w:bCs/>
              </w:rPr>
              <w:footnoteReference w:id="27"/>
            </w:r>
            <w:r>
              <w:rPr>
                <w:bCs/>
              </w:rPr>
              <w:t xml:space="preserve">. </w:t>
            </w:r>
            <w:r w:rsidRPr="00D01A38">
              <w:rPr>
                <w:b w:val="0"/>
                <w:bCs/>
              </w:rPr>
              <w:t xml:space="preserve"> </w:t>
            </w:r>
          </w:p>
        </w:tc>
      </w:tr>
    </w:tbl>
    <w:p w14:paraId="4A4B8F2D" w14:textId="55690633" w:rsidR="0024665C" w:rsidRDefault="0024665C" w:rsidP="00D2141E">
      <w:pPr>
        <w:pStyle w:val="Heading3"/>
        <w:numPr>
          <w:ilvl w:val="2"/>
          <w:numId w:val="3"/>
        </w:numPr>
        <w:ind w:left="851" w:hanging="851"/>
      </w:pPr>
      <w:bookmarkStart w:id="215" w:name="_Toc235706332"/>
      <w:r>
        <w:t xml:space="preserve">Mandatory location-based methods for </w:t>
      </w:r>
      <w:r w:rsidR="006221C9">
        <w:t xml:space="preserve">estimating </w:t>
      </w:r>
      <w:r>
        <w:t>scope 2 emissions</w:t>
      </w:r>
      <w:bookmarkEnd w:id="215"/>
      <w:r>
        <w:t xml:space="preserve"> </w:t>
      </w:r>
    </w:p>
    <w:p w14:paraId="4FC08CD6" w14:textId="6C353877" w:rsidR="0024665C" w:rsidRPr="00A36A5E" w:rsidRDefault="0024665C" w:rsidP="001F2AF3">
      <w:r>
        <w:t>If</w:t>
      </w:r>
      <w:r w:rsidRPr="00A36A5E">
        <w:t xml:space="preserve"> your facility consumes more than 20,000</w:t>
      </w:r>
      <w:r>
        <w:t xml:space="preserve"> k</w:t>
      </w:r>
      <w:r w:rsidRPr="00A36A5E">
        <w:t xml:space="preserve">Wh of electricity from </w:t>
      </w:r>
      <w:r>
        <w:t xml:space="preserve">outside your facility </w:t>
      </w:r>
      <w:r w:rsidRPr="00A36A5E">
        <w:t xml:space="preserve">during the reporting year, </w:t>
      </w:r>
      <w:r>
        <w:t xml:space="preserve">you </w:t>
      </w:r>
      <w:r w:rsidRPr="00A36A5E">
        <w:t>must report scope 2 emissions using</w:t>
      </w:r>
      <w:r>
        <w:t xml:space="preserve"> </w:t>
      </w:r>
      <w:r w:rsidR="009F39D5">
        <w:t xml:space="preserve">at least </w:t>
      </w:r>
      <w:r>
        <w:t>one of the location-based methods: Method A1 or Method A2</w:t>
      </w:r>
      <w:r w:rsidRPr="00A36A5E">
        <w:t xml:space="preserve">. </w:t>
      </w:r>
    </w:p>
    <w:p w14:paraId="28E7BF44" w14:textId="2EC3DB51" w:rsidR="0024665C" w:rsidRDefault="0024665C" w:rsidP="0024665C">
      <w:pPr>
        <w:pStyle w:val="BodyText1"/>
      </w:pPr>
      <w:r>
        <w:t>The location-based formula estimates scope 2 emissions by applying a</w:t>
      </w:r>
      <w:r w:rsidR="00D135B7">
        <w:t>n</w:t>
      </w:r>
      <w:r>
        <w:t xml:space="preserve"> emission factor to the amount of electricity purchased, acquired or lost from:</w:t>
      </w:r>
    </w:p>
    <w:p w14:paraId="5DA15F28" w14:textId="77777777" w:rsidR="0024665C" w:rsidRPr="00BE117F" w:rsidRDefault="0024665C" w:rsidP="00BE117F">
      <w:pPr>
        <w:pStyle w:val="CERbullets"/>
      </w:pPr>
      <w:r w:rsidRPr="00BE117F">
        <w:t>the main electricity grid, as per section 7.2 of the Measurement Determination (Method A1)</w:t>
      </w:r>
    </w:p>
    <w:p w14:paraId="12CC5800" w14:textId="13AF3DE1" w:rsidR="0024665C" w:rsidRPr="00BE117F" w:rsidRDefault="00064B2C" w:rsidP="00BE117F">
      <w:pPr>
        <w:pStyle w:val="CERbullets"/>
      </w:pPr>
      <w:r>
        <w:t>other sources</w:t>
      </w:r>
      <w:r w:rsidR="0024665C" w:rsidRPr="00BE117F">
        <w:t>, as per section 7.3 of the Measurement Determination (Method A2)</w:t>
      </w:r>
      <w:r w:rsidR="0016062A" w:rsidRPr="00BE117F">
        <w:t>.</w:t>
      </w:r>
    </w:p>
    <w:p w14:paraId="77336883" w14:textId="06878DFA" w:rsidR="00E22F4B" w:rsidRPr="003960AE" w:rsidRDefault="00E22F4B" w:rsidP="00E22F4B">
      <w:pPr>
        <w:pStyle w:val="BodyText1"/>
      </w:pPr>
      <w:r w:rsidRPr="003960AE">
        <w:t xml:space="preserve">The </w:t>
      </w:r>
      <w:r w:rsidR="00911880">
        <w:t>“</w:t>
      </w:r>
      <w:r w:rsidRPr="003960AE">
        <w:t>main</w:t>
      </w:r>
      <w:r w:rsidR="00911880">
        <w:t>”</w:t>
      </w:r>
      <w:r w:rsidRPr="003960AE">
        <w:t xml:space="preserve"> electricity grid is defined </w:t>
      </w:r>
      <w:r>
        <w:t xml:space="preserve">in subsection 7.2(4) of the NGER Measurement Determination </w:t>
      </w:r>
      <w:r w:rsidRPr="003960AE">
        <w:t>as:</w:t>
      </w:r>
    </w:p>
    <w:p w14:paraId="0A3D6A65" w14:textId="77777777" w:rsidR="00E22F4B" w:rsidRPr="00A22B86" w:rsidRDefault="00E22F4B" w:rsidP="00050022">
      <w:pPr>
        <w:pStyle w:val="ListParagraph"/>
        <w:numPr>
          <w:ilvl w:val="0"/>
          <w:numId w:val="25"/>
        </w:numPr>
        <w:ind w:left="714" w:hanging="357"/>
        <w:contextualSpacing w:val="0"/>
      </w:pPr>
      <w:r w:rsidRPr="005A415A">
        <w:t>for Western Australia – the Southwest Interconnected System</w:t>
      </w:r>
      <w:r w:rsidRPr="00A22B86">
        <w:t xml:space="preserve"> </w:t>
      </w:r>
    </w:p>
    <w:p w14:paraId="71276175" w14:textId="1966DB70" w:rsidR="00E22F4B" w:rsidRDefault="00E22F4B" w:rsidP="00050022">
      <w:pPr>
        <w:pStyle w:val="ListParagraph"/>
        <w:numPr>
          <w:ilvl w:val="0"/>
          <w:numId w:val="25"/>
        </w:numPr>
        <w:ind w:left="714" w:hanging="357"/>
        <w:contextualSpacing w:val="0"/>
      </w:pPr>
      <w:r w:rsidRPr="005A415A">
        <w:t>for the Northern Territory – the Darwin-Katherin</w:t>
      </w:r>
      <w:r w:rsidR="0016396D">
        <w:t>e</w:t>
      </w:r>
      <w:r w:rsidRPr="005A415A">
        <w:t xml:space="preserve"> Interconnected System</w:t>
      </w:r>
      <w:r>
        <w:t xml:space="preserve"> </w:t>
      </w:r>
    </w:p>
    <w:p w14:paraId="0ED2AB43" w14:textId="77777777" w:rsidR="00E22F4B" w:rsidRPr="005A415A" w:rsidRDefault="00E22F4B" w:rsidP="00050022">
      <w:pPr>
        <w:pStyle w:val="ListParagraph"/>
        <w:numPr>
          <w:ilvl w:val="0"/>
          <w:numId w:val="25"/>
        </w:numPr>
        <w:ind w:left="714" w:hanging="357"/>
        <w:contextualSpacing w:val="0"/>
      </w:pPr>
      <w:r w:rsidRPr="005A415A">
        <w:t xml:space="preserve">for each other </w:t>
      </w:r>
      <w:r w:rsidRPr="00A22B86">
        <w:t>state</w:t>
      </w:r>
      <w:r w:rsidRPr="005A415A">
        <w:t xml:space="preserve"> and </w:t>
      </w:r>
      <w:r w:rsidRPr="00A22B86">
        <w:t>territory</w:t>
      </w:r>
      <w:r w:rsidRPr="005A415A">
        <w:t xml:space="preserve"> – the electricity grid listed in Part 6 of Schedule 1 that provides electricity to the largest percentage of the </w:t>
      </w:r>
      <w:r w:rsidRPr="00A22B86">
        <w:t>state</w:t>
      </w:r>
      <w:r w:rsidRPr="005A415A">
        <w:t xml:space="preserve"> or </w:t>
      </w:r>
      <w:r w:rsidRPr="00A22B86">
        <w:t>territory</w:t>
      </w:r>
      <w:r w:rsidRPr="005A415A">
        <w:t xml:space="preserve"> population</w:t>
      </w:r>
    </w:p>
    <w:p w14:paraId="4300D03A" w14:textId="624558CC" w:rsidR="00E22F4B" w:rsidRPr="00A36A5E" w:rsidRDefault="00E22F4B" w:rsidP="00E22F4B">
      <w:pPr>
        <w:pStyle w:val="BodyText1"/>
      </w:pPr>
      <w:r w:rsidRPr="00A36A5E">
        <w:t>The main electricity grid for the Australian Capital Territory, New South Wales, South Australia, Tasmania, Queensland, and Victoria is the National Electricity Market (NEM).</w:t>
      </w:r>
      <w:r w:rsidR="006711B8">
        <w:t xml:space="preserve"> If you acquire electricity through any of the</w:t>
      </w:r>
      <w:r w:rsidR="00E62E50">
        <w:t xml:space="preserve">se networks, you must </w:t>
      </w:r>
      <w:r w:rsidR="0082791D">
        <w:t xml:space="preserve">use method A1 </w:t>
      </w:r>
      <w:r w:rsidR="007B7277">
        <w:t>to report scope 2 emissions</w:t>
      </w:r>
    </w:p>
    <w:p w14:paraId="1FD7945C" w14:textId="40B0495F" w:rsidR="00E22F4B" w:rsidRDefault="007B7277" w:rsidP="00E22F4B">
      <w:r>
        <w:t xml:space="preserve">If your purchased, acquired or </w:t>
      </w:r>
      <w:r w:rsidR="00D82FDC">
        <w:t xml:space="preserve">lost electricity is from a </w:t>
      </w:r>
      <w:r w:rsidR="0040156E">
        <w:t xml:space="preserve">source other than the main electricity grid, you must use method A2 to report scope 2 emissions. This includes </w:t>
      </w:r>
      <w:r w:rsidR="00E22F4B" w:rsidRPr="00A36A5E">
        <w:t>networks in the Christmas and Cocos (Keeling) Islands, Norfolk Island, and Northwest Interconnected Systems in Western Australia.</w:t>
      </w:r>
      <w:r w:rsidR="0040156E">
        <w:t xml:space="preserve"> It also includes </w:t>
      </w:r>
      <w:r w:rsidR="006C7095">
        <w:t xml:space="preserve">other private networks and direct connections to </w:t>
      </w:r>
      <w:r w:rsidR="00BF30F8">
        <w:t>generators outside of your facility.</w:t>
      </w:r>
    </w:p>
    <w:p w14:paraId="4458C301" w14:textId="5802A9D8" w:rsidR="0024665C" w:rsidRDefault="006C6E1C" w:rsidP="0024665C">
      <w:r>
        <w:t>For both method A1 and method A2, l</w:t>
      </w:r>
      <w:r w:rsidR="0024665C">
        <w:t xml:space="preserve">ocation-based scope 2 emissions </w:t>
      </w:r>
      <w:r>
        <w:t xml:space="preserve">must </w:t>
      </w:r>
      <w:r w:rsidR="0024665C">
        <w:t>be estimated using this formula:</w:t>
      </w:r>
    </w:p>
    <w:p w14:paraId="1C3DD063" w14:textId="77777777" w:rsidR="0024665C" w:rsidRPr="00A36A5E" w:rsidRDefault="0024665C" w:rsidP="0024665C">
      <w:pPr>
        <w:jc w:val="center"/>
        <w:rPr>
          <w:rFonts w:ascii="Calibri" w:hAnsi="Calibri" w:cs="Calibri"/>
          <w:sz w:val="24"/>
        </w:rPr>
      </w:pPr>
      <w:r w:rsidRPr="00A36A5E">
        <w:rPr>
          <w:rFonts w:ascii="Calibri" w:hAnsi="Calibri" w:cs="Calibri"/>
          <w:noProof/>
          <w:sz w:val="24"/>
        </w:rPr>
        <w:lastRenderedPageBreak/>
        <w:drawing>
          <wp:inline distT="0" distB="0" distL="0" distR="0" wp14:anchorId="4643068C" wp14:editId="2D08C6C4">
            <wp:extent cx="1433780" cy="462257"/>
            <wp:effectExtent l="0" t="0" r="0" b="0"/>
            <wp:docPr id="382541806" name="Picture 1" descr="P6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41806" name="Picture 1" descr="P686#yIS1"/>
                    <pic:cNvPicPr/>
                  </pic:nvPicPr>
                  <pic:blipFill>
                    <a:blip r:embed="rId49"/>
                    <a:stretch>
                      <a:fillRect/>
                    </a:stretch>
                  </pic:blipFill>
                  <pic:spPr>
                    <a:xfrm>
                      <a:off x="0" y="0"/>
                      <a:ext cx="1444691" cy="465775"/>
                    </a:xfrm>
                    <a:prstGeom prst="rect">
                      <a:avLst/>
                    </a:prstGeom>
                  </pic:spPr>
                </pic:pic>
              </a:graphicData>
            </a:graphic>
          </wp:inline>
        </w:drawing>
      </w:r>
    </w:p>
    <w:p w14:paraId="0A702356" w14:textId="77777777" w:rsidR="0024665C" w:rsidRPr="00D2141E" w:rsidRDefault="0024665C" w:rsidP="0024665C">
      <w:pPr>
        <w:rPr>
          <w:szCs w:val="22"/>
        </w:rPr>
      </w:pPr>
      <w:r w:rsidRPr="00D2141E">
        <w:rPr>
          <w:szCs w:val="22"/>
        </w:rPr>
        <w:t>Where:</w:t>
      </w:r>
    </w:p>
    <w:p w14:paraId="0B0844A8" w14:textId="4E880CF3" w:rsidR="0024665C" w:rsidRPr="00D2141E" w:rsidRDefault="0024665C" w:rsidP="0024665C">
      <w:pPr>
        <w:ind w:left="720"/>
        <w:rPr>
          <w:szCs w:val="22"/>
        </w:rPr>
      </w:pPr>
      <w:r w:rsidRPr="00D2141E">
        <w:rPr>
          <w:b/>
          <w:bCs/>
          <w:szCs w:val="22"/>
        </w:rPr>
        <w:t>Y</w:t>
      </w:r>
      <w:r w:rsidRPr="00D2141E">
        <w:rPr>
          <w:szCs w:val="22"/>
        </w:rPr>
        <w:t xml:space="preserve"> is the scope 2 emissions measured in tonnes carbon dioxide equivalence (t CO2-e)</w:t>
      </w:r>
      <w:r w:rsidR="0016062A" w:rsidRPr="00D2141E">
        <w:rPr>
          <w:szCs w:val="22"/>
        </w:rPr>
        <w:t>.</w:t>
      </w:r>
    </w:p>
    <w:p w14:paraId="573E8D2A" w14:textId="77777777" w:rsidR="0024665C" w:rsidRPr="00D2141E" w:rsidRDefault="0024665C" w:rsidP="0024665C">
      <w:pPr>
        <w:ind w:left="720"/>
        <w:rPr>
          <w:szCs w:val="22"/>
        </w:rPr>
      </w:pPr>
      <w:r w:rsidRPr="00D2141E">
        <w:rPr>
          <w:b/>
          <w:bCs/>
          <w:szCs w:val="22"/>
        </w:rPr>
        <w:t>Q</w:t>
      </w:r>
      <w:r w:rsidRPr="00D2141E">
        <w:rPr>
          <w:szCs w:val="22"/>
        </w:rPr>
        <w:t xml:space="preserve"> is the quantity of electricity purchased, acquired or lost from the operation of the facility measured in kilowatt-hours. If the electricity is measured in gigajoules, convert the quantity to kilowatt hours by dividing the amount in gigajoules by 0.0036.</w:t>
      </w:r>
    </w:p>
    <w:p w14:paraId="15BA5D93" w14:textId="77777777" w:rsidR="0024665C" w:rsidRPr="00D2141E" w:rsidRDefault="0024665C" w:rsidP="0024665C">
      <w:pPr>
        <w:ind w:left="720"/>
        <w:rPr>
          <w:szCs w:val="22"/>
        </w:rPr>
      </w:pPr>
      <w:r w:rsidRPr="00D2141E">
        <w:rPr>
          <w:b/>
          <w:bCs/>
          <w:szCs w:val="22"/>
        </w:rPr>
        <w:t>EF</w:t>
      </w:r>
      <w:r w:rsidRPr="00D2141E">
        <w:rPr>
          <w:szCs w:val="22"/>
        </w:rPr>
        <w:t xml:space="preserve"> is the scope 2 location-based emission factor in kilograms of CO</w:t>
      </w:r>
      <w:r w:rsidRPr="00D2141E">
        <w:rPr>
          <w:szCs w:val="22"/>
          <w:vertAlign w:val="subscript"/>
        </w:rPr>
        <w:t>2</w:t>
      </w:r>
      <w:r w:rsidRPr="00D2141E">
        <w:rPr>
          <w:szCs w:val="22"/>
        </w:rPr>
        <w:t xml:space="preserve">-e emissions per kilowatt-hours. </w:t>
      </w:r>
    </w:p>
    <w:p w14:paraId="7B7CBE56" w14:textId="77777777" w:rsidR="0042343D" w:rsidRDefault="0042343D" w:rsidP="00050022">
      <w:pPr>
        <w:pStyle w:val="Heading5"/>
      </w:pPr>
      <w:bookmarkStart w:id="216" w:name="_Toc235706333"/>
      <w:r>
        <w:rPr>
          <w:bCs/>
        </w:rPr>
        <w:t xml:space="preserve">Emission factors for </w:t>
      </w:r>
      <w:r>
        <w:t>electricity from the main electricity grid (Method A1)</w:t>
      </w:r>
      <w:bookmarkEnd w:id="216"/>
    </w:p>
    <w:p w14:paraId="7B9EEAA4" w14:textId="68F916FB" w:rsidR="0042343D" w:rsidRPr="00471D02" w:rsidRDefault="0042343D" w:rsidP="0042343D">
      <w:pPr>
        <w:pStyle w:val="BodyText1"/>
        <w:jc w:val="both"/>
        <w:rPr>
          <w:bCs/>
        </w:rPr>
      </w:pPr>
      <w:r w:rsidRPr="00471D02">
        <w:rPr>
          <w:bCs/>
        </w:rPr>
        <w:t xml:space="preserve">When you estimate scope 2 emissions from the main grid you must use the state or territory scope 2 emissions factors listed within Part 6 of Schedule 1 of the NGER Measurement Determination. These emissions factors are calculated by the Department of Climate Change, Energy, the Environment and Water (DCCEEW) and are updated each year. Updates to these </w:t>
      </w:r>
      <w:hyperlink r:id="rId50" w:history="1">
        <w:r w:rsidRPr="00B12FBA">
          <w:rPr>
            <w:rStyle w:val="Hyperlink"/>
            <w:rFonts w:asciiTheme="minorHAnsi" w:hAnsiTheme="minorHAnsi"/>
            <w:bCs/>
          </w:rPr>
          <w:t>emission factors</w:t>
        </w:r>
      </w:hyperlink>
      <w:r w:rsidR="004B0870">
        <w:rPr>
          <w:rFonts w:ascii="ZWAdobeF" w:hAnsi="ZWAdobeF" w:cs="ZWAdobeF"/>
          <w:bCs/>
          <w:color w:val="auto"/>
          <w:sz w:val="2"/>
          <w:szCs w:val="2"/>
        </w:rPr>
        <w:t>26F</w:t>
      </w:r>
      <w:r w:rsidR="00B12FBA">
        <w:rPr>
          <w:rStyle w:val="FootnoteReference"/>
          <w:bCs/>
        </w:rPr>
        <w:footnoteReference w:id="28"/>
      </w:r>
      <w:r w:rsidRPr="00471D02">
        <w:rPr>
          <w:bCs/>
        </w:rPr>
        <w:t xml:space="preserve"> are also published on our website. Please ensure that you are referring to the correct Compilation of the NGER Measurement Determination.</w:t>
      </w:r>
    </w:p>
    <w:p w14:paraId="00506A43" w14:textId="77777777" w:rsidR="0042343D" w:rsidRPr="00D2141E" w:rsidRDefault="0042343D" w:rsidP="00050022">
      <w:pPr>
        <w:pStyle w:val="Heading5"/>
        <w:rPr>
          <w:szCs w:val="22"/>
        </w:rPr>
      </w:pPr>
      <w:bookmarkStart w:id="217" w:name="_Toc235706334"/>
      <w:r>
        <w:t>Emission factors for electricity from other sources (Method A2)</w:t>
      </w:r>
      <w:bookmarkEnd w:id="217"/>
    </w:p>
    <w:p w14:paraId="2809474F" w14:textId="77777777" w:rsidR="0042343D" w:rsidRPr="00033F1A" w:rsidRDefault="0042343D" w:rsidP="0042343D">
      <w:pPr>
        <w:rPr>
          <w:rFonts w:ascii="Calibri" w:hAnsi="Calibri" w:cs="Calibri"/>
          <w:b/>
          <w:bCs/>
          <w:szCs w:val="22"/>
        </w:rPr>
      </w:pPr>
      <w:r w:rsidRPr="00033F1A">
        <w:rPr>
          <w:rFonts w:ascii="Calibri" w:hAnsi="Calibri" w:cs="Calibri"/>
          <w:bCs/>
          <w:szCs w:val="22"/>
        </w:rPr>
        <w:t>The facility can use scope 2 location-based emission factor either:</w:t>
      </w:r>
    </w:p>
    <w:p w14:paraId="070179AC" w14:textId="67D71A95" w:rsidR="0042343D" w:rsidRPr="00050022" w:rsidRDefault="0042343D" w:rsidP="00050022">
      <w:pPr>
        <w:pStyle w:val="BodyText1"/>
        <w:numPr>
          <w:ilvl w:val="0"/>
          <w:numId w:val="23"/>
        </w:numPr>
      </w:pPr>
      <w:r w:rsidRPr="0042343D">
        <w:t>provided by the supplier of the electricity, or</w:t>
      </w:r>
    </w:p>
    <w:p w14:paraId="5EA5606C" w14:textId="5E9698D5" w:rsidR="0042343D" w:rsidRPr="00050022" w:rsidRDefault="0042343D" w:rsidP="00050022">
      <w:pPr>
        <w:pStyle w:val="BodyText1"/>
        <w:numPr>
          <w:ilvl w:val="0"/>
          <w:numId w:val="23"/>
        </w:numPr>
      </w:pPr>
      <w:r w:rsidRPr="0042343D">
        <w:t>if that factor is not available, the emission factor for the Northern Territory as mentioned in Part 6 of Schedule 1.</w:t>
      </w:r>
      <w:r w:rsidR="006E70AB">
        <w:t xml:space="preserve"> The NWIS supplier-specific emission factor as provided in the NGA Factors must </w:t>
      </w:r>
      <w:r w:rsidR="006E70AB">
        <w:rPr>
          <w:u w:val="single"/>
        </w:rPr>
        <w:t>not</w:t>
      </w:r>
      <w:r w:rsidR="006E70AB">
        <w:t xml:space="preserve"> be used.</w:t>
      </w:r>
    </w:p>
    <w:p w14:paraId="29A497A9" w14:textId="0970FE22" w:rsidR="0024665C" w:rsidRDefault="0042343D" w:rsidP="00050022">
      <w:pPr>
        <w:pStyle w:val="BodyText1"/>
      </w:pPr>
      <w:r w:rsidRPr="00033F1A">
        <w:t xml:space="preserve">You must use the emissions factors listed above, irrespective of whether you have purchased </w:t>
      </w:r>
      <w:proofErr w:type="spellStart"/>
      <w:r w:rsidRPr="00033F1A">
        <w:t>GreenPower</w:t>
      </w:r>
      <w:proofErr w:type="spellEnd"/>
      <w:r w:rsidRPr="00033F1A">
        <w:t xml:space="preserve"> electricity</w:t>
      </w:r>
      <w:r>
        <w:t xml:space="preserve"> or purchased electricity through a power purchase agreement</w:t>
      </w:r>
      <w:r w:rsidRPr="00033F1A">
        <w:t>.</w:t>
      </w:r>
      <w:r>
        <w:t xml:space="preserve"> </w:t>
      </w:r>
    </w:p>
    <w:p w14:paraId="3DFA4341" w14:textId="577EA0F8" w:rsidR="000056A4" w:rsidRDefault="00F45124" w:rsidP="001F2AF3">
      <w:pPr>
        <w:pStyle w:val="Heading5"/>
      </w:pPr>
      <w:bookmarkStart w:id="218" w:name="_Toc235706335"/>
      <w:r w:rsidRPr="000F11C9">
        <w:t xml:space="preserve">Information for </w:t>
      </w:r>
      <w:r w:rsidR="0028683B" w:rsidRPr="000F11C9">
        <w:t>electricity suppliers</w:t>
      </w:r>
      <w:bookmarkEnd w:id="218"/>
      <w:r w:rsidR="000056A4">
        <w:t xml:space="preserve"> </w:t>
      </w:r>
    </w:p>
    <w:p w14:paraId="16BED5BF" w14:textId="24861328" w:rsidR="000056A4" w:rsidRPr="001F5E4C" w:rsidRDefault="000056A4" w:rsidP="005C1B3A">
      <w:pPr>
        <w:pStyle w:val="BodyText1"/>
      </w:pPr>
      <w:r w:rsidRPr="00B83B18">
        <w:t xml:space="preserve">The NGER legislation does not prescribe </w:t>
      </w:r>
      <w:r w:rsidR="00A05C25" w:rsidRPr="00B83B18">
        <w:t>how</w:t>
      </w:r>
      <w:r w:rsidRPr="00B83B18">
        <w:t xml:space="preserve"> electricity </w:t>
      </w:r>
      <w:r w:rsidR="008B6640" w:rsidRPr="00B83B18">
        <w:t>supplier</w:t>
      </w:r>
      <w:r w:rsidR="00A05C25" w:rsidRPr="00B83B18">
        <w:t>s</w:t>
      </w:r>
      <w:r w:rsidRPr="00B83B18">
        <w:t xml:space="preserve"> </w:t>
      </w:r>
      <w:r w:rsidR="00EF4FE2" w:rsidRPr="00B83B18">
        <w:t xml:space="preserve">should </w:t>
      </w:r>
      <w:r w:rsidRPr="00B83B18">
        <w:t xml:space="preserve">determine the emission factor </w:t>
      </w:r>
      <w:r w:rsidR="00EF4FE2" w:rsidRPr="00B83B18">
        <w:t xml:space="preserve">that is </w:t>
      </w:r>
      <w:r w:rsidRPr="00B83B18">
        <w:t xml:space="preserve">provided to customers who </w:t>
      </w:r>
      <w:r w:rsidR="00D0055A" w:rsidRPr="00B83B18">
        <w:t>are</w:t>
      </w:r>
      <w:r w:rsidRPr="00B83B18">
        <w:t xml:space="preserve"> </w:t>
      </w:r>
      <w:r>
        <w:t>using</w:t>
      </w:r>
      <w:r w:rsidRPr="00773E9A">
        <w:t xml:space="preserve"> Method A2</w:t>
      </w:r>
      <w:r w:rsidR="00EF56BB">
        <w:t xml:space="preserve"> – </w:t>
      </w:r>
      <w:r w:rsidRPr="00773E9A">
        <w:t>location</w:t>
      </w:r>
      <w:r w:rsidRPr="00773E9A">
        <w:noBreakHyphen/>
        <w:t>based method</w:t>
      </w:r>
      <w:r w:rsidR="00EF56BB">
        <w:t xml:space="preserve"> – </w:t>
      </w:r>
      <w:r w:rsidR="00612729">
        <w:t>‘</w:t>
      </w:r>
      <w:r w:rsidRPr="00773E9A">
        <w:t xml:space="preserve">electricity purchased, acquired or lost from other </w:t>
      </w:r>
      <w:proofErr w:type="gramStart"/>
      <w:r w:rsidRPr="00773E9A">
        <w:t>sources’</w:t>
      </w:r>
      <w:proofErr w:type="gramEnd"/>
      <w:r w:rsidRPr="001F5E4C">
        <w:t>.</w:t>
      </w:r>
      <w:r>
        <w:t xml:space="preserve"> </w:t>
      </w:r>
      <w:r w:rsidRPr="001F5E4C">
        <w:t xml:space="preserve">In this </w:t>
      </w:r>
      <w:r>
        <w:t>case</w:t>
      </w:r>
      <w:r w:rsidRPr="001F5E4C">
        <w:t xml:space="preserve">, the best practice approach </w:t>
      </w:r>
      <w:r>
        <w:t>is</w:t>
      </w:r>
      <w:r w:rsidRPr="001F5E4C">
        <w:t xml:space="preserve"> for the electricity network provider to devise ‘another method’</w:t>
      </w:r>
      <w:r w:rsidR="005C1B3A">
        <w:t>.</w:t>
      </w:r>
    </w:p>
    <w:p w14:paraId="321AC5D9" w14:textId="3E601148" w:rsidR="000056A4" w:rsidRPr="001F5E4C" w:rsidRDefault="000056A4" w:rsidP="000056A4">
      <w:pPr>
        <w:pStyle w:val="BodyText1"/>
      </w:pPr>
      <w:r w:rsidRPr="001F5E4C">
        <w:t xml:space="preserve">A simple approach </w:t>
      </w:r>
      <w:r w:rsidR="00643069">
        <w:t xml:space="preserve">is to </w:t>
      </w:r>
      <w:r w:rsidRPr="001F5E4C">
        <w:t>determin</w:t>
      </w:r>
      <w:r w:rsidR="00643069">
        <w:t>e</w:t>
      </w:r>
      <w:r w:rsidRPr="001F5E4C">
        <w:t xml:space="preserve"> </w:t>
      </w:r>
      <w:r w:rsidR="00643069">
        <w:t>the</w:t>
      </w:r>
      <w:r w:rsidRPr="001F5E4C">
        <w:t xml:space="preserve"> </w:t>
      </w:r>
      <w:r w:rsidRPr="001F2AF3">
        <w:rPr>
          <w:b/>
        </w:rPr>
        <w:t>kilograms of CO</w:t>
      </w:r>
      <w:r w:rsidRPr="001F2AF3">
        <w:rPr>
          <w:b/>
          <w:vertAlign w:val="subscript"/>
        </w:rPr>
        <w:t>2</w:t>
      </w:r>
      <w:r w:rsidRPr="001F2AF3">
        <w:rPr>
          <w:b/>
        </w:rPr>
        <w:t xml:space="preserve">-e emissions </w:t>
      </w:r>
      <w:r w:rsidRPr="001F5E4C">
        <w:t>per</w:t>
      </w:r>
      <w:r w:rsidRPr="001F2AF3">
        <w:rPr>
          <w:b/>
        </w:rPr>
        <w:t xml:space="preserve"> kilowatt hour</w:t>
      </w:r>
      <w:r w:rsidRPr="001F5E4C">
        <w:t xml:space="preserve"> (kg CO</w:t>
      </w:r>
      <w:r w:rsidRPr="001F2AF3">
        <w:rPr>
          <w:vertAlign w:val="subscript"/>
        </w:rPr>
        <w:t>2</w:t>
      </w:r>
      <w:r w:rsidR="001F2AF3">
        <w:t>-e</w:t>
      </w:r>
      <w:r w:rsidRPr="001F5E4C">
        <w:t xml:space="preserve">/kWh), </w:t>
      </w:r>
      <w:r w:rsidR="00643069">
        <w:t>where</w:t>
      </w:r>
      <w:r w:rsidRPr="001F5E4C">
        <w:t>:</w:t>
      </w:r>
    </w:p>
    <w:p w14:paraId="4824D7EB" w14:textId="499C0BFE" w:rsidR="000056A4" w:rsidRPr="001F5E4C" w:rsidRDefault="00643069" w:rsidP="000056A4">
      <w:pPr>
        <w:pStyle w:val="CERbullets"/>
      </w:pPr>
      <w:r>
        <w:rPr>
          <w:i/>
          <w:iCs/>
        </w:rPr>
        <w:t>k</w:t>
      </w:r>
      <w:r w:rsidR="000056A4" w:rsidRPr="001C57EC">
        <w:rPr>
          <w:i/>
          <w:iCs/>
        </w:rPr>
        <w:t>ilograms</w:t>
      </w:r>
      <w:r w:rsidR="000056A4" w:rsidRPr="001C57EC">
        <w:rPr>
          <w:i/>
        </w:rPr>
        <w:t xml:space="preserve"> of CO</w:t>
      </w:r>
      <w:r w:rsidR="000056A4" w:rsidRPr="00BE16EC">
        <w:rPr>
          <w:i/>
          <w:vertAlign w:val="subscript"/>
        </w:rPr>
        <w:t>2</w:t>
      </w:r>
      <w:r w:rsidR="000056A4" w:rsidRPr="001F2AF3">
        <w:rPr>
          <w:i/>
        </w:rPr>
        <w:t>-e emissions</w:t>
      </w:r>
      <w:r w:rsidR="000056A4" w:rsidRPr="001F5E4C">
        <w:t xml:space="preserve"> </w:t>
      </w:r>
      <w:proofErr w:type="gramStart"/>
      <w:r>
        <w:t>is</w:t>
      </w:r>
      <w:proofErr w:type="gramEnd"/>
      <w:r w:rsidR="000056A4" w:rsidRPr="001F5E4C">
        <w:t xml:space="preserve"> the total scope 1 emissions from </w:t>
      </w:r>
      <w:r>
        <w:t xml:space="preserve">the </w:t>
      </w:r>
      <w:r w:rsidR="000056A4" w:rsidRPr="001F5E4C">
        <w:t>combustion of all fuels consumed for the purposes of electricity production</w:t>
      </w:r>
    </w:p>
    <w:p w14:paraId="487C3427" w14:textId="52F3F2FC" w:rsidR="000056A4" w:rsidRPr="001F5E4C" w:rsidRDefault="000056A4" w:rsidP="000056A4">
      <w:pPr>
        <w:pStyle w:val="CERbullets"/>
      </w:pPr>
      <w:r w:rsidRPr="00BE16EC">
        <w:rPr>
          <w:i/>
          <w:iCs/>
        </w:rPr>
        <w:lastRenderedPageBreak/>
        <w:t>k</w:t>
      </w:r>
      <w:r w:rsidR="00643069" w:rsidRPr="00BE16EC">
        <w:rPr>
          <w:i/>
          <w:iCs/>
        </w:rPr>
        <w:t>ilowatt hour</w:t>
      </w:r>
      <w:r w:rsidR="00643069">
        <w:t xml:space="preserve"> </w:t>
      </w:r>
      <w:r w:rsidRPr="001F5E4C">
        <w:t>is the total quantity of electricity energy that was produced</w:t>
      </w:r>
      <w:r w:rsidR="00E8729B">
        <w:t xml:space="preserve"> at the facility</w:t>
      </w:r>
      <w:r w:rsidRPr="001F5E4C">
        <w:t>, irrespective of thermal or solar origin. This means the sum of</w:t>
      </w:r>
      <w:r>
        <w:t xml:space="preserve"> </w:t>
      </w:r>
      <w:r w:rsidRPr="001F5E4C">
        <w:t>electricity produced for use onsite,</w:t>
      </w:r>
      <w:r>
        <w:t xml:space="preserve"> </w:t>
      </w:r>
      <w:r w:rsidRPr="001F5E4C">
        <w:t>for use offsite on a grid and</w:t>
      </w:r>
      <w:r>
        <w:t xml:space="preserve"> </w:t>
      </w:r>
      <w:r w:rsidRPr="001F5E4C">
        <w:t>for use off site not on a grid.</w:t>
      </w:r>
    </w:p>
    <w:p w14:paraId="68CF0E95" w14:textId="74831A87" w:rsidR="000056A4" w:rsidRDefault="000056A4" w:rsidP="00BE16EC">
      <w:pPr>
        <w:pStyle w:val="BodyText1"/>
      </w:pPr>
      <w:r w:rsidRPr="001F5E4C">
        <w:t xml:space="preserve">Appendix 4 of the </w:t>
      </w:r>
      <w:hyperlink r:id="rId51" w:history="1">
        <w:r w:rsidRPr="001F5E4C">
          <w:rPr>
            <w:rStyle w:val="Hyperlink"/>
            <w:rFonts w:asciiTheme="minorHAnsi" w:hAnsiTheme="minorHAnsi"/>
          </w:rPr>
          <w:t>NGA Factors Workbook</w:t>
        </w:r>
      </w:hyperlink>
      <w:r>
        <w:rPr>
          <w:rStyle w:val="FootnoteReference"/>
        </w:rPr>
        <w:footnoteReference w:id="29"/>
      </w:r>
      <w:r w:rsidRPr="001F5E4C">
        <w:t xml:space="preserve"> may also be helpful as a guide when developing the other method.</w:t>
      </w:r>
    </w:p>
    <w:p w14:paraId="443B3991" w14:textId="62977E24" w:rsidR="00484D25" w:rsidRDefault="00484D25" w:rsidP="00BE16EC">
      <w:pPr>
        <w:pStyle w:val="Heading5"/>
      </w:pPr>
      <w:bookmarkStart w:id="219" w:name="_Toc235706336"/>
      <w:r>
        <w:t>Matters to be Identified for electricity purchased, acquired or lost from other sources</w:t>
      </w:r>
      <w:bookmarkEnd w:id="219"/>
    </w:p>
    <w:p w14:paraId="39821C09" w14:textId="11922943" w:rsidR="00484D25" w:rsidRPr="00A2776B" w:rsidRDefault="00484D25" w:rsidP="00BE16EC">
      <w:pPr>
        <w:pStyle w:val="BodyText1"/>
        <w:rPr>
          <w:b/>
          <w:szCs w:val="22"/>
        </w:rPr>
      </w:pPr>
      <w:r w:rsidRPr="00A2776B">
        <w:t>From the 2024–25 reporting year</w:t>
      </w:r>
      <w:r w:rsidR="005D1266">
        <w:t xml:space="preserve"> onwards</w:t>
      </w:r>
      <w:r w:rsidRPr="00A2776B">
        <w:t>, if a registered corporation has reported scope 1 emissions from the combustion of fuel for the purpose of generating electricity at certain facilities and has also reported scope 2 emissions from the consumption of that electricity by other facilities within their operational control, the corporation must report</w:t>
      </w:r>
      <w:r w:rsidR="00C60980">
        <w:t xml:space="preserve"> </w:t>
      </w:r>
      <w:r w:rsidR="00C60980" w:rsidRPr="001C57EC">
        <w:rPr>
          <w:b/>
          <w:bCs/>
        </w:rPr>
        <w:t>both</w:t>
      </w:r>
      <w:r w:rsidR="00525BB0">
        <w:t xml:space="preserve"> t</w:t>
      </w:r>
      <w:r w:rsidR="00525BB0" w:rsidRPr="00F37178">
        <w:t>he identity of the facility</w:t>
      </w:r>
      <w:r w:rsidRPr="00A2776B">
        <w:t>:</w:t>
      </w:r>
    </w:p>
    <w:p w14:paraId="4F7A5837" w14:textId="0C68073F" w:rsidR="00484D25" w:rsidRPr="00050022" w:rsidRDefault="00484D25" w:rsidP="00110094">
      <w:pPr>
        <w:pStyle w:val="CERbullets"/>
      </w:pPr>
      <w:r w:rsidRPr="00F37178">
        <w:t>generating the electricity</w:t>
      </w:r>
    </w:p>
    <w:p w14:paraId="239712BE" w14:textId="34DB1BA1" w:rsidR="00484D25" w:rsidRPr="00050022" w:rsidRDefault="00484D25" w:rsidP="00110094">
      <w:pPr>
        <w:pStyle w:val="CERbullets"/>
      </w:pPr>
      <w:r w:rsidRPr="00F37178">
        <w:t>consuming that electricity.</w:t>
      </w:r>
    </w:p>
    <w:p w14:paraId="75B6D7EA" w14:textId="5B14CFB1" w:rsidR="00484D25" w:rsidRPr="00050022" w:rsidRDefault="00484D25" w:rsidP="00110094">
      <w:pPr>
        <w:pStyle w:val="BodyText1"/>
      </w:pPr>
      <w:r w:rsidRPr="00A2776B">
        <w:t>The additional information is to be reported in EERS as matters to be identified (MTBI</w:t>
      </w:r>
      <w:r w:rsidR="003174A9">
        <w:t>s</w:t>
      </w:r>
      <w:r w:rsidRPr="00A2776B">
        <w:t>), as described in Part 7 of Schedule 4 of the NGER Measurement Determination for the facility that consumed the electricity.</w:t>
      </w:r>
    </w:p>
    <w:p w14:paraId="0286247F" w14:textId="340C92E2" w:rsidR="00484D25" w:rsidRDefault="00484D25">
      <w:pPr>
        <w:pStyle w:val="BodyText1"/>
        <w:rPr>
          <w:bCs/>
        </w:rPr>
      </w:pPr>
      <w:r w:rsidRPr="004C1A2B">
        <w:t>The</w:t>
      </w:r>
      <w:r w:rsidRPr="001C0C63">
        <w:t xml:space="preserve"> </w:t>
      </w:r>
      <w:r>
        <w:t xml:space="preserve">NGER Measurement Determination has included this requirement in relation to reporting scope 2 emissions under </w:t>
      </w:r>
      <w:r w:rsidR="00A9308B">
        <w:t>all methods</w:t>
      </w:r>
      <w:r>
        <w:t>. However</w:t>
      </w:r>
      <w:r>
        <w:rPr>
          <w:bCs/>
        </w:rPr>
        <w:t>, the CER considers that this requirement applies only to reporting under method A2 (l</w:t>
      </w:r>
      <w:r w:rsidRPr="00167055">
        <w:rPr>
          <w:bCs/>
        </w:rPr>
        <w:t>ocation</w:t>
      </w:r>
      <w:r w:rsidRPr="00167055">
        <w:rPr>
          <w:rFonts w:ascii="Cambria Math" w:hAnsi="Cambria Math" w:cs="Cambria Math"/>
          <w:bCs/>
        </w:rPr>
        <w:t>‑</w:t>
      </w:r>
      <w:r w:rsidRPr="00167055">
        <w:rPr>
          <w:bCs/>
        </w:rPr>
        <w:t>based method</w:t>
      </w:r>
      <w:r w:rsidR="00023C5C">
        <w:rPr>
          <w:bCs/>
        </w:rPr>
        <w:t xml:space="preserve"> – </w:t>
      </w:r>
      <w:r w:rsidRPr="00167055">
        <w:rPr>
          <w:bCs/>
        </w:rPr>
        <w:t>electricity purchased, acquired or lost from other sources</w:t>
      </w:r>
      <w:r>
        <w:rPr>
          <w:bCs/>
        </w:rPr>
        <w:t>).</w:t>
      </w:r>
    </w:p>
    <w:p w14:paraId="37003B5A" w14:textId="77777777" w:rsidR="008C0B0F" w:rsidRDefault="008C0B0F">
      <w:pPr>
        <w:pStyle w:val="BodyText1"/>
        <w:rPr>
          <w:bCs/>
        </w:rPr>
      </w:pPr>
    </w:p>
    <w:tbl>
      <w:tblPr>
        <w:tblStyle w:val="CERCallout"/>
        <w:tblW w:w="5000" w:type="pct"/>
        <w:tblLook w:val="0600" w:firstRow="0" w:lastRow="0" w:firstColumn="0" w:lastColumn="0" w:noHBand="1" w:noVBand="1"/>
      </w:tblPr>
      <w:tblGrid>
        <w:gridCol w:w="9710"/>
      </w:tblGrid>
      <w:tr w:rsidR="00E85CAC" w14:paraId="74408EAE" w14:textId="77777777" w:rsidTr="00D40353">
        <w:trPr>
          <w:trHeight w:val="442"/>
        </w:trPr>
        <w:tc>
          <w:tcPr>
            <w:tcW w:w="5000" w:type="pct"/>
          </w:tcPr>
          <w:p w14:paraId="6AB906E0" w14:textId="77777777" w:rsidR="00E85CAC" w:rsidRPr="00D40353" w:rsidRDefault="00E85CAC" w:rsidP="00D40353">
            <w:pPr>
              <w:pStyle w:val="BodyText1"/>
              <w:ind w:left="0"/>
              <w:rPr>
                <w:b/>
              </w:rPr>
            </w:pPr>
            <w:r w:rsidRPr="003B7585">
              <w:rPr>
                <w:b/>
              </w:rPr>
              <w:t xml:space="preserve">Method A2 and these MTBIs should be used for any arrangement of electricity connection infrastructure between facilities under the operational control of the same corporation. </w:t>
            </w:r>
          </w:p>
          <w:p w14:paraId="71C6D75A" w14:textId="524476FB" w:rsidR="00E85CAC" w:rsidRPr="00D01A38" w:rsidRDefault="00E85CAC" w:rsidP="00E85CAC">
            <w:pPr>
              <w:pStyle w:val="CERbullets"/>
              <w:numPr>
                <w:ilvl w:val="0"/>
                <w:numId w:val="0"/>
              </w:numPr>
              <w:rPr>
                <w:b/>
              </w:rPr>
            </w:pPr>
            <w:r w:rsidRPr="00571CE6">
              <w:rPr>
                <w:bCs/>
              </w:rPr>
              <w:t xml:space="preserve">For example, consider a situation where </w:t>
            </w:r>
            <w:r w:rsidR="004566AF">
              <w:rPr>
                <w:bCs/>
              </w:rPr>
              <w:t>F</w:t>
            </w:r>
            <w:r w:rsidRPr="00571CE6">
              <w:rPr>
                <w:bCs/>
              </w:rPr>
              <w:t xml:space="preserve">acility </w:t>
            </w:r>
            <w:r w:rsidR="004566AF">
              <w:rPr>
                <w:bCs/>
              </w:rPr>
              <w:t>X</w:t>
            </w:r>
            <w:r w:rsidRPr="00571CE6">
              <w:rPr>
                <w:bCs/>
              </w:rPr>
              <w:t xml:space="preserve"> is connected to </w:t>
            </w:r>
            <w:r w:rsidR="004566AF">
              <w:rPr>
                <w:bCs/>
              </w:rPr>
              <w:t>F</w:t>
            </w:r>
            <w:r w:rsidRPr="00571CE6">
              <w:rPr>
                <w:bCs/>
              </w:rPr>
              <w:t xml:space="preserve">acility </w:t>
            </w:r>
            <w:r w:rsidR="004566AF">
              <w:rPr>
                <w:bCs/>
              </w:rPr>
              <w:t>Y</w:t>
            </w:r>
            <w:r w:rsidRPr="00571CE6">
              <w:rPr>
                <w:bCs/>
              </w:rPr>
              <w:t xml:space="preserve"> which is in turn connected to </w:t>
            </w:r>
            <w:r w:rsidR="004566AF">
              <w:rPr>
                <w:bCs/>
              </w:rPr>
              <w:t>F</w:t>
            </w:r>
            <w:r w:rsidRPr="00571CE6">
              <w:rPr>
                <w:bCs/>
              </w:rPr>
              <w:t xml:space="preserve">acility </w:t>
            </w:r>
            <w:r w:rsidR="004566AF">
              <w:rPr>
                <w:bCs/>
              </w:rPr>
              <w:t>Z</w:t>
            </w:r>
            <w:r w:rsidR="003174A9">
              <w:rPr>
                <w:bCs/>
              </w:rPr>
              <w:t>. F</w:t>
            </w:r>
            <w:r w:rsidRPr="00571CE6">
              <w:rPr>
                <w:bCs/>
              </w:rPr>
              <w:t xml:space="preserve">acility </w:t>
            </w:r>
            <w:r w:rsidR="004566AF">
              <w:rPr>
                <w:bCs/>
              </w:rPr>
              <w:t>X</w:t>
            </w:r>
            <w:r w:rsidRPr="00571CE6">
              <w:rPr>
                <w:bCs/>
              </w:rPr>
              <w:t xml:space="preserve"> produces electricity for facilities </w:t>
            </w:r>
            <w:r w:rsidR="004566AF">
              <w:rPr>
                <w:bCs/>
              </w:rPr>
              <w:t>Y</w:t>
            </w:r>
            <w:r w:rsidRPr="00571CE6">
              <w:rPr>
                <w:bCs/>
              </w:rPr>
              <w:t xml:space="preserve"> and </w:t>
            </w:r>
            <w:r w:rsidR="004566AF">
              <w:rPr>
                <w:bCs/>
              </w:rPr>
              <w:t>Z</w:t>
            </w:r>
            <w:r w:rsidRPr="00571CE6">
              <w:rPr>
                <w:bCs/>
              </w:rPr>
              <w:t xml:space="preserve">. In this case, even though only </w:t>
            </w:r>
            <w:r w:rsidR="004566AF">
              <w:rPr>
                <w:bCs/>
              </w:rPr>
              <w:t>F</w:t>
            </w:r>
            <w:r w:rsidRPr="00571CE6">
              <w:rPr>
                <w:bCs/>
              </w:rPr>
              <w:t xml:space="preserve">acility </w:t>
            </w:r>
            <w:r w:rsidR="004566AF">
              <w:rPr>
                <w:bCs/>
              </w:rPr>
              <w:t>Y</w:t>
            </w:r>
            <w:r w:rsidRPr="00571CE6">
              <w:rPr>
                <w:bCs/>
              </w:rPr>
              <w:t xml:space="preserve"> has a direct connection to </w:t>
            </w:r>
            <w:r w:rsidR="004566AF">
              <w:rPr>
                <w:bCs/>
              </w:rPr>
              <w:t>F</w:t>
            </w:r>
            <w:r w:rsidRPr="00571CE6">
              <w:rPr>
                <w:bCs/>
              </w:rPr>
              <w:t xml:space="preserve">acility </w:t>
            </w:r>
            <w:r w:rsidR="004566AF">
              <w:rPr>
                <w:bCs/>
              </w:rPr>
              <w:t>X</w:t>
            </w:r>
            <w:r w:rsidRPr="00571CE6">
              <w:rPr>
                <w:bCs/>
              </w:rPr>
              <w:t xml:space="preserve">, facilities </w:t>
            </w:r>
            <w:r w:rsidR="004566AF">
              <w:rPr>
                <w:bCs/>
              </w:rPr>
              <w:t>Y</w:t>
            </w:r>
            <w:r w:rsidRPr="00571CE6">
              <w:rPr>
                <w:bCs/>
              </w:rPr>
              <w:t xml:space="preserve"> and </w:t>
            </w:r>
            <w:r w:rsidR="004566AF">
              <w:rPr>
                <w:bCs/>
              </w:rPr>
              <w:t>Z</w:t>
            </w:r>
            <w:r w:rsidRPr="00571CE6">
              <w:rPr>
                <w:bCs/>
              </w:rPr>
              <w:t xml:space="preserve"> should both report scope 2 emissions using method A2. Both facilities should also specify that the electricity was generated in </w:t>
            </w:r>
            <w:r w:rsidR="004566AF">
              <w:rPr>
                <w:bCs/>
              </w:rPr>
              <w:t>F</w:t>
            </w:r>
            <w:r w:rsidRPr="00571CE6">
              <w:rPr>
                <w:bCs/>
              </w:rPr>
              <w:t xml:space="preserve">acility </w:t>
            </w:r>
            <w:r w:rsidR="004566AF">
              <w:rPr>
                <w:bCs/>
              </w:rPr>
              <w:t>X</w:t>
            </w:r>
            <w:r w:rsidRPr="00571CE6">
              <w:rPr>
                <w:bCs/>
              </w:rPr>
              <w:t xml:space="preserve"> when reporting the MTBIs.</w:t>
            </w:r>
          </w:p>
        </w:tc>
      </w:tr>
    </w:tbl>
    <w:p w14:paraId="60516D20" w14:textId="292A8AC8" w:rsidR="00484D25" w:rsidRDefault="00484D25" w:rsidP="00484D25">
      <w:pPr>
        <w:pStyle w:val="BodyText1"/>
      </w:pPr>
    </w:p>
    <w:p w14:paraId="2BDA9E9E" w14:textId="0537363B" w:rsidR="0024665C" w:rsidRPr="00E8708C" w:rsidRDefault="0024665C" w:rsidP="00D2141E">
      <w:pPr>
        <w:pStyle w:val="Heading3"/>
        <w:numPr>
          <w:ilvl w:val="2"/>
          <w:numId w:val="3"/>
        </w:numPr>
        <w:ind w:left="851" w:hanging="851"/>
      </w:pPr>
      <w:bookmarkStart w:id="220" w:name="_Toc232597510"/>
      <w:bookmarkStart w:id="221" w:name="_Toc232599607"/>
      <w:bookmarkStart w:id="222" w:name="_Toc232599708"/>
      <w:bookmarkStart w:id="223" w:name="_Toc232599809"/>
      <w:bookmarkStart w:id="224" w:name="_Toc232599910"/>
      <w:bookmarkStart w:id="225" w:name="_Toc232604551"/>
      <w:bookmarkStart w:id="226" w:name="_Toc233026122"/>
      <w:bookmarkStart w:id="227" w:name="_Toc235706337"/>
      <w:bookmarkEnd w:id="220"/>
      <w:bookmarkEnd w:id="221"/>
      <w:bookmarkEnd w:id="222"/>
      <w:bookmarkEnd w:id="223"/>
      <w:bookmarkEnd w:id="224"/>
      <w:bookmarkEnd w:id="225"/>
      <w:bookmarkEnd w:id="226"/>
      <w:r>
        <w:t>V</w:t>
      </w:r>
      <w:r w:rsidRPr="00E8708C">
        <w:t>oluntary market-based method for estimating scope 2 emissions</w:t>
      </w:r>
      <w:bookmarkEnd w:id="227"/>
      <w:r w:rsidRPr="00E8708C">
        <w:t xml:space="preserve"> </w:t>
      </w:r>
    </w:p>
    <w:p w14:paraId="7D03CB84" w14:textId="2B0C9B53" w:rsidR="0024665C" w:rsidRDefault="0024665C" w:rsidP="0024665C">
      <w:pPr>
        <w:rPr>
          <w:rFonts w:ascii="Calibri" w:hAnsi="Calibri" w:cs="Calibri"/>
          <w:szCs w:val="22"/>
        </w:rPr>
      </w:pPr>
      <w:r w:rsidRPr="00D2141E">
        <w:rPr>
          <w:rFonts w:ascii="Calibri" w:hAnsi="Calibri" w:cs="Calibri"/>
          <w:szCs w:val="22"/>
        </w:rPr>
        <w:t xml:space="preserve">In addition to the location-based method, you may also choose to use the voluntary market-based method regardless of the amount of purchased electricity consumed from the operation of a facility during a year. The </w:t>
      </w:r>
      <w:hyperlink r:id="rId52" w:tooltip="A link to the Voluntary market-based scope 2 emissions guideline on the Clean Energy Regulator website" w:history="1">
        <w:r w:rsidRPr="00D2141E">
          <w:rPr>
            <w:rStyle w:val="Hyperlink"/>
            <w:rFonts w:cs="Calibri"/>
            <w:szCs w:val="22"/>
          </w:rPr>
          <w:t>Voluntary market-based scope 2 emissions guideline</w:t>
        </w:r>
      </w:hyperlink>
      <w:r w:rsidRPr="00D2141E">
        <w:rPr>
          <w:rStyle w:val="FootnoteReference"/>
          <w:rFonts w:ascii="Calibri" w:hAnsi="Calibri" w:cs="Calibri"/>
          <w:szCs w:val="22"/>
        </w:rPr>
        <w:footnoteReference w:id="30"/>
      </w:r>
      <w:r w:rsidRPr="00D2141E">
        <w:rPr>
          <w:rFonts w:ascii="Calibri" w:hAnsi="Calibri" w:cs="Calibri"/>
          <w:szCs w:val="22"/>
        </w:rPr>
        <w:t xml:space="preserve"> contains instructions and examples for reporting under voluntary market-based Method B. </w:t>
      </w:r>
    </w:p>
    <w:tbl>
      <w:tblPr>
        <w:tblStyle w:val="CERCallout"/>
        <w:tblW w:w="5000" w:type="pct"/>
        <w:tblLook w:val="0600" w:firstRow="0" w:lastRow="0" w:firstColumn="0" w:lastColumn="0" w:noHBand="1" w:noVBand="1"/>
      </w:tblPr>
      <w:tblGrid>
        <w:gridCol w:w="9710"/>
      </w:tblGrid>
      <w:tr w:rsidR="00C12EE7" w:rsidRPr="00FB3117" w14:paraId="16AF8264" w14:textId="77777777" w:rsidTr="00D40353">
        <w:trPr>
          <w:trHeight w:val="442"/>
        </w:trPr>
        <w:tc>
          <w:tcPr>
            <w:tcW w:w="5000" w:type="pct"/>
          </w:tcPr>
          <w:p w14:paraId="38BEC5F1" w14:textId="6EF3190C" w:rsidR="00F5510A" w:rsidRPr="00392858" w:rsidRDefault="006E241B">
            <w:pPr>
              <w:pStyle w:val="CERbullets"/>
              <w:numPr>
                <w:ilvl w:val="0"/>
                <w:numId w:val="0"/>
              </w:numPr>
            </w:pPr>
            <w:r w:rsidRPr="00FB3117">
              <w:lastRenderedPageBreak/>
              <w:t>Changes that apply f</w:t>
            </w:r>
            <w:r w:rsidR="00960A70" w:rsidRPr="00FB3117">
              <w:t xml:space="preserve">rom </w:t>
            </w:r>
            <w:r w:rsidR="00960A70" w:rsidRPr="00D40353">
              <w:rPr>
                <w:b/>
              </w:rPr>
              <w:t>the 2025</w:t>
            </w:r>
            <w:r w:rsidR="009A55C4" w:rsidRPr="00D40353">
              <w:rPr>
                <w:b/>
              </w:rPr>
              <w:t>–</w:t>
            </w:r>
            <w:r w:rsidR="00960A70" w:rsidRPr="00D40353">
              <w:rPr>
                <w:b/>
              </w:rPr>
              <w:t>26 reporting period</w:t>
            </w:r>
            <w:r w:rsidR="00D40353" w:rsidRPr="00D40353">
              <w:rPr>
                <w:bCs/>
              </w:rPr>
              <w:t xml:space="preserve"> onwards</w:t>
            </w:r>
            <w:r w:rsidR="00392858">
              <w:rPr>
                <w:b/>
                <w:bCs/>
              </w:rPr>
              <w:t>:</w:t>
            </w:r>
          </w:p>
          <w:p w14:paraId="2FF7C613" w14:textId="78216588" w:rsidR="00960A70" w:rsidRPr="00FB3117" w:rsidRDefault="006E241B" w:rsidP="00F5510A">
            <w:pPr>
              <w:pStyle w:val="CERbullets"/>
              <w:rPr>
                <w:b/>
              </w:rPr>
            </w:pPr>
            <w:r w:rsidRPr="00FB3117">
              <w:t>If y</w:t>
            </w:r>
            <w:r w:rsidR="00F5510A" w:rsidRPr="00B93C23">
              <w:t>ou</w:t>
            </w:r>
            <w:r w:rsidR="00A7582E" w:rsidRPr="00B93C23">
              <w:t xml:space="preserve"> </w:t>
            </w:r>
            <w:r w:rsidR="00A7582E" w:rsidRPr="00FB3117">
              <w:t>use the market</w:t>
            </w:r>
            <w:r w:rsidR="00A7582E" w:rsidRPr="00B93C23">
              <w:rPr>
                <w:rFonts w:ascii="Cambria Math" w:hAnsi="Cambria Math" w:cs="Cambria Math"/>
              </w:rPr>
              <w:t>‑</w:t>
            </w:r>
            <w:r w:rsidR="00A7582E" w:rsidRPr="00B93C23">
              <w:t xml:space="preserve">based method for a facility within </w:t>
            </w:r>
            <w:r w:rsidR="00F5510A" w:rsidRPr="00B93C23">
              <w:t>your</w:t>
            </w:r>
            <w:r w:rsidR="00A7582E" w:rsidRPr="00B93C23">
              <w:t xml:space="preserve"> controlling corporation, </w:t>
            </w:r>
            <w:r w:rsidR="00F5510A" w:rsidRPr="00B93C23">
              <w:t>you must</w:t>
            </w:r>
            <w:r w:rsidR="00A7582E" w:rsidRPr="00B93C23">
              <w:t xml:space="preserve"> use the market</w:t>
            </w:r>
            <w:r w:rsidR="00A7582E" w:rsidRPr="00B93C23">
              <w:rPr>
                <w:rFonts w:ascii="Cambria Math" w:hAnsi="Cambria Math" w:cs="Cambria Math"/>
              </w:rPr>
              <w:t>‑</w:t>
            </w:r>
            <w:r w:rsidR="00A7582E" w:rsidRPr="00B93C23">
              <w:t xml:space="preserve">based method for all facilities within </w:t>
            </w:r>
            <w:r w:rsidR="0040216C" w:rsidRPr="00B93C23">
              <w:t>your</w:t>
            </w:r>
            <w:r w:rsidR="00A7582E" w:rsidRPr="00B93C23">
              <w:t xml:space="preserve"> controlling corporation</w:t>
            </w:r>
            <w:r w:rsidR="00A7582E" w:rsidRPr="00B93C23">
              <w:rPr>
                <w:rFonts w:ascii="Calibri" w:hAnsi="Calibri" w:cs="Calibri"/>
              </w:rPr>
              <w:t>’</w:t>
            </w:r>
            <w:r w:rsidR="00A7582E" w:rsidRPr="00B93C23">
              <w:t>s group for which a purchase or acquisition of electricity has occurred in the reporting year.</w:t>
            </w:r>
          </w:p>
          <w:p w14:paraId="4EBB815C" w14:textId="0AD6C95F" w:rsidR="0040216C" w:rsidRPr="00FB3117" w:rsidRDefault="005057DE" w:rsidP="00F5510A">
            <w:pPr>
              <w:pStyle w:val="CERbullets"/>
              <w:rPr>
                <w:b/>
              </w:rPr>
            </w:pPr>
            <w:r w:rsidRPr="00B93C23">
              <w:t xml:space="preserve">The </w:t>
            </w:r>
            <w:r w:rsidR="00173414" w:rsidRPr="00B93C23">
              <w:t xml:space="preserve">deadline for surrender of </w:t>
            </w:r>
            <w:r w:rsidR="00DA1B80">
              <w:t>r</w:t>
            </w:r>
            <w:r w:rsidR="00F626BF" w:rsidRPr="00B93C23">
              <w:t xml:space="preserve">enewable </w:t>
            </w:r>
            <w:r w:rsidR="00DA1B80">
              <w:t>e</w:t>
            </w:r>
            <w:r w:rsidR="00F626BF" w:rsidRPr="00B93C23">
              <w:t xml:space="preserve">nergy </w:t>
            </w:r>
            <w:r w:rsidR="00DA1B80">
              <w:t>c</w:t>
            </w:r>
            <w:r w:rsidR="00F626BF" w:rsidRPr="00B93C23">
              <w:t xml:space="preserve">ertificates </w:t>
            </w:r>
            <w:r w:rsidR="00BE5685" w:rsidRPr="00B93C23">
              <w:t xml:space="preserve">for a reporting period has been extended </w:t>
            </w:r>
            <w:r w:rsidR="00094D3D">
              <w:t xml:space="preserve">from </w:t>
            </w:r>
            <w:r w:rsidR="00C106B6">
              <w:t xml:space="preserve">the previous deadline of </w:t>
            </w:r>
            <w:r w:rsidR="00094D3D">
              <w:t xml:space="preserve">30 June </w:t>
            </w:r>
            <w:r w:rsidR="00BE5685" w:rsidRPr="00B93C23">
              <w:t xml:space="preserve">to </w:t>
            </w:r>
            <w:r w:rsidR="00CB1C2E" w:rsidRPr="00B93C23">
              <w:t>‘before the report is submitted’ for</w:t>
            </w:r>
            <w:r w:rsidR="006B65BB" w:rsidRPr="00B93C23">
              <w:t xml:space="preserve"> that reporting period.</w:t>
            </w:r>
          </w:p>
          <w:p w14:paraId="203E7231" w14:textId="29072D80" w:rsidR="00C12EE7" w:rsidRPr="00392858" w:rsidRDefault="00CA2844" w:rsidP="00D40353">
            <w:pPr>
              <w:pStyle w:val="CERbullets"/>
            </w:pPr>
            <w:r w:rsidRPr="00B93C23">
              <w:t xml:space="preserve">Reporters must also provide Renewable Energy Target accreditation codes for power stations within the facility, surrender ID numbers of surrendered certificates as </w:t>
            </w:r>
            <w:r w:rsidR="005C1F77" w:rsidRPr="00B93C23">
              <w:t>activity MTBIs</w:t>
            </w:r>
            <w:r w:rsidR="00C653A2" w:rsidRPr="00B93C23">
              <w:t>.</w:t>
            </w:r>
          </w:p>
        </w:tc>
      </w:tr>
    </w:tbl>
    <w:p w14:paraId="36CE49D1" w14:textId="77777777" w:rsidR="00C12EE7" w:rsidRDefault="00C12EE7" w:rsidP="0024665C">
      <w:pPr>
        <w:rPr>
          <w:rFonts w:ascii="Calibri" w:hAnsi="Calibri" w:cs="Calibri"/>
          <w:szCs w:val="22"/>
        </w:rPr>
      </w:pPr>
    </w:p>
    <w:p w14:paraId="3DCCB7F8" w14:textId="77777777" w:rsidR="0024665C" w:rsidRDefault="0024665C" w:rsidP="00D2141E">
      <w:pPr>
        <w:pStyle w:val="Heading2"/>
        <w:numPr>
          <w:ilvl w:val="1"/>
          <w:numId w:val="3"/>
        </w:numPr>
        <w:ind w:hanging="792"/>
      </w:pPr>
      <w:bookmarkStart w:id="228" w:name="_Toc232597512"/>
      <w:bookmarkStart w:id="229" w:name="_Toc232599609"/>
      <w:bookmarkStart w:id="230" w:name="_Toc232599710"/>
      <w:bookmarkStart w:id="231" w:name="_Toc232599811"/>
      <w:bookmarkStart w:id="232" w:name="_Toc232599912"/>
      <w:bookmarkStart w:id="233" w:name="_Toc232604553"/>
      <w:bookmarkStart w:id="234" w:name="_Toc233026124"/>
      <w:bookmarkStart w:id="235" w:name="_Toc235706338"/>
      <w:bookmarkEnd w:id="228"/>
      <w:bookmarkEnd w:id="229"/>
      <w:bookmarkEnd w:id="230"/>
      <w:bookmarkEnd w:id="231"/>
      <w:bookmarkEnd w:id="232"/>
      <w:bookmarkEnd w:id="233"/>
      <w:bookmarkEnd w:id="234"/>
      <w:r>
        <w:t>Reporting scope 2 emissions in EERS</w:t>
      </w:r>
      <w:bookmarkEnd w:id="235"/>
      <w:r>
        <w:t xml:space="preserve"> </w:t>
      </w:r>
    </w:p>
    <w:p w14:paraId="71BA8A8B" w14:textId="1983C397" w:rsidR="0024665C" w:rsidRPr="00933BD5" w:rsidRDefault="0024665C" w:rsidP="0024665C">
      <w:pPr>
        <w:pStyle w:val="BodyText1"/>
      </w:pPr>
      <w:r>
        <w:t>Select ‘Scope 2 emissions’ as the source category in EERS and choose the relevant activity from the drop</w:t>
      </w:r>
      <w:r w:rsidR="009A67ED">
        <w:t>-</w:t>
      </w:r>
      <w:r>
        <w:t xml:space="preserve">down menu. </w:t>
      </w:r>
    </w:p>
    <w:p w14:paraId="1C61F474" w14:textId="67B0895C" w:rsidR="0024665C" w:rsidRPr="00675A6B" w:rsidRDefault="0024665C" w:rsidP="00766333">
      <w:pPr>
        <w:pStyle w:val="BodyText1"/>
      </w:pPr>
      <w:r w:rsidRPr="00766333">
        <w:rPr>
          <w:b/>
        </w:rPr>
        <w:t>Method A1 – ‘</w:t>
      </w:r>
      <w:r w:rsidR="003A1560">
        <w:rPr>
          <w:b/>
        </w:rPr>
        <w:t>location-based</w:t>
      </w:r>
      <w:r w:rsidR="000543DC">
        <w:rPr>
          <w:b/>
        </w:rPr>
        <w:t xml:space="preserve"> method - e</w:t>
      </w:r>
      <w:r w:rsidR="007402B7" w:rsidRPr="00766333">
        <w:rPr>
          <w:b/>
        </w:rPr>
        <w:t xml:space="preserve">lectricity purchased, acquired or lost </w:t>
      </w:r>
      <w:r w:rsidRPr="00766333">
        <w:rPr>
          <w:b/>
        </w:rPr>
        <w:t xml:space="preserve">from the main </w:t>
      </w:r>
      <w:r w:rsidR="007402B7" w:rsidRPr="00766333">
        <w:rPr>
          <w:b/>
        </w:rPr>
        <w:t xml:space="preserve">electricity </w:t>
      </w:r>
      <w:r w:rsidRPr="00766333">
        <w:rPr>
          <w:b/>
        </w:rPr>
        <w:t xml:space="preserve">grid in a </w:t>
      </w:r>
      <w:r w:rsidR="007402B7" w:rsidRPr="00766333">
        <w:rPr>
          <w:b/>
        </w:rPr>
        <w:t>S</w:t>
      </w:r>
      <w:r w:rsidRPr="00766333">
        <w:rPr>
          <w:b/>
        </w:rPr>
        <w:t xml:space="preserve">tate or </w:t>
      </w:r>
      <w:r w:rsidR="007402B7" w:rsidRPr="00766333">
        <w:rPr>
          <w:b/>
        </w:rPr>
        <w:t>T</w:t>
      </w:r>
      <w:r w:rsidRPr="00766333">
        <w:rPr>
          <w:b/>
        </w:rPr>
        <w:t>erritory’</w:t>
      </w:r>
    </w:p>
    <w:p w14:paraId="74EBC6A7" w14:textId="28F7E7DB" w:rsidR="0024665C" w:rsidRDefault="0024665C" w:rsidP="0024665C">
      <w:pPr>
        <w:pStyle w:val="BodyText1"/>
      </w:pPr>
      <w:r>
        <w:t xml:space="preserve">You must enter the quantity of electricity consumed by your facility in kWh. </w:t>
      </w:r>
      <w:r>
        <w:br/>
      </w:r>
      <w:r>
        <w:br/>
        <w:t xml:space="preserve">When you press ‘calculate’ and ‘save’, </w:t>
      </w:r>
      <w:r w:rsidRPr="00675A6B">
        <w:t xml:space="preserve">EERS will calculate the energy consumption and scope 2 emissions based on the scope 2 emissions factor for the applicable </w:t>
      </w:r>
      <w:r w:rsidR="00756A88">
        <w:t>s</w:t>
      </w:r>
      <w:r w:rsidRPr="00675A6B">
        <w:t xml:space="preserve">tate or </w:t>
      </w:r>
      <w:r w:rsidR="00756A88">
        <w:t>t</w:t>
      </w:r>
      <w:r w:rsidRPr="00675A6B">
        <w:t>erritory.</w:t>
      </w:r>
    </w:p>
    <w:p w14:paraId="1430DD92" w14:textId="542B5939" w:rsidR="0024665C" w:rsidRPr="00675A6B" w:rsidRDefault="0024665C" w:rsidP="00D61FF0">
      <w:pPr>
        <w:pStyle w:val="BodyText1"/>
      </w:pPr>
      <w:r w:rsidRPr="00D61FF0">
        <w:rPr>
          <w:b/>
        </w:rPr>
        <w:t>Method A2 – ‘</w:t>
      </w:r>
      <w:r w:rsidR="003A1560">
        <w:rPr>
          <w:b/>
        </w:rPr>
        <w:t>location-based</w:t>
      </w:r>
      <w:r w:rsidR="000543DC">
        <w:rPr>
          <w:b/>
        </w:rPr>
        <w:t xml:space="preserve"> method - e</w:t>
      </w:r>
      <w:r w:rsidRPr="00D61FF0">
        <w:rPr>
          <w:b/>
        </w:rPr>
        <w:t xml:space="preserve">lectricity </w:t>
      </w:r>
      <w:r w:rsidR="007F5BD2" w:rsidRPr="00D61FF0">
        <w:rPr>
          <w:b/>
        </w:rPr>
        <w:t xml:space="preserve">purchased, acquired or lost </w:t>
      </w:r>
      <w:r w:rsidRPr="00D61FF0">
        <w:rPr>
          <w:b/>
        </w:rPr>
        <w:t>from other sources’</w:t>
      </w:r>
    </w:p>
    <w:p w14:paraId="31B0E8E8" w14:textId="74D432A1" w:rsidR="0024665C" w:rsidRDefault="0024665C" w:rsidP="0024665C">
      <w:pPr>
        <w:pStyle w:val="BodyText1"/>
      </w:pPr>
      <w:r>
        <w:t xml:space="preserve">You must enter </w:t>
      </w:r>
      <w:r w:rsidRPr="00E8708C">
        <w:t>the</w:t>
      </w:r>
      <w:r>
        <w:t xml:space="preserve"> quantity of electricity consumed by your facility in kWh and </w:t>
      </w:r>
      <w:r w:rsidRPr="00E8708C">
        <w:t xml:space="preserve">the emission factor provided by the electricity supplier. If </w:t>
      </w:r>
      <w:r>
        <w:t>your</w:t>
      </w:r>
      <w:r w:rsidRPr="00E8708C">
        <w:t xml:space="preserve"> supplier cannot provide an emission factor, you must </w:t>
      </w:r>
      <w:r>
        <w:t xml:space="preserve">use the emission factor for the Northern Territory from Part 6 of Schedule 1 of the NGER Measurement Determination. </w:t>
      </w:r>
    </w:p>
    <w:p w14:paraId="6AE3CEF7" w14:textId="77777777" w:rsidR="0024665C" w:rsidRPr="00933BD5" w:rsidRDefault="0024665C" w:rsidP="0024665C">
      <w:pPr>
        <w:pStyle w:val="BodyText1"/>
        <w:rPr>
          <w:rFonts w:cstheme="minorBidi"/>
          <w:szCs w:val="22"/>
        </w:rPr>
      </w:pPr>
      <w:r>
        <w:t>When adding the activity in EERS, tick the box to use the</w:t>
      </w:r>
      <w:r w:rsidRPr="00E8708C">
        <w:t xml:space="preserve"> Northern Territory factor</w:t>
      </w:r>
      <w:r>
        <w:t xml:space="preserve"> as shown in</w:t>
      </w:r>
      <w:r>
        <w:fldChar w:fldCharType="begin" w:fldLock="1"/>
      </w:r>
      <w:r>
        <w:instrText xml:space="preserve"> REF _Ref173316252 \h </w:instrText>
      </w:r>
      <w:r>
        <w:fldChar w:fldCharType="separate"/>
      </w:r>
      <w:r>
        <w:fldChar w:fldCharType="end"/>
      </w:r>
      <w:r>
        <w:t xml:space="preserve"> </w:t>
      </w:r>
      <w:r>
        <w:fldChar w:fldCharType="begin" w:fldLock="1"/>
      </w:r>
      <w:r>
        <w:instrText xml:space="preserve"> REF _Ref173316264 \h </w:instrText>
      </w:r>
      <w:r>
        <w:fldChar w:fldCharType="separate"/>
      </w:r>
      <w:r>
        <w:t xml:space="preserve">Figure </w:t>
      </w:r>
      <w:r>
        <w:rPr>
          <w:noProof/>
        </w:rPr>
        <w:t>6</w:t>
      </w:r>
      <w:r>
        <w:fldChar w:fldCharType="end"/>
      </w:r>
      <w:r w:rsidRPr="00E8708C">
        <w:t>.</w:t>
      </w:r>
    </w:p>
    <w:p w14:paraId="4087CCE5" w14:textId="75D0185E" w:rsidR="0024665C" w:rsidRDefault="0024665C" w:rsidP="001C57EC">
      <w:pPr>
        <w:pStyle w:val="Caption"/>
      </w:pPr>
      <w:bookmarkStart w:id="236" w:name="_Ref173316264"/>
      <w:r>
        <w:t xml:space="preserve">Figure </w:t>
      </w:r>
      <w:r>
        <w:rPr>
          <w:i w:val="0"/>
        </w:rPr>
        <w:fldChar w:fldCharType="begin"/>
      </w:r>
      <w:r>
        <w:instrText>SEQ Figure \* ARABIC</w:instrText>
      </w:r>
      <w:r>
        <w:rPr>
          <w:i w:val="0"/>
        </w:rPr>
        <w:fldChar w:fldCharType="separate"/>
      </w:r>
      <w:r w:rsidR="0069639D">
        <w:rPr>
          <w:noProof/>
        </w:rPr>
        <w:t>6</w:t>
      </w:r>
      <w:r>
        <w:rPr>
          <w:i w:val="0"/>
        </w:rPr>
        <w:fldChar w:fldCharType="end"/>
      </w:r>
      <w:bookmarkEnd w:id="236"/>
      <w:r>
        <w:t xml:space="preserve"> – Selecting the default emission factor for Method A2 in EERS</w:t>
      </w:r>
      <w:r w:rsidR="00587991" w:rsidRPr="00587991">
        <w:t xml:space="preserve"> </w:t>
      </w:r>
    </w:p>
    <w:p w14:paraId="1AC84419" w14:textId="0D6298D9" w:rsidR="008F101F" w:rsidRPr="00704768" w:rsidRDefault="008F101F" w:rsidP="0024665C">
      <w:pPr>
        <w:pStyle w:val="CERbullets"/>
        <w:numPr>
          <w:ilvl w:val="0"/>
          <w:numId w:val="0"/>
        </w:numPr>
        <w:spacing w:line="259" w:lineRule="auto"/>
        <w:ind w:left="360" w:hanging="360"/>
        <w:jc w:val="center"/>
        <w:rPr>
          <w:lang w:eastAsia="en-AU"/>
        </w:rPr>
      </w:pPr>
      <w:r w:rsidRPr="008F101F">
        <w:rPr>
          <w:noProof/>
          <w:lang w:eastAsia="en-AU"/>
        </w:rPr>
        <w:drawing>
          <wp:inline distT="0" distB="0" distL="0" distR="0" wp14:anchorId="00629D62" wp14:editId="133C5698">
            <wp:extent cx="3657600" cy="2270927"/>
            <wp:effectExtent l="0" t="0" r="0" b="0"/>
            <wp:docPr id="1967500290" name="Picture 1" descr="A screenshot of a data entry form in EERS. It includes a section labelled 'Method A2 (7.3)' with a checkbox to report the activity using the default emission factor. A note states that the default emission factor used is 0.56 for the Northern Territory, as per Part 8 of Schedule 1 of the NGER (Measurement) Determination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00290" name="Picture 1" descr="A screenshot of a data entry form in EERS. It includes a section labelled 'Method A2 (7.3)' with a checkbox to report the activity using the default emission factor. A note states that the default emission factor used is 0.56 for the Northern Territory, as per Part 8 of Schedule 1 of the NGER (Measurement) Determination 2008. "/>
                    <pic:cNvPicPr/>
                  </pic:nvPicPr>
                  <pic:blipFill>
                    <a:blip r:embed="rId53"/>
                    <a:stretch>
                      <a:fillRect/>
                    </a:stretch>
                  </pic:blipFill>
                  <pic:spPr>
                    <a:xfrm>
                      <a:off x="0" y="0"/>
                      <a:ext cx="3664831" cy="2275416"/>
                    </a:xfrm>
                    <a:prstGeom prst="rect">
                      <a:avLst/>
                    </a:prstGeom>
                  </pic:spPr>
                </pic:pic>
              </a:graphicData>
            </a:graphic>
          </wp:inline>
        </w:drawing>
      </w:r>
    </w:p>
    <w:p w14:paraId="7F62AA43" w14:textId="403DAC24" w:rsidR="007F5BD2" w:rsidRPr="00675A6B" w:rsidRDefault="007F5BD2" w:rsidP="00D61FF0">
      <w:pPr>
        <w:pStyle w:val="BodyText1"/>
      </w:pPr>
      <w:r w:rsidRPr="00D61FF0">
        <w:rPr>
          <w:b/>
        </w:rPr>
        <w:t>Method B – ‘</w:t>
      </w:r>
      <w:r w:rsidR="003A1560">
        <w:rPr>
          <w:b/>
        </w:rPr>
        <w:t>m</w:t>
      </w:r>
      <w:r w:rsidRPr="00D61FF0">
        <w:rPr>
          <w:b/>
        </w:rPr>
        <w:t>arket-based method’</w:t>
      </w:r>
    </w:p>
    <w:p w14:paraId="2FAFB15A" w14:textId="2C5A139B" w:rsidR="00C22A87" w:rsidRPr="00A36A5E" w:rsidRDefault="00A83DBD" w:rsidP="00D61FF0">
      <w:pPr>
        <w:pStyle w:val="BodyText1"/>
      </w:pPr>
      <w:r>
        <w:lastRenderedPageBreak/>
        <w:t xml:space="preserve">If you choose to additionally report scope 2 emissions using the market-based method </w:t>
      </w:r>
      <w:r w:rsidR="00072193">
        <w:t>there are different requirements</w:t>
      </w:r>
      <w:r w:rsidR="00D74517">
        <w:t xml:space="preserve"> for what you must report.</w:t>
      </w:r>
      <w:r w:rsidR="00D34E11">
        <w:t xml:space="preserve"> </w:t>
      </w:r>
      <w:r w:rsidR="001F6978">
        <w:t>For more information</w:t>
      </w:r>
      <w:r w:rsidR="0084479B">
        <w:t xml:space="preserve"> on </w:t>
      </w:r>
      <w:r w:rsidR="00D34E11">
        <w:t>what to report if you use the market-based method</w:t>
      </w:r>
      <w:r w:rsidR="001F6978">
        <w:t xml:space="preserve">, </w:t>
      </w:r>
      <w:r w:rsidR="00015C1D">
        <w:t xml:space="preserve">see the </w:t>
      </w:r>
      <w:hyperlink r:id="rId54" w:history="1">
        <w:r w:rsidR="00015C1D" w:rsidRPr="00D2141E">
          <w:rPr>
            <w:rStyle w:val="Hyperlink"/>
            <w:rFonts w:cs="Calibri"/>
            <w:szCs w:val="22"/>
          </w:rPr>
          <w:t>Voluntary market-based scope 2 emissions guideline</w:t>
        </w:r>
      </w:hyperlink>
      <w:r w:rsidR="004B0870">
        <w:rPr>
          <w:rFonts w:ascii="ZWAdobeF" w:hAnsi="ZWAdobeF" w:cs="ZWAdobeF"/>
          <w:color w:val="auto"/>
          <w:sz w:val="2"/>
          <w:szCs w:val="2"/>
        </w:rPr>
        <w:t>28F</w:t>
      </w:r>
      <w:r w:rsidR="00015C1D" w:rsidRPr="00D2141E">
        <w:rPr>
          <w:rStyle w:val="FootnoteReference"/>
          <w:rFonts w:ascii="Calibri" w:hAnsi="Calibri" w:cs="Calibri"/>
          <w:szCs w:val="22"/>
        </w:rPr>
        <w:footnoteReference w:id="31"/>
      </w:r>
      <w:r w:rsidR="00015C1D">
        <w:t>.</w:t>
      </w:r>
    </w:p>
    <w:p w14:paraId="3F7C1BE1" w14:textId="77777777" w:rsidR="0024665C" w:rsidRDefault="0024665C" w:rsidP="00D2141E">
      <w:pPr>
        <w:pStyle w:val="Heading2"/>
        <w:numPr>
          <w:ilvl w:val="1"/>
          <w:numId w:val="3"/>
        </w:numPr>
        <w:ind w:left="851" w:hanging="851"/>
      </w:pPr>
      <w:bookmarkStart w:id="237" w:name="_Toc235706339"/>
      <w:r>
        <w:t>Evidence to keep for scope 2 emissions estimates</w:t>
      </w:r>
      <w:bookmarkEnd w:id="237"/>
    </w:p>
    <w:p w14:paraId="174651D2" w14:textId="1F9E9C92" w:rsidR="0024665C" w:rsidRPr="00D2141E" w:rsidRDefault="0024665C" w:rsidP="0024665C">
      <w:pPr>
        <w:rPr>
          <w:szCs w:val="22"/>
        </w:rPr>
      </w:pPr>
      <w:r w:rsidRPr="00D2141E">
        <w:rPr>
          <w:szCs w:val="22"/>
        </w:rPr>
        <w:t xml:space="preserve">In accordance with section 6.5 of the NGER Measurement Determination, the amount of electricity consumed by your facility (Q) must be evidenced by: </w:t>
      </w:r>
    </w:p>
    <w:p w14:paraId="7BCD3972" w14:textId="62328197" w:rsidR="00DC530F" w:rsidRPr="000504FD" w:rsidRDefault="0024665C" w:rsidP="00D13925">
      <w:pPr>
        <w:pStyle w:val="CERbullets"/>
      </w:pPr>
      <w:r w:rsidRPr="000504FD">
        <w:t xml:space="preserve">invoices, contractual arrangements or industry metering records </w:t>
      </w:r>
    </w:p>
    <w:p w14:paraId="2A6B0A2A" w14:textId="709ED5F6" w:rsidR="00A57A5C" w:rsidRDefault="0024665C" w:rsidP="00D2141E">
      <w:pPr>
        <w:pStyle w:val="CERbullets"/>
      </w:pPr>
      <w:r w:rsidRPr="000504FD">
        <w:t>records of estimates made in line with industry practice</w:t>
      </w:r>
      <w:r>
        <w:t xml:space="preserve"> </w:t>
      </w:r>
      <w:r w:rsidRPr="000504FD">
        <w:t>or if such evidence is not available</w:t>
      </w:r>
      <w:r>
        <w:t>.</w:t>
      </w:r>
      <w:bookmarkStart w:id="238" w:name="_Toc139895830"/>
      <w:bookmarkStart w:id="239" w:name="_Toc139895961"/>
      <w:bookmarkStart w:id="240" w:name="_Toc139896053"/>
      <w:bookmarkStart w:id="241" w:name="_Toc140062908"/>
      <w:bookmarkStart w:id="242" w:name="_Toc140141865"/>
      <w:bookmarkStart w:id="243" w:name="_Toc142059146"/>
      <w:bookmarkStart w:id="244" w:name="_Toc147852481"/>
      <w:bookmarkStart w:id="245" w:name="_Toc139895831"/>
      <w:bookmarkStart w:id="246" w:name="_Toc139895962"/>
      <w:bookmarkStart w:id="247" w:name="_Toc139896054"/>
      <w:bookmarkStart w:id="248" w:name="_Toc140062909"/>
      <w:bookmarkStart w:id="249" w:name="_Toc140141866"/>
      <w:bookmarkStart w:id="250" w:name="_Toc142059147"/>
      <w:bookmarkStart w:id="251" w:name="_Toc147852482"/>
      <w:bookmarkEnd w:id="204"/>
      <w:bookmarkEnd w:id="205"/>
      <w:bookmarkEnd w:id="206"/>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66467CCC" w14:textId="4508B37F" w:rsidR="00D919E1" w:rsidRPr="00FF338C" w:rsidRDefault="003B6B5E" w:rsidP="00667BB9">
      <w:pPr>
        <w:pStyle w:val="BodyText1"/>
      </w:pPr>
      <w:r>
        <w:t xml:space="preserve">Additional evidence will be required if you also choose to </w:t>
      </w:r>
      <w:r w:rsidR="00624E86">
        <w:t xml:space="preserve">report using the market-based method. </w:t>
      </w:r>
      <w:r w:rsidR="002438DB">
        <w:t>T</w:t>
      </w:r>
      <w:r w:rsidR="00624E86">
        <w:t xml:space="preserve">his </w:t>
      </w:r>
      <w:r w:rsidR="00DD2933">
        <w:t>additional</w:t>
      </w:r>
      <w:r w:rsidR="00624E86">
        <w:t xml:space="preserve"> evidence</w:t>
      </w:r>
      <w:r w:rsidR="002438DB">
        <w:t xml:space="preserve"> is described further </w:t>
      </w:r>
      <w:r w:rsidR="00C21E5A">
        <w:t xml:space="preserve">in </w:t>
      </w:r>
      <w:r w:rsidR="00624E86">
        <w:t xml:space="preserve">the </w:t>
      </w:r>
      <w:hyperlink r:id="rId55" w:history="1">
        <w:r w:rsidR="00801DE2" w:rsidRPr="00A43660">
          <w:rPr>
            <w:rStyle w:val="Hyperlink"/>
            <w:rFonts w:asciiTheme="minorHAnsi" w:hAnsiTheme="minorHAnsi"/>
          </w:rPr>
          <w:t>Voluntary market-based scope 2 emissions guideline</w:t>
        </w:r>
      </w:hyperlink>
      <w:r w:rsidR="00624E86">
        <w:t>.</w:t>
      </w:r>
    </w:p>
    <w:p w14:paraId="6771C18D" w14:textId="5DF396F9" w:rsidR="00A57A5C" w:rsidRPr="00FF338C" w:rsidRDefault="00625327" w:rsidP="00D2141E">
      <w:pPr>
        <w:pStyle w:val="Heading1"/>
        <w:numPr>
          <w:ilvl w:val="0"/>
          <w:numId w:val="3"/>
        </w:numPr>
        <w:ind w:left="851" w:hanging="851"/>
        <w:rPr>
          <w:lang w:val="en-GB"/>
        </w:rPr>
      </w:pPr>
      <w:bookmarkStart w:id="252" w:name="_Energy_production_and"/>
      <w:bookmarkStart w:id="253" w:name="_Ref511972700"/>
      <w:bookmarkStart w:id="254" w:name="_Toc512010410"/>
      <w:bookmarkStart w:id="255" w:name="_Toc512339609"/>
      <w:bookmarkStart w:id="256" w:name="_Toc106705766"/>
      <w:bookmarkStart w:id="257" w:name="_Toc235706340"/>
      <w:bookmarkEnd w:id="252"/>
      <w:r>
        <w:rPr>
          <w:lang w:val="en-GB"/>
        </w:rPr>
        <w:t>Electricity</w:t>
      </w:r>
      <w:r w:rsidR="00A57A5C" w:rsidRPr="00FF338C">
        <w:rPr>
          <w:lang w:val="en-GB"/>
        </w:rPr>
        <w:t xml:space="preserve"> production and consumption</w:t>
      </w:r>
      <w:bookmarkEnd w:id="253"/>
      <w:bookmarkEnd w:id="254"/>
      <w:bookmarkEnd w:id="255"/>
      <w:bookmarkEnd w:id="256"/>
      <w:bookmarkEnd w:id="257"/>
    </w:p>
    <w:p w14:paraId="121B2554" w14:textId="287EC8A2" w:rsidR="00A57A5C" w:rsidRPr="00FF338C" w:rsidRDefault="00A57A5C" w:rsidP="00D40353">
      <w:pPr>
        <w:spacing w:before="240"/>
      </w:pPr>
      <w:r w:rsidRPr="00FF338C">
        <w:t xml:space="preserve">This </w:t>
      </w:r>
      <w:r>
        <w:t>chapter</w:t>
      </w:r>
      <w:r w:rsidRPr="00FF338C">
        <w:t xml:space="preserve"> provides an overview of how to report </w:t>
      </w:r>
      <w:r w:rsidR="00F10D88">
        <w:t>activities associated with</w:t>
      </w:r>
      <w:r w:rsidRPr="00FF338C">
        <w:t xml:space="preserve"> electricity </w:t>
      </w:r>
      <w:r w:rsidR="006D5A56">
        <w:t>produc</w:t>
      </w:r>
      <w:r w:rsidR="003A3723">
        <w:t>tion</w:t>
      </w:r>
      <w:r w:rsidRPr="00FF338C">
        <w:t xml:space="preserve"> and </w:t>
      </w:r>
      <w:r w:rsidR="002E4C1C">
        <w:t>consumption</w:t>
      </w:r>
      <w:r w:rsidR="006D5A56">
        <w:t>.</w:t>
      </w:r>
      <w:r w:rsidRPr="00057BD3">
        <w:t xml:space="preserve"> </w:t>
      </w:r>
      <w:r w:rsidR="004E7968" w:rsidRPr="00057BD3" w:rsidDel="004E7968">
        <w:t xml:space="preserve"> </w:t>
      </w:r>
    </w:p>
    <w:p w14:paraId="107D7816" w14:textId="77777777" w:rsidR="00A57A5C" w:rsidRPr="00FF338C" w:rsidRDefault="00A57A5C" w:rsidP="00DB4B56">
      <w:pPr>
        <w:pStyle w:val="Heading2"/>
        <w:numPr>
          <w:ilvl w:val="1"/>
          <w:numId w:val="3"/>
        </w:numPr>
        <w:ind w:left="426" w:hanging="426"/>
      </w:pPr>
      <w:bookmarkStart w:id="258" w:name="_Ref511316651"/>
      <w:bookmarkStart w:id="259" w:name="_Toc511376930"/>
      <w:bookmarkStart w:id="260" w:name="_Toc511388527"/>
      <w:bookmarkStart w:id="261" w:name="_Toc511389449"/>
      <w:bookmarkStart w:id="262" w:name="_Toc511392958"/>
      <w:bookmarkStart w:id="263" w:name="_Toc511732488"/>
      <w:bookmarkStart w:id="264" w:name="_Toc512010411"/>
      <w:bookmarkStart w:id="265" w:name="_Toc512339610"/>
      <w:bookmarkStart w:id="266" w:name="_Toc106705767"/>
      <w:bookmarkStart w:id="267" w:name="_Toc235706341"/>
      <w:r w:rsidRPr="00FF338C">
        <w:t xml:space="preserve">Energy </w:t>
      </w:r>
      <w:bookmarkEnd w:id="258"/>
      <w:bookmarkEnd w:id="259"/>
      <w:r w:rsidRPr="00FF338C">
        <w:t>as a fuel or energy commodity</w:t>
      </w:r>
      <w:bookmarkEnd w:id="260"/>
      <w:bookmarkEnd w:id="261"/>
      <w:bookmarkEnd w:id="262"/>
      <w:bookmarkEnd w:id="263"/>
      <w:bookmarkEnd w:id="264"/>
      <w:bookmarkEnd w:id="265"/>
      <w:bookmarkEnd w:id="266"/>
      <w:bookmarkEnd w:id="267"/>
    </w:p>
    <w:p w14:paraId="3874A7CE" w14:textId="29CF993D" w:rsidR="00A57A5C" w:rsidRPr="00FF338C" w:rsidRDefault="00A57A5C" w:rsidP="00A57A5C">
      <w:pPr>
        <w:rPr>
          <w:color w:val="auto"/>
        </w:rPr>
      </w:pPr>
      <w:r w:rsidRPr="00FF338C">
        <w:rPr>
          <w:color w:val="auto"/>
        </w:rPr>
        <w:t xml:space="preserve">In NGER, the term </w:t>
      </w:r>
      <w:r>
        <w:rPr>
          <w:color w:val="auto"/>
        </w:rPr>
        <w:t>‘energy’</w:t>
      </w:r>
      <w:r w:rsidRPr="00FF338C">
        <w:rPr>
          <w:color w:val="auto"/>
        </w:rPr>
        <w:t xml:space="preserve"> is</w:t>
      </w:r>
      <w:r>
        <w:rPr>
          <w:color w:val="auto"/>
        </w:rPr>
        <w:t xml:space="preserve"> defined within regulation 2.03 of the NGER Regulations. It is</w:t>
      </w:r>
      <w:r w:rsidRPr="00FF338C">
        <w:rPr>
          <w:color w:val="auto"/>
        </w:rPr>
        <w:t xml:space="preserve"> used to describe individual fuels </w:t>
      </w:r>
      <w:r>
        <w:rPr>
          <w:color w:val="auto"/>
        </w:rPr>
        <w:t>and</w:t>
      </w:r>
      <w:r w:rsidRPr="00FF338C">
        <w:rPr>
          <w:color w:val="auto"/>
        </w:rPr>
        <w:t xml:space="preserve"> energy commodities as </w:t>
      </w:r>
      <w:r w:rsidR="008F1F1D">
        <w:rPr>
          <w:color w:val="auto"/>
        </w:rPr>
        <w:t>listed</w:t>
      </w:r>
      <w:r w:rsidRPr="00FF338C">
        <w:rPr>
          <w:color w:val="auto"/>
        </w:rPr>
        <w:t xml:space="preserve"> in Schedule 1 of the NGER Regulations. These comprise a range of solid, liquid and gaseous fuels, including naturally occurring materials and fuels derived from other sources. Other energy commodities such as electricity, as well as renewable energy commodities such as wind and solar energy used for electricity generation are also covered. </w:t>
      </w:r>
    </w:p>
    <w:p w14:paraId="6E564C12" w14:textId="2600E78A" w:rsidR="00A57A5C" w:rsidRPr="00FF338C" w:rsidRDefault="00A57A5C" w:rsidP="00A57A5C">
      <w:r w:rsidRPr="00FF338C">
        <w:t xml:space="preserve">Correct reporting of energy flows under NGER requires </w:t>
      </w:r>
      <w:r w:rsidR="001848D4">
        <w:t>3</w:t>
      </w:r>
      <w:r w:rsidRPr="00FF338C">
        <w:t xml:space="preserve"> totals to be prepared:</w:t>
      </w:r>
    </w:p>
    <w:p w14:paraId="7FB13E41" w14:textId="59A5845A" w:rsidR="00A57A5C" w:rsidRPr="00FF338C" w:rsidRDefault="00AE4CBF" w:rsidP="00B3330E">
      <w:pPr>
        <w:numPr>
          <w:ilvl w:val="0"/>
          <w:numId w:val="1"/>
        </w:numPr>
        <w:spacing w:before="120" w:after="120"/>
        <w:rPr>
          <w:b/>
        </w:rPr>
      </w:pPr>
      <w:r>
        <w:t>p</w:t>
      </w:r>
      <w:r w:rsidR="00A57A5C">
        <w:t>roduction</w:t>
      </w:r>
      <w:r w:rsidR="00A57A5C" w:rsidRPr="007D5032">
        <w:rPr>
          <w:bCs/>
        </w:rPr>
        <w:t xml:space="preserve"> of energy</w:t>
      </w:r>
      <w:r w:rsidR="00A57A5C" w:rsidRPr="00FF338C">
        <w:rPr>
          <w:b/>
        </w:rPr>
        <w:t xml:space="preserve"> </w:t>
      </w:r>
      <w:r w:rsidR="00A57A5C" w:rsidRPr="00FF338C">
        <w:t xml:space="preserve">– defined in 2.25 </w:t>
      </w:r>
      <w:r w:rsidR="00CF03B5">
        <w:t xml:space="preserve">of the </w:t>
      </w:r>
      <w:r w:rsidR="00A57A5C">
        <w:t xml:space="preserve">NGER </w:t>
      </w:r>
      <w:r w:rsidR="00CF03B5">
        <w:t>R</w:t>
      </w:r>
      <w:r w:rsidR="00A57A5C">
        <w:t>egulation</w:t>
      </w:r>
      <w:r w:rsidR="00CF03B5">
        <w:t>s</w:t>
      </w:r>
      <w:r w:rsidR="00A57A5C">
        <w:t xml:space="preserve"> </w:t>
      </w:r>
      <w:r w:rsidR="00A57A5C" w:rsidRPr="00FF338C">
        <w:t>as:</w:t>
      </w:r>
    </w:p>
    <w:p w14:paraId="4DAE3D39" w14:textId="5F045F2D" w:rsidR="00A57A5C" w:rsidRPr="00FF338C" w:rsidRDefault="00A57A5C" w:rsidP="00B3330E">
      <w:pPr>
        <w:pStyle w:val="CERbullets"/>
        <w:numPr>
          <w:ilvl w:val="1"/>
          <w:numId w:val="1"/>
        </w:numPr>
      </w:pPr>
      <w:r w:rsidRPr="00FF338C">
        <w:t>extraction or capture of energy from natural sources for final consumption by or from the operation of the facility, or for use other than in the operation of the facility</w:t>
      </w:r>
    </w:p>
    <w:p w14:paraId="306F860E" w14:textId="391FC3A7" w:rsidR="00A57A5C" w:rsidRPr="00FF338C" w:rsidRDefault="00A57A5C" w:rsidP="00B3330E">
      <w:pPr>
        <w:pStyle w:val="CERbullets"/>
        <w:numPr>
          <w:ilvl w:val="1"/>
          <w:numId w:val="1"/>
        </w:numPr>
      </w:pPr>
      <w:r w:rsidRPr="00FF338C">
        <w:t>manufacture of energy by the conversion of energy from one form to another form for final consumption by or from the operation of the facility, or for use other than in the operation of the facility</w:t>
      </w:r>
    </w:p>
    <w:p w14:paraId="41769277" w14:textId="242DC049" w:rsidR="00A57A5C" w:rsidRPr="00FF338C" w:rsidRDefault="00AE4CBF" w:rsidP="00B3330E">
      <w:pPr>
        <w:numPr>
          <w:ilvl w:val="0"/>
          <w:numId w:val="1"/>
        </w:numPr>
        <w:spacing w:before="120" w:after="120"/>
      </w:pPr>
      <w:r w:rsidRPr="79B44BC7">
        <w:rPr>
          <w:rFonts w:ascii="Calibri" w:hAnsi="Calibri"/>
        </w:rPr>
        <w:t>c</w:t>
      </w:r>
      <w:r w:rsidR="00A57A5C" w:rsidRPr="79B44BC7">
        <w:rPr>
          <w:rFonts w:ascii="Calibri" w:hAnsi="Calibri"/>
        </w:rPr>
        <w:t>onsumption of energy</w:t>
      </w:r>
      <w:r w:rsidR="00A57A5C" w:rsidRPr="79B44BC7">
        <w:rPr>
          <w:rFonts w:ascii="Calibri" w:hAnsi="Calibri"/>
          <w:b/>
        </w:rPr>
        <w:t xml:space="preserve"> </w:t>
      </w:r>
      <w:r w:rsidR="00A57A5C" w:rsidRPr="79B44BC7">
        <w:rPr>
          <w:rFonts w:ascii="Calibri" w:hAnsi="Calibri"/>
        </w:rPr>
        <w:t xml:space="preserve">– defined in </w:t>
      </w:r>
      <w:r w:rsidR="00CF03B5" w:rsidRPr="79B44BC7">
        <w:rPr>
          <w:rFonts w:ascii="Calibri" w:hAnsi="Calibri"/>
        </w:rPr>
        <w:t xml:space="preserve">2.26 of the </w:t>
      </w:r>
      <w:r w:rsidR="00A57A5C" w:rsidRPr="79B44BC7">
        <w:rPr>
          <w:rFonts w:ascii="Calibri" w:hAnsi="Calibri"/>
        </w:rPr>
        <w:t xml:space="preserve">NGER </w:t>
      </w:r>
      <w:r w:rsidR="00415AFA" w:rsidRPr="79B44BC7">
        <w:rPr>
          <w:rFonts w:ascii="Calibri" w:hAnsi="Calibri"/>
        </w:rPr>
        <w:t>R</w:t>
      </w:r>
      <w:r w:rsidR="00A57A5C" w:rsidRPr="79B44BC7">
        <w:rPr>
          <w:rFonts w:ascii="Calibri" w:hAnsi="Calibri"/>
        </w:rPr>
        <w:t>egulation</w:t>
      </w:r>
      <w:r w:rsidR="00415AFA" w:rsidRPr="79B44BC7">
        <w:rPr>
          <w:rFonts w:ascii="Calibri" w:hAnsi="Calibri"/>
        </w:rPr>
        <w:t>s</w:t>
      </w:r>
      <w:r w:rsidR="00A57A5C" w:rsidRPr="00FF338C">
        <w:t xml:space="preserve"> as the </w:t>
      </w:r>
      <w:r w:rsidR="00A57A5C" w:rsidRPr="00872A70">
        <w:rPr>
          <w:iCs/>
        </w:rPr>
        <w:t>use or disposal of energy from the operation of the facility, including own-use and losses in extraction, production and transmission</w:t>
      </w:r>
    </w:p>
    <w:p w14:paraId="7CDDAEBA" w14:textId="5F016EF5" w:rsidR="00A57A5C" w:rsidRPr="00FF338C" w:rsidRDefault="00AE4CBF" w:rsidP="00B3330E">
      <w:pPr>
        <w:numPr>
          <w:ilvl w:val="0"/>
          <w:numId w:val="1"/>
        </w:numPr>
        <w:spacing w:before="120" w:after="120"/>
      </w:pPr>
      <w:r>
        <w:t>n</w:t>
      </w:r>
      <w:r w:rsidR="00A57A5C">
        <w:t>et</w:t>
      </w:r>
      <w:r w:rsidR="00A57A5C" w:rsidRPr="007D5032">
        <w:rPr>
          <w:bCs/>
        </w:rPr>
        <w:t xml:space="preserve"> energy consumption</w:t>
      </w:r>
      <w:r w:rsidR="00A57A5C" w:rsidRPr="00FF338C">
        <w:t xml:space="preserve"> – </w:t>
      </w:r>
      <w:r w:rsidR="00255F27">
        <w:t xml:space="preserve">as determined </w:t>
      </w:r>
      <w:r w:rsidR="000A0409">
        <w:t>in 5.03 of the NGER Regulations. S</w:t>
      </w:r>
      <w:r w:rsidR="00A57A5C">
        <w:t>ee</w:t>
      </w:r>
      <w:r w:rsidR="002F234E">
        <w:t xml:space="preserve"> the </w:t>
      </w:r>
      <w:hyperlink r:id="rId56" w:history="1">
        <w:r w:rsidR="00F736E5" w:rsidRPr="00465E4F">
          <w:rPr>
            <w:rStyle w:val="Hyperlink"/>
            <w:rFonts w:asciiTheme="minorHAnsi" w:hAnsiTheme="minorHAnsi"/>
          </w:rPr>
          <w:t>Reporting energy p</w:t>
        </w:r>
        <w:r w:rsidR="00465E4F" w:rsidRPr="00465E4F">
          <w:rPr>
            <w:rStyle w:val="Hyperlink"/>
            <w:rFonts w:asciiTheme="minorHAnsi" w:hAnsiTheme="minorHAnsi"/>
          </w:rPr>
          <w:t>roduction and consumption guideline</w:t>
        </w:r>
      </w:hyperlink>
      <w:r w:rsidR="005D7E4A">
        <w:rPr>
          <w:rStyle w:val="FootnoteReference"/>
        </w:rPr>
        <w:footnoteReference w:id="32"/>
      </w:r>
      <w:r w:rsidR="00A57A5C" w:rsidRPr="00FF338C">
        <w:t>.</w:t>
      </w:r>
    </w:p>
    <w:p w14:paraId="5F850B0E" w14:textId="2B3C726B" w:rsidR="00A57A5C" w:rsidRPr="00FF338C" w:rsidRDefault="00A57A5C" w:rsidP="00A57A5C">
      <w:pPr>
        <w:rPr>
          <w:color w:val="auto"/>
        </w:rPr>
      </w:pPr>
      <w:r w:rsidRPr="00FF338C">
        <w:t>The</w:t>
      </w:r>
      <w:r w:rsidR="00F425DB">
        <w:t xml:space="preserve"> 3</w:t>
      </w:r>
      <w:r w:rsidRPr="00FF338C">
        <w:t xml:space="preserve"> totals </w:t>
      </w:r>
      <w:r w:rsidR="00F425DB">
        <w:t xml:space="preserve">described above </w:t>
      </w:r>
      <w:r w:rsidRPr="00FF338C">
        <w:t>are prepared by aggregating estimates of the calorific values of individual energy flows across a facility over the reporting year (measured in gigajoules</w:t>
      </w:r>
      <w:r>
        <w:t xml:space="preserve"> (</w:t>
      </w:r>
      <w:r w:rsidRPr="00FF338C">
        <w:t>GJ</w:t>
      </w:r>
      <w:r>
        <w:t>)</w:t>
      </w:r>
      <w:r w:rsidRPr="00FF338C">
        <w:t xml:space="preserve">). </w:t>
      </w:r>
      <w:r w:rsidRPr="00FF338C">
        <w:rPr>
          <w:color w:val="auto"/>
        </w:rPr>
        <w:t xml:space="preserve">When reporting energy production and consumption, only those fuels and energy commodities that are listed in Schedule 1 of the </w:t>
      </w:r>
      <w:r w:rsidRPr="00FF338C">
        <w:rPr>
          <w:color w:val="auto"/>
        </w:rPr>
        <w:lastRenderedPageBreak/>
        <w:t xml:space="preserve">NGER Regulations </w:t>
      </w:r>
      <w:r w:rsidRPr="00203E01">
        <w:rPr>
          <w:color w:val="auto"/>
        </w:rPr>
        <w:t>and</w:t>
      </w:r>
      <w:r w:rsidRPr="00FF338C">
        <w:rPr>
          <w:color w:val="auto"/>
        </w:rPr>
        <w:t xml:space="preserve"> for which there are applicable methods in the </w:t>
      </w:r>
      <w:r>
        <w:rPr>
          <w:color w:val="auto"/>
        </w:rPr>
        <w:t>NGER Measurement Determination</w:t>
      </w:r>
      <w:r w:rsidRPr="00FF338C">
        <w:rPr>
          <w:color w:val="auto"/>
        </w:rPr>
        <w:t xml:space="preserve"> </w:t>
      </w:r>
      <w:r w:rsidRPr="00FF338C" w:rsidDel="00354E1B">
        <w:rPr>
          <w:color w:val="auto"/>
        </w:rPr>
        <w:t xml:space="preserve">should </w:t>
      </w:r>
      <w:r w:rsidRPr="00FF338C">
        <w:rPr>
          <w:color w:val="auto"/>
        </w:rPr>
        <w:t>be reported.</w:t>
      </w:r>
    </w:p>
    <w:p w14:paraId="0E061119" w14:textId="228F6199" w:rsidR="00A57A5C" w:rsidRPr="00FF338C" w:rsidRDefault="00A57A5C" w:rsidP="00A57A5C">
      <w:r w:rsidRPr="00FF338C">
        <w:t>For generation facilities</w:t>
      </w:r>
      <w:r>
        <w:t>,</w:t>
      </w:r>
      <w:r w:rsidRPr="00FF338C">
        <w:t xml:space="preserve"> </w:t>
      </w:r>
      <w:proofErr w:type="gramStart"/>
      <w:r w:rsidRPr="00FF338C">
        <w:t>the majority of</w:t>
      </w:r>
      <w:proofErr w:type="gramEnd"/>
      <w:r w:rsidRPr="00FF338C">
        <w:t xml:space="preserve"> energy produced is</w:t>
      </w:r>
      <w:r>
        <w:t xml:space="preserve"> electricity </w:t>
      </w:r>
      <w:r w:rsidR="00857FE0">
        <w:t xml:space="preserve">for </w:t>
      </w:r>
      <w:r w:rsidR="008E48BA">
        <w:t xml:space="preserve">supply </w:t>
      </w:r>
      <w:r w:rsidR="00857FE0">
        <w:t xml:space="preserve">onto </w:t>
      </w:r>
      <w:r w:rsidR="00971028">
        <w:t>a network</w:t>
      </w:r>
      <w:r w:rsidR="008A4654">
        <w:t xml:space="preserve"> outside of the facility</w:t>
      </w:r>
      <w:r w:rsidR="00971028">
        <w:t>.</w:t>
      </w:r>
      <w:r w:rsidRPr="00FF338C">
        <w:t xml:space="preserve"> </w:t>
      </w:r>
      <w:proofErr w:type="gramStart"/>
      <w:r w:rsidR="00385B83">
        <w:t>T</w:t>
      </w:r>
      <w:r w:rsidRPr="00FF338C">
        <w:t>he majority of</w:t>
      </w:r>
      <w:proofErr w:type="gramEnd"/>
      <w:r w:rsidRPr="00FF338C">
        <w:t xml:space="preserve"> energy consumed </w:t>
      </w:r>
      <w:r>
        <w:t xml:space="preserve">is </w:t>
      </w:r>
      <w:r w:rsidRPr="00FF338C">
        <w:t xml:space="preserve">for </w:t>
      </w:r>
      <w:r w:rsidR="0011122A">
        <w:t xml:space="preserve">electricity </w:t>
      </w:r>
      <w:r w:rsidRPr="00FF338C">
        <w:t xml:space="preserve">generation </w:t>
      </w:r>
      <w:r w:rsidR="001C6E80">
        <w:t>and</w:t>
      </w:r>
      <w:r>
        <w:t xml:space="preserve"> </w:t>
      </w:r>
      <w:r w:rsidRPr="00FF338C">
        <w:t xml:space="preserve">any electricity used or lost on site. For transmission and distribution facilities, </w:t>
      </w:r>
      <w:r w:rsidR="00577ED4">
        <w:t xml:space="preserve">electricity </w:t>
      </w:r>
      <w:r w:rsidRPr="00FF338C">
        <w:t xml:space="preserve">line losses usually constitute </w:t>
      </w:r>
      <w:proofErr w:type="gramStart"/>
      <w:r w:rsidRPr="00FF338C">
        <w:t>the majority of</w:t>
      </w:r>
      <w:proofErr w:type="gramEnd"/>
      <w:r w:rsidRPr="00FF338C">
        <w:t xml:space="preserve"> energy consu</w:t>
      </w:r>
      <w:r>
        <w:t>med</w:t>
      </w:r>
      <w:r w:rsidRPr="00FF338C">
        <w:t xml:space="preserve"> with minimal or no energy production.</w:t>
      </w:r>
    </w:p>
    <w:tbl>
      <w:tblPr>
        <w:tblStyle w:val="CERCallout"/>
        <w:tblW w:w="5000" w:type="pct"/>
        <w:tblLook w:val="04A0" w:firstRow="1" w:lastRow="0" w:firstColumn="1" w:lastColumn="0" w:noHBand="0" w:noVBand="1"/>
      </w:tblPr>
      <w:tblGrid>
        <w:gridCol w:w="9710"/>
      </w:tblGrid>
      <w:tr w:rsidR="00D67F2D" w:rsidRPr="00FF338C" w14:paraId="7672D8B0" w14:textId="77777777" w:rsidTr="00BE117F">
        <w:trPr>
          <w:cnfStyle w:val="100000000000" w:firstRow="1" w:lastRow="0" w:firstColumn="0" w:lastColumn="0" w:oddVBand="0" w:evenVBand="0" w:oddHBand="0" w:evenHBand="0" w:firstRowFirstColumn="0" w:firstRowLastColumn="0" w:lastRowFirstColumn="0" w:lastRowLastColumn="0"/>
        </w:trPr>
        <w:tc>
          <w:tcPr>
            <w:tcW w:w="5000" w:type="pct"/>
          </w:tcPr>
          <w:p w14:paraId="19CAACF9" w14:textId="04451FDD" w:rsidR="00A57A5C" w:rsidRPr="00FB5D2B" w:rsidRDefault="00A57A5C">
            <w:pPr>
              <w:pStyle w:val="Heading5"/>
              <w:ind w:left="2"/>
              <w:rPr>
                <w:b/>
                <w:bCs/>
              </w:rPr>
            </w:pPr>
            <w:bookmarkStart w:id="268" w:name="_Toc526867718"/>
            <w:bookmarkStart w:id="269" w:name="_Toc526869760"/>
            <w:bookmarkStart w:id="270" w:name="_Toc235706342"/>
            <w:r w:rsidRPr="00FB5D2B">
              <w:rPr>
                <w:b/>
                <w:bCs/>
              </w:rPr>
              <w:t>Example</w:t>
            </w:r>
            <w:r w:rsidR="009054D1">
              <w:rPr>
                <w:b/>
                <w:bCs/>
              </w:rPr>
              <w:t>:</w:t>
            </w:r>
            <w:r w:rsidRPr="00FB5D2B">
              <w:rPr>
                <w:b/>
                <w:bCs/>
              </w:rPr>
              <w:t xml:space="preserve"> Energy production and consumption from a gas</w:t>
            </w:r>
            <w:r w:rsidR="00002C8B">
              <w:rPr>
                <w:b/>
                <w:bCs/>
              </w:rPr>
              <w:t>-</w:t>
            </w:r>
            <w:r w:rsidRPr="00FB5D2B">
              <w:rPr>
                <w:b/>
                <w:bCs/>
              </w:rPr>
              <w:t>fired power station</w:t>
            </w:r>
            <w:bookmarkEnd w:id="268"/>
            <w:bookmarkEnd w:id="269"/>
            <w:bookmarkEnd w:id="270"/>
          </w:p>
          <w:p w14:paraId="0F5A8B7A" w14:textId="35D95B61" w:rsidR="00A57A5C" w:rsidRPr="00FB5D2B" w:rsidRDefault="00A57A5C" w:rsidP="00703446">
            <w:pPr>
              <w:pStyle w:val="CERbullets"/>
              <w:numPr>
                <w:ilvl w:val="0"/>
                <w:numId w:val="0"/>
              </w:numPr>
              <w:ind w:left="2"/>
              <w:rPr>
                <w:b w:val="0"/>
                <w:bCs/>
              </w:rPr>
            </w:pPr>
            <w:hyperlink w:anchor="_Appendix_A_–" w:history="1">
              <w:r w:rsidRPr="00FB5D2B">
                <w:rPr>
                  <w:rStyle w:val="Hyperlink"/>
                  <w:rFonts w:asciiTheme="minorHAnsi" w:hAnsiTheme="minorHAnsi"/>
                  <w:b w:val="0"/>
                  <w:bCs/>
                </w:rPr>
                <w:t>Case example 1 in Appendix A</w:t>
              </w:r>
            </w:hyperlink>
            <w:r w:rsidRPr="00FB5D2B">
              <w:rPr>
                <w:b w:val="0"/>
                <w:bCs/>
              </w:rPr>
              <w:t xml:space="preserve"> in respect of a gas-fired power station illustrates the concept of energy as a commodity with reference to energy production and energy consumption.</w:t>
            </w:r>
          </w:p>
          <w:p w14:paraId="1FA57195" w14:textId="775A3F38" w:rsidR="00A57A5C" w:rsidRPr="00FB5D2B" w:rsidRDefault="00A57A5C" w:rsidP="00703446">
            <w:pPr>
              <w:pStyle w:val="CERbullets"/>
              <w:numPr>
                <w:ilvl w:val="0"/>
                <w:numId w:val="0"/>
              </w:numPr>
              <w:ind w:left="2"/>
              <w:rPr>
                <w:b w:val="0"/>
                <w:bCs/>
              </w:rPr>
            </w:pPr>
            <w:r w:rsidRPr="00FB5D2B">
              <w:rPr>
                <w:b w:val="0"/>
                <w:bCs/>
              </w:rPr>
              <w:t>In this case, energy production comprises</w:t>
            </w:r>
            <w:r w:rsidR="00B22A04">
              <w:rPr>
                <w:b w:val="0"/>
                <w:bCs/>
              </w:rPr>
              <w:t xml:space="preserve"> of</w:t>
            </w:r>
            <w:r w:rsidRPr="00FB5D2B">
              <w:rPr>
                <w:b w:val="0"/>
                <w:bCs/>
              </w:rPr>
              <w:t>:</w:t>
            </w:r>
          </w:p>
          <w:p w14:paraId="290325B1" w14:textId="27FD69C9" w:rsidR="00A57A5C" w:rsidRPr="00FB5D2B" w:rsidRDefault="00A57A5C" w:rsidP="00B3330E">
            <w:pPr>
              <w:pStyle w:val="CERbullets"/>
              <w:spacing w:beforeAutospacing="0"/>
              <w:ind w:left="428"/>
              <w:rPr>
                <w:b w:val="0"/>
                <w:bCs/>
              </w:rPr>
            </w:pPr>
            <w:r w:rsidRPr="00FB5D2B">
              <w:rPr>
                <w:b w:val="0"/>
                <w:bCs/>
              </w:rPr>
              <w:t>electricity produced and consumed at the facility (see numbers 4 and 5 in</w:t>
            </w:r>
            <w:r w:rsidR="00C44F0B">
              <w:rPr>
                <w:b w:val="0"/>
                <w:bCs/>
              </w:rPr>
              <w:t xml:space="preserve">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fldChar w:fldCharType="begin" w:fldLock="1"/>
            </w:r>
            <w:r>
              <w:rPr>
                <w:b w:val="0"/>
              </w:rPr>
              <w:instrText xml:space="preserve"> REF _Ref142312973 \h </w:instrText>
            </w:r>
            <w:r>
              <w:fldChar w:fldCharType="separate"/>
            </w:r>
            <w:r>
              <w:fldChar w:fldCharType="end"/>
            </w:r>
            <w:r w:rsidRPr="79B44BC7">
              <w:rPr>
                <w:b w:val="0"/>
              </w:rPr>
              <w:t>)</w:t>
            </w:r>
          </w:p>
          <w:p w14:paraId="78C9B27E" w14:textId="3DC131F9" w:rsidR="00A57A5C" w:rsidRPr="00FB5D2B" w:rsidRDefault="00A57A5C" w:rsidP="00B3330E">
            <w:pPr>
              <w:pStyle w:val="CERbullets"/>
              <w:spacing w:beforeAutospacing="0"/>
              <w:ind w:left="428"/>
              <w:rPr>
                <w:b w:val="0"/>
                <w:bCs/>
              </w:rPr>
            </w:pPr>
            <w:r w:rsidRPr="00FB5D2B">
              <w:rPr>
                <w:b w:val="0"/>
                <w:bCs/>
              </w:rPr>
              <w:t>electricity produced and delivered directly to the nearby facility (see number 6 in</w:t>
            </w:r>
            <w:r w:rsidR="00C44F0B">
              <w:rPr>
                <w:b w:val="0"/>
                <w:bCs/>
              </w:rPr>
              <w:t xml:space="preserve">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rsidRPr="79B44BC7">
              <w:rPr>
                <w:b w:val="0"/>
              </w:rPr>
              <w:t>)</w:t>
            </w:r>
          </w:p>
          <w:p w14:paraId="6CD178A4" w14:textId="2F2421AD" w:rsidR="00A57A5C" w:rsidRPr="00FB5D2B" w:rsidRDefault="00A57A5C" w:rsidP="00B3330E">
            <w:pPr>
              <w:pStyle w:val="CERbullets"/>
              <w:spacing w:beforeAutospacing="0"/>
              <w:ind w:left="428"/>
              <w:rPr>
                <w:b w:val="0"/>
                <w:bCs/>
              </w:rPr>
            </w:pPr>
            <w:r w:rsidRPr="00FB5D2B">
              <w:rPr>
                <w:b w:val="0"/>
                <w:bCs/>
              </w:rPr>
              <w:t xml:space="preserve">electricity transferred to an electricity network (see number 7 in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rsidRPr="79B44BC7">
              <w:rPr>
                <w:b w:val="0"/>
              </w:rPr>
              <w:t>).</w:t>
            </w:r>
          </w:p>
          <w:p w14:paraId="3B0E28EF" w14:textId="77777777" w:rsidR="00A57A5C" w:rsidRPr="00FB5D2B" w:rsidRDefault="00A57A5C" w:rsidP="00703446">
            <w:pPr>
              <w:pStyle w:val="CERbullets"/>
              <w:numPr>
                <w:ilvl w:val="0"/>
                <w:numId w:val="0"/>
              </w:numPr>
              <w:ind w:left="2"/>
              <w:rPr>
                <w:b w:val="0"/>
                <w:bCs/>
              </w:rPr>
            </w:pPr>
            <w:r w:rsidRPr="00FB5D2B">
              <w:rPr>
                <w:b w:val="0"/>
                <w:bCs/>
              </w:rPr>
              <w:t>In this case, energy consumption comprises:</w:t>
            </w:r>
          </w:p>
          <w:p w14:paraId="29452E52" w14:textId="0C5CD140" w:rsidR="00A57A5C" w:rsidRPr="00FB5D2B" w:rsidRDefault="00A57A5C" w:rsidP="00B3330E">
            <w:pPr>
              <w:pStyle w:val="CERbullets"/>
              <w:spacing w:beforeAutospacing="0"/>
              <w:ind w:left="428"/>
              <w:rPr>
                <w:b w:val="0"/>
                <w:bCs/>
              </w:rPr>
            </w:pPr>
            <w:r w:rsidRPr="00FB5D2B">
              <w:rPr>
                <w:b w:val="0"/>
                <w:bCs/>
              </w:rPr>
              <w:t xml:space="preserve">gas combusted for generation purposes (see number 2 in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rsidRPr="79B44BC7">
              <w:rPr>
                <w:b w:val="0"/>
              </w:rPr>
              <w:t>)</w:t>
            </w:r>
          </w:p>
          <w:p w14:paraId="5E0EBCEE" w14:textId="2585235C" w:rsidR="00A57A5C" w:rsidRPr="00FF338C" w:rsidRDefault="00A57A5C" w:rsidP="00B3330E">
            <w:pPr>
              <w:pStyle w:val="CERbullets"/>
              <w:spacing w:beforeAutospacing="0"/>
              <w:ind w:left="428"/>
            </w:pPr>
            <w:r w:rsidRPr="00FB5D2B">
              <w:rPr>
                <w:b w:val="0"/>
                <w:bCs/>
              </w:rPr>
              <w:t xml:space="preserve">own produced electricity consumed by facility (see number 5 in </w:t>
            </w:r>
            <w:r w:rsidR="00C44F0B" w:rsidRPr="00974C94">
              <w:rPr>
                <w:rFonts w:eastAsiaTheme="minorEastAsia"/>
                <w:bCs/>
              </w:rPr>
              <w:fldChar w:fldCharType="begin" w:fldLock="1"/>
            </w:r>
            <w:r w:rsidR="00C44F0B" w:rsidRPr="00C44F0B">
              <w:rPr>
                <w:rFonts w:eastAsiaTheme="minorEastAsia"/>
                <w:b w:val="0"/>
                <w:bCs/>
              </w:rPr>
              <w:instrText xml:space="preserve"> </w:instrText>
            </w:r>
            <w:r w:rsidR="00C44F0B" w:rsidRPr="00974C94">
              <w:rPr>
                <w:rFonts w:eastAsiaTheme="minorEastAsia"/>
                <w:b w:val="0"/>
                <w:bCs/>
              </w:rPr>
              <w:instrText xml:space="preserve">REF </w:instrText>
            </w:r>
            <w:r w:rsidR="00C44F0B" w:rsidRPr="00C44F0B">
              <w:rPr>
                <w:rFonts w:eastAsiaTheme="minorEastAsia"/>
                <w:b w:val="0"/>
                <w:bCs/>
              </w:rPr>
              <w:instrText xml:space="preserve">_Ref199339978 </w:instrText>
            </w:r>
            <w:r w:rsidR="00C44F0B" w:rsidRPr="00974C94">
              <w:rPr>
                <w:rFonts w:eastAsiaTheme="minorEastAsia"/>
                <w:b w:val="0"/>
                <w:bCs/>
              </w:rPr>
              <w:instrText xml:space="preserve"> \* MERGEFORMAT </w:instrText>
            </w:r>
            <w:r w:rsidR="00C44F0B" w:rsidRPr="00974C94">
              <w:rPr>
                <w:rFonts w:eastAsiaTheme="minorEastAsia"/>
                <w:bCs/>
              </w:rPr>
              <w:fldChar w:fldCharType="separate"/>
            </w:r>
            <w:r w:rsidR="00C44F0B" w:rsidRPr="00974C94">
              <w:rPr>
                <w:b w:val="0"/>
                <w:bCs/>
              </w:rPr>
              <w:t xml:space="preserve">Figure </w:t>
            </w:r>
            <w:r w:rsidR="00C44F0B" w:rsidRPr="00974C94">
              <w:rPr>
                <w:b w:val="0"/>
                <w:bCs/>
                <w:noProof/>
              </w:rPr>
              <w:t>7</w:t>
            </w:r>
            <w:r w:rsidR="00C44F0B" w:rsidRPr="00974C94">
              <w:rPr>
                <w:rFonts w:eastAsiaTheme="minorEastAsia"/>
                <w:bCs/>
              </w:rPr>
              <w:fldChar w:fldCharType="end"/>
            </w:r>
            <w:r w:rsidRPr="79B44BC7">
              <w:rPr>
                <w:b w:val="0"/>
              </w:rPr>
              <w:t>).</w:t>
            </w:r>
          </w:p>
        </w:tc>
      </w:tr>
    </w:tbl>
    <w:p w14:paraId="2EEFDD29" w14:textId="77777777" w:rsidR="00A57A5C" w:rsidRPr="00FF338C" w:rsidRDefault="00A57A5C" w:rsidP="00DB4B56">
      <w:pPr>
        <w:pStyle w:val="Heading2"/>
        <w:numPr>
          <w:ilvl w:val="1"/>
          <w:numId w:val="3"/>
        </w:numPr>
        <w:ind w:left="426" w:hanging="426"/>
      </w:pPr>
      <w:bookmarkStart w:id="271" w:name="_Estimating_energy_production"/>
      <w:bookmarkStart w:id="272" w:name="_Ref511319172"/>
      <w:bookmarkStart w:id="273" w:name="_Toc511376931"/>
      <w:bookmarkStart w:id="274" w:name="_Toc511388528"/>
      <w:bookmarkStart w:id="275" w:name="_Toc511389450"/>
      <w:bookmarkStart w:id="276" w:name="_Toc511392959"/>
      <w:bookmarkStart w:id="277" w:name="_Toc511732490"/>
      <w:bookmarkStart w:id="278" w:name="_Toc512010412"/>
      <w:bookmarkStart w:id="279" w:name="_Toc512339611"/>
      <w:bookmarkStart w:id="280" w:name="_Toc106705768"/>
      <w:bookmarkStart w:id="281" w:name="_Toc235706343"/>
      <w:bookmarkEnd w:id="271"/>
      <w:r w:rsidRPr="00FF338C">
        <w:t>Estimating energy production and consumption</w:t>
      </w:r>
      <w:bookmarkEnd w:id="272"/>
      <w:bookmarkEnd w:id="273"/>
      <w:bookmarkEnd w:id="274"/>
      <w:bookmarkEnd w:id="275"/>
      <w:bookmarkEnd w:id="276"/>
      <w:bookmarkEnd w:id="277"/>
      <w:bookmarkEnd w:id="278"/>
      <w:bookmarkEnd w:id="279"/>
      <w:bookmarkEnd w:id="280"/>
      <w:bookmarkEnd w:id="281"/>
    </w:p>
    <w:p w14:paraId="4304463C" w14:textId="6B3DC045" w:rsidR="00A57A5C" w:rsidRDefault="00A57A5C" w:rsidP="00A57A5C">
      <w:pPr>
        <w:rPr>
          <w:color w:val="auto"/>
        </w:rPr>
      </w:pPr>
      <w:r w:rsidRPr="00FF338C">
        <w:rPr>
          <w:color w:val="auto"/>
        </w:rPr>
        <w:t xml:space="preserve">Both total energy production and total energy consumption from the operation of a facility during a reporting year are estimated using the following equation: </w:t>
      </w:r>
    </w:p>
    <w:p w14:paraId="2A94D313" w14:textId="0BCB3D3B" w:rsidR="00E4358C" w:rsidRPr="006B1FD6" w:rsidRDefault="006B1FD6" w:rsidP="006B1FD6">
      <w:pPr>
        <w:ind w:left="360"/>
        <w:rPr>
          <w:b/>
          <w:color w:val="auto"/>
        </w:rPr>
      </w:pPr>
      <m:oMathPara>
        <m:oMath>
          <m:r>
            <m:rPr>
              <m:sty m:val="bi"/>
            </m:rPr>
            <w:rPr>
              <w:rFonts w:ascii="Cambria Math" w:hAnsi="Cambria Math"/>
              <w:color w:val="auto"/>
            </w:rPr>
            <m:t>Z =Q ×EC</m:t>
          </m:r>
        </m:oMath>
      </m:oMathPara>
    </w:p>
    <w:p w14:paraId="332DE41B" w14:textId="1B8203BA" w:rsidR="006B1FD6" w:rsidRPr="00D2141E" w:rsidRDefault="00033F1A" w:rsidP="00D2141E">
      <w:pPr>
        <w:rPr>
          <w:color w:val="auto"/>
        </w:rPr>
      </w:pPr>
      <w:r>
        <w:rPr>
          <w:bCs/>
          <w:color w:val="auto"/>
        </w:rPr>
        <w:t>Wher</w:t>
      </w:r>
      <w:r w:rsidR="00D2141E">
        <w:rPr>
          <w:bCs/>
          <w:color w:val="auto"/>
        </w:rPr>
        <w:t>e</w:t>
      </w:r>
      <w:r w:rsidR="000379D5">
        <w:rPr>
          <w:bCs/>
          <w:color w:val="auto"/>
        </w:rPr>
        <w:t>:</w:t>
      </w:r>
    </w:p>
    <w:p w14:paraId="0294B0F6" w14:textId="052C23D0" w:rsidR="006B1FD6" w:rsidRPr="00D2141E" w:rsidRDefault="006B1FD6" w:rsidP="00D2141E">
      <w:pPr>
        <w:ind w:left="720"/>
        <w:rPr>
          <w:color w:val="auto"/>
        </w:rPr>
      </w:pPr>
      <w:r w:rsidRPr="006B1FD6">
        <w:rPr>
          <w:b/>
          <w:color w:val="auto"/>
        </w:rPr>
        <w:t xml:space="preserve">Z </w:t>
      </w:r>
      <w:r w:rsidRPr="00D2141E">
        <w:rPr>
          <w:color w:val="auto"/>
        </w:rPr>
        <w:t>is the amount of an individual fuel or energy commodity produced or consumed in GJ</w:t>
      </w:r>
      <w:r w:rsidR="004274F0">
        <w:rPr>
          <w:bCs/>
          <w:color w:val="auto"/>
        </w:rPr>
        <w:t>.</w:t>
      </w:r>
    </w:p>
    <w:p w14:paraId="1D5575FB" w14:textId="02C959B8" w:rsidR="006B1FD6" w:rsidRPr="006B1FD6" w:rsidRDefault="006B1FD6" w:rsidP="00D2141E">
      <w:pPr>
        <w:ind w:left="720"/>
        <w:rPr>
          <w:b/>
          <w:color w:val="auto"/>
        </w:rPr>
      </w:pPr>
      <w:r w:rsidRPr="006B1FD6">
        <w:rPr>
          <w:b/>
          <w:color w:val="auto"/>
        </w:rPr>
        <w:t xml:space="preserve">Q </w:t>
      </w:r>
      <w:r w:rsidRPr="00D2141E">
        <w:rPr>
          <w:color w:val="auto"/>
        </w:rPr>
        <w:t xml:space="preserve">is the physical quantity of the fuel or energy commodity produced or consumed during the </w:t>
      </w:r>
      <w:r w:rsidR="007F312E" w:rsidRPr="00D2141E">
        <w:rPr>
          <w:bCs/>
          <w:color w:val="auto"/>
        </w:rPr>
        <w:t xml:space="preserve">reporting </w:t>
      </w:r>
      <w:r w:rsidRPr="00D2141E">
        <w:rPr>
          <w:bCs/>
          <w:color w:val="auto"/>
        </w:rPr>
        <w:t>year</w:t>
      </w:r>
      <w:r w:rsidR="004274F0" w:rsidRPr="00D2141E">
        <w:rPr>
          <w:bCs/>
          <w:color w:val="auto"/>
        </w:rPr>
        <w:t>.</w:t>
      </w:r>
    </w:p>
    <w:p w14:paraId="3B0610FA" w14:textId="729BE2E4" w:rsidR="006B1FD6" w:rsidRPr="006B1FD6" w:rsidRDefault="006B1FD6" w:rsidP="00D2141E">
      <w:pPr>
        <w:ind w:left="720"/>
        <w:rPr>
          <w:b/>
          <w:color w:val="auto"/>
        </w:rPr>
      </w:pPr>
      <w:r w:rsidRPr="006B1FD6">
        <w:rPr>
          <w:b/>
          <w:color w:val="auto"/>
        </w:rPr>
        <w:t xml:space="preserve">EC </w:t>
      </w:r>
      <w:r w:rsidRPr="00D2141E">
        <w:rPr>
          <w:color w:val="auto"/>
        </w:rPr>
        <w:t>is the energy content factor of the fuel or energy commodity.</w:t>
      </w:r>
    </w:p>
    <w:p w14:paraId="48339CD4" w14:textId="11FF6CC7" w:rsidR="00A57A5C" w:rsidRDefault="00A57A5C" w:rsidP="00A57A5C">
      <w:pPr>
        <w:rPr>
          <w:color w:val="auto"/>
        </w:rPr>
      </w:pPr>
      <w:r w:rsidRPr="00FF338C">
        <w:rPr>
          <w:color w:val="auto"/>
        </w:rPr>
        <w:t>Individual energy flows on a per-gigajoule basis are aggregated to derive total energy production and energy consumption figures. In the case of electricity production and consumption, Q is measured in kWh, and the energy content factor is 0.0036</w:t>
      </w:r>
      <w:r w:rsidR="002F5ED5">
        <w:rPr>
          <w:color w:val="auto"/>
        </w:rPr>
        <w:t> </w:t>
      </w:r>
      <w:r w:rsidRPr="00FF338C">
        <w:rPr>
          <w:color w:val="auto"/>
        </w:rPr>
        <w:t>GJ</w:t>
      </w:r>
      <w:r w:rsidR="000B7D0A">
        <w:rPr>
          <w:color w:val="auto"/>
        </w:rPr>
        <w:t>/</w:t>
      </w:r>
      <w:r w:rsidRPr="00FF338C">
        <w:rPr>
          <w:color w:val="auto"/>
        </w:rPr>
        <w:t>kWh.</w:t>
      </w:r>
    </w:p>
    <w:p w14:paraId="4ACA4B3C" w14:textId="77777777" w:rsidR="00A57A5C" w:rsidRPr="00FF338C" w:rsidRDefault="00A57A5C" w:rsidP="00DB4B56">
      <w:pPr>
        <w:pStyle w:val="Heading2"/>
        <w:numPr>
          <w:ilvl w:val="1"/>
          <w:numId w:val="3"/>
        </w:numPr>
        <w:ind w:left="426" w:hanging="426"/>
      </w:pPr>
      <w:bookmarkStart w:id="282" w:name="_Electricity_production_and"/>
      <w:bookmarkStart w:id="283" w:name="_Ref511911829"/>
      <w:bookmarkStart w:id="284" w:name="_Ref511911830"/>
      <w:bookmarkStart w:id="285" w:name="_Toc512010413"/>
      <w:bookmarkStart w:id="286" w:name="_Toc512339612"/>
      <w:bookmarkStart w:id="287" w:name="_Toc106705769"/>
      <w:bookmarkStart w:id="288" w:name="_Toc235706344"/>
      <w:bookmarkEnd w:id="282"/>
      <w:r w:rsidRPr="00FF338C">
        <w:t>Electricity production and consumption</w:t>
      </w:r>
      <w:bookmarkEnd w:id="283"/>
      <w:bookmarkEnd w:id="284"/>
      <w:bookmarkEnd w:id="285"/>
      <w:bookmarkEnd w:id="286"/>
      <w:bookmarkEnd w:id="287"/>
      <w:bookmarkEnd w:id="288"/>
      <w:r w:rsidRPr="00FF338C">
        <w:t xml:space="preserve"> </w:t>
      </w:r>
    </w:p>
    <w:p w14:paraId="4DB525EC" w14:textId="1648BFF1" w:rsidR="00A57A5C" w:rsidRPr="00FF338C" w:rsidRDefault="00A57A5C" w:rsidP="00A57A5C">
      <w:r w:rsidRPr="00FF338C">
        <w:t>Electricity production and consumption must be reported if it exceeds the thresholds listed in</w:t>
      </w:r>
      <w:r>
        <w:t xml:space="preserve"> </w:t>
      </w:r>
      <w:r w:rsidRPr="00FF338C">
        <w:t>4.19, 4.20 and 4.23</w:t>
      </w:r>
      <w:r w:rsidR="00406A01">
        <w:t xml:space="preserve"> of the </w:t>
      </w:r>
      <w:r>
        <w:t>NGER</w:t>
      </w:r>
      <w:r w:rsidRPr="00FF338C">
        <w:t xml:space="preserve"> Regulations, and section 2.68 of the </w:t>
      </w:r>
      <w:r>
        <w:t>NGER Measurement Determination</w:t>
      </w:r>
      <w:r w:rsidRPr="00FF338C">
        <w:t xml:space="preserve">, summarised </w:t>
      </w:r>
      <w:r w:rsidR="00576085">
        <w:t>in</w:t>
      </w:r>
      <w:r w:rsidR="006C799F">
        <w:t xml:space="preserve"> </w:t>
      </w:r>
      <w:r>
        <w:fldChar w:fldCharType="begin" w:fldLock="1"/>
      </w:r>
      <w:r>
        <w:instrText>REF _Ref199338865</w:instrText>
      </w:r>
      <w:r>
        <w:fldChar w:fldCharType="separate"/>
      </w:r>
      <w:r w:rsidR="006C799F">
        <w:t xml:space="preserve">Table </w:t>
      </w:r>
      <w:r w:rsidR="006C799F">
        <w:rPr>
          <w:noProof/>
        </w:rPr>
        <w:t>10</w:t>
      </w:r>
      <w:r>
        <w:fldChar w:fldCharType="end"/>
      </w:r>
      <w:r w:rsidR="006C799F">
        <w:t xml:space="preserve"> and </w:t>
      </w:r>
      <w:r>
        <w:fldChar w:fldCharType="begin" w:fldLock="1"/>
      </w:r>
      <w:r>
        <w:instrText>REF _Ref199338869</w:instrText>
      </w:r>
      <w:r>
        <w:fldChar w:fldCharType="separate"/>
      </w:r>
      <w:r w:rsidR="006C799F">
        <w:t xml:space="preserve">Table </w:t>
      </w:r>
      <w:r w:rsidR="006C799F">
        <w:rPr>
          <w:noProof/>
        </w:rPr>
        <w:t>11</w:t>
      </w:r>
      <w:r>
        <w:fldChar w:fldCharType="end"/>
      </w:r>
      <w:r w:rsidRPr="00FF338C">
        <w:t>.</w:t>
      </w:r>
    </w:p>
    <w:p w14:paraId="55D1DC36" w14:textId="77777777" w:rsidR="00FD64AC" w:rsidRDefault="00FD64AC">
      <w:pPr>
        <w:spacing w:after="0"/>
        <w:rPr>
          <w:rFonts w:ascii="Calibri Light" w:eastAsiaTheme="minorHAnsi" w:hAnsi="Calibri Light" w:cs="Calibri Light"/>
          <w:i/>
          <w:iCs/>
          <w:sz w:val="18"/>
          <w:szCs w:val="18"/>
        </w:rPr>
      </w:pPr>
      <w:bookmarkStart w:id="289" w:name="_Ref199338865"/>
      <w:r>
        <w:br w:type="page"/>
      </w:r>
    </w:p>
    <w:p w14:paraId="1166AC13" w14:textId="6E9DCBD5" w:rsidR="002236D4" w:rsidRPr="002236D4" w:rsidRDefault="009340EC" w:rsidP="00667BB9">
      <w:pPr>
        <w:pStyle w:val="Caption"/>
        <w:keepNext/>
        <w:rPr>
          <w:noProof/>
        </w:rPr>
      </w:pPr>
      <w:r>
        <w:lastRenderedPageBreak/>
        <w:t xml:space="preserve">Table </w:t>
      </w:r>
      <w:r>
        <w:fldChar w:fldCharType="begin"/>
      </w:r>
      <w:r>
        <w:instrText>SEQ Table \* ARABIC</w:instrText>
      </w:r>
      <w:r>
        <w:fldChar w:fldCharType="separate"/>
      </w:r>
      <w:r w:rsidR="0069639D">
        <w:rPr>
          <w:noProof/>
        </w:rPr>
        <w:t>10</w:t>
      </w:r>
      <w:r>
        <w:fldChar w:fldCharType="end"/>
      </w:r>
      <w:bookmarkEnd w:id="289"/>
      <w:r>
        <w:t xml:space="preserve"> – Thresholds </w:t>
      </w:r>
      <w:r>
        <w:rPr>
          <w:noProof/>
        </w:rPr>
        <w:t>for reporting on electricity generated onsite</w:t>
      </w:r>
      <w:r w:rsidR="002236D4">
        <w:rPr>
          <w:noProof/>
        </w:rPr>
        <w:t>.</w:t>
      </w:r>
    </w:p>
    <w:tbl>
      <w:tblPr>
        <w:tblStyle w:val="CERTable"/>
        <w:tblW w:w="9730" w:type="dxa"/>
        <w:tblLayout w:type="fixed"/>
        <w:tblLook w:val="04A0" w:firstRow="1" w:lastRow="0" w:firstColumn="1" w:lastColumn="0" w:noHBand="0" w:noVBand="1"/>
      </w:tblPr>
      <w:tblGrid>
        <w:gridCol w:w="1560"/>
        <w:gridCol w:w="1701"/>
        <w:gridCol w:w="1275"/>
        <w:gridCol w:w="2694"/>
        <w:gridCol w:w="2490"/>
        <w:gridCol w:w="10"/>
      </w:tblGrid>
      <w:tr w:rsidR="00145478" w:rsidRPr="00FF338C" w14:paraId="02BF0A7C" w14:textId="77777777" w:rsidTr="00B12FBA">
        <w:trPr>
          <w:gridAfter w:val="1"/>
          <w:cnfStyle w:val="100000000000" w:firstRow="1" w:lastRow="0" w:firstColumn="0" w:lastColumn="0" w:oddVBand="0" w:evenVBand="0" w:oddHBand="0" w:evenHBand="0" w:firstRowFirstColumn="0" w:firstRowLastColumn="0" w:lastRowFirstColumn="0" w:lastRowLastColumn="0"/>
          <w:wAfter w:w="10" w:type="dxa"/>
          <w:trHeight w:val="214"/>
          <w:tblHeader/>
        </w:trPr>
        <w:tc>
          <w:tcPr>
            <w:cnfStyle w:val="001000000000" w:firstRow="0" w:lastRow="0" w:firstColumn="1" w:lastColumn="0" w:oddVBand="0" w:evenVBand="0" w:oddHBand="0" w:evenHBand="0" w:firstRowFirstColumn="0" w:firstRowLastColumn="0" w:lastRowFirstColumn="0" w:lastRowLastColumn="0"/>
            <w:tcW w:w="1560" w:type="dxa"/>
          </w:tcPr>
          <w:p w14:paraId="7D730B8C" w14:textId="432180DC" w:rsidR="00A57A5C" w:rsidRPr="00FF338C" w:rsidRDefault="00F033E2">
            <w:pPr>
              <w:pStyle w:val="Body"/>
              <w:spacing w:before="37" w:after="75"/>
              <w:ind w:left="0"/>
              <w:rPr>
                <w:rFonts w:asciiTheme="minorHAnsi" w:hAnsiTheme="minorHAnsi"/>
                <w:sz w:val="22"/>
                <w:szCs w:val="22"/>
              </w:rPr>
            </w:pPr>
            <w:r>
              <w:rPr>
                <w:rFonts w:asciiTheme="minorHAnsi" w:hAnsiTheme="minorHAnsi"/>
                <w:sz w:val="22"/>
                <w:szCs w:val="22"/>
              </w:rPr>
              <w:t>Individual g</w:t>
            </w:r>
            <w:r w:rsidR="00A57A5C" w:rsidRPr="00FF338C">
              <w:rPr>
                <w:rFonts w:asciiTheme="minorHAnsi" w:hAnsiTheme="minorHAnsi"/>
                <w:sz w:val="22"/>
                <w:szCs w:val="22"/>
              </w:rPr>
              <w:t>enerating unit capacity</w:t>
            </w:r>
          </w:p>
        </w:tc>
        <w:tc>
          <w:tcPr>
            <w:tcW w:w="1701" w:type="dxa"/>
          </w:tcPr>
          <w:p w14:paraId="418EEE26" w14:textId="3E506492" w:rsidR="00A57A5C" w:rsidRPr="00FF338C" w:rsidRDefault="003279EB">
            <w:pPr>
              <w:pStyle w:val="Body"/>
              <w:spacing w:before="37" w:after="75"/>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Generation</w:t>
            </w:r>
            <w:r w:rsidR="00A57A5C" w:rsidRPr="00FF338C">
              <w:rPr>
                <w:rFonts w:asciiTheme="minorHAnsi" w:hAnsiTheme="minorHAnsi"/>
                <w:sz w:val="22"/>
                <w:szCs w:val="22"/>
              </w:rPr>
              <w:t xml:space="preserve"> by the unit</w:t>
            </w:r>
            <w:r>
              <w:rPr>
                <w:rFonts w:asciiTheme="minorHAnsi" w:hAnsiTheme="minorHAnsi"/>
                <w:sz w:val="22"/>
                <w:szCs w:val="22"/>
              </w:rPr>
              <w:t xml:space="preserve"> in the reporting period</w:t>
            </w:r>
          </w:p>
        </w:tc>
        <w:tc>
          <w:tcPr>
            <w:tcW w:w="1275" w:type="dxa"/>
          </w:tcPr>
          <w:p w14:paraId="2352FE0D" w14:textId="3CA9C160" w:rsidR="00A57A5C" w:rsidRPr="00FF338C" w:rsidRDefault="00A57A5C">
            <w:pPr>
              <w:pStyle w:val="Body"/>
              <w:spacing w:before="37" w:after="75"/>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vertAlign w:val="superscript"/>
              </w:rPr>
            </w:pPr>
            <w:r w:rsidRPr="00FF338C">
              <w:rPr>
                <w:rFonts w:asciiTheme="minorHAnsi" w:hAnsiTheme="minorHAnsi"/>
                <w:sz w:val="22"/>
                <w:szCs w:val="22"/>
              </w:rPr>
              <w:t xml:space="preserve">Electricity </w:t>
            </w:r>
            <w:r w:rsidR="00503DA1">
              <w:rPr>
                <w:rFonts w:asciiTheme="minorHAnsi" w:hAnsiTheme="minorHAnsi"/>
                <w:sz w:val="22"/>
                <w:szCs w:val="22"/>
              </w:rPr>
              <w:t xml:space="preserve">production </w:t>
            </w:r>
            <w:r w:rsidR="001F1B5E">
              <w:rPr>
                <w:rFonts w:asciiTheme="minorHAnsi" w:hAnsiTheme="minorHAnsi"/>
                <w:sz w:val="22"/>
                <w:szCs w:val="22"/>
              </w:rPr>
              <w:t>reporting</w:t>
            </w:r>
          </w:p>
        </w:tc>
        <w:tc>
          <w:tcPr>
            <w:tcW w:w="2694" w:type="dxa"/>
          </w:tcPr>
          <w:p w14:paraId="41E8EED2" w14:textId="3FC7FF88" w:rsidR="00A57A5C" w:rsidRPr="00FF338C" w:rsidRDefault="00A57A5C">
            <w:pPr>
              <w:pStyle w:val="Body"/>
              <w:spacing w:before="37" w:after="75"/>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FF338C">
              <w:rPr>
                <w:rFonts w:asciiTheme="minorHAnsi" w:hAnsiTheme="minorHAnsi"/>
                <w:sz w:val="22"/>
                <w:szCs w:val="22"/>
              </w:rPr>
              <w:t xml:space="preserve">Electricity consumption from </w:t>
            </w:r>
            <w:r w:rsidR="00503DA1">
              <w:rPr>
                <w:rFonts w:asciiTheme="minorHAnsi" w:hAnsiTheme="minorHAnsi"/>
                <w:sz w:val="22"/>
                <w:szCs w:val="22"/>
              </w:rPr>
              <w:t xml:space="preserve">onsite </w:t>
            </w:r>
            <w:r w:rsidRPr="00FF338C">
              <w:rPr>
                <w:rFonts w:asciiTheme="minorHAnsi" w:hAnsiTheme="minorHAnsi"/>
                <w:sz w:val="22"/>
                <w:szCs w:val="22"/>
              </w:rPr>
              <w:t xml:space="preserve">generation </w:t>
            </w:r>
          </w:p>
        </w:tc>
        <w:tc>
          <w:tcPr>
            <w:tcW w:w="2490" w:type="dxa"/>
          </w:tcPr>
          <w:p w14:paraId="201ECDAD" w14:textId="72B85C06" w:rsidR="00A57A5C" w:rsidRPr="00FF338C" w:rsidRDefault="009340EC">
            <w:pPr>
              <w:pStyle w:val="Body"/>
              <w:spacing w:before="37" w:after="75"/>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Consumed </w:t>
            </w:r>
            <w:r w:rsidR="002E154C">
              <w:rPr>
                <w:rFonts w:asciiTheme="minorHAnsi" w:hAnsiTheme="minorHAnsi"/>
                <w:sz w:val="22"/>
                <w:szCs w:val="22"/>
              </w:rPr>
              <w:t xml:space="preserve">fuel purpose as per </w:t>
            </w:r>
            <w:r w:rsidR="00CB3A21">
              <w:rPr>
                <w:rFonts w:asciiTheme="minorHAnsi" w:hAnsiTheme="minorHAnsi"/>
                <w:sz w:val="22"/>
                <w:szCs w:val="22"/>
              </w:rPr>
              <w:t>r</w:t>
            </w:r>
            <w:r w:rsidR="002E154C">
              <w:rPr>
                <w:rFonts w:asciiTheme="minorHAnsi" w:hAnsiTheme="minorHAnsi"/>
                <w:sz w:val="22"/>
                <w:szCs w:val="22"/>
              </w:rPr>
              <w:t>egulation 4.22</w:t>
            </w:r>
          </w:p>
        </w:tc>
      </w:tr>
      <w:tr w:rsidR="00BB6640" w:rsidRPr="00FF338C" w14:paraId="76872D4F" w14:textId="77777777" w:rsidTr="00BB6640">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560" w:type="dxa"/>
          </w:tcPr>
          <w:p w14:paraId="1DB9A7B2" w14:textId="22E7BBE5" w:rsidR="00A57A5C" w:rsidRPr="00FF338C" w:rsidRDefault="00A57A5C">
            <w:pPr>
              <w:pStyle w:val="Body"/>
              <w:spacing w:before="37" w:after="75"/>
              <w:ind w:left="0"/>
              <w:rPr>
                <w:rFonts w:asciiTheme="minorHAnsi" w:hAnsiTheme="minorHAnsi"/>
                <w:sz w:val="22"/>
                <w:szCs w:val="22"/>
              </w:rPr>
            </w:pPr>
            <w:r>
              <w:rPr>
                <w:rFonts w:asciiTheme="minorHAnsi" w:hAnsiTheme="minorHAnsi" w:cs="Arial"/>
                <w:sz w:val="22"/>
                <w:szCs w:val="22"/>
              </w:rPr>
              <w:t>&lt;</w:t>
            </w:r>
            <w:r w:rsidRPr="00FF338C">
              <w:rPr>
                <w:rFonts w:asciiTheme="minorHAnsi" w:hAnsiTheme="minorHAnsi"/>
                <w:sz w:val="22"/>
                <w:szCs w:val="22"/>
              </w:rPr>
              <w:t xml:space="preserve"> 0.5</w:t>
            </w:r>
            <w:r w:rsidR="002F5ED5">
              <w:rPr>
                <w:rFonts w:asciiTheme="minorHAnsi" w:hAnsiTheme="minorHAnsi"/>
                <w:sz w:val="22"/>
                <w:szCs w:val="22"/>
              </w:rPr>
              <w:t> </w:t>
            </w:r>
            <w:r w:rsidRPr="00FF338C">
              <w:rPr>
                <w:rFonts w:asciiTheme="minorHAnsi" w:hAnsiTheme="minorHAnsi"/>
                <w:sz w:val="22"/>
                <w:szCs w:val="22"/>
              </w:rPr>
              <w:t>MW</w:t>
            </w:r>
          </w:p>
        </w:tc>
        <w:tc>
          <w:tcPr>
            <w:tcW w:w="1701" w:type="dxa"/>
          </w:tcPr>
          <w:p w14:paraId="76631B3F" w14:textId="2904701B" w:rsidR="00A57A5C" w:rsidRPr="00FF338C" w:rsidRDefault="003279EB">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highlight w:val="green"/>
              </w:rPr>
            </w:pPr>
            <w:r>
              <w:rPr>
                <w:rFonts w:asciiTheme="minorHAnsi" w:hAnsiTheme="minorHAnsi"/>
                <w:sz w:val="22"/>
                <w:szCs w:val="22"/>
              </w:rPr>
              <w:t>Any</w:t>
            </w:r>
          </w:p>
        </w:tc>
        <w:tc>
          <w:tcPr>
            <w:tcW w:w="1275" w:type="dxa"/>
          </w:tcPr>
          <w:p w14:paraId="531939F2" w14:textId="0C6E54E1" w:rsidR="00A57A5C" w:rsidRPr="00FF338C" w:rsidRDefault="001F1B5E">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highlight w:val="green"/>
              </w:rPr>
            </w:pPr>
            <w:r>
              <w:rPr>
                <w:rFonts w:asciiTheme="minorHAnsi" w:hAnsiTheme="minorHAnsi"/>
                <w:sz w:val="22"/>
                <w:szCs w:val="22"/>
              </w:rPr>
              <w:t>Optional</w:t>
            </w:r>
          </w:p>
        </w:tc>
        <w:tc>
          <w:tcPr>
            <w:tcW w:w="2694" w:type="dxa"/>
          </w:tcPr>
          <w:p w14:paraId="09D0CEB6" w14:textId="36CB2843" w:rsidR="00A57A5C" w:rsidRPr="00FF338C" w:rsidRDefault="008A544E">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cs="Arial"/>
                <w:sz w:val="22"/>
                <w:szCs w:val="22"/>
              </w:rPr>
              <w:t xml:space="preserve">Required </w:t>
            </w:r>
            <w:r w:rsidR="009340EC">
              <w:rPr>
                <w:rFonts w:asciiTheme="minorHAnsi" w:hAnsiTheme="minorHAnsi" w:cs="Arial"/>
                <w:sz w:val="22"/>
                <w:szCs w:val="22"/>
              </w:rPr>
              <w:t xml:space="preserve">(and automatic in EERS) </w:t>
            </w:r>
            <w:r>
              <w:rPr>
                <w:rFonts w:asciiTheme="minorHAnsi" w:hAnsiTheme="minorHAnsi" w:cs="Arial"/>
                <w:sz w:val="22"/>
                <w:szCs w:val="22"/>
              </w:rPr>
              <w:t>if electricity production is reported, otherwise not to be reported</w:t>
            </w:r>
          </w:p>
        </w:tc>
        <w:tc>
          <w:tcPr>
            <w:tcW w:w="2500" w:type="dxa"/>
            <w:gridSpan w:val="2"/>
          </w:tcPr>
          <w:p w14:paraId="2A96CEC5" w14:textId="6196D3FE" w:rsidR="00A57A5C" w:rsidRPr="00FF338C" w:rsidRDefault="00BB6640">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Electricity generation if production and consumption is reported, otherwise stationary</w:t>
            </w:r>
          </w:p>
        </w:tc>
      </w:tr>
      <w:tr w:rsidR="00BB6640" w:rsidRPr="00FF338C" w14:paraId="59F45D75" w14:textId="77777777" w:rsidTr="00BB6640">
        <w:trPr>
          <w:cnfStyle w:val="000000010000" w:firstRow="0" w:lastRow="0" w:firstColumn="0" w:lastColumn="0" w:oddVBand="0" w:evenVBand="0" w:oddHBand="0" w:evenHBand="1"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560" w:type="dxa"/>
          </w:tcPr>
          <w:p w14:paraId="3AE2366C" w14:textId="446214DA" w:rsidR="00A57A5C" w:rsidRPr="00FF338C" w:rsidRDefault="00A57A5C">
            <w:pPr>
              <w:pStyle w:val="Body"/>
              <w:spacing w:before="37" w:after="75"/>
              <w:ind w:left="0"/>
              <w:rPr>
                <w:rFonts w:asciiTheme="minorHAnsi" w:hAnsiTheme="minorHAnsi" w:cs="Arial"/>
                <w:sz w:val="22"/>
                <w:szCs w:val="22"/>
              </w:rPr>
            </w:pPr>
            <w:r w:rsidRPr="00FF338C">
              <w:rPr>
                <w:rFonts w:asciiTheme="minorHAnsi" w:hAnsiTheme="minorHAnsi" w:cs="Arial"/>
                <w:sz w:val="22"/>
                <w:szCs w:val="22"/>
              </w:rPr>
              <w:t>≥</w:t>
            </w:r>
            <w:r w:rsidRPr="00FF338C">
              <w:rPr>
                <w:rFonts w:asciiTheme="minorHAnsi" w:hAnsiTheme="minorHAnsi"/>
                <w:sz w:val="22"/>
                <w:szCs w:val="22"/>
              </w:rPr>
              <w:t xml:space="preserve"> 0.5</w:t>
            </w:r>
            <w:r w:rsidR="002F5ED5">
              <w:rPr>
                <w:rFonts w:asciiTheme="minorHAnsi" w:hAnsiTheme="minorHAnsi"/>
                <w:sz w:val="22"/>
                <w:szCs w:val="22"/>
              </w:rPr>
              <w:t> </w:t>
            </w:r>
            <w:r w:rsidRPr="00FF338C">
              <w:rPr>
                <w:rFonts w:asciiTheme="minorHAnsi" w:hAnsiTheme="minorHAnsi"/>
                <w:sz w:val="22"/>
                <w:szCs w:val="22"/>
              </w:rPr>
              <w:t>MW</w:t>
            </w:r>
          </w:p>
        </w:tc>
        <w:tc>
          <w:tcPr>
            <w:tcW w:w="1701" w:type="dxa"/>
          </w:tcPr>
          <w:p w14:paraId="134E977E" w14:textId="473D08B7" w:rsidR="00A57A5C" w:rsidRPr="00FF338C" w:rsidRDefault="0040170C">
            <w:pPr>
              <w:pStyle w:val="Body"/>
              <w:spacing w:before="37" w:after="75"/>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cstheme="minorHAnsi"/>
                <w:sz w:val="22"/>
                <w:szCs w:val="22"/>
              </w:rPr>
              <w:t>≤</w:t>
            </w:r>
            <w:r w:rsidR="00EF1F2F" w:rsidRPr="00FF338C">
              <w:rPr>
                <w:rFonts w:asciiTheme="minorHAnsi" w:hAnsiTheme="minorHAnsi"/>
                <w:sz w:val="22"/>
                <w:szCs w:val="22"/>
              </w:rPr>
              <w:t xml:space="preserve"> </w:t>
            </w:r>
            <w:r w:rsidR="00A57A5C" w:rsidRPr="00FF338C">
              <w:rPr>
                <w:rFonts w:asciiTheme="minorHAnsi" w:hAnsiTheme="minorHAnsi"/>
                <w:sz w:val="22"/>
                <w:szCs w:val="22"/>
              </w:rPr>
              <w:t>100,000</w:t>
            </w:r>
            <w:r w:rsidR="002F5ED5">
              <w:rPr>
                <w:rFonts w:asciiTheme="minorHAnsi" w:hAnsiTheme="minorHAnsi"/>
                <w:sz w:val="22"/>
                <w:szCs w:val="22"/>
              </w:rPr>
              <w:t> </w:t>
            </w:r>
            <w:r w:rsidR="00A57A5C" w:rsidRPr="00FF338C">
              <w:rPr>
                <w:rFonts w:asciiTheme="minorHAnsi" w:hAnsiTheme="minorHAnsi"/>
                <w:sz w:val="22"/>
                <w:szCs w:val="22"/>
              </w:rPr>
              <w:t xml:space="preserve">kWh </w:t>
            </w:r>
          </w:p>
        </w:tc>
        <w:tc>
          <w:tcPr>
            <w:tcW w:w="1275" w:type="dxa"/>
          </w:tcPr>
          <w:p w14:paraId="49167079" w14:textId="67EA0F26" w:rsidR="00A57A5C" w:rsidRPr="00FF338C" w:rsidRDefault="001F1B5E">
            <w:pPr>
              <w:pStyle w:val="Body"/>
              <w:spacing w:before="37" w:after="75"/>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cs="Arial"/>
                <w:sz w:val="22"/>
                <w:szCs w:val="22"/>
              </w:rPr>
              <w:t>Optional</w:t>
            </w:r>
          </w:p>
        </w:tc>
        <w:tc>
          <w:tcPr>
            <w:tcW w:w="2694" w:type="dxa"/>
          </w:tcPr>
          <w:p w14:paraId="7CE5B888" w14:textId="5AEC1A2E" w:rsidR="00A57A5C" w:rsidRPr="00FF338C" w:rsidRDefault="008A544E">
            <w:pPr>
              <w:pStyle w:val="Body"/>
              <w:spacing w:before="37" w:after="75"/>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cs="Arial"/>
                <w:sz w:val="22"/>
                <w:szCs w:val="22"/>
              </w:rPr>
              <w:t xml:space="preserve">Required </w:t>
            </w:r>
            <w:r w:rsidR="009340EC">
              <w:rPr>
                <w:rFonts w:asciiTheme="minorHAnsi" w:hAnsiTheme="minorHAnsi" w:cs="Arial"/>
                <w:sz w:val="22"/>
                <w:szCs w:val="22"/>
              </w:rPr>
              <w:t xml:space="preserve">(and automatic in EERS) </w:t>
            </w:r>
            <w:r>
              <w:rPr>
                <w:rFonts w:asciiTheme="minorHAnsi" w:hAnsiTheme="minorHAnsi" w:cs="Arial"/>
                <w:sz w:val="22"/>
                <w:szCs w:val="22"/>
              </w:rPr>
              <w:t>if electricity production is reported, otherwise not to be reported</w:t>
            </w:r>
          </w:p>
        </w:tc>
        <w:tc>
          <w:tcPr>
            <w:tcW w:w="2500" w:type="dxa"/>
            <w:gridSpan w:val="2"/>
          </w:tcPr>
          <w:p w14:paraId="13E52CCD" w14:textId="5927ACD2" w:rsidR="00A57A5C" w:rsidRPr="00FF338C" w:rsidRDefault="00BB6640">
            <w:pPr>
              <w:pStyle w:val="Body"/>
              <w:spacing w:before="37" w:after="75"/>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Electricity generation if production and consumption is reported, otherwise stationary</w:t>
            </w:r>
          </w:p>
        </w:tc>
      </w:tr>
      <w:tr w:rsidR="00BB6640" w:rsidRPr="00FF338C" w14:paraId="6E862EB5" w14:textId="77777777" w:rsidTr="00BB6640">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560" w:type="dxa"/>
          </w:tcPr>
          <w:p w14:paraId="5404EE4C" w14:textId="11C0207E" w:rsidR="003279EB" w:rsidRPr="00FF338C" w:rsidRDefault="001F1B5E">
            <w:pPr>
              <w:pStyle w:val="Body"/>
              <w:spacing w:before="37" w:after="75"/>
              <w:ind w:left="0"/>
              <w:rPr>
                <w:rFonts w:asciiTheme="minorHAnsi" w:hAnsiTheme="minorHAnsi" w:cs="Arial"/>
                <w:sz w:val="22"/>
                <w:szCs w:val="22"/>
              </w:rPr>
            </w:pPr>
            <w:r w:rsidRPr="00FF338C">
              <w:rPr>
                <w:rFonts w:asciiTheme="minorHAnsi" w:hAnsiTheme="minorHAnsi" w:cs="Arial"/>
                <w:sz w:val="22"/>
                <w:szCs w:val="22"/>
              </w:rPr>
              <w:t>≥</w:t>
            </w:r>
            <w:r w:rsidRPr="00FF338C">
              <w:rPr>
                <w:rFonts w:asciiTheme="minorHAnsi" w:hAnsiTheme="minorHAnsi"/>
                <w:sz w:val="22"/>
                <w:szCs w:val="22"/>
              </w:rPr>
              <w:t xml:space="preserve"> 0.5</w:t>
            </w:r>
            <w:r>
              <w:rPr>
                <w:rFonts w:asciiTheme="minorHAnsi" w:hAnsiTheme="minorHAnsi"/>
                <w:sz w:val="22"/>
                <w:szCs w:val="22"/>
              </w:rPr>
              <w:t> </w:t>
            </w:r>
            <w:r w:rsidRPr="00FF338C">
              <w:rPr>
                <w:rFonts w:asciiTheme="minorHAnsi" w:hAnsiTheme="minorHAnsi"/>
                <w:sz w:val="22"/>
                <w:szCs w:val="22"/>
              </w:rPr>
              <w:t>MW</w:t>
            </w:r>
          </w:p>
        </w:tc>
        <w:tc>
          <w:tcPr>
            <w:tcW w:w="1701" w:type="dxa"/>
          </w:tcPr>
          <w:p w14:paraId="5C36CAF9" w14:textId="6F0C9D6D" w:rsidR="003279EB" w:rsidRPr="00FF338C" w:rsidRDefault="001F1B5E">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&gt; 100,000 kWh</w:t>
            </w:r>
          </w:p>
        </w:tc>
        <w:tc>
          <w:tcPr>
            <w:tcW w:w="1275" w:type="dxa"/>
          </w:tcPr>
          <w:p w14:paraId="3D15ABD7" w14:textId="469E43AC" w:rsidR="003279EB" w:rsidRPr="00FF338C" w:rsidRDefault="001F1B5E">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Required</w:t>
            </w:r>
          </w:p>
        </w:tc>
        <w:tc>
          <w:tcPr>
            <w:tcW w:w="2694" w:type="dxa"/>
          </w:tcPr>
          <w:p w14:paraId="036E3AD7" w14:textId="244EF48F" w:rsidR="003279EB" w:rsidRPr="00FF338C" w:rsidRDefault="008A544E">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Pr>
                <w:rFonts w:asciiTheme="minorHAnsi" w:hAnsiTheme="minorHAnsi" w:cs="Arial"/>
                <w:sz w:val="22"/>
                <w:szCs w:val="22"/>
              </w:rPr>
              <w:t>Required</w:t>
            </w:r>
            <w:r w:rsidR="009340EC">
              <w:rPr>
                <w:rFonts w:asciiTheme="minorHAnsi" w:hAnsiTheme="minorHAnsi" w:cs="Arial"/>
                <w:sz w:val="22"/>
                <w:szCs w:val="22"/>
              </w:rPr>
              <w:t xml:space="preserve"> (and automatic in EERS)</w:t>
            </w:r>
          </w:p>
        </w:tc>
        <w:tc>
          <w:tcPr>
            <w:tcW w:w="2500" w:type="dxa"/>
            <w:gridSpan w:val="2"/>
          </w:tcPr>
          <w:p w14:paraId="36D3F484" w14:textId="3EC8BE64" w:rsidR="003279EB" w:rsidRPr="00FF338C" w:rsidRDefault="00BB6640">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Electricity generation</w:t>
            </w:r>
          </w:p>
        </w:tc>
      </w:tr>
    </w:tbl>
    <w:p w14:paraId="3081C373" w14:textId="77777777" w:rsidR="003134C6" w:rsidRDefault="003134C6" w:rsidP="00D2141E">
      <w:pPr>
        <w:spacing w:before="240"/>
      </w:pPr>
    </w:p>
    <w:p w14:paraId="600DFA1E" w14:textId="0ABF04D0" w:rsidR="003B48E8" w:rsidRDefault="003B48E8" w:rsidP="00667BB9">
      <w:pPr>
        <w:pStyle w:val="Caption"/>
        <w:keepNext/>
      </w:pPr>
      <w:bookmarkStart w:id="290" w:name="_Ref199338869"/>
      <w:r>
        <w:t xml:space="preserve">Table </w:t>
      </w:r>
      <w:r>
        <w:fldChar w:fldCharType="begin"/>
      </w:r>
      <w:r>
        <w:instrText>SEQ Table \* ARABIC</w:instrText>
      </w:r>
      <w:r>
        <w:fldChar w:fldCharType="separate"/>
      </w:r>
      <w:r w:rsidR="0069639D">
        <w:rPr>
          <w:noProof/>
        </w:rPr>
        <w:t>11</w:t>
      </w:r>
      <w:r>
        <w:fldChar w:fldCharType="end"/>
      </w:r>
      <w:bookmarkEnd w:id="290"/>
      <w:r>
        <w:t xml:space="preserve"> – </w:t>
      </w:r>
      <w:r w:rsidR="002236D4">
        <w:t>O</w:t>
      </w:r>
      <w:r>
        <w:t>ther electricity reporting</w:t>
      </w:r>
      <w:r w:rsidR="002236D4">
        <w:t xml:space="preserve"> thresholds.</w:t>
      </w:r>
    </w:p>
    <w:tbl>
      <w:tblPr>
        <w:tblStyle w:val="CERTable"/>
        <w:tblW w:w="0" w:type="auto"/>
        <w:tblLook w:val="04A0" w:firstRow="1" w:lastRow="0" w:firstColumn="1" w:lastColumn="0" w:noHBand="0" w:noVBand="1"/>
      </w:tblPr>
      <w:tblGrid>
        <w:gridCol w:w="2127"/>
        <w:gridCol w:w="3827"/>
        <w:gridCol w:w="3776"/>
      </w:tblGrid>
      <w:tr w:rsidR="009676F3" w14:paraId="1EDA4844" w14:textId="77777777" w:rsidTr="00B12F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tcPr>
          <w:p w14:paraId="35FF11E5" w14:textId="7E1AD83C" w:rsidR="001E23E0" w:rsidRDefault="00701AA5" w:rsidP="00D2141E">
            <w:pPr>
              <w:spacing w:before="240"/>
            </w:pPr>
            <w:r>
              <w:t>Reporting type</w:t>
            </w:r>
          </w:p>
        </w:tc>
        <w:tc>
          <w:tcPr>
            <w:tcW w:w="3827" w:type="dxa"/>
          </w:tcPr>
          <w:p w14:paraId="155E42C1" w14:textId="5576AB3D" w:rsidR="001E23E0" w:rsidRDefault="00701AA5" w:rsidP="00D2141E">
            <w:pPr>
              <w:spacing w:before="240"/>
              <w:cnfStyle w:val="100000000000" w:firstRow="1" w:lastRow="0" w:firstColumn="0" w:lastColumn="0" w:oddVBand="0" w:evenVBand="0" w:oddHBand="0" w:evenHBand="0" w:firstRowFirstColumn="0" w:firstRowLastColumn="0" w:lastRowFirstColumn="0" w:lastRowLastColumn="0"/>
            </w:pPr>
            <w:r>
              <w:t>Threshold</w:t>
            </w:r>
            <w:r w:rsidR="0014205D">
              <w:t xml:space="preserve"> for the </w:t>
            </w:r>
            <w:r w:rsidR="003505A9">
              <w:t>facility</w:t>
            </w:r>
          </w:p>
        </w:tc>
        <w:tc>
          <w:tcPr>
            <w:tcW w:w="3776" w:type="dxa"/>
          </w:tcPr>
          <w:p w14:paraId="5C33A14E" w14:textId="6598402B" w:rsidR="001E23E0" w:rsidRDefault="00CE2221" w:rsidP="00D2141E">
            <w:pPr>
              <w:spacing w:before="240"/>
              <w:cnfStyle w:val="100000000000" w:firstRow="1" w:lastRow="0" w:firstColumn="0" w:lastColumn="0" w:oddVBand="0" w:evenVBand="0" w:oddHBand="0" w:evenHBand="0" w:firstRowFirstColumn="0" w:firstRowLastColumn="0" w:lastRowFirstColumn="0" w:lastRowLastColumn="0"/>
            </w:pPr>
            <w:r>
              <w:t>Reporting requirement</w:t>
            </w:r>
          </w:p>
        </w:tc>
      </w:tr>
      <w:tr w:rsidR="000E2CB7" w14:paraId="7AB2F54F" w14:textId="77777777" w:rsidTr="00E94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BBA3A2C" w14:textId="5AFF65DC" w:rsidR="001E23E0" w:rsidRDefault="00611E72" w:rsidP="00D2141E">
            <w:pPr>
              <w:spacing w:before="240"/>
            </w:pPr>
            <w:r>
              <w:t>Cogeneration</w:t>
            </w:r>
          </w:p>
        </w:tc>
        <w:tc>
          <w:tcPr>
            <w:tcW w:w="3827" w:type="dxa"/>
          </w:tcPr>
          <w:p w14:paraId="7256786E" w14:textId="761BF037" w:rsidR="001E23E0" w:rsidRDefault="00D60EB9" w:rsidP="00D2141E">
            <w:pPr>
              <w:spacing w:before="240"/>
              <w:cnfStyle w:val="000000100000" w:firstRow="0" w:lastRow="0" w:firstColumn="0" w:lastColumn="0" w:oddVBand="0" w:evenVBand="0" w:oddHBand="1" w:evenHBand="0" w:firstRowFirstColumn="0" w:firstRowLastColumn="0" w:lastRowFirstColumn="0" w:lastRowLastColumn="0"/>
            </w:pPr>
            <w:r>
              <w:t>The cogeneration process has a capacity of</w:t>
            </w:r>
            <w:r w:rsidR="0014205D">
              <w:t xml:space="preserve"> </w:t>
            </w:r>
            <w:r w:rsidR="003B48E8">
              <w:t>≥ 30 MW and production of &gt; 30 GWh</w:t>
            </w:r>
            <w:r w:rsidR="009A4BE3">
              <w:t xml:space="preserve"> in the reporting period</w:t>
            </w:r>
          </w:p>
        </w:tc>
        <w:tc>
          <w:tcPr>
            <w:tcW w:w="3776" w:type="dxa"/>
          </w:tcPr>
          <w:p w14:paraId="7A571AFA" w14:textId="00B85234" w:rsidR="001E23E0" w:rsidRDefault="00CE2221" w:rsidP="00D2141E">
            <w:pPr>
              <w:spacing w:before="240"/>
              <w:cnfStyle w:val="000000100000" w:firstRow="0" w:lastRow="0" w:firstColumn="0" w:lastColumn="0" w:oddVBand="0" w:evenVBand="0" w:oddHBand="1" w:evenHBand="0" w:firstRowFirstColumn="0" w:firstRowLastColumn="0" w:lastRowFirstColumn="0" w:lastRowLastColumn="0"/>
            </w:pPr>
            <w:r>
              <w:t xml:space="preserve">Must </w:t>
            </w:r>
            <w:r w:rsidR="00E75947">
              <w:t xml:space="preserve">be </w:t>
            </w:r>
            <w:r>
              <w:t>report</w:t>
            </w:r>
            <w:r w:rsidR="00E75947">
              <w:t>ed</w:t>
            </w:r>
            <w:r>
              <w:t xml:space="preserve"> under cogeneration provisions as described in </w:t>
            </w:r>
            <w:hyperlink w:anchor="_Cogeneration" w:history="1">
              <w:r w:rsidRPr="00CE2221">
                <w:rPr>
                  <w:rStyle w:val="Hyperlink"/>
                  <w:rFonts w:asciiTheme="minorHAnsi" w:hAnsiTheme="minorHAnsi"/>
                  <w:kern w:val="0"/>
                </w:rPr>
                <w:t>Chapter 7.3.3</w:t>
              </w:r>
            </w:hyperlink>
            <w:r>
              <w:t xml:space="preserve"> of this guid</w:t>
            </w:r>
            <w:r w:rsidR="00E943FA">
              <w:t>e</w:t>
            </w:r>
            <w:r>
              <w:t>line</w:t>
            </w:r>
          </w:p>
        </w:tc>
      </w:tr>
      <w:tr w:rsidR="00D22387" w14:paraId="52E6705A" w14:textId="77777777" w:rsidTr="00E943F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79C7B8" w14:textId="373DB7F2" w:rsidR="001E23E0" w:rsidRDefault="00611E72" w:rsidP="00D2141E">
            <w:pPr>
              <w:spacing w:before="240"/>
            </w:pPr>
            <w:r>
              <w:t>Location-based scope 2 emissions</w:t>
            </w:r>
          </w:p>
        </w:tc>
        <w:tc>
          <w:tcPr>
            <w:tcW w:w="3827" w:type="dxa"/>
          </w:tcPr>
          <w:p w14:paraId="60EFA699" w14:textId="69F5805F" w:rsidR="001E23E0" w:rsidRDefault="003505A9" w:rsidP="00D2141E">
            <w:pPr>
              <w:spacing w:before="240"/>
              <w:cnfStyle w:val="000000010000" w:firstRow="0" w:lastRow="0" w:firstColumn="0" w:lastColumn="0" w:oddVBand="0" w:evenVBand="0" w:oddHBand="0" w:evenHBand="1" w:firstRowFirstColumn="0" w:firstRowLastColumn="0" w:lastRowFirstColumn="0" w:lastRowLastColumn="0"/>
            </w:pPr>
            <w:r>
              <w:t>≥ 20,000 kWh purchased or acquired</w:t>
            </w:r>
            <w:r w:rsidR="009A4BE3">
              <w:t xml:space="preserve"> in the reporting period</w:t>
            </w:r>
          </w:p>
        </w:tc>
        <w:tc>
          <w:tcPr>
            <w:tcW w:w="3776" w:type="dxa"/>
          </w:tcPr>
          <w:p w14:paraId="64D723BB" w14:textId="75CAB411" w:rsidR="001E23E0" w:rsidRDefault="00E75947" w:rsidP="00D2141E">
            <w:pPr>
              <w:spacing w:before="240"/>
              <w:cnfStyle w:val="000000010000" w:firstRow="0" w:lastRow="0" w:firstColumn="0" w:lastColumn="0" w:oddVBand="0" w:evenVBand="0" w:oddHBand="0" w:evenHBand="1" w:firstRowFirstColumn="0" w:firstRowLastColumn="0" w:lastRowFirstColumn="0" w:lastRowLastColumn="0"/>
            </w:pPr>
            <w:r>
              <w:t xml:space="preserve">Must be reported as described in </w:t>
            </w:r>
            <w:hyperlink w:anchor="_Toc74235127" w:history="1">
              <w:r w:rsidR="000B70C8" w:rsidRPr="000B70C8">
                <w:rPr>
                  <w:rStyle w:val="Hyperlink"/>
                  <w:rFonts w:asciiTheme="minorHAnsi" w:hAnsiTheme="minorHAnsi"/>
                  <w:kern w:val="0"/>
                </w:rPr>
                <w:t>Chapter 6</w:t>
              </w:r>
            </w:hyperlink>
            <w:r w:rsidR="000B70C8">
              <w:t xml:space="preserve"> of this guideline</w:t>
            </w:r>
            <w:r w:rsidR="00A1047C">
              <w:t>, even if market-based scope 2 emissions are reported</w:t>
            </w:r>
            <w:r w:rsidR="00556057">
              <w:t xml:space="preserve"> or </w:t>
            </w:r>
            <w:r w:rsidR="007322CF">
              <w:t xml:space="preserve">a </w:t>
            </w:r>
            <w:r w:rsidR="00397709">
              <w:t>p</w:t>
            </w:r>
            <w:r w:rsidR="007322CF">
              <w:t xml:space="preserve">ower </w:t>
            </w:r>
            <w:r w:rsidR="00397709">
              <w:t>p</w:t>
            </w:r>
            <w:r w:rsidR="007322CF">
              <w:t xml:space="preserve">urchase </w:t>
            </w:r>
            <w:r w:rsidR="00397709">
              <w:t>a</w:t>
            </w:r>
            <w:r w:rsidR="007322CF">
              <w:t>greement</w:t>
            </w:r>
            <w:r w:rsidR="00397709">
              <w:t xml:space="preserve"> (PPA)</w:t>
            </w:r>
            <w:r w:rsidR="007322CF">
              <w:t xml:space="preserve"> is in place</w:t>
            </w:r>
          </w:p>
        </w:tc>
      </w:tr>
      <w:tr w:rsidR="000E2CB7" w14:paraId="2BEA051F" w14:textId="77777777" w:rsidTr="00E943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BA21BCA" w14:textId="0AEEC01A" w:rsidR="001E23E0" w:rsidRDefault="00611E72" w:rsidP="00D2141E">
            <w:pPr>
              <w:spacing w:before="240"/>
            </w:pPr>
            <w:r>
              <w:t>Market-based scope 2 emissions</w:t>
            </w:r>
          </w:p>
        </w:tc>
        <w:tc>
          <w:tcPr>
            <w:tcW w:w="3827" w:type="dxa"/>
          </w:tcPr>
          <w:p w14:paraId="0510DD71" w14:textId="32C54F80" w:rsidR="001E23E0" w:rsidRDefault="00E75947" w:rsidP="00D2141E">
            <w:pPr>
              <w:spacing w:before="240"/>
              <w:cnfStyle w:val="000000100000" w:firstRow="0" w:lastRow="0" w:firstColumn="0" w:lastColumn="0" w:oddVBand="0" w:evenVBand="0" w:oddHBand="1" w:evenHBand="0" w:firstRowFirstColumn="0" w:firstRowLastColumn="0" w:lastRowFirstColumn="0" w:lastRowLastColumn="0"/>
            </w:pPr>
            <w:r>
              <w:t>Any amount of purchased or acquired electricity</w:t>
            </w:r>
          </w:p>
        </w:tc>
        <w:tc>
          <w:tcPr>
            <w:tcW w:w="3776" w:type="dxa"/>
          </w:tcPr>
          <w:p w14:paraId="730BEF58" w14:textId="1ED8A747" w:rsidR="001E23E0" w:rsidRDefault="002236D4" w:rsidP="00D2141E">
            <w:pPr>
              <w:spacing w:before="240"/>
              <w:cnfStyle w:val="000000100000" w:firstRow="0" w:lastRow="0" w:firstColumn="0" w:lastColumn="0" w:oddVBand="0" w:evenVBand="0" w:oddHBand="1" w:evenHBand="0" w:firstRowFirstColumn="0" w:firstRowLastColumn="0" w:lastRowFirstColumn="0" w:lastRowLastColumn="0"/>
            </w:pPr>
            <w:r>
              <w:t>Optional to report, in addition to mandatory location-based scope 2 reporting</w:t>
            </w:r>
          </w:p>
        </w:tc>
      </w:tr>
    </w:tbl>
    <w:p w14:paraId="6643A8F9" w14:textId="66C5574C" w:rsidR="00A57A5C" w:rsidRDefault="00A57A5C" w:rsidP="00D2141E">
      <w:pPr>
        <w:spacing w:before="240"/>
      </w:pPr>
      <w:r w:rsidRPr="00D27F26">
        <w:t xml:space="preserve">Any fuel that is combusted to generate electricity is subject to reporting thresholds detailed in section 2.2 (solid fuels), section 2.18 (gaseous fuels) and section 2.39 (liquid fuels) of the </w:t>
      </w:r>
      <w:r>
        <w:t>NGER Measurement Determination</w:t>
      </w:r>
      <w:r w:rsidRPr="00D27F26">
        <w:t xml:space="preserve">. </w:t>
      </w:r>
    </w:p>
    <w:tbl>
      <w:tblPr>
        <w:tblStyle w:val="CERCallout"/>
        <w:tblW w:w="5000" w:type="pct"/>
        <w:tblLook w:val="04A0" w:firstRow="1" w:lastRow="0" w:firstColumn="1" w:lastColumn="0" w:noHBand="0" w:noVBand="1"/>
      </w:tblPr>
      <w:tblGrid>
        <w:gridCol w:w="9710"/>
      </w:tblGrid>
      <w:tr w:rsidR="00D67F2D" w:rsidRPr="00FF338C" w14:paraId="1C879FDF" w14:textId="77777777" w:rsidTr="00BE117F">
        <w:trPr>
          <w:cnfStyle w:val="100000000000" w:firstRow="1" w:lastRow="0" w:firstColumn="0" w:lastColumn="0" w:oddVBand="0" w:evenVBand="0" w:oddHBand="0" w:evenHBand="0" w:firstRowFirstColumn="0" w:firstRowLastColumn="0" w:lastRowFirstColumn="0" w:lastRowLastColumn="0"/>
        </w:trPr>
        <w:tc>
          <w:tcPr>
            <w:tcW w:w="5000" w:type="pct"/>
          </w:tcPr>
          <w:p w14:paraId="4CB63EF5" w14:textId="08F8F9C8" w:rsidR="00A57A5C" w:rsidRPr="00FB5D2B" w:rsidRDefault="0096254E">
            <w:pPr>
              <w:pStyle w:val="Heading5"/>
              <w:spacing w:before="0"/>
              <w:ind w:left="0"/>
              <w:rPr>
                <w:b/>
                <w:bCs/>
              </w:rPr>
            </w:pPr>
            <w:bookmarkStart w:id="291" w:name="_Toc235706345"/>
            <w:r>
              <w:rPr>
                <w:rFonts w:cstheme="minorHAnsi"/>
                <w:b/>
                <w:color w:val="auto"/>
                <w:szCs w:val="22"/>
              </w:rPr>
              <w:lastRenderedPageBreak/>
              <w:t>Example</w:t>
            </w:r>
            <w:r w:rsidR="009054D1">
              <w:rPr>
                <w:rFonts w:cstheme="minorHAnsi"/>
                <w:b/>
                <w:color w:val="auto"/>
                <w:szCs w:val="22"/>
              </w:rPr>
              <w:t>:</w:t>
            </w:r>
            <w:r>
              <w:rPr>
                <w:rFonts w:cstheme="minorHAnsi"/>
                <w:b/>
                <w:color w:val="auto"/>
                <w:szCs w:val="22"/>
              </w:rPr>
              <w:t xml:space="preserve"> </w:t>
            </w:r>
            <w:r w:rsidR="00A57A5C" w:rsidRPr="00FB5D2B">
              <w:rPr>
                <w:b/>
                <w:bCs/>
              </w:rPr>
              <w:t>Electricity threshold</w:t>
            </w:r>
            <w:bookmarkEnd w:id="291"/>
            <w:r w:rsidR="00A57A5C" w:rsidRPr="00FB5D2B">
              <w:rPr>
                <w:b/>
                <w:bCs/>
              </w:rPr>
              <w:t xml:space="preserve"> </w:t>
            </w:r>
          </w:p>
          <w:p w14:paraId="069A296E" w14:textId="5AC0E1D2" w:rsidR="00A57A5C" w:rsidRPr="00703446" w:rsidRDefault="00A57A5C">
            <w:pPr>
              <w:spacing w:before="37" w:after="25"/>
              <w:ind w:left="0"/>
              <w:rPr>
                <w:b w:val="0"/>
                <w:bCs/>
                <w:szCs w:val="20"/>
              </w:rPr>
            </w:pPr>
            <w:r w:rsidRPr="00703446">
              <w:rPr>
                <w:b w:val="0"/>
                <w:bCs/>
                <w:szCs w:val="20"/>
              </w:rPr>
              <w:t xml:space="preserve">A gas power plant has </w:t>
            </w:r>
            <w:r w:rsidR="001848D4" w:rsidRPr="00703446">
              <w:rPr>
                <w:b w:val="0"/>
                <w:bCs/>
                <w:szCs w:val="20"/>
              </w:rPr>
              <w:t>2</w:t>
            </w:r>
            <w:r w:rsidRPr="00703446">
              <w:rPr>
                <w:b w:val="0"/>
                <w:bCs/>
                <w:szCs w:val="20"/>
              </w:rPr>
              <w:t xml:space="preserve"> </w:t>
            </w:r>
            <w:r w:rsidR="00766FEE">
              <w:rPr>
                <w:b w:val="0"/>
                <w:bCs/>
                <w:szCs w:val="20"/>
              </w:rPr>
              <w:t xml:space="preserve">electricity </w:t>
            </w:r>
            <w:r w:rsidRPr="00703446">
              <w:rPr>
                <w:b w:val="0"/>
                <w:bCs/>
                <w:szCs w:val="20"/>
              </w:rPr>
              <w:t>generating units</w:t>
            </w:r>
            <w:r w:rsidR="0047788D">
              <w:rPr>
                <w:b w:val="0"/>
                <w:bCs/>
                <w:szCs w:val="20"/>
              </w:rPr>
              <w:t>,</w:t>
            </w:r>
            <w:r w:rsidRPr="00703446">
              <w:rPr>
                <w:b w:val="0"/>
                <w:bCs/>
                <w:szCs w:val="20"/>
              </w:rPr>
              <w:t xml:space="preserve"> although only one is predominantly used, with the following </w:t>
            </w:r>
            <w:r w:rsidR="00C25A22">
              <w:rPr>
                <w:b w:val="0"/>
                <w:bCs/>
                <w:szCs w:val="20"/>
              </w:rPr>
              <w:t xml:space="preserve">electricity </w:t>
            </w:r>
            <w:r w:rsidR="00A81E2A">
              <w:rPr>
                <w:b w:val="0"/>
                <w:bCs/>
                <w:szCs w:val="20"/>
              </w:rPr>
              <w:t>produced</w:t>
            </w:r>
            <w:r w:rsidR="009B7D45">
              <w:rPr>
                <w:b w:val="0"/>
                <w:bCs/>
                <w:szCs w:val="20"/>
              </w:rPr>
              <w:t xml:space="preserve"> in the reporting year</w:t>
            </w:r>
            <w:r w:rsidR="00143D73">
              <w:rPr>
                <w:b w:val="0"/>
                <w:bCs/>
                <w:szCs w:val="20"/>
              </w:rPr>
              <w:t>.</w:t>
            </w:r>
          </w:p>
          <w:p w14:paraId="2A429B6D" w14:textId="5B6EFFD3" w:rsidR="000772C0" w:rsidRPr="00667BB9" w:rsidRDefault="000772C0" w:rsidP="00667BB9">
            <w:pPr>
              <w:pStyle w:val="Caption"/>
              <w:keepNext/>
              <w:rPr>
                <w:b w:val="0"/>
                <w:bCs/>
              </w:rPr>
            </w:pPr>
            <w:r w:rsidRPr="001D3882">
              <w:t xml:space="preserve">Table </w:t>
            </w:r>
            <w:r w:rsidRPr="00667BB9">
              <w:fldChar w:fldCharType="begin"/>
            </w:r>
            <w:r w:rsidRPr="001D3882">
              <w:instrText xml:space="preserve"> SEQ Table \* ARABIC </w:instrText>
            </w:r>
            <w:r w:rsidRPr="00667BB9">
              <w:fldChar w:fldCharType="separate"/>
            </w:r>
            <w:r w:rsidR="0069639D">
              <w:rPr>
                <w:noProof/>
              </w:rPr>
              <w:t>12</w:t>
            </w:r>
            <w:r w:rsidRPr="00667BB9">
              <w:fldChar w:fldCharType="end"/>
            </w:r>
            <w:r w:rsidRPr="001D3882">
              <w:t xml:space="preserve"> – Two electricity generating units, capacity and production in the reporting year.</w:t>
            </w:r>
          </w:p>
          <w:tbl>
            <w:tblPr>
              <w:tblStyle w:val="CERTable"/>
              <w:tblW w:w="0" w:type="auto"/>
              <w:tblLook w:val="04A0" w:firstRow="1" w:lastRow="0" w:firstColumn="1" w:lastColumn="0" w:noHBand="0" w:noVBand="1"/>
            </w:tblPr>
            <w:tblGrid>
              <w:gridCol w:w="2785"/>
              <w:gridCol w:w="2785"/>
              <w:gridCol w:w="2786"/>
            </w:tblGrid>
            <w:tr w:rsidR="00503817" w:rsidRPr="00703446" w14:paraId="24AA8BD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5F0C895A" w14:textId="77777777" w:rsidR="00A57A5C" w:rsidRPr="00703446" w:rsidRDefault="00A57A5C">
                  <w:pPr>
                    <w:spacing w:before="37" w:after="37"/>
                    <w:rPr>
                      <w:szCs w:val="20"/>
                    </w:rPr>
                  </w:pPr>
                  <w:r w:rsidRPr="00703446">
                    <w:rPr>
                      <w:szCs w:val="20"/>
                    </w:rPr>
                    <w:t>Unit</w:t>
                  </w:r>
                </w:p>
              </w:tc>
              <w:tc>
                <w:tcPr>
                  <w:tcW w:w="2785" w:type="dxa"/>
                </w:tcPr>
                <w:p w14:paraId="7EFE201A" w14:textId="77777777" w:rsidR="00A57A5C" w:rsidRPr="00703446" w:rsidRDefault="00A57A5C">
                  <w:pPr>
                    <w:spacing w:before="37" w:after="37"/>
                    <w:cnfStyle w:val="100000000000" w:firstRow="1" w:lastRow="0" w:firstColumn="0" w:lastColumn="0" w:oddVBand="0" w:evenVBand="0" w:oddHBand="0" w:evenHBand="0" w:firstRowFirstColumn="0" w:firstRowLastColumn="0" w:lastRowFirstColumn="0" w:lastRowLastColumn="0"/>
                    <w:rPr>
                      <w:szCs w:val="20"/>
                    </w:rPr>
                  </w:pPr>
                  <w:r w:rsidRPr="00703446">
                    <w:rPr>
                      <w:szCs w:val="20"/>
                    </w:rPr>
                    <w:t>Capacity (MW)</w:t>
                  </w:r>
                </w:p>
              </w:tc>
              <w:tc>
                <w:tcPr>
                  <w:tcW w:w="2786" w:type="dxa"/>
                </w:tcPr>
                <w:p w14:paraId="7622808D" w14:textId="65E59CB9" w:rsidR="00A57A5C" w:rsidRPr="00703446" w:rsidRDefault="00A81E2A">
                  <w:pPr>
                    <w:spacing w:before="37" w:after="37"/>
                    <w:cnfStyle w:val="100000000000" w:firstRow="1" w:lastRow="0" w:firstColumn="0" w:lastColumn="0" w:oddVBand="0" w:evenVBand="0" w:oddHBand="0" w:evenHBand="0" w:firstRowFirstColumn="0" w:firstRowLastColumn="0" w:lastRowFirstColumn="0" w:lastRowLastColumn="0"/>
                    <w:rPr>
                      <w:szCs w:val="20"/>
                    </w:rPr>
                  </w:pPr>
                  <w:r>
                    <w:rPr>
                      <w:szCs w:val="20"/>
                    </w:rPr>
                    <w:t>Electricity production</w:t>
                  </w:r>
                  <w:r w:rsidR="00A57A5C" w:rsidRPr="00703446">
                    <w:rPr>
                      <w:szCs w:val="20"/>
                    </w:rPr>
                    <w:t xml:space="preserve"> </w:t>
                  </w:r>
                  <w:r w:rsidR="009B7D45">
                    <w:rPr>
                      <w:szCs w:val="20"/>
                    </w:rPr>
                    <w:t xml:space="preserve">in the reporting year </w:t>
                  </w:r>
                  <w:r w:rsidR="00A57A5C" w:rsidRPr="00703446">
                    <w:rPr>
                      <w:szCs w:val="20"/>
                    </w:rPr>
                    <w:t>(kWh)</w:t>
                  </w:r>
                </w:p>
              </w:tc>
            </w:tr>
            <w:tr w:rsidR="00A57A5C" w:rsidRPr="00703446" w14:paraId="610EF9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3DC3C997" w14:textId="77777777" w:rsidR="00A57A5C" w:rsidRPr="00703446" w:rsidRDefault="00A57A5C">
                  <w:pPr>
                    <w:spacing w:before="37" w:after="37"/>
                    <w:rPr>
                      <w:b w:val="0"/>
                      <w:bCs/>
                      <w:szCs w:val="20"/>
                    </w:rPr>
                  </w:pPr>
                  <w:r w:rsidRPr="00703446">
                    <w:rPr>
                      <w:b w:val="0"/>
                      <w:bCs/>
                      <w:szCs w:val="20"/>
                    </w:rPr>
                    <w:t>1</w:t>
                  </w:r>
                </w:p>
              </w:tc>
              <w:tc>
                <w:tcPr>
                  <w:tcW w:w="2785" w:type="dxa"/>
                </w:tcPr>
                <w:p w14:paraId="1B1983D1" w14:textId="77777777" w:rsidR="00A57A5C" w:rsidRPr="00703446" w:rsidRDefault="00A57A5C">
                  <w:pPr>
                    <w:spacing w:before="37" w:after="37"/>
                    <w:cnfStyle w:val="000000100000" w:firstRow="0" w:lastRow="0" w:firstColumn="0" w:lastColumn="0" w:oddVBand="0" w:evenVBand="0" w:oddHBand="1" w:evenHBand="0" w:firstRowFirstColumn="0" w:firstRowLastColumn="0" w:lastRowFirstColumn="0" w:lastRowLastColumn="0"/>
                    <w:rPr>
                      <w:bCs/>
                      <w:szCs w:val="20"/>
                    </w:rPr>
                  </w:pPr>
                  <w:r w:rsidRPr="00703446">
                    <w:rPr>
                      <w:bCs/>
                      <w:szCs w:val="20"/>
                    </w:rPr>
                    <w:t>20</w:t>
                  </w:r>
                </w:p>
              </w:tc>
              <w:tc>
                <w:tcPr>
                  <w:tcW w:w="2786" w:type="dxa"/>
                </w:tcPr>
                <w:p w14:paraId="3CE2BA39" w14:textId="77777777" w:rsidR="00A57A5C" w:rsidRPr="00703446" w:rsidRDefault="00A57A5C">
                  <w:pPr>
                    <w:spacing w:before="37" w:after="37"/>
                    <w:cnfStyle w:val="000000100000" w:firstRow="0" w:lastRow="0" w:firstColumn="0" w:lastColumn="0" w:oddVBand="0" w:evenVBand="0" w:oddHBand="1" w:evenHBand="0" w:firstRowFirstColumn="0" w:firstRowLastColumn="0" w:lastRowFirstColumn="0" w:lastRowLastColumn="0"/>
                    <w:rPr>
                      <w:bCs/>
                      <w:szCs w:val="20"/>
                    </w:rPr>
                  </w:pPr>
                  <w:r w:rsidRPr="00703446">
                    <w:rPr>
                      <w:bCs/>
                      <w:szCs w:val="20"/>
                    </w:rPr>
                    <w:t>10,000,000</w:t>
                  </w:r>
                </w:p>
              </w:tc>
            </w:tr>
            <w:tr w:rsidR="00A57A5C" w:rsidRPr="00703446" w14:paraId="2A00693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168B053B" w14:textId="77777777" w:rsidR="00A57A5C" w:rsidRPr="00703446" w:rsidRDefault="00A57A5C">
                  <w:pPr>
                    <w:spacing w:before="37" w:after="37"/>
                    <w:rPr>
                      <w:b w:val="0"/>
                      <w:bCs/>
                      <w:szCs w:val="20"/>
                    </w:rPr>
                  </w:pPr>
                  <w:r w:rsidRPr="00703446">
                    <w:rPr>
                      <w:b w:val="0"/>
                      <w:bCs/>
                      <w:szCs w:val="20"/>
                    </w:rPr>
                    <w:t>2</w:t>
                  </w:r>
                </w:p>
              </w:tc>
              <w:tc>
                <w:tcPr>
                  <w:tcW w:w="2785" w:type="dxa"/>
                </w:tcPr>
                <w:p w14:paraId="6E54724F" w14:textId="77777777" w:rsidR="00A57A5C" w:rsidRPr="00703446" w:rsidRDefault="00A57A5C">
                  <w:pPr>
                    <w:spacing w:before="37" w:after="37"/>
                    <w:cnfStyle w:val="000000010000" w:firstRow="0" w:lastRow="0" w:firstColumn="0" w:lastColumn="0" w:oddVBand="0" w:evenVBand="0" w:oddHBand="0" w:evenHBand="1" w:firstRowFirstColumn="0" w:firstRowLastColumn="0" w:lastRowFirstColumn="0" w:lastRowLastColumn="0"/>
                    <w:rPr>
                      <w:bCs/>
                      <w:szCs w:val="20"/>
                    </w:rPr>
                  </w:pPr>
                  <w:r w:rsidRPr="00703446">
                    <w:rPr>
                      <w:bCs/>
                      <w:szCs w:val="20"/>
                    </w:rPr>
                    <w:t>20</w:t>
                  </w:r>
                </w:p>
              </w:tc>
              <w:tc>
                <w:tcPr>
                  <w:tcW w:w="2786" w:type="dxa"/>
                </w:tcPr>
                <w:p w14:paraId="38B244A6" w14:textId="77777777" w:rsidR="00A57A5C" w:rsidRPr="00703446" w:rsidRDefault="00A57A5C">
                  <w:pPr>
                    <w:spacing w:before="37" w:after="37"/>
                    <w:cnfStyle w:val="000000010000" w:firstRow="0" w:lastRow="0" w:firstColumn="0" w:lastColumn="0" w:oddVBand="0" w:evenVBand="0" w:oddHBand="0" w:evenHBand="1" w:firstRowFirstColumn="0" w:firstRowLastColumn="0" w:lastRowFirstColumn="0" w:lastRowLastColumn="0"/>
                    <w:rPr>
                      <w:bCs/>
                      <w:szCs w:val="20"/>
                    </w:rPr>
                  </w:pPr>
                  <w:r w:rsidRPr="00703446">
                    <w:rPr>
                      <w:bCs/>
                      <w:szCs w:val="20"/>
                    </w:rPr>
                    <w:t>90,000</w:t>
                  </w:r>
                </w:p>
              </w:tc>
            </w:tr>
            <w:tr w:rsidR="00A57A5C" w:rsidRPr="00703446" w14:paraId="30AA77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6CD09BA5" w14:textId="77777777" w:rsidR="00A57A5C" w:rsidRPr="00703446" w:rsidRDefault="00A57A5C">
                  <w:pPr>
                    <w:spacing w:before="37" w:after="37"/>
                    <w:rPr>
                      <w:b w:val="0"/>
                      <w:bCs/>
                      <w:szCs w:val="20"/>
                    </w:rPr>
                  </w:pPr>
                  <w:r w:rsidRPr="00703446">
                    <w:rPr>
                      <w:b w:val="0"/>
                      <w:bCs/>
                      <w:szCs w:val="20"/>
                    </w:rPr>
                    <w:t>Total</w:t>
                  </w:r>
                </w:p>
              </w:tc>
              <w:tc>
                <w:tcPr>
                  <w:tcW w:w="2785" w:type="dxa"/>
                </w:tcPr>
                <w:p w14:paraId="19F00C25" w14:textId="77777777" w:rsidR="00A57A5C" w:rsidRPr="00703446" w:rsidRDefault="00A57A5C">
                  <w:pPr>
                    <w:spacing w:before="37" w:after="37"/>
                    <w:cnfStyle w:val="000000100000" w:firstRow="0" w:lastRow="0" w:firstColumn="0" w:lastColumn="0" w:oddVBand="0" w:evenVBand="0" w:oddHBand="1" w:evenHBand="0" w:firstRowFirstColumn="0" w:firstRowLastColumn="0" w:lastRowFirstColumn="0" w:lastRowLastColumn="0"/>
                    <w:rPr>
                      <w:bCs/>
                      <w:szCs w:val="20"/>
                    </w:rPr>
                  </w:pPr>
                  <w:r w:rsidRPr="00703446">
                    <w:rPr>
                      <w:bCs/>
                      <w:szCs w:val="20"/>
                    </w:rPr>
                    <w:t>40</w:t>
                  </w:r>
                </w:p>
              </w:tc>
              <w:tc>
                <w:tcPr>
                  <w:tcW w:w="2786" w:type="dxa"/>
                </w:tcPr>
                <w:p w14:paraId="290E9D04" w14:textId="77777777" w:rsidR="00A57A5C" w:rsidRPr="00703446" w:rsidRDefault="00A57A5C">
                  <w:pPr>
                    <w:spacing w:before="37" w:after="37"/>
                    <w:cnfStyle w:val="000000100000" w:firstRow="0" w:lastRow="0" w:firstColumn="0" w:lastColumn="0" w:oddVBand="0" w:evenVBand="0" w:oddHBand="1" w:evenHBand="0" w:firstRowFirstColumn="0" w:firstRowLastColumn="0" w:lastRowFirstColumn="0" w:lastRowLastColumn="0"/>
                    <w:rPr>
                      <w:bCs/>
                      <w:szCs w:val="20"/>
                    </w:rPr>
                  </w:pPr>
                  <w:r w:rsidRPr="00703446">
                    <w:rPr>
                      <w:bCs/>
                      <w:szCs w:val="20"/>
                    </w:rPr>
                    <w:t>10,090,000</w:t>
                  </w:r>
                </w:p>
              </w:tc>
            </w:tr>
          </w:tbl>
          <w:p w14:paraId="16B44354" w14:textId="5C13C8BA" w:rsidR="00A57A5C" w:rsidRPr="00FF338C" w:rsidRDefault="00A57A5C" w:rsidP="00667BB9">
            <w:pPr>
              <w:ind w:left="0"/>
            </w:pPr>
            <w:r w:rsidRPr="00703446">
              <w:rPr>
                <w:b w:val="0"/>
                <w:bCs/>
              </w:rPr>
              <w:t xml:space="preserve">The gas power plant does not have to report electricity production for unit 2, since its generation </w:t>
            </w:r>
            <w:r w:rsidR="009B7D45">
              <w:rPr>
                <w:b w:val="0"/>
                <w:bCs/>
              </w:rPr>
              <w:t xml:space="preserve">in the reporting year </w:t>
            </w:r>
            <w:r w:rsidRPr="00703446">
              <w:rPr>
                <w:b w:val="0"/>
                <w:bCs/>
              </w:rPr>
              <w:t xml:space="preserve">did not meet the </w:t>
            </w:r>
            <w:proofErr w:type="gramStart"/>
            <w:r w:rsidRPr="00703446">
              <w:rPr>
                <w:b w:val="0"/>
                <w:bCs/>
              </w:rPr>
              <w:t>100,000</w:t>
            </w:r>
            <w:r w:rsidR="00027A15">
              <w:rPr>
                <w:b w:val="0"/>
                <w:bCs/>
              </w:rPr>
              <w:t> </w:t>
            </w:r>
            <w:r w:rsidRPr="00703446">
              <w:rPr>
                <w:b w:val="0"/>
                <w:bCs/>
              </w:rPr>
              <w:t>kWh</w:t>
            </w:r>
            <w:proofErr w:type="gramEnd"/>
            <w:r w:rsidRPr="00703446">
              <w:rPr>
                <w:b w:val="0"/>
                <w:bCs/>
              </w:rPr>
              <w:t xml:space="preserve"> threshold. If the following </w:t>
            </w:r>
            <w:r w:rsidR="000423A5">
              <w:rPr>
                <w:b w:val="0"/>
                <w:bCs/>
              </w:rPr>
              <w:t xml:space="preserve">reporting </w:t>
            </w:r>
            <w:r w:rsidRPr="00703446">
              <w:rPr>
                <w:b w:val="0"/>
                <w:bCs/>
              </w:rPr>
              <w:t>year, unit 2 generates greater than 100,000</w:t>
            </w:r>
            <w:r w:rsidR="00027A15">
              <w:rPr>
                <w:b w:val="0"/>
                <w:bCs/>
              </w:rPr>
              <w:t> </w:t>
            </w:r>
            <w:r w:rsidRPr="00703446">
              <w:rPr>
                <w:b w:val="0"/>
                <w:bCs/>
              </w:rPr>
              <w:t>kWh, its electricity production would have to be reported.</w:t>
            </w:r>
          </w:p>
        </w:tc>
      </w:tr>
    </w:tbl>
    <w:p w14:paraId="1A0CE3E3" w14:textId="575D0A8E" w:rsidR="00A57A5C" w:rsidRDefault="00A57A5C" w:rsidP="00D2141E">
      <w:pPr>
        <w:spacing w:before="240"/>
      </w:pPr>
      <w:r w:rsidRPr="00FF338C">
        <w:t>A reporter may choose to report electricity production where the above thresholds</w:t>
      </w:r>
      <w:r w:rsidR="00230D6F">
        <w:t>,</w:t>
      </w:r>
      <w:r w:rsidRPr="00FF338C">
        <w:t xml:space="preserve"> in </w:t>
      </w:r>
      <w:r w:rsidR="00025F90">
        <w:t>accordance with</w:t>
      </w:r>
      <w:r w:rsidRPr="00FF338C">
        <w:t xml:space="preserve"> 4.19(2) of the NGER Regulations</w:t>
      </w:r>
      <w:r w:rsidR="00230D6F">
        <w:t>,</w:t>
      </w:r>
      <w:r w:rsidRPr="00FF338C">
        <w:t xml:space="preserve"> have not been met. Where this occurs, the corresponding onsite consumption from electricity </w:t>
      </w:r>
      <w:r w:rsidR="000521D4" w:rsidRPr="00FF338C">
        <w:t xml:space="preserve">produced </w:t>
      </w:r>
      <w:r w:rsidR="000521D4">
        <w:t>onsite</w:t>
      </w:r>
      <w:r w:rsidRPr="00FF338C">
        <w:t xml:space="preserve"> </w:t>
      </w:r>
      <w:r>
        <w:t>must</w:t>
      </w:r>
      <w:r w:rsidRPr="00FF338C">
        <w:t xml:space="preserve"> also be reported (produced for the purposes of the operation of the facility).</w:t>
      </w:r>
    </w:p>
    <w:p w14:paraId="7B8F45F1" w14:textId="77777777" w:rsidR="00A57A5C" w:rsidRPr="00FF338C" w:rsidRDefault="00A57A5C" w:rsidP="00B3330E">
      <w:pPr>
        <w:pStyle w:val="Heading3"/>
        <w:numPr>
          <w:ilvl w:val="2"/>
          <w:numId w:val="3"/>
        </w:numPr>
        <w:ind w:left="709" w:hanging="709"/>
        <w:rPr>
          <w:lang w:val="en-GB"/>
        </w:rPr>
      </w:pPr>
      <w:bookmarkStart w:id="292" w:name="_Quantifying_electricity_consumption"/>
      <w:bookmarkStart w:id="293" w:name="_Toc512010415"/>
      <w:bookmarkStart w:id="294" w:name="_Toc512339614"/>
      <w:bookmarkStart w:id="295" w:name="_Toc235706346"/>
      <w:bookmarkEnd w:id="292"/>
      <w:r w:rsidRPr="00FF338C">
        <w:rPr>
          <w:lang w:val="en-GB"/>
        </w:rPr>
        <w:t>Quantifying electricity consumption</w:t>
      </w:r>
      <w:bookmarkEnd w:id="293"/>
      <w:bookmarkEnd w:id="294"/>
      <w:bookmarkEnd w:id="295"/>
    </w:p>
    <w:p w14:paraId="6E6F246B" w14:textId="63407845" w:rsidR="0099640B" w:rsidRDefault="00A57A5C" w:rsidP="00A57A5C">
      <w:r>
        <w:t>Electricity consumption must be reported in accordance with 2.26 and 4.4.5 of the NGER Regulations, and</w:t>
      </w:r>
      <w:r w:rsidRPr="005513B8">
        <w:t xml:space="preserve"> </w:t>
      </w:r>
      <w:r>
        <w:t xml:space="preserve">Chapter 6 of the NGER Measurement Determination. </w:t>
      </w:r>
      <w:r w:rsidR="00377D43">
        <w:t xml:space="preserve">The following all </w:t>
      </w:r>
      <w:r w:rsidR="002E07FE">
        <w:t xml:space="preserve">give rise to </w:t>
      </w:r>
      <w:r w:rsidR="00377D43">
        <w:t>electricity consumption:</w:t>
      </w:r>
    </w:p>
    <w:p w14:paraId="465172FE" w14:textId="6600EBAF" w:rsidR="00377D43" w:rsidRDefault="00377D43" w:rsidP="00667BB9">
      <w:pPr>
        <w:pStyle w:val="CERbullets"/>
      </w:pPr>
      <w:r>
        <w:t>Electricity used in the operation of the facility</w:t>
      </w:r>
      <w:r w:rsidR="00511475">
        <w:t xml:space="preserve">, including </w:t>
      </w:r>
      <w:r w:rsidR="00EB00ED">
        <w:t xml:space="preserve">the </w:t>
      </w:r>
      <w:r w:rsidR="00511475">
        <w:t xml:space="preserve">charging </w:t>
      </w:r>
      <w:r w:rsidR="00EB00ED">
        <w:t xml:space="preserve">of any </w:t>
      </w:r>
      <w:r w:rsidR="00511475">
        <w:t>electric vehicles which belong to the facility</w:t>
      </w:r>
    </w:p>
    <w:p w14:paraId="3DB559A8" w14:textId="68D6C195" w:rsidR="00377D43" w:rsidRDefault="00377D43" w:rsidP="00667BB9">
      <w:pPr>
        <w:pStyle w:val="CERbullets"/>
      </w:pPr>
      <w:r>
        <w:t xml:space="preserve">Electricity </w:t>
      </w:r>
      <w:r w:rsidR="00511475">
        <w:t xml:space="preserve">lost in </w:t>
      </w:r>
      <w:r>
        <w:t>battery energy storage systems</w:t>
      </w:r>
    </w:p>
    <w:p w14:paraId="3D380D62" w14:textId="4A37CEA4" w:rsidR="00377D43" w:rsidRDefault="00511475" w:rsidP="00EE3EA4">
      <w:pPr>
        <w:pStyle w:val="CERbullets"/>
        <w:spacing w:after="200"/>
        <w:ind w:left="357" w:hanging="357"/>
      </w:pPr>
      <w:r>
        <w:t>T</w:t>
      </w:r>
      <w:r w:rsidR="00377D43">
        <w:t xml:space="preserve">ransmission </w:t>
      </w:r>
      <w:r w:rsidR="00377D43" w:rsidRPr="00FF338C">
        <w:t>losses and parasitic loads</w:t>
      </w:r>
    </w:p>
    <w:p w14:paraId="427B1D85" w14:textId="054F299B" w:rsidR="00A57A5C" w:rsidRPr="00FF338C" w:rsidRDefault="00A62BAF" w:rsidP="00A57A5C">
      <w:r>
        <w:t xml:space="preserve">Subject to the thresholds described in </w:t>
      </w:r>
      <w:r>
        <w:fldChar w:fldCharType="begin" w:fldLock="1"/>
      </w:r>
      <w:r>
        <w:instrText>REF _Ref199338865</w:instrText>
      </w:r>
      <w:r>
        <w:fldChar w:fldCharType="separate"/>
      </w:r>
      <w:r w:rsidR="000772C0">
        <w:t xml:space="preserve">Table </w:t>
      </w:r>
      <w:r w:rsidR="000772C0">
        <w:rPr>
          <w:noProof/>
        </w:rPr>
        <w:t>10</w:t>
      </w:r>
      <w:r>
        <w:fldChar w:fldCharType="end"/>
      </w:r>
      <w:r w:rsidR="000772C0">
        <w:t xml:space="preserve"> and </w:t>
      </w:r>
      <w:r>
        <w:fldChar w:fldCharType="begin" w:fldLock="1"/>
      </w:r>
      <w:r>
        <w:instrText>REF _Ref199338869</w:instrText>
      </w:r>
      <w:r>
        <w:fldChar w:fldCharType="separate"/>
      </w:r>
      <w:r w:rsidR="000772C0">
        <w:t xml:space="preserve">Table </w:t>
      </w:r>
      <w:r w:rsidR="000772C0">
        <w:rPr>
          <w:noProof/>
        </w:rPr>
        <w:t>11</w:t>
      </w:r>
      <w:r>
        <w:fldChar w:fldCharType="end"/>
      </w:r>
      <w:r>
        <w:t>, e</w:t>
      </w:r>
      <w:r w:rsidR="002A6B9A">
        <w:t xml:space="preserve">lectricity consumption </w:t>
      </w:r>
      <w:r>
        <w:t>must</w:t>
      </w:r>
      <w:r w:rsidR="00A31E8B">
        <w:t xml:space="preserve"> be reported in the following ways, depending on the origin of the electricity</w:t>
      </w:r>
      <w:r w:rsidR="00D7694E">
        <w:t xml:space="preserve">: </w:t>
      </w:r>
    </w:p>
    <w:p w14:paraId="7BF2ED32" w14:textId="116993CF" w:rsidR="006835F6" w:rsidRDefault="00494E2A" w:rsidP="00933DDC">
      <w:pPr>
        <w:numPr>
          <w:ilvl w:val="0"/>
          <w:numId w:val="1"/>
        </w:numPr>
        <w:spacing w:before="120" w:after="120"/>
      </w:pPr>
      <w:bookmarkStart w:id="296" w:name="_Hlk44059376"/>
      <w:r>
        <w:t>W</w:t>
      </w:r>
      <w:r w:rsidR="006835F6">
        <w:t xml:space="preserve">hen </w:t>
      </w:r>
      <w:r w:rsidR="006835F6" w:rsidDel="00547180">
        <w:t>electricity</w:t>
      </w:r>
      <w:r w:rsidR="006835F6" w:rsidRPr="00FF338C">
        <w:t xml:space="preserve"> </w:t>
      </w:r>
      <w:r w:rsidR="006835F6">
        <w:t xml:space="preserve">is </w:t>
      </w:r>
      <w:r w:rsidR="006835F6" w:rsidRPr="00FF338C">
        <w:t>drawn from an external source and consumed within the facility</w:t>
      </w:r>
      <w:r w:rsidR="00D74416">
        <w:t xml:space="preserve"> (</w:t>
      </w:r>
      <w:r w:rsidR="006835F6">
        <w:t>including line losses for electricity transmission and distribution facilities</w:t>
      </w:r>
      <w:r w:rsidR="00D74416">
        <w:t>)</w:t>
      </w:r>
      <w:r>
        <w:t>,</w:t>
      </w:r>
      <w:r w:rsidR="007D00CB">
        <w:t xml:space="preserve"> you must report</w:t>
      </w:r>
      <w:r>
        <w:t xml:space="preserve"> a scope 2 emissions activity</w:t>
      </w:r>
      <w:r w:rsidR="006835F6">
        <w:t xml:space="preserve">. See </w:t>
      </w:r>
      <w:hyperlink w:anchor="_Reporting_scope_2" w:history="1">
        <w:r w:rsidR="006835F6" w:rsidRPr="00933DDC">
          <w:rPr>
            <w:rStyle w:val="Hyperlink"/>
            <w:rFonts w:asciiTheme="minorHAnsi" w:hAnsiTheme="minorHAnsi"/>
          </w:rPr>
          <w:t>chapter 6</w:t>
        </w:r>
      </w:hyperlink>
      <w:r w:rsidR="006835F6">
        <w:t xml:space="preserve"> </w:t>
      </w:r>
      <w:r w:rsidR="009F6021">
        <w:t xml:space="preserve">of this guideline </w:t>
      </w:r>
      <w:r w:rsidR="006835F6">
        <w:t>for information on reporting these activities.</w:t>
      </w:r>
    </w:p>
    <w:p w14:paraId="561FF299" w14:textId="3A0DB0D3" w:rsidR="00A57A5C" w:rsidRPr="00FF338C" w:rsidRDefault="00494E2A" w:rsidP="006835F6">
      <w:pPr>
        <w:numPr>
          <w:ilvl w:val="0"/>
          <w:numId w:val="1"/>
        </w:numPr>
        <w:spacing w:before="120" w:after="120"/>
      </w:pPr>
      <w:r>
        <w:t>W</w:t>
      </w:r>
      <w:r w:rsidR="003214A2">
        <w:t xml:space="preserve">hen </w:t>
      </w:r>
      <w:r w:rsidR="00A16A13">
        <w:t>e</w:t>
      </w:r>
      <w:r w:rsidR="00A57A5C">
        <w:t xml:space="preserve">lectricity </w:t>
      </w:r>
      <w:r w:rsidR="003214A2">
        <w:t xml:space="preserve">is </w:t>
      </w:r>
      <w:r w:rsidR="00331407">
        <w:t>produced</w:t>
      </w:r>
      <w:r w:rsidR="00A57A5C" w:rsidRPr="00FF338C">
        <w:t xml:space="preserve"> within </w:t>
      </w:r>
      <w:r w:rsidR="005B5FF9">
        <w:t>a</w:t>
      </w:r>
      <w:r w:rsidR="005B5FF9" w:rsidRPr="00FF338C">
        <w:t xml:space="preserve"> </w:t>
      </w:r>
      <w:r w:rsidR="00A57A5C" w:rsidRPr="00FF338C">
        <w:t xml:space="preserve">facility and consumed within the </w:t>
      </w:r>
      <w:r w:rsidR="005B5FF9">
        <w:t xml:space="preserve">same </w:t>
      </w:r>
      <w:r w:rsidR="00A57A5C" w:rsidRPr="00FF338C">
        <w:t>facility</w:t>
      </w:r>
      <w:r w:rsidR="003214A2">
        <w:t xml:space="preserve">, </w:t>
      </w:r>
      <w:r w:rsidR="007D00CB">
        <w:t xml:space="preserve">you must </w:t>
      </w:r>
      <w:r w:rsidR="007D00CB" w:rsidDel="001677FC">
        <w:t xml:space="preserve">report </w:t>
      </w:r>
      <w:r w:rsidR="001677FC">
        <w:t>production of electricity for use onsite</w:t>
      </w:r>
      <w:r w:rsidR="003214A2">
        <w:t>.</w:t>
      </w:r>
      <w:r w:rsidR="00CF61FD">
        <w:t xml:space="preserve"> </w:t>
      </w:r>
      <w:r w:rsidR="00097731">
        <w:t>Reporting of electricity produced onsite for use onsite will trigger auto-generation of an energy consumption activity</w:t>
      </w:r>
      <w:r w:rsidR="009E43A3">
        <w:t xml:space="preserve"> in EERS.</w:t>
      </w:r>
    </w:p>
    <w:tbl>
      <w:tblPr>
        <w:tblStyle w:val="CERCallout"/>
        <w:tblW w:w="0" w:type="auto"/>
        <w:tblLook w:val="04A0" w:firstRow="1" w:lastRow="0" w:firstColumn="1" w:lastColumn="0" w:noHBand="0" w:noVBand="1"/>
      </w:tblPr>
      <w:tblGrid>
        <w:gridCol w:w="9710"/>
      </w:tblGrid>
      <w:tr w:rsidR="00D67F2D" w14:paraId="01AF6232" w14:textId="77777777" w:rsidTr="00BE117F">
        <w:trPr>
          <w:cnfStyle w:val="100000000000" w:firstRow="1" w:lastRow="0" w:firstColumn="0" w:lastColumn="0" w:oddVBand="0" w:evenVBand="0" w:oddHBand="0" w:evenHBand="0" w:firstRowFirstColumn="0" w:firstRowLastColumn="0" w:lastRowFirstColumn="0" w:lastRowLastColumn="0"/>
        </w:trPr>
        <w:tc>
          <w:tcPr>
            <w:tcW w:w="9710" w:type="dxa"/>
          </w:tcPr>
          <w:bookmarkEnd w:id="296"/>
          <w:p w14:paraId="13260AD9" w14:textId="48178865" w:rsidR="00205BC9" w:rsidRDefault="00205BC9" w:rsidP="00A57A5C">
            <w:r>
              <w:t xml:space="preserve">There </w:t>
            </w:r>
            <w:proofErr w:type="gramStart"/>
            <w:r>
              <w:t>are</w:t>
            </w:r>
            <w:proofErr w:type="gramEnd"/>
            <w:r>
              <w:t xml:space="preserve"> no associated scope 2 emissions from the consumption of electricity which has been produced within the same facility</w:t>
            </w:r>
            <w:r w:rsidR="003375D2">
              <w:t>.</w:t>
            </w:r>
          </w:p>
        </w:tc>
      </w:tr>
    </w:tbl>
    <w:p w14:paraId="0558D68F" w14:textId="77777777" w:rsidR="00FD64AC" w:rsidRDefault="00FD64AC" w:rsidP="00BE117F">
      <w:pPr>
        <w:pStyle w:val="BodyText1"/>
      </w:pPr>
    </w:p>
    <w:p w14:paraId="09E3C838" w14:textId="1D23E6C5" w:rsidR="00A57A5C" w:rsidRPr="00FF338C" w:rsidRDefault="00A57A5C" w:rsidP="00BE117F">
      <w:pPr>
        <w:pStyle w:val="BodyText1"/>
      </w:pPr>
      <w:r>
        <w:lastRenderedPageBreak/>
        <w:t>C</w:t>
      </w:r>
      <w:r w:rsidRPr="00FF338C">
        <w:t>onsumption</w:t>
      </w:r>
      <w:r>
        <w:t xml:space="preserve"> of electricity produced onsite</w:t>
      </w:r>
      <w:r w:rsidRPr="00FF338C">
        <w:t xml:space="preserve"> at a generation facility </w:t>
      </w:r>
      <w:r>
        <w:t>is</w:t>
      </w:r>
      <w:r w:rsidRPr="00FF338C">
        <w:t xml:space="preserve"> equal to the difference between the quantity of electricity produc</w:t>
      </w:r>
      <w:r w:rsidR="007C50CC">
        <w:t>tion as</w:t>
      </w:r>
      <w:r w:rsidRPr="00FF338C">
        <w:t xml:space="preserve"> </w:t>
      </w:r>
      <w:r w:rsidR="00E24404">
        <w:t>measured</w:t>
      </w:r>
      <w:r w:rsidRPr="00FF338C">
        <w:t xml:space="preserve"> at the terminals of the generating units, and the quantity of electricity delivered for use outside the facility </w:t>
      </w:r>
      <w:r w:rsidR="00C45330">
        <w:t>measured at the connection point</w:t>
      </w:r>
      <w:r w:rsidR="00B640BA">
        <w:t>. T</w:t>
      </w:r>
      <w:r>
        <w:t>hat is,</w:t>
      </w:r>
      <w:r w:rsidRPr="00FF338C">
        <w:t xml:space="preserve"> supplied to an electricity transmission or distribution network, or for other use outside the facility.</w:t>
      </w:r>
    </w:p>
    <w:p w14:paraId="0284C9DD" w14:textId="06B056D6" w:rsidR="00A57A5C" w:rsidRDefault="00A57A5C" w:rsidP="00A57A5C">
      <w:pPr>
        <w:pStyle w:val="Body"/>
        <w:ind w:left="0"/>
        <w:rPr>
          <w:rFonts w:asciiTheme="minorHAnsi" w:hAnsiTheme="minorHAnsi"/>
          <w:sz w:val="22"/>
        </w:rPr>
      </w:pPr>
      <w:r w:rsidRPr="00FF338C">
        <w:rPr>
          <w:rFonts w:asciiTheme="minorHAnsi" w:hAnsiTheme="minorHAnsi"/>
          <w:sz w:val="22"/>
        </w:rPr>
        <w:t xml:space="preserve">In accordance with section 6.5 of the </w:t>
      </w:r>
      <w:r>
        <w:rPr>
          <w:rFonts w:asciiTheme="minorHAnsi" w:hAnsiTheme="minorHAnsi"/>
          <w:sz w:val="22"/>
        </w:rPr>
        <w:t>NGER Measurement Determination</w:t>
      </w:r>
      <w:r w:rsidRPr="00FF338C">
        <w:rPr>
          <w:rFonts w:asciiTheme="minorHAnsi" w:hAnsiTheme="minorHAnsi"/>
          <w:sz w:val="22"/>
        </w:rPr>
        <w:t>, the amount of electricity consumed (</w:t>
      </w:r>
      <w:r w:rsidRPr="00FE31CC">
        <w:rPr>
          <w:rFonts w:asciiTheme="minorHAnsi" w:hAnsiTheme="minorHAnsi"/>
          <w:i/>
          <w:sz w:val="22"/>
        </w:rPr>
        <w:t>Q</w:t>
      </w:r>
      <w:r w:rsidRPr="00FF338C">
        <w:rPr>
          <w:rFonts w:asciiTheme="minorHAnsi" w:hAnsiTheme="minorHAnsi"/>
          <w:sz w:val="22"/>
        </w:rPr>
        <w:t xml:space="preserve">) </w:t>
      </w:r>
      <w:r w:rsidR="00336D21">
        <w:rPr>
          <w:rFonts w:asciiTheme="minorHAnsi" w:hAnsiTheme="minorHAnsi"/>
          <w:sz w:val="22"/>
        </w:rPr>
        <w:t>must</w:t>
      </w:r>
      <w:r w:rsidRPr="00FF338C">
        <w:rPr>
          <w:rFonts w:asciiTheme="minorHAnsi" w:hAnsiTheme="minorHAnsi"/>
          <w:sz w:val="22"/>
        </w:rPr>
        <w:t xml:space="preserve"> be evidenced by: </w:t>
      </w:r>
    </w:p>
    <w:p w14:paraId="3B40DBA2" w14:textId="51F7132E" w:rsidR="00A57A5C" w:rsidRPr="00B751DE" w:rsidRDefault="00A57A5C" w:rsidP="00D2141E">
      <w:pPr>
        <w:pStyle w:val="CERbullets"/>
      </w:pPr>
      <w:r w:rsidRPr="00B751DE">
        <w:t>invoices, contractual arrangements or industry metering records</w:t>
      </w:r>
    </w:p>
    <w:p w14:paraId="4236A01C" w14:textId="2016787C" w:rsidR="00A57A5C" w:rsidRPr="00B751DE" w:rsidRDefault="00A57A5C" w:rsidP="00D2141E">
      <w:pPr>
        <w:pStyle w:val="CERbullets"/>
      </w:pPr>
      <w:r w:rsidRPr="00B751DE">
        <w:t>records of estimates made in line with industry practice</w:t>
      </w:r>
      <w:r w:rsidR="009E3CB6">
        <w:t xml:space="preserve"> </w:t>
      </w:r>
      <w:r w:rsidR="009E3CB6" w:rsidRPr="00B751DE">
        <w:t>if such evidence is not available</w:t>
      </w:r>
      <w:r w:rsidRPr="00B751DE">
        <w:t>.</w:t>
      </w:r>
    </w:p>
    <w:tbl>
      <w:tblPr>
        <w:tblStyle w:val="CERCallout"/>
        <w:tblW w:w="5000" w:type="pct"/>
        <w:tblLook w:val="04A0" w:firstRow="1" w:lastRow="0" w:firstColumn="1" w:lastColumn="0" w:noHBand="0" w:noVBand="1"/>
      </w:tblPr>
      <w:tblGrid>
        <w:gridCol w:w="9710"/>
      </w:tblGrid>
      <w:tr w:rsidR="00D67F2D" w:rsidRPr="00FF338C" w14:paraId="774A2556" w14:textId="77777777" w:rsidTr="00BE117F">
        <w:trPr>
          <w:cnfStyle w:val="100000000000" w:firstRow="1" w:lastRow="0" w:firstColumn="0" w:lastColumn="0" w:oddVBand="0" w:evenVBand="0" w:oddHBand="0" w:evenHBand="0" w:firstRowFirstColumn="0" w:firstRowLastColumn="0" w:lastRowFirstColumn="0" w:lastRowLastColumn="0"/>
        </w:trPr>
        <w:tc>
          <w:tcPr>
            <w:tcW w:w="5000" w:type="pct"/>
          </w:tcPr>
          <w:p w14:paraId="44A91CE0" w14:textId="3CBC9630" w:rsidR="00A57A5C" w:rsidRPr="00FB5D2B" w:rsidRDefault="00A57A5C">
            <w:pPr>
              <w:pStyle w:val="Heading5"/>
              <w:ind w:left="0"/>
              <w:rPr>
                <w:b/>
                <w:bCs/>
              </w:rPr>
            </w:pPr>
            <w:bookmarkStart w:id="297" w:name="_Toc235706347"/>
            <w:r w:rsidRPr="00FB5D2B">
              <w:rPr>
                <w:b/>
                <w:bCs/>
              </w:rPr>
              <w:t>Example</w:t>
            </w:r>
            <w:r w:rsidR="009054D1">
              <w:rPr>
                <w:b/>
                <w:bCs/>
              </w:rPr>
              <w:t>:</w:t>
            </w:r>
            <w:r w:rsidRPr="00FB5D2B">
              <w:rPr>
                <w:b/>
                <w:bCs/>
              </w:rPr>
              <w:t xml:space="preserve"> Quantifying electricity consumption at a hydro power plant</w:t>
            </w:r>
            <w:bookmarkEnd w:id="297"/>
          </w:p>
          <w:p w14:paraId="26C59AE3" w14:textId="5E8E5BBF" w:rsidR="00A57A5C" w:rsidRPr="00FB5D2B" w:rsidRDefault="00E73E06" w:rsidP="00703446">
            <w:pPr>
              <w:pStyle w:val="CERbullets"/>
              <w:numPr>
                <w:ilvl w:val="0"/>
                <w:numId w:val="0"/>
              </w:numPr>
              <w:rPr>
                <w:b w:val="0"/>
                <w:bCs/>
              </w:rPr>
            </w:pPr>
            <w:r w:rsidRPr="001C57EC">
              <w:fldChar w:fldCharType="begin"/>
            </w:r>
            <w:r>
              <w:instrText xml:space="preserve"> REF _Ref232416242 \h </w:instrText>
            </w:r>
            <w:r w:rsidRPr="001C57EC">
              <w:fldChar w:fldCharType="separate"/>
            </w:r>
            <w:r w:rsidR="0069639D" w:rsidRPr="00FF338C">
              <w:rPr>
                <w:lang w:val="en-GB"/>
              </w:rPr>
              <w:t>Case example 2: Hydro power plant</w:t>
            </w:r>
            <w:r w:rsidRPr="001C57EC">
              <w:fldChar w:fldCharType="end"/>
            </w:r>
            <w:r w:rsidR="001144C8">
              <w:rPr>
                <w:b w:val="0"/>
              </w:rPr>
              <w:t xml:space="preserve"> </w:t>
            </w:r>
            <w:hyperlink w:anchor="_Appendix_A_–" w:history="1">
              <w:r w:rsidR="00C625B8" w:rsidRPr="00C625B8">
                <w:rPr>
                  <w:rStyle w:val="Hyperlink"/>
                  <w:rFonts w:asciiTheme="minorHAnsi" w:hAnsiTheme="minorHAnsi"/>
                  <w:b w:val="0"/>
                  <w:bCs/>
                </w:rPr>
                <w:t>Appendix A</w:t>
              </w:r>
            </w:hyperlink>
            <w:r w:rsidR="00A57A5C" w:rsidRPr="00FB5D2B">
              <w:rPr>
                <w:b w:val="0"/>
                <w:bCs/>
              </w:rPr>
              <w:t xml:space="preserve"> illustrates how electricity consumption should be quantified.</w:t>
            </w:r>
          </w:p>
          <w:p w14:paraId="05D3C452" w14:textId="627B72B4" w:rsidR="00A57A5C" w:rsidRPr="00002F75" w:rsidRDefault="00A57A5C" w:rsidP="00B3330E">
            <w:pPr>
              <w:pStyle w:val="CERnumbering"/>
              <w:numPr>
                <w:ilvl w:val="0"/>
                <w:numId w:val="15"/>
              </w:numPr>
              <w:spacing w:beforeAutospacing="0"/>
              <w:rPr>
                <w:b w:val="0"/>
                <w:bCs/>
              </w:rPr>
            </w:pPr>
            <w:r w:rsidRPr="00FB5D2B">
              <w:rPr>
                <w:b w:val="0"/>
                <w:bCs/>
              </w:rPr>
              <w:t xml:space="preserve">Electricity is produced in the </w:t>
            </w:r>
            <w:proofErr w:type="gramStart"/>
            <w:r w:rsidRPr="00FB5D2B">
              <w:rPr>
                <w:b w:val="0"/>
                <w:bCs/>
              </w:rPr>
              <w:t>turbine</w:t>
            </w:r>
            <w:proofErr w:type="gramEnd"/>
            <w:r w:rsidRPr="00FB5D2B">
              <w:rPr>
                <w:b w:val="0"/>
                <w:bCs/>
              </w:rPr>
              <w:t xml:space="preserve"> and electricity production is measured using metering at the terminal</w:t>
            </w:r>
            <w:r w:rsidR="001B66FA">
              <w:rPr>
                <w:b w:val="0"/>
                <w:bCs/>
              </w:rPr>
              <w:t>s</w:t>
            </w:r>
            <w:r w:rsidRPr="00FB5D2B">
              <w:rPr>
                <w:b w:val="0"/>
                <w:bCs/>
              </w:rPr>
              <w:t xml:space="preserve"> (see number 4 </w:t>
            </w:r>
            <w:r w:rsidRPr="00002F75">
              <w:rPr>
                <w:b w:val="0"/>
                <w:bCs/>
              </w:rPr>
              <w:t>in</w:t>
            </w:r>
            <w:r w:rsidR="00002F75" w:rsidRPr="00002F75">
              <w:rPr>
                <w:b w:val="0"/>
                <w:bCs/>
              </w:rPr>
              <w:t xml:space="preserve"> </w:t>
            </w:r>
            <w:r w:rsidR="00002F75" w:rsidRPr="00002F75">
              <w:fldChar w:fldCharType="begin" w:fldLock="1"/>
            </w:r>
            <w:r w:rsidR="00002F75" w:rsidRPr="00002F75">
              <w:rPr>
                <w:bCs/>
              </w:rPr>
              <w:instrText xml:space="preserve"> </w:instrText>
            </w:r>
            <w:r w:rsidR="00002F75" w:rsidRPr="00002F75">
              <w:rPr>
                <w:b w:val="0"/>
                <w:bCs/>
              </w:rPr>
              <w:instrText xml:space="preserve">REF </w:instrText>
            </w:r>
            <w:r w:rsidR="00002F75" w:rsidRPr="00002F75">
              <w:rPr>
                <w:bCs/>
              </w:rPr>
              <w:instrText xml:space="preserve">_Ref199340118 </w:instrText>
            </w:r>
            <w:r w:rsidR="00002F75" w:rsidRPr="007D0A6E">
              <w:rPr>
                <w:bCs/>
              </w:rPr>
              <w:instrText xml:space="preserve"> \* MERGEFORMAT </w:instrText>
            </w:r>
            <w:r w:rsidR="00002F75" w:rsidRPr="00002F75">
              <w:fldChar w:fldCharType="separate"/>
            </w:r>
            <w:r w:rsidR="00002F75" w:rsidRPr="007D0A6E">
              <w:rPr>
                <w:bCs/>
              </w:rPr>
              <w:t xml:space="preserve">Figure </w:t>
            </w:r>
            <w:r w:rsidR="00002F75" w:rsidRPr="007D0A6E">
              <w:rPr>
                <w:bCs/>
                <w:noProof/>
              </w:rPr>
              <w:t>8</w:t>
            </w:r>
            <w:r w:rsidR="00002F75" w:rsidRPr="00002F75">
              <w:rPr>
                <w:bCs/>
              </w:rPr>
              <w:fldChar w:fldCharType="end"/>
            </w:r>
            <w:r w:rsidRPr="00002F75">
              <w:rPr>
                <w:b w:val="0"/>
                <w:bCs/>
              </w:rPr>
              <w:t>).</w:t>
            </w:r>
          </w:p>
          <w:p w14:paraId="281F26B4" w14:textId="276DEE3E" w:rsidR="00A57A5C" w:rsidRPr="00002F75" w:rsidRDefault="00A57A5C" w:rsidP="00B3330E">
            <w:pPr>
              <w:pStyle w:val="CERnumbering"/>
              <w:numPr>
                <w:ilvl w:val="0"/>
                <w:numId w:val="15"/>
              </w:numPr>
              <w:spacing w:beforeAutospacing="0"/>
              <w:rPr>
                <w:b w:val="0"/>
                <w:bCs/>
              </w:rPr>
            </w:pPr>
            <w:r w:rsidRPr="00002F75">
              <w:rPr>
                <w:b w:val="0"/>
                <w:bCs/>
              </w:rPr>
              <w:t>Electricity delivered to an electricity transmission network</w:t>
            </w:r>
            <w:r w:rsidRPr="00002F75">
              <w:rPr>
                <w:b w:val="0"/>
                <w:bCs/>
                <w:color w:val="FF0000"/>
              </w:rPr>
              <w:t xml:space="preserve"> </w:t>
            </w:r>
            <w:r w:rsidRPr="00002F75">
              <w:rPr>
                <w:b w:val="0"/>
                <w:bCs/>
              </w:rPr>
              <w:t xml:space="preserve">is metered at the network connection point (see number 7 in </w:t>
            </w:r>
            <w:r w:rsidR="00002F75" w:rsidRPr="00002F75">
              <w:fldChar w:fldCharType="begin" w:fldLock="1"/>
            </w:r>
            <w:r w:rsidR="00002F75" w:rsidRPr="00002F75">
              <w:rPr>
                <w:bCs/>
              </w:rPr>
              <w:instrText xml:space="preserve"> </w:instrText>
            </w:r>
            <w:r w:rsidR="00002F75" w:rsidRPr="00002F75">
              <w:rPr>
                <w:b w:val="0"/>
                <w:bCs/>
              </w:rPr>
              <w:instrText xml:space="preserve">REF </w:instrText>
            </w:r>
            <w:r w:rsidR="00002F75" w:rsidRPr="00002F75">
              <w:rPr>
                <w:bCs/>
              </w:rPr>
              <w:instrText xml:space="preserve">_Ref199340118 </w:instrText>
            </w:r>
            <w:r w:rsidR="00002F75" w:rsidRPr="007D0A6E">
              <w:rPr>
                <w:bCs/>
              </w:rPr>
              <w:instrText xml:space="preserve"> \* MERGEFORMAT </w:instrText>
            </w:r>
            <w:r w:rsidR="00002F75" w:rsidRPr="00002F75">
              <w:fldChar w:fldCharType="separate"/>
            </w:r>
            <w:r w:rsidR="00002F75" w:rsidRPr="007D0A6E">
              <w:rPr>
                <w:bCs/>
              </w:rPr>
              <w:t xml:space="preserve">Figure </w:t>
            </w:r>
            <w:r w:rsidR="00002F75" w:rsidRPr="007D0A6E">
              <w:rPr>
                <w:bCs/>
                <w:noProof/>
              </w:rPr>
              <w:t>8</w:t>
            </w:r>
            <w:r w:rsidR="00002F75" w:rsidRPr="00002F75">
              <w:rPr>
                <w:bCs/>
              </w:rPr>
              <w:fldChar w:fldCharType="end"/>
            </w:r>
            <w:r w:rsidRPr="00002F75">
              <w:rPr>
                <w:b w:val="0"/>
                <w:bCs/>
              </w:rPr>
              <w:t>).</w:t>
            </w:r>
          </w:p>
          <w:p w14:paraId="4E1C819C" w14:textId="751DD8FC" w:rsidR="00A57A5C" w:rsidRPr="00002F75" w:rsidRDefault="00A57A5C" w:rsidP="00B3330E">
            <w:pPr>
              <w:pStyle w:val="CERnumbering"/>
              <w:numPr>
                <w:ilvl w:val="0"/>
                <w:numId w:val="15"/>
              </w:numPr>
              <w:spacing w:beforeAutospacing="0"/>
              <w:rPr>
                <w:b w:val="0"/>
                <w:bCs/>
              </w:rPr>
            </w:pPr>
            <w:r w:rsidRPr="00002F75">
              <w:rPr>
                <w:b w:val="0"/>
                <w:bCs/>
              </w:rPr>
              <w:t xml:space="preserve">Reportable consumption of electricity </w:t>
            </w:r>
            <w:r w:rsidR="00DD57F2" w:rsidRPr="00002F75">
              <w:rPr>
                <w:b w:val="0"/>
                <w:bCs/>
              </w:rPr>
              <w:t xml:space="preserve">produced </w:t>
            </w:r>
            <w:r w:rsidR="00B64DC8" w:rsidRPr="00002F75">
              <w:rPr>
                <w:b w:val="0"/>
                <w:bCs/>
              </w:rPr>
              <w:t xml:space="preserve">for use </w:t>
            </w:r>
            <w:r w:rsidR="00C004CB" w:rsidRPr="00002F75">
              <w:rPr>
                <w:b w:val="0"/>
                <w:bCs/>
              </w:rPr>
              <w:t xml:space="preserve">in the operation of the </w:t>
            </w:r>
            <w:proofErr w:type="gramStart"/>
            <w:r w:rsidR="00C004CB" w:rsidRPr="00002F75">
              <w:rPr>
                <w:b w:val="0"/>
                <w:bCs/>
              </w:rPr>
              <w:t>facility (‘</w:t>
            </w:r>
            <w:proofErr w:type="gramEnd"/>
            <w:r w:rsidR="00C004CB" w:rsidRPr="00002F75">
              <w:rPr>
                <w:b w:val="0"/>
                <w:bCs/>
              </w:rPr>
              <w:t>for use onsite’)</w:t>
            </w:r>
            <w:r w:rsidR="00B64DC8" w:rsidRPr="00002F75">
              <w:rPr>
                <w:b w:val="0"/>
                <w:bCs/>
              </w:rPr>
              <w:t xml:space="preserve"> </w:t>
            </w:r>
            <w:r w:rsidRPr="00002F75">
              <w:rPr>
                <w:b w:val="0"/>
                <w:bCs/>
              </w:rPr>
              <w:t xml:space="preserve">is the difference between the two above </w:t>
            </w:r>
            <w:r w:rsidR="007A0B9C" w:rsidRPr="00002F75">
              <w:rPr>
                <w:b w:val="0"/>
                <w:bCs/>
              </w:rPr>
              <w:t>amounts</w:t>
            </w:r>
            <w:r w:rsidRPr="00002F75">
              <w:rPr>
                <w:b w:val="0"/>
                <w:bCs/>
              </w:rPr>
              <w:t xml:space="preserve">. </w:t>
            </w:r>
          </w:p>
          <w:p w14:paraId="36A51CAF" w14:textId="59DF68CA" w:rsidR="00A57A5C" w:rsidRPr="00FF338C" w:rsidRDefault="00A57A5C" w:rsidP="00703446">
            <w:pPr>
              <w:pStyle w:val="CERbullets"/>
              <w:numPr>
                <w:ilvl w:val="0"/>
                <w:numId w:val="0"/>
              </w:numPr>
            </w:pPr>
            <w:r w:rsidRPr="00002F75">
              <w:rPr>
                <w:b w:val="0"/>
                <w:bCs/>
              </w:rPr>
              <w:t xml:space="preserve">The </w:t>
            </w:r>
            <w:r w:rsidR="001253A8" w:rsidRPr="00002F75">
              <w:rPr>
                <w:b w:val="0"/>
                <w:bCs/>
              </w:rPr>
              <w:t xml:space="preserve">consumption </w:t>
            </w:r>
            <w:r w:rsidRPr="00002F75">
              <w:rPr>
                <w:b w:val="0"/>
                <w:bCs/>
              </w:rPr>
              <w:t xml:space="preserve">of electricity </w:t>
            </w:r>
            <w:r w:rsidR="001253A8" w:rsidRPr="00002F75">
              <w:rPr>
                <w:b w:val="0"/>
                <w:bCs/>
              </w:rPr>
              <w:t xml:space="preserve">produced </w:t>
            </w:r>
            <w:r w:rsidR="00C004CB" w:rsidRPr="00002F75">
              <w:rPr>
                <w:b w:val="0"/>
                <w:bCs/>
              </w:rPr>
              <w:t xml:space="preserve">for use </w:t>
            </w:r>
            <w:r w:rsidR="001253A8" w:rsidRPr="00002F75">
              <w:rPr>
                <w:b w:val="0"/>
                <w:bCs/>
              </w:rPr>
              <w:t>onsite</w:t>
            </w:r>
            <w:r w:rsidRPr="00002F75">
              <w:rPr>
                <w:b w:val="0"/>
                <w:bCs/>
              </w:rPr>
              <w:t xml:space="preserve"> comprises both electricity for use onsite (see number 5 in </w:t>
            </w:r>
            <w:r w:rsidR="00002F75" w:rsidRPr="00002F75">
              <w:fldChar w:fldCharType="begin" w:fldLock="1"/>
            </w:r>
            <w:r w:rsidR="00002F75" w:rsidRPr="00002F75">
              <w:rPr>
                <w:bCs/>
              </w:rPr>
              <w:instrText xml:space="preserve"> </w:instrText>
            </w:r>
            <w:r w:rsidR="00002F75" w:rsidRPr="00002F75">
              <w:rPr>
                <w:b w:val="0"/>
                <w:bCs/>
              </w:rPr>
              <w:instrText xml:space="preserve">REF </w:instrText>
            </w:r>
            <w:r w:rsidR="00002F75" w:rsidRPr="00002F75">
              <w:rPr>
                <w:bCs/>
              </w:rPr>
              <w:instrText xml:space="preserve">_Ref199340118 </w:instrText>
            </w:r>
            <w:r w:rsidR="00002F75" w:rsidRPr="007D0A6E">
              <w:rPr>
                <w:bCs/>
              </w:rPr>
              <w:instrText xml:space="preserve"> \* MERGEFORMAT </w:instrText>
            </w:r>
            <w:r w:rsidR="00002F75" w:rsidRPr="00002F75">
              <w:fldChar w:fldCharType="separate"/>
            </w:r>
            <w:r w:rsidR="00002F75" w:rsidRPr="007D0A6E">
              <w:rPr>
                <w:bCs/>
              </w:rPr>
              <w:t xml:space="preserve">Figure </w:t>
            </w:r>
            <w:r w:rsidR="00002F75" w:rsidRPr="007D0A6E">
              <w:rPr>
                <w:bCs/>
                <w:noProof/>
              </w:rPr>
              <w:t>8</w:t>
            </w:r>
            <w:r w:rsidR="00002F75" w:rsidRPr="00002F75">
              <w:rPr>
                <w:bCs/>
              </w:rPr>
              <w:fldChar w:fldCharType="end"/>
            </w:r>
            <w:r w:rsidRPr="00002F75">
              <w:rPr>
                <w:b w:val="0"/>
                <w:bCs/>
              </w:rPr>
              <w:t xml:space="preserve">) and losses of electricity in line between terminal and the network connection point (see number 6 in </w:t>
            </w:r>
            <w:r w:rsidR="00002F75" w:rsidRPr="00002F75">
              <w:fldChar w:fldCharType="begin" w:fldLock="1"/>
            </w:r>
            <w:r w:rsidR="00002F75" w:rsidRPr="00002F75">
              <w:rPr>
                <w:bCs/>
              </w:rPr>
              <w:instrText xml:space="preserve"> </w:instrText>
            </w:r>
            <w:r w:rsidR="00002F75" w:rsidRPr="00002F75">
              <w:rPr>
                <w:b w:val="0"/>
                <w:bCs/>
              </w:rPr>
              <w:instrText xml:space="preserve">REF </w:instrText>
            </w:r>
            <w:r w:rsidR="00002F75" w:rsidRPr="00002F75">
              <w:rPr>
                <w:bCs/>
              </w:rPr>
              <w:instrText xml:space="preserve">_Ref199340118 </w:instrText>
            </w:r>
            <w:r w:rsidR="00002F75" w:rsidRPr="007D0A6E">
              <w:rPr>
                <w:bCs/>
              </w:rPr>
              <w:instrText xml:space="preserve"> \* MERGEFORMAT </w:instrText>
            </w:r>
            <w:r w:rsidR="00002F75" w:rsidRPr="00002F75">
              <w:fldChar w:fldCharType="separate"/>
            </w:r>
            <w:r w:rsidR="00002F75" w:rsidRPr="007D0A6E">
              <w:rPr>
                <w:bCs/>
              </w:rPr>
              <w:t xml:space="preserve">Figure </w:t>
            </w:r>
            <w:r w:rsidR="00002F75" w:rsidRPr="007D0A6E">
              <w:rPr>
                <w:bCs/>
                <w:noProof/>
              </w:rPr>
              <w:t>8</w:t>
            </w:r>
            <w:r w:rsidR="00002F75" w:rsidRPr="00002F75">
              <w:rPr>
                <w:bCs/>
              </w:rPr>
              <w:fldChar w:fldCharType="end"/>
            </w:r>
            <w:r w:rsidRPr="00002F75">
              <w:rPr>
                <w:b w:val="0"/>
                <w:bCs/>
              </w:rPr>
              <w:t>)</w:t>
            </w:r>
            <w:r w:rsidRPr="00FB5D2B">
              <w:rPr>
                <w:b w:val="0"/>
                <w:bCs/>
              </w:rPr>
              <w:t>.</w:t>
            </w:r>
          </w:p>
        </w:tc>
      </w:tr>
    </w:tbl>
    <w:p w14:paraId="7287442F" w14:textId="77777777" w:rsidR="00A57A5C" w:rsidRPr="00FF338C" w:rsidDel="00315D06" w:rsidRDefault="00A57A5C" w:rsidP="00B3330E">
      <w:pPr>
        <w:pStyle w:val="Heading3"/>
        <w:numPr>
          <w:ilvl w:val="2"/>
          <w:numId w:val="3"/>
        </w:numPr>
        <w:ind w:left="709" w:hanging="709"/>
        <w:rPr>
          <w:lang w:val="en-GB"/>
        </w:rPr>
      </w:pPr>
      <w:bookmarkStart w:id="298" w:name="_Toc235706348"/>
      <w:bookmarkStart w:id="299" w:name="_Toc512010416"/>
      <w:bookmarkStart w:id="300" w:name="_Toc512339615"/>
      <w:bookmarkStart w:id="301" w:name="_Ref515622623"/>
      <w:r w:rsidRPr="00FF338C" w:rsidDel="00315D06">
        <w:rPr>
          <w:lang w:val="en-GB"/>
        </w:rPr>
        <w:t>Quantifying electricity production</w:t>
      </w:r>
      <w:bookmarkEnd w:id="298"/>
      <w:r w:rsidRPr="00FF338C" w:rsidDel="00315D06">
        <w:rPr>
          <w:lang w:val="en-GB"/>
        </w:rPr>
        <w:t xml:space="preserve"> </w:t>
      </w:r>
    </w:p>
    <w:p w14:paraId="4A4FA74D" w14:textId="14427CEC" w:rsidR="00A57A5C" w:rsidRPr="00FF338C" w:rsidDel="00315D06" w:rsidRDefault="00A57A5C" w:rsidP="00A57A5C">
      <w:pPr>
        <w:pStyle w:val="Body"/>
        <w:ind w:left="0"/>
        <w:rPr>
          <w:rFonts w:asciiTheme="minorHAnsi" w:eastAsia="Cambria" w:hAnsiTheme="minorHAnsi" w:cstheme="minorHAnsi"/>
          <w:sz w:val="22"/>
        </w:rPr>
      </w:pPr>
      <w:r w:rsidRPr="00FF338C" w:rsidDel="00315D06">
        <w:rPr>
          <w:rFonts w:asciiTheme="minorHAnsi" w:eastAsia="Cambria" w:hAnsiTheme="minorHAnsi" w:cstheme="minorHAnsi"/>
          <w:sz w:val="22"/>
        </w:rPr>
        <w:t xml:space="preserve">4.20(2) </w:t>
      </w:r>
      <w:r w:rsidR="00A14539" w:rsidDel="00315D06">
        <w:rPr>
          <w:rFonts w:asciiTheme="minorHAnsi" w:eastAsia="Cambria" w:hAnsiTheme="minorHAnsi" w:cstheme="minorHAnsi"/>
          <w:sz w:val="22"/>
        </w:rPr>
        <w:t xml:space="preserve">of the </w:t>
      </w:r>
      <w:r w:rsidRPr="00FF338C" w:rsidDel="00315D06">
        <w:rPr>
          <w:rFonts w:asciiTheme="minorHAnsi" w:eastAsia="Cambria" w:hAnsiTheme="minorHAnsi" w:cstheme="minorHAnsi"/>
          <w:sz w:val="22"/>
        </w:rPr>
        <w:t xml:space="preserve">NGER </w:t>
      </w:r>
      <w:r w:rsidR="00A14539" w:rsidDel="00315D06">
        <w:rPr>
          <w:rFonts w:asciiTheme="minorHAnsi" w:eastAsia="Cambria" w:hAnsiTheme="minorHAnsi" w:cstheme="minorHAnsi"/>
          <w:sz w:val="22"/>
        </w:rPr>
        <w:t>R</w:t>
      </w:r>
      <w:r w:rsidRPr="00FF338C" w:rsidDel="00315D06">
        <w:rPr>
          <w:rFonts w:asciiTheme="minorHAnsi" w:eastAsia="Cambria" w:hAnsiTheme="minorHAnsi" w:cstheme="minorHAnsi"/>
          <w:sz w:val="22"/>
        </w:rPr>
        <w:t>egulation</w:t>
      </w:r>
      <w:r w:rsidR="00A14539" w:rsidDel="00315D06">
        <w:rPr>
          <w:rFonts w:asciiTheme="minorHAnsi" w:eastAsia="Cambria" w:hAnsiTheme="minorHAnsi" w:cstheme="minorHAnsi"/>
          <w:sz w:val="22"/>
        </w:rPr>
        <w:t>s</w:t>
      </w:r>
      <w:r w:rsidRPr="00FF338C" w:rsidDel="00315D06">
        <w:rPr>
          <w:rFonts w:asciiTheme="minorHAnsi" w:eastAsia="Cambria" w:hAnsiTheme="minorHAnsi" w:cstheme="minorHAnsi"/>
          <w:sz w:val="22"/>
        </w:rPr>
        <w:t xml:space="preserve"> describes </w:t>
      </w:r>
      <w:r w:rsidR="00BD5FD1" w:rsidDel="00315D06">
        <w:rPr>
          <w:rFonts w:asciiTheme="minorHAnsi" w:eastAsia="Cambria" w:hAnsiTheme="minorHAnsi" w:cstheme="minorHAnsi"/>
          <w:sz w:val="22"/>
        </w:rPr>
        <w:t xml:space="preserve">the </w:t>
      </w:r>
      <w:r w:rsidR="00BC6141" w:rsidDel="00315D06">
        <w:rPr>
          <w:rFonts w:asciiTheme="minorHAnsi" w:eastAsia="Cambria" w:hAnsiTheme="minorHAnsi" w:cstheme="minorHAnsi"/>
          <w:sz w:val="22"/>
        </w:rPr>
        <w:t xml:space="preserve">3 </w:t>
      </w:r>
      <w:r w:rsidR="008F453A" w:rsidDel="00315D06">
        <w:rPr>
          <w:rFonts w:asciiTheme="minorHAnsi" w:eastAsia="Cambria" w:hAnsiTheme="minorHAnsi" w:cstheme="minorHAnsi"/>
          <w:sz w:val="22"/>
        </w:rPr>
        <w:t xml:space="preserve">reportable </w:t>
      </w:r>
      <w:r w:rsidRPr="00FF338C" w:rsidDel="00315D06">
        <w:rPr>
          <w:rFonts w:asciiTheme="minorHAnsi" w:eastAsia="Cambria" w:hAnsiTheme="minorHAnsi" w:cstheme="minorHAnsi"/>
          <w:sz w:val="22"/>
        </w:rPr>
        <w:t xml:space="preserve">‘purposes’ for </w:t>
      </w:r>
      <w:r w:rsidDel="00315D06">
        <w:rPr>
          <w:rFonts w:asciiTheme="minorHAnsi" w:eastAsia="Cambria" w:hAnsiTheme="minorHAnsi" w:cstheme="minorHAnsi"/>
          <w:sz w:val="22"/>
        </w:rPr>
        <w:t xml:space="preserve">producing </w:t>
      </w:r>
      <w:r w:rsidRPr="00FF338C" w:rsidDel="00315D06">
        <w:rPr>
          <w:rFonts w:asciiTheme="minorHAnsi" w:eastAsia="Cambria" w:hAnsiTheme="minorHAnsi" w:cstheme="minorHAnsi"/>
          <w:sz w:val="22"/>
        </w:rPr>
        <w:t>electricity:</w:t>
      </w:r>
    </w:p>
    <w:p w14:paraId="6CD201EC" w14:textId="1DA593B3" w:rsidR="00A57A5C" w:rsidRPr="00D7453A" w:rsidDel="00315D06" w:rsidRDefault="00065457" w:rsidP="00B3330E">
      <w:pPr>
        <w:pStyle w:val="CERnumbering"/>
        <w:numPr>
          <w:ilvl w:val="0"/>
          <w:numId w:val="10"/>
        </w:numPr>
      </w:pPr>
      <w:r>
        <w:t>F</w:t>
      </w:r>
      <w:r w:rsidR="00A57A5C" w:rsidRPr="003F37EC" w:rsidDel="00315D06">
        <w:t xml:space="preserve">or use </w:t>
      </w:r>
      <w:r w:rsidR="00A57A5C" w:rsidRPr="00EE0C1D" w:rsidDel="00315D06">
        <w:t>in the operation of the facility (</w:t>
      </w:r>
      <w:r w:rsidR="007301D1" w:rsidDel="00315D06">
        <w:t>that is</w:t>
      </w:r>
      <w:r w:rsidR="00A57A5C" w:rsidRPr="00EE0C1D" w:rsidDel="00315D06">
        <w:t xml:space="preserve"> ‘for use onsite’)</w:t>
      </w:r>
      <w:r>
        <w:t>.</w:t>
      </w:r>
    </w:p>
    <w:p w14:paraId="4FA0A97A" w14:textId="7659E39D" w:rsidR="00A57A5C" w:rsidRPr="00D7453A" w:rsidDel="00315D06" w:rsidRDefault="00065457" w:rsidP="00B3330E">
      <w:pPr>
        <w:pStyle w:val="CERnumbering"/>
        <w:numPr>
          <w:ilvl w:val="0"/>
          <w:numId w:val="10"/>
        </w:numPr>
      </w:pPr>
      <w:r>
        <w:t>F</w:t>
      </w:r>
      <w:r w:rsidR="00A57A5C" w:rsidRPr="00D7453A" w:rsidDel="00315D06">
        <w:t>or use outside the operation of the facility other than for supply to an electricity transmission or distribution network</w:t>
      </w:r>
      <w:r w:rsidR="00A57A5C" w:rsidDel="00315D06">
        <w:t>, that is</w:t>
      </w:r>
      <w:r w:rsidR="00A57A5C" w:rsidRPr="00D7453A" w:rsidDel="00315D06">
        <w:t xml:space="preserve"> ‘for use offsite, not supplied to network’</w:t>
      </w:r>
      <w:r>
        <w:t>.</w:t>
      </w:r>
    </w:p>
    <w:p w14:paraId="61929924" w14:textId="64801C5D" w:rsidR="00A57A5C" w:rsidRPr="00D7453A" w:rsidDel="00315D06" w:rsidRDefault="00065457" w:rsidP="00B3330E">
      <w:pPr>
        <w:pStyle w:val="CERnumbering"/>
        <w:numPr>
          <w:ilvl w:val="0"/>
          <w:numId w:val="2"/>
        </w:numPr>
      </w:pPr>
      <w:r>
        <w:t>F</w:t>
      </w:r>
      <w:r w:rsidR="00A57A5C" w:rsidRPr="00D7453A" w:rsidDel="00315D06">
        <w:t>or use outside the operation of the facility for supply to an electricity transmission or distribution network</w:t>
      </w:r>
      <w:r w:rsidR="00A57A5C" w:rsidDel="00315D06">
        <w:t>, that is</w:t>
      </w:r>
      <w:r w:rsidR="00A57A5C" w:rsidRPr="00D7453A" w:rsidDel="00315D06">
        <w:t xml:space="preserve"> ‘for use offsite, supplied to network’.</w:t>
      </w:r>
    </w:p>
    <w:p w14:paraId="5009E287" w14:textId="6412AE49" w:rsidR="00A57A5C" w:rsidRPr="00FF338C" w:rsidDel="00315D06" w:rsidRDefault="00A57A5C" w:rsidP="00A57A5C">
      <w:r w:rsidRPr="00FF338C" w:rsidDel="00315D06">
        <w:t xml:space="preserve">Electricity production should be reported against these </w:t>
      </w:r>
      <w:r w:rsidR="001848D4" w:rsidDel="00315D06">
        <w:t>3</w:t>
      </w:r>
      <w:r w:rsidRPr="00FF338C" w:rsidDel="00315D06">
        <w:t xml:space="preserve"> purposes (where applicable) using the formula described in </w:t>
      </w:r>
      <w:hyperlink w:anchor="_Estimating_energy_production" w:history="1">
        <w:r w:rsidRPr="00A30145" w:rsidDel="00315D06">
          <w:rPr>
            <w:rStyle w:val="Hyperlink"/>
            <w:rFonts w:asciiTheme="minorHAnsi" w:hAnsiTheme="minorHAnsi"/>
          </w:rPr>
          <w:t>chapter 7.2</w:t>
        </w:r>
      </w:hyperlink>
      <w:r w:rsidDel="00315D06">
        <w:t xml:space="preserve"> of this guideline</w:t>
      </w:r>
      <w:r w:rsidRPr="00FF338C" w:rsidDel="00315D06">
        <w:t>.</w:t>
      </w:r>
    </w:p>
    <w:p w14:paraId="264436D4" w14:textId="08AD5040" w:rsidR="00A57A5C" w:rsidDel="00315D06" w:rsidRDefault="008061D5" w:rsidP="00A57A5C">
      <w:r>
        <w:t>Paragraph</w:t>
      </w:r>
      <w:r w:rsidRPr="00FF338C" w:rsidDel="00315D06">
        <w:t xml:space="preserve"> </w:t>
      </w:r>
      <w:r w:rsidR="00A57A5C" w:rsidRPr="00FF338C" w:rsidDel="00315D06">
        <w:t>6.2</w:t>
      </w:r>
      <w:r w:rsidR="00A57A5C" w:rsidDel="00315D06">
        <w:t>(1)</w:t>
      </w:r>
      <w:r w:rsidR="00A57A5C" w:rsidRPr="00FF338C" w:rsidDel="00315D06">
        <w:t xml:space="preserve">(c) to (e) </w:t>
      </w:r>
      <w:r w:rsidR="00A57A5C" w:rsidDel="00315D06">
        <w:t xml:space="preserve">of the NGER Measurement Determination </w:t>
      </w:r>
      <w:r w:rsidR="00A57A5C" w:rsidRPr="00FF338C" w:rsidDel="00315D06">
        <w:t xml:space="preserve">set out the requirements for quantifying the electricity for the </w:t>
      </w:r>
      <w:r w:rsidR="001848D4" w:rsidDel="00315D06">
        <w:t xml:space="preserve">3 </w:t>
      </w:r>
      <w:r w:rsidR="00A57A5C" w:rsidRPr="00FF338C" w:rsidDel="00315D06">
        <w:t xml:space="preserve">purposes, </w:t>
      </w:r>
      <w:r w:rsidR="00A57A5C" w:rsidDel="00315D06">
        <w:t xml:space="preserve">as </w:t>
      </w:r>
      <w:r w:rsidR="00A57A5C" w:rsidRPr="00FF338C" w:rsidDel="00315D06">
        <w:t>outlined below</w:t>
      </w:r>
      <w:r w:rsidR="00A57A5C" w:rsidDel="00315D06">
        <w:t>.</w:t>
      </w:r>
    </w:p>
    <w:p w14:paraId="0E4C4E62" w14:textId="7289B14B" w:rsidR="002236D4" w:rsidDel="00315D06" w:rsidRDefault="002236D4" w:rsidP="00E9388B">
      <w:pPr>
        <w:pStyle w:val="Caption"/>
        <w:keepNext/>
      </w:pPr>
      <w:r w:rsidDel="00315D06">
        <w:lastRenderedPageBreak/>
        <w:t xml:space="preserve">Table </w:t>
      </w:r>
      <w:r>
        <w:fldChar w:fldCharType="begin"/>
      </w:r>
      <w:r>
        <w:instrText>SEQ Table \* ARABIC</w:instrText>
      </w:r>
      <w:r>
        <w:fldChar w:fldCharType="separate"/>
      </w:r>
      <w:r w:rsidR="0069639D">
        <w:rPr>
          <w:noProof/>
        </w:rPr>
        <w:t>13</w:t>
      </w:r>
      <w:r>
        <w:fldChar w:fldCharType="end"/>
      </w:r>
      <w:r w:rsidDel="00315D06">
        <w:t xml:space="preserve"> – Measuring electricity production.</w:t>
      </w:r>
    </w:p>
    <w:tbl>
      <w:tblPr>
        <w:tblStyle w:val="CERTable"/>
        <w:tblW w:w="9634" w:type="dxa"/>
        <w:tblLook w:val="04A0" w:firstRow="1" w:lastRow="0" w:firstColumn="1" w:lastColumn="0" w:noHBand="0" w:noVBand="1"/>
      </w:tblPr>
      <w:tblGrid>
        <w:gridCol w:w="3969"/>
        <w:gridCol w:w="5665"/>
      </w:tblGrid>
      <w:tr w:rsidR="00A57A5C" w:rsidRPr="00FF338C" w:rsidDel="00315D06" w14:paraId="08B4B053" w14:textId="50BD7640" w:rsidTr="001B5DDF">
        <w:trPr>
          <w:cnfStyle w:val="100000000000" w:firstRow="1" w:lastRow="0" w:firstColumn="0" w:lastColumn="0" w:oddVBand="0" w:evenVBand="0" w:oddHBand="0" w:evenHBand="0" w:firstRowFirstColumn="0" w:firstRowLastColumn="0" w:lastRowFirstColumn="0" w:lastRowLastColumn="0"/>
          <w:trHeight w:val="341"/>
          <w:tblHeader/>
        </w:trPr>
        <w:tc>
          <w:tcPr>
            <w:cnfStyle w:val="001000000000" w:firstRow="0" w:lastRow="0" w:firstColumn="1" w:lastColumn="0" w:oddVBand="0" w:evenVBand="0" w:oddHBand="0" w:evenHBand="0" w:firstRowFirstColumn="0" w:firstRowLastColumn="0" w:lastRowFirstColumn="0" w:lastRowLastColumn="0"/>
            <w:tcW w:w="3969" w:type="dxa"/>
          </w:tcPr>
          <w:p w14:paraId="45C00EBB" w14:textId="77777777" w:rsidR="00A57A5C" w:rsidRPr="00FF338C" w:rsidDel="00315D06" w:rsidRDefault="00A57A5C">
            <w:pPr>
              <w:pStyle w:val="Body"/>
              <w:spacing w:line="240" w:lineRule="auto"/>
              <w:ind w:left="0"/>
              <w:rPr>
                <w:rFonts w:asciiTheme="minorHAnsi" w:hAnsiTheme="minorHAnsi"/>
                <w:sz w:val="22"/>
              </w:rPr>
            </w:pPr>
            <w:r w:rsidRPr="00FF338C" w:rsidDel="00315D06">
              <w:rPr>
                <w:rFonts w:asciiTheme="minorHAnsi" w:hAnsiTheme="minorHAnsi"/>
                <w:sz w:val="22"/>
              </w:rPr>
              <w:t>Purpose of produced electricity</w:t>
            </w:r>
          </w:p>
        </w:tc>
        <w:tc>
          <w:tcPr>
            <w:tcW w:w="5665" w:type="dxa"/>
          </w:tcPr>
          <w:p w14:paraId="7401EB81" w14:textId="77777777" w:rsidR="00A57A5C" w:rsidRPr="00FF338C" w:rsidDel="00315D06" w:rsidRDefault="00A57A5C">
            <w:pPr>
              <w:pStyle w:val="Body"/>
              <w:spacing w:line="240" w:lineRule="auto"/>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FF338C" w:rsidDel="00315D06">
              <w:rPr>
                <w:rFonts w:asciiTheme="minorHAnsi" w:hAnsiTheme="minorHAnsi"/>
                <w:sz w:val="22"/>
              </w:rPr>
              <w:t>Measuring the quantity of electricity produced (Q)</w:t>
            </w:r>
          </w:p>
        </w:tc>
      </w:tr>
      <w:tr w:rsidR="00A57A5C" w:rsidRPr="00FF338C" w:rsidDel="00315D06" w14:paraId="0299B2FB" w14:textId="4CCEC556" w:rsidTr="00D2141E">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969" w:type="dxa"/>
          </w:tcPr>
          <w:p w14:paraId="16DD0864" w14:textId="77777777" w:rsidR="00A57A5C" w:rsidRPr="00FF338C" w:rsidDel="00315D06" w:rsidRDefault="00A57A5C">
            <w:pPr>
              <w:pStyle w:val="Body"/>
              <w:spacing w:line="240" w:lineRule="auto"/>
              <w:ind w:left="0"/>
              <w:rPr>
                <w:rFonts w:asciiTheme="minorHAnsi" w:hAnsiTheme="minorHAnsi"/>
                <w:sz w:val="22"/>
              </w:rPr>
            </w:pPr>
            <w:r w:rsidRPr="00FF338C" w:rsidDel="00315D06">
              <w:rPr>
                <w:rFonts w:asciiTheme="minorHAnsi" w:hAnsiTheme="minorHAnsi"/>
                <w:sz w:val="22"/>
              </w:rPr>
              <w:t>For use onsite</w:t>
            </w:r>
          </w:p>
          <w:p w14:paraId="2DC3C7B0" w14:textId="63F5E03C" w:rsidR="00A57A5C" w:rsidRPr="00FF338C" w:rsidDel="00315D06" w:rsidRDefault="00A57A5C" w:rsidP="00D2141E">
            <w:pPr>
              <w:spacing w:after="120"/>
              <w:rPr>
                <w:b w:val="0"/>
              </w:rPr>
            </w:pPr>
          </w:p>
        </w:tc>
        <w:tc>
          <w:tcPr>
            <w:tcW w:w="5665" w:type="dxa"/>
          </w:tcPr>
          <w:p w14:paraId="4AD06754" w14:textId="77777777" w:rsidR="00A57A5C" w:rsidRPr="00FE31CC" w:rsidDel="00315D06" w:rsidRDefault="00A57A5C">
            <w:pPr>
              <w:pStyle w:val="Body"/>
              <w:spacing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E31CC" w:rsidDel="00315D06">
              <w:rPr>
                <w:rFonts w:asciiTheme="minorHAnsi" w:hAnsiTheme="minorHAnsi"/>
                <w:sz w:val="22"/>
              </w:rPr>
              <w:t>Electricity production (Q) is equal to:</w:t>
            </w:r>
          </w:p>
          <w:p w14:paraId="3818EACA" w14:textId="77777777" w:rsidR="00A57A5C" w:rsidRPr="00FF338C" w:rsidDel="00315D06" w:rsidRDefault="00A57A5C">
            <w:pPr>
              <w:pStyle w:val="Body"/>
              <w:spacing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F338C" w:rsidDel="00315D06">
              <w:rPr>
                <w:rFonts w:asciiTheme="minorHAnsi" w:hAnsiTheme="minorHAnsi"/>
                <w:sz w:val="22"/>
              </w:rPr>
              <w:t>The electricity produced by the electricity generating unit(s) as measured at the terminals</w:t>
            </w:r>
          </w:p>
          <w:p w14:paraId="2EF42917" w14:textId="77777777" w:rsidR="00A57A5C" w:rsidRPr="002C7CAE" w:rsidDel="00315D06" w:rsidRDefault="00A57A5C">
            <w:pPr>
              <w:pStyle w:val="Body"/>
              <w:spacing w:line="240" w:lineRule="auto"/>
              <w:ind w:left="720"/>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rPr>
            </w:pPr>
            <w:r w:rsidRPr="00FE31CC" w:rsidDel="00315D06">
              <w:rPr>
                <w:rFonts w:asciiTheme="minorHAnsi" w:hAnsiTheme="minorHAnsi"/>
                <w:sz w:val="22"/>
              </w:rPr>
              <w:t>minus</w:t>
            </w:r>
          </w:p>
          <w:p w14:paraId="67D92BCC" w14:textId="77777777" w:rsidR="00A57A5C" w:rsidRPr="00FF338C" w:rsidDel="00315D06" w:rsidRDefault="00A57A5C">
            <w:pPr>
              <w:pStyle w:val="Body"/>
              <w:spacing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F338C" w:rsidDel="00315D06">
              <w:rPr>
                <w:rFonts w:asciiTheme="minorHAnsi" w:hAnsiTheme="minorHAnsi"/>
                <w:sz w:val="22"/>
              </w:rPr>
              <w:t>Electricity supplied for use outside the operation of the facility that is not supplied to the network</w:t>
            </w:r>
          </w:p>
          <w:p w14:paraId="11722627" w14:textId="77777777" w:rsidR="00A57A5C" w:rsidRPr="002C7CAE" w:rsidDel="00315D06" w:rsidRDefault="00A57A5C">
            <w:pPr>
              <w:pStyle w:val="Body"/>
              <w:spacing w:line="240" w:lineRule="auto"/>
              <w:ind w:left="720"/>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rPr>
            </w:pPr>
            <w:r w:rsidRPr="00FE31CC" w:rsidDel="00315D06">
              <w:rPr>
                <w:rFonts w:asciiTheme="minorHAnsi" w:hAnsiTheme="minorHAnsi"/>
                <w:sz w:val="22"/>
              </w:rPr>
              <w:t>minus</w:t>
            </w:r>
          </w:p>
          <w:p w14:paraId="632E4F01" w14:textId="77777777" w:rsidR="00A57A5C" w:rsidRPr="00FF338C" w:rsidDel="00315D06" w:rsidRDefault="00A57A5C">
            <w:pPr>
              <w:pStyle w:val="Body"/>
              <w:spacing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F338C" w:rsidDel="00315D06">
              <w:rPr>
                <w:rFonts w:asciiTheme="minorHAnsi" w:hAnsiTheme="minorHAnsi"/>
                <w:sz w:val="22"/>
              </w:rPr>
              <w:t xml:space="preserve">Electricity supplied to a transmission or distribution network measured at the network connection point. </w:t>
            </w:r>
          </w:p>
        </w:tc>
      </w:tr>
      <w:tr w:rsidR="00A57A5C" w:rsidRPr="00FF338C" w:rsidDel="00315D06" w14:paraId="0BD73FDD" w14:textId="49B13DB9" w:rsidTr="00D2141E">
        <w:trPr>
          <w:cnfStyle w:val="000000010000" w:firstRow="0" w:lastRow="0" w:firstColumn="0" w:lastColumn="0" w:oddVBand="0" w:evenVBand="0" w:oddHBand="0" w:evenHBand="1"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969" w:type="dxa"/>
            <w:tcBorders>
              <w:bottom w:val="single" w:sz="8" w:space="0" w:color="E8E8E8" w:themeColor="background2"/>
            </w:tcBorders>
          </w:tcPr>
          <w:p w14:paraId="5D7403F3" w14:textId="77777777" w:rsidR="00A57A5C" w:rsidRPr="00FF338C" w:rsidDel="00315D06" w:rsidRDefault="00A57A5C">
            <w:pPr>
              <w:pStyle w:val="Body"/>
              <w:spacing w:line="240" w:lineRule="auto"/>
              <w:ind w:left="0"/>
              <w:rPr>
                <w:rFonts w:asciiTheme="minorHAnsi" w:hAnsiTheme="minorHAnsi"/>
                <w:b w:val="0"/>
                <w:sz w:val="22"/>
              </w:rPr>
            </w:pPr>
            <w:r w:rsidRPr="00FF338C" w:rsidDel="00315D06">
              <w:rPr>
                <w:rFonts w:asciiTheme="minorHAnsi" w:hAnsiTheme="minorHAnsi"/>
                <w:sz w:val="22"/>
              </w:rPr>
              <w:t>For use offsite, not supplied to network</w:t>
            </w:r>
          </w:p>
          <w:p w14:paraId="46C86708" w14:textId="73CA42F1" w:rsidR="00A57A5C" w:rsidRPr="00FF338C" w:rsidDel="00315D06" w:rsidRDefault="00A57A5C">
            <w:pPr>
              <w:pStyle w:val="Body"/>
              <w:spacing w:line="240" w:lineRule="auto"/>
              <w:ind w:left="0"/>
              <w:rPr>
                <w:rFonts w:asciiTheme="minorHAnsi" w:hAnsiTheme="minorHAnsi"/>
                <w:b w:val="0"/>
                <w:sz w:val="22"/>
              </w:rPr>
            </w:pPr>
          </w:p>
        </w:tc>
        <w:tc>
          <w:tcPr>
            <w:tcW w:w="5665" w:type="dxa"/>
            <w:tcBorders>
              <w:bottom w:val="single" w:sz="8" w:space="0" w:color="E8E8E8" w:themeColor="background2"/>
            </w:tcBorders>
          </w:tcPr>
          <w:p w14:paraId="11258203" w14:textId="77777777" w:rsidR="00A57A5C" w:rsidRPr="00FE31CC" w:rsidDel="00315D06" w:rsidRDefault="00A57A5C">
            <w:pPr>
              <w:pStyle w:val="Body"/>
              <w:spacing w:line="240" w:lineRule="auto"/>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FE31CC" w:rsidDel="00315D06">
              <w:rPr>
                <w:rFonts w:asciiTheme="minorHAnsi" w:hAnsiTheme="minorHAnsi"/>
                <w:sz w:val="22"/>
              </w:rPr>
              <w:t>Electricity production (Q) is equal to:</w:t>
            </w:r>
          </w:p>
          <w:p w14:paraId="66F97A57" w14:textId="20135CE6" w:rsidR="00A57A5C" w:rsidRPr="00FF338C" w:rsidDel="00315D06" w:rsidRDefault="00A57A5C">
            <w:pPr>
              <w:pStyle w:val="Body"/>
              <w:spacing w:line="240" w:lineRule="auto"/>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FF338C" w:rsidDel="00315D06">
              <w:rPr>
                <w:rFonts w:asciiTheme="minorHAnsi" w:hAnsiTheme="minorHAnsi"/>
                <w:sz w:val="22"/>
              </w:rPr>
              <w:t>Electricity supplied for use outside the facility that is not supplied to the network</w:t>
            </w:r>
            <w:r w:rsidR="002C2A18" w:rsidDel="00315D06">
              <w:rPr>
                <w:rFonts w:asciiTheme="minorHAnsi" w:hAnsiTheme="minorHAnsi"/>
                <w:sz w:val="22"/>
              </w:rPr>
              <w:t xml:space="preserve"> </w:t>
            </w:r>
            <w:r w:rsidR="00C827B9" w:rsidDel="00315D06">
              <w:rPr>
                <w:rFonts w:asciiTheme="minorHAnsi" w:hAnsiTheme="minorHAnsi"/>
                <w:sz w:val="22"/>
              </w:rPr>
              <w:t xml:space="preserve">measured </w:t>
            </w:r>
            <w:r w:rsidR="002C2A18" w:rsidDel="00315D06">
              <w:rPr>
                <w:rFonts w:asciiTheme="minorHAnsi" w:hAnsiTheme="minorHAnsi"/>
                <w:sz w:val="22"/>
              </w:rPr>
              <w:t xml:space="preserve">at the </w:t>
            </w:r>
            <w:r w:rsidR="000E5229" w:rsidDel="00315D06">
              <w:rPr>
                <w:rFonts w:asciiTheme="minorHAnsi" w:hAnsiTheme="minorHAnsi"/>
                <w:sz w:val="22"/>
              </w:rPr>
              <w:t xml:space="preserve">agreed connection </w:t>
            </w:r>
            <w:r w:rsidR="00545981" w:rsidDel="00315D06">
              <w:rPr>
                <w:rFonts w:asciiTheme="minorHAnsi" w:hAnsiTheme="minorHAnsi"/>
                <w:sz w:val="22"/>
              </w:rPr>
              <w:t>point</w:t>
            </w:r>
            <w:r w:rsidR="00C3616B" w:rsidDel="00315D06">
              <w:rPr>
                <w:rFonts w:asciiTheme="minorHAnsi" w:hAnsiTheme="minorHAnsi"/>
                <w:sz w:val="22"/>
              </w:rPr>
              <w:t xml:space="preserve"> </w:t>
            </w:r>
            <w:r w:rsidR="00936457" w:rsidDel="00315D06">
              <w:rPr>
                <w:rFonts w:asciiTheme="minorHAnsi" w:hAnsiTheme="minorHAnsi"/>
                <w:sz w:val="22"/>
              </w:rPr>
              <w:t xml:space="preserve">and evidenced by </w:t>
            </w:r>
            <w:r w:rsidR="00EA203A" w:rsidDel="00315D06">
              <w:t>invoices, contractual arrangements or industry metering records</w:t>
            </w:r>
            <w:r w:rsidDel="00315D06">
              <w:t>.</w:t>
            </w:r>
          </w:p>
        </w:tc>
      </w:tr>
      <w:tr w:rsidR="00503817" w:rsidRPr="00FF338C" w:rsidDel="00315D06" w14:paraId="73DD5B68" w14:textId="3C55683C" w:rsidTr="00D2141E">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969" w:type="dxa"/>
            <w:tcBorders>
              <w:top w:val="single" w:sz="8" w:space="0" w:color="E8E8E8" w:themeColor="background2"/>
              <w:bottom w:val="single" w:sz="4" w:space="0" w:color="FCBA5C" w:themeColor="accent2"/>
            </w:tcBorders>
          </w:tcPr>
          <w:p w14:paraId="5BB9B61C" w14:textId="77777777" w:rsidR="00A57A5C" w:rsidRPr="00FF338C" w:rsidDel="00315D06" w:rsidRDefault="00A57A5C">
            <w:pPr>
              <w:pStyle w:val="Body"/>
              <w:spacing w:line="240" w:lineRule="auto"/>
              <w:ind w:left="0"/>
              <w:rPr>
                <w:rFonts w:asciiTheme="minorHAnsi" w:hAnsiTheme="minorHAnsi"/>
                <w:sz w:val="22"/>
              </w:rPr>
            </w:pPr>
            <w:r w:rsidRPr="00FF338C" w:rsidDel="00315D06">
              <w:rPr>
                <w:rFonts w:asciiTheme="minorHAnsi" w:hAnsiTheme="minorHAnsi"/>
                <w:sz w:val="22"/>
              </w:rPr>
              <w:t>For use offsite, supplied to network</w:t>
            </w:r>
          </w:p>
          <w:p w14:paraId="7E8C2C2E" w14:textId="6CC9367C" w:rsidR="00A57A5C" w:rsidRPr="00FF338C" w:rsidDel="00315D06" w:rsidRDefault="00A57A5C">
            <w:pPr>
              <w:pStyle w:val="Body"/>
              <w:spacing w:line="240" w:lineRule="auto"/>
              <w:ind w:left="0"/>
              <w:rPr>
                <w:rFonts w:asciiTheme="minorHAnsi" w:hAnsiTheme="minorHAnsi"/>
                <w:b w:val="0"/>
                <w:sz w:val="22"/>
              </w:rPr>
            </w:pPr>
          </w:p>
        </w:tc>
        <w:tc>
          <w:tcPr>
            <w:tcW w:w="5665" w:type="dxa"/>
            <w:tcBorders>
              <w:top w:val="single" w:sz="8" w:space="0" w:color="E8E8E8" w:themeColor="background2"/>
              <w:bottom w:val="single" w:sz="4" w:space="0" w:color="FCBA5C" w:themeColor="accent2"/>
            </w:tcBorders>
          </w:tcPr>
          <w:p w14:paraId="6287E302" w14:textId="77777777" w:rsidR="00A57A5C" w:rsidRPr="00FE31CC" w:rsidDel="00315D06" w:rsidRDefault="00A57A5C">
            <w:pPr>
              <w:pStyle w:val="Body"/>
              <w:spacing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E31CC" w:rsidDel="00315D06">
              <w:rPr>
                <w:rFonts w:asciiTheme="minorHAnsi" w:hAnsiTheme="minorHAnsi"/>
                <w:sz w:val="22"/>
              </w:rPr>
              <w:t>Electricity production (Q) is equal to:</w:t>
            </w:r>
          </w:p>
          <w:p w14:paraId="121CBF23" w14:textId="77777777" w:rsidR="00A57A5C" w:rsidRPr="00FF338C" w:rsidDel="00315D06" w:rsidRDefault="00A57A5C">
            <w:pPr>
              <w:pStyle w:val="Body"/>
              <w:spacing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F338C" w:rsidDel="00315D06">
              <w:rPr>
                <w:rFonts w:asciiTheme="minorHAnsi" w:hAnsiTheme="minorHAnsi"/>
                <w:sz w:val="22"/>
              </w:rPr>
              <w:t>Electricity supplied to a transmission or distribution network measured at the network connection point.</w:t>
            </w:r>
          </w:p>
        </w:tc>
      </w:tr>
    </w:tbl>
    <w:p w14:paraId="0E089FBE" w14:textId="77777777" w:rsidR="00A57A5C" w:rsidRPr="00D2141E" w:rsidDel="00315D06" w:rsidRDefault="00A57A5C" w:rsidP="00A57A5C">
      <w:pPr>
        <w:pStyle w:val="Heading4"/>
      </w:pPr>
      <w:bookmarkStart w:id="302" w:name="_Toc235706349"/>
      <w:r w:rsidRPr="00D2141E" w:rsidDel="00315D06">
        <w:t>Reporting consumption and production of electricity for use onsite in EERS</w:t>
      </w:r>
      <w:bookmarkEnd w:id="302"/>
    </w:p>
    <w:p w14:paraId="7BE4F258" w14:textId="74FBBEAD" w:rsidR="00A57A5C" w:rsidRPr="00CD0EE3" w:rsidDel="00315D06" w:rsidRDefault="00A57A5C" w:rsidP="00D2141E">
      <w:pPr>
        <w:pStyle w:val="Body"/>
        <w:ind w:left="0"/>
      </w:pPr>
      <w:r w:rsidRPr="00D2141E" w:rsidDel="00315D06">
        <w:rPr>
          <w:rFonts w:asciiTheme="minorHAnsi" w:hAnsiTheme="minorHAnsi"/>
          <w:sz w:val="22"/>
        </w:rPr>
        <w:t xml:space="preserve">EERS automatically </w:t>
      </w:r>
      <w:r w:rsidR="00271E1E">
        <w:rPr>
          <w:rFonts w:asciiTheme="minorHAnsi" w:hAnsiTheme="minorHAnsi"/>
          <w:sz w:val="22"/>
        </w:rPr>
        <w:t>generates a</w:t>
      </w:r>
      <w:r w:rsidR="00F03345">
        <w:rPr>
          <w:rFonts w:asciiTheme="minorHAnsi" w:hAnsiTheme="minorHAnsi"/>
          <w:sz w:val="22"/>
        </w:rPr>
        <w:t xml:space="preserve"> consumption</w:t>
      </w:r>
      <w:r w:rsidR="00271E1E">
        <w:rPr>
          <w:rFonts w:asciiTheme="minorHAnsi" w:hAnsiTheme="minorHAnsi"/>
          <w:sz w:val="22"/>
        </w:rPr>
        <w:t xml:space="preserve"> activit</w:t>
      </w:r>
      <w:r w:rsidR="004F18F8">
        <w:rPr>
          <w:rFonts w:asciiTheme="minorHAnsi" w:hAnsiTheme="minorHAnsi"/>
          <w:sz w:val="22"/>
        </w:rPr>
        <w:t xml:space="preserve">y </w:t>
      </w:r>
      <w:proofErr w:type="gramStart"/>
      <w:r w:rsidR="004F18F8">
        <w:rPr>
          <w:rFonts w:asciiTheme="minorHAnsi" w:hAnsiTheme="minorHAnsi"/>
          <w:sz w:val="22"/>
        </w:rPr>
        <w:t>for the</w:t>
      </w:r>
      <w:r w:rsidRPr="00D2141E" w:rsidDel="00315D06">
        <w:rPr>
          <w:rFonts w:asciiTheme="minorHAnsi" w:hAnsiTheme="minorHAnsi"/>
          <w:sz w:val="22"/>
        </w:rPr>
        <w:t xml:space="preserve"> amount of</w:t>
      </w:r>
      <w:proofErr w:type="gramEnd"/>
      <w:r w:rsidRPr="00D2141E" w:rsidDel="00315D06">
        <w:rPr>
          <w:rFonts w:asciiTheme="minorHAnsi" w:hAnsiTheme="minorHAnsi"/>
          <w:sz w:val="22"/>
        </w:rPr>
        <w:t xml:space="preserve"> electricity produced ‘for use for the purposes of the facility (for use onsite)’, which </w:t>
      </w:r>
      <w:r w:rsidRPr="00D2141E" w:rsidDel="002D799A">
        <w:rPr>
          <w:rFonts w:asciiTheme="minorHAnsi" w:hAnsiTheme="minorHAnsi"/>
          <w:sz w:val="22"/>
        </w:rPr>
        <w:t>is equal to</w:t>
      </w:r>
      <w:r w:rsidRPr="00D2141E" w:rsidDel="00315D06">
        <w:rPr>
          <w:rFonts w:asciiTheme="minorHAnsi" w:hAnsiTheme="minorHAnsi"/>
          <w:sz w:val="22"/>
        </w:rPr>
        <w:t xml:space="preserve"> the reported amount of electricity produced ‘for use for the purposes of the facility’. Where electricity produced ‘for use for the purposes of the facility (for use onsite)’ is inputted into EERS, consumption of that electricity must not be inputted separately. This is described in the example below. </w:t>
      </w:r>
    </w:p>
    <w:tbl>
      <w:tblPr>
        <w:tblStyle w:val="CERCallout"/>
        <w:tblW w:w="5000" w:type="pct"/>
        <w:tblLook w:val="0680" w:firstRow="0" w:lastRow="0" w:firstColumn="1" w:lastColumn="0" w:noHBand="1" w:noVBand="1"/>
      </w:tblPr>
      <w:tblGrid>
        <w:gridCol w:w="9710"/>
      </w:tblGrid>
      <w:tr w:rsidR="00D67F2D" w:rsidRPr="00CD0EE3" w:rsidDel="00315D06" w14:paraId="039D6E8C" w14:textId="61DA39D9" w:rsidTr="00E5622F">
        <w:tc>
          <w:tcPr>
            <w:tcW w:w="4708" w:type="pct"/>
          </w:tcPr>
          <w:p w14:paraId="19320E43" w14:textId="39ACD545" w:rsidR="00A57A5C" w:rsidRPr="00D05244" w:rsidDel="00315D06" w:rsidRDefault="00A57A5C" w:rsidP="00E5622F">
            <w:pPr>
              <w:pStyle w:val="Heading5"/>
              <w:rPr>
                <w:b w:val="0"/>
              </w:rPr>
            </w:pPr>
            <w:bookmarkStart w:id="303" w:name="_Toc235706350"/>
            <w:r w:rsidRPr="00D05244" w:rsidDel="00315D06">
              <w:lastRenderedPageBreak/>
              <w:t>Example</w:t>
            </w:r>
            <w:r w:rsidR="009054D1">
              <w:t>:</w:t>
            </w:r>
            <w:r w:rsidRPr="00D05244" w:rsidDel="00315D06">
              <w:t xml:space="preserve"> Reporting consumption and production of </w:t>
            </w:r>
            <w:r w:rsidR="00AF696C">
              <w:t xml:space="preserve">fossil fuel-derived </w:t>
            </w:r>
            <w:r w:rsidRPr="00D05244" w:rsidDel="00315D06">
              <w:t xml:space="preserve">electricity for use </w:t>
            </w:r>
            <w:r w:rsidR="00654C11" w:rsidDel="00315D06">
              <w:t>onsite</w:t>
            </w:r>
            <w:r w:rsidR="00330F16" w:rsidDel="00315D06">
              <w:t xml:space="preserve"> in EERS</w:t>
            </w:r>
            <w:bookmarkEnd w:id="303"/>
          </w:p>
          <w:p w14:paraId="3059D038" w14:textId="5A0548CE" w:rsidR="00A57A5C" w:rsidRPr="00D05244" w:rsidDel="00315D06" w:rsidRDefault="00A57A5C">
            <w:pPr>
              <w:ind w:left="0" w:right="0"/>
              <w:rPr>
                <w:b/>
                <w:bCs/>
              </w:rPr>
            </w:pPr>
            <w:r w:rsidRPr="00D05244" w:rsidDel="00C5708E">
              <w:rPr>
                <w:bCs/>
              </w:rPr>
              <w:t xml:space="preserve">The electricity </w:t>
            </w:r>
            <w:r w:rsidRPr="00D05244" w:rsidDel="00315D06">
              <w:rPr>
                <w:bCs/>
              </w:rPr>
              <w:t xml:space="preserve">produced </w:t>
            </w:r>
            <w:r w:rsidRPr="00D05244" w:rsidDel="00C5708E">
              <w:rPr>
                <w:bCs/>
              </w:rPr>
              <w:t xml:space="preserve">by a facility includes </w:t>
            </w:r>
            <w:r w:rsidRPr="00D05244" w:rsidDel="00315D06">
              <w:rPr>
                <w:bCs/>
              </w:rPr>
              <w:t>100,000</w:t>
            </w:r>
            <w:r w:rsidR="00DA4CB3" w:rsidDel="00315D06">
              <w:rPr>
                <w:bCs/>
              </w:rPr>
              <w:t> </w:t>
            </w:r>
            <w:r w:rsidRPr="00D05244" w:rsidDel="00315D06">
              <w:rPr>
                <w:bCs/>
              </w:rPr>
              <w:t>kWh of electricity produced ‘for use for the purposes of the facility’. The reporter inputs 100,000</w:t>
            </w:r>
            <w:r w:rsidR="00DA4CB3" w:rsidDel="00315D06">
              <w:rPr>
                <w:bCs/>
              </w:rPr>
              <w:t> </w:t>
            </w:r>
            <w:r w:rsidRPr="00D05244" w:rsidDel="00315D06">
              <w:rPr>
                <w:bCs/>
              </w:rPr>
              <w:t>kWh into EERS as electricity produced ‘for use for the purposes of the facility’.</w:t>
            </w:r>
          </w:p>
          <w:p w14:paraId="0095D0CF" w14:textId="77777777" w:rsidR="00A57A5C" w:rsidRPr="00D05244" w:rsidDel="00315D06" w:rsidRDefault="00A57A5C">
            <w:pPr>
              <w:ind w:left="0" w:right="0"/>
              <w:rPr>
                <w:b/>
                <w:bCs/>
              </w:rPr>
            </w:pPr>
            <w:r w:rsidRPr="00D05244" w:rsidDel="00315D06">
              <w:rPr>
                <w:bCs/>
              </w:rPr>
              <w:t>EERS then records:</w:t>
            </w:r>
          </w:p>
          <w:p w14:paraId="0E784E39" w14:textId="0841BC48" w:rsidR="00EB211B" w:rsidRPr="00D05244" w:rsidDel="00315D06" w:rsidRDefault="00A57A5C" w:rsidP="00B3330E">
            <w:pPr>
              <w:pStyle w:val="CERbullets"/>
              <w:numPr>
                <w:ilvl w:val="0"/>
                <w:numId w:val="12"/>
              </w:numPr>
              <w:ind w:left="357" w:right="0" w:hanging="357"/>
              <w:rPr>
                <w:rFonts w:ascii="Calibri" w:hAnsi="Calibri" w:cs="Calibri"/>
                <w:b/>
                <w:bCs/>
                <w:color w:val="000000"/>
              </w:rPr>
            </w:pPr>
            <w:bookmarkStart w:id="304" w:name="_Hlk48050786"/>
            <w:r w:rsidRPr="00D05244" w:rsidDel="00315D06">
              <w:rPr>
                <w:rFonts w:ascii="Calibri" w:hAnsi="Calibri" w:cs="Calibri"/>
                <w:bCs/>
                <w:color w:val="000000"/>
              </w:rPr>
              <w:t>100,000</w:t>
            </w:r>
            <w:r w:rsidR="00DA4CB3" w:rsidDel="00315D06">
              <w:rPr>
                <w:rFonts w:ascii="Calibri" w:hAnsi="Calibri" w:cs="Calibri"/>
                <w:bCs/>
                <w:color w:val="000000"/>
              </w:rPr>
              <w:t> </w:t>
            </w:r>
            <w:r w:rsidRPr="00D05244" w:rsidDel="00315D06">
              <w:rPr>
                <w:rFonts w:ascii="Calibri" w:hAnsi="Calibri" w:cs="Calibri"/>
                <w:bCs/>
                <w:color w:val="000000"/>
              </w:rPr>
              <w:t>kWh (360</w:t>
            </w:r>
            <w:r w:rsidR="00DA4CB3" w:rsidDel="00315D06">
              <w:rPr>
                <w:rFonts w:ascii="Calibri" w:hAnsi="Calibri" w:cs="Calibri"/>
                <w:bCs/>
                <w:color w:val="000000"/>
              </w:rPr>
              <w:t> </w:t>
            </w:r>
            <w:r w:rsidRPr="00D05244" w:rsidDel="00315D06">
              <w:rPr>
                <w:rFonts w:ascii="Calibri" w:hAnsi="Calibri" w:cs="Calibri"/>
                <w:bCs/>
                <w:color w:val="000000"/>
              </w:rPr>
              <w:t>GJ) of electricity produced ‘for use for the purposes of the facility’</w:t>
            </w:r>
          </w:p>
          <w:p w14:paraId="385D9CF4" w14:textId="7A3A3D41" w:rsidR="00A57A5C" w:rsidRPr="00D05244" w:rsidDel="00315D06" w:rsidRDefault="00A57A5C" w:rsidP="00B3330E">
            <w:pPr>
              <w:pStyle w:val="CERbullets"/>
              <w:numPr>
                <w:ilvl w:val="0"/>
                <w:numId w:val="12"/>
              </w:numPr>
              <w:ind w:left="357" w:right="0" w:hanging="357"/>
              <w:rPr>
                <w:rFonts w:ascii="Calibri" w:hAnsi="Calibri" w:cs="Calibri"/>
                <w:b/>
                <w:bCs/>
                <w:color w:val="000000"/>
              </w:rPr>
            </w:pPr>
            <w:r w:rsidRPr="00D05244" w:rsidDel="00315D06">
              <w:rPr>
                <w:rFonts w:ascii="Calibri" w:hAnsi="Calibri" w:cs="Calibri"/>
                <w:bCs/>
                <w:color w:val="000000"/>
              </w:rPr>
              <w:t>100,000</w:t>
            </w:r>
            <w:r w:rsidR="00DA4CB3" w:rsidDel="00315D06">
              <w:rPr>
                <w:rFonts w:ascii="Calibri" w:hAnsi="Calibri" w:cs="Calibri"/>
                <w:bCs/>
                <w:color w:val="000000"/>
              </w:rPr>
              <w:t> </w:t>
            </w:r>
            <w:r w:rsidRPr="00D05244" w:rsidDel="00315D06">
              <w:rPr>
                <w:rFonts w:ascii="Calibri" w:hAnsi="Calibri" w:cs="Calibri"/>
                <w:bCs/>
                <w:color w:val="000000"/>
              </w:rPr>
              <w:t>kWh (360</w:t>
            </w:r>
            <w:r w:rsidR="00DA4CB3" w:rsidDel="00315D06">
              <w:rPr>
                <w:rFonts w:ascii="Calibri" w:hAnsi="Calibri" w:cs="Calibri"/>
                <w:bCs/>
                <w:color w:val="000000"/>
              </w:rPr>
              <w:t> </w:t>
            </w:r>
            <w:r w:rsidRPr="00D05244" w:rsidDel="00315D06">
              <w:rPr>
                <w:rFonts w:ascii="Calibri" w:hAnsi="Calibri" w:cs="Calibri"/>
                <w:bCs/>
                <w:color w:val="000000"/>
              </w:rPr>
              <w:t>GJ) of consumption of electricity produced ‘for use for the purposes of the facility’.</w:t>
            </w:r>
          </w:p>
          <w:bookmarkEnd w:id="304"/>
          <w:p w14:paraId="7A5AFD1D" w14:textId="119E9D1C" w:rsidR="00A57A5C" w:rsidRPr="00D05244" w:rsidDel="00405B45" w:rsidRDefault="00A57A5C" w:rsidP="002D799A">
            <w:pPr>
              <w:ind w:left="0" w:right="0"/>
              <w:rPr>
                <w:b/>
                <w:bCs/>
              </w:rPr>
            </w:pPr>
            <w:r w:rsidRPr="00D05244" w:rsidDel="003E6ADB">
              <w:rPr>
                <w:bCs/>
              </w:rPr>
              <w:t xml:space="preserve">These </w:t>
            </w:r>
            <w:r w:rsidRPr="00D05244" w:rsidDel="00315D06">
              <w:rPr>
                <w:bCs/>
              </w:rPr>
              <w:t>values will be included in the NGER report generated by EERS</w:t>
            </w:r>
            <w:r w:rsidR="00CE637C" w:rsidDel="00315D06">
              <w:rPr>
                <w:bCs/>
              </w:rPr>
              <w:t xml:space="preserve"> and should not be delet</w:t>
            </w:r>
            <w:r w:rsidR="00672F7F" w:rsidDel="00315D06">
              <w:rPr>
                <w:bCs/>
              </w:rPr>
              <w:t>ed</w:t>
            </w:r>
            <w:r w:rsidRPr="00D05244" w:rsidDel="00315D06">
              <w:rPr>
                <w:bCs/>
              </w:rPr>
              <w:t>.</w:t>
            </w:r>
          </w:p>
          <w:p w14:paraId="17EE411C" w14:textId="77777777" w:rsidR="00A57A5C" w:rsidRDefault="00A57A5C" w:rsidP="00405B45">
            <w:pPr>
              <w:ind w:left="0" w:right="0"/>
              <w:rPr>
                <w:b/>
              </w:rPr>
            </w:pPr>
            <w:r w:rsidRPr="00D05244" w:rsidDel="003E6ADB">
              <w:rPr>
                <w:bCs/>
              </w:rPr>
              <w:t xml:space="preserve">The reporter </w:t>
            </w:r>
            <w:r w:rsidR="00D16406" w:rsidDel="003E6ADB">
              <w:rPr>
                <w:bCs/>
              </w:rPr>
              <w:t>is not required to</w:t>
            </w:r>
            <w:r w:rsidRPr="00D05244" w:rsidDel="003E6ADB">
              <w:rPr>
                <w:bCs/>
              </w:rPr>
              <w:t xml:space="preserve"> manually input </w:t>
            </w:r>
            <w:r w:rsidRPr="00D05244" w:rsidDel="003E6ADB">
              <w:rPr>
                <w:bCs/>
                <w:szCs w:val="22"/>
              </w:rPr>
              <w:t>consumption of electricity produced ‘for use for the purposes of the facility (for use onsite)’</w:t>
            </w:r>
            <w:r w:rsidRPr="00D05244" w:rsidDel="003E6ADB">
              <w:rPr>
                <w:bCs/>
              </w:rPr>
              <w:t xml:space="preserve"> because it </w:t>
            </w:r>
            <w:r w:rsidR="00EB2FE0" w:rsidDel="003E6ADB">
              <w:rPr>
                <w:bCs/>
              </w:rPr>
              <w:t>is</w:t>
            </w:r>
            <w:r w:rsidRPr="00D05244" w:rsidDel="003E6ADB">
              <w:rPr>
                <w:bCs/>
              </w:rPr>
              <w:t xml:space="preserve"> automatically recorded by EERS</w:t>
            </w:r>
            <w:r w:rsidR="00592CD1" w:rsidDel="003E6ADB">
              <w:t>.</w:t>
            </w:r>
            <w:r w:rsidRPr="00CD0EE3" w:rsidDel="003E6ADB">
              <w:t xml:space="preserve"> </w:t>
            </w:r>
          </w:p>
          <w:p w14:paraId="0FAD3A2C" w14:textId="212CEEE1" w:rsidR="00C05083" w:rsidRPr="00CC1AC6" w:rsidDel="00315D06" w:rsidRDefault="00C05083" w:rsidP="00405B45">
            <w:pPr>
              <w:ind w:left="0" w:right="0"/>
              <w:rPr>
                <w:bCs/>
              </w:rPr>
            </w:pPr>
            <w:r w:rsidRPr="00CC1AC6">
              <w:rPr>
                <w:bCs/>
              </w:rPr>
              <w:t xml:space="preserve">If </w:t>
            </w:r>
            <w:r w:rsidR="0055018A" w:rsidRPr="00CC1AC6">
              <w:rPr>
                <w:bCs/>
              </w:rPr>
              <w:t>the electricity was produced from a renewable energy commodity, a second activity</w:t>
            </w:r>
            <w:r w:rsidR="000C3624" w:rsidRPr="00CC1AC6">
              <w:rPr>
                <w:bCs/>
              </w:rPr>
              <w:t xml:space="preserve"> for consumption of the energy commodity will also be recorded (see </w:t>
            </w:r>
            <w:r w:rsidR="00D47737" w:rsidRPr="00CC1AC6">
              <w:rPr>
                <w:bCs/>
              </w:rPr>
              <w:t xml:space="preserve">chapter </w:t>
            </w:r>
            <w:r w:rsidR="00D47737" w:rsidRPr="00CC1AC6">
              <w:rPr>
                <w:bCs/>
              </w:rPr>
              <w:fldChar w:fldCharType="begin"/>
            </w:r>
            <w:r w:rsidR="00D47737" w:rsidRPr="00CC1AC6">
              <w:rPr>
                <w:bCs/>
              </w:rPr>
              <w:instrText xml:space="preserve"> REF _Ref232594065 \r \h </w:instrText>
            </w:r>
            <w:r w:rsidR="0069639D" w:rsidRPr="00E5622F">
              <w:rPr>
                <w:bCs/>
              </w:rPr>
              <w:instrText xml:space="preserve"> \* MERGEFORMAT </w:instrText>
            </w:r>
            <w:r w:rsidR="00D47737" w:rsidRPr="00CC1AC6">
              <w:rPr>
                <w:bCs/>
              </w:rPr>
            </w:r>
            <w:r w:rsidR="00D47737" w:rsidRPr="00CC1AC6">
              <w:rPr>
                <w:bCs/>
              </w:rPr>
              <w:fldChar w:fldCharType="separate"/>
            </w:r>
            <w:r w:rsidR="0069639D" w:rsidRPr="00E5622F">
              <w:rPr>
                <w:bCs/>
              </w:rPr>
              <w:t>7.4</w:t>
            </w:r>
            <w:r w:rsidR="00D47737" w:rsidRPr="00CC1AC6">
              <w:rPr>
                <w:bCs/>
              </w:rPr>
              <w:fldChar w:fldCharType="end"/>
            </w:r>
            <w:r w:rsidR="000C3624" w:rsidRPr="00CC1AC6">
              <w:rPr>
                <w:bCs/>
              </w:rPr>
              <w:t>)</w:t>
            </w:r>
            <w:r w:rsidR="00D47737" w:rsidRPr="00CC1AC6">
              <w:rPr>
                <w:bCs/>
              </w:rPr>
              <w:t>.</w:t>
            </w:r>
          </w:p>
        </w:tc>
      </w:tr>
    </w:tbl>
    <w:p w14:paraId="1A235B99" w14:textId="77777777" w:rsidR="00A57A5C" w:rsidRPr="00FF338C" w:rsidDel="00315D06" w:rsidRDefault="00A57A5C" w:rsidP="00A57A5C">
      <w:pPr>
        <w:pStyle w:val="Heading4"/>
      </w:pPr>
      <w:bookmarkStart w:id="305" w:name="_Toc235706351"/>
      <w:r w:rsidRPr="00FF338C" w:rsidDel="00315D06">
        <w:t>Measuring electricity production</w:t>
      </w:r>
      <w:bookmarkEnd w:id="305"/>
    </w:p>
    <w:p w14:paraId="597DAD22" w14:textId="6EE8AE7F" w:rsidR="00A57A5C" w:rsidRPr="00FF338C" w:rsidDel="00315D06" w:rsidRDefault="00A57A5C" w:rsidP="00A57A5C">
      <w:pPr>
        <w:pStyle w:val="Body"/>
        <w:ind w:left="0"/>
        <w:rPr>
          <w:rFonts w:asciiTheme="minorHAnsi" w:hAnsiTheme="minorHAnsi"/>
          <w:sz w:val="22"/>
        </w:rPr>
      </w:pPr>
      <w:r w:rsidRPr="00FF338C" w:rsidDel="00315D06">
        <w:rPr>
          <w:rFonts w:asciiTheme="minorHAnsi" w:hAnsiTheme="minorHAnsi"/>
          <w:sz w:val="22"/>
        </w:rPr>
        <w:t xml:space="preserve">Produced electricity delivered to an electricity transmission or distribution network must be measured according to either Chapter 7 of the </w:t>
      </w:r>
      <w:hyperlink r:id="rId57" w:tooltip="A link to the National Electricty Rules page on the Australian Energy Market Commission website." w:history="1">
        <w:r w:rsidRPr="00AA5EE7" w:rsidDel="00315D06">
          <w:rPr>
            <w:rStyle w:val="Hyperlink"/>
            <w:rFonts w:asciiTheme="minorHAnsi" w:hAnsiTheme="minorHAnsi"/>
          </w:rPr>
          <w:t>National Electricity Rules</w:t>
        </w:r>
      </w:hyperlink>
      <w:r w:rsidR="004B0870" w:rsidDel="00315D06">
        <w:rPr>
          <w:rFonts w:ascii="ZWAdobeF" w:hAnsi="ZWAdobeF" w:cs="ZWAdobeF"/>
          <w:sz w:val="2"/>
          <w:szCs w:val="2"/>
        </w:rPr>
        <w:t>30F</w:t>
      </w:r>
      <w:r w:rsidDel="00315D06">
        <w:rPr>
          <w:rStyle w:val="FootnoteReference"/>
          <w:rFonts w:asciiTheme="minorHAnsi" w:hAnsiTheme="minorHAnsi"/>
          <w:sz w:val="22"/>
        </w:rPr>
        <w:footnoteReference w:id="33"/>
      </w:r>
      <w:r w:rsidRPr="00FF338C" w:rsidDel="00315D06">
        <w:rPr>
          <w:rFonts w:asciiTheme="minorHAnsi" w:hAnsiTheme="minorHAnsi"/>
          <w:sz w:val="22"/>
        </w:rPr>
        <w:t xml:space="preserve"> </w:t>
      </w:r>
      <w:r w:rsidDel="00315D06">
        <w:rPr>
          <w:rFonts w:asciiTheme="minorHAnsi" w:hAnsiTheme="minorHAnsi"/>
          <w:sz w:val="22"/>
        </w:rPr>
        <w:t>per</w:t>
      </w:r>
      <w:r w:rsidRPr="00FF338C" w:rsidDel="00315D06">
        <w:rPr>
          <w:rFonts w:asciiTheme="minorHAnsi" w:hAnsiTheme="minorHAnsi"/>
          <w:sz w:val="22"/>
        </w:rPr>
        <w:t xml:space="preserve"> the </w:t>
      </w:r>
      <w:r w:rsidRPr="00FF338C" w:rsidDel="00315D06">
        <w:rPr>
          <w:rFonts w:asciiTheme="minorHAnsi" w:hAnsiTheme="minorHAnsi"/>
          <w:i/>
          <w:sz w:val="22"/>
        </w:rPr>
        <w:t>National Electricity (South Australia) Act 1996</w:t>
      </w:r>
      <w:r w:rsidRPr="00FF338C" w:rsidDel="00315D06">
        <w:rPr>
          <w:rFonts w:asciiTheme="minorHAnsi" w:hAnsiTheme="minorHAnsi"/>
          <w:sz w:val="22"/>
        </w:rPr>
        <w:t xml:space="preserve"> </w:t>
      </w:r>
      <w:r w:rsidR="00C81DA7" w:rsidDel="00315D06">
        <w:rPr>
          <w:rFonts w:asciiTheme="minorHAnsi" w:hAnsiTheme="minorHAnsi"/>
          <w:sz w:val="22"/>
        </w:rPr>
        <w:t xml:space="preserve">(SA) </w:t>
      </w:r>
      <w:r w:rsidRPr="00FF338C" w:rsidDel="00315D06">
        <w:rPr>
          <w:rFonts w:asciiTheme="minorHAnsi" w:hAnsiTheme="minorHAnsi"/>
          <w:sz w:val="22"/>
        </w:rPr>
        <w:t>or the metering requirements applicable to the region in which the facility is located</w:t>
      </w:r>
      <w:r w:rsidDel="00315D06">
        <w:rPr>
          <w:rFonts w:asciiTheme="minorHAnsi" w:hAnsiTheme="minorHAnsi"/>
          <w:sz w:val="22"/>
        </w:rPr>
        <w:t xml:space="preserve"> (section 6.2 </w:t>
      </w:r>
      <w:r w:rsidRPr="00FF338C" w:rsidDel="00315D06">
        <w:rPr>
          <w:rFonts w:asciiTheme="minorHAnsi" w:hAnsiTheme="minorHAnsi"/>
          <w:sz w:val="22"/>
        </w:rPr>
        <w:t xml:space="preserve">of the </w:t>
      </w:r>
      <w:r w:rsidDel="00315D06">
        <w:rPr>
          <w:rFonts w:asciiTheme="minorHAnsi" w:hAnsiTheme="minorHAnsi"/>
          <w:sz w:val="22"/>
        </w:rPr>
        <w:t>NGER Measurement Determination)</w:t>
      </w:r>
      <w:r w:rsidRPr="00FF338C" w:rsidDel="00315D06">
        <w:rPr>
          <w:rFonts w:asciiTheme="minorHAnsi" w:hAnsiTheme="minorHAnsi"/>
          <w:sz w:val="22"/>
        </w:rPr>
        <w:t>.</w:t>
      </w:r>
    </w:p>
    <w:p w14:paraId="4567E62A" w14:textId="44890747" w:rsidR="00A57A5C" w:rsidRPr="00FF338C" w:rsidDel="00315D06" w:rsidRDefault="00A57A5C" w:rsidP="00A57A5C">
      <w:pPr>
        <w:pStyle w:val="Body"/>
        <w:ind w:left="0"/>
        <w:rPr>
          <w:rFonts w:asciiTheme="minorHAnsi" w:hAnsiTheme="minorHAnsi"/>
          <w:b/>
          <w:i/>
          <w:sz w:val="22"/>
        </w:rPr>
      </w:pPr>
      <w:r w:rsidRPr="00FF338C" w:rsidDel="00315D06">
        <w:rPr>
          <w:rFonts w:asciiTheme="minorHAnsi" w:hAnsiTheme="minorHAnsi"/>
          <w:sz w:val="22"/>
        </w:rPr>
        <w:t xml:space="preserve">For other electricity production, subsection 6.3(2) of the </w:t>
      </w:r>
      <w:r w:rsidDel="00315D06">
        <w:rPr>
          <w:rFonts w:asciiTheme="minorHAnsi" w:hAnsiTheme="minorHAnsi"/>
          <w:sz w:val="22"/>
        </w:rPr>
        <w:t>NGER Measurement Determination</w:t>
      </w:r>
      <w:r w:rsidRPr="00FF338C" w:rsidDel="00315D06">
        <w:rPr>
          <w:rFonts w:asciiTheme="minorHAnsi" w:hAnsiTheme="minorHAnsi"/>
          <w:sz w:val="22"/>
        </w:rPr>
        <w:t xml:space="preserve"> clarifies that the amount of electricity produced from the operation of the facility during the </w:t>
      </w:r>
      <w:r w:rsidR="003F4F7C" w:rsidDel="00315D06">
        <w:rPr>
          <w:rFonts w:asciiTheme="minorHAnsi" w:hAnsiTheme="minorHAnsi"/>
          <w:sz w:val="22"/>
        </w:rPr>
        <w:t xml:space="preserve">reporting </w:t>
      </w:r>
      <w:r w:rsidRPr="00FF338C" w:rsidDel="00315D06">
        <w:rPr>
          <w:rFonts w:asciiTheme="minorHAnsi" w:hAnsiTheme="minorHAnsi"/>
          <w:sz w:val="22"/>
        </w:rPr>
        <w:t>year must be evidenced by invoices, contractual arrangements or industry metering records</w:t>
      </w:r>
      <w:r w:rsidRPr="00FF338C" w:rsidDel="00315D06">
        <w:rPr>
          <w:rFonts w:asciiTheme="minorHAnsi" w:hAnsiTheme="minorHAnsi"/>
          <w:b/>
          <w:sz w:val="22"/>
        </w:rPr>
        <w:t>.</w:t>
      </w:r>
    </w:p>
    <w:p w14:paraId="3DF5B9EA" w14:textId="77777777" w:rsidR="00A57A5C" w:rsidRPr="00FF338C" w:rsidDel="00315D06" w:rsidRDefault="00A57A5C" w:rsidP="00A57A5C">
      <w:pPr>
        <w:pStyle w:val="Body"/>
        <w:ind w:left="0"/>
        <w:rPr>
          <w:rFonts w:asciiTheme="minorHAnsi" w:hAnsiTheme="minorHAnsi"/>
          <w:sz w:val="22"/>
        </w:rPr>
      </w:pPr>
      <w:r w:rsidRPr="00FF338C" w:rsidDel="00315D06">
        <w:rPr>
          <w:rFonts w:asciiTheme="minorHAnsi" w:hAnsiTheme="minorHAnsi"/>
          <w:sz w:val="22"/>
        </w:rPr>
        <w:t>In practice:</w:t>
      </w:r>
    </w:p>
    <w:p w14:paraId="16EA2BFD" w14:textId="1BFF9C21" w:rsidR="00A57A5C" w:rsidRPr="00FF338C" w:rsidDel="00315D06" w:rsidRDefault="001E3524" w:rsidP="00B3330E">
      <w:pPr>
        <w:numPr>
          <w:ilvl w:val="0"/>
          <w:numId w:val="1"/>
        </w:numPr>
        <w:spacing w:before="120" w:after="120"/>
      </w:pPr>
      <w:r w:rsidDel="00315D06">
        <w:t>t</w:t>
      </w:r>
      <w:r w:rsidR="00A57A5C" w:rsidDel="00315D06">
        <w:t>he</w:t>
      </w:r>
      <w:r w:rsidR="00A57A5C" w:rsidRPr="00FF338C" w:rsidDel="00315D06">
        <w:t xml:space="preserve"> </w:t>
      </w:r>
      <w:r w:rsidR="00A57A5C" w:rsidRPr="79B44BC7" w:rsidDel="00315D06">
        <w:rPr>
          <w:rFonts w:ascii="Calibri" w:hAnsi="Calibri"/>
        </w:rPr>
        <w:t>electricity</w:t>
      </w:r>
      <w:r w:rsidR="00A57A5C" w:rsidRPr="00FF338C" w:rsidDel="00315D06">
        <w:t xml:space="preserve"> produced at the terminals </w:t>
      </w:r>
      <w:r w:rsidR="00D92B8E" w:rsidDel="00315D06">
        <w:t>of the generating unit</w:t>
      </w:r>
      <w:r w:rsidR="00A57A5C" w:rsidDel="00315D06">
        <w:t xml:space="preserve"> </w:t>
      </w:r>
      <w:r w:rsidR="00A57A5C" w:rsidRPr="00FF338C" w:rsidDel="00315D06">
        <w:t>should be measured and evidenced using metering per industry standard</w:t>
      </w:r>
    </w:p>
    <w:p w14:paraId="30A6448E" w14:textId="013E0C34" w:rsidR="00A57A5C" w:rsidRPr="00FF338C" w:rsidDel="00315D06" w:rsidRDefault="001E3524" w:rsidP="00B3330E">
      <w:pPr>
        <w:numPr>
          <w:ilvl w:val="0"/>
          <w:numId w:val="1"/>
        </w:numPr>
        <w:spacing w:before="120" w:after="120"/>
      </w:pPr>
      <w:r w:rsidDel="00315D06">
        <w:t>f</w:t>
      </w:r>
      <w:r w:rsidR="00A57A5C" w:rsidDel="00315D06">
        <w:t>or</w:t>
      </w:r>
      <w:r w:rsidR="00A57A5C" w:rsidRPr="00FF338C" w:rsidDel="00315D06">
        <w:t xml:space="preserve"> electricity delivered for use at another facility, the delivered electricity must be evidenced using invoices, contractual arrangements or industry metering records.</w:t>
      </w:r>
    </w:p>
    <w:tbl>
      <w:tblPr>
        <w:tblStyle w:val="CERCallout"/>
        <w:tblW w:w="0" w:type="auto"/>
        <w:tblLook w:val="04A0" w:firstRow="1" w:lastRow="0" w:firstColumn="1" w:lastColumn="0" w:noHBand="0" w:noVBand="1"/>
      </w:tblPr>
      <w:tblGrid>
        <w:gridCol w:w="9710"/>
      </w:tblGrid>
      <w:tr w:rsidR="00D67F2D" w:rsidRPr="00FF338C" w:rsidDel="00315D06" w14:paraId="1030D1AB" w14:textId="5026F381">
        <w:trPr>
          <w:cnfStyle w:val="100000000000" w:firstRow="1" w:lastRow="0" w:firstColumn="0" w:lastColumn="0" w:oddVBand="0" w:evenVBand="0" w:oddHBand="0" w:evenHBand="0" w:firstRowFirstColumn="0" w:firstRowLastColumn="0" w:lastRowFirstColumn="0" w:lastRowLastColumn="0"/>
        </w:trPr>
        <w:tc>
          <w:tcPr>
            <w:tcW w:w="9730" w:type="dxa"/>
          </w:tcPr>
          <w:p w14:paraId="75A0C58A" w14:textId="33723568" w:rsidR="00A57A5C" w:rsidRPr="00FB5D2B" w:rsidDel="00315D06" w:rsidRDefault="00A57A5C">
            <w:pPr>
              <w:pStyle w:val="Heading5"/>
              <w:spacing w:before="0"/>
              <w:ind w:left="0"/>
              <w:rPr>
                <w:b/>
                <w:bCs/>
              </w:rPr>
            </w:pPr>
            <w:bookmarkStart w:id="306" w:name="_Toc235706352"/>
            <w:r w:rsidRPr="00FB5D2B" w:rsidDel="00315D06">
              <w:rPr>
                <w:b/>
                <w:bCs/>
              </w:rPr>
              <w:lastRenderedPageBreak/>
              <w:t>Example</w:t>
            </w:r>
            <w:r w:rsidR="009054D1">
              <w:rPr>
                <w:b/>
                <w:bCs/>
              </w:rPr>
              <w:t>:</w:t>
            </w:r>
            <w:r w:rsidRPr="00FB5D2B" w:rsidDel="00315D06">
              <w:rPr>
                <w:b/>
                <w:bCs/>
              </w:rPr>
              <w:t xml:space="preserve"> Quantifying electricity production at a gas</w:t>
            </w:r>
            <w:r w:rsidR="00C17C47" w:rsidDel="00315D06">
              <w:rPr>
                <w:b/>
                <w:bCs/>
              </w:rPr>
              <w:t>-</w:t>
            </w:r>
            <w:r w:rsidRPr="00FB5D2B" w:rsidDel="00315D06">
              <w:rPr>
                <w:b/>
                <w:bCs/>
              </w:rPr>
              <w:t>fired power plant</w:t>
            </w:r>
            <w:bookmarkEnd w:id="306"/>
          </w:p>
          <w:p w14:paraId="33C723B0" w14:textId="6205B01D" w:rsidR="00A57A5C" w:rsidRPr="00FB5D2B" w:rsidDel="00315D06" w:rsidRDefault="00A57A5C" w:rsidP="006971C9">
            <w:pPr>
              <w:pStyle w:val="CERbullets"/>
              <w:numPr>
                <w:ilvl w:val="0"/>
                <w:numId w:val="0"/>
              </w:numPr>
              <w:ind w:left="357" w:hanging="357"/>
              <w:rPr>
                <w:b w:val="0"/>
                <w:bCs/>
              </w:rPr>
            </w:pPr>
            <w:hyperlink w:anchor="_Case_example_1:" w:history="1">
              <w:r w:rsidRPr="00FB5D2B" w:rsidDel="00315D06">
                <w:rPr>
                  <w:rStyle w:val="Hyperlink"/>
                  <w:rFonts w:asciiTheme="minorHAnsi" w:hAnsiTheme="minorHAnsi"/>
                  <w:b w:val="0"/>
                  <w:bCs/>
                </w:rPr>
                <w:t>Case example 1 in Appendix A</w:t>
              </w:r>
            </w:hyperlink>
            <w:r w:rsidRPr="00FB5D2B" w:rsidDel="00315D06">
              <w:rPr>
                <w:b w:val="0"/>
                <w:bCs/>
              </w:rPr>
              <w:t xml:space="preserve"> illustrates how electricity production should be quantified.</w:t>
            </w:r>
          </w:p>
          <w:p w14:paraId="79B0E7C8" w14:textId="4B79A26B" w:rsidR="00A57A5C" w:rsidRPr="00FB5D2B" w:rsidDel="00315D06" w:rsidRDefault="00A57A5C" w:rsidP="00B3330E">
            <w:pPr>
              <w:pStyle w:val="CERnumbering"/>
              <w:numPr>
                <w:ilvl w:val="0"/>
                <w:numId w:val="16"/>
              </w:numPr>
              <w:spacing w:beforeAutospacing="0"/>
              <w:rPr>
                <w:b w:val="0"/>
                <w:bCs/>
              </w:rPr>
            </w:pPr>
            <w:r w:rsidRPr="00FB5D2B" w:rsidDel="00315D06">
              <w:rPr>
                <w:b w:val="0"/>
                <w:bCs/>
              </w:rPr>
              <w:t xml:space="preserve">Electricity is produced in the </w:t>
            </w:r>
            <w:proofErr w:type="gramStart"/>
            <w:r w:rsidRPr="00FB5D2B" w:rsidDel="00315D06">
              <w:rPr>
                <w:b w:val="0"/>
                <w:bCs/>
              </w:rPr>
              <w:t>turbine</w:t>
            </w:r>
            <w:proofErr w:type="gramEnd"/>
            <w:r w:rsidRPr="00FB5D2B" w:rsidDel="00315D06">
              <w:rPr>
                <w:b w:val="0"/>
                <w:bCs/>
              </w:rPr>
              <w:t xml:space="preserve"> and electricity production is measured using metering at the terminal (see number 4 in </w:t>
            </w:r>
            <w:r w:rsidR="00287292">
              <w:rPr>
                <w:rFonts w:eastAsiaTheme="minorEastAsia"/>
                <w:bCs/>
              </w:rPr>
              <w:fldChar w:fldCharType="begin"/>
            </w:r>
            <w:r w:rsidR="00287292">
              <w:rPr>
                <w:b w:val="0"/>
                <w:bCs/>
              </w:rPr>
              <w:instrText xml:space="preserve"> REF _Ref199339978 \h </w:instrText>
            </w:r>
            <w:r w:rsidR="00287292">
              <w:rPr>
                <w:rFonts w:eastAsiaTheme="minorEastAsia"/>
                <w:bCs/>
              </w:rPr>
            </w:r>
            <w:r w:rsidR="00287292">
              <w:rPr>
                <w:rFonts w:eastAsiaTheme="minorEastAsia"/>
                <w:bCs/>
              </w:rPr>
              <w:fldChar w:fldCharType="separate"/>
            </w:r>
            <w:r w:rsidR="0069639D" w:rsidRPr="00FF338C">
              <w:t xml:space="preserve">Figure </w:t>
            </w:r>
            <w:r w:rsidR="0069639D">
              <w:rPr>
                <w:noProof/>
              </w:rPr>
              <w:t>7</w:t>
            </w:r>
            <w:r w:rsidR="00287292">
              <w:rPr>
                <w:rFonts w:eastAsiaTheme="minorEastAsia"/>
                <w:bCs/>
              </w:rPr>
              <w:fldChar w:fldCharType="end"/>
            </w:r>
            <w:r w:rsidRPr="00FB5D2B" w:rsidDel="00315D06">
              <w:rPr>
                <w:b w:val="0"/>
                <w:bCs/>
              </w:rPr>
              <w:t>).</w:t>
            </w:r>
          </w:p>
          <w:p w14:paraId="12B8E37D" w14:textId="68E4AB35" w:rsidR="00A57A5C" w:rsidRPr="00FB5D2B" w:rsidDel="00315D06" w:rsidRDefault="00A57A5C" w:rsidP="00B3330E">
            <w:pPr>
              <w:pStyle w:val="CERnumbering"/>
              <w:numPr>
                <w:ilvl w:val="0"/>
                <w:numId w:val="16"/>
              </w:numPr>
              <w:spacing w:beforeAutospacing="0"/>
              <w:rPr>
                <w:b w:val="0"/>
                <w:bCs/>
              </w:rPr>
            </w:pPr>
            <w:r w:rsidRPr="00FB5D2B" w:rsidDel="00315D06">
              <w:rPr>
                <w:b w:val="0"/>
                <w:bCs/>
              </w:rPr>
              <w:t>Electricity delivered to an electricity transmission network</w:t>
            </w:r>
            <w:r w:rsidRPr="00FB5D2B" w:rsidDel="00315D06">
              <w:rPr>
                <w:b w:val="0"/>
                <w:bCs/>
                <w:color w:val="FF0000"/>
              </w:rPr>
              <w:t xml:space="preserve"> </w:t>
            </w:r>
            <w:r w:rsidRPr="00FB5D2B" w:rsidDel="00315D06">
              <w:rPr>
                <w:b w:val="0"/>
                <w:bCs/>
              </w:rPr>
              <w:t xml:space="preserve">is metered at the network connection point (see number 7 in </w:t>
            </w:r>
            <w:r w:rsidR="00620CCA">
              <w:rPr>
                <w:rFonts w:eastAsiaTheme="minorEastAsia"/>
                <w:bCs/>
              </w:rPr>
              <w:fldChar w:fldCharType="begin"/>
            </w:r>
            <w:r w:rsidR="00620CCA">
              <w:rPr>
                <w:b w:val="0"/>
                <w:bCs/>
              </w:rPr>
              <w:instrText xml:space="preserve"> REF _Ref199339978 \h </w:instrText>
            </w:r>
            <w:r w:rsidR="00620CCA">
              <w:rPr>
                <w:rFonts w:eastAsiaTheme="minorEastAsia"/>
                <w:bCs/>
              </w:rPr>
            </w:r>
            <w:r w:rsidR="00620CCA">
              <w:rPr>
                <w:rFonts w:eastAsiaTheme="minorEastAsia"/>
                <w:bCs/>
              </w:rPr>
              <w:fldChar w:fldCharType="separate"/>
            </w:r>
            <w:r w:rsidR="0069639D" w:rsidRPr="00FF338C">
              <w:t xml:space="preserve">Figure </w:t>
            </w:r>
            <w:r w:rsidR="0069639D">
              <w:rPr>
                <w:noProof/>
              </w:rPr>
              <w:t>7</w:t>
            </w:r>
            <w:r w:rsidR="00620CCA">
              <w:rPr>
                <w:rFonts w:eastAsiaTheme="minorEastAsia"/>
                <w:bCs/>
              </w:rPr>
              <w:fldChar w:fldCharType="end"/>
            </w:r>
            <w:r w:rsidRPr="00FB5D2B">
              <w:rPr>
                <w:b w:val="0"/>
                <w:bCs/>
              </w:rPr>
              <w:t>).</w:t>
            </w:r>
            <w:r w:rsidRPr="00FB5D2B" w:rsidDel="00315D06">
              <w:rPr>
                <w:b w:val="0"/>
                <w:bCs/>
              </w:rPr>
              <w:t xml:space="preserve"> This meter determines the amount of reportable electricity produced for the purpose of delivering to the network.</w:t>
            </w:r>
          </w:p>
          <w:p w14:paraId="59FBE164" w14:textId="184238C6" w:rsidR="00A57A5C" w:rsidRPr="00FB5D2B" w:rsidDel="00315D06" w:rsidRDefault="00A57A5C" w:rsidP="00B3330E">
            <w:pPr>
              <w:pStyle w:val="CERnumbering"/>
              <w:numPr>
                <w:ilvl w:val="0"/>
                <w:numId w:val="16"/>
              </w:numPr>
              <w:spacing w:beforeAutospacing="0"/>
              <w:rPr>
                <w:b w:val="0"/>
                <w:bCs/>
              </w:rPr>
            </w:pPr>
            <w:r w:rsidRPr="00FB5D2B" w:rsidDel="00315D06">
              <w:rPr>
                <w:b w:val="0"/>
                <w:bCs/>
              </w:rPr>
              <w:t xml:space="preserve">Electricity delivered directly to a </w:t>
            </w:r>
            <w:r w:rsidRPr="00D2141E" w:rsidDel="00315D06">
              <w:rPr>
                <w:lang w:val="en-AU"/>
              </w:rPr>
              <w:t>neighbouring</w:t>
            </w:r>
            <w:r w:rsidRPr="00FB5D2B" w:rsidDel="00315D06">
              <w:rPr>
                <w:b w:val="0"/>
                <w:bCs/>
              </w:rPr>
              <w:t xml:space="preserve"> facility is metered </w:t>
            </w:r>
            <w:r w:rsidR="00E952B8" w:rsidDel="00315D06">
              <w:rPr>
                <w:b w:val="0"/>
                <w:bCs/>
              </w:rPr>
              <w:t xml:space="preserve">at </w:t>
            </w:r>
            <w:r w:rsidR="00111DB1" w:rsidDel="00315D06">
              <w:rPr>
                <w:b w:val="0"/>
                <w:bCs/>
              </w:rPr>
              <w:t xml:space="preserve">an </w:t>
            </w:r>
            <w:r w:rsidR="00E952B8" w:rsidDel="00315D06">
              <w:rPr>
                <w:b w:val="0"/>
                <w:bCs/>
              </w:rPr>
              <w:t>agreed connection point</w:t>
            </w:r>
            <w:r w:rsidRPr="00FB5D2B" w:rsidDel="00315D06">
              <w:rPr>
                <w:b w:val="0"/>
                <w:bCs/>
              </w:rPr>
              <w:t xml:space="preserve"> (see number 6 in the diagram), per commercial transaction. This meter determines the amount of reportable electricity produced for the purpose of being used at another facility (and not delivered to the network).</w:t>
            </w:r>
          </w:p>
          <w:p w14:paraId="2F028EE6" w14:textId="132A713B" w:rsidR="00A57A5C" w:rsidRPr="00FF338C" w:rsidDel="00315D06" w:rsidRDefault="00A57A5C" w:rsidP="00B3330E">
            <w:pPr>
              <w:pStyle w:val="CERnumbering"/>
              <w:numPr>
                <w:ilvl w:val="0"/>
                <w:numId w:val="16"/>
              </w:numPr>
              <w:spacing w:beforeAutospacing="0"/>
            </w:pPr>
            <w:r w:rsidRPr="00FB5D2B" w:rsidDel="00315D06">
              <w:rPr>
                <w:b w:val="0"/>
                <w:bCs/>
              </w:rPr>
              <w:t xml:space="preserve">The electricity produced for use onsite (see number 5 in </w:t>
            </w:r>
            <w:r w:rsidR="00620CCA">
              <w:rPr>
                <w:rFonts w:eastAsiaTheme="minorEastAsia"/>
                <w:bCs/>
              </w:rPr>
              <w:fldChar w:fldCharType="begin"/>
            </w:r>
            <w:r w:rsidR="00620CCA">
              <w:rPr>
                <w:b w:val="0"/>
                <w:bCs/>
              </w:rPr>
              <w:instrText xml:space="preserve"> REF _Ref199339978 \h </w:instrText>
            </w:r>
            <w:r w:rsidR="00620CCA">
              <w:rPr>
                <w:rFonts w:eastAsiaTheme="minorEastAsia"/>
                <w:bCs/>
              </w:rPr>
            </w:r>
            <w:r w:rsidR="00620CCA">
              <w:rPr>
                <w:rFonts w:eastAsiaTheme="minorEastAsia"/>
                <w:bCs/>
              </w:rPr>
              <w:fldChar w:fldCharType="separate"/>
            </w:r>
            <w:r w:rsidR="0069639D" w:rsidRPr="00FF338C">
              <w:t xml:space="preserve">Figure </w:t>
            </w:r>
            <w:r w:rsidR="0069639D">
              <w:rPr>
                <w:noProof/>
              </w:rPr>
              <w:t>7</w:t>
            </w:r>
            <w:r w:rsidR="00620CCA">
              <w:rPr>
                <w:rFonts w:eastAsiaTheme="minorEastAsia"/>
                <w:bCs/>
              </w:rPr>
              <w:fldChar w:fldCharType="end"/>
            </w:r>
            <w:r w:rsidRPr="00FB5D2B" w:rsidDel="00315D06">
              <w:rPr>
                <w:b w:val="0"/>
                <w:bCs/>
              </w:rPr>
              <w:t>) is determined as electricity at number 4 minus (electricity at number 6 + electricity at number 7).</w:t>
            </w:r>
          </w:p>
        </w:tc>
      </w:tr>
    </w:tbl>
    <w:p w14:paraId="3BE844DE" w14:textId="77777777" w:rsidR="00A57A5C" w:rsidRPr="00FF338C" w:rsidRDefault="00A57A5C" w:rsidP="00B3330E">
      <w:pPr>
        <w:pStyle w:val="Heading3"/>
        <w:numPr>
          <w:ilvl w:val="2"/>
          <w:numId w:val="3"/>
        </w:numPr>
        <w:ind w:left="709" w:hanging="709"/>
        <w:rPr>
          <w:szCs w:val="25"/>
          <w:lang w:val="en-GB"/>
        </w:rPr>
      </w:pPr>
      <w:bookmarkStart w:id="307" w:name="_Cogeneration"/>
      <w:bookmarkStart w:id="308" w:name="_Ref199337594"/>
      <w:bookmarkStart w:id="309" w:name="_Toc235706353"/>
      <w:bookmarkEnd w:id="307"/>
      <w:r w:rsidRPr="00FF338C">
        <w:rPr>
          <w:lang w:val="en-GB"/>
        </w:rPr>
        <w:t>Cogeneration</w:t>
      </w:r>
      <w:bookmarkEnd w:id="299"/>
      <w:bookmarkEnd w:id="300"/>
      <w:bookmarkEnd w:id="301"/>
      <w:bookmarkEnd w:id="308"/>
      <w:bookmarkEnd w:id="309"/>
    </w:p>
    <w:p w14:paraId="58A6D7E2" w14:textId="6C411945" w:rsidR="00A57A5C" w:rsidRPr="00FF338C" w:rsidRDefault="00A57A5C" w:rsidP="00A57A5C">
      <w:r w:rsidRPr="00FF338C">
        <w:t xml:space="preserve">Cogeneration is defined in </w:t>
      </w:r>
      <w:r w:rsidR="00A14539">
        <w:t xml:space="preserve">1.03 of the </w:t>
      </w:r>
      <w:r w:rsidRPr="00FF338C">
        <w:t>NGER Regulation</w:t>
      </w:r>
      <w:r w:rsidR="00A14539">
        <w:t>s</w:t>
      </w:r>
      <w:r w:rsidRPr="00FF338C">
        <w:t xml:space="preserve"> as a process that combines the generation of heat and power to produce electricity and another product within one integrated production process.</w:t>
      </w:r>
    </w:p>
    <w:p w14:paraId="13B4CDC6" w14:textId="55D2A934" w:rsidR="00A57A5C" w:rsidRPr="00FF338C" w:rsidRDefault="00A57A5C" w:rsidP="00A57A5C">
      <w:r w:rsidRPr="00FF338C">
        <w:t>In practice, cogeneration occurs when energy (other than electricity) is consumed and results in the production of electricity and another product</w:t>
      </w:r>
      <w:r>
        <w:t xml:space="preserve">, </w:t>
      </w:r>
      <w:r w:rsidRPr="00FF338C">
        <w:t xml:space="preserve">for example, heat or steam. When this occurs, </w:t>
      </w:r>
      <w:proofErr w:type="gramStart"/>
      <w:r w:rsidRPr="00FF338C">
        <w:t>assuming that</w:t>
      </w:r>
      <w:proofErr w:type="gramEnd"/>
      <w:r w:rsidRPr="00FF338C">
        <w:t xml:space="preserve"> the appropriate thresholds (see </w:t>
      </w:r>
      <w:r>
        <w:fldChar w:fldCharType="begin" w:fldLock="1"/>
      </w:r>
      <w:r>
        <w:instrText>REF _Ref199338865</w:instrText>
      </w:r>
      <w:r>
        <w:fldChar w:fldCharType="separate"/>
      </w:r>
      <w:r w:rsidR="000772C0">
        <w:t xml:space="preserve">Table </w:t>
      </w:r>
      <w:r w:rsidR="000772C0">
        <w:rPr>
          <w:noProof/>
        </w:rPr>
        <w:t>10</w:t>
      </w:r>
      <w:r>
        <w:fldChar w:fldCharType="end"/>
      </w:r>
      <w:r w:rsidR="000772C0">
        <w:t xml:space="preserve"> and </w:t>
      </w:r>
      <w:r>
        <w:fldChar w:fldCharType="begin" w:fldLock="1"/>
      </w:r>
      <w:r>
        <w:instrText>REF _Ref199338869</w:instrText>
      </w:r>
      <w:r>
        <w:fldChar w:fldCharType="separate"/>
      </w:r>
      <w:r w:rsidR="000772C0">
        <w:t xml:space="preserve">Table </w:t>
      </w:r>
      <w:r w:rsidR="000772C0">
        <w:rPr>
          <w:noProof/>
        </w:rPr>
        <w:t>11</w:t>
      </w:r>
      <w:r>
        <w:fldChar w:fldCharType="end"/>
      </w:r>
      <w:r w:rsidRPr="00FF338C">
        <w:t xml:space="preserve">) have been met, the report for the facility must identify the amount and energy content of the energy type consumed to produce the electricity and the other product during the </w:t>
      </w:r>
      <w:r w:rsidR="003F4F7C">
        <w:t xml:space="preserve">reporting </w:t>
      </w:r>
      <w:r w:rsidRPr="00FF338C">
        <w:t>year.</w:t>
      </w:r>
    </w:p>
    <w:p w14:paraId="1A46E226" w14:textId="77777777" w:rsidR="00A57A5C" w:rsidRPr="00FF338C" w:rsidRDefault="00A57A5C" w:rsidP="00A57A5C">
      <w:r w:rsidRPr="00FF338C">
        <w:t xml:space="preserve">The amount of electricity </w:t>
      </w:r>
      <w:r w:rsidRPr="00FE31CC">
        <w:t>produced</w:t>
      </w:r>
      <w:r w:rsidRPr="00FF338C">
        <w:t xml:space="preserve"> </w:t>
      </w:r>
      <w:proofErr w:type="gramStart"/>
      <w:r w:rsidRPr="00FF338C">
        <w:t>as a result of</w:t>
      </w:r>
      <w:proofErr w:type="gramEnd"/>
      <w:r w:rsidRPr="00FF338C">
        <w:t xml:space="preserve"> the cogeneration process is also required to be reported. However, it is not necessary to report the production of the other product if that product is heat.</w:t>
      </w:r>
    </w:p>
    <w:p w14:paraId="2C5E8EA4" w14:textId="77777777" w:rsidR="00A57A5C" w:rsidRPr="00FF338C" w:rsidRDefault="00A57A5C" w:rsidP="00A57A5C">
      <w:r w:rsidRPr="00FF338C">
        <w:t xml:space="preserve">The methods available for determining the amount and energy content of the energy type consumed to produce the electricity and the other product are specified in section 2.70 of the </w:t>
      </w:r>
      <w:r>
        <w:t>NGER Measurement Determination</w:t>
      </w:r>
      <w:r w:rsidRPr="00FF338C">
        <w:t xml:space="preserve"> as:</w:t>
      </w:r>
    </w:p>
    <w:p w14:paraId="42930451" w14:textId="0F7273EA" w:rsidR="00A57A5C" w:rsidRPr="00FF338C" w:rsidRDefault="00F0098C" w:rsidP="00B3330E">
      <w:pPr>
        <w:numPr>
          <w:ilvl w:val="0"/>
          <w:numId w:val="1"/>
        </w:numPr>
        <w:spacing w:before="120" w:after="120"/>
      </w:pPr>
      <w:r>
        <w:t>t</w:t>
      </w:r>
      <w:r w:rsidR="00A57A5C">
        <w:t xml:space="preserve">he </w:t>
      </w:r>
      <w:r w:rsidR="00F71AF4">
        <w:t>‘</w:t>
      </w:r>
      <w:r w:rsidR="00A57A5C" w:rsidRPr="00FE31CC">
        <w:t xml:space="preserve">efficiency </w:t>
      </w:r>
      <w:r w:rsidR="00A57A5C">
        <w:t>method</w:t>
      </w:r>
      <w:r w:rsidR="00F71AF4">
        <w:t>’</w:t>
      </w:r>
      <w:r w:rsidR="00A57A5C" w:rsidRPr="00FF338C">
        <w:t>,</w:t>
      </w:r>
      <w:r w:rsidR="00A57A5C">
        <w:t xml:space="preserve"> which is stipulated for cogeneration processes</w:t>
      </w:r>
    </w:p>
    <w:p w14:paraId="1D196FFE" w14:textId="61FEBA81" w:rsidR="00A57A5C" w:rsidRPr="00FF338C" w:rsidRDefault="00F0098C" w:rsidP="00B3330E">
      <w:pPr>
        <w:numPr>
          <w:ilvl w:val="0"/>
          <w:numId w:val="1"/>
        </w:numPr>
        <w:spacing w:before="120" w:after="120"/>
      </w:pPr>
      <w:r>
        <w:t>t</w:t>
      </w:r>
      <w:r w:rsidR="00A57A5C" w:rsidRPr="00FF338C">
        <w:t xml:space="preserve">he </w:t>
      </w:r>
      <w:r w:rsidR="00F71AF4">
        <w:t>‘</w:t>
      </w:r>
      <w:r w:rsidR="00A57A5C" w:rsidRPr="00FE31CC">
        <w:t>work potential method</w:t>
      </w:r>
      <w:r w:rsidR="00F71AF4">
        <w:t>’</w:t>
      </w:r>
      <w:r w:rsidR="00A57A5C" w:rsidRPr="00D7453A">
        <w:rPr>
          <w:bCs/>
        </w:rPr>
        <w:t xml:space="preserve">, which may be used where heat is to be used mainly for producing mechanical work. </w:t>
      </w:r>
      <w:r w:rsidR="00A57A5C" w:rsidRPr="00FF338C">
        <w:t xml:space="preserve">These methods are described in the </w:t>
      </w:r>
      <w:hyperlink r:id="rId58" w:tooltip="A link to the Allocation of GHG Emissions from a Combined Heat and Power Plant document on the Greenhouse Gas Protocol website" w:history="1">
        <w:r w:rsidR="00A57A5C" w:rsidRPr="00872A70">
          <w:rPr>
            <w:rStyle w:val="Hyperlink"/>
            <w:rFonts w:asciiTheme="minorHAnsi" w:hAnsiTheme="minorHAnsi"/>
            <w:iCs/>
          </w:rPr>
          <w:t>Allocation of GHG Emissions from a Combined Heat and Power (CHP) Plant</w:t>
        </w:r>
      </w:hyperlink>
      <w:r w:rsidR="004B0870">
        <w:rPr>
          <w:rFonts w:ascii="ZWAdobeF" w:hAnsi="ZWAdobeF" w:cs="ZWAdobeF"/>
          <w:color w:val="auto"/>
          <w:sz w:val="2"/>
          <w:szCs w:val="2"/>
        </w:rPr>
        <w:t>31F</w:t>
      </w:r>
      <w:r w:rsidR="00A57A5C">
        <w:rPr>
          <w:rStyle w:val="FootnoteReference"/>
          <w:iCs/>
        </w:rPr>
        <w:footnoteReference w:id="34"/>
      </w:r>
      <w:r w:rsidR="00A57A5C" w:rsidRPr="00872A70">
        <w:rPr>
          <w:iCs/>
        </w:rPr>
        <w:t xml:space="preserve"> </w:t>
      </w:r>
      <w:r w:rsidR="00A57A5C" w:rsidRPr="00D7453A">
        <w:rPr>
          <w:iCs/>
        </w:rPr>
        <w:t>g</w:t>
      </w:r>
      <w:r w:rsidR="00A57A5C" w:rsidRPr="00872A70">
        <w:rPr>
          <w:iCs/>
        </w:rPr>
        <w:t>uide</w:t>
      </w:r>
      <w:r w:rsidR="00A57A5C" w:rsidRPr="00D7453A">
        <w:rPr>
          <w:iCs/>
        </w:rPr>
        <w:t xml:space="preserve">, </w:t>
      </w:r>
      <w:r w:rsidR="00A57A5C" w:rsidRPr="00FF338C">
        <w:t xml:space="preserve">issued by </w:t>
      </w:r>
      <w:bookmarkStart w:id="310" w:name="_Hlk48033840"/>
      <w:r w:rsidR="00A57A5C" w:rsidRPr="00FF338C">
        <w:t>the World Resource Institute and World Business Council for Sustainable Development</w:t>
      </w:r>
      <w:bookmarkEnd w:id="310"/>
      <w:r w:rsidR="00A57A5C" w:rsidRPr="00FF338C">
        <w:t xml:space="preserve">. </w:t>
      </w:r>
      <w:r w:rsidR="00A57A5C">
        <w:t>See</w:t>
      </w:r>
      <w:r w:rsidR="00A57A5C" w:rsidRPr="00FF338C">
        <w:t xml:space="preserve"> GHG Protocol</w:t>
      </w:r>
      <w:r w:rsidR="00A57A5C">
        <w:t>’s</w:t>
      </w:r>
      <w:r w:rsidR="00A57A5C" w:rsidRPr="00FF338C">
        <w:t xml:space="preserve"> </w:t>
      </w:r>
      <w:hyperlink r:id="rId59" w:tooltip="A link to the calculation tools page on the Greenhouse Gas Protocol website" w:history="1">
        <w:r w:rsidR="00A57A5C" w:rsidRPr="79B44BC7">
          <w:rPr>
            <w:rStyle w:val="Hyperlink"/>
            <w:rFonts w:asciiTheme="minorHAnsi" w:hAnsiTheme="minorHAnsi"/>
          </w:rPr>
          <w:t>calculation tools</w:t>
        </w:r>
      </w:hyperlink>
      <w:r w:rsidR="004B0870">
        <w:rPr>
          <w:rFonts w:ascii="ZWAdobeF" w:hAnsi="ZWAdobeF" w:cs="ZWAdobeF"/>
          <w:color w:val="auto"/>
          <w:sz w:val="2"/>
          <w:szCs w:val="2"/>
        </w:rPr>
        <w:t>32F</w:t>
      </w:r>
      <w:r w:rsidR="00A57A5C">
        <w:rPr>
          <w:rStyle w:val="FootnoteReference"/>
        </w:rPr>
        <w:footnoteReference w:id="35"/>
      </w:r>
      <w:r w:rsidR="00A57A5C" w:rsidRPr="00FF338C">
        <w:t xml:space="preserve"> </w:t>
      </w:r>
      <w:r w:rsidR="00A57A5C">
        <w:t>for more information on these methods,</w:t>
      </w:r>
      <w:r w:rsidR="00A57A5C" w:rsidRPr="00FF338C">
        <w:t xml:space="preserve"> includ</w:t>
      </w:r>
      <w:r w:rsidR="00A57A5C">
        <w:t>ing</w:t>
      </w:r>
      <w:r w:rsidR="00A57A5C" w:rsidRPr="00FF338C">
        <w:t xml:space="preserve"> a calculator that can be used when applying the efficiency method.</w:t>
      </w:r>
    </w:p>
    <w:p w14:paraId="73EA3192" w14:textId="77777777" w:rsidR="00A57A5C" w:rsidRPr="000C225C" w:rsidRDefault="00A57A5C" w:rsidP="00DB4B56">
      <w:pPr>
        <w:pStyle w:val="Heading2"/>
        <w:numPr>
          <w:ilvl w:val="1"/>
          <w:numId w:val="3"/>
        </w:numPr>
        <w:ind w:left="426" w:hanging="426"/>
      </w:pPr>
      <w:bookmarkStart w:id="311" w:name="_Renewable_energy_commodity"/>
      <w:bookmarkStart w:id="312" w:name="_Toc512010417"/>
      <w:bookmarkStart w:id="313" w:name="_Ref512249247"/>
      <w:bookmarkStart w:id="314" w:name="_Ref512252998"/>
      <w:bookmarkStart w:id="315" w:name="_Toc512339616"/>
      <w:bookmarkStart w:id="316" w:name="_Toc106705770"/>
      <w:bookmarkStart w:id="317" w:name="_Ref232594065"/>
      <w:bookmarkStart w:id="318" w:name="_Toc235706354"/>
      <w:bookmarkEnd w:id="311"/>
      <w:r w:rsidRPr="000C225C">
        <w:t xml:space="preserve">Renewable </w:t>
      </w:r>
      <w:r w:rsidRPr="000C225C" w:rsidDel="00280480">
        <w:t>energy commodity</w:t>
      </w:r>
      <w:r w:rsidRPr="000C225C">
        <w:t xml:space="preserve"> production and consumption</w:t>
      </w:r>
      <w:bookmarkEnd w:id="312"/>
      <w:bookmarkEnd w:id="313"/>
      <w:bookmarkEnd w:id="314"/>
      <w:bookmarkEnd w:id="315"/>
      <w:bookmarkEnd w:id="316"/>
      <w:bookmarkEnd w:id="317"/>
      <w:bookmarkEnd w:id="318"/>
    </w:p>
    <w:p w14:paraId="7A7CA71F" w14:textId="7BD62672" w:rsidR="00A57A5C" w:rsidDel="00F12CA9" w:rsidRDefault="001848D4" w:rsidP="00A57A5C">
      <w:r>
        <w:t xml:space="preserve">Four </w:t>
      </w:r>
      <w:r w:rsidR="00A57A5C" w:rsidRPr="000C225C">
        <w:t xml:space="preserve">renewable energy commodities </w:t>
      </w:r>
      <w:r w:rsidR="00A57A5C">
        <w:t xml:space="preserve">are </w:t>
      </w:r>
      <w:r w:rsidR="00A57A5C" w:rsidRPr="000C225C">
        <w:t>listed in Schedule 1 of the NGER Regulations</w:t>
      </w:r>
      <w:r w:rsidR="00A57A5C">
        <w:t xml:space="preserve"> for electricity generation</w:t>
      </w:r>
      <w:r w:rsidR="00A57A5C" w:rsidRPr="000C225C">
        <w:t>: solar</w:t>
      </w:r>
      <w:r w:rsidR="0043370A">
        <w:t xml:space="preserve"> </w:t>
      </w:r>
      <w:r w:rsidR="0043370A" w:rsidRPr="0043370A">
        <w:t>energy for electricity generation</w:t>
      </w:r>
      <w:r w:rsidR="00A57A5C">
        <w:t xml:space="preserve">, </w:t>
      </w:r>
      <w:r w:rsidR="00A57A5C" w:rsidRPr="000C225C">
        <w:t>wind</w:t>
      </w:r>
      <w:r w:rsidR="0043370A">
        <w:t xml:space="preserve"> </w:t>
      </w:r>
      <w:r w:rsidR="0043370A" w:rsidRPr="0043370A">
        <w:t>energy for electricity generation</w:t>
      </w:r>
      <w:r w:rsidR="00A57A5C">
        <w:t>,</w:t>
      </w:r>
      <w:r w:rsidR="00A57A5C" w:rsidRPr="000C225C">
        <w:t xml:space="preserve"> water</w:t>
      </w:r>
      <w:r w:rsidR="0043370A">
        <w:t xml:space="preserve"> </w:t>
      </w:r>
      <w:r w:rsidR="0043370A" w:rsidRPr="0043370A">
        <w:t xml:space="preserve">energy for </w:t>
      </w:r>
      <w:r w:rsidR="0043370A" w:rsidRPr="0043370A">
        <w:lastRenderedPageBreak/>
        <w:t>electricity generation</w:t>
      </w:r>
      <w:r w:rsidR="00A57A5C" w:rsidRPr="000C225C">
        <w:t>, and</w:t>
      </w:r>
      <w:r w:rsidR="00A57A5C">
        <w:t xml:space="preserve"> </w:t>
      </w:r>
      <w:r w:rsidR="00A57A5C" w:rsidRPr="000C225C">
        <w:t>geothermal</w:t>
      </w:r>
      <w:r w:rsidR="0043370A">
        <w:t xml:space="preserve"> </w:t>
      </w:r>
      <w:r w:rsidR="0043370A" w:rsidRPr="0043370A">
        <w:t>energy for electricity generation</w:t>
      </w:r>
      <w:r w:rsidR="00A57A5C" w:rsidDel="008917F5">
        <w:t xml:space="preserve">. </w:t>
      </w:r>
      <w:r w:rsidR="00A57A5C" w:rsidRPr="000C225C" w:rsidDel="00FE66B3">
        <w:t xml:space="preserve">Production of these energy commodities is </w:t>
      </w:r>
      <w:r w:rsidR="00A57A5C" w:rsidRPr="00FE31CC" w:rsidDel="00FE66B3">
        <w:t>not required</w:t>
      </w:r>
      <w:r w:rsidR="00A57A5C" w:rsidRPr="000C225C" w:rsidDel="00FE66B3">
        <w:t xml:space="preserve"> to be reported. </w:t>
      </w:r>
    </w:p>
    <w:p w14:paraId="1B243E7C" w14:textId="3CB6E957" w:rsidR="00A57A5C" w:rsidRPr="000C225C" w:rsidRDefault="00A57A5C" w:rsidP="00A57A5C">
      <w:pPr>
        <w:rPr>
          <w:szCs w:val="20"/>
        </w:rPr>
      </w:pPr>
      <w:r w:rsidRPr="000C225C" w:rsidDel="00B976EC">
        <w:t>C</w:t>
      </w:r>
      <w:r w:rsidRPr="000C225C" w:rsidDel="00B66CE0">
        <w:t>onsumption</w:t>
      </w:r>
      <w:r w:rsidRPr="000C225C">
        <w:t xml:space="preserve"> of </w:t>
      </w:r>
      <w:r w:rsidRPr="000C225C" w:rsidDel="00C645CE">
        <w:t xml:space="preserve">these </w:t>
      </w:r>
      <w:r w:rsidRPr="000C225C">
        <w:t xml:space="preserve">energy commodities is only required to be reported </w:t>
      </w:r>
      <w:r w:rsidRPr="000C225C">
        <w:rPr>
          <w:szCs w:val="20"/>
        </w:rPr>
        <w:t>where they are used to generate reportable electricity production</w:t>
      </w:r>
      <w:r>
        <w:rPr>
          <w:szCs w:val="20"/>
        </w:rPr>
        <w:t>, that is,</w:t>
      </w:r>
      <w:r w:rsidRPr="000C225C">
        <w:rPr>
          <w:szCs w:val="20"/>
        </w:rPr>
        <w:t xml:space="preserve"> in a generating unit exceeding the reporting threshold</w:t>
      </w:r>
      <w:r>
        <w:rPr>
          <w:szCs w:val="20"/>
        </w:rPr>
        <w:t xml:space="preserve"> (see</w:t>
      </w:r>
      <w:r w:rsidRPr="000C225C">
        <w:rPr>
          <w:szCs w:val="20"/>
        </w:rPr>
        <w:t xml:space="preserve"> </w:t>
      </w:r>
      <w:r>
        <w:fldChar w:fldCharType="begin" w:fldLock="1"/>
      </w:r>
      <w:r>
        <w:instrText>REF _Ref199338865</w:instrText>
      </w:r>
      <w:r>
        <w:fldChar w:fldCharType="separate"/>
      </w:r>
      <w:r w:rsidR="000772C0">
        <w:t xml:space="preserve">Table </w:t>
      </w:r>
      <w:r w:rsidR="000772C0">
        <w:rPr>
          <w:noProof/>
        </w:rPr>
        <w:t>10</w:t>
      </w:r>
      <w:r>
        <w:fldChar w:fldCharType="end"/>
      </w:r>
      <w:r>
        <w:rPr>
          <w:szCs w:val="20"/>
        </w:rPr>
        <w:t>)</w:t>
      </w:r>
      <w:r w:rsidRPr="000C225C">
        <w:rPr>
          <w:szCs w:val="20"/>
        </w:rPr>
        <w:t>.</w:t>
      </w:r>
    </w:p>
    <w:p w14:paraId="587DD604" w14:textId="5521C4B6" w:rsidR="00A57A5C" w:rsidRPr="000C225C" w:rsidRDefault="00A57A5C" w:rsidP="00A57A5C">
      <w:r w:rsidRPr="000C225C">
        <w:rPr>
          <w:szCs w:val="20"/>
        </w:rPr>
        <w:t>A</w:t>
      </w:r>
      <w:r w:rsidRPr="000C225C">
        <w:t xml:space="preserve"> 100</w:t>
      </w:r>
      <w:r>
        <w:t>%</w:t>
      </w:r>
      <w:r w:rsidRPr="000C225C">
        <w:t xml:space="preserve"> conversion efficiency is assumed between the renewable energy commodity consumed and the electricity produced</w:t>
      </w:r>
      <w:r w:rsidR="001D59A9">
        <w:t xml:space="preserve"> -</w:t>
      </w:r>
      <w:r>
        <w:t xml:space="preserve"> t</w:t>
      </w:r>
      <w:r w:rsidRPr="000C225C">
        <w:t>hey are of equal magnitude. For example, if a wind farm generates 1,000,000</w:t>
      </w:r>
      <w:r w:rsidR="00CB1F3A">
        <w:t> </w:t>
      </w:r>
      <w:r w:rsidRPr="000C225C">
        <w:t>GJ of electricity it is assumed to have consumed 1,000,000</w:t>
      </w:r>
      <w:r w:rsidR="00CB1F3A">
        <w:t> </w:t>
      </w:r>
      <w:r w:rsidRPr="000C225C">
        <w:t xml:space="preserve">GJ of the renewable energy commodity ‘wind energy for electricity generation’. </w:t>
      </w:r>
    </w:p>
    <w:p w14:paraId="6E882F6B" w14:textId="0770D7DA" w:rsidR="00A57A5C" w:rsidRPr="000C225C" w:rsidDel="008917F5" w:rsidRDefault="00A57A5C" w:rsidP="00A57A5C">
      <w:r w:rsidRPr="000C225C" w:rsidDel="008917F5">
        <w:t xml:space="preserve">Reporting of electricity production and consumption from renewable sources follows the electricity reporting thresholds set out in </w:t>
      </w:r>
      <w:hyperlink w:anchor="_Electricity_production_and" w:history="1">
        <w:r w:rsidRPr="00A30145" w:rsidDel="008917F5">
          <w:rPr>
            <w:rStyle w:val="Hyperlink"/>
            <w:rFonts w:asciiTheme="minorHAnsi" w:hAnsiTheme="minorHAnsi"/>
          </w:rPr>
          <w:t>chapter 7.3</w:t>
        </w:r>
      </w:hyperlink>
      <w:r w:rsidDel="008917F5">
        <w:t xml:space="preserve"> </w:t>
      </w:r>
      <w:r w:rsidRPr="000C225C" w:rsidDel="008917F5">
        <w:t>of this guideline.</w:t>
      </w:r>
    </w:p>
    <w:p w14:paraId="798FFF26" w14:textId="487EAF69" w:rsidR="00A57A5C" w:rsidRPr="000C225C" w:rsidRDefault="00A57A5C" w:rsidP="00A57A5C">
      <w:r w:rsidRPr="00FE31CC">
        <w:t>Note</w:t>
      </w:r>
      <w:r w:rsidRPr="000C225C">
        <w:t xml:space="preserve">: Reporting electricity production even when below the threshold is allowed, </w:t>
      </w:r>
      <w:r w:rsidR="006B6510">
        <w:t xml:space="preserve">as </w:t>
      </w:r>
      <w:r w:rsidRPr="000C225C">
        <w:t>per 4.19(2)</w:t>
      </w:r>
      <w:r>
        <w:t xml:space="preserve"> </w:t>
      </w:r>
      <w:r w:rsidR="006B6510">
        <w:t xml:space="preserve">of the </w:t>
      </w:r>
      <w:r w:rsidRPr="000C225C">
        <w:t>NGER Regulation</w:t>
      </w:r>
      <w:r w:rsidR="006B6510">
        <w:t>s</w:t>
      </w:r>
      <w:r>
        <w:t xml:space="preserve"> </w:t>
      </w:r>
      <w:r w:rsidR="002D44DF">
        <w:t>–</w:t>
      </w:r>
      <w:r>
        <w:t xml:space="preserve"> see</w:t>
      </w:r>
      <w:r w:rsidRPr="000C225C">
        <w:t xml:space="preserve"> </w:t>
      </w:r>
      <w:hyperlink w:anchor="_Electricity_production_and" w:history="1">
        <w:r w:rsidRPr="00A30145">
          <w:rPr>
            <w:rStyle w:val="Hyperlink"/>
            <w:rFonts w:asciiTheme="minorHAnsi" w:hAnsiTheme="minorHAnsi"/>
          </w:rPr>
          <w:t>chapter 7.3</w:t>
        </w:r>
      </w:hyperlink>
      <w:r w:rsidRPr="000C225C">
        <w:t xml:space="preserve"> of this guideline</w:t>
      </w:r>
      <w:r>
        <w:t xml:space="preserve"> for more information</w:t>
      </w:r>
      <w:r w:rsidRPr="000C225C">
        <w:t xml:space="preserve">. Where a renewable generator chooses to do this, the corresponding consumption of renewable energy commodity </w:t>
      </w:r>
      <w:r>
        <w:t>must</w:t>
      </w:r>
      <w:r w:rsidRPr="000C225C">
        <w:t xml:space="preserve"> also be reported.</w:t>
      </w:r>
    </w:p>
    <w:tbl>
      <w:tblPr>
        <w:tblStyle w:val="CERCallout"/>
        <w:tblW w:w="5000" w:type="pct"/>
        <w:tblLook w:val="04A0" w:firstRow="1" w:lastRow="0" w:firstColumn="1" w:lastColumn="0" w:noHBand="0" w:noVBand="1"/>
      </w:tblPr>
      <w:tblGrid>
        <w:gridCol w:w="9710"/>
      </w:tblGrid>
      <w:tr w:rsidR="00D67F2D" w:rsidRPr="00FF338C" w14:paraId="040A2C49" w14:textId="77777777" w:rsidTr="00BE117F">
        <w:trPr>
          <w:cnfStyle w:val="100000000000" w:firstRow="1" w:lastRow="0" w:firstColumn="0" w:lastColumn="0" w:oddVBand="0" w:evenVBand="0" w:oddHBand="0" w:evenHBand="0" w:firstRowFirstColumn="0" w:firstRowLastColumn="0" w:lastRowFirstColumn="0" w:lastRowLastColumn="0"/>
        </w:trPr>
        <w:tc>
          <w:tcPr>
            <w:tcW w:w="5000" w:type="pct"/>
          </w:tcPr>
          <w:p w14:paraId="243C4892" w14:textId="24ECBEEB" w:rsidR="00A57A5C" w:rsidRPr="00DB4B56" w:rsidRDefault="00A57A5C" w:rsidP="006D1341">
            <w:pPr>
              <w:pStyle w:val="Heading5"/>
              <w:rPr>
                <w:b/>
              </w:rPr>
            </w:pPr>
            <w:bookmarkStart w:id="319" w:name="_Toc526867725"/>
            <w:bookmarkStart w:id="320" w:name="_Toc526869767"/>
            <w:bookmarkStart w:id="321" w:name="_Toc235706355"/>
            <w:r w:rsidRPr="00DB4B56">
              <w:rPr>
                <w:b/>
              </w:rPr>
              <w:t>Example</w:t>
            </w:r>
            <w:r w:rsidR="009054D1">
              <w:rPr>
                <w:b/>
              </w:rPr>
              <w:t>:</w:t>
            </w:r>
            <w:r w:rsidRPr="00DB4B56">
              <w:rPr>
                <w:b/>
              </w:rPr>
              <w:t xml:space="preserve"> Consumption of a renewable energy commodity</w:t>
            </w:r>
            <w:bookmarkEnd w:id="319"/>
            <w:bookmarkEnd w:id="320"/>
            <w:bookmarkEnd w:id="321"/>
          </w:p>
          <w:p w14:paraId="37B8D4F1" w14:textId="37FB0A99" w:rsidR="00A57A5C" w:rsidRPr="00621859" w:rsidRDefault="00A57A5C" w:rsidP="00621859">
            <w:pPr>
              <w:pStyle w:val="CERbullets"/>
              <w:numPr>
                <w:ilvl w:val="0"/>
                <w:numId w:val="0"/>
              </w:numPr>
              <w:rPr>
                <w:b w:val="0"/>
                <w:bCs/>
              </w:rPr>
            </w:pPr>
            <w:hyperlink w:anchor="_Case_example_2:" w:history="1">
              <w:r w:rsidRPr="00621859">
                <w:rPr>
                  <w:rStyle w:val="Hyperlink"/>
                  <w:rFonts w:asciiTheme="minorHAnsi" w:hAnsiTheme="minorHAnsi"/>
                  <w:b w:val="0"/>
                  <w:bCs/>
                </w:rPr>
                <w:t>Case example 2 in Appendix A</w:t>
              </w:r>
            </w:hyperlink>
            <w:r w:rsidRPr="00621859">
              <w:rPr>
                <w:b w:val="0"/>
                <w:bCs/>
              </w:rPr>
              <w:t>, water energy is consumed for electricity production (see number 3 in</w:t>
            </w:r>
            <w:r w:rsidR="006E2F91">
              <w:rPr>
                <w:b w:val="0"/>
                <w:bCs/>
              </w:rPr>
              <w:t xml:space="preserve"> </w:t>
            </w:r>
            <w:r w:rsidR="006E2F91" w:rsidRPr="006E2F91">
              <w:fldChar w:fldCharType="begin" w:fldLock="1"/>
            </w:r>
            <w:r w:rsidR="006E2F91" w:rsidRPr="007D0A6E">
              <w:instrText xml:space="preserve"> </w:instrText>
            </w:r>
            <w:r w:rsidR="006E2F91" w:rsidRPr="006E2F91">
              <w:rPr>
                <w:b w:val="0"/>
              </w:rPr>
              <w:instrText xml:space="preserve">REF </w:instrText>
            </w:r>
            <w:r w:rsidR="006E2F91" w:rsidRPr="007D0A6E">
              <w:instrText xml:space="preserve">_Ref199340118 </w:instrText>
            </w:r>
            <w:r w:rsidR="006E2F91">
              <w:rPr>
                <w:b w:val="0"/>
              </w:rPr>
              <w:instrText xml:space="preserve"> \* MERGEFORMAT </w:instrText>
            </w:r>
            <w:r w:rsidR="006E2F91" w:rsidRPr="006E2F91">
              <w:fldChar w:fldCharType="separate"/>
            </w:r>
            <w:r w:rsidR="006E2F91" w:rsidRPr="006E2F91">
              <w:t xml:space="preserve">Figure </w:t>
            </w:r>
            <w:r w:rsidR="006E2F91" w:rsidRPr="006E2F91">
              <w:rPr>
                <w:noProof/>
              </w:rPr>
              <w:t>8</w:t>
            </w:r>
            <w:r w:rsidR="006E2F91" w:rsidRPr="006E2F91">
              <w:fldChar w:fldCharType="end"/>
            </w:r>
            <w:r w:rsidRPr="00621859">
              <w:rPr>
                <w:b w:val="0"/>
                <w:bCs/>
              </w:rPr>
              <w:t xml:space="preserve">). </w:t>
            </w:r>
          </w:p>
          <w:p w14:paraId="48CDFB77" w14:textId="2DF67F06" w:rsidR="00A57A5C" w:rsidRPr="00621859" w:rsidRDefault="00A57A5C" w:rsidP="00621859">
            <w:pPr>
              <w:pStyle w:val="CERbullets"/>
              <w:numPr>
                <w:ilvl w:val="0"/>
                <w:numId w:val="0"/>
              </w:numPr>
              <w:rPr>
                <w:b w:val="0"/>
                <w:bCs/>
              </w:rPr>
            </w:pPr>
            <w:r w:rsidRPr="00621859">
              <w:rPr>
                <w:b w:val="0"/>
                <w:bCs/>
              </w:rPr>
              <w:t>In this case, the quantity of water energy consumed is equal to the amount of electricity produced as measured in the terminals of the generating unit and converted to GJ.</w:t>
            </w:r>
          </w:p>
          <w:p w14:paraId="2134DCDF" w14:textId="70A1C14C" w:rsidR="00A57A5C" w:rsidRPr="00FF338C" w:rsidRDefault="00A57A5C" w:rsidP="00621859">
            <w:pPr>
              <w:pStyle w:val="CERbullets"/>
              <w:numPr>
                <w:ilvl w:val="0"/>
                <w:numId w:val="0"/>
              </w:numPr>
            </w:pPr>
            <w:r w:rsidRPr="00621859">
              <w:rPr>
                <w:b w:val="0"/>
                <w:bCs/>
              </w:rPr>
              <w:t xml:space="preserve">The storing of water at elevation behind a dam (see number 1 in </w:t>
            </w:r>
            <w:r w:rsidR="00895352">
              <w:fldChar w:fldCharType="begin"/>
            </w:r>
            <w:r w:rsidR="00895352">
              <w:rPr>
                <w:b w:val="0"/>
                <w:bCs/>
              </w:rPr>
              <w:instrText xml:space="preserve"> REF _Ref199340118 \h </w:instrText>
            </w:r>
            <w:r w:rsidR="00895352">
              <w:fldChar w:fldCharType="separate"/>
            </w:r>
            <w:r w:rsidR="0069639D">
              <w:t xml:space="preserve">Figure </w:t>
            </w:r>
            <w:r w:rsidR="0069639D">
              <w:rPr>
                <w:noProof/>
              </w:rPr>
              <w:t>8</w:t>
            </w:r>
            <w:r w:rsidR="00895352">
              <w:fldChar w:fldCharType="end"/>
            </w:r>
            <w:r w:rsidRPr="00621859">
              <w:rPr>
                <w:b w:val="0"/>
                <w:bCs/>
              </w:rPr>
              <w:t>) contains the potential energy to generate electricity. The ‘production’ of this potential energy is not reportable under NGER.</w:t>
            </w:r>
          </w:p>
        </w:tc>
      </w:tr>
    </w:tbl>
    <w:p w14:paraId="6C1B046F" w14:textId="77777777" w:rsidR="00E428E1" w:rsidRDefault="00E428E1" w:rsidP="00A57A5C">
      <w:pPr>
        <w:spacing w:after="0"/>
      </w:pPr>
      <w:bookmarkStart w:id="322" w:name="_Hlk44013014"/>
      <w:bookmarkStart w:id="323" w:name="_Toc512010418"/>
      <w:bookmarkStart w:id="324" w:name="_Toc512339617"/>
    </w:p>
    <w:p w14:paraId="155194C2" w14:textId="5D9F40E3" w:rsidR="00A57A5C" w:rsidRDefault="000F1255" w:rsidP="00A57A5C">
      <w:pPr>
        <w:spacing w:after="0"/>
      </w:pPr>
      <w:r w:rsidRPr="00D2141E" w:rsidDel="00315D06">
        <w:t xml:space="preserve">EERS automatically </w:t>
      </w:r>
      <w:r>
        <w:t>generates a consumption activity for the</w:t>
      </w:r>
      <w:r w:rsidR="00A57A5C" w:rsidDel="00EC1486">
        <w:t xml:space="preserve"> </w:t>
      </w:r>
      <w:r w:rsidR="00A57A5C">
        <w:t xml:space="preserve">consumption of the relevant </w:t>
      </w:r>
      <w:r w:rsidR="003076AB">
        <w:t xml:space="preserve">primary </w:t>
      </w:r>
      <w:r w:rsidR="00A57A5C">
        <w:t xml:space="preserve">energy commodity, which is equal to the reported amount of electricity production from solar, wind, </w:t>
      </w:r>
      <w:r w:rsidR="00621859">
        <w:t>water,</w:t>
      </w:r>
      <w:r w:rsidR="00A57A5C">
        <w:t xml:space="preserve"> or geothermal energy. Where electricity production from solar, wind, water or geothermal energy is inputted into EERS, the consumption of solar, wind, water or geothermal energy must not be inputted separately. </w:t>
      </w:r>
      <w:r w:rsidR="00A57A5C" w:rsidRPr="001362CE">
        <w:t>This is</w:t>
      </w:r>
      <w:r w:rsidR="00A57A5C">
        <w:t xml:space="preserve"> described </w:t>
      </w:r>
      <w:r w:rsidR="00A57A5C" w:rsidRPr="001362CE">
        <w:t>in</w:t>
      </w:r>
      <w:r w:rsidR="00A57A5C">
        <w:t xml:space="preserve"> the example below</w:t>
      </w:r>
      <w:r w:rsidR="00A57A5C" w:rsidRPr="001362CE">
        <w:t>.</w:t>
      </w:r>
      <w:r w:rsidR="00A57A5C">
        <w:t xml:space="preserve"> </w:t>
      </w:r>
    </w:p>
    <w:tbl>
      <w:tblPr>
        <w:tblStyle w:val="CERCallout"/>
        <w:tblW w:w="5000" w:type="pct"/>
        <w:tblLook w:val="04A0" w:firstRow="1" w:lastRow="0" w:firstColumn="1" w:lastColumn="0" w:noHBand="0" w:noVBand="1"/>
      </w:tblPr>
      <w:tblGrid>
        <w:gridCol w:w="9710"/>
      </w:tblGrid>
      <w:tr w:rsidR="00D67F2D" w:rsidRPr="007C21EA" w14:paraId="37FE2907" w14:textId="77777777" w:rsidTr="00D66352">
        <w:trPr>
          <w:cnfStyle w:val="100000000000" w:firstRow="1" w:lastRow="0" w:firstColumn="0" w:lastColumn="0" w:oddVBand="0" w:evenVBand="0" w:oddHBand="0" w:evenHBand="0" w:firstRowFirstColumn="0" w:firstRowLastColumn="0" w:lastRowFirstColumn="0" w:lastRowLastColumn="0"/>
        </w:trPr>
        <w:tc>
          <w:tcPr>
            <w:tcW w:w="4708" w:type="pct"/>
          </w:tcPr>
          <w:p w14:paraId="75C49EB4" w14:textId="0EC7B4C0" w:rsidR="00A57A5C" w:rsidRPr="00AC2B9F" w:rsidRDefault="00A57A5C" w:rsidP="006D1341">
            <w:pPr>
              <w:pStyle w:val="Heading5"/>
              <w:rPr>
                <w:rFonts w:cstheme="minorHAnsi"/>
                <w:b/>
                <w:szCs w:val="22"/>
              </w:rPr>
            </w:pPr>
            <w:bookmarkStart w:id="325" w:name="_Toc235706356"/>
            <w:bookmarkEnd w:id="322"/>
            <w:r w:rsidRPr="00AC2B9F">
              <w:rPr>
                <w:rFonts w:cstheme="minorHAnsi"/>
                <w:b/>
                <w:szCs w:val="22"/>
              </w:rPr>
              <w:lastRenderedPageBreak/>
              <w:t>Example</w:t>
            </w:r>
            <w:r w:rsidR="009054D1">
              <w:rPr>
                <w:rFonts w:cstheme="minorHAnsi"/>
                <w:b/>
                <w:szCs w:val="22"/>
              </w:rPr>
              <w:t>:</w:t>
            </w:r>
            <w:r w:rsidRPr="00AC2B9F">
              <w:rPr>
                <w:rFonts w:cstheme="minorHAnsi"/>
                <w:b/>
                <w:szCs w:val="22"/>
              </w:rPr>
              <w:t xml:space="preserve"> Reporting production of electricity from a renewable energy commodity</w:t>
            </w:r>
            <w:bookmarkEnd w:id="325"/>
          </w:p>
          <w:p w14:paraId="1309637E" w14:textId="04B9266C" w:rsidR="00A57A5C" w:rsidRPr="00621859" w:rsidRDefault="00A57A5C">
            <w:pPr>
              <w:ind w:left="0"/>
              <w:rPr>
                <w:b w:val="0"/>
                <w:bCs/>
              </w:rPr>
            </w:pPr>
            <w:r w:rsidRPr="00621859">
              <w:rPr>
                <w:b w:val="0"/>
                <w:bCs/>
              </w:rPr>
              <w:t xml:space="preserve">A wind farm generates </w:t>
            </w:r>
            <w:bookmarkStart w:id="326" w:name="OLE_LINK1"/>
            <w:r w:rsidRPr="00621859">
              <w:rPr>
                <w:b w:val="0"/>
                <w:bCs/>
              </w:rPr>
              <w:t>1,000,000</w:t>
            </w:r>
            <w:bookmarkEnd w:id="326"/>
            <w:r w:rsidR="00A453C4">
              <w:rPr>
                <w:b w:val="0"/>
                <w:bCs/>
              </w:rPr>
              <w:t> </w:t>
            </w:r>
            <w:r w:rsidRPr="00621859">
              <w:rPr>
                <w:b w:val="0"/>
                <w:bCs/>
              </w:rPr>
              <w:t>kWh of electricity. The reporter inputs 1,000,000</w:t>
            </w:r>
            <w:r w:rsidR="00A453C4">
              <w:rPr>
                <w:b w:val="0"/>
                <w:bCs/>
              </w:rPr>
              <w:t> </w:t>
            </w:r>
            <w:r w:rsidRPr="00621859">
              <w:rPr>
                <w:b w:val="0"/>
                <w:bCs/>
              </w:rPr>
              <w:t>kWh into EERS as electricity produced using wind generation:</w:t>
            </w:r>
          </w:p>
          <w:p w14:paraId="6A3A953D" w14:textId="77777777" w:rsidR="00A57A5C" w:rsidRPr="00621859" w:rsidRDefault="00A57A5C">
            <w:pPr>
              <w:ind w:left="0"/>
              <w:rPr>
                <w:b w:val="0"/>
                <w:bCs/>
              </w:rPr>
            </w:pPr>
            <w:r w:rsidRPr="00621859">
              <w:rPr>
                <w:b w:val="0"/>
                <w:bCs/>
              </w:rPr>
              <w:t>EERS then records:</w:t>
            </w:r>
          </w:p>
          <w:p w14:paraId="647C3567" w14:textId="7129B43F" w:rsidR="00A57A5C" w:rsidRPr="00621859" w:rsidRDefault="00A57A5C" w:rsidP="00B3330E">
            <w:pPr>
              <w:pStyle w:val="CERbullets"/>
              <w:numPr>
                <w:ilvl w:val="0"/>
                <w:numId w:val="12"/>
              </w:numPr>
              <w:spacing w:beforeAutospacing="0"/>
              <w:rPr>
                <w:b w:val="0"/>
                <w:bCs/>
                <w:szCs w:val="22"/>
              </w:rPr>
            </w:pPr>
            <w:bookmarkStart w:id="327" w:name="_Hlk48051633"/>
            <w:r w:rsidRPr="00621859">
              <w:rPr>
                <w:b w:val="0"/>
                <w:bCs/>
                <w:szCs w:val="22"/>
              </w:rPr>
              <w:t>1,000,000</w:t>
            </w:r>
            <w:r w:rsidR="00A453C4">
              <w:rPr>
                <w:b w:val="0"/>
                <w:bCs/>
                <w:szCs w:val="22"/>
              </w:rPr>
              <w:t> </w:t>
            </w:r>
            <w:r w:rsidRPr="00621859">
              <w:rPr>
                <w:b w:val="0"/>
                <w:bCs/>
                <w:szCs w:val="22"/>
              </w:rPr>
              <w:t>kWh (</w:t>
            </w:r>
            <w:r w:rsidRPr="00621859">
              <w:rPr>
                <w:b w:val="0"/>
                <w:bCs/>
                <w:color w:val="000000"/>
                <w:szCs w:val="22"/>
                <w:lang w:val="en-US"/>
              </w:rPr>
              <w:t>3</w:t>
            </w:r>
            <w:r w:rsidR="002A137F">
              <w:rPr>
                <w:b w:val="0"/>
                <w:bCs/>
                <w:color w:val="000000"/>
                <w:szCs w:val="22"/>
                <w:lang w:val="en-US"/>
              </w:rPr>
              <w:t>,</w:t>
            </w:r>
            <w:r w:rsidRPr="00621859">
              <w:rPr>
                <w:b w:val="0"/>
                <w:bCs/>
                <w:color w:val="000000"/>
                <w:szCs w:val="22"/>
                <w:lang w:val="en-US"/>
              </w:rPr>
              <w:t>600</w:t>
            </w:r>
            <w:r w:rsidR="00A453C4">
              <w:rPr>
                <w:b w:val="0"/>
                <w:bCs/>
                <w:color w:val="000000"/>
                <w:szCs w:val="22"/>
                <w:lang w:val="en-US"/>
              </w:rPr>
              <w:t> </w:t>
            </w:r>
            <w:r w:rsidRPr="00621859">
              <w:rPr>
                <w:b w:val="0"/>
                <w:bCs/>
                <w:color w:val="000000"/>
                <w:szCs w:val="22"/>
                <w:lang w:val="en-US"/>
              </w:rPr>
              <w:t>GJ</w:t>
            </w:r>
            <w:r w:rsidRPr="00621859">
              <w:rPr>
                <w:b w:val="0"/>
                <w:bCs/>
                <w:szCs w:val="22"/>
              </w:rPr>
              <w:t>)</w:t>
            </w:r>
            <w:r w:rsidRPr="00621859">
              <w:rPr>
                <w:b w:val="0"/>
                <w:bCs/>
                <w:color w:val="000000"/>
                <w:szCs w:val="22"/>
                <w:lang w:val="en-US"/>
              </w:rPr>
              <w:t xml:space="preserve"> of electricity produced</w:t>
            </w:r>
            <w:r w:rsidRPr="00621859">
              <w:rPr>
                <w:b w:val="0"/>
                <w:bCs/>
                <w:szCs w:val="22"/>
              </w:rPr>
              <w:t xml:space="preserve"> </w:t>
            </w:r>
            <w:r w:rsidR="00AC4108">
              <w:rPr>
                <w:b w:val="0"/>
                <w:bCs/>
                <w:szCs w:val="22"/>
              </w:rPr>
              <w:t xml:space="preserve">for use onsite, </w:t>
            </w:r>
            <w:r w:rsidRPr="00621859">
              <w:rPr>
                <w:b w:val="0"/>
                <w:bCs/>
                <w:szCs w:val="22"/>
              </w:rPr>
              <w:t xml:space="preserve">using </w:t>
            </w:r>
            <w:r w:rsidRPr="00621859">
              <w:rPr>
                <w:b w:val="0"/>
                <w:bCs/>
                <w:color w:val="000000"/>
                <w:szCs w:val="22"/>
                <w:lang w:val="en-US"/>
              </w:rPr>
              <w:t>wind</w:t>
            </w:r>
            <w:r w:rsidRPr="00621859">
              <w:rPr>
                <w:b w:val="0"/>
                <w:bCs/>
                <w:szCs w:val="22"/>
              </w:rPr>
              <w:t xml:space="preserve"> generation</w:t>
            </w:r>
          </w:p>
          <w:p w14:paraId="0C198E02" w14:textId="4131A20D" w:rsidR="00A57A5C" w:rsidRPr="00621859" w:rsidRDefault="00EF2C35" w:rsidP="00B3330E">
            <w:pPr>
              <w:pStyle w:val="CERbullets"/>
              <w:numPr>
                <w:ilvl w:val="0"/>
                <w:numId w:val="12"/>
              </w:numPr>
              <w:spacing w:beforeAutospacing="0"/>
              <w:rPr>
                <w:b w:val="0"/>
                <w:bCs/>
                <w:szCs w:val="22"/>
              </w:rPr>
            </w:pPr>
            <w:r>
              <w:rPr>
                <w:b w:val="0"/>
                <w:bCs/>
                <w:color w:val="000000"/>
                <w:szCs w:val="22"/>
                <w:lang w:val="en-US"/>
              </w:rPr>
              <w:t>c</w:t>
            </w:r>
            <w:r w:rsidR="005804AF">
              <w:rPr>
                <w:b w:val="0"/>
                <w:bCs/>
                <w:color w:val="000000"/>
                <w:szCs w:val="22"/>
                <w:lang w:val="en-US"/>
              </w:rPr>
              <w:t xml:space="preserve">onsumption of </w:t>
            </w:r>
            <w:r w:rsidR="00A57A5C" w:rsidRPr="00621859">
              <w:rPr>
                <w:b w:val="0"/>
                <w:bCs/>
                <w:color w:val="000000"/>
                <w:szCs w:val="22"/>
                <w:lang w:val="en-US"/>
              </w:rPr>
              <w:t>3,600</w:t>
            </w:r>
            <w:r w:rsidR="00A453C4">
              <w:rPr>
                <w:b w:val="0"/>
                <w:bCs/>
                <w:color w:val="000000"/>
                <w:szCs w:val="22"/>
                <w:lang w:val="en-US"/>
              </w:rPr>
              <w:t> </w:t>
            </w:r>
            <w:r w:rsidR="00A57A5C" w:rsidRPr="00621859">
              <w:rPr>
                <w:b w:val="0"/>
                <w:bCs/>
                <w:color w:val="000000"/>
                <w:szCs w:val="22"/>
                <w:lang w:val="en-US"/>
              </w:rPr>
              <w:t xml:space="preserve">GJ of wind energy </w:t>
            </w:r>
            <w:r w:rsidR="00BA381C">
              <w:rPr>
                <w:b w:val="0"/>
                <w:bCs/>
                <w:color w:val="000000"/>
                <w:szCs w:val="22"/>
                <w:lang w:val="en-US"/>
              </w:rPr>
              <w:t>commodity</w:t>
            </w:r>
            <w:r w:rsidR="007D53AD">
              <w:rPr>
                <w:b w:val="0"/>
                <w:bCs/>
                <w:color w:val="000000"/>
                <w:szCs w:val="22"/>
                <w:lang w:val="en-US"/>
              </w:rPr>
              <w:t xml:space="preserve"> </w:t>
            </w:r>
            <w:r w:rsidR="00A57A5C" w:rsidRPr="00621859">
              <w:rPr>
                <w:b w:val="0"/>
                <w:bCs/>
                <w:color w:val="000000"/>
                <w:szCs w:val="22"/>
                <w:lang w:val="en-US"/>
              </w:rPr>
              <w:t>for electricity generation.</w:t>
            </w:r>
          </w:p>
          <w:bookmarkEnd w:id="327"/>
          <w:p w14:paraId="4B69912F" w14:textId="2AD017F4" w:rsidR="00A57A5C" w:rsidRPr="00621859" w:rsidRDefault="00A57A5C">
            <w:pPr>
              <w:ind w:left="0"/>
              <w:rPr>
                <w:b w:val="0"/>
                <w:bCs/>
              </w:rPr>
            </w:pPr>
            <w:r w:rsidRPr="00621859">
              <w:rPr>
                <w:b w:val="0"/>
                <w:bCs/>
              </w:rPr>
              <w:t xml:space="preserve">These values will be </w:t>
            </w:r>
            <w:r w:rsidR="00382782">
              <w:rPr>
                <w:b w:val="0"/>
                <w:bCs/>
              </w:rPr>
              <w:t>automatically</w:t>
            </w:r>
            <w:r w:rsidRPr="00621859">
              <w:rPr>
                <w:b w:val="0"/>
                <w:bCs/>
              </w:rPr>
              <w:t xml:space="preserve"> included in the NGER report generated by EERS</w:t>
            </w:r>
            <w:r w:rsidR="006F7D07">
              <w:rPr>
                <w:b w:val="0"/>
                <w:bCs/>
              </w:rPr>
              <w:t xml:space="preserve"> and should not be deleted</w:t>
            </w:r>
            <w:r w:rsidRPr="00621859">
              <w:rPr>
                <w:b w:val="0"/>
                <w:bCs/>
              </w:rPr>
              <w:t>.</w:t>
            </w:r>
          </w:p>
          <w:p w14:paraId="2BF3833B" w14:textId="5F0254F9" w:rsidR="00A57A5C" w:rsidRPr="00222962" w:rsidRDefault="00A57A5C">
            <w:pPr>
              <w:ind w:left="0"/>
            </w:pPr>
            <w:r w:rsidRPr="00621859">
              <w:rPr>
                <w:b w:val="0"/>
                <w:bCs/>
              </w:rPr>
              <w:t xml:space="preserve">The reporter </w:t>
            </w:r>
            <w:r w:rsidR="00E96D5F">
              <w:rPr>
                <w:b w:val="0"/>
                <w:bCs/>
              </w:rPr>
              <w:t>is not required to</w:t>
            </w:r>
            <w:r w:rsidRPr="00621859">
              <w:rPr>
                <w:b w:val="0"/>
                <w:bCs/>
              </w:rPr>
              <w:t xml:space="preserve"> manually report consumption of ‘wind energy for electricity generation’, because it </w:t>
            </w:r>
            <w:r w:rsidR="00E96D5F">
              <w:rPr>
                <w:b w:val="0"/>
                <w:bCs/>
              </w:rPr>
              <w:t>is</w:t>
            </w:r>
            <w:r w:rsidRPr="00621859">
              <w:rPr>
                <w:b w:val="0"/>
                <w:bCs/>
              </w:rPr>
              <w:t xml:space="preserve"> automatically recorded by EERS</w:t>
            </w:r>
            <w:r w:rsidR="008D4C59">
              <w:rPr>
                <w:b w:val="0"/>
                <w:bCs/>
              </w:rPr>
              <w:t xml:space="preserve"> when </w:t>
            </w:r>
            <w:r w:rsidR="00D34649">
              <w:rPr>
                <w:b w:val="0"/>
                <w:bCs/>
              </w:rPr>
              <w:t>the</w:t>
            </w:r>
            <w:r w:rsidR="008D4C59">
              <w:rPr>
                <w:b w:val="0"/>
                <w:bCs/>
              </w:rPr>
              <w:t xml:space="preserve"> value of </w:t>
            </w:r>
            <w:r w:rsidR="00A10673">
              <w:rPr>
                <w:b w:val="0"/>
                <w:bCs/>
              </w:rPr>
              <w:t xml:space="preserve">electricity production is </w:t>
            </w:r>
            <w:r w:rsidR="00D0528F">
              <w:rPr>
                <w:b w:val="0"/>
                <w:bCs/>
              </w:rPr>
              <w:t>reported</w:t>
            </w:r>
            <w:r w:rsidRPr="00621859">
              <w:rPr>
                <w:b w:val="0"/>
                <w:bCs/>
              </w:rPr>
              <w:t>.</w:t>
            </w:r>
          </w:p>
        </w:tc>
      </w:tr>
    </w:tbl>
    <w:p w14:paraId="76CE35C7" w14:textId="5A5FB7ED" w:rsidR="00A01C2C" w:rsidRPr="00B07C42" w:rsidRDefault="00A01C2C" w:rsidP="00A01C2C">
      <w:pPr>
        <w:spacing w:before="240"/>
      </w:pPr>
      <w:bookmarkStart w:id="328" w:name="_Toc232597532"/>
      <w:bookmarkStart w:id="329" w:name="_Toc232599629"/>
      <w:bookmarkStart w:id="330" w:name="_Toc232599730"/>
      <w:bookmarkStart w:id="331" w:name="_Toc232599831"/>
      <w:bookmarkStart w:id="332" w:name="_Toc232599932"/>
      <w:bookmarkStart w:id="333" w:name="_Toc232604573"/>
      <w:bookmarkStart w:id="334" w:name="_Toc233026144"/>
      <w:bookmarkEnd w:id="328"/>
      <w:bookmarkEnd w:id="329"/>
      <w:bookmarkEnd w:id="330"/>
      <w:bookmarkEnd w:id="331"/>
      <w:bookmarkEnd w:id="332"/>
      <w:bookmarkEnd w:id="333"/>
      <w:bookmarkEnd w:id="334"/>
      <w:r w:rsidRPr="00A01C2C">
        <w:t>Note: 'Landfill biogas that is captured for combustion', 'sludge biogas that is captured for combustion', ‘biomethane’ or 'a biogas that is captured for combustion, other than those mentioned in items 28 to 29A' are not renewable energy sources when they are consumed for electricity generation.</w:t>
      </w:r>
    </w:p>
    <w:p w14:paraId="315E7D6E" w14:textId="77777777" w:rsidR="00A57A5C" w:rsidRPr="00834FAF" w:rsidRDefault="00A57A5C" w:rsidP="00B3330E">
      <w:pPr>
        <w:pStyle w:val="Heading3"/>
        <w:numPr>
          <w:ilvl w:val="2"/>
          <w:numId w:val="3"/>
        </w:numPr>
        <w:ind w:left="709" w:hanging="709"/>
        <w:rPr>
          <w:szCs w:val="25"/>
          <w:lang w:val="en-GB"/>
        </w:rPr>
      </w:pPr>
      <w:bookmarkStart w:id="335" w:name="_Toc235706357"/>
      <w:r w:rsidRPr="00834FAF">
        <w:rPr>
          <w:lang w:val="en-GB"/>
        </w:rPr>
        <w:t>Reporting of NGER data alongside RET data</w:t>
      </w:r>
      <w:bookmarkEnd w:id="323"/>
      <w:bookmarkEnd w:id="324"/>
      <w:bookmarkEnd w:id="335"/>
    </w:p>
    <w:p w14:paraId="062BCC97" w14:textId="77777777" w:rsidR="00886F8E" w:rsidRPr="00886F8E" w:rsidRDefault="00886F8E" w:rsidP="00E5622F">
      <w:pPr>
        <w:pStyle w:val="BodyText1"/>
        <w:spacing w:before="0"/>
        <w:rPr>
          <w:color w:val="auto"/>
          <w:szCs w:val="22"/>
        </w:rPr>
      </w:pPr>
      <w:r w:rsidRPr="00886F8E">
        <w:rPr>
          <w:color w:val="000000"/>
        </w:rPr>
        <w:t xml:space="preserve">Under the </w:t>
      </w:r>
      <w:r w:rsidRPr="00886F8E">
        <w:t xml:space="preserve">Renewable Energy Target (RET), a liable entity is an individual or company that makes a relevant acquisition of electricity </w:t>
      </w:r>
      <w:r>
        <w:t>as outlined in Part 3 of the</w:t>
      </w:r>
      <w:r w:rsidRPr="00886F8E">
        <w:rPr>
          <w:i/>
          <w:iCs/>
        </w:rPr>
        <w:t xml:space="preserve"> Renewable Energy (Electricity) Act 2000</w:t>
      </w:r>
      <w:r w:rsidRPr="00886F8E">
        <w:t xml:space="preserve">. Liable entities are required to lodge an energy acquisition statement each year, which includes reporting their relevant acquisitions. </w:t>
      </w:r>
    </w:p>
    <w:p w14:paraId="59547A5F" w14:textId="77777777" w:rsidR="00886F8E" w:rsidRPr="00886F8E" w:rsidRDefault="00886F8E" w:rsidP="00E5622F">
      <w:pPr>
        <w:pStyle w:val="BodyText1"/>
      </w:pPr>
      <w:r w:rsidRPr="00886F8E">
        <w:t>The CER expects RET liable entities and corresponding NGER facilities to report their acquired electricity consistently under both the RET and NGER schemes.</w:t>
      </w:r>
    </w:p>
    <w:p w14:paraId="67D949D2" w14:textId="603C31C4" w:rsidR="00A57A5C" w:rsidRPr="00FF338C" w:rsidRDefault="00A57A5C" w:rsidP="00DB4B56">
      <w:pPr>
        <w:pStyle w:val="Heading2"/>
        <w:numPr>
          <w:ilvl w:val="1"/>
          <w:numId w:val="3"/>
        </w:numPr>
        <w:ind w:left="426" w:hanging="426"/>
      </w:pPr>
      <w:bookmarkStart w:id="336" w:name="_Toc233026146"/>
      <w:bookmarkStart w:id="337" w:name="_Toc233026147"/>
      <w:bookmarkStart w:id="338" w:name="_Toc106705771"/>
      <w:bookmarkStart w:id="339" w:name="_Toc235706358"/>
      <w:bookmarkEnd w:id="336"/>
      <w:bookmarkEnd w:id="337"/>
      <w:r w:rsidRPr="00FF338C">
        <w:t>Energy consumption from fuel use</w:t>
      </w:r>
      <w:bookmarkEnd w:id="338"/>
      <w:bookmarkEnd w:id="339"/>
    </w:p>
    <w:p w14:paraId="15F1F6AD" w14:textId="77777777" w:rsidR="00A57A5C" w:rsidRPr="00FF338C" w:rsidRDefault="00A57A5C" w:rsidP="006D1341">
      <w:pPr>
        <w:pStyle w:val="Body"/>
        <w:spacing w:before="0"/>
        <w:ind w:left="0"/>
        <w:rPr>
          <w:rFonts w:asciiTheme="minorHAnsi" w:eastAsia="Cambria" w:hAnsiTheme="minorHAnsi" w:cstheme="minorHAnsi"/>
          <w:color w:val="000000" w:themeColor="text1"/>
          <w:sz w:val="22"/>
          <w:szCs w:val="20"/>
        </w:rPr>
      </w:pPr>
      <w:r w:rsidRPr="00FF338C">
        <w:rPr>
          <w:rFonts w:asciiTheme="minorHAnsi" w:eastAsia="Cambria" w:hAnsiTheme="minorHAnsi" w:cstheme="minorHAnsi"/>
          <w:color w:val="000000" w:themeColor="text1"/>
          <w:sz w:val="22"/>
          <w:szCs w:val="20"/>
        </w:rPr>
        <w:t xml:space="preserve">Consumption of fuels must be reported if </w:t>
      </w:r>
      <w:r w:rsidRPr="00FF338C">
        <w:rPr>
          <w:rFonts w:asciiTheme="minorHAnsi" w:eastAsia="Cambria" w:hAnsiTheme="minorHAnsi"/>
          <w:sz w:val="22"/>
          <w:szCs w:val="22"/>
        </w:rPr>
        <w:t xml:space="preserve">the </w:t>
      </w:r>
      <w:r w:rsidRPr="00FF338C">
        <w:rPr>
          <w:rFonts w:asciiTheme="minorHAnsi" w:eastAsia="Cambria" w:hAnsiTheme="minorHAnsi" w:cstheme="minorHAnsi"/>
          <w:color w:val="000000" w:themeColor="text1"/>
          <w:sz w:val="22"/>
          <w:szCs w:val="20"/>
        </w:rPr>
        <w:t xml:space="preserve">quantity exceeds the thresholds listed </w:t>
      </w:r>
      <w:r>
        <w:rPr>
          <w:rFonts w:asciiTheme="minorHAnsi" w:eastAsia="Cambria" w:hAnsiTheme="minorHAnsi" w:cstheme="minorHAnsi"/>
          <w:color w:val="000000" w:themeColor="text1"/>
          <w:sz w:val="22"/>
          <w:szCs w:val="20"/>
        </w:rPr>
        <w:t>below</w:t>
      </w:r>
      <w:r w:rsidRPr="00FF338C">
        <w:rPr>
          <w:rFonts w:asciiTheme="minorHAnsi" w:eastAsia="Cambria" w:hAnsiTheme="minorHAnsi" w:cstheme="minorHAnsi"/>
          <w:color w:val="000000" w:themeColor="text1"/>
          <w:sz w:val="22"/>
          <w:szCs w:val="20"/>
        </w:rPr>
        <w:t xml:space="preserve">. Fuel use in electricity generation would typically be the largest source, but minor instances of fuel use </w:t>
      </w:r>
      <w:r w:rsidRPr="00FF338C" w:rsidDel="00E22CA3">
        <w:rPr>
          <w:rFonts w:asciiTheme="minorHAnsi" w:eastAsia="Cambria" w:hAnsiTheme="minorHAnsi" w:cstheme="minorHAnsi"/>
          <w:color w:val="000000" w:themeColor="text1"/>
          <w:sz w:val="22"/>
          <w:szCs w:val="20"/>
        </w:rPr>
        <w:t xml:space="preserve">should </w:t>
      </w:r>
      <w:r w:rsidRPr="00FF338C">
        <w:rPr>
          <w:rFonts w:asciiTheme="minorHAnsi" w:eastAsia="Cambria" w:hAnsiTheme="minorHAnsi" w:cstheme="minorHAnsi"/>
          <w:color w:val="000000" w:themeColor="text1"/>
          <w:sz w:val="22"/>
          <w:szCs w:val="20"/>
        </w:rPr>
        <w:t xml:space="preserve">also be considered. </w:t>
      </w:r>
    </w:p>
    <w:p w14:paraId="084C06CB" w14:textId="58BE03CA" w:rsidR="002236D4" w:rsidRDefault="002236D4" w:rsidP="00E9388B">
      <w:pPr>
        <w:pStyle w:val="Caption"/>
        <w:keepNext/>
      </w:pPr>
      <w:r>
        <w:t xml:space="preserve">Table </w:t>
      </w:r>
      <w:r>
        <w:fldChar w:fldCharType="begin"/>
      </w:r>
      <w:r>
        <w:instrText>SEQ Table \* ARABIC</w:instrText>
      </w:r>
      <w:r>
        <w:fldChar w:fldCharType="separate"/>
      </w:r>
      <w:r w:rsidR="0069639D">
        <w:rPr>
          <w:noProof/>
        </w:rPr>
        <w:t>14</w:t>
      </w:r>
      <w:r>
        <w:fldChar w:fldCharType="end"/>
      </w:r>
      <w:r>
        <w:t xml:space="preserve"> –</w:t>
      </w:r>
      <w:r>
        <w:rPr>
          <w:noProof/>
        </w:rPr>
        <w:t xml:space="preserve"> Thresholds for energy reporting from fuel use.</w:t>
      </w:r>
    </w:p>
    <w:tbl>
      <w:tblPr>
        <w:tblStyle w:val="CERTable"/>
        <w:tblW w:w="5000" w:type="pct"/>
        <w:tblLook w:val="04A0" w:firstRow="1" w:lastRow="0" w:firstColumn="1" w:lastColumn="0" w:noHBand="0" w:noVBand="1"/>
      </w:tblPr>
      <w:tblGrid>
        <w:gridCol w:w="2213"/>
        <w:gridCol w:w="7527"/>
      </w:tblGrid>
      <w:tr w:rsidR="00A57A5C" w:rsidRPr="00FF338C" w14:paraId="4F1F3BA4" w14:textId="77777777" w:rsidTr="00D11113">
        <w:trPr>
          <w:cnfStyle w:val="100000000000" w:firstRow="1" w:lastRow="0" w:firstColumn="0" w:lastColumn="0" w:oddVBand="0" w:evenVBand="0" w:oddHBand="0" w:evenHBand="0" w:firstRowFirstColumn="0" w:firstRowLastColumn="0" w:lastRowFirstColumn="0" w:lastRowLastColumn="0"/>
          <w:trHeight w:val="259"/>
          <w:tblHeader/>
        </w:trPr>
        <w:tc>
          <w:tcPr>
            <w:cnfStyle w:val="001000000000" w:firstRow="0" w:lastRow="0" w:firstColumn="1" w:lastColumn="0" w:oddVBand="0" w:evenVBand="0" w:oddHBand="0" w:evenHBand="0" w:firstRowFirstColumn="0" w:firstRowLastColumn="0" w:lastRowFirstColumn="0" w:lastRowLastColumn="0"/>
            <w:tcW w:w="1136" w:type="pct"/>
          </w:tcPr>
          <w:p w14:paraId="7CAB1CC1" w14:textId="272BF8B4" w:rsidR="00A57A5C" w:rsidRPr="00FF338C" w:rsidRDefault="00A57A5C">
            <w:pPr>
              <w:pStyle w:val="Body"/>
              <w:spacing w:before="37" w:after="75"/>
              <w:ind w:left="0"/>
              <w:rPr>
                <w:rFonts w:asciiTheme="minorHAnsi" w:hAnsiTheme="minorHAnsi"/>
                <w:sz w:val="22"/>
              </w:rPr>
            </w:pPr>
            <w:r w:rsidRPr="00FF338C">
              <w:rPr>
                <w:rFonts w:asciiTheme="minorHAnsi" w:hAnsiTheme="minorHAnsi"/>
                <w:sz w:val="22"/>
              </w:rPr>
              <w:t>Energy type</w:t>
            </w:r>
          </w:p>
        </w:tc>
        <w:tc>
          <w:tcPr>
            <w:tcW w:w="3864" w:type="pct"/>
          </w:tcPr>
          <w:p w14:paraId="4B7B25BA" w14:textId="3545E162" w:rsidR="00A57A5C" w:rsidRPr="00FF338C" w:rsidRDefault="00A57A5C">
            <w:pPr>
              <w:pStyle w:val="Body"/>
              <w:spacing w:before="37" w:after="75"/>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FF338C">
              <w:rPr>
                <w:rFonts w:asciiTheme="minorHAnsi" w:hAnsiTheme="minorHAnsi"/>
                <w:sz w:val="22"/>
              </w:rPr>
              <w:t xml:space="preserve">Consumption by combustion </w:t>
            </w:r>
            <w:r w:rsidR="00624776">
              <w:rPr>
                <w:rFonts w:asciiTheme="minorHAnsi" w:hAnsiTheme="minorHAnsi"/>
                <w:sz w:val="22"/>
              </w:rPr>
              <w:br/>
            </w:r>
            <w:r w:rsidRPr="00FF338C">
              <w:rPr>
                <w:rFonts w:asciiTheme="minorHAnsi" w:hAnsiTheme="minorHAnsi"/>
                <w:sz w:val="22"/>
              </w:rPr>
              <w:t>(apply to each instance of the combustion source)</w:t>
            </w:r>
          </w:p>
        </w:tc>
      </w:tr>
      <w:tr w:rsidR="00A57A5C" w:rsidRPr="00FF338C" w14:paraId="5CFE199D" w14:textId="77777777" w:rsidTr="00BE117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36" w:type="pct"/>
          </w:tcPr>
          <w:p w14:paraId="7C3FE541" w14:textId="77777777" w:rsidR="00A57A5C" w:rsidRPr="00FF338C" w:rsidRDefault="00A57A5C">
            <w:pPr>
              <w:pStyle w:val="Body"/>
              <w:spacing w:before="37" w:after="75"/>
              <w:ind w:left="0"/>
              <w:rPr>
                <w:rFonts w:asciiTheme="minorHAnsi" w:hAnsiTheme="minorHAnsi"/>
                <w:sz w:val="22"/>
              </w:rPr>
            </w:pPr>
            <w:r w:rsidRPr="00FF338C">
              <w:rPr>
                <w:rFonts w:asciiTheme="minorHAnsi" w:hAnsiTheme="minorHAnsi"/>
                <w:sz w:val="22"/>
              </w:rPr>
              <w:t>Solid fuel</w:t>
            </w:r>
          </w:p>
        </w:tc>
        <w:tc>
          <w:tcPr>
            <w:tcW w:w="3864" w:type="pct"/>
          </w:tcPr>
          <w:p w14:paraId="3A4AF748" w14:textId="06FD1305" w:rsidR="00A57A5C" w:rsidRPr="00FF338C" w:rsidRDefault="00624776">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F338C">
              <w:rPr>
                <w:rFonts w:asciiTheme="minorHAnsi" w:hAnsiTheme="minorHAnsi"/>
                <w:sz w:val="22"/>
              </w:rPr>
              <w:t>1</w:t>
            </w:r>
            <w:r>
              <w:rPr>
                <w:rFonts w:asciiTheme="minorHAnsi" w:hAnsiTheme="minorHAnsi"/>
                <w:sz w:val="22"/>
              </w:rPr>
              <w:t> </w:t>
            </w:r>
            <w:r w:rsidRPr="00FF338C">
              <w:rPr>
                <w:rFonts w:asciiTheme="minorHAnsi" w:hAnsiTheme="minorHAnsi"/>
                <w:sz w:val="22"/>
              </w:rPr>
              <w:t>t</w:t>
            </w:r>
          </w:p>
        </w:tc>
      </w:tr>
      <w:tr w:rsidR="00A57A5C" w:rsidRPr="00FF338C" w14:paraId="31EBFC1C" w14:textId="77777777" w:rsidTr="00BE117F">
        <w:trPr>
          <w:cnfStyle w:val="000000010000" w:firstRow="0" w:lastRow="0" w:firstColumn="0" w:lastColumn="0" w:oddVBand="0" w:evenVBand="0" w:oddHBand="0" w:evenHBand="1"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136" w:type="pct"/>
            <w:tcBorders>
              <w:bottom w:val="single" w:sz="8" w:space="0" w:color="E8E8E8" w:themeColor="background2"/>
            </w:tcBorders>
          </w:tcPr>
          <w:p w14:paraId="1B299499" w14:textId="77777777" w:rsidR="00A57A5C" w:rsidRPr="00FF338C" w:rsidRDefault="00A57A5C">
            <w:pPr>
              <w:pStyle w:val="Body"/>
              <w:spacing w:before="37" w:after="75"/>
              <w:ind w:left="0"/>
              <w:rPr>
                <w:rFonts w:asciiTheme="minorHAnsi" w:hAnsiTheme="minorHAnsi"/>
                <w:sz w:val="22"/>
              </w:rPr>
            </w:pPr>
            <w:r w:rsidRPr="00FF338C">
              <w:rPr>
                <w:rFonts w:asciiTheme="minorHAnsi" w:hAnsiTheme="minorHAnsi"/>
                <w:sz w:val="22"/>
              </w:rPr>
              <w:t xml:space="preserve">Liquid fuel </w:t>
            </w:r>
          </w:p>
        </w:tc>
        <w:tc>
          <w:tcPr>
            <w:tcW w:w="3864" w:type="pct"/>
            <w:tcBorders>
              <w:bottom w:val="single" w:sz="8" w:space="0" w:color="E8E8E8" w:themeColor="background2"/>
            </w:tcBorders>
          </w:tcPr>
          <w:p w14:paraId="25366F06" w14:textId="6277265C" w:rsidR="00A57A5C" w:rsidRPr="00FF338C" w:rsidRDefault="00A57A5C">
            <w:pPr>
              <w:pStyle w:val="Body"/>
              <w:spacing w:before="37" w:after="75"/>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r w:rsidRPr="00FF338C">
              <w:rPr>
                <w:rFonts w:asciiTheme="minorHAnsi" w:hAnsiTheme="minorHAnsi"/>
                <w:sz w:val="22"/>
              </w:rPr>
              <w:t>1</w:t>
            </w:r>
            <w:r w:rsidR="00624776">
              <w:rPr>
                <w:rFonts w:asciiTheme="minorHAnsi" w:hAnsiTheme="minorHAnsi"/>
                <w:sz w:val="22"/>
              </w:rPr>
              <w:t> </w:t>
            </w:r>
            <w:proofErr w:type="spellStart"/>
            <w:r w:rsidR="00624776">
              <w:rPr>
                <w:rFonts w:asciiTheme="minorHAnsi" w:hAnsiTheme="minorHAnsi"/>
                <w:sz w:val="22"/>
              </w:rPr>
              <w:t>kL</w:t>
            </w:r>
            <w:proofErr w:type="spellEnd"/>
            <w:r w:rsidRPr="00FF338C">
              <w:rPr>
                <w:rFonts w:asciiTheme="minorHAnsi" w:hAnsiTheme="minorHAnsi"/>
                <w:sz w:val="22"/>
              </w:rPr>
              <w:t xml:space="preserve"> or</w:t>
            </w:r>
            <w:r>
              <w:rPr>
                <w:rFonts w:asciiTheme="minorHAnsi" w:hAnsiTheme="minorHAnsi"/>
                <w:sz w:val="22"/>
              </w:rPr>
              <w:t xml:space="preserve"> </w:t>
            </w:r>
            <w:r w:rsidRPr="00FF338C">
              <w:rPr>
                <w:rFonts w:asciiTheme="minorHAnsi" w:hAnsiTheme="minorHAnsi"/>
                <w:sz w:val="22"/>
              </w:rPr>
              <w:t>5</w:t>
            </w:r>
            <w:r w:rsidR="00624776">
              <w:rPr>
                <w:rFonts w:asciiTheme="minorHAnsi" w:hAnsiTheme="minorHAnsi"/>
                <w:sz w:val="22"/>
              </w:rPr>
              <w:t> </w:t>
            </w:r>
            <w:proofErr w:type="spellStart"/>
            <w:r w:rsidR="00624776">
              <w:rPr>
                <w:rFonts w:asciiTheme="minorHAnsi" w:hAnsiTheme="minorHAnsi"/>
                <w:sz w:val="22"/>
              </w:rPr>
              <w:t>kL</w:t>
            </w:r>
            <w:proofErr w:type="spellEnd"/>
            <w:r w:rsidRPr="00FF338C">
              <w:rPr>
                <w:rFonts w:asciiTheme="minorHAnsi" w:hAnsiTheme="minorHAnsi"/>
                <w:sz w:val="22"/>
              </w:rPr>
              <w:t xml:space="preserve"> for petroleum</w:t>
            </w:r>
            <w:r>
              <w:rPr>
                <w:rFonts w:asciiTheme="minorHAnsi" w:hAnsiTheme="minorHAnsi"/>
                <w:sz w:val="22"/>
              </w:rPr>
              <w:t>-based</w:t>
            </w:r>
            <w:r w:rsidRPr="00FF338C">
              <w:rPr>
                <w:rFonts w:asciiTheme="minorHAnsi" w:hAnsiTheme="minorHAnsi"/>
                <w:sz w:val="22"/>
              </w:rPr>
              <w:t xml:space="preserve"> oils (other than petroleum-based oils used as fuels) and petroleum-based greases</w:t>
            </w:r>
          </w:p>
        </w:tc>
      </w:tr>
      <w:tr w:rsidR="00503817" w:rsidRPr="00FF338C" w14:paraId="66D1EB40" w14:textId="77777777" w:rsidTr="00BE117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136" w:type="pct"/>
            <w:tcBorders>
              <w:top w:val="single" w:sz="8" w:space="0" w:color="E8E8E8" w:themeColor="background2"/>
              <w:bottom w:val="single" w:sz="4" w:space="0" w:color="FCBA5C" w:themeColor="accent2"/>
            </w:tcBorders>
          </w:tcPr>
          <w:p w14:paraId="453397DC" w14:textId="77777777" w:rsidR="00A57A5C" w:rsidRPr="00FF338C" w:rsidRDefault="00A57A5C">
            <w:pPr>
              <w:pStyle w:val="Body"/>
              <w:spacing w:before="37" w:after="75"/>
              <w:ind w:left="0"/>
              <w:rPr>
                <w:rFonts w:asciiTheme="minorHAnsi" w:hAnsiTheme="minorHAnsi"/>
                <w:sz w:val="22"/>
              </w:rPr>
            </w:pPr>
            <w:r w:rsidRPr="00FF338C">
              <w:rPr>
                <w:rFonts w:asciiTheme="minorHAnsi" w:hAnsiTheme="minorHAnsi"/>
                <w:sz w:val="22"/>
              </w:rPr>
              <w:t>Gaseous fuel</w:t>
            </w:r>
          </w:p>
        </w:tc>
        <w:tc>
          <w:tcPr>
            <w:tcW w:w="3864" w:type="pct"/>
            <w:tcBorders>
              <w:top w:val="single" w:sz="8" w:space="0" w:color="E8E8E8" w:themeColor="background2"/>
              <w:bottom w:val="single" w:sz="4" w:space="0" w:color="FCBA5C" w:themeColor="accent2"/>
            </w:tcBorders>
          </w:tcPr>
          <w:p w14:paraId="6755BD05" w14:textId="62A8CEA4" w:rsidR="00A57A5C" w:rsidRPr="00FF338C" w:rsidRDefault="00624776">
            <w:pPr>
              <w:pStyle w:val="Body"/>
              <w:spacing w:before="37" w:after="75"/>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F338C">
              <w:rPr>
                <w:rFonts w:asciiTheme="minorHAnsi" w:hAnsiTheme="minorHAnsi"/>
                <w:sz w:val="22"/>
              </w:rPr>
              <w:t>1,000</w:t>
            </w:r>
            <w:r>
              <w:rPr>
                <w:rFonts w:asciiTheme="minorHAnsi" w:hAnsiTheme="minorHAnsi"/>
                <w:sz w:val="22"/>
              </w:rPr>
              <w:t> m</w:t>
            </w:r>
            <w:r>
              <w:rPr>
                <w:rFonts w:asciiTheme="minorHAnsi" w:hAnsiTheme="minorHAnsi"/>
                <w:sz w:val="22"/>
                <w:vertAlign w:val="superscript"/>
              </w:rPr>
              <w:t>3</w:t>
            </w:r>
          </w:p>
        </w:tc>
      </w:tr>
    </w:tbl>
    <w:p w14:paraId="1E3AEF69" w14:textId="77777777" w:rsidR="00A57A5C" w:rsidRDefault="00A57A5C" w:rsidP="00A57A5C">
      <w:pPr>
        <w:pStyle w:val="Body"/>
        <w:ind w:left="0"/>
        <w:rPr>
          <w:rFonts w:asciiTheme="minorHAnsi" w:hAnsiTheme="minorHAnsi"/>
          <w:sz w:val="22"/>
        </w:rPr>
      </w:pPr>
      <w:bookmarkStart w:id="340" w:name="_Toc506446756"/>
      <w:bookmarkStart w:id="341" w:name="_Toc506470702"/>
      <w:bookmarkStart w:id="342" w:name="_Toc506537346"/>
      <w:bookmarkStart w:id="343" w:name="_Toc506798120"/>
      <w:bookmarkStart w:id="344" w:name="_Toc506446757"/>
      <w:bookmarkStart w:id="345" w:name="_Toc506470703"/>
      <w:bookmarkStart w:id="346" w:name="_Toc506537347"/>
      <w:bookmarkStart w:id="347" w:name="_Toc506798121"/>
      <w:bookmarkStart w:id="348" w:name="_Toc506446760"/>
      <w:bookmarkStart w:id="349" w:name="_Toc506470706"/>
      <w:bookmarkStart w:id="350" w:name="_Toc506537350"/>
      <w:bookmarkStart w:id="351" w:name="_Toc506798124"/>
      <w:bookmarkStart w:id="352" w:name="_Toc506446764"/>
      <w:bookmarkStart w:id="353" w:name="_Toc506470710"/>
      <w:bookmarkStart w:id="354" w:name="_Toc506537354"/>
      <w:bookmarkStart w:id="355" w:name="_Toc506798128"/>
      <w:bookmarkStart w:id="356" w:name="_Toc506446765"/>
      <w:bookmarkStart w:id="357" w:name="_Toc506470711"/>
      <w:bookmarkStart w:id="358" w:name="_Toc506537355"/>
      <w:bookmarkStart w:id="359" w:name="_Toc506798129"/>
      <w:bookmarkStart w:id="360" w:name="_Toc506299036"/>
      <w:bookmarkStart w:id="361" w:name="_Toc506301067"/>
      <w:bookmarkStart w:id="362" w:name="_Toc506378571"/>
      <w:bookmarkStart w:id="363" w:name="_Toc506446766"/>
      <w:bookmarkStart w:id="364" w:name="_Toc506470712"/>
      <w:bookmarkStart w:id="365" w:name="_Toc506537356"/>
      <w:bookmarkStart w:id="366" w:name="_Toc506798130"/>
      <w:bookmarkStart w:id="367" w:name="_Toc506299039"/>
      <w:bookmarkStart w:id="368" w:name="_Toc506301070"/>
      <w:bookmarkStart w:id="369" w:name="_Toc506378574"/>
      <w:bookmarkStart w:id="370" w:name="_Toc506446769"/>
      <w:bookmarkStart w:id="371" w:name="_Toc506470715"/>
      <w:bookmarkStart w:id="372" w:name="_Toc506537359"/>
      <w:bookmarkStart w:id="373" w:name="_Toc506798133"/>
      <w:bookmarkStart w:id="374" w:name="_Toc506301073"/>
      <w:bookmarkStart w:id="375" w:name="_Toc506378577"/>
      <w:bookmarkStart w:id="376" w:name="_Toc506446772"/>
      <w:bookmarkStart w:id="377" w:name="_Toc506470718"/>
      <w:bookmarkStart w:id="378" w:name="_Toc506537362"/>
      <w:bookmarkStart w:id="379" w:name="_Toc506798136"/>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55FF5DF8" w14:textId="3C06BADB" w:rsidR="00A57A5C" w:rsidRPr="00FF338C" w:rsidRDefault="00A57A5C" w:rsidP="00A57A5C">
      <w:pPr>
        <w:pStyle w:val="Body"/>
        <w:ind w:left="0"/>
        <w:rPr>
          <w:rFonts w:asciiTheme="minorHAnsi" w:hAnsiTheme="minorHAnsi"/>
          <w:sz w:val="22"/>
        </w:rPr>
      </w:pPr>
      <w:r w:rsidRPr="00FF338C">
        <w:rPr>
          <w:rFonts w:asciiTheme="minorHAnsi" w:hAnsiTheme="minorHAnsi"/>
          <w:sz w:val="22"/>
        </w:rPr>
        <w:t xml:space="preserve">Measurement of fuel quantities is </w:t>
      </w:r>
      <w:r>
        <w:rPr>
          <w:rFonts w:asciiTheme="minorHAnsi" w:hAnsiTheme="minorHAnsi"/>
          <w:sz w:val="22"/>
        </w:rPr>
        <w:t>covered</w:t>
      </w:r>
      <w:r w:rsidRPr="00FF338C">
        <w:rPr>
          <w:rFonts w:asciiTheme="minorHAnsi" w:hAnsiTheme="minorHAnsi"/>
          <w:sz w:val="22"/>
        </w:rPr>
        <w:t xml:space="preserve"> in detail in </w:t>
      </w:r>
      <w:hyperlink w:anchor="_Measurement_requirements" w:history="1">
        <w:r w:rsidR="001746C9">
          <w:rPr>
            <w:rStyle w:val="Hyperlink"/>
            <w:rFonts w:asciiTheme="minorHAnsi" w:hAnsiTheme="minorHAnsi"/>
          </w:rPr>
          <w:t>Chapter 8</w:t>
        </w:r>
      </w:hyperlink>
      <w:r>
        <w:rPr>
          <w:rFonts w:asciiTheme="minorHAnsi" w:hAnsiTheme="minorHAnsi"/>
          <w:sz w:val="22"/>
        </w:rPr>
        <w:t xml:space="preserve"> of this guideline</w:t>
      </w:r>
      <w:r w:rsidRPr="00FF338C">
        <w:rPr>
          <w:rFonts w:asciiTheme="minorHAnsi" w:hAnsiTheme="minorHAnsi"/>
          <w:sz w:val="22"/>
        </w:rPr>
        <w:t xml:space="preserve">. </w:t>
      </w:r>
      <w:r w:rsidR="00377D8E">
        <w:rPr>
          <w:rFonts w:asciiTheme="minorHAnsi" w:hAnsiTheme="minorHAnsi"/>
          <w:sz w:val="22"/>
        </w:rPr>
        <w:t>‘Instance of a source’ is</w:t>
      </w:r>
      <w:r w:rsidR="00DF3F36">
        <w:rPr>
          <w:rFonts w:asciiTheme="minorHAnsi" w:hAnsiTheme="minorHAnsi"/>
          <w:sz w:val="22"/>
        </w:rPr>
        <w:t xml:space="preserve"> defined in </w:t>
      </w:r>
      <w:hyperlink w:anchor="_Thresholds_for_estimating" w:history="1">
        <w:r w:rsidR="00DF3F36" w:rsidRPr="00DF3F36">
          <w:rPr>
            <w:rStyle w:val="Hyperlink"/>
            <w:rFonts w:asciiTheme="minorHAnsi" w:hAnsiTheme="minorHAnsi"/>
          </w:rPr>
          <w:t>section 3.3</w:t>
        </w:r>
      </w:hyperlink>
      <w:r>
        <w:rPr>
          <w:rFonts w:asciiTheme="minorHAnsi" w:hAnsiTheme="minorHAnsi"/>
          <w:sz w:val="22"/>
        </w:rPr>
        <w:t xml:space="preserve"> of this guideline</w:t>
      </w:r>
      <w:r w:rsidRPr="00FF338C">
        <w:rPr>
          <w:rFonts w:asciiTheme="minorHAnsi" w:hAnsiTheme="minorHAnsi"/>
          <w:sz w:val="22"/>
        </w:rPr>
        <w:t xml:space="preserve">. </w:t>
      </w:r>
    </w:p>
    <w:p w14:paraId="40C4D03B" w14:textId="1768835B" w:rsidR="00A57A5C" w:rsidRPr="00FF338C" w:rsidRDefault="00A57A5C" w:rsidP="00A57A5C">
      <w:pPr>
        <w:pStyle w:val="Body"/>
        <w:ind w:left="0"/>
        <w:rPr>
          <w:rFonts w:asciiTheme="minorHAnsi" w:hAnsiTheme="minorHAnsi"/>
          <w:sz w:val="22"/>
          <w:szCs w:val="22"/>
        </w:rPr>
      </w:pPr>
      <w:r w:rsidRPr="00FF338C">
        <w:rPr>
          <w:rFonts w:asciiTheme="minorHAnsi" w:hAnsiTheme="minorHAnsi"/>
          <w:sz w:val="22"/>
          <w:szCs w:val="22"/>
        </w:rPr>
        <w:lastRenderedPageBreak/>
        <w:t xml:space="preserve">Energy content factors can either be selected from default values listed in Schedule 1 of the </w:t>
      </w:r>
      <w:r>
        <w:rPr>
          <w:rFonts w:asciiTheme="minorHAnsi" w:hAnsiTheme="minorHAnsi"/>
          <w:sz w:val="22"/>
          <w:szCs w:val="22"/>
        </w:rPr>
        <w:t>NGER Measurement Determination</w:t>
      </w:r>
      <w:r w:rsidRPr="00FF338C">
        <w:rPr>
          <w:rFonts w:asciiTheme="minorHAnsi" w:hAnsiTheme="minorHAnsi"/>
          <w:sz w:val="22"/>
          <w:szCs w:val="22"/>
        </w:rPr>
        <w:t xml:space="preserve"> or derived from sampling and analysis of a fuel. A summary of the location of </w:t>
      </w:r>
      <w:r w:rsidRPr="001C3092">
        <w:rPr>
          <w:rFonts w:asciiTheme="minorHAnsi" w:hAnsiTheme="minorHAnsi" w:cstheme="minorHAnsi"/>
          <w:sz w:val="22"/>
          <w:szCs w:val="22"/>
        </w:rPr>
        <w:t xml:space="preserve">the specified sampling and analysis requirements within the NGER Measurement Determination is described in </w:t>
      </w:r>
      <w:r w:rsidR="00B60AED" w:rsidRPr="001C3092">
        <w:rPr>
          <w:rFonts w:asciiTheme="minorHAnsi" w:hAnsiTheme="minorHAnsi" w:cstheme="minorHAnsi"/>
          <w:sz w:val="22"/>
          <w:szCs w:val="22"/>
        </w:rPr>
        <w:fldChar w:fldCharType="begin" w:fldLock="1"/>
      </w:r>
      <w:r w:rsidR="00B60AED" w:rsidRPr="001C3092">
        <w:rPr>
          <w:rFonts w:asciiTheme="minorHAnsi" w:hAnsiTheme="minorHAnsi" w:cstheme="minorHAnsi"/>
          <w:sz w:val="22"/>
          <w:szCs w:val="22"/>
        </w:rPr>
        <w:instrText xml:space="preserve"> REF _Ref199338979 </w:instrText>
      </w:r>
      <w:r w:rsidR="001C3092" w:rsidRPr="001C3092">
        <w:rPr>
          <w:rFonts w:asciiTheme="minorHAnsi" w:hAnsiTheme="minorHAnsi" w:cstheme="minorHAnsi"/>
          <w:sz w:val="22"/>
          <w:szCs w:val="22"/>
        </w:rPr>
        <w:instrText xml:space="preserve"> \* MERGEFORMAT </w:instrText>
      </w:r>
      <w:r w:rsidR="00B60AED" w:rsidRPr="001C3092">
        <w:rPr>
          <w:rFonts w:asciiTheme="minorHAnsi" w:hAnsiTheme="minorHAnsi" w:cstheme="minorHAnsi"/>
          <w:sz w:val="22"/>
          <w:szCs w:val="22"/>
        </w:rPr>
        <w:fldChar w:fldCharType="separate"/>
      </w:r>
      <w:r w:rsidR="00B60AED" w:rsidRPr="006D1341">
        <w:rPr>
          <w:rFonts w:asciiTheme="minorHAnsi" w:hAnsiTheme="minorHAnsi" w:cstheme="minorHAnsi"/>
          <w:sz w:val="22"/>
          <w:szCs w:val="22"/>
        </w:rPr>
        <w:t xml:space="preserve">Table </w:t>
      </w:r>
      <w:r w:rsidR="00B60AED" w:rsidRPr="006D1341">
        <w:rPr>
          <w:rFonts w:asciiTheme="minorHAnsi" w:hAnsiTheme="minorHAnsi" w:cstheme="minorHAnsi"/>
          <w:noProof/>
          <w:sz w:val="22"/>
          <w:szCs w:val="22"/>
        </w:rPr>
        <w:t>15</w:t>
      </w:r>
      <w:r w:rsidR="00B60AED" w:rsidRPr="001C3092">
        <w:rPr>
          <w:rFonts w:asciiTheme="minorHAnsi" w:hAnsiTheme="minorHAnsi" w:cstheme="minorHAnsi"/>
          <w:sz w:val="22"/>
          <w:szCs w:val="22"/>
        </w:rPr>
        <w:fldChar w:fldCharType="end"/>
      </w:r>
      <w:r w:rsidR="00B60AED" w:rsidRPr="001C3092">
        <w:rPr>
          <w:rFonts w:asciiTheme="minorHAnsi" w:hAnsiTheme="minorHAnsi" w:cstheme="minorHAnsi"/>
          <w:sz w:val="22"/>
          <w:szCs w:val="22"/>
        </w:rPr>
        <w:t xml:space="preserve"> </w:t>
      </w:r>
      <w:r w:rsidRPr="001C3092">
        <w:rPr>
          <w:rFonts w:asciiTheme="minorHAnsi" w:hAnsiTheme="minorHAnsi" w:cstheme="minorHAnsi"/>
          <w:sz w:val="22"/>
          <w:szCs w:val="22"/>
        </w:rPr>
        <w:t>below. Energy consumption</w:t>
      </w:r>
      <w:r w:rsidRPr="00FF338C">
        <w:rPr>
          <w:rFonts w:asciiTheme="minorHAnsi" w:hAnsiTheme="minorHAnsi"/>
          <w:sz w:val="22"/>
          <w:szCs w:val="22"/>
        </w:rPr>
        <w:t xml:space="preserve"> from the combustion of fuel is calculated automatically when emissions from the fuel combustion are entered in EERS.</w:t>
      </w:r>
    </w:p>
    <w:p w14:paraId="48883930" w14:textId="222C186E" w:rsidR="002236D4" w:rsidRDefault="002236D4" w:rsidP="00E9388B">
      <w:pPr>
        <w:pStyle w:val="Caption"/>
        <w:keepNext/>
      </w:pPr>
      <w:bookmarkStart w:id="380" w:name="_Ref199338979"/>
      <w:r>
        <w:t xml:space="preserve">Table </w:t>
      </w:r>
      <w:r>
        <w:fldChar w:fldCharType="begin"/>
      </w:r>
      <w:r>
        <w:instrText>SEQ Table \* ARABIC</w:instrText>
      </w:r>
      <w:r>
        <w:fldChar w:fldCharType="separate"/>
      </w:r>
      <w:r w:rsidR="0069639D">
        <w:rPr>
          <w:noProof/>
        </w:rPr>
        <w:t>15</w:t>
      </w:r>
      <w:r>
        <w:fldChar w:fldCharType="end"/>
      </w:r>
      <w:bookmarkEnd w:id="380"/>
      <w:r>
        <w:t xml:space="preserve"> – Energy content factors by fuel type as prescribed in the NGER Measurement Determination.</w:t>
      </w:r>
    </w:p>
    <w:tbl>
      <w:tblPr>
        <w:tblStyle w:val="CERTable"/>
        <w:tblW w:w="5000" w:type="pct"/>
        <w:tblLook w:val="04A0" w:firstRow="1" w:lastRow="0" w:firstColumn="1" w:lastColumn="0" w:noHBand="0" w:noVBand="1"/>
      </w:tblPr>
      <w:tblGrid>
        <w:gridCol w:w="1619"/>
        <w:gridCol w:w="4430"/>
        <w:gridCol w:w="3691"/>
      </w:tblGrid>
      <w:tr w:rsidR="00503817" w:rsidRPr="00C64711" w14:paraId="4512BDA7" w14:textId="77777777" w:rsidTr="00D11113">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831" w:type="pct"/>
          </w:tcPr>
          <w:p w14:paraId="01111AB8"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Fuel category</w:t>
            </w:r>
          </w:p>
        </w:tc>
        <w:tc>
          <w:tcPr>
            <w:tcW w:w="2274" w:type="pct"/>
          </w:tcPr>
          <w:p w14:paraId="083ABD32" w14:textId="77777777" w:rsidR="00A57A5C" w:rsidRPr="00872A70" w:rsidRDefault="00A57A5C">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Predetermined value </w:t>
            </w:r>
          </w:p>
        </w:tc>
        <w:tc>
          <w:tcPr>
            <w:tcW w:w="1895" w:type="pct"/>
          </w:tcPr>
          <w:p w14:paraId="5078CB0E" w14:textId="77777777" w:rsidR="00A57A5C" w:rsidRPr="00872A70" w:rsidRDefault="00A57A5C">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Estimation technique</w:t>
            </w:r>
          </w:p>
        </w:tc>
      </w:tr>
      <w:tr w:rsidR="00A57A5C" w:rsidRPr="00C64711" w14:paraId="41FE4D34" w14:textId="77777777" w:rsidTr="00BE117F">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831" w:type="pct"/>
          </w:tcPr>
          <w:p w14:paraId="7B027E7D"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Solid fuels</w:t>
            </w:r>
          </w:p>
        </w:tc>
        <w:tc>
          <w:tcPr>
            <w:tcW w:w="2274" w:type="pct"/>
          </w:tcPr>
          <w:p w14:paraId="29BB84E9"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Refer to Part 1 of Schedule 1</w:t>
            </w:r>
          </w:p>
        </w:tc>
        <w:tc>
          <w:tcPr>
            <w:tcW w:w="1895" w:type="pct"/>
          </w:tcPr>
          <w:p w14:paraId="19E6B018" w14:textId="77777777"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Refer to standards indicated in Schedule 2 (or equivalent standards)</w:t>
            </w:r>
          </w:p>
        </w:tc>
      </w:tr>
      <w:tr w:rsidR="00A57A5C" w:rsidRPr="00C64711" w14:paraId="7AFA8A47" w14:textId="77777777" w:rsidTr="00BE117F">
        <w:trPr>
          <w:cnfStyle w:val="000000010000" w:firstRow="0" w:lastRow="0" w:firstColumn="0" w:lastColumn="0" w:oddVBand="0" w:evenVBand="0" w:oddHBand="0" w:evenHBand="1" w:firstRowFirstColumn="0" w:firstRowLastColumn="0" w:lastRowFirstColumn="0" w:lastRowLastColumn="0"/>
          <w:trHeight w:val="1019"/>
        </w:trPr>
        <w:tc>
          <w:tcPr>
            <w:cnfStyle w:val="001000000000" w:firstRow="0" w:lastRow="0" w:firstColumn="1" w:lastColumn="0" w:oddVBand="0" w:evenVBand="0" w:oddHBand="0" w:evenHBand="0" w:firstRowFirstColumn="0" w:firstRowLastColumn="0" w:lastRowFirstColumn="0" w:lastRowLastColumn="0"/>
            <w:tcW w:w="831" w:type="pct"/>
            <w:tcBorders>
              <w:bottom w:val="single" w:sz="8" w:space="0" w:color="E8E8E8" w:themeColor="background2"/>
            </w:tcBorders>
          </w:tcPr>
          <w:p w14:paraId="53E49E7A"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Gaseous fuels (in GJ per m</w:t>
            </w:r>
            <w:r w:rsidRPr="00872A70">
              <w:rPr>
                <w:rFonts w:asciiTheme="minorHAnsi" w:hAnsiTheme="minorHAnsi"/>
                <w:sz w:val="22"/>
                <w:szCs w:val="22"/>
                <w:vertAlign w:val="superscript"/>
              </w:rPr>
              <w:t>3</w:t>
            </w:r>
            <w:r w:rsidRPr="00872A70">
              <w:rPr>
                <w:rFonts w:asciiTheme="minorHAnsi" w:hAnsiTheme="minorHAnsi"/>
                <w:sz w:val="22"/>
                <w:szCs w:val="22"/>
              </w:rPr>
              <w:t>)</w:t>
            </w:r>
          </w:p>
        </w:tc>
        <w:tc>
          <w:tcPr>
            <w:tcW w:w="2274" w:type="pct"/>
            <w:tcBorders>
              <w:bottom w:val="single" w:sz="8" w:space="0" w:color="E8E8E8" w:themeColor="background2"/>
            </w:tcBorders>
          </w:tcPr>
          <w:p w14:paraId="04A09F51" w14:textId="77777777"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Refer to Part 2 of Schedule 1</w:t>
            </w:r>
          </w:p>
        </w:tc>
        <w:tc>
          <w:tcPr>
            <w:tcW w:w="1895" w:type="pct"/>
            <w:tcBorders>
              <w:bottom w:val="single" w:sz="8" w:space="0" w:color="E8E8E8" w:themeColor="background2"/>
            </w:tcBorders>
          </w:tcPr>
          <w:p w14:paraId="210C969B" w14:textId="760CCB7C" w:rsidR="00A57A5C" w:rsidRPr="00872A70"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Refer to the requirements of Subdivision 2.3.3.2, also described in </w:t>
            </w:r>
            <w:hyperlink w:anchor="_Sampling_and_analysis" w:history="1">
              <w:r w:rsidRPr="00A30145">
                <w:rPr>
                  <w:rStyle w:val="Hyperlink"/>
                  <w:rFonts w:asciiTheme="minorHAnsi" w:hAnsiTheme="minorHAnsi"/>
                  <w:szCs w:val="22"/>
                </w:rPr>
                <w:t>chapter 4.4.1</w:t>
              </w:r>
            </w:hyperlink>
            <w:r>
              <w:rPr>
                <w:rFonts w:asciiTheme="minorHAnsi" w:hAnsiTheme="minorHAnsi"/>
                <w:sz w:val="22"/>
                <w:szCs w:val="22"/>
              </w:rPr>
              <w:t xml:space="preserve"> </w:t>
            </w:r>
            <w:r w:rsidRPr="00872A70">
              <w:rPr>
                <w:rFonts w:asciiTheme="minorHAnsi" w:hAnsiTheme="minorHAnsi"/>
                <w:sz w:val="22"/>
                <w:szCs w:val="22"/>
              </w:rPr>
              <w:t>of this guideline</w:t>
            </w:r>
          </w:p>
        </w:tc>
      </w:tr>
      <w:tr w:rsidR="00503817" w:rsidRPr="00C64711" w14:paraId="762152F8" w14:textId="77777777" w:rsidTr="00BE117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31" w:type="pct"/>
            <w:tcBorders>
              <w:top w:val="single" w:sz="8" w:space="0" w:color="E8E8E8" w:themeColor="background2"/>
              <w:bottom w:val="single" w:sz="4" w:space="0" w:color="FCBA5C" w:themeColor="accent2"/>
            </w:tcBorders>
          </w:tcPr>
          <w:p w14:paraId="7897BB0D" w14:textId="77777777" w:rsidR="00A57A5C" w:rsidRPr="00872A70" w:rsidRDefault="00A57A5C">
            <w:pPr>
              <w:pStyle w:val="Body"/>
              <w:ind w:left="0"/>
              <w:rPr>
                <w:rFonts w:asciiTheme="minorHAnsi" w:hAnsiTheme="minorHAnsi"/>
                <w:sz w:val="22"/>
                <w:szCs w:val="22"/>
              </w:rPr>
            </w:pPr>
            <w:r w:rsidRPr="00872A70">
              <w:rPr>
                <w:rFonts w:asciiTheme="minorHAnsi" w:hAnsiTheme="minorHAnsi"/>
                <w:sz w:val="22"/>
                <w:szCs w:val="22"/>
              </w:rPr>
              <w:t>Liquid fuels</w:t>
            </w:r>
          </w:p>
        </w:tc>
        <w:tc>
          <w:tcPr>
            <w:tcW w:w="2274" w:type="pct"/>
            <w:tcBorders>
              <w:top w:val="single" w:sz="8" w:space="0" w:color="E8E8E8" w:themeColor="background2"/>
              <w:bottom w:val="single" w:sz="4" w:space="0" w:color="FCBA5C" w:themeColor="accent2"/>
            </w:tcBorders>
          </w:tcPr>
          <w:p w14:paraId="6247C0FF" w14:textId="14BDD92B" w:rsidR="00A57A5C" w:rsidRPr="00872A70" w:rsidRDefault="001B30D0">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Refer</w:t>
            </w:r>
            <w:r w:rsidR="00A57A5C" w:rsidRPr="00872A70">
              <w:rPr>
                <w:rFonts w:asciiTheme="minorHAnsi" w:hAnsiTheme="minorHAnsi"/>
                <w:sz w:val="22"/>
                <w:szCs w:val="22"/>
              </w:rPr>
              <w:t xml:space="preserve"> to Part 3 of Schedule 1</w:t>
            </w:r>
          </w:p>
        </w:tc>
        <w:tc>
          <w:tcPr>
            <w:tcW w:w="1895" w:type="pct"/>
            <w:tcBorders>
              <w:top w:val="single" w:sz="8" w:space="0" w:color="E8E8E8" w:themeColor="background2"/>
              <w:bottom w:val="single" w:sz="4" w:space="0" w:color="FCBA5C" w:themeColor="accent2"/>
            </w:tcBorders>
          </w:tcPr>
          <w:p w14:paraId="75C3DDCF" w14:textId="38819C12" w:rsidR="00A57A5C" w:rsidRPr="00872A70"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 xml:space="preserve">Refer to Subdivision 2.4.3.2, also described in </w:t>
            </w:r>
            <w:hyperlink w:anchor="_Sampling_and_analysis_1" w:history="1">
              <w:r w:rsidRPr="00A30145">
                <w:rPr>
                  <w:rStyle w:val="Hyperlink"/>
                  <w:rFonts w:asciiTheme="minorHAnsi" w:hAnsiTheme="minorHAnsi"/>
                  <w:szCs w:val="22"/>
                </w:rPr>
                <w:t>chapter 4.5.1</w:t>
              </w:r>
            </w:hyperlink>
            <w:r>
              <w:rPr>
                <w:rFonts w:asciiTheme="minorHAnsi" w:hAnsiTheme="minorHAnsi"/>
                <w:sz w:val="22"/>
                <w:szCs w:val="22"/>
              </w:rPr>
              <w:t xml:space="preserve"> </w:t>
            </w:r>
            <w:r w:rsidRPr="00872A70">
              <w:rPr>
                <w:rFonts w:asciiTheme="minorHAnsi" w:hAnsiTheme="minorHAnsi"/>
                <w:sz w:val="22"/>
                <w:szCs w:val="22"/>
              </w:rPr>
              <w:t xml:space="preserve">of this </w:t>
            </w:r>
            <w:r>
              <w:rPr>
                <w:rFonts w:asciiTheme="minorHAnsi" w:hAnsiTheme="minorHAnsi"/>
                <w:sz w:val="22"/>
                <w:szCs w:val="22"/>
              </w:rPr>
              <w:t>guideline</w:t>
            </w:r>
          </w:p>
        </w:tc>
      </w:tr>
    </w:tbl>
    <w:p w14:paraId="7778EF33" w14:textId="77777777" w:rsidR="00A57A5C" w:rsidRPr="00FF338C" w:rsidRDefault="00A57A5C" w:rsidP="00B3330E">
      <w:pPr>
        <w:pStyle w:val="Heading3"/>
        <w:numPr>
          <w:ilvl w:val="2"/>
          <w:numId w:val="3"/>
        </w:numPr>
        <w:ind w:left="709" w:hanging="709"/>
        <w:rPr>
          <w:lang w:val="en-GB"/>
        </w:rPr>
      </w:pPr>
      <w:bookmarkStart w:id="381" w:name="_Toc512010420"/>
      <w:bookmarkStart w:id="382" w:name="_Toc512339619"/>
      <w:bookmarkStart w:id="383" w:name="_Toc235706359"/>
      <w:r w:rsidRPr="00FF338C">
        <w:rPr>
          <w:lang w:val="en-GB"/>
        </w:rPr>
        <w:t>Blended fuels and other fuel mixes</w:t>
      </w:r>
      <w:bookmarkEnd w:id="381"/>
      <w:bookmarkEnd w:id="382"/>
      <w:bookmarkEnd w:id="383"/>
    </w:p>
    <w:p w14:paraId="757D6226" w14:textId="1CD5C5F0" w:rsidR="00A57A5C" w:rsidRDefault="00A57A5C" w:rsidP="00A57A5C">
      <w:r>
        <w:t xml:space="preserve">Energy production and consumption must be reported using fuel types listed within Schedule 1 of the NGER Regulations. Many of the fuels listed in Schedule 1 of the NGER Regulations are defined within 1.03 of the NGER Regulations and section 1.8 of the NGER Measurement Determination. Common usage and dictionary definition should be used when not otherwise defined within the NGER legislation. </w:t>
      </w:r>
    </w:p>
    <w:p w14:paraId="662B37ED" w14:textId="77777777" w:rsidR="00A57A5C" w:rsidRPr="00FF338C" w:rsidRDefault="00A57A5C" w:rsidP="00A57A5C">
      <w:pPr>
        <w:pStyle w:val="Body"/>
        <w:ind w:left="0"/>
        <w:rPr>
          <w:rFonts w:asciiTheme="minorHAnsi" w:hAnsiTheme="minorHAnsi"/>
          <w:sz w:val="22"/>
        </w:rPr>
      </w:pPr>
      <w:r w:rsidRPr="00FF338C">
        <w:rPr>
          <w:rFonts w:asciiTheme="minorHAnsi" w:hAnsiTheme="minorHAnsi"/>
          <w:sz w:val="22"/>
        </w:rPr>
        <w:t>The requirements for reporting blended fuels and fuels mixes will depend on the fuels in the blend or mix, the product created by the blending or mixing, and the end use of the blended fuel or fuel mix.</w:t>
      </w:r>
    </w:p>
    <w:p w14:paraId="230D5D22" w14:textId="320840EF" w:rsidR="00A57A5C" w:rsidRDefault="00A57A5C" w:rsidP="00A57A5C">
      <w:pPr>
        <w:pStyle w:val="Body"/>
        <w:ind w:left="0"/>
        <w:rPr>
          <w:rFonts w:asciiTheme="minorHAnsi" w:hAnsiTheme="minorHAnsi"/>
          <w:sz w:val="22"/>
        </w:rPr>
      </w:pPr>
      <w:r>
        <w:rPr>
          <w:rFonts w:asciiTheme="minorHAnsi" w:hAnsiTheme="minorHAnsi"/>
          <w:sz w:val="22"/>
        </w:rPr>
        <w:t>See</w:t>
      </w:r>
      <w:r w:rsidRPr="00FF338C">
        <w:rPr>
          <w:rFonts w:asciiTheme="minorHAnsi" w:hAnsiTheme="minorHAnsi"/>
          <w:sz w:val="22"/>
        </w:rPr>
        <w:t xml:space="preserve"> the </w:t>
      </w:r>
      <w:hyperlink r:id="rId60" w:tooltip="A link to the Reporting blended fuels, other fuel mixes, bitumen and explosives guide on the Clean Energy Regulator website" w:history="1">
        <w:r w:rsidRPr="00FE31CC">
          <w:rPr>
            <w:rStyle w:val="Hyperlink"/>
            <w:rFonts w:asciiTheme="minorHAnsi" w:hAnsiTheme="minorHAnsi"/>
            <w:iCs/>
          </w:rPr>
          <w:t>Reporting blended fuels</w:t>
        </w:r>
        <w:r w:rsidR="008A7340">
          <w:rPr>
            <w:rStyle w:val="Hyperlink"/>
            <w:rFonts w:asciiTheme="minorHAnsi" w:hAnsiTheme="minorHAnsi"/>
            <w:iCs/>
          </w:rPr>
          <w:t>,</w:t>
        </w:r>
        <w:r w:rsidRPr="00FE31CC">
          <w:rPr>
            <w:rStyle w:val="Hyperlink"/>
            <w:rFonts w:asciiTheme="minorHAnsi" w:hAnsiTheme="minorHAnsi"/>
            <w:iCs/>
          </w:rPr>
          <w:t xml:space="preserve"> other fuel mixes</w:t>
        </w:r>
        <w:r w:rsidR="008A7340">
          <w:rPr>
            <w:rStyle w:val="Hyperlink"/>
            <w:rFonts w:asciiTheme="minorHAnsi" w:hAnsiTheme="minorHAnsi"/>
            <w:iCs/>
          </w:rPr>
          <w:t>, bitumen and explosives</w:t>
        </w:r>
        <w:r w:rsidRPr="00FE31CC">
          <w:rPr>
            <w:rStyle w:val="Hyperlink"/>
            <w:rFonts w:asciiTheme="minorHAnsi" w:hAnsiTheme="minorHAnsi"/>
          </w:rPr>
          <w:t xml:space="preserve"> guideline</w:t>
        </w:r>
        <w:r w:rsidR="004B0870">
          <w:rPr>
            <w:rStyle w:val="Hyperlink"/>
            <w:rFonts w:ascii="ZWAdobeF" w:hAnsi="ZWAdobeF" w:cs="ZWAdobeF"/>
            <w:color w:val="auto"/>
            <w:sz w:val="2"/>
            <w:szCs w:val="2"/>
            <w:u w:val="none"/>
          </w:rPr>
          <w:t>34F</w:t>
        </w:r>
        <w:r w:rsidRPr="00FE31CC">
          <w:rPr>
            <w:rStyle w:val="Hyperlink"/>
            <w:rFonts w:asciiTheme="minorHAnsi" w:hAnsiTheme="minorHAnsi"/>
            <w:vertAlign w:val="superscript"/>
          </w:rPr>
          <w:footnoteReference w:id="36"/>
        </w:r>
      </w:hyperlink>
      <w:r>
        <w:rPr>
          <w:rFonts w:asciiTheme="minorHAnsi" w:hAnsiTheme="minorHAnsi"/>
          <w:sz w:val="22"/>
        </w:rPr>
        <w:t xml:space="preserve"> for more information on </w:t>
      </w:r>
      <w:r w:rsidRPr="00FF338C">
        <w:rPr>
          <w:rFonts w:asciiTheme="minorHAnsi" w:hAnsiTheme="minorHAnsi"/>
          <w:sz w:val="22"/>
        </w:rPr>
        <w:t>reporting requirements and calculation methodologies.</w:t>
      </w:r>
    </w:p>
    <w:p w14:paraId="52BAB99E" w14:textId="502FE44B" w:rsidR="00A57A5C" w:rsidRDefault="00A57A5C" w:rsidP="00DB4B56">
      <w:pPr>
        <w:pStyle w:val="Heading2"/>
        <w:numPr>
          <w:ilvl w:val="1"/>
          <w:numId w:val="3"/>
        </w:numPr>
        <w:ind w:left="426" w:hanging="426"/>
      </w:pPr>
      <w:bookmarkStart w:id="384" w:name="_Toc74235152"/>
      <w:bookmarkStart w:id="385" w:name="_Toc75334349"/>
      <w:bookmarkStart w:id="386" w:name="_Toc75438207"/>
      <w:bookmarkStart w:id="387" w:name="_Toc74235153"/>
      <w:bookmarkStart w:id="388" w:name="_Toc75334350"/>
      <w:bookmarkStart w:id="389" w:name="_Toc75438208"/>
      <w:bookmarkStart w:id="390" w:name="_Toc74235154"/>
      <w:bookmarkStart w:id="391" w:name="_Toc75334351"/>
      <w:bookmarkStart w:id="392" w:name="_Toc75438209"/>
      <w:bookmarkStart w:id="393" w:name="_Toc74235155"/>
      <w:bookmarkStart w:id="394" w:name="_Toc75334352"/>
      <w:bookmarkStart w:id="395" w:name="_Toc75438210"/>
      <w:bookmarkStart w:id="396" w:name="_Toc74235156"/>
      <w:bookmarkStart w:id="397" w:name="_Toc75334353"/>
      <w:bookmarkStart w:id="398" w:name="_Toc75438211"/>
      <w:bookmarkStart w:id="399" w:name="_Toc74235157"/>
      <w:bookmarkStart w:id="400" w:name="_Toc75334354"/>
      <w:bookmarkStart w:id="401" w:name="_Toc75438212"/>
      <w:bookmarkStart w:id="402" w:name="_Toc74235159"/>
      <w:bookmarkStart w:id="403" w:name="_Toc75334356"/>
      <w:bookmarkStart w:id="404" w:name="_Toc75438214"/>
      <w:bookmarkStart w:id="405" w:name="_Toc74235160"/>
      <w:bookmarkStart w:id="406" w:name="_Toc75334357"/>
      <w:bookmarkStart w:id="407" w:name="_Toc75438215"/>
      <w:bookmarkStart w:id="408" w:name="_Toc74235161"/>
      <w:bookmarkStart w:id="409" w:name="_Toc75334358"/>
      <w:bookmarkStart w:id="410" w:name="_Toc75438216"/>
      <w:bookmarkStart w:id="411" w:name="_Toc74235163"/>
      <w:bookmarkStart w:id="412" w:name="_Toc75334360"/>
      <w:bookmarkStart w:id="413" w:name="_Toc75438218"/>
      <w:bookmarkStart w:id="414" w:name="_Toc74235164"/>
      <w:bookmarkStart w:id="415" w:name="_Toc75334361"/>
      <w:bookmarkStart w:id="416" w:name="_Toc75438219"/>
      <w:bookmarkStart w:id="417" w:name="_Toc74235165"/>
      <w:bookmarkStart w:id="418" w:name="_Toc75334362"/>
      <w:bookmarkStart w:id="419" w:name="_Toc75438220"/>
      <w:bookmarkStart w:id="420" w:name="_Toc74235167"/>
      <w:bookmarkStart w:id="421" w:name="_Toc75334364"/>
      <w:bookmarkStart w:id="422" w:name="_Toc75438222"/>
      <w:bookmarkStart w:id="423" w:name="_Toc74235168"/>
      <w:bookmarkStart w:id="424" w:name="_Toc75334365"/>
      <w:bookmarkStart w:id="425" w:name="_Toc75438223"/>
      <w:bookmarkStart w:id="426" w:name="_Toc74235169"/>
      <w:bookmarkStart w:id="427" w:name="_Toc75334366"/>
      <w:bookmarkStart w:id="428" w:name="_Toc75438224"/>
      <w:bookmarkStart w:id="429" w:name="_Toc74235170"/>
      <w:bookmarkStart w:id="430" w:name="_Toc75334367"/>
      <w:bookmarkStart w:id="431" w:name="_Toc75438225"/>
      <w:bookmarkStart w:id="432" w:name="_Toc74235171"/>
      <w:bookmarkStart w:id="433" w:name="_Toc75334368"/>
      <w:bookmarkStart w:id="434" w:name="_Toc75438226"/>
      <w:bookmarkStart w:id="435" w:name="_Toc74235172"/>
      <w:bookmarkStart w:id="436" w:name="_Toc75334369"/>
      <w:bookmarkStart w:id="437" w:name="_Toc75438227"/>
      <w:bookmarkStart w:id="438" w:name="_Toc74235173"/>
      <w:bookmarkStart w:id="439" w:name="_Toc75334370"/>
      <w:bookmarkStart w:id="440" w:name="_Toc75438228"/>
      <w:bookmarkStart w:id="441" w:name="_Toc74235175"/>
      <w:bookmarkStart w:id="442" w:name="_Toc75334372"/>
      <w:bookmarkStart w:id="443" w:name="_Toc75438230"/>
      <w:bookmarkStart w:id="444" w:name="_Toc74235176"/>
      <w:bookmarkStart w:id="445" w:name="_Toc75334373"/>
      <w:bookmarkStart w:id="446" w:name="_Toc75438231"/>
      <w:bookmarkStart w:id="447" w:name="_Toc74235177"/>
      <w:bookmarkStart w:id="448" w:name="_Toc75334374"/>
      <w:bookmarkStart w:id="449" w:name="_Toc75438232"/>
      <w:bookmarkStart w:id="450" w:name="_Toc74235179"/>
      <w:bookmarkStart w:id="451" w:name="_Toc75334376"/>
      <w:bookmarkStart w:id="452" w:name="_Toc75438234"/>
      <w:bookmarkStart w:id="453" w:name="_Toc74235180"/>
      <w:bookmarkStart w:id="454" w:name="_Toc75334377"/>
      <w:bookmarkStart w:id="455" w:name="_Toc75438235"/>
      <w:bookmarkStart w:id="456" w:name="_Net_Energy_Consumption"/>
      <w:bookmarkStart w:id="457" w:name="_Reporting_of_battery"/>
      <w:bookmarkStart w:id="458" w:name="_Ref71280486"/>
      <w:bookmarkStart w:id="459" w:name="_Toc106705772"/>
      <w:bookmarkStart w:id="460" w:name="_Toc235706360"/>
      <w:bookmarkStart w:id="461" w:name="_Toc511376936"/>
      <w:bookmarkStart w:id="462" w:name="_Ref511377796"/>
      <w:bookmarkStart w:id="463" w:name="_Toc511388533"/>
      <w:bookmarkStart w:id="464" w:name="_Toc511389455"/>
      <w:bookmarkStart w:id="465" w:name="_Toc511392964"/>
      <w:bookmarkStart w:id="466" w:name="_Ref511662859"/>
      <w:bookmarkStart w:id="467" w:name="_Toc511732496"/>
      <w:bookmarkStart w:id="468" w:name="_Ref511989169"/>
      <w:bookmarkStart w:id="469" w:name="_Toc512010421"/>
      <w:bookmarkStart w:id="470" w:name="_Toc512339620"/>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t xml:space="preserve">Reporting of battery </w:t>
      </w:r>
      <w:r w:rsidR="00EA0490">
        <w:t>energy stor</w:t>
      </w:r>
      <w:r w:rsidR="006166B0">
        <w:t>a</w:t>
      </w:r>
      <w:r w:rsidR="00EA0490">
        <w:t>ge system (BESS)</w:t>
      </w:r>
      <w:r w:rsidR="00D81B2A">
        <w:t xml:space="preserve"> </w:t>
      </w:r>
      <w:r>
        <w:t>activities</w:t>
      </w:r>
      <w:bookmarkEnd w:id="458"/>
      <w:bookmarkEnd w:id="459"/>
      <w:bookmarkEnd w:id="460"/>
    </w:p>
    <w:p w14:paraId="12111F10" w14:textId="5882890E" w:rsidR="00584C17" w:rsidRPr="009A6F76" w:rsidRDefault="000920D7" w:rsidP="00B327D8">
      <w:pPr>
        <w:pStyle w:val="NormalWeb"/>
        <w:shd w:val="clear" w:color="auto" w:fill="FFFFFF"/>
        <w:rPr>
          <w:rFonts w:eastAsia="Times New Roman" w:cstheme="minorBidi"/>
          <w:color w:val="000000"/>
          <w:lang w:eastAsia="en-AU"/>
        </w:rPr>
      </w:pPr>
      <w:r>
        <w:rPr>
          <w:rFonts w:cstheme="minorHAnsi"/>
          <w:color w:val="000000"/>
          <w:sz w:val="22"/>
          <w:szCs w:val="22"/>
          <w:shd w:val="clear" w:color="auto" w:fill="FFFFFF"/>
        </w:rPr>
        <w:t xml:space="preserve">A battery energy storage system (BESS) converts </w:t>
      </w:r>
      <w:r w:rsidR="000016DC">
        <w:rPr>
          <w:rFonts w:cstheme="minorHAnsi"/>
          <w:color w:val="000000"/>
          <w:sz w:val="22"/>
          <w:szCs w:val="22"/>
          <w:shd w:val="clear" w:color="auto" w:fill="FFFFFF"/>
        </w:rPr>
        <w:t>electrical energy to chemical potential energy for storage</w:t>
      </w:r>
      <w:r w:rsidR="007E75DC">
        <w:rPr>
          <w:rFonts w:cstheme="minorHAnsi"/>
          <w:color w:val="000000"/>
          <w:sz w:val="22"/>
          <w:szCs w:val="22"/>
          <w:shd w:val="clear" w:color="auto" w:fill="FFFFFF"/>
        </w:rPr>
        <w:t xml:space="preserve"> in batteries</w:t>
      </w:r>
      <w:r w:rsidR="000016DC">
        <w:rPr>
          <w:rFonts w:cstheme="minorHAnsi"/>
          <w:color w:val="000000"/>
          <w:sz w:val="22"/>
          <w:szCs w:val="22"/>
          <w:shd w:val="clear" w:color="auto" w:fill="FFFFFF"/>
        </w:rPr>
        <w:t xml:space="preserve"> and convert</w:t>
      </w:r>
      <w:r w:rsidR="00157358">
        <w:rPr>
          <w:rFonts w:cstheme="minorHAnsi"/>
          <w:color w:val="000000"/>
          <w:sz w:val="22"/>
          <w:szCs w:val="22"/>
          <w:shd w:val="clear" w:color="auto" w:fill="FFFFFF"/>
        </w:rPr>
        <w:t>s</w:t>
      </w:r>
      <w:r w:rsidR="00584C17" w:rsidRPr="005D23FA">
        <w:rPr>
          <w:rFonts w:cstheme="minorHAnsi"/>
          <w:color w:val="000000"/>
          <w:sz w:val="22"/>
          <w:szCs w:val="22"/>
          <w:shd w:val="clear" w:color="auto" w:fill="FFFFFF"/>
        </w:rPr>
        <w:t xml:space="preserve"> that </w:t>
      </w:r>
      <w:r w:rsidR="000016DC">
        <w:rPr>
          <w:rFonts w:cstheme="minorHAnsi"/>
          <w:color w:val="000000"/>
          <w:sz w:val="22"/>
          <w:szCs w:val="22"/>
          <w:shd w:val="clear" w:color="auto" w:fill="FFFFFF"/>
        </w:rPr>
        <w:t xml:space="preserve">stored energy back to electricity for </w:t>
      </w:r>
      <w:r w:rsidR="00584C17" w:rsidRPr="005D23FA">
        <w:rPr>
          <w:rFonts w:cstheme="minorHAnsi"/>
          <w:color w:val="000000"/>
          <w:sz w:val="22"/>
          <w:szCs w:val="22"/>
          <w:shd w:val="clear" w:color="auto" w:fill="FFFFFF"/>
        </w:rPr>
        <w:t>use on demand</w:t>
      </w:r>
      <w:r w:rsidR="000016DC">
        <w:rPr>
          <w:rFonts w:cstheme="minorHAnsi"/>
          <w:color w:val="000000"/>
          <w:sz w:val="22"/>
          <w:szCs w:val="22"/>
          <w:shd w:val="clear" w:color="auto" w:fill="FFFFFF"/>
        </w:rPr>
        <w:t xml:space="preserve">. </w:t>
      </w:r>
      <w:r w:rsidR="00584C17" w:rsidRPr="005D23FA">
        <w:rPr>
          <w:rFonts w:cstheme="minorHAnsi"/>
          <w:color w:val="000000"/>
          <w:sz w:val="22"/>
          <w:szCs w:val="22"/>
          <w:shd w:val="clear" w:color="auto" w:fill="FFFFFF"/>
        </w:rPr>
        <w:t xml:space="preserve"> </w:t>
      </w:r>
    </w:p>
    <w:p w14:paraId="7EFCC39C" w14:textId="27C6A4FA" w:rsidR="00741144" w:rsidRDefault="00741144" w:rsidP="00741144">
      <w:pPr>
        <w:pStyle w:val="Heading3"/>
        <w:numPr>
          <w:ilvl w:val="2"/>
          <w:numId w:val="3"/>
        </w:numPr>
        <w:ind w:left="709" w:hanging="709"/>
      </w:pPr>
      <w:bookmarkStart w:id="471" w:name="_Toc142059170"/>
      <w:bookmarkStart w:id="472" w:name="_Toc142059171"/>
      <w:bookmarkStart w:id="473" w:name="_Toc142059172"/>
      <w:bookmarkStart w:id="474" w:name="_Toc142059173"/>
      <w:bookmarkStart w:id="475" w:name="_Toc142059174"/>
      <w:bookmarkStart w:id="476" w:name="_Toc142059175"/>
      <w:bookmarkStart w:id="477" w:name="_Toc142059176"/>
      <w:bookmarkStart w:id="478" w:name="_Toc142059177"/>
      <w:bookmarkStart w:id="479" w:name="_Toc142059178"/>
      <w:bookmarkStart w:id="480" w:name="_Toc142059179"/>
      <w:bookmarkStart w:id="481" w:name="_Toc142059180"/>
      <w:bookmarkStart w:id="482" w:name="_Toc142059181"/>
      <w:bookmarkStart w:id="483" w:name="_Toc142059182"/>
      <w:bookmarkStart w:id="484" w:name="_Toc142059183"/>
      <w:bookmarkStart w:id="485" w:name="_Toc142059184"/>
      <w:bookmarkStart w:id="486" w:name="_Toc142059185"/>
      <w:bookmarkStart w:id="487" w:name="_Toc142059186"/>
      <w:bookmarkStart w:id="488" w:name="_Toc142059187"/>
      <w:bookmarkStart w:id="489" w:name="_Toc142059188"/>
      <w:bookmarkStart w:id="490" w:name="_Toc142059189"/>
      <w:bookmarkStart w:id="491" w:name="_Toc142059190"/>
      <w:bookmarkStart w:id="492" w:name="_Toc147852505"/>
      <w:bookmarkStart w:id="493" w:name="_Toc147852506"/>
      <w:bookmarkStart w:id="494" w:name="_Toc147852507"/>
      <w:bookmarkStart w:id="495" w:name="_Toc147852508"/>
      <w:bookmarkStart w:id="496" w:name="_Toc147852509"/>
      <w:bookmarkStart w:id="497" w:name="_Toc147852510"/>
      <w:bookmarkStart w:id="498" w:name="_Toc147852511"/>
      <w:bookmarkStart w:id="499" w:name="_Toc147852512"/>
      <w:bookmarkStart w:id="500" w:name="_Toc147852513"/>
      <w:bookmarkStart w:id="501" w:name="_Toc147852514"/>
      <w:bookmarkStart w:id="502" w:name="_Toc147852515"/>
      <w:bookmarkStart w:id="503" w:name="_Toc147852516"/>
      <w:bookmarkStart w:id="504" w:name="_Toc147852517"/>
      <w:bookmarkStart w:id="505" w:name="_Toc147852518"/>
      <w:bookmarkStart w:id="506" w:name="_Toc147852519"/>
      <w:bookmarkStart w:id="507" w:name="_Toc147852520"/>
      <w:bookmarkStart w:id="508" w:name="_Toc147852521"/>
      <w:bookmarkStart w:id="509" w:name="_Toc147852522"/>
      <w:bookmarkStart w:id="510" w:name="_Toc147852523"/>
      <w:bookmarkStart w:id="511" w:name="_Toc147852524"/>
      <w:bookmarkStart w:id="512" w:name="_Toc235706361"/>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t>Principles of BESS reporting</w:t>
      </w:r>
      <w:bookmarkEnd w:id="512"/>
    </w:p>
    <w:p w14:paraId="597BFCF7" w14:textId="54D69087" w:rsidR="00734C5E" w:rsidRDefault="00741144" w:rsidP="00734C5E">
      <w:pPr>
        <w:pStyle w:val="BodyText1"/>
        <w:rPr>
          <w:color w:val="000000"/>
          <w:szCs w:val="22"/>
          <w:shd w:val="clear" w:color="auto" w:fill="FFFFFF"/>
        </w:rPr>
      </w:pPr>
      <w:r w:rsidRPr="157C9DCF" w:rsidDel="00885F02">
        <w:rPr>
          <w:rFonts w:ascii="Calibri" w:eastAsia="Times New Roman" w:hAnsi="Calibri" w:cs="Calibri"/>
          <w:lang w:eastAsia="en-AU"/>
        </w:rPr>
        <w:t>A</w:t>
      </w:r>
      <w:r w:rsidR="00734C5E">
        <w:rPr>
          <w:rFonts w:ascii="Calibri" w:eastAsia="Times New Roman" w:hAnsi="Calibri" w:cs="Calibri"/>
          <w:lang w:eastAsia="en-AU"/>
        </w:rPr>
        <w:t xml:space="preserve"> </w:t>
      </w:r>
      <w:r w:rsidR="00734C5E" w:rsidRPr="00D2141E">
        <w:rPr>
          <w:color w:val="000000"/>
          <w:szCs w:val="22"/>
          <w:shd w:val="clear" w:color="auto" w:fill="FFFFFF"/>
        </w:rPr>
        <w:t xml:space="preserve">key principle of </w:t>
      </w:r>
      <w:r w:rsidR="00EB6B25">
        <w:rPr>
          <w:color w:val="000000"/>
          <w:szCs w:val="22"/>
          <w:shd w:val="clear" w:color="auto" w:fill="FFFFFF"/>
        </w:rPr>
        <w:t xml:space="preserve">NGER </w:t>
      </w:r>
      <w:r w:rsidR="00734C5E" w:rsidRPr="00D2141E">
        <w:rPr>
          <w:color w:val="000000"/>
          <w:szCs w:val="22"/>
          <w:shd w:val="clear" w:color="auto" w:fill="FFFFFF"/>
        </w:rPr>
        <w:t xml:space="preserve">reporting </w:t>
      </w:r>
      <w:r w:rsidR="003F3E3D">
        <w:rPr>
          <w:color w:val="000000"/>
          <w:szCs w:val="22"/>
          <w:shd w:val="clear" w:color="auto" w:fill="FFFFFF"/>
        </w:rPr>
        <w:t xml:space="preserve">for </w:t>
      </w:r>
      <w:r w:rsidR="00734C5E" w:rsidRPr="00D2141E">
        <w:rPr>
          <w:color w:val="000000"/>
          <w:szCs w:val="22"/>
          <w:shd w:val="clear" w:color="auto" w:fill="FFFFFF"/>
        </w:rPr>
        <w:t xml:space="preserve">the operation of a </w:t>
      </w:r>
      <w:r w:rsidR="003626D1">
        <w:rPr>
          <w:color w:val="000000"/>
          <w:szCs w:val="22"/>
          <w:shd w:val="clear" w:color="auto" w:fill="FFFFFF"/>
        </w:rPr>
        <w:t>BESS</w:t>
      </w:r>
      <w:r w:rsidR="00734C5E" w:rsidRPr="00D2141E">
        <w:rPr>
          <w:color w:val="000000"/>
          <w:szCs w:val="22"/>
          <w:shd w:val="clear" w:color="auto" w:fill="FFFFFF"/>
        </w:rPr>
        <w:t xml:space="preserve"> at a</w:t>
      </w:r>
      <w:r w:rsidR="00332B62">
        <w:rPr>
          <w:color w:val="000000"/>
          <w:szCs w:val="22"/>
          <w:shd w:val="clear" w:color="auto" w:fill="FFFFFF"/>
        </w:rPr>
        <w:t>n NGER</w:t>
      </w:r>
      <w:r w:rsidR="00734C5E" w:rsidRPr="00D2141E">
        <w:rPr>
          <w:color w:val="000000"/>
          <w:szCs w:val="22"/>
          <w:shd w:val="clear" w:color="auto" w:fill="FFFFFF"/>
        </w:rPr>
        <w:t xml:space="preserve"> facility is that they are not considered to generate or produce electricity. Instead, they are considered to only consume electricity due to </w:t>
      </w:r>
      <w:r w:rsidR="00734C5E" w:rsidRPr="005813B1">
        <w:rPr>
          <w:color w:val="000000"/>
          <w:szCs w:val="22"/>
          <w:shd w:val="clear" w:color="auto" w:fill="FFFFFF"/>
        </w:rPr>
        <w:t xml:space="preserve">electricity </w:t>
      </w:r>
      <w:r w:rsidR="00734C5E" w:rsidRPr="00D2141E">
        <w:rPr>
          <w:color w:val="000000"/>
          <w:szCs w:val="22"/>
          <w:shd w:val="clear" w:color="auto" w:fill="FFFFFF"/>
        </w:rPr>
        <w:t>conversion and storage losses</w:t>
      </w:r>
      <w:r w:rsidR="00734C5E">
        <w:rPr>
          <w:color w:val="000000"/>
          <w:szCs w:val="22"/>
          <w:shd w:val="clear" w:color="auto" w:fill="FFFFFF"/>
        </w:rPr>
        <w:t>,</w:t>
      </w:r>
      <w:r w:rsidR="00734C5E" w:rsidRPr="00D2141E">
        <w:rPr>
          <w:color w:val="000000"/>
          <w:szCs w:val="22"/>
          <w:shd w:val="clear" w:color="auto" w:fill="FFFFFF"/>
        </w:rPr>
        <w:t xml:space="preserve"> and auxiliary system power consumption</w:t>
      </w:r>
      <w:r w:rsidR="00734C5E">
        <w:rPr>
          <w:color w:val="000000"/>
          <w:szCs w:val="22"/>
          <w:shd w:val="clear" w:color="auto" w:fill="FFFFFF"/>
        </w:rPr>
        <w:t xml:space="preserve">. It is not necessary to consider the </w:t>
      </w:r>
      <w:r w:rsidR="00982721">
        <w:rPr>
          <w:color w:val="000000"/>
          <w:szCs w:val="22"/>
          <w:shd w:val="clear" w:color="auto" w:fill="FFFFFF"/>
        </w:rPr>
        <w:t>quantity of energy stored in</w:t>
      </w:r>
      <w:r w:rsidR="00734C5E">
        <w:rPr>
          <w:color w:val="000000"/>
          <w:szCs w:val="22"/>
          <w:shd w:val="clear" w:color="auto" w:fill="FFFFFF"/>
        </w:rPr>
        <w:t xml:space="preserve"> the </w:t>
      </w:r>
      <w:r w:rsidR="00B0150D">
        <w:rPr>
          <w:color w:val="000000"/>
          <w:szCs w:val="22"/>
          <w:shd w:val="clear" w:color="auto" w:fill="FFFFFF"/>
        </w:rPr>
        <w:t>BESS</w:t>
      </w:r>
      <w:r w:rsidR="00734C5E">
        <w:rPr>
          <w:color w:val="000000"/>
          <w:szCs w:val="22"/>
          <w:shd w:val="clear" w:color="auto" w:fill="FFFFFF"/>
        </w:rPr>
        <w:t xml:space="preserve"> at any time.</w:t>
      </w:r>
    </w:p>
    <w:p w14:paraId="04A4818D" w14:textId="48338889" w:rsidR="00734C5E" w:rsidRDefault="003948F3" w:rsidP="00734C5E">
      <w:pPr>
        <w:pStyle w:val="BodyText1"/>
      </w:pPr>
      <w:r>
        <w:t>A</w:t>
      </w:r>
      <w:r w:rsidR="00734C5E">
        <w:t xml:space="preserve"> BESS may </w:t>
      </w:r>
      <w:r>
        <w:t xml:space="preserve">be </w:t>
      </w:r>
      <w:r w:rsidR="000C13E7">
        <w:t xml:space="preserve">set up to be </w:t>
      </w:r>
      <w:r w:rsidR="00734C5E">
        <w:t>charge</w:t>
      </w:r>
      <w:r>
        <w:t>d</w:t>
      </w:r>
      <w:r w:rsidR="00734C5E">
        <w:t xml:space="preserve"> from a single source of electricity</w:t>
      </w:r>
      <w:r w:rsidR="00DE2247">
        <w:t>:</w:t>
      </w:r>
      <w:r w:rsidR="00734C5E">
        <w:t xml:space="preserve"> </w:t>
      </w:r>
      <w:r w:rsidR="008D30D4">
        <w:t>that is</w:t>
      </w:r>
      <w:r w:rsidR="00DE2247">
        <w:t>,</w:t>
      </w:r>
      <w:r w:rsidR="00734C5E">
        <w:t xml:space="preserve"> from the main grid, from onsite generation, or from another source outside the facility. </w:t>
      </w:r>
      <w:r w:rsidR="00143570">
        <w:t>For single-source charging</w:t>
      </w:r>
      <w:r w:rsidR="00734C5E">
        <w:t xml:space="preserve">, electricity consumption from the BESS should be reported as associated with </w:t>
      </w:r>
      <w:r w:rsidR="00734C5E" w:rsidRPr="00D32C01">
        <w:rPr>
          <w:i/>
          <w:iCs/>
        </w:rPr>
        <w:t>that</w:t>
      </w:r>
      <w:r w:rsidR="00734C5E">
        <w:t xml:space="preserve"> source of electricity. If the electricity comes from the main grid or another offsite source, it should be reported as a scope 2 emissions activity </w:t>
      </w:r>
      <w:r w:rsidR="00734C5E">
        <w:lastRenderedPageBreak/>
        <w:t xml:space="preserve">with the appropriate emission factor. If the electricity came from onsite generation, </w:t>
      </w:r>
      <w:r w:rsidR="00730C14">
        <w:t>the conversion and storage losses</w:t>
      </w:r>
      <w:r w:rsidR="00734C5E">
        <w:t xml:space="preserve"> should be </w:t>
      </w:r>
      <w:r w:rsidR="00730C14">
        <w:t>included in</w:t>
      </w:r>
      <w:r w:rsidR="00AD6EF8">
        <w:t xml:space="preserve"> the</w:t>
      </w:r>
      <w:r w:rsidR="00153889">
        <w:t xml:space="preserve"> </w:t>
      </w:r>
      <w:r w:rsidR="00734C5E">
        <w:t>energy consumption</w:t>
      </w:r>
      <w:r w:rsidR="00AD6EF8">
        <w:t xml:space="preserve"> activity</w:t>
      </w:r>
      <w:r w:rsidR="00734C5E">
        <w:t xml:space="preserve"> </w:t>
      </w:r>
      <w:r w:rsidR="002A2FF6">
        <w:t>and incorporated into the quantity of electricity produced onsit</w:t>
      </w:r>
      <w:r w:rsidR="00092325">
        <w:t xml:space="preserve">e for use </w:t>
      </w:r>
      <w:r w:rsidR="00A763F3">
        <w:t>onsite.</w:t>
      </w:r>
    </w:p>
    <w:p w14:paraId="360AAE54" w14:textId="18118CC2" w:rsidR="00734C5E" w:rsidRDefault="00734C5E" w:rsidP="00734C5E">
      <w:pPr>
        <w:pStyle w:val="BodyText1"/>
      </w:pPr>
      <w:r>
        <w:t>If you</w:t>
      </w:r>
      <w:r w:rsidR="00F37178">
        <w:t>r</w:t>
      </w:r>
      <w:r>
        <w:t xml:space="preserve"> BESS charges from more than one source (such as charging from the grid as well as onsite generation or another offsite source), you will need to </w:t>
      </w:r>
      <w:r w:rsidR="00DA5AB5">
        <w:t>allocate</w:t>
      </w:r>
      <w:r>
        <w:t xml:space="preserve"> the BESS’s electricity consumption </w:t>
      </w:r>
      <w:r w:rsidR="00BB67CF">
        <w:t>to</w:t>
      </w:r>
      <w:r>
        <w:t xml:space="preserve"> each of the</w:t>
      </w:r>
      <w:r w:rsidR="00A41296">
        <w:t xml:space="preserve"> applicable</w:t>
      </w:r>
      <w:r>
        <w:t xml:space="preserve"> sources. You may estimate the BESS’s electricity consumption for each source by apportioning the BESS’s </w:t>
      </w:r>
      <w:r w:rsidR="00641979">
        <w:t>energy</w:t>
      </w:r>
      <w:r>
        <w:t xml:space="preserve"> consumption </w:t>
      </w:r>
      <w:r w:rsidR="00F240A9">
        <w:t xml:space="preserve">according to </w:t>
      </w:r>
      <w:r>
        <w:t>the amount of electricity entering the facility from each source.</w:t>
      </w:r>
    </w:p>
    <w:p w14:paraId="6B047F94" w14:textId="551DA9AE" w:rsidR="00975B82" w:rsidRDefault="00975B82" w:rsidP="00975B82">
      <w:pPr>
        <w:rPr>
          <w:color w:val="000000"/>
          <w:szCs w:val="22"/>
          <w:shd w:val="clear" w:color="auto" w:fill="FFFFFF"/>
        </w:rPr>
      </w:pPr>
      <w:r w:rsidRPr="00D2141E">
        <w:rPr>
          <w:color w:val="000000"/>
          <w:szCs w:val="22"/>
          <w:shd w:val="clear" w:color="auto" w:fill="FFFFFF"/>
        </w:rPr>
        <w:t>Please contact us</w:t>
      </w:r>
      <w:r w:rsidRPr="005813B1">
        <w:rPr>
          <w:color w:val="000000"/>
          <w:szCs w:val="22"/>
          <w:shd w:val="clear" w:color="auto" w:fill="FFFFFF"/>
        </w:rPr>
        <w:t xml:space="preserve"> at </w:t>
      </w:r>
      <w:hyperlink r:id="rId61" w:history="1">
        <w:r w:rsidRPr="00B1543E">
          <w:rPr>
            <w:rStyle w:val="Hyperlink"/>
            <w:rFonts w:asciiTheme="minorHAnsi" w:hAnsiTheme="minorHAnsi"/>
            <w:szCs w:val="22"/>
            <w:shd w:val="clear" w:color="auto" w:fill="FFFFFF"/>
          </w:rPr>
          <w:t>cer-nger-reporting@cer.gov.au</w:t>
        </w:r>
      </w:hyperlink>
      <w:r>
        <w:rPr>
          <w:color w:val="000000"/>
          <w:szCs w:val="22"/>
          <w:shd w:val="clear" w:color="auto" w:fill="FFFFFF"/>
        </w:rPr>
        <w:t xml:space="preserve"> </w:t>
      </w:r>
      <w:r w:rsidRPr="00D2141E">
        <w:rPr>
          <w:color w:val="000000"/>
          <w:szCs w:val="22"/>
          <w:shd w:val="clear" w:color="auto" w:fill="FFFFFF"/>
        </w:rPr>
        <w:t>for further guidance</w:t>
      </w:r>
      <w:r w:rsidRPr="005813B1">
        <w:rPr>
          <w:color w:val="000000"/>
          <w:szCs w:val="22"/>
          <w:shd w:val="clear" w:color="auto" w:fill="FFFFFF"/>
        </w:rPr>
        <w:t xml:space="preserve">. Please </w:t>
      </w:r>
      <w:r w:rsidRPr="00D2141E">
        <w:rPr>
          <w:color w:val="000000"/>
          <w:szCs w:val="22"/>
          <w:shd w:val="clear" w:color="auto" w:fill="FFFFFF"/>
        </w:rPr>
        <w:t>includ</w:t>
      </w:r>
      <w:r w:rsidRPr="005813B1">
        <w:rPr>
          <w:color w:val="000000"/>
          <w:szCs w:val="22"/>
          <w:shd w:val="clear" w:color="auto" w:fill="FFFFFF"/>
        </w:rPr>
        <w:t>e</w:t>
      </w:r>
      <w:r w:rsidRPr="00D2141E">
        <w:rPr>
          <w:color w:val="000000"/>
          <w:szCs w:val="22"/>
          <w:shd w:val="clear" w:color="auto" w:fill="FFFFFF"/>
        </w:rPr>
        <w:t xml:space="preserve"> information about your facility-specific system configuration and metered data when you contact us.</w:t>
      </w:r>
    </w:p>
    <w:p w14:paraId="623052F3" w14:textId="56578245" w:rsidR="00147FDC" w:rsidRDefault="00147FDC" w:rsidP="00147FDC">
      <w:pPr>
        <w:pStyle w:val="Heading3"/>
        <w:numPr>
          <w:ilvl w:val="2"/>
          <w:numId w:val="3"/>
        </w:numPr>
        <w:ind w:left="709" w:hanging="709"/>
      </w:pPr>
      <w:bookmarkStart w:id="513" w:name="_Toc235706362"/>
      <w:r>
        <w:t>Reporting VPP activities</w:t>
      </w:r>
      <w:r w:rsidR="00526EA0">
        <w:t xml:space="preserve"> (a </w:t>
      </w:r>
      <w:r w:rsidR="00914EDD">
        <w:t>‘</w:t>
      </w:r>
      <w:r w:rsidR="00526EA0">
        <w:t>BESS network</w:t>
      </w:r>
      <w:r w:rsidR="00914EDD">
        <w:t>’)</w:t>
      </w:r>
      <w:bookmarkEnd w:id="513"/>
    </w:p>
    <w:p w14:paraId="72EB202C" w14:textId="3BA0370A" w:rsidR="00147FDC" w:rsidRPr="003E0875" w:rsidRDefault="00147FDC" w:rsidP="00147FDC">
      <w:pPr>
        <w:pStyle w:val="BodyText1"/>
      </w:pPr>
      <w:r w:rsidRPr="003E0875">
        <w:t xml:space="preserve">A Virtual Power Plant (VPP) is a network of distributed solar panel </w:t>
      </w:r>
      <w:r w:rsidR="00D71E34">
        <w:t xml:space="preserve">and battery energy storage </w:t>
      </w:r>
      <w:r w:rsidRPr="003E0875">
        <w:t xml:space="preserve">systems </w:t>
      </w:r>
      <w:r w:rsidR="00127000">
        <w:t xml:space="preserve">where the </w:t>
      </w:r>
      <w:r w:rsidR="0022740D">
        <w:t>BESS</w:t>
      </w:r>
      <w:r w:rsidR="00127000">
        <w:t xml:space="preserve"> may </w:t>
      </w:r>
      <w:r w:rsidR="00BF1B61">
        <w:t>be</w:t>
      </w:r>
      <w:r w:rsidR="00127000">
        <w:t xml:space="preserve"> charge</w:t>
      </w:r>
      <w:r w:rsidR="00BF1B61">
        <w:t>d</w:t>
      </w:r>
      <w:r w:rsidR="00127000">
        <w:t xml:space="preserve"> from the co</w:t>
      </w:r>
      <w:r w:rsidR="00532373">
        <w:t>-</w:t>
      </w:r>
      <w:r w:rsidR="00127000">
        <w:t xml:space="preserve">located solar panels or from </w:t>
      </w:r>
      <w:r w:rsidR="001B2D26">
        <w:t>the associated grid</w:t>
      </w:r>
      <w:r w:rsidRPr="003E0875">
        <w:t xml:space="preserve">. A VPP is considered a </w:t>
      </w:r>
      <w:r w:rsidR="0034780C">
        <w:t>‘</w:t>
      </w:r>
      <w:r>
        <w:t xml:space="preserve">designated </w:t>
      </w:r>
      <w:r w:rsidRPr="003E0875">
        <w:t>generation facility</w:t>
      </w:r>
      <w:r w:rsidR="0034780C">
        <w:t>’</w:t>
      </w:r>
      <w:r w:rsidRPr="003E0875">
        <w:t xml:space="preserve"> for the purposes of NGER reporting. </w:t>
      </w:r>
      <w:r w:rsidR="009720A3">
        <w:t>Electricity losses from</w:t>
      </w:r>
      <w:r w:rsidR="0022740D">
        <w:t xml:space="preserve"> a</w:t>
      </w:r>
      <w:r w:rsidR="009720A3">
        <w:t xml:space="preserve"> </w:t>
      </w:r>
      <w:r w:rsidR="0022740D">
        <w:t>BESS</w:t>
      </w:r>
      <w:r w:rsidR="009720A3">
        <w:t xml:space="preserve"> are likely </w:t>
      </w:r>
      <w:r w:rsidR="0063079F">
        <w:t xml:space="preserve">be the main activities reported at </w:t>
      </w:r>
      <w:r w:rsidR="009720A3">
        <w:t xml:space="preserve">a VPP facility. </w:t>
      </w:r>
      <w:r w:rsidR="00326B88">
        <w:t xml:space="preserve">The threshold for reporting consumption of electricity </w:t>
      </w:r>
      <w:r w:rsidR="008F7370">
        <w:t>from</w:t>
      </w:r>
      <w:r w:rsidR="00B017FC">
        <w:t xml:space="preserve"> outside the facility is 20,000 kWh</w:t>
      </w:r>
      <w:r w:rsidR="002C1876">
        <w:t xml:space="preserve">, as described in </w:t>
      </w:r>
      <w:r>
        <w:fldChar w:fldCharType="begin" w:fldLock="1"/>
      </w:r>
      <w:r>
        <w:instrText>REF _Ref199338865</w:instrText>
      </w:r>
      <w:r>
        <w:fldChar w:fldCharType="separate"/>
      </w:r>
      <w:r>
        <w:t xml:space="preserve">Table </w:t>
      </w:r>
      <w:r>
        <w:rPr>
          <w:noProof/>
        </w:rPr>
        <w:t>10</w:t>
      </w:r>
      <w:r>
        <w:fldChar w:fldCharType="end"/>
      </w:r>
      <w:r>
        <w:t xml:space="preserve"> and </w:t>
      </w:r>
      <w:r>
        <w:fldChar w:fldCharType="begin" w:fldLock="1"/>
      </w:r>
      <w:r>
        <w:instrText>REF _Ref199338869</w:instrText>
      </w:r>
      <w:r>
        <w:fldChar w:fldCharType="separate"/>
      </w:r>
      <w:r>
        <w:t xml:space="preserve">Table </w:t>
      </w:r>
      <w:r>
        <w:rPr>
          <w:noProof/>
        </w:rPr>
        <w:t>11</w:t>
      </w:r>
      <w:r>
        <w:fldChar w:fldCharType="end"/>
      </w:r>
      <w:r w:rsidRPr="003E0875">
        <w:t>.</w:t>
      </w:r>
    </w:p>
    <w:p w14:paraId="476D1437" w14:textId="0C6C590C" w:rsidR="00147FDC" w:rsidRPr="00FA15FF" w:rsidRDefault="00147FDC" w:rsidP="00FA15FF">
      <w:pPr>
        <w:pStyle w:val="BodyText1"/>
      </w:pPr>
      <w:r w:rsidRPr="003E0875">
        <w:t>As a decentralised facility, the facility boundar</w:t>
      </w:r>
      <w:r w:rsidR="00632632">
        <w:t>y</w:t>
      </w:r>
      <w:r w:rsidRPr="003E0875">
        <w:t xml:space="preserve"> of a VPP may </w:t>
      </w:r>
      <w:r w:rsidR="00E01196">
        <w:t xml:space="preserve">be </w:t>
      </w:r>
      <w:r w:rsidRPr="003E0875">
        <w:t>defined by contractual or operational factors rather than geographic proximity. The head office, or the location from which the VPP is controlled, is usually an appropriate address for the facility.</w:t>
      </w:r>
    </w:p>
    <w:p w14:paraId="11F6D4F0" w14:textId="0E0A7A64" w:rsidR="00A57A5C" w:rsidRPr="00FF338C" w:rsidRDefault="00A57A5C" w:rsidP="00DB4B56">
      <w:pPr>
        <w:pStyle w:val="Heading2"/>
        <w:numPr>
          <w:ilvl w:val="1"/>
          <w:numId w:val="3"/>
        </w:numPr>
        <w:ind w:left="426" w:hanging="426"/>
      </w:pPr>
      <w:bookmarkStart w:id="514" w:name="_Toc74235182"/>
      <w:bookmarkStart w:id="515" w:name="_Toc74235183"/>
      <w:bookmarkStart w:id="516" w:name="_Toc74235184"/>
      <w:bookmarkStart w:id="517" w:name="_Toc74235185"/>
      <w:bookmarkStart w:id="518" w:name="_Toc74235186"/>
      <w:bookmarkStart w:id="519" w:name="_Toc106705773"/>
      <w:bookmarkStart w:id="520" w:name="_Toc235706363"/>
      <w:bookmarkEnd w:id="514"/>
      <w:bookmarkEnd w:id="515"/>
      <w:bookmarkEnd w:id="516"/>
      <w:bookmarkEnd w:id="517"/>
      <w:bookmarkEnd w:id="518"/>
      <w:r w:rsidRPr="00FF338C">
        <w:t>Net Energy Consumption</w:t>
      </w:r>
      <w:bookmarkEnd w:id="461"/>
      <w:bookmarkEnd w:id="462"/>
      <w:bookmarkEnd w:id="463"/>
      <w:bookmarkEnd w:id="464"/>
      <w:bookmarkEnd w:id="465"/>
      <w:bookmarkEnd w:id="466"/>
      <w:bookmarkEnd w:id="467"/>
      <w:bookmarkEnd w:id="468"/>
      <w:bookmarkEnd w:id="469"/>
      <w:bookmarkEnd w:id="470"/>
      <w:bookmarkEnd w:id="519"/>
      <w:bookmarkEnd w:id="520"/>
    </w:p>
    <w:p w14:paraId="4553BC3A" w14:textId="17D4A366" w:rsidR="00A57A5C" w:rsidRPr="00FF338C" w:rsidRDefault="590AA72E" w:rsidP="00A57A5C">
      <w:pPr>
        <w:rPr>
          <w:color w:val="auto"/>
        </w:rPr>
      </w:pPr>
      <w:r w:rsidRPr="50093466">
        <w:rPr>
          <w:color w:val="auto"/>
        </w:rPr>
        <w:t>CER</w:t>
      </w:r>
      <w:r w:rsidR="00A57A5C" w:rsidRPr="00FF338C">
        <w:rPr>
          <w:color w:val="auto"/>
        </w:rPr>
        <w:t xml:space="preserve"> is required to publish information on the net energy consumption of corporations registered under the NGER scheme by 28 February each year. The accuracy of this information is dependent on the quality of information provided in corporate NGER reports.</w:t>
      </w:r>
    </w:p>
    <w:p w14:paraId="3868CA06" w14:textId="494BE289" w:rsidR="00A57A5C" w:rsidRPr="00FF338C" w:rsidRDefault="00A57A5C" w:rsidP="00A57A5C">
      <w:pPr>
        <w:pStyle w:val="Heading4"/>
      </w:pPr>
      <w:bookmarkStart w:id="521" w:name="_Toc526867730"/>
      <w:bookmarkStart w:id="522" w:name="_Toc526869772"/>
      <w:bookmarkStart w:id="523" w:name="_Toc235706364"/>
      <w:r w:rsidRPr="00FF338C">
        <w:t>Defining primary and secondary energy commodities</w:t>
      </w:r>
      <w:bookmarkEnd w:id="521"/>
      <w:bookmarkEnd w:id="522"/>
      <w:bookmarkEnd w:id="523"/>
    </w:p>
    <w:p w14:paraId="271B1090" w14:textId="3C30D81B" w:rsidR="00A57A5C" w:rsidRPr="00FF338C" w:rsidRDefault="00A57A5C" w:rsidP="00A57A5C">
      <w:pPr>
        <w:rPr>
          <w:color w:val="auto"/>
        </w:rPr>
      </w:pPr>
      <w:r w:rsidRPr="00FF338C">
        <w:rPr>
          <w:color w:val="auto"/>
        </w:rPr>
        <w:t xml:space="preserve">The calculation of net energy consumption is determined in part by the classification of each energy commodity defined in schedule 1 of the NGER Regulations as either </w:t>
      </w:r>
      <w:r w:rsidRPr="00872A70">
        <w:rPr>
          <w:iCs/>
          <w:color w:val="auto"/>
        </w:rPr>
        <w:t>primary</w:t>
      </w:r>
      <w:r w:rsidRPr="00FF338C">
        <w:rPr>
          <w:color w:val="auto"/>
        </w:rPr>
        <w:t xml:space="preserve"> or </w:t>
      </w:r>
      <w:r w:rsidRPr="00872A70">
        <w:rPr>
          <w:iCs/>
          <w:color w:val="auto"/>
        </w:rPr>
        <w:t>secondary</w:t>
      </w:r>
      <w:r w:rsidRPr="00FF338C">
        <w:rPr>
          <w:color w:val="auto"/>
        </w:rPr>
        <w:t xml:space="preserve"> energy. These designations are defined as follows in </w:t>
      </w:r>
      <w:r w:rsidR="00F25553">
        <w:rPr>
          <w:color w:val="auto"/>
        </w:rPr>
        <w:t xml:space="preserve">1.03 of the </w:t>
      </w:r>
      <w:r w:rsidRPr="00FF338C">
        <w:rPr>
          <w:color w:val="auto"/>
        </w:rPr>
        <w:t>NGER Regulation</w:t>
      </w:r>
      <w:r w:rsidR="00F25553">
        <w:rPr>
          <w:color w:val="auto"/>
        </w:rPr>
        <w:t>s</w:t>
      </w:r>
      <w:r w:rsidRPr="00FF338C">
        <w:rPr>
          <w:color w:val="auto"/>
        </w:rPr>
        <w:t>:</w:t>
      </w:r>
    </w:p>
    <w:p w14:paraId="5457299F" w14:textId="1C0E0ED3" w:rsidR="00A57A5C" w:rsidRPr="00FF338C" w:rsidRDefault="004056F8" w:rsidP="00B3330E">
      <w:pPr>
        <w:pStyle w:val="CERnumbering"/>
        <w:numPr>
          <w:ilvl w:val="0"/>
          <w:numId w:val="8"/>
        </w:numPr>
      </w:pPr>
      <w:r>
        <w:rPr>
          <w:szCs w:val="22"/>
        </w:rPr>
        <w:t>P</w:t>
      </w:r>
      <w:r w:rsidR="00A57A5C" w:rsidRPr="00FE31CC">
        <w:rPr>
          <w:szCs w:val="22"/>
        </w:rPr>
        <w:t>rimary fuel or energy commodity</w:t>
      </w:r>
      <w:r w:rsidR="00A57A5C" w:rsidRPr="00FF338C">
        <w:rPr>
          <w:b/>
          <w:bCs/>
          <w:i/>
          <w:iCs/>
          <w:szCs w:val="22"/>
        </w:rPr>
        <w:t xml:space="preserve"> </w:t>
      </w:r>
      <w:r w:rsidR="00A57A5C" w:rsidRPr="00FF338C">
        <w:rPr>
          <w:szCs w:val="22"/>
        </w:rPr>
        <w:t xml:space="preserve">means a fuel or energy </w:t>
      </w:r>
      <w:r w:rsidR="00A57A5C" w:rsidRPr="00FF338C">
        <w:t>commodity</w:t>
      </w:r>
      <w:r w:rsidR="00A57A5C" w:rsidRPr="00FF338C">
        <w:rPr>
          <w:szCs w:val="22"/>
        </w:rPr>
        <w:t xml:space="preserve"> extracted or captured from natural sources with minimal processing</w:t>
      </w:r>
      <w:r>
        <w:rPr>
          <w:szCs w:val="22"/>
        </w:rPr>
        <w:t>.</w:t>
      </w:r>
    </w:p>
    <w:p w14:paraId="2EE49347" w14:textId="6C3D5C6C" w:rsidR="00A57A5C" w:rsidRPr="00FF338C" w:rsidRDefault="004056F8" w:rsidP="00B3330E">
      <w:pPr>
        <w:pStyle w:val="CERnumbering"/>
        <w:numPr>
          <w:ilvl w:val="0"/>
          <w:numId w:val="8"/>
        </w:numPr>
      </w:pPr>
      <w:r>
        <w:rPr>
          <w:szCs w:val="22"/>
        </w:rPr>
        <w:t>S</w:t>
      </w:r>
      <w:r w:rsidR="00A57A5C" w:rsidRPr="00FE31CC">
        <w:rPr>
          <w:szCs w:val="22"/>
        </w:rPr>
        <w:t>econdary fuel or energy commodity</w:t>
      </w:r>
      <w:r w:rsidR="00A57A5C" w:rsidRPr="00FF338C">
        <w:rPr>
          <w:b/>
          <w:bCs/>
          <w:i/>
          <w:iCs/>
          <w:szCs w:val="22"/>
        </w:rPr>
        <w:t xml:space="preserve"> </w:t>
      </w:r>
      <w:r w:rsidR="00A57A5C" w:rsidRPr="00FF338C">
        <w:rPr>
          <w:szCs w:val="22"/>
        </w:rPr>
        <w:t xml:space="preserve">means a fuel or </w:t>
      </w:r>
      <w:r w:rsidR="00A57A5C" w:rsidRPr="00FF338C">
        <w:t>energy</w:t>
      </w:r>
      <w:r w:rsidR="00A57A5C" w:rsidRPr="00FF338C">
        <w:rPr>
          <w:szCs w:val="22"/>
        </w:rPr>
        <w:t xml:space="preserve"> commodity produced by converting energy from one form to another form for consumption.</w:t>
      </w:r>
    </w:p>
    <w:p w14:paraId="11F2CE75" w14:textId="5BD2E73A" w:rsidR="00A57A5C" w:rsidRPr="00FF338C" w:rsidRDefault="00A57A5C" w:rsidP="00A57A5C">
      <w:pPr>
        <w:rPr>
          <w:color w:val="auto"/>
        </w:rPr>
      </w:pPr>
      <w:r w:rsidRPr="00FF338C">
        <w:rPr>
          <w:color w:val="auto"/>
        </w:rPr>
        <w:t>In the electricity generation sector, primary energy commodities are typically fuels and renewable energy commodities consumed by generating facilities. Electricity is a secondary energy commodity under NGER.</w:t>
      </w:r>
    </w:p>
    <w:p w14:paraId="2AE712CE" w14:textId="4BBAF0A4" w:rsidR="00A57A5C" w:rsidRPr="00FF338C" w:rsidRDefault="00A57A5C" w:rsidP="00A57A5C">
      <w:pPr>
        <w:pStyle w:val="Heading4"/>
      </w:pPr>
      <w:bookmarkStart w:id="524" w:name="_Toc526867731"/>
      <w:bookmarkStart w:id="525" w:name="_Toc526869773"/>
      <w:bookmarkStart w:id="526" w:name="_Toc235706365"/>
      <w:r w:rsidRPr="00FF338C">
        <w:t>Calculating net energy consumption</w:t>
      </w:r>
      <w:bookmarkEnd w:id="524"/>
      <w:bookmarkEnd w:id="525"/>
      <w:bookmarkEnd w:id="526"/>
    </w:p>
    <w:p w14:paraId="7DC93A6E" w14:textId="42C19DDB" w:rsidR="00A57A5C" w:rsidRPr="00FF338C" w:rsidRDefault="00F25553" w:rsidP="00A57A5C">
      <w:pPr>
        <w:rPr>
          <w:color w:val="auto"/>
        </w:rPr>
      </w:pPr>
      <w:r>
        <w:rPr>
          <w:color w:val="auto"/>
        </w:rPr>
        <w:t xml:space="preserve">5.03 of the </w:t>
      </w:r>
      <w:r w:rsidR="00A57A5C" w:rsidRPr="00FF338C">
        <w:rPr>
          <w:color w:val="auto"/>
        </w:rPr>
        <w:t>NGER Regulation</w:t>
      </w:r>
      <w:r>
        <w:rPr>
          <w:color w:val="auto"/>
        </w:rPr>
        <w:t>s</w:t>
      </w:r>
      <w:r w:rsidR="00A57A5C" w:rsidRPr="00FF338C">
        <w:rPr>
          <w:color w:val="auto"/>
        </w:rPr>
        <w:t xml:space="preserve"> </w:t>
      </w:r>
      <w:r w:rsidR="00A57A5C">
        <w:rPr>
          <w:color w:val="auto"/>
        </w:rPr>
        <w:t xml:space="preserve">defines the calculation for net energy consumption </w:t>
      </w:r>
      <w:r w:rsidR="00A57A5C" w:rsidRPr="00FF338C">
        <w:rPr>
          <w:color w:val="auto"/>
        </w:rPr>
        <w:t>as follow</w:t>
      </w:r>
      <w:r w:rsidR="00A57A5C">
        <w:rPr>
          <w:color w:val="auto"/>
        </w:rPr>
        <w:t>s</w:t>
      </w:r>
      <w:r w:rsidR="00A57A5C" w:rsidRPr="00FF338C">
        <w:rPr>
          <w:color w:val="auto"/>
        </w:rPr>
        <w:t xml:space="preserve">: </w:t>
      </w:r>
    </w:p>
    <w:p w14:paraId="2BD386BF" w14:textId="743A3A84" w:rsidR="00A57A5C" w:rsidRPr="00FF338C" w:rsidRDefault="00A57A5C" w:rsidP="00B3330E">
      <w:pPr>
        <w:pStyle w:val="CERnumbering"/>
        <w:numPr>
          <w:ilvl w:val="0"/>
          <w:numId w:val="8"/>
        </w:numPr>
      </w:pPr>
      <w:r w:rsidRPr="00FE31CC">
        <w:t>Step 1:</w:t>
      </w:r>
      <w:r w:rsidRPr="00FF338C">
        <w:t xml:space="preserve"> For each facility of the </w:t>
      </w:r>
      <w:r w:rsidRPr="00FF338C">
        <w:rPr>
          <w:szCs w:val="22"/>
        </w:rPr>
        <w:t>corporation’s</w:t>
      </w:r>
      <w:r w:rsidRPr="00FF338C">
        <w:t xml:space="preserve"> group, adjust the facility’s energy consumption by </w:t>
      </w:r>
      <w:proofErr w:type="gramStart"/>
      <w:r w:rsidRPr="00FF338C">
        <w:t>deducting</w:t>
      </w:r>
      <w:proofErr w:type="gramEnd"/>
      <w:r w:rsidRPr="00FF338C">
        <w:t xml:space="preserve"> the energy content of the secondary fuels and energy commodities produced from the operation of the facility from the total energy consumed by the operation of the facility.</w:t>
      </w:r>
    </w:p>
    <w:p w14:paraId="6CE51FBB" w14:textId="1AE46B3C" w:rsidR="00A57A5C" w:rsidRPr="00FF338C" w:rsidRDefault="00A57A5C" w:rsidP="00B3330E">
      <w:pPr>
        <w:pStyle w:val="CERnumbering"/>
        <w:numPr>
          <w:ilvl w:val="0"/>
          <w:numId w:val="8"/>
        </w:numPr>
      </w:pPr>
      <w:r w:rsidRPr="00FE31CC">
        <w:t>Step 2:</w:t>
      </w:r>
      <w:r w:rsidRPr="00FF338C">
        <w:t xml:space="preserve"> </w:t>
      </w:r>
      <w:proofErr w:type="gramStart"/>
      <w:r w:rsidRPr="00FF338C">
        <w:t>Add together</w:t>
      </w:r>
      <w:proofErr w:type="gramEnd"/>
      <w:r w:rsidRPr="00FF338C">
        <w:t xml:space="preserve"> each result in step 1.</w:t>
      </w:r>
    </w:p>
    <w:p w14:paraId="2CFF3AAD" w14:textId="43F98C89" w:rsidR="00A57A5C" w:rsidRPr="00FF338C" w:rsidRDefault="00A57A5C" w:rsidP="00A57A5C">
      <w:pPr>
        <w:ind w:firstLine="360"/>
        <w:rPr>
          <w:color w:val="auto"/>
        </w:rPr>
      </w:pPr>
      <w:r w:rsidRPr="00FF338C">
        <w:rPr>
          <w:color w:val="auto"/>
        </w:rPr>
        <w:t>This can be represented by the following equation:</w:t>
      </w:r>
    </w:p>
    <w:p w14:paraId="567ACE7F" w14:textId="00E55BB9" w:rsidR="00A57A5C" w:rsidRPr="00FF338C" w:rsidRDefault="00A57A5C" w:rsidP="00A57A5C">
      <m:oMathPara>
        <m:oMathParaPr>
          <m:jc m:val="center"/>
        </m:oMathParaPr>
        <m:oMath>
          <m:r>
            <w:rPr>
              <w:rFonts w:ascii="Cambria Math" w:hAnsi="Cambria Math"/>
            </w:rPr>
            <w:lastRenderedPageBreak/>
            <m:t>Net Energy Consumption=</m:t>
          </m:r>
          <m:nary>
            <m:naryPr>
              <m:chr m:val="∑"/>
              <m:subHide m:val="1"/>
              <m:supHide m:val="1"/>
              <m:ctrlPr>
                <w:rPr>
                  <w:rFonts w:ascii="Cambria Math" w:hAnsi="Cambria Math"/>
                  <w:i/>
                </w:rPr>
              </m:ctrlPr>
            </m:naryPr>
            <m:sub/>
            <m:sup/>
            <m:e>
              <m:r>
                <w:rPr>
                  <w:rFonts w:ascii="Cambria Math" w:hAnsi="Cambria Math"/>
                </w:rPr>
                <m:t>Energy Consumption</m:t>
              </m:r>
            </m:e>
          </m:nary>
          <m:r>
            <w:rPr>
              <w:rFonts w:ascii="Cambria Math" w:hAnsi="Cambria Math"/>
            </w:rPr>
            <m:t xml:space="preserve">- </m:t>
          </m:r>
          <m:nary>
            <m:naryPr>
              <m:chr m:val="∑"/>
              <m:subHide m:val="1"/>
              <m:supHide m:val="1"/>
              <m:ctrlPr>
                <w:rPr>
                  <w:rFonts w:ascii="Cambria Math" w:hAnsi="Cambria Math"/>
                  <w:i/>
                </w:rPr>
              </m:ctrlPr>
            </m:naryPr>
            <m:sub/>
            <m:sup/>
            <m:e>
              <m:r>
                <w:rPr>
                  <w:rFonts w:ascii="Cambria Math" w:hAnsi="Cambria Math"/>
                </w:rPr>
                <m:t>Secondary Energy Production</m:t>
              </m:r>
            </m:e>
          </m:nary>
        </m:oMath>
      </m:oMathPara>
    </w:p>
    <w:p w14:paraId="0BD7D1FD" w14:textId="54E66FC1" w:rsidR="00397F81" w:rsidRPr="00397F81" w:rsidRDefault="00A57A5C" w:rsidP="00397F81">
      <w:pPr>
        <w:spacing w:after="0"/>
      </w:pPr>
      <w:r w:rsidRPr="00FF338C">
        <w:t>Given EERS automates this calculation, the allocation of individual energy commodities as either primary or secondary is critical to ensuring the net energy consumption is appropriately calculated.</w:t>
      </w:r>
      <w:r w:rsidRPr="00FF338C">
        <w:br w:type="page"/>
      </w:r>
      <w:bookmarkStart w:id="527" w:name="_Measurement_requirements"/>
      <w:bookmarkStart w:id="528" w:name="_Ref511816645"/>
      <w:bookmarkStart w:id="529" w:name="_Toc512010422"/>
      <w:bookmarkStart w:id="530" w:name="_Toc512339621"/>
      <w:bookmarkStart w:id="531" w:name="_Toc106705774"/>
      <w:bookmarkEnd w:id="527"/>
    </w:p>
    <w:p w14:paraId="105B9C35" w14:textId="1EBB206E" w:rsidR="00A57A5C" w:rsidRPr="00FF338C" w:rsidRDefault="00A57A5C" w:rsidP="00B3330E">
      <w:pPr>
        <w:pStyle w:val="Heading1"/>
        <w:numPr>
          <w:ilvl w:val="0"/>
          <w:numId w:val="3"/>
        </w:numPr>
        <w:rPr>
          <w:lang w:val="en-GB"/>
        </w:rPr>
      </w:pPr>
      <w:bookmarkStart w:id="532" w:name="_Toc235706366"/>
      <w:r w:rsidRPr="00FF338C">
        <w:rPr>
          <w:lang w:val="en-GB"/>
        </w:rPr>
        <w:lastRenderedPageBreak/>
        <w:t>Measurement requirements</w:t>
      </w:r>
      <w:bookmarkEnd w:id="528"/>
      <w:bookmarkEnd w:id="529"/>
      <w:bookmarkEnd w:id="530"/>
      <w:bookmarkEnd w:id="531"/>
      <w:bookmarkEnd w:id="532"/>
    </w:p>
    <w:p w14:paraId="258444AB" w14:textId="77777777" w:rsidR="00A57A5C" w:rsidRPr="00FF338C" w:rsidRDefault="00A57A5C" w:rsidP="006D1341">
      <w:pPr>
        <w:spacing w:before="240"/>
      </w:pPr>
      <w:bookmarkStart w:id="533" w:name="_Ref511374324"/>
      <w:bookmarkStart w:id="534" w:name="_Toc511376921"/>
      <w:r w:rsidRPr="00FF338C">
        <w:t xml:space="preserve">To estimate emissions and report energy data accurately and completely, appropriate measurements of activity or source data </w:t>
      </w:r>
      <w:r w:rsidRPr="00FF338C" w:rsidDel="001140EE">
        <w:t xml:space="preserve">should </w:t>
      </w:r>
      <w:r w:rsidRPr="00FF338C">
        <w:t>be performed. Along with the quantity of electricity produced, measurement of the quantity of fuel combusted for generation comprises the key activity data to measure for NGER purposes.</w:t>
      </w:r>
    </w:p>
    <w:p w14:paraId="5E4B1C6D" w14:textId="77777777" w:rsidR="00A57A5C" w:rsidRPr="00FF338C" w:rsidRDefault="00A57A5C" w:rsidP="00A57A5C">
      <w:r w:rsidRPr="00FF338C">
        <w:t xml:space="preserve">This </w:t>
      </w:r>
      <w:r>
        <w:t>chapter</w:t>
      </w:r>
      <w:r w:rsidRPr="00FF338C">
        <w:t xml:space="preserve"> provides a summary of the measurement requirements.</w:t>
      </w:r>
    </w:p>
    <w:p w14:paraId="028E664E" w14:textId="77777777" w:rsidR="00A57A5C" w:rsidRPr="00FF338C" w:rsidRDefault="00A57A5C" w:rsidP="00DB4B56">
      <w:pPr>
        <w:pStyle w:val="Heading2"/>
        <w:numPr>
          <w:ilvl w:val="1"/>
          <w:numId w:val="3"/>
        </w:numPr>
        <w:ind w:left="426" w:hanging="426"/>
      </w:pPr>
      <w:bookmarkStart w:id="535" w:name="_Measurement_Criteria"/>
      <w:bookmarkStart w:id="536" w:name="_Toc512010423"/>
      <w:bookmarkStart w:id="537" w:name="_Toc512339622"/>
      <w:bookmarkStart w:id="538" w:name="_Toc106705775"/>
      <w:bookmarkStart w:id="539" w:name="_Toc235706367"/>
      <w:bookmarkEnd w:id="533"/>
      <w:bookmarkEnd w:id="534"/>
      <w:bookmarkEnd w:id="535"/>
      <w:r w:rsidRPr="00FF338C">
        <w:t>Measurement Criteria</w:t>
      </w:r>
      <w:bookmarkEnd w:id="536"/>
      <w:bookmarkEnd w:id="537"/>
      <w:bookmarkEnd w:id="538"/>
      <w:bookmarkEnd w:id="539"/>
    </w:p>
    <w:p w14:paraId="2BF7769C" w14:textId="77777777" w:rsidR="00A57A5C" w:rsidRPr="00FF338C" w:rsidRDefault="00A57A5C" w:rsidP="00A57A5C">
      <w:r w:rsidRPr="00FF338C">
        <w:t xml:space="preserve">The measurement requirements for measuring quantities of solid, gaseous, and liquid fuels are set out in Divisions 2.2.5, 2.3.6 and 2.4.6 respectively of the </w:t>
      </w:r>
      <w:r>
        <w:t>NGER Measurement Determination</w:t>
      </w:r>
      <w:r w:rsidRPr="00FF338C">
        <w:t>.</w:t>
      </w:r>
    </w:p>
    <w:p w14:paraId="4F8E01F6" w14:textId="597B999F" w:rsidR="00A57A5C" w:rsidRPr="00FF338C" w:rsidRDefault="00B60AED" w:rsidP="00A57A5C">
      <w:r>
        <w:fldChar w:fldCharType="begin" w:fldLock="1"/>
      </w:r>
      <w:r>
        <w:instrText>REF _Ref199339013</w:instrText>
      </w:r>
      <w:r>
        <w:fldChar w:fldCharType="separate"/>
      </w:r>
      <w:r>
        <w:t xml:space="preserve">Table </w:t>
      </w:r>
      <w:r>
        <w:rPr>
          <w:noProof/>
        </w:rPr>
        <w:t>16</w:t>
      </w:r>
      <w:r>
        <w:fldChar w:fldCharType="end"/>
      </w:r>
      <w:r>
        <w:t xml:space="preserve"> </w:t>
      </w:r>
      <w:r w:rsidR="00A57A5C" w:rsidRPr="00FF338C">
        <w:t>provides the general measurement requirements available in NGER for measurement of fuel quantities.</w:t>
      </w:r>
    </w:p>
    <w:p w14:paraId="7F60C76E" w14:textId="5707DAC7" w:rsidR="00A96F78" w:rsidRDefault="00A96F78" w:rsidP="0088399B">
      <w:pPr>
        <w:pStyle w:val="Caption"/>
        <w:keepNext/>
      </w:pPr>
      <w:bookmarkStart w:id="540" w:name="_Ref199339013"/>
      <w:r>
        <w:t xml:space="preserve">Table </w:t>
      </w:r>
      <w:r>
        <w:fldChar w:fldCharType="begin"/>
      </w:r>
      <w:r>
        <w:instrText>SEQ Table \* ARABIC</w:instrText>
      </w:r>
      <w:r>
        <w:fldChar w:fldCharType="separate"/>
      </w:r>
      <w:r w:rsidR="0069639D">
        <w:rPr>
          <w:noProof/>
        </w:rPr>
        <w:t>16</w:t>
      </w:r>
      <w:r>
        <w:fldChar w:fldCharType="end"/>
      </w:r>
      <w:bookmarkEnd w:id="540"/>
      <w:r>
        <w:t xml:space="preserve"> – Measurement requirements generally available in NGER.</w:t>
      </w:r>
    </w:p>
    <w:tbl>
      <w:tblPr>
        <w:tblStyle w:val="CERTable"/>
        <w:tblW w:w="9415" w:type="dxa"/>
        <w:tblLook w:val="04A0" w:firstRow="1" w:lastRow="0" w:firstColumn="1" w:lastColumn="0" w:noHBand="0" w:noVBand="1"/>
      </w:tblPr>
      <w:tblGrid>
        <w:gridCol w:w="1398"/>
        <w:gridCol w:w="2226"/>
        <w:gridCol w:w="2046"/>
        <w:gridCol w:w="1841"/>
        <w:gridCol w:w="1904"/>
      </w:tblGrid>
      <w:tr w:rsidR="009B58BD" w:rsidRPr="00C64711" w14:paraId="509D4987" w14:textId="77777777" w:rsidTr="00D111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98" w:type="dxa"/>
          </w:tcPr>
          <w:p w14:paraId="0E3ADAA7" w14:textId="7BE23170" w:rsidR="00576B80" w:rsidRPr="00872A70" w:rsidRDefault="00576B80">
            <w:pPr>
              <w:pStyle w:val="Body"/>
              <w:ind w:left="0"/>
              <w:rPr>
                <w:rFonts w:asciiTheme="minorHAnsi" w:hAnsiTheme="minorHAnsi"/>
                <w:sz w:val="22"/>
                <w:szCs w:val="22"/>
              </w:rPr>
            </w:pPr>
            <w:r>
              <w:rPr>
                <w:rFonts w:asciiTheme="minorHAnsi" w:hAnsiTheme="minorHAnsi"/>
                <w:sz w:val="22"/>
                <w:szCs w:val="22"/>
              </w:rPr>
              <w:t>Criterion</w:t>
            </w:r>
          </w:p>
        </w:tc>
        <w:tc>
          <w:tcPr>
            <w:tcW w:w="2226" w:type="dxa"/>
          </w:tcPr>
          <w:p w14:paraId="67E379EF" w14:textId="0943EF2A" w:rsidR="00576B80" w:rsidRPr="00872A70" w:rsidRDefault="00576B80">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Criterion AAA</w:t>
            </w:r>
          </w:p>
        </w:tc>
        <w:tc>
          <w:tcPr>
            <w:tcW w:w="2046" w:type="dxa"/>
          </w:tcPr>
          <w:p w14:paraId="1CC9BD90" w14:textId="77777777" w:rsidR="00576B80" w:rsidRPr="00872A70" w:rsidRDefault="00576B80">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Criterion AA</w:t>
            </w:r>
          </w:p>
        </w:tc>
        <w:tc>
          <w:tcPr>
            <w:tcW w:w="1841" w:type="dxa"/>
          </w:tcPr>
          <w:p w14:paraId="0279FAD5" w14:textId="77777777" w:rsidR="00576B80" w:rsidRPr="00872A70" w:rsidRDefault="00576B80">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Criterion A</w:t>
            </w:r>
          </w:p>
        </w:tc>
        <w:tc>
          <w:tcPr>
            <w:tcW w:w="1904" w:type="dxa"/>
          </w:tcPr>
          <w:p w14:paraId="1C9875BA" w14:textId="77777777" w:rsidR="00576B80" w:rsidRPr="00872A70" w:rsidRDefault="00576B80">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Criterion BBB</w:t>
            </w:r>
          </w:p>
        </w:tc>
      </w:tr>
      <w:tr w:rsidR="00507BE7" w:rsidRPr="00C64711" w14:paraId="2B560DF5" w14:textId="77777777" w:rsidTr="00835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tcPr>
          <w:p w14:paraId="33006119" w14:textId="2BB8B343" w:rsidR="00576B80" w:rsidRPr="0088399B" w:rsidRDefault="00A924C7">
            <w:pPr>
              <w:pStyle w:val="Body"/>
              <w:ind w:left="0"/>
              <w:rPr>
                <w:rFonts w:asciiTheme="minorHAnsi" w:hAnsiTheme="minorHAnsi"/>
                <w:sz w:val="22"/>
                <w:szCs w:val="22"/>
              </w:rPr>
            </w:pPr>
            <w:r w:rsidRPr="007D0A6E">
              <w:rPr>
                <w:rFonts w:asciiTheme="minorHAnsi" w:hAnsiTheme="minorHAnsi"/>
                <w:sz w:val="22"/>
                <w:szCs w:val="22"/>
              </w:rPr>
              <w:t>Description</w:t>
            </w:r>
          </w:p>
        </w:tc>
        <w:tc>
          <w:tcPr>
            <w:tcW w:w="2226" w:type="dxa"/>
          </w:tcPr>
          <w:p w14:paraId="4F1CD1B8" w14:textId="479B7C67" w:rsidR="00576B80" w:rsidRPr="0088399B" w:rsidRDefault="00576B80">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76B80">
              <w:rPr>
                <w:rFonts w:asciiTheme="minorHAnsi" w:hAnsiTheme="minorHAnsi"/>
                <w:sz w:val="22"/>
                <w:szCs w:val="22"/>
              </w:rPr>
              <w:t>Quantity measured at point of sale or consumption</w:t>
            </w:r>
          </w:p>
        </w:tc>
        <w:tc>
          <w:tcPr>
            <w:tcW w:w="2046" w:type="dxa"/>
          </w:tcPr>
          <w:p w14:paraId="1FA65D5B" w14:textId="77777777" w:rsidR="00576B80" w:rsidRPr="00872A70" w:rsidRDefault="00576B80">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Quantity verified by stockpile change estimation and invoices</w:t>
            </w:r>
          </w:p>
        </w:tc>
        <w:tc>
          <w:tcPr>
            <w:tcW w:w="1841" w:type="dxa"/>
          </w:tcPr>
          <w:p w14:paraId="4C5839E9" w14:textId="77777777" w:rsidR="00576B80" w:rsidRPr="00872A70" w:rsidRDefault="00576B80">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Quantity verified by invoices</w:t>
            </w:r>
          </w:p>
        </w:tc>
        <w:tc>
          <w:tcPr>
            <w:tcW w:w="1904" w:type="dxa"/>
          </w:tcPr>
          <w:p w14:paraId="6FB26EEB" w14:textId="77777777" w:rsidR="00576B80" w:rsidRPr="00872A70" w:rsidRDefault="00576B80">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Quantity measured or estimated in line with industry practice</w:t>
            </w:r>
          </w:p>
        </w:tc>
      </w:tr>
      <w:tr w:rsidR="00A027A0" w:rsidRPr="00C64711" w14:paraId="4094A718" w14:textId="77777777" w:rsidTr="00835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tcBorders>
              <w:bottom w:val="nil"/>
            </w:tcBorders>
          </w:tcPr>
          <w:p w14:paraId="31B5FADB" w14:textId="58A00142" w:rsidR="00576B80" w:rsidRPr="0088399B" w:rsidRDefault="00A924C7">
            <w:pPr>
              <w:pStyle w:val="Body"/>
              <w:ind w:left="0"/>
              <w:rPr>
                <w:rFonts w:asciiTheme="minorHAnsi" w:hAnsiTheme="minorHAnsi"/>
                <w:sz w:val="22"/>
                <w:szCs w:val="22"/>
              </w:rPr>
            </w:pPr>
            <w:r>
              <w:rPr>
                <w:rFonts w:asciiTheme="minorHAnsi" w:hAnsiTheme="minorHAnsi"/>
                <w:sz w:val="22"/>
                <w:szCs w:val="22"/>
              </w:rPr>
              <w:t>Example</w:t>
            </w:r>
          </w:p>
        </w:tc>
        <w:tc>
          <w:tcPr>
            <w:tcW w:w="2226" w:type="dxa"/>
            <w:tcBorders>
              <w:bottom w:val="nil"/>
            </w:tcBorders>
          </w:tcPr>
          <w:p w14:paraId="1F6228BA" w14:textId="371B7878" w:rsidR="00576B80" w:rsidRPr="0088399B" w:rsidRDefault="00A924C7">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M</w:t>
            </w:r>
            <w:r w:rsidR="00576B80" w:rsidRPr="00576B80">
              <w:rPr>
                <w:rFonts w:asciiTheme="minorHAnsi" w:hAnsiTheme="minorHAnsi"/>
                <w:sz w:val="22"/>
                <w:szCs w:val="22"/>
              </w:rPr>
              <w:t>ass measurement of solid fuel quantities at point of combustion using equipment calibrated to the measurement requirement</w:t>
            </w:r>
          </w:p>
        </w:tc>
        <w:tc>
          <w:tcPr>
            <w:tcW w:w="2046" w:type="dxa"/>
            <w:tcBorders>
              <w:bottom w:val="nil"/>
            </w:tcBorders>
          </w:tcPr>
          <w:p w14:paraId="13C12E4E" w14:textId="5C11553B" w:rsidR="00576B80" w:rsidRPr="00872A70" w:rsidRDefault="00A924C7">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E</w:t>
            </w:r>
            <w:r w:rsidR="00576B80" w:rsidRPr="00872A70">
              <w:rPr>
                <w:rFonts w:asciiTheme="minorHAnsi" w:hAnsiTheme="minorHAnsi"/>
                <w:sz w:val="22"/>
                <w:szCs w:val="22"/>
              </w:rPr>
              <w:t>stimating the change in the quantity of the stockpile of gaseous fuel as evidenced by invoices from a fuel vendor</w:t>
            </w:r>
          </w:p>
        </w:tc>
        <w:tc>
          <w:tcPr>
            <w:tcW w:w="1841" w:type="dxa"/>
            <w:tcBorders>
              <w:bottom w:val="nil"/>
            </w:tcBorders>
          </w:tcPr>
          <w:p w14:paraId="751A2BCB" w14:textId="7709C4DE" w:rsidR="00576B80" w:rsidRPr="00872A70" w:rsidRDefault="00A924C7">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U</w:t>
            </w:r>
            <w:r w:rsidR="00576B80" w:rsidRPr="00872A70">
              <w:rPr>
                <w:rFonts w:asciiTheme="minorHAnsi" w:hAnsiTheme="minorHAnsi"/>
                <w:sz w:val="22"/>
                <w:szCs w:val="22"/>
              </w:rPr>
              <w:t>sing vendor invoices as evidence of quantity of gaseous fuel purchased</w:t>
            </w:r>
          </w:p>
        </w:tc>
        <w:tc>
          <w:tcPr>
            <w:tcW w:w="1904" w:type="dxa"/>
            <w:tcBorders>
              <w:bottom w:val="nil"/>
            </w:tcBorders>
          </w:tcPr>
          <w:p w14:paraId="080EF333" w14:textId="3A288F49" w:rsidR="00576B80" w:rsidRPr="00872A70" w:rsidRDefault="00A924C7">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C</w:t>
            </w:r>
            <w:r w:rsidR="00576B80" w:rsidRPr="00872A70">
              <w:rPr>
                <w:rFonts w:asciiTheme="minorHAnsi" w:hAnsiTheme="minorHAnsi"/>
                <w:sz w:val="22"/>
                <w:szCs w:val="22"/>
              </w:rPr>
              <w:t>alculation based on metering which does not meet AAA requirements</w:t>
            </w:r>
          </w:p>
        </w:tc>
      </w:tr>
      <w:tr w:rsidR="00A027A0" w:rsidRPr="00C64711" w14:paraId="6A1E615D" w14:textId="77777777" w:rsidTr="00835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8" w:type="dxa"/>
            <w:tcBorders>
              <w:bottom w:val="single" w:sz="4" w:space="0" w:color="FCBA5C" w:themeColor="accent2"/>
            </w:tcBorders>
          </w:tcPr>
          <w:p w14:paraId="105C9CFE" w14:textId="5ADF664D" w:rsidR="00576B80" w:rsidRPr="0088399B" w:rsidRDefault="00A924C7" w:rsidP="00A96F78">
            <w:pPr>
              <w:pStyle w:val="Body"/>
              <w:ind w:left="0"/>
              <w:rPr>
                <w:rFonts w:asciiTheme="minorHAnsi" w:hAnsiTheme="minorHAnsi"/>
                <w:sz w:val="22"/>
                <w:szCs w:val="22"/>
              </w:rPr>
            </w:pPr>
            <w:r>
              <w:rPr>
                <w:rFonts w:asciiTheme="minorHAnsi" w:hAnsiTheme="minorHAnsi"/>
                <w:sz w:val="22"/>
                <w:szCs w:val="22"/>
              </w:rPr>
              <w:t>Restrictions</w:t>
            </w:r>
          </w:p>
        </w:tc>
        <w:tc>
          <w:tcPr>
            <w:tcW w:w="2226" w:type="dxa"/>
            <w:tcBorders>
              <w:bottom w:val="single" w:sz="4" w:space="0" w:color="FCBA5C" w:themeColor="accent2"/>
            </w:tcBorders>
          </w:tcPr>
          <w:p w14:paraId="21DB2D12" w14:textId="0A8038C8" w:rsidR="00576B80" w:rsidRPr="0088399B" w:rsidRDefault="00576B80" w:rsidP="00A96F78">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76B80">
              <w:rPr>
                <w:rFonts w:asciiTheme="minorHAnsi" w:hAnsiTheme="minorHAnsi"/>
                <w:sz w:val="22"/>
                <w:szCs w:val="22"/>
              </w:rPr>
              <w:t xml:space="preserve">Available </w:t>
            </w:r>
            <w:proofErr w:type="gramStart"/>
            <w:r w:rsidR="00A924C7">
              <w:rPr>
                <w:rFonts w:asciiTheme="minorHAnsi" w:hAnsiTheme="minorHAnsi"/>
                <w:sz w:val="22"/>
                <w:szCs w:val="22"/>
              </w:rPr>
              <w:t>whether or not</w:t>
            </w:r>
            <w:proofErr w:type="gramEnd"/>
            <w:r w:rsidR="00A924C7">
              <w:rPr>
                <w:rFonts w:asciiTheme="minorHAnsi" w:hAnsiTheme="minorHAnsi"/>
                <w:sz w:val="22"/>
                <w:szCs w:val="22"/>
              </w:rPr>
              <w:t xml:space="preserve"> </w:t>
            </w:r>
            <w:r w:rsidRPr="00576B80">
              <w:rPr>
                <w:rFonts w:asciiTheme="minorHAnsi" w:hAnsiTheme="minorHAnsi"/>
                <w:sz w:val="22"/>
                <w:szCs w:val="22"/>
              </w:rPr>
              <w:t>acquisition of fuel involve</w:t>
            </w:r>
            <w:r w:rsidR="00A924C7">
              <w:rPr>
                <w:rFonts w:asciiTheme="minorHAnsi" w:hAnsiTheme="minorHAnsi"/>
                <w:sz w:val="22"/>
                <w:szCs w:val="22"/>
              </w:rPr>
              <w:t>s</w:t>
            </w:r>
            <w:r w:rsidRPr="00576B80">
              <w:rPr>
                <w:rFonts w:asciiTheme="minorHAnsi" w:hAnsiTheme="minorHAnsi"/>
                <w:sz w:val="22"/>
                <w:szCs w:val="22"/>
              </w:rPr>
              <w:t xml:space="preserve"> a commercial transaction</w:t>
            </w:r>
          </w:p>
        </w:tc>
        <w:tc>
          <w:tcPr>
            <w:tcW w:w="2046" w:type="dxa"/>
            <w:tcBorders>
              <w:bottom w:val="single" w:sz="4" w:space="0" w:color="FCBA5C" w:themeColor="accent2"/>
            </w:tcBorders>
          </w:tcPr>
          <w:p w14:paraId="752B77A7" w14:textId="77777777" w:rsidR="00576B80" w:rsidRPr="00872A70" w:rsidRDefault="00576B80" w:rsidP="00A96F78">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Only available where acquisition of fuel involves a commercial transaction</w:t>
            </w:r>
          </w:p>
        </w:tc>
        <w:tc>
          <w:tcPr>
            <w:tcW w:w="1841" w:type="dxa"/>
            <w:tcBorders>
              <w:bottom w:val="single" w:sz="4" w:space="0" w:color="FCBA5C" w:themeColor="accent2"/>
            </w:tcBorders>
          </w:tcPr>
          <w:p w14:paraId="705CCDD9" w14:textId="3D4BCE56" w:rsidR="00576B80" w:rsidRPr="00872A70" w:rsidRDefault="00576B80" w:rsidP="00A96F78">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Only available where acquisition of fuel involves a commercial transaction</w:t>
            </w:r>
          </w:p>
        </w:tc>
        <w:tc>
          <w:tcPr>
            <w:tcW w:w="1904" w:type="dxa"/>
            <w:tcBorders>
              <w:bottom w:val="single" w:sz="4" w:space="0" w:color="FCBA5C" w:themeColor="accent2"/>
            </w:tcBorders>
          </w:tcPr>
          <w:p w14:paraId="3351F485" w14:textId="77777777" w:rsidR="00576B80" w:rsidRPr="00872A70" w:rsidRDefault="00576B80" w:rsidP="00A96F78">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872A70">
              <w:rPr>
                <w:rFonts w:asciiTheme="minorHAnsi" w:hAnsiTheme="minorHAnsi"/>
                <w:sz w:val="22"/>
                <w:szCs w:val="22"/>
              </w:rPr>
              <w:t>Not available where acquisition of fuel involves a commercial transaction</w:t>
            </w:r>
          </w:p>
        </w:tc>
      </w:tr>
    </w:tbl>
    <w:p w14:paraId="2A8A1ED4" w14:textId="77777777" w:rsidR="00A57A5C" w:rsidRPr="00FF338C" w:rsidRDefault="00A57A5C" w:rsidP="00A57A5C">
      <w:pPr>
        <w:rPr>
          <w:color w:val="auto"/>
        </w:rPr>
      </w:pPr>
    </w:p>
    <w:p w14:paraId="0FCD7007" w14:textId="77777777" w:rsidR="00A57A5C" w:rsidRPr="00FF338C" w:rsidRDefault="00A57A5C" w:rsidP="00A57A5C">
      <w:r w:rsidRPr="00FF338C">
        <w:t>The availability of individual measurement criteria for a given source is dependent on:</w:t>
      </w:r>
    </w:p>
    <w:p w14:paraId="574F7B2F" w14:textId="77777777" w:rsidR="00A57A5C" w:rsidRPr="00FF338C" w:rsidRDefault="00A57A5C" w:rsidP="00B3330E">
      <w:pPr>
        <w:pStyle w:val="CERnumbering"/>
        <w:numPr>
          <w:ilvl w:val="0"/>
          <w:numId w:val="8"/>
        </w:numPr>
      </w:pPr>
      <w:r w:rsidRPr="00FF338C">
        <w:t>whether or not a commercial transaction took place for the fuel</w:t>
      </w:r>
    </w:p>
    <w:p w14:paraId="1F358E39" w14:textId="77777777" w:rsidR="00A57A5C" w:rsidRPr="00FF338C" w:rsidRDefault="00A57A5C" w:rsidP="00B3330E">
      <w:pPr>
        <w:pStyle w:val="CERnumbering"/>
        <w:numPr>
          <w:ilvl w:val="0"/>
          <w:numId w:val="8"/>
        </w:numPr>
      </w:pPr>
      <w:r w:rsidRPr="00FF338C">
        <w:t>the measurement criterion selected for that source in preceding reporting years.</w:t>
      </w:r>
    </w:p>
    <w:p w14:paraId="649DD382" w14:textId="77777777" w:rsidR="00A57A5C" w:rsidRPr="00FF338C" w:rsidRDefault="00A57A5C" w:rsidP="00A57A5C">
      <w:r w:rsidRPr="00FF338C">
        <w:t xml:space="preserve">In general, </w:t>
      </w:r>
      <w:r>
        <w:t>when</w:t>
      </w:r>
      <w:r w:rsidRPr="00FF338C">
        <w:t xml:space="preserve"> the fuel </w:t>
      </w:r>
      <w:r>
        <w:t>is</w:t>
      </w:r>
      <w:r w:rsidRPr="00FF338C">
        <w:t xml:space="preserve"> acquired via a commercial transaction, measurement criteria A, AA and AAA are permitted. This represent</w:t>
      </w:r>
      <w:r>
        <w:t>s</w:t>
      </w:r>
      <w:r w:rsidRPr="00FF338C">
        <w:t xml:space="preserve"> </w:t>
      </w:r>
      <w:r>
        <w:t xml:space="preserve">most </w:t>
      </w:r>
      <w:r w:rsidRPr="00FF338C">
        <w:t xml:space="preserve">situations in the electricity industry for fuels combusted for generation purposes. </w:t>
      </w:r>
    </w:p>
    <w:p w14:paraId="15C801EA" w14:textId="77777777" w:rsidR="00A57A5C" w:rsidRPr="00FF338C" w:rsidRDefault="00A57A5C" w:rsidP="00A57A5C">
      <w:r>
        <w:t xml:space="preserve">Note: </w:t>
      </w:r>
      <w:r w:rsidRPr="00FF338C">
        <w:t xml:space="preserve">Once criteria AA or AAA (measured at point of consumption) have been used for a fuel acquired by commercial transaction for a given reporting year, the same criteria must be used in subsequent years. </w:t>
      </w:r>
    </w:p>
    <w:p w14:paraId="34FE1FC3" w14:textId="77777777" w:rsidR="00A57A5C" w:rsidRPr="00FF338C" w:rsidRDefault="00A57A5C" w:rsidP="00A57A5C">
      <w:r>
        <w:lastRenderedPageBreak/>
        <w:t>I</w:t>
      </w:r>
      <w:r w:rsidRPr="00FF338C">
        <w:t xml:space="preserve">ndustry practice required for BBB is not defined in the NGER legislation. Industry practice </w:t>
      </w:r>
      <w:r>
        <w:t>is taken to mean</w:t>
      </w:r>
      <w:r w:rsidRPr="00FF338C">
        <w:t xml:space="preserve"> </w:t>
      </w:r>
      <w:r>
        <w:t>that which</w:t>
      </w:r>
      <w:r w:rsidRPr="00FF338C">
        <w:t xml:space="preserve"> would reasonably be expected to occur at a competent, similar facility type of a similar size and age. The following may be used as a guide when establishing the standards to be used for making estimations using industry practice:</w:t>
      </w:r>
    </w:p>
    <w:p w14:paraId="141546B2" w14:textId="2CEB4B57" w:rsidR="00A57A5C" w:rsidRPr="00FF338C" w:rsidRDefault="007977A6" w:rsidP="00B3330E">
      <w:pPr>
        <w:pStyle w:val="CERnumbering"/>
        <w:numPr>
          <w:ilvl w:val="0"/>
          <w:numId w:val="8"/>
        </w:numPr>
      </w:pPr>
      <w:r>
        <w:t>e</w:t>
      </w:r>
      <w:r w:rsidR="00A57A5C" w:rsidRPr="00FF338C">
        <w:t>quipment used is maintained in good working order</w:t>
      </w:r>
    </w:p>
    <w:p w14:paraId="0F45DFC0" w14:textId="0059BD23" w:rsidR="00A57A5C" w:rsidRPr="00FF338C" w:rsidRDefault="007977A6" w:rsidP="00B3330E">
      <w:pPr>
        <w:pStyle w:val="CERnumbering"/>
        <w:numPr>
          <w:ilvl w:val="0"/>
          <w:numId w:val="8"/>
        </w:numPr>
      </w:pPr>
      <w:r>
        <w:t>e</w:t>
      </w:r>
      <w:r w:rsidR="00A57A5C" w:rsidRPr="00FF338C">
        <w:t>quipment used is calibrated in accordance with and at the frequency stipulated by the manufacturer</w:t>
      </w:r>
    </w:p>
    <w:p w14:paraId="06A58E5D" w14:textId="5ACDB256" w:rsidR="00A57A5C" w:rsidRPr="00FF338C" w:rsidRDefault="007977A6" w:rsidP="00B3330E">
      <w:pPr>
        <w:pStyle w:val="CERnumbering"/>
        <w:numPr>
          <w:ilvl w:val="0"/>
          <w:numId w:val="8"/>
        </w:numPr>
      </w:pPr>
      <w:r>
        <w:t>f</w:t>
      </w:r>
      <w:r w:rsidR="00A57A5C" w:rsidRPr="00FF338C">
        <w:t xml:space="preserve">aulty equipment </w:t>
      </w:r>
      <w:proofErr w:type="gramStart"/>
      <w:r w:rsidR="00A57A5C" w:rsidRPr="00FF338C">
        <w:t>is</w:t>
      </w:r>
      <w:proofErr w:type="gramEnd"/>
      <w:r w:rsidR="00A57A5C" w:rsidRPr="00FF338C">
        <w:t xml:space="preserve"> replaced</w:t>
      </w:r>
    </w:p>
    <w:p w14:paraId="18532F73" w14:textId="33408D5B" w:rsidR="00A57A5C" w:rsidRPr="00FF338C" w:rsidRDefault="007977A6" w:rsidP="00B3330E">
      <w:pPr>
        <w:pStyle w:val="CERnumbering"/>
        <w:numPr>
          <w:ilvl w:val="0"/>
          <w:numId w:val="8"/>
        </w:numPr>
      </w:pPr>
      <w:proofErr w:type="gramStart"/>
      <w:r>
        <w:t>a</w:t>
      </w:r>
      <w:r w:rsidR="00A57A5C" w:rsidRPr="00FF338C">
        <w:t>ppropriate</w:t>
      </w:r>
      <w:proofErr w:type="gramEnd"/>
      <w:r w:rsidR="00A57A5C" w:rsidRPr="00FF338C">
        <w:t xml:space="preserve"> corrections for temperature and pressure are made where required, and assumptions, inherent or applied to the measurement equipment are clarified</w:t>
      </w:r>
      <w:r w:rsidR="00A57A5C">
        <w:t>. F</w:t>
      </w:r>
      <w:r w:rsidR="00A57A5C" w:rsidRPr="00FF338C">
        <w:t>or example, set densities or gas composition are updated at a frequency that ensures that these assumptions are representative of the commodity being measured during the reporting period</w:t>
      </w:r>
    </w:p>
    <w:p w14:paraId="4A5001F4" w14:textId="73BBE0B8" w:rsidR="00A57A5C" w:rsidRPr="00FF338C" w:rsidRDefault="007977A6" w:rsidP="00B3330E">
      <w:pPr>
        <w:pStyle w:val="CERnumbering"/>
        <w:numPr>
          <w:ilvl w:val="0"/>
          <w:numId w:val="8"/>
        </w:numPr>
      </w:pPr>
      <w:r>
        <w:t>r</w:t>
      </w:r>
      <w:r w:rsidR="00A57A5C" w:rsidRPr="00FF338C">
        <w:t xml:space="preserve">eporters </w:t>
      </w:r>
      <w:r w:rsidR="00A57A5C" w:rsidRPr="00FF338C" w:rsidDel="00137359">
        <w:t xml:space="preserve">should </w:t>
      </w:r>
      <w:r w:rsidR="00A57A5C" w:rsidRPr="00FF338C">
        <w:t xml:space="preserve">document their assessment of how their application of criterion BBB meets industry practice in the </w:t>
      </w:r>
      <w:proofErr w:type="spellStart"/>
      <w:r w:rsidR="00A57A5C" w:rsidRPr="00FF338C">
        <w:t>BoP</w:t>
      </w:r>
      <w:proofErr w:type="spellEnd"/>
      <w:r w:rsidR="00A57A5C" w:rsidRPr="00FF338C">
        <w:t>. When applying criterion BBB, reporters are required to consider the principles in section 1.13 of the NGER Measurement Determination</w:t>
      </w:r>
    </w:p>
    <w:p w14:paraId="7A67C9CD" w14:textId="4971C067" w:rsidR="00A57A5C" w:rsidRPr="00FF338C" w:rsidRDefault="00A57A5C" w:rsidP="00A57A5C">
      <w:pPr>
        <w:pStyle w:val="CERnumbering"/>
        <w:ind w:left="360" w:hanging="360"/>
      </w:pPr>
      <w:r>
        <w:t>See t</w:t>
      </w:r>
      <w:r w:rsidRPr="00FF338C">
        <w:t xml:space="preserve">he </w:t>
      </w:r>
      <w:hyperlink r:id="rId62" w:tooltip="A link to the Measurement Criteria Guideline on the Clean Energy Regulator website" w:history="1">
        <w:r w:rsidRPr="00C84028">
          <w:rPr>
            <w:rStyle w:val="Hyperlink"/>
            <w:rFonts w:asciiTheme="minorHAnsi" w:hAnsiTheme="minorHAnsi"/>
          </w:rPr>
          <w:t>Measurement Criteria Guideline</w:t>
        </w:r>
      </w:hyperlink>
      <w:r w:rsidR="004B0870">
        <w:rPr>
          <w:rFonts w:ascii="ZWAdobeF" w:hAnsi="ZWAdobeF" w:cs="ZWAdobeF"/>
          <w:sz w:val="2"/>
          <w:szCs w:val="2"/>
        </w:rPr>
        <w:t>35F</w:t>
      </w:r>
      <w:r w:rsidRPr="00FF338C">
        <w:rPr>
          <w:rStyle w:val="FootnoteReference"/>
        </w:rPr>
        <w:footnoteReference w:id="37"/>
      </w:r>
      <w:r w:rsidRPr="00FF338C">
        <w:t xml:space="preserve"> for </w:t>
      </w:r>
      <w:r>
        <w:t>more information</w:t>
      </w:r>
      <w:r w:rsidRPr="00FF338C">
        <w:t xml:space="preserve">. </w:t>
      </w:r>
    </w:p>
    <w:p w14:paraId="7AB5A758" w14:textId="77777777" w:rsidR="00A57A5C" w:rsidRPr="00FF338C" w:rsidRDefault="00A57A5C" w:rsidP="00A57A5C">
      <w:pPr>
        <w:pStyle w:val="Heading4"/>
      </w:pPr>
      <w:bookmarkStart w:id="541" w:name="_Toc526867734"/>
      <w:bookmarkStart w:id="542" w:name="_Toc526869776"/>
      <w:bookmarkStart w:id="543" w:name="_Toc235706368"/>
      <w:r w:rsidRPr="00FF338C">
        <w:t>Specific notes regarding measurement criteria per fuel states</w:t>
      </w:r>
      <w:bookmarkEnd w:id="541"/>
      <w:bookmarkEnd w:id="542"/>
      <w:bookmarkEnd w:id="543"/>
    </w:p>
    <w:p w14:paraId="25E1CE23" w14:textId="77777777" w:rsidR="00A57A5C" w:rsidRPr="00FF338C" w:rsidRDefault="00A57A5C" w:rsidP="00A57A5C">
      <w:r w:rsidRPr="00FF338C">
        <w:t xml:space="preserve">The </w:t>
      </w:r>
      <w:r>
        <w:t>NGER Measurement Determination</w:t>
      </w:r>
      <w:r w:rsidRPr="00FF338C">
        <w:t xml:space="preserve"> also contain</w:t>
      </w:r>
      <w:r>
        <w:t xml:space="preserve">s </w:t>
      </w:r>
      <w:r w:rsidRPr="00FF338C">
        <w:t xml:space="preserve">requirements of individual measurement criteria specific to the physical phase of the fuel in question. </w:t>
      </w:r>
    </w:p>
    <w:p w14:paraId="62ADCF3B" w14:textId="6D5AF6B6" w:rsidR="00A57A5C" w:rsidRPr="00FF338C" w:rsidRDefault="00A57A5C" w:rsidP="00B3330E">
      <w:pPr>
        <w:pStyle w:val="CERnumbering"/>
        <w:numPr>
          <w:ilvl w:val="0"/>
          <w:numId w:val="8"/>
        </w:numPr>
      </w:pPr>
      <w:r w:rsidRPr="00FE31CC">
        <w:t>AA for solid fuels</w:t>
      </w:r>
      <w:r w:rsidRPr="00FF338C">
        <w:t xml:space="preserve"> </w:t>
      </w:r>
      <w:r>
        <w:t>–</w:t>
      </w:r>
      <w:r w:rsidRPr="00FF338C">
        <w:t xml:space="preserve"> </w:t>
      </w:r>
      <w:r>
        <w:t>where</w:t>
      </w:r>
      <w:r w:rsidRPr="00FF338C">
        <w:t xml:space="preserve"> measurement criterion AA </w:t>
      </w:r>
      <w:r>
        <w:t>is</w:t>
      </w:r>
      <w:r w:rsidRPr="00FF338C">
        <w:t xml:space="preserve"> used in a given reporting year, the specific approach to estimating the change in stockpile quantity </w:t>
      </w:r>
      <w:r w:rsidRPr="00FF338C" w:rsidDel="00137359">
        <w:t xml:space="preserve">should </w:t>
      </w:r>
      <w:r w:rsidRPr="00FF338C">
        <w:t xml:space="preserve">remain consistent </w:t>
      </w:r>
      <w:r>
        <w:t xml:space="preserve">throughout the entire reporting period </w:t>
      </w:r>
      <w:r w:rsidRPr="00FF338C">
        <w:t xml:space="preserve">unless there is a significant change which would result in the approach becoming less accurate. </w:t>
      </w:r>
    </w:p>
    <w:p w14:paraId="40F40551" w14:textId="366BAEF9" w:rsidR="00A57A5C" w:rsidRPr="00FF338C" w:rsidRDefault="00A57A5C" w:rsidP="00B3330E">
      <w:pPr>
        <w:pStyle w:val="CERnumbering"/>
        <w:numPr>
          <w:ilvl w:val="0"/>
          <w:numId w:val="8"/>
        </w:numPr>
      </w:pPr>
      <w:r w:rsidRPr="00FE31CC">
        <w:t>AAA for gaseous fuels</w:t>
      </w:r>
      <w:r w:rsidRPr="00FF338C">
        <w:t xml:space="preserve"> – sections 2.31–2.37 of the </w:t>
      </w:r>
      <w:r>
        <w:t>NGER Measurement Determination</w:t>
      </w:r>
      <w:r w:rsidRPr="00FF338C">
        <w:t xml:space="preserve"> prescribe detailed requirements </w:t>
      </w:r>
      <w:r>
        <w:t xml:space="preserve">for </w:t>
      </w:r>
      <w:r w:rsidRPr="00FF338C">
        <w:t xml:space="preserve">the application of criterion AAA. This includes measuring gas on a dry basis, corrected to the standard conditions defined in subsection 2.32(7) of the </w:t>
      </w:r>
      <w:r>
        <w:t>NGER Measurement Determination</w:t>
      </w:r>
      <w:r w:rsidRPr="00FF338C">
        <w:t>.</w:t>
      </w:r>
    </w:p>
    <w:p w14:paraId="6C7CCA11" w14:textId="77777777" w:rsidR="00A57A5C" w:rsidRPr="00FF338C" w:rsidRDefault="00A57A5C" w:rsidP="00A57A5C">
      <w:pPr>
        <w:pStyle w:val="CERnumbering"/>
        <w:ind w:left="360"/>
      </w:pPr>
      <w:r w:rsidRPr="00FF338C">
        <w:t xml:space="preserve">Measurement equipment </w:t>
      </w:r>
      <w:r>
        <w:t>must</w:t>
      </w:r>
      <w:r w:rsidRPr="00FF338C">
        <w:t xml:space="preserve"> meet specific operational requirements depending on equipment type, the amount of gas combusted per day, and whether the gas is super-compressed.</w:t>
      </w:r>
    </w:p>
    <w:p w14:paraId="0A60DF9F" w14:textId="77777777" w:rsidR="00A57A5C" w:rsidRPr="00FF338C" w:rsidRDefault="00A57A5C" w:rsidP="00A57A5C">
      <w:pPr>
        <w:pStyle w:val="CERnumbering"/>
        <w:ind w:left="360"/>
      </w:pPr>
      <w:r w:rsidRPr="00FF338C">
        <w:t xml:space="preserve">Reporters </w:t>
      </w:r>
      <w:r w:rsidRPr="00FF338C" w:rsidDel="00B555D5">
        <w:t xml:space="preserve">should </w:t>
      </w:r>
      <w:r w:rsidRPr="00FF338C">
        <w:t xml:space="preserve">satisfy themselves that the measurement equipment used in preparation of NGER </w:t>
      </w:r>
      <w:r>
        <w:t>reports</w:t>
      </w:r>
      <w:r w:rsidRPr="00FF338C">
        <w:t xml:space="preserve"> has been operated and maintained in accordance with the requirements stipulated. In cases where reporters rely on measurements provided by vendors or by third parties, reporters </w:t>
      </w:r>
      <w:r w:rsidRPr="00FF338C" w:rsidDel="00B555D5">
        <w:t xml:space="preserve">should </w:t>
      </w:r>
      <w:r w:rsidRPr="00FF338C">
        <w:t xml:space="preserve">make sufficient enquiries </w:t>
      </w:r>
      <w:proofErr w:type="gramStart"/>
      <w:r w:rsidRPr="00FF338C">
        <w:t>of</w:t>
      </w:r>
      <w:proofErr w:type="gramEnd"/>
      <w:r w:rsidRPr="00FF338C">
        <w:t xml:space="preserve"> the providers of these measurements to enable them to have confidence that the requirements of the </w:t>
      </w:r>
      <w:r>
        <w:t>NGER Measurement Determination</w:t>
      </w:r>
      <w:r w:rsidRPr="00FF338C">
        <w:t xml:space="preserve"> are being complied with. </w:t>
      </w:r>
    </w:p>
    <w:p w14:paraId="416F8A8A" w14:textId="77777777" w:rsidR="00A57A5C" w:rsidRPr="00FF338C" w:rsidRDefault="00A57A5C" w:rsidP="00B3330E">
      <w:pPr>
        <w:pStyle w:val="CERnumbering"/>
        <w:numPr>
          <w:ilvl w:val="0"/>
          <w:numId w:val="8"/>
        </w:numPr>
      </w:pPr>
      <w:r w:rsidRPr="00FE31CC">
        <w:t>AAA for liquid fuels</w:t>
      </w:r>
      <w:r w:rsidRPr="00FF338C">
        <w:t xml:space="preserve"> – should criterion AAA be selected</w:t>
      </w:r>
      <w:r>
        <w:t>,</w:t>
      </w:r>
      <w:r w:rsidRPr="00FF338C">
        <w:t xml:space="preserve"> fuel volumes </w:t>
      </w:r>
      <w:r>
        <w:t>must</w:t>
      </w:r>
      <w:r w:rsidRPr="00FF338C">
        <w:t xml:space="preserve"> be corrected to standard temperature of 15°C. </w:t>
      </w:r>
    </w:p>
    <w:p w14:paraId="6F229750" w14:textId="77777777" w:rsidR="00A57A5C" w:rsidRPr="00FF338C" w:rsidRDefault="00A57A5C" w:rsidP="00DB4B56">
      <w:pPr>
        <w:pStyle w:val="Heading2"/>
        <w:numPr>
          <w:ilvl w:val="1"/>
          <w:numId w:val="3"/>
        </w:numPr>
        <w:ind w:left="426" w:hanging="426"/>
      </w:pPr>
      <w:bookmarkStart w:id="544" w:name="_Metering_considerations"/>
      <w:bookmarkStart w:id="545" w:name="_Ref511919117"/>
      <w:bookmarkStart w:id="546" w:name="_Toc512010424"/>
      <w:bookmarkStart w:id="547" w:name="_Toc512339623"/>
      <w:bookmarkStart w:id="548" w:name="_Toc106705776"/>
      <w:bookmarkStart w:id="549" w:name="_Toc235706369"/>
      <w:bookmarkEnd w:id="544"/>
      <w:r w:rsidRPr="00FF338C">
        <w:t>Metering considerations</w:t>
      </w:r>
      <w:bookmarkEnd w:id="545"/>
      <w:bookmarkEnd w:id="546"/>
      <w:bookmarkEnd w:id="547"/>
      <w:bookmarkEnd w:id="548"/>
      <w:bookmarkEnd w:id="549"/>
    </w:p>
    <w:p w14:paraId="1D13C755" w14:textId="2BAEC7B7" w:rsidR="00A57A5C" w:rsidRPr="00FF338C" w:rsidRDefault="00D62F16" w:rsidP="00A57A5C">
      <w:pPr>
        <w:rPr>
          <w:color w:val="auto"/>
        </w:rPr>
      </w:pPr>
      <w:r>
        <w:rPr>
          <w:color w:val="auto"/>
        </w:rPr>
        <w:fldChar w:fldCharType="begin" w:fldLock="1"/>
      </w:r>
      <w:r>
        <w:rPr>
          <w:color w:val="auto"/>
        </w:rPr>
        <w:instrText xml:space="preserve"> REF _Ref199339030 </w:instrText>
      </w:r>
      <w:r>
        <w:rPr>
          <w:color w:val="auto"/>
        </w:rPr>
        <w:fldChar w:fldCharType="separate"/>
      </w:r>
      <w:r>
        <w:t xml:space="preserve">Table </w:t>
      </w:r>
      <w:r>
        <w:rPr>
          <w:noProof/>
        </w:rPr>
        <w:t>17</w:t>
      </w:r>
      <w:r>
        <w:rPr>
          <w:color w:val="auto"/>
        </w:rPr>
        <w:fldChar w:fldCharType="end"/>
      </w:r>
      <w:r>
        <w:rPr>
          <w:color w:val="auto"/>
        </w:rPr>
        <w:t xml:space="preserve"> </w:t>
      </w:r>
      <w:r w:rsidR="00A57A5C" w:rsidRPr="00FF338C">
        <w:rPr>
          <w:color w:val="auto"/>
        </w:rPr>
        <w:t xml:space="preserve">shows summary metering and calibration requirements from the </w:t>
      </w:r>
      <w:r w:rsidR="00A57A5C">
        <w:rPr>
          <w:color w:val="auto"/>
        </w:rPr>
        <w:t>NGER Measurement Determination</w:t>
      </w:r>
      <w:r w:rsidR="00A57A5C" w:rsidRPr="00FF338C">
        <w:rPr>
          <w:color w:val="auto"/>
        </w:rPr>
        <w:t xml:space="preserve">. </w:t>
      </w:r>
      <w:r w:rsidR="00A57A5C">
        <w:rPr>
          <w:color w:val="auto"/>
        </w:rPr>
        <w:t xml:space="preserve">The </w:t>
      </w:r>
      <w:r w:rsidR="00A57A5C" w:rsidRPr="00FF338C">
        <w:rPr>
          <w:color w:val="auto"/>
        </w:rPr>
        <w:t xml:space="preserve">most accurate meters available (such as regulated meters at the network connection points) </w:t>
      </w:r>
      <w:r w:rsidR="00A57A5C" w:rsidRPr="00FF338C" w:rsidDel="00B24BDD">
        <w:rPr>
          <w:color w:val="auto"/>
        </w:rPr>
        <w:t xml:space="preserve">should </w:t>
      </w:r>
      <w:r w:rsidR="00A57A5C" w:rsidRPr="00FF338C">
        <w:rPr>
          <w:color w:val="auto"/>
        </w:rPr>
        <w:t xml:space="preserve">be used preferentially for NGER measurements and as a basis for any mass or energy balance </w:t>
      </w:r>
      <w:r w:rsidR="00A57A5C" w:rsidRPr="00FF338C">
        <w:rPr>
          <w:color w:val="auto"/>
        </w:rPr>
        <w:lastRenderedPageBreak/>
        <w:t>calculations</w:t>
      </w:r>
      <w:r w:rsidR="00A57A5C">
        <w:rPr>
          <w:color w:val="auto"/>
        </w:rPr>
        <w:t>, in accordance with the general principles listed in section 1.13 of the NGER Measurement Determination</w:t>
      </w:r>
      <w:r w:rsidR="00A57A5C" w:rsidRPr="00FF338C">
        <w:rPr>
          <w:color w:val="auto"/>
        </w:rPr>
        <w:t>.</w:t>
      </w:r>
    </w:p>
    <w:p w14:paraId="1724EDE5" w14:textId="2276E99A" w:rsidR="00E04FAA" w:rsidRDefault="00E04FAA" w:rsidP="00E9388B">
      <w:pPr>
        <w:pStyle w:val="Caption"/>
        <w:keepNext/>
      </w:pPr>
      <w:bookmarkStart w:id="550" w:name="_Ref199339030"/>
      <w:r>
        <w:t xml:space="preserve">Table </w:t>
      </w:r>
      <w:r>
        <w:fldChar w:fldCharType="begin"/>
      </w:r>
      <w:r>
        <w:instrText>SEQ Table \* ARABIC</w:instrText>
      </w:r>
      <w:r>
        <w:fldChar w:fldCharType="separate"/>
      </w:r>
      <w:r w:rsidR="0069639D">
        <w:rPr>
          <w:noProof/>
        </w:rPr>
        <w:t>17</w:t>
      </w:r>
      <w:r>
        <w:fldChar w:fldCharType="end"/>
      </w:r>
      <w:bookmarkEnd w:id="550"/>
      <w:r>
        <w:t xml:space="preserve"> – Metering and calibration requirements.</w:t>
      </w:r>
    </w:p>
    <w:tbl>
      <w:tblPr>
        <w:tblStyle w:val="CERTable"/>
        <w:tblW w:w="9634" w:type="dxa"/>
        <w:tblLook w:val="04A0" w:firstRow="1" w:lastRow="0" w:firstColumn="1" w:lastColumn="0" w:noHBand="0" w:noVBand="1"/>
      </w:tblPr>
      <w:tblGrid>
        <w:gridCol w:w="2691"/>
        <w:gridCol w:w="2692"/>
        <w:gridCol w:w="4251"/>
      </w:tblGrid>
      <w:tr w:rsidR="00A027A0" w:rsidRPr="00C64711" w14:paraId="0D596907" w14:textId="77777777" w:rsidTr="000D59FA">
        <w:trPr>
          <w:cnfStyle w:val="100000000000" w:firstRow="1" w:lastRow="0" w:firstColumn="0" w:lastColumn="0" w:oddVBand="0" w:evenVBand="0" w:oddHBand="0" w:evenHBand="0" w:firstRowFirstColumn="0" w:firstRowLastColumn="0" w:lastRowFirstColumn="0" w:lastRowLastColumn="0"/>
          <w:trHeight w:val="462"/>
          <w:tblHeader/>
        </w:trPr>
        <w:tc>
          <w:tcPr>
            <w:cnfStyle w:val="001000000000" w:firstRow="0" w:lastRow="0" w:firstColumn="1" w:lastColumn="0" w:oddVBand="0" w:evenVBand="0" w:oddHBand="0" w:evenHBand="0" w:firstRowFirstColumn="0" w:firstRowLastColumn="0" w:lastRowFirstColumn="0" w:lastRowLastColumn="0"/>
            <w:tcW w:w="0" w:type="dxa"/>
          </w:tcPr>
          <w:p w14:paraId="13184F5E" w14:textId="77777777" w:rsidR="00835507" w:rsidRPr="009C0388" w:rsidRDefault="00835507">
            <w:pPr>
              <w:pStyle w:val="Body"/>
              <w:ind w:left="0"/>
              <w:rPr>
                <w:rFonts w:asciiTheme="minorHAnsi" w:hAnsiTheme="minorHAnsi"/>
                <w:b w:val="0"/>
                <w:sz w:val="22"/>
                <w:szCs w:val="22"/>
              </w:rPr>
            </w:pPr>
            <w:r w:rsidRPr="009C0388">
              <w:rPr>
                <w:rFonts w:asciiTheme="minorHAnsi" w:hAnsiTheme="minorHAnsi"/>
                <w:sz w:val="22"/>
                <w:szCs w:val="22"/>
              </w:rPr>
              <w:t>Metering Purpose</w:t>
            </w:r>
          </w:p>
        </w:tc>
        <w:tc>
          <w:tcPr>
            <w:tcW w:w="2692" w:type="dxa"/>
          </w:tcPr>
          <w:p w14:paraId="25A8F2D9" w14:textId="1F92D21D" w:rsidR="00835507" w:rsidRPr="009C0388" w:rsidRDefault="00835507">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Application</w:t>
            </w:r>
          </w:p>
        </w:tc>
        <w:tc>
          <w:tcPr>
            <w:tcW w:w="4251" w:type="dxa"/>
          </w:tcPr>
          <w:p w14:paraId="5D7930FE" w14:textId="77777777" w:rsidR="00835507" w:rsidRPr="009C0388" w:rsidRDefault="00835507">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Requirements (references are to the NGER Measurement Determination where not stated)</w:t>
            </w:r>
          </w:p>
        </w:tc>
      </w:tr>
      <w:tr w:rsidR="00A57A5C" w:rsidRPr="00C64711" w14:paraId="2CF6C3D1" w14:textId="77777777" w:rsidTr="0088399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val="restart"/>
          </w:tcPr>
          <w:p w14:paraId="3A1EE279" w14:textId="77777777" w:rsidR="00A57A5C" w:rsidRPr="00F61C7D" w:rsidRDefault="00A57A5C">
            <w:pPr>
              <w:pStyle w:val="Body"/>
              <w:ind w:left="0"/>
              <w:rPr>
                <w:rFonts w:asciiTheme="minorHAnsi" w:hAnsiTheme="minorHAnsi"/>
                <w:sz w:val="22"/>
                <w:szCs w:val="22"/>
              </w:rPr>
            </w:pPr>
            <w:r w:rsidRPr="004B02E0">
              <w:rPr>
                <w:rFonts w:asciiTheme="minorHAnsi" w:hAnsiTheme="minorHAnsi"/>
                <w:sz w:val="22"/>
                <w:szCs w:val="22"/>
              </w:rPr>
              <w:t>Fuel Quantity</w:t>
            </w:r>
          </w:p>
          <w:p w14:paraId="4DE306E3" w14:textId="77777777" w:rsidR="00A57A5C" w:rsidRPr="009C0388" w:rsidRDefault="00A57A5C">
            <w:pPr>
              <w:pStyle w:val="Body"/>
              <w:ind w:left="0"/>
              <w:rPr>
                <w:rFonts w:asciiTheme="minorHAnsi" w:hAnsiTheme="minorHAnsi"/>
                <w:sz w:val="22"/>
                <w:szCs w:val="22"/>
              </w:rPr>
            </w:pPr>
          </w:p>
        </w:tc>
        <w:tc>
          <w:tcPr>
            <w:tcW w:w="2692" w:type="dxa"/>
            <w:vMerge w:val="restart"/>
          </w:tcPr>
          <w:p w14:paraId="198BFE85"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Solid fuels (in tonnes)</w:t>
            </w:r>
          </w:p>
        </w:tc>
        <w:tc>
          <w:tcPr>
            <w:tcW w:w="4251" w:type="dxa"/>
          </w:tcPr>
          <w:p w14:paraId="2AAFF5CE" w14:textId="77777777" w:rsidR="00A57A5C"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Criterion AAA:</w:t>
            </w:r>
            <w:r w:rsidRPr="009C0388">
              <w:rPr>
                <w:rFonts w:asciiTheme="minorHAnsi" w:hAnsiTheme="minorHAnsi"/>
                <w:sz w:val="22"/>
                <w:szCs w:val="22"/>
              </w:rPr>
              <w:t xml:space="preserve"> </w:t>
            </w:r>
            <w:r>
              <w:rPr>
                <w:rFonts w:asciiTheme="minorHAnsi" w:hAnsiTheme="minorHAnsi"/>
                <w:sz w:val="22"/>
                <w:szCs w:val="22"/>
              </w:rPr>
              <w:t>m</w:t>
            </w:r>
            <w:r w:rsidRPr="009C0388">
              <w:rPr>
                <w:rFonts w:asciiTheme="minorHAnsi" w:hAnsiTheme="minorHAnsi"/>
                <w:sz w:val="22"/>
                <w:szCs w:val="22"/>
              </w:rPr>
              <w:t xml:space="preserve">etering equipment </w:t>
            </w:r>
            <w:r>
              <w:rPr>
                <w:rFonts w:asciiTheme="minorHAnsi" w:hAnsiTheme="minorHAnsi"/>
                <w:sz w:val="22"/>
                <w:szCs w:val="22"/>
              </w:rPr>
              <w:t>must</w:t>
            </w:r>
            <w:r w:rsidRPr="009C0388">
              <w:rPr>
                <w:rFonts w:asciiTheme="minorHAnsi" w:hAnsiTheme="minorHAnsi"/>
                <w:sz w:val="22"/>
                <w:szCs w:val="22"/>
              </w:rPr>
              <w:t xml:space="preserve"> follow the requirements set out in section 2.16. Equipment </w:t>
            </w:r>
            <w:r>
              <w:rPr>
                <w:rFonts w:asciiTheme="minorHAnsi" w:hAnsiTheme="minorHAnsi"/>
                <w:sz w:val="22"/>
                <w:szCs w:val="22"/>
              </w:rPr>
              <w:t>must</w:t>
            </w:r>
            <w:r w:rsidRPr="009C0388">
              <w:rPr>
                <w:rFonts w:asciiTheme="minorHAnsi" w:hAnsiTheme="minorHAnsi"/>
                <w:sz w:val="22"/>
                <w:szCs w:val="22"/>
              </w:rPr>
              <w:t xml:space="preserve"> be calibrated to a ‘measurement requirement’, which in this case means the standards required for measurement to support all commercial transactions covered by the </w:t>
            </w:r>
            <w:r w:rsidRPr="009C0388">
              <w:rPr>
                <w:rFonts w:asciiTheme="minorHAnsi" w:hAnsiTheme="minorHAnsi"/>
                <w:i/>
                <w:sz w:val="22"/>
                <w:szCs w:val="22"/>
              </w:rPr>
              <w:t>National Measurement Act 1960</w:t>
            </w:r>
            <w:r w:rsidRPr="009C0388">
              <w:rPr>
                <w:rFonts w:asciiTheme="minorHAnsi" w:hAnsiTheme="minorHAnsi"/>
                <w:sz w:val="22"/>
                <w:szCs w:val="22"/>
              </w:rPr>
              <w:t xml:space="preserve"> and associated instruments. </w:t>
            </w:r>
          </w:p>
          <w:p w14:paraId="3B75B03C"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9C0388">
              <w:rPr>
                <w:rFonts w:asciiTheme="minorHAnsi" w:hAnsiTheme="minorHAnsi"/>
                <w:sz w:val="22"/>
                <w:szCs w:val="22"/>
              </w:rPr>
              <w:t>These requirements are summarised in section 2.16 of the NGER Technical Guidelines.</w:t>
            </w:r>
          </w:p>
        </w:tc>
      </w:tr>
      <w:tr w:rsidR="00A57A5C" w:rsidRPr="00C64711" w14:paraId="5BF4F807" w14:textId="77777777" w:rsidTr="0088399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tcPr>
          <w:p w14:paraId="11C2F07C" w14:textId="77777777" w:rsidR="00A57A5C" w:rsidRPr="009C0388" w:rsidRDefault="00A57A5C">
            <w:pPr>
              <w:pStyle w:val="Body"/>
              <w:ind w:left="0"/>
              <w:rPr>
                <w:rFonts w:asciiTheme="minorHAnsi" w:hAnsiTheme="minorHAnsi"/>
                <w:sz w:val="22"/>
                <w:szCs w:val="22"/>
              </w:rPr>
            </w:pPr>
          </w:p>
        </w:tc>
        <w:tc>
          <w:tcPr>
            <w:tcW w:w="2692" w:type="dxa"/>
            <w:vMerge/>
          </w:tcPr>
          <w:p w14:paraId="7E908A6D"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p>
        </w:tc>
        <w:tc>
          <w:tcPr>
            <w:tcW w:w="4251" w:type="dxa"/>
          </w:tcPr>
          <w:p w14:paraId="0A1B7F72"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b/>
                <w:sz w:val="22"/>
                <w:szCs w:val="22"/>
              </w:rPr>
            </w:pPr>
            <w:r w:rsidRPr="00FE31CC">
              <w:rPr>
                <w:rFonts w:asciiTheme="minorHAnsi" w:hAnsiTheme="minorHAnsi"/>
                <w:sz w:val="22"/>
                <w:szCs w:val="22"/>
              </w:rPr>
              <w:t>Criterion BBB:</w:t>
            </w:r>
            <w:r w:rsidRPr="00C64711">
              <w:rPr>
                <w:rFonts w:asciiTheme="minorHAnsi" w:hAnsiTheme="minorHAnsi"/>
                <w:sz w:val="22"/>
                <w:szCs w:val="22"/>
              </w:rPr>
              <w:t xml:space="preserve"> </w:t>
            </w:r>
            <w:r>
              <w:rPr>
                <w:rFonts w:asciiTheme="minorHAnsi" w:hAnsiTheme="minorHAnsi"/>
                <w:sz w:val="22"/>
                <w:szCs w:val="22"/>
              </w:rPr>
              <w:t>m</w:t>
            </w:r>
            <w:r w:rsidRPr="009C0388">
              <w:rPr>
                <w:rFonts w:asciiTheme="minorHAnsi" w:hAnsiTheme="minorHAnsi"/>
                <w:sz w:val="22"/>
                <w:szCs w:val="22"/>
              </w:rPr>
              <w:t xml:space="preserve">etering equipment </w:t>
            </w:r>
            <w:r>
              <w:rPr>
                <w:rFonts w:asciiTheme="minorHAnsi" w:hAnsiTheme="minorHAnsi"/>
                <w:sz w:val="22"/>
                <w:szCs w:val="22"/>
              </w:rPr>
              <w:t>must</w:t>
            </w:r>
            <w:r w:rsidRPr="009C0388">
              <w:rPr>
                <w:rFonts w:asciiTheme="minorHAnsi" w:hAnsiTheme="minorHAnsi"/>
                <w:sz w:val="22"/>
                <w:szCs w:val="22"/>
              </w:rPr>
              <w:t xml:space="preserve"> follow the requirements set out in section 2.17 of the NGER Measurement Determination, which refer to industry practice.</w:t>
            </w:r>
          </w:p>
        </w:tc>
      </w:tr>
      <w:tr w:rsidR="00A57A5C" w:rsidRPr="00C64711" w14:paraId="3E79E99E" w14:textId="77777777" w:rsidTr="0088399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tcPr>
          <w:p w14:paraId="5FDC068C" w14:textId="77777777" w:rsidR="00A57A5C" w:rsidRPr="009C0388" w:rsidRDefault="00A57A5C">
            <w:pPr>
              <w:pStyle w:val="Body"/>
              <w:ind w:left="0"/>
              <w:rPr>
                <w:rFonts w:asciiTheme="minorHAnsi" w:hAnsiTheme="minorHAnsi"/>
                <w:sz w:val="22"/>
                <w:szCs w:val="22"/>
              </w:rPr>
            </w:pPr>
          </w:p>
        </w:tc>
        <w:tc>
          <w:tcPr>
            <w:tcW w:w="2692" w:type="dxa"/>
            <w:vMerge w:val="restart"/>
          </w:tcPr>
          <w:p w14:paraId="16F4192E"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Gaseous fuels (in cubic metres)</w:t>
            </w:r>
          </w:p>
        </w:tc>
        <w:tc>
          <w:tcPr>
            <w:tcW w:w="4251" w:type="dxa"/>
          </w:tcPr>
          <w:p w14:paraId="2D76B7E7" w14:textId="6E18A6B5"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FE31CC">
              <w:rPr>
                <w:rFonts w:asciiTheme="minorHAnsi" w:hAnsiTheme="minorHAnsi"/>
                <w:sz w:val="22"/>
                <w:szCs w:val="22"/>
              </w:rPr>
              <w:t>Criterion AAA:</w:t>
            </w:r>
            <w:r w:rsidRPr="009C0388">
              <w:rPr>
                <w:rFonts w:asciiTheme="minorHAnsi" w:hAnsiTheme="minorHAnsi"/>
                <w:sz w:val="22"/>
                <w:szCs w:val="22"/>
              </w:rPr>
              <w:t xml:space="preserve"> </w:t>
            </w:r>
            <w:r>
              <w:rPr>
                <w:rFonts w:asciiTheme="minorHAnsi" w:hAnsiTheme="minorHAnsi"/>
                <w:sz w:val="22"/>
                <w:szCs w:val="22"/>
              </w:rPr>
              <w:t>m</w:t>
            </w:r>
            <w:r w:rsidRPr="009C0388">
              <w:rPr>
                <w:rFonts w:asciiTheme="minorHAnsi" w:hAnsiTheme="minorHAnsi"/>
                <w:sz w:val="22"/>
                <w:szCs w:val="22"/>
              </w:rPr>
              <w:t xml:space="preserve">easurement equipment </w:t>
            </w:r>
            <w:r>
              <w:rPr>
                <w:rFonts w:asciiTheme="minorHAnsi" w:hAnsiTheme="minorHAnsi"/>
                <w:sz w:val="22"/>
                <w:szCs w:val="22"/>
              </w:rPr>
              <w:t>must</w:t>
            </w:r>
            <w:r w:rsidRPr="009C0388">
              <w:rPr>
                <w:rFonts w:asciiTheme="minorHAnsi" w:hAnsiTheme="minorHAnsi"/>
                <w:sz w:val="22"/>
                <w:szCs w:val="22"/>
              </w:rPr>
              <w:t xml:space="preserve"> be calibrated to requirements set out in sections 2.31–2.37 of the NGER Measurement Determination. Specific requirements depend on equipment type, the amount of gas consumed per day, and whether the gas is super-compressed.</w:t>
            </w:r>
          </w:p>
        </w:tc>
      </w:tr>
      <w:tr w:rsidR="00A57A5C" w:rsidRPr="00C64711" w14:paraId="7328EA0F" w14:textId="77777777" w:rsidTr="0088399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tcPr>
          <w:p w14:paraId="66041DED" w14:textId="77777777" w:rsidR="00A57A5C" w:rsidRPr="009C0388" w:rsidRDefault="00A57A5C">
            <w:pPr>
              <w:pStyle w:val="Body"/>
              <w:ind w:left="0"/>
              <w:rPr>
                <w:rFonts w:asciiTheme="minorHAnsi" w:hAnsiTheme="minorHAnsi"/>
                <w:sz w:val="22"/>
                <w:szCs w:val="22"/>
              </w:rPr>
            </w:pPr>
          </w:p>
        </w:tc>
        <w:tc>
          <w:tcPr>
            <w:tcW w:w="2692" w:type="dxa"/>
            <w:vMerge/>
          </w:tcPr>
          <w:p w14:paraId="46FCEA88"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p>
        </w:tc>
        <w:tc>
          <w:tcPr>
            <w:tcW w:w="4251" w:type="dxa"/>
          </w:tcPr>
          <w:p w14:paraId="6FBE50A6"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b/>
                <w:sz w:val="22"/>
                <w:szCs w:val="22"/>
              </w:rPr>
            </w:pPr>
            <w:r w:rsidRPr="00FE31CC">
              <w:rPr>
                <w:rFonts w:asciiTheme="minorHAnsi" w:hAnsiTheme="minorHAnsi"/>
                <w:sz w:val="22"/>
                <w:szCs w:val="22"/>
              </w:rPr>
              <w:t>Criterion BBB:</w:t>
            </w:r>
            <w:r w:rsidRPr="00C64711">
              <w:rPr>
                <w:rFonts w:asciiTheme="minorHAnsi" w:hAnsiTheme="minorHAnsi"/>
                <w:sz w:val="22"/>
                <w:szCs w:val="22"/>
              </w:rPr>
              <w:t xml:space="preserve"> </w:t>
            </w:r>
            <w:r>
              <w:rPr>
                <w:rFonts w:asciiTheme="minorHAnsi" w:hAnsiTheme="minorHAnsi"/>
                <w:sz w:val="22"/>
                <w:szCs w:val="22"/>
              </w:rPr>
              <w:t>m</w:t>
            </w:r>
            <w:r w:rsidRPr="009C0388">
              <w:rPr>
                <w:rFonts w:asciiTheme="minorHAnsi" w:hAnsiTheme="minorHAnsi"/>
                <w:sz w:val="22"/>
                <w:szCs w:val="22"/>
              </w:rPr>
              <w:t xml:space="preserve">etering equipment </w:t>
            </w:r>
            <w:r>
              <w:rPr>
                <w:rFonts w:asciiTheme="minorHAnsi" w:hAnsiTheme="minorHAnsi"/>
                <w:sz w:val="22"/>
                <w:szCs w:val="22"/>
              </w:rPr>
              <w:t>must</w:t>
            </w:r>
            <w:r w:rsidRPr="009C0388">
              <w:rPr>
                <w:rFonts w:asciiTheme="minorHAnsi" w:hAnsiTheme="minorHAnsi"/>
                <w:sz w:val="22"/>
                <w:szCs w:val="22"/>
              </w:rPr>
              <w:t xml:space="preserve"> follow the requirements set out in section 2.38 of the NGER Measurement Determination, which refer to industry practice.</w:t>
            </w:r>
          </w:p>
        </w:tc>
      </w:tr>
      <w:tr w:rsidR="00A57A5C" w:rsidRPr="00C64711" w14:paraId="3CD0C2F9" w14:textId="77777777" w:rsidTr="0088399B">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tcPr>
          <w:p w14:paraId="03A84819" w14:textId="77777777" w:rsidR="00A57A5C" w:rsidRPr="009C0388" w:rsidRDefault="00A57A5C">
            <w:pPr>
              <w:pStyle w:val="Body"/>
              <w:ind w:left="0"/>
              <w:rPr>
                <w:rFonts w:asciiTheme="minorHAnsi" w:hAnsiTheme="minorHAnsi"/>
                <w:sz w:val="22"/>
                <w:szCs w:val="22"/>
              </w:rPr>
            </w:pPr>
          </w:p>
        </w:tc>
        <w:tc>
          <w:tcPr>
            <w:tcW w:w="2692" w:type="dxa"/>
            <w:vMerge w:val="restart"/>
          </w:tcPr>
          <w:p w14:paraId="69E2AA4A"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vertAlign w:val="superscript"/>
              </w:rPr>
            </w:pPr>
            <w:r w:rsidRPr="009C0388">
              <w:rPr>
                <w:rFonts w:asciiTheme="minorHAnsi" w:hAnsiTheme="minorHAnsi"/>
                <w:sz w:val="22"/>
                <w:szCs w:val="22"/>
              </w:rPr>
              <w:t>Liquid fuels (in kilolitres)</w:t>
            </w:r>
          </w:p>
          <w:p w14:paraId="37ABD677"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vertAlign w:val="superscript"/>
              </w:rPr>
            </w:pPr>
          </w:p>
        </w:tc>
        <w:tc>
          <w:tcPr>
            <w:tcW w:w="4251" w:type="dxa"/>
          </w:tcPr>
          <w:p w14:paraId="564F5730"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Criterion AAA:</w:t>
            </w:r>
            <w:r w:rsidRPr="009C0388">
              <w:rPr>
                <w:rFonts w:asciiTheme="minorHAnsi" w:hAnsiTheme="minorHAnsi"/>
                <w:sz w:val="22"/>
                <w:szCs w:val="22"/>
              </w:rPr>
              <w:t xml:space="preserve"> </w:t>
            </w:r>
            <w:r>
              <w:rPr>
                <w:rFonts w:asciiTheme="minorHAnsi" w:hAnsiTheme="minorHAnsi"/>
                <w:sz w:val="22"/>
                <w:szCs w:val="22"/>
              </w:rPr>
              <w:t>m</w:t>
            </w:r>
            <w:r w:rsidRPr="009C0388">
              <w:rPr>
                <w:rFonts w:asciiTheme="minorHAnsi" w:hAnsiTheme="minorHAnsi"/>
                <w:sz w:val="22"/>
                <w:szCs w:val="22"/>
              </w:rPr>
              <w:t xml:space="preserve">etering equipment </w:t>
            </w:r>
            <w:r>
              <w:rPr>
                <w:rFonts w:asciiTheme="minorHAnsi" w:hAnsiTheme="minorHAnsi"/>
                <w:sz w:val="22"/>
                <w:szCs w:val="22"/>
              </w:rPr>
              <w:t>must</w:t>
            </w:r>
            <w:r w:rsidRPr="009C0388">
              <w:rPr>
                <w:rFonts w:asciiTheme="minorHAnsi" w:hAnsiTheme="minorHAnsi"/>
                <w:sz w:val="22"/>
                <w:szCs w:val="22"/>
              </w:rPr>
              <w:t xml:space="preserve"> follow the requirements set out in section 2.52 of the NGER Measurement Determination. Equipment </w:t>
            </w:r>
            <w:r>
              <w:rPr>
                <w:rFonts w:asciiTheme="minorHAnsi" w:hAnsiTheme="minorHAnsi"/>
                <w:sz w:val="22"/>
                <w:szCs w:val="22"/>
              </w:rPr>
              <w:t>must</w:t>
            </w:r>
            <w:r w:rsidRPr="009C0388">
              <w:rPr>
                <w:rFonts w:asciiTheme="minorHAnsi" w:hAnsiTheme="minorHAnsi"/>
                <w:sz w:val="22"/>
                <w:szCs w:val="22"/>
              </w:rPr>
              <w:t xml:space="preserve"> be calibrated to a ‘measurement requirement’. </w:t>
            </w:r>
            <w:r>
              <w:rPr>
                <w:rFonts w:asciiTheme="minorHAnsi" w:hAnsiTheme="minorHAnsi"/>
                <w:sz w:val="22"/>
                <w:szCs w:val="22"/>
              </w:rPr>
              <w:t>T</w:t>
            </w:r>
            <w:r w:rsidRPr="009C0388">
              <w:rPr>
                <w:rFonts w:asciiTheme="minorHAnsi" w:hAnsiTheme="minorHAnsi"/>
                <w:sz w:val="22"/>
                <w:szCs w:val="22"/>
              </w:rPr>
              <w:t xml:space="preserve">his refers to the standards required for measurement to support excise taxation arrangements. </w:t>
            </w:r>
          </w:p>
        </w:tc>
      </w:tr>
      <w:tr w:rsidR="00A57A5C" w:rsidRPr="00C64711" w14:paraId="3894D5FD" w14:textId="77777777" w:rsidTr="0088399B">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tcPr>
          <w:p w14:paraId="2FD4B1EF" w14:textId="77777777" w:rsidR="00A57A5C" w:rsidRPr="009C0388" w:rsidRDefault="00A57A5C">
            <w:pPr>
              <w:pStyle w:val="Body"/>
              <w:ind w:left="0"/>
              <w:rPr>
                <w:rFonts w:asciiTheme="minorHAnsi" w:hAnsiTheme="minorHAnsi"/>
                <w:sz w:val="22"/>
                <w:szCs w:val="22"/>
              </w:rPr>
            </w:pPr>
          </w:p>
        </w:tc>
        <w:tc>
          <w:tcPr>
            <w:tcW w:w="2692" w:type="dxa"/>
            <w:vMerge/>
          </w:tcPr>
          <w:p w14:paraId="0DBAF1BF"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p>
        </w:tc>
        <w:tc>
          <w:tcPr>
            <w:tcW w:w="4251" w:type="dxa"/>
          </w:tcPr>
          <w:p w14:paraId="57D8F0A5"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b/>
                <w:sz w:val="22"/>
                <w:szCs w:val="22"/>
              </w:rPr>
            </w:pPr>
            <w:r w:rsidRPr="00FE31CC">
              <w:rPr>
                <w:rFonts w:asciiTheme="minorHAnsi" w:hAnsiTheme="minorHAnsi"/>
                <w:sz w:val="22"/>
                <w:szCs w:val="22"/>
              </w:rPr>
              <w:t>Criterion BBB:</w:t>
            </w:r>
            <w:r w:rsidRPr="009C0388">
              <w:rPr>
                <w:rFonts w:asciiTheme="minorHAnsi" w:hAnsiTheme="minorHAnsi"/>
                <w:b/>
                <w:sz w:val="22"/>
                <w:szCs w:val="22"/>
              </w:rPr>
              <w:t xml:space="preserve"> </w:t>
            </w:r>
            <w:r>
              <w:rPr>
                <w:rFonts w:asciiTheme="minorHAnsi" w:hAnsiTheme="minorHAnsi"/>
                <w:sz w:val="22"/>
                <w:szCs w:val="22"/>
              </w:rPr>
              <w:t>m</w:t>
            </w:r>
            <w:r w:rsidRPr="009C0388">
              <w:rPr>
                <w:rFonts w:asciiTheme="minorHAnsi" w:hAnsiTheme="minorHAnsi"/>
                <w:sz w:val="22"/>
                <w:szCs w:val="22"/>
              </w:rPr>
              <w:t xml:space="preserve">etering equipment </w:t>
            </w:r>
            <w:r>
              <w:rPr>
                <w:rFonts w:asciiTheme="minorHAnsi" w:hAnsiTheme="minorHAnsi"/>
                <w:sz w:val="22"/>
                <w:szCs w:val="22"/>
              </w:rPr>
              <w:t>must</w:t>
            </w:r>
            <w:r w:rsidRPr="009C0388">
              <w:rPr>
                <w:rFonts w:asciiTheme="minorHAnsi" w:hAnsiTheme="minorHAnsi"/>
                <w:sz w:val="22"/>
                <w:szCs w:val="22"/>
              </w:rPr>
              <w:t xml:space="preserve"> follow the requirements set out in section 2.53 of the NGER Measurement Determination, which refer to industry practice.</w:t>
            </w:r>
          </w:p>
        </w:tc>
      </w:tr>
      <w:tr w:rsidR="0069532A" w:rsidRPr="00C64711" w14:paraId="12701921" w14:textId="77777777" w:rsidTr="00E04FAA">
        <w:trPr>
          <w:cnfStyle w:val="000000100000" w:firstRow="0" w:lastRow="0" w:firstColumn="0" w:lastColumn="0" w:oddVBand="0" w:evenVBand="0" w:oddHBand="1" w:evenHBand="0" w:firstRowFirstColumn="0" w:firstRowLastColumn="0" w:lastRowFirstColumn="0" w:lastRowLastColumn="0"/>
          <w:trHeight w:val="2060"/>
        </w:trPr>
        <w:tc>
          <w:tcPr>
            <w:cnfStyle w:val="001000000000" w:firstRow="0" w:lastRow="0" w:firstColumn="1" w:lastColumn="0" w:oddVBand="0" w:evenVBand="0" w:oddHBand="0" w:evenHBand="0" w:firstRowFirstColumn="0" w:firstRowLastColumn="0" w:lastRowFirstColumn="0" w:lastRowLastColumn="0"/>
            <w:tcW w:w="2691" w:type="dxa"/>
            <w:tcBorders>
              <w:bottom w:val="single" w:sz="8" w:space="0" w:color="E8E8E8" w:themeColor="background2"/>
            </w:tcBorders>
          </w:tcPr>
          <w:p w14:paraId="40E221E7" w14:textId="6BC117DC" w:rsidR="00A57A5C" w:rsidRPr="00F61C7D" w:rsidRDefault="00A57A5C">
            <w:pPr>
              <w:pStyle w:val="Body"/>
              <w:ind w:left="0"/>
              <w:rPr>
                <w:rFonts w:asciiTheme="minorHAnsi" w:hAnsiTheme="minorHAnsi"/>
                <w:b w:val="0"/>
                <w:bCs/>
                <w:sz w:val="22"/>
                <w:szCs w:val="22"/>
                <w:highlight w:val="yellow"/>
              </w:rPr>
            </w:pPr>
            <w:r w:rsidRPr="004B02E0">
              <w:rPr>
                <w:rFonts w:asciiTheme="minorHAnsi" w:hAnsiTheme="minorHAnsi"/>
                <w:sz w:val="22"/>
                <w:szCs w:val="22"/>
              </w:rPr>
              <w:t xml:space="preserve">Sampling and </w:t>
            </w:r>
            <w:r w:rsidR="003B6C91">
              <w:rPr>
                <w:rFonts w:asciiTheme="minorHAnsi" w:hAnsiTheme="minorHAnsi"/>
                <w:sz w:val="22"/>
                <w:szCs w:val="22"/>
              </w:rPr>
              <w:t>a</w:t>
            </w:r>
            <w:r w:rsidRPr="004B02E0">
              <w:rPr>
                <w:rFonts w:asciiTheme="minorHAnsi" w:hAnsiTheme="minorHAnsi"/>
                <w:sz w:val="22"/>
                <w:szCs w:val="22"/>
              </w:rPr>
              <w:t>nalysis (</w:t>
            </w:r>
            <w:r w:rsidRPr="006046BA">
              <w:rPr>
                <w:rFonts w:asciiTheme="minorHAnsi" w:hAnsiTheme="minorHAnsi"/>
                <w:sz w:val="22"/>
                <w:szCs w:val="22"/>
              </w:rPr>
              <w:t>for example,</w:t>
            </w:r>
            <w:r w:rsidRPr="00533405">
              <w:rPr>
                <w:rFonts w:asciiTheme="minorHAnsi" w:hAnsiTheme="minorHAnsi"/>
                <w:sz w:val="22"/>
                <w:szCs w:val="22"/>
              </w:rPr>
              <w:t xml:space="preserve"> where </w:t>
            </w:r>
            <w:r w:rsidR="2B22388B" w:rsidRPr="1553680F">
              <w:rPr>
                <w:rFonts w:asciiTheme="minorHAnsi" w:hAnsiTheme="minorHAnsi"/>
                <w:sz w:val="22"/>
                <w:szCs w:val="22"/>
              </w:rPr>
              <w:t>M</w:t>
            </w:r>
            <w:r w:rsidRPr="00533405">
              <w:rPr>
                <w:rFonts w:asciiTheme="minorHAnsi" w:hAnsiTheme="minorHAnsi"/>
                <w:sz w:val="22"/>
                <w:szCs w:val="22"/>
              </w:rPr>
              <w:t>ethod 2 or 3 is applied to estimate emissions)</w:t>
            </w:r>
          </w:p>
        </w:tc>
        <w:tc>
          <w:tcPr>
            <w:tcW w:w="2692" w:type="dxa"/>
            <w:tcBorders>
              <w:bottom w:val="single" w:sz="8" w:space="0" w:color="E8E8E8" w:themeColor="background2"/>
            </w:tcBorders>
          </w:tcPr>
          <w:p w14:paraId="3E3B7056"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Solid fuels</w:t>
            </w:r>
          </w:p>
          <w:p w14:paraId="09516FC8"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Gaseous fuels</w:t>
            </w:r>
          </w:p>
          <w:p w14:paraId="143A0BA6"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highlight w:val="yellow"/>
              </w:rPr>
            </w:pPr>
            <w:r w:rsidRPr="009C0388">
              <w:rPr>
                <w:rFonts w:asciiTheme="minorHAnsi" w:hAnsiTheme="minorHAnsi"/>
                <w:sz w:val="22"/>
                <w:szCs w:val="22"/>
              </w:rPr>
              <w:t>Liquid fuels</w:t>
            </w:r>
          </w:p>
        </w:tc>
        <w:tc>
          <w:tcPr>
            <w:tcW w:w="4251" w:type="dxa"/>
            <w:tcBorders>
              <w:bottom w:val="single" w:sz="8" w:space="0" w:color="E8E8E8" w:themeColor="background2"/>
            </w:tcBorders>
          </w:tcPr>
          <w:p w14:paraId="11DD976E" w14:textId="676D247F"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Sampling and analysis </w:t>
            </w:r>
            <w:r>
              <w:rPr>
                <w:rFonts w:asciiTheme="minorHAnsi" w:hAnsiTheme="minorHAnsi"/>
                <w:sz w:val="22"/>
                <w:szCs w:val="22"/>
              </w:rPr>
              <w:t>must</w:t>
            </w:r>
            <w:r w:rsidRPr="009C0388">
              <w:rPr>
                <w:rFonts w:asciiTheme="minorHAnsi" w:hAnsiTheme="minorHAnsi"/>
                <w:sz w:val="22"/>
                <w:szCs w:val="22"/>
              </w:rPr>
              <w:t xml:space="preserve"> be undertaken using metering and calibration procedure specified in a relevant standard (refer sections </w:t>
            </w:r>
            <w:r w:rsidRPr="009C0388">
              <w:rPr>
                <w:rFonts w:asciiTheme="minorHAnsi" w:hAnsiTheme="minorHAnsi"/>
                <w:sz w:val="22"/>
                <w:szCs w:val="22"/>
              </w:rPr>
              <w:fldChar w:fldCharType="begin" w:fldLock="1"/>
            </w:r>
            <w:r w:rsidRPr="009C0388">
              <w:rPr>
                <w:rFonts w:asciiTheme="minorHAnsi" w:hAnsiTheme="minorHAnsi"/>
                <w:sz w:val="22"/>
                <w:szCs w:val="22"/>
              </w:rPr>
              <w:instrText xml:space="preserve"> REF _Ref511917503 \r \h </w:instrText>
            </w:r>
            <w:r>
              <w:rPr>
                <w:rFonts w:asciiTheme="minorHAnsi" w:hAnsiTheme="minorHAnsi"/>
                <w:sz w:val="22"/>
                <w:szCs w:val="22"/>
              </w:rPr>
              <w:instrText xml:space="preserve"> \* MERGEFORMAT </w:instrText>
            </w:r>
            <w:r w:rsidRPr="009C0388">
              <w:rPr>
                <w:rFonts w:asciiTheme="minorHAnsi" w:hAnsiTheme="minorHAnsi"/>
                <w:sz w:val="22"/>
                <w:szCs w:val="22"/>
              </w:rPr>
            </w:r>
            <w:r w:rsidRPr="009C0388">
              <w:rPr>
                <w:rFonts w:asciiTheme="minorHAnsi" w:hAnsiTheme="minorHAnsi"/>
                <w:sz w:val="22"/>
                <w:szCs w:val="22"/>
              </w:rPr>
              <w:fldChar w:fldCharType="separate"/>
            </w:r>
            <w:r>
              <w:rPr>
                <w:rFonts w:asciiTheme="minorHAnsi" w:hAnsiTheme="minorHAnsi"/>
                <w:sz w:val="22"/>
                <w:szCs w:val="22"/>
              </w:rPr>
              <w:t>4.3.1</w:t>
            </w:r>
            <w:r w:rsidRPr="009C0388">
              <w:rPr>
                <w:rFonts w:asciiTheme="minorHAnsi" w:hAnsiTheme="minorHAnsi"/>
                <w:sz w:val="22"/>
                <w:szCs w:val="22"/>
              </w:rPr>
              <w:fldChar w:fldCharType="end"/>
            </w:r>
            <w:r w:rsidRPr="009C0388">
              <w:rPr>
                <w:rFonts w:asciiTheme="minorHAnsi" w:hAnsiTheme="minorHAnsi"/>
                <w:sz w:val="22"/>
                <w:szCs w:val="22"/>
              </w:rPr>
              <w:t xml:space="preserve">, </w:t>
            </w:r>
            <w:r w:rsidRPr="009C0388">
              <w:rPr>
                <w:rFonts w:asciiTheme="minorHAnsi" w:hAnsiTheme="minorHAnsi"/>
                <w:sz w:val="22"/>
                <w:szCs w:val="22"/>
              </w:rPr>
              <w:fldChar w:fldCharType="begin" w:fldLock="1"/>
            </w:r>
            <w:r w:rsidRPr="009C0388">
              <w:rPr>
                <w:rFonts w:asciiTheme="minorHAnsi" w:hAnsiTheme="minorHAnsi"/>
                <w:sz w:val="22"/>
                <w:szCs w:val="22"/>
              </w:rPr>
              <w:instrText xml:space="preserve"> REF _Ref511917520 \r \h </w:instrText>
            </w:r>
            <w:r>
              <w:rPr>
                <w:rFonts w:asciiTheme="minorHAnsi" w:hAnsiTheme="minorHAnsi"/>
                <w:sz w:val="22"/>
                <w:szCs w:val="22"/>
              </w:rPr>
              <w:instrText xml:space="preserve"> \* MERGEFORMAT </w:instrText>
            </w:r>
            <w:r w:rsidRPr="009C0388">
              <w:rPr>
                <w:rFonts w:asciiTheme="minorHAnsi" w:hAnsiTheme="minorHAnsi"/>
                <w:sz w:val="22"/>
                <w:szCs w:val="22"/>
              </w:rPr>
            </w:r>
            <w:r w:rsidRPr="009C0388">
              <w:rPr>
                <w:rFonts w:asciiTheme="minorHAnsi" w:hAnsiTheme="minorHAnsi"/>
                <w:sz w:val="22"/>
                <w:szCs w:val="22"/>
              </w:rPr>
              <w:fldChar w:fldCharType="separate"/>
            </w:r>
            <w:r>
              <w:rPr>
                <w:rFonts w:asciiTheme="minorHAnsi" w:hAnsiTheme="minorHAnsi"/>
                <w:sz w:val="22"/>
                <w:szCs w:val="22"/>
              </w:rPr>
              <w:t>4.4.1</w:t>
            </w:r>
            <w:r w:rsidRPr="009C0388">
              <w:rPr>
                <w:rFonts w:asciiTheme="minorHAnsi" w:hAnsiTheme="minorHAnsi"/>
                <w:sz w:val="22"/>
                <w:szCs w:val="22"/>
              </w:rPr>
              <w:fldChar w:fldCharType="end"/>
            </w:r>
            <w:r w:rsidRPr="009C0388">
              <w:rPr>
                <w:rFonts w:asciiTheme="minorHAnsi" w:hAnsiTheme="minorHAnsi"/>
                <w:sz w:val="22"/>
                <w:szCs w:val="22"/>
              </w:rPr>
              <w:t xml:space="preserve">, and </w:t>
            </w:r>
            <w:r w:rsidRPr="009C0388">
              <w:rPr>
                <w:rFonts w:asciiTheme="minorHAnsi" w:hAnsiTheme="minorHAnsi"/>
                <w:sz w:val="22"/>
                <w:szCs w:val="22"/>
              </w:rPr>
              <w:fldChar w:fldCharType="begin" w:fldLock="1"/>
            </w:r>
            <w:r w:rsidRPr="009C0388">
              <w:rPr>
                <w:rFonts w:asciiTheme="minorHAnsi" w:hAnsiTheme="minorHAnsi"/>
                <w:sz w:val="22"/>
                <w:szCs w:val="22"/>
              </w:rPr>
              <w:instrText xml:space="preserve"> REF _Ref511917530 \r \h </w:instrText>
            </w:r>
            <w:r>
              <w:rPr>
                <w:rFonts w:asciiTheme="minorHAnsi" w:hAnsiTheme="minorHAnsi"/>
                <w:sz w:val="22"/>
                <w:szCs w:val="22"/>
              </w:rPr>
              <w:instrText xml:space="preserve"> \* MERGEFORMAT </w:instrText>
            </w:r>
            <w:r w:rsidRPr="009C0388">
              <w:rPr>
                <w:rFonts w:asciiTheme="minorHAnsi" w:hAnsiTheme="minorHAnsi"/>
                <w:sz w:val="22"/>
                <w:szCs w:val="22"/>
              </w:rPr>
            </w:r>
            <w:r w:rsidRPr="009C0388">
              <w:rPr>
                <w:rFonts w:asciiTheme="minorHAnsi" w:hAnsiTheme="minorHAnsi"/>
                <w:sz w:val="22"/>
                <w:szCs w:val="22"/>
              </w:rPr>
              <w:fldChar w:fldCharType="separate"/>
            </w:r>
            <w:r>
              <w:rPr>
                <w:rFonts w:asciiTheme="minorHAnsi" w:hAnsiTheme="minorHAnsi"/>
                <w:sz w:val="22"/>
                <w:szCs w:val="22"/>
              </w:rPr>
              <w:t>4.5.1</w:t>
            </w:r>
            <w:r w:rsidRPr="009C0388">
              <w:rPr>
                <w:rFonts w:asciiTheme="minorHAnsi" w:hAnsiTheme="minorHAnsi"/>
                <w:sz w:val="22"/>
                <w:szCs w:val="22"/>
              </w:rPr>
              <w:fldChar w:fldCharType="end"/>
            </w:r>
            <w:r w:rsidRPr="009C0388">
              <w:rPr>
                <w:rFonts w:asciiTheme="minorHAnsi" w:hAnsiTheme="minorHAnsi"/>
                <w:sz w:val="22"/>
                <w:szCs w:val="22"/>
              </w:rPr>
              <w:t xml:space="preserve"> of this guideline).</w:t>
            </w:r>
          </w:p>
          <w:p w14:paraId="7D070C4E"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highlight w:val="yellow"/>
              </w:rPr>
            </w:pPr>
            <w:r w:rsidRPr="009C0388">
              <w:rPr>
                <w:rFonts w:asciiTheme="minorHAnsi" w:hAnsiTheme="minorHAnsi"/>
                <w:sz w:val="22"/>
                <w:szCs w:val="22"/>
              </w:rPr>
              <w:t>This is typically the responsibility of the party completing the sampling and analysis</w:t>
            </w:r>
            <w:r>
              <w:rPr>
                <w:rFonts w:asciiTheme="minorHAnsi" w:hAnsiTheme="minorHAnsi"/>
                <w:sz w:val="22"/>
                <w:szCs w:val="22"/>
              </w:rPr>
              <w:t xml:space="preserve">, </w:t>
            </w:r>
            <w:r w:rsidRPr="009C0388">
              <w:rPr>
                <w:rFonts w:asciiTheme="minorHAnsi" w:hAnsiTheme="minorHAnsi"/>
                <w:sz w:val="22"/>
                <w:szCs w:val="22"/>
              </w:rPr>
              <w:t>either the reporting company or a contractor. However, NGER reporters remain accountable for ensuring that sampling and analysis is performed and documented according to the requirements – this responsibility cannot be delegated to a contractor, with the NGER reporter expected to have ready access to the documentation for compliant sampling and analysis.</w:t>
            </w:r>
          </w:p>
        </w:tc>
      </w:tr>
      <w:tr w:rsidR="0069532A" w:rsidRPr="00C64711" w14:paraId="1DEC04E8" w14:textId="77777777" w:rsidTr="00E04FAA">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val="restart"/>
            <w:tcBorders>
              <w:top w:val="single" w:sz="8" w:space="0" w:color="E8E8E8" w:themeColor="background2"/>
              <w:bottom w:val="single" w:sz="8" w:space="0" w:color="E8E8E8" w:themeColor="background2"/>
            </w:tcBorders>
          </w:tcPr>
          <w:p w14:paraId="7180C626" w14:textId="2D0C46DD" w:rsidR="00A57A5C" w:rsidRPr="00F61C7D" w:rsidRDefault="00A57A5C">
            <w:pPr>
              <w:pStyle w:val="Body"/>
              <w:ind w:left="0"/>
              <w:rPr>
                <w:rFonts w:asciiTheme="minorHAnsi" w:hAnsiTheme="minorHAnsi"/>
                <w:sz w:val="22"/>
                <w:szCs w:val="22"/>
              </w:rPr>
            </w:pPr>
            <w:r w:rsidRPr="004B02E0">
              <w:rPr>
                <w:rFonts w:asciiTheme="minorHAnsi" w:hAnsiTheme="minorHAnsi"/>
                <w:sz w:val="22"/>
                <w:szCs w:val="22"/>
              </w:rPr>
              <w:t>Direct measurement of emissions (</w:t>
            </w:r>
            <w:r w:rsidRPr="006046BA">
              <w:rPr>
                <w:rFonts w:asciiTheme="minorHAnsi" w:hAnsiTheme="minorHAnsi"/>
                <w:sz w:val="22"/>
                <w:szCs w:val="22"/>
              </w:rPr>
              <w:t xml:space="preserve">for example, where </w:t>
            </w:r>
            <w:r w:rsidR="0C728FC4" w:rsidRPr="1553680F">
              <w:rPr>
                <w:rFonts w:asciiTheme="minorHAnsi" w:hAnsiTheme="minorHAnsi"/>
                <w:sz w:val="22"/>
                <w:szCs w:val="22"/>
              </w:rPr>
              <w:t>M</w:t>
            </w:r>
            <w:r w:rsidRPr="006046BA">
              <w:rPr>
                <w:rFonts w:asciiTheme="minorHAnsi" w:hAnsiTheme="minorHAnsi"/>
                <w:sz w:val="22"/>
                <w:szCs w:val="22"/>
              </w:rPr>
              <w:t>ethod 4 is applied to estimate emissions)</w:t>
            </w:r>
          </w:p>
          <w:p w14:paraId="743EA4BA" w14:textId="77777777" w:rsidR="00A57A5C" w:rsidRPr="009C0388" w:rsidRDefault="00A57A5C">
            <w:pPr>
              <w:pStyle w:val="Body"/>
              <w:ind w:left="0"/>
              <w:rPr>
                <w:rFonts w:asciiTheme="minorHAnsi" w:hAnsiTheme="minorHAnsi"/>
                <w:sz w:val="22"/>
                <w:szCs w:val="22"/>
              </w:rPr>
            </w:pPr>
          </w:p>
        </w:tc>
        <w:tc>
          <w:tcPr>
            <w:tcW w:w="2692" w:type="dxa"/>
            <w:tcBorders>
              <w:top w:val="single" w:sz="8" w:space="0" w:color="E8E8E8" w:themeColor="background2"/>
              <w:bottom w:val="single" w:sz="8" w:space="0" w:color="E8E8E8" w:themeColor="background2"/>
            </w:tcBorders>
          </w:tcPr>
          <w:p w14:paraId="22425667" w14:textId="77777777"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CEM</w:t>
            </w:r>
          </w:p>
        </w:tc>
        <w:tc>
          <w:tcPr>
            <w:tcW w:w="4251" w:type="dxa"/>
            <w:tcBorders>
              <w:top w:val="single" w:sz="8" w:space="0" w:color="E8E8E8" w:themeColor="background2"/>
              <w:bottom w:val="single" w:sz="8" w:space="0" w:color="E8E8E8" w:themeColor="background2"/>
            </w:tcBorders>
          </w:tcPr>
          <w:p w14:paraId="65F9775F" w14:textId="58487A53"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Measurement of flow rates:</w:t>
            </w:r>
            <w:r w:rsidRPr="009C0388">
              <w:rPr>
                <w:rFonts w:asciiTheme="minorHAnsi" w:hAnsiTheme="minorHAnsi"/>
                <w:sz w:val="22"/>
                <w:szCs w:val="22"/>
              </w:rPr>
              <w:t xml:space="preserve"> </w:t>
            </w:r>
            <w:r>
              <w:rPr>
                <w:rFonts w:asciiTheme="minorHAnsi" w:hAnsiTheme="minorHAnsi"/>
                <w:sz w:val="22"/>
                <w:szCs w:val="22"/>
              </w:rPr>
              <w:t>a</w:t>
            </w:r>
            <w:r w:rsidRPr="009C0388">
              <w:rPr>
                <w:rFonts w:asciiTheme="minorHAnsi" w:hAnsiTheme="minorHAnsi"/>
                <w:sz w:val="22"/>
                <w:szCs w:val="22"/>
              </w:rPr>
              <w:t>n appropriate standard should be chosen and followed as set out in section 1.24</w:t>
            </w:r>
            <w:r w:rsidR="00F51142">
              <w:rPr>
                <w:rFonts w:asciiTheme="minorHAnsi" w:hAnsiTheme="minorHAnsi"/>
                <w:sz w:val="22"/>
                <w:szCs w:val="22"/>
              </w:rPr>
              <w:t xml:space="preserve"> of the NGER Measurement Determination</w:t>
            </w:r>
            <w:r w:rsidRPr="009C0388">
              <w:rPr>
                <w:rFonts w:asciiTheme="minorHAnsi" w:hAnsiTheme="minorHAnsi"/>
                <w:sz w:val="22"/>
                <w:szCs w:val="22"/>
              </w:rPr>
              <w:t>.</w:t>
            </w:r>
          </w:p>
          <w:p w14:paraId="2E655C11" w14:textId="7CC290B3"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Measurement of gas concentrations:</w:t>
            </w:r>
            <w:r w:rsidRPr="009C0388">
              <w:rPr>
                <w:rFonts w:asciiTheme="minorHAnsi" w:hAnsiTheme="minorHAnsi"/>
                <w:sz w:val="22"/>
                <w:szCs w:val="22"/>
              </w:rPr>
              <w:t xml:space="preserve"> </w:t>
            </w:r>
            <w:r>
              <w:rPr>
                <w:rFonts w:asciiTheme="minorHAnsi" w:hAnsiTheme="minorHAnsi"/>
                <w:sz w:val="22"/>
                <w:szCs w:val="22"/>
              </w:rPr>
              <w:t>a</w:t>
            </w:r>
            <w:r w:rsidRPr="009C0388">
              <w:rPr>
                <w:rFonts w:asciiTheme="minorHAnsi" w:hAnsiTheme="minorHAnsi"/>
                <w:sz w:val="22"/>
                <w:szCs w:val="22"/>
              </w:rPr>
              <w:t>n appropriate standard should be chosen and followed as set out in section 1.25</w:t>
            </w:r>
            <w:r w:rsidR="00F51142">
              <w:rPr>
                <w:rFonts w:asciiTheme="minorHAnsi" w:hAnsiTheme="minorHAnsi"/>
                <w:sz w:val="22"/>
                <w:szCs w:val="22"/>
              </w:rPr>
              <w:t xml:space="preserve"> of the NGER Measurement Determination</w:t>
            </w:r>
            <w:r w:rsidRPr="009C0388">
              <w:rPr>
                <w:rFonts w:asciiTheme="minorHAnsi" w:hAnsiTheme="minorHAnsi"/>
                <w:sz w:val="22"/>
                <w:szCs w:val="22"/>
              </w:rPr>
              <w:t>.</w:t>
            </w:r>
          </w:p>
          <w:p w14:paraId="0189C8E1" w14:textId="12CD5E20" w:rsidR="00A57A5C" w:rsidRPr="009C0388" w:rsidRDefault="00A57A5C">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Performance characteristics:</w:t>
            </w:r>
            <w:r w:rsidRPr="009C0388">
              <w:rPr>
                <w:rFonts w:asciiTheme="minorHAnsi" w:hAnsiTheme="minorHAnsi"/>
                <w:b/>
                <w:sz w:val="22"/>
                <w:szCs w:val="22"/>
              </w:rPr>
              <w:t xml:space="preserve"> </w:t>
            </w:r>
            <w:r>
              <w:rPr>
                <w:rFonts w:asciiTheme="minorHAnsi" w:hAnsiTheme="minorHAnsi"/>
                <w:sz w:val="22"/>
                <w:szCs w:val="22"/>
              </w:rPr>
              <w:t>t</w:t>
            </w:r>
            <w:r w:rsidRPr="009C0388">
              <w:rPr>
                <w:rFonts w:asciiTheme="minorHAnsi" w:hAnsiTheme="minorHAnsi"/>
                <w:sz w:val="22"/>
                <w:szCs w:val="22"/>
              </w:rPr>
              <w:t>he performance characteristics of CEM equipment should be measured in accordance with section 1.34</w:t>
            </w:r>
            <w:r w:rsidR="00F51142">
              <w:rPr>
                <w:rFonts w:asciiTheme="minorHAnsi" w:hAnsiTheme="minorHAnsi"/>
                <w:sz w:val="22"/>
                <w:szCs w:val="22"/>
              </w:rPr>
              <w:t xml:space="preserve"> of the NGER Measurement Determination</w:t>
            </w:r>
            <w:r w:rsidRPr="009C0388">
              <w:rPr>
                <w:rFonts w:asciiTheme="minorHAnsi" w:hAnsiTheme="minorHAnsi"/>
                <w:sz w:val="22"/>
                <w:szCs w:val="22"/>
              </w:rPr>
              <w:t>.</w:t>
            </w:r>
          </w:p>
        </w:tc>
      </w:tr>
      <w:tr w:rsidR="00864289" w:rsidRPr="00C64711" w14:paraId="635425BE" w14:textId="77777777" w:rsidTr="00E04FA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1" w:type="dxa"/>
            <w:vMerge/>
          </w:tcPr>
          <w:p w14:paraId="0284EF5C" w14:textId="77777777" w:rsidR="00A57A5C" w:rsidRPr="009C0388" w:rsidRDefault="00A57A5C">
            <w:pPr>
              <w:pStyle w:val="Body"/>
              <w:ind w:left="0"/>
              <w:rPr>
                <w:rFonts w:asciiTheme="minorHAnsi" w:hAnsiTheme="minorHAnsi"/>
                <w:sz w:val="22"/>
                <w:szCs w:val="22"/>
              </w:rPr>
            </w:pPr>
          </w:p>
        </w:tc>
        <w:tc>
          <w:tcPr>
            <w:tcW w:w="2692" w:type="dxa"/>
            <w:tcBorders>
              <w:top w:val="single" w:sz="8" w:space="0" w:color="E8E8E8" w:themeColor="background2"/>
              <w:bottom w:val="single" w:sz="4" w:space="0" w:color="FCBA5C" w:themeColor="accent2"/>
            </w:tcBorders>
          </w:tcPr>
          <w:p w14:paraId="40DF4871" w14:textId="77777777"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PEM</w:t>
            </w:r>
          </w:p>
        </w:tc>
        <w:tc>
          <w:tcPr>
            <w:tcW w:w="4251" w:type="dxa"/>
            <w:tcBorders>
              <w:top w:val="single" w:sz="8" w:space="0" w:color="E8E8E8" w:themeColor="background2"/>
              <w:bottom w:val="single" w:sz="4" w:space="0" w:color="FCBA5C" w:themeColor="accent2"/>
            </w:tcBorders>
          </w:tcPr>
          <w:p w14:paraId="50EAF919" w14:textId="20EC1823"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Measurement of flow rates:</w:t>
            </w:r>
            <w:r w:rsidRPr="009C0388">
              <w:rPr>
                <w:rFonts w:asciiTheme="minorHAnsi" w:hAnsiTheme="minorHAnsi"/>
                <w:sz w:val="22"/>
                <w:szCs w:val="22"/>
              </w:rPr>
              <w:t xml:space="preserve"> </w:t>
            </w:r>
            <w:r>
              <w:rPr>
                <w:rFonts w:asciiTheme="minorHAnsi" w:hAnsiTheme="minorHAnsi"/>
                <w:sz w:val="22"/>
                <w:szCs w:val="22"/>
              </w:rPr>
              <w:t>a</w:t>
            </w:r>
            <w:r w:rsidRPr="009C0388">
              <w:rPr>
                <w:rFonts w:asciiTheme="minorHAnsi" w:hAnsiTheme="minorHAnsi"/>
                <w:sz w:val="22"/>
                <w:szCs w:val="22"/>
              </w:rPr>
              <w:t>n appropriate standard should be chosen and followed as set out in section 1.31</w:t>
            </w:r>
            <w:r w:rsidR="00F51142">
              <w:rPr>
                <w:rFonts w:asciiTheme="minorHAnsi" w:hAnsiTheme="minorHAnsi"/>
                <w:sz w:val="22"/>
                <w:szCs w:val="22"/>
              </w:rPr>
              <w:t xml:space="preserve"> of the NGER Measurement Determination</w:t>
            </w:r>
            <w:r w:rsidRPr="009C0388">
              <w:rPr>
                <w:rFonts w:asciiTheme="minorHAnsi" w:hAnsiTheme="minorHAnsi"/>
                <w:sz w:val="22"/>
                <w:szCs w:val="22"/>
              </w:rPr>
              <w:t>.</w:t>
            </w:r>
          </w:p>
          <w:p w14:paraId="6163054D" w14:textId="098616ED"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FE31CC">
              <w:rPr>
                <w:rFonts w:asciiTheme="minorHAnsi" w:hAnsiTheme="minorHAnsi"/>
                <w:sz w:val="22"/>
                <w:szCs w:val="22"/>
              </w:rPr>
              <w:t>Measurement of gas concentrations:</w:t>
            </w:r>
            <w:r w:rsidRPr="009C0388">
              <w:rPr>
                <w:rFonts w:asciiTheme="minorHAnsi" w:hAnsiTheme="minorHAnsi"/>
                <w:sz w:val="22"/>
                <w:szCs w:val="22"/>
              </w:rPr>
              <w:t xml:space="preserve"> </w:t>
            </w:r>
            <w:r>
              <w:rPr>
                <w:rFonts w:asciiTheme="minorHAnsi" w:hAnsiTheme="minorHAnsi"/>
                <w:sz w:val="22"/>
                <w:szCs w:val="22"/>
              </w:rPr>
              <w:t>a</w:t>
            </w:r>
            <w:r w:rsidRPr="009C0388">
              <w:rPr>
                <w:rFonts w:asciiTheme="minorHAnsi" w:hAnsiTheme="minorHAnsi"/>
                <w:sz w:val="22"/>
                <w:szCs w:val="22"/>
              </w:rPr>
              <w:t>n appropriate standard should be chosen and followed as set out in section 1.32</w:t>
            </w:r>
            <w:r w:rsidR="00F51142">
              <w:rPr>
                <w:rFonts w:asciiTheme="minorHAnsi" w:hAnsiTheme="minorHAnsi"/>
                <w:sz w:val="22"/>
                <w:szCs w:val="22"/>
              </w:rPr>
              <w:t xml:space="preserve"> of the NGER Measurement Determination</w:t>
            </w:r>
            <w:r w:rsidRPr="009C0388">
              <w:rPr>
                <w:rFonts w:asciiTheme="minorHAnsi" w:hAnsiTheme="minorHAnsi"/>
                <w:sz w:val="22"/>
                <w:szCs w:val="22"/>
              </w:rPr>
              <w:t>.</w:t>
            </w:r>
          </w:p>
          <w:p w14:paraId="2ECF5748" w14:textId="775584F4" w:rsidR="00A57A5C" w:rsidRPr="009C0388" w:rsidRDefault="00A57A5C">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FE31CC">
              <w:rPr>
                <w:rFonts w:asciiTheme="minorHAnsi" w:hAnsiTheme="minorHAnsi"/>
                <w:sz w:val="22"/>
                <w:szCs w:val="22"/>
              </w:rPr>
              <w:t>Performance characteristics:</w:t>
            </w:r>
            <w:r w:rsidRPr="009C0388">
              <w:rPr>
                <w:rFonts w:asciiTheme="minorHAnsi" w:hAnsiTheme="minorHAnsi"/>
                <w:b/>
                <w:sz w:val="22"/>
                <w:szCs w:val="22"/>
              </w:rPr>
              <w:t xml:space="preserve"> </w:t>
            </w:r>
            <w:r>
              <w:rPr>
                <w:rFonts w:asciiTheme="minorHAnsi" w:hAnsiTheme="minorHAnsi"/>
                <w:sz w:val="22"/>
                <w:szCs w:val="22"/>
              </w:rPr>
              <w:t>t</w:t>
            </w:r>
            <w:r w:rsidRPr="009C0388">
              <w:rPr>
                <w:rFonts w:asciiTheme="minorHAnsi" w:hAnsiTheme="minorHAnsi"/>
                <w:sz w:val="22"/>
                <w:szCs w:val="22"/>
              </w:rPr>
              <w:t>he performance characteristics of PEM equipment should be measured in accordance with section 1.34</w:t>
            </w:r>
            <w:r w:rsidR="00F51142">
              <w:rPr>
                <w:rFonts w:asciiTheme="minorHAnsi" w:hAnsiTheme="minorHAnsi"/>
                <w:sz w:val="22"/>
                <w:szCs w:val="22"/>
              </w:rPr>
              <w:t xml:space="preserve"> of the NGER Measurement Determination</w:t>
            </w:r>
            <w:r w:rsidRPr="009C0388">
              <w:rPr>
                <w:rFonts w:asciiTheme="minorHAnsi" w:hAnsiTheme="minorHAnsi"/>
                <w:sz w:val="22"/>
                <w:szCs w:val="22"/>
              </w:rPr>
              <w:t>.</w:t>
            </w:r>
          </w:p>
        </w:tc>
      </w:tr>
    </w:tbl>
    <w:p w14:paraId="2E38D9E5" w14:textId="77777777" w:rsidR="00A57A5C" w:rsidRPr="00FF338C" w:rsidRDefault="00A57A5C" w:rsidP="00DB4B56">
      <w:pPr>
        <w:pStyle w:val="Heading2"/>
        <w:numPr>
          <w:ilvl w:val="1"/>
          <w:numId w:val="3"/>
        </w:numPr>
        <w:ind w:left="426" w:hanging="426"/>
      </w:pPr>
      <w:bookmarkStart w:id="551" w:name="_Toc511376927"/>
      <w:bookmarkStart w:id="552" w:name="_Toc511388524"/>
      <w:bookmarkStart w:id="553" w:name="_Toc511389446"/>
      <w:bookmarkStart w:id="554" w:name="_Toc511392955"/>
      <w:bookmarkStart w:id="555" w:name="_Ref511659535"/>
      <w:bookmarkStart w:id="556" w:name="_Toc511732485"/>
      <w:bookmarkStart w:id="557" w:name="_Toc513555292"/>
      <w:bookmarkStart w:id="558" w:name="_Toc106705777"/>
      <w:bookmarkStart w:id="559" w:name="_Toc235706370"/>
      <w:r w:rsidRPr="00FF338C">
        <w:t>Industry practice</w:t>
      </w:r>
      <w:bookmarkEnd w:id="551"/>
      <w:bookmarkEnd w:id="552"/>
      <w:bookmarkEnd w:id="553"/>
      <w:bookmarkEnd w:id="554"/>
      <w:bookmarkEnd w:id="555"/>
      <w:bookmarkEnd w:id="556"/>
      <w:r w:rsidRPr="00FF338C">
        <w:t xml:space="preserve"> (measurement criterion BBB)</w:t>
      </w:r>
      <w:bookmarkEnd w:id="557"/>
      <w:bookmarkEnd w:id="558"/>
      <w:bookmarkEnd w:id="559"/>
    </w:p>
    <w:p w14:paraId="560BE0EF" w14:textId="3BE5D15A" w:rsidR="00A57A5C" w:rsidRPr="00FF338C" w:rsidRDefault="00A57A5C" w:rsidP="00A57A5C">
      <w:pPr>
        <w:rPr>
          <w:color w:val="auto"/>
        </w:rPr>
      </w:pPr>
      <w:r>
        <w:rPr>
          <w:color w:val="auto"/>
        </w:rPr>
        <w:t>Measurement criterion BBB in the NGER Measurement Determination provides for use of industry practice for measurement of quantities of fuels</w:t>
      </w:r>
      <w:r w:rsidRPr="00FF338C">
        <w:rPr>
          <w:color w:val="auto"/>
        </w:rPr>
        <w:t xml:space="preserve"> when measurement equipment does not meet the requirements of criterion AAA. The use of industry practice is also permitted for the estimation of the amount of </w:t>
      </w:r>
      <w:r w:rsidR="000631CF">
        <w:rPr>
          <w:color w:val="auto"/>
        </w:rPr>
        <w:t>fuel</w:t>
      </w:r>
      <w:r w:rsidRPr="00FF338C">
        <w:rPr>
          <w:color w:val="auto"/>
        </w:rPr>
        <w:t xml:space="preserve"> consumed from the operation of a facility in certain circumstances. </w:t>
      </w:r>
    </w:p>
    <w:p w14:paraId="20C11A40" w14:textId="43563A8E" w:rsidR="00A57A5C" w:rsidRPr="00FF338C" w:rsidRDefault="00A57A5C" w:rsidP="00A57A5C">
      <w:pPr>
        <w:rPr>
          <w:color w:val="auto"/>
        </w:rPr>
      </w:pPr>
      <w:r w:rsidRPr="00FF338C">
        <w:rPr>
          <w:color w:val="auto"/>
        </w:rPr>
        <w:t>Industry practice is not defined in the NGER legislation.</w:t>
      </w:r>
      <w:r w:rsidR="00494FFC">
        <w:rPr>
          <w:color w:val="auto"/>
        </w:rPr>
        <w:t xml:space="preserve"> The</w:t>
      </w:r>
      <w:r>
        <w:rPr>
          <w:color w:val="auto"/>
        </w:rPr>
        <w:t xml:space="preserve"> </w:t>
      </w:r>
      <w:r w:rsidR="4DBD2BCD" w:rsidRPr="50093466">
        <w:rPr>
          <w:color w:val="auto"/>
        </w:rPr>
        <w:t>CER</w:t>
      </w:r>
      <w:r>
        <w:rPr>
          <w:color w:val="auto"/>
        </w:rPr>
        <w:t xml:space="preserve"> requires that use of industry practice and measurement criterion BBB</w:t>
      </w:r>
      <w:r w:rsidRPr="00FF338C">
        <w:rPr>
          <w:color w:val="auto"/>
        </w:rPr>
        <w:t xml:space="preserve"> </w:t>
      </w:r>
      <w:r>
        <w:rPr>
          <w:color w:val="auto"/>
        </w:rPr>
        <w:t xml:space="preserve">includes </w:t>
      </w:r>
      <w:r>
        <w:t>application</w:t>
      </w:r>
      <w:r w:rsidRPr="00FF338C">
        <w:t xml:space="preserve"> of the general principles in section 1.13 of the </w:t>
      </w:r>
      <w:r>
        <w:t>NGER Measurement Determination - that is,</w:t>
      </w:r>
      <w:r w:rsidRPr="00FF338C">
        <w:t xml:space="preserve"> transparency, comparability, accuracy and completeness </w:t>
      </w:r>
      <w:r w:rsidRPr="00FF338C">
        <w:rPr>
          <w:color w:val="auto"/>
        </w:rPr>
        <w:t xml:space="preserve">when making estimates </w:t>
      </w:r>
      <w:r>
        <w:rPr>
          <w:color w:val="auto"/>
        </w:rPr>
        <w:t>of quantities of fuel</w:t>
      </w:r>
      <w:r w:rsidRPr="00FF338C">
        <w:rPr>
          <w:color w:val="auto"/>
        </w:rPr>
        <w:t>. For example, this may include:</w:t>
      </w:r>
    </w:p>
    <w:p w14:paraId="2B18D288" w14:textId="77777777" w:rsidR="00A57A5C" w:rsidRPr="00FF338C" w:rsidRDefault="00A57A5C" w:rsidP="00B3330E">
      <w:pPr>
        <w:numPr>
          <w:ilvl w:val="0"/>
          <w:numId w:val="1"/>
        </w:numPr>
        <w:spacing w:before="120" w:after="120"/>
      </w:pPr>
      <w:r w:rsidRPr="00FF338C">
        <w:t>where meters are used</w:t>
      </w:r>
      <w:r>
        <w:t xml:space="preserve"> and</w:t>
      </w:r>
      <w:r w:rsidRPr="00FF338C">
        <w:t>:</w:t>
      </w:r>
    </w:p>
    <w:p w14:paraId="7251779B" w14:textId="7E3CE487" w:rsidR="00A57A5C" w:rsidRPr="00FF338C" w:rsidRDefault="00A57A5C" w:rsidP="00BE117F">
      <w:pPr>
        <w:pStyle w:val="CERbullets"/>
        <w:numPr>
          <w:ilvl w:val="1"/>
          <w:numId w:val="1"/>
        </w:numPr>
      </w:pPr>
      <w:r>
        <w:t>m</w:t>
      </w:r>
      <w:r w:rsidRPr="00FF338C">
        <w:t>anufacturer’s standards are available, meters are calibrated at the standard stipulated by the manufacturer</w:t>
      </w:r>
    </w:p>
    <w:p w14:paraId="3A666B19" w14:textId="5FE24660" w:rsidR="00A57A5C" w:rsidRPr="00FF338C" w:rsidRDefault="00A57A5C" w:rsidP="00BE117F">
      <w:pPr>
        <w:pStyle w:val="CERbullets"/>
        <w:numPr>
          <w:ilvl w:val="1"/>
          <w:numId w:val="1"/>
        </w:numPr>
      </w:pPr>
      <w:r>
        <w:t>m</w:t>
      </w:r>
      <w:r w:rsidRPr="00FF338C">
        <w:t xml:space="preserve">anufacturer’s standards are </w:t>
      </w:r>
      <w:proofErr w:type="gramStart"/>
      <w:r w:rsidRPr="00FF338C">
        <w:t>unavailable,</w:t>
      </w:r>
      <w:proofErr w:type="gramEnd"/>
      <w:r w:rsidRPr="00FF338C">
        <w:t xml:space="preserve"> a risk assessment</w:t>
      </w:r>
      <w:r>
        <w:t xml:space="preserve"> must be undertaken </w:t>
      </w:r>
      <w:r w:rsidRPr="00FF338C">
        <w:t>and documented</w:t>
      </w:r>
      <w:r>
        <w:t xml:space="preserve"> to demonstrate that measurement uncertainty has been minimised or would not significantly affect the measured amount</w:t>
      </w:r>
    </w:p>
    <w:p w14:paraId="0627663E" w14:textId="0F36E49F" w:rsidR="00A57A5C" w:rsidRPr="00FF338C" w:rsidRDefault="00A57A5C" w:rsidP="00B3330E">
      <w:pPr>
        <w:numPr>
          <w:ilvl w:val="0"/>
          <w:numId w:val="1"/>
        </w:numPr>
        <w:spacing w:before="120" w:after="120"/>
      </w:pPr>
      <w:r w:rsidRPr="00FF338C">
        <w:t>appropriate corrections for temperature and pressure where required</w:t>
      </w:r>
    </w:p>
    <w:p w14:paraId="308A08EE" w14:textId="77777777" w:rsidR="00A57A5C" w:rsidRPr="00FF338C" w:rsidRDefault="00A57A5C" w:rsidP="00B3330E">
      <w:pPr>
        <w:numPr>
          <w:ilvl w:val="0"/>
          <w:numId w:val="1"/>
        </w:numPr>
        <w:spacing w:before="120" w:after="120"/>
      </w:pPr>
      <w:r w:rsidRPr="00FF338C">
        <w:t>assumptions inherent or applied to the measured data are clarified and documented – for example, set densities or gas composition, are updated at a frequency which ensures that these assumptions are representative of the fuel being measured during the reporting period.</w:t>
      </w:r>
    </w:p>
    <w:p w14:paraId="3A8552FA" w14:textId="1AF60695" w:rsidR="00A57A5C" w:rsidRPr="00FF338C" w:rsidRDefault="4710B882" w:rsidP="00A57A5C">
      <w:pPr>
        <w:spacing w:before="120" w:after="120"/>
        <w:ind w:left="357" w:hanging="357"/>
        <w:rPr>
          <w:color w:val="auto"/>
        </w:rPr>
      </w:pPr>
      <w:r w:rsidRPr="3D3026D2">
        <w:rPr>
          <w:color w:val="auto"/>
        </w:rPr>
        <w:t>CER</w:t>
      </w:r>
      <w:r w:rsidR="00A57A5C" w:rsidRPr="00FF338C">
        <w:rPr>
          <w:color w:val="auto"/>
        </w:rPr>
        <w:t xml:space="preserve"> does not consider industry practice to include:</w:t>
      </w:r>
    </w:p>
    <w:p w14:paraId="27CD035C" w14:textId="77777777" w:rsidR="00A57A5C" w:rsidRPr="00FF338C" w:rsidRDefault="00A57A5C" w:rsidP="00B3330E">
      <w:pPr>
        <w:numPr>
          <w:ilvl w:val="0"/>
          <w:numId w:val="1"/>
        </w:numPr>
        <w:spacing w:before="120" w:after="120"/>
      </w:pPr>
      <w:r w:rsidRPr="00FF338C">
        <w:t>estimates of quantities based on unrepresentative historic facility data</w:t>
      </w:r>
    </w:p>
    <w:p w14:paraId="7F069F48" w14:textId="77777777" w:rsidR="00A57A5C" w:rsidRPr="00FF338C" w:rsidRDefault="00A57A5C" w:rsidP="00B3330E">
      <w:pPr>
        <w:numPr>
          <w:ilvl w:val="0"/>
          <w:numId w:val="1"/>
        </w:numPr>
        <w:spacing w:before="120" w:after="120"/>
      </w:pPr>
      <w:r w:rsidRPr="00FF338C">
        <w:t>estimates of quantities based on unrepresentative industry data.</w:t>
      </w:r>
    </w:p>
    <w:p w14:paraId="3C199C92" w14:textId="77777777" w:rsidR="00A57A5C" w:rsidRPr="00FF338C" w:rsidRDefault="00A57A5C" w:rsidP="00A57A5C">
      <w:pPr>
        <w:pStyle w:val="Heading4"/>
        <w:rPr>
          <w:rFonts w:eastAsiaTheme="majorEastAsia"/>
        </w:rPr>
      </w:pPr>
      <w:bookmarkStart w:id="560" w:name="_Toc526867737"/>
      <w:bookmarkStart w:id="561" w:name="_Toc526869779"/>
      <w:bookmarkStart w:id="562" w:name="_Toc235706371"/>
      <w:r w:rsidRPr="00FF338C">
        <w:rPr>
          <w:rFonts w:eastAsiaTheme="majorEastAsia"/>
        </w:rPr>
        <w:lastRenderedPageBreak/>
        <w:t>Measuring fuel consumption based on electricity production</w:t>
      </w:r>
      <w:bookmarkEnd w:id="560"/>
      <w:bookmarkEnd w:id="561"/>
      <w:bookmarkEnd w:id="562"/>
    </w:p>
    <w:p w14:paraId="3D9859FE" w14:textId="77777777" w:rsidR="00A57A5C" w:rsidRPr="00FF338C" w:rsidRDefault="00A57A5C" w:rsidP="00A57A5C">
      <w:pPr>
        <w:spacing w:before="120" w:after="120"/>
        <w:rPr>
          <w:color w:val="auto"/>
        </w:rPr>
      </w:pPr>
      <w:r w:rsidRPr="00FF338C">
        <w:rPr>
          <w:color w:val="auto"/>
        </w:rPr>
        <w:t>If fuel combusted to produce electricity is acquired without a commercial transaction, and no reliable metering of the fuel combusted exists, a back-calculation methodology based on measured electricity production is acceptable.</w:t>
      </w:r>
    </w:p>
    <w:p w14:paraId="18C12DA8" w14:textId="77777777" w:rsidR="00A57A5C" w:rsidRPr="00FF338C" w:rsidRDefault="00A57A5C" w:rsidP="00A57A5C">
      <w:pPr>
        <w:spacing w:before="120" w:after="120"/>
        <w:rPr>
          <w:color w:val="auto"/>
        </w:rPr>
      </w:pPr>
      <w:r w:rsidRPr="00FF338C">
        <w:rPr>
          <w:color w:val="auto"/>
        </w:rPr>
        <w:t xml:space="preserve">For example, if natural gas is combusted to generate electricity, the amount of gas combusted may be </w:t>
      </w:r>
      <w:proofErr w:type="gramStart"/>
      <w:r w:rsidRPr="00FF338C">
        <w:rPr>
          <w:color w:val="auto"/>
        </w:rPr>
        <w:t>back-calculated</w:t>
      </w:r>
      <w:proofErr w:type="gramEnd"/>
      <w:r w:rsidRPr="00FF338C">
        <w:rPr>
          <w:color w:val="auto"/>
        </w:rPr>
        <w:t xml:space="preserve"> using the amount of electricity produced, an engine electricity efficiency (for example, manufacturer’s specification) and the energy content of the natural gas.</w:t>
      </w:r>
    </w:p>
    <w:p w14:paraId="46014B57" w14:textId="77777777" w:rsidR="00A57A5C" w:rsidRPr="00FF338C" w:rsidRDefault="00A57A5C" w:rsidP="00DB4B56">
      <w:pPr>
        <w:pStyle w:val="Heading2"/>
        <w:numPr>
          <w:ilvl w:val="1"/>
          <w:numId w:val="3"/>
        </w:numPr>
        <w:ind w:left="426" w:hanging="426"/>
      </w:pPr>
      <w:bookmarkStart w:id="563" w:name="_Toc512010426"/>
      <w:bookmarkStart w:id="564" w:name="_Toc512339626"/>
      <w:bookmarkStart w:id="565" w:name="_Toc106705778"/>
      <w:bookmarkStart w:id="566" w:name="_Toc235706372"/>
      <w:r w:rsidRPr="00FF338C">
        <w:t>Temporarily unavailability</w:t>
      </w:r>
      <w:bookmarkEnd w:id="563"/>
      <w:bookmarkEnd w:id="564"/>
      <w:r w:rsidRPr="00FF338C">
        <w:t xml:space="preserve"> of a method of estimating emissions</w:t>
      </w:r>
      <w:bookmarkEnd w:id="565"/>
      <w:bookmarkEnd w:id="566"/>
    </w:p>
    <w:p w14:paraId="3AB4231F" w14:textId="77777777" w:rsidR="00A57A5C" w:rsidRPr="00FF338C" w:rsidRDefault="00A57A5C" w:rsidP="00A57A5C">
      <w:r w:rsidRPr="00FF338C">
        <w:t>Reporters</w:t>
      </w:r>
      <w:r w:rsidRPr="00FF338C" w:rsidDel="008B66D1">
        <w:t xml:space="preserve"> </w:t>
      </w:r>
      <w:r>
        <w:t>must</w:t>
      </w:r>
      <w:r w:rsidRPr="00FF338C">
        <w:t xml:space="preserve"> observe the requirements in section 1.19 of the </w:t>
      </w:r>
      <w:r>
        <w:t>NGER Measurement Determination</w:t>
      </w:r>
      <w:r w:rsidRPr="00FF338C">
        <w:t xml:space="preserve"> with respect to down time of equipment to monitor fuels and emissions:</w:t>
      </w:r>
    </w:p>
    <w:p w14:paraId="2BB41FEC" w14:textId="20698416" w:rsidR="00A57A5C" w:rsidRPr="00FF338C" w:rsidRDefault="00895ACC" w:rsidP="00B3330E">
      <w:pPr>
        <w:numPr>
          <w:ilvl w:val="0"/>
          <w:numId w:val="1"/>
        </w:numPr>
        <w:spacing w:before="120" w:after="120"/>
      </w:pPr>
      <w:r>
        <w:t>i</w:t>
      </w:r>
      <w:r w:rsidR="00A57A5C">
        <w:t>f</w:t>
      </w:r>
      <w:r w:rsidR="00A57A5C" w:rsidRPr="00FF338C">
        <w:t xml:space="preserve"> the down time in a </w:t>
      </w:r>
      <w:r w:rsidR="000639AD">
        <w:t xml:space="preserve">reporting </w:t>
      </w:r>
      <w:r w:rsidR="00A57A5C" w:rsidRPr="00FF338C">
        <w:t xml:space="preserve">year is </w:t>
      </w:r>
      <w:r w:rsidR="00B44434">
        <w:t>6</w:t>
      </w:r>
      <w:r w:rsidR="00A57A5C" w:rsidRPr="00FF338C">
        <w:t xml:space="preserve"> weeks (42 days) or less, each day of the down time can be estimated consistent with the principles of section 1.13 of the </w:t>
      </w:r>
      <w:r w:rsidR="00A57A5C">
        <w:t>NGER Measurement Determination</w:t>
      </w:r>
      <w:r w:rsidR="00A57A5C" w:rsidRPr="00FF338C">
        <w:t xml:space="preserve"> </w:t>
      </w:r>
    </w:p>
    <w:p w14:paraId="38397B66" w14:textId="3DAD816F" w:rsidR="00A57A5C" w:rsidRPr="00FF338C" w:rsidRDefault="00895ACC" w:rsidP="00B3330E">
      <w:pPr>
        <w:numPr>
          <w:ilvl w:val="0"/>
          <w:numId w:val="1"/>
        </w:numPr>
        <w:spacing w:before="120" w:after="120"/>
      </w:pPr>
      <w:r>
        <w:t>i</w:t>
      </w:r>
      <w:r w:rsidR="00A57A5C">
        <w:t xml:space="preserve">f the down time exceeds </w:t>
      </w:r>
      <w:r w:rsidR="00B44434">
        <w:t>6</w:t>
      </w:r>
      <w:r w:rsidR="00A57A5C">
        <w:t xml:space="preserve"> weeks in a </w:t>
      </w:r>
      <w:r w:rsidR="007B6B6C">
        <w:t xml:space="preserve">reporting </w:t>
      </w:r>
      <w:r w:rsidR="00A57A5C">
        <w:t xml:space="preserve">year, and within </w:t>
      </w:r>
      <w:r w:rsidR="00B44434">
        <w:t>6</w:t>
      </w:r>
      <w:r w:rsidR="00A57A5C">
        <w:t xml:space="preserve"> weeks after the day when down time exceeds </w:t>
      </w:r>
      <w:r w:rsidR="00B44434">
        <w:t>6</w:t>
      </w:r>
      <w:r w:rsidR="00A57A5C">
        <w:t xml:space="preserve"> weeks, the registered controlling corporation or responsible emitter must inform</w:t>
      </w:r>
      <w:r w:rsidR="00494FFC">
        <w:t xml:space="preserve"> the</w:t>
      </w:r>
      <w:r w:rsidR="00A57A5C">
        <w:t xml:space="preserve"> </w:t>
      </w:r>
      <w:r w:rsidR="77458C21">
        <w:t>CER</w:t>
      </w:r>
      <w:r w:rsidR="00A57A5C">
        <w:t xml:space="preserve"> in writing of the following: </w:t>
      </w:r>
    </w:p>
    <w:p w14:paraId="103FC9A8" w14:textId="1C6A7E06" w:rsidR="00A57A5C" w:rsidRPr="00FF338C" w:rsidRDefault="00A57A5C" w:rsidP="00B3330E">
      <w:pPr>
        <w:pStyle w:val="CERbullets"/>
        <w:numPr>
          <w:ilvl w:val="1"/>
          <w:numId w:val="1"/>
        </w:numPr>
      </w:pPr>
      <w:r w:rsidRPr="00FF338C">
        <w:t xml:space="preserve">the reason why down time is more than </w:t>
      </w:r>
      <w:r w:rsidR="00B44434">
        <w:t>6</w:t>
      </w:r>
      <w:r w:rsidRPr="00FF338C">
        <w:t xml:space="preserve"> weeks</w:t>
      </w:r>
    </w:p>
    <w:p w14:paraId="7A27DE16" w14:textId="50B9C2C9" w:rsidR="00A57A5C" w:rsidRPr="00FF338C" w:rsidRDefault="00A57A5C" w:rsidP="00B3330E">
      <w:pPr>
        <w:pStyle w:val="CERbullets"/>
        <w:numPr>
          <w:ilvl w:val="1"/>
          <w:numId w:val="1"/>
        </w:numPr>
      </w:pPr>
      <w:r w:rsidRPr="00FF338C">
        <w:t>how the corporation or entity plans to minimise down time</w:t>
      </w:r>
    </w:p>
    <w:p w14:paraId="667FEAB3" w14:textId="5AC8B8E0" w:rsidR="00A57A5C" w:rsidRPr="00FF338C" w:rsidRDefault="00A57A5C" w:rsidP="00B3330E">
      <w:pPr>
        <w:pStyle w:val="CERbullets"/>
        <w:numPr>
          <w:ilvl w:val="1"/>
          <w:numId w:val="1"/>
        </w:numPr>
      </w:pPr>
      <w:r w:rsidRPr="00FF338C">
        <w:t>how emissions have been estimated during the down time.</w:t>
      </w:r>
    </w:p>
    <w:p w14:paraId="545BC6D8" w14:textId="43D2AC58" w:rsidR="00A57A5C" w:rsidRPr="00FF338C" w:rsidRDefault="00A57A5C" w:rsidP="00D2141E">
      <w:pPr>
        <w:spacing w:before="240"/>
      </w:pPr>
      <w:r w:rsidRPr="00FF338C">
        <w:t xml:space="preserve">This ‘down time’ requirement is applicable to all emissions sources. It is of </w:t>
      </w:r>
      <w:r w:rsidR="00F8685D" w:rsidRPr="00FF338C">
        <w:t>relevance</w:t>
      </w:r>
      <w:r w:rsidRPr="00FF338C">
        <w:t xml:space="preserve"> to thermal power stations conducting continuous monitoring of fuel quantities (for example, flow meters or </w:t>
      </w:r>
      <w:proofErr w:type="spellStart"/>
      <w:r w:rsidRPr="00FF338C">
        <w:t>weightometers</w:t>
      </w:r>
      <w:proofErr w:type="spellEnd"/>
      <w:r w:rsidRPr="00FF338C">
        <w:t xml:space="preserve"> under </w:t>
      </w:r>
      <w:r w:rsidR="7D6289E0">
        <w:t>M</w:t>
      </w:r>
      <w:r w:rsidRPr="00FF338C">
        <w:t xml:space="preserve">ethods 1, 2 and 3) and composition under </w:t>
      </w:r>
      <w:r w:rsidR="5123FCAC">
        <w:t>M</w:t>
      </w:r>
      <w:r w:rsidRPr="00FF338C">
        <w:t>ethod 2 or 3.</w:t>
      </w:r>
    </w:p>
    <w:p w14:paraId="5FE822EF" w14:textId="57B4A7E7" w:rsidR="00A57A5C" w:rsidRPr="00FF338C" w:rsidRDefault="00706556" w:rsidP="00A57A5C">
      <w:r>
        <w:t>T</w:t>
      </w:r>
      <w:r w:rsidR="00A57A5C" w:rsidRPr="00FF338C">
        <w:t xml:space="preserve">his is also relevant to the use of CEM and PEM under NGER </w:t>
      </w:r>
      <w:r w:rsidR="6DAAD879">
        <w:t>M</w:t>
      </w:r>
      <w:r w:rsidR="00A57A5C" w:rsidRPr="00FF338C">
        <w:t xml:space="preserve">ethod 4. Note that for this to be applicable to CEM, the down time cannot exceed </w:t>
      </w:r>
      <w:r w:rsidR="00A57A5C">
        <w:t>10%</w:t>
      </w:r>
      <w:r w:rsidR="00A57A5C" w:rsidRPr="00FF338C">
        <w:t xml:space="preserve"> of the </w:t>
      </w:r>
      <w:r w:rsidR="00C81A92">
        <w:t xml:space="preserve">reporting </w:t>
      </w:r>
      <w:r w:rsidR="00A57A5C" w:rsidRPr="00FF338C">
        <w:t xml:space="preserve">year (36.5 or 36.6 days) – </w:t>
      </w:r>
      <w:r w:rsidR="00A57A5C">
        <w:t>for example,</w:t>
      </w:r>
      <w:r w:rsidR="00A57A5C" w:rsidRPr="00FF338C">
        <w:t xml:space="preserve"> maximum </w:t>
      </w:r>
      <w:r w:rsidR="001848D4">
        <w:t>5</w:t>
      </w:r>
      <w:r w:rsidR="00A57A5C" w:rsidRPr="00FF338C">
        <w:t xml:space="preserve"> weeks and one day (excluding down time for calibration), per subsection 1.26(4). For PEM, if monthly emissions monitoring is applied, only one measurement period can be missed. </w:t>
      </w:r>
    </w:p>
    <w:p w14:paraId="67911C30" w14:textId="77777777" w:rsidR="00A57A5C" w:rsidRPr="00FF338C" w:rsidRDefault="00A57A5C" w:rsidP="00A57A5C"/>
    <w:p w14:paraId="44F356D2" w14:textId="7C632EC8" w:rsidR="00A57A5C" w:rsidRPr="00FF338C" w:rsidRDefault="00A57A5C" w:rsidP="00A57A5C">
      <w:pPr>
        <w:spacing w:after="0"/>
        <w:rPr>
          <w:rFonts w:eastAsia="Times New Roman"/>
          <w:b/>
          <w:bCs/>
          <w:color w:val="005874"/>
          <w:sz w:val="30"/>
          <w:szCs w:val="26"/>
        </w:rPr>
      </w:pPr>
    </w:p>
    <w:p w14:paraId="705553C3" w14:textId="77777777" w:rsidR="00C81A92" w:rsidRDefault="00C81A92">
      <w:pPr>
        <w:spacing w:after="0"/>
        <w:rPr>
          <w:rFonts w:ascii="Calibri" w:eastAsia="Times New Roman" w:hAnsi="Calibri" w:cs="Calibri"/>
          <w:b/>
          <w:bCs/>
          <w:kern w:val="32"/>
          <w:sz w:val="40"/>
          <w:lang w:val="en-GB"/>
        </w:rPr>
      </w:pPr>
      <w:bookmarkStart w:id="567" w:name="_Toc511115545"/>
      <w:bookmarkStart w:id="568" w:name="_Toc506277360"/>
      <w:bookmarkStart w:id="569" w:name="_Toc512010427"/>
      <w:bookmarkStart w:id="570" w:name="_Toc512339627"/>
      <w:bookmarkStart w:id="571" w:name="_Toc106705779"/>
      <w:r>
        <w:rPr>
          <w:lang w:val="en-GB"/>
        </w:rPr>
        <w:br w:type="page"/>
      </w:r>
    </w:p>
    <w:p w14:paraId="46569A05" w14:textId="77777777" w:rsidR="00A57A5C" w:rsidRPr="00FF338C" w:rsidRDefault="00A57A5C" w:rsidP="00B3330E">
      <w:pPr>
        <w:pStyle w:val="Heading1"/>
        <w:numPr>
          <w:ilvl w:val="0"/>
          <w:numId w:val="3"/>
        </w:numPr>
        <w:rPr>
          <w:lang w:val="en-GB"/>
        </w:rPr>
      </w:pPr>
      <w:bookmarkStart w:id="572" w:name="_Toc235706373"/>
      <w:r>
        <w:rPr>
          <w:lang w:val="en-GB"/>
        </w:rPr>
        <w:lastRenderedPageBreak/>
        <w:t>More</w:t>
      </w:r>
      <w:r w:rsidRPr="00FF338C">
        <w:rPr>
          <w:lang w:val="en-GB"/>
        </w:rPr>
        <w:t xml:space="preserve"> information</w:t>
      </w:r>
      <w:bookmarkEnd w:id="567"/>
      <w:r w:rsidRPr="00FF338C">
        <w:rPr>
          <w:lang w:val="en-GB"/>
        </w:rPr>
        <w:t xml:space="preserve"> </w:t>
      </w:r>
      <w:bookmarkEnd w:id="568"/>
      <w:r w:rsidRPr="00FF338C">
        <w:rPr>
          <w:lang w:val="en-GB"/>
        </w:rPr>
        <w:t>and references</w:t>
      </w:r>
      <w:bookmarkEnd w:id="569"/>
      <w:bookmarkEnd w:id="570"/>
      <w:bookmarkEnd w:id="571"/>
      <w:bookmarkEnd w:id="572"/>
    </w:p>
    <w:p w14:paraId="035F8298" w14:textId="2335FA4A" w:rsidR="00A57A5C" w:rsidRPr="00FF338C" w:rsidRDefault="3A5FD932" w:rsidP="006D1341">
      <w:pPr>
        <w:spacing w:before="240"/>
      </w:pPr>
      <w:r>
        <w:t>CER</w:t>
      </w:r>
      <w:r w:rsidR="00A57A5C" w:rsidRPr="00FF338C">
        <w:t xml:space="preserve"> has developed this guideline for use by the electricity sector to assist in the consistent accounting and reporting of greenhouse gas emissions, energy consumption and energy production in accordance with the NGER legislation.</w:t>
      </w:r>
    </w:p>
    <w:p w14:paraId="0221AD5B" w14:textId="77777777" w:rsidR="00A57A5C" w:rsidRPr="00FF338C" w:rsidRDefault="00A57A5C" w:rsidP="00A57A5C">
      <w:pPr>
        <w:pStyle w:val="Heading2"/>
      </w:pPr>
      <w:bookmarkStart w:id="573" w:name="_Toc511266302"/>
      <w:bookmarkStart w:id="574" w:name="_Toc510679827"/>
      <w:bookmarkStart w:id="575" w:name="_Toc511376952"/>
      <w:bookmarkStart w:id="576" w:name="_Toc511388549"/>
      <w:bookmarkStart w:id="577" w:name="_Toc511389471"/>
      <w:bookmarkStart w:id="578" w:name="_Toc511392979"/>
      <w:bookmarkStart w:id="579" w:name="_Toc526869782"/>
      <w:bookmarkStart w:id="580" w:name="_Toc106705780"/>
      <w:bookmarkStart w:id="581" w:name="_Toc235706374"/>
      <w:r>
        <w:t>More</w:t>
      </w:r>
      <w:r w:rsidRPr="00FF338C">
        <w:t xml:space="preserve"> information</w:t>
      </w:r>
      <w:bookmarkEnd w:id="573"/>
      <w:bookmarkEnd w:id="574"/>
      <w:bookmarkEnd w:id="575"/>
      <w:bookmarkEnd w:id="576"/>
      <w:bookmarkEnd w:id="577"/>
      <w:bookmarkEnd w:id="578"/>
      <w:bookmarkEnd w:id="579"/>
      <w:bookmarkEnd w:id="580"/>
      <w:bookmarkEnd w:id="581"/>
    </w:p>
    <w:p w14:paraId="61042F02" w14:textId="6DF70089" w:rsidR="00A57A5C" w:rsidRPr="00FF338C" w:rsidRDefault="00A57A5C" w:rsidP="00A57A5C">
      <w:r w:rsidRPr="00FF338C">
        <w:t xml:space="preserve">For more information, please contact </w:t>
      </w:r>
      <w:r w:rsidR="24670199">
        <w:t>CER</w:t>
      </w:r>
      <w:r>
        <w:t>:</w:t>
      </w:r>
    </w:p>
    <w:p w14:paraId="788C4D59" w14:textId="1947AD92" w:rsidR="00A57A5C" w:rsidRPr="00FF338C" w:rsidRDefault="00A57A5C" w:rsidP="00A57A5C">
      <w:r w:rsidRPr="00FF338C">
        <w:t>Email:</w:t>
      </w:r>
      <w:r>
        <w:t xml:space="preserve"> </w:t>
      </w:r>
      <w:hyperlink r:id="rId63" w:history="1">
        <w:r w:rsidR="0055066F" w:rsidRPr="00B1543E">
          <w:rPr>
            <w:rStyle w:val="Hyperlink"/>
            <w:rFonts w:asciiTheme="minorHAnsi" w:hAnsiTheme="minorHAnsi"/>
          </w:rPr>
          <w:t>cer-nger-reporting@cer.gov.au</w:t>
        </w:r>
      </w:hyperlink>
      <w:r w:rsidR="0055066F">
        <w:t xml:space="preserve"> </w:t>
      </w:r>
    </w:p>
    <w:p w14:paraId="39803636" w14:textId="77777777" w:rsidR="00A57A5C" w:rsidRPr="00FF338C" w:rsidRDefault="00A57A5C" w:rsidP="00A57A5C">
      <w:r w:rsidRPr="00FF338C">
        <w:t>Phone:</w:t>
      </w:r>
      <w:r w:rsidRPr="003F37EC">
        <w:rPr>
          <w:bCs/>
        </w:rPr>
        <w:t xml:space="preserve"> </w:t>
      </w:r>
      <w:r w:rsidRPr="009C0388">
        <w:rPr>
          <w:bCs/>
        </w:rPr>
        <w:t>1300 553 542</w:t>
      </w:r>
      <w:r w:rsidRPr="00FF338C">
        <w:rPr>
          <w:b/>
        </w:rPr>
        <w:t xml:space="preserve"> </w:t>
      </w:r>
      <w:r w:rsidRPr="00FF338C">
        <w:t xml:space="preserve">within Australia </w:t>
      </w:r>
    </w:p>
    <w:p w14:paraId="06AC783B" w14:textId="715A3F18" w:rsidR="00A57A5C" w:rsidRPr="00FF338C" w:rsidRDefault="00A57A5C" w:rsidP="00A57A5C">
      <w:r w:rsidRPr="00FF338C">
        <w:t>Web</w:t>
      </w:r>
      <w:r>
        <w:t>site</w:t>
      </w:r>
      <w:r w:rsidRPr="00FF338C">
        <w:t>:</w:t>
      </w:r>
      <w:r>
        <w:t xml:space="preserve"> </w:t>
      </w:r>
      <w:hyperlink r:id="rId64" w:history="1">
        <w:r w:rsidR="007C4816">
          <w:rPr>
            <w:rStyle w:val="Hyperlink"/>
          </w:rPr>
          <w:t>www.cer.gov.au</w:t>
        </w:r>
      </w:hyperlink>
    </w:p>
    <w:p w14:paraId="218D3545" w14:textId="77777777" w:rsidR="00A57A5C" w:rsidRPr="00FF338C" w:rsidRDefault="00A57A5C" w:rsidP="00A57A5C">
      <w:pPr>
        <w:pStyle w:val="Heading2"/>
      </w:pPr>
      <w:bookmarkStart w:id="582" w:name="_Toc511266303"/>
      <w:bookmarkStart w:id="583" w:name="_Toc510679828"/>
      <w:bookmarkStart w:id="584" w:name="_Toc511376953"/>
      <w:bookmarkStart w:id="585" w:name="_Toc511388550"/>
      <w:bookmarkStart w:id="586" w:name="_Toc511389472"/>
      <w:bookmarkStart w:id="587" w:name="_Toc511392980"/>
      <w:bookmarkStart w:id="588" w:name="_Toc526869783"/>
      <w:bookmarkStart w:id="589" w:name="_Toc106705781"/>
      <w:bookmarkStart w:id="590" w:name="_Toc235706375"/>
      <w:r w:rsidRPr="00FF338C">
        <w:t>References</w:t>
      </w:r>
      <w:bookmarkEnd w:id="582"/>
      <w:bookmarkEnd w:id="583"/>
      <w:bookmarkEnd w:id="584"/>
      <w:bookmarkEnd w:id="585"/>
      <w:bookmarkEnd w:id="586"/>
      <w:bookmarkEnd w:id="587"/>
      <w:bookmarkEnd w:id="588"/>
      <w:bookmarkEnd w:id="589"/>
      <w:bookmarkEnd w:id="590"/>
    </w:p>
    <w:p w14:paraId="4F27AB53" w14:textId="06D2ADBF" w:rsidR="00A57A5C" w:rsidRPr="00FF338C" w:rsidRDefault="00A57A5C" w:rsidP="00A57A5C">
      <w:pPr>
        <w:spacing w:before="120" w:after="120"/>
        <w:rPr>
          <w:color w:val="auto"/>
        </w:rPr>
      </w:pPr>
      <w:r>
        <w:rPr>
          <w:color w:val="auto"/>
        </w:rPr>
        <w:t xml:space="preserve">See </w:t>
      </w:r>
      <w:hyperlink r:id="rId65" w:tooltip="A link to the NGER reporting guides page on the Clean Energy Regulator website" w:history="1">
        <w:r w:rsidR="007D0FF4">
          <w:rPr>
            <w:rStyle w:val="Hyperlink"/>
            <w:rFonts w:asciiTheme="minorHAnsi" w:hAnsiTheme="minorHAnsi"/>
          </w:rPr>
          <w:t>NGER reporting g</w:t>
        </w:r>
        <w:r>
          <w:rPr>
            <w:rStyle w:val="Hyperlink"/>
            <w:rFonts w:asciiTheme="minorHAnsi" w:hAnsiTheme="minorHAnsi"/>
          </w:rPr>
          <w:t>uide</w:t>
        </w:r>
        <w:r w:rsidR="007D0FF4">
          <w:rPr>
            <w:rStyle w:val="Hyperlink"/>
            <w:rFonts w:asciiTheme="minorHAnsi" w:hAnsiTheme="minorHAnsi"/>
          </w:rPr>
          <w:t>s</w:t>
        </w:r>
      </w:hyperlink>
      <w:r w:rsidR="004B0870">
        <w:rPr>
          <w:rFonts w:ascii="ZWAdobeF" w:hAnsi="ZWAdobeF" w:cs="ZWAdobeF"/>
          <w:color w:val="auto"/>
          <w:sz w:val="2"/>
          <w:szCs w:val="2"/>
        </w:rPr>
        <w:t>36F</w:t>
      </w:r>
      <w:r>
        <w:rPr>
          <w:rStyle w:val="FootnoteReference"/>
          <w:color w:val="auto"/>
        </w:rPr>
        <w:footnoteReference w:id="38"/>
      </w:r>
      <w:r w:rsidRPr="00FF338C">
        <w:rPr>
          <w:color w:val="auto"/>
        </w:rPr>
        <w:t xml:space="preserve"> </w:t>
      </w:r>
      <w:r>
        <w:rPr>
          <w:color w:val="auto"/>
        </w:rPr>
        <w:t>for guidance</w:t>
      </w:r>
      <w:r w:rsidRPr="00FF338C">
        <w:rPr>
          <w:color w:val="auto"/>
        </w:rPr>
        <w:t xml:space="preserve"> on:</w:t>
      </w:r>
    </w:p>
    <w:p w14:paraId="3FE481CB" w14:textId="77777777" w:rsidR="00A57A5C" w:rsidRPr="00FF338C" w:rsidRDefault="00A57A5C" w:rsidP="00B3330E">
      <w:pPr>
        <w:numPr>
          <w:ilvl w:val="0"/>
          <w:numId w:val="1"/>
        </w:numPr>
        <w:spacing w:before="120" w:after="120"/>
      </w:pPr>
      <w:r>
        <w:t>d</w:t>
      </w:r>
      <w:r w:rsidRPr="00FF338C">
        <w:t>efining a facility</w:t>
      </w:r>
    </w:p>
    <w:p w14:paraId="3C541F24" w14:textId="77777777" w:rsidR="00A57A5C" w:rsidRPr="00FF338C" w:rsidRDefault="00A57A5C" w:rsidP="00B3330E">
      <w:pPr>
        <w:numPr>
          <w:ilvl w:val="0"/>
          <w:numId w:val="1"/>
        </w:numPr>
        <w:spacing w:before="120" w:after="120"/>
      </w:pPr>
      <w:r>
        <w:t>o</w:t>
      </w:r>
      <w:r w:rsidRPr="00FF338C">
        <w:t>perational control</w:t>
      </w:r>
    </w:p>
    <w:p w14:paraId="023B6C1E" w14:textId="77777777" w:rsidR="00A57A5C" w:rsidRPr="00FF338C" w:rsidRDefault="00A57A5C" w:rsidP="00B3330E">
      <w:pPr>
        <w:numPr>
          <w:ilvl w:val="0"/>
          <w:numId w:val="1"/>
        </w:numPr>
        <w:spacing w:before="120" w:after="120"/>
      </w:pPr>
      <w:r>
        <w:t>m</w:t>
      </w:r>
      <w:r w:rsidRPr="00FF338C">
        <w:t>easurement criteria</w:t>
      </w:r>
    </w:p>
    <w:p w14:paraId="3CAF6BAD" w14:textId="09BFE0C8" w:rsidR="00A57A5C" w:rsidRPr="00FF338C" w:rsidRDefault="00A57A5C" w:rsidP="00B3330E">
      <w:pPr>
        <w:numPr>
          <w:ilvl w:val="0"/>
          <w:numId w:val="1"/>
        </w:numPr>
        <w:spacing w:before="120" w:after="120"/>
      </w:pPr>
      <w:r>
        <w:t>r</w:t>
      </w:r>
      <w:r w:rsidRPr="00FF338C">
        <w:t>eporting energy production and consumption</w:t>
      </w:r>
    </w:p>
    <w:p w14:paraId="30C2AF35" w14:textId="3854C6BC" w:rsidR="00A57A5C" w:rsidRPr="00FF338C" w:rsidRDefault="00A57A5C" w:rsidP="00B3330E">
      <w:pPr>
        <w:numPr>
          <w:ilvl w:val="0"/>
          <w:numId w:val="1"/>
        </w:numPr>
        <w:spacing w:before="120" w:after="120"/>
      </w:pPr>
      <w:r>
        <w:t xml:space="preserve">reporting </w:t>
      </w:r>
      <w:r w:rsidR="00CA1CB0">
        <w:t>fuel combus</w:t>
      </w:r>
      <w:r w:rsidR="000A2FF3">
        <w:t>tion</w:t>
      </w:r>
    </w:p>
    <w:p w14:paraId="37C84930" w14:textId="77777777" w:rsidR="00A57A5C" w:rsidRPr="00FF338C" w:rsidRDefault="00A57A5C" w:rsidP="00B3330E">
      <w:pPr>
        <w:numPr>
          <w:ilvl w:val="0"/>
          <w:numId w:val="1"/>
        </w:numPr>
        <w:spacing w:before="120" w:after="120"/>
      </w:pPr>
      <w:r>
        <w:t>r</w:t>
      </w:r>
      <w:r w:rsidRPr="00FF338C">
        <w:t>eporting hydrofluorocarbons and sulphur hexafluoride gases</w:t>
      </w:r>
    </w:p>
    <w:p w14:paraId="19AC947A" w14:textId="2C7CBD67" w:rsidR="00A57A5C" w:rsidRPr="00FF338C" w:rsidRDefault="000A2FF3" w:rsidP="00B3330E">
      <w:pPr>
        <w:numPr>
          <w:ilvl w:val="0"/>
          <w:numId w:val="1"/>
        </w:numPr>
        <w:spacing w:before="120" w:after="120"/>
      </w:pPr>
      <w:r>
        <w:t xml:space="preserve">reporting </w:t>
      </w:r>
      <w:r w:rsidR="00A57A5C">
        <w:t>p</w:t>
      </w:r>
      <w:r w:rsidR="00A57A5C" w:rsidRPr="00FF338C">
        <w:t>etroleum-based oils and greases</w:t>
      </w:r>
    </w:p>
    <w:p w14:paraId="0CC8BE3A" w14:textId="47967B1A" w:rsidR="00A57A5C" w:rsidRPr="00FF338C" w:rsidRDefault="00A57A5C" w:rsidP="00B3330E">
      <w:pPr>
        <w:numPr>
          <w:ilvl w:val="0"/>
          <w:numId w:val="1"/>
        </w:numPr>
        <w:spacing w:before="120" w:after="120"/>
      </w:pPr>
      <w:r>
        <w:t>r</w:t>
      </w:r>
      <w:r w:rsidRPr="00FF338C">
        <w:t>eporting blended fuels</w:t>
      </w:r>
      <w:r w:rsidR="009B09B8">
        <w:t xml:space="preserve">, </w:t>
      </w:r>
      <w:r w:rsidRPr="00FF338C">
        <w:t>other fuel mixes</w:t>
      </w:r>
      <w:r w:rsidR="009B09B8">
        <w:t>, bitumen and explosives</w:t>
      </w:r>
    </w:p>
    <w:p w14:paraId="0C366980" w14:textId="00076AB7" w:rsidR="00A57A5C" w:rsidRPr="00AB3D99" w:rsidRDefault="00A57A5C" w:rsidP="00B3330E">
      <w:pPr>
        <w:numPr>
          <w:ilvl w:val="0"/>
          <w:numId w:val="1"/>
        </w:numPr>
        <w:spacing w:before="120" w:after="120"/>
      </w:pPr>
      <w:r>
        <w:t>r</w:t>
      </w:r>
      <w:r w:rsidRPr="00FF338C">
        <w:t>eporting uncertainty</w:t>
      </w:r>
    </w:p>
    <w:p w14:paraId="2A9701FB" w14:textId="672035A3" w:rsidR="00DE6532" w:rsidRPr="00AB3D99" w:rsidRDefault="007D0FF4" w:rsidP="00B3330E">
      <w:pPr>
        <w:numPr>
          <w:ilvl w:val="0"/>
          <w:numId w:val="1"/>
        </w:numPr>
        <w:spacing w:before="120" w:after="120"/>
      </w:pPr>
      <w:r>
        <w:t>v</w:t>
      </w:r>
      <w:r w:rsidR="00C324EA">
        <w:t>olun</w:t>
      </w:r>
      <w:r w:rsidR="00CF6FC3">
        <w:t>tary market-based scope 2 emissions</w:t>
      </w:r>
    </w:p>
    <w:p w14:paraId="1E7A1058" w14:textId="77777777" w:rsidR="00A57A5C" w:rsidRPr="00FF338C" w:rsidRDefault="00A57A5C" w:rsidP="00A57A5C">
      <w:pPr>
        <w:pStyle w:val="Heading1"/>
      </w:pPr>
      <w:r w:rsidRPr="00FF338C">
        <w:br w:type="column"/>
      </w:r>
      <w:bookmarkStart w:id="591" w:name="_Toc511376954"/>
      <w:bookmarkStart w:id="592" w:name="_Toc511388551"/>
      <w:bookmarkStart w:id="593" w:name="_Toc511389473"/>
      <w:bookmarkStart w:id="594" w:name="_Toc511392981"/>
      <w:bookmarkStart w:id="595" w:name="_Toc511732506"/>
      <w:bookmarkStart w:id="596" w:name="_Toc512010428"/>
      <w:bookmarkStart w:id="597" w:name="_Toc512339628"/>
      <w:bookmarkStart w:id="598" w:name="_Toc106705782"/>
      <w:bookmarkStart w:id="599" w:name="_Toc235706376"/>
      <w:r w:rsidRPr="00FF338C">
        <w:lastRenderedPageBreak/>
        <w:t>Appendices</w:t>
      </w:r>
      <w:bookmarkStart w:id="600" w:name="_Toc512010429"/>
      <w:bookmarkStart w:id="601" w:name="_Toc512339629"/>
      <w:bookmarkEnd w:id="591"/>
      <w:bookmarkEnd w:id="592"/>
      <w:bookmarkEnd w:id="593"/>
      <w:bookmarkEnd w:id="594"/>
      <w:bookmarkEnd w:id="595"/>
      <w:bookmarkEnd w:id="596"/>
      <w:bookmarkEnd w:id="597"/>
      <w:bookmarkEnd w:id="598"/>
      <w:bookmarkEnd w:id="599"/>
    </w:p>
    <w:p w14:paraId="4BD1C653" w14:textId="77777777" w:rsidR="00A57A5C" w:rsidRPr="00FF338C" w:rsidRDefault="00A57A5C" w:rsidP="00A57A5C">
      <w:pPr>
        <w:pStyle w:val="Heading2"/>
      </w:pPr>
      <w:bookmarkStart w:id="602" w:name="_Appendix_A_–"/>
      <w:bookmarkStart w:id="603" w:name="_Toc106705783"/>
      <w:bookmarkStart w:id="604" w:name="_Ref232416318"/>
      <w:bookmarkStart w:id="605" w:name="_Ref232416325"/>
      <w:bookmarkStart w:id="606" w:name="_Toc235706377"/>
      <w:bookmarkEnd w:id="602"/>
      <w:r w:rsidRPr="00FF338C">
        <w:t>Appendix A – Case examples for electricity sector facilities</w:t>
      </w:r>
      <w:bookmarkEnd w:id="600"/>
      <w:bookmarkEnd w:id="601"/>
      <w:bookmarkEnd w:id="603"/>
      <w:bookmarkEnd w:id="604"/>
      <w:bookmarkEnd w:id="605"/>
      <w:bookmarkEnd w:id="606"/>
    </w:p>
    <w:p w14:paraId="49B24D7F" w14:textId="77777777" w:rsidR="00A57A5C" w:rsidRPr="00FF338C" w:rsidRDefault="00A57A5C" w:rsidP="00A57A5C">
      <w:pPr>
        <w:pStyle w:val="Heading3"/>
        <w:rPr>
          <w:lang w:val="en-GB"/>
        </w:rPr>
      </w:pPr>
      <w:bookmarkStart w:id="607" w:name="_Case_example_1:"/>
      <w:bookmarkStart w:id="608" w:name="_Toc511115547"/>
      <w:bookmarkStart w:id="609" w:name="_Toc512010430"/>
      <w:bookmarkStart w:id="610" w:name="_Toc512339630"/>
      <w:bookmarkStart w:id="611" w:name="_Toc235706378"/>
      <w:bookmarkEnd w:id="607"/>
      <w:r w:rsidRPr="00FF338C">
        <w:rPr>
          <w:lang w:val="en-GB"/>
        </w:rPr>
        <w:t>Case example 1: Gas-fired power plant</w:t>
      </w:r>
      <w:bookmarkEnd w:id="608"/>
      <w:bookmarkEnd w:id="609"/>
      <w:bookmarkEnd w:id="610"/>
      <w:bookmarkEnd w:id="611"/>
    </w:p>
    <w:p w14:paraId="238BBFED" w14:textId="19D38970" w:rsidR="00A57A5C" w:rsidRPr="00FF338C" w:rsidRDefault="00767445" w:rsidP="00A57A5C">
      <w:r>
        <w:rPr>
          <w:rFonts w:eastAsiaTheme="minorEastAsia"/>
          <w:bCs/>
        </w:rPr>
        <w:fldChar w:fldCharType="begin"/>
      </w:r>
      <w:r>
        <w:rPr>
          <w:rFonts w:eastAsiaTheme="minorEastAsia"/>
          <w:bCs/>
        </w:rPr>
        <w:instrText xml:space="preserve"> REF _Ref199339978 \h </w:instrText>
      </w:r>
      <w:r>
        <w:rPr>
          <w:rFonts w:eastAsiaTheme="minorEastAsia"/>
          <w:bCs/>
        </w:rPr>
      </w:r>
      <w:r>
        <w:rPr>
          <w:rFonts w:eastAsiaTheme="minorEastAsia"/>
          <w:bCs/>
        </w:rPr>
        <w:fldChar w:fldCharType="separate"/>
      </w:r>
      <w:r w:rsidR="0069639D" w:rsidRPr="00FF338C">
        <w:t xml:space="preserve">Figure </w:t>
      </w:r>
      <w:r w:rsidR="0069639D">
        <w:rPr>
          <w:noProof/>
        </w:rPr>
        <w:t>7</w:t>
      </w:r>
      <w:r>
        <w:rPr>
          <w:rFonts w:eastAsiaTheme="minorEastAsia"/>
          <w:bCs/>
        </w:rPr>
        <w:fldChar w:fldCharType="end"/>
      </w:r>
      <w:r w:rsidR="0016706E">
        <w:rPr>
          <w:rFonts w:eastAsiaTheme="minorEastAsia"/>
          <w:bCs/>
        </w:rPr>
        <w:t xml:space="preserve"> </w:t>
      </w:r>
      <w:r w:rsidR="00A57A5C" w:rsidRPr="00FF338C">
        <w:t xml:space="preserve">shows an overview of the main types of energy production and consumption processes at a gas-fired power plant. Each circled number on the diagram relates to a main process point. </w:t>
      </w:r>
      <w:r>
        <w:fldChar w:fldCharType="begin" w:fldLock="1"/>
      </w:r>
      <w:r>
        <w:instrText>REF _Ref199339063</w:instrText>
      </w:r>
      <w:r>
        <w:fldChar w:fldCharType="separate"/>
      </w:r>
      <w:r w:rsidR="00D62F16">
        <w:t xml:space="preserve">Table </w:t>
      </w:r>
      <w:r w:rsidR="00D62F16">
        <w:rPr>
          <w:noProof/>
        </w:rPr>
        <w:t>18</w:t>
      </w:r>
      <w:r>
        <w:fldChar w:fldCharType="end"/>
      </w:r>
      <w:r w:rsidR="00D62F16">
        <w:t xml:space="preserve"> </w:t>
      </w:r>
      <w:r w:rsidR="00A57A5C" w:rsidRPr="00FF338C">
        <w:t>shows the emissions, energy consumption, energy production reporting requirements associated with each of these process points.</w:t>
      </w:r>
    </w:p>
    <w:p w14:paraId="434EADC1" w14:textId="77777777" w:rsidR="00A57A5C" w:rsidRPr="00FF338C" w:rsidRDefault="00A57A5C" w:rsidP="00A57A5C">
      <w:pPr>
        <w:pStyle w:val="Heading4"/>
      </w:pPr>
      <w:bookmarkStart w:id="612" w:name="_Toc235706379"/>
      <w:r w:rsidRPr="00FF338C">
        <w:t>NGER activities and industry sector</w:t>
      </w:r>
      <w:bookmarkEnd w:id="612"/>
    </w:p>
    <w:p w14:paraId="3C6CA9F8" w14:textId="59DC81B9" w:rsidR="00A57A5C" w:rsidRPr="00FF338C" w:rsidRDefault="00A57A5C" w:rsidP="00A57A5C">
      <w:pPr>
        <w:pStyle w:val="Body"/>
        <w:ind w:left="0"/>
        <w:rPr>
          <w:rFonts w:asciiTheme="minorHAnsi" w:hAnsiTheme="minorHAnsi"/>
          <w:sz w:val="22"/>
          <w:szCs w:val="22"/>
        </w:rPr>
      </w:pPr>
      <w:r w:rsidRPr="00FF338C">
        <w:rPr>
          <w:rFonts w:asciiTheme="minorHAnsi" w:hAnsiTheme="minorHAnsi"/>
          <w:sz w:val="22"/>
          <w:szCs w:val="22"/>
        </w:rPr>
        <w:t>The gas</w:t>
      </w:r>
      <w:r w:rsidR="00212B1B">
        <w:rPr>
          <w:rFonts w:asciiTheme="minorHAnsi" w:hAnsiTheme="minorHAnsi"/>
          <w:sz w:val="22"/>
          <w:szCs w:val="22"/>
        </w:rPr>
        <w:t>-fired</w:t>
      </w:r>
      <w:r w:rsidRPr="00FF338C">
        <w:rPr>
          <w:rFonts w:asciiTheme="minorHAnsi" w:hAnsiTheme="minorHAnsi"/>
          <w:sz w:val="22"/>
          <w:szCs w:val="22"/>
        </w:rPr>
        <w:t xml:space="preserve"> power plant has been classified as a single facility for NGER reporting purposes. The correct </w:t>
      </w:r>
      <w:r w:rsidRPr="00EE187E">
        <w:rPr>
          <w:rFonts w:asciiTheme="minorHAnsi" w:hAnsiTheme="minorHAnsi"/>
          <w:sz w:val="22"/>
          <w:szCs w:val="22"/>
        </w:rPr>
        <w:t xml:space="preserve">Australian and New Zealand Standard Industrial Classification </w:t>
      </w:r>
      <w:r>
        <w:rPr>
          <w:rFonts w:asciiTheme="minorHAnsi" w:hAnsiTheme="minorHAnsi"/>
          <w:sz w:val="22"/>
          <w:szCs w:val="22"/>
        </w:rPr>
        <w:t>(</w:t>
      </w:r>
      <w:r w:rsidRPr="00FF338C">
        <w:rPr>
          <w:rFonts w:asciiTheme="minorHAnsi" w:hAnsiTheme="minorHAnsi"/>
          <w:sz w:val="22"/>
          <w:szCs w:val="22"/>
        </w:rPr>
        <w:t>ANZSIC</w:t>
      </w:r>
      <w:r>
        <w:rPr>
          <w:rFonts w:asciiTheme="minorHAnsi" w:hAnsiTheme="minorHAnsi"/>
          <w:sz w:val="22"/>
          <w:szCs w:val="22"/>
        </w:rPr>
        <w:t>)</w:t>
      </w:r>
      <w:r w:rsidRPr="00FF338C">
        <w:rPr>
          <w:rFonts w:asciiTheme="minorHAnsi" w:hAnsiTheme="minorHAnsi"/>
          <w:sz w:val="22"/>
          <w:szCs w:val="22"/>
        </w:rPr>
        <w:t xml:space="preserve"> code is ‘261 Electricity generation’. It includes the following reportable activities</w:t>
      </w:r>
      <w:r w:rsidR="00376C5B">
        <w:rPr>
          <w:rFonts w:asciiTheme="minorHAnsi" w:hAnsiTheme="minorHAnsi"/>
          <w:sz w:val="22"/>
          <w:szCs w:val="22"/>
        </w:rPr>
        <w:t>.</w:t>
      </w:r>
    </w:p>
    <w:p w14:paraId="2FC1554E" w14:textId="0BEA777A" w:rsidR="00A57A5C" w:rsidRDefault="00A57A5C" w:rsidP="00D2141E">
      <w:pPr>
        <w:spacing w:before="120" w:after="120"/>
        <w:rPr>
          <w:szCs w:val="22"/>
        </w:rPr>
      </w:pPr>
      <w:r w:rsidRPr="79B44BC7">
        <w:rPr>
          <w:b/>
        </w:rPr>
        <w:t>Fuel combustion emissions from combustion of gaseous fuel</w:t>
      </w:r>
    </w:p>
    <w:p w14:paraId="26F24C62" w14:textId="3D7F1DDB" w:rsidR="00A57A5C" w:rsidRDefault="00A2530D" w:rsidP="00D2141E">
      <w:pPr>
        <w:pStyle w:val="CERbullets"/>
      </w:pPr>
      <w:r>
        <w:t>‘</w:t>
      </w:r>
      <w:r w:rsidR="006C6DCF">
        <w:t>N</w:t>
      </w:r>
      <w:r w:rsidR="006C6DCF" w:rsidRPr="002F756A">
        <w:t>atural</w:t>
      </w:r>
      <w:r w:rsidR="00A57A5C" w:rsidRPr="002F756A">
        <w:t xml:space="preserve"> gas transmitted or distributed in a pipeline</w:t>
      </w:r>
      <w:r w:rsidR="00A57A5C">
        <w:t>’</w:t>
      </w:r>
      <w:r w:rsidR="004B0870">
        <w:rPr>
          <w:rFonts w:ascii="ZWAdobeF" w:hAnsi="ZWAdobeF" w:cs="ZWAdobeF"/>
          <w:sz w:val="2"/>
          <w:szCs w:val="2"/>
        </w:rPr>
        <w:t>37F</w:t>
      </w:r>
      <w:r w:rsidR="00F33A8B">
        <w:rPr>
          <w:rStyle w:val="FootnoteReference"/>
        </w:rPr>
        <w:footnoteReference w:id="39"/>
      </w:r>
      <w:r w:rsidR="00A57A5C">
        <w:t xml:space="preserve"> </w:t>
      </w:r>
      <w:r w:rsidR="00A57A5C" w:rsidRPr="00FF338C">
        <w:t>enters the power plant through a pipeline which is outside the facility boundary (</w:t>
      </w:r>
      <w:r w:rsidR="00A57A5C">
        <w:t xml:space="preserve">number </w:t>
      </w:r>
      <w:r w:rsidR="00A57A5C" w:rsidRPr="00FF338C">
        <w:t xml:space="preserve">1). </w:t>
      </w:r>
    </w:p>
    <w:p w14:paraId="3869042C" w14:textId="6990049C" w:rsidR="00A57A5C" w:rsidRDefault="00A57A5C" w:rsidP="00D2141E">
      <w:pPr>
        <w:pStyle w:val="CERbullets"/>
      </w:pPr>
      <w:r w:rsidRPr="00FF338C">
        <w:t>The gas is combusted (</w:t>
      </w:r>
      <w:r>
        <w:t xml:space="preserve">number </w:t>
      </w:r>
      <w:r w:rsidRPr="00FF338C">
        <w:t xml:space="preserve">2) to generate electricity. </w:t>
      </w:r>
    </w:p>
    <w:p w14:paraId="2FD1EB25" w14:textId="4B68BF02" w:rsidR="00A57A5C" w:rsidRPr="00FF338C" w:rsidRDefault="00A57A5C" w:rsidP="00D2141E">
      <w:pPr>
        <w:pStyle w:val="CERbullets"/>
      </w:pPr>
      <w:r w:rsidRPr="00FF338C">
        <w:t>This results in emissions through the chimney of by-product gases (</w:t>
      </w:r>
      <w:r>
        <w:t xml:space="preserve">number </w:t>
      </w:r>
      <w:r w:rsidRPr="00FF338C">
        <w:t>3), including greenhouse gases carbon dioxide (CO</w:t>
      </w:r>
      <w:r w:rsidRPr="00FF338C">
        <w:rPr>
          <w:vertAlign w:val="subscript"/>
        </w:rPr>
        <w:t>2</w:t>
      </w:r>
      <w:r w:rsidRPr="00FF338C">
        <w:t>), methane (CH</w:t>
      </w:r>
      <w:r w:rsidRPr="00FF338C">
        <w:rPr>
          <w:vertAlign w:val="subscript"/>
        </w:rPr>
        <w:t>4</w:t>
      </w:r>
      <w:r w:rsidRPr="00FF338C">
        <w:t>) and nitrous oxide (N</w:t>
      </w:r>
      <w:r w:rsidRPr="00FF338C">
        <w:rPr>
          <w:vertAlign w:val="subscript"/>
        </w:rPr>
        <w:t>2</w:t>
      </w:r>
      <w:r w:rsidRPr="00FF338C">
        <w:t xml:space="preserve">O). </w:t>
      </w:r>
    </w:p>
    <w:p w14:paraId="2336B825" w14:textId="0C2560AF" w:rsidR="00A57A5C" w:rsidRPr="00FF338C" w:rsidRDefault="00A57A5C" w:rsidP="00A57A5C">
      <w:pPr>
        <w:spacing w:before="120" w:after="120"/>
        <w:rPr>
          <w:szCs w:val="22"/>
        </w:rPr>
      </w:pPr>
      <w:r>
        <w:rPr>
          <w:szCs w:val="22"/>
        </w:rPr>
        <w:t xml:space="preserve">See </w:t>
      </w:r>
      <w:hyperlink w:anchor="_Estimating_emissions_from" w:history="1">
        <w:r w:rsidR="007E244E">
          <w:rPr>
            <w:rStyle w:val="Hyperlink"/>
            <w:rFonts w:asciiTheme="minorHAnsi" w:hAnsiTheme="minorHAnsi"/>
            <w:szCs w:val="22"/>
          </w:rPr>
          <w:t>Chapter 4</w:t>
        </w:r>
      </w:hyperlink>
      <w:r w:rsidRPr="00FF338C">
        <w:rPr>
          <w:szCs w:val="22"/>
        </w:rPr>
        <w:t xml:space="preserve"> of this guideline for estimating scope 1 emissions from fuel combustion (assuming more than 1,000</w:t>
      </w:r>
      <w:r w:rsidR="00E34768">
        <w:rPr>
          <w:szCs w:val="22"/>
        </w:rPr>
        <w:t> </w:t>
      </w:r>
      <w:r w:rsidRPr="00FF338C">
        <w:rPr>
          <w:szCs w:val="22"/>
        </w:rPr>
        <w:t>cubic</w:t>
      </w:r>
      <w:r w:rsidR="00E34768">
        <w:rPr>
          <w:szCs w:val="22"/>
        </w:rPr>
        <w:t> </w:t>
      </w:r>
      <w:r w:rsidRPr="00FF338C">
        <w:rPr>
          <w:szCs w:val="22"/>
        </w:rPr>
        <w:t>metres</w:t>
      </w:r>
      <w:r w:rsidR="00E34768">
        <w:rPr>
          <w:szCs w:val="22"/>
        </w:rPr>
        <w:t> </w:t>
      </w:r>
      <w:r w:rsidRPr="00FF338C">
        <w:rPr>
          <w:szCs w:val="22"/>
        </w:rPr>
        <w:t>of gas is combusted).</w:t>
      </w:r>
    </w:p>
    <w:p w14:paraId="054324C8" w14:textId="029BC640" w:rsidR="00A57A5C" w:rsidRPr="00FF338C" w:rsidRDefault="00A57A5C" w:rsidP="00A57A5C">
      <w:pPr>
        <w:spacing w:before="120" w:after="120"/>
        <w:rPr>
          <w:szCs w:val="22"/>
        </w:rPr>
      </w:pPr>
      <w:r>
        <w:rPr>
          <w:szCs w:val="22"/>
        </w:rPr>
        <w:t xml:space="preserve">See </w:t>
      </w:r>
      <w:hyperlink w:anchor="_Energy_production_and" w:history="1">
        <w:r w:rsidR="007E244E">
          <w:rPr>
            <w:rStyle w:val="Hyperlink"/>
            <w:rFonts w:asciiTheme="minorHAnsi" w:hAnsiTheme="minorHAnsi"/>
            <w:szCs w:val="22"/>
          </w:rPr>
          <w:t>Chapter 7</w:t>
        </w:r>
      </w:hyperlink>
      <w:r w:rsidRPr="00FF338C">
        <w:rPr>
          <w:szCs w:val="22"/>
        </w:rPr>
        <w:t xml:space="preserve"> of this guideline for reporting fuel consumption.</w:t>
      </w:r>
    </w:p>
    <w:p w14:paraId="7BE6CF1D" w14:textId="3EBDC774" w:rsidR="00A57A5C" w:rsidRDefault="00A57A5C" w:rsidP="00D2141E">
      <w:pPr>
        <w:spacing w:before="120" w:after="120"/>
        <w:rPr>
          <w:szCs w:val="22"/>
        </w:rPr>
      </w:pPr>
      <w:r w:rsidRPr="79B44BC7">
        <w:rPr>
          <w:b/>
        </w:rPr>
        <w:t>Energy reporting for electricity produced</w:t>
      </w:r>
    </w:p>
    <w:p w14:paraId="60A49028" w14:textId="2CFC7D60" w:rsidR="00A57A5C" w:rsidRDefault="00A57A5C" w:rsidP="00D2141E">
      <w:pPr>
        <w:pStyle w:val="CERbullets"/>
      </w:pPr>
      <w:r w:rsidRPr="00FF338C">
        <w:t>Electricity is produced in a turbine (</w:t>
      </w:r>
      <w:r>
        <w:t xml:space="preserve">number </w:t>
      </w:r>
      <w:r w:rsidRPr="00FF338C">
        <w:t xml:space="preserve">4). </w:t>
      </w:r>
    </w:p>
    <w:p w14:paraId="243B3BDB" w14:textId="59368F55" w:rsidR="00A57A5C" w:rsidRDefault="00A57A5C" w:rsidP="00D2141E">
      <w:pPr>
        <w:pStyle w:val="CERbullets"/>
      </w:pPr>
      <w:r w:rsidRPr="00FF338C">
        <w:t>A portion of the electricity generated is fed back into the facility for plant operations (</w:t>
      </w:r>
      <w:r>
        <w:t xml:space="preserve">number </w:t>
      </w:r>
      <w:r w:rsidRPr="00FF338C">
        <w:t xml:space="preserve">5). </w:t>
      </w:r>
    </w:p>
    <w:p w14:paraId="0F73F490" w14:textId="5EE6A740" w:rsidR="00A57A5C" w:rsidRDefault="00A57A5C" w:rsidP="00D2141E">
      <w:pPr>
        <w:pStyle w:val="CERbullets"/>
      </w:pPr>
      <w:r w:rsidRPr="00FF338C">
        <w:t>Another portion is delivered directly to a nearby manufacturing facility (</w:t>
      </w:r>
      <w:r>
        <w:t xml:space="preserve">number </w:t>
      </w:r>
      <w:r w:rsidRPr="00FF338C">
        <w:t xml:space="preserve">6), which is a separate facility to the gas-fired power station. </w:t>
      </w:r>
    </w:p>
    <w:p w14:paraId="6E79EE09" w14:textId="2924101E" w:rsidR="00A57A5C" w:rsidRPr="00FF338C" w:rsidRDefault="00A57A5C" w:rsidP="00D2141E">
      <w:pPr>
        <w:pStyle w:val="CERbullets"/>
      </w:pPr>
      <w:r w:rsidRPr="00FF338C">
        <w:t>The remaining electricity generated is transferred to an electricity network (</w:t>
      </w:r>
      <w:r>
        <w:t xml:space="preserve">number </w:t>
      </w:r>
      <w:r w:rsidRPr="00FF338C">
        <w:t xml:space="preserve">7). </w:t>
      </w:r>
    </w:p>
    <w:p w14:paraId="56ADB22C" w14:textId="07587928" w:rsidR="00A57A5C" w:rsidRPr="00FF338C" w:rsidRDefault="00A57A5C" w:rsidP="00A57A5C">
      <w:pPr>
        <w:spacing w:before="120" w:after="120"/>
        <w:rPr>
          <w:szCs w:val="22"/>
        </w:rPr>
      </w:pPr>
      <w:r>
        <w:rPr>
          <w:szCs w:val="22"/>
        </w:rPr>
        <w:t xml:space="preserve">See </w:t>
      </w:r>
      <w:hyperlink w:anchor="_Energy_production_and" w:history="1">
        <w:r w:rsidR="007E244E">
          <w:rPr>
            <w:rStyle w:val="Hyperlink"/>
            <w:rFonts w:asciiTheme="minorHAnsi" w:hAnsiTheme="minorHAnsi"/>
            <w:szCs w:val="22"/>
          </w:rPr>
          <w:t>Chapter 7</w:t>
        </w:r>
      </w:hyperlink>
      <w:r w:rsidRPr="00FF338C">
        <w:rPr>
          <w:szCs w:val="22"/>
        </w:rPr>
        <w:t xml:space="preserve"> of this guideline for reporting of electricity production and for electricity produced for use onsite.</w:t>
      </w:r>
    </w:p>
    <w:p w14:paraId="60993932" w14:textId="77777777" w:rsidR="00A57A5C" w:rsidRPr="00FF338C" w:rsidRDefault="00A57A5C" w:rsidP="00A57A5C">
      <w:pPr>
        <w:pStyle w:val="Body"/>
        <w:ind w:left="0"/>
        <w:rPr>
          <w:rFonts w:asciiTheme="minorHAnsi" w:hAnsiTheme="minorHAnsi"/>
          <w:sz w:val="22"/>
          <w:szCs w:val="22"/>
        </w:rPr>
      </w:pPr>
      <w:r w:rsidRPr="00FF338C">
        <w:rPr>
          <w:rFonts w:asciiTheme="minorHAnsi" w:hAnsiTheme="minorHAnsi"/>
          <w:sz w:val="22"/>
          <w:szCs w:val="22"/>
        </w:rPr>
        <w:t>Other reportable NGER activities not included in the example are likely to occur, including:</w:t>
      </w:r>
    </w:p>
    <w:p w14:paraId="71340CA0" w14:textId="3508B1B0" w:rsidR="00A57A5C" w:rsidRPr="00FF338C" w:rsidRDefault="00050BFE" w:rsidP="00B3330E">
      <w:pPr>
        <w:pStyle w:val="CERbullets"/>
        <w:numPr>
          <w:ilvl w:val="0"/>
          <w:numId w:val="7"/>
        </w:numPr>
      </w:pPr>
      <w:r>
        <w:t>s</w:t>
      </w:r>
      <w:r w:rsidR="00A57A5C" w:rsidRPr="00FF338C">
        <w:t>cope 1 fuel combustion emissions from transport, stationary energy purposes (other than electricity generation) – for example, liquid fuel combustion in light vehicles</w:t>
      </w:r>
    </w:p>
    <w:p w14:paraId="74D551AE" w14:textId="12EA9698" w:rsidR="00A57A5C" w:rsidRPr="00FF338C" w:rsidRDefault="00050BFE" w:rsidP="00A57A5C">
      <w:pPr>
        <w:pStyle w:val="CERbullets"/>
      </w:pPr>
      <w:r>
        <w:t>t</w:t>
      </w:r>
      <w:r w:rsidR="00A57A5C">
        <w:t>he consumption of PBOGs.</w:t>
      </w:r>
      <w:r w:rsidR="003869C2">
        <w:t xml:space="preserve"> Read the </w:t>
      </w:r>
      <w:hyperlink r:id="rId66" w:tooltip="A link to the Petroleum-based oils and greases guide on the Clean Energy Regulator website" w:history="1">
        <w:r w:rsidR="003869C2">
          <w:rPr>
            <w:rStyle w:val="Hyperlink"/>
            <w:rFonts w:asciiTheme="minorHAnsi" w:hAnsiTheme="minorHAnsi"/>
          </w:rPr>
          <w:t>P</w:t>
        </w:r>
        <w:r w:rsidR="003869C2" w:rsidRPr="003262E1">
          <w:rPr>
            <w:rStyle w:val="Hyperlink"/>
            <w:rFonts w:asciiTheme="minorHAnsi" w:hAnsiTheme="minorHAnsi"/>
          </w:rPr>
          <w:t>etroleum-based oils and grease</w:t>
        </w:r>
        <w:r w:rsidR="003869C2">
          <w:rPr>
            <w:rStyle w:val="Hyperlink"/>
            <w:rFonts w:asciiTheme="minorHAnsi" w:hAnsiTheme="minorHAnsi"/>
          </w:rPr>
          <w:t>s guideline</w:t>
        </w:r>
      </w:hyperlink>
      <w:r w:rsidR="003869C2">
        <w:t xml:space="preserve"> </w:t>
      </w:r>
      <w:r w:rsidR="004B0870">
        <w:rPr>
          <w:rFonts w:ascii="ZWAdobeF" w:hAnsi="ZWAdobeF" w:cs="ZWAdobeF"/>
          <w:sz w:val="2"/>
          <w:szCs w:val="2"/>
        </w:rPr>
        <w:t>38F</w:t>
      </w:r>
      <w:r w:rsidR="003869C2">
        <w:rPr>
          <w:rStyle w:val="FootnoteReference"/>
        </w:rPr>
        <w:footnoteReference w:id="40"/>
      </w:r>
      <w:r w:rsidR="003869C2">
        <w:t>.</w:t>
      </w:r>
    </w:p>
    <w:p w14:paraId="36AB6E48" w14:textId="45F56166" w:rsidR="00A57A5C" w:rsidRPr="00FF338C" w:rsidRDefault="00050BFE" w:rsidP="00B3330E">
      <w:pPr>
        <w:pStyle w:val="CERbullets"/>
        <w:numPr>
          <w:ilvl w:val="0"/>
          <w:numId w:val="7"/>
        </w:numPr>
      </w:pPr>
      <w:r>
        <w:lastRenderedPageBreak/>
        <w:t>c</w:t>
      </w:r>
      <w:r w:rsidR="00A57A5C" w:rsidRPr="00FF338C">
        <w:t>ontractor energy and emissions data if part of the facility’s production process (likely to include fuel combustion emissions and consumption, if occurring).</w:t>
      </w:r>
      <w:r w:rsidR="003869C2">
        <w:t xml:space="preserve"> Read </w:t>
      </w:r>
      <w:hyperlink r:id="rId67" w:tooltip="A link to the 'Defining a facility for National Greenhouse and Energy Reporting' guide on the Clean Energy Regulator website" w:history="1">
        <w:r w:rsidR="00072799">
          <w:rPr>
            <w:rStyle w:val="Hyperlink"/>
            <w:rFonts w:asciiTheme="minorHAnsi" w:hAnsiTheme="minorHAnsi"/>
          </w:rPr>
          <w:t>Defining a facility for National Greenhouse and Energy Reporting</w:t>
        </w:r>
      </w:hyperlink>
      <w:r w:rsidR="004B0870">
        <w:rPr>
          <w:rFonts w:ascii="ZWAdobeF" w:hAnsi="ZWAdobeF" w:cs="ZWAdobeF"/>
          <w:sz w:val="2"/>
          <w:szCs w:val="2"/>
        </w:rPr>
        <w:t>39F</w:t>
      </w:r>
      <w:r w:rsidR="003869C2">
        <w:rPr>
          <w:rStyle w:val="FootnoteReference"/>
        </w:rPr>
        <w:footnoteReference w:id="41"/>
      </w:r>
      <w:r w:rsidR="00072799">
        <w:t xml:space="preserve"> </w:t>
      </w:r>
      <w:r w:rsidR="00CD3F17">
        <w:t xml:space="preserve">and the </w:t>
      </w:r>
      <w:hyperlink r:id="rId68" w:tooltip="A link to the Contracts and leasing guide on the Clean Energy Regulator website" w:history="1">
        <w:r w:rsidR="00CD3F17" w:rsidRPr="00795D8A">
          <w:rPr>
            <w:rStyle w:val="Hyperlink"/>
            <w:rFonts w:asciiTheme="minorHAnsi" w:hAnsiTheme="minorHAnsi"/>
          </w:rPr>
          <w:t>Contracts and leasing guideline</w:t>
        </w:r>
      </w:hyperlink>
      <w:r w:rsidR="004B0870">
        <w:rPr>
          <w:rFonts w:ascii="ZWAdobeF" w:hAnsi="ZWAdobeF" w:cs="ZWAdobeF"/>
          <w:sz w:val="2"/>
          <w:szCs w:val="2"/>
        </w:rPr>
        <w:t>40F</w:t>
      </w:r>
      <w:r w:rsidR="00795D8A">
        <w:rPr>
          <w:rStyle w:val="FootnoteReference"/>
        </w:rPr>
        <w:footnoteReference w:id="42"/>
      </w:r>
      <w:r w:rsidR="00CD3F17">
        <w:t xml:space="preserve"> </w:t>
      </w:r>
      <w:r w:rsidR="00072799">
        <w:t>for more information</w:t>
      </w:r>
      <w:r w:rsidR="003869C2">
        <w:t>.</w:t>
      </w:r>
    </w:p>
    <w:p w14:paraId="69B2938D" w14:textId="78A251DD" w:rsidR="00A57A5C" w:rsidRPr="00FF338C" w:rsidRDefault="00050BFE" w:rsidP="00B3330E">
      <w:pPr>
        <w:pStyle w:val="CERbullets"/>
        <w:numPr>
          <w:ilvl w:val="0"/>
          <w:numId w:val="7"/>
        </w:numPr>
      </w:pPr>
      <w:r>
        <w:t>u</w:t>
      </w:r>
      <w:r w:rsidR="00A57A5C" w:rsidRPr="00FF338C">
        <w:t>ncertainty assessment for occurrences of scope 1 emissions exceeding 25,000</w:t>
      </w:r>
      <w:r w:rsidR="00E34768">
        <w:t> </w:t>
      </w:r>
      <w:r w:rsidR="00A57A5C" w:rsidRPr="00FF338C">
        <w:t>kt</w:t>
      </w:r>
      <w:r w:rsidR="00E34768">
        <w:t> </w:t>
      </w:r>
      <w:r w:rsidR="00A57A5C" w:rsidRPr="00FF338C">
        <w:t>CO</w:t>
      </w:r>
      <w:r w:rsidR="00A57A5C" w:rsidRPr="00FF338C">
        <w:rPr>
          <w:vertAlign w:val="subscript"/>
        </w:rPr>
        <w:t>2</w:t>
      </w:r>
      <w:r w:rsidR="00A57A5C" w:rsidRPr="00FF338C">
        <w:t>-e.</w:t>
      </w:r>
    </w:p>
    <w:p w14:paraId="2C4B9316" w14:textId="32469D34" w:rsidR="001B624B" w:rsidRDefault="001B624B" w:rsidP="00235142">
      <w:pPr>
        <w:spacing w:after="0"/>
      </w:pPr>
    </w:p>
    <w:p w14:paraId="5A099201" w14:textId="3C332075" w:rsidR="00A57A5C" w:rsidRDefault="00A57A5C" w:rsidP="00235142">
      <w:pPr>
        <w:spacing w:after="0"/>
      </w:pPr>
    </w:p>
    <w:p w14:paraId="1070F828" w14:textId="58ECCD3A" w:rsidR="00A57A5C" w:rsidRDefault="00A57A5C" w:rsidP="00235142">
      <w:pPr>
        <w:spacing w:after="0"/>
      </w:pPr>
    </w:p>
    <w:p w14:paraId="3616365C" w14:textId="77777777" w:rsidR="00A57A5C" w:rsidRDefault="00A57A5C" w:rsidP="00235142">
      <w:pPr>
        <w:spacing w:after="0"/>
        <w:sectPr w:rsidR="00A57A5C" w:rsidSect="00E349EF">
          <w:headerReference w:type="default" r:id="rId69"/>
          <w:footerReference w:type="even" r:id="rId70"/>
          <w:footerReference w:type="default" r:id="rId71"/>
          <w:headerReference w:type="first" r:id="rId72"/>
          <w:footerReference w:type="first" r:id="rId73"/>
          <w:pgSz w:w="11900" w:h="16840" w:code="9"/>
          <w:pgMar w:top="1447" w:right="1080" w:bottom="993" w:left="1080" w:header="227" w:footer="232" w:gutter="0"/>
          <w:cols w:space="708"/>
          <w:titlePg/>
          <w:docGrid w:linePitch="326"/>
        </w:sectPr>
      </w:pPr>
    </w:p>
    <w:p w14:paraId="0B2231DD" w14:textId="6344BC5B" w:rsidR="00913E4B" w:rsidRPr="00FF338C" w:rsidRDefault="00913E4B" w:rsidP="00537D7B">
      <w:pPr>
        <w:pStyle w:val="Caption"/>
        <w:rPr>
          <w:rFonts w:asciiTheme="minorHAnsi" w:hAnsiTheme="minorHAnsi"/>
        </w:rPr>
      </w:pPr>
      <w:bookmarkStart w:id="613" w:name="_Ref142312973"/>
      <w:bookmarkStart w:id="614" w:name="_Ref199339978"/>
      <w:r w:rsidRPr="00FF338C">
        <w:lastRenderedPageBreak/>
        <w:t xml:space="preserve">Figure </w:t>
      </w:r>
      <w:bookmarkEnd w:id="613"/>
      <w:r w:rsidR="00011733">
        <w:fldChar w:fldCharType="begin"/>
      </w:r>
      <w:r w:rsidR="00011733">
        <w:instrText xml:space="preserve"> SEQ Figure \* ARABIC </w:instrText>
      </w:r>
      <w:r w:rsidR="00011733">
        <w:fldChar w:fldCharType="separate"/>
      </w:r>
      <w:r w:rsidR="0069639D">
        <w:rPr>
          <w:noProof/>
        </w:rPr>
        <w:t>7</w:t>
      </w:r>
      <w:r w:rsidR="00011733">
        <w:fldChar w:fldCharType="end"/>
      </w:r>
      <w:bookmarkEnd w:id="614"/>
      <w:r w:rsidR="00537D7B">
        <w:t xml:space="preserve"> </w:t>
      </w:r>
      <w:r w:rsidR="0016706E">
        <w:t xml:space="preserve">– </w:t>
      </w:r>
      <w:r w:rsidRPr="00FF338C">
        <w:t>Gas-fired power plant diagra</w:t>
      </w:r>
      <w:r w:rsidR="0016706E">
        <w:t>m.</w:t>
      </w:r>
      <w:r w:rsidRPr="00FF338C">
        <w:rPr>
          <w:rFonts w:asciiTheme="minorHAnsi" w:hAnsiTheme="minorHAnsi"/>
          <w:noProof/>
          <w:lang w:eastAsia="en-AU"/>
        </w:rPr>
        <w:drawing>
          <wp:inline distT="0" distB="0" distL="0" distR="0" wp14:anchorId="45CFC558" wp14:editId="7FBAA567">
            <wp:extent cx="9498330" cy="3789680"/>
            <wp:effectExtent l="0" t="0" r="7620" b="1270"/>
            <wp:docPr id="13" name="Picture 13" descr="Diagram of a gas-fired power plant showing fuel input, electricity generation and emissions reporting points. Natural gas enters the facility at reporting point 1 and is combusted in the power plant at reporting point 2. The plant emits carbon dioxide (CO₂), methane (CH₄) and nitrous oxide (N₂O) to the atmosphere at reporting point 3. Steam, combustion gases, or air passes through a turbine and the quantity of electricity generated is measured at reporting point 4, then is supplied back into the plant for internal use at reporting point 5, or to a separate facility through a meter at reporting point 6, or exported to the electricity grid through a meter at reporting point 7. Dashed lines show the facility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of a gas-fired power plant showing fuel input, electricity generation and emissions reporting points. Natural gas enters the facility at reporting point 1 and is combusted in the power plant at reporting point 2. The plant emits carbon dioxide (CO₂), methane (CH₄) and nitrous oxide (N₂O) to the atmosphere at reporting point 3. Steam, combustion gases, or air passes through a turbine and the quantity of electricity generated is measured at reporting point 4, then is supplied back into the plant for internal use at reporting point 5, or to a separate facility through a meter at reporting point 6, or exported to the electricity grid through a meter at reporting point 7. Dashed lines show the facility boundary."/>
                    <pic:cNvPicPr/>
                  </pic:nvPicPr>
                  <pic:blipFill>
                    <a:blip r:embed="rId74">
                      <a:extLst>
                        <a:ext uri="{28A0092B-C50C-407E-A947-70E740481C1C}">
                          <a14:useLocalDpi xmlns:a14="http://schemas.microsoft.com/office/drawing/2010/main" val="0"/>
                        </a:ext>
                      </a:extLst>
                    </a:blip>
                    <a:stretch>
                      <a:fillRect/>
                    </a:stretch>
                  </pic:blipFill>
                  <pic:spPr>
                    <a:xfrm>
                      <a:off x="0" y="0"/>
                      <a:ext cx="9498330" cy="3789680"/>
                    </a:xfrm>
                    <a:prstGeom prst="rect">
                      <a:avLst/>
                    </a:prstGeom>
                  </pic:spPr>
                </pic:pic>
              </a:graphicData>
            </a:graphic>
          </wp:inline>
        </w:drawing>
      </w:r>
    </w:p>
    <w:p w14:paraId="39DFAD73" w14:textId="77777777" w:rsidR="00913E4B" w:rsidRPr="00FF338C" w:rsidRDefault="00913E4B" w:rsidP="00913E4B">
      <w:pPr>
        <w:spacing w:after="0"/>
        <w:rPr>
          <w:i/>
          <w:iCs/>
          <w:color w:val="454743" w:themeColor="text2"/>
          <w:sz w:val="18"/>
          <w:szCs w:val="18"/>
        </w:rPr>
      </w:pPr>
      <w:bookmarkStart w:id="615" w:name="_Ref509471909"/>
      <w:r w:rsidRPr="00FF338C">
        <w:br w:type="page"/>
      </w:r>
    </w:p>
    <w:p w14:paraId="2D2D2568" w14:textId="62FB8404" w:rsidR="00B47E5E" w:rsidRDefault="00B47E5E" w:rsidP="00E9388B">
      <w:pPr>
        <w:pStyle w:val="Caption"/>
        <w:keepNext/>
      </w:pPr>
      <w:bookmarkStart w:id="616" w:name="_Ref199339063"/>
      <w:bookmarkEnd w:id="615"/>
      <w:r>
        <w:lastRenderedPageBreak/>
        <w:t xml:space="preserve">Table </w:t>
      </w:r>
      <w:r>
        <w:fldChar w:fldCharType="begin"/>
      </w:r>
      <w:r>
        <w:instrText>SEQ Table \* ARABIC</w:instrText>
      </w:r>
      <w:r>
        <w:fldChar w:fldCharType="separate"/>
      </w:r>
      <w:r w:rsidR="0069639D">
        <w:rPr>
          <w:noProof/>
        </w:rPr>
        <w:t>18</w:t>
      </w:r>
      <w:r>
        <w:fldChar w:fldCharType="end"/>
      </w:r>
      <w:bookmarkEnd w:id="616"/>
      <w:r>
        <w:t xml:space="preserve"> – Summary of emissions and energy from the gas power plant.</w:t>
      </w:r>
    </w:p>
    <w:tbl>
      <w:tblPr>
        <w:tblStyle w:val="CERTable"/>
        <w:tblW w:w="5000" w:type="pct"/>
        <w:tblLook w:val="04A0" w:firstRow="1" w:lastRow="0" w:firstColumn="1" w:lastColumn="0" w:noHBand="0" w:noVBand="1"/>
      </w:tblPr>
      <w:tblGrid>
        <w:gridCol w:w="467"/>
        <w:gridCol w:w="1732"/>
        <w:gridCol w:w="3150"/>
        <w:gridCol w:w="3150"/>
        <w:gridCol w:w="3309"/>
        <w:gridCol w:w="3150"/>
      </w:tblGrid>
      <w:tr w:rsidR="00145478" w:rsidRPr="00FF338C" w14:paraId="0114CF7B" w14:textId="77777777" w:rsidTr="00BE117F">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735" w:type="pct"/>
            <w:gridSpan w:val="2"/>
          </w:tcPr>
          <w:p w14:paraId="6DCA4538"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Process Point</w:t>
            </w:r>
          </w:p>
        </w:tc>
        <w:tc>
          <w:tcPr>
            <w:tcW w:w="1053" w:type="pct"/>
          </w:tcPr>
          <w:p w14:paraId="03CE5D33" w14:textId="77777777" w:rsidR="00913E4B" w:rsidRPr="009C0388" w:rsidRDefault="00913E4B">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Reportable emissions</w:t>
            </w:r>
          </w:p>
        </w:tc>
        <w:tc>
          <w:tcPr>
            <w:tcW w:w="1053" w:type="pct"/>
          </w:tcPr>
          <w:p w14:paraId="1EDA17B7" w14:textId="77777777" w:rsidR="00913E4B" w:rsidRPr="009C0388" w:rsidRDefault="00913E4B">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Reportable energy production</w:t>
            </w:r>
          </w:p>
        </w:tc>
        <w:tc>
          <w:tcPr>
            <w:tcW w:w="1106" w:type="pct"/>
          </w:tcPr>
          <w:p w14:paraId="2FCC8513" w14:textId="77777777" w:rsidR="00913E4B" w:rsidRPr="009C0388" w:rsidRDefault="00913E4B">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Reportable energy consumption</w:t>
            </w:r>
          </w:p>
        </w:tc>
        <w:tc>
          <w:tcPr>
            <w:tcW w:w="1053" w:type="pct"/>
          </w:tcPr>
          <w:p w14:paraId="5419E937" w14:textId="77777777" w:rsidR="00913E4B" w:rsidRPr="009C0388" w:rsidRDefault="00913E4B">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Notes</w:t>
            </w:r>
          </w:p>
        </w:tc>
      </w:tr>
      <w:tr w:rsidR="00503817" w:rsidRPr="00FF338C" w14:paraId="1F3F0132" w14:textId="77777777" w:rsidTr="00BE11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Pr>
          <w:p w14:paraId="166855C3"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1</w:t>
            </w:r>
          </w:p>
        </w:tc>
        <w:tc>
          <w:tcPr>
            <w:tcW w:w="579" w:type="pct"/>
            <w:shd w:val="clear" w:color="auto" w:fill="F2F2F2" w:themeFill="background1" w:themeFillShade="F2"/>
          </w:tcPr>
          <w:p w14:paraId="3BAED689" w14:textId="6094277F"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‘Natural gas </w:t>
            </w:r>
            <w:r w:rsidRPr="00FC1336">
              <w:rPr>
                <w:rFonts w:asciiTheme="minorHAnsi" w:hAnsiTheme="minorHAnsi"/>
                <w:sz w:val="22"/>
                <w:szCs w:val="22"/>
              </w:rPr>
              <w:t>transmitted or distributed in a pipeline</w:t>
            </w:r>
            <w:r w:rsidR="00C83255">
              <w:rPr>
                <w:rFonts w:asciiTheme="minorHAnsi" w:hAnsiTheme="minorHAnsi"/>
                <w:sz w:val="22"/>
                <w:szCs w:val="22"/>
              </w:rPr>
              <w:t>’</w:t>
            </w:r>
            <w:r>
              <w:rPr>
                <w:rFonts w:asciiTheme="minorHAnsi" w:hAnsiTheme="minorHAnsi"/>
                <w:sz w:val="22"/>
                <w:szCs w:val="22"/>
              </w:rPr>
              <w:t xml:space="preserve"> </w:t>
            </w:r>
            <w:r w:rsidRPr="009C0388">
              <w:rPr>
                <w:rFonts w:asciiTheme="minorHAnsi" w:hAnsiTheme="minorHAnsi"/>
                <w:sz w:val="22"/>
                <w:szCs w:val="22"/>
              </w:rPr>
              <w:t>enters plant</w:t>
            </w:r>
          </w:p>
        </w:tc>
        <w:tc>
          <w:tcPr>
            <w:tcW w:w="1053" w:type="pct"/>
          </w:tcPr>
          <w:p w14:paraId="3D6909B1"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Pr>
          <w:p w14:paraId="01A5AB37"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106" w:type="pct"/>
          </w:tcPr>
          <w:p w14:paraId="4BA5FD46"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Pr>
          <w:p w14:paraId="39F24B49" w14:textId="1D1B254E"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Gas supply pipeline is outside of the facility boundary and hence leaks from the pipeline do not need to be reported</w:t>
            </w:r>
            <w:r w:rsidR="000E5AAD">
              <w:rPr>
                <w:rFonts w:asciiTheme="minorHAnsi" w:hAnsiTheme="minorHAnsi"/>
                <w:sz w:val="22"/>
                <w:szCs w:val="22"/>
              </w:rPr>
              <w:t>.</w:t>
            </w:r>
          </w:p>
        </w:tc>
      </w:tr>
      <w:tr w:rsidR="00503817" w:rsidRPr="00FF338C" w14:paraId="457CD9FD" w14:textId="77777777" w:rsidTr="00BE117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Pr>
          <w:p w14:paraId="4F1D8E31"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2</w:t>
            </w:r>
          </w:p>
        </w:tc>
        <w:tc>
          <w:tcPr>
            <w:tcW w:w="579" w:type="pct"/>
            <w:shd w:val="clear" w:color="auto" w:fill="F2F2F2" w:themeFill="background1" w:themeFillShade="F2"/>
          </w:tcPr>
          <w:p w14:paraId="3BE4BC07" w14:textId="0FEC6FCB"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Gas combustion</w:t>
            </w:r>
          </w:p>
        </w:tc>
        <w:tc>
          <w:tcPr>
            <w:tcW w:w="1053" w:type="pct"/>
          </w:tcPr>
          <w:p w14:paraId="510E244B" w14:textId="206D11A4" w:rsidR="00913E4B"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If generation unit &lt; 30</w:t>
            </w:r>
            <w:r w:rsidR="00E34768">
              <w:rPr>
                <w:rFonts w:asciiTheme="minorHAnsi" w:hAnsiTheme="minorHAnsi"/>
                <w:sz w:val="22"/>
                <w:szCs w:val="22"/>
              </w:rPr>
              <w:t> </w:t>
            </w:r>
            <w:r w:rsidRPr="009C0388">
              <w:rPr>
                <w:rFonts w:asciiTheme="minorHAnsi" w:hAnsiTheme="minorHAnsi"/>
                <w:sz w:val="22"/>
                <w:szCs w:val="22"/>
              </w:rPr>
              <w:t>MW or production &lt; 50,000</w:t>
            </w:r>
            <w:r w:rsidR="00E34768">
              <w:rPr>
                <w:rFonts w:asciiTheme="minorHAnsi" w:hAnsiTheme="minorHAnsi"/>
                <w:sz w:val="22"/>
                <w:szCs w:val="22"/>
              </w:rPr>
              <w:t> </w:t>
            </w:r>
            <w:r w:rsidRPr="009C0388">
              <w:rPr>
                <w:rFonts w:asciiTheme="minorHAnsi" w:hAnsiTheme="minorHAnsi"/>
                <w:sz w:val="22"/>
                <w:szCs w:val="22"/>
              </w:rPr>
              <w:t xml:space="preserve">MWh in the reporting year, emissions estimation can be made using default emission factors under </w:t>
            </w:r>
            <w:r w:rsidR="236BC3CB" w:rsidRPr="4ECD8E61">
              <w:rPr>
                <w:rFonts w:asciiTheme="minorHAnsi" w:hAnsiTheme="minorHAnsi"/>
                <w:sz w:val="22"/>
                <w:szCs w:val="22"/>
              </w:rPr>
              <w:t>M</w:t>
            </w:r>
            <w:r w:rsidRPr="009C0388">
              <w:rPr>
                <w:rFonts w:asciiTheme="minorHAnsi" w:hAnsiTheme="minorHAnsi"/>
                <w:sz w:val="22"/>
                <w:szCs w:val="22"/>
              </w:rPr>
              <w:t>ethod 1</w:t>
            </w:r>
            <w:r w:rsidR="0071637D">
              <w:rPr>
                <w:rFonts w:asciiTheme="minorHAnsi" w:hAnsiTheme="minorHAnsi"/>
                <w:sz w:val="22"/>
                <w:szCs w:val="22"/>
              </w:rPr>
              <w:t>.</w:t>
            </w:r>
          </w:p>
          <w:p w14:paraId="26934397" w14:textId="5F405BCD"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Otherwise</w:t>
            </w:r>
            <w:r w:rsidR="000E5AAD">
              <w:rPr>
                <w:rFonts w:asciiTheme="minorHAnsi" w:hAnsiTheme="minorHAnsi"/>
                <w:sz w:val="22"/>
                <w:szCs w:val="22"/>
              </w:rPr>
              <w:t>,</w:t>
            </w:r>
            <w:r w:rsidRPr="009C0388">
              <w:rPr>
                <w:rFonts w:asciiTheme="minorHAnsi" w:hAnsiTheme="minorHAnsi"/>
                <w:sz w:val="22"/>
                <w:szCs w:val="22"/>
              </w:rPr>
              <w:t xml:space="preserve"> minimum </w:t>
            </w:r>
            <w:r w:rsidR="541039FB" w:rsidRPr="4ECD8E61">
              <w:rPr>
                <w:rFonts w:asciiTheme="minorHAnsi" w:hAnsiTheme="minorHAnsi"/>
                <w:sz w:val="22"/>
                <w:szCs w:val="22"/>
              </w:rPr>
              <w:t>M</w:t>
            </w:r>
            <w:r w:rsidRPr="009C0388">
              <w:rPr>
                <w:rFonts w:asciiTheme="minorHAnsi" w:hAnsiTheme="minorHAnsi"/>
                <w:sz w:val="22"/>
                <w:szCs w:val="22"/>
              </w:rPr>
              <w:t xml:space="preserve">ethod 2, and </w:t>
            </w:r>
            <w:r w:rsidR="2CDF1702" w:rsidRPr="4ECD8E61">
              <w:rPr>
                <w:rFonts w:asciiTheme="minorHAnsi" w:hAnsiTheme="minorHAnsi"/>
                <w:sz w:val="22"/>
                <w:szCs w:val="22"/>
              </w:rPr>
              <w:t>M</w:t>
            </w:r>
            <w:r w:rsidRPr="4ECD8E61">
              <w:rPr>
                <w:rFonts w:asciiTheme="minorHAnsi" w:hAnsiTheme="minorHAnsi"/>
                <w:sz w:val="22"/>
                <w:szCs w:val="22"/>
              </w:rPr>
              <w:t>ethod</w:t>
            </w:r>
            <w:r w:rsidRPr="009C0388">
              <w:rPr>
                <w:rFonts w:asciiTheme="minorHAnsi" w:hAnsiTheme="minorHAnsi"/>
                <w:sz w:val="22"/>
                <w:szCs w:val="22"/>
              </w:rPr>
              <w:t xml:space="preserve"> 3 also available</w:t>
            </w:r>
            <w:r w:rsidR="0071637D">
              <w:rPr>
                <w:rFonts w:asciiTheme="minorHAnsi" w:hAnsiTheme="minorHAnsi"/>
                <w:sz w:val="22"/>
                <w:szCs w:val="22"/>
              </w:rPr>
              <w:t>.</w:t>
            </w:r>
          </w:p>
          <w:p w14:paraId="7A94B25F"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Fuel combustion emissions</w:t>
            </w:r>
          </w:p>
        </w:tc>
        <w:tc>
          <w:tcPr>
            <w:tcW w:w="1053" w:type="pct"/>
            <w:vMerge w:val="restart"/>
          </w:tcPr>
          <w:p w14:paraId="358BE165"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p w14:paraId="5252B555" w14:textId="567F1FF6"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Electricity is not produced at this process point – these are produced at </w:t>
            </w:r>
            <w:r>
              <w:rPr>
                <w:rFonts w:asciiTheme="minorHAnsi" w:hAnsiTheme="minorHAnsi"/>
                <w:sz w:val="22"/>
                <w:szCs w:val="22"/>
              </w:rPr>
              <w:t xml:space="preserve">number </w:t>
            </w:r>
            <w:r w:rsidRPr="009C0388">
              <w:rPr>
                <w:rFonts w:asciiTheme="minorHAnsi" w:hAnsiTheme="minorHAnsi"/>
                <w:sz w:val="22"/>
                <w:szCs w:val="22"/>
              </w:rPr>
              <w:t>4</w:t>
            </w:r>
            <w:r w:rsidR="000E5AAD">
              <w:rPr>
                <w:rFonts w:asciiTheme="minorHAnsi" w:hAnsiTheme="minorHAnsi"/>
                <w:sz w:val="22"/>
                <w:szCs w:val="22"/>
              </w:rPr>
              <w:t>.</w:t>
            </w:r>
          </w:p>
          <w:p w14:paraId="4A036F52"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p>
        </w:tc>
        <w:tc>
          <w:tcPr>
            <w:tcW w:w="1106" w:type="pct"/>
          </w:tcPr>
          <w:p w14:paraId="00D276C8" w14:textId="04FBA76A"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‘Natural gas </w:t>
            </w:r>
            <w:r w:rsidRPr="00B142E1">
              <w:rPr>
                <w:rFonts w:asciiTheme="minorHAnsi" w:hAnsiTheme="minorHAnsi"/>
                <w:sz w:val="22"/>
                <w:szCs w:val="22"/>
              </w:rPr>
              <w:t>transmitted or distributed in a pipeline</w:t>
            </w:r>
            <w:r>
              <w:rPr>
                <w:rFonts w:asciiTheme="minorHAnsi" w:hAnsiTheme="minorHAnsi"/>
                <w:sz w:val="22"/>
                <w:szCs w:val="22"/>
              </w:rPr>
              <w:t xml:space="preserve">’ </w:t>
            </w:r>
            <w:r w:rsidRPr="009C0388">
              <w:rPr>
                <w:rFonts w:asciiTheme="minorHAnsi" w:hAnsiTheme="minorHAnsi"/>
                <w:sz w:val="22"/>
                <w:szCs w:val="22"/>
              </w:rPr>
              <w:t>is consumed through combustion for the purpose of producing electricity</w:t>
            </w:r>
            <w:r w:rsidR="000E5AAD">
              <w:rPr>
                <w:rFonts w:asciiTheme="minorHAnsi" w:hAnsiTheme="minorHAnsi"/>
                <w:sz w:val="22"/>
                <w:szCs w:val="22"/>
              </w:rPr>
              <w:t>.</w:t>
            </w:r>
          </w:p>
        </w:tc>
        <w:tc>
          <w:tcPr>
            <w:tcW w:w="1053" w:type="pct"/>
            <w:vMerge w:val="restart"/>
          </w:tcPr>
          <w:p w14:paraId="25238FE7" w14:textId="0598B6B0"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See </w:t>
            </w:r>
            <w:hyperlink w:anchor="_Estimating_emissions_from" w:history="1">
              <w:r w:rsidRPr="0077628F">
                <w:rPr>
                  <w:rStyle w:val="Hyperlink"/>
                  <w:rFonts w:asciiTheme="minorHAnsi" w:hAnsiTheme="minorHAnsi"/>
                  <w:szCs w:val="22"/>
                </w:rPr>
                <w:t>chapter 4</w:t>
              </w:r>
            </w:hyperlink>
            <w:r w:rsidRPr="009C0388">
              <w:rPr>
                <w:rFonts w:asciiTheme="minorHAnsi" w:hAnsiTheme="minorHAnsi"/>
                <w:sz w:val="22"/>
                <w:szCs w:val="22"/>
              </w:rPr>
              <w:t xml:space="preserve"> of this guideline for estimating emissions from fuel combustion</w:t>
            </w:r>
            <w:r w:rsidR="000E5AAD">
              <w:rPr>
                <w:rFonts w:asciiTheme="minorHAnsi" w:hAnsiTheme="minorHAnsi"/>
                <w:sz w:val="22"/>
                <w:szCs w:val="22"/>
              </w:rPr>
              <w:t>.</w:t>
            </w:r>
          </w:p>
          <w:p w14:paraId="60546211" w14:textId="687AFDD9"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Only one method for estimating emissions should be used for the single occurrence of the source in the case example</w:t>
            </w:r>
            <w:r w:rsidR="000E5AAD">
              <w:rPr>
                <w:rFonts w:asciiTheme="minorHAnsi" w:hAnsiTheme="minorHAnsi"/>
                <w:sz w:val="22"/>
                <w:szCs w:val="22"/>
              </w:rPr>
              <w:t>.</w:t>
            </w:r>
          </w:p>
          <w:p w14:paraId="204300A7" w14:textId="46596806"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In selecting an appropriate method, reporters </w:t>
            </w:r>
            <w:r>
              <w:rPr>
                <w:rFonts w:asciiTheme="minorHAnsi" w:hAnsiTheme="minorHAnsi"/>
                <w:sz w:val="22"/>
                <w:szCs w:val="22"/>
              </w:rPr>
              <w:t>must</w:t>
            </w:r>
            <w:r w:rsidRPr="009C0388">
              <w:rPr>
                <w:rFonts w:asciiTheme="minorHAnsi" w:hAnsiTheme="minorHAnsi"/>
                <w:sz w:val="22"/>
                <w:szCs w:val="22"/>
              </w:rPr>
              <w:t xml:space="preserve"> observe the restrictions for using a lower method from previous year in section 1.18 of the NGER Measurement Determination</w:t>
            </w:r>
            <w:r w:rsidR="000E5AAD">
              <w:rPr>
                <w:rFonts w:asciiTheme="minorHAnsi" w:hAnsiTheme="minorHAnsi"/>
                <w:sz w:val="22"/>
                <w:szCs w:val="22"/>
              </w:rPr>
              <w:t>.</w:t>
            </w:r>
          </w:p>
        </w:tc>
      </w:tr>
      <w:tr w:rsidR="00503817" w:rsidRPr="00FF338C" w14:paraId="0AC8A6CC" w14:textId="77777777" w:rsidTr="00BE11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Pr>
          <w:p w14:paraId="61C39826"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3</w:t>
            </w:r>
          </w:p>
        </w:tc>
        <w:tc>
          <w:tcPr>
            <w:tcW w:w="579" w:type="pct"/>
            <w:shd w:val="clear" w:color="auto" w:fill="F2F2F2" w:themeFill="background1" w:themeFillShade="F2"/>
          </w:tcPr>
          <w:p w14:paraId="27B0D075" w14:textId="1FF644CC"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Direct measurement of carbon dioxide emissions (if using </w:t>
            </w:r>
            <w:r w:rsidR="580B5457" w:rsidRPr="4ECD8E61">
              <w:rPr>
                <w:rFonts w:asciiTheme="minorHAnsi" w:hAnsiTheme="minorHAnsi"/>
                <w:sz w:val="22"/>
                <w:szCs w:val="22"/>
              </w:rPr>
              <w:t>M</w:t>
            </w:r>
            <w:r w:rsidRPr="009C0388">
              <w:rPr>
                <w:rFonts w:asciiTheme="minorHAnsi" w:hAnsiTheme="minorHAnsi"/>
                <w:sz w:val="22"/>
                <w:szCs w:val="22"/>
              </w:rPr>
              <w:t>ethod 4)</w:t>
            </w:r>
          </w:p>
        </w:tc>
        <w:tc>
          <w:tcPr>
            <w:tcW w:w="1053" w:type="pct"/>
          </w:tcPr>
          <w:p w14:paraId="4539EC80" w14:textId="7D00A8A9"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If direct measurement of emissions using </w:t>
            </w:r>
            <w:r w:rsidR="59549B40" w:rsidRPr="4ECD8E61">
              <w:rPr>
                <w:rFonts w:asciiTheme="minorHAnsi" w:hAnsiTheme="minorHAnsi"/>
                <w:sz w:val="22"/>
                <w:szCs w:val="22"/>
              </w:rPr>
              <w:t>M</w:t>
            </w:r>
            <w:r w:rsidRPr="009C0388">
              <w:rPr>
                <w:rFonts w:asciiTheme="minorHAnsi" w:hAnsiTheme="minorHAnsi"/>
                <w:sz w:val="22"/>
                <w:szCs w:val="22"/>
              </w:rPr>
              <w:t>ethod 4:</w:t>
            </w:r>
          </w:p>
          <w:p w14:paraId="5A32B5BA" w14:textId="6D21C832"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Fuel combustion emissions</w:t>
            </w:r>
            <w:r w:rsidR="000E5AAD">
              <w:rPr>
                <w:rFonts w:asciiTheme="minorHAnsi" w:hAnsiTheme="minorHAnsi"/>
                <w:sz w:val="22"/>
                <w:szCs w:val="22"/>
              </w:rPr>
              <w:t>.</w:t>
            </w:r>
          </w:p>
        </w:tc>
        <w:tc>
          <w:tcPr>
            <w:tcW w:w="1053" w:type="pct"/>
            <w:vMerge/>
          </w:tcPr>
          <w:p w14:paraId="6672887E"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106" w:type="pct"/>
          </w:tcPr>
          <w:p w14:paraId="52EB4781"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p w14:paraId="2722F1C3" w14:textId="67AABB1D"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Energy consumption is reported at</w:t>
            </w:r>
            <w:r>
              <w:rPr>
                <w:rFonts w:asciiTheme="minorHAnsi" w:hAnsiTheme="minorHAnsi"/>
                <w:sz w:val="22"/>
                <w:szCs w:val="22"/>
              </w:rPr>
              <w:t xml:space="preserve"> number </w:t>
            </w:r>
            <w:r w:rsidRPr="009C0388">
              <w:rPr>
                <w:rFonts w:asciiTheme="minorHAnsi" w:hAnsiTheme="minorHAnsi"/>
                <w:sz w:val="22"/>
                <w:szCs w:val="22"/>
              </w:rPr>
              <w:t>2</w:t>
            </w:r>
            <w:r w:rsidR="000E5AAD">
              <w:rPr>
                <w:rFonts w:asciiTheme="minorHAnsi" w:hAnsiTheme="minorHAnsi"/>
                <w:sz w:val="22"/>
                <w:szCs w:val="22"/>
              </w:rPr>
              <w:t>.</w:t>
            </w:r>
          </w:p>
        </w:tc>
        <w:tc>
          <w:tcPr>
            <w:tcW w:w="1053" w:type="pct"/>
            <w:vMerge/>
          </w:tcPr>
          <w:p w14:paraId="02A18DC6"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503817" w:rsidRPr="00FF338C" w14:paraId="1FF83553" w14:textId="77777777" w:rsidTr="00BE117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Pr>
          <w:p w14:paraId="4EB386A0"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4</w:t>
            </w:r>
          </w:p>
        </w:tc>
        <w:tc>
          <w:tcPr>
            <w:tcW w:w="579" w:type="pct"/>
            <w:shd w:val="clear" w:color="auto" w:fill="F2F2F2" w:themeFill="background1" w:themeFillShade="F2"/>
          </w:tcPr>
          <w:p w14:paraId="58408088"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Electricity generation at turbine</w:t>
            </w:r>
          </w:p>
        </w:tc>
        <w:tc>
          <w:tcPr>
            <w:tcW w:w="1053" w:type="pct"/>
          </w:tcPr>
          <w:p w14:paraId="3D8FB8D9"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Pr>
          <w:p w14:paraId="4DB335B2"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p w14:paraId="6F1FD7D6" w14:textId="5356AB75"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‘Electricity’ is produced from the turbine and generator but is reported at </w:t>
            </w:r>
            <w:r>
              <w:rPr>
                <w:rFonts w:asciiTheme="minorHAnsi" w:hAnsiTheme="minorHAnsi"/>
                <w:sz w:val="22"/>
                <w:szCs w:val="22"/>
              </w:rPr>
              <w:t xml:space="preserve">numbers </w:t>
            </w:r>
            <w:r w:rsidRPr="009C0388">
              <w:rPr>
                <w:rFonts w:asciiTheme="minorHAnsi" w:hAnsiTheme="minorHAnsi"/>
                <w:sz w:val="22"/>
                <w:szCs w:val="22"/>
              </w:rPr>
              <w:t>5</w:t>
            </w:r>
            <w:r>
              <w:rPr>
                <w:rFonts w:asciiTheme="minorHAnsi" w:hAnsiTheme="minorHAnsi"/>
                <w:sz w:val="22"/>
                <w:szCs w:val="22"/>
              </w:rPr>
              <w:t xml:space="preserve"> to </w:t>
            </w:r>
            <w:r w:rsidRPr="009C0388">
              <w:rPr>
                <w:rFonts w:asciiTheme="minorHAnsi" w:hAnsiTheme="minorHAnsi"/>
                <w:sz w:val="22"/>
                <w:szCs w:val="22"/>
              </w:rPr>
              <w:t>7</w:t>
            </w:r>
            <w:r w:rsidR="006A5E05">
              <w:rPr>
                <w:rFonts w:asciiTheme="minorHAnsi" w:hAnsiTheme="minorHAnsi"/>
                <w:sz w:val="22"/>
                <w:szCs w:val="22"/>
              </w:rPr>
              <w:t>.</w:t>
            </w:r>
          </w:p>
        </w:tc>
        <w:tc>
          <w:tcPr>
            <w:tcW w:w="1106" w:type="pct"/>
          </w:tcPr>
          <w:p w14:paraId="33A81558"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Pr>
          <w:p w14:paraId="52479A53" w14:textId="32D87C02"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Electricity produced </w:t>
            </w:r>
            <w:r>
              <w:rPr>
                <w:rFonts w:asciiTheme="minorHAnsi" w:hAnsiTheme="minorHAnsi"/>
                <w:sz w:val="22"/>
                <w:szCs w:val="22"/>
              </w:rPr>
              <w:t>must</w:t>
            </w:r>
            <w:r w:rsidRPr="009C0388">
              <w:rPr>
                <w:rFonts w:asciiTheme="minorHAnsi" w:hAnsiTheme="minorHAnsi"/>
                <w:sz w:val="22"/>
                <w:szCs w:val="22"/>
              </w:rPr>
              <w:t xml:space="preserve"> be metered at the terminal directly after the turbine</w:t>
            </w:r>
            <w:r>
              <w:rPr>
                <w:rFonts w:asciiTheme="minorHAnsi" w:hAnsiTheme="minorHAnsi"/>
                <w:sz w:val="22"/>
                <w:szCs w:val="22"/>
              </w:rPr>
              <w:t xml:space="preserve"> - see</w:t>
            </w:r>
            <w:r w:rsidRPr="009C0388">
              <w:rPr>
                <w:rFonts w:asciiTheme="minorHAnsi" w:hAnsiTheme="minorHAnsi"/>
                <w:sz w:val="22"/>
                <w:szCs w:val="22"/>
              </w:rPr>
              <w:t xml:space="preserve"> </w:t>
            </w:r>
            <w:hyperlink w:anchor="_Quantifying_electricity_consumption" w:history="1">
              <w:r w:rsidRPr="0077628F">
                <w:rPr>
                  <w:rStyle w:val="Hyperlink"/>
                  <w:rFonts w:asciiTheme="minorHAnsi" w:hAnsiTheme="minorHAnsi"/>
                  <w:szCs w:val="22"/>
                </w:rPr>
                <w:t>chapter 7.3.1</w:t>
              </w:r>
            </w:hyperlink>
            <w:r w:rsidRPr="009C0388">
              <w:rPr>
                <w:rFonts w:asciiTheme="minorHAnsi" w:hAnsiTheme="minorHAnsi"/>
                <w:sz w:val="22"/>
                <w:szCs w:val="22"/>
              </w:rPr>
              <w:t xml:space="preserve"> of this guideline</w:t>
            </w:r>
            <w:r w:rsidR="006A5E05">
              <w:rPr>
                <w:rFonts w:asciiTheme="minorHAnsi" w:hAnsiTheme="minorHAnsi"/>
                <w:sz w:val="22"/>
                <w:szCs w:val="22"/>
              </w:rPr>
              <w:t>.</w:t>
            </w:r>
          </w:p>
        </w:tc>
      </w:tr>
      <w:tr w:rsidR="00503817" w:rsidRPr="00FF338C" w14:paraId="56F25963" w14:textId="77777777" w:rsidTr="00BE11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Pr>
          <w:p w14:paraId="10227C75"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lastRenderedPageBreak/>
              <w:t>5</w:t>
            </w:r>
          </w:p>
        </w:tc>
        <w:tc>
          <w:tcPr>
            <w:tcW w:w="579" w:type="pct"/>
            <w:shd w:val="clear" w:color="auto" w:fill="F2F2F2" w:themeFill="background1" w:themeFillShade="F2"/>
          </w:tcPr>
          <w:p w14:paraId="160D5D0A"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Own produced electricity consumed by facility</w:t>
            </w:r>
          </w:p>
        </w:tc>
        <w:tc>
          <w:tcPr>
            <w:tcW w:w="1053" w:type="pct"/>
          </w:tcPr>
          <w:p w14:paraId="19B6F584"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p w14:paraId="1AF59B3A" w14:textId="15F35831"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This is not a scope 2 emission, because direct emissions caused by facility discharged at (</w:t>
            </w:r>
            <w:r>
              <w:rPr>
                <w:rFonts w:asciiTheme="minorHAnsi" w:hAnsiTheme="minorHAnsi"/>
                <w:sz w:val="22"/>
                <w:szCs w:val="22"/>
              </w:rPr>
              <w:t xml:space="preserve">number </w:t>
            </w:r>
            <w:r w:rsidRPr="009C0388">
              <w:rPr>
                <w:rFonts w:asciiTheme="minorHAnsi" w:hAnsiTheme="minorHAnsi"/>
                <w:sz w:val="22"/>
                <w:szCs w:val="22"/>
              </w:rPr>
              <w:t>3)</w:t>
            </w:r>
            <w:r w:rsidR="006A5E05">
              <w:rPr>
                <w:rFonts w:asciiTheme="minorHAnsi" w:hAnsiTheme="minorHAnsi"/>
                <w:sz w:val="22"/>
                <w:szCs w:val="22"/>
              </w:rPr>
              <w:t>.</w:t>
            </w:r>
          </w:p>
        </w:tc>
        <w:tc>
          <w:tcPr>
            <w:tcW w:w="1053" w:type="pct"/>
          </w:tcPr>
          <w:p w14:paraId="5B50C47A" w14:textId="38BBCA5E"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Electricity produced ‘for use for the purpose of the operation of the facility’</w:t>
            </w:r>
            <w:r>
              <w:rPr>
                <w:rFonts w:asciiTheme="minorHAnsi" w:hAnsiTheme="minorHAnsi"/>
                <w:sz w:val="22"/>
                <w:szCs w:val="22"/>
              </w:rPr>
              <w:t xml:space="preserve"> - that is,</w:t>
            </w:r>
            <w:r w:rsidRPr="009C0388">
              <w:rPr>
                <w:rFonts w:asciiTheme="minorHAnsi" w:hAnsiTheme="minorHAnsi"/>
                <w:sz w:val="22"/>
                <w:szCs w:val="22"/>
              </w:rPr>
              <w:t xml:space="preserve"> for ‘for use onsite’</w:t>
            </w:r>
            <w:r w:rsidR="00844365">
              <w:rPr>
                <w:rFonts w:asciiTheme="minorHAnsi" w:hAnsiTheme="minorHAnsi"/>
                <w:sz w:val="22"/>
                <w:szCs w:val="22"/>
              </w:rPr>
              <w:t>.</w:t>
            </w:r>
          </w:p>
          <w:p w14:paraId="448E764E"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Calculated as residual amount of </w:t>
            </w:r>
            <w:r>
              <w:rPr>
                <w:rFonts w:asciiTheme="minorHAnsi" w:hAnsiTheme="minorHAnsi"/>
                <w:sz w:val="22"/>
                <w:szCs w:val="22"/>
              </w:rPr>
              <w:t xml:space="preserve">number </w:t>
            </w:r>
            <w:r w:rsidRPr="009C0388">
              <w:rPr>
                <w:rFonts w:asciiTheme="minorHAnsi" w:hAnsiTheme="minorHAnsi"/>
                <w:sz w:val="22"/>
                <w:szCs w:val="22"/>
              </w:rPr>
              <w:t xml:space="preserve">4 not delivered at </w:t>
            </w:r>
            <w:r>
              <w:rPr>
                <w:rFonts w:asciiTheme="minorHAnsi" w:hAnsiTheme="minorHAnsi"/>
                <w:sz w:val="22"/>
                <w:szCs w:val="22"/>
              </w:rPr>
              <w:t xml:space="preserve">number </w:t>
            </w:r>
            <w:r w:rsidRPr="009C0388">
              <w:rPr>
                <w:rFonts w:asciiTheme="minorHAnsi" w:hAnsiTheme="minorHAnsi"/>
                <w:sz w:val="22"/>
                <w:szCs w:val="22"/>
              </w:rPr>
              <w:t>6 or 7.</w:t>
            </w:r>
          </w:p>
        </w:tc>
        <w:tc>
          <w:tcPr>
            <w:tcW w:w="1106" w:type="pct"/>
          </w:tcPr>
          <w:p w14:paraId="285D5D16" w14:textId="0923F47A"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‘Own produced electricity’ is consumed for use in own facility</w:t>
            </w:r>
            <w:r w:rsidR="006A5E05">
              <w:rPr>
                <w:rFonts w:asciiTheme="minorHAnsi" w:hAnsiTheme="minorHAnsi"/>
                <w:sz w:val="22"/>
                <w:szCs w:val="22"/>
              </w:rPr>
              <w:t>.</w:t>
            </w:r>
          </w:p>
        </w:tc>
        <w:tc>
          <w:tcPr>
            <w:tcW w:w="1053" w:type="pct"/>
          </w:tcPr>
          <w:p w14:paraId="20C8EB29" w14:textId="244C8AC8"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Electricity consumed by the plant </w:t>
            </w:r>
            <w:r>
              <w:rPr>
                <w:rFonts w:asciiTheme="minorHAnsi" w:hAnsiTheme="minorHAnsi"/>
                <w:sz w:val="22"/>
                <w:szCs w:val="22"/>
              </w:rPr>
              <w:t>must</w:t>
            </w:r>
            <w:r w:rsidRPr="009C0388">
              <w:rPr>
                <w:rFonts w:asciiTheme="minorHAnsi" w:hAnsiTheme="minorHAnsi"/>
                <w:sz w:val="22"/>
                <w:szCs w:val="22"/>
              </w:rPr>
              <w:t xml:space="preserve"> be calculated as per </w:t>
            </w:r>
            <w:hyperlink w:anchor="_Quantifying_electricity_consumption" w:history="1">
              <w:r w:rsidRPr="0077628F">
                <w:rPr>
                  <w:rStyle w:val="Hyperlink"/>
                  <w:rFonts w:asciiTheme="minorHAnsi" w:hAnsiTheme="minorHAnsi"/>
                  <w:szCs w:val="22"/>
                </w:rPr>
                <w:t>chapter 7.3.1</w:t>
              </w:r>
            </w:hyperlink>
            <w:r w:rsidRPr="009C0388">
              <w:rPr>
                <w:rFonts w:asciiTheme="minorHAnsi" w:hAnsiTheme="minorHAnsi"/>
                <w:sz w:val="22"/>
                <w:szCs w:val="22"/>
              </w:rPr>
              <w:t xml:space="preserve"> of this guideline</w:t>
            </w:r>
            <w:r w:rsidR="006A5E05">
              <w:rPr>
                <w:rFonts w:asciiTheme="minorHAnsi" w:hAnsiTheme="minorHAnsi"/>
                <w:sz w:val="22"/>
                <w:szCs w:val="22"/>
              </w:rPr>
              <w:t>.</w:t>
            </w:r>
          </w:p>
        </w:tc>
      </w:tr>
      <w:tr w:rsidR="00E8658A" w:rsidRPr="00FF338C" w14:paraId="1A6565E7" w14:textId="77777777" w:rsidTr="00BE117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Borders>
              <w:bottom w:val="single" w:sz="8" w:space="0" w:color="E8E8E8" w:themeColor="background2"/>
            </w:tcBorders>
          </w:tcPr>
          <w:p w14:paraId="2A5C0E79"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6</w:t>
            </w:r>
          </w:p>
        </w:tc>
        <w:tc>
          <w:tcPr>
            <w:tcW w:w="579" w:type="pct"/>
            <w:tcBorders>
              <w:bottom w:val="single" w:sz="8" w:space="0" w:color="E8E8E8" w:themeColor="background2"/>
            </w:tcBorders>
            <w:shd w:val="clear" w:color="auto" w:fill="F2F2F2" w:themeFill="background1" w:themeFillShade="F2"/>
          </w:tcPr>
          <w:p w14:paraId="28A3F3D4"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Produced electricity delivered directly to nearby facility</w:t>
            </w:r>
          </w:p>
        </w:tc>
        <w:tc>
          <w:tcPr>
            <w:tcW w:w="1053" w:type="pct"/>
            <w:tcBorders>
              <w:bottom w:val="single" w:sz="8" w:space="0" w:color="E8E8E8" w:themeColor="background2"/>
            </w:tcBorders>
          </w:tcPr>
          <w:p w14:paraId="34CDC483"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Borders>
              <w:bottom w:val="single" w:sz="8" w:space="0" w:color="E8E8E8" w:themeColor="background2"/>
            </w:tcBorders>
          </w:tcPr>
          <w:p w14:paraId="54F8ADC8" w14:textId="3FC0F1EA"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Electricity produced ‘for use outside the operation of the facility other than for the supply to an electricity transmission or distribution network’</w:t>
            </w:r>
            <w:r>
              <w:rPr>
                <w:rFonts w:asciiTheme="minorHAnsi" w:hAnsiTheme="minorHAnsi"/>
                <w:sz w:val="22"/>
                <w:szCs w:val="22"/>
              </w:rPr>
              <w:t xml:space="preserve"> - that is,</w:t>
            </w:r>
            <w:r w:rsidRPr="009C0388">
              <w:rPr>
                <w:rFonts w:asciiTheme="minorHAnsi" w:hAnsiTheme="minorHAnsi"/>
                <w:sz w:val="22"/>
                <w:szCs w:val="22"/>
              </w:rPr>
              <w:t xml:space="preserve"> for ‘use offsite, not supplied to network’</w:t>
            </w:r>
            <w:r w:rsidR="006A5E05">
              <w:rPr>
                <w:rFonts w:asciiTheme="minorHAnsi" w:hAnsiTheme="minorHAnsi"/>
                <w:sz w:val="22"/>
                <w:szCs w:val="22"/>
              </w:rPr>
              <w:t>.</w:t>
            </w:r>
          </w:p>
        </w:tc>
        <w:tc>
          <w:tcPr>
            <w:tcW w:w="1106" w:type="pct"/>
            <w:tcBorders>
              <w:bottom w:val="single" w:sz="8" w:space="0" w:color="E8E8E8" w:themeColor="background2"/>
            </w:tcBorders>
          </w:tcPr>
          <w:p w14:paraId="632FA37A" w14:textId="77777777"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Borders>
              <w:bottom w:val="single" w:sz="8" w:space="0" w:color="E8E8E8" w:themeColor="background2"/>
            </w:tcBorders>
          </w:tcPr>
          <w:p w14:paraId="359F66A6" w14:textId="67C56DDA"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The amount of electricity </w:t>
            </w:r>
            <w:r w:rsidRPr="009C0388" w:rsidDel="00EC08C0">
              <w:rPr>
                <w:rFonts w:asciiTheme="minorHAnsi" w:hAnsiTheme="minorHAnsi"/>
                <w:sz w:val="22"/>
                <w:szCs w:val="22"/>
              </w:rPr>
              <w:t xml:space="preserve">should </w:t>
            </w:r>
            <w:r w:rsidRPr="009C0388">
              <w:rPr>
                <w:rFonts w:asciiTheme="minorHAnsi" w:hAnsiTheme="minorHAnsi"/>
                <w:sz w:val="22"/>
                <w:szCs w:val="22"/>
              </w:rPr>
              <w:t>be measured as delivered (as close to boundary as possible)</w:t>
            </w:r>
            <w:r w:rsidR="006A5E05">
              <w:rPr>
                <w:rFonts w:asciiTheme="minorHAnsi" w:hAnsiTheme="minorHAnsi"/>
                <w:sz w:val="22"/>
                <w:szCs w:val="22"/>
              </w:rPr>
              <w:t>.</w:t>
            </w:r>
          </w:p>
          <w:p w14:paraId="3F31B44A" w14:textId="1FF3D071" w:rsidR="00913E4B"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That other facility </w:t>
            </w:r>
            <w:r w:rsidRPr="009C0388" w:rsidDel="00EC08C0">
              <w:rPr>
                <w:rFonts w:asciiTheme="minorHAnsi" w:hAnsiTheme="minorHAnsi"/>
                <w:sz w:val="22"/>
                <w:szCs w:val="22"/>
              </w:rPr>
              <w:t xml:space="preserve">should </w:t>
            </w:r>
            <w:r w:rsidRPr="009C0388">
              <w:rPr>
                <w:rFonts w:asciiTheme="minorHAnsi" w:hAnsiTheme="minorHAnsi"/>
                <w:sz w:val="22"/>
                <w:szCs w:val="22"/>
              </w:rPr>
              <w:t>report this electricity use as scope 2 emission (provided it is acquired through a commercial transaction)</w:t>
            </w:r>
            <w:r w:rsidR="006A5E05">
              <w:rPr>
                <w:rFonts w:asciiTheme="minorHAnsi" w:hAnsiTheme="minorHAnsi"/>
                <w:sz w:val="22"/>
                <w:szCs w:val="22"/>
              </w:rPr>
              <w:t>.</w:t>
            </w:r>
          </w:p>
          <w:p w14:paraId="70DE4762" w14:textId="341E1F6F" w:rsidR="00913E4B" w:rsidRPr="009C0388" w:rsidRDefault="00913E4B">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The gas-fired power station should preferably provide the other facility with the emissions factor for the produced electricity</w:t>
            </w:r>
            <w:r w:rsidR="006A5E05">
              <w:rPr>
                <w:rFonts w:asciiTheme="minorHAnsi" w:hAnsiTheme="minorHAnsi"/>
                <w:sz w:val="22"/>
                <w:szCs w:val="22"/>
              </w:rPr>
              <w:t>.</w:t>
            </w:r>
          </w:p>
        </w:tc>
      </w:tr>
      <w:tr w:rsidR="00864289" w:rsidRPr="00FF338C" w14:paraId="6F5FACF5" w14:textId="77777777" w:rsidTr="00BE11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6" w:type="pct"/>
            <w:tcBorders>
              <w:top w:val="single" w:sz="8" w:space="0" w:color="E8E8E8" w:themeColor="background2"/>
              <w:bottom w:val="single" w:sz="4" w:space="0" w:color="FCBA5C" w:themeColor="accent2"/>
            </w:tcBorders>
          </w:tcPr>
          <w:p w14:paraId="3F030697" w14:textId="77777777" w:rsidR="00913E4B" w:rsidRPr="009C0388" w:rsidRDefault="00913E4B">
            <w:pPr>
              <w:pStyle w:val="Body"/>
              <w:ind w:left="0"/>
              <w:rPr>
                <w:rFonts w:asciiTheme="minorHAnsi" w:hAnsiTheme="minorHAnsi"/>
                <w:sz w:val="22"/>
                <w:szCs w:val="22"/>
              </w:rPr>
            </w:pPr>
            <w:r w:rsidRPr="009C0388">
              <w:rPr>
                <w:rFonts w:asciiTheme="minorHAnsi" w:hAnsiTheme="minorHAnsi"/>
                <w:sz w:val="22"/>
                <w:szCs w:val="22"/>
              </w:rPr>
              <w:t>7</w:t>
            </w:r>
          </w:p>
        </w:tc>
        <w:tc>
          <w:tcPr>
            <w:tcW w:w="579" w:type="pct"/>
            <w:tcBorders>
              <w:top w:val="single" w:sz="8" w:space="0" w:color="E8E8E8" w:themeColor="background2"/>
              <w:bottom w:val="single" w:sz="4" w:space="0" w:color="FCBA5C" w:themeColor="accent2"/>
            </w:tcBorders>
            <w:shd w:val="clear" w:color="auto" w:fill="F2F2F2" w:themeFill="background1" w:themeFillShade="F2"/>
          </w:tcPr>
          <w:p w14:paraId="7220A71E"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Electricity transferred to an electricity network</w:t>
            </w:r>
          </w:p>
        </w:tc>
        <w:tc>
          <w:tcPr>
            <w:tcW w:w="1053" w:type="pct"/>
            <w:tcBorders>
              <w:top w:val="single" w:sz="8" w:space="0" w:color="E8E8E8" w:themeColor="background2"/>
              <w:bottom w:val="single" w:sz="4" w:space="0" w:color="FCBA5C" w:themeColor="accent2"/>
            </w:tcBorders>
          </w:tcPr>
          <w:p w14:paraId="69B8290D"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Borders>
              <w:top w:val="single" w:sz="8" w:space="0" w:color="E8E8E8" w:themeColor="background2"/>
              <w:bottom w:val="single" w:sz="4" w:space="0" w:color="FCBA5C" w:themeColor="accent2"/>
            </w:tcBorders>
          </w:tcPr>
          <w:p w14:paraId="590BBB00" w14:textId="351B25F8"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Electricity produced ‘for use outside the operation of the facility for supply to an electricity transmission or distribution network’ – </w:t>
            </w:r>
            <w:r>
              <w:rPr>
                <w:rFonts w:asciiTheme="minorHAnsi" w:hAnsiTheme="minorHAnsi"/>
                <w:sz w:val="22"/>
                <w:szCs w:val="22"/>
              </w:rPr>
              <w:t xml:space="preserve">that is, </w:t>
            </w:r>
            <w:r w:rsidRPr="009C0388">
              <w:rPr>
                <w:rFonts w:asciiTheme="minorHAnsi" w:hAnsiTheme="minorHAnsi"/>
                <w:sz w:val="22"/>
                <w:szCs w:val="22"/>
              </w:rPr>
              <w:t>‘for use offsite, supplied to network’</w:t>
            </w:r>
            <w:r w:rsidR="006A5E05">
              <w:rPr>
                <w:rFonts w:asciiTheme="minorHAnsi" w:hAnsiTheme="minorHAnsi"/>
                <w:sz w:val="22"/>
                <w:szCs w:val="22"/>
              </w:rPr>
              <w:t>.</w:t>
            </w:r>
          </w:p>
        </w:tc>
        <w:tc>
          <w:tcPr>
            <w:tcW w:w="1106" w:type="pct"/>
            <w:tcBorders>
              <w:top w:val="single" w:sz="8" w:space="0" w:color="E8E8E8" w:themeColor="background2"/>
              <w:bottom w:val="single" w:sz="4" w:space="0" w:color="FCBA5C" w:themeColor="accent2"/>
            </w:tcBorders>
          </w:tcPr>
          <w:p w14:paraId="3211E2B1" w14:textId="77777777"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None</w:t>
            </w:r>
          </w:p>
        </w:tc>
        <w:tc>
          <w:tcPr>
            <w:tcW w:w="1053" w:type="pct"/>
            <w:tcBorders>
              <w:top w:val="single" w:sz="8" w:space="0" w:color="E8E8E8" w:themeColor="background2"/>
              <w:bottom w:val="single" w:sz="4" w:space="0" w:color="FCBA5C" w:themeColor="accent2"/>
            </w:tcBorders>
          </w:tcPr>
          <w:p w14:paraId="73326528" w14:textId="4C9B0065" w:rsidR="00913E4B" w:rsidRPr="009C0388" w:rsidRDefault="00913E4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C0388">
              <w:rPr>
                <w:rFonts w:asciiTheme="minorHAnsi" w:hAnsiTheme="minorHAnsi"/>
                <w:sz w:val="22"/>
                <w:szCs w:val="22"/>
              </w:rPr>
              <w:t xml:space="preserve">Electricity transferred to the electricity network </w:t>
            </w:r>
            <w:r>
              <w:rPr>
                <w:rFonts w:asciiTheme="minorHAnsi" w:hAnsiTheme="minorHAnsi"/>
                <w:sz w:val="22"/>
                <w:szCs w:val="22"/>
              </w:rPr>
              <w:t>must</w:t>
            </w:r>
            <w:r w:rsidRPr="009C0388">
              <w:rPr>
                <w:rFonts w:asciiTheme="minorHAnsi" w:hAnsiTheme="minorHAnsi"/>
                <w:sz w:val="22"/>
                <w:szCs w:val="22"/>
              </w:rPr>
              <w:t xml:space="preserve"> be metered at the network connection point by the distributor</w:t>
            </w:r>
            <w:r>
              <w:rPr>
                <w:rFonts w:asciiTheme="minorHAnsi" w:hAnsiTheme="minorHAnsi"/>
                <w:sz w:val="22"/>
                <w:szCs w:val="22"/>
              </w:rPr>
              <w:t xml:space="preserve"> - see </w:t>
            </w:r>
            <w:hyperlink w:anchor="_Quantifying_electricity_consumption" w:history="1">
              <w:r w:rsidRPr="0077628F">
                <w:rPr>
                  <w:rStyle w:val="Hyperlink"/>
                  <w:rFonts w:asciiTheme="minorHAnsi" w:hAnsiTheme="minorHAnsi"/>
                  <w:szCs w:val="22"/>
                </w:rPr>
                <w:t>chapter 7.3.1</w:t>
              </w:r>
            </w:hyperlink>
            <w:r w:rsidRPr="009C0388">
              <w:rPr>
                <w:rFonts w:asciiTheme="minorHAnsi" w:hAnsiTheme="minorHAnsi"/>
                <w:sz w:val="22"/>
                <w:szCs w:val="22"/>
              </w:rPr>
              <w:t xml:space="preserve"> of this guideline</w:t>
            </w:r>
            <w:r w:rsidR="006A5E05">
              <w:rPr>
                <w:rFonts w:asciiTheme="minorHAnsi" w:hAnsiTheme="minorHAnsi"/>
                <w:sz w:val="22"/>
                <w:szCs w:val="22"/>
              </w:rPr>
              <w:t>.</w:t>
            </w:r>
          </w:p>
        </w:tc>
      </w:tr>
    </w:tbl>
    <w:p w14:paraId="1ECF1108" w14:textId="77777777" w:rsidR="00913E4B" w:rsidRDefault="00913E4B" w:rsidP="00913E4B">
      <w:pPr>
        <w:spacing w:after="0"/>
        <w:sectPr w:rsidR="00913E4B">
          <w:headerReference w:type="default" r:id="rId75"/>
          <w:headerReference w:type="first" r:id="rId76"/>
          <w:pgSz w:w="16840" w:h="11900" w:orient="landscape" w:code="9"/>
          <w:pgMar w:top="1080" w:right="889" w:bottom="1080" w:left="993" w:header="397" w:footer="113" w:gutter="0"/>
          <w:cols w:space="708"/>
          <w:titlePg/>
          <w:docGrid w:linePitch="326"/>
        </w:sectPr>
      </w:pPr>
    </w:p>
    <w:p w14:paraId="768EA6DC" w14:textId="77777777" w:rsidR="004B02E8" w:rsidRPr="00FF338C" w:rsidRDefault="004B02E8" w:rsidP="004B02E8">
      <w:pPr>
        <w:pStyle w:val="Heading3"/>
        <w:rPr>
          <w:lang w:val="en-GB"/>
        </w:rPr>
      </w:pPr>
      <w:bookmarkStart w:id="617" w:name="_Toc512010431"/>
      <w:bookmarkStart w:id="618" w:name="_Toc512339631"/>
      <w:bookmarkStart w:id="619" w:name="_Ref138678767"/>
      <w:bookmarkStart w:id="620" w:name="_Ref232416242"/>
      <w:bookmarkStart w:id="621" w:name="_Ref232416341"/>
      <w:bookmarkStart w:id="622" w:name="_Toc235706380"/>
      <w:r w:rsidRPr="00FF338C">
        <w:rPr>
          <w:lang w:val="en-GB"/>
        </w:rPr>
        <w:lastRenderedPageBreak/>
        <w:t>Case example 2: Hydro power plant</w:t>
      </w:r>
      <w:bookmarkEnd w:id="617"/>
      <w:bookmarkEnd w:id="618"/>
      <w:bookmarkEnd w:id="619"/>
      <w:bookmarkEnd w:id="620"/>
      <w:bookmarkEnd w:id="621"/>
      <w:bookmarkEnd w:id="622"/>
    </w:p>
    <w:p w14:paraId="59A43CD5" w14:textId="28C3386A" w:rsidR="004B02E8" w:rsidRPr="00FF338C" w:rsidRDefault="006E2F91" w:rsidP="004B02E8">
      <w:pPr>
        <w:pStyle w:val="Body"/>
        <w:ind w:left="0"/>
        <w:rPr>
          <w:rFonts w:asciiTheme="minorHAnsi" w:hAnsiTheme="minorHAnsi"/>
          <w:sz w:val="22"/>
          <w:szCs w:val="20"/>
        </w:rPr>
      </w:pPr>
      <w:r w:rsidRPr="008C101E">
        <w:rPr>
          <w:bCs/>
        </w:rPr>
        <w:fldChar w:fldCharType="begin" w:fldLock="1"/>
      </w:r>
      <w:r w:rsidRPr="008C101E">
        <w:rPr>
          <w:bCs/>
        </w:rPr>
        <w:instrText xml:space="preserve"> REF _Ref199340118  \* MERGEFORMAT </w:instrText>
      </w:r>
      <w:r w:rsidRPr="008C101E">
        <w:rPr>
          <w:bCs/>
        </w:rPr>
        <w:fldChar w:fldCharType="separate"/>
      </w:r>
      <w:r w:rsidRPr="008C101E">
        <w:rPr>
          <w:bCs/>
        </w:rPr>
        <w:t xml:space="preserve">Figure </w:t>
      </w:r>
      <w:r w:rsidRPr="008C101E">
        <w:rPr>
          <w:bCs/>
          <w:noProof/>
        </w:rPr>
        <w:t>8</w:t>
      </w:r>
      <w:r w:rsidRPr="008C101E">
        <w:rPr>
          <w:bCs/>
        </w:rPr>
        <w:fldChar w:fldCharType="end"/>
      </w:r>
      <w:r w:rsidRPr="008C101E">
        <w:rPr>
          <w:bCs/>
        </w:rPr>
        <w:t xml:space="preserve"> </w:t>
      </w:r>
      <w:r w:rsidR="004B02E8" w:rsidRPr="00FF338C">
        <w:rPr>
          <w:rFonts w:asciiTheme="minorHAnsi" w:hAnsiTheme="minorHAnsi"/>
          <w:sz w:val="22"/>
          <w:szCs w:val="20"/>
        </w:rPr>
        <w:t>shows an overview of the main types of energy production and consumption processes at a hydro power plant. Each circled number on the diagram relates to a main process point.</w:t>
      </w:r>
    </w:p>
    <w:p w14:paraId="0CBE9B69" w14:textId="055730F5" w:rsidR="004B02E8" w:rsidRPr="00FF338C" w:rsidRDefault="001A3AC2" w:rsidP="00D2141E">
      <w:r>
        <w:rPr>
          <w:szCs w:val="22"/>
        </w:rPr>
        <w:fldChar w:fldCharType="begin" w:fldLock="1"/>
      </w:r>
      <w:r>
        <w:rPr>
          <w:szCs w:val="22"/>
        </w:rPr>
        <w:instrText xml:space="preserve"> REF _Ref199339087 </w:instrText>
      </w:r>
      <w:r>
        <w:rPr>
          <w:szCs w:val="22"/>
        </w:rPr>
        <w:fldChar w:fldCharType="separate"/>
      </w:r>
      <w:r>
        <w:t xml:space="preserve">Table </w:t>
      </w:r>
      <w:r>
        <w:rPr>
          <w:noProof/>
        </w:rPr>
        <w:t>19</w:t>
      </w:r>
      <w:r>
        <w:rPr>
          <w:szCs w:val="22"/>
        </w:rPr>
        <w:fldChar w:fldCharType="end"/>
      </w:r>
      <w:r>
        <w:rPr>
          <w:szCs w:val="22"/>
        </w:rPr>
        <w:t xml:space="preserve"> </w:t>
      </w:r>
      <w:r w:rsidR="004B02E8" w:rsidRPr="00FF338C">
        <w:t>shows the emissions, energy consumption, energy production, and additional reporting requirements associated with each of these process points.</w:t>
      </w:r>
    </w:p>
    <w:p w14:paraId="075CD16E" w14:textId="77777777" w:rsidR="004B02E8" w:rsidRPr="00FF338C" w:rsidRDefault="004B02E8" w:rsidP="004B02E8">
      <w:pPr>
        <w:pStyle w:val="Heading4"/>
      </w:pPr>
      <w:bookmarkStart w:id="623" w:name="_Toc235706381"/>
      <w:r w:rsidRPr="00FF338C">
        <w:t>NGER activities and industry sector</w:t>
      </w:r>
      <w:bookmarkEnd w:id="623"/>
    </w:p>
    <w:p w14:paraId="0EDB2AFA" w14:textId="38AD5D09" w:rsidR="004B02E8" w:rsidRPr="00FF338C" w:rsidRDefault="004B02E8" w:rsidP="004B02E8">
      <w:pPr>
        <w:pStyle w:val="Body"/>
        <w:ind w:left="0"/>
        <w:rPr>
          <w:rFonts w:asciiTheme="minorHAnsi" w:hAnsiTheme="minorHAnsi"/>
          <w:sz w:val="22"/>
          <w:szCs w:val="22"/>
        </w:rPr>
      </w:pPr>
      <w:r w:rsidRPr="00FF338C">
        <w:rPr>
          <w:rFonts w:asciiTheme="minorHAnsi" w:hAnsiTheme="minorHAnsi"/>
          <w:sz w:val="22"/>
          <w:szCs w:val="22"/>
        </w:rPr>
        <w:t>The hydro power plant has been classified as a single facility for NGER reporting purposes. The correct ANZSIC code is ‘261 Electricity generation’. It includes the following reportable activities</w:t>
      </w:r>
      <w:r w:rsidR="00A955D9">
        <w:rPr>
          <w:rFonts w:asciiTheme="minorHAnsi" w:hAnsiTheme="minorHAnsi"/>
          <w:sz w:val="22"/>
          <w:szCs w:val="22"/>
        </w:rPr>
        <w:t>.</w:t>
      </w:r>
    </w:p>
    <w:p w14:paraId="090C6D46" w14:textId="344B51AE" w:rsidR="004B02E8" w:rsidRDefault="004B02E8" w:rsidP="00D2141E">
      <w:pPr>
        <w:spacing w:before="120" w:after="120"/>
        <w:rPr>
          <w:szCs w:val="22"/>
        </w:rPr>
      </w:pPr>
      <w:r w:rsidRPr="79B44BC7">
        <w:rPr>
          <w:b/>
        </w:rPr>
        <w:t>Energy reporting for electricity produced</w:t>
      </w:r>
    </w:p>
    <w:p w14:paraId="3CC8CF9A" w14:textId="4329378B" w:rsidR="004B02E8" w:rsidRDefault="004B02E8" w:rsidP="00D2141E">
      <w:pPr>
        <w:pStyle w:val="CERbullets"/>
      </w:pPr>
      <w:r w:rsidRPr="00FF338C">
        <w:t>Electricity is produced in a turbine (</w:t>
      </w:r>
      <w:r>
        <w:t xml:space="preserve">number </w:t>
      </w:r>
      <w:r w:rsidRPr="00FF338C">
        <w:t xml:space="preserve">3 as metered at </w:t>
      </w:r>
      <w:r>
        <w:t xml:space="preserve">number </w:t>
      </w:r>
      <w:r w:rsidRPr="00FF338C">
        <w:t xml:space="preserve">4). </w:t>
      </w:r>
    </w:p>
    <w:p w14:paraId="7ED1111F" w14:textId="23F3F2E6" w:rsidR="004B02E8" w:rsidRDefault="00A955D9" w:rsidP="00D2141E">
      <w:pPr>
        <w:pStyle w:val="CERbullets"/>
      </w:pPr>
      <w:r>
        <w:t xml:space="preserve"> </w:t>
      </w:r>
      <w:r w:rsidR="004B02E8" w:rsidRPr="00FF338C">
        <w:t>A portion of the electricity generated is fed back into the facility for plant operations (</w:t>
      </w:r>
      <w:r w:rsidR="004B02E8">
        <w:t xml:space="preserve">number </w:t>
      </w:r>
      <w:r w:rsidR="004B02E8" w:rsidRPr="00FF338C">
        <w:t>5), and some is lost in a 50</w:t>
      </w:r>
      <w:r w:rsidR="003103D0">
        <w:t> </w:t>
      </w:r>
      <w:r w:rsidR="004B02E8" w:rsidRPr="00FF338C">
        <w:t>km transmission line to the delivery point to the electricity network (</w:t>
      </w:r>
      <w:r w:rsidR="004B02E8">
        <w:t xml:space="preserve">number </w:t>
      </w:r>
      <w:r w:rsidR="004B02E8" w:rsidRPr="00FF338C">
        <w:t xml:space="preserve">6). </w:t>
      </w:r>
    </w:p>
    <w:p w14:paraId="358ACBB9" w14:textId="58200843" w:rsidR="004B02E8" w:rsidRPr="00FF338C" w:rsidRDefault="004B02E8" w:rsidP="00D2141E">
      <w:pPr>
        <w:pStyle w:val="CERbullets"/>
      </w:pPr>
      <w:r w:rsidRPr="00FF338C">
        <w:t>The remaining electricity generated is transferred to an electricity network (</w:t>
      </w:r>
      <w:r>
        <w:t xml:space="preserve">number </w:t>
      </w:r>
      <w:r w:rsidRPr="00FF338C">
        <w:t xml:space="preserve">7). </w:t>
      </w:r>
    </w:p>
    <w:p w14:paraId="28B63C9E" w14:textId="420FC8A1" w:rsidR="004B02E8" w:rsidRPr="00FF338C" w:rsidRDefault="004B02E8" w:rsidP="004B02E8">
      <w:pPr>
        <w:spacing w:before="120" w:after="120"/>
        <w:rPr>
          <w:szCs w:val="22"/>
        </w:rPr>
      </w:pPr>
      <w:r>
        <w:rPr>
          <w:szCs w:val="22"/>
        </w:rPr>
        <w:t xml:space="preserve">See </w:t>
      </w:r>
      <w:hyperlink w:anchor="_Energy_production_and" w:history="1">
        <w:r w:rsidRPr="0077628F">
          <w:rPr>
            <w:rStyle w:val="Hyperlink"/>
            <w:rFonts w:asciiTheme="minorHAnsi" w:hAnsiTheme="minorHAnsi"/>
            <w:szCs w:val="22"/>
          </w:rPr>
          <w:t>chapter 7</w:t>
        </w:r>
      </w:hyperlink>
      <w:r>
        <w:rPr>
          <w:szCs w:val="22"/>
        </w:rPr>
        <w:t xml:space="preserve"> </w:t>
      </w:r>
      <w:r w:rsidRPr="00FF338C">
        <w:rPr>
          <w:szCs w:val="22"/>
        </w:rPr>
        <w:t>of this guideline for reporting of electricity production and for electricity produced for use onsite.</w:t>
      </w:r>
    </w:p>
    <w:p w14:paraId="72404D04" w14:textId="77777777" w:rsidR="004B02E8" w:rsidRPr="00FF338C" w:rsidRDefault="004B02E8" w:rsidP="004B02E8">
      <w:pPr>
        <w:pStyle w:val="Body"/>
        <w:ind w:left="0"/>
        <w:rPr>
          <w:rFonts w:asciiTheme="minorHAnsi" w:hAnsiTheme="minorHAnsi"/>
          <w:sz w:val="22"/>
          <w:szCs w:val="22"/>
        </w:rPr>
      </w:pPr>
      <w:r w:rsidRPr="00FF338C">
        <w:rPr>
          <w:rFonts w:asciiTheme="minorHAnsi" w:hAnsiTheme="minorHAnsi"/>
          <w:sz w:val="22"/>
          <w:szCs w:val="22"/>
        </w:rPr>
        <w:t>Other reportable NGER activities not included in the example are likely to occur, including:</w:t>
      </w:r>
    </w:p>
    <w:p w14:paraId="27D78791" w14:textId="2B26230D" w:rsidR="004B02E8" w:rsidRPr="00FF338C" w:rsidRDefault="00D42687" w:rsidP="00B3330E">
      <w:pPr>
        <w:pStyle w:val="CERbullets"/>
        <w:numPr>
          <w:ilvl w:val="0"/>
          <w:numId w:val="7"/>
        </w:numPr>
      </w:pPr>
      <w:r>
        <w:t>s</w:t>
      </w:r>
      <w:r w:rsidR="004B02E8" w:rsidRPr="00FF338C">
        <w:t>cope 1 fuel combustion emissions from transport, stationary energy purposes (other than electricity generation) – for example, liquid fuel combustion in light vehicles</w:t>
      </w:r>
    </w:p>
    <w:p w14:paraId="12789BEC" w14:textId="480D7E44" w:rsidR="004B02E8" w:rsidRPr="00FF338C" w:rsidRDefault="00D42687" w:rsidP="00B3330E">
      <w:pPr>
        <w:pStyle w:val="ListParagraph"/>
        <w:numPr>
          <w:ilvl w:val="0"/>
          <w:numId w:val="7"/>
        </w:numPr>
      </w:pPr>
      <w:r>
        <w:t>t</w:t>
      </w:r>
      <w:r w:rsidR="004B02E8" w:rsidRPr="00FF338C">
        <w:t xml:space="preserve">he consumption of </w:t>
      </w:r>
      <w:r w:rsidR="004B02E8" w:rsidRPr="00FD22FB">
        <w:t>PBOGs</w:t>
      </w:r>
      <w:r w:rsidR="004B02E8" w:rsidRPr="00FF338C">
        <w:t>.</w:t>
      </w:r>
      <w:r w:rsidR="002E07E5">
        <w:t xml:space="preserve"> </w:t>
      </w:r>
      <w:r w:rsidR="003262E1">
        <w:t xml:space="preserve">Read the </w:t>
      </w:r>
      <w:hyperlink r:id="rId77" w:tooltip="A link to the Petroleum-based oils and greases guide on the Clean Energy Regulator website" w:history="1">
        <w:r w:rsidR="003262E1">
          <w:rPr>
            <w:rStyle w:val="Hyperlink"/>
            <w:rFonts w:asciiTheme="minorHAnsi" w:hAnsiTheme="minorHAnsi"/>
          </w:rPr>
          <w:t>P</w:t>
        </w:r>
        <w:r w:rsidR="00F8769F" w:rsidRPr="003262E1">
          <w:rPr>
            <w:rStyle w:val="Hyperlink"/>
            <w:rFonts w:asciiTheme="minorHAnsi" w:hAnsiTheme="minorHAnsi"/>
          </w:rPr>
          <w:t xml:space="preserve">etroleum-based oils and </w:t>
        </w:r>
        <w:r w:rsidR="00D95248" w:rsidRPr="003262E1">
          <w:rPr>
            <w:rStyle w:val="Hyperlink"/>
            <w:rFonts w:asciiTheme="minorHAnsi" w:hAnsiTheme="minorHAnsi"/>
          </w:rPr>
          <w:t>grease</w:t>
        </w:r>
        <w:r w:rsidR="003262E1">
          <w:rPr>
            <w:rStyle w:val="Hyperlink"/>
            <w:rFonts w:asciiTheme="minorHAnsi" w:hAnsiTheme="minorHAnsi"/>
          </w:rPr>
          <w:t>s guideline</w:t>
        </w:r>
      </w:hyperlink>
      <w:r w:rsidR="004B0870">
        <w:rPr>
          <w:rFonts w:ascii="ZWAdobeF" w:hAnsi="ZWAdobeF" w:cs="ZWAdobeF"/>
          <w:color w:val="auto"/>
          <w:sz w:val="2"/>
          <w:szCs w:val="2"/>
        </w:rPr>
        <w:t>41F</w:t>
      </w:r>
      <w:r w:rsidR="00001129">
        <w:rPr>
          <w:rStyle w:val="FootnoteReference"/>
        </w:rPr>
        <w:footnoteReference w:id="43"/>
      </w:r>
      <w:r w:rsidR="003262E1">
        <w:t xml:space="preserve"> </w:t>
      </w:r>
    </w:p>
    <w:p w14:paraId="380262D5" w14:textId="293B9442" w:rsidR="004B02E8" w:rsidRPr="00FF338C" w:rsidRDefault="00D42687" w:rsidP="00B3330E">
      <w:pPr>
        <w:pStyle w:val="CERbullets"/>
        <w:numPr>
          <w:ilvl w:val="0"/>
          <w:numId w:val="7"/>
        </w:numPr>
      </w:pPr>
      <w:r>
        <w:t>c</w:t>
      </w:r>
      <w:r w:rsidR="004B02E8" w:rsidRPr="00FF338C">
        <w:t>ontractor energy and emissions data if part of the facility’s production process under the operational control of the facility (likely to include fuel combustion emissions and consumption, if occurring).</w:t>
      </w:r>
      <w:r w:rsidR="00E423B4">
        <w:t xml:space="preserve"> </w:t>
      </w:r>
      <w:r w:rsidR="003262E1">
        <w:t>Read</w:t>
      </w:r>
      <w:r w:rsidR="00E63864">
        <w:t xml:space="preserve"> </w:t>
      </w:r>
      <w:r w:rsidR="00FD658A">
        <w:t>the Guideline</w:t>
      </w:r>
      <w:r w:rsidR="00400C53">
        <w:t xml:space="preserve"> NGER definin</w:t>
      </w:r>
      <w:r w:rsidR="00507F50">
        <w:t>g facilities</w:t>
      </w:r>
      <w:r w:rsidR="004B0870">
        <w:rPr>
          <w:rFonts w:ascii="ZWAdobeF" w:hAnsi="ZWAdobeF" w:cs="ZWAdobeF"/>
          <w:sz w:val="2"/>
          <w:szCs w:val="2"/>
        </w:rPr>
        <w:t>42F</w:t>
      </w:r>
      <w:r w:rsidR="00507F50">
        <w:rPr>
          <w:rStyle w:val="FootnoteReference"/>
        </w:rPr>
        <w:footnoteReference w:id="44"/>
      </w:r>
      <w:r w:rsidR="0017740A">
        <w:t xml:space="preserve"> and the </w:t>
      </w:r>
      <w:hyperlink r:id="rId78" w:tooltip="A link to the Contracts and leasing guide on the Clean Energy Regulator website" w:history="1">
        <w:r w:rsidR="0017740A" w:rsidRPr="00D924C3">
          <w:rPr>
            <w:rStyle w:val="Hyperlink"/>
            <w:rFonts w:asciiTheme="minorHAnsi" w:hAnsiTheme="minorHAnsi"/>
          </w:rPr>
          <w:t>Contracts and leasing guideline</w:t>
        </w:r>
      </w:hyperlink>
      <w:r w:rsidR="004B0870">
        <w:rPr>
          <w:rFonts w:ascii="ZWAdobeF" w:hAnsi="ZWAdobeF" w:cs="ZWAdobeF"/>
          <w:sz w:val="2"/>
          <w:szCs w:val="2"/>
        </w:rPr>
        <w:t>43F</w:t>
      </w:r>
      <w:r w:rsidR="00D924C3">
        <w:rPr>
          <w:rStyle w:val="FootnoteReference"/>
        </w:rPr>
        <w:footnoteReference w:id="45"/>
      </w:r>
      <w:r>
        <w:t>.</w:t>
      </w:r>
    </w:p>
    <w:p w14:paraId="447B35E7" w14:textId="4DD27B3F" w:rsidR="00913E4B" w:rsidRPr="00FF338C" w:rsidRDefault="00913E4B" w:rsidP="00913E4B">
      <w:pPr>
        <w:spacing w:after="0"/>
        <w:sectPr w:rsidR="00913E4B" w:rsidRPr="00FF338C" w:rsidSect="001A4441">
          <w:pgSz w:w="11900" w:h="16840" w:code="9"/>
          <w:pgMar w:top="889" w:right="1080" w:bottom="993" w:left="1080" w:header="397" w:footer="113" w:gutter="0"/>
          <w:cols w:space="708"/>
          <w:titlePg/>
          <w:docGrid w:linePitch="326"/>
        </w:sectPr>
      </w:pPr>
    </w:p>
    <w:p w14:paraId="12558296" w14:textId="0044CDC3" w:rsidR="001E6E16" w:rsidRPr="00FF338C" w:rsidRDefault="00C44F0B" w:rsidP="001E6E16">
      <w:pPr>
        <w:pStyle w:val="Caption"/>
        <w:sectPr w:rsidR="001E6E16" w:rsidRPr="00FF338C">
          <w:headerReference w:type="first" r:id="rId79"/>
          <w:pgSz w:w="16840" w:h="11900" w:orient="landscape" w:code="9"/>
          <w:pgMar w:top="1080" w:right="889" w:bottom="1080" w:left="993" w:header="397" w:footer="113" w:gutter="0"/>
          <w:cols w:space="708"/>
          <w:titlePg/>
          <w:docGrid w:linePitch="326"/>
        </w:sectPr>
      </w:pPr>
      <w:bookmarkStart w:id="624" w:name="_Ref71290455"/>
      <w:bookmarkStart w:id="625" w:name="_Ref142313190"/>
      <w:r>
        <w:rPr>
          <w:noProof/>
        </w:rPr>
        <w:lastRenderedPageBreak/>
        <mc:AlternateContent>
          <mc:Choice Requires="wps">
            <w:drawing>
              <wp:anchor distT="0" distB="0" distL="114300" distR="114300" simplePos="0" relativeHeight="251658251" behindDoc="0" locked="0" layoutInCell="1" allowOverlap="1" wp14:anchorId="46876D09" wp14:editId="4AB87301">
                <wp:simplePos x="0" y="0"/>
                <wp:positionH relativeFrom="column">
                  <wp:posOffset>0</wp:posOffset>
                </wp:positionH>
                <wp:positionV relativeFrom="paragraph">
                  <wp:posOffset>0</wp:posOffset>
                </wp:positionV>
                <wp:extent cx="9498330" cy="457200"/>
                <wp:effectExtent l="0" t="0" r="7620" b="0"/>
                <wp:wrapTopAndBottom/>
                <wp:docPr id="1873170308" name="Text Box 1" descr="P1261TB14#y1"/>
                <wp:cNvGraphicFramePr/>
                <a:graphic xmlns:a="http://schemas.openxmlformats.org/drawingml/2006/main">
                  <a:graphicData uri="http://schemas.microsoft.com/office/word/2010/wordprocessingShape">
                    <wps:wsp>
                      <wps:cNvSpPr txBox="1"/>
                      <wps:spPr>
                        <a:xfrm>
                          <a:off x="0" y="0"/>
                          <a:ext cx="9498330" cy="457200"/>
                        </a:xfrm>
                        <a:prstGeom prst="rect">
                          <a:avLst/>
                        </a:prstGeom>
                        <a:solidFill>
                          <a:prstClr val="white"/>
                        </a:solidFill>
                        <a:ln>
                          <a:noFill/>
                        </a:ln>
                      </wps:spPr>
                      <wps:txbx>
                        <w:txbxContent>
                          <w:p w14:paraId="47A317E4" w14:textId="11887C66" w:rsidR="00C44F0B" w:rsidRPr="00FA45BF" w:rsidRDefault="00C44F0B" w:rsidP="00C44F0B">
                            <w:pPr>
                              <w:pStyle w:val="Caption"/>
                              <w:rPr>
                                <w:noProof/>
                              </w:rPr>
                            </w:pPr>
                            <w:bookmarkStart w:id="626" w:name="_Ref199340118"/>
                            <w:r>
                              <w:t xml:space="preserve">Figure </w:t>
                            </w:r>
                            <w:r>
                              <w:fldChar w:fldCharType="begin"/>
                            </w:r>
                            <w:r>
                              <w:instrText>SEQ Figure \* ARABIC</w:instrText>
                            </w:r>
                            <w:r>
                              <w:fldChar w:fldCharType="separate"/>
                            </w:r>
                            <w:r w:rsidR="004B0870">
                              <w:rPr>
                                <w:noProof/>
                              </w:rPr>
                              <w:t>8</w:t>
                            </w:r>
                            <w:r>
                              <w:fldChar w:fldCharType="end"/>
                            </w:r>
                            <w:bookmarkEnd w:id="626"/>
                            <w:r>
                              <w:t xml:space="preserve"> – Hydro power plant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876D09" id="Text Box 1" o:spid="_x0000_s1030" type="#_x0000_t202" alt="P1261TB14#y1" style="position:absolute;margin-left:0;margin-top:0;width:747.9pt;height:36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" stroked="f">
                <v:textbox inset="0,0,0,0">
                  <w:txbxContent>
                    <w:p w14:paraId="47A317E4" w14:textId="11887C66" w:rsidR="00C44F0B" w:rsidRPr="00FA45BF" w:rsidRDefault="00C44F0B" w:rsidP="00C44F0B">
                      <w:pPr>
                        <w:pStyle w:val="Caption"/>
                        <w:rPr>
                          <w:noProof/>
                        </w:rPr>
                      </w:pPr>
                      <w:bookmarkStart w:id="627" w:name="_Ref199340118"/>
                      <w:r>
                        <w:t xml:space="preserve">Figure </w:t>
                      </w:r>
                      <w:r>
                        <w:fldChar w:fldCharType="begin"/>
                      </w:r>
                      <w:r>
                        <w:instrText>SEQ Figure \* ARABIC</w:instrText>
                      </w:r>
                      <w:r>
                        <w:fldChar w:fldCharType="separate"/>
                      </w:r>
                      <w:r w:rsidR="004B0870">
                        <w:rPr>
                          <w:noProof/>
                        </w:rPr>
                        <w:t>8</w:t>
                      </w:r>
                      <w:r>
                        <w:fldChar w:fldCharType="end"/>
                      </w:r>
                      <w:bookmarkEnd w:id="627"/>
                      <w:r>
                        <w:t xml:space="preserve"> – Hydro power plant diagram</w:t>
                      </w:r>
                    </w:p>
                  </w:txbxContent>
                </v:textbox>
                <w10:wrap type="topAndBottom"/>
              </v:shape>
            </w:pict>
          </mc:Fallback>
        </mc:AlternateContent>
      </w:r>
      <w:r w:rsidR="001E6E16" w:rsidRPr="00FF338C">
        <w:rPr>
          <w:noProof/>
          <w:lang w:eastAsia="en-AU"/>
        </w:rPr>
        <w:drawing>
          <wp:anchor distT="0" distB="0" distL="114300" distR="114300" simplePos="0" relativeHeight="251658254" behindDoc="0" locked="0" layoutInCell="1" allowOverlap="1" wp14:anchorId="5F766359" wp14:editId="0C22DEE8">
            <wp:simplePos x="0" y="0"/>
            <wp:positionH relativeFrom="margin">
              <wp:align>left</wp:align>
            </wp:positionH>
            <wp:positionV relativeFrom="paragraph">
              <wp:posOffset>367665</wp:posOffset>
            </wp:positionV>
            <wp:extent cx="9498330" cy="3211830"/>
            <wp:effectExtent l="0" t="0" r="7620" b="7620"/>
            <wp:wrapTopAndBottom/>
            <wp:docPr id="1" name="Picture 1" descr="Diagram of a hydroelectric power plant showing water flow, electricity generation and metering points. Water flows from a reservoir (1) through a pipeline (2) to make a turbine rotate (3). Electricity that is generated by the turbine passes through a meter (4). Some electricity may be supplied back to the plant for internal use through point (5). Electricity generation is measured at point (6) and exported to the electricity grid through a meter at point (7). Water exits the turbine and flows into a river downstream of the d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of a hydroelectric power plant showing water flow, electricity generation and metering points. Water flows from a reservoir (1) through a pipeline (2) to make a turbine rotate (3). Electricity that is generated by the turbine passes through a meter (4). Some electricity may be supplied back to the plant for internal use through point (5). Electricity generation is measured at point (6) and exported to the electricity grid through a meter at point (7). Water exits the turbine and flows into a river downstream of the dam.">
                      <a:extLst>
                        <a:ext uri="{C183D7F6-B498-43B3-948B-1728B52AA6E4}">
                          <adec:decorative xmlns:adec="http://schemas.microsoft.com/office/drawing/2017/decorative" val="0"/>
                        </a:ext>
                      </a:extLst>
                    </pic:cNvPr>
                    <pic:cNvPicPr/>
                  </pic:nvPicPr>
                  <pic:blipFill>
                    <a:blip r:embed="rId80">
                      <a:extLst>
                        <a:ext uri="{28A0092B-C50C-407E-A947-70E740481C1C}">
                          <a14:useLocalDpi xmlns:a14="http://schemas.microsoft.com/office/drawing/2010/main" val="0"/>
                        </a:ext>
                      </a:extLst>
                    </a:blip>
                    <a:stretch>
                      <a:fillRect/>
                    </a:stretch>
                  </pic:blipFill>
                  <pic:spPr>
                    <a:xfrm>
                      <a:off x="0" y="0"/>
                      <a:ext cx="9498330" cy="3211830"/>
                    </a:xfrm>
                    <a:prstGeom prst="rect">
                      <a:avLst/>
                    </a:prstGeom>
                  </pic:spPr>
                </pic:pic>
              </a:graphicData>
            </a:graphic>
            <wp14:sizeRelH relativeFrom="page">
              <wp14:pctWidth>0</wp14:pctWidth>
            </wp14:sizeRelH>
            <wp14:sizeRelV relativeFrom="page">
              <wp14:pctHeight>0</wp14:pctHeight>
            </wp14:sizeRelV>
          </wp:anchor>
        </w:drawing>
      </w:r>
      <w:bookmarkEnd w:id="624"/>
      <w:bookmarkEnd w:id="625"/>
      <w:r w:rsidR="00A41C35">
        <w:t>.</w:t>
      </w:r>
    </w:p>
    <w:p w14:paraId="7F2260A8" w14:textId="05A33148" w:rsidR="00D26885" w:rsidRDefault="00D26885" w:rsidP="00E9388B">
      <w:pPr>
        <w:pStyle w:val="Caption"/>
        <w:keepNext/>
      </w:pPr>
      <w:bookmarkStart w:id="628" w:name="_Ref199339087"/>
      <w:r>
        <w:lastRenderedPageBreak/>
        <w:t xml:space="preserve">Table </w:t>
      </w:r>
      <w:r>
        <w:fldChar w:fldCharType="begin"/>
      </w:r>
      <w:r>
        <w:instrText>SEQ Table \* ARABIC</w:instrText>
      </w:r>
      <w:r>
        <w:fldChar w:fldCharType="separate"/>
      </w:r>
      <w:r w:rsidR="0069639D">
        <w:rPr>
          <w:noProof/>
        </w:rPr>
        <w:t>19</w:t>
      </w:r>
      <w:r>
        <w:fldChar w:fldCharType="end"/>
      </w:r>
      <w:bookmarkEnd w:id="628"/>
      <w:r>
        <w:t xml:space="preserve"> – Energy summary for hydro power plant.</w:t>
      </w:r>
    </w:p>
    <w:tbl>
      <w:tblPr>
        <w:tblStyle w:val="CERTable"/>
        <w:tblW w:w="5000" w:type="pct"/>
        <w:tblLook w:val="04A0" w:firstRow="1" w:lastRow="0" w:firstColumn="1" w:lastColumn="0" w:noHBand="0" w:noVBand="1"/>
      </w:tblPr>
      <w:tblGrid>
        <w:gridCol w:w="318"/>
        <w:gridCol w:w="1265"/>
        <w:gridCol w:w="2011"/>
        <w:gridCol w:w="1895"/>
        <w:gridCol w:w="4251"/>
      </w:tblGrid>
      <w:tr w:rsidR="00E04C2C" w:rsidRPr="00C64711" w14:paraId="1D0A491B" w14:textId="77777777" w:rsidTr="00497855">
        <w:trPr>
          <w:cnfStyle w:val="100000000000" w:firstRow="1" w:lastRow="0" w:firstColumn="0" w:lastColumn="0" w:oddVBand="0" w:evenVBand="0" w:oddHBand="0" w:evenHBand="0" w:firstRowFirstColumn="0" w:firstRowLastColumn="0" w:lastRowFirstColumn="0" w:lastRowLastColumn="0"/>
          <w:trHeight w:val="599"/>
          <w:tblHeader/>
        </w:trPr>
        <w:tc>
          <w:tcPr>
            <w:cnfStyle w:val="001000000000" w:firstRow="0" w:lastRow="0" w:firstColumn="1" w:lastColumn="0" w:oddVBand="0" w:evenVBand="0" w:oddHBand="0" w:evenHBand="0" w:firstRowFirstColumn="0" w:firstRowLastColumn="0" w:lastRowFirstColumn="0" w:lastRowLastColumn="0"/>
            <w:tcW w:w="812" w:type="pct"/>
            <w:gridSpan w:val="2"/>
          </w:tcPr>
          <w:p w14:paraId="124FF072" w14:textId="3D2B4B49" w:rsidR="001E6E16" w:rsidRPr="00AC0A81" w:rsidRDefault="001E6E16">
            <w:pPr>
              <w:pStyle w:val="Body"/>
              <w:ind w:left="0"/>
              <w:rPr>
                <w:rFonts w:asciiTheme="minorHAnsi" w:hAnsiTheme="minorHAnsi"/>
                <w:szCs w:val="20"/>
              </w:rPr>
            </w:pPr>
            <w:r w:rsidRPr="00AC0A81">
              <w:rPr>
                <w:rFonts w:asciiTheme="minorHAnsi" w:hAnsiTheme="minorHAnsi"/>
                <w:szCs w:val="20"/>
              </w:rPr>
              <w:t>Process point</w:t>
            </w:r>
          </w:p>
        </w:tc>
        <w:tc>
          <w:tcPr>
            <w:tcW w:w="1033" w:type="pct"/>
          </w:tcPr>
          <w:p w14:paraId="1FC8051B" w14:textId="6A7AD62C" w:rsidR="001E6E16" w:rsidRPr="00AC0A81" w:rsidRDefault="001E6E16">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AC0A81">
              <w:rPr>
                <w:rFonts w:asciiTheme="minorHAnsi" w:hAnsiTheme="minorHAnsi"/>
                <w:szCs w:val="20"/>
              </w:rPr>
              <w:t>Reportable energy production</w:t>
            </w:r>
          </w:p>
        </w:tc>
        <w:tc>
          <w:tcPr>
            <w:tcW w:w="973" w:type="pct"/>
          </w:tcPr>
          <w:p w14:paraId="57789F6B" w14:textId="4DE1C4BB" w:rsidR="001E6E16" w:rsidRPr="00AC0A81" w:rsidRDefault="001E6E16">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AC0A81">
              <w:rPr>
                <w:rFonts w:asciiTheme="minorHAnsi" w:hAnsiTheme="minorHAnsi"/>
                <w:szCs w:val="20"/>
              </w:rPr>
              <w:t>Reportable energy consumption</w:t>
            </w:r>
          </w:p>
        </w:tc>
        <w:tc>
          <w:tcPr>
            <w:tcW w:w="2182" w:type="pct"/>
          </w:tcPr>
          <w:p w14:paraId="4988B811" w14:textId="1A0EA4DD" w:rsidR="001E6E16" w:rsidRPr="00AC0A81" w:rsidRDefault="001E6E16">
            <w:pPr>
              <w:pStyle w:val="Body"/>
              <w:ind w:left="0"/>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AC0A81">
              <w:rPr>
                <w:rFonts w:asciiTheme="minorHAnsi" w:hAnsiTheme="minorHAnsi"/>
                <w:szCs w:val="20"/>
              </w:rPr>
              <w:t>Notes</w:t>
            </w:r>
          </w:p>
        </w:tc>
      </w:tr>
      <w:tr w:rsidR="00E04C2C" w:rsidRPr="00C64711" w14:paraId="5374D2CD" w14:textId="77777777" w:rsidTr="0049785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Pr>
          <w:p w14:paraId="2EA35DFC" w14:textId="3B2C6E9C" w:rsidR="001E6E16" w:rsidRPr="00F4306D" w:rsidRDefault="001E6E16">
            <w:pPr>
              <w:pStyle w:val="Body"/>
              <w:ind w:left="0"/>
              <w:rPr>
                <w:rFonts w:asciiTheme="minorHAnsi" w:hAnsiTheme="minorHAnsi"/>
                <w:szCs w:val="20"/>
              </w:rPr>
            </w:pPr>
            <w:r w:rsidRPr="00F4306D">
              <w:rPr>
                <w:rFonts w:asciiTheme="minorHAnsi" w:hAnsiTheme="minorHAnsi"/>
                <w:szCs w:val="20"/>
              </w:rPr>
              <w:t>1</w:t>
            </w:r>
          </w:p>
        </w:tc>
        <w:tc>
          <w:tcPr>
            <w:tcW w:w="649" w:type="pct"/>
            <w:shd w:val="clear" w:color="auto" w:fill="F2F2F2" w:themeFill="background1" w:themeFillShade="F2"/>
          </w:tcPr>
          <w:p w14:paraId="4C5969D5" w14:textId="2B575646"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Water retained by dam</w:t>
            </w:r>
          </w:p>
        </w:tc>
        <w:tc>
          <w:tcPr>
            <w:tcW w:w="1033" w:type="pct"/>
          </w:tcPr>
          <w:p w14:paraId="1D3DEFB1" w14:textId="0FAD9790"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None</w:t>
            </w:r>
          </w:p>
        </w:tc>
        <w:tc>
          <w:tcPr>
            <w:tcW w:w="973" w:type="pct"/>
          </w:tcPr>
          <w:p w14:paraId="6C210E93" w14:textId="14E6A70A"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None</w:t>
            </w:r>
          </w:p>
        </w:tc>
        <w:tc>
          <w:tcPr>
            <w:tcW w:w="2182" w:type="pct"/>
          </w:tcPr>
          <w:p w14:paraId="70003818" w14:textId="6165226B" w:rsidR="001E6E16" w:rsidRPr="00F4306D" w:rsidRDefault="003B5A01">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 xml:space="preserve">Water storage </w:t>
            </w:r>
            <w:r w:rsidR="009E5E72">
              <w:rPr>
                <w:rFonts w:asciiTheme="minorHAnsi" w:hAnsiTheme="minorHAnsi"/>
                <w:szCs w:val="20"/>
              </w:rPr>
              <w:t xml:space="preserve">is not a reportable activity under the NGER Scheme. </w:t>
            </w:r>
          </w:p>
        </w:tc>
      </w:tr>
      <w:tr w:rsidR="00E04C2C" w:rsidRPr="00C64711" w14:paraId="126AD41C" w14:textId="77777777" w:rsidTr="00497855">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Pr>
          <w:p w14:paraId="43C7D378" w14:textId="6EF61150" w:rsidR="001E6E16" w:rsidRPr="00F4306D" w:rsidRDefault="001E6E16">
            <w:pPr>
              <w:pStyle w:val="Body"/>
              <w:ind w:left="0"/>
              <w:rPr>
                <w:rFonts w:asciiTheme="minorHAnsi" w:hAnsiTheme="minorHAnsi"/>
                <w:szCs w:val="20"/>
              </w:rPr>
            </w:pPr>
            <w:r w:rsidRPr="00F4306D">
              <w:rPr>
                <w:rFonts w:asciiTheme="minorHAnsi" w:hAnsiTheme="minorHAnsi"/>
                <w:szCs w:val="20"/>
              </w:rPr>
              <w:t>2</w:t>
            </w:r>
          </w:p>
        </w:tc>
        <w:tc>
          <w:tcPr>
            <w:tcW w:w="649" w:type="pct"/>
            <w:shd w:val="clear" w:color="auto" w:fill="F2F2F2" w:themeFill="background1" w:themeFillShade="F2"/>
          </w:tcPr>
          <w:p w14:paraId="640889FE" w14:textId="1EA4E50B"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Water transferred through dam</w:t>
            </w:r>
          </w:p>
        </w:tc>
        <w:tc>
          <w:tcPr>
            <w:tcW w:w="1033" w:type="pct"/>
          </w:tcPr>
          <w:p w14:paraId="36A2C897" w14:textId="0E178A57" w:rsidR="001E6E16" w:rsidRPr="00F4306D" w:rsidRDefault="00F2627F">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Pr>
                <w:rFonts w:asciiTheme="minorHAnsi" w:hAnsiTheme="minorHAnsi"/>
                <w:szCs w:val="20"/>
              </w:rPr>
              <w:t>None</w:t>
            </w:r>
          </w:p>
        </w:tc>
        <w:tc>
          <w:tcPr>
            <w:tcW w:w="973" w:type="pct"/>
          </w:tcPr>
          <w:p w14:paraId="1DF6113D" w14:textId="0AD1AE2A" w:rsidR="001E6E16" w:rsidRPr="00F4306D" w:rsidRDefault="00F2627F">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Pr>
                <w:rFonts w:asciiTheme="minorHAnsi" w:hAnsiTheme="minorHAnsi"/>
                <w:szCs w:val="20"/>
              </w:rPr>
              <w:t>None</w:t>
            </w:r>
          </w:p>
        </w:tc>
        <w:tc>
          <w:tcPr>
            <w:tcW w:w="2182" w:type="pct"/>
          </w:tcPr>
          <w:p w14:paraId="04001679" w14:textId="47A79472" w:rsidR="001E6E16" w:rsidRPr="00F4306D" w:rsidRDefault="009E5E72">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Pr>
                <w:rFonts w:asciiTheme="minorHAnsi" w:hAnsiTheme="minorHAnsi"/>
                <w:szCs w:val="20"/>
              </w:rPr>
              <w:t xml:space="preserve">Water transfer is not a reportable activity under the NGER Scheme. </w:t>
            </w:r>
          </w:p>
        </w:tc>
      </w:tr>
      <w:tr w:rsidR="00E04C2C" w:rsidRPr="00C64711" w14:paraId="52B8095E" w14:textId="77777777" w:rsidTr="0049785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Pr>
          <w:p w14:paraId="2757F9D5" w14:textId="7F4A6B6B" w:rsidR="001E6E16" w:rsidRPr="00F4306D" w:rsidRDefault="001E6E16">
            <w:pPr>
              <w:pStyle w:val="Body"/>
              <w:ind w:left="0"/>
              <w:rPr>
                <w:rFonts w:asciiTheme="minorHAnsi" w:hAnsiTheme="minorHAnsi"/>
                <w:szCs w:val="20"/>
              </w:rPr>
            </w:pPr>
            <w:r w:rsidRPr="00F4306D">
              <w:rPr>
                <w:rFonts w:asciiTheme="minorHAnsi" w:hAnsiTheme="minorHAnsi"/>
                <w:szCs w:val="20"/>
              </w:rPr>
              <w:t>3</w:t>
            </w:r>
          </w:p>
        </w:tc>
        <w:tc>
          <w:tcPr>
            <w:tcW w:w="649" w:type="pct"/>
            <w:shd w:val="clear" w:color="auto" w:fill="F2F2F2" w:themeFill="background1" w:themeFillShade="F2"/>
          </w:tcPr>
          <w:p w14:paraId="75183B0A" w14:textId="7CBDA2DE"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Water turning turbine</w:t>
            </w:r>
          </w:p>
        </w:tc>
        <w:tc>
          <w:tcPr>
            <w:tcW w:w="1033" w:type="pct"/>
          </w:tcPr>
          <w:p w14:paraId="3D9DE698" w14:textId="28F13E9A"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None</w:t>
            </w:r>
          </w:p>
        </w:tc>
        <w:tc>
          <w:tcPr>
            <w:tcW w:w="973" w:type="pct"/>
          </w:tcPr>
          <w:p w14:paraId="6DA427B6" w14:textId="6273DB5F"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‘Water energy for electricity generation’ is consumed through non-combustion</w:t>
            </w:r>
            <w:r w:rsidR="00E74135">
              <w:rPr>
                <w:rFonts w:asciiTheme="minorHAnsi" w:hAnsiTheme="minorHAnsi"/>
                <w:szCs w:val="20"/>
              </w:rPr>
              <w:t xml:space="preserve"> when water turns a turbine to create electricity. </w:t>
            </w:r>
          </w:p>
        </w:tc>
        <w:tc>
          <w:tcPr>
            <w:tcW w:w="2182" w:type="pct"/>
          </w:tcPr>
          <w:p w14:paraId="4D9470CB" w14:textId="12B0A20D" w:rsidR="001E6E16" w:rsidRPr="00F4306D" w:rsidRDefault="00A4662F">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Th</w:t>
            </w:r>
            <w:r w:rsidR="00303909">
              <w:rPr>
                <w:rFonts w:asciiTheme="minorHAnsi" w:hAnsiTheme="minorHAnsi"/>
                <w:szCs w:val="20"/>
              </w:rPr>
              <w:t>e energy consumption</w:t>
            </w:r>
            <w:r>
              <w:rPr>
                <w:rFonts w:asciiTheme="minorHAnsi" w:hAnsiTheme="minorHAnsi"/>
                <w:szCs w:val="20"/>
              </w:rPr>
              <w:t xml:space="preserve"> activity is automatically generated by EERS whe</w:t>
            </w:r>
            <w:r w:rsidR="00C03D18">
              <w:rPr>
                <w:rFonts w:asciiTheme="minorHAnsi" w:hAnsiTheme="minorHAnsi"/>
                <w:szCs w:val="20"/>
              </w:rPr>
              <w:t xml:space="preserve">n you report </w:t>
            </w:r>
            <w:r w:rsidR="005A0059">
              <w:rPr>
                <w:rFonts w:asciiTheme="minorHAnsi" w:hAnsiTheme="minorHAnsi"/>
                <w:szCs w:val="20"/>
              </w:rPr>
              <w:t>the</w:t>
            </w:r>
            <w:r w:rsidR="00C03D18">
              <w:rPr>
                <w:rFonts w:asciiTheme="minorHAnsi" w:hAnsiTheme="minorHAnsi"/>
                <w:szCs w:val="20"/>
              </w:rPr>
              <w:t xml:space="preserve"> activity for </w:t>
            </w:r>
            <w:r w:rsidR="006D2D6C">
              <w:rPr>
                <w:rFonts w:asciiTheme="minorHAnsi" w:hAnsiTheme="minorHAnsi"/>
                <w:szCs w:val="20"/>
              </w:rPr>
              <w:t>generation of electricity from water</w:t>
            </w:r>
            <w:r w:rsidR="005A0059">
              <w:rPr>
                <w:rFonts w:asciiTheme="minorHAnsi" w:hAnsiTheme="minorHAnsi"/>
                <w:szCs w:val="20"/>
              </w:rPr>
              <w:t xml:space="preserve"> (</w:t>
            </w:r>
            <w:r w:rsidR="002A429A">
              <w:rPr>
                <w:rFonts w:asciiTheme="minorHAnsi" w:hAnsiTheme="minorHAnsi"/>
                <w:szCs w:val="20"/>
              </w:rPr>
              <w:t>process point</w:t>
            </w:r>
            <w:r w:rsidR="005A0059">
              <w:rPr>
                <w:rFonts w:asciiTheme="minorHAnsi" w:hAnsiTheme="minorHAnsi"/>
                <w:szCs w:val="20"/>
              </w:rPr>
              <w:t xml:space="preserve"> 4 below). </w:t>
            </w:r>
            <w:r>
              <w:rPr>
                <w:rFonts w:asciiTheme="minorHAnsi" w:hAnsiTheme="minorHAnsi"/>
                <w:szCs w:val="20"/>
              </w:rPr>
              <w:br/>
            </w:r>
            <w:r w:rsidR="006D2D6C">
              <w:rPr>
                <w:rFonts w:asciiTheme="minorHAnsi" w:hAnsiTheme="minorHAnsi"/>
                <w:szCs w:val="20"/>
              </w:rPr>
              <w:t>S</w:t>
            </w:r>
            <w:r w:rsidR="00D971FE" w:rsidRPr="00F4306D">
              <w:rPr>
                <w:rFonts w:asciiTheme="minorHAnsi" w:hAnsiTheme="minorHAnsi"/>
                <w:szCs w:val="20"/>
              </w:rPr>
              <w:t xml:space="preserve">ee </w:t>
            </w:r>
            <w:hyperlink w:anchor="_Renewable_energy_commodity" w:history="1">
              <w:r w:rsidR="00D971FE">
                <w:rPr>
                  <w:rStyle w:val="Hyperlink"/>
                  <w:rFonts w:asciiTheme="minorHAnsi" w:hAnsiTheme="minorHAnsi"/>
                  <w:sz w:val="20"/>
                  <w:szCs w:val="20"/>
                </w:rPr>
                <w:t>Chapter 7.4</w:t>
              </w:r>
            </w:hyperlink>
            <w:r w:rsidR="00D971FE" w:rsidRPr="00F4306D">
              <w:rPr>
                <w:rFonts w:asciiTheme="minorHAnsi" w:hAnsiTheme="minorHAnsi"/>
                <w:szCs w:val="20"/>
              </w:rPr>
              <w:t xml:space="preserve"> of this guideline</w:t>
            </w:r>
            <w:r w:rsidR="006D2D6C">
              <w:rPr>
                <w:rFonts w:asciiTheme="minorHAnsi" w:hAnsiTheme="minorHAnsi"/>
                <w:szCs w:val="20"/>
              </w:rPr>
              <w:t xml:space="preserve"> for more information</w:t>
            </w:r>
            <w:r w:rsidR="00D971FE">
              <w:rPr>
                <w:rFonts w:asciiTheme="minorHAnsi" w:hAnsiTheme="minorHAnsi"/>
                <w:szCs w:val="20"/>
              </w:rPr>
              <w:t>.</w:t>
            </w:r>
          </w:p>
        </w:tc>
      </w:tr>
      <w:tr w:rsidR="00E04C2C" w:rsidRPr="00C64711" w14:paraId="2AE817FC" w14:textId="77777777" w:rsidTr="00497855">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Pr>
          <w:p w14:paraId="794C2B05" w14:textId="00C7BADC" w:rsidR="001E6E16" w:rsidRPr="00F4306D" w:rsidRDefault="001E6E16">
            <w:pPr>
              <w:pStyle w:val="Body"/>
              <w:ind w:left="0"/>
              <w:rPr>
                <w:rFonts w:asciiTheme="minorHAnsi" w:hAnsiTheme="minorHAnsi"/>
                <w:szCs w:val="20"/>
              </w:rPr>
            </w:pPr>
            <w:r w:rsidRPr="00F4306D">
              <w:rPr>
                <w:rFonts w:asciiTheme="minorHAnsi" w:hAnsiTheme="minorHAnsi"/>
                <w:szCs w:val="20"/>
              </w:rPr>
              <w:t>4</w:t>
            </w:r>
          </w:p>
        </w:tc>
        <w:tc>
          <w:tcPr>
            <w:tcW w:w="649" w:type="pct"/>
            <w:shd w:val="clear" w:color="auto" w:fill="F2F2F2" w:themeFill="background1" w:themeFillShade="F2"/>
          </w:tcPr>
          <w:p w14:paraId="7A1B50C7" w14:textId="17555975"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Electricity generated</w:t>
            </w:r>
          </w:p>
        </w:tc>
        <w:tc>
          <w:tcPr>
            <w:tcW w:w="1033" w:type="pct"/>
          </w:tcPr>
          <w:p w14:paraId="04F6ED24" w14:textId="2F94B8AD"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None</w:t>
            </w:r>
          </w:p>
          <w:p w14:paraId="0FF42186" w14:textId="7BFE2647"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 xml:space="preserve">Electricity is produced from the turbine and generator but is reported in </w:t>
            </w:r>
            <w:r w:rsidR="00DE7521">
              <w:rPr>
                <w:rFonts w:asciiTheme="minorHAnsi" w:hAnsiTheme="minorHAnsi"/>
                <w:szCs w:val="20"/>
              </w:rPr>
              <w:t>process points</w:t>
            </w:r>
            <w:r w:rsidRPr="00F4306D">
              <w:rPr>
                <w:rFonts w:asciiTheme="minorHAnsi" w:hAnsiTheme="minorHAnsi"/>
                <w:szCs w:val="20"/>
              </w:rPr>
              <w:t xml:space="preserve"> 5 to 7.</w:t>
            </w:r>
          </w:p>
        </w:tc>
        <w:tc>
          <w:tcPr>
            <w:tcW w:w="973" w:type="pct"/>
          </w:tcPr>
          <w:p w14:paraId="23B6C1F0" w14:textId="2FBDD99B"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None</w:t>
            </w:r>
          </w:p>
        </w:tc>
        <w:tc>
          <w:tcPr>
            <w:tcW w:w="2182" w:type="pct"/>
          </w:tcPr>
          <w:p w14:paraId="353AC6C4" w14:textId="0E5F75AF"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 xml:space="preserve">Electricity produced </w:t>
            </w:r>
            <w:r w:rsidRPr="00F4306D" w:rsidDel="005535FB">
              <w:rPr>
                <w:rFonts w:asciiTheme="minorHAnsi" w:hAnsiTheme="minorHAnsi"/>
                <w:szCs w:val="20"/>
              </w:rPr>
              <w:t xml:space="preserve">should </w:t>
            </w:r>
            <w:r w:rsidRPr="00F4306D">
              <w:rPr>
                <w:rFonts w:asciiTheme="minorHAnsi" w:hAnsiTheme="minorHAnsi"/>
                <w:szCs w:val="20"/>
              </w:rPr>
              <w:t xml:space="preserve">be metered at the terminal directly after the turbine - see </w:t>
            </w:r>
            <w:hyperlink w:anchor="_Quantifying_electricity_consumption" w:history="1">
              <w:r w:rsidR="0084437B">
                <w:rPr>
                  <w:rStyle w:val="Hyperlink"/>
                  <w:rFonts w:asciiTheme="minorHAnsi" w:hAnsiTheme="minorHAnsi"/>
                  <w:sz w:val="20"/>
                  <w:szCs w:val="20"/>
                </w:rPr>
                <w:t>Chapter</w:t>
              </w:r>
              <w:r>
                <w:rPr>
                  <w:rStyle w:val="Hyperlink"/>
                  <w:rFonts w:asciiTheme="minorHAnsi" w:hAnsiTheme="minorHAnsi"/>
                  <w:sz w:val="20"/>
                  <w:szCs w:val="20"/>
                </w:rPr>
                <w:t xml:space="preserve"> 7.3.1</w:t>
              </w:r>
            </w:hyperlink>
            <w:r w:rsidRPr="00F4306D">
              <w:rPr>
                <w:rFonts w:asciiTheme="minorHAnsi" w:hAnsiTheme="minorHAnsi"/>
                <w:szCs w:val="20"/>
              </w:rPr>
              <w:t xml:space="preserve"> of this guideline</w:t>
            </w:r>
            <w:r w:rsidR="003227EB">
              <w:rPr>
                <w:rFonts w:asciiTheme="minorHAnsi" w:hAnsiTheme="minorHAnsi"/>
                <w:szCs w:val="20"/>
              </w:rPr>
              <w:t>.</w:t>
            </w:r>
          </w:p>
        </w:tc>
      </w:tr>
      <w:tr w:rsidR="00E04C2C" w:rsidRPr="00C64711" w14:paraId="39CD617D" w14:textId="77777777" w:rsidTr="0049785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Pr>
          <w:p w14:paraId="24ECDCAA" w14:textId="74B37801" w:rsidR="001E6E16" w:rsidRPr="00F4306D" w:rsidRDefault="001E6E16">
            <w:pPr>
              <w:pStyle w:val="Body"/>
              <w:ind w:left="0"/>
              <w:rPr>
                <w:rFonts w:asciiTheme="minorHAnsi" w:hAnsiTheme="minorHAnsi"/>
                <w:szCs w:val="20"/>
              </w:rPr>
            </w:pPr>
            <w:r w:rsidRPr="00F4306D">
              <w:rPr>
                <w:rFonts w:asciiTheme="minorHAnsi" w:hAnsiTheme="minorHAnsi"/>
                <w:szCs w:val="20"/>
              </w:rPr>
              <w:t>5</w:t>
            </w:r>
          </w:p>
        </w:tc>
        <w:tc>
          <w:tcPr>
            <w:tcW w:w="649" w:type="pct"/>
            <w:shd w:val="clear" w:color="auto" w:fill="F2F2F2" w:themeFill="background1" w:themeFillShade="F2"/>
          </w:tcPr>
          <w:p w14:paraId="2DDA2F7D" w14:textId="08A1AE5C"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Electricity consumed by plant</w:t>
            </w:r>
          </w:p>
        </w:tc>
        <w:tc>
          <w:tcPr>
            <w:tcW w:w="1033" w:type="pct"/>
            <w:vMerge w:val="restart"/>
          </w:tcPr>
          <w:p w14:paraId="265C9E10" w14:textId="54DAC9B8"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Electricity produced ‘for use for the purpose of the operation of the facility’</w:t>
            </w:r>
            <w:r w:rsidR="00764D06">
              <w:rPr>
                <w:rFonts w:asciiTheme="minorHAnsi" w:hAnsiTheme="minorHAnsi"/>
                <w:szCs w:val="20"/>
              </w:rPr>
              <w:t>.</w:t>
            </w:r>
          </w:p>
          <w:p w14:paraId="4A288283" w14:textId="63878020"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p>
        </w:tc>
        <w:tc>
          <w:tcPr>
            <w:tcW w:w="973" w:type="pct"/>
            <w:vMerge w:val="restart"/>
          </w:tcPr>
          <w:p w14:paraId="714428FD" w14:textId="6B44AA10" w:rsidR="00E31070" w:rsidRPr="00F4306D" w:rsidRDefault="00CD3ABB" w:rsidP="00CD3ABB">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D43A6D">
              <w:rPr>
                <w:rFonts w:asciiTheme="minorHAnsi" w:hAnsiTheme="minorHAnsi"/>
                <w:szCs w:val="20"/>
              </w:rPr>
              <w:t>Consumption of the e</w:t>
            </w:r>
            <w:r w:rsidR="001E6E16" w:rsidRPr="00BD2610">
              <w:rPr>
                <w:rFonts w:asciiTheme="minorHAnsi" w:hAnsiTheme="minorHAnsi"/>
                <w:szCs w:val="20"/>
              </w:rPr>
              <w:t>lectricity produc</w:t>
            </w:r>
            <w:r w:rsidR="00813651" w:rsidRPr="00D43A6D">
              <w:rPr>
                <w:rFonts w:asciiTheme="minorHAnsi" w:hAnsiTheme="minorHAnsi"/>
                <w:szCs w:val="20"/>
              </w:rPr>
              <w:t>ed</w:t>
            </w:r>
            <w:r w:rsidR="001E6E16" w:rsidRPr="00BD2610">
              <w:rPr>
                <w:rFonts w:asciiTheme="minorHAnsi" w:hAnsiTheme="minorHAnsi"/>
                <w:szCs w:val="20"/>
              </w:rPr>
              <w:t xml:space="preserve"> </w:t>
            </w:r>
            <w:r w:rsidR="00813651" w:rsidRPr="00EF69A0">
              <w:rPr>
                <w:rFonts w:asciiTheme="minorHAnsi" w:hAnsiTheme="minorHAnsi"/>
                <w:szCs w:val="20"/>
              </w:rPr>
              <w:t>‘</w:t>
            </w:r>
            <w:r w:rsidR="001E6E16" w:rsidRPr="00BD2610">
              <w:rPr>
                <w:rFonts w:asciiTheme="minorHAnsi" w:hAnsiTheme="minorHAnsi"/>
                <w:szCs w:val="20"/>
              </w:rPr>
              <w:t>for use onsite</w:t>
            </w:r>
            <w:r w:rsidR="002846EA" w:rsidRPr="00BD2610">
              <w:rPr>
                <w:rFonts w:asciiTheme="minorHAnsi" w:hAnsiTheme="minorHAnsi"/>
                <w:szCs w:val="20"/>
              </w:rPr>
              <w:t>’</w:t>
            </w:r>
            <w:r w:rsidR="001E3DC6" w:rsidRPr="00BD2610">
              <w:rPr>
                <w:rFonts w:asciiTheme="minorHAnsi" w:hAnsiTheme="minorHAnsi"/>
                <w:szCs w:val="20"/>
              </w:rPr>
              <w:t>.</w:t>
            </w:r>
          </w:p>
          <w:p w14:paraId="65A3E946" w14:textId="52A9219E" w:rsidR="001E6E16" w:rsidRPr="00F4306D"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p>
        </w:tc>
        <w:tc>
          <w:tcPr>
            <w:tcW w:w="2182" w:type="pct"/>
            <w:vMerge w:val="restart"/>
          </w:tcPr>
          <w:p w14:paraId="0947B801" w14:textId="4FEAD568" w:rsidR="008F1D1A"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 xml:space="preserve">Own produced electricity consumed by own facility should be calculated as per </w:t>
            </w:r>
            <w:hyperlink w:anchor="_Quantifying_electricity_consumption" w:history="1">
              <w:r w:rsidR="0084437B">
                <w:rPr>
                  <w:rStyle w:val="Hyperlink"/>
                  <w:rFonts w:asciiTheme="minorHAnsi" w:hAnsiTheme="minorHAnsi"/>
                  <w:sz w:val="20"/>
                  <w:szCs w:val="20"/>
                </w:rPr>
                <w:t>Chapter 7.3.1</w:t>
              </w:r>
            </w:hyperlink>
            <w:r w:rsidRPr="00F4306D">
              <w:rPr>
                <w:rFonts w:asciiTheme="minorHAnsi" w:hAnsiTheme="minorHAnsi"/>
                <w:szCs w:val="20"/>
              </w:rPr>
              <w:t xml:space="preserve"> of this guideline</w:t>
            </w:r>
            <w:r w:rsidR="003227EB">
              <w:rPr>
                <w:rFonts w:asciiTheme="minorHAnsi" w:hAnsiTheme="minorHAnsi"/>
                <w:szCs w:val="20"/>
              </w:rPr>
              <w:t>.</w:t>
            </w:r>
          </w:p>
          <w:p w14:paraId="29BF0D08" w14:textId="0312484B" w:rsidR="001E6E16"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F4306D">
              <w:rPr>
                <w:rFonts w:asciiTheme="minorHAnsi" w:hAnsiTheme="minorHAnsi"/>
                <w:szCs w:val="20"/>
              </w:rPr>
              <w:t xml:space="preserve">All produced electricity that is consumed or lost between production at the terminals </w:t>
            </w:r>
            <w:r w:rsidR="00EF4CB5">
              <w:rPr>
                <w:rFonts w:asciiTheme="minorHAnsi" w:hAnsiTheme="minorHAnsi"/>
                <w:szCs w:val="20"/>
              </w:rPr>
              <w:t xml:space="preserve">(number 4) </w:t>
            </w:r>
            <w:r w:rsidRPr="00F4306D">
              <w:rPr>
                <w:rFonts w:asciiTheme="minorHAnsi" w:hAnsiTheme="minorHAnsi"/>
                <w:szCs w:val="20"/>
              </w:rPr>
              <w:t xml:space="preserve">and delivered to network </w:t>
            </w:r>
            <w:r w:rsidR="00EF4CB5">
              <w:rPr>
                <w:rFonts w:asciiTheme="minorHAnsi" w:hAnsiTheme="minorHAnsi"/>
                <w:szCs w:val="20"/>
              </w:rPr>
              <w:t xml:space="preserve">(number 7) </w:t>
            </w:r>
            <w:r w:rsidRPr="00F4306D" w:rsidDel="005D1712">
              <w:rPr>
                <w:rFonts w:asciiTheme="minorHAnsi" w:hAnsiTheme="minorHAnsi"/>
                <w:szCs w:val="20"/>
              </w:rPr>
              <w:t xml:space="preserve">should </w:t>
            </w:r>
            <w:r w:rsidRPr="00F4306D">
              <w:rPr>
                <w:rFonts w:asciiTheme="minorHAnsi" w:hAnsiTheme="minorHAnsi"/>
                <w:szCs w:val="20"/>
              </w:rPr>
              <w:t xml:space="preserve">be reported as </w:t>
            </w:r>
            <w:r w:rsidR="00EF4CB5">
              <w:rPr>
                <w:rFonts w:asciiTheme="minorHAnsi" w:hAnsiTheme="minorHAnsi"/>
                <w:szCs w:val="20"/>
              </w:rPr>
              <w:t xml:space="preserve">electricity </w:t>
            </w:r>
            <w:r w:rsidR="00ED25E5">
              <w:rPr>
                <w:rFonts w:asciiTheme="minorHAnsi" w:hAnsiTheme="minorHAnsi"/>
                <w:szCs w:val="20"/>
              </w:rPr>
              <w:t>(water generation)</w:t>
            </w:r>
            <w:r w:rsidR="00EF4CB5">
              <w:rPr>
                <w:rFonts w:asciiTheme="minorHAnsi" w:hAnsiTheme="minorHAnsi"/>
                <w:szCs w:val="20"/>
              </w:rPr>
              <w:t xml:space="preserve"> ‘for use onsite’. </w:t>
            </w:r>
          </w:p>
          <w:p w14:paraId="11DF2CFB" w14:textId="1EB0FED5" w:rsidR="001E6E16" w:rsidRPr="00F4306D" w:rsidRDefault="008F1D1A">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The</w:t>
            </w:r>
            <w:r w:rsidR="009716B0">
              <w:rPr>
                <w:rFonts w:asciiTheme="minorHAnsi" w:hAnsiTheme="minorHAnsi"/>
                <w:szCs w:val="20"/>
              </w:rPr>
              <w:t xml:space="preserve"> associated</w:t>
            </w:r>
            <w:r>
              <w:rPr>
                <w:rFonts w:asciiTheme="minorHAnsi" w:hAnsiTheme="minorHAnsi"/>
                <w:szCs w:val="20"/>
              </w:rPr>
              <w:t xml:space="preserve"> energy consumption activity is automatically generated</w:t>
            </w:r>
            <w:r w:rsidR="001E6E16">
              <w:rPr>
                <w:rFonts w:asciiTheme="minorHAnsi" w:hAnsiTheme="minorHAnsi"/>
                <w:szCs w:val="20"/>
              </w:rPr>
              <w:t xml:space="preserve"> by </w:t>
            </w:r>
            <w:r>
              <w:rPr>
                <w:rFonts w:asciiTheme="minorHAnsi" w:hAnsiTheme="minorHAnsi"/>
                <w:szCs w:val="20"/>
              </w:rPr>
              <w:t xml:space="preserve">EERS when you report the activity for generation of electricity </w:t>
            </w:r>
            <w:r w:rsidR="00ED25E5">
              <w:rPr>
                <w:rFonts w:asciiTheme="minorHAnsi" w:hAnsiTheme="minorHAnsi"/>
                <w:szCs w:val="20"/>
              </w:rPr>
              <w:t>(water generation)</w:t>
            </w:r>
            <w:r>
              <w:rPr>
                <w:rFonts w:asciiTheme="minorHAnsi" w:hAnsiTheme="minorHAnsi"/>
                <w:szCs w:val="20"/>
              </w:rPr>
              <w:t xml:space="preserve"> ‘for use onsite’.</w:t>
            </w:r>
          </w:p>
        </w:tc>
      </w:tr>
      <w:tr w:rsidR="00E04C2C" w:rsidRPr="00C64711" w14:paraId="477E7FB0" w14:textId="77777777" w:rsidTr="00497855">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Borders>
              <w:bottom w:val="single" w:sz="8" w:space="0" w:color="E8E8E8" w:themeColor="background2"/>
            </w:tcBorders>
          </w:tcPr>
          <w:p w14:paraId="1721DD1E" w14:textId="2A25F69A" w:rsidR="001E6E16" w:rsidRPr="00F4306D" w:rsidRDefault="001E6E16">
            <w:pPr>
              <w:pStyle w:val="Body"/>
              <w:ind w:left="0"/>
              <w:rPr>
                <w:rFonts w:asciiTheme="minorHAnsi" w:hAnsiTheme="minorHAnsi"/>
                <w:szCs w:val="20"/>
              </w:rPr>
            </w:pPr>
            <w:r w:rsidRPr="00F4306D">
              <w:rPr>
                <w:rFonts w:asciiTheme="minorHAnsi" w:hAnsiTheme="minorHAnsi"/>
                <w:szCs w:val="20"/>
              </w:rPr>
              <w:t>6</w:t>
            </w:r>
          </w:p>
        </w:tc>
        <w:tc>
          <w:tcPr>
            <w:tcW w:w="649" w:type="pct"/>
            <w:tcBorders>
              <w:bottom w:val="single" w:sz="8" w:space="0" w:color="E8E8E8" w:themeColor="background2"/>
            </w:tcBorders>
            <w:shd w:val="clear" w:color="auto" w:fill="F2F2F2" w:themeFill="background1" w:themeFillShade="F2"/>
          </w:tcPr>
          <w:p w14:paraId="092C802C" w14:textId="6FF8678F"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r w:rsidRPr="00F4306D">
              <w:rPr>
                <w:rFonts w:asciiTheme="minorHAnsi" w:hAnsiTheme="minorHAnsi"/>
                <w:szCs w:val="20"/>
              </w:rPr>
              <w:t>Transmission line losses</w:t>
            </w:r>
          </w:p>
        </w:tc>
        <w:tc>
          <w:tcPr>
            <w:tcW w:w="1033" w:type="pct"/>
            <w:vMerge/>
            <w:tcBorders>
              <w:bottom w:val="single" w:sz="8" w:space="0" w:color="E8E8E8" w:themeColor="background2"/>
            </w:tcBorders>
          </w:tcPr>
          <w:p w14:paraId="0B3DDB46" w14:textId="27A9C1ED"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p>
        </w:tc>
        <w:tc>
          <w:tcPr>
            <w:tcW w:w="973" w:type="pct"/>
            <w:vMerge/>
            <w:tcBorders>
              <w:bottom w:val="single" w:sz="8" w:space="0" w:color="E8E8E8" w:themeColor="background2"/>
            </w:tcBorders>
          </w:tcPr>
          <w:p w14:paraId="5F11C440" w14:textId="36816702"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p>
        </w:tc>
        <w:tc>
          <w:tcPr>
            <w:tcW w:w="2182" w:type="pct"/>
            <w:vMerge/>
            <w:tcBorders>
              <w:bottom w:val="single" w:sz="8" w:space="0" w:color="E8E8E8" w:themeColor="background2"/>
            </w:tcBorders>
          </w:tcPr>
          <w:p w14:paraId="47A2B174" w14:textId="1D597D43" w:rsidR="001E6E16" w:rsidRPr="00F4306D" w:rsidRDefault="001E6E16">
            <w:pPr>
              <w:pStyle w:val="Body"/>
              <w:ind w:left="0"/>
              <w:cnfStyle w:val="000000010000" w:firstRow="0" w:lastRow="0" w:firstColumn="0" w:lastColumn="0" w:oddVBand="0" w:evenVBand="0" w:oddHBand="0" w:evenHBand="1" w:firstRowFirstColumn="0" w:firstRowLastColumn="0" w:lastRowFirstColumn="0" w:lastRowLastColumn="0"/>
              <w:rPr>
                <w:rFonts w:asciiTheme="minorHAnsi" w:hAnsiTheme="minorHAnsi"/>
                <w:szCs w:val="20"/>
              </w:rPr>
            </w:pPr>
          </w:p>
        </w:tc>
      </w:tr>
      <w:tr w:rsidR="00E04C2C" w:rsidRPr="00C64711" w14:paraId="63396470" w14:textId="77777777" w:rsidTr="0049785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63" w:type="pct"/>
            <w:tcBorders>
              <w:top w:val="single" w:sz="8" w:space="0" w:color="E8E8E8" w:themeColor="background2"/>
              <w:bottom w:val="single" w:sz="4" w:space="0" w:color="FCBA5C" w:themeColor="accent2"/>
            </w:tcBorders>
          </w:tcPr>
          <w:p w14:paraId="5AF566E4" w14:textId="2B60747C" w:rsidR="001E6E16" w:rsidRPr="008565C3" w:rsidRDefault="001E6E16">
            <w:pPr>
              <w:pStyle w:val="Body"/>
              <w:ind w:left="0"/>
              <w:rPr>
                <w:rFonts w:asciiTheme="minorHAnsi" w:hAnsiTheme="minorHAnsi"/>
                <w:szCs w:val="20"/>
              </w:rPr>
            </w:pPr>
            <w:r w:rsidRPr="008565C3">
              <w:rPr>
                <w:rFonts w:asciiTheme="minorHAnsi" w:hAnsiTheme="minorHAnsi"/>
                <w:szCs w:val="20"/>
              </w:rPr>
              <w:t>7</w:t>
            </w:r>
          </w:p>
        </w:tc>
        <w:tc>
          <w:tcPr>
            <w:tcW w:w="649" w:type="pct"/>
            <w:tcBorders>
              <w:top w:val="single" w:sz="8" w:space="0" w:color="E8E8E8" w:themeColor="background2"/>
              <w:bottom w:val="single" w:sz="4" w:space="0" w:color="FCBA5C" w:themeColor="accent2"/>
            </w:tcBorders>
            <w:shd w:val="clear" w:color="auto" w:fill="F2F2F2" w:themeFill="background1" w:themeFillShade="F2"/>
          </w:tcPr>
          <w:p w14:paraId="13791E82" w14:textId="6D7B6098" w:rsidR="001E6E16" w:rsidRPr="008565C3"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8565C3">
              <w:rPr>
                <w:rFonts w:asciiTheme="minorHAnsi" w:hAnsiTheme="minorHAnsi"/>
                <w:szCs w:val="20"/>
              </w:rPr>
              <w:t>Electricity transferred to an electricity network</w:t>
            </w:r>
          </w:p>
        </w:tc>
        <w:tc>
          <w:tcPr>
            <w:tcW w:w="1033" w:type="pct"/>
            <w:tcBorders>
              <w:top w:val="single" w:sz="8" w:space="0" w:color="E8E8E8" w:themeColor="background2"/>
              <w:bottom w:val="single" w:sz="4" w:space="0" w:color="FCBA5C" w:themeColor="accent2"/>
            </w:tcBorders>
          </w:tcPr>
          <w:p w14:paraId="2894275C" w14:textId="210993A0" w:rsidR="00497855" w:rsidRPr="008565C3"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8565C3">
              <w:rPr>
                <w:rFonts w:asciiTheme="minorHAnsi" w:hAnsiTheme="minorHAnsi"/>
                <w:szCs w:val="20"/>
              </w:rPr>
              <w:t>Electricity produced ‘for use outside the operation of the facility for supply to an electricity transmission or distribution network’</w:t>
            </w:r>
            <w:r w:rsidR="003227EB">
              <w:rPr>
                <w:rFonts w:asciiTheme="minorHAnsi" w:hAnsiTheme="minorHAnsi"/>
                <w:szCs w:val="20"/>
              </w:rPr>
              <w:t>.</w:t>
            </w:r>
          </w:p>
        </w:tc>
        <w:tc>
          <w:tcPr>
            <w:tcW w:w="973" w:type="pct"/>
            <w:tcBorders>
              <w:top w:val="single" w:sz="8" w:space="0" w:color="E8E8E8" w:themeColor="background2"/>
              <w:bottom w:val="single" w:sz="4" w:space="0" w:color="FCBA5C" w:themeColor="accent2"/>
            </w:tcBorders>
          </w:tcPr>
          <w:p w14:paraId="56B6CEDC" w14:textId="07E7C9CC" w:rsidR="001E6E16" w:rsidRPr="008565C3"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8565C3">
              <w:rPr>
                <w:rFonts w:asciiTheme="minorHAnsi" w:hAnsiTheme="minorHAnsi"/>
                <w:szCs w:val="20"/>
              </w:rPr>
              <w:t>None</w:t>
            </w:r>
          </w:p>
        </w:tc>
        <w:tc>
          <w:tcPr>
            <w:tcW w:w="2182" w:type="pct"/>
            <w:tcBorders>
              <w:top w:val="single" w:sz="8" w:space="0" w:color="E8E8E8" w:themeColor="background2"/>
              <w:bottom w:val="single" w:sz="4" w:space="0" w:color="FCBA5C" w:themeColor="accent2"/>
            </w:tcBorders>
          </w:tcPr>
          <w:p w14:paraId="3E2AB0FA" w14:textId="381C23D9" w:rsidR="001E6E16" w:rsidRPr="00D2141E" w:rsidRDefault="001E6E16">
            <w:pPr>
              <w:pStyle w:val="Body"/>
              <w:ind w:left="0"/>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8565C3">
              <w:rPr>
                <w:rFonts w:asciiTheme="minorHAnsi" w:hAnsiTheme="minorHAnsi"/>
                <w:szCs w:val="20"/>
              </w:rPr>
              <w:t xml:space="preserve">Electricity transferred to the electricity network must be metered at the network connection point by the distributor - see </w:t>
            </w:r>
            <w:hyperlink w:anchor="_Quantifying_electricity_consumption" w:history="1">
              <w:r w:rsidR="0084437B">
                <w:rPr>
                  <w:rStyle w:val="Hyperlink"/>
                  <w:rFonts w:asciiTheme="minorHAnsi" w:hAnsiTheme="minorHAnsi"/>
                  <w:sz w:val="20"/>
                  <w:szCs w:val="20"/>
                </w:rPr>
                <w:t>Chapter 7.3.1</w:t>
              </w:r>
            </w:hyperlink>
            <w:r w:rsidRPr="00D2141E">
              <w:rPr>
                <w:rFonts w:asciiTheme="minorHAnsi" w:hAnsiTheme="minorHAnsi"/>
                <w:szCs w:val="20"/>
              </w:rPr>
              <w:t xml:space="preserve"> of this guideline</w:t>
            </w:r>
            <w:r w:rsidR="003227EB">
              <w:rPr>
                <w:rFonts w:asciiTheme="minorHAnsi" w:hAnsiTheme="minorHAnsi"/>
                <w:szCs w:val="20"/>
              </w:rPr>
              <w:t>.</w:t>
            </w:r>
          </w:p>
        </w:tc>
      </w:tr>
    </w:tbl>
    <w:p w14:paraId="34C3E82A" w14:textId="408F7ACF" w:rsidR="00A57A5C" w:rsidRDefault="00A57A5C" w:rsidP="0086263A">
      <w:pPr>
        <w:tabs>
          <w:tab w:val="left" w:pos="2495"/>
        </w:tabs>
      </w:pPr>
    </w:p>
    <w:sectPr w:rsidR="00A57A5C" w:rsidSect="00D2141E">
      <w:headerReference w:type="default" r:id="rId81"/>
      <w:headerReference w:type="first" r:id="rId82"/>
      <w:pgSz w:w="11900" w:h="16840" w:code="9"/>
      <w:pgMar w:top="889" w:right="1080" w:bottom="993" w:left="1080" w:header="397"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ABF8" w14:textId="77777777" w:rsidR="00E12AC8" w:rsidRDefault="00E12AC8" w:rsidP="00176C28">
      <w:r>
        <w:separator/>
      </w:r>
    </w:p>
    <w:p w14:paraId="6FFD2301" w14:textId="77777777" w:rsidR="00E12AC8" w:rsidRDefault="00E12AC8"/>
  </w:endnote>
  <w:endnote w:type="continuationSeparator" w:id="0">
    <w:p w14:paraId="4FF6D77E" w14:textId="77777777" w:rsidR="00E12AC8" w:rsidRDefault="00E12AC8" w:rsidP="00176C28">
      <w:r>
        <w:continuationSeparator/>
      </w:r>
    </w:p>
    <w:p w14:paraId="4BB5D257" w14:textId="77777777" w:rsidR="00E12AC8" w:rsidRDefault="00E12AC8"/>
  </w:endnote>
  <w:endnote w:type="continuationNotice" w:id="1">
    <w:p w14:paraId="29816361" w14:textId="77777777" w:rsidR="00E12AC8" w:rsidRDefault="00E12A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ZWAdobeF">
    <w:altName w:val="Calibri"/>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NSimSun">
    <w:charset w:val="86"/>
    <w:family w:val="modern"/>
    <w:pitch w:val="fixed"/>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A98D" w14:textId="24FEF91C" w:rsidR="006E3CA9" w:rsidRPr="00E613C9" w:rsidRDefault="004B7C7E" w:rsidP="00C7319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www.c</w:t>
    </w:r>
    <w:r>
      <w:t>e</w:t>
    </w:r>
    <w:r w:rsidRPr="002D18F3">
      <w:t>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w:t>
    </w:r>
    <w:r>
      <w:rPr>
        <w:rStyle w:val="PageNumber"/>
      </w:rPr>
      <w:t>e</w:t>
    </w:r>
    <w:r w:rsidRPr="002D18F3">
      <w:rPr>
        <w:rStyle w:val="PageNumber"/>
      </w:rPr>
      <w:t>r.gov.au</w:t>
    </w:r>
    <w:r>
      <w:rPr>
        <w:rStyle w:val="PageNumber"/>
      </w:rPr>
      <w:tab/>
    </w:r>
    <w:sdt>
      <w:sdtPr>
        <w:rPr>
          <w:rStyle w:val="PageNumber"/>
        </w:rPr>
        <w:id w:val="1532384742"/>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Pr>
            <w:rStyle w:val="PageNumber"/>
            <w:sz w:val="20"/>
            <w:szCs w:val="20"/>
          </w:rPr>
          <w:t>2</w:t>
        </w:r>
        <w:r w:rsidR="006E3CA9" w:rsidRPr="00E349EF">
          <w:rPr>
            <w:rStyle w:val="PageNumber"/>
            <w:sz w:val="20"/>
            <w:szCs w:val="20"/>
          </w:rPr>
          <w:fldChar w:fldCharType="end"/>
        </w:r>
      </w:sdtContent>
    </w:sdt>
  </w:p>
  <w:p w14:paraId="788087B7" w14:textId="28BD4E48" w:rsidR="00F76419" w:rsidRPr="009633DE" w:rsidRDefault="00F76419" w:rsidP="004B7C7E">
    <w:pPr>
      <w:pStyle w:val="Footer"/>
      <w:spacing w:before="60"/>
      <w:ind w:left="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431755780" name="Picture 43175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C933" w14:textId="77777777" w:rsidR="00E12AC8" w:rsidRDefault="00E12AC8" w:rsidP="00176C28">
      <w:r>
        <w:separator/>
      </w:r>
    </w:p>
    <w:p w14:paraId="533A907A" w14:textId="77777777" w:rsidR="00E12AC8" w:rsidRDefault="00E12AC8"/>
  </w:footnote>
  <w:footnote w:type="continuationSeparator" w:id="0">
    <w:p w14:paraId="1D0C3A4A" w14:textId="77777777" w:rsidR="00E12AC8" w:rsidRDefault="00E12AC8" w:rsidP="00176C28">
      <w:r>
        <w:continuationSeparator/>
      </w:r>
    </w:p>
    <w:p w14:paraId="7924E3B3" w14:textId="77777777" w:rsidR="00E12AC8" w:rsidRDefault="00E12AC8"/>
  </w:footnote>
  <w:footnote w:type="continuationNotice" w:id="1">
    <w:p w14:paraId="160E0665" w14:textId="77777777" w:rsidR="00E12AC8" w:rsidRDefault="00E12AC8">
      <w:pPr>
        <w:spacing w:after="0"/>
      </w:pPr>
    </w:p>
  </w:footnote>
  <w:footnote w:id="2">
    <w:p w14:paraId="7BB953D1" w14:textId="36E07A39" w:rsidR="007D6FEC" w:rsidRPr="00D2141E" w:rsidRDefault="007D6FEC">
      <w:pPr>
        <w:pStyle w:val="FootnoteText"/>
        <w:rPr>
          <w:lang w:val="en-AU"/>
        </w:rPr>
      </w:pPr>
      <w:r>
        <w:rPr>
          <w:rStyle w:val="FootnoteReference"/>
        </w:rPr>
        <w:footnoteRef/>
      </w:r>
      <w:r>
        <w:t xml:space="preserve"> </w:t>
      </w:r>
      <w:r w:rsidR="007C6102" w:rsidRPr="00E9388B">
        <w:t>https://cer.gov.au/schemes/safeguard-mechanism</w:t>
      </w:r>
      <w:r>
        <w:t xml:space="preserve"> </w:t>
      </w:r>
    </w:p>
  </w:footnote>
  <w:footnote w:id="3">
    <w:p w14:paraId="405B7CF6" w14:textId="1A9202EA" w:rsidR="001B624B" w:rsidRPr="001166CF" w:rsidRDefault="001B624B" w:rsidP="001B624B">
      <w:pPr>
        <w:pStyle w:val="FootnoteText"/>
        <w:rPr>
          <w:lang w:val="en-AU"/>
        </w:rPr>
      </w:pPr>
      <w:r w:rsidRPr="009037E6">
        <w:rPr>
          <w:rStyle w:val="FootnoteReference"/>
        </w:rPr>
        <w:footnoteRef/>
      </w:r>
      <w:r w:rsidRPr="00DE2AFF">
        <w:t xml:space="preserve"> </w:t>
      </w:r>
      <w:r w:rsidR="001E18CB" w:rsidRPr="00E9388B">
        <w:t>https://www.legislation.gov.au/Series/C2007A00175</w:t>
      </w:r>
      <w:r w:rsidRPr="00DE2AFF">
        <w:t xml:space="preserve"> </w:t>
      </w:r>
    </w:p>
  </w:footnote>
  <w:footnote w:id="4">
    <w:p w14:paraId="10D5C9A7" w14:textId="6B193446" w:rsidR="001B624B" w:rsidRPr="00DE2AFF" w:rsidRDefault="001B624B" w:rsidP="001B624B">
      <w:pPr>
        <w:pStyle w:val="FootnoteText"/>
        <w:rPr>
          <w:lang w:val="en-AU"/>
        </w:rPr>
      </w:pPr>
      <w:r w:rsidRPr="00DE2AFF">
        <w:rPr>
          <w:rStyle w:val="FootnoteReference"/>
        </w:rPr>
        <w:footnoteRef/>
      </w:r>
      <w:r w:rsidRPr="00DE2AFF">
        <w:t xml:space="preserve"> </w:t>
      </w:r>
      <w:r w:rsidR="00D969FD" w:rsidRPr="00E9388B">
        <w:t>https://www.legislation.gov.au/Series/F2008L0223</w:t>
      </w:r>
      <w:r w:rsidR="002644CD">
        <w:t>0</w:t>
      </w:r>
    </w:p>
  </w:footnote>
  <w:footnote w:id="5">
    <w:p w14:paraId="74A5CECD" w14:textId="12040BA4" w:rsidR="001B624B" w:rsidRPr="001166CF" w:rsidRDefault="001B624B" w:rsidP="001B624B">
      <w:pPr>
        <w:pStyle w:val="FootnoteText"/>
        <w:rPr>
          <w:lang w:val="en-AU"/>
        </w:rPr>
      </w:pPr>
      <w:r w:rsidRPr="00DE2AFF">
        <w:rPr>
          <w:rStyle w:val="FootnoteReference"/>
        </w:rPr>
        <w:footnoteRef/>
      </w:r>
      <w:r w:rsidRPr="00DE2AFF">
        <w:t xml:space="preserve"> </w:t>
      </w:r>
      <w:r w:rsidR="00D969FD" w:rsidRPr="00E9388B">
        <w:t>https://www.legislation.gov.au/Series/F2008L02309</w:t>
      </w:r>
      <w:r w:rsidRPr="00DE2AFF">
        <w:t xml:space="preserve"> </w:t>
      </w:r>
    </w:p>
  </w:footnote>
  <w:footnote w:id="6">
    <w:p w14:paraId="17FB8516" w14:textId="5F0B89BC" w:rsidR="001B624B" w:rsidRPr="00740092" w:rsidRDefault="001B624B" w:rsidP="001B624B">
      <w:pPr>
        <w:pStyle w:val="FootnoteText"/>
        <w:rPr>
          <w:lang w:val="en-AU"/>
        </w:rPr>
      </w:pPr>
      <w:r w:rsidRPr="00DE2AFF">
        <w:rPr>
          <w:rStyle w:val="FootnoteReference"/>
        </w:rPr>
        <w:footnoteRef/>
      </w:r>
      <w:r w:rsidRPr="00DE2AFF">
        <w:t xml:space="preserve"> </w:t>
      </w:r>
      <w:r w:rsidR="00D969FD" w:rsidRPr="00E9388B">
        <w:t>https://cer.gov.au/schemes/national-greenhouse-and-energy-reporting-scheme</w:t>
      </w:r>
    </w:p>
  </w:footnote>
  <w:footnote w:id="7">
    <w:p w14:paraId="52D1877F" w14:textId="50A69ED7" w:rsidR="004672B4" w:rsidRPr="00D2141E" w:rsidRDefault="004672B4">
      <w:pPr>
        <w:pStyle w:val="FootnoteText"/>
        <w:rPr>
          <w:lang w:val="en-AU"/>
        </w:rPr>
      </w:pPr>
      <w:r>
        <w:rPr>
          <w:rStyle w:val="FootnoteReference"/>
        </w:rPr>
        <w:footnoteRef/>
      </w:r>
      <w:r>
        <w:t xml:space="preserve"> </w:t>
      </w:r>
      <w:r w:rsidR="003422CF" w:rsidRPr="00E9388B">
        <w:t>https://cer.gov.au/schemes/national-greenhouse-and-energy-reporting-scheme/report-emissions-and-energy/amendments</w:t>
      </w:r>
      <w:r>
        <w:t xml:space="preserve"> </w:t>
      </w:r>
    </w:p>
  </w:footnote>
  <w:footnote w:id="8">
    <w:p w14:paraId="043FAEB4" w14:textId="37CA0D93" w:rsidR="004A2E03" w:rsidRPr="00E84BDE" w:rsidRDefault="004A2E03" w:rsidP="004A2E03">
      <w:pPr>
        <w:pStyle w:val="FootnoteText"/>
        <w:rPr>
          <w:lang w:val="en-AU"/>
        </w:rPr>
      </w:pPr>
      <w:r>
        <w:rPr>
          <w:rStyle w:val="FootnoteReference"/>
        </w:rPr>
        <w:footnoteRef/>
      </w:r>
      <w:r>
        <w:t xml:space="preserve"> </w:t>
      </w:r>
      <w:r w:rsidR="00F1557E" w:rsidRPr="00E9388B">
        <w:t>https://www.legislation.gov.au/Series/F2015L01637</w:t>
      </w:r>
      <w:r>
        <w:t xml:space="preserve"> </w:t>
      </w:r>
    </w:p>
  </w:footnote>
  <w:footnote w:id="9">
    <w:p w14:paraId="1A1DF4ED" w14:textId="001EA915" w:rsidR="004A2E03" w:rsidRPr="00E84BDE" w:rsidRDefault="004A2E03" w:rsidP="004A2E03">
      <w:pPr>
        <w:pStyle w:val="FootnoteText"/>
        <w:rPr>
          <w:lang w:val="en-AU"/>
        </w:rPr>
      </w:pPr>
      <w:r>
        <w:rPr>
          <w:rStyle w:val="FootnoteReference"/>
        </w:rPr>
        <w:footnoteRef/>
      </w:r>
      <w:r>
        <w:t xml:space="preserve"> </w:t>
      </w:r>
      <w:r w:rsidR="00724896" w:rsidRPr="00E9388B">
        <w:t>https://cer.gov.au/document_page/reporting-hydrofluorocarbons-and-sulphur-hexafluoride-gases-guideline</w:t>
      </w:r>
      <w:r>
        <w:t xml:space="preserve"> </w:t>
      </w:r>
    </w:p>
  </w:footnote>
  <w:footnote w:id="10">
    <w:p w14:paraId="2AB3DD18" w14:textId="7C176C43" w:rsidR="001876A4" w:rsidRPr="00D2141E" w:rsidRDefault="001876A4">
      <w:pPr>
        <w:pStyle w:val="FootnoteText"/>
        <w:rPr>
          <w:lang w:val="en-AU"/>
        </w:rPr>
      </w:pPr>
      <w:r>
        <w:rPr>
          <w:rStyle w:val="FootnoteReference"/>
        </w:rPr>
        <w:footnoteRef/>
      </w:r>
      <w:r>
        <w:t xml:space="preserve"> </w:t>
      </w:r>
      <w:r w:rsidR="00724896" w:rsidRPr="00E9388B">
        <w:t>https://cer.gov.au/document_page/voluntary-market-based-scope-2-emissions-guideline</w:t>
      </w:r>
      <w:r>
        <w:t xml:space="preserve"> </w:t>
      </w:r>
    </w:p>
  </w:footnote>
  <w:footnote w:id="11">
    <w:p w14:paraId="0A49F128" w14:textId="3F49D6BE" w:rsidR="004A2E03" w:rsidRPr="00A54316" w:rsidRDefault="004A2E03" w:rsidP="004A2E03">
      <w:pPr>
        <w:pStyle w:val="FootnoteText"/>
        <w:rPr>
          <w:lang w:val="en-AU"/>
        </w:rPr>
      </w:pPr>
      <w:r>
        <w:rPr>
          <w:rStyle w:val="FootnoteReference"/>
        </w:rPr>
        <w:footnoteRef/>
      </w:r>
      <w:r>
        <w:t xml:space="preserve"> </w:t>
      </w:r>
      <w:r w:rsidR="00724896" w:rsidRPr="00E9388B">
        <w:t>https://cer.gov.au/schemes/national-greenhouse-and-energy-reporting-scheme/report-emissions-and-energy/nger-reporting-guides</w:t>
      </w:r>
      <w:r w:rsidR="00B41CDE">
        <w:t xml:space="preserve"> </w:t>
      </w:r>
    </w:p>
  </w:footnote>
  <w:footnote w:id="12">
    <w:p w14:paraId="4994C940" w14:textId="77777777" w:rsidR="00015BC3" w:rsidRDefault="0010394F" w:rsidP="00015BC3">
      <w:r>
        <w:rPr>
          <w:rStyle w:val="FootnoteReference"/>
        </w:rPr>
        <w:footnoteRef/>
      </w:r>
      <w:r>
        <w:t xml:space="preserve"> </w:t>
      </w:r>
      <w:r w:rsidR="00015BC3" w:rsidRPr="006D42CE">
        <w:t>https://cer.gov.au/document_page/nger-technical-reporting-information</w:t>
      </w:r>
    </w:p>
    <w:p w14:paraId="558A7296" w14:textId="661112B7" w:rsidR="0010394F" w:rsidRPr="00084932" w:rsidRDefault="0010394F">
      <w:pPr>
        <w:pStyle w:val="FootnoteText"/>
        <w:rPr>
          <w:lang w:val="en-AU"/>
        </w:rPr>
      </w:pPr>
    </w:p>
  </w:footnote>
  <w:footnote w:id="13">
    <w:p w14:paraId="51B542D4" w14:textId="5234B2E2" w:rsidR="004A2E03" w:rsidRPr="00E84BDE" w:rsidRDefault="004A2E03" w:rsidP="004A2E03">
      <w:pPr>
        <w:pStyle w:val="FootnoteText"/>
        <w:rPr>
          <w:lang w:val="en-AU"/>
        </w:rPr>
      </w:pPr>
      <w:r>
        <w:rPr>
          <w:rStyle w:val="FootnoteReference"/>
        </w:rPr>
        <w:footnoteRef/>
      </w:r>
      <w:r>
        <w:t xml:space="preserve"> </w:t>
      </w:r>
      <w:r w:rsidR="0000408D" w:rsidRPr="00E9388B">
        <w:t>https://cer.gov.au/document_page/reporting-hydrofluorocarbons-and-sulphur-hexafluoride-gases-guideline</w:t>
      </w:r>
      <w:r>
        <w:t xml:space="preserve"> </w:t>
      </w:r>
    </w:p>
  </w:footnote>
  <w:footnote w:id="14">
    <w:p w14:paraId="31D19ACE" w14:textId="77777777" w:rsidR="004A2E03" w:rsidRPr="005160D3" w:rsidRDefault="004A2E03" w:rsidP="004A2E03">
      <w:pPr>
        <w:pStyle w:val="FootnoteText"/>
        <w:rPr>
          <w:lang w:val="en-US"/>
        </w:rPr>
      </w:pPr>
      <w:r>
        <w:rPr>
          <w:rStyle w:val="FootnoteReference"/>
        </w:rPr>
        <w:footnoteRef/>
      </w:r>
      <w:r>
        <w:t xml:space="preserve"> This requirement applies to the combustion of solid and gaseous fuels. </w:t>
      </w:r>
      <w:r>
        <w:rPr>
          <w:lang w:val="en-US"/>
        </w:rPr>
        <w:t>See section 2.3(3) and section 2.19(3) of the NGER Measurement Determination relating to the combustion of solid and gaseous fuels.</w:t>
      </w:r>
    </w:p>
  </w:footnote>
  <w:footnote w:id="15">
    <w:p w14:paraId="7F759541" w14:textId="21F57CA2" w:rsidR="00F603A0" w:rsidRPr="00D2141E" w:rsidRDefault="00F603A0">
      <w:pPr>
        <w:pStyle w:val="FootnoteText"/>
        <w:rPr>
          <w:lang w:val="en-AU"/>
        </w:rPr>
      </w:pPr>
      <w:r>
        <w:rPr>
          <w:rStyle w:val="FootnoteReference"/>
        </w:rPr>
        <w:footnoteRef/>
      </w:r>
      <w:r>
        <w:t xml:space="preserve"> </w:t>
      </w:r>
      <w:r w:rsidR="00BE4206" w:rsidRPr="00E9388B">
        <w:t>https://cer.gov.au/document_page/guidance-aggregated-facility-reporting-percentage-estimates-and-incidental-emissions-and-energy</w:t>
      </w:r>
      <w:r w:rsidR="00636CD1">
        <w:t xml:space="preserve"> </w:t>
      </w:r>
    </w:p>
  </w:footnote>
  <w:footnote w:id="16">
    <w:p w14:paraId="512C97DE" w14:textId="0A701B29" w:rsidR="004A2E03" w:rsidRDefault="004A2E03" w:rsidP="004A2E03">
      <w:pPr>
        <w:pStyle w:val="FootnoteText"/>
      </w:pPr>
      <w:r>
        <w:rPr>
          <w:rStyle w:val="FootnoteReference"/>
        </w:rPr>
        <w:footnoteRef/>
      </w:r>
      <w:r>
        <w:t xml:space="preserve"> </w:t>
      </w:r>
      <w:r w:rsidR="00BE4206" w:rsidRPr="00E9388B">
        <w:t>https://cer.gov.au/document_page/reporting-uncertainty-guideline</w:t>
      </w:r>
      <w:r>
        <w:t xml:space="preserve"> </w:t>
      </w:r>
    </w:p>
  </w:footnote>
  <w:footnote w:id="17">
    <w:p w14:paraId="36CB00FB" w14:textId="3EA5656B" w:rsidR="004A2E03" w:rsidRPr="00E84BDE" w:rsidRDefault="004A2E03" w:rsidP="004A2E03">
      <w:pPr>
        <w:pStyle w:val="FootnoteText"/>
        <w:rPr>
          <w:b/>
          <w:bCs/>
        </w:rPr>
      </w:pPr>
      <w:r>
        <w:rPr>
          <w:rStyle w:val="FootnoteReference"/>
        </w:rPr>
        <w:footnoteRef/>
      </w:r>
      <w:r>
        <w:t xml:space="preserve"> Schedule 2 of the NGER Regulations provides the meaning of industry sector under the NGER legislation, including an ANZSIC code (261) for ‘Electricity generation’. </w:t>
      </w:r>
      <w:r w:rsidR="00BF3EDD">
        <w:t>Paragraphs</w:t>
      </w:r>
      <w:r>
        <w:t xml:space="preserve"> 2.3(3)(a) for solid fuels and 2.19(3)(a) for gaseous fuels of the NGER Measurement Determination only apply to the ANZSIC Class code (2611) for ‘Fossil Fuel Electricity Generation’ which is within the ANZSIC Group 261. Facilities classed as 2611 for ‘Fossil Fuel Electricity Generation’ must not use method 1 to estimate emissions from their main fuel combusted to operate the facility.</w:t>
      </w:r>
    </w:p>
  </w:footnote>
  <w:footnote w:id="18">
    <w:p w14:paraId="06DDC77B" w14:textId="77777777" w:rsidR="00A57A5C" w:rsidRPr="00BF49F3" w:rsidRDefault="00A57A5C" w:rsidP="00A57A5C">
      <w:pPr>
        <w:pStyle w:val="FootnoteText"/>
        <w:rPr>
          <w:lang w:val="en-AU"/>
        </w:rPr>
      </w:pPr>
      <w:r>
        <w:rPr>
          <w:rStyle w:val="FootnoteReference"/>
        </w:rPr>
        <w:footnoteRef/>
      </w:r>
      <w:r>
        <w:t xml:space="preserve"> Generator Efficiency Standards program was released in December 2006 by the former Australian Greenhouse Office, Department of Environment and Heritage</w:t>
      </w:r>
    </w:p>
  </w:footnote>
  <w:footnote w:id="19">
    <w:p w14:paraId="053A5D0E" w14:textId="7CB5CE94" w:rsidR="00A57A5C" w:rsidRPr="009C0388" w:rsidRDefault="00A57A5C" w:rsidP="00A57A5C">
      <w:pPr>
        <w:pStyle w:val="FootnoteText"/>
        <w:rPr>
          <w:lang w:val="en-AU"/>
        </w:rPr>
      </w:pPr>
      <w:r>
        <w:rPr>
          <w:rStyle w:val="FootnoteReference"/>
        </w:rPr>
        <w:footnoteRef/>
      </w:r>
      <w:r>
        <w:t xml:space="preserve"> </w:t>
      </w:r>
      <w:r w:rsidR="00767D06" w:rsidRPr="00E9388B">
        <w:t>https://cer.gov.au/about-us/contact-us</w:t>
      </w:r>
      <w:r>
        <w:t xml:space="preserve"> </w:t>
      </w:r>
    </w:p>
  </w:footnote>
  <w:footnote w:id="20">
    <w:p w14:paraId="30CE80A9" w14:textId="6DE6ABF3" w:rsidR="001F0D25" w:rsidRPr="00D2141E" w:rsidRDefault="001F0D25">
      <w:pPr>
        <w:pStyle w:val="FootnoteText"/>
        <w:rPr>
          <w:lang w:val="en-AU"/>
        </w:rPr>
      </w:pPr>
      <w:r>
        <w:rPr>
          <w:rStyle w:val="FootnoteReference"/>
        </w:rPr>
        <w:footnoteRef/>
      </w:r>
      <w:r>
        <w:t xml:space="preserve"> </w:t>
      </w:r>
      <w:r w:rsidR="00F17414" w:rsidRPr="00E9388B">
        <w:t>https://cer.gov.au/document_page/estimating-emissions-and-energy-fuel-combustion-guideline</w:t>
      </w:r>
      <w:r>
        <w:t xml:space="preserve"> </w:t>
      </w:r>
    </w:p>
  </w:footnote>
  <w:footnote w:id="21">
    <w:p w14:paraId="2B108B5F" w14:textId="10B3774A" w:rsidR="00A57A5C" w:rsidRDefault="00A57A5C" w:rsidP="00A57A5C">
      <w:pPr>
        <w:pStyle w:val="FootnoteText"/>
      </w:pPr>
      <w:r>
        <w:rPr>
          <w:rStyle w:val="FootnoteReference"/>
        </w:rPr>
        <w:footnoteRef/>
      </w:r>
      <w:r>
        <w:t xml:space="preserve"> </w:t>
      </w:r>
      <w:r w:rsidR="00F17414" w:rsidRPr="00E9388B">
        <w:t>https://cer.gov.au/document_page/petroleum-based-oils-and-greases-guideline</w:t>
      </w:r>
      <w:r>
        <w:t xml:space="preserve"> </w:t>
      </w:r>
    </w:p>
  </w:footnote>
  <w:footnote w:id="22">
    <w:p w14:paraId="34BF9893" w14:textId="0BF1A6BC" w:rsidR="00A57A5C" w:rsidRDefault="00A57A5C" w:rsidP="00A57A5C">
      <w:pPr>
        <w:pStyle w:val="FootnoteText"/>
      </w:pPr>
      <w:r>
        <w:rPr>
          <w:rStyle w:val="FootnoteReference"/>
        </w:rPr>
        <w:footnoteRef/>
      </w:r>
      <w:r>
        <w:t xml:space="preserve"> </w:t>
      </w:r>
      <w:r w:rsidR="0029554B" w:rsidRPr="00E9388B">
        <w:t>https://cer.gov.au/document_page/reporting-hydrofluorocarbons-and-sulphur-hexafluoride-gases-guideline</w:t>
      </w:r>
      <w:r>
        <w:t xml:space="preserve"> </w:t>
      </w:r>
    </w:p>
  </w:footnote>
  <w:footnote w:id="23">
    <w:p w14:paraId="2E62788D" w14:textId="6D016B62" w:rsidR="0024665C" w:rsidRDefault="0024665C" w:rsidP="0024665C">
      <w:pPr>
        <w:pStyle w:val="FootnoteText"/>
      </w:pPr>
      <w:r>
        <w:rPr>
          <w:rStyle w:val="FootnoteReference"/>
        </w:rPr>
        <w:footnoteRef/>
      </w:r>
      <w:r>
        <w:t xml:space="preserve"> </w:t>
      </w:r>
      <w:r w:rsidR="0029554B" w:rsidRPr="00E9388B">
        <w:t>https://cer.gov.au/schemes/national-greenhouse-and-energy-reporting-scheme/about-emissions-and-energy-data/emissions#types-of-emissions</w:t>
      </w:r>
      <w:r>
        <w:t xml:space="preserve"> </w:t>
      </w:r>
    </w:p>
  </w:footnote>
  <w:footnote w:id="24">
    <w:p w14:paraId="12B78A73" w14:textId="6A8175B3" w:rsidR="0024665C" w:rsidRDefault="0024665C" w:rsidP="0024665C">
      <w:pPr>
        <w:pStyle w:val="FootnoteText"/>
      </w:pPr>
      <w:r>
        <w:rPr>
          <w:rStyle w:val="FootnoteReference"/>
        </w:rPr>
        <w:footnoteRef/>
      </w:r>
      <w:r>
        <w:t xml:space="preserve"> </w:t>
      </w:r>
      <w:r w:rsidR="00833760" w:rsidRPr="00E9388B">
        <w:t>https://energy-rules.aemc.gov.au/ner/594</w:t>
      </w:r>
      <w:r>
        <w:t xml:space="preserve"> </w:t>
      </w:r>
    </w:p>
  </w:footnote>
  <w:footnote w:id="25">
    <w:p w14:paraId="26470D5C" w14:textId="3E4BC4FE" w:rsidR="0024665C" w:rsidRDefault="0024665C" w:rsidP="0024665C">
      <w:pPr>
        <w:pStyle w:val="FootnoteText"/>
      </w:pPr>
      <w:r>
        <w:rPr>
          <w:rStyle w:val="FootnoteReference"/>
        </w:rPr>
        <w:footnoteRef/>
      </w:r>
      <w:r>
        <w:t xml:space="preserve"> </w:t>
      </w:r>
      <w:r w:rsidR="00833760" w:rsidRPr="00E9388B">
        <w:t>https://aemo.com.au/-/media/files/electricity/nem/5ms/program-information/2020/global-settlement-fact-sheet-updated-july2020.pdf</w:t>
      </w:r>
    </w:p>
  </w:footnote>
  <w:footnote w:id="26">
    <w:p w14:paraId="0ED84303" w14:textId="4D261766" w:rsidR="0024665C" w:rsidRDefault="0024665C" w:rsidP="0024665C">
      <w:pPr>
        <w:pStyle w:val="FootnoteText"/>
      </w:pPr>
      <w:r>
        <w:rPr>
          <w:rStyle w:val="FootnoteReference"/>
        </w:rPr>
        <w:footnoteRef/>
      </w:r>
      <w:r>
        <w:t xml:space="preserve"> </w:t>
      </w:r>
      <w:r w:rsidR="009D20E7" w:rsidRPr="00E9388B">
        <w:t>https://cer.gov.au/schemes/national-greenhouse-and-energy-reporting-scheme/assess-your-obligations</w:t>
      </w:r>
      <w:r>
        <w:t xml:space="preserve"> </w:t>
      </w:r>
    </w:p>
  </w:footnote>
  <w:footnote w:id="27">
    <w:p w14:paraId="198F9399" w14:textId="495C8DEE" w:rsidR="0024665C" w:rsidRDefault="0024665C" w:rsidP="0024665C">
      <w:pPr>
        <w:pStyle w:val="FootnoteText"/>
      </w:pPr>
      <w:r>
        <w:rPr>
          <w:rStyle w:val="FootnoteReference"/>
        </w:rPr>
        <w:footnoteRef/>
      </w:r>
      <w:r>
        <w:t xml:space="preserve"> </w:t>
      </w:r>
      <w:r w:rsidR="009D20E7" w:rsidRPr="00E9388B">
        <w:t>https://cer.gov.au/schemes/national-greenhouse-and-energy-reporting-scheme/assess-your-obligations#nger-thresholds</w:t>
      </w:r>
      <w:r>
        <w:t xml:space="preserve"> </w:t>
      </w:r>
    </w:p>
  </w:footnote>
  <w:footnote w:id="28">
    <w:p w14:paraId="2BBFB684" w14:textId="1F6176C9" w:rsidR="00B12FBA" w:rsidRPr="00B12FBA" w:rsidRDefault="00B12FBA">
      <w:pPr>
        <w:pStyle w:val="FootnoteText"/>
        <w:rPr>
          <w:lang w:val="en-AU"/>
        </w:rPr>
      </w:pPr>
      <w:r>
        <w:rPr>
          <w:rStyle w:val="FootnoteReference"/>
        </w:rPr>
        <w:footnoteRef/>
      </w:r>
      <w:r>
        <w:t xml:space="preserve"> </w:t>
      </w:r>
      <w:r w:rsidRPr="00B12FBA">
        <w:t>https://cer.gov.au/schemes/national-greenhouse-and-energy-reporting-scheme/report-emissions-and-energy/amendments-to-national-greenhouse-and-energy-reporting-legislation</w:t>
      </w:r>
    </w:p>
  </w:footnote>
  <w:footnote w:id="29">
    <w:p w14:paraId="3AD4A583" w14:textId="77777777" w:rsidR="000056A4" w:rsidRPr="001F5E4C" w:rsidRDefault="000056A4" w:rsidP="000056A4">
      <w:pPr>
        <w:pStyle w:val="FootnoteText"/>
        <w:rPr>
          <w:lang w:val="en-AU"/>
        </w:rPr>
      </w:pPr>
      <w:r>
        <w:rPr>
          <w:rStyle w:val="FootnoteReference"/>
        </w:rPr>
        <w:footnoteRef/>
      </w:r>
      <w:r>
        <w:t xml:space="preserve"> </w:t>
      </w:r>
      <w:r w:rsidRPr="00E06A63">
        <w:t>https://www.dcceew.gov.au/climate-change/publications/national-greenhouse-accounts-factors</w:t>
      </w:r>
    </w:p>
  </w:footnote>
  <w:footnote w:id="30">
    <w:p w14:paraId="341E0F54" w14:textId="0E96B773" w:rsidR="0024665C" w:rsidRPr="00D01A38" w:rsidRDefault="0024665C" w:rsidP="0024665C">
      <w:pPr>
        <w:pStyle w:val="FootnoteText"/>
        <w:rPr>
          <w:lang w:val="en-AU"/>
        </w:rPr>
      </w:pPr>
      <w:r>
        <w:rPr>
          <w:rStyle w:val="FootnoteReference"/>
        </w:rPr>
        <w:footnoteRef/>
      </w:r>
      <w:r>
        <w:t xml:space="preserve"> </w:t>
      </w:r>
      <w:r w:rsidR="005674AE" w:rsidRPr="00E9388B">
        <w:t>https://cer.gov.au/document_page/voluntary-market-based-scope-2-emissions-guideline</w:t>
      </w:r>
      <w:r w:rsidR="00AC0B2F">
        <w:t xml:space="preserve"> </w:t>
      </w:r>
    </w:p>
  </w:footnote>
  <w:footnote w:id="31">
    <w:p w14:paraId="0D5AD67B" w14:textId="7652ABBF" w:rsidR="00015C1D" w:rsidRPr="00D01A38" w:rsidRDefault="00015C1D" w:rsidP="00015C1D">
      <w:pPr>
        <w:pStyle w:val="FootnoteText"/>
        <w:rPr>
          <w:lang w:val="en-AU"/>
        </w:rPr>
      </w:pPr>
      <w:r>
        <w:rPr>
          <w:rStyle w:val="FootnoteReference"/>
        </w:rPr>
        <w:footnoteRef/>
      </w:r>
      <w:r>
        <w:t xml:space="preserve"> </w:t>
      </w:r>
      <w:r w:rsidRPr="00B12FBA">
        <w:t>https://cer.gov.au/document_page/voluntary-market-based-scope-2-emissions-guideline</w:t>
      </w:r>
      <w:r>
        <w:t xml:space="preserve"> </w:t>
      </w:r>
    </w:p>
  </w:footnote>
  <w:footnote w:id="32">
    <w:p w14:paraId="42B9FE17" w14:textId="2AF95438" w:rsidR="005D7E4A" w:rsidRPr="006D1341" w:rsidRDefault="005D7E4A">
      <w:pPr>
        <w:pStyle w:val="FootnoteText"/>
        <w:rPr>
          <w:lang w:val="en-AU"/>
        </w:rPr>
      </w:pPr>
      <w:r>
        <w:rPr>
          <w:rStyle w:val="FootnoteReference"/>
        </w:rPr>
        <w:footnoteRef/>
      </w:r>
      <w:r>
        <w:t xml:space="preserve"> </w:t>
      </w:r>
      <w:r w:rsidRPr="005D7E4A">
        <w:t>https://cer.gov.au/document_page/reporting-energy-production-and-consumption-guideline</w:t>
      </w:r>
    </w:p>
  </w:footnote>
  <w:footnote w:id="33">
    <w:p w14:paraId="2B18A00B" w14:textId="2A03CF16" w:rsidR="00A57A5C" w:rsidRPr="009C0388" w:rsidDel="00315D06" w:rsidRDefault="00A57A5C" w:rsidP="00A57A5C">
      <w:pPr>
        <w:pStyle w:val="FootnoteText"/>
        <w:rPr>
          <w:lang w:val="en-AU"/>
        </w:rPr>
      </w:pPr>
      <w:r w:rsidDel="00315D06">
        <w:rPr>
          <w:rStyle w:val="FootnoteReference"/>
        </w:rPr>
        <w:footnoteRef/>
      </w:r>
      <w:r w:rsidDel="00315D06">
        <w:t xml:space="preserve"> </w:t>
      </w:r>
      <w:r w:rsidR="00E642EE" w:rsidRPr="00E9388B" w:rsidDel="00315D06">
        <w:t>https://www.aemc.gov.au/regulation/energy-rules/national-electricity-rules/current</w:t>
      </w:r>
      <w:r w:rsidDel="00315D06">
        <w:t xml:space="preserve"> </w:t>
      </w:r>
    </w:p>
  </w:footnote>
  <w:footnote w:id="34">
    <w:p w14:paraId="6AC08E4D" w14:textId="3BB62B21" w:rsidR="00A57A5C" w:rsidRPr="009C0388" w:rsidRDefault="00A57A5C" w:rsidP="00A57A5C">
      <w:pPr>
        <w:pStyle w:val="FootnoteText"/>
        <w:rPr>
          <w:lang w:val="en-AU"/>
        </w:rPr>
      </w:pPr>
      <w:r>
        <w:rPr>
          <w:rStyle w:val="FootnoteReference"/>
        </w:rPr>
        <w:footnoteRef/>
      </w:r>
      <w:r>
        <w:t xml:space="preserve"> </w:t>
      </w:r>
      <w:r w:rsidR="007F15F6" w:rsidRPr="00E9388B">
        <w:t>https://www.ghgprotocol.org/sites/default/files/ghgp/CHP_guidance_v1.0.pdf</w:t>
      </w:r>
      <w:r>
        <w:t xml:space="preserve"> </w:t>
      </w:r>
    </w:p>
  </w:footnote>
  <w:footnote w:id="35">
    <w:p w14:paraId="782004AC" w14:textId="24E8184A" w:rsidR="00A57A5C" w:rsidRPr="009C0388" w:rsidRDefault="00A57A5C" w:rsidP="00A57A5C">
      <w:pPr>
        <w:pStyle w:val="FootnoteText"/>
        <w:rPr>
          <w:lang w:val="en-AU"/>
        </w:rPr>
      </w:pPr>
      <w:r>
        <w:rPr>
          <w:rStyle w:val="FootnoteReference"/>
        </w:rPr>
        <w:footnoteRef/>
      </w:r>
      <w:r>
        <w:t xml:space="preserve"> </w:t>
      </w:r>
      <w:r w:rsidR="00FF730D" w:rsidRPr="00E9388B">
        <w:t>https://ghgprotocol.org/calculation-tools-and-guidance</w:t>
      </w:r>
      <w:r>
        <w:t xml:space="preserve"> </w:t>
      </w:r>
    </w:p>
  </w:footnote>
  <w:footnote w:id="36">
    <w:p w14:paraId="2A703B69" w14:textId="60671588" w:rsidR="00A57A5C" w:rsidRDefault="00A57A5C" w:rsidP="00A57A5C">
      <w:pPr>
        <w:pStyle w:val="FootnoteText"/>
      </w:pPr>
      <w:r>
        <w:rPr>
          <w:rStyle w:val="FootnoteReference"/>
        </w:rPr>
        <w:footnoteRef/>
      </w:r>
      <w:r>
        <w:t xml:space="preserve"> </w:t>
      </w:r>
      <w:r w:rsidR="008E59AE" w:rsidRPr="00E9388B">
        <w:t>https://cer.gov.au/document_page/reporting-blended-fuels-other-fuel-mixes-bitumen-and-explosives-guideline</w:t>
      </w:r>
      <w:r>
        <w:t xml:space="preserve">  </w:t>
      </w:r>
      <w:r w:rsidRPr="00C84028" w:rsidDel="00C84028">
        <w:t xml:space="preserve"> </w:t>
      </w:r>
      <w:r>
        <w:t xml:space="preserve"> </w:t>
      </w:r>
    </w:p>
  </w:footnote>
  <w:footnote w:id="37">
    <w:p w14:paraId="2EA3EA03" w14:textId="266014FC" w:rsidR="00A57A5C" w:rsidRDefault="00A57A5C" w:rsidP="00A57A5C">
      <w:pPr>
        <w:pStyle w:val="FootnoteText"/>
        <w:rPr>
          <w:lang w:val="en-US"/>
        </w:rPr>
      </w:pPr>
      <w:r>
        <w:rPr>
          <w:rStyle w:val="FootnoteReference"/>
        </w:rPr>
        <w:footnoteRef/>
      </w:r>
      <w:r>
        <w:t xml:space="preserve"> </w:t>
      </w:r>
      <w:r w:rsidR="00EE549A" w:rsidRPr="00E9388B">
        <w:t>https://cer.gov.au/document_page/methods-and-measurement-criteria-guideline</w:t>
      </w:r>
      <w:r>
        <w:t xml:space="preserve"> </w:t>
      </w:r>
    </w:p>
    <w:p w14:paraId="615537C6" w14:textId="77777777" w:rsidR="00A57A5C" w:rsidRPr="00AF1FB2" w:rsidRDefault="00A57A5C" w:rsidP="00A57A5C">
      <w:pPr>
        <w:pStyle w:val="FootnoteText"/>
        <w:rPr>
          <w:lang w:val="en-US"/>
        </w:rPr>
      </w:pPr>
    </w:p>
  </w:footnote>
  <w:footnote w:id="38">
    <w:p w14:paraId="0E578BFC" w14:textId="508546F5" w:rsidR="00A57A5C" w:rsidRPr="009C0388" w:rsidRDefault="00A57A5C" w:rsidP="00A57A5C">
      <w:pPr>
        <w:pStyle w:val="FootnoteText"/>
        <w:rPr>
          <w:lang w:val="en-AU"/>
        </w:rPr>
      </w:pPr>
      <w:r>
        <w:rPr>
          <w:rStyle w:val="FootnoteReference"/>
        </w:rPr>
        <w:footnoteRef/>
      </w:r>
      <w:r>
        <w:t xml:space="preserve"> </w:t>
      </w:r>
      <w:r w:rsidR="00866D47" w:rsidRPr="00E9388B">
        <w:t>https://cer.gov.au/schemes/national-greenhouse-and-energy-reporting-scheme/report-emissions-and-energy/nger-reporting-guides</w:t>
      </w:r>
      <w:r w:rsidR="00E50FAD">
        <w:t xml:space="preserve"> </w:t>
      </w:r>
      <w:r w:rsidR="008E68E9">
        <w:t xml:space="preserve"> </w:t>
      </w:r>
    </w:p>
  </w:footnote>
  <w:footnote w:id="39">
    <w:p w14:paraId="0CE6E841" w14:textId="07B135EB" w:rsidR="00F33A8B" w:rsidRPr="00D2141E" w:rsidRDefault="00F33A8B">
      <w:pPr>
        <w:pStyle w:val="FootnoteText"/>
        <w:rPr>
          <w:lang w:val="en-AU"/>
        </w:rPr>
      </w:pPr>
      <w:r>
        <w:rPr>
          <w:rStyle w:val="FootnoteReference"/>
        </w:rPr>
        <w:footnoteRef/>
      </w:r>
      <w:r>
        <w:t xml:space="preserve"> </w:t>
      </w:r>
      <w:r>
        <w:rPr>
          <w:lang w:val="en-AU"/>
        </w:rPr>
        <w:t xml:space="preserve">As defined in 1.03 of the NGER Regulations </w:t>
      </w:r>
    </w:p>
  </w:footnote>
  <w:footnote w:id="40">
    <w:p w14:paraId="790326D4" w14:textId="21F536B9" w:rsidR="003869C2" w:rsidRPr="00D47AB2" w:rsidRDefault="003869C2" w:rsidP="003869C2">
      <w:pPr>
        <w:pStyle w:val="FootnoteText"/>
        <w:rPr>
          <w:lang w:val="en-AU"/>
        </w:rPr>
      </w:pPr>
      <w:r>
        <w:rPr>
          <w:rStyle w:val="FootnoteReference"/>
        </w:rPr>
        <w:footnoteRef/>
      </w:r>
      <w:r>
        <w:t xml:space="preserve"> </w:t>
      </w:r>
      <w:r w:rsidR="00866D47" w:rsidRPr="00E9388B">
        <w:t>https://cer.gov.au/document_page/petroleum-based-oils-and-greases-guideline</w:t>
      </w:r>
      <w:r>
        <w:rPr>
          <w:sz w:val="22"/>
          <w:szCs w:val="24"/>
          <w:lang w:val="en-AU"/>
        </w:rPr>
        <w:t xml:space="preserve"> </w:t>
      </w:r>
    </w:p>
  </w:footnote>
  <w:footnote w:id="41">
    <w:p w14:paraId="139A6E74" w14:textId="4F23467C" w:rsidR="003869C2" w:rsidRPr="00D47AB2" w:rsidRDefault="003869C2" w:rsidP="003869C2">
      <w:pPr>
        <w:pStyle w:val="FootnoteText"/>
        <w:rPr>
          <w:lang w:val="en-AU"/>
        </w:rPr>
      </w:pPr>
      <w:r>
        <w:rPr>
          <w:rStyle w:val="FootnoteReference"/>
        </w:rPr>
        <w:footnoteRef/>
      </w:r>
      <w:r>
        <w:t xml:space="preserve"> </w:t>
      </w:r>
      <w:r w:rsidR="00F52002" w:rsidRPr="00E9388B">
        <w:t>https://cer.gov.au/document_page/defining-facility-national-greenhouse-and-energy-reporting</w:t>
      </w:r>
      <w:r>
        <w:rPr>
          <w:sz w:val="22"/>
          <w:szCs w:val="24"/>
          <w:lang w:val="en-AU"/>
        </w:rPr>
        <w:t xml:space="preserve"> </w:t>
      </w:r>
    </w:p>
  </w:footnote>
  <w:footnote w:id="42">
    <w:p w14:paraId="48F0D2EC" w14:textId="334BD26E" w:rsidR="00795D8A" w:rsidRPr="00084932" w:rsidRDefault="00795D8A">
      <w:pPr>
        <w:pStyle w:val="FootnoteText"/>
        <w:rPr>
          <w:lang w:val="en-AU"/>
        </w:rPr>
      </w:pPr>
      <w:r>
        <w:rPr>
          <w:rStyle w:val="FootnoteReference"/>
        </w:rPr>
        <w:footnoteRef/>
      </w:r>
      <w:r>
        <w:t xml:space="preserve"> </w:t>
      </w:r>
      <w:r w:rsidR="00F52002" w:rsidRPr="00E9388B">
        <w:t>https://cer.gov.au/document_page/contracts-and-leasing-guideline</w:t>
      </w:r>
      <w:r>
        <w:t xml:space="preserve"> </w:t>
      </w:r>
    </w:p>
  </w:footnote>
  <w:footnote w:id="43">
    <w:p w14:paraId="29E3D076" w14:textId="474EEFF3" w:rsidR="00001129" w:rsidRPr="00D2141E" w:rsidRDefault="00001129">
      <w:pPr>
        <w:pStyle w:val="FootnoteText"/>
        <w:rPr>
          <w:lang w:val="en-AU"/>
        </w:rPr>
      </w:pPr>
      <w:r>
        <w:rPr>
          <w:rStyle w:val="FootnoteReference"/>
        </w:rPr>
        <w:footnoteRef/>
      </w:r>
      <w:r>
        <w:t xml:space="preserve"> </w:t>
      </w:r>
      <w:r w:rsidR="00686A05" w:rsidRPr="00E9388B">
        <w:t>https://cer.gov.au/document_page/petroleum-based-oils-and-greases-guideline</w:t>
      </w:r>
      <w:r w:rsidR="007707B3">
        <w:rPr>
          <w:sz w:val="22"/>
          <w:szCs w:val="24"/>
          <w:lang w:val="en-AU"/>
        </w:rPr>
        <w:t xml:space="preserve"> </w:t>
      </w:r>
    </w:p>
  </w:footnote>
  <w:footnote w:id="44">
    <w:p w14:paraId="7DB13CAF" w14:textId="4B688CC9" w:rsidR="00507F50" w:rsidRPr="00D2141E" w:rsidRDefault="00507F50">
      <w:pPr>
        <w:pStyle w:val="FootnoteText"/>
        <w:rPr>
          <w:lang w:val="en-AU"/>
        </w:rPr>
      </w:pPr>
    </w:p>
  </w:footnote>
  <w:footnote w:id="45">
    <w:p w14:paraId="554961A8" w14:textId="1AD053C2" w:rsidR="00D924C3" w:rsidRPr="001E631E" w:rsidRDefault="00D924C3">
      <w:pPr>
        <w:pStyle w:val="FootnoteText"/>
        <w:rPr>
          <w:lang w:val="en-AU"/>
        </w:rPr>
      </w:pPr>
      <w:r>
        <w:rPr>
          <w:rStyle w:val="FootnoteReference"/>
        </w:rPr>
        <w:footnoteRef/>
      </w:r>
      <w:r>
        <w:t xml:space="preserve"> </w:t>
      </w:r>
      <w:r w:rsidR="00072104" w:rsidRPr="00E9388B">
        <w:t>https://cer.gov.au/document_page/contracts-and-leasing-guideline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626102C1" w:rsidR="00D81782" w:rsidRPr="00BE0DA3" w:rsidRDefault="004B7C7E" w:rsidP="00E349EF">
    <w:pPr>
      <w:pStyle w:val="LegislativesecrecyACT"/>
    </w:pPr>
    <w:r>
      <w:rPr>
        <w:noProof/>
      </w:rPr>
      <w:drawing>
        <wp:anchor distT="0" distB="0" distL="114300" distR="114300" simplePos="0" relativeHeight="251658241" behindDoc="0" locked="0" layoutInCell="1" allowOverlap="1" wp14:anchorId="7855CF2E" wp14:editId="0EFA0B54">
          <wp:simplePos x="0" y="0"/>
          <wp:positionH relativeFrom="column">
            <wp:posOffset>4721420</wp:posOffset>
          </wp:positionH>
          <wp:positionV relativeFrom="paragraph">
            <wp:posOffset>-190500</wp:posOffset>
          </wp:positionV>
          <wp:extent cx="1424451" cy="469454"/>
          <wp:effectExtent l="0" t="0" r="0" b="635"/>
          <wp:wrapNone/>
          <wp:docPr id="1726570214" name="Picture 1726570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276145840" name="Picture 27614584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54D4" w14:textId="77777777" w:rsidR="00913E4B" w:rsidRDefault="00913E4B" w:rsidP="00176C28">
    <w:pPr>
      <w:pStyle w:val="Header"/>
    </w:pPr>
    <w:r w:rsidRPr="00B325DC">
      <w:rPr>
        <w:noProof/>
        <w:lang w:eastAsia="en-AU"/>
      </w:rPr>
      <w:drawing>
        <wp:anchor distT="0" distB="0" distL="114300" distR="114300" simplePos="0" relativeHeight="251658240" behindDoc="0" locked="0" layoutInCell="1" allowOverlap="1" wp14:anchorId="2113E977" wp14:editId="13F0399F">
          <wp:simplePos x="0" y="0"/>
          <wp:positionH relativeFrom="margin">
            <wp:posOffset>-809625</wp:posOffset>
          </wp:positionH>
          <wp:positionV relativeFrom="paragraph">
            <wp:posOffset>-2620645</wp:posOffset>
          </wp:positionV>
          <wp:extent cx="10674985" cy="914400"/>
          <wp:effectExtent l="0" t="0" r="0" b="0"/>
          <wp:wrapSquare wrapText="bothSides"/>
          <wp:docPr id="108786812" name="Picture 1087868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152"/>
                  <a:stretch/>
                </pic:blipFill>
                <pic:spPr bwMode="auto">
                  <a:xfrm>
                    <a:off x="0" y="0"/>
                    <a:ext cx="1067498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8913" w14:textId="23F80EE9" w:rsidR="00913E4B" w:rsidRDefault="00913E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9E07" w14:textId="0A0EC94D" w:rsidR="001E6E16" w:rsidRDefault="001E6E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455F" w14:textId="2D076FC1" w:rsidR="000D1A50" w:rsidRDefault="009519EC" w:rsidP="00176C28">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2D8E" w14:textId="36CC370E" w:rsidR="000D1A50" w:rsidRDefault="000D1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AA05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FA89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C5AEF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169B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FC3B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4261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8C8A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072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18B5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C040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F6C6C"/>
    <w:multiLevelType w:val="multilevel"/>
    <w:tmpl w:val="64CEBB0E"/>
    <w:lvl w:ilvl="0">
      <w:start w:val="1"/>
      <w:numFmt w:val="upperLetter"/>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020492"/>
    <w:multiLevelType w:val="hybridMultilevel"/>
    <w:tmpl w:val="7CD43BE6"/>
    <w:lvl w:ilvl="0" w:tplc="32D0A1EA">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D91826"/>
    <w:multiLevelType w:val="multilevel"/>
    <w:tmpl w:val="63EE3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2F0B5A"/>
    <w:multiLevelType w:val="hybridMultilevel"/>
    <w:tmpl w:val="783040E2"/>
    <w:lvl w:ilvl="0" w:tplc="3DE26FD4">
      <w:start w:val="1"/>
      <w:numFmt w:val="bullet"/>
      <w:lvlText w:val="»"/>
      <w:lvlJc w:val="left"/>
      <w:pPr>
        <w:ind w:left="720" w:hanging="360"/>
      </w:pPr>
      <w:rPr>
        <w:rFonts w:ascii="Calibri" w:hAnsi="Calibri" w:hint="default"/>
        <w:color w:val="006EA6"/>
      </w:rPr>
    </w:lvl>
    <w:lvl w:ilvl="1" w:tplc="FFFFFFFF">
      <w:numFmt w:val="bullet"/>
      <w:lvlText w:val="-"/>
      <w:lvlJc w:val="left"/>
      <w:pPr>
        <w:ind w:left="1440" w:hanging="360"/>
      </w:pPr>
      <w:rPr>
        <w:rFonts w:ascii="Calibri" w:eastAsia="Cambr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846C51"/>
    <w:multiLevelType w:val="multilevel"/>
    <w:tmpl w:val="4F062AD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C63DBB"/>
    <w:multiLevelType w:val="multilevel"/>
    <w:tmpl w:val="4F062AD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89F2019"/>
    <w:multiLevelType w:val="hybridMultilevel"/>
    <w:tmpl w:val="F0769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9556E5"/>
    <w:multiLevelType w:val="hybridMultilevel"/>
    <w:tmpl w:val="12B057AC"/>
    <w:lvl w:ilvl="0" w:tplc="90209EEC">
      <w:start w:val="1"/>
      <w:numFmt w:val="bullet"/>
      <w:pStyle w:val="Bullet2"/>
      <w:lvlText w:val="–"/>
      <w:lvlJc w:val="left"/>
      <w:pPr>
        <w:tabs>
          <w:tab w:val="num" w:pos="1134"/>
        </w:tabs>
        <w:ind w:left="1361" w:hanging="227"/>
      </w:pPr>
      <w:rPr>
        <w:rFonts w:ascii="Arial" w:hAnsi="Arial" w:cs="Aria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23EE0"/>
    <w:multiLevelType w:val="hybridMultilevel"/>
    <w:tmpl w:val="C262CF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1B40351"/>
    <w:multiLevelType w:val="hybridMultilevel"/>
    <w:tmpl w:val="E3B4FD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7A0C7E"/>
    <w:multiLevelType w:val="multilevel"/>
    <w:tmpl w:val="C4B85C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C200A7"/>
    <w:multiLevelType w:val="multilevel"/>
    <w:tmpl w:val="116CD9DE"/>
    <w:styleLink w:val="CERbulletlist"/>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5B118A"/>
    <w:multiLevelType w:val="hybridMultilevel"/>
    <w:tmpl w:val="150259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E75AA2"/>
    <w:multiLevelType w:val="hybridMultilevel"/>
    <w:tmpl w:val="788632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C5352BE"/>
    <w:multiLevelType w:val="hybridMultilevel"/>
    <w:tmpl w:val="00D8C46A"/>
    <w:lvl w:ilvl="0" w:tplc="32D0A1EA">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5A5609"/>
    <w:multiLevelType w:val="hybridMultilevel"/>
    <w:tmpl w:val="9DCC2A04"/>
    <w:lvl w:ilvl="0" w:tplc="32D0A1EA">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EA0C97"/>
    <w:multiLevelType w:val="multilevel"/>
    <w:tmpl w:val="5ECE68B6"/>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92E086C"/>
    <w:multiLevelType w:val="hybridMultilevel"/>
    <w:tmpl w:val="8FF4F144"/>
    <w:lvl w:ilvl="0" w:tplc="A37C67F6">
      <w:start w:val="1"/>
      <w:numFmt w:val="lowerRoman"/>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1" w15:restartNumberingAfterBreak="0">
    <w:nsid w:val="5B690D30"/>
    <w:multiLevelType w:val="hybridMultilevel"/>
    <w:tmpl w:val="B36228F2"/>
    <w:lvl w:ilvl="0" w:tplc="C8248104">
      <w:start w:val="1"/>
      <w:numFmt w:val="decimal"/>
      <w:lvlText w:val="%1)"/>
      <w:lvlJc w:val="left"/>
      <w:pPr>
        <w:ind w:left="1080" w:hanging="360"/>
      </w:pPr>
    </w:lvl>
    <w:lvl w:ilvl="1" w:tplc="2A3EDA40">
      <w:start w:val="1"/>
      <w:numFmt w:val="decimal"/>
      <w:lvlText w:val="%2)"/>
      <w:lvlJc w:val="left"/>
      <w:pPr>
        <w:ind w:left="1440" w:hanging="360"/>
      </w:pPr>
    </w:lvl>
    <w:lvl w:ilvl="2" w:tplc="B8D8E67A">
      <w:start w:val="1"/>
      <w:numFmt w:val="decimal"/>
      <w:lvlText w:val="%3)"/>
      <w:lvlJc w:val="left"/>
      <w:pPr>
        <w:ind w:left="1080" w:hanging="360"/>
      </w:pPr>
    </w:lvl>
    <w:lvl w:ilvl="3" w:tplc="86A00906">
      <w:start w:val="1"/>
      <w:numFmt w:val="decimal"/>
      <w:lvlText w:val="%4)"/>
      <w:lvlJc w:val="left"/>
      <w:pPr>
        <w:ind w:left="1080" w:hanging="360"/>
      </w:pPr>
    </w:lvl>
    <w:lvl w:ilvl="4" w:tplc="A4EA1B7A">
      <w:start w:val="1"/>
      <w:numFmt w:val="decimal"/>
      <w:lvlText w:val="%5)"/>
      <w:lvlJc w:val="left"/>
      <w:pPr>
        <w:ind w:left="1080" w:hanging="360"/>
      </w:pPr>
    </w:lvl>
    <w:lvl w:ilvl="5" w:tplc="7B54AA02">
      <w:start w:val="1"/>
      <w:numFmt w:val="decimal"/>
      <w:lvlText w:val="%6)"/>
      <w:lvlJc w:val="left"/>
      <w:pPr>
        <w:ind w:left="1080" w:hanging="360"/>
      </w:pPr>
    </w:lvl>
    <w:lvl w:ilvl="6" w:tplc="7E0AAAF6">
      <w:start w:val="1"/>
      <w:numFmt w:val="decimal"/>
      <w:lvlText w:val="%7)"/>
      <w:lvlJc w:val="left"/>
      <w:pPr>
        <w:ind w:left="1080" w:hanging="360"/>
      </w:pPr>
    </w:lvl>
    <w:lvl w:ilvl="7" w:tplc="1F40283E">
      <w:start w:val="1"/>
      <w:numFmt w:val="decimal"/>
      <w:lvlText w:val="%8)"/>
      <w:lvlJc w:val="left"/>
      <w:pPr>
        <w:ind w:left="1080" w:hanging="360"/>
      </w:pPr>
    </w:lvl>
    <w:lvl w:ilvl="8" w:tplc="275C56D8">
      <w:start w:val="1"/>
      <w:numFmt w:val="decimal"/>
      <w:lvlText w:val="%9)"/>
      <w:lvlJc w:val="left"/>
      <w:pPr>
        <w:ind w:left="1080" w:hanging="360"/>
      </w:pPr>
    </w:lvl>
  </w:abstractNum>
  <w:abstractNum w:abstractNumId="3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F9804FA"/>
    <w:multiLevelType w:val="hybridMultilevel"/>
    <w:tmpl w:val="0FBAB82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33712A8"/>
    <w:multiLevelType w:val="hybridMultilevel"/>
    <w:tmpl w:val="4CB05110"/>
    <w:lvl w:ilvl="0" w:tplc="3DE26FD4">
      <w:start w:val="1"/>
      <w:numFmt w:val="bullet"/>
      <w:lvlText w:val="»"/>
      <w:lvlJc w:val="left"/>
      <w:pPr>
        <w:ind w:left="720" w:hanging="360"/>
      </w:pPr>
      <w:rPr>
        <w:rFonts w:ascii="Calibri" w:hAnsi="Calibri" w:hint="default"/>
        <w:color w:val="006EA6"/>
      </w:rPr>
    </w:lvl>
    <w:lvl w:ilvl="1" w:tplc="B380B9E2">
      <w:numFmt w:val="bullet"/>
      <w:lvlText w:val="-"/>
      <w:lvlJc w:val="left"/>
      <w:pPr>
        <w:ind w:left="1440" w:hanging="360"/>
      </w:pPr>
      <w:rPr>
        <w:rFonts w:ascii="Calibri" w:eastAsia="Cambr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956C20"/>
    <w:multiLevelType w:val="multilevel"/>
    <w:tmpl w:val="116CD9D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1605312"/>
    <w:multiLevelType w:val="hybridMultilevel"/>
    <w:tmpl w:val="058C3F8C"/>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9DB23C0"/>
    <w:multiLevelType w:val="multilevel"/>
    <w:tmpl w:val="462C80E8"/>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Calibri" w:hAnsi="Calibri"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E096033"/>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01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6896475">
    <w:abstractNumId w:val="37"/>
  </w:num>
  <w:num w:numId="2" w16cid:durableId="1716151732">
    <w:abstractNumId w:val="32"/>
  </w:num>
  <w:num w:numId="3" w16cid:durableId="1734280859">
    <w:abstractNumId w:val="38"/>
  </w:num>
  <w:num w:numId="4" w16cid:durableId="561984527">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1733602">
    <w:abstractNumId w:val="19"/>
  </w:num>
  <w:num w:numId="6" w16cid:durableId="519439705">
    <w:abstractNumId w:val="11"/>
  </w:num>
  <w:num w:numId="7" w16cid:durableId="226846549">
    <w:abstractNumId w:val="36"/>
  </w:num>
  <w:num w:numId="8" w16cid:durableId="1202281538">
    <w:abstractNumId w:val="29"/>
  </w:num>
  <w:num w:numId="9" w16cid:durableId="418719345">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86943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6628838">
    <w:abstractNumId w:val="23"/>
  </w:num>
  <w:num w:numId="12" w16cid:durableId="136849915">
    <w:abstractNumId w:val="35"/>
    <w:lvlOverride w:ilvl="0">
      <w:lvl w:ilvl="0">
        <w:start w:val="1"/>
        <w:numFmt w:val="bullet"/>
        <w:lvlText w:val=""/>
        <w:lvlJc w:val="left"/>
        <w:pPr>
          <w:ind w:left="360" w:hanging="360"/>
        </w:pPr>
        <w:rPr>
          <w:rFonts w:ascii="Symbol" w:hAnsi="Symbol" w:hint="default"/>
          <w:color w:val="005874"/>
        </w:rPr>
      </w:lvl>
    </w:lvlOverride>
    <w:lvlOverride w:ilvl="1">
      <w:lvl w:ilvl="1">
        <w:start w:val="1"/>
        <w:numFmt w:val="bullet"/>
        <w:lvlText w:val="»"/>
        <w:lvlJc w:val="left"/>
        <w:pPr>
          <w:ind w:left="720" w:hanging="360"/>
        </w:pPr>
        <w:rPr>
          <w:rFonts w:ascii="Arial" w:hAnsi="Arial" w:hint="default"/>
          <w:color w:val="005874"/>
        </w:rPr>
      </w:lvl>
    </w:lvlOverride>
    <w:lvlOverride w:ilvl="2">
      <w:lvl w:ilvl="2">
        <w:start w:val="1"/>
        <w:numFmt w:val="bullet"/>
        <w:lvlText w:val="›"/>
        <w:lvlJc w:val="left"/>
        <w:pPr>
          <w:ind w:left="1080" w:hanging="360"/>
        </w:pPr>
        <w:rPr>
          <w:rFonts w:ascii="Arial" w:hAnsi="Arial" w:hint="default"/>
          <w:color w:val="005874"/>
        </w:rPr>
      </w:lvl>
    </w:lvlOverride>
  </w:num>
  <w:num w:numId="13" w16cid:durableId="1083180467">
    <w:abstractNumId w:val="27"/>
  </w:num>
  <w:num w:numId="14" w16cid:durableId="1997494569">
    <w:abstractNumId w:val="28"/>
  </w:num>
  <w:num w:numId="15" w16cid:durableId="797456441">
    <w:abstractNumId w:val="15"/>
  </w:num>
  <w:num w:numId="16" w16cid:durableId="945037382">
    <w:abstractNumId w:val="16"/>
  </w:num>
  <w:num w:numId="17" w16cid:durableId="1438256204">
    <w:abstractNumId w:val="25"/>
  </w:num>
  <w:num w:numId="18" w16cid:durableId="511728547">
    <w:abstractNumId w:val="34"/>
  </w:num>
  <w:num w:numId="19" w16cid:durableId="1493913243">
    <w:abstractNumId w:val="33"/>
  </w:num>
  <w:num w:numId="20" w16cid:durableId="580870268">
    <w:abstractNumId w:val="14"/>
  </w:num>
  <w:num w:numId="21" w16cid:durableId="327053287">
    <w:abstractNumId w:val="24"/>
  </w:num>
  <w:num w:numId="22" w16cid:durableId="1637446027">
    <w:abstractNumId w:val="26"/>
  </w:num>
  <w:num w:numId="23" w16cid:durableId="2113552108">
    <w:abstractNumId w:val="21"/>
  </w:num>
  <w:num w:numId="24" w16cid:durableId="931089741">
    <w:abstractNumId w:val="30"/>
  </w:num>
  <w:num w:numId="25" w16cid:durableId="354696046">
    <w:abstractNumId w:val="20"/>
  </w:num>
  <w:num w:numId="26" w16cid:durableId="167062484">
    <w:abstractNumId w:val="12"/>
  </w:num>
  <w:num w:numId="27" w16cid:durableId="683363584">
    <w:abstractNumId w:val="10"/>
  </w:num>
  <w:num w:numId="28" w16cid:durableId="1102190795">
    <w:abstractNumId w:val="9"/>
  </w:num>
  <w:num w:numId="29" w16cid:durableId="1904753897">
    <w:abstractNumId w:val="7"/>
  </w:num>
  <w:num w:numId="30" w16cid:durableId="339160444">
    <w:abstractNumId w:val="6"/>
  </w:num>
  <w:num w:numId="31" w16cid:durableId="1009412666">
    <w:abstractNumId w:val="5"/>
  </w:num>
  <w:num w:numId="32" w16cid:durableId="2008090541">
    <w:abstractNumId w:val="4"/>
  </w:num>
  <w:num w:numId="33" w16cid:durableId="1847750712">
    <w:abstractNumId w:val="8"/>
  </w:num>
  <w:num w:numId="34" w16cid:durableId="883756398">
    <w:abstractNumId w:val="3"/>
  </w:num>
  <w:num w:numId="35" w16cid:durableId="1615861357">
    <w:abstractNumId w:val="2"/>
  </w:num>
  <w:num w:numId="36" w16cid:durableId="656037379">
    <w:abstractNumId w:val="1"/>
  </w:num>
  <w:num w:numId="37" w16cid:durableId="1933705947">
    <w:abstractNumId w:val="0"/>
  </w:num>
  <w:num w:numId="38" w16cid:durableId="214320951">
    <w:abstractNumId w:val="31"/>
  </w:num>
  <w:num w:numId="39" w16cid:durableId="206840623">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4440853">
    <w:abstractNumId w:val="22"/>
  </w:num>
  <w:num w:numId="41" w16cid:durableId="399057496">
    <w:abstractNumId w:val="13"/>
  </w:num>
  <w:num w:numId="42" w16cid:durableId="49973724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DFF374A-0934-4A71-A184-665D65176B3A}"/>
    <w:docVar w:name="dgnword-eventsink" w:val="2702178462176"/>
  </w:docVars>
  <w:rsids>
    <w:rsidRoot w:val="002D30B2"/>
    <w:rsid w:val="000000BC"/>
    <w:rsid w:val="00000165"/>
    <w:rsid w:val="00000179"/>
    <w:rsid w:val="000003FC"/>
    <w:rsid w:val="0000062F"/>
    <w:rsid w:val="000007C8"/>
    <w:rsid w:val="00000A1F"/>
    <w:rsid w:val="00000E43"/>
    <w:rsid w:val="00000FF9"/>
    <w:rsid w:val="00001024"/>
    <w:rsid w:val="0000104F"/>
    <w:rsid w:val="00001129"/>
    <w:rsid w:val="00001398"/>
    <w:rsid w:val="000016DC"/>
    <w:rsid w:val="00001A8A"/>
    <w:rsid w:val="00001BD5"/>
    <w:rsid w:val="00001C06"/>
    <w:rsid w:val="00001CDA"/>
    <w:rsid w:val="00002215"/>
    <w:rsid w:val="0000243C"/>
    <w:rsid w:val="000024EC"/>
    <w:rsid w:val="000028D3"/>
    <w:rsid w:val="000028EB"/>
    <w:rsid w:val="00002B1E"/>
    <w:rsid w:val="00002BC1"/>
    <w:rsid w:val="00002C8B"/>
    <w:rsid w:val="00002CF0"/>
    <w:rsid w:val="00002F75"/>
    <w:rsid w:val="00003171"/>
    <w:rsid w:val="00003571"/>
    <w:rsid w:val="000037A4"/>
    <w:rsid w:val="000037AD"/>
    <w:rsid w:val="00003968"/>
    <w:rsid w:val="00003AFC"/>
    <w:rsid w:val="00003E5E"/>
    <w:rsid w:val="00003FCB"/>
    <w:rsid w:val="0000408D"/>
    <w:rsid w:val="00004218"/>
    <w:rsid w:val="0000472A"/>
    <w:rsid w:val="00004C16"/>
    <w:rsid w:val="00004DA7"/>
    <w:rsid w:val="00004E4E"/>
    <w:rsid w:val="00005011"/>
    <w:rsid w:val="000051A1"/>
    <w:rsid w:val="000056A4"/>
    <w:rsid w:val="00005734"/>
    <w:rsid w:val="000059C4"/>
    <w:rsid w:val="00005A30"/>
    <w:rsid w:val="00005E04"/>
    <w:rsid w:val="00005FC9"/>
    <w:rsid w:val="0000650C"/>
    <w:rsid w:val="00006798"/>
    <w:rsid w:val="000069BC"/>
    <w:rsid w:val="000069C6"/>
    <w:rsid w:val="00006F8D"/>
    <w:rsid w:val="00007186"/>
    <w:rsid w:val="00007317"/>
    <w:rsid w:val="00007760"/>
    <w:rsid w:val="00007926"/>
    <w:rsid w:val="00007A97"/>
    <w:rsid w:val="00007CC0"/>
    <w:rsid w:val="000101DC"/>
    <w:rsid w:val="00010435"/>
    <w:rsid w:val="000106B1"/>
    <w:rsid w:val="000107B9"/>
    <w:rsid w:val="00010B5F"/>
    <w:rsid w:val="00010E20"/>
    <w:rsid w:val="000110A5"/>
    <w:rsid w:val="000115EC"/>
    <w:rsid w:val="00011733"/>
    <w:rsid w:val="00011CB5"/>
    <w:rsid w:val="00012109"/>
    <w:rsid w:val="0001217C"/>
    <w:rsid w:val="00012396"/>
    <w:rsid w:val="0001239C"/>
    <w:rsid w:val="000123B1"/>
    <w:rsid w:val="000124CE"/>
    <w:rsid w:val="00012537"/>
    <w:rsid w:val="000125E3"/>
    <w:rsid w:val="00012682"/>
    <w:rsid w:val="000128AC"/>
    <w:rsid w:val="00012901"/>
    <w:rsid w:val="00012908"/>
    <w:rsid w:val="00012D23"/>
    <w:rsid w:val="00012E69"/>
    <w:rsid w:val="00013135"/>
    <w:rsid w:val="000132B6"/>
    <w:rsid w:val="000132D8"/>
    <w:rsid w:val="0001353F"/>
    <w:rsid w:val="00013787"/>
    <w:rsid w:val="000138D5"/>
    <w:rsid w:val="00013A0E"/>
    <w:rsid w:val="00013C67"/>
    <w:rsid w:val="00013C82"/>
    <w:rsid w:val="00013E50"/>
    <w:rsid w:val="00014492"/>
    <w:rsid w:val="00014498"/>
    <w:rsid w:val="000144F7"/>
    <w:rsid w:val="0001457D"/>
    <w:rsid w:val="000145E2"/>
    <w:rsid w:val="00014B0B"/>
    <w:rsid w:val="00014C47"/>
    <w:rsid w:val="00014DB3"/>
    <w:rsid w:val="00015032"/>
    <w:rsid w:val="000151D4"/>
    <w:rsid w:val="00015357"/>
    <w:rsid w:val="000153B7"/>
    <w:rsid w:val="000159BF"/>
    <w:rsid w:val="00015B97"/>
    <w:rsid w:val="00015BC3"/>
    <w:rsid w:val="00015C1D"/>
    <w:rsid w:val="00015DB3"/>
    <w:rsid w:val="00016018"/>
    <w:rsid w:val="0001607B"/>
    <w:rsid w:val="00016165"/>
    <w:rsid w:val="00016231"/>
    <w:rsid w:val="0001677C"/>
    <w:rsid w:val="000167D6"/>
    <w:rsid w:val="0001680D"/>
    <w:rsid w:val="00016F94"/>
    <w:rsid w:val="000172A7"/>
    <w:rsid w:val="00017423"/>
    <w:rsid w:val="00017466"/>
    <w:rsid w:val="0001760D"/>
    <w:rsid w:val="00017C64"/>
    <w:rsid w:val="00017D20"/>
    <w:rsid w:val="00017FAC"/>
    <w:rsid w:val="00020069"/>
    <w:rsid w:val="000202AF"/>
    <w:rsid w:val="000204C3"/>
    <w:rsid w:val="000205C3"/>
    <w:rsid w:val="000208C1"/>
    <w:rsid w:val="00020A07"/>
    <w:rsid w:val="00021179"/>
    <w:rsid w:val="00021676"/>
    <w:rsid w:val="00021768"/>
    <w:rsid w:val="00021969"/>
    <w:rsid w:val="00021B32"/>
    <w:rsid w:val="00021B35"/>
    <w:rsid w:val="00021B8E"/>
    <w:rsid w:val="00021E8D"/>
    <w:rsid w:val="00021EF8"/>
    <w:rsid w:val="000223E9"/>
    <w:rsid w:val="000224EC"/>
    <w:rsid w:val="000225AC"/>
    <w:rsid w:val="000226A3"/>
    <w:rsid w:val="00022C2A"/>
    <w:rsid w:val="00022E18"/>
    <w:rsid w:val="00022E60"/>
    <w:rsid w:val="000232B8"/>
    <w:rsid w:val="00023B95"/>
    <w:rsid w:val="00023B9B"/>
    <w:rsid w:val="00023C5C"/>
    <w:rsid w:val="00023CBB"/>
    <w:rsid w:val="00023D4F"/>
    <w:rsid w:val="00023DD3"/>
    <w:rsid w:val="00023E2C"/>
    <w:rsid w:val="00023F4A"/>
    <w:rsid w:val="00024314"/>
    <w:rsid w:val="0002445C"/>
    <w:rsid w:val="000244E8"/>
    <w:rsid w:val="0002468B"/>
    <w:rsid w:val="00024D51"/>
    <w:rsid w:val="00024EB6"/>
    <w:rsid w:val="000250F3"/>
    <w:rsid w:val="00025305"/>
    <w:rsid w:val="00025335"/>
    <w:rsid w:val="00025536"/>
    <w:rsid w:val="0002554F"/>
    <w:rsid w:val="00025588"/>
    <w:rsid w:val="000256B9"/>
    <w:rsid w:val="0002579A"/>
    <w:rsid w:val="000257A5"/>
    <w:rsid w:val="0002588A"/>
    <w:rsid w:val="00025A90"/>
    <w:rsid w:val="00025D1B"/>
    <w:rsid w:val="00025F90"/>
    <w:rsid w:val="00026409"/>
    <w:rsid w:val="0002691B"/>
    <w:rsid w:val="000269B0"/>
    <w:rsid w:val="000270C1"/>
    <w:rsid w:val="000273DB"/>
    <w:rsid w:val="000274CF"/>
    <w:rsid w:val="00027642"/>
    <w:rsid w:val="000276B9"/>
    <w:rsid w:val="000276C5"/>
    <w:rsid w:val="00027727"/>
    <w:rsid w:val="00027817"/>
    <w:rsid w:val="00027825"/>
    <w:rsid w:val="00027A15"/>
    <w:rsid w:val="00027C90"/>
    <w:rsid w:val="00027D3B"/>
    <w:rsid w:val="000303E1"/>
    <w:rsid w:val="000308D3"/>
    <w:rsid w:val="00030B15"/>
    <w:rsid w:val="00030CAC"/>
    <w:rsid w:val="00030ECC"/>
    <w:rsid w:val="00031016"/>
    <w:rsid w:val="00031027"/>
    <w:rsid w:val="00031090"/>
    <w:rsid w:val="00031091"/>
    <w:rsid w:val="00031214"/>
    <w:rsid w:val="0003137B"/>
    <w:rsid w:val="000314A0"/>
    <w:rsid w:val="000314F6"/>
    <w:rsid w:val="000315DF"/>
    <w:rsid w:val="00031974"/>
    <w:rsid w:val="00031B20"/>
    <w:rsid w:val="00031D40"/>
    <w:rsid w:val="00031FF9"/>
    <w:rsid w:val="000327A7"/>
    <w:rsid w:val="00032E4A"/>
    <w:rsid w:val="000330F2"/>
    <w:rsid w:val="00033276"/>
    <w:rsid w:val="0003335A"/>
    <w:rsid w:val="00033365"/>
    <w:rsid w:val="00033427"/>
    <w:rsid w:val="00033456"/>
    <w:rsid w:val="000335F7"/>
    <w:rsid w:val="00033640"/>
    <w:rsid w:val="00033BB0"/>
    <w:rsid w:val="00033CCC"/>
    <w:rsid w:val="00033F1A"/>
    <w:rsid w:val="00033F7D"/>
    <w:rsid w:val="00034228"/>
    <w:rsid w:val="000342DF"/>
    <w:rsid w:val="00034363"/>
    <w:rsid w:val="000343CA"/>
    <w:rsid w:val="00034820"/>
    <w:rsid w:val="00034CDD"/>
    <w:rsid w:val="00034ECB"/>
    <w:rsid w:val="00034F75"/>
    <w:rsid w:val="00035203"/>
    <w:rsid w:val="000352C6"/>
    <w:rsid w:val="00035321"/>
    <w:rsid w:val="0003582F"/>
    <w:rsid w:val="00036517"/>
    <w:rsid w:val="00036709"/>
    <w:rsid w:val="0003732A"/>
    <w:rsid w:val="0003778C"/>
    <w:rsid w:val="000378B6"/>
    <w:rsid w:val="0003791D"/>
    <w:rsid w:val="000379D5"/>
    <w:rsid w:val="00037EF6"/>
    <w:rsid w:val="00040240"/>
    <w:rsid w:val="00040514"/>
    <w:rsid w:val="00040872"/>
    <w:rsid w:val="00040889"/>
    <w:rsid w:val="000408B9"/>
    <w:rsid w:val="000409D1"/>
    <w:rsid w:val="00040A41"/>
    <w:rsid w:val="00040A76"/>
    <w:rsid w:val="00040E45"/>
    <w:rsid w:val="000413A6"/>
    <w:rsid w:val="000413BC"/>
    <w:rsid w:val="0004152B"/>
    <w:rsid w:val="0004157E"/>
    <w:rsid w:val="0004164C"/>
    <w:rsid w:val="00041676"/>
    <w:rsid w:val="000417BE"/>
    <w:rsid w:val="000418EF"/>
    <w:rsid w:val="00041CD8"/>
    <w:rsid w:val="00041E02"/>
    <w:rsid w:val="00041EEE"/>
    <w:rsid w:val="00041F08"/>
    <w:rsid w:val="000420FE"/>
    <w:rsid w:val="000421A6"/>
    <w:rsid w:val="00042292"/>
    <w:rsid w:val="000423A5"/>
    <w:rsid w:val="000424C0"/>
    <w:rsid w:val="0004264E"/>
    <w:rsid w:val="00042706"/>
    <w:rsid w:val="00042710"/>
    <w:rsid w:val="000427C4"/>
    <w:rsid w:val="0004283B"/>
    <w:rsid w:val="00042845"/>
    <w:rsid w:val="00042AC0"/>
    <w:rsid w:val="00042B2C"/>
    <w:rsid w:val="00042B31"/>
    <w:rsid w:val="00042EBE"/>
    <w:rsid w:val="000438E0"/>
    <w:rsid w:val="000439D9"/>
    <w:rsid w:val="00043C24"/>
    <w:rsid w:val="00043C40"/>
    <w:rsid w:val="000440ED"/>
    <w:rsid w:val="00044158"/>
    <w:rsid w:val="000442A4"/>
    <w:rsid w:val="000442F7"/>
    <w:rsid w:val="00044543"/>
    <w:rsid w:val="0004457E"/>
    <w:rsid w:val="000447B1"/>
    <w:rsid w:val="0004487F"/>
    <w:rsid w:val="00044CA5"/>
    <w:rsid w:val="00044E1D"/>
    <w:rsid w:val="0004550E"/>
    <w:rsid w:val="00045573"/>
    <w:rsid w:val="000457C7"/>
    <w:rsid w:val="00045F04"/>
    <w:rsid w:val="00045F52"/>
    <w:rsid w:val="00046267"/>
    <w:rsid w:val="000463DA"/>
    <w:rsid w:val="00046734"/>
    <w:rsid w:val="00046F7C"/>
    <w:rsid w:val="00047196"/>
    <w:rsid w:val="00047278"/>
    <w:rsid w:val="0004747B"/>
    <w:rsid w:val="0004791C"/>
    <w:rsid w:val="00047BB8"/>
    <w:rsid w:val="00047E8D"/>
    <w:rsid w:val="00050022"/>
    <w:rsid w:val="000501A0"/>
    <w:rsid w:val="00050351"/>
    <w:rsid w:val="00050735"/>
    <w:rsid w:val="0005093C"/>
    <w:rsid w:val="00050BFE"/>
    <w:rsid w:val="00050E00"/>
    <w:rsid w:val="00051300"/>
    <w:rsid w:val="000514C3"/>
    <w:rsid w:val="0005159F"/>
    <w:rsid w:val="00051EB4"/>
    <w:rsid w:val="000521D4"/>
    <w:rsid w:val="000521EE"/>
    <w:rsid w:val="0005245B"/>
    <w:rsid w:val="000526CB"/>
    <w:rsid w:val="00052C55"/>
    <w:rsid w:val="00052F16"/>
    <w:rsid w:val="00053123"/>
    <w:rsid w:val="00053327"/>
    <w:rsid w:val="000536A4"/>
    <w:rsid w:val="000539A0"/>
    <w:rsid w:val="00053E3C"/>
    <w:rsid w:val="0005403B"/>
    <w:rsid w:val="00054081"/>
    <w:rsid w:val="000543DC"/>
    <w:rsid w:val="00054D14"/>
    <w:rsid w:val="00054DC7"/>
    <w:rsid w:val="00054EEA"/>
    <w:rsid w:val="00055369"/>
    <w:rsid w:val="000554BE"/>
    <w:rsid w:val="0005562C"/>
    <w:rsid w:val="000559CB"/>
    <w:rsid w:val="00055B1D"/>
    <w:rsid w:val="00055D3B"/>
    <w:rsid w:val="00055E8A"/>
    <w:rsid w:val="000561FA"/>
    <w:rsid w:val="00056386"/>
    <w:rsid w:val="0005674B"/>
    <w:rsid w:val="00056841"/>
    <w:rsid w:val="00056F0C"/>
    <w:rsid w:val="00056F24"/>
    <w:rsid w:val="00056FF0"/>
    <w:rsid w:val="0005718A"/>
    <w:rsid w:val="00057350"/>
    <w:rsid w:val="00057448"/>
    <w:rsid w:val="00057554"/>
    <w:rsid w:val="0005758F"/>
    <w:rsid w:val="00057681"/>
    <w:rsid w:val="000576B9"/>
    <w:rsid w:val="00057A3D"/>
    <w:rsid w:val="00057BD3"/>
    <w:rsid w:val="00057EC0"/>
    <w:rsid w:val="00057FB7"/>
    <w:rsid w:val="000602B6"/>
    <w:rsid w:val="00060345"/>
    <w:rsid w:val="00060437"/>
    <w:rsid w:val="00060633"/>
    <w:rsid w:val="00060744"/>
    <w:rsid w:val="00060A66"/>
    <w:rsid w:val="00060CCF"/>
    <w:rsid w:val="00060EAE"/>
    <w:rsid w:val="00060FAD"/>
    <w:rsid w:val="00060FE3"/>
    <w:rsid w:val="000610A7"/>
    <w:rsid w:val="000610F5"/>
    <w:rsid w:val="00061193"/>
    <w:rsid w:val="00061616"/>
    <w:rsid w:val="00061853"/>
    <w:rsid w:val="00061A55"/>
    <w:rsid w:val="00061AA7"/>
    <w:rsid w:val="00061E04"/>
    <w:rsid w:val="0006255E"/>
    <w:rsid w:val="000627C0"/>
    <w:rsid w:val="00062915"/>
    <w:rsid w:val="00062D69"/>
    <w:rsid w:val="00062E0E"/>
    <w:rsid w:val="00063017"/>
    <w:rsid w:val="00063054"/>
    <w:rsid w:val="000631CF"/>
    <w:rsid w:val="00063552"/>
    <w:rsid w:val="000639A9"/>
    <w:rsid w:val="000639AD"/>
    <w:rsid w:val="00063A77"/>
    <w:rsid w:val="00063B38"/>
    <w:rsid w:val="00063C34"/>
    <w:rsid w:val="000640E2"/>
    <w:rsid w:val="00064384"/>
    <w:rsid w:val="0006438D"/>
    <w:rsid w:val="00064572"/>
    <w:rsid w:val="00064668"/>
    <w:rsid w:val="00064A74"/>
    <w:rsid w:val="00064B2C"/>
    <w:rsid w:val="00064BE1"/>
    <w:rsid w:val="000653FC"/>
    <w:rsid w:val="00065457"/>
    <w:rsid w:val="000656F2"/>
    <w:rsid w:val="00065744"/>
    <w:rsid w:val="00065802"/>
    <w:rsid w:val="00065A6E"/>
    <w:rsid w:val="00065E3A"/>
    <w:rsid w:val="000664F2"/>
    <w:rsid w:val="00066CEA"/>
    <w:rsid w:val="00067181"/>
    <w:rsid w:val="000672EC"/>
    <w:rsid w:val="000673B0"/>
    <w:rsid w:val="00067517"/>
    <w:rsid w:val="00067544"/>
    <w:rsid w:val="000678AA"/>
    <w:rsid w:val="000678ED"/>
    <w:rsid w:val="00067B90"/>
    <w:rsid w:val="0007022D"/>
    <w:rsid w:val="0007033E"/>
    <w:rsid w:val="0007039F"/>
    <w:rsid w:val="00070685"/>
    <w:rsid w:val="00070751"/>
    <w:rsid w:val="0007086A"/>
    <w:rsid w:val="00070E5C"/>
    <w:rsid w:val="00070F58"/>
    <w:rsid w:val="0007128E"/>
    <w:rsid w:val="0007144E"/>
    <w:rsid w:val="000715AA"/>
    <w:rsid w:val="00071645"/>
    <w:rsid w:val="0007167A"/>
    <w:rsid w:val="00071948"/>
    <w:rsid w:val="0007194C"/>
    <w:rsid w:val="000719EE"/>
    <w:rsid w:val="00071A00"/>
    <w:rsid w:val="00071A65"/>
    <w:rsid w:val="00071ABD"/>
    <w:rsid w:val="0007205E"/>
    <w:rsid w:val="000720B7"/>
    <w:rsid w:val="00072104"/>
    <w:rsid w:val="00072145"/>
    <w:rsid w:val="00072193"/>
    <w:rsid w:val="000725F1"/>
    <w:rsid w:val="00072799"/>
    <w:rsid w:val="00072BA2"/>
    <w:rsid w:val="00072E1C"/>
    <w:rsid w:val="00072ED3"/>
    <w:rsid w:val="00072F6D"/>
    <w:rsid w:val="0007399A"/>
    <w:rsid w:val="00073B2A"/>
    <w:rsid w:val="00073BB3"/>
    <w:rsid w:val="00073C0A"/>
    <w:rsid w:val="00073D59"/>
    <w:rsid w:val="00074128"/>
    <w:rsid w:val="000745A6"/>
    <w:rsid w:val="0007473C"/>
    <w:rsid w:val="0007480A"/>
    <w:rsid w:val="00074B6A"/>
    <w:rsid w:val="00074EC9"/>
    <w:rsid w:val="0007502A"/>
    <w:rsid w:val="0007552E"/>
    <w:rsid w:val="000759BC"/>
    <w:rsid w:val="00075AF8"/>
    <w:rsid w:val="00075BDC"/>
    <w:rsid w:val="00075EA6"/>
    <w:rsid w:val="00075F8F"/>
    <w:rsid w:val="00076137"/>
    <w:rsid w:val="00076239"/>
    <w:rsid w:val="0007641F"/>
    <w:rsid w:val="00076650"/>
    <w:rsid w:val="000770A7"/>
    <w:rsid w:val="0007715F"/>
    <w:rsid w:val="000772C0"/>
    <w:rsid w:val="000772DB"/>
    <w:rsid w:val="0007771F"/>
    <w:rsid w:val="00077A15"/>
    <w:rsid w:val="00077B86"/>
    <w:rsid w:val="00077BA4"/>
    <w:rsid w:val="00077D7E"/>
    <w:rsid w:val="000807AB"/>
    <w:rsid w:val="000812FF"/>
    <w:rsid w:val="00081EDA"/>
    <w:rsid w:val="00082022"/>
    <w:rsid w:val="00082114"/>
    <w:rsid w:val="0008256D"/>
    <w:rsid w:val="00082811"/>
    <w:rsid w:val="00082948"/>
    <w:rsid w:val="000829A5"/>
    <w:rsid w:val="00082EE1"/>
    <w:rsid w:val="00082F57"/>
    <w:rsid w:val="000831D1"/>
    <w:rsid w:val="00083327"/>
    <w:rsid w:val="0008338C"/>
    <w:rsid w:val="00083BEE"/>
    <w:rsid w:val="00083D03"/>
    <w:rsid w:val="00083DDF"/>
    <w:rsid w:val="00083FFC"/>
    <w:rsid w:val="00084015"/>
    <w:rsid w:val="00084295"/>
    <w:rsid w:val="000842B5"/>
    <w:rsid w:val="000844BD"/>
    <w:rsid w:val="0008463D"/>
    <w:rsid w:val="0008485B"/>
    <w:rsid w:val="00084932"/>
    <w:rsid w:val="00084C87"/>
    <w:rsid w:val="00084DD5"/>
    <w:rsid w:val="00084E49"/>
    <w:rsid w:val="00084E58"/>
    <w:rsid w:val="00085082"/>
    <w:rsid w:val="00085575"/>
    <w:rsid w:val="00085726"/>
    <w:rsid w:val="00085864"/>
    <w:rsid w:val="00085961"/>
    <w:rsid w:val="000859F6"/>
    <w:rsid w:val="00085B50"/>
    <w:rsid w:val="00085DB3"/>
    <w:rsid w:val="00085E66"/>
    <w:rsid w:val="000862EC"/>
    <w:rsid w:val="000866C7"/>
    <w:rsid w:val="0008698B"/>
    <w:rsid w:val="00086BC7"/>
    <w:rsid w:val="00087006"/>
    <w:rsid w:val="000871D9"/>
    <w:rsid w:val="000871F4"/>
    <w:rsid w:val="00087247"/>
    <w:rsid w:val="000873E6"/>
    <w:rsid w:val="000873E7"/>
    <w:rsid w:val="0008770B"/>
    <w:rsid w:val="000879FD"/>
    <w:rsid w:val="00087A73"/>
    <w:rsid w:val="00090360"/>
    <w:rsid w:val="000905B7"/>
    <w:rsid w:val="00090645"/>
    <w:rsid w:val="000906DE"/>
    <w:rsid w:val="0009090C"/>
    <w:rsid w:val="00090B6E"/>
    <w:rsid w:val="00090FA9"/>
    <w:rsid w:val="00091090"/>
    <w:rsid w:val="00091422"/>
    <w:rsid w:val="0009152E"/>
    <w:rsid w:val="0009175B"/>
    <w:rsid w:val="00091B34"/>
    <w:rsid w:val="000920D7"/>
    <w:rsid w:val="00092325"/>
    <w:rsid w:val="00092435"/>
    <w:rsid w:val="000926CB"/>
    <w:rsid w:val="0009288C"/>
    <w:rsid w:val="00093172"/>
    <w:rsid w:val="00093185"/>
    <w:rsid w:val="00093192"/>
    <w:rsid w:val="000932B7"/>
    <w:rsid w:val="000934B8"/>
    <w:rsid w:val="000934F7"/>
    <w:rsid w:val="000935F7"/>
    <w:rsid w:val="000936BE"/>
    <w:rsid w:val="00093702"/>
    <w:rsid w:val="000937B7"/>
    <w:rsid w:val="0009392A"/>
    <w:rsid w:val="000939F8"/>
    <w:rsid w:val="00093E25"/>
    <w:rsid w:val="00093EA7"/>
    <w:rsid w:val="00094554"/>
    <w:rsid w:val="0009464B"/>
    <w:rsid w:val="00094C21"/>
    <w:rsid w:val="00094D3D"/>
    <w:rsid w:val="00094EC3"/>
    <w:rsid w:val="00094F27"/>
    <w:rsid w:val="0009532A"/>
    <w:rsid w:val="0009552A"/>
    <w:rsid w:val="000958B0"/>
    <w:rsid w:val="00095A9F"/>
    <w:rsid w:val="00095ADB"/>
    <w:rsid w:val="00095D1E"/>
    <w:rsid w:val="000963AC"/>
    <w:rsid w:val="000963CE"/>
    <w:rsid w:val="00096878"/>
    <w:rsid w:val="00096E00"/>
    <w:rsid w:val="00096E44"/>
    <w:rsid w:val="0009705C"/>
    <w:rsid w:val="00097144"/>
    <w:rsid w:val="0009714E"/>
    <w:rsid w:val="00097471"/>
    <w:rsid w:val="00097513"/>
    <w:rsid w:val="00097731"/>
    <w:rsid w:val="00097819"/>
    <w:rsid w:val="0009789F"/>
    <w:rsid w:val="000978E4"/>
    <w:rsid w:val="00097ACB"/>
    <w:rsid w:val="00097EB0"/>
    <w:rsid w:val="00097EF4"/>
    <w:rsid w:val="000A0070"/>
    <w:rsid w:val="000A008E"/>
    <w:rsid w:val="000A015A"/>
    <w:rsid w:val="000A01A6"/>
    <w:rsid w:val="000A031C"/>
    <w:rsid w:val="000A03A1"/>
    <w:rsid w:val="000A0409"/>
    <w:rsid w:val="000A047F"/>
    <w:rsid w:val="000A04B4"/>
    <w:rsid w:val="000A0529"/>
    <w:rsid w:val="000A07E0"/>
    <w:rsid w:val="000A08DD"/>
    <w:rsid w:val="000A0CC9"/>
    <w:rsid w:val="000A0DD5"/>
    <w:rsid w:val="000A0E4D"/>
    <w:rsid w:val="000A1098"/>
    <w:rsid w:val="000A1127"/>
    <w:rsid w:val="000A14F8"/>
    <w:rsid w:val="000A18D8"/>
    <w:rsid w:val="000A19C8"/>
    <w:rsid w:val="000A1CC6"/>
    <w:rsid w:val="000A1DB7"/>
    <w:rsid w:val="000A1F80"/>
    <w:rsid w:val="000A1F81"/>
    <w:rsid w:val="000A1FEC"/>
    <w:rsid w:val="000A223B"/>
    <w:rsid w:val="000A252B"/>
    <w:rsid w:val="000A2BF0"/>
    <w:rsid w:val="000A2DA5"/>
    <w:rsid w:val="000A2FF3"/>
    <w:rsid w:val="000A3671"/>
    <w:rsid w:val="000A3BC0"/>
    <w:rsid w:val="000A3C13"/>
    <w:rsid w:val="000A3FF0"/>
    <w:rsid w:val="000A40A9"/>
    <w:rsid w:val="000A40D2"/>
    <w:rsid w:val="000A4105"/>
    <w:rsid w:val="000A412F"/>
    <w:rsid w:val="000A4147"/>
    <w:rsid w:val="000A4322"/>
    <w:rsid w:val="000A4594"/>
    <w:rsid w:val="000A4967"/>
    <w:rsid w:val="000A4EE9"/>
    <w:rsid w:val="000A4FAC"/>
    <w:rsid w:val="000A55E6"/>
    <w:rsid w:val="000A5623"/>
    <w:rsid w:val="000A56ED"/>
    <w:rsid w:val="000A57E2"/>
    <w:rsid w:val="000A58C9"/>
    <w:rsid w:val="000A5947"/>
    <w:rsid w:val="000A5AB6"/>
    <w:rsid w:val="000A5D50"/>
    <w:rsid w:val="000A5F8B"/>
    <w:rsid w:val="000A6410"/>
    <w:rsid w:val="000A6650"/>
    <w:rsid w:val="000A6683"/>
    <w:rsid w:val="000A682B"/>
    <w:rsid w:val="000A6AC8"/>
    <w:rsid w:val="000A717D"/>
    <w:rsid w:val="000A7185"/>
    <w:rsid w:val="000A7255"/>
    <w:rsid w:val="000A769F"/>
    <w:rsid w:val="000A785B"/>
    <w:rsid w:val="000A7AFF"/>
    <w:rsid w:val="000A7C84"/>
    <w:rsid w:val="000A7D9E"/>
    <w:rsid w:val="000B02B4"/>
    <w:rsid w:val="000B0366"/>
    <w:rsid w:val="000B0821"/>
    <w:rsid w:val="000B089D"/>
    <w:rsid w:val="000B093F"/>
    <w:rsid w:val="000B0A77"/>
    <w:rsid w:val="000B0B20"/>
    <w:rsid w:val="000B0BAE"/>
    <w:rsid w:val="000B0EFD"/>
    <w:rsid w:val="000B1096"/>
    <w:rsid w:val="000B1189"/>
    <w:rsid w:val="000B158C"/>
    <w:rsid w:val="000B1845"/>
    <w:rsid w:val="000B1A92"/>
    <w:rsid w:val="000B1B7D"/>
    <w:rsid w:val="000B1B99"/>
    <w:rsid w:val="000B1ED2"/>
    <w:rsid w:val="000B2225"/>
    <w:rsid w:val="000B23AC"/>
    <w:rsid w:val="000B244F"/>
    <w:rsid w:val="000B2583"/>
    <w:rsid w:val="000B287B"/>
    <w:rsid w:val="000B2B0D"/>
    <w:rsid w:val="000B301F"/>
    <w:rsid w:val="000B3521"/>
    <w:rsid w:val="000B3835"/>
    <w:rsid w:val="000B383C"/>
    <w:rsid w:val="000B3928"/>
    <w:rsid w:val="000B3977"/>
    <w:rsid w:val="000B3A98"/>
    <w:rsid w:val="000B3AA6"/>
    <w:rsid w:val="000B3B6A"/>
    <w:rsid w:val="000B3B87"/>
    <w:rsid w:val="000B3BFA"/>
    <w:rsid w:val="000B3E8F"/>
    <w:rsid w:val="000B4256"/>
    <w:rsid w:val="000B4494"/>
    <w:rsid w:val="000B4629"/>
    <w:rsid w:val="000B46D0"/>
    <w:rsid w:val="000B4B35"/>
    <w:rsid w:val="000B4E16"/>
    <w:rsid w:val="000B4F38"/>
    <w:rsid w:val="000B5107"/>
    <w:rsid w:val="000B5255"/>
    <w:rsid w:val="000B5348"/>
    <w:rsid w:val="000B58B1"/>
    <w:rsid w:val="000B5B5D"/>
    <w:rsid w:val="000B5CB1"/>
    <w:rsid w:val="000B5DB0"/>
    <w:rsid w:val="000B5FC4"/>
    <w:rsid w:val="000B6055"/>
    <w:rsid w:val="000B6238"/>
    <w:rsid w:val="000B6262"/>
    <w:rsid w:val="000B627E"/>
    <w:rsid w:val="000B6C5F"/>
    <w:rsid w:val="000B6D15"/>
    <w:rsid w:val="000B70C8"/>
    <w:rsid w:val="000B72A7"/>
    <w:rsid w:val="000B731F"/>
    <w:rsid w:val="000B7381"/>
    <w:rsid w:val="000B761D"/>
    <w:rsid w:val="000B7D0A"/>
    <w:rsid w:val="000C001F"/>
    <w:rsid w:val="000C0848"/>
    <w:rsid w:val="000C0A1E"/>
    <w:rsid w:val="000C0AFD"/>
    <w:rsid w:val="000C0B55"/>
    <w:rsid w:val="000C0D35"/>
    <w:rsid w:val="000C1073"/>
    <w:rsid w:val="000C115B"/>
    <w:rsid w:val="000C137E"/>
    <w:rsid w:val="000C13E7"/>
    <w:rsid w:val="000C16E8"/>
    <w:rsid w:val="000C1BDE"/>
    <w:rsid w:val="000C29B8"/>
    <w:rsid w:val="000C2AB5"/>
    <w:rsid w:val="000C2ACB"/>
    <w:rsid w:val="000C2B95"/>
    <w:rsid w:val="000C2D69"/>
    <w:rsid w:val="000C317A"/>
    <w:rsid w:val="000C3624"/>
    <w:rsid w:val="000C3654"/>
    <w:rsid w:val="000C3826"/>
    <w:rsid w:val="000C3925"/>
    <w:rsid w:val="000C3A4B"/>
    <w:rsid w:val="000C3AA8"/>
    <w:rsid w:val="000C3B04"/>
    <w:rsid w:val="000C3C32"/>
    <w:rsid w:val="000C3CA9"/>
    <w:rsid w:val="000C3CE8"/>
    <w:rsid w:val="000C403D"/>
    <w:rsid w:val="000C43BE"/>
    <w:rsid w:val="000C44B5"/>
    <w:rsid w:val="000C44C2"/>
    <w:rsid w:val="000C4A1E"/>
    <w:rsid w:val="000C4C7D"/>
    <w:rsid w:val="000C4CDB"/>
    <w:rsid w:val="000C4D4C"/>
    <w:rsid w:val="000C4EF4"/>
    <w:rsid w:val="000C56DB"/>
    <w:rsid w:val="000C5B0C"/>
    <w:rsid w:val="000C5B4F"/>
    <w:rsid w:val="000C5C4D"/>
    <w:rsid w:val="000C5F8D"/>
    <w:rsid w:val="000C6349"/>
    <w:rsid w:val="000C6486"/>
    <w:rsid w:val="000C67D9"/>
    <w:rsid w:val="000C6D39"/>
    <w:rsid w:val="000C7069"/>
    <w:rsid w:val="000C7421"/>
    <w:rsid w:val="000C75DB"/>
    <w:rsid w:val="000C7BF5"/>
    <w:rsid w:val="000C7DB2"/>
    <w:rsid w:val="000C7E36"/>
    <w:rsid w:val="000C7E44"/>
    <w:rsid w:val="000D000E"/>
    <w:rsid w:val="000D02F5"/>
    <w:rsid w:val="000D0776"/>
    <w:rsid w:val="000D0A0F"/>
    <w:rsid w:val="000D0BD1"/>
    <w:rsid w:val="000D0C3D"/>
    <w:rsid w:val="000D13C7"/>
    <w:rsid w:val="000D1A50"/>
    <w:rsid w:val="000D1C5C"/>
    <w:rsid w:val="000D1DCD"/>
    <w:rsid w:val="000D1F2C"/>
    <w:rsid w:val="000D2173"/>
    <w:rsid w:val="000D21B1"/>
    <w:rsid w:val="000D23D8"/>
    <w:rsid w:val="000D2442"/>
    <w:rsid w:val="000D24C3"/>
    <w:rsid w:val="000D2C03"/>
    <w:rsid w:val="000D2EFD"/>
    <w:rsid w:val="000D2F0A"/>
    <w:rsid w:val="000D3327"/>
    <w:rsid w:val="000D33B7"/>
    <w:rsid w:val="000D34A1"/>
    <w:rsid w:val="000D3980"/>
    <w:rsid w:val="000D3B0B"/>
    <w:rsid w:val="000D3D6D"/>
    <w:rsid w:val="000D40BB"/>
    <w:rsid w:val="000D4249"/>
    <w:rsid w:val="000D42CB"/>
    <w:rsid w:val="000D43FC"/>
    <w:rsid w:val="000D45F4"/>
    <w:rsid w:val="000D4B74"/>
    <w:rsid w:val="000D4C6F"/>
    <w:rsid w:val="000D4CA1"/>
    <w:rsid w:val="000D4DC9"/>
    <w:rsid w:val="000D4EB7"/>
    <w:rsid w:val="000D4F82"/>
    <w:rsid w:val="000D5389"/>
    <w:rsid w:val="000D5423"/>
    <w:rsid w:val="000D57F1"/>
    <w:rsid w:val="000D58E6"/>
    <w:rsid w:val="000D59FA"/>
    <w:rsid w:val="000D5A18"/>
    <w:rsid w:val="000D5A7F"/>
    <w:rsid w:val="000D5A92"/>
    <w:rsid w:val="000D621C"/>
    <w:rsid w:val="000D671D"/>
    <w:rsid w:val="000D6770"/>
    <w:rsid w:val="000D6B6B"/>
    <w:rsid w:val="000D6D00"/>
    <w:rsid w:val="000D6D20"/>
    <w:rsid w:val="000D6F7A"/>
    <w:rsid w:val="000D7916"/>
    <w:rsid w:val="000D7C23"/>
    <w:rsid w:val="000D7D21"/>
    <w:rsid w:val="000E00FD"/>
    <w:rsid w:val="000E0355"/>
    <w:rsid w:val="000E03BD"/>
    <w:rsid w:val="000E0456"/>
    <w:rsid w:val="000E06EF"/>
    <w:rsid w:val="000E0836"/>
    <w:rsid w:val="000E0B6C"/>
    <w:rsid w:val="000E167F"/>
    <w:rsid w:val="000E1A10"/>
    <w:rsid w:val="000E1AB3"/>
    <w:rsid w:val="000E1CB9"/>
    <w:rsid w:val="000E209D"/>
    <w:rsid w:val="000E20C5"/>
    <w:rsid w:val="000E21FD"/>
    <w:rsid w:val="000E2200"/>
    <w:rsid w:val="000E22BD"/>
    <w:rsid w:val="000E23AF"/>
    <w:rsid w:val="000E23E7"/>
    <w:rsid w:val="000E2BA4"/>
    <w:rsid w:val="000E2BDA"/>
    <w:rsid w:val="000E2CB7"/>
    <w:rsid w:val="000E31F5"/>
    <w:rsid w:val="000E35E7"/>
    <w:rsid w:val="000E35EE"/>
    <w:rsid w:val="000E374F"/>
    <w:rsid w:val="000E3757"/>
    <w:rsid w:val="000E3979"/>
    <w:rsid w:val="000E3A22"/>
    <w:rsid w:val="000E40D9"/>
    <w:rsid w:val="000E4113"/>
    <w:rsid w:val="000E42A3"/>
    <w:rsid w:val="000E441A"/>
    <w:rsid w:val="000E4601"/>
    <w:rsid w:val="000E4747"/>
    <w:rsid w:val="000E4798"/>
    <w:rsid w:val="000E48A1"/>
    <w:rsid w:val="000E49CF"/>
    <w:rsid w:val="000E4A96"/>
    <w:rsid w:val="000E4AD1"/>
    <w:rsid w:val="000E4FA6"/>
    <w:rsid w:val="000E51F5"/>
    <w:rsid w:val="000E5229"/>
    <w:rsid w:val="000E5A13"/>
    <w:rsid w:val="000E5AAD"/>
    <w:rsid w:val="000E5BF2"/>
    <w:rsid w:val="000E5E19"/>
    <w:rsid w:val="000E5F1B"/>
    <w:rsid w:val="000E5FED"/>
    <w:rsid w:val="000E63AC"/>
    <w:rsid w:val="000E6803"/>
    <w:rsid w:val="000E691F"/>
    <w:rsid w:val="000E6A17"/>
    <w:rsid w:val="000E6B70"/>
    <w:rsid w:val="000E7445"/>
    <w:rsid w:val="000E77E6"/>
    <w:rsid w:val="000E7843"/>
    <w:rsid w:val="000E7970"/>
    <w:rsid w:val="000E7AFD"/>
    <w:rsid w:val="000E7FBB"/>
    <w:rsid w:val="000F03FD"/>
    <w:rsid w:val="000F07F8"/>
    <w:rsid w:val="000F0AD2"/>
    <w:rsid w:val="000F0E4D"/>
    <w:rsid w:val="000F10F6"/>
    <w:rsid w:val="000F1113"/>
    <w:rsid w:val="000F11C9"/>
    <w:rsid w:val="000F1255"/>
    <w:rsid w:val="000F13D6"/>
    <w:rsid w:val="000F1440"/>
    <w:rsid w:val="000F163D"/>
    <w:rsid w:val="000F1C45"/>
    <w:rsid w:val="000F2022"/>
    <w:rsid w:val="000F2031"/>
    <w:rsid w:val="000F237D"/>
    <w:rsid w:val="000F2494"/>
    <w:rsid w:val="000F2A22"/>
    <w:rsid w:val="000F2AC8"/>
    <w:rsid w:val="000F2D2C"/>
    <w:rsid w:val="000F2E01"/>
    <w:rsid w:val="000F31EA"/>
    <w:rsid w:val="000F332F"/>
    <w:rsid w:val="000F35F7"/>
    <w:rsid w:val="000F39AC"/>
    <w:rsid w:val="000F3D96"/>
    <w:rsid w:val="000F3D9D"/>
    <w:rsid w:val="000F40EF"/>
    <w:rsid w:val="000F4C88"/>
    <w:rsid w:val="000F618F"/>
    <w:rsid w:val="000F641C"/>
    <w:rsid w:val="000F6506"/>
    <w:rsid w:val="000F6730"/>
    <w:rsid w:val="000F697D"/>
    <w:rsid w:val="000F6B44"/>
    <w:rsid w:val="000F6C2A"/>
    <w:rsid w:val="000F6D85"/>
    <w:rsid w:val="000F6FA1"/>
    <w:rsid w:val="000F7109"/>
    <w:rsid w:val="000F7186"/>
    <w:rsid w:val="000F7503"/>
    <w:rsid w:val="000F7722"/>
    <w:rsid w:val="000F7797"/>
    <w:rsid w:val="000F7AFA"/>
    <w:rsid w:val="000F7C49"/>
    <w:rsid w:val="000F7CA8"/>
    <w:rsid w:val="0010013C"/>
    <w:rsid w:val="001002CD"/>
    <w:rsid w:val="0010069B"/>
    <w:rsid w:val="00100797"/>
    <w:rsid w:val="001008E7"/>
    <w:rsid w:val="0010099A"/>
    <w:rsid w:val="0010119B"/>
    <w:rsid w:val="00101BFF"/>
    <w:rsid w:val="00102053"/>
    <w:rsid w:val="001026F1"/>
    <w:rsid w:val="00102774"/>
    <w:rsid w:val="001029F6"/>
    <w:rsid w:val="00102AEB"/>
    <w:rsid w:val="00102C32"/>
    <w:rsid w:val="00103192"/>
    <w:rsid w:val="001032F1"/>
    <w:rsid w:val="00103671"/>
    <w:rsid w:val="001037A8"/>
    <w:rsid w:val="0010394F"/>
    <w:rsid w:val="00103DC1"/>
    <w:rsid w:val="00104597"/>
    <w:rsid w:val="00104739"/>
    <w:rsid w:val="00104D1A"/>
    <w:rsid w:val="00105AB2"/>
    <w:rsid w:val="00105B1B"/>
    <w:rsid w:val="00106216"/>
    <w:rsid w:val="0010621A"/>
    <w:rsid w:val="00106302"/>
    <w:rsid w:val="0010657D"/>
    <w:rsid w:val="00106938"/>
    <w:rsid w:val="0010702D"/>
    <w:rsid w:val="00107366"/>
    <w:rsid w:val="001073B4"/>
    <w:rsid w:val="001076FD"/>
    <w:rsid w:val="00107AD1"/>
    <w:rsid w:val="00107CF7"/>
    <w:rsid w:val="00107DBF"/>
    <w:rsid w:val="00107EEE"/>
    <w:rsid w:val="00107F14"/>
    <w:rsid w:val="00110094"/>
    <w:rsid w:val="001102CA"/>
    <w:rsid w:val="0011036C"/>
    <w:rsid w:val="0011070E"/>
    <w:rsid w:val="00110B54"/>
    <w:rsid w:val="00110CF9"/>
    <w:rsid w:val="00110E0A"/>
    <w:rsid w:val="00111154"/>
    <w:rsid w:val="0011122A"/>
    <w:rsid w:val="00111436"/>
    <w:rsid w:val="001115C2"/>
    <w:rsid w:val="00111813"/>
    <w:rsid w:val="00111CE5"/>
    <w:rsid w:val="00111DB1"/>
    <w:rsid w:val="00111DF9"/>
    <w:rsid w:val="00112005"/>
    <w:rsid w:val="0011209E"/>
    <w:rsid w:val="00112195"/>
    <w:rsid w:val="001124DF"/>
    <w:rsid w:val="00112559"/>
    <w:rsid w:val="00112813"/>
    <w:rsid w:val="001128F8"/>
    <w:rsid w:val="0011295B"/>
    <w:rsid w:val="00112E16"/>
    <w:rsid w:val="00112E29"/>
    <w:rsid w:val="00112F55"/>
    <w:rsid w:val="0011308D"/>
    <w:rsid w:val="0011323D"/>
    <w:rsid w:val="001132DF"/>
    <w:rsid w:val="00113414"/>
    <w:rsid w:val="00113500"/>
    <w:rsid w:val="00113903"/>
    <w:rsid w:val="00113CC6"/>
    <w:rsid w:val="00114122"/>
    <w:rsid w:val="001144C8"/>
    <w:rsid w:val="00114633"/>
    <w:rsid w:val="00114D7F"/>
    <w:rsid w:val="00114F91"/>
    <w:rsid w:val="001154BA"/>
    <w:rsid w:val="001154EE"/>
    <w:rsid w:val="00115558"/>
    <w:rsid w:val="001159EB"/>
    <w:rsid w:val="00115F2F"/>
    <w:rsid w:val="00115F7C"/>
    <w:rsid w:val="0011609E"/>
    <w:rsid w:val="0011623F"/>
    <w:rsid w:val="001162B4"/>
    <w:rsid w:val="001163DC"/>
    <w:rsid w:val="0011640F"/>
    <w:rsid w:val="001165CF"/>
    <w:rsid w:val="00116787"/>
    <w:rsid w:val="00116802"/>
    <w:rsid w:val="00116A2E"/>
    <w:rsid w:val="00116BBE"/>
    <w:rsid w:val="00116D78"/>
    <w:rsid w:val="00116E15"/>
    <w:rsid w:val="00116E89"/>
    <w:rsid w:val="001171F0"/>
    <w:rsid w:val="00117247"/>
    <w:rsid w:val="00117500"/>
    <w:rsid w:val="0011752C"/>
    <w:rsid w:val="00117985"/>
    <w:rsid w:val="00117C60"/>
    <w:rsid w:val="00117D00"/>
    <w:rsid w:val="00117D55"/>
    <w:rsid w:val="00120324"/>
    <w:rsid w:val="001204D2"/>
    <w:rsid w:val="001206E0"/>
    <w:rsid w:val="0012079F"/>
    <w:rsid w:val="001208E9"/>
    <w:rsid w:val="0012097B"/>
    <w:rsid w:val="001209A1"/>
    <w:rsid w:val="001209B0"/>
    <w:rsid w:val="00121151"/>
    <w:rsid w:val="00121A21"/>
    <w:rsid w:val="00121B08"/>
    <w:rsid w:val="00121CBD"/>
    <w:rsid w:val="00121F0B"/>
    <w:rsid w:val="00121FF7"/>
    <w:rsid w:val="00122225"/>
    <w:rsid w:val="0012250C"/>
    <w:rsid w:val="0012263C"/>
    <w:rsid w:val="00122843"/>
    <w:rsid w:val="00122B20"/>
    <w:rsid w:val="00123773"/>
    <w:rsid w:val="0012381E"/>
    <w:rsid w:val="00123827"/>
    <w:rsid w:val="00123D94"/>
    <w:rsid w:val="00123E31"/>
    <w:rsid w:val="00124053"/>
    <w:rsid w:val="001241F6"/>
    <w:rsid w:val="0012442F"/>
    <w:rsid w:val="00124433"/>
    <w:rsid w:val="0012447A"/>
    <w:rsid w:val="001244F3"/>
    <w:rsid w:val="00124E7E"/>
    <w:rsid w:val="0012522C"/>
    <w:rsid w:val="0012525C"/>
    <w:rsid w:val="001253A8"/>
    <w:rsid w:val="001258F5"/>
    <w:rsid w:val="00125C76"/>
    <w:rsid w:val="00125F58"/>
    <w:rsid w:val="00126304"/>
    <w:rsid w:val="00126465"/>
    <w:rsid w:val="00126963"/>
    <w:rsid w:val="00126E33"/>
    <w:rsid w:val="00126E47"/>
    <w:rsid w:val="00127000"/>
    <w:rsid w:val="001271C9"/>
    <w:rsid w:val="001274E6"/>
    <w:rsid w:val="001274F0"/>
    <w:rsid w:val="001276AA"/>
    <w:rsid w:val="0012786D"/>
    <w:rsid w:val="00130014"/>
    <w:rsid w:val="00130496"/>
    <w:rsid w:val="001304EB"/>
    <w:rsid w:val="0013057C"/>
    <w:rsid w:val="00130EC5"/>
    <w:rsid w:val="0013115C"/>
    <w:rsid w:val="00131252"/>
    <w:rsid w:val="00131265"/>
    <w:rsid w:val="0013141B"/>
    <w:rsid w:val="0013146D"/>
    <w:rsid w:val="001314DF"/>
    <w:rsid w:val="0013177E"/>
    <w:rsid w:val="00132403"/>
    <w:rsid w:val="00132788"/>
    <w:rsid w:val="00132A18"/>
    <w:rsid w:val="00132E88"/>
    <w:rsid w:val="00133062"/>
    <w:rsid w:val="001330C5"/>
    <w:rsid w:val="001332C1"/>
    <w:rsid w:val="00133324"/>
    <w:rsid w:val="00133503"/>
    <w:rsid w:val="0013376A"/>
    <w:rsid w:val="0013385C"/>
    <w:rsid w:val="00133EF8"/>
    <w:rsid w:val="00133FC7"/>
    <w:rsid w:val="00134413"/>
    <w:rsid w:val="001344D3"/>
    <w:rsid w:val="001346E7"/>
    <w:rsid w:val="0013473D"/>
    <w:rsid w:val="0013481A"/>
    <w:rsid w:val="001348DA"/>
    <w:rsid w:val="00134BC5"/>
    <w:rsid w:val="00134C49"/>
    <w:rsid w:val="001350FD"/>
    <w:rsid w:val="00135583"/>
    <w:rsid w:val="001356FC"/>
    <w:rsid w:val="00135C21"/>
    <w:rsid w:val="001360E8"/>
    <w:rsid w:val="00136599"/>
    <w:rsid w:val="00136749"/>
    <w:rsid w:val="00136769"/>
    <w:rsid w:val="00136787"/>
    <w:rsid w:val="00136792"/>
    <w:rsid w:val="00136B38"/>
    <w:rsid w:val="00136F2D"/>
    <w:rsid w:val="001373CF"/>
    <w:rsid w:val="00137474"/>
    <w:rsid w:val="0013751F"/>
    <w:rsid w:val="00137685"/>
    <w:rsid w:val="0013779B"/>
    <w:rsid w:val="00140234"/>
    <w:rsid w:val="001402B8"/>
    <w:rsid w:val="0014063B"/>
    <w:rsid w:val="00140807"/>
    <w:rsid w:val="00140889"/>
    <w:rsid w:val="0014092A"/>
    <w:rsid w:val="00140939"/>
    <w:rsid w:val="00140B57"/>
    <w:rsid w:val="00140C0A"/>
    <w:rsid w:val="00140FD9"/>
    <w:rsid w:val="001411A9"/>
    <w:rsid w:val="00141494"/>
    <w:rsid w:val="001414F2"/>
    <w:rsid w:val="00141DA4"/>
    <w:rsid w:val="00141F88"/>
    <w:rsid w:val="0014205D"/>
    <w:rsid w:val="00142407"/>
    <w:rsid w:val="00142AD4"/>
    <w:rsid w:val="00142AE0"/>
    <w:rsid w:val="00142B25"/>
    <w:rsid w:val="00142BC2"/>
    <w:rsid w:val="0014310F"/>
    <w:rsid w:val="00143366"/>
    <w:rsid w:val="0014352B"/>
    <w:rsid w:val="00143570"/>
    <w:rsid w:val="00143961"/>
    <w:rsid w:val="00143AA1"/>
    <w:rsid w:val="00143B44"/>
    <w:rsid w:val="00143D73"/>
    <w:rsid w:val="001443AE"/>
    <w:rsid w:val="001443BE"/>
    <w:rsid w:val="0014442D"/>
    <w:rsid w:val="00144474"/>
    <w:rsid w:val="001444CB"/>
    <w:rsid w:val="00144502"/>
    <w:rsid w:val="00144668"/>
    <w:rsid w:val="001448F4"/>
    <w:rsid w:val="00144C14"/>
    <w:rsid w:val="00144E12"/>
    <w:rsid w:val="001452A5"/>
    <w:rsid w:val="00145478"/>
    <w:rsid w:val="0014564B"/>
    <w:rsid w:val="00145672"/>
    <w:rsid w:val="00145749"/>
    <w:rsid w:val="00145DAF"/>
    <w:rsid w:val="00146199"/>
    <w:rsid w:val="00146348"/>
    <w:rsid w:val="0014664D"/>
    <w:rsid w:val="001466B8"/>
    <w:rsid w:val="00146BE1"/>
    <w:rsid w:val="00146C46"/>
    <w:rsid w:val="00146DD5"/>
    <w:rsid w:val="00146FC8"/>
    <w:rsid w:val="0014705B"/>
    <w:rsid w:val="0014747A"/>
    <w:rsid w:val="00147696"/>
    <w:rsid w:val="001479EE"/>
    <w:rsid w:val="00147B31"/>
    <w:rsid w:val="00147C6B"/>
    <w:rsid w:val="00147F07"/>
    <w:rsid w:val="00147F94"/>
    <w:rsid w:val="00147FDC"/>
    <w:rsid w:val="00150311"/>
    <w:rsid w:val="0015056E"/>
    <w:rsid w:val="00150707"/>
    <w:rsid w:val="00150767"/>
    <w:rsid w:val="0015088A"/>
    <w:rsid w:val="00150A5A"/>
    <w:rsid w:val="00150ABD"/>
    <w:rsid w:val="00150B58"/>
    <w:rsid w:val="001511C3"/>
    <w:rsid w:val="001512C0"/>
    <w:rsid w:val="00152015"/>
    <w:rsid w:val="00152138"/>
    <w:rsid w:val="0015226C"/>
    <w:rsid w:val="00152446"/>
    <w:rsid w:val="00152745"/>
    <w:rsid w:val="00153011"/>
    <w:rsid w:val="00153638"/>
    <w:rsid w:val="0015377D"/>
    <w:rsid w:val="00153889"/>
    <w:rsid w:val="0015396E"/>
    <w:rsid w:val="001539D4"/>
    <w:rsid w:val="00153ADB"/>
    <w:rsid w:val="00154131"/>
    <w:rsid w:val="001542F8"/>
    <w:rsid w:val="001542FC"/>
    <w:rsid w:val="00154C63"/>
    <w:rsid w:val="00154F3F"/>
    <w:rsid w:val="00155445"/>
    <w:rsid w:val="0015558B"/>
    <w:rsid w:val="00155808"/>
    <w:rsid w:val="001558D4"/>
    <w:rsid w:val="001559B5"/>
    <w:rsid w:val="00155AD3"/>
    <w:rsid w:val="00155DBA"/>
    <w:rsid w:val="00155DF2"/>
    <w:rsid w:val="001564B4"/>
    <w:rsid w:val="001564EB"/>
    <w:rsid w:val="00156620"/>
    <w:rsid w:val="001568E5"/>
    <w:rsid w:val="00156D76"/>
    <w:rsid w:val="001570A3"/>
    <w:rsid w:val="00157175"/>
    <w:rsid w:val="001572B7"/>
    <w:rsid w:val="00157358"/>
    <w:rsid w:val="001577BF"/>
    <w:rsid w:val="00157B1D"/>
    <w:rsid w:val="00157C2C"/>
    <w:rsid w:val="00157FDE"/>
    <w:rsid w:val="00160221"/>
    <w:rsid w:val="00160313"/>
    <w:rsid w:val="00160375"/>
    <w:rsid w:val="001603A3"/>
    <w:rsid w:val="00160407"/>
    <w:rsid w:val="0016051A"/>
    <w:rsid w:val="0016062A"/>
    <w:rsid w:val="001606F3"/>
    <w:rsid w:val="00160AF5"/>
    <w:rsid w:val="00160C8E"/>
    <w:rsid w:val="00160F13"/>
    <w:rsid w:val="001612B0"/>
    <w:rsid w:val="00161C8E"/>
    <w:rsid w:val="00161CB7"/>
    <w:rsid w:val="00161ED5"/>
    <w:rsid w:val="00162297"/>
    <w:rsid w:val="00162744"/>
    <w:rsid w:val="00162759"/>
    <w:rsid w:val="001630E4"/>
    <w:rsid w:val="0016321A"/>
    <w:rsid w:val="0016324C"/>
    <w:rsid w:val="0016338A"/>
    <w:rsid w:val="0016344F"/>
    <w:rsid w:val="0016347E"/>
    <w:rsid w:val="0016396D"/>
    <w:rsid w:val="0016399B"/>
    <w:rsid w:val="00163B25"/>
    <w:rsid w:val="00163C02"/>
    <w:rsid w:val="001641B1"/>
    <w:rsid w:val="001643EE"/>
    <w:rsid w:val="00164413"/>
    <w:rsid w:val="00164528"/>
    <w:rsid w:val="0016462D"/>
    <w:rsid w:val="00164703"/>
    <w:rsid w:val="0016497B"/>
    <w:rsid w:val="00164AC7"/>
    <w:rsid w:val="001650FA"/>
    <w:rsid w:val="001651F7"/>
    <w:rsid w:val="001653BC"/>
    <w:rsid w:val="00165687"/>
    <w:rsid w:val="00165828"/>
    <w:rsid w:val="0016586A"/>
    <w:rsid w:val="0016589D"/>
    <w:rsid w:val="001658EF"/>
    <w:rsid w:val="00165B14"/>
    <w:rsid w:val="00165DE9"/>
    <w:rsid w:val="00165E6A"/>
    <w:rsid w:val="00165E80"/>
    <w:rsid w:val="00166819"/>
    <w:rsid w:val="00166F8B"/>
    <w:rsid w:val="00166FC1"/>
    <w:rsid w:val="00167055"/>
    <w:rsid w:val="0016706A"/>
    <w:rsid w:val="0016706E"/>
    <w:rsid w:val="0016716B"/>
    <w:rsid w:val="00167191"/>
    <w:rsid w:val="0016722B"/>
    <w:rsid w:val="001674CA"/>
    <w:rsid w:val="00167550"/>
    <w:rsid w:val="00167573"/>
    <w:rsid w:val="001677FC"/>
    <w:rsid w:val="0017013F"/>
    <w:rsid w:val="001703A3"/>
    <w:rsid w:val="001704BC"/>
    <w:rsid w:val="001709AF"/>
    <w:rsid w:val="00170A60"/>
    <w:rsid w:val="00170C2D"/>
    <w:rsid w:val="00170C4F"/>
    <w:rsid w:val="00170D7A"/>
    <w:rsid w:val="00170DAF"/>
    <w:rsid w:val="00170DD2"/>
    <w:rsid w:val="0017118C"/>
    <w:rsid w:val="00171273"/>
    <w:rsid w:val="00171756"/>
    <w:rsid w:val="0017190E"/>
    <w:rsid w:val="00171BC6"/>
    <w:rsid w:val="00171C30"/>
    <w:rsid w:val="00171F2F"/>
    <w:rsid w:val="0017267A"/>
    <w:rsid w:val="00172C82"/>
    <w:rsid w:val="00172E12"/>
    <w:rsid w:val="00172F37"/>
    <w:rsid w:val="00173414"/>
    <w:rsid w:val="001734E6"/>
    <w:rsid w:val="00173516"/>
    <w:rsid w:val="00173A8D"/>
    <w:rsid w:val="00173EAA"/>
    <w:rsid w:val="00173FBC"/>
    <w:rsid w:val="00174245"/>
    <w:rsid w:val="001746C9"/>
    <w:rsid w:val="001749B1"/>
    <w:rsid w:val="00175547"/>
    <w:rsid w:val="00175F0F"/>
    <w:rsid w:val="00176185"/>
    <w:rsid w:val="001767DD"/>
    <w:rsid w:val="00176871"/>
    <w:rsid w:val="00176999"/>
    <w:rsid w:val="00176B59"/>
    <w:rsid w:val="00176C28"/>
    <w:rsid w:val="00177103"/>
    <w:rsid w:val="001771FF"/>
    <w:rsid w:val="0017740A"/>
    <w:rsid w:val="001775CD"/>
    <w:rsid w:val="001777FA"/>
    <w:rsid w:val="0017787A"/>
    <w:rsid w:val="00177BF5"/>
    <w:rsid w:val="00177F00"/>
    <w:rsid w:val="00177FA9"/>
    <w:rsid w:val="0018073C"/>
    <w:rsid w:val="00180986"/>
    <w:rsid w:val="001809F8"/>
    <w:rsid w:val="00180BBC"/>
    <w:rsid w:val="00180CDD"/>
    <w:rsid w:val="00180DAF"/>
    <w:rsid w:val="00180E8F"/>
    <w:rsid w:val="00181049"/>
    <w:rsid w:val="001813DE"/>
    <w:rsid w:val="00181A2D"/>
    <w:rsid w:val="00181B0A"/>
    <w:rsid w:val="00181D56"/>
    <w:rsid w:val="00181DD8"/>
    <w:rsid w:val="00181E4E"/>
    <w:rsid w:val="001821F0"/>
    <w:rsid w:val="001825A3"/>
    <w:rsid w:val="00182B23"/>
    <w:rsid w:val="00182E37"/>
    <w:rsid w:val="001831B9"/>
    <w:rsid w:val="0018342B"/>
    <w:rsid w:val="001834AF"/>
    <w:rsid w:val="00183611"/>
    <w:rsid w:val="001838EB"/>
    <w:rsid w:val="00183A50"/>
    <w:rsid w:val="00183BDB"/>
    <w:rsid w:val="00183C65"/>
    <w:rsid w:val="00183DC8"/>
    <w:rsid w:val="00184014"/>
    <w:rsid w:val="001840CE"/>
    <w:rsid w:val="001842F7"/>
    <w:rsid w:val="00184528"/>
    <w:rsid w:val="001848D4"/>
    <w:rsid w:val="0018495B"/>
    <w:rsid w:val="001849B2"/>
    <w:rsid w:val="00184B88"/>
    <w:rsid w:val="00184BEF"/>
    <w:rsid w:val="00185150"/>
    <w:rsid w:val="00185284"/>
    <w:rsid w:val="001858D6"/>
    <w:rsid w:val="00185A5A"/>
    <w:rsid w:val="00185AD8"/>
    <w:rsid w:val="00185CA7"/>
    <w:rsid w:val="00185CC2"/>
    <w:rsid w:val="00186655"/>
    <w:rsid w:val="00186845"/>
    <w:rsid w:val="00186911"/>
    <w:rsid w:val="00186CBB"/>
    <w:rsid w:val="0018712D"/>
    <w:rsid w:val="00187596"/>
    <w:rsid w:val="001876A4"/>
    <w:rsid w:val="001877C3"/>
    <w:rsid w:val="00187AF5"/>
    <w:rsid w:val="00187B8B"/>
    <w:rsid w:val="00187BCD"/>
    <w:rsid w:val="0019000D"/>
    <w:rsid w:val="00190545"/>
    <w:rsid w:val="00190808"/>
    <w:rsid w:val="0019090E"/>
    <w:rsid w:val="00190A09"/>
    <w:rsid w:val="00190B9D"/>
    <w:rsid w:val="00190CE9"/>
    <w:rsid w:val="00190D8F"/>
    <w:rsid w:val="0019105D"/>
    <w:rsid w:val="00191222"/>
    <w:rsid w:val="00191260"/>
    <w:rsid w:val="001918A2"/>
    <w:rsid w:val="0019191C"/>
    <w:rsid w:val="00191DA1"/>
    <w:rsid w:val="00191DCE"/>
    <w:rsid w:val="00191F29"/>
    <w:rsid w:val="00192286"/>
    <w:rsid w:val="00192395"/>
    <w:rsid w:val="001923B7"/>
    <w:rsid w:val="00192480"/>
    <w:rsid w:val="001924EE"/>
    <w:rsid w:val="001925D2"/>
    <w:rsid w:val="001928D1"/>
    <w:rsid w:val="00192CC3"/>
    <w:rsid w:val="00192DCC"/>
    <w:rsid w:val="001932BE"/>
    <w:rsid w:val="0019372E"/>
    <w:rsid w:val="00193A6C"/>
    <w:rsid w:val="00193FB8"/>
    <w:rsid w:val="0019408D"/>
    <w:rsid w:val="001941F9"/>
    <w:rsid w:val="001943CC"/>
    <w:rsid w:val="0019459B"/>
    <w:rsid w:val="00194692"/>
    <w:rsid w:val="00194743"/>
    <w:rsid w:val="00194BB0"/>
    <w:rsid w:val="001951B9"/>
    <w:rsid w:val="0019557A"/>
    <w:rsid w:val="0019593B"/>
    <w:rsid w:val="00196087"/>
    <w:rsid w:val="0019648C"/>
    <w:rsid w:val="00196526"/>
    <w:rsid w:val="001967DF"/>
    <w:rsid w:val="001969BF"/>
    <w:rsid w:val="00196AB7"/>
    <w:rsid w:val="00196C04"/>
    <w:rsid w:val="00196E0B"/>
    <w:rsid w:val="00197461"/>
    <w:rsid w:val="00197741"/>
    <w:rsid w:val="0019796F"/>
    <w:rsid w:val="00197F43"/>
    <w:rsid w:val="001A0033"/>
    <w:rsid w:val="001A0624"/>
    <w:rsid w:val="001A06AC"/>
    <w:rsid w:val="001A0908"/>
    <w:rsid w:val="001A0C70"/>
    <w:rsid w:val="001A0D4A"/>
    <w:rsid w:val="001A0E85"/>
    <w:rsid w:val="001A0F09"/>
    <w:rsid w:val="001A10DA"/>
    <w:rsid w:val="001A14E6"/>
    <w:rsid w:val="001A16A3"/>
    <w:rsid w:val="001A19A4"/>
    <w:rsid w:val="001A1B23"/>
    <w:rsid w:val="001A1D2D"/>
    <w:rsid w:val="001A1DA9"/>
    <w:rsid w:val="001A25E2"/>
    <w:rsid w:val="001A280C"/>
    <w:rsid w:val="001A285B"/>
    <w:rsid w:val="001A2C6A"/>
    <w:rsid w:val="001A2EE6"/>
    <w:rsid w:val="001A2FA3"/>
    <w:rsid w:val="001A3048"/>
    <w:rsid w:val="001A30A4"/>
    <w:rsid w:val="001A3733"/>
    <w:rsid w:val="001A3AC2"/>
    <w:rsid w:val="001A3B9E"/>
    <w:rsid w:val="001A3BFD"/>
    <w:rsid w:val="001A417D"/>
    <w:rsid w:val="001A435A"/>
    <w:rsid w:val="001A4441"/>
    <w:rsid w:val="001A4457"/>
    <w:rsid w:val="001A46A8"/>
    <w:rsid w:val="001A4AA0"/>
    <w:rsid w:val="001A4C24"/>
    <w:rsid w:val="001A5029"/>
    <w:rsid w:val="001A5187"/>
    <w:rsid w:val="001A5372"/>
    <w:rsid w:val="001A5513"/>
    <w:rsid w:val="001A5930"/>
    <w:rsid w:val="001A5CA9"/>
    <w:rsid w:val="001A5D0B"/>
    <w:rsid w:val="001A64B0"/>
    <w:rsid w:val="001A6661"/>
    <w:rsid w:val="001A677D"/>
    <w:rsid w:val="001A694B"/>
    <w:rsid w:val="001A6A03"/>
    <w:rsid w:val="001A6EB9"/>
    <w:rsid w:val="001A7179"/>
    <w:rsid w:val="001A7274"/>
    <w:rsid w:val="001A7283"/>
    <w:rsid w:val="001A72BE"/>
    <w:rsid w:val="001A75E6"/>
    <w:rsid w:val="001A763D"/>
    <w:rsid w:val="001A7A3A"/>
    <w:rsid w:val="001A7F59"/>
    <w:rsid w:val="001B02A2"/>
    <w:rsid w:val="001B077C"/>
    <w:rsid w:val="001B07CA"/>
    <w:rsid w:val="001B084D"/>
    <w:rsid w:val="001B0CF3"/>
    <w:rsid w:val="001B0F56"/>
    <w:rsid w:val="001B1254"/>
    <w:rsid w:val="001B12B4"/>
    <w:rsid w:val="001B12D5"/>
    <w:rsid w:val="001B133D"/>
    <w:rsid w:val="001B135A"/>
    <w:rsid w:val="001B1F59"/>
    <w:rsid w:val="001B248F"/>
    <w:rsid w:val="001B2770"/>
    <w:rsid w:val="001B27DD"/>
    <w:rsid w:val="001B2821"/>
    <w:rsid w:val="001B28F2"/>
    <w:rsid w:val="001B2D26"/>
    <w:rsid w:val="001B2F77"/>
    <w:rsid w:val="001B30D0"/>
    <w:rsid w:val="001B403B"/>
    <w:rsid w:val="001B415D"/>
    <w:rsid w:val="001B4339"/>
    <w:rsid w:val="001B46CE"/>
    <w:rsid w:val="001B4704"/>
    <w:rsid w:val="001B48A9"/>
    <w:rsid w:val="001B49F5"/>
    <w:rsid w:val="001B4A08"/>
    <w:rsid w:val="001B5214"/>
    <w:rsid w:val="001B5394"/>
    <w:rsid w:val="001B53B6"/>
    <w:rsid w:val="001B55BC"/>
    <w:rsid w:val="001B560A"/>
    <w:rsid w:val="001B59A6"/>
    <w:rsid w:val="001B5C5E"/>
    <w:rsid w:val="001B5C71"/>
    <w:rsid w:val="001B5DDF"/>
    <w:rsid w:val="001B5F04"/>
    <w:rsid w:val="001B624B"/>
    <w:rsid w:val="001B64A9"/>
    <w:rsid w:val="001B66AA"/>
    <w:rsid w:val="001B66FA"/>
    <w:rsid w:val="001B701A"/>
    <w:rsid w:val="001B7109"/>
    <w:rsid w:val="001B71AD"/>
    <w:rsid w:val="001B75A6"/>
    <w:rsid w:val="001B7940"/>
    <w:rsid w:val="001B7C8B"/>
    <w:rsid w:val="001B7D8C"/>
    <w:rsid w:val="001B7DFD"/>
    <w:rsid w:val="001B7E60"/>
    <w:rsid w:val="001B7FE4"/>
    <w:rsid w:val="001C04DB"/>
    <w:rsid w:val="001C0C63"/>
    <w:rsid w:val="001C0D2A"/>
    <w:rsid w:val="001C0D5C"/>
    <w:rsid w:val="001C12F5"/>
    <w:rsid w:val="001C1307"/>
    <w:rsid w:val="001C146A"/>
    <w:rsid w:val="001C15D2"/>
    <w:rsid w:val="001C191F"/>
    <w:rsid w:val="001C1990"/>
    <w:rsid w:val="001C1B3E"/>
    <w:rsid w:val="001C1E78"/>
    <w:rsid w:val="001C1EC2"/>
    <w:rsid w:val="001C1EFA"/>
    <w:rsid w:val="001C1F80"/>
    <w:rsid w:val="001C205F"/>
    <w:rsid w:val="001C2605"/>
    <w:rsid w:val="001C291C"/>
    <w:rsid w:val="001C293B"/>
    <w:rsid w:val="001C295D"/>
    <w:rsid w:val="001C2A15"/>
    <w:rsid w:val="001C2C0A"/>
    <w:rsid w:val="001C3092"/>
    <w:rsid w:val="001C3466"/>
    <w:rsid w:val="001C361B"/>
    <w:rsid w:val="001C3829"/>
    <w:rsid w:val="001C3A2F"/>
    <w:rsid w:val="001C3AC5"/>
    <w:rsid w:val="001C3E10"/>
    <w:rsid w:val="001C3EE7"/>
    <w:rsid w:val="001C3FA9"/>
    <w:rsid w:val="001C40AD"/>
    <w:rsid w:val="001C43F3"/>
    <w:rsid w:val="001C48E7"/>
    <w:rsid w:val="001C4A45"/>
    <w:rsid w:val="001C4D95"/>
    <w:rsid w:val="001C4EC9"/>
    <w:rsid w:val="001C52C9"/>
    <w:rsid w:val="001C5374"/>
    <w:rsid w:val="001C57EC"/>
    <w:rsid w:val="001C5C3E"/>
    <w:rsid w:val="001C60B4"/>
    <w:rsid w:val="001C64BC"/>
    <w:rsid w:val="001C6506"/>
    <w:rsid w:val="001C6900"/>
    <w:rsid w:val="001C6E80"/>
    <w:rsid w:val="001C7309"/>
    <w:rsid w:val="001C7510"/>
    <w:rsid w:val="001C7CC5"/>
    <w:rsid w:val="001C7D13"/>
    <w:rsid w:val="001C7F9D"/>
    <w:rsid w:val="001C7FF2"/>
    <w:rsid w:val="001D035F"/>
    <w:rsid w:val="001D06DD"/>
    <w:rsid w:val="001D0776"/>
    <w:rsid w:val="001D07EA"/>
    <w:rsid w:val="001D0B70"/>
    <w:rsid w:val="001D0E86"/>
    <w:rsid w:val="001D1611"/>
    <w:rsid w:val="001D165C"/>
    <w:rsid w:val="001D168B"/>
    <w:rsid w:val="001D2000"/>
    <w:rsid w:val="001D239B"/>
    <w:rsid w:val="001D272F"/>
    <w:rsid w:val="001D2A7D"/>
    <w:rsid w:val="001D2DB3"/>
    <w:rsid w:val="001D387B"/>
    <w:rsid w:val="001D3882"/>
    <w:rsid w:val="001D39A8"/>
    <w:rsid w:val="001D3D87"/>
    <w:rsid w:val="001D3EDB"/>
    <w:rsid w:val="001D471D"/>
    <w:rsid w:val="001D478B"/>
    <w:rsid w:val="001D4894"/>
    <w:rsid w:val="001D4996"/>
    <w:rsid w:val="001D49D2"/>
    <w:rsid w:val="001D4C9C"/>
    <w:rsid w:val="001D4F9C"/>
    <w:rsid w:val="001D50AA"/>
    <w:rsid w:val="001D54D3"/>
    <w:rsid w:val="001D5751"/>
    <w:rsid w:val="001D58A4"/>
    <w:rsid w:val="001D58FD"/>
    <w:rsid w:val="001D59A9"/>
    <w:rsid w:val="001D5B52"/>
    <w:rsid w:val="001D5E01"/>
    <w:rsid w:val="001D6203"/>
    <w:rsid w:val="001D6610"/>
    <w:rsid w:val="001D6651"/>
    <w:rsid w:val="001D679D"/>
    <w:rsid w:val="001D68D0"/>
    <w:rsid w:val="001D6C62"/>
    <w:rsid w:val="001D6E26"/>
    <w:rsid w:val="001D700F"/>
    <w:rsid w:val="001D7070"/>
    <w:rsid w:val="001D7107"/>
    <w:rsid w:val="001D724F"/>
    <w:rsid w:val="001D7569"/>
    <w:rsid w:val="001D7A61"/>
    <w:rsid w:val="001D7C47"/>
    <w:rsid w:val="001D7D28"/>
    <w:rsid w:val="001D7EFE"/>
    <w:rsid w:val="001E0032"/>
    <w:rsid w:val="001E004F"/>
    <w:rsid w:val="001E0702"/>
    <w:rsid w:val="001E09CC"/>
    <w:rsid w:val="001E0F8C"/>
    <w:rsid w:val="001E1047"/>
    <w:rsid w:val="001E114D"/>
    <w:rsid w:val="001E1185"/>
    <w:rsid w:val="001E11E4"/>
    <w:rsid w:val="001E140C"/>
    <w:rsid w:val="001E1479"/>
    <w:rsid w:val="001E15ED"/>
    <w:rsid w:val="001E18CB"/>
    <w:rsid w:val="001E18E8"/>
    <w:rsid w:val="001E1989"/>
    <w:rsid w:val="001E1A1F"/>
    <w:rsid w:val="001E1A48"/>
    <w:rsid w:val="001E1B8C"/>
    <w:rsid w:val="001E20CA"/>
    <w:rsid w:val="001E23E0"/>
    <w:rsid w:val="001E2C1C"/>
    <w:rsid w:val="001E2D26"/>
    <w:rsid w:val="001E2E07"/>
    <w:rsid w:val="001E2E91"/>
    <w:rsid w:val="001E315A"/>
    <w:rsid w:val="001E32F9"/>
    <w:rsid w:val="001E3524"/>
    <w:rsid w:val="001E3680"/>
    <w:rsid w:val="001E3CE4"/>
    <w:rsid w:val="001E3DC6"/>
    <w:rsid w:val="001E476C"/>
    <w:rsid w:val="001E48AA"/>
    <w:rsid w:val="001E4A25"/>
    <w:rsid w:val="001E4E4C"/>
    <w:rsid w:val="001E548E"/>
    <w:rsid w:val="001E54BA"/>
    <w:rsid w:val="001E5519"/>
    <w:rsid w:val="001E5697"/>
    <w:rsid w:val="001E571F"/>
    <w:rsid w:val="001E58CC"/>
    <w:rsid w:val="001E5BAB"/>
    <w:rsid w:val="001E5D85"/>
    <w:rsid w:val="001E603A"/>
    <w:rsid w:val="001E6138"/>
    <w:rsid w:val="001E631E"/>
    <w:rsid w:val="001E6532"/>
    <w:rsid w:val="001E6702"/>
    <w:rsid w:val="001E6AAE"/>
    <w:rsid w:val="001E6B8A"/>
    <w:rsid w:val="001E6C82"/>
    <w:rsid w:val="001E6E16"/>
    <w:rsid w:val="001E70C6"/>
    <w:rsid w:val="001E712D"/>
    <w:rsid w:val="001E745B"/>
    <w:rsid w:val="001E74BA"/>
    <w:rsid w:val="001E7BBB"/>
    <w:rsid w:val="001E7E81"/>
    <w:rsid w:val="001E7ED4"/>
    <w:rsid w:val="001F01DF"/>
    <w:rsid w:val="001F0346"/>
    <w:rsid w:val="001F06C4"/>
    <w:rsid w:val="001F06DE"/>
    <w:rsid w:val="001F0703"/>
    <w:rsid w:val="001F0740"/>
    <w:rsid w:val="001F0881"/>
    <w:rsid w:val="001F08AB"/>
    <w:rsid w:val="001F0900"/>
    <w:rsid w:val="001F09F1"/>
    <w:rsid w:val="001F0B9D"/>
    <w:rsid w:val="001F0D25"/>
    <w:rsid w:val="001F0DF0"/>
    <w:rsid w:val="001F0EB7"/>
    <w:rsid w:val="001F0ECC"/>
    <w:rsid w:val="001F1077"/>
    <w:rsid w:val="001F1436"/>
    <w:rsid w:val="001F1853"/>
    <w:rsid w:val="001F1B5E"/>
    <w:rsid w:val="001F1DB6"/>
    <w:rsid w:val="001F2092"/>
    <w:rsid w:val="001F27ED"/>
    <w:rsid w:val="001F2950"/>
    <w:rsid w:val="001F29D3"/>
    <w:rsid w:val="001F2AF3"/>
    <w:rsid w:val="001F2CAC"/>
    <w:rsid w:val="001F2E08"/>
    <w:rsid w:val="001F2E20"/>
    <w:rsid w:val="001F3150"/>
    <w:rsid w:val="001F3520"/>
    <w:rsid w:val="001F3BD8"/>
    <w:rsid w:val="001F41A3"/>
    <w:rsid w:val="001F421F"/>
    <w:rsid w:val="001F463C"/>
    <w:rsid w:val="001F48DF"/>
    <w:rsid w:val="001F4B7D"/>
    <w:rsid w:val="001F505D"/>
    <w:rsid w:val="001F5099"/>
    <w:rsid w:val="001F50AA"/>
    <w:rsid w:val="001F5391"/>
    <w:rsid w:val="001F5F98"/>
    <w:rsid w:val="001F6031"/>
    <w:rsid w:val="001F6139"/>
    <w:rsid w:val="001F6491"/>
    <w:rsid w:val="001F68CF"/>
    <w:rsid w:val="001F6978"/>
    <w:rsid w:val="001F6A96"/>
    <w:rsid w:val="001F6B3A"/>
    <w:rsid w:val="001F6C45"/>
    <w:rsid w:val="001F76BB"/>
    <w:rsid w:val="001F77A7"/>
    <w:rsid w:val="001F77C9"/>
    <w:rsid w:val="001F7EDF"/>
    <w:rsid w:val="00200166"/>
    <w:rsid w:val="002003D1"/>
    <w:rsid w:val="002004CD"/>
    <w:rsid w:val="002006D9"/>
    <w:rsid w:val="00200C75"/>
    <w:rsid w:val="00200DF4"/>
    <w:rsid w:val="00200E71"/>
    <w:rsid w:val="00200EE2"/>
    <w:rsid w:val="002018FB"/>
    <w:rsid w:val="00201977"/>
    <w:rsid w:val="00201A70"/>
    <w:rsid w:val="00201A81"/>
    <w:rsid w:val="00201AE0"/>
    <w:rsid w:val="00201B2C"/>
    <w:rsid w:val="00201C43"/>
    <w:rsid w:val="00201EEF"/>
    <w:rsid w:val="00202021"/>
    <w:rsid w:val="0020266A"/>
    <w:rsid w:val="0020291E"/>
    <w:rsid w:val="00202922"/>
    <w:rsid w:val="00202AFB"/>
    <w:rsid w:val="00202D76"/>
    <w:rsid w:val="00202E31"/>
    <w:rsid w:val="00203014"/>
    <w:rsid w:val="00203482"/>
    <w:rsid w:val="002036C3"/>
    <w:rsid w:val="00203982"/>
    <w:rsid w:val="00203AF5"/>
    <w:rsid w:val="00203BB5"/>
    <w:rsid w:val="0020401B"/>
    <w:rsid w:val="00204808"/>
    <w:rsid w:val="00204A89"/>
    <w:rsid w:val="00204AA8"/>
    <w:rsid w:val="00204E10"/>
    <w:rsid w:val="00205243"/>
    <w:rsid w:val="002052FB"/>
    <w:rsid w:val="002055E8"/>
    <w:rsid w:val="0020587B"/>
    <w:rsid w:val="0020595D"/>
    <w:rsid w:val="00205BC9"/>
    <w:rsid w:val="00205E23"/>
    <w:rsid w:val="00205E36"/>
    <w:rsid w:val="002063AD"/>
    <w:rsid w:val="002065BB"/>
    <w:rsid w:val="00206AD5"/>
    <w:rsid w:val="00206D0C"/>
    <w:rsid w:val="00206F9C"/>
    <w:rsid w:val="00207003"/>
    <w:rsid w:val="002074C6"/>
    <w:rsid w:val="00207AD5"/>
    <w:rsid w:val="00207CB2"/>
    <w:rsid w:val="00207D0D"/>
    <w:rsid w:val="00207ECE"/>
    <w:rsid w:val="00207FEB"/>
    <w:rsid w:val="00210275"/>
    <w:rsid w:val="0021027E"/>
    <w:rsid w:val="00210620"/>
    <w:rsid w:val="00210697"/>
    <w:rsid w:val="00211092"/>
    <w:rsid w:val="0021120A"/>
    <w:rsid w:val="00211211"/>
    <w:rsid w:val="002116CE"/>
    <w:rsid w:val="002118E5"/>
    <w:rsid w:val="00211A02"/>
    <w:rsid w:val="00211E4A"/>
    <w:rsid w:val="00211F50"/>
    <w:rsid w:val="002123B8"/>
    <w:rsid w:val="00212868"/>
    <w:rsid w:val="00212907"/>
    <w:rsid w:val="00212B1B"/>
    <w:rsid w:val="00212B6D"/>
    <w:rsid w:val="00212FCC"/>
    <w:rsid w:val="0021387F"/>
    <w:rsid w:val="00213C01"/>
    <w:rsid w:val="00213DC4"/>
    <w:rsid w:val="002141AD"/>
    <w:rsid w:val="002143EC"/>
    <w:rsid w:val="00214706"/>
    <w:rsid w:val="00214868"/>
    <w:rsid w:val="00214DCD"/>
    <w:rsid w:val="002156CD"/>
    <w:rsid w:val="00215826"/>
    <w:rsid w:val="00215BEE"/>
    <w:rsid w:val="00215ED7"/>
    <w:rsid w:val="00215F70"/>
    <w:rsid w:val="002163A2"/>
    <w:rsid w:val="00216446"/>
    <w:rsid w:val="00216644"/>
    <w:rsid w:val="0021672A"/>
    <w:rsid w:val="00216737"/>
    <w:rsid w:val="0021687D"/>
    <w:rsid w:val="0021694D"/>
    <w:rsid w:val="00216C15"/>
    <w:rsid w:val="00216CC7"/>
    <w:rsid w:val="00216E5D"/>
    <w:rsid w:val="0021739D"/>
    <w:rsid w:val="00217484"/>
    <w:rsid w:val="0021762D"/>
    <w:rsid w:val="0021782A"/>
    <w:rsid w:val="00217834"/>
    <w:rsid w:val="0021797B"/>
    <w:rsid w:val="00217AA8"/>
    <w:rsid w:val="00217D4A"/>
    <w:rsid w:val="00217F59"/>
    <w:rsid w:val="0022041D"/>
    <w:rsid w:val="00220AF6"/>
    <w:rsid w:val="00220BF5"/>
    <w:rsid w:val="00220E1E"/>
    <w:rsid w:val="00220F29"/>
    <w:rsid w:val="00221305"/>
    <w:rsid w:val="00221920"/>
    <w:rsid w:val="00221A55"/>
    <w:rsid w:val="00221DA1"/>
    <w:rsid w:val="00221E71"/>
    <w:rsid w:val="002221D4"/>
    <w:rsid w:val="00222591"/>
    <w:rsid w:val="002226EA"/>
    <w:rsid w:val="00222A16"/>
    <w:rsid w:val="00222AF7"/>
    <w:rsid w:val="0022301B"/>
    <w:rsid w:val="0022312D"/>
    <w:rsid w:val="00223353"/>
    <w:rsid w:val="0022354E"/>
    <w:rsid w:val="00223676"/>
    <w:rsid w:val="002236D4"/>
    <w:rsid w:val="00223815"/>
    <w:rsid w:val="00223957"/>
    <w:rsid w:val="00223C4F"/>
    <w:rsid w:val="00224262"/>
    <w:rsid w:val="00224273"/>
    <w:rsid w:val="0022438B"/>
    <w:rsid w:val="002245B9"/>
    <w:rsid w:val="002245F8"/>
    <w:rsid w:val="00224773"/>
    <w:rsid w:val="00224AD9"/>
    <w:rsid w:val="00224D86"/>
    <w:rsid w:val="00224E91"/>
    <w:rsid w:val="0022539B"/>
    <w:rsid w:val="00225404"/>
    <w:rsid w:val="0022544D"/>
    <w:rsid w:val="0022591D"/>
    <w:rsid w:val="00225ADA"/>
    <w:rsid w:val="00225CB6"/>
    <w:rsid w:val="00225D12"/>
    <w:rsid w:val="00226029"/>
    <w:rsid w:val="00226309"/>
    <w:rsid w:val="002265D3"/>
    <w:rsid w:val="00226B42"/>
    <w:rsid w:val="00226E10"/>
    <w:rsid w:val="00226F4D"/>
    <w:rsid w:val="00226F6E"/>
    <w:rsid w:val="00227240"/>
    <w:rsid w:val="002273B9"/>
    <w:rsid w:val="002273E7"/>
    <w:rsid w:val="0022740D"/>
    <w:rsid w:val="00227707"/>
    <w:rsid w:val="00227959"/>
    <w:rsid w:val="00227F7D"/>
    <w:rsid w:val="002303A9"/>
    <w:rsid w:val="002304E3"/>
    <w:rsid w:val="002306CF"/>
    <w:rsid w:val="002307AC"/>
    <w:rsid w:val="00230981"/>
    <w:rsid w:val="0023098D"/>
    <w:rsid w:val="00230BA6"/>
    <w:rsid w:val="00230C33"/>
    <w:rsid w:val="00230C70"/>
    <w:rsid w:val="00230D11"/>
    <w:rsid w:val="00230D6F"/>
    <w:rsid w:val="00231348"/>
    <w:rsid w:val="0023187E"/>
    <w:rsid w:val="002318C1"/>
    <w:rsid w:val="00231AD8"/>
    <w:rsid w:val="00231F02"/>
    <w:rsid w:val="00231FDC"/>
    <w:rsid w:val="0023206B"/>
    <w:rsid w:val="00232194"/>
    <w:rsid w:val="0023259D"/>
    <w:rsid w:val="00232AA6"/>
    <w:rsid w:val="00232DC4"/>
    <w:rsid w:val="00232DD2"/>
    <w:rsid w:val="002330A4"/>
    <w:rsid w:val="0023350E"/>
    <w:rsid w:val="0023364E"/>
    <w:rsid w:val="0023369C"/>
    <w:rsid w:val="00233958"/>
    <w:rsid w:val="00233A5F"/>
    <w:rsid w:val="00233B11"/>
    <w:rsid w:val="00233BFB"/>
    <w:rsid w:val="00233C24"/>
    <w:rsid w:val="00233C8E"/>
    <w:rsid w:val="00233CB9"/>
    <w:rsid w:val="00233CEE"/>
    <w:rsid w:val="00233E13"/>
    <w:rsid w:val="002341EA"/>
    <w:rsid w:val="00234381"/>
    <w:rsid w:val="0023461A"/>
    <w:rsid w:val="00234C3D"/>
    <w:rsid w:val="00234C7A"/>
    <w:rsid w:val="00235142"/>
    <w:rsid w:val="00235189"/>
    <w:rsid w:val="0023541A"/>
    <w:rsid w:val="00235629"/>
    <w:rsid w:val="00235AF2"/>
    <w:rsid w:val="00235B98"/>
    <w:rsid w:val="00235BB4"/>
    <w:rsid w:val="002364B1"/>
    <w:rsid w:val="002364E6"/>
    <w:rsid w:val="0023650F"/>
    <w:rsid w:val="002366B4"/>
    <w:rsid w:val="00236790"/>
    <w:rsid w:val="00236B50"/>
    <w:rsid w:val="00236D73"/>
    <w:rsid w:val="00236E13"/>
    <w:rsid w:val="00236EBC"/>
    <w:rsid w:val="0023703A"/>
    <w:rsid w:val="0023709E"/>
    <w:rsid w:val="002370E2"/>
    <w:rsid w:val="002375A5"/>
    <w:rsid w:val="002375BC"/>
    <w:rsid w:val="0023762D"/>
    <w:rsid w:val="002376F3"/>
    <w:rsid w:val="00237A2A"/>
    <w:rsid w:val="00237D21"/>
    <w:rsid w:val="00237F09"/>
    <w:rsid w:val="00237F1F"/>
    <w:rsid w:val="00237FD8"/>
    <w:rsid w:val="00237FD9"/>
    <w:rsid w:val="00240677"/>
    <w:rsid w:val="002408E0"/>
    <w:rsid w:val="00240977"/>
    <w:rsid w:val="00240AE2"/>
    <w:rsid w:val="00240B76"/>
    <w:rsid w:val="00240E34"/>
    <w:rsid w:val="00241156"/>
    <w:rsid w:val="002415BD"/>
    <w:rsid w:val="00241B5F"/>
    <w:rsid w:val="00241BBC"/>
    <w:rsid w:val="002420D3"/>
    <w:rsid w:val="0024214B"/>
    <w:rsid w:val="00242384"/>
    <w:rsid w:val="00242504"/>
    <w:rsid w:val="00242633"/>
    <w:rsid w:val="00242690"/>
    <w:rsid w:val="0024276A"/>
    <w:rsid w:val="002427F9"/>
    <w:rsid w:val="002433C7"/>
    <w:rsid w:val="0024377F"/>
    <w:rsid w:val="002438DB"/>
    <w:rsid w:val="002439A1"/>
    <w:rsid w:val="00243EA4"/>
    <w:rsid w:val="0024406C"/>
    <w:rsid w:val="00244392"/>
    <w:rsid w:val="002443D2"/>
    <w:rsid w:val="0024456E"/>
    <w:rsid w:val="0024474D"/>
    <w:rsid w:val="00244ABD"/>
    <w:rsid w:val="00244EBA"/>
    <w:rsid w:val="00244EFB"/>
    <w:rsid w:val="00245042"/>
    <w:rsid w:val="002454D1"/>
    <w:rsid w:val="002455E3"/>
    <w:rsid w:val="00245CC8"/>
    <w:rsid w:val="00245FB2"/>
    <w:rsid w:val="00245FB6"/>
    <w:rsid w:val="002460B7"/>
    <w:rsid w:val="00246120"/>
    <w:rsid w:val="0024661D"/>
    <w:rsid w:val="00246640"/>
    <w:rsid w:val="0024665C"/>
    <w:rsid w:val="002472B6"/>
    <w:rsid w:val="00247542"/>
    <w:rsid w:val="0024787E"/>
    <w:rsid w:val="00247934"/>
    <w:rsid w:val="0024B7E1"/>
    <w:rsid w:val="002505E5"/>
    <w:rsid w:val="0025064C"/>
    <w:rsid w:val="0025091C"/>
    <w:rsid w:val="00250A79"/>
    <w:rsid w:val="00250E78"/>
    <w:rsid w:val="00250E83"/>
    <w:rsid w:val="00250E8B"/>
    <w:rsid w:val="00251551"/>
    <w:rsid w:val="0025179B"/>
    <w:rsid w:val="00251871"/>
    <w:rsid w:val="00251AC7"/>
    <w:rsid w:val="00251CFA"/>
    <w:rsid w:val="00252129"/>
    <w:rsid w:val="0025229A"/>
    <w:rsid w:val="002524D8"/>
    <w:rsid w:val="00252573"/>
    <w:rsid w:val="002525BB"/>
    <w:rsid w:val="0025292C"/>
    <w:rsid w:val="00252C26"/>
    <w:rsid w:val="00252C3B"/>
    <w:rsid w:val="00252DD3"/>
    <w:rsid w:val="00252E30"/>
    <w:rsid w:val="002530B2"/>
    <w:rsid w:val="0025320A"/>
    <w:rsid w:val="002537CF"/>
    <w:rsid w:val="0025380E"/>
    <w:rsid w:val="00253AA7"/>
    <w:rsid w:val="00253C2E"/>
    <w:rsid w:val="00253D72"/>
    <w:rsid w:val="00253EC4"/>
    <w:rsid w:val="00253FFC"/>
    <w:rsid w:val="00254144"/>
    <w:rsid w:val="002544F4"/>
    <w:rsid w:val="00254619"/>
    <w:rsid w:val="0025461D"/>
    <w:rsid w:val="0025464D"/>
    <w:rsid w:val="0025489C"/>
    <w:rsid w:val="00254F06"/>
    <w:rsid w:val="00255193"/>
    <w:rsid w:val="00255584"/>
    <w:rsid w:val="0025575B"/>
    <w:rsid w:val="00255904"/>
    <w:rsid w:val="00255AA6"/>
    <w:rsid w:val="00255F27"/>
    <w:rsid w:val="00256026"/>
    <w:rsid w:val="00256197"/>
    <w:rsid w:val="0025650F"/>
    <w:rsid w:val="00256516"/>
    <w:rsid w:val="00256638"/>
    <w:rsid w:val="00256727"/>
    <w:rsid w:val="0025688C"/>
    <w:rsid w:val="00256BFD"/>
    <w:rsid w:val="00256C5F"/>
    <w:rsid w:val="00256D2E"/>
    <w:rsid w:val="00256D6F"/>
    <w:rsid w:val="00256DB0"/>
    <w:rsid w:val="0025704D"/>
    <w:rsid w:val="0025714F"/>
    <w:rsid w:val="00257279"/>
    <w:rsid w:val="0025759A"/>
    <w:rsid w:val="00257858"/>
    <w:rsid w:val="00257894"/>
    <w:rsid w:val="00257ACF"/>
    <w:rsid w:val="00257D3A"/>
    <w:rsid w:val="00260226"/>
    <w:rsid w:val="002602A2"/>
    <w:rsid w:val="002604E3"/>
    <w:rsid w:val="0026081B"/>
    <w:rsid w:val="00261279"/>
    <w:rsid w:val="002613EC"/>
    <w:rsid w:val="00261BB3"/>
    <w:rsid w:val="00262238"/>
    <w:rsid w:val="00262270"/>
    <w:rsid w:val="002622B5"/>
    <w:rsid w:val="002622E9"/>
    <w:rsid w:val="002622F1"/>
    <w:rsid w:val="00262303"/>
    <w:rsid w:val="00262337"/>
    <w:rsid w:val="00262840"/>
    <w:rsid w:val="0026286F"/>
    <w:rsid w:val="00262B27"/>
    <w:rsid w:val="0026318E"/>
    <w:rsid w:val="00263315"/>
    <w:rsid w:val="002635C6"/>
    <w:rsid w:val="0026399D"/>
    <w:rsid w:val="002641AD"/>
    <w:rsid w:val="00264432"/>
    <w:rsid w:val="002644CD"/>
    <w:rsid w:val="00264627"/>
    <w:rsid w:val="00264B9D"/>
    <w:rsid w:val="00264DBF"/>
    <w:rsid w:val="00265201"/>
    <w:rsid w:val="0026554C"/>
    <w:rsid w:val="0026561A"/>
    <w:rsid w:val="002657E2"/>
    <w:rsid w:val="00265801"/>
    <w:rsid w:val="00265E5D"/>
    <w:rsid w:val="002660A8"/>
    <w:rsid w:val="0026672F"/>
    <w:rsid w:val="00266888"/>
    <w:rsid w:val="00266BFB"/>
    <w:rsid w:val="00266E8B"/>
    <w:rsid w:val="00266FB9"/>
    <w:rsid w:val="00267155"/>
    <w:rsid w:val="002671F4"/>
    <w:rsid w:val="0026797F"/>
    <w:rsid w:val="00267CEA"/>
    <w:rsid w:val="00267DB7"/>
    <w:rsid w:val="00267F15"/>
    <w:rsid w:val="002700D6"/>
    <w:rsid w:val="00270302"/>
    <w:rsid w:val="0027035C"/>
    <w:rsid w:val="00270902"/>
    <w:rsid w:val="00270A24"/>
    <w:rsid w:val="00270BCD"/>
    <w:rsid w:val="00270CF9"/>
    <w:rsid w:val="00270DCC"/>
    <w:rsid w:val="00270FA3"/>
    <w:rsid w:val="00271043"/>
    <w:rsid w:val="0027123E"/>
    <w:rsid w:val="0027156F"/>
    <w:rsid w:val="00271584"/>
    <w:rsid w:val="00271A64"/>
    <w:rsid w:val="00271B45"/>
    <w:rsid w:val="00271E1E"/>
    <w:rsid w:val="00271EE9"/>
    <w:rsid w:val="002720D2"/>
    <w:rsid w:val="0027211A"/>
    <w:rsid w:val="00272308"/>
    <w:rsid w:val="002723A6"/>
    <w:rsid w:val="0027243F"/>
    <w:rsid w:val="002725C6"/>
    <w:rsid w:val="0027299E"/>
    <w:rsid w:val="00272AB2"/>
    <w:rsid w:val="00272F53"/>
    <w:rsid w:val="00272F6A"/>
    <w:rsid w:val="002733BD"/>
    <w:rsid w:val="0027356E"/>
    <w:rsid w:val="002736E3"/>
    <w:rsid w:val="00273B71"/>
    <w:rsid w:val="00273C3A"/>
    <w:rsid w:val="00273D24"/>
    <w:rsid w:val="00273D31"/>
    <w:rsid w:val="00273F18"/>
    <w:rsid w:val="00273F3F"/>
    <w:rsid w:val="00274477"/>
    <w:rsid w:val="00274694"/>
    <w:rsid w:val="00274833"/>
    <w:rsid w:val="00274959"/>
    <w:rsid w:val="00274981"/>
    <w:rsid w:val="002749B5"/>
    <w:rsid w:val="00274A3B"/>
    <w:rsid w:val="00274EA1"/>
    <w:rsid w:val="00275010"/>
    <w:rsid w:val="002751B9"/>
    <w:rsid w:val="00275339"/>
    <w:rsid w:val="00275438"/>
    <w:rsid w:val="00275495"/>
    <w:rsid w:val="00275553"/>
    <w:rsid w:val="002759FE"/>
    <w:rsid w:val="00275C1B"/>
    <w:rsid w:val="00275E58"/>
    <w:rsid w:val="00276299"/>
    <w:rsid w:val="0027642F"/>
    <w:rsid w:val="0027673C"/>
    <w:rsid w:val="002767D9"/>
    <w:rsid w:val="002769A1"/>
    <w:rsid w:val="00276AC4"/>
    <w:rsid w:val="00276B93"/>
    <w:rsid w:val="00276EB2"/>
    <w:rsid w:val="00276F3B"/>
    <w:rsid w:val="00276F61"/>
    <w:rsid w:val="0027713F"/>
    <w:rsid w:val="0027751B"/>
    <w:rsid w:val="002775CB"/>
    <w:rsid w:val="002778AD"/>
    <w:rsid w:val="0027794F"/>
    <w:rsid w:val="00277C28"/>
    <w:rsid w:val="00277C42"/>
    <w:rsid w:val="00277DF3"/>
    <w:rsid w:val="00277F6E"/>
    <w:rsid w:val="00277FE1"/>
    <w:rsid w:val="00280480"/>
    <w:rsid w:val="002806BD"/>
    <w:rsid w:val="002808F4"/>
    <w:rsid w:val="00280A8B"/>
    <w:rsid w:val="00280B75"/>
    <w:rsid w:val="00280C1F"/>
    <w:rsid w:val="00280E6D"/>
    <w:rsid w:val="002811D4"/>
    <w:rsid w:val="0028126B"/>
    <w:rsid w:val="0028126E"/>
    <w:rsid w:val="0028155D"/>
    <w:rsid w:val="002818E4"/>
    <w:rsid w:val="0028194B"/>
    <w:rsid w:val="00281A6F"/>
    <w:rsid w:val="00281AC2"/>
    <w:rsid w:val="00281E83"/>
    <w:rsid w:val="00282623"/>
    <w:rsid w:val="002829BA"/>
    <w:rsid w:val="00282BDF"/>
    <w:rsid w:val="00282C92"/>
    <w:rsid w:val="00282DE1"/>
    <w:rsid w:val="00282F8F"/>
    <w:rsid w:val="00283181"/>
    <w:rsid w:val="0028335A"/>
    <w:rsid w:val="002833F5"/>
    <w:rsid w:val="002835FB"/>
    <w:rsid w:val="00283B30"/>
    <w:rsid w:val="00284463"/>
    <w:rsid w:val="002844F5"/>
    <w:rsid w:val="002846EA"/>
    <w:rsid w:val="00284AA4"/>
    <w:rsid w:val="00284B9F"/>
    <w:rsid w:val="00284CBB"/>
    <w:rsid w:val="00284E0A"/>
    <w:rsid w:val="0028508A"/>
    <w:rsid w:val="0028510E"/>
    <w:rsid w:val="00285154"/>
    <w:rsid w:val="002852B1"/>
    <w:rsid w:val="0028535F"/>
    <w:rsid w:val="00285429"/>
    <w:rsid w:val="002858E5"/>
    <w:rsid w:val="00285AA9"/>
    <w:rsid w:val="00285AFA"/>
    <w:rsid w:val="00285BC5"/>
    <w:rsid w:val="00285C77"/>
    <w:rsid w:val="00285D93"/>
    <w:rsid w:val="00285E73"/>
    <w:rsid w:val="002860A3"/>
    <w:rsid w:val="00286237"/>
    <w:rsid w:val="00286495"/>
    <w:rsid w:val="0028683B"/>
    <w:rsid w:val="00286D23"/>
    <w:rsid w:val="00286D86"/>
    <w:rsid w:val="00286E75"/>
    <w:rsid w:val="00286F1E"/>
    <w:rsid w:val="00287126"/>
    <w:rsid w:val="0028716A"/>
    <w:rsid w:val="00287292"/>
    <w:rsid w:val="002872D5"/>
    <w:rsid w:val="002872E3"/>
    <w:rsid w:val="0028758C"/>
    <w:rsid w:val="0028781C"/>
    <w:rsid w:val="0029029A"/>
    <w:rsid w:val="00290BF8"/>
    <w:rsid w:val="00290DA6"/>
    <w:rsid w:val="00290E3D"/>
    <w:rsid w:val="00290ECC"/>
    <w:rsid w:val="00291341"/>
    <w:rsid w:val="00291507"/>
    <w:rsid w:val="00291550"/>
    <w:rsid w:val="002915CB"/>
    <w:rsid w:val="00291614"/>
    <w:rsid w:val="002916A1"/>
    <w:rsid w:val="00291791"/>
    <w:rsid w:val="00291AAD"/>
    <w:rsid w:val="00291CF4"/>
    <w:rsid w:val="00291F1E"/>
    <w:rsid w:val="00291F44"/>
    <w:rsid w:val="0029218A"/>
    <w:rsid w:val="002923F1"/>
    <w:rsid w:val="002923F7"/>
    <w:rsid w:val="002924AE"/>
    <w:rsid w:val="0029262D"/>
    <w:rsid w:val="002926EC"/>
    <w:rsid w:val="002927DA"/>
    <w:rsid w:val="00292C4C"/>
    <w:rsid w:val="00292E5A"/>
    <w:rsid w:val="00292F44"/>
    <w:rsid w:val="00293107"/>
    <w:rsid w:val="00293250"/>
    <w:rsid w:val="002936BA"/>
    <w:rsid w:val="00293701"/>
    <w:rsid w:val="00293968"/>
    <w:rsid w:val="00293AB1"/>
    <w:rsid w:val="00293D79"/>
    <w:rsid w:val="00293D8B"/>
    <w:rsid w:val="00294116"/>
    <w:rsid w:val="00294443"/>
    <w:rsid w:val="002947F3"/>
    <w:rsid w:val="0029488A"/>
    <w:rsid w:val="002949FC"/>
    <w:rsid w:val="00294ADC"/>
    <w:rsid w:val="00294EBE"/>
    <w:rsid w:val="0029514E"/>
    <w:rsid w:val="00295200"/>
    <w:rsid w:val="0029525B"/>
    <w:rsid w:val="0029554B"/>
    <w:rsid w:val="00295564"/>
    <w:rsid w:val="002957DC"/>
    <w:rsid w:val="00295812"/>
    <w:rsid w:val="00295AFD"/>
    <w:rsid w:val="00295B6B"/>
    <w:rsid w:val="00296090"/>
    <w:rsid w:val="00296172"/>
    <w:rsid w:val="00296259"/>
    <w:rsid w:val="002962D4"/>
    <w:rsid w:val="00296364"/>
    <w:rsid w:val="002964DD"/>
    <w:rsid w:val="00296A1F"/>
    <w:rsid w:val="00296A50"/>
    <w:rsid w:val="00296FAB"/>
    <w:rsid w:val="00296FAE"/>
    <w:rsid w:val="00297002"/>
    <w:rsid w:val="00297107"/>
    <w:rsid w:val="002973A0"/>
    <w:rsid w:val="002976E2"/>
    <w:rsid w:val="002979D4"/>
    <w:rsid w:val="00297DC9"/>
    <w:rsid w:val="00297E61"/>
    <w:rsid w:val="00297EA9"/>
    <w:rsid w:val="002A0048"/>
    <w:rsid w:val="002A00F2"/>
    <w:rsid w:val="002A01F0"/>
    <w:rsid w:val="002A053F"/>
    <w:rsid w:val="002A05CA"/>
    <w:rsid w:val="002A0717"/>
    <w:rsid w:val="002A0944"/>
    <w:rsid w:val="002A1077"/>
    <w:rsid w:val="002A11BE"/>
    <w:rsid w:val="002A1212"/>
    <w:rsid w:val="002A1371"/>
    <w:rsid w:val="002A137F"/>
    <w:rsid w:val="002A1744"/>
    <w:rsid w:val="002A1A3A"/>
    <w:rsid w:val="002A1B3C"/>
    <w:rsid w:val="002A1D03"/>
    <w:rsid w:val="002A2023"/>
    <w:rsid w:val="002A271B"/>
    <w:rsid w:val="002A285A"/>
    <w:rsid w:val="002A295D"/>
    <w:rsid w:val="002A2A44"/>
    <w:rsid w:val="002A2AD3"/>
    <w:rsid w:val="002A2E16"/>
    <w:rsid w:val="002A2FF6"/>
    <w:rsid w:val="002A30A2"/>
    <w:rsid w:val="002A3109"/>
    <w:rsid w:val="002A32EA"/>
    <w:rsid w:val="002A3429"/>
    <w:rsid w:val="002A34B8"/>
    <w:rsid w:val="002A3B4D"/>
    <w:rsid w:val="002A3BC4"/>
    <w:rsid w:val="002A3BC6"/>
    <w:rsid w:val="002A3DBF"/>
    <w:rsid w:val="002A3EFA"/>
    <w:rsid w:val="002A3F4B"/>
    <w:rsid w:val="002A429A"/>
    <w:rsid w:val="002A43E4"/>
    <w:rsid w:val="002A46F5"/>
    <w:rsid w:val="002A4782"/>
    <w:rsid w:val="002A4A95"/>
    <w:rsid w:val="002A4B1F"/>
    <w:rsid w:val="002A4E02"/>
    <w:rsid w:val="002A4FAF"/>
    <w:rsid w:val="002A5051"/>
    <w:rsid w:val="002A50DC"/>
    <w:rsid w:val="002A54A2"/>
    <w:rsid w:val="002A5538"/>
    <w:rsid w:val="002A56DE"/>
    <w:rsid w:val="002A5B9B"/>
    <w:rsid w:val="002A5D54"/>
    <w:rsid w:val="002A5DAB"/>
    <w:rsid w:val="002A5E13"/>
    <w:rsid w:val="002A5E15"/>
    <w:rsid w:val="002A5F88"/>
    <w:rsid w:val="002A60B5"/>
    <w:rsid w:val="002A6291"/>
    <w:rsid w:val="002A6474"/>
    <w:rsid w:val="002A6551"/>
    <w:rsid w:val="002A665B"/>
    <w:rsid w:val="002A6738"/>
    <w:rsid w:val="002A6A56"/>
    <w:rsid w:val="002A6B9A"/>
    <w:rsid w:val="002A6D85"/>
    <w:rsid w:val="002A6E15"/>
    <w:rsid w:val="002A71B3"/>
    <w:rsid w:val="002A75B1"/>
    <w:rsid w:val="002A7BFB"/>
    <w:rsid w:val="002A7C28"/>
    <w:rsid w:val="002A7EA6"/>
    <w:rsid w:val="002A7FD6"/>
    <w:rsid w:val="002B0071"/>
    <w:rsid w:val="002B007B"/>
    <w:rsid w:val="002B0770"/>
    <w:rsid w:val="002B0919"/>
    <w:rsid w:val="002B0BDB"/>
    <w:rsid w:val="002B0E86"/>
    <w:rsid w:val="002B0F22"/>
    <w:rsid w:val="002B110D"/>
    <w:rsid w:val="002B1184"/>
    <w:rsid w:val="002B1588"/>
    <w:rsid w:val="002B15E3"/>
    <w:rsid w:val="002B1B2F"/>
    <w:rsid w:val="002B1D03"/>
    <w:rsid w:val="002B1F82"/>
    <w:rsid w:val="002B236C"/>
    <w:rsid w:val="002B24A0"/>
    <w:rsid w:val="002B2676"/>
    <w:rsid w:val="002B2828"/>
    <w:rsid w:val="002B2CFD"/>
    <w:rsid w:val="002B2D7F"/>
    <w:rsid w:val="002B2D86"/>
    <w:rsid w:val="002B2DE9"/>
    <w:rsid w:val="002B2E02"/>
    <w:rsid w:val="002B2EEA"/>
    <w:rsid w:val="002B2FB7"/>
    <w:rsid w:val="002B3456"/>
    <w:rsid w:val="002B35FF"/>
    <w:rsid w:val="002B373D"/>
    <w:rsid w:val="002B38F3"/>
    <w:rsid w:val="002B3BD0"/>
    <w:rsid w:val="002B3D7C"/>
    <w:rsid w:val="002B41C1"/>
    <w:rsid w:val="002B43FF"/>
    <w:rsid w:val="002B44D1"/>
    <w:rsid w:val="002B4789"/>
    <w:rsid w:val="002B4833"/>
    <w:rsid w:val="002B4966"/>
    <w:rsid w:val="002B49B4"/>
    <w:rsid w:val="002B4AA1"/>
    <w:rsid w:val="002B4C6C"/>
    <w:rsid w:val="002B4DC0"/>
    <w:rsid w:val="002B511C"/>
    <w:rsid w:val="002B5342"/>
    <w:rsid w:val="002B5482"/>
    <w:rsid w:val="002B55BA"/>
    <w:rsid w:val="002B5BBC"/>
    <w:rsid w:val="002B60A4"/>
    <w:rsid w:val="002B6199"/>
    <w:rsid w:val="002B63C5"/>
    <w:rsid w:val="002B657E"/>
    <w:rsid w:val="002B67F7"/>
    <w:rsid w:val="002B6CE4"/>
    <w:rsid w:val="002B6F6D"/>
    <w:rsid w:val="002B7079"/>
    <w:rsid w:val="002B7083"/>
    <w:rsid w:val="002B70B7"/>
    <w:rsid w:val="002B74FB"/>
    <w:rsid w:val="002B7753"/>
    <w:rsid w:val="002B7897"/>
    <w:rsid w:val="002B78C2"/>
    <w:rsid w:val="002B7BA3"/>
    <w:rsid w:val="002B7CE0"/>
    <w:rsid w:val="002B7DA4"/>
    <w:rsid w:val="002B7E18"/>
    <w:rsid w:val="002B7E77"/>
    <w:rsid w:val="002B7E88"/>
    <w:rsid w:val="002B7EA6"/>
    <w:rsid w:val="002B7EAB"/>
    <w:rsid w:val="002C0354"/>
    <w:rsid w:val="002C0521"/>
    <w:rsid w:val="002C0564"/>
    <w:rsid w:val="002C06F4"/>
    <w:rsid w:val="002C09E4"/>
    <w:rsid w:val="002C0B93"/>
    <w:rsid w:val="002C0D0D"/>
    <w:rsid w:val="002C0D8B"/>
    <w:rsid w:val="002C0D90"/>
    <w:rsid w:val="002C0FEC"/>
    <w:rsid w:val="002C10D2"/>
    <w:rsid w:val="002C1328"/>
    <w:rsid w:val="002C1576"/>
    <w:rsid w:val="002C177A"/>
    <w:rsid w:val="002C1787"/>
    <w:rsid w:val="002C17D9"/>
    <w:rsid w:val="002C17E6"/>
    <w:rsid w:val="002C1829"/>
    <w:rsid w:val="002C1876"/>
    <w:rsid w:val="002C188F"/>
    <w:rsid w:val="002C19F9"/>
    <w:rsid w:val="002C1CB5"/>
    <w:rsid w:val="002C1CFA"/>
    <w:rsid w:val="002C1EA5"/>
    <w:rsid w:val="002C1FDE"/>
    <w:rsid w:val="002C2616"/>
    <w:rsid w:val="002C2781"/>
    <w:rsid w:val="002C28F7"/>
    <w:rsid w:val="002C293C"/>
    <w:rsid w:val="002C2A18"/>
    <w:rsid w:val="002C2CAF"/>
    <w:rsid w:val="002C2DC4"/>
    <w:rsid w:val="002C33C5"/>
    <w:rsid w:val="002C34F9"/>
    <w:rsid w:val="002C37F8"/>
    <w:rsid w:val="002C3875"/>
    <w:rsid w:val="002C3AFC"/>
    <w:rsid w:val="002C3B4A"/>
    <w:rsid w:val="002C3B90"/>
    <w:rsid w:val="002C3BAC"/>
    <w:rsid w:val="002C427B"/>
    <w:rsid w:val="002C4496"/>
    <w:rsid w:val="002C454A"/>
    <w:rsid w:val="002C5558"/>
    <w:rsid w:val="002C55EF"/>
    <w:rsid w:val="002C5826"/>
    <w:rsid w:val="002C58C2"/>
    <w:rsid w:val="002C5CF7"/>
    <w:rsid w:val="002C60D5"/>
    <w:rsid w:val="002C640D"/>
    <w:rsid w:val="002C6508"/>
    <w:rsid w:val="002C653E"/>
    <w:rsid w:val="002C6681"/>
    <w:rsid w:val="002C6BD9"/>
    <w:rsid w:val="002C6CAB"/>
    <w:rsid w:val="002C6E9E"/>
    <w:rsid w:val="002C6EE9"/>
    <w:rsid w:val="002C6FA2"/>
    <w:rsid w:val="002C702A"/>
    <w:rsid w:val="002C73CC"/>
    <w:rsid w:val="002C754F"/>
    <w:rsid w:val="002C7825"/>
    <w:rsid w:val="002C7971"/>
    <w:rsid w:val="002C79E9"/>
    <w:rsid w:val="002C7DA7"/>
    <w:rsid w:val="002C7FBF"/>
    <w:rsid w:val="002D0082"/>
    <w:rsid w:val="002D01DC"/>
    <w:rsid w:val="002D03DF"/>
    <w:rsid w:val="002D08E1"/>
    <w:rsid w:val="002D0DAF"/>
    <w:rsid w:val="002D0E11"/>
    <w:rsid w:val="002D0E97"/>
    <w:rsid w:val="002D0F90"/>
    <w:rsid w:val="002D1012"/>
    <w:rsid w:val="002D118B"/>
    <w:rsid w:val="002D129B"/>
    <w:rsid w:val="002D18F3"/>
    <w:rsid w:val="002D1A07"/>
    <w:rsid w:val="002D1A26"/>
    <w:rsid w:val="002D1A8D"/>
    <w:rsid w:val="002D1A96"/>
    <w:rsid w:val="002D1ABF"/>
    <w:rsid w:val="002D1BC9"/>
    <w:rsid w:val="002D1C11"/>
    <w:rsid w:val="002D1C84"/>
    <w:rsid w:val="002D1EAA"/>
    <w:rsid w:val="002D27C1"/>
    <w:rsid w:val="002D2910"/>
    <w:rsid w:val="002D2BB3"/>
    <w:rsid w:val="002D2C5E"/>
    <w:rsid w:val="002D2DA1"/>
    <w:rsid w:val="002D2DC1"/>
    <w:rsid w:val="002D304B"/>
    <w:rsid w:val="002D3084"/>
    <w:rsid w:val="002D30B2"/>
    <w:rsid w:val="002D315E"/>
    <w:rsid w:val="002D33DA"/>
    <w:rsid w:val="002D39A0"/>
    <w:rsid w:val="002D39CA"/>
    <w:rsid w:val="002D39F7"/>
    <w:rsid w:val="002D3D33"/>
    <w:rsid w:val="002D4093"/>
    <w:rsid w:val="002D4170"/>
    <w:rsid w:val="002D41A9"/>
    <w:rsid w:val="002D4314"/>
    <w:rsid w:val="002D44DF"/>
    <w:rsid w:val="002D4749"/>
    <w:rsid w:val="002D4A1C"/>
    <w:rsid w:val="002D5140"/>
    <w:rsid w:val="002D5205"/>
    <w:rsid w:val="002D58A6"/>
    <w:rsid w:val="002D5AEC"/>
    <w:rsid w:val="002D5CD0"/>
    <w:rsid w:val="002D5D10"/>
    <w:rsid w:val="002D6011"/>
    <w:rsid w:val="002D612A"/>
    <w:rsid w:val="002D647A"/>
    <w:rsid w:val="002D66D5"/>
    <w:rsid w:val="002D67FC"/>
    <w:rsid w:val="002D6886"/>
    <w:rsid w:val="002D6D29"/>
    <w:rsid w:val="002D6F2D"/>
    <w:rsid w:val="002D70FA"/>
    <w:rsid w:val="002D7179"/>
    <w:rsid w:val="002D71C4"/>
    <w:rsid w:val="002D778D"/>
    <w:rsid w:val="002D799A"/>
    <w:rsid w:val="002D7A01"/>
    <w:rsid w:val="002D7C68"/>
    <w:rsid w:val="002D7C7C"/>
    <w:rsid w:val="002D7F4F"/>
    <w:rsid w:val="002E03A1"/>
    <w:rsid w:val="002E07A5"/>
    <w:rsid w:val="002E07E5"/>
    <w:rsid w:val="002E07FE"/>
    <w:rsid w:val="002E0982"/>
    <w:rsid w:val="002E0985"/>
    <w:rsid w:val="002E0C1A"/>
    <w:rsid w:val="002E0DCE"/>
    <w:rsid w:val="002E11A0"/>
    <w:rsid w:val="002E1210"/>
    <w:rsid w:val="002E1298"/>
    <w:rsid w:val="002E12A4"/>
    <w:rsid w:val="002E13F8"/>
    <w:rsid w:val="002E154C"/>
    <w:rsid w:val="002E1634"/>
    <w:rsid w:val="002E17B4"/>
    <w:rsid w:val="002E1981"/>
    <w:rsid w:val="002E2353"/>
    <w:rsid w:val="002E2F4D"/>
    <w:rsid w:val="002E3449"/>
    <w:rsid w:val="002E3458"/>
    <w:rsid w:val="002E3588"/>
    <w:rsid w:val="002E3EAA"/>
    <w:rsid w:val="002E3F06"/>
    <w:rsid w:val="002E4319"/>
    <w:rsid w:val="002E4329"/>
    <w:rsid w:val="002E4471"/>
    <w:rsid w:val="002E46A7"/>
    <w:rsid w:val="002E4C1C"/>
    <w:rsid w:val="002E4C5A"/>
    <w:rsid w:val="002E4CC2"/>
    <w:rsid w:val="002E4E4C"/>
    <w:rsid w:val="002E4EE8"/>
    <w:rsid w:val="002E4F15"/>
    <w:rsid w:val="002E5068"/>
    <w:rsid w:val="002E5079"/>
    <w:rsid w:val="002E516B"/>
    <w:rsid w:val="002E543B"/>
    <w:rsid w:val="002E54ED"/>
    <w:rsid w:val="002E5A21"/>
    <w:rsid w:val="002E5C81"/>
    <w:rsid w:val="002E5E3E"/>
    <w:rsid w:val="002E5E8A"/>
    <w:rsid w:val="002E6390"/>
    <w:rsid w:val="002E6509"/>
    <w:rsid w:val="002E6542"/>
    <w:rsid w:val="002E66CA"/>
    <w:rsid w:val="002E6B11"/>
    <w:rsid w:val="002E6FFF"/>
    <w:rsid w:val="002E7702"/>
    <w:rsid w:val="002E7D07"/>
    <w:rsid w:val="002E7E4B"/>
    <w:rsid w:val="002E7EB0"/>
    <w:rsid w:val="002F013A"/>
    <w:rsid w:val="002F016C"/>
    <w:rsid w:val="002F02D0"/>
    <w:rsid w:val="002F076B"/>
    <w:rsid w:val="002F07A9"/>
    <w:rsid w:val="002F0B4A"/>
    <w:rsid w:val="002F0DD8"/>
    <w:rsid w:val="002F0DF5"/>
    <w:rsid w:val="002F0E6C"/>
    <w:rsid w:val="002F0E99"/>
    <w:rsid w:val="002F0EA9"/>
    <w:rsid w:val="002F140C"/>
    <w:rsid w:val="002F16DF"/>
    <w:rsid w:val="002F1834"/>
    <w:rsid w:val="002F1986"/>
    <w:rsid w:val="002F1B1B"/>
    <w:rsid w:val="002F1BA2"/>
    <w:rsid w:val="002F1BBB"/>
    <w:rsid w:val="002F1D8E"/>
    <w:rsid w:val="002F1E7E"/>
    <w:rsid w:val="002F1FF6"/>
    <w:rsid w:val="002F234E"/>
    <w:rsid w:val="002F23DA"/>
    <w:rsid w:val="002F267C"/>
    <w:rsid w:val="002F2752"/>
    <w:rsid w:val="002F2977"/>
    <w:rsid w:val="002F29DD"/>
    <w:rsid w:val="002F2A1A"/>
    <w:rsid w:val="002F2F74"/>
    <w:rsid w:val="002F3438"/>
    <w:rsid w:val="002F35FC"/>
    <w:rsid w:val="002F3A7A"/>
    <w:rsid w:val="002F3C0C"/>
    <w:rsid w:val="002F3C2B"/>
    <w:rsid w:val="002F3C7D"/>
    <w:rsid w:val="002F3DCA"/>
    <w:rsid w:val="002F438C"/>
    <w:rsid w:val="002F43F9"/>
    <w:rsid w:val="002F4A64"/>
    <w:rsid w:val="002F4BEC"/>
    <w:rsid w:val="002F4DD0"/>
    <w:rsid w:val="002F4DDB"/>
    <w:rsid w:val="002F4FB9"/>
    <w:rsid w:val="002F52D8"/>
    <w:rsid w:val="002F5570"/>
    <w:rsid w:val="002F59D6"/>
    <w:rsid w:val="002F5AAB"/>
    <w:rsid w:val="002F5C34"/>
    <w:rsid w:val="002F5ED5"/>
    <w:rsid w:val="002F619F"/>
    <w:rsid w:val="002F6200"/>
    <w:rsid w:val="002F64B5"/>
    <w:rsid w:val="002F66C4"/>
    <w:rsid w:val="002F68D1"/>
    <w:rsid w:val="002F6A28"/>
    <w:rsid w:val="002F6EA0"/>
    <w:rsid w:val="002F7896"/>
    <w:rsid w:val="002F7F60"/>
    <w:rsid w:val="003003FB"/>
    <w:rsid w:val="00300EB7"/>
    <w:rsid w:val="0030169B"/>
    <w:rsid w:val="00301733"/>
    <w:rsid w:val="00301799"/>
    <w:rsid w:val="00301983"/>
    <w:rsid w:val="00301ADB"/>
    <w:rsid w:val="00301BEB"/>
    <w:rsid w:val="00301CFD"/>
    <w:rsid w:val="00301E6B"/>
    <w:rsid w:val="003020AB"/>
    <w:rsid w:val="003027F7"/>
    <w:rsid w:val="00302ACF"/>
    <w:rsid w:val="00302C07"/>
    <w:rsid w:val="00302C66"/>
    <w:rsid w:val="00302DDA"/>
    <w:rsid w:val="00302E97"/>
    <w:rsid w:val="0030302B"/>
    <w:rsid w:val="00303156"/>
    <w:rsid w:val="00303251"/>
    <w:rsid w:val="00303548"/>
    <w:rsid w:val="003035F8"/>
    <w:rsid w:val="003036A9"/>
    <w:rsid w:val="0030388A"/>
    <w:rsid w:val="00303909"/>
    <w:rsid w:val="00303CF8"/>
    <w:rsid w:val="0030423D"/>
    <w:rsid w:val="00304583"/>
    <w:rsid w:val="0030464C"/>
    <w:rsid w:val="0030496F"/>
    <w:rsid w:val="00304C99"/>
    <w:rsid w:val="00304EFE"/>
    <w:rsid w:val="00305821"/>
    <w:rsid w:val="00305920"/>
    <w:rsid w:val="00305926"/>
    <w:rsid w:val="00305947"/>
    <w:rsid w:val="0030598D"/>
    <w:rsid w:val="00305ADD"/>
    <w:rsid w:val="00305E1A"/>
    <w:rsid w:val="00305E5B"/>
    <w:rsid w:val="00306087"/>
    <w:rsid w:val="00306397"/>
    <w:rsid w:val="00306402"/>
    <w:rsid w:val="0030674C"/>
    <w:rsid w:val="00306862"/>
    <w:rsid w:val="00306BA6"/>
    <w:rsid w:val="00306E02"/>
    <w:rsid w:val="00307040"/>
    <w:rsid w:val="00307259"/>
    <w:rsid w:val="00307308"/>
    <w:rsid w:val="0030738C"/>
    <w:rsid w:val="003076AB"/>
    <w:rsid w:val="003076CD"/>
    <w:rsid w:val="003079F4"/>
    <w:rsid w:val="00307E64"/>
    <w:rsid w:val="00307ED0"/>
    <w:rsid w:val="00307EFE"/>
    <w:rsid w:val="00310256"/>
    <w:rsid w:val="00310343"/>
    <w:rsid w:val="003103D0"/>
    <w:rsid w:val="00310650"/>
    <w:rsid w:val="003106A4"/>
    <w:rsid w:val="003108AD"/>
    <w:rsid w:val="00310A2D"/>
    <w:rsid w:val="003111EF"/>
    <w:rsid w:val="003114E4"/>
    <w:rsid w:val="00311AAD"/>
    <w:rsid w:val="00311ABF"/>
    <w:rsid w:val="00311E0C"/>
    <w:rsid w:val="00312182"/>
    <w:rsid w:val="0031236D"/>
    <w:rsid w:val="003123FE"/>
    <w:rsid w:val="003125A9"/>
    <w:rsid w:val="0031281E"/>
    <w:rsid w:val="00312E0B"/>
    <w:rsid w:val="00312F20"/>
    <w:rsid w:val="0031322B"/>
    <w:rsid w:val="003134C6"/>
    <w:rsid w:val="0031352A"/>
    <w:rsid w:val="00313680"/>
    <w:rsid w:val="00313D42"/>
    <w:rsid w:val="003141A2"/>
    <w:rsid w:val="003144AF"/>
    <w:rsid w:val="0031476B"/>
    <w:rsid w:val="00314ABB"/>
    <w:rsid w:val="00314CA0"/>
    <w:rsid w:val="00314E64"/>
    <w:rsid w:val="00315087"/>
    <w:rsid w:val="0031524D"/>
    <w:rsid w:val="003152AD"/>
    <w:rsid w:val="00315B4D"/>
    <w:rsid w:val="00315D06"/>
    <w:rsid w:val="00315ED9"/>
    <w:rsid w:val="00316568"/>
    <w:rsid w:val="00316A3F"/>
    <w:rsid w:val="00316ACB"/>
    <w:rsid w:val="00316BEA"/>
    <w:rsid w:val="00316C5F"/>
    <w:rsid w:val="003171EB"/>
    <w:rsid w:val="003174A9"/>
    <w:rsid w:val="00317536"/>
    <w:rsid w:val="0031760D"/>
    <w:rsid w:val="00317632"/>
    <w:rsid w:val="00317817"/>
    <w:rsid w:val="00317D0D"/>
    <w:rsid w:val="00317E39"/>
    <w:rsid w:val="003203CE"/>
    <w:rsid w:val="00320509"/>
    <w:rsid w:val="003205CB"/>
    <w:rsid w:val="003206F2"/>
    <w:rsid w:val="003207F1"/>
    <w:rsid w:val="00320988"/>
    <w:rsid w:val="003209F3"/>
    <w:rsid w:val="00320CB7"/>
    <w:rsid w:val="00321032"/>
    <w:rsid w:val="00321218"/>
    <w:rsid w:val="003212FE"/>
    <w:rsid w:val="003214A2"/>
    <w:rsid w:val="00321546"/>
    <w:rsid w:val="00321556"/>
    <w:rsid w:val="0032156A"/>
    <w:rsid w:val="003215B0"/>
    <w:rsid w:val="00321C26"/>
    <w:rsid w:val="00321CC7"/>
    <w:rsid w:val="00321F81"/>
    <w:rsid w:val="00322195"/>
    <w:rsid w:val="003224AE"/>
    <w:rsid w:val="003225FA"/>
    <w:rsid w:val="003227EB"/>
    <w:rsid w:val="00322819"/>
    <w:rsid w:val="00322AD0"/>
    <w:rsid w:val="00323287"/>
    <w:rsid w:val="00323599"/>
    <w:rsid w:val="003235EC"/>
    <w:rsid w:val="003238AF"/>
    <w:rsid w:val="00323CBA"/>
    <w:rsid w:val="00323ED2"/>
    <w:rsid w:val="00323FC4"/>
    <w:rsid w:val="003242EE"/>
    <w:rsid w:val="003246C0"/>
    <w:rsid w:val="003246FD"/>
    <w:rsid w:val="00324733"/>
    <w:rsid w:val="00324830"/>
    <w:rsid w:val="00324D92"/>
    <w:rsid w:val="00324DCD"/>
    <w:rsid w:val="00324DE3"/>
    <w:rsid w:val="00325916"/>
    <w:rsid w:val="0032601C"/>
    <w:rsid w:val="003261FF"/>
    <w:rsid w:val="003262BE"/>
    <w:rsid w:val="003262E1"/>
    <w:rsid w:val="0032655B"/>
    <w:rsid w:val="00326727"/>
    <w:rsid w:val="00326837"/>
    <w:rsid w:val="00326968"/>
    <w:rsid w:val="00326A08"/>
    <w:rsid w:val="00326B88"/>
    <w:rsid w:val="003271A8"/>
    <w:rsid w:val="00327453"/>
    <w:rsid w:val="00327528"/>
    <w:rsid w:val="00327560"/>
    <w:rsid w:val="003276D8"/>
    <w:rsid w:val="00327827"/>
    <w:rsid w:val="00327866"/>
    <w:rsid w:val="00327943"/>
    <w:rsid w:val="003279EB"/>
    <w:rsid w:val="00327B04"/>
    <w:rsid w:val="00327DB0"/>
    <w:rsid w:val="00327FB9"/>
    <w:rsid w:val="0033016D"/>
    <w:rsid w:val="00330909"/>
    <w:rsid w:val="00330A0C"/>
    <w:rsid w:val="00330B59"/>
    <w:rsid w:val="00330F16"/>
    <w:rsid w:val="00330F55"/>
    <w:rsid w:val="003310E6"/>
    <w:rsid w:val="00331304"/>
    <w:rsid w:val="00331407"/>
    <w:rsid w:val="0033172A"/>
    <w:rsid w:val="0033199C"/>
    <w:rsid w:val="00331DEB"/>
    <w:rsid w:val="00331E67"/>
    <w:rsid w:val="00331F19"/>
    <w:rsid w:val="0033255F"/>
    <w:rsid w:val="003325D8"/>
    <w:rsid w:val="00332B62"/>
    <w:rsid w:val="00332B74"/>
    <w:rsid w:val="00332E8C"/>
    <w:rsid w:val="00332FC6"/>
    <w:rsid w:val="003333A5"/>
    <w:rsid w:val="003335CC"/>
    <w:rsid w:val="00333989"/>
    <w:rsid w:val="00333ABA"/>
    <w:rsid w:val="00333B56"/>
    <w:rsid w:val="00333D2A"/>
    <w:rsid w:val="00333D37"/>
    <w:rsid w:val="00333DC1"/>
    <w:rsid w:val="00333E00"/>
    <w:rsid w:val="00333EE0"/>
    <w:rsid w:val="00333F81"/>
    <w:rsid w:val="00334387"/>
    <w:rsid w:val="00334A6D"/>
    <w:rsid w:val="00334E59"/>
    <w:rsid w:val="00334FF8"/>
    <w:rsid w:val="003352A9"/>
    <w:rsid w:val="0033540D"/>
    <w:rsid w:val="0033569D"/>
    <w:rsid w:val="0033574B"/>
    <w:rsid w:val="003359B1"/>
    <w:rsid w:val="00335A0B"/>
    <w:rsid w:val="00335A74"/>
    <w:rsid w:val="00335F70"/>
    <w:rsid w:val="00335FA0"/>
    <w:rsid w:val="0033600C"/>
    <w:rsid w:val="0033640B"/>
    <w:rsid w:val="003368C7"/>
    <w:rsid w:val="00336D21"/>
    <w:rsid w:val="00337363"/>
    <w:rsid w:val="003375D2"/>
    <w:rsid w:val="00337605"/>
    <w:rsid w:val="0033785A"/>
    <w:rsid w:val="00337BA0"/>
    <w:rsid w:val="00337C05"/>
    <w:rsid w:val="00337CCB"/>
    <w:rsid w:val="00337F20"/>
    <w:rsid w:val="0034018A"/>
    <w:rsid w:val="003404A5"/>
    <w:rsid w:val="003405EF"/>
    <w:rsid w:val="003408E3"/>
    <w:rsid w:val="00340932"/>
    <w:rsid w:val="00340AE4"/>
    <w:rsid w:val="00340DAB"/>
    <w:rsid w:val="00340EAE"/>
    <w:rsid w:val="00341721"/>
    <w:rsid w:val="003419D0"/>
    <w:rsid w:val="00341B50"/>
    <w:rsid w:val="00341C57"/>
    <w:rsid w:val="00341CA7"/>
    <w:rsid w:val="00341D5B"/>
    <w:rsid w:val="00341E5C"/>
    <w:rsid w:val="00342101"/>
    <w:rsid w:val="003421A5"/>
    <w:rsid w:val="003422CF"/>
    <w:rsid w:val="00342318"/>
    <w:rsid w:val="00342726"/>
    <w:rsid w:val="0034275A"/>
    <w:rsid w:val="003427BC"/>
    <w:rsid w:val="003428F6"/>
    <w:rsid w:val="00342A2D"/>
    <w:rsid w:val="00342AFF"/>
    <w:rsid w:val="00342D41"/>
    <w:rsid w:val="003430B6"/>
    <w:rsid w:val="003432FF"/>
    <w:rsid w:val="0034395E"/>
    <w:rsid w:val="003439AD"/>
    <w:rsid w:val="00344172"/>
    <w:rsid w:val="0034443A"/>
    <w:rsid w:val="00344840"/>
    <w:rsid w:val="003448B0"/>
    <w:rsid w:val="0034491C"/>
    <w:rsid w:val="00344A08"/>
    <w:rsid w:val="00344D7D"/>
    <w:rsid w:val="00344DBF"/>
    <w:rsid w:val="00344FB8"/>
    <w:rsid w:val="00345126"/>
    <w:rsid w:val="00345306"/>
    <w:rsid w:val="00345447"/>
    <w:rsid w:val="00345603"/>
    <w:rsid w:val="00345675"/>
    <w:rsid w:val="003456B2"/>
    <w:rsid w:val="00346437"/>
    <w:rsid w:val="00346540"/>
    <w:rsid w:val="00346635"/>
    <w:rsid w:val="003466D0"/>
    <w:rsid w:val="0034695E"/>
    <w:rsid w:val="00346AEF"/>
    <w:rsid w:val="00347092"/>
    <w:rsid w:val="0034712E"/>
    <w:rsid w:val="003472C9"/>
    <w:rsid w:val="0034780C"/>
    <w:rsid w:val="0035035A"/>
    <w:rsid w:val="0035044B"/>
    <w:rsid w:val="003505A9"/>
    <w:rsid w:val="00350701"/>
    <w:rsid w:val="003509F0"/>
    <w:rsid w:val="00350C03"/>
    <w:rsid w:val="00350E0C"/>
    <w:rsid w:val="00351000"/>
    <w:rsid w:val="003510E7"/>
    <w:rsid w:val="0035144F"/>
    <w:rsid w:val="0035167A"/>
    <w:rsid w:val="0035176A"/>
    <w:rsid w:val="0035184F"/>
    <w:rsid w:val="0035193B"/>
    <w:rsid w:val="00351DE0"/>
    <w:rsid w:val="00351EAB"/>
    <w:rsid w:val="00351EFB"/>
    <w:rsid w:val="003520C3"/>
    <w:rsid w:val="00352839"/>
    <w:rsid w:val="0035297A"/>
    <w:rsid w:val="00352AE2"/>
    <w:rsid w:val="00352C35"/>
    <w:rsid w:val="00353324"/>
    <w:rsid w:val="00353937"/>
    <w:rsid w:val="00353D59"/>
    <w:rsid w:val="00353F5F"/>
    <w:rsid w:val="00353FC2"/>
    <w:rsid w:val="003540C2"/>
    <w:rsid w:val="00354214"/>
    <w:rsid w:val="0035425F"/>
    <w:rsid w:val="00354265"/>
    <w:rsid w:val="0035428D"/>
    <w:rsid w:val="003544BA"/>
    <w:rsid w:val="00354655"/>
    <w:rsid w:val="00354A02"/>
    <w:rsid w:val="00354C14"/>
    <w:rsid w:val="00355133"/>
    <w:rsid w:val="003554EE"/>
    <w:rsid w:val="003557C7"/>
    <w:rsid w:val="0035585A"/>
    <w:rsid w:val="003559A5"/>
    <w:rsid w:val="00356458"/>
    <w:rsid w:val="0035649C"/>
    <w:rsid w:val="00356559"/>
    <w:rsid w:val="003565D5"/>
    <w:rsid w:val="00356727"/>
    <w:rsid w:val="00356796"/>
    <w:rsid w:val="00356851"/>
    <w:rsid w:val="00356BC6"/>
    <w:rsid w:val="00356C6B"/>
    <w:rsid w:val="00356DA5"/>
    <w:rsid w:val="00357047"/>
    <w:rsid w:val="00357187"/>
    <w:rsid w:val="003571F1"/>
    <w:rsid w:val="00357299"/>
    <w:rsid w:val="00357374"/>
    <w:rsid w:val="003573C1"/>
    <w:rsid w:val="00357475"/>
    <w:rsid w:val="00357587"/>
    <w:rsid w:val="003576BB"/>
    <w:rsid w:val="003576DD"/>
    <w:rsid w:val="003578F4"/>
    <w:rsid w:val="00357901"/>
    <w:rsid w:val="00357B7A"/>
    <w:rsid w:val="00357C0E"/>
    <w:rsid w:val="00357CDE"/>
    <w:rsid w:val="00357EF8"/>
    <w:rsid w:val="00360467"/>
    <w:rsid w:val="00360815"/>
    <w:rsid w:val="003608EF"/>
    <w:rsid w:val="0036096A"/>
    <w:rsid w:val="00360B70"/>
    <w:rsid w:val="00360B73"/>
    <w:rsid w:val="00360B78"/>
    <w:rsid w:val="00360BCA"/>
    <w:rsid w:val="00360DD2"/>
    <w:rsid w:val="00361171"/>
    <w:rsid w:val="003617CF"/>
    <w:rsid w:val="00361C8F"/>
    <w:rsid w:val="00361D17"/>
    <w:rsid w:val="00361EAA"/>
    <w:rsid w:val="00361EE9"/>
    <w:rsid w:val="00361FDE"/>
    <w:rsid w:val="003620F6"/>
    <w:rsid w:val="00362637"/>
    <w:rsid w:val="003626D1"/>
    <w:rsid w:val="003628E9"/>
    <w:rsid w:val="00362B8B"/>
    <w:rsid w:val="00362CF0"/>
    <w:rsid w:val="0036304A"/>
    <w:rsid w:val="003630AC"/>
    <w:rsid w:val="00363220"/>
    <w:rsid w:val="0036325E"/>
    <w:rsid w:val="00363734"/>
    <w:rsid w:val="003638F0"/>
    <w:rsid w:val="00363D2F"/>
    <w:rsid w:val="00364129"/>
    <w:rsid w:val="00364213"/>
    <w:rsid w:val="00364271"/>
    <w:rsid w:val="003642E8"/>
    <w:rsid w:val="00364391"/>
    <w:rsid w:val="003644A2"/>
    <w:rsid w:val="003646FD"/>
    <w:rsid w:val="00364A61"/>
    <w:rsid w:val="00364E8A"/>
    <w:rsid w:val="00364F10"/>
    <w:rsid w:val="00365429"/>
    <w:rsid w:val="00365446"/>
    <w:rsid w:val="00365514"/>
    <w:rsid w:val="003656D0"/>
    <w:rsid w:val="00365896"/>
    <w:rsid w:val="00365CD3"/>
    <w:rsid w:val="00365D91"/>
    <w:rsid w:val="00365FC3"/>
    <w:rsid w:val="0036604C"/>
    <w:rsid w:val="003660D1"/>
    <w:rsid w:val="0036630A"/>
    <w:rsid w:val="00366571"/>
    <w:rsid w:val="0036670D"/>
    <w:rsid w:val="003668E1"/>
    <w:rsid w:val="0036698B"/>
    <w:rsid w:val="003669E2"/>
    <w:rsid w:val="00366ADF"/>
    <w:rsid w:val="00366F49"/>
    <w:rsid w:val="00367622"/>
    <w:rsid w:val="00367673"/>
    <w:rsid w:val="00367928"/>
    <w:rsid w:val="0036794D"/>
    <w:rsid w:val="00367AA1"/>
    <w:rsid w:val="00367E6D"/>
    <w:rsid w:val="00367FCE"/>
    <w:rsid w:val="0037031A"/>
    <w:rsid w:val="00370340"/>
    <w:rsid w:val="00370385"/>
    <w:rsid w:val="00370652"/>
    <w:rsid w:val="0037076F"/>
    <w:rsid w:val="003707CF"/>
    <w:rsid w:val="00370CE8"/>
    <w:rsid w:val="00370DC6"/>
    <w:rsid w:val="00371059"/>
    <w:rsid w:val="003710CF"/>
    <w:rsid w:val="003714B1"/>
    <w:rsid w:val="0037150E"/>
    <w:rsid w:val="00371950"/>
    <w:rsid w:val="00371D9B"/>
    <w:rsid w:val="00371DF1"/>
    <w:rsid w:val="00371E99"/>
    <w:rsid w:val="00372365"/>
    <w:rsid w:val="003728CE"/>
    <w:rsid w:val="0037292C"/>
    <w:rsid w:val="00372942"/>
    <w:rsid w:val="00372FCA"/>
    <w:rsid w:val="00373402"/>
    <w:rsid w:val="003736A3"/>
    <w:rsid w:val="0037381E"/>
    <w:rsid w:val="00373B00"/>
    <w:rsid w:val="00373E66"/>
    <w:rsid w:val="0037445B"/>
    <w:rsid w:val="00374858"/>
    <w:rsid w:val="003748CD"/>
    <w:rsid w:val="00374944"/>
    <w:rsid w:val="00374D41"/>
    <w:rsid w:val="00374D8C"/>
    <w:rsid w:val="00375464"/>
    <w:rsid w:val="0037548A"/>
    <w:rsid w:val="00375546"/>
    <w:rsid w:val="00375552"/>
    <w:rsid w:val="00375575"/>
    <w:rsid w:val="00375654"/>
    <w:rsid w:val="003756DE"/>
    <w:rsid w:val="00375891"/>
    <w:rsid w:val="00375937"/>
    <w:rsid w:val="00375BCF"/>
    <w:rsid w:val="00375FC0"/>
    <w:rsid w:val="003761EA"/>
    <w:rsid w:val="003768AE"/>
    <w:rsid w:val="003768E6"/>
    <w:rsid w:val="00376A00"/>
    <w:rsid w:val="00376C5B"/>
    <w:rsid w:val="00376C9F"/>
    <w:rsid w:val="00376EC3"/>
    <w:rsid w:val="00377069"/>
    <w:rsid w:val="0037709E"/>
    <w:rsid w:val="003770AA"/>
    <w:rsid w:val="00377116"/>
    <w:rsid w:val="00377377"/>
    <w:rsid w:val="00377484"/>
    <w:rsid w:val="0037769E"/>
    <w:rsid w:val="00377876"/>
    <w:rsid w:val="00377888"/>
    <w:rsid w:val="00377BD5"/>
    <w:rsid w:val="00377D43"/>
    <w:rsid w:val="00377D8E"/>
    <w:rsid w:val="003800C7"/>
    <w:rsid w:val="00380116"/>
    <w:rsid w:val="0038030A"/>
    <w:rsid w:val="0038079D"/>
    <w:rsid w:val="003809A1"/>
    <w:rsid w:val="00380CCD"/>
    <w:rsid w:val="00380F77"/>
    <w:rsid w:val="00380F8B"/>
    <w:rsid w:val="00381260"/>
    <w:rsid w:val="00381A95"/>
    <w:rsid w:val="00381BC1"/>
    <w:rsid w:val="003826C0"/>
    <w:rsid w:val="00382750"/>
    <w:rsid w:val="00382782"/>
    <w:rsid w:val="0038298F"/>
    <w:rsid w:val="003829A2"/>
    <w:rsid w:val="00382A10"/>
    <w:rsid w:val="00382B70"/>
    <w:rsid w:val="00382CA9"/>
    <w:rsid w:val="003832E4"/>
    <w:rsid w:val="003835B1"/>
    <w:rsid w:val="00383931"/>
    <w:rsid w:val="00383A6E"/>
    <w:rsid w:val="00384186"/>
    <w:rsid w:val="00384257"/>
    <w:rsid w:val="00384300"/>
    <w:rsid w:val="00384785"/>
    <w:rsid w:val="003848B0"/>
    <w:rsid w:val="0038496A"/>
    <w:rsid w:val="00384F43"/>
    <w:rsid w:val="0038537A"/>
    <w:rsid w:val="0038568A"/>
    <w:rsid w:val="0038570E"/>
    <w:rsid w:val="003857FC"/>
    <w:rsid w:val="003858F6"/>
    <w:rsid w:val="00385B83"/>
    <w:rsid w:val="00385C43"/>
    <w:rsid w:val="00385C52"/>
    <w:rsid w:val="003860E9"/>
    <w:rsid w:val="00386164"/>
    <w:rsid w:val="0038624E"/>
    <w:rsid w:val="0038675F"/>
    <w:rsid w:val="00386902"/>
    <w:rsid w:val="003869C2"/>
    <w:rsid w:val="00386CD3"/>
    <w:rsid w:val="00386F72"/>
    <w:rsid w:val="003871CC"/>
    <w:rsid w:val="003872A1"/>
    <w:rsid w:val="003873A6"/>
    <w:rsid w:val="00387B7F"/>
    <w:rsid w:val="00387B8B"/>
    <w:rsid w:val="00387C69"/>
    <w:rsid w:val="003906E8"/>
    <w:rsid w:val="00390B22"/>
    <w:rsid w:val="00391112"/>
    <w:rsid w:val="00391310"/>
    <w:rsid w:val="00391327"/>
    <w:rsid w:val="003916E1"/>
    <w:rsid w:val="003918A1"/>
    <w:rsid w:val="00391E15"/>
    <w:rsid w:val="00391E1B"/>
    <w:rsid w:val="00391E22"/>
    <w:rsid w:val="003920FE"/>
    <w:rsid w:val="00392116"/>
    <w:rsid w:val="00392858"/>
    <w:rsid w:val="00392873"/>
    <w:rsid w:val="0039289F"/>
    <w:rsid w:val="00392DD2"/>
    <w:rsid w:val="00393289"/>
    <w:rsid w:val="003933A9"/>
    <w:rsid w:val="0039341F"/>
    <w:rsid w:val="003937A6"/>
    <w:rsid w:val="00393838"/>
    <w:rsid w:val="00393A22"/>
    <w:rsid w:val="00393BDD"/>
    <w:rsid w:val="00393C94"/>
    <w:rsid w:val="003940F7"/>
    <w:rsid w:val="0039468C"/>
    <w:rsid w:val="003948ED"/>
    <w:rsid w:val="003948F3"/>
    <w:rsid w:val="00394982"/>
    <w:rsid w:val="00394FB0"/>
    <w:rsid w:val="00395336"/>
    <w:rsid w:val="0039551A"/>
    <w:rsid w:val="00395544"/>
    <w:rsid w:val="00395605"/>
    <w:rsid w:val="003956A6"/>
    <w:rsid w:val="003956CA"/>
    <w:rsid w:val="003956E1"/>
    <w:rsid w:val="003959AB"/>
    <w:rsid w:val="00395D69"/>
    <w:rsid w:val="00395D81"/>
    <w:rsid w:val="00395DE9"/>
    <w:rsid w:val="003961FE"/>
    <w:rsid w:val="003963FA"/>
    <w:rsid w:val="00396579"/>
    <w:rsid w:val="003966DF"/>
    <w:rsid w:val="00396894"/>
    <w:rsid w:val="00396B21"/>
    <w:rsid w:val="00396D40"/>
    <w:rsid w:val="00396E89"/>
    <w:rsid w:val="00396EA5"/>
    <w:rsid w:val="00397046"/>
    <w:rsid w:val="0039740F"/>
    <w:rsid w:val="0039756C"/>
    <w:rsid w:val="00397621"/>
    <w:rsid w:val="00397709"/>
    <w:rsid w:val="00397797"/>
    <w:rsid w:val="00397868"/>
    <w:rsid w:val="00397A10"/>
    <w:rsid w:val="00397B5B"/>
    <w:rsid w:val="00397E5C"/>
    <w:rsid w:val="00397F81"/>
    <w:rsid w:val="003A0679"/>
    <w:rsid w:val="003A0993"/>
    <w:rsid w:val="003A0B9E"/>
    <w:rsid w:val="003A0D22"/>
    <w:rsid w:val="003A0E80"/>
    <w:rsid w:val="003A0EFD"/>
    <w:rsid w:val="003A11DF"/>
    <w:rsid w:val="003A1201"/>
    <w:rsid w:val="003A14AA"/>
    <w:rsid w:val="003A1560"/>
    <w:rsid w:val="003A16DD"/>
    <w:rsid w:val="003A185B"/>
    <w:rsid w:val="003A1A61"/>
    <w:rsid w:val="003A1B0D"/>
    <w:rsid w:val="003A1CAE"/>
    <w:rsid w:val="003A1DB1"/>
    <w:rsid w:val="003A1E62"/>
    <w:rsid w:val="003A2297"/>
    <w:rsid w:val="003A23A5"/>
    <w:rsid w:val="003A275D"/>
    <w:rsid w:val="003A27C4"/>
    <w:rsid w:val="003A28DC"/>
    <w:rsid w:val="003A2B19"/>
    <w:rsid w:val="003A2B49"/>
    <w:rsid w:val="003A2BAD"/>
    <w:rsid w:val="003A2CD6"/>
    <w:rsid w:val="003A2E4C"/>
    <w:rsid w:val="003A305C"/>
    <w:rsid w:val="003A3433"/>
    <w:rsid w:val="003A3723"/>
    <w:rsid w:val="003A3C25"/>
    <w:rsid w:val="003A3D54"/>
    <w:rsid w:val="003A3E1F"/>
    <w:rsid w:val="003A434D"/>
    <w:rsid w:val="003A4736"/>
    <w:rsid w:val="003A4D44"/>
    <w:rsid w:val="003A4F59"/>
    <w:rsid w:val="003A4F5A"/>
    <w:rsid w:val="003A53B1"/>
    <w:rsid w:val="003A5436"/>
    <w:rsid w:val="003A543A"/>
    <w:rsid w:val="003A5727"/>
    <w:rsid w:val="003A5739"/>
    <w:rsid w:val="003A57CA"/>
    <w:rsid w:val="003A5A21"/>
    <w:rsid w:val="003A5B05"/>
    <w:rsid w:val="003A5EA8"/>
    <w:rsid w:val="003A5F68"/>
    <w:rsid w:val="003A6981"/>
    <w:rsid w:val="003A69C0"/>
    <w:rsid w:val="003A6A0B"/>
    <w:rsid w:val="003A6EAF"/>
    <w:rsid w:val="003A7377"/>
    <w:rsid w:val="003A747F"/>
    <w:rsid w:val="003A760B"/>
    <w:rsid w:val="003A778C"/>
    <w:rsid w:val="003A7AD3"/>
    <w:rsid w:val="003A7AF8"/>
    <w:rsid w:val="003A7B04"/>
    <w:rsid w:val="003A7B44"/>
    <w:rsid w:val="003A7C28"/>
    <w:rsid w:val="003A7C65"/>
    <w:rsid w:val="003B048C"/>
    <w:rsid w:val="003B079E"/>
    <w:rsid w:val="003B0826"/>
    <w:rsid w:val="003B08F2"/>
    <w:rsid w:val="003B0FE3"/>
    <w:rsid w:val="003B10D2"/>
    <w:rsid w:val="003B1115"/>
    <w:rsid w:val="003B13DF"/>
    <w:rsid w:val="003B1556"/>
    <w:rsid w:val="003B1582"/>
    <w:rsid w:val="003B1932"/>
    <w:rsid w:val="003B21EE"/>
    <w:rsid w:val="003B2817"/>
    <w:rsid w:val="003B2CB9"/>
    <w:rsid w:val="003B2F81"/>
    <w:rsid w:val="003B30A8"/>
    <w:rsid w:val="003B31C9"/>
    <w:rsid w:val="003B3214"/>
    <w:rsid w:val="003B381A"/>
    <w:rsid w:val="003B39A3"/>
    <w:rsid w:val="003B3A2B"/>
    <w:rsid w:val="003B3C79"/>
    <w:rsid w:val="003B3E01"/>
    <w:rsid w:val="003B4517"/>
    <w:rsid w:val="003B45E5"/>
    <w:rsid w:val="003B466F"/>
    <w:rsid w:val="003B47A8"/>
    <w:rsid w:val="003B47E8"/>
    <w:rsid w:val="003B48E8"/>
    <w:rsid w:val="003B4919"/>
    <w:rsid w:val="003B4E9F"/>
    <w:rsid w:val="003B4F47"/>
    <w:rsid w:val="003B54AD"/>
    <w:rsid w:val="003B5505"/>
    <w:rsid w:val="003B5A01"/>
    <w:rsid w:val="003B5ACB"/>
    <w:rsid w:val="003B5B67"/>
    <w:rsid w:val="003B5C71"/>
    <w:rsid w:val="003B5D68"/>
    <w:rsid w:val="003B625E"/>
    <w:rsid w:val="003B62A8"/>
    <w:rsid w:val="003B6460"/>
    <w:rsid w:val="003B651F"/>
    <w:rsid w:val="003B652B"/>
    <w:rsid w:val="003B659E"/>
    <w:rsid w:val="003B6703"/>
    <w:rsid w:val="003B67CA"/>
    <w:rsid w:val="003B6838"/>
    <w:rsid w:val="003B6B5E"/>
    <w:rsid w:val="003B6BAE"/>
    <w:rsid w:val="003B6C91"/>
    <w:rsid w:val="003B6E85"/>
    <w:rsid w:val="003B6F45"/>
    <w:rsid w:val="003B7011"/>
    <w:rsid w:val="003B716E"/>
    <w:rsid w:val="003B727E"/>
    <w:rsid w:val="003B733C"/>
    <w:rsid w:val="003B7585"/>
    <w:rsid w:val="003B75B6"/>
    <w:rsid w:val="003B768D"/>
    <w:rsid w:val="003B7996"/>
    <w:rsid w:val="003B7B79"/>
    <w:rsid w:val="003B7D30"/>
    <w:rsid w:val="003B7D41"/>
    <w:rsid w:val="003B7D46"/>
    <w:rsid w:val="003B7DE4"/>
    <w:rsid w:val="003B7E4D"/>
    <w:rsid w:val="003B7EE3"/>
    <w:rsid w:val="003B7EE9"/>
    <w:rsid w:val="003B7FD3"/>
    <w:rsid w:val="003C0144"/>
    <w:rsid w:val="003C0171"/>
    <w:rsid w:val="003C02B6"/>
    <w:rsid w:val="003C02BF"/>
    <w:rsid w:val="003C0A3C"/>
    <w:rsid w:val="003C0B3D"/>
    <w:rsid w:val="003C0DDF"/>
    <w:rsid w:val="003C11AF"/>
    <w:rsid w:val="003C127D"/>
    <w:rsid w:val="003C1373"/>
    <w:rsid w:val="003C2029"/>
    <w:rsid w:val="003C2121"/>
    <w:rsid w:val="003C23F9"/>
    <w:rsid w:val="003C252C"/>
    <w:rsid w:val="003C27D1"/>
    <w:rsid w:val="003C2852"/>
    <w:rsid w:val="003C28EA"/>
    <w:rsid w:val="003C2AF7"/>
    <w:rsid w:val="003C2C42"/>
    <w:rsid w:val="003C2C4C"/>
    <w:rsid w:val="003C2F70"/>
    <w:rsid w:val="003C2F84"/>
    <w:rsid w:val="003C31D1"/>
    <w:rsid w:val="003C32C7"/>
    <w:rsid w:val="003C3398"/>
    <w:rsid w:val="003C3580"/>
    <w:rsid w:val="003C3670"/>
    <w:rsid w:val="003C3701"/>
    <w:rsid w:val="003C3FF8"/>
    <w:rsid w:val="003C4255"/>
    <w:rsid w:val="003C46F0"/>
    <w:rsid w:val="003C4745"/>
    <w:rsid w:val="003C47A3"/>
    <w:rsid w:val="003C4F79"/>
    <w:rsid w:val="003C505C"/>
    <w:rsid w:val="003C539F"/>
    <w:rsid w:val="003C5412"/>
    <w:rsid w:val="003C547E"/>
    <w:rsid w:val="003C5543"/>
    <w:rsid w:val="003C57DC"/>
    <w:rsid w:val="003C585B"/>
    <w:rsid w:val="003C588C"/>
    <w:rsid w:val="003C5B8E"/>
    <w:rsid w:val="003C5E9F"/>
    <w:rsid w:val="003C5F48"/>
    <w:rsid w:val="003C60E2"/>
    <w:rsid w:val="003C6112"/>
    <w:rsid w:val="003C62C9"/>
    <w:rsid w:val="003C63F8"/>
    <w:rsid w:val="003C662B"/>
    <w:rsid w:val="003C6891"/>
    <w:rsid w:val="003C6930"/>
    <w:rsid w:val="003C6CE9"/>
    <w:rsid w:val="003C6F87"/>
    <w:rsid w:val="003C735F"/>
    <w:rsid w:val="003C743F"/>
    <w:rsid w:val="003C79C2"/>
    <w:rsid w:val="003C7D35"/>
    <w:rsid w:val="003D0805"/>
    <w:rsid w:val="003D089C"/>
    <w:rsid w:val="003D09A1"/>
    <w:rsid w:val="003D0AB3"/>
    <w:rsid w:val="003D0B29"/>
    <w:rsid w:val="003D0BF3"/>
    <w:rsid w:val="003D12C4"/>
    <w:rsid w:val="003D1712"/>
    <w:rsid w:val="003D17B2"/>
    <w:rsid w:val="003D22C2"/>
    <w:rsid w:val="003D25B9"/>
    <w:rsid w:val="003D2747"/>
    <w:rsid w:val="003D2769"/>
    <w:rsid w:val="003D2D57"/>
    <w:rsid w:val="003D2DBE"/>
    <w:rsid w:val="003D2F67"/>
    <w:rsid w:val="003D2FD0"/>
    <w:rsid w:val="003D3174"/>
    <w:rsid w:val="003D3215"/>
    <w:rsid w:val="003D336D"/>
    <w:rsid w:val="003D3A6D"/>
    <w:rsid w:val="003D3A80"/>
    <w:rsid w:val="003D3A98"/>
    <w:rsid w:val="003D3B3A"/>
    <w:rsid w:val="003D3CD8"/>
    <w:rsid w:val="003D4133"/>
    <w:rsid w:val="003D413F"/>
    <w:rsid w:val="003D423D"/>
    <w:rsid w:val="003D4504"/>
    <w:rsid w:val="003D462E"/>
    <w:rsid w:val="003D49A1"/>
    <w:rsid w:val="003D4AE3"/>
    <w:rsid w:val="003D4DEE"/>
    <w:rsid w:val="003D50DA"/>
    <w:rsid w:val="003D540A"/>
    <w:rsid w:val="003D5765"/>
    <w:rsid w:val="003D577B"/>
    <w:rsid w:val="003D5C96"/>
    <w:rsid w:val="003D5CC1"/>
    <w:rsid w:val="003D6104"/>
    <w:rsid w:val="003D61FA"/>
    <w:rsid w:val="003D697A"/>
    <w:rsid w:val="003D6AAF"/>
    <w:rsid w:val="003D6B95"/>
    <w:rsid w:val="003D6BDB"/>
    <w:rsid w:val="003D6C92"/>
    <w:rsid w:val="003D6E26"/>
    <w:rsid w:val="003D7159"/>
    <w:rsid w:val="003D7D40"/>
    <w:rsid w:val="003D7E56"/>
    <w:rsid w:val="003E0297"/>
    <w:rsid w:val="003E0445"/>
    <w:rsid w:val="003E055E"/>
    <w:rsid w:val="003E0875"/>
    <w:rsid w:val="003E0B3B"/>
    <w:rsid w:val="003E0FD1"/>
    <w:rsid w:val="003E15AB"/>
    <w:rsid w:val="003E17A8"/>
    <w:rsid w:val="003E1803"/>
    <w:rsid w:val="003E19AC"/>
    <w:rsid w:val="003E19C1"/>
    <w:rsid w:val="003E1C12"/>
    <w:rsid w:val="003E1C23"/>
    <w:rsid w:val="003E1D26"/>
    <w:rsid w:val="003E1D9D"/>
    <w:rsid w:val="003E1DC5"/>
    <w:rsid w:val="003E2215"/>
    <w:rsid w:val="003E256C"/>
    <w:rsid w:val="003E26A6"/>
    <w:rsid w:val="003E2A4A"/>
    <w:rsid w:val="003E2FF9"/>
    <w:rsid w:val="003E3038"/>
    <w:rsid w:val="003E3602"/>
    <w:rsid w:val="003E36CE"/>
    <w:rsid w:val="003E38DD"/>
    <w:rsid w:val="003E3C58"/>
    <w:rsid w:val="003E3D08"/>
    <w:rsid w:val="003E3EC4"/>
    <w:rsid w:val="003E4485"/>
    <w:rsid w:val="003E4A03"/>
    <w:rsid w:val="003E4AA6"/>
    <w:rsid w:val="003E4E5D"/>
    <w:rsid w:val="003E4E98"/>
    <w:rsid w:val="003E4EAD"/>
    <w:rsid w:val="003E50E6"/>
    <w:rsid w:val="003E5623"/>
    <w:rsid w:val="003E566D"/>
    <w:rsid w:val="003E6000"/>
    <w:rsid w:val="003E612E"/>
    <w:rsid w:val="003E6261"/>
    <w:rsid w:val="003E6730"/>
    <w:rsid w:val="003E69A3"/>
    <w:rsid w:val="003E6ADB"/>
    <w:rsid w:val="003E6FE5"/>
    <w:rsid w:val="003E72D9"/>
    <w:rsid w:val="003E75D1"/>
    <w:rsid w:val="003E75D7"/>
    <w:rsid w:val="003E77C2"/>
    <w:rsid w:val="003E7995"/>
    <w:rsid w:val="003E7C38"/>
    <w:rsid w:val="003E7DA4"/>
    <w:rsid w:val="003F0014"/>
    <w:rsid w:val="003F01D4"/>
    <w:rsid w:val="003F03D5"/>
    <w:rsid w:val="003F0DB4"/>
    <w:rsid w:val="003F0F09"/>
    <w:rsid w:val="003F0FAF"/>
    <w:rsid w:val="003F11B8"/>
    <w:rsid w:val="003F1454"/>
    <w:rsid w:val="003F1695"/>
    <w:rsid w:val="003F18E3"/>
    <w:rsid w:val="003F1DB6"/>
    <w:rsid w:val="003F1F21"/>
    <w:rsid w:val="003F23EF"/>
    <w:rsid w:val="003F26C1"/>
    <w:rsid w:val="003F2C7C"/>
    <w:rsid w:val="003F2E30"/>
    <w:rsid w:val="003F2ECF"/>
    <w:rsid w:val="003F2FF8"/>
    <w:rsid w:val="003F33AC"/>
    <w:rsid w:val="003F3D09"/>
    <w:rsid w:val="003F3D63"/>
    <w:rsid w:val="003F3E3D"/>
    <w:rsid w:val="003F417F"/>
    <w:rsid w:val="003F43C2"/>
    <w:rsid w:val="003F44F0"/>
    <w:rsid w:val="003F459A"/>
    <w:rsid w:val="003F4620"/>
    <w:rsid w:val="003F4711"/>
    <w:rsid w:val="003F49F9"/>
    <w:rsid w:val="003F4A22"/>
    <w:rsid w:val="003F4B75"/>
    <w:rsid w:val="003F4CC0"/>
    <w:rsid w:val="003F4F7C"/>
    <w:rsid w:val="003F521B"/>
    <w:rsid w:val="003F52F6"/>
    <w:rsid w:val="003F5544"/>
    <w:rsid w:val="003F56A8"/>
    <w:rsid w:val="003F575C"/>
    <w:rsid w:val="003F575E"/>
    <w:rsid w:val="003F57DA"/>
    <w:rsid w:val="003F59AE"/>
    <w:rsid w:val="003F5F0A"/>
    <w:rsid w:val="003F6019"/>
    <w:rsid w:val="003F6102"/>
    <w:rsid w:val="003F6111"/>
    <w:rsid w:val="003F62D1"/>
    <w:rsid w:val="003F64A2"/>
    <w:rsid w:val="003F68ED"/>
    <w:rsid w:val="003F695D"/>
    <w:rsid w:val="003F69E9"/>
    <w:rsid w:val="003F6B2E"/>
    <w:rsid w:val="003F6B9F"/>
    <w:rsid w:val="003F6C87"/>
    <w:rsid w:val="003F6F43"/>
    <w:rsid w:val="003F7133"/>
    <w:rsid w:val="003F764A"/>
    <w:rsid w:val="003F77D4"/>
    <w:rsid w:val="003F7ACF"/>
    <w:rsid w:val="003F7C49"/>
    <w:rsid w:val="003F7CDF"/>
    <w:rsid w:val="003F7D94"/>
    <w:rsid w:val="003F7E6B"/>
    <w:rsid w:val="003F7FE2"/>
    <w:rsid w:val="004000C5"/>
    <w:rsid w:val="0040076A"/>
    <w:rsid w:val="0040089D"/>
    <w:rsid w:val="004009F7"/>
    <w:rsid w:val="00400A06"/>
    <w:rsid w:val="00400BA0"/>
    <w:rsid w:val="00400C53"/>
    <w:rsid w:val="00400C75"/>
    <w:rsid w:val="00400D4D"/>
    <w:rsid w:val="00401101"/>
    <w:rsid w:val="004012DC"/>
    <w:rsid w:val="00401318"/>
    <w:rsid w:val="0040148F"/>
    <w:rsid w:val="0040156E"/>
    <w:rsid w:val="0040170C"/>
    <w:rsid w:val="00401971"/>
    <w:rsid w:val="00401BDA"/>
    <w:rsid w:val="00401E70"/>
    <w:rsid w:val="00401EB0"/>
    <w:rsid w:val="0040216C"/>
    <w:rsid w:val="00402499"/>
    <w:rsid w:val="00402612"/>
    <w:rsid w:val="00402FF4"/>
    <w:rsid w:val="004031D3"/>
    <w:rsid w:val="004034DB"/>
    <w:rsid w:val="004035E4"/>
    <w:rsid w:val="00403B20"/>
    <w:rsid w:val="00403DF4"/>
    <w:rsid w:val="0040406D"/>
    <w:rsid w:val="00404940"/>
    <w:rsid w:val="00404B4F"/>
    <w:rsid w:val="00404BA6"/>
    <w:rsid w:val="00404E29"/>
    <w:rsid w:val="00404F12"/>
    <w:rsid w:val="00404FED"/>
    <w:rsid w:val="00405315"/>
    <w:rsid w:val="00405416"/>
    <w:rsid w:val="00405443"/>
    <w:rsid w:val="00405629"/>
    <w:rsid w:val="004056F8"/>
    <w:rsid w:val="0040571A"/>
    <w:rsid w:val="00405B45"/>
    <w:rsid w:val="00405B5D"/>
    <w:rsid w:val="00405CFE"/>
    <w:rsid w:val="004060A0"/>
    <w:rsid w:val="004066D4"/>
    <w:rsid w:val="0040679D"/>
    <w:rsid w:val="004067E7"/>
    <w:rsid w:val="00406A01"/>
    <w:rsid w:val="00406F7D"/>
    <w:rsid w:val="0040732E"/>
    <w:rsid w:val="004075CC"/>
    <w:rsid w:val="004078BE"/>
    <w:rsid w:val="00407A97"/>
    <w:rsid w:val="00407B37"/>
    <w:rsid w:val="00407DA8"/>
    <w:rsid w:val="00407DBA"/>
    <w:rsid w:val="00407E5C"/>
    <w:rsid w:val="00410061"/>
    <w:rsid w:val="004102B0"/>
    <w:rsid w:val="004108C1"/>
    <w:rsid w:val="0041094C"/>
    <w:rsid w:val="00410B35"/>
    <w:rsid w:val="00410C69"/>
    <w:rsid w:val="00410D5A"/>
    <w:rsid w:val="00410F4B"/>
    <w:rsid w:val="00411086"/>
    <w:rsid w:val="00411435"/>
    <w:rsid w:val="00411595"/>
    <w:rsid w:val="0041178B"/>
    <w:rsid w:val="0041180D"/>
    <w:rsid w:val="00411C6E"/>
    <w:rsid w:val="00411E1B"/>
    <w:rsid w:val="00411FDA"/>
    <w:rsid w:val="004120F1"/>
    <w:rsid w:val="00412379"/>
    <w:rsid w:val="004123E4"/>
    <w:rsid w:val="004129B6"/>
    <w:rsid w:val="00412A62"/>
    <w:rsid w:val="004131EB"/>
    <w:rsid w:val="0041337F"/>
    <w:rsid w:val="004133B6"/>
    <w:rsid w:val="004133CD"/>
    <w:rsid w:val="00413586"/>
    <w:rsid w:val="004138B8"/>
    <w:rsid w:val="00413B3E"/>
    <w:rsid w:val="00413D2F"/>
    <w:rsid w:val="004142D2"/>
    <w:rsid w:val="004145A7"/>
    <w:rsid w:val="004146C2"/>
    <w:rsid w:val="00414CBD"/>
    <w:rsid w:val="004154FC"/>
    <w:rsid w:val="00415578"/>
    <w:rsid w:val="0041566E"/>
    <w:rsid w:val="00415AF2"/>
    <w:rsid w:val="00415AFA"/>
    <w:rsid w:val="00415B59"/>
    <w:rsid w:val="00415F8F"/>
    <w:rsid w:val="00415FBC"/>
    <w:rsid w:val="004160F7"/>
    <w:rsid w:val="00416520"/>
    <w:rsid w:val="004167DA"/>
    <w:rsid w:val="004168C9"/>
    <w:rsid w:val="00416958"/>
    <w:rsid w:val="00416965"/>
    <w:rsid w:val="00416E9F"/>
    <w:rsid w:val="00417138"/>
    <w:rsid w:val="004177EC"/>
    <w:rsid w:val="0041788D"/>
    <w:rsid w:val="004178C8"/>
    <w:rsid w:val="004179E6"/>
    <w:rsid w:val="00417AE1"/>
    <w:rsid w:val="004200AC"/>
    <w:rsid w:val="004200D8"/>
    <w:rsid w:val="004201C4"/>
    <w:rsid w:val="004202B1"/>
    <w:rsid w:val="00420339"/>
    <w:rsid w:val="00420572"/>
    <w:rsid w:val="00420648"/>
    <w:rsid w:val="004207DC"/>
    <w:rsid w:val="00420BC9"/>
    <w:rsid w:val="00420BF6"/>
    <w:rsid w:val="004211DA"/>
    <w:rsid w:val="004214B6"/>
    <w:rsid w:val="004214CB"/>
    <w:rsid w:val="00421E3A"/>
    <w:rsid w:val="00422535"/>
    <w:rsid w:val="00422715"/>
    <w:rsid w:val="00422A70"/>
    <w:rsid w:val="00422BC8"/>
    <w:rsid w:val="00422CDC"/>
    <w:rsid w:val="00422DD2"/>
    <w:rsid w:val="004233C0"/>
    <w:rsid w:val="00423414"/>
    <w:rsid w:val="0042343D"/>
    <w:rsid w:val="004236BC"/>
    <w:rsid w:val="00423887"/>
    <w:rsid w:val="004239CA"/>
    <w:rsid w:val="00423DE5"/>
    <w:rsid w:val="00423E02"/>
    <w:rsid w:val="00423FBC"/>
    <w:rsid w:val="00424170"/>
    <w:rsid w:val="0042424D"/>
    <w:rsid w:val="004246AB"/>
    <w:rsid w:val="004246E4"/>
    <w:rsid w:val="004246F2"/>
    <w:rsid w:val="00424AFE"/>
    <w:rsid w:val="00424CC6"/>
    <w:rsid w:val="00424E4F"/>
    <w:rsid w:val="00424E69"/>
    <w:rsid w:val="00424F10"/>
    <w:rsid w:val="00424F51"/>
    <w:rsid w:val="00425015"/>
    <w:rsid w:val="00425263"/>
    <w:rsid w:val="00425586"/>
    <w:rsid w:val="00425A99"/>
    <w:rsid w:val="00425B07"/>
    <w:rsid w:val="00425ED6"/>
    <w:rsid w:val="00425F55"/>
    <w:rsid w:val="004261DF"/>
    <w:rsid w:val="00426275"/>
    <w:rsid w:val="004267B4"/>
    <w:rsid w:val="004269CC"/>
    <w:rsid w:val="00426E99"/>
    <w:rsid w:val="004274F0"/>
    <w:rsid w:val="00427506"/>
    <w:rsid w:val="0042779F"/>
    <w:rsid w:val="004277E4"/>
    <w:rsid w:val="00427C30"/>
    <w:rsid w:val="00427CE9"/>
    <w:rsid w:val="00427D6F"/>
    <w:rsid w:val="0043027A"/>
    <w:rsid w:val="00430499"/>
    <w:rsid w:val="00430592"/>
    <w:rsid w:val="00430B33"/>
    <w:rsid w:val="00431352"/>
    <w:rsid w:val="004314FF"/>
    <w:rsid w:val="00431827"/>
    <w:rsid w:val="0043187E"/>
    <w:rsid w:val="0043192E"/>
    <w:rsid w:val="004319DD"/>
    <w:rsid w:val="00432013"/>
    <w:rsid w:val="0043238C"/>
    <w:rsid w:val="004324F2"/>
    <w:rsid w:val="0043272A"/>
    <w:rsid w:val="004328EC"/>
    <w:rsid w:val="00432ABD"/>
    <w:rsid w:val="00433047"/>
    <w:rsid w:val="00433200"/>
    <w:rsid w:val="0043370A"/>
    <w:rsid w:val="004337B1"/>
    <w:rsid w:val="004338B2"/>
    <w:rsid w:val="004338FA"/>
    <w:rsid w:val="00433C47"/>
    <w:rsid w:val="00433D5E"/>
    <w:rsid w:val="00433E03"/>
    <w:rsid w:val="00433E36"/>
    <w:rsid w:val="00433FBA"/>
    <w:rsid w:val="004345A4"/>
    <w:rsid w:val="00434635"/>
    <w:rsid w:val="004348F2"/>
    <w:rsid w:val="00434AB1"/>
    <w:rsid w:val="00434F6D"/>
    <w:rsid w:val="00435180"/>
    <w:rsid w:val="00435182"/>
    <w:rsid w:val="004351F5"/>
    <w:rsid w:val="00435357"/>
    <w:rsid w:val="00435717"/>
    <w:rsid w:val="00435A98"/>
    <w:rsid w:val="00435FF2"/>
    <w:rsid w:val="00436335"/>
    <w:rsid w:val="004364E2"/>
    <w:rsid w:val="004367A0"/>
    <w:rsid w:val="004368C6"/>
    <w:rsid w:val="00436B26"/>
    <w:rsid w:val="00437655"/>
    <w:rsid w:val="00437705"/>
    <w:rsid w:val="0043773A"/>
    <w:rsid w:val="0043791C"/>
    <w:rsid w:val="00437CF5"/>
    <w:rsid w:val="00437F8A"/>
    <w:rsid w:val="00437FDB"/>
    <w:rsid w:val="00440263"/>
    <w:rsid w:val="00440376"/>
    <w:rsid w:val="00440584"/>
    <w:rsid w:val="00440636"/>
    <w:rsid w:val="004407F4"/>
    <w:rsid w:val="0044097D"/>
    <w:rsid w:val="004409EC"/>
    <w:rsid w:val="00440CB8"/>
    <w:rsid w:val="00440D76"/>
    <w:rsid w:val="00440DA6"/>
    <w:rsid w:val="00440DCF"/>
    <w:rsid w:val="00440DEE"/>
    <w:rsid w:val="004411A5"/>
    <w:rsid w:val="00441244"/>
    <w:rsid w:val="00441386"/>
    <w:rsid w:val="00441622"/>
    <w:rsid w:val="00441869"/>
    <w:rsid w:val="00441902"/>
    <w:rsid w:val="00441949"/>
    <w:rsid w:val="00441D5C"/>
    <w:rsid w:val="004421FD"/>
    <w:rsid w:val="00442690"/>
    <w:rsid w:val="00442775"/>
    <w:rsid w:val="00442BBC"/>
    <w:rsid w:val="00442D1F"/>
    <w:rsid w:val="00442DC4"/>
    <w:rsid w:val="00442DC8"/>
    <w:rsid w:val="00442EF8"/>
    <w:rsid w:val="00442FB7"/>
    <w:rsid w:val="004431BD"/>
    <w:rsid w:val="0044348E"/>
    <w:rsid w:val="00443E30"/>
    <w:rsid w:val="00443E56"/>
    <w:rsid w:val="004443CE"/>
    <w:rsid w:val="004445AA"/>
    <w:rsid w:val="0044479F"/>
    <w:rsid w:val="004447CF"/>
    <w:rsid w:val="004448B1"/>
    <w:rsid w:val="0044491C"/>
    <w:rsid w:val="004449B1"/>
    <w:rsid w:val="00444B19"/>
    <w:rsid w:val="00444B65"/>
    <w:rsid w:val="00444C0F"/>
    <w:rsid w:val="004450FC"/>
    <w:rsid w:val="004452B8"/>
    <w:rsid w:val="00445325"/>
    <w:rsid w:val="004453B3"/>
    <w:rsid w:val="004457A2"/>
    <w:rsid w:val="004457F3"/>
    <w:rsid w:val="004458B4"/>
    <w:rsid w:val="00445BD3"/>
    <w:rsid w:val="00445CC5"/>
    <w:rsid w:val="00445F48"/>
    <w:rsid w:val="00446045"/>
    <w:rsid w:val="004460A1"/>
    <w:rsid w:val="00446347"/>
    <w:rsid w:val="0044677B"/>
    <w:rsid w:val="00446B21"/>
    <w:rsid w:val="004470EE"/>
    <w:rsid w:val="004473C2"/>
    <w:rsid w:val="00447697"/>
    <w:rsid w:val="00447797"/>
    <w:rsid w:val="0044779F"/>
    <w:rsid w:val="0044792C"/>
    <w:rsid w:val="0044797C"/>
    <w:rsid w:val="00447C85"/>
    <w:rsid w:val="00450117"/>
    <w:rsid w:val="00450152"/>
    <w:rsid w:val="00450F19"/>
    <w:rsid w:val="004510A9"/>
    <w:rsid w:val="00451103"/>
    <w:rsid w:val="004511CF"/>
    <w:rsid w:val="0045125C"/>
    <w:rsid w:val="00451280"/>
    <w:rsid w:val="0045172B"/>
    <w:rsid w:val="00451FF1"/>
    <w:rsid w:val="00452090"/>
    <w:rsid w:val="004523F8"/>
    <w:rsid w:val="00452522"/>
    <w:rsid w:val="0045265D"/>
    <w:rsid w:val="004530DF"/>
    <w:rsid w:val="0045327F"/>
    <w:rsid w:val="0045358D"/>
    <w:rsid w:val="004537C9"/>
    <w:rsid w:val="004539D1"/>
    <w:rsid w:val="00453ABA"/>
    <w:rsid w:val="00453BCF"/>
    <w:rsid w:val="004546A6"/>
    <w:rsid w:val="00454A65"/>
    <w:rsid w:val="00454AD9"/>
    <w:rsid w:val="00454B80"/>
    <w:rsid w:val="00454F0B"/>
    <w:rsid w:val="0045501A"/>
    <w:rsid w:val="00455187"/>
    <w:rsid w:val="004551C5"/>
    <w:rsid w:val="004551EA"/>
    <w:rsid w:val="0045524A"/>
    <w:rsid w:val="00455455"/>
    <w:rsid w:val="00455677"/>
    <w:rsid w:val="00455904"/>
    <w:rsid w:val="004559EF"/>
    <w:rsid w:val="00455B5A"/>
    <w:rsid w:val="00455D4A"/>
    <w:rsid w:val="00455DF2"/>
    <w:rsid w:val="00455E43"/>
    <w:rsid w:val="0045606A"/>
    <w:rsid w:val="004566AF"/>
    <w:rsid w:val="00456C5D"/>
    <w:rsid w:val="00456CF7"/>
    <w:rsid w:val="00456D9C"/>
    <w:rsid w:val="00456DC2"/>
    <w:rsid w:val="004572C1"/>
    <w:rsid w:val="004572EA"/>
    <w:rsid w:val="004576A1"/>
    <w:rsid w:val="00457762"/>
    <w:rsid w:val="00457F2C"/>
    <w:rsid w:val="00460018"/>
    <w:rsid w:val="004601B5"/>
    <w:rsid w:val="0046024C"/>
    <w:rsid w:val="00460311"/>
    <w:rsid w:val="00460395"/>
    <w:rsid w:val="004603CF"/>
    <w:rsid w:val="0046053E"/>
    <w:rsid w:val="004605C0"/>
    <w:rsid w:val="004608C2"/>
    <w:rsid w:val="00460E6A"/>
    <w:rsid w:val="00460E9A"/>
    <w:rsid w:val="004610DA"/>
    <w:rsid w:val="0046111E"/>
    <w:rsid w:val="004612DC"/>
    <w:rsid w:val="004615EE"/>
    <w:rsid w:val="00461C9D"/>
    <w:rsid w:val="004624E5"/>
    <w:rsid w:val="00462585"/>
    <w:rsid w:val="004625FF"/>
    <w:rsid w:val="004628F2"/>
    <w:rsid w:val="00462952"/>
    <w:rsid w:val="0046344E"/>
    <w:rsid w:val="0046349F"/>
    <w:rsid w:val="004634B9"/>
    <w:rsid w:val="00463617"/>
    <w:rsid w:val="004637BE"/>
    <w:rsid w:val="00463985"/>
    <w:rsid w:val="00463BD8"/>
    <w:rsid w:val="00463BEF"/>
    <w:rsid w:val="004642FE"/>
    <w:rsid w:val="00464454"/>
    <w:rsid w:val="00464A4D"/>
    <w:rsid w:val="00464D41"/>
    <w:rsid w:val="0046519B"/>
    <w:rsid w:val="004651BE"/>
    <w:rsid w:val="00465287"/>
    <w:rsid w:val="0046568D"/>
    <w:rsid w:val="004657F0"/>
    <w:rsid w:val="00465B7F"/>
    <w:rsid w:val="00465CC6"/>
    <w:rsid w:val="00465E4F"/>
    <w:rsid w:val="00465ED4"/>
    <w:rsid w:val="00466010"/>
    <w:rsid w:val="004663BB"/>
    <w:rsid w:val="004665F0"/>
    <w:rsid w:val="00466713"/>
    <w:rsid w:val="00466B0F"/>
    <w:rsid w:val="00467139"/>
    <w:rsid w:val="0046718E"/>
    <w:rsid w:val="004672B4"/>
    <w:rsid w:val="00467739"/>
    <w:rsid w:val="00467A36"/>
    <w:rsid w:val="00467A86"/>
    <w:rsid w:val="00467B1D"/>
    <w:rsid w:val="00467D90"/>
    <w:rsid w:val="00470115"/>
    <w:rsid w:val="004703A9"/>
    <w:rsid w:val="00470C75"/>
    <w:rsid w:val="00470EA1"/>
    <w:rsid w:val="00471021"/>
    <w:rsid w:val="00471251"/>
    <w:rsid w:val="00471290"/>
    <w:rsid w:val="004715B6"/>
    <w:rsid w:val="00471682"/>
    <w:rsid w:val="0047184E"/>
    <w:rsid w:val="00471B8D"/>
    <w:rsid w:val="00471C64"/>
    <w:rsid w:val="00471E33"/>
    <w:rsid w:val="00471FB5"/>
    <w:rsid w:val="004720AF"/>
    <w:rsid w:val="00472212"/>
    <w:rsid w:val="0047250A"/>
    <w:rsid w:val="00472A6B"/>
    <w:rsid w:val="00472C43"/>
    <w:rsid w:val="00472D12"/>
    <w:rsid w:val="00472D68"/>
    <w:rsid w:val="0047333D"/>
    <w:rsid w:val="004733CF"/>
    <w:rsid w:val="0047346F"/>
    <w:rsid w:val="0047384D"/>
    <w:rsid w:val="0047397D"/>
    <w:rsid w:val="00474048"/>
    <w:rsid w:val="0047435A"/>
    <w:rsid w:val="0047460F"/>
    <w:rsid w:val="004748EB"/>
    <w:rsid w:val="00474B76"/>
    <w:rsid w:val="00474F43"/>
    <w:rsid w:val="00474FBA"/>
    <w:rsid w:val="00475731"/>
    <w:rsid w:val="00475888"/>
    <w:rsid w:val="00475A62"/>
    <w:rsid w:val="00475AE9"/>
    <w:rsid w:val="00475FB8"/>
    <w:rsid w:val="00476620"/>
    <w:rsid w:val="00476965"/>
    <w:rsid w:val="00476B30"/>
    <w:rsid w:val="00476C91"/>
    <w:rsid w:val="00476E17"/>
    <w:rsid w:val="00476E93"/>
    <w:rsid w:val="00477619"/>
    <w:rsid w:val="0047788D"/>
    <w:rsid w:val="00477D22"/>
    <w:rsid w:val="00477E15"/>
    <w:rsid w:val="00480154"/>
    <w:rsid w:val="004801B9"/>
    <w:rsid w:val="004802BF"/>
    <w:rsid w:val="004802F4"/>
    <w:rsid w:val="00480849"/>
    <w:rsid w:val="0048085B"/>
    <w:rsid w:val="00480D71"/>
    <w:rsid w:val="00480E4B"/>
    <w:rsid w:val="00480FAF"/>
    <w:rsid w:val="0048100E"/>
    <w:rsid w:val="0048151F"/>
    <w:rsid w:val="0048175A"/>
    <w:rsid w:val="0048178F"/>
    <w:rsid w:val="00481943"/>
    <w:rsid w:val="00481DD4"/>
    <w:rsid w:val="00481E2B"/>
    <w:rsid w:val="0048209A"/>
    <w:rsid w:val="0048214F"/>
    <w:rsid w:val="00482160"/>
    <w:rsid w:val="0048274A"/>
    <w:rsid w:val="0048282B"/>
    <w:rsid w:val="004829FF"/>
    <w:rsid w:val="00482C72"/>
    <w:rsid w:val="0048332C"/>
    <w:rsid w:val="004839DC"/>
    <w:rsid w:val="00483B8C"/>
    <w:rsid w:val="00483C0C"/>
    <w:rsid w:val="004840DF"/>
    <w:rsid w:val="004841CB"/>
    <w:rsid w:val="0048433F"/>
    <w:rsid w:val="00484759"/>
    <w:rsid w:val="00484B22"/>
    <w:rsid w:val="00484C00"/>
    <w:rsid w:val="00484D25"/>
    <w:rsid w:val="004850CE"/>
    <w:rsid w:val="004852B1"/>
    <w:rsid w:val="00485AAC"/>
    <w:rsid w:val="00485BF6"/>
    <w:rsid w:val="00485BF7"/>
    <w:rsid w:val="00485C24"/>
    <w:rsid w:val="00485C4A"/>
    <w:rsid w:val="00485F2A"/>
    <w:rsid w:val="004862E4"/>
    <w:rsid w:val="00486573"/>
    <w:rsid w:val="004866FE"/>
    <w:rsid w:val="00486821"/>
    <w:rsid w:val="00486B30"/>
    <w:rsid w:val="00486C80"/>
    <w:rsid w:val="00486D1E"/>
    <w:rsid w:val="00486D4A"/>
    <w:rsid w:val="00486DB5"/>
    <w:rsid w:val="00486DD1"/>
    <w:rsid w:val="00486FC4"/>
    <w:rsid w:val="0048714D"/>
    <w:rsid w:val="004874A6"/>
    <w:rsid w:val="004876EE"/>
    <w:rsid w:val="004876F6"/>
    <w:rsid w:val="00487BC6"/>
    <w:rsid w:val="00487D7C"/>
    <w:rsid w:val="00487F92"/>
    <w:rsid w:val="004905C6"/>
    <w:rsid w:val="004907A7"/>
    <w:rsid w:val="00490AB3"/>
    <w:rsid w:val="00491670"/>
    <w:rsid w:val="00491934"/>
    <w:rsid w:val="00491A79"/>
    <w:rsid w:val="00491B0D"/>
    <w:rsid w:val="00491EA2"/>
    <w:rsid w:val="0049201B"/>
    <w:rsid w:val="0049218C"/>
    <w:rsid w:val="00492723"/>
    <w:rsid w:val="004928BA"/>
    <w:rsid w:val="004928EE"/>
    <w:rsid w:val="00492A12"/>
    <w:rsid w:val="00492AB9"/>
    <w:rsid w:val="00492ABF"/>
    <w:rsid w:val="00492C00"/>
    <w:rsid w:val="00492F6B"/>
    <w:rsid w:val="00493000"/>
    <w:rsid w:val="004930A3"/>
    <w:rsid w:val="00493267"/>
    <w:rsid w:val="0049356D"/>
    <w:rsid w:val="00493616"/>
    <w:rsid w:val="004937C8"/>
    <w:rsid w:val="004938A3"/>
    <w:rsid w:val="0049394F"/>
    <w:rsid w:val="00493FC2"/>
    <w:rsid w:val="00494656"/>
    <w:rsid w:val="0049498F"/>
    <w:rsid w:val="00494A06"/>
    <w:rsid w:val="00494AD8"/>
    <w:rsid w:val="00494C7F"/>
    <w:rsid w:val="00494CE9"/>
    <w:rsid w:val="00494E2A"/>
    <w:rsid w:val="00494F07"/>
    <w:rsid w:val="00494F2F"/>
    <w:rsid w:val="00494FFC"/>
    <w:rsid w:val="004950A6"/>
    <w:rsid w:val="004951F9"/>
    <w:rsid w:val="004953A4"/>
    <w:rsid w:val="00495479"/>
    <w:rsid w:val="004954F8"/>
    <w:rsid w:val="00495699"/>
    <w:rsid w:val="004956B4"/>
    <w:rsid w:val="004958EB"/>
    <w:rsid w:val="00495A63"/>
    <w:rsid w:val="00495ADF"/>
    <w:rsid w:val="00495B8C"/>
    <w:rsid w:val="00495BEA"/>
    <w:rsid w:val="00495C4F"/>
    <w:rsid w:val="0049608A"/>
    <w:rsid w:val="004960D9"/>
    <w:rsid w:val="0049610B"/>
    <w:rsid w:val="00496149"/>
    <w:rsid w:val="00496348"/>
    <w:rsid w:val="0049638D"/>
    <w:rsid w:val="004964AF"/>
    <w:rsid w:val="00496560"/>
    <w:rsid w:val="00496A89"/>
    <w:rsid w:val="00496D0F"/>
    <w:rsid w:val="0049705E"/>
    <w:rsid w:val="0049767A"/>
    <w:rsid w:val="00497855"/>
    <w:rsid w:val="00497AF4"/>
    <w:rsid w:val="00497CCF"/>
    <w:rsid w:val="00497DF2"/>
    <w:rsid w:val="00497E05"/>
    <w:rsid w:val="004A05A9"/>
    <w:rsid w:val="004A088F"/>
    <w:rsid w:val="004A0ADC"/>
    <w:rsid w:val="004A0AE8"/>
    <w:rsid w:val="004A0B0D"/>
    <w:rsid w:val="004A0D4C"/>
    <w:rsid w:val="004A1074"/>
    <w:rsid w:val="004A1278"/>
    <w:rsid w:val="004A18C6"/>
    <w:rsid w:val="004A1B52"/>
    <w:rsid w:val="004A1C08"/>
    <w:rsid w:val="004A235A"/>
    <w:rsid w:val="004A2569"/>
    <w:rsid w:val="004A2771"/>
    <w:rsid w:val="004A283A"/>
    <w:rsid w:val="004A2883"/>
    <w:rsid w:val="004A2C0A"/>
    <w:rsid w:val="004A2CE5"/>
    <w:rsid w:val="004A2CFF"/>
    <w:rsid w:val="004A2DE3"/>
    <w:rsid w:val="004A2E03"/>
    <w:rsid w:val="004A323C"/>
    <w:rsid w:val="004A3BA3"/>
    <w:rsid w:val="004A3C70"/>
    <w:rsid w:val="004A3D87"/>
    <w:rsid w:val="004A3F63"/>
    <w:rsid w:val="004A45FB"/>
    <w:rsid w:val="004A475E"/>
    <w:rsid w:val="004A47E7"/>
    <w:rsid w:val="004A47F2"/>
    <w:rsid w:val="004A4BB3"/>
    <w:rsid w:val="004A4C17"/>
    <w:rsid w:val="004A4D89"/>
    <w:rsid w:val="004A4F98"/>
    <w:rsid w:val="004A557C"/>
    <w:rsid w:val="004A581F"/>
    <w:rsid w:val="004A5F95"/>
    <w:rsid w:val="004A643B"/>
    <w:rsid w:val="004A67DE"/>
    <w:rsid w:val="004A6C5E"/>
    <w:rsid w:val="004A6E8B"/>
    <w:rsid w:val="004A6F59"/>
    <w:rsid w:val="004A704F"/>
    <w:rsid w:val="004A78BB"/>
    <w:rsid w:val="004A78E9"/>
    <w:rsid w:val="004A7FB7"/>
    <w:rsid w:val="004B0248"/>
    <w:rsid w:val="004B028D"/>
    <w:rsid w:val="004B028F"/>
    <w:rsid w:val="004B02E8"/>
    <w:rsid w:val="004B0638"/>
    <w:rsid w:val="004B0870"/>
    <w:rsid w:val="004B0937"/>
    <w:rsid w:val="004B0A53"/>
    <w:rsid w:val="004B0B3F"/>
    <w:rsid w:val="004B0B6F"/>
    <w:rsid w:val="004B0D7E"/>
    <w:rsid w:val="004B0F7F"/>
    <w:rsid w:val="004B1134"/>
    <w:rsid w:val="004B1215"/>
    <w:rsid w:val="004B1242"/>
    <w:rsid w:val="004B12C5"/>
    <w:rsid w:val="004B1C17"/>
    <w:rsid w:val="004B1C56"/>
    <w:rsid w:val="004B1D75"/>
    <w:rsid w:val="004B1E91"/>
    <w:rsid w:val="004B21BF"/>
    <w:rsid w:val="004B2334"/>
    <w:rsid w:val="004B241E"/>
    <w:rsid w:val="004B270F"/>
    <w:rsid w:val="004B2828"/>
    <w:rsid w:val="004B2B55"/>
    <w:rsid w:val="004B2CCD"/>
    <w:rsid w:val="004B2EF4"/>
    <w:rsid w:val="004B304F"/>
    <w:rsid w:val="004B30B9"/>
    <w:rsid w:val="004B321D"/>
    <w:rsid w:val="004B3656"/>
    <w:rsid w:val="004B36EB"/>
    <w:rsid w:val="004B3785"/>
    <w:rsid w:val="004B38CF"/>
    <w:rsid w:val="004B3A74"/>
    <w:rsid w:val="004B3B2E"/>
    <w:rsid w:val="004B3B57"/>
    <w:rsid w:val="004B3CFE"/>
    <w:rsid w:val="004B3EF1"/>
    <w:rsid w:val="004B4013"/>
    <w:rsid w:val="004B423D"/>
    <w:rsid w:val="004B43E1"/>
    <w:rsid w:val="004B4529"/>
    <w:rsid w:val="004B4734"/>
    <w:rsid w:val="004B4772"/>
    <w:rsid w:val="004B49E7"/>
    <w:rsid w:val="004B4C18"/>
    <w:rsid w:val="004B4F11"/>
    <w:rsid w:val="004B51B7"/>
    <w:rsid w:val="004B5217"/>
    <w:rsid w:val="004B5476"/>
    <w:rsid w:val="004B5A05"/>
    <w:rsid w:val="004B5B58"/>
    <w:rsid w:val="004B5EB8"/>
    <w:rsid w:val="004B60EB"/>
    <w:rsid w:val="004B687D"/>
    <w:rsid w:val="004B69C4"/>
    <w:rsid w:val="004B6A8B"/>
    <w:rsid w:val="004B6AF5"/>
    <w:rsid w:val="004B6C17"/>
    <w:rsid w:val="004B6C1B"/>
    <w:rsid w:val="004B6D2C"/>
    <w:rsid w:val="004B78A8"/>
    <w:rsid w:val="004B7A7D"/>
    <w:rsid w:val="004B7A82"/>
    <w:rsid w:val="004B7C7E"/>
    <w:rsid w:val="004B7CF2"/>
    <w:rsid w:val="004C002E"/>
    <w:rsid w:val="004C0306"/>
    <w:rsid w:val="004C03C3"/>
    <w:rsid w:val="004C0495"/>
    <w:rsid w:val="004C07D1"/>
    <w:rsid w:val="004C104C"/>
    <w:rsid w:val="004C15D2"/>
    <w:rsid w:val="004C1A2B"/>
    <w:rsid w:val="004C1EEE"/>
    <w:rsid w:val="004C1F11"/>
    <w:rsid w:val="004C1F53"/>
    <w:rsid w:val="004C1FCE"/>
    <w:rsid w:val="004C2083"/>
    <w:rsid w:val="004C2282"/>
    <w:rsid w:val="004C22EB"/>
    <w:rsid w:val="004C2318"/>
    <w:rsid w:val="004C2589"/>
    <w:rsid w:val="004C272A"/>
    <w:rsid w:val="004C279E"/>
    <w:rsid w:val="004C2890"/>
    <w:rsid w:val="004C29BA"/>
    <w:rsid w:val="004C2AA2"/>
    <w:rsid w:val="004C2B7B"/>
    <w:rsid w:val="004C2E73"/>
    <w:rsid w:val="004C3049"/>
    <w:rsid w:val="004C304D"/>
    <w:rsid w:val="004C31AC"/>
    <w:rsid w:val="004C330D"/>
    <w:rsid w:val="004C360C"/>
    <w:rsid w:val="004C37FE"/>
    <w:rsid w:val="004C3A21"/>
    <w:rsid w:val="004C3A74"/>
    <w:rsid w:val="004C3B4B"/>
    <w:rsid w:val="004C3D7E"/>
    <w:rsid w:val="004C3E3A"/>
    <w:rsid w:val="004C3EFF"/>
    <w:rsid w:val="004C3F96"/>
    <w:rsid w:val="004C40C5"/>
    <w:rsid w:val="004C428C"/>
    <w:rsid w:val="004C42C3"/>
    <w:rsid w:val="004C4606"/>
    <w:rsid w:val="004C4AD8"/>
    <w:rsid w:val="004C4D52"/>
    <w:rsid w:val="004C4E2D"/>
    <w:rsid w:val="004C4E72"/>
    <w:rsid w:val="004C5031"/>
    <w:rsid w:val="004C533A"/>
    <w:rsid w:val="004C53B6"/>
    <w:rsid w:val="004C5681"/>
    <w:rsid w:val="004C5989"/>
    <w:rsid w:val="004C6302"/>
    <w:rsid w:val="004C654A"/>
    <w:rsid w:val="004C6676"/>
    <w:rsid w:val="004C68AD"/>
    <w:rsid w:val="004C698B"/>
    <w:rsid w:val="004C6A9F"/>
    <w:rsid w:val="004C6B2E"/>
    <w:rsid w:val="004C6DF4"/>
    <w:rsid w:val="004C6FA9"/>
    <w:rsid w:val="004C70A3"/>
    <w:rsid w:val="004C70C3"/>
    <w:rsid w:val="004C7473"/>
    <w:rsid w:val="004C74A8"/>
    <w:rsid w:val="004C7711"/>
    <w:rsid w:val="004C793D"/>
    <w:rsid w:val="004C79C3"/>
    <w:rsid w:val="004C7BFB"/>
    <w:rsid w:val="004C7D99"/>
    <w:rsid w:val="004C7EB1"/>
    <w:rsid w:val="004D0162"/>
    <w:rsid w:val="004D06CA"/>
    <w:rsid w:val="004D0761"/>
    <w:rsid w:val="004D1063"/>
    <w:rsid w:val="004D107D"/>
    <w:rsid w:val="004D132F"/>
    <w:rsid w:val="004D152F"/>
    <w:rsid w:val="004D1547"/>
    <w:rsid w:val="004D17E4"/>
    <w:rsid w:val="004D1883"/>
    <w:rsid w:val="004D1916"/>
    <w:rsid w:val="004D1A97"/>
    <w:rsid w:val="004D1B37"/>
    <w:rsid w:val="004D1C9C"/>
    <w:rsid w:val="004D1E37"/>
    <w:rsid w:val="004D1F2B"/>
    <w:rsid w:val="004D1F78"/>
    <w:rsid w:val="004D2003"/>
    <w:rsid w:val="004D2185"/>
    <w:rsid w:val="004D2316"/>
    <w:rsid w:val="004D250B"/>
    <w:rsid w:val="004D25B8"/>
    <w:rsid w:val="004D268D"/>
    <w:rsid w:val="004D29AC"/>
    <w:rsid w:val="004D2C84"/>
    <w:rsid w:val="004D2D83"/>
    <w:rsid w:val="004D3150"/>
    <w:rsid w:val="004D3287"/>
    <w:rsid w:val="004D3296"/>
    <w:rsid w:val="004D3381"/>
    <w:rsid w:val="004D3562"/>
    <w:rsid w:val="004D377A"/>
    <w:rsid w:val="004D3B54"/>
    <w:rsid w:val="004D3BFF"/>
    <w:rsid w:val="004D3D4E"/>
    <w:rsid w:val="004D3E2E"/>
    <w:rsid w:val="004D3F65"/>
    <w:rsid w:val="004D3F8A"/>
    <w:rsid w:val="004D3F8B"/>
    <w:rsid w:val="004D440A"/>
    <w:rsid w:val="004D4772"/>
    <w:rsid w:val="004D47FA"/>
    <w:rsid w:val="004D483C"/>
    <w:rsid w:val="004D490D"/>
    <w:rsid w:val="004D4FF5"/>
    <w:rsid w:val="004D66F5"/>
    <w:rsid w:val="004D6935"/>
    <w:rsid w:val="004D69E3"/>
    <w:rsid w:val="004D6B00"/>
    <w:rsid w:val="004D6B8E"/>
    <w:rsid w:val="004D6B94"/>
    <w:rsid w:val="004D702A"/>
    <w:rsid w:val="004D705B"/>
    <w:rsid w:val="004D70CF"/>
    <w:rsid w:val="004D7894"/>
    <w:rsid w:val="004D7ACC"/>
    <w:rsid w:val="004D7B33"/>
    <w:rsid w:val="004D7D4D"/>
    <w:rsid w:val="004D7E15"/>
    <w:rsid w:val="004D7E53"/>
    <w:rsid w:val="004D7E8B"/>
    <w:rsid w:val="004D7FD7"/>
    <w:rsid w:val="004E009B"/>
    <w:rsid w:val="004E05C1"/>
    <w:rsid w:val="004E0604"/>
    <w:rsid w:val="004E0A94"/>
    <w:rsid w:val="004E0B60"/>
    <w:rsid w:val="004E107C"/>
    <w:rsid w:val="004E11F6"/>
    <w:rsid w:val="004E1385"/>
    <w:rsid w:val="004E1895"/>
    <w:rsid w:val="004E1AE3"/>
    <w:rsid w:val="004E1B8A"/>
    <w:rsid w:val="004E1BE8"/>
    <w:rsid w:val="004E1BF6"/>
    <w:rsid w:val="004E1C07"/>
    <w:rsid w:val="004E1C48"/>
    <w:rsid w:val="004E1E67"/>
    <w:rsid w:val="004E1F64"/>
    <w:rsid w:val="004E2253"/>
    <w:rsid w:val="004E238A"/>
    <w:rsid w:val="004E24FA"/>
    <w:rsid w:val="004E269D"/>
    <w:rsid w:val="004E272F"/>
    <w:rsid w:val="004E27D9"/>
    <w:rsid w:val="004E3264"/>
    <w:rsid w:val="004E3461"/>
    <w:rsid w:val="004E3494"/>
    <w:rsid w:val="004E384C"/>
    <w:rsid w:val="004E3B6B"/>
    <w:rsid w:val="004E3BBD"/>
    <w:rsid w:val="004E3F44"/>
    <w:rsid w:val="004E4002"/>
    <w:rsid w:val="004E409A"/>
    <w:rsid w:val="004E4121"/>
    <w:rsid w:val="004E4198"/>
    <w:rsid w:val="004E4598"/>
    <w:rsid w:val="004E54E6"/>
    <w:rsid w:val="004E5826"/>
    <w:rsid w:val="004E58F6"/>
    <w:rsid w:val="004E5AD4"/>
    <w:rsid w:val="004E5B7C"/>
    <w:rsid w:val="004E5BC4"/>
    <w:rsid w:val="004E5CD6"/>
    <w:rsid w:val="004E5DB4"/>
    <w:rsid w:val="004E61AA"/>
    <w:rsid w:val="004E64F2"/>
    <w:rsid w:val="004E66ED"/>
    <w:rsid w:val="004E6873"/>
    <w:rsid w:val="004E68F6"/>
    <w:rsid w:val="004E7114"/>
    <w:rsid w:val="004E7274"/>
    <w:rsid w:val="004E731E"/>
    <w:rsid w:val="004E7496"/>
    <w:rsid w:val="004E7554"/>
    <w:rsid w:val="004E7968"/>
    <w:rsid w:val="004E797F"/>
    <w:rsid w:val="004E7D1E"/>
    <w:rsid w:val="004F032D"/>
    <w:rsid w:val="004F04C3"/>
    <w:rsid w:val="004F0753"/>
    <w:rsid w:val="004F0ADE"/>
    <w:rsid w:val="004F1181"/>
    <w:rsid w:val="004F11BB"/>
    <w:rsid w:val="004F11D7"/>
    <w:rsid w:val="004F12C3"/>
    <w:rsid w:val="004F12DA"/>
    <w:rsid w:val="004F1537"/>
    <w:rsid w:val="004F160A"/>
    <w:rsid w:val="004F16AF"/>
    <w:rsid w:val="004F182D"/>
    <w:rsid w:val="004F18F8"/>
    <w:rsid w:val="004F1CE3"/>
    <w:rsid w:val="004F1EC3"/>
    <w:rsid w:val="004F1F69"/>
    <w:rsid w:val="004F1FE0"/>
    <w:rsid w:val="004F256F"/>
    <w:rsid w:val="004F282C"/>
    <w:rsid w:val="004F2CE1"/>
    <w:rsid w:val="004F2CF5"/>
    <w:rsid w:val="004F2D5F"/>
    <w:rsid w:val="004F2E01"/>
    <w:rsid w:val="004F3015"/>
    <w:rsid w:val="004F3079"/>
    <w:rsid w:val="004F30C6"/>
    <w:rsid w:val="004F31F4"/>
    <w:rsid w:val="004F323B"/>
    <w:rsid w:val="004F3489"/>
    <w:rsid w:val="004F35A3"/>
    <w:rsid w:val="004F36E7"/>
    <w:rsid w:val="004F3E1F"/>
    <w:rsid w:val="004F412C"/>
    <w:rsid w:val="004F4148"/>
    <w:rsid w:val="004F41CF"/>
    <w:rsid w:val="004F439B"/>
    <w:rsid w:val="004F44B7"/>
    <w:rsid w:val="004F4669"/>
    <w:rsid w:val="004F46B3"/>
    <w:rsid w:val="004F475C"/>
    <w:rsid w:val="004F479D"/>
    <w:rsid w:val="004F4937"/>
    <w:rsid w:val="004F4947"/>
    <w:rsid w:val="004F4C9F"/>
    <w:rsid w:val="004F4D71"/>
    <w:rsid w:val="004F586A"/>
    <w:rsid w:val="004F5987"/>
    <w:rsid w:val="004F5C6E"/>
    <w:rsid w:val="004F5D44"/>
    <w:rsid w:val="004F5E55"/>
    <w:rsid w:val="004F6191"/>
    <w:rsid w:val="004F6489"/>
    <w:rsid w:val="004F657B"/>
    <w:rsid w:val="004F6621"/>
    <w:rsid w:val="004F6B64"/>
    <w:rsid w:val="004F6DA3"/>
    <w:rsid w:val="004F6EA9"/>
    <w:rsid w:val="004F6FC4"/>
    <w:rsid w:val="004F77D2"/>
    <w:rsid w:val="004F798C"/>
    <w:rsid w:val="004F7F48"/>
    <w:rsid w:val="005000B9"/>
    <w:rsid w:val="005001A9"/>
    <w:rsid w:val="005001C2"/>
    <w:rsid w:val="005001EC"/>
    <w:rsid w:val="0050046B"/>
    <w:rsid w:val="0050052B"/>
    <w:rsid w:val="0050087B"/>
    <w:rsid w:val="005009F1"/>
    <w:rsid w:val="00500B7C"/>
    <w:rsid w:val="00500B8F"/>
    <w:rsid w:val="00500E56"/>
    <w:rsid w:val="00500F4F"/>
    <w:rsid w:val="0050122C"/>
    <w:rsid w:val="00501726"/>
    <w:rsid w:val="00501AD0"/>
    <w:rsid w:val="00501E47"/>
    <w:rsid w:val="005020DE"/>
    <w:rsid w:val="005020FE"/>
    <w:rsid w:val="00502686"/>
    <w:rsid w:val="005027DA"/>
    <w:rsid w:val="00502805"/>
    <w:rsid w:val="0050286B"/>
    <w:rsid w:val="00502B1C"/>
    <w:rsid w:val="00502B94"/>
    <w:rsid w:val="00503030"/>
    <w:rsid w:val="00503066"/>
    <w:rsid w:val="005033BE"/>
    <w:rsid w:val="00503817"/>
    <w:rsid w:val="005039A1"/>
    <w:rsid w:val="00503C65"/>
    <w:rsid w:val="00503D59"/>
    <w:rsid w:val="00503D68"/>
    <w:rsid w:val="00503DA1"/>
    <w:rsid w:val="00503F09"/>
    <w:rsid w:val="0050456F"/>
    <w:rsid w:val="005045D3"/>
    <w:rsid w:val="0050473A"/>
    <w:rsid w:val="00504ABB"/>
    <w:rsid w:val="00504FB1"/>
    <w:rsid w:val="005050F8"/>
    <w:rsid w:val="00505471"/>
    <w:rsid w:val="0050550E"/>
    <w:rsid w:val="005055B3"/>
    <w:rsid w:val="005057DE"/>
    <w:rsid w:val="00505878"/>
    <w:rsid w:val="00505B80"/>
    <w:rsid w:val="00505E8F"/>
    <w:rsid w:val="00506072"/>
    <w:rsid w:val="00506241"/>
    <w:rsid w:val="005062BA"/>
    <w:rsid w:val="005067F6"/>
    <w:rsid w:val="00506B1D"/>
    <w:rsid w:val="00506B4B"/>
    <w:rsid w:val="00506D96"/>
    <w:rsid w:val="00506D9F"/>
    <w:rsid w:val="00507124"/>
    <w:rsid w:val="00507422"/>
    <w:rsid w:val="0050744F"/>
    <w:rsid w:val="005075C6"/>
    <w:rsid w:val="005075EE"/>
    <w:rsid w:val="005077AB"/>
    <w:rsid w:val="00507BE7"/>
    <w:rsid w:val="00507CCD"/>
    <w:rsid w:val="00507DBA"/>
    <w:rsid w:val="00507EC6"/>
    <w:rsid w:val="00507F50"/>
    <w:rsid w:val="005100FF"/>
    <w:rsid w:val="005102C5"/>
    <w:rsid w:val="005107F0"/>
    <w:rsid w:val="00510ABA"/>
    <w:rsid w:val="00510B98"/>
    <w:rsid w:val="00510C41"/>
    <w:rsid w:val="00510CE0"/>
    <w:rsid w:val="00510D89"/>
    <w:rsid w:val="00510EA3"/>
    <w:rsid w:val="00510FD9"/>
    <w:rsid w:val="0051107B"/>
    <w:rsid w:val="00511370"/>
    <w:rsid w:val="00511475"/>
    <w:rsid w:val="00511BE7"/>
    <w:rsid w:val="00511ED5"/>
    <w:rsid w:val="00512183"/>
    <w:rsid w:val="00512282"/>
    <w:rsid w:val="00512544"/>
    <w:rsid w:val="00512CCA"/>
    <w:rsid w:val="00512E1F"/>
    <w:rsid w:val="0051353B"/>
    <w:rsid w:val="00513620"/>
    <w:rsid w:val="0051364D"/>
    <w:rsid w:val="00513C61"/>
    <w:rsid w:val="00513EC6"/>
    <w:rsid w:val="005140A7"/>
    <w:rsid w:val="005147B7"/>
    <w:rsid w:val="0051491F"/>
    <w:rsid w:val="00514A2A"/>
    <w:rsid w:val="00514CCE"/>
    <w:rsid w:val="00514DB7"/>
    <w:rsid w:val="00514DDD"/>
    <w:rsid w:val="00514FCD"/>
    <w:rsid w:val="005150FA"/>
    <w:rsid w:val="005152C8"/>
    <w:rsid w:val="00515B05"/>
    <w:rsid w:val="00515D03"/>
    <w:rsid w:val="00515E0C"/>
    <w:rsid w:val="00515F42"/>
    <w:rsid w:val="0051606D"/>
    <w:rsid w:val="00516089"/>
    <w:rsid w:val="005161D7"/>
    <w:rsid w:val="0051655A"/>
    <w:rsid w:val="0051694C"/>
    <w:rsid w:val="00516B7D"/>
    <w:rsid w:val="00516EC4"/>
    <w:rsid w:val="00516F61"/>
    <w:rsid w:val="00517387"/>
    <w:rsid w:val="00517913"/>
    <w:rsid w:val="00517B6A"/>
    <w:rsid w:val="00517C5C"/>
    <w:rsid w:val="00517D31"/>
    <w:rsid w:val="00520027"/>
    <w:rsid w:val="00520061"/>
    <w:rsid w:val="00520165"/>
    <w:rsid w:val="005202EA"/>
    <w:rsid w:val="00520523"/>
    <w:rsid w:val="00520573"/>
    <w:rsid w:val="00520932"/>
    <w:rsid w:val="00520BE3"/>
    <w:rsid w:val="00520C65"/>
    <w:rsid w:val="00520D45"/>
    <w:rsid w:val="00520E22"/>
    <w:rsid w:val="00520ED4"/>
    <w:rsid w:val="00521016"/>
    <w:rsid w:val="00521276"/>
    <w:rsid w:val="00521B8C"/>
    <w:rsid w:val="00521FDC"/>
    <w:rsid w:val="005220BF"/>
    <w:rsid w:val="00522477"/>
    <w:rsid w:val="00522667"/>
    <w:rsid w:val="00522970"/>
    <w:rsid w:val="00522CF6"/>
    <w:rsid w:val="005230BD"/>
    <w:rsid w:val="00523572"/>
    <w:rsid w:val="005236AB"/>
    <w:rsid w:val="00523EB1"/>
    <w:rsid w:val="00523F14"/>
    <w:rsid w:val="00523F3D"/>
    <w:rsid w:val="00524170"/>
    <w:rsid w:val="0052423F"/>
    <w:rsid w:val="0052457E"/>
    <w:rsid w:val="005246E9"/>
    <w:rsid w:val="00525195"/>
    <w:rsid w:val="005252B3"/>
    <w:rsid w:val="005252C8"/>
    <w:rsid w:val="005253C6"/>
    <w:rsid w:val="00525436"/>
    <w:rsid w:val="00525874"/>
    <w:rsid w:val="0052588C"/>
    <w:rsid w:val="005259D3"/>
    <w:rsid w:val="00525AB9"/>
    <w:rsid w:val="00525BB0"/>
    <w:rsid w:val="00525C75"/>
    <w:rsid w:val="00525E24"/>
    <w:rsid w:val="00525FA2"/>
    <w:rsid w:val="00526007"/>
    <w:rsid w:val="0052619A"/>
    <w:rsid w:val="005268A6"/>
    <w:rsid w:val="00526DEC"/>
    <w:rsid w:val="00526EA0"/>
    <w:rsid w:val="00527019"/>
    <w:rsid w:val="00527486"/>
    <w:rsid w:val="00527690"/>
    <w:rsid w:val="005276E2"/>
    <w:rsid w:val="00527C25"/>
    <w:rsid w:val="00527C5B"/>
    <w:rsid w:val="00527CA2"/>
    <w:rsid w:val="00527EBF"/>
    <w:rsid w:val="00530034"/>
    <w:rsid w:val="00530208"/>
    <w:rsid w:val="005302B6"/>
    <w:rsid w:val="0053064A"/>
    <w:rsid w:val="0053078F"/>
    <w:rsid w:val="00530954"/>
    <w:rsid w:val="00530A59"/>
    <w:rsid w:val="00530C47"/>
    <w:rsid w:val="00530DF4"/>
    <w:rsid w:val="00530F7F"/>
    <w:rsid w:val="00531183"/>
    <w:rsid w:val="00531186"/>
    <w:rsid w:val="00531BA7"/>
    <w:rsid w:val="00531F3B"/>
    <w:rsid w:val="00532373"/>
    <w:rsid w:val="00532772"/>
    <w:rsid w:val="00532908"/>
    <w:rsid w:val="00532BBC"/>
    <w:rsid w:val="00532CDD"/>
    <w:rsid w:val="00532E06"/>
    <w:rsid w:val="005338C6"/>
    <w:rsid w:val="00533B6C"/>
    <w:rsid w:val="00533B95"/>
    <w:rsid w:val="00533BC5"/>
    <w:rsid w:val="00533DD5"/>
    <w:rsid w:val="00533E76"/>
    <w:rsid w:val="005340C6"/>
    <w:rsid w:val="00534127"/>
    <w:rsid w:val="0053416F"/>
    <w:rsid w:val="005348A3"/>
    <w:rsid w:val="00534B90"/>
    <w:rsid w:val="00534D39"/>
    <w:rsid w:val="00534ECC"/>
    <w:rsid w:val="00534FDF"/>
    <w:rsid w:val="00535129"/>
    <w:rsid w:val="0053525A"/>
    <w:rsid w:val="005354CE"/>
    <w:rsid w:val="005357F3"/>
    <w:rsid w:val="00535A7E"/>
    <w:rsid w:val="00536047"/>
    <w:rsid w:val="00536365"/>
    <w:rsid w:val="00536435"/>
    <w:rsid w:val="0053643E"/>
    <w:rsid w:val="005365CB"/>
    <w:rsid w:val="00536C53"/>
    <w:rsid w:val="00536DB9"/>
    <w:rsid w:val="00536E4E"/>
    <w:rsid w:val="00536FCC"/>
    <w:rsid w:val="005370BB"/>
    <w:rsid w:val="005371F3"/>
    <w:rsid w:val="005374EC"/>
    <w:rsid w:val="00537811"/>
    <w:rsid w:val="00537998"/>
    <w:rsid w:val="00537A42"/>
    <w:rsid w:val="00537A69"/>
    <w:rsid w:val="00537D7B"/>
    <w:rsid w:val="00537F11"/>
    <w:rsid w:val="005400CC"/>
    <w:rsid w:val="00540220"/>
    <w:rsid w:val="00540349"/>
    <w:rsid w:val="0054034A"/>
    <w:rsid w:val="005406A6"/>
    <w:rsid w:val="00540A1B"/>
    <w:rsid w:val="00540A96"/>
    <w:rsid w:val="00540EB0"/>
    <w:rsid w:val="0054132D"/>
    <w:rsid w:val="005417A6"/>
    <w:rsid w:val="0054199F"/>
    <w:rsid w:val="00541A0E"/>
    <w:rsid w:val="00541A18"/>
    <w:rsid w:val="0054223F"/>
    <w:rsid w:val="005423C5"/>
    <w:rsid w:val="005427A6"/>
    <w:rsid w:val="005428ED"/>
    <w:rsid w:val="005429FD"/>
    <w:rsid w:val="00542E21"/>
    <w:rsid w:val="00542EBA"/>
    <w:rsid w:val="00543062"/>
    <w:rsid w:val="005430A4"/>
    <w:rsid w:val="00543366"/>
    <w:rsid w:val="005436BA"/>
    <w:rsid w:val="005437BD"/>
    <w:rsid w:val="00543917"/>
    <w:rsid w:val="005439FE"/>
    <w:rsid w:val="00543B0B"/>
    <w:rsid w:val="0054412E"/>
    <w:rsid w:val="0054420D"/>
    <w:rsid w:val="00544453"/>
    <w:rsid w:val="005444B5"/>
    <w:rsid w:val="0054460A"/>
    <w:rsid w:val="005446DC"/>
    <w:rsid w:val="0054495C"/>
    <w:rsid w:val="00544D11"/>
    <w:rsid w:val="00544EA4"/>
    <w:rsid w:val="005453B4"/>
    <w:rsid w:val="005456C7"/>
    <w:rsid w:val="00545918"/>
    <w:rsid w:val="00545981"/>
    <w:rsid w:val="00545B18"/>
    <w:rsid w:val="00545D55"/>
    <w:rsid w:val="00545D9C"/>
    <w:rsid w:val="00545E0C"/>
    <w:rsid w:val="0054645E"/>
    <w:rsid w:val="005464B7"/>
    <w:rsid w:val="00546583"/>
    <w:rsid w:val="0054667D"/>
    <w:rsid w:val="00546879"/>
    <w:rsid w:val="005469B0"/>
    <w:rsid w:val="00546B3F"/>
    <w:rsid w:val="00546D66"/>
    <w:rsid w:val="00546E56"/>
    <w:rsid w:val="00546F24"/>
    <w:rsid w:val="005470B7"/>
    <w:rsid w:val="005470F1"/>
    <w:rsid w:val="00547180"/>
    <w:rsid w:val="005472E9"/>
    <w:rsid w:val="005474EE"/>
    <w:rsid w:val="0054750C"/>
    <w:rsid w:val="005475C8"/>
    <w:rsid w:val="0054775F"/>
    <w:rsid w:val="005478AB"/>
    <w:rsid w:val="00550005"/>
    <w:rsid w:val="0055018A"/>
    <w:rsid w:val="00550339"/>
    <w:rsid w:val="005504C6"/>
    <w:rsid w:val="0055066F"/>
    <w:rsid w:val="00550891"/>
    <w:rsid w:val="00550D34"/>
    <w:rsid w:val="00550F34"/>
    <w:rsid w:val="005510C8"/>
    <w:rsid w:val="00551F65"/>
    <w:rsid w:val="00551FB6"/>
    <w:rsid w:val="0055219F"/>
    <w:rsid w:val="00552258"/>
    <w:rsid w:val="0055238C"/>
    <w:rsid w:val="0055254E"/>
    <w:rsid w:val="00552B20"/>
    <w:rsid w:val="00552E19"/>
    <w:rsid w:val="005531BA"/>
    <w:rsid w:val="0055320A"/>
    <w:rsid w:val="00553422"/>
    <w:rsid w:val="005535D5"/>
    <w:rsid w:val="00553954"/>
    <w:rsid w:val="00553CEE"/>
    <w:rsid w:val="00553E5A"/>
    <w:rsid w:val="00554468"/>
    <w:rsid w:val="005544CD"/>
    <w:rsid w:val="00554571"/>
    <w:rsid w:val="005548BD"/>
    <w:rsid w:val="00554B1C"/>
    <w:rsid w:val="00554FE5"/>
    <w:rsid w:val="005550D3"/>
    <w:rsid w:val="005551C9"/>
    <w:rsid w:val="005552BF"/>
    <w:rsid w:val="005555D3"/>
    <w:rsid w:val="005556B1"/>
    <w:rsid w:val="005556D3"/>
    <w:rsid w:val="0055571B"/>
    <w:rsid w:val="00555983"/>
    <w:rsid w:val="005559C6"/>
    <w:rsid w:val="00555DDC"/>
    <w:rsid w:val="00555DEB"/>
    <w:rsid w:val="00555E95"/>
    <w:rsid w:val="00555EFF"/>
    <w:rsid w:val="00556057"/>
    <w:rsid w:val="005561BB"/>
    <w:rsid w:val="005565EC"/>
    <w:rsid w:val="00556879"/>
    <w:rsid w:val="0055689B"/>
    <w:rsid w:val="00556B26"/>
    <w:rsid w:val="00556CAC"/>
    <w:rsid w:val="00556D46"/>
    <w:rsid w:val="0055702A"/>
    <w:rsid w:val="005577FC"/>
    <w:rsid w:val="00557AFA"/>
    <w:rsid w:val="00557BFD"/>
    <w:rsid w:val="00557CF7"/>
    <w:rsid w:val="00557F2C"/>
    <w:rsid w:val="005602D3"/>
    <w:rsid w:val="00560A9F"/>
    <w:rsid w:val="00560BCE"/>
    <w:rsid w:val="00560E52"/>
    <w:rsid w:val="00561162"/>
    <w:rsid w:val="005611EA"/>
    <w:rsid w:val="00561507"/>
    <w:rsid w:val="005615B8"/>
    <w:rsid w:val="005615EF"/>
    <w:rsid w:val="00561617"/>
    <w:rsid w:val="00561719"/>
    <w:rsid w:val="0056179D"/>
    <w:rsid w:val="005618E3"/>
    <w:rsid w:val="00561924"/>
    <w:rsid w:val="00561A5E"/>
    <w:rsid w:val="00561BBA"/>
    <w:rsid w:val="00561C5E"/>
    <w:rsid w:val="00561CCA"/>
    <w:rsid w:val="00561EC4"/>
    <w:rsid w:val="00561F67"/>
    <w:rsid w:val="005624ED"/>
    <w:rsid w:val="0056254F"/>
    <w:rsid w:val="0056277F"/>
    <w:rsid w:val="00562AD0"/>
    <w:rsid w:val="00562AFB"/>
    <w:rsid w:val="00562E32"/>
    <w:rsid w:val="0056308E"/>
    <w:rsid w:val="0056309C"/>
    <w:rsid w:val="0056338A"/>
    <w:rsid w:val="00563408"/>
    <w:rsid w:val="005637CE"/>
    <w:rsid w:val="00563BA8"/>
    <w:rsid w:val="00563F20"/>
    <w:rsid w:val="00564173"/>
    <w:rsid w:val="00564304"/>
    <w:rsid w:val="0056442F"/>
    <w:rsid w:val="00564651"/>
    <w:rsid w:val="005647B0"/>
    <w:rsid w:val="0056486D"/>
    <w:rsid w:val="00564909"/>
    <w:rsid w:val="00564A7D"/>
    <w:rsid w:val="00564AF5"/>
    <w:rsid w:val="00564EC3"/>
    <w:rsid w:val="005652D0"/>
    <w:rsid w:val="00565531"/>
    <w:rsid w:val="00565688"/>
    <w:rsid w:val="00565710"/>
    <w:rsid w:val="00565787"/>
    <w:rsid w:val="00565A25"/>
    <w:rsid w:val="00565F1F"/>
    <w:rsid w:val="0056641F"/>
    <w:rsid w:val="005666C5"/>
    <w:rsid w:val="005666EB"/>
    <w:rsid w:val="005666F3"/>
    <w:rsid w:val="00566854"/>
    <w:rsid w:val="00566B04"/>
    <w:rsid w:val="00566C88"/>
    <w:rsid w:val="00567154"/>
    <w:rsid w:val="005674AE"/>
    <w:rsid w:val="0056773B"/>
    <w:rsid w:val="00567B09"/>
    <w:rsid w:val="00567DE3"/>
    <w:rsid w:val="00570126"/>
    <w:rsid w:val="005701AA"/>
    <w:rsid w:val="005704BB"/>
    <w:rsid w:val="0057083F"/>
    <w:rsid w:val="005709F8"/>
    <w:rsid w:val="00570B1E"/>
    <w:rsid w:val="00570F98"/>
    <w:rsid w:val="005713EC"/>
    <w:rsid w:val="00571562"/>
    <w:rsid w:val="0057179E"/>
    <w:rsid w:val="00571C71"/>
    <w:rsid w:val="00571CBB"/>
    <w:rsid w:val="00571CE6"/>
    <w:rsid w:val="005720FB"/>
    <w:rsid w:val="0057213F"/>
    <w:rsid w:val="00572799"/>
    <w:rsid w:val="00572869"/>
    <w:rsid w:val="005729E1"/>
    <w:rsid w:val="00572DD1"/>
    <w:rsid w:val="00572DEA"/>
    <w:rsid w:val="005735D9"/>
    <w:rsid w:val="00573A98"/>
    <w:rsid w:val="00573ACE"/>
    <w:rsid w:val="00573EC4"/>
    <w:rsid w:val="00573F2E"/>
    <w:rsid w:val="0057403F"/>
    <w:rsid w:val="00574120"/>
    <w:rsid w:val="005741E8"/>
    <w:rsid w:val="005742C6"/>
    <w:rsid w:val="00574591"/>
    <w:rsid w:val="00574647"/>
    <w:rsid w:val="00574715"/>
    <w:rsid w:val="005747A2"/>
    <w:rsid w:val="00574AC6"/>
    <w:rsid w:val="0057502E"/>
    <w:rsid w:val="005750C4"/>
    <w:rsid w:val="005750DD"/>
    <w:rsid w:val="005750FE"/>
    <w:rsid w:val="00575252"/>
    <w:rsid w:val="005752A6"/>
    <w:rsid w:val="00575470"/>
    <w:rsid w:val="005754C7"/>
    <w:rsid w:val="00575A1C"/>
    <w:rsid w:val="00575D30"/>
    <w:rsid w:val="00576085"/>
    <w:rsid w:val="005760D0"/>
    <w:rsid w:val="005768A7"/>
    <w:rsid w:val="0057690D"/>
    <w:rsid w:val="00576B80"/>
    <w:rsid w:val="00576D89"/>
    <w:rsid w:val="00576EA5"/>
    <w:rsid w:val="00576ED3"/>
    <w:rsid w:val="00576F92"/>
    <w:rsid w:val="0057731B"/>
    <w:rsid w:val="005773FF"/>
    <w:rsid w:val="00577511"/>
    <w:rsid w:val="005775DA"/>
    <w:rsid w:val="005777D3"/>
    <w:rsid w:val="0057785D"/>
    <w:rsid w:val="00577ED4"/>
    <w:rsid w:val="005800E5"/>
    <w:rsid w:val="00580395"/>
    <w:rsid w:val="0058049F"/>
    <w:rsid w:val="005804AF"/>
    <w:rsid w:val="0058061B"/>
    <w:rsid w:val="00580682"/>
    <w:rsid w:val="00580694"/>
    <w:rsid w:val="0058091F"/>
    <w:rsid w:val="00580935"/>
    <w:rsid w:val="00580A88"/>
    <w:rsid w:val="00580C38"/>
    <w:rsid w:val="00580DA9"/>
    <w:rsid w:val="00580F5C"/>
    <w:rsid w:val="005813B1"/>
    <w:rsid w:val="0058143A"/>
    <w:rsid w:val="00581451"/>
    <w:rsid w:val="005814EE"/>
    <w:rsid w:val="00581516"/>
    <w:rsid w:val="005816BF"/>
    <w:rsid w:val="0058175C"/>
    <w:rsid w:val="00581A43"/>
    <w:rsid w:val="00582116"/>
    <w:rsid w:val="00582186"/>
    <w:rsid w:val="005821A4"/>
    <w:rsid w:val="0058237E"/>
    <w:rsid w:val="005824AC"/>
    <w:rsid w:val="00583144"/>
    <w:rsid w:val="0058329B"/>
    <w:rsid w:val="005838E4"/>
    <w:rsid w:val="00583CE5"/>
    <w:rsid w:val="0058428E"/>
    <w:rsid w:val="005843DB"/>
    <w:rsid w:val="00584434"/>
    <w:rsid w:val="005846BF"/>
    <w:rsid w:val="00584C17"/>
    <w:rsid w:val="00584CE3"/>
    <w:rsid w:val="00584DC7"/>
    <w:rsid w:val="005851C4"/>
    <w:rsid w:val="005852B8"/>
    <w:rsid w:val="00585302"/>
    <w:rsid w:val="005854CD"/>
    <w:rsid w:val="005859D9"/>
    <w:rsid w:val="005859FC"/>
    <w:rsid w:val="00585C7D"/>
    <w:rsid w:val="00585CF1"/>
    <w:rsid w:val="00585D42"/>
    <w:rsid w:val="00585E2B"/>
    <w:rsid w:val="0058603E"/>
    <w:rsid w:val="005860B4"/>
    <w:rsid w:val="0058626B"/>
    <w:rsid w:val="005862B8"/>
    <w:rsid w:val="0058630A"/>
    <w:rsid w:val="0058646E"/>
    <w:rsid w:val="00586978"/>
    <w:rsid w:val="005869AB"/>
    <w:rsid w:val="00586BC9"/>
    <w:rsid w:val="00586C9F"/>
    <w:rsid w:val="00586E31"/>
    <w:rsid w:val="005875B7"/>
    <w:rsid w:val="00587757"/>
    <w:rsid w:val="00587991"/>
    <w:rsid w:val="00587AC7"/>
    <w:rsid w:val="00587D90"/>
    <w:rsid w:val="00587DB8"/>
    <w:rsid w:val="00587E61"/>
    <w:rsid w:val="00587F34"/>
    <w:rsid w:val="00587F4F"/>
    <w:rsid w:val="0059048F"/>
    <w:rsid w:val="00590657"/>
    <w:rsid w:val="0059093E"/>
    <w:rsid w:val="0059098F"/>
    <w:rsid w:val="005909EF"/>
    <w:rsid w:val="00590CA2"/>
    <w:rsid w:val="00590EDB"/>
    <w:rsid w:val="00590F3E"/>
    <w:rsid w:val="00590F6A"/>
    <w:rsid w:val="005914AA"/>
    <w:rsid w:val="00591516"/>
    <w:rsid w:val="00591573"/>
    <w:rsid w:val="00591603"/>
    <w:rsid w:val="00591646"/>
    <w:rsid w:val="005916AB"/>
    <w:rsid w:val="00591743"/>
    <w:rsid w:val="00591784"/>
    <w:rsid w:val="00591C7B"/>
    <w:rsid w:val="00591CD4"/>
    <w:rsid w:val="00591F3E"/>
    <w:rsid w:val="00592028"/>
    <w:rsid w:val="00592202"/>
    <w:rsid w:val="005924C2"/>
    <w:rsid w:val="005924DC"/>
    <w:rsid w:val="00592629"/>
    <w:rsid w:val="00592677"/>
    <w:rsid w:val="00592847"/>
    <w:rsid w:val="00592A00"/>
    <w:rsid w:val="00592CD1"/>
    <w:rsid w:val="00592F8E"/>
    <w:rsid w:val="005930D5"/>
    <w:rsid w:val="005935A2"/>
    <w:rsid w:val="00593711"/>
    <w:rsid w:val="00593B88"/>
    <w:rsid w:val="00594385"/>
    <w:rsid w:val="0059457D"/>
    <w:rsid w:val="0059463E"/>
    <w:rsid w:val="00594850"/>
    <w:rsid w:val="00594C1F"/>
    <w:rsid w:val="00595131"/>
    <w:rsid w:val="005951BF"/>
    <w:rsid w:val="00595714"/>
    <w:rsid w:val="00595B96"/>
    <w:rsid w:val="00595BFA"/>
    <w:rsid w:val="00595C4F"/>
    <w:rsid w:val="00595E82"/>
    <w:rsid w:val="00596187"/>
    <w:rsid w:val="005965A6"/>
    <w:rsid w:val="00596A01"/>
    <w:rsid w:val="00596C9D"/>
    <w:rsid w:val="00596FAD"/>
    <w:rsid w:val="00597984"/>
    <w:rsid w:val="00597C00"/>
    <w:rsid w:val="00597D3B"/>
    <w:rsid w:val="00597E6D"/>
    <w:rsid w:val="00597F98"/>
    <w:rsid w:val="005A0020"/>
    <w:rsid w:val="005A0059"/>
    <w:rsid w:val="005A03CB"/>
    <w:rsid w:val="005A03E8"/>
    <w:rsid w:val="005A06E9"/>
    <w:rsid w:val="005A0D5E"/>
    <w:rsid w:val="005A0FDF"/>
    <w:rsid w:val="005A1356"/>
    <w:rsid w:val="005A1395"/>
    <w:rsid w:val="005A13C8"/>
    <w:rsid w:val="005A1B8A"/>
    <w:rsid w:val="005A1C75"/>
    <w:rsid w:val="005A25FD"/>
    <w:rsid w:val="005A266D"/>
    <w:rsid w:val="005A2709"/>
    <w:rsid w:val="005A2833"/>
    <w:rsid w:val="005A29CD"/>
    <w:rsid w:val="005A2AF0"/>
    <w:rsid w:val="005A2E07"/>
    <w:rsid w:val="005A315F"/>
    <w:rsid w:val="005A3222"/>
    <w:rsid w:val="005A3385"/>
    <w:rsid w:val="005A33BF"/>
    <w:rsid w:val="005A3608"/>
    <w:rsid w:val="005A361A"/>
    <w:rsid w:val="005A3E1B"/>
    <w:rsid w:val="005A3F93"/>
    <w:rsid w:val="005A415A"/>
    <w:rsid w:val="005A431A"/>
    <w:rsid w:val="005A440C"/>
    <w:rsid w:val="005A48ED"/>
    <w:rsid w:val="005A49DD"/>
    <w:rsid w:val="005A4A96"/>
    <w:rsid w:val="005A4AD8"/>
    <w:rsid w:val="005A4CFA"/>
    <w:rsid w:val="005A4DAC"/>
    <w:rsid w:val="005A52F6"/>
    <w:rsid w:val="005A5319"/>
    <w:rsid w:val="005A5536"/>
    <w:rsid w:val="005A5772"/>
    <w:rsid w:val="005A5B0B"/>
    <w:rsid w:val="005A5BC5"/>
    <w:rsid w:val="005A5F57"/>
    <w:rsid w:val="005A61AC"/>
    <w:rsid w:val="005A63CD"/>
    <w:rsid w:val="005A6465"/>
    <w:rsid w:val="005A656A"/>
    <w:rsid w:val="005A681B"/>
    <w:rsid w:val="005A68F2"/>
    <w:rsid w:val="005A6BD7"/>
    <w:rsid w:val="005A6BFF"/>
    <w:rsid w:val="005A6D35"/>
    <w:rsid w:val="005A7099"/>
    <w:rsid w:val="005A70C7"/>
    <w:rsid w:val="005A76B0"/>
    <w:rsid w:val="005A79FE"/>
    <w:rsid w:val="005A7DD6"/>
    <w:rsid w:val="005A7EE9"/>
    <w:rsid w:val="005A7FA1"/>
    <w:rsid w:val="005B00DE"/>
    <w:rsid w:val="005B025C"/>
    <w:rsid w:val="005B06CA"/>
    <w:rsid w:val="005B080A"/>
    <w:rsid w:val="005B0931"/>
    <w:rsid w:val="005B0C69"/>
    <w:rsid w:val="005B0E31"/>
    <w:rsid w:val="005B13A6"/>
    <w:rsid w:val="005B14AD"/>
    <w:rsid w:val="005B14B5"/>
    <w:rsid w:val="005B16E4"/>
    <w:rsid w:val="005B196E"/>
    <w:rsid w:val="005B1AAF"/>
    <w:rsid w:val="005B1BB5"/>
    <w:rsid w:val="005B241C"/>
    <w:rsid w:val="005B2609"/>
    <w:rsid w:val="005B2A5D"/>
    <w:rsid w:val="005B2D37"/>
    <w:rsid w:val="005B2D79"/>
    <w:rsid w:val="005B2DDE"/>
    <w:rsid w:val="005B2F6B"/>
    <w:rsid w:val="005B3147"/>
    <w:rsid w:val="005B3394"/>
    <w:rsid w:val="005B3660"/>
    <w:rsid w:val="005B371C"/>
    <w:rsid w:val="005B3954"/>
    <w:rsid w:val="005B3B39"/>
    <w:rsid w:val="005B3C8C"/>
    <w:rsid w:val="005B40E7"/>
    <w:rsid w:val="005B416D"/>
    <w:rsid w:val="005B42DC"/>
    <w:rsid w:val="005B435A"/>
    <w:rsid w:val="005B436B"/>
    <w:rsid w:val="005B44A4"/>
    <w:rsid w:val="005B44B5"/>
    <w:rsid w:val="005B44F5"/>
    <w:rsid w:val="005B4F96"/>
    <w:rsid w:val="005B518C"/>
    <w:rsid w:val="005B5579"/>
    <w:rsid w:val="005B563D"/>
    <w:rsid w:val="005B56CB"/>
    <w:rsid w:val="005B5767"/>
    <w:rsid w:val="005B59ED"/>
    <w:rsid w:val="005B5B4F"/>
    <w:rsid w:val="005B5D16"/>
    <w:rsid w:val="005B5FF9"/>
    <w:rsid w:val="005B60F8"/>
    <w:rsid w:val="005B632A"/>
    <w:rsid w:val="005B64A8"/>
    <w:rsid w:val="005B64E1"/>
    <w:rsid w:val="005B6C4E"/>
    <w:rsid w:val="005B6C61"/>
    <w:rsid w:val="005B6D8C"/>
    <w:rsid w:val="005B6F1F"/>
    <w:rsid w:val="005B732A"/>
    <w:rsid w:val="005B7501"/>
    <w:rsid w:val="005B7646"/>
    <w:rsid w:val="005B7867"/>
    <w:rsid w:val="005B7AA6"/>
    <w:rsid w:val="005B7D47"/>
    <w:rsid w:val="005B7F6B"/>
    <w:rsid w:val="005B7FCC"/>
    <w:rsid w:val="005C0129"/>
    <w:rsid w:val="005C0654"/>
    <w:rsid w:val="005C06DB"/>
    <w:rsid w:val="005C07E4"/>
    <w:rsid w:val="005C099C"/>
    <w:rsid w:val="005C099D"/>
    <w:rsid w:val="005C0A78"/>
    <w:rsid w:val="005C0A94"/>
    <w:rsid w:val="005C0FA3"/>
    <w:rsid w:val="005C1130"/>
    <w:rsid w:val="005C1379"/>
    <w:rsid w:val="005C1410"/>
    <w:rsid w:val="005C1784"/>
    <w:rsid w:val="005C1879"/>
    <w:rsid w:val="005C197D"/>
    <w:rsid w:val="005C1AE6"/>
    <w:rsid w:val="005C1B3A"/>
    <w:rsid w:val="005C1CFA"/>
    <w:rsid w:val="005C1EE6"/>
    <w:rsid w:val="005C1F34"/>
    <w:rsid w:val="005C1F77"/>
    <w:rsid w:val="005C201B"/>
    <w:rsid w:val="005C20BC"/>
    <w:rsid w:val="005C218B"/>
    <w:rsid w:val="005C236E"/>
    <w:rsid w:val="005C2391"/>
    <w:rsid w:val="005C23E3"/>
    <w:rsid w:val="005C2575"/>
    <w:rsid w:val="005C298F"/>
    <w:rsid w:val="005C30F3"/>
    <w:rsid w:val="005C311C"/>
    <w:rsid w:val="005C377B"/>
    <w:rsid w:val="005C39E7"/>
    <w:rsid w:val="005C3AA7"/>
    <w:rsid w:val="005C3CB5"/>
    <w:rsid w:val="005C403B"/>
    <w:rsid w:val="005C4426"/>
    <w:rsid w:val="005C4813"/>
    <w:rsid w:val="005C4A77"/>
    <w:rsid w:val="005C4C20"/>
    <w:rsid w:val="005C4CCF"/>
    <w:rsid w:val="005C5014"/>
    <w:rsid w:val="005C52DD"/>
    <w:rsid w:val="005C531F"/>
    <w:rsid w:val="005C5371"/>
    <w:rsid w:val="005C57AD"/>
    <w:rsid w:val="005C5E70"/>
    <w:rsid w:val="005C5F43"/>
    <w:rsid w:val="005C605A"/>
    <w:rsid w:val="005C6138"/>
    <w:rsid w:val="005C6710"/>
    <w:rsid w:val="005C6A8D"/>
    <w:rsid w:val="005C6AF9"/>
    <w:rsid w:val="005C6CD5"/>
    <w:rsid w:val="005C6FCE"/>
    <w:rsid w:val="005C7132"/>
    <w:rsid w:val="005C7336"/>
    <w:rsid w:val="005C7368"/>
    <w:rsid w:val="005C73B9"/>
    <w:rsid w:val="005C7612"/>
    <w:rsid w:val="005C7726"/>
    <w:rsid w:val="005C773E"/>
    <w:rsid w:val="005C789C"/>
    <w:rsid w:val="005C78AF"/>
    <w:rsid w:val="005C7AF5"/>
    <w:rsid w:val="005C7DF0"/>
    <w:rsid w:val="005D0097"/>
    <w:rsid w:val="005D061D"/>
    <w:rsid w:val="005D07E8"/>
    <w:rsid w:val="005D090A"/>
    <w:rsid w:val="005D091D"/>
    <w:rsid w:val="005D093A"/>
    <w:rsid w:val="005D0A42"/>
    <w:rsid w:val="005D10AE"/>
    <w:rsid w:val="005D1266"/>
    <w:rsid w:val="005D14EE"/>
    <w:rsid w:val="005D1AD6"/>
    <w:rsid w:val="005D1AE8"/>
    <w:rsid w:val="005D1B2B"/>
    <w:rsid w:val="005D1B53"/>
    <w:rsid w:val="005D23FA"/>
    <w:rsid w:val="005D24B5"/>
    <w:rsid w:val="005D27DB"/>
    <w:rsid w:val="005D2A18"/>
    <w:rsid w:val="005D2CC0"/>
    <w:rsid w:val="005D2D08"/>
    <w:rsid w:val="005D2FB8"/>
    <w:rsid w:val="005D3170"/>
    <w:rsid w:val="005D31F1"/>
    <w:rsid w:val="005D328F"/>
    <w:rsid w:val="005D35F8"/>
    <w:rsid w:val="005D3625"/>
    <w:rsid w:val="005D39F7"/>
    <w:rsid w:val="005D3A51"/>
    <w:rsid w:val="005D3AA9"/>
    <w:rsid w:val="005D3AF0"/>
    <w:rsid w:val="005D3C50"/>
    <w:rsid w:val="005D3C61"/>
    <w:rsid w:val="005D4062"/>
    <w:rsid w:val="005D417B"/>
    <w:rsid w:val="005D4235"/>
    <w:rsid w:val="005D4388"/>
    <w:rsid w:val="005D44B0"/>
    <w:rsid w:val="005D4D1B"/>
    <w:rsid w:val="005D4D95"/>
    <w:rsid w:val="005D4E2A"/>
    <w:rsid w:val="005D5507"/>
    <w:rsid w:val="005D58D4"/>
    <w:rsid w:val="005D5A27"/>
    <w:rsid w:val="005D5C19"/>
    <w:rsid w:val="005D5D1B"/>
    <w:rsid w:val="005D6AF2"/>
    <w:rsid w:val="005D7472"/>
    <w:rsid w:val="005D769F"/>
    <w:rsid w:val="005D79B1"/>
    <w:rsid w:val="005D79D8"/>
    <w:rsid w:val="005D7A11"/>
    <w:rsid w:val="005D7BDE"/>
    <w:rsid w:val="005D7C72"/>
    <w:rsid w:val="005D7E4A"/>
    <w:rsid w:val="005D7EF1"/>
    <w:rsid w:val="005D7EF5"/>
    <w:rsid w:val="005D7FCD"/>
    <w:rsid w:val="005E01C9"/>
    <w:rsid w:val="005E01E2"/>
    <w:rsid w:val="005E01FF"/>
    <w:rsid w:val="005E0611"/>
    <w:rsid w:val="005E0760"/>
    <w:rsid w:val="005E0D22"/>
    <w:rsid w:val="005E0DB8"/>
    <w:rsid w:val="005E0DF4"/>
    <w:rsid w:val="005E0FC6"/>
    <w:rsid w:val="005E12A2"/>
    <w:rsid w:val="005E13DB"/>
    <w:rsid w:val="005E14A9"/>
    <w:rsid w:val="005E15C5"/>
    <w:rsid w:val="005E18D0"/>
    <w:rsid w:val="005E1BA2"/>
    <w:rsid w:val="005E1C58"/>
    <w:rsid w:val="005E1C84"/>
    <w:rsid w:val="005E1E65"/>
    <w:rsid w:val="005E21EF"/>
    <w:rsid w:val="005E2A9D"/>
    <w:rsid w:val="005E2B7C"/>
    <w:rsid w:val="005E2BCF"/>
    <w:rsid w:val="005E33C6"/>
    <w:rsid w:val="005E33CC"/>
    <w:rsid w:val="005E3568"/>
    <w:rsid w:val="005E3B11"/>
    <w:rsid w:val="005E3F12"/>
    <w:rsid w:val="005E3FBF"/>
    <w:rsid w:val="005E42F1"/>
    <w:rsid w:val="005E45AE"/>
    <w:rsid w:val="005E45DC"/>
    <w:rsid w:val="005E4634"/>
    <w:rsid w:val="005E4A2A"/>
    <w:rsid w:val="005E4DFF"/>
    <w:rsid w:val="005E53A0"/>
    <w:rsid w:val="005E5B90"/>
    <w:rsid w:val="005E60D1"/>
    <w:rsid w:val="005E68C0"/>
    <w:rsid w:val="005E6B8F"/>
    <w:rsid w:val="005E6C31"/>
    <w:rsid w:val="005E6DD6"/>
    <w:rsid w:val="005E7131"/>
    <w:rsid w:val="005E75CC"/>
    <w:rsid w:val="005E7946"/>
    <w:rsid w:val="005E79C2"/>
    <w:rsid w:val="005E7AAA"/>
    <w:rsid w:val="005E7B8B"/>
    <w:rsid w:val="005E7BA7"/>
    <w:rsid w:val="005E7E2F"/>
    <w:rsid w:val="005F01D5"/>
    <w:rsid w:val="005F02AE"/>
    <w:rsid w:val="005F04EB"/>
    <w:rsid w:val="005F0569"/>
    <w:rsid w:val="005F0B40"/>
    <w:rsid w:val="005F0D9D"/>
    <w:rsid w:val="005F0EC3"/>
    <w:rsid w:val="005F1259"/>
    <w:rsid w:val="005F139E"/>
    <w:rsid w:val="005F15E0"/>
    <w:rsid w:val="005F191E"/>
    <w:rsid w:val="005F1A71"/>
    <w:rsid w:val="005F2D75"/>
    <w:rsid w:val="005F2E81"/>
    <w:rsid w:val="005F313B"/>
    <w:rsid w:val="005F31DE"/>
    <w:rsid w:val="005F3216"/>
    <w:rsid w:val="005F3314"/>
    <w:rsid w:val="005F36B6"/>
    <w:rsid w:val="005F36B8"/>
    <w:rsid w:val="005F394C"/>
    <w:rsid w:val="005F397F"/>
    <w:rsid w:val="005F3E1B"/>
    <w:rsid w:val="005F3EBA"/>
    <w:rsid w:val="005F3F48"/>
    <w:rsid w:val="005F3F89"/>
    <w:rsid w:val="005F3FD9"/>
    <w:rsid w:val="005F4139"/>
    <w:rsid w:val="005F42BF"/>
    <w:rsid w:val="005F44E3"/>
    <w:rsid w:val="005F462F"/>
    <w:rsid w:val="005F4781"/>
    <w:rsid w:val="005F4979"/>
    <w:rsid w:val="005F4BE4"/>
    <w:rsid w:val="005F4D31"/>
    <w:rsid w:val="005F5041"/>
    <w:rsid w:val="005F51C9"/>
    <w:rsid w:val="005F520B"/>
    <w:rsid w:val="005F54DE"/>
    <w:rsid w:val="005F5A37"/>
    <w:rsid w:val="005F5AC4"/>
    <w:rsid w:val="005F629C"/>
    <w:rsid w:val="005F6D4A"/>
    <w:rsid w:val="005F73D9"/>
    <w:rsid w:val="005F73EB"/>
    <w:rsid w:val="005F74AB"/>
    <w:rsid w:val="005F7526"/>
    <w:rsid w:val="005F77CA"/>
    <w:rsid w:val="005F7881"/>
    <w:rsid w:val="005F7A09"/>
    <w:rsid w:val="005F7A3A"/>
    <w:rsid w:val="005F7BF6"/>
    <w:rsid w:val="005F7C9F"/>
    <w:rsid w:val="005F7DCF"/>
    <w:rsid w:val="006003C8"/>
    <w:rsid w:val="00600523"/>
    <w:rsid w:val="00600587"/>
    <w:rsid w:val="00600E02"/>
    <w:rsid w:val="00601270"/>
    <w:rsid w:val="00601398"/>
    <w:rsid w:val="00601630"/>
    <w:rsid w:val="0060185E"/>
    <w:rsid w:val="00601D73"/>
    <w:rsid w:val="00601E3B"/>
    <w:rsid w:val="006022AA"/>
    <w:rsid w:val="0060237C"/>
    <w:rsid w:val="006025C6"/>
    <w:rsid w:val="0060261F"/>
    <w:rsid w:val="0060290C"/>
    <w:rsid w:val="00602AE8"/>
    <w:rsid w:val="00602C37"/>
    <w:rsid w:val="00602D98"/>
    <w:rsid w:val="00602E93"/>
    <w:rsid w:val="00603067"/>
    <w:rsid w:val="0060334E"/>
    <w:rsid w:val="00603466"/>
    <w:rsid w:val="006034AE"/>
    <w:rsid w:val="00603686"/>
    <w:rsid w:val="00603B51"/>
    <w:rsid w:val="00603BB2"/>
    <w:rsid w:val="00603BF2"/>
    <w:rsid w:val="00603E03"/>
    <w:rsid w:val="00603EBA"/>
    <w:rsid w:val="00604174"/>
    <w:rsid w:val="00604552"/>
    <w:rsid w:val="00604751"/>
    <w:rsid w:val="00604A58"/>
    <w:rsid w:val="00604B1A"/>
    <w:rsid w:val="00604B32"/>
    <w:rsid w:val="00604F9A"/>
    <w:rsid w:val="00605228"/>
    <w:rsid w:val="006055BF"/>
    <w:rsid w:val="00605922"/>
    <w:rsid w:val="00605B3D"/>
    <w:rsid w:val="00605C3A"/>
    <w:rsid w:val="00605D20"/>
    <w:rsid w:val="00605F76"/>
    <w:rsid w:val="00606138"/>
    <w:rsid w:val="006061A8"/>
    <w:rsid w:val="006063C2"/>
    <w:rsid w:val="00606672"/>
    <w:rsid w:val="00606806"/>
    <w:rsid w:val="00606829"/>
    <w:rsid w:val="00606A91"/>
    <w:rsid w:val="00606E41"/>
    <w:rsid w:val="00607117"/>
    <w:rsid w:val="006073EC"/>
    <w:rsid w:val="0060781C"/>
    <w:rsid w:val="00607BD0"/>
    <w:rsid w:val="00607E77"/>
    <w:rsid w:val="00607F41"/>
    <w:rsid w:val="0061010A"/>
    <w:rsid w:val="006108CE"/>
    <w:rsid w:val="006109E0"/>
    <w:rsid w:val="00610A62"/>
    <w:rsid w:val="00610B9F"/>
    <w:rsid w:val="00611732"/>
    <w:rsid w:val="006117DB"/>
    <w:rsid w:val="00611987"/>
    <w:rsid w:val="006119FD"/>
    <w:rsid w:val="00611A7D"/>
    <w:rsid w:val="00611E72"/>
    <w:rsid w:val="00611EFB"/>
    <w:rsid w:val="00611F30"/>
    <w:rsid w:val="006122E3"/>
    <w:rsid w:val="006123C0"/>
    <w:rsid w:val="00612583"/>
    <w:rsid w:val="0061264D"/>
    <w:rsid w:val="00612729"/>
    <w:rsid w:val="00612A78"/>
    <w:rsid w:val="00612B4D"/>
    <w:rsid w:val="00613228"/>
    <w:rsid w:val="006133E1"/>
    <w:rsid w:val="0061354B"/>
    <w:rsid w:val="00613654"/>
    <w:rsid w:val="00613691"/>
    <w:rsid w:val="00613CE6"/>
    <w:rsid w:val="00613DA9"/>
    <w:rsid w:val="006142D4"/>
    <w:rsid w:val="00614BD5"/>
    <w:rsid w:val="00615371"/>
    <w:rsid w:val="00615535"/>
    <w:rsid w:val="00615AC2"/>
    <w:rsid w:val="00615D98"/>
    <w:rsid w:val="00615F28"/>
    <w:rsid w:val="00616109"/>
    <w:rsid w:val="006162A4"/>
    <w:rsid w:val="0061646F"/>
    <w:rsid w:val="0061660B"/>
    <w:rsid w:val="006166B0"/>
    <w:rsid w:val="0061751B"/>
    <w:rsid w:val="00617898"/>
    <w:rsid w:val="00617B66"/>
    <w:rsid w:val="00617C88"/>
    <w:rsid w:val="00617F16"/>
    <w:rsid w:val="0061F1AD"/>
    <w:rsid w:val="0062053B"/>
    <w:rsid w:val="006207C6"/>
    <w:rsid w:val="0062080A"/>
    <w:rsid w:val="00620979"/>
    <w:rsid w:val="00620C7A"/>
    <w:rsid w:val="00620CCA"/>
    <w:rsid w:val="00620E39"/>
    <w:rsid w:val="00620F12"/>
    <w:rsid w:val="00620F54"/>
    <w:rsid w:val="00620F68"/>
    <w:rsid w:val="00620FAE"/>
    <w:rsid w:val="006213C4"/>
    <w:rsid w:val="00621653"/>
    <w:rsid w:val="00621699"/>
    <w:rsid w:val="00621859"/>
    <w:rsid w:val="006218C7"/>
    <w:rsid w:val="00621C35"/>
    <w:rsid w:val="00621C5D"/>
    <w:rsid w:val="00621EFE"/>
    <w:rsid w:val="00621FCD"/>
    <w:rsid w:val="00622085"/>
    <w:rsid w:val="006221C9"/>
    <w:rsid w:val="006221ED"/>
    <w:rsid w:val="00622320"/>
    <w:rsid w:val="00622625"/>
    <w:rsid w:val="00622C72"/>
    <w:rsid w:val="00622DA5"/>
    <w:rsid w:val="00622EA4"/>
    <w:rsid w:val="00622F24"/>
    <w:rsid w:val="00622F73"/>
    <w:rsid w:val="006234B2"/>
    <w:rsid w:val="00623B0A"/>
    <w:rsid w:val="00623FA1"/>
    <w:rsid w:val="0062424C"/>
    <w:rsid w:val="0062448A"/>
    <w:rsid w:val="006244C3"/>
    <w:rsid w:val="00624666"/>
    <w:rsid w:val="00624776"/>
    <w:rsid w:val="00624B8F"/>
    <w:rsid w:val="00624CB8"/>
    <w:rsid w:val="00624D5E"/>
    <w:rsid w:val="00624DE4"/>
    <w:rsid w:val="00624E86"/>
    <w:rsid w:val="006252E8"/>
    <w:rsid w:val="00625327"/>
    <w:rsid w:val="006253A1"/>
    <w:rsid w:val="006253FE"/>
    <w:rsid w:val="00625481"/>
    <w:rsid w:val="00625552"/>
    <w:rsid w:val="006255A4"/>
    <w:rsid w:val="00625CEA"/>
    <w:rsid w:val="00625D66"/>
    <w:rsid w:val="00625D9D"/>
    <w:rsid w:val="00625EC5"/>
    <w:rsid w:val="006261A1"/>
    <w:rsid w:val="00626253"/>
    <w:rsid w:val="0062637C"/>
    <w:rsid w:val="00626567"/>
    <w:rsid w:val="0062683B"/>
    <w:rsid w:val="006272D3"/>
    <w:rsid w:val="00627400"/>
    <w:rsid w:val="00627689"/>
    <w:rsid w:val="00627922"/>
    <w:rsid w:val="006279A3"/>
    <w:rsid w:val="00627FE7"/>
    <w:rsid w:val="00630047"/>
    <w:rsid w:val="0063010C"/>
    <w:rsid w:val="0063017D"/>
    <w:rsid w:val="0063026A"/>
    <w:rsid w:val="006302D1"/>
    <w:rsid w:val="00630395"/>
    <w:rsid w:val="00630399"/>
    <w:rsid w:val="00630547"/>
    <w:rsid w:val="0063079F"/>
    <w:rsid w:val="00630991"/>
    <w:rsid w:val="00630AD4"/>
    <w:rsid w:val="00630F83"/>
    <w:rsid w:val="006310B7"/>
    <w:rsid w:val="00631263"/>
    <w:rsid w:val="006317E6"/>
    <w:rsid w:val="00631FA2"/>
    <w:rsid w:val="006323F2"/>
    <w:rsid w:val="006323FD"/>
    <w:rsid w:val="00632515"/>
    <w:rsid w:val="00632632"/>
    <w:rsid w:val="006329B3"/>
    <w:rsid w:val="00632B73"/>
    <w:rsid w:val="00632BED"/>
    <w:rsid w:val="00632DD6"/>
    <w:rsid w:val="00632E89"/>
    <w:rsid w:val="00632F44"/>
    <w:rsid w:val="0063307E"/>
    <w:rsid w:val="00633478"/>
    <w:rsid w:val="00633520"/>
    <w:rsid w:val="00633F25"/>
    <w:rsid w:val="0063407A"/>
    <w:rsid w:val="0063421A"/>
    <w:rsid w:val="006343A3"/>
    <w:rsid w:val="006344FE"/>
    <w:rsid w:val="00634945"/>
    <w:rsid w:val="00634AAE"/>
    <w:rsid w:val="00634AC2"/>
    <w:rsid w:val="00634EA3"/>
    <w:rsid w:val="00635362"/>
    <w:rsid w:val="00635527"/>
    <w:rsid w:val="00635F6B"/>
    <w:rsid w:val="006360EE"/>
    <w:rsid w:val="006363E6"/>
    <w:rsid w:val="0063690D"/>
    <w:rsid w:val="00636CD1"/>
    <w:rsid w:val="00636F35"/>
    <w:rsid w:val="00636FDD"/>
    <w:rsid w:val="0063705A"/>
    <w:rsid w:val="0063715A"/>
    <w:rsid w:val="00637334"/>
    <w:rsid w:val="006378AC"/>
    <w:rsid w:val="00640062"/>
    <w:rsid w:val="006400DC"/>
    <w:rsid w:val="00640179"/>
    <w:rsid w:val="00640265"/>
    <w:rsid w:val="0064056A"/>
    <w:rsid w:val="00640772"/>
    <w:rsid w:val="00640BED"/>
    <w:rsid w:val="00640C77"/>
    <w:rsid w:val="0064113F"/>
    <w:rsid w:val="00641185"/>
    <w:rsid w:val="0064123B"/>
    <w:rsid w:val="00641370"/>
    <w:rsid w:val="0064143A"/>
    <w:rsid w:val="00641482"/>
    <w:rsid w:val="00641543"/>
    <w:rsid w:val="0064170B"/>
    <w:rsid w:val="00641933"/>
    <w:rsid w:val="00641979"/>
    <w:rsid w:val="00641D63"/>
    <w:rsid w:val="00641E33"/>
    <w:rsid w:val="006423B8"/>
    <w:rsid w:val="006423DF"/>
    <w:rsid w:val="00642427"/>
    <w:rsid w:val="00642457"/>
    <w:rsid w:val="006426EA"/>
    <w:rsid w:val="006429C3"/>
    <w:rsid w:val="00642A71"/>
    <w:rsid w:val="00642AF0"/>
    <w:rsid w:val="00642E4A"/>
    <w:rsid w:val="00642F47"/>
    <w:rsid w:val="00642FFC"/>
    <w:rsid w:val="00643069"/>
    <w:rsid w:val="00643111"/>
    <w:rsid w:val="0064311C"/>
    <w:rsid w:val="0064318D"/>
    <w:rsid w:val="006432BF"/>
    <w:rsid w:val="00643339"/>
    <w:rsid w:val="0064334B"/>
    <w:rsid w:val="00643391"/>
    <w:rsid w:val="0064388E"/>
    <w:rsid w:val="00643952"/>
    <w:rsid w:val="00643A5E"/>
    <w:rsid w:val="00643BF9"/>
    <w:rsid w:val="00643E52"/>
    <w:rsid w:val="00644029"/>
    <w:rsid w:val="0064429C"/>
    <w:rsid w:val="00644538"/>
    <w:rsid w:val="006447B7"/>
    <w:rsid w:val="006448D3"/>
    <w:rsid w:val="00644E2F"/>
    <w:rsid w:val="0064539A"/>
    <w:rsid w:val="006457D9"/>
    <w:rsid w:val="00645B11"/>
    <w:rsid w:val="00645CE9"/>
    <w:rsid w:val="00645DAF"/>
    <w:rsid w:val="00645E25"/>
    <w:rsid w:val="00646121"/>
    <w:rsid w:val="006468FF"/>
    <w:rsid w:val="00646A30"/>
    <w:rsid w:val="00646BD8"/>
    <w:rsid w:val="006472BE"/>
    <w:rsid w:val="006477E4"/>
    <w:rsid w:val="00647C8D"/>
    <w:rsid w:val="00647ED4"/>
    <w:rsid w:val="00650289"/>
    <w:rsid w:val="0065049D"/>
    <w:rsid w:val="006507E5"/>
    <w:rsid w:val="006507F9"/>
    <w:rsid w:val="00650AC5"/>
    <w:rsid w:val="00650CED"/>
    <w:rsid w:val="00650EE8"/>
    <w:rsid w:val="006516F2"/>
    <w:rsid w:val="006517F9"/>
    <w:rsid w:val="00651905"/>
    <w:rsid w:val="00651920"/>
    <w:rsid w:val="00651FCD"/>
    <w:rsid w:val="00652269"/>
    <w:rsid w:val="0065235C"/>
    <w:rsid w:val="00652576"/>
    <w:rsid w:val="00652A61"/>
    <w:rsid w:val="00652B18"/>
    <w:rsid w:val="00652D62"/>
    <w:rsid w:val="00652E41"/>
    <w:rsid w:val="006530B0"/>
    <w:rsid w:val="0065311E"/>
    <w:rsid w:val="006531AA"/>
    <w:rsid w:val="0065326D"/>
    <w:rsid w:val="0065342C"/>
    <w:rsid w:val="0065345C"/>
    <w:rsid w:val="00653787"/>
    <w:rsid w:val="00653BA2"/>
    <w:rsid w:val="00653CC3"/>
    <w:rsid w:val="00653CD3"/>
    <w:rsid w:val="00654670"/>
    <w:rsid w:val="00654A30"/>
    <w:rsid w:val="00654BA1"/>
    <w:rsid w:val="00654C11"/>
    <w:rsid w:val="00654C18"/>
    <w:rsid w:val="00654CDC"/>
    <w:rsid w:val="00654CF1"/>
    <w:rsid w:val="00654EC0"/>
    <w:rsid w:val="00655175"/>
    <w:rsid w:val="00655AA5"/>
    <w:rsid w:val="00655B55"/>
    <w:rsid w:val="00655EBD"/>
    <w:rsid w:val="00656140"/>
    <w:rsid w:val="006562F8"/>
    <w:rsid w:val="00656408"/>
    <w:rsid w:val="00656E12"/>
    <w:rsid w:val="00656F5D"/>
    <w:rsid w:val="00656F7F"/>
    <w:rsid w:val="00656FF5"/>
    <w:rsid w:val="00657267"/>
    <w:rsid w:val="0065749A"/>
    <w:rsid w:val="0065750A"/>
    <w:rsid w:val="006575DD"/>
    <w:rsid w:val="0065760E"/>
    <w:rsid w:val="0065772E"/>
    <w:rsid w:val="00657F8A"/>
    <w:rsid w:val="00660249"/>
    <w:rsid w:val="0066030C"/>
    <w:rsid w:val="00660685"/>
    <w:rsid w:val="006608DD"/>
    <w:rsid w:val="00660931"/>
    <w:rsid w:val="00660BDB"/>
    <w:rsid w:val="00660DF3"/>
    <w:rsid w:val="00660EBE"/>
    <w:rsid w:val="00660EE9"/>
    <w:rsid w:val="00660F7F"/>
    <w:rsid w:val="0066104D"/>
    <w:rsid w:val="0066186A"/>
    <w:rsid w:val="00661A8E"/>
    <w:rsid w:val="00661DA4"/>
    <w:rsid w:val="006624FE"/>
    <w:rsid w:val="00662705"/>
    <w:rsid w:val="00662791"/>
    <w:rsid w:val="00662D10"/>
    <w:rsid w:val="00662ED8"/>
    <w:rsid w:val="006631FC"/>
    <w:rsid w:val="00663CCD"/>
    <w:rsid w:val="00663D7C"/>
    <w:rsid w:val="00663E72"/>
    <w:rsid w:val="00663FE1"/>
    <w:rsid w:val="006642CE"/>
    <w:rsid w:val="00664440"/>
    <w:rsid w:val="0066448C"/>
    <w:rsid w:val="00664646"/>
    <w:rsid w:val="00664968"/>
    <w:rsid w:val="00664F9D"/>
    <w:rsid w:val="0066578D"/>
    <w:rsid w:val="0066612D"/>
    <w:rsid w:val="00666286"/>
    <w:rsid w:val="0066635E"/>
    <w:rsid w:val="00666478"/>
    <w:rsid w:val="00666536"/>
    <w:rsid w:val="006666D9"/>
    <w:rsid w:val="0066684B"/>
    <w:rsid w:val="006668C2"/>
    <w:rsid w:val="006668C4"/>
    <w:rsid w:val="00666A28"/>
    <w:rsid w:val="00666BEE"/>
    <w:rsid w:val="00666D22"/>
    <w:rsid w:val="00666E2C"/>
    <w:rsid w:val="00666EDB"/>
    <w:rsid w:val="00666FE7"/>
    <w:rsid w:val="00667031"/>
    <w:rsid w:val="00667231"/>
    <w:rsid w:val="0066768D"/>
    <w:rsid w:val="0066785D"/>
    <w:rsid w:val="006679F6"/>
    <w:rsid w:val="00667BB9"/>
    <w:rsid w:val="00667CF2"/>
    <w:rsid w:val="00670305"/>
    <w:rsid w:val="0067093F"/>
    <w:rsid w:val="00670A56"/>
    <w:rsid w:val="00670F27"/>
    <w:rsid w:val="006711B8"/>
    <w:rsid w:val="006718B0"/>
    <w:rsid w:val="00671A37"/>
    <w:rsid w:val="00671ABD"/>
    <w:rsid w:val="00671BA3"/>
    <w:rsid w:val="00671DA8"/>
    <w:rsid w:val="00671FC4"/>
    <w:rsid w:val="00672458"/>
    <w:rsid w:val="006724C1"/>
    <w:rsid w:val="00672692"/>
    <w:rsid w:val="00672DE7"/>
    <w:rsid w:val="00672F7F"/>
    <w:rsid w:val="006734E1"/>
    <w:rsid w:val="006736E4"/>
    <w:rsid w:val="00673D10"/>
    <w:rsid w:val="00673EA2"/>
    <w:rsid w:val="006740C7"/>
    <w:rsid w:val="006742BA"/>
    <w:rsid w:val="006745E9"/>
    <w:rsid w:val="00674932"/>
    <w:rsid w:val="00674BA2"/>
    <w:rsid w:val="00674EAD"/>
    <w:rsid w:val="00675794"/>
    <w:rsid w:val="00675A6B"/>
    <w:rsid w:val="00676902"/>
    <w:rsid w:val="00676AC5"/>
    <w:rsid w:val="00676BBC"/>
    <w:rsid w:val="00676FEA"/>
    <w:rsid w:val="0067730C"/>
    <w:rsid w:val="00677430"/>
    <w:rsid w:val="0067773C"/>
    <w:rsid w:val="006777E5"/>
    <w:rsid w:val="00677A44"/>
    <w:rsid w:val="00677A5E"/>
    <w:rsid w:val="00677CAD"/>
    <w:rsid w:val="00677EC0"/>
    <w:rsid w:val="006801B8"/>
    <w:rsid w:val="00680221"/>
    <w:rsid w:val="006802AB"/>
    <w:rsid w:val="006803B3"/>
    <w:rsid w:val="00680909"/>
    <w:rsid w:val="00680935"/>
    <w:rsid w:val="00680B5A"/>
    <w:rsid w:val="00680E66"/>
    <w:rsid w:val="0068105D"/>
    <w:rsid w:val="00681314"/>
    <w:rsid w:val="0068142E"/>
    <w:rsid w:val="0068168C"/>
    <w:rsid w:val="00681842"/>
    <w:rsid w:val="00681AD9"/>
    <w:rsid w:val="00681CA5"/>
    <w:rsid w:val="00681DC3"/>
    <w:rsid w:val="00681F7A"/>
    <w:rsid w:val="006821BC"/>
    <w:rsid w:val="0068240E"/>
    <w:rsid w:val="006828A5"/>
    <w:rsid w:val="00682B0C"/>
    <w:rsid w:val="00682C84"/>
    <w:rsid w:val="006835F6"/>
    <w:rsid w:val="0068369C"/>
    <w:rsid w:val="006837A6"/>
    <w:rsid w:val="00683B6E"/>
    <w:rsid w:val="00683EAF"/>
    <w:rsid w:val="00683F5D"/>
    <w:rsid w:val="006840AE"/>
    <w:rsid w:val="006840EF"/>
    <w:rsid w:val="00684344"/>
    <w:rsid w:val="00684786"/>
    <w:rsid w:val="006847A8"/>
    <w:rsid w:val="0068486A"/>
    <w:rsid w:val="00684A64"/>
    <w:rsid w:val="00684A6F"/>
    <w:rsid w:val="00684C26"/>
    <w:rsid w:val="00684F0E"/>
    <w:rsid w:val="00685495"/>
    <w:rsid w:val="00685502"/>
    <w:rsid w:val="00685580"/>
    <w:rsid w:val="006855AA"/>
    <w:rsid w:val="00685987"/>
    <w:rsid w:val="00685E71"/>
    <w:rsid w:val="006861C5"/>
    <w:rsid w:val="00686513"/>
    <w:rsid w:val="00686937"/>
    <w:rsid w:val="00686980"/>
    <w:rsid w:val="00686A05"/>
    <w:rsid w:val="00686AE0"/>
    <w:rsid w:val="00686CEB"/>
    <w:rsid w:val="00686EE2"/>
    <w:rsid w:val="00686F40"/>
    <w:rsid w:val="006870FB"/>
    <w:rsid w:val="0068720D"/>
    <w:rsid w:val="006872AB"/>
    <w:rsid w:val="0068754B"/>
    <w:rsid w:val="0068760F"/>
    <w:rsid w:val="00687657"/>
    <w:rsid w:val="00687A7E"/>
    <w:rsid w:val="00687C14"/>
    <w:rsid w:val="0069015D"/>
    <w:rsid w:val="0069063F"/>
    <w:rsid w:val="00690895"/>
    <w:rsid w:val="00690A2D"/>
    <w:rsid w:val="00690D16"/>
    <w:rsid w:val="006911EB"/>
    <w:rsid w:val="00691478"/>
    <w:rsid w:val="006915D0"/>
    <w:rsid w:val="00691765"/>
    <w:rsid w:val="00691C2E"/>
    <w:rsid w:val="00691F08"/>
    <w:rsid w:val="006922AD"/>
    <w:rsid w:val="0069235E"/>
    <w:rsid w:val="0069241C"/>
    <w:rsid w:val="0069280F"/>
    <w:rsid w:val="006929F8"/>
    <w:rsid w:val="00692A60"/>
    <w:rsid w:val="00692A6D"/>
    <w:rsid w:val="00692C90"/>
    <w:rsid w:val="00692CC6"/>
    <w:rsid w:val="00692D08"/>
    <w:rsid w:val="006936AF"/>
    <w:rsid w:val="006937E2"/>
    <w:rsid w:val="00693844"/>
    <w:rsid w:val="00693864"/>
    <w:rsid w:val="00693D01"/>
    <w:rsid w:val="0069416F"/>
    <w:rsid w:val="0069484D"/>
    <w:rsid w:val="00694B9C"/>
    <w:rsid w:val="00694CFE"/>
    <w:rsid w:val="00694D49"/>
    <w:rsid w:val="0069532A"/>
    <w:rsid w:val="0069538D"/>
    <w:rsid w:val="0069540C"/>
    <w:rsid w:val="00695773"/>
    <w:rsid w:val="00695848"/>
    <w:rsid w:val="00695DBE"/>
    <w:rsid w:val="00695E83"/>
    <w:rsid w:val="00695EC0"/>
    <w:rsid w:val="00695ED6"/>
    <w:rsid w:val="00696212"/>
    <w:rsid w:val="0069639D"/>
    <w:rsid w:val="0069649E"/>
    <w:rsid w:val="006969F7"/>
    <w:rsid w:val="00696A6F"/>
    <w:rsid w:val="00696A7E"/>
    <w:rsid w:val="00696B21"/>
    <w:rsid w:val="00696D39"/>
    <w:rsid w:val="006971C9"/>
    <w:rsid w:val="00697364"/>
    <w:rsid w:val="00697834"/>
    <w:rsid w:val="006A0421"/>
    <w:rsid w:val="006A08D7"/>
    <w:rsid w:val="006A0B04"/>
    <w:rsid w:val="006A0D49"/>
    <w:rsid w:val="006A0F61"/>
    <w:rsid w:val="006A12AC"/>
    <w:rsid w:val="006A132A"/>
    <w:rsid w:val="006A152E"/>
    <w:rsid w:val="006A17ED"/>
    <w:rsid w:val="006A1906"/>
    <w:rsid w:val="006A1CC9"/>
    <w:rsid w:val="006A1E89"/>
    <w:rsid w:val="006A2159"/>
    <w:rsid w:val="006A217C"/>
    <w:rsid w:val="006A2582"/>
    <w:rsid w:val="006A29D6"/>
    <w:rsid w:val="006A2E74"/>
    <w:rsid w:val="006A2EC8"/>
    <w:rsid w:val="006A2FEE"/>
    <w:rsid w:val="006A328D"/>
    <w:rsid w:val="006A32F7"/>
    <w:rsid w:val="006A37D7"/>
    <w:rsid w:val="006A3A64"/>
    <w:rsid w:val="006A3E00"/>
    <w:rsid w:val="006A420E"/>
    <w:rsid w:val="006A4422"/>
    <w:rsid w:val="006A48D8"/>
    <w:rsid w:val="006A497C"/>
    <w:rsid w:val="006A5508"/>
    <w:rsid w:val="006A57B2"/>
    <w:rsid w:val="006A58A5"/>
    <w:rsid w:val="006A5C3C"/>
    <w:rsid w:val="006A5C44"/>
    <w:rsid w:val="006A5E05"/>
    <w:rsid w:val="006A6003"/>
    <w:rsid w:val="006A6A1E"/>
    <w:rsid w:val="006A6A69"/>
    <w:rsid w:val="006A71FC"/>
    <w:rsid w:val="006A73D5"/>
    <w:rsid w:val="006A786B"/>
    <w:rsid w:val="006A7901"/>
    <w:rsid w:val="006A79C2"/>
    <w:rsid w:val="006A7A4E"/>
    <w:rsid w:val="006A7AAC"/>
    <w:rsid w:val="006A7B57"/>
    <w:rsid w:val="006A7D56"/>
    <w:rsid w:val="006A7E51"/>
    <w:rsid w:val="006B003F"/>
    <w:rsid w:val="006B0483"/>
    <w:rsid w:val="006B0583"/>
    <w:rsid w:val="006B0591"/>
    <w:rsid w:val="006B0DD2"/>
    <w:rsid w:val="006B0FD9"/>
    <w:rsid w:val="006B1141"/>
    <w:rsid w:val="006B1294"/>
    <w:rsid w:val="006B14CE"/>
    <w:rsid w:val="006B1784"/>
    <w:rsid w:val="006B1972"/>
    <w:rsid w:val="006B1FD6"/>
    <w:rsid w:val="006B214B"/>
    <w:rsid w:val="006B2BA1"/>
    <w:rsid w:val="006B3077"/>
    <w:rsid w:val="006B3130"/>
    <w:rsid w:val="006B34C2"/>
    <w:rsid w:val="006B35E5"/>
    <w:rsid w:val="006B363E"/>
    <w:rsid w:val="006B36C5"/>
    <w:rsid w:val="006B37A9"/>
    <w:rsid w:val="006B38F8"/>
    <w:rsid w:val="006B3C0B"/>
    <w:rsid w:val="006B3C92"/>
    <w:rsid w:val="006B3EAF"/>
    <w:rsid w:val="006B3F66"/>
    <w:rsid w:val="006B460D"/>
    <w:rsid w:val="006B4992"/>
    <w:rsid w:val="006B4A28"/>
    <w:rsid w:val="006B4BE2"/>
    <w:rsid w:val="006B4CFA"/>
    <w:rsid w:val="006B4D93"/>
    <w:rsid w:val="006B51D4"/>
    <w:rsid w:val="006B5492"/>
    <w:rsid w:val="006B556F"/>
    <w:rsid w:val="006B55F5"/>
    <w:rsid w:val="006B5655"/>
    <w:rsid w:val="006B5782"/>
    <w:rsid w:val="006B595D"/>
    <w:rsid w:val="006B5A98"/>
    <w:rsid w:val="006B5B8C"/>
    <w:rsid w:val="006B5C3C"/>
    <w:rsid w:val="006B5E3B"/>
    <w:rsid w:val="006B624C"/>
    <w:rsid w:val="006B62C7"/>
    <w:rsid w:val="006B6510"/>
    <w:rsid w:val="006B65BB"/>
    <w:rsid w:val="006B689E"/>
    <w:rsid w:val="006B68F6"/>
    <w:rsid w:val="006B6CA3"/>
    <w:rsid w:val="006B752E"/>
    <w:rsid w:val="006B759A"/>
    <w:rsid w:val="006B77A4"/>
    <w:rsid w:val="006B7A93"/>
    <w:rsid w:val="006B7B7C"/>
    <w:rsid w:val="006C0080"/>
    <w:rsid w:val="006C024E"/>
    <w:rsid w:val="006C043E"/>
    <w:rsid w:val="006C064D"/>
    <w:rsid w:val="006C0762"/>
    <w:rsid w:val="006C0988"/>
    <w:rsid w:val="006C0A1E"/>
    <w:rsid w:val="006C0B48"/>
    <w:rsid w:val="006C100E"/>
    <w:rsid w:val="006C121A"/>
    <w:rsid w:val="006C1607"/>
    <w:rsid w:val="006C182A"/>
    <w:rsid w:val="006C19D5"/>
    <w:rsid w:val="006C1CE1"/>
    <w:rsid w:val="006C1EF9"/>
    <w:rsid w:val="006C2115"/>
    <w:rsid w:val="006C2136"/>
    <w:rsid w:val="006C22C7"/>
    <w:rsid w:val="006C24C4"/>
    <w:rsid w:val="006C2CDC"/>
    <w:rsid w:val="006C2D21"/>
    <w:rsid w:val="006C302E"/>
    <w:rsid w:val="006C32D5"/>
    <w:rsid w:val="006C3334"/>
    <w:rsid w:val="006C34AE"/>
    <w:rsid w:val="006C36D7"/>
    <w:rsid w:val="006C39F4"/>
    <w:rsid w:val="006C3C35"/>
    <w:rsid w:val="006C3D9D"/>
    <w:rsid w:val="006C411E"/>
    <w:rsid w:val="006C41EF"/>
    <w:rsid w:val="006C436C"/>
    <w:rsid w:val="006C4444"/>
    <w:rsid w:val="006C452C"/>
    <w:rsid w:val="006C47C0"/>
    <w:rsid w:val="006C495E"/>
    <w:rsid w:val="006C49BD"/>
    <w:rsid w:val="006C4A2F"/>
    <w:rsid w:val="006C4B1B"/>
    <w:rsid w:val="006C4FB5"/>
    <w:rsid w:val="006C50A5"/>
    <w:rsid w:val="006C51BD"/>
    <w:rsid w:val="006C539F"/>
    <w:rsid w:val="006C53BD"/>
    <w:rsid w:val="006C5883"/>
    <w:rsid w:val="006C58B9"/>
    <w:rsid w:val="006C595F"/>
    <w:rsid w:val="006C5CAA"/>
    <w:rsid w:val="006C6441"/>
    <w:rsid w:val="006C6515"/>
    <w:rsid w:val="006C673D"/>
    <w:rsid w:val="006C6835"/>
    <w:rsid w:val="006C6A50"/>
    <w:rsid w:val="006C6DCF"/>
    <w:rsid w:val="006C6E1C"/>
    <w:rsid w:val="006C6E84"/>
    <w:rsid w:val="006C7014"/>
    <w:rsid w:val="006C7095"/>
    <w:rsid w:val="006C71A1"/>
    <w:rsid w:val="006C7522"/>
    <w:rsid w:val="006C7530"/>
    <w:rsid w:val="006C75DB"/>
    <w:rsid w:val="006C799F"/>
    <w:rsid w:val="006C79D8"/>
    <w:rsid w:val="006C7B9A"/>
    <w:rsid w:val="006C7BBC"/>
    <w:rsid w:val="006C7C55"/>
    <w:rsid w:val="006C7F68"/>
    <w:rsid w:val="006D019B"/>
    <w:rsid w:val="006D0448"/>
    <w:rsid w:val="006D04BA"/>
    <w:rsid w:val="006D0885"/>
    <w:rsid w:val="006D0B2A"/>
    <w:rsid w:val="006D108C"/>
    <w:rsid w:val="006D1213"/>
    <w:rsid w:val="006D1341"/>
    <w:rsid w:val="006D16E5"/>
    <w:rsid w:val="006D23A0"/>
    <w:rsid w:val="006D2458"/>
    <w:rsid w:val="006D25AE"/>
    <w:rsid w:val="006D26CF"/>
    <w:rsid w:val="006D26ED"/>
    <w:rsid w:val="006D275A"/>
    <w:rsid w:val="006D2814"/>
    <w:rsid w:val="006D2854"/>
    <w:rsid w:val="006D2998"/>
    <w:rsid w:val="006D29CE"/>
    <w:rsid w:val="006D2B3B"/>
    <w:rsid w:val="006D2C5B"/>
    <w:rsid w:val="006D2D6C"/>
    <w:rsid w:val="006D2E71"/>
    <w:rsid w:val="006D2EC2"/>
    <w:rsid w:val="006D365E"/>
    <w:rsid w:val="006D367D"/>
    <w:rsid w:val="006D37F2"/>
    <w:rsid w:val="006D3833"/>
    <w:rsid w:val="006D3C85"/>
    <w:rsid w:val="006D3FA3"/>
    <w:rsid w:val="006D3FBF"/>
    <w:rsid w:val="006D42A6"/>
    <w:rsid w:val="006D4721"/>
    <w:rsid w:val="006D47BF"/>
    <w:rsid w:val="006D484A"/>
    <w:rsid w:val="006D4C4F"/>
    <w:rsid w:val="006D510F"/>
    <w:rsid w:val="006D5140"/>
    <w:rsid w:val="006D534D"/>
    <w:rsid w:val="006D55C8"/>
    <w:rsid w:val="006D572A"/>
    <w:rsid w:val="006D5A56"/>
    <w:rsid w:val="006D5A5E"/>
    <w:rsid w:val="006D5DDC"/>
    <w:rsid w:val="006D61E6"/>
    <w:rsid w:val="006D6311"/>
    <w:rsid w:val="006D6800"/>
    <w:rsid w:val="006D6DA1"/>
    <w:rsid w:val="006D6DAE"/>
    <w:rsid w:val="006D6E49"/>
    <w:rsid w:val="006D7078"/>
    <w:rsid w:val="006D709D"/>
    <w:rsid w:val="006D723C"/>
    <w:rsid w:val="006D72D5"/>
    <w:rsid w:val="006D731F"/>
    <w:rsid w:val="006D74F5"/>
    <w:rsid w:val="006D7686"/>
    <w:rsid w:val="006D7865"/>
    <w:rsid w:val="006D7FC6"/>
    <w:rsid w:val="006E00C1"/>
    <w:rsid w:val="006E02F9"/>
    <w:rsid w:val="006E0498"/>
    <w:rsid w:val="006E052B"/>
    <w:rsid w:val="006E07E7"/>
    <w:rsid w:val="006E0840"/>
    <w:rsid w:val="006E0AAB"/>
    <w:rsid w:val="006E0DD7"/>
    <w:rsid w:val="006E0ECB"/>
    <w:rsid w:val="006E109D"/>
    <w:rsid w:val="006E1188"/>
    <w:rsid w:val="006E11A1"/>
    <w:rsid w:val="006E1288"/>
    <w:rsid w:val="006E1373"/>
    <w:rsid w:val="006E1448"/>
    <w:rsid w:val="006E1895"/>
    <w:rsid w:val="006E1984"/>
    <w:rsid w:val="006E1DD0"/>
    <w:rsid w:val="006E20EA"/>
    <w:rsid w:val="006E241B"/>
    <w:rsid w:val="006E247D"/>
    <w:rsid w:val="006E2747"/>
    <w:rsid w:val="006E2A66"/>
    <w:rsid w:val="006E2C33"/>
    <w:rsid w:val="006E2C66"/>
    <w:rsid w:val="006E2CCA"/>
    <w:rsid w:val="006E2F91"/>
    <w:rsid w:val="006E317F"/>
    <w:rsid w:val="006E31B6"/>
    <w:rsid w:val="006E3244"/>
    <w:rsid w:val="006E326A"/>
    <w:rsid w:val="006E35FB"/>
    <w:rsid w:val="006E3797"/>
    <w:rsid w:val="006E3B5F"/>
    <w:rsid w:val="006E3CA9"/>
    <w:rsid w:val="006E3F0C"/>
    <w:rsid w:val="006E4259"/>
    <w:rsid w:val="006E450C"/>
    <w:rsid w:val="006E4789"/>
    <w:rsid w:val="006E4E94"/>
    <w:rsid w:val="006E4F24"/>
    <w:rsid w:val="006E503E"/>
    <w:rsid w:val="006E51EE"/>
    <w:rsid w:val="006E5348"/>
    <w:rsid w:val="006E5CA9"/>
    <w:rsid w:val="006E5CC4"/>
    <w:rsid w:val="006E5DF7"/>
    <w:rsid w:val="006E60E3"/>
    <w:rsid w:val="006E6101"/>
    <w:rsid w:val="006E6404"/>
    <w:rsid w:val="006E645D"/>
    <w:rsid w:val="006E66B4"/>
    <w:rsid w:val="006E68A0"/>
    <w:rsid w:val="006E6B96"/>
    <w:rsid w:val="006E6C28"/>
    <w:rsid w:val="006E6C2E"/>
    <w:rsid w:val="006E6DC3"/>
    <w:rsid w:val="006E70AB"/>
    <w:rsid w:val="006E70B1"/>
    <w:rsid w:val="006E71C1"/>
    <w:rsid w:val="006E737C"/>
    <w:rsid w:val="006E7B03"/>
    <w:rsid w:val="006E7B5C"/>
    <w:rsid w:val="006E7C2F"/>
    <w:rsid w:val="006F0097"/>
    <w:rsid w:val="006F0186"/>
    <w:rsid w:val="006F01B2"/>
    <w:rsid w:val="006F05EE"/>
    <w:rsid w:val="006F0967"/>
    <w:rsid w:val="006F136C"/>
    <w:rsid w:val="006F16A4"/>
    <w:rsid w:val="006F174E"/>
    <w:rsid w:val="006F1B08"/>
    <w:rsid w:val="006F1E51"/>
    <w:rsid w:val="006F2371"/>
    <w:rsid w:val="006F289D"/>
    <w:rsid w:val="006F2B70"/>
    <w:rsid w:val="006F2C01"/>
    <w:rsid w:val="006F2CAE"/>
    <w:rsid w:val="006F2EAC"/>
    <w:rsid w:val="006F32AD"/>
    <w:rsid w:val="006F32E3"/>
    <w:rsid w:val="006F33D7"/>
    <w:rsid w:val="006F34AC"/>
    <w:rsid w:val="006F34F8"/>
    <w:rsid w:val="006F35B3"/>
    <w:rsid w:val="006F3779"/>
    <w:rsid w:val="006F3985"/>
    <w:rsid w:val="006F3BAA"/>
    <w:rsid w:val="006F3E1E"/>
    <w:rsid w:val="006F3F5D"/>
    <w:rsid w:val="006F43A3"/>
    <w:rsid w:val="006F45D1"/>
    <w:rsid w:val="006F4978"/>
    <w:rsid w:val="006F4B50"/>
    <w:rsid w:val="006F4BD2"/>
    <w:rsid w:val="006F5055"/>
    <w:rsid w:val="006F51B1"/>
    <w:rsid w:val="006F578C"/>
    <w:rsid w:val="006F59AD"/>
    <w:rsid w:val="006F5EB1"/>
    <w:rsid w:val="006F5F3A"/>
    <w:rsid w:val="006F60C9"/>
    <w:rsid w:val="006F669B"/>
    <w:rsid w:val="006F6CB9"/>
    <w:rsid w:val="006F6CD3"/>
    <w:rsid w:val="006F6D44"/>
    <w:rsid w:val="006F6DBD"/>
    <w:rsid w:val="006F7081"/>
    <w:rsid w:val="006F718B"/>
    <w:rsid w:val="006F7284"/>
    <w:rsid w:val="006F7516"/>
    <w:rsid w:val="006F7A66"/>
    <w:rsid w:val="006F7C3A"/>
    <w:rsid w:val="006F7C76"/>
    <w:rsid w:val="006F7D07"/>
    <w:rsid w:val="00700798"/>
    <w:rsid w:val="00700D2A"/>
    <w:rsid w:val="00700F4E"/>
    <w:rsid w:val="0070116A"/>
    <w:rsid w:val="0070128D"/>
    <w:rsid w:val="007013E0"/>
    <w:rsid w:val="0070141C"/>
    <w:rsid w:val="00701A8F"/>
    <w:rsid w:val="00701AA5"/>
    <w:rsid w:val="00701D2B"/>
    <w:rsid w:val="007025F9"/>
    <w:rsid w:val="00702861"/>
    <w:rsid w:val="00702A23"/>
    <w:rsid w:val="00702C0A"/>
    <w:rsid w:val="00702C86"/>
    <w:rsid w:val="00702CDE"/>
    <w:rsid w:val="00702D68"/>
    <w:rsid w:val="00702E03"/>
    <w:rsid w:val="007031A3"/>
    <w:rsid w:val="00703446"/>
    <w:rsid w:val="00703559"/>
    <w:rsid w:val="00703672"/>
    <w:rsid w:val="00703B07"/>
    <w:rsid w:val="007041EB"/>
    <w:rsid w:val="007043F6"/>
    <w:rsid w:val="007044E0"/>
    <w:rsid w:val="00704561"/>
    <w:rsid w:val="0070460E"/>
    <w:rsid w:val="007048E7"/>
    <w:rsid w:val="00704A63"/>
    <w:rsid w:val="00704B55"/>
    <w:rsid w:val="00704BC0"/>
    <w:rsid w:val="00705406"/>
    <w:rsid w:val="007055CD"/>
    <w:rsid w:val="0070589C"/>
    <w:rsid w:val="00705998"/>
    <w:rsid w:val="00705BA1"/>
    <w:rsid w:val="00705D4B"/>
    <w:rsid w:val="00705E10"/>
    <w:rsid w:val="00705E96"/>
    <w:rsid w:val="00705F8D"/>
    <w:rsid w:val="0070610D"/>
    <w:rsid w:val="00706156"/>
    <w:rsid w:val="0070618F"/>
    <w:rsid w:val="00706556"/>
    <w:rsid w:val="007067D7"/>
    <w:rsid w:val="00706C6D"/>
    <w:rsid w:val="00707388"/>
    <w:rsid w:val="007074FA"/>
    <w:rsid w:val="00707527"/>
    <w:rsid w:val="00707663"/>
    <w:rsid w:val="00707676"/>
    <w:rsid w:val="0070796C"/>
    <w:rsid w:val="007105CD"/>
    <w:rsid w:val="00710A2E"/>
    <w:rsid w:val="007110FC"/>
    <w:rsid w:val="00711114"/>
    <w:rsid w:val="0071193D"/>
    <w:rsid w:val="007119C0"/>
    <w:rsid w:val="00711D51"/>
    <w:rsid w:val="00711F49"/>
    <w:rsid w:val="0071242E"/>
    <w:rsid w:val="00712569"/>
    <w:rsid w:val="00712692"/>
    <w:rsid w:val="007126D2"/>
    <w:rsid w:val="0071290E"/>
    <w:rsid w:val="00712CD0"/>
    <w:rsid w:val="00712D25"/>
    <w:rsid w:val="00712E27"/>
    <w:rsid w:val="00712F7F"/>
    <w:rsid w:val="007132B9"/>
    <w:rsid w:val="0071354D"/>
    <w:rsid w:val="007135FC"/>
    <w:rsid w:val="0071370F"/>
    <w:rsid w:val="0071380B"/>
    <w:rsid w:val="00713919"/>
    <w:rsid w:val="00713948"/>
    <w:rsid w:val="0071434A"/>
    <w:rsid w:val="00714429"/>
    <w:rsid w:val="00714856"/>
    <w:rsid w:val="00714B9A"/>
    <w:rsid w:val="00715231"/>
    <w:rsid w:val="00715344"/>
    <w:rsid w:val="007155E5"/>
    <w:rsid w:val="0071637D"/>
    <w:rsid w:val="007165CB"/>
    <w:rsid w:val="007166AB"/>
    <w:rsid w:val="00716852"/>
    <w:rsid w:val="00716977"/>
    <w:rsid w:val="00716B72"/>
    <w:rsid w:val="00716D45"/>
    <w:rsid w:val="00717278"/>
    <w:rsid w:val="00717369"/>
    <w:rsid w:val="007176BB"/>
    <w:rsid w:val="007177C5"/>
    <w:rsid w:val="007177F7"/>
    <w:rsid w:val="00717A5C"/>
    <w:rsid w:val="00717EBD"/>
    <w:rsid w:val="00717F5E"/>
    <w:rsid w:val="0072016A"/>
    <w:rsid w:val="0072027E"/>
    <w:rsid w:val="007202E5"/>
    <w:rsid w:val="007203F9"/>
    <w:rsid w:val="007208B9"/>
    <w:rsid w:val="00720A91"/>
    <w:rsid w:val="00720AA7"/>
    <w:rsid w:val="00720DCD"/>
    <w:rsid w:val="00720DD4"/>
    <w:rsid w:val="0072117E"/>
    <w:rsid w:val="007216DC"/>
    <w:rsid w:val="0072197D"/>
    <w:rsid w:val="00721ABF"/>
    <w:rsid w:val="00721C40"/>
    <w:rsid w:val="00721D43"/>
    <w:rsid w:val="00721D8A"/>
    <w:rsid w:val="00721F49"/>
    <w:rsid w:val="00721FF0"/>
    <w:rsid w:val="0072248E"/>
    <w:rsid w:val="00722B15"/>
    <w:rsid w:val="00722C34"/>
    <w:rsid w:val="00722D2D"/>
    <w:rsid w:val="00722EEC"/>
    <w:rsid w:val="00723171"/>
    <w:rsid w:val="007232B4"/>
    <w:rsid w:val="007232C0"/>
    <w:rsid w:val="0072337C"/>
    <w:rsid w:val="0072350D"/>
    <w:rsid w:val="00723895"/>
    <w:rsid w:val="00723BA6"/>
    <w:rsid w:val="00723BB9"/>
    <w:rsid w:val="00723E37"/>
    <w:rsid w:val="00723EC0"/>
    <w:rsid w:val="00724283"/>
    <w:rsid w:val="007242FF"/>
    <w:rsid w:val="00724856"/>
    <w:rsid w:val="00724896"/>
    <w:rsid w:val="00724B10"/>
    <w:rsid w:val="00724B90"/>
    <w:rsid w:val="00724ED6"/>
    <w:rsid w:val="00725170"/>
    <w:rsid w:val="00725784"/>
    <w:rsid w:val="00725ACC"/>
    <w:rsid w:val="00725CB8"/>
    <w:rsid w:val="00725D5A"/>
    <w:rsid w:val="00725EF9"/>
    <w:rsid w:val="00725F05"/>
    <w:rsid w:val="00726149"/>
    <w:rsid w:val="007262C3"/>
    <w:rsid w:val="007262EF"/>
    <w:rsid w:val="00726812"/>
    <w:rsid w:val="00726B0F"/>
    <w:rsid w:val="00726E2E"/>
    <w:rsid w:val="007270A5"/>
    <w:rsid w:val="00727311"/>
    <w:rsid w:val="00727617"/>
    <w:rsid w:val="007279FD"/>
    <w:rsid w:val="00727A8C"/>
    <w:rsid w:val="007301D1"/>
    <w:rsid w:val="00730206"/>
    <w:rsid w:val="0073094A"/>
    <w:rsid w:val="00730B56"/>
    <w:rsid w:val="00730C14"/>
    <w:rsid w:val="00730D4F"/>
    <w:rsid w:val="00730F69"/>
    <w:rsid w:val="00731B10"/>
    <w:rsid w:val="00731D5D"/>
    <w:rsid w:val="007320AF"/>
    <w:rsid w:val="007320D1"/>
    <w:rsid w:val="007322CF"/>
    <w:rsid w:val="007322D3"/>
    <w:rsid w:val="00732331"/>
    <w:rsid w:val="007323D9"/>
    <w:rsid w:val="00732B19"/>
    <w:rsid w:val="00732D44"/>
    <w:rsid w:val="00732FD5"/>
    <w:rsid w:val="00732FFC"/>
    <w:rsid w:val="007335CB"/>
    <w:rsid w:val="00733645"/>
    <w:rsid w:val="00733777"/>
    <w:rsid w:val="00733C45"/>
    <w:rsid w:val="00733D92"/>
    <w:rsid w:val="00733F6A"/>
    <w:rsid w:val="00733FB2"/>
    <w:rsid w:val="0073413E"/>
    <w:rsid w:val="007341B6"/>
    <w:rsid w:val="00734228"/>
    <w:rsid w:val="00734346"/>
    <w:rsid w:val="00734580"/>
    <w:rsid w:val="007345CF"/>
    <w:rsid w:val="00734681"/>
    <w:rsid w:val="00734C5E"/>
    <w:rsid w:val="0073570D"/>
    <w:rsid w:val="007357CD"/>
    <w:rsid w:val="007358B4"/>
    <w:rsid w:val="007359E0"/>
    <w:rsid w:val="00735B3A"/>
    <w:rsid w:val="00735C5B"/>
    <w:rsid w:val="00735E75"/>
    <w:rsid w:val="00735EC2"/>
    <w:rsid w:val="00736207"/>
    <w:rsid w:val="0073620B"/>
    <w:rsid w:val="00736221"/>
    <w:rsid w:val="0073625B"/>
    <w:rsid w:val="00736481"/>
    <w:rsid w:val="007366DA"/>
    <w:rsid w:val="00736E56"/>
    <w:rsid w:val="007370E7"/>
    <w:rsid w:val="0073740A"/>
    <w:rsid w:val="00737431"/>
    <w:rsid w:val="007375CF"/>
    <w:rsid w:val="007378B9"/>
    <w:rsid w:val="007379A2"/>
    <w:rsid w:val="00737A9E"/>
    <w:rsid w:val="00740060"/>
    <w:rsid w:val="00740253"/>
    <w:rsid w:val="007402B7"/>
    <w:rsid w:val="007402C7"/>
    <w:rsid w:val="00740437"/>
    <w:rsid w:val="007405CD"/>
    <w:rsid w:val="00740877"/>
    <w:rsid w:val="007409E9"/>
    <w:rsid w:val="00740D43"/>
    <w:rsid w:val="00740F26"/>
    <w:rsid w:val="00740FBE"/>
    <w:rsid w:val="00741015"/>
    <w:rsid w:val="00741144"/>
    <w:rsid w:val="007412EC"/>
    <w:rsid w:val="0074139C"/>
    <w:rsid w:val="007414D4"/>
    <w:rsid w:val="0074170B"/>
    <w:rsid w:val="00741A61"/>
    <w:rsid w:val="00741D7D"/>
    <w:rsid w:val="00742039"/>
    <w:rsid w:val="007421D3"/>
    <w:rsid w:val="00742511"/>
    <w:rsid w:val="00742A6A"/>
    <w:rsid w:val="00742D95"/>
    <w:rsid w:val="00743255"/>
    <w:rsid w:val="0074360B"/>
    <w:rsid w:val="007436AF"/>
    <w:rsid w:val="00743DDE"/>
    <w:rsid w:val="0074459D"/>
    <w:rsid w:val="007445C3"/>
    <w:rsid w:val="007446C2"/>
    <w:rsid w:val="00744B85"/>
    <w:rsid w:val="00744F0E"/>
    <w:rsid w:val="00744FD6"/>
    <w:rsid w:val="00745107"/>
    <w:rsid w:val="007451E2"/>
    <w:rsid w:val="00745272"/>
    <w:rsid w:val="00745371"/>
    <w:rsid w:val="007453BE"/>
    <w:rsid w:val="007457BF"/>
    <w:rsid w:val="007458F3"/>
    <w:rsid w:val="00745925"/>
    <w:rsid w:val="00745F09"/>
    <w:rsid w:val="007462E7"/>
    <w:rsid w:val="0074635C"/>
    <w:rsid w:val="00746665"/>
    <w:rsid w:val="007469BA"/>
    <w:rsid w:val="00746C6D"/>
    <w:rsid w:val="00746EF9"/>
    <w:rsid w:val="007470DA"/>
    <w:rsid w:val="00747572"/>
    <w:rsid w:val="00747D1F"/>
    <w:rsid w:val="00747F3A"/>
    <w:rsid w:val="00750018"/>
    <w:rsid w:val="007502BE"/>
    <w:rsid w:val="00750557"/>
    <w:rsid w:val="00750885"/>
    <w:rsid w:val="00750A2C"/>
    <w:rsid w:val="00750FC9"/>
    <w:rsid w:val="00751346"/>
    <w:rsid w:val="00751467"/>
    <w:rsid w:val="00751C63"/>
    <w:rsid w:val="00752134"/>
    <w:rsid w:val="007524A7"/>
    <w:rsid w:val="00752768"/>
    <w:rsid w:val="007527A3"/>
    <w:rsid w:val="00752A2F"/>
    <w:rsid w:val="00752C8D"/>
    <w:rsid w:val="00752D27"/>
    <w:rsid w:val="00752E05"/>
    <w:rsid w:val="00752E2B"/>
    <w:rsid w:val="00752FB3"/>
    <w:rsid w:val="0075336E"/>
    <w:rsid w:val="007535EC"/>
    <w:rsid w:val="00753747"/>
    <w:rsid w:val="0075375E"/>
    <w:rsid w:val="007539A0"/>
    <w:rsid w:val="00753DAC"/>
    <w:rsid w:val="007541D9"/>
    <w:rsid w:val="007542E6"/>
    <w:rsid w:val="00754E0C"/>
    <w:rsid w:val="00754EAB"/>
    <w:rsid w:val="00754FD8"/>
    <w:rsid w:val="007550A1"/>
    <w:rsid w:val="00755294"/>
    <w:rsid w:val="00755BEC"/>
    <w:rsid w:val="00755DD8"/>
    <w:rsid w:val="00756301"/>
    <w:rsid w:val="007564D4"/>
    <w:rsid w:val="007565CA"/>
    <w:rsid w:val="00756897"/>
    <w:rsid w:val="007568F9"/>
    <w:rsid w:val="00756A88"/>
    <w:rsid w:val="00756A91"/>
    <w:rsid w:val="00756B69"/>
    <w:rsid w:val="00756CCA"/>
    <w:rsid w:val="00756DCD"/>
    <w:rsid w:val="007571C2"/>
    <w:rsid w:val="0075737B"/>
    <w:rsid w:val="00760079"/>
    <w:rsid w:val="0076007D"/>
    <w:rsid w:val="00760673"/>
    <w:rsid w:val="0076084C"/>
    <w:rsid w:val="00760A02"/>
    <w:rsid w:val="00760BEB"/>
    <w:rsid w:val="00760CEC"/>
    <w:rsid w:val="00760CF4"/>
    <w:rsid w:val="00761521"/>
    <w:rsid w:val="007619F8"/>
    <w:rsid w:val="00761C40"/>
    <w:rsid w:val="00761D4C"/>
    <w:rsid w:val="00761E1D"/>
    <w:rsid w:val="00762147"/>
    <w:rsid w:val="0076242D"/>
    <w:rsid w:val="0076245A"/>
    <w:rsid w:val="0076257C"/>
    <w:rsid w:val="0076278B"/>
    <w:rsid w:val="00762916"/>
    <w:rsid w:val="007629B4"/>
    <w:rsid w:val="00762A03"/>
    <w:rsid w:val="00762D41"/>
    <w:rsid w:val="00762EBC"/>
    <w:rsid w:val="00762F66"/>
    <w:rsid w:val="007631B0"/>
    <w:rsid w:val="00763353"/>
    <w:rsid w:val="007637E0"/>
    <w:rsid w:val="007638B2"/>
    <w:rsid w:val="0076397A"/>
    <w:rsid w:val="00763AA6"/>
    <w:rsid w:val="00763CEC"/>
    <w:rsid w:val="0076452F"/>
    <w:rsid w:val="0076478A"/>
    <w:rsid w:val="00764A0C"/>
    <w:rsid w:val="00764BA9"/>
    <w:rsid w:val="00764D06"/>
    <w:rsid w:val="00765163"/>
    <w:rsid w:val="00765933"/>
    <w:rsid w:val="007659FC"/>
    <w:rsid w:val="00765AB7"/>
    <w:rsid w:val="00765B36"/>
    <w:rsid w:val="00765BA5"/>
    <w:rsid w:val="00765CF7"/>
    <w:rsid w:val="00765D0A"/>
    <w:rsid w:val="00765FA7"/>
    <w:rsid w:val="00765FC8"/>
    <w:rsid w:val="0076611F"/>
    <w:rsid w:val="007662A0"/>
    <w:rsid w:val="00766333"/>
    <w:rsid w:val="00766386"/>
    <w:rsid w:val="007663E9"/>
    <w:rsid w:val="007665E2"/>
    <w:rsid w:val="007669A3"/>
    <w:rsid w:val="00766A8B"/>
    <w:rsid w:val="00766A90"/>
    <w:rsid w:val="00766F08"/>
    <w:rsid w:val="00766FEE"/>
    <w:rsid w:val="007670BF"/>
    <w:rsid w:val="007671EF"/>
    <w:rsid w:val="00767445"/>
    <w:rsid w:val="0076748F"/>
    <w:rsid w:val="007677D7"/>
    <w:rsid w:val="007678A0"/>
    <w:rsid w:val="0076790B"/>
    <w:rsid w:val="00767A48"/>
    <w:rsid w:val="00767D06"/>
    <w:rsid w:val="00767E6C"/>
    <w:rsid w:val="00767FAB"/>
    <w:rsid w:val="00770100"/>
    <w:rsid w:val="007703E0"/>
    <w:rsid w:val="007707B3"/>
    <w:rsid w:val="0077082D"/>
    <w:rsid w:val="0077088F"/>
    <w:rsid w:val="00770AA0"/>
    <w:rsid w:val="00771027"/>
    <w:rsid w:val="00771A1F"/>
    <w:rsid w:val="00771B1D"/>
    <w:rsid w:val="00771D9D"/>
    <w:rsid w:val="00771E64"/>
    <w:rsid w:val="0077202A"/>
    <w:rsid w:val="007721AC"/>
    <w:rsid w:val="0077221C"/>
    <w:rsid w:val="00772337"/>
    <w:rsid w:val="007723AE"/>
    <w:rsid w:val="00772C2C"/>
    <w:rsid w:val="0077325E"/>
    <w:rsid w:val="007735CF"/>
    <w:rsid w:val="00773705"/>
    <w:rsid w:val="0077375F"/>
    <w:rsid w:val="00773AB2"/>
    <w:rsid w:val="00773B25"/>
    <w:rsid w:val="00773BBD"/>
    <w:rsid w:val="00773D3F"/>
    <w:rsid w:val="00773E4B"/>
    <w:rsid w:val="00773E61"/>
    <w:rsid w:val="0077401A"/>
    <w:rsid w:val="007741D4"/>
    <w:rsid w:val="007741F3"/>
    <w:rsid w:val="00774333"/>
    <w:rsid w:val="0077433C"/>
    <w:rsid w:val="00774723"/>
    <w:rsid w:val="007749BF"/>
    <w:rsid w:val="007749FE"/>
    <w:rsid w:val="00774C82"/>
    <w:rsid w:val="00774F48"/>
    <w:rsid w:val="00774FB3"/>
    <w:rsid w:val="00775026"/>
    <w:rsid w:val="0077525C"/>
    <w:rsid w:val="007755B1"/>
    <w:rsid w:val="007756DE"/>
    <w:rsid w:val="00775FC7"/>
    <w:rsid w:val="0077698C"/>
    <w:rsid w:val="00776CC5"/>
    <w:rsid w:val="00776F85"/>
    <w:rsid w:val="00777295"/>
    <w:rsid w:val="00777360"/>
    <w:rsid w:val="007773D1"/>
    <w:rsid w:val="007774C2"/>
    <w:rsid w:val="007774FA"/>
    <w:rsid w:val="0077792B"/>
    <w:rsid w:val="0077794B"/>
    <w:rsid w:val="00777FBD"/>
    <w:rsid w:val="007804F5"/>
    <w:rsid w:val="00780622"/>
    <w:rsid w:val="00780645"/>
    <w:rsid w:val="007809D2"/>
    <w:rsid w:val="00780B15"/>
    <w:rsid w:val="00780E3F"/>
    <w:rsid w:val="0078115E"/>
    <w:rsid w:val="007813EC"/>
    <w:rsid w:val="0078199C"/>
    <w:rsid w:val="007819CF"/>
    <w:rsid w:val="00781A9E"/>
    <w:rsid w:val="00781B24"/>
    <w:rsid w:val="00781D8C"/>
    <w:rsid w:val="00781EA1"/>
    <w:rsid w:val="007822FC"/>
    <w:rsid w:val="00782512"/>
    <w:rsid w:val="00782828"/>
    <w:rsid w:val="007829D9"/>
    <w:rsid w:val="00782A03"/>
    <w:rsid w:val="00782A35"/>
    <w:rsid w:val="00782EB3"/>
    <w:rsid w:val="00783342"/>
    <w:rsid w:val="00783519"/>
    <w:rsid w:val="007837F5"/>
    <w:rsid w:val="0078387D"/>
    <w:rsid w:val="0078398A"/>
    <w:rsid w:val="007839FF"/>
    <w:rsid w:val="00783CEE"/>
    <w:rsid w:val="00783D87"/>
    <w:rsid w:val="00783F5F"/>
    <w:rsid w:val="00784044"/>
    <w:rsid w:val="00784294"/>
    <w:rsid w:val="00784570"/>
    <w:rsid w:val="00784720"/>
    <w:rsid w:val="00784895"/>
    <w:rsid w:val="0078489F"/>
    <w:rsid w:val="0078494F"/>
    <w:rsid w:val="00784A6A"/>
    <w:rsid w:val="00784ADE"/>
    <w:rsid w:val="00784BB5"/>
    <w:rsid w:val="00784D32"/>
    <w:rsid w:val="00784EDD"/>
    <w:rsid w:val="007854CF"/>
    <w:rsid w:val="00785965"/>
    <w:rsid w:val="00785D2B"/>
    <w:rsid w:val="00786239"/>
    <w:rsid w:val="00786A21"/>
    <w:rsid w:val="00786BD4"/>
    <w:rsid w:val="00786C4C"/>
    <w:rsid w:val="00786C72"/>
    <w:rsid w:val="00786E16"/>
    <w:rsid w:val="007871ED"/>
    <w:rsid w:val="0078721E"/>
    <w:rsid w:val="007872E6"/>
    <w:rsid w:val="00787649"/>
    <w:rsid w:val="00787684"/>
    <w:rsid w:val="0078775B"/>
    <w:rsid w:val="0078786A"/>
    <w:rsid w:val="00787A4D"/>
    <w:rsid w:val="00787A9C"/>
    <w:rsid w:val="007905FA"/>
    <w:rsid w:val="00790879"/>
    <w:rsid w:val="007908E5"/>
    <w:rsid w:val="00790BF4"/>
    <w:rsid w:val="00790C96"/>
    <w:rsid w:val="00790D55"/>
    <w:rsid w:val="00790E1A"/>
    <w:rsid w:val="00790E79"/>
    <w:rsid w:val="00791169"/>
    <w:rsid w:val="007911CF"/>
    <w:rsid w:val="007912ED"/>
    <w:rsid w:val="007913B3"/>
    <w:rsid w:val="007914A8"/>
    <w:rsid w:val="007916C9"/>
    <w:rsid w:val="007917C9"/>
    <w:rsid w:val="00791857"/>
    <w:rsid w:val="00791A5E"/>
    <w:rsid w:val="00791BD6"/>
    <w:rsid w:val="00791C3A"/>
    <w:rsid w:val="007920CB"/>
    <w:rsid w:val="0079220C"/>
    <w:rsid w:val="00792245"/>
    <w:rsid w:val="0079269D"/>
    <w:rsid w:val="00792A3C"/>
    <w:rsid w:val="00792A7F"/>
    <w:rsid w:val="00792BC4"/>
    <w:rsid w:val="007932FD"/>
    <w:rsid w:val="007933C5"/>
    <w:rsid w:val="00793902"/>
    <w:rsid w:val="00793A5D"/>
    <w:rsid w:val="00793AE7"/>
    <w:rsid w:val="007943A8"/>
    <w:rsid w:val="00795CA8"/>
    <w:rsid w:val="00795D8A"/>
    <w:rsid w:val="00796009"/>
    <w:rsid w:val="00796435"/>
    <w:rsid w:val="00796868"/>
    <w:rsid w:val="007969A5"/>
    <w:rsid w:val="00796AF8"/>
    <w:rsid w:val="00796B3B"/>
    <w:rsid w:val="00796BB7"/>
    <w:rsid w:val="00796CBD"/>
    <w:rsid w:val="0079714F"/>
    <w:rsid w:val="007971D0"/>
    <w:rsid w:val="0079724E"/>
    <w:rsid w:val="0079746A"/>
    <w:rsid w:val="00797473"/>
    <w:rsid w:val="0079761E"/>
    <w:rsid w:val="007977A6"/>
    <w:rsid w:val="007977D8"/>
    <w:rsid w:val="00797891"/>
    <w:rsid w:val="00797E03"/>
    <w:rsid w:val="00797E4B"/>
    <w:rsid w:val="007A00D2"/>
    <w:rsid w:val="007A0698"/>
    <w:rsid w:val="007A085E"/>
    <w:rsid w:val="007A0B9C"/>
    <w:rsid w:val="007A0CE9"/>
    <w:rsid w:val="007A1193"/>
    <w:rsid w:val="007A19CB"/>
    <w:rsid w:val="007A1BD4"/>
    <w:rsid w:val="007A1C06"/>
    <w:rsid w:val="007A1F92"/>
    <w:rsid w:val="007A24AD"/>
    <w:rsid w:val="007A26EA"/>
    <w:rsid w:val="007A2AE4"/>
    <w:rsid w:val="007A2C86"/>
    <w:rsid w:val="007A2D5F"/>
    <w:rsid w:val="007A3035"/>
    <w:rsid w:val="007A303B"/>
    <w:rsid w:val="007A3215"/>
    <w:rsid w:val="007A363A"/>
    <w:rsid w:val="007A381D"/>
    <w:rsid w:val="007A3ACF"/>
    <w:rsid w:val="007A3B85"/>
    <w:rsid w:val="007A3C3C"/>
    <w:rsid w:val="007A3D1E"/>
    <w:rsid w:val="007A3E73"/>
    <w:rsid w:val="007A3EE9"/>
    <w:rsid w:val="007A3EFA"/>
    <w:rsid w:val="007A427F"/>
    <w:rsid w:val="007A4518"/>
    <w:rsid w:val="007A47B7"/>
    <w:rsid w:val="007A484B"/>
    <w:rsid w:val="007A49DF"/>
    <w:rsid w:val="007A4D24"/>
    <w:rsid w:val="007A4E47"/>
    <w:rsid w:val="007A4E4E"/>
    <w:rsid w:val="007A502B"/>
    <w:rsid w:val="007A5051"/>
    <w:rsid w:val="007A55B0"/>
    <w:rsid w:val="007A5822"/>
    <w:rsid w:val="007A5B50"/>
    <w:rsid w:val="007A5BFC"/>
    <w:rsid w:val="007A5CF8"/>
    <w:rsid w:val="007A5D13"/>
    <w:rsid w:val="007A5E58"/>
    <w:rsid w:val="007A5F67"/>
    <w:rsid w:val="007A6033"/>
    <w:rsid w:val="007A69F4"/>
    <w:rsid w:val="007A6C2B"/>
    <w:rsid w:val="007A6CE0"/>
    <w:rsid w:val="007A6F3C"/>
    <w:rsid w:val="007A6FCF"/>
    <w:rsid w:val="007A71FD"/>
    <w:rsid w:val="007A7758"/>
    <w:rsid w:val="007A7BF5"/>
    <w:rsid w:val="007A7EE5"/>
    <w:rsid w:val="007B01C2"/>
    <w:rsid w:val="007B0215"/>
    <w:rsid w:val="007B0227"/>
    <w:rsid w:val="007B038C"/>
    <w:rsid w:val="007B07F7"/>
    <w:rsid w:val="007B095D"/>
    <w:rsid w:val="007B0976"/>
    <w:rsid w:val="007B0AB6"/>
    <w:rsid w:val="007B0DCA"/>
    <w:rsid w:val="007B0E0D"/>
    <w:rsid w:val="007B121D"/>
    <w:rsid w:val="007B1418"/>
    <w:rsid w:val="007B1AC0"/>
    <w:rsid w:val="007B1CA7"/>
    <w:rsid w:val="007B1D80"/>
    <w:rsid w:val="007B2039"/>
    <w:rsid w:val="007B2080"/>
    <w:rsid w:val="007B20CB"/>
    <w:rsid w:val="007B2652"/>
    <w:rsid w:val="007B2686"/>
    <w:rsid w:val="007B27BD"/>
    <w:rsid w:val="007B29DE"/>
    <w:rsid w:val="007B2B05"/>
    <w:rsid w:val="007B2CF6"/>
    <w:rsid w:val="007B2D70"/>
    <w:rsid w:val="007B2F1E"/>
    <w:rsid w:val="007B31E7"/>
    <w:rsid w:val="007B3304"/>
    <w:rsid w:val="007B3434"/>
    <w:rsid w:val="007B37A9"/>
    <w:rsid w:val="007B3AC4"/>
    <w:rsid w:val="007B3C49"/>
    <w:rsid w:val="007B424B"/>
    <w:rsid w:val="007B4270"/>
    <w:rsid w:val="007B453D"/>
    <w:rsid w:val="007B4779"/>
    <w:rsid w:val="007B4988"/>
    <w:rsid w:val="007B4B50"/>
    <w:rsid w:val="007B4CAB"/>
    <w:rsid w:val="007B4CC2"/>
    <w:rsid w:val="007B4E07"/>
    <w:rsid w:val="007B5355"/>
    <w:rsid w:val="007B53B9"/>
    <w:rsid w:val="007B54CD"/>
    <w:rsid w:val="007B56F7"/>
    <w:rsid w:val="007B5795"/>
    <w:rsid w:val="007B5B55"/>
    <w:rsid w:val="007B5CF8"/>
    <w:rsid w:val="007B61CB"/>
    <w:rsid w:val="007B61EF"/>
    <w:rsid w:val="007B6363"/>
    <w:rsid w:val="007B6505"/>
    <w:rsid w:val="007B6743"/>
    <w:rsid w:val="007B6A39"/>
    <w:rsid w:val="007B6B6C"/>
    <w:rsid w:val="007B6EED"/>
    <w:rsid w:val="007B7277"/>
    <w:rsid w:val="007B7397"/>
    <w:rsid w:val="007B788C"/>
    <w:rsid w:val="007B7BCB"/>
    <w:rsid w:val="007B7ED2"/>
    <w:rsid w:val="007C03AE"/>
    <w:rsid w:val="007C0BD5"/>
    <w:rsid w:val="007C0C27"/>
    <w:rsid w:val="007C149C"/>
    <w:rsid w:val="007C14F7"/>
    <w:rsid w:val="007C1518"/>
    <w:rsid w:val="007C1698"/>
    <w:rsid w:val="007C16D9"/>
    <w:rsid w:val="007C175C"/>
    <w:rsid w:val="007C17CB"/>
    <w:rsid w:val="007C1868"/>
    <w:rsid w:val="007C195C"/>
    <w:rsid w:val="007C1CAA"/>
    <w:rsid w:val="007C1FE6"/>
    <w:rsid w:val="007C23C2"/>
    <w:rsid w:val="007C24D7"/>
    <w:rsid w:val="007C271F"/>
    <w:rsid w:val="007C2846"/>
    <w:rsid w:val="007C28C3"/>
    <w:rsid w:val="007C2C2C"/>
    <w:rsid w:val="007C2C9D"/>
    <w:rsid w:val="007C2EAC"/>
    <w:rsid w:val="007C3059"/>
    <w:rsid w:val="007C310C"/>
    <w:rsid w:val="007C3345"/>
    <w:rsid w:val="007C3554"/>
    <w:rsid w:val="007C3588"/>
    <w:rsid w:val="007C39A7"/>
    <w:rsid w:val="007C39EE"/>
    <w:rsid w:val="007C3AB6"/>
    <w:rsid w:val="007C3B06"/>
    <w:rsid w:val="007C3B0F"/>
    <w:rsid w:val="007C3B36"/>
    <w:rsid w:val="007C3BA5"/>
    <w:rsid w:val="007C3BC4"/>
    <w:rsid w:val="007C3D1D"/>
    <w:rsid w:val="007C3EF6"/>
    <w:rsid w:val="007C42BE"/>
    <w:rsid w:val="007C43AB"/>
    <w:rsid w:val="007C4469"/>
    <w:rsid w:val="007C4816"/>
    <w:rsid w:val="007C49E2"/>
    <w:rsid w:val="007C4BCB"/>
    <w:rsid w:val="007C4D0A"/>
    <w:rsid w:val="007C4DC8"/>
    <w:rsid w:val="007C4E5E"/>
    <w:rsid w:val="007C4E61"/>
    <w:rsid w:val="007C4E62"/>
    <w:rsid w:val="007C50CC"/>
    <w:rsid w:val="007C54F8"/>
    <w:rsid w:val="007C555B"/>
    <w:rsid w:val="007C57C5"/>
    <w:rsid w:val="007C5BC2"/>
    <w:rsid w:val="007C5DB5"/>
    <w:rsid w:val="007C6064"/>
    <w:rsid w:val="007C6102"/>
    <w:rsid w:val="007C6700"/>
    <w:rsid w:val="007C6788"/>
    <w:rsid w:val="007C6807"/>
    <w:rsid w:val="007C68D0"/>
    <w:rsid w:val="007C7046"/>
    <w:rsid w:val="007C7185"/>
    <w:rsid w:val="007C71D4"/>
    <w:rsid w:val="007C740D"/>
    <w:rsid w:val="007C7699"/>
    <w:rsid w:val="007C7D7B"/>
    <w:rsid w:val="007C7F49"/>
    <w:rsid w:val="007D00CB"/>
    <w:rsid w:val="007D0143"/>
    <w:rsid w:val="007D04BD"/>
    <w:rsid w:val="007D04D7"/>
    <w:rsid w:val="007D0892"/>
    <w:rsid w:val="007D0A6E"/>
    <w:rsid w:val="007D0FF4"/>
    <w:rsid w:val="007D1463"/>
    <w:rsid w:val="007D1AB5"/>
    <w:rsid w:val="007D1B3A"/>
    <w:rsid w:val="007D1ECD"/>
    <w:rsid w:val="007D1F1B"/>
    <w:rsid w:val="007D2000"/>
    <w:rsid w:val="007D2077"/>
    <w:rsid w:val="007D2281"/>
    <w:rsid w:val="007D2F0E"/>
    <w:rsid w:val="007D2FB0"/>
    <w:rsid w:val="007D30D2"/>
    <w:rsid w:val="007D33A6"/>
    <w:rsid w:val="007D33EE"/>
    <w:rsid w:val="007D3452"/>
    <w:rsid w:val="007D35B3"/>
    <w:rsid w:val="007D3678"/>
    <w:rsid w:val="007D3978"/>
    <w:rsid w:val="007D39B8"/>
    <w:rsid w:val="007D3A2C"/>
    <w:rsid w:val="007D3AAF"/>
    <w:rsid w:val="007D3B20"/>
    <w:rsid w:val="007D3FF9"/>
    <w:rsid w:val="007D40F4"/>
    <w:rsid w:val="007D45AC"/>
    <w:rsid w:val="007D45E6"/>
    <w:rsid w:val="007D48D9"/>
    <w:rsid w:val="007D4BF8"/>
    <w:rsid w:val="007D4DB7"/>
    <w:rsid w:val="007D4FDF"/>
    <w:rsid w:val="007D53AD"/>
    <w:rsid w:val="007D552A"/>
    <w:rsid w:val="007D5622"/>
    <w:rsid w:val="007D5651"/>
    <w:rsid w:val="007D56F1"/>
    <w:rsid w:val="007D5DE9"/>
    <w:rsid w:val="007D60DE"/>
    <w:rsid w:val="007D60EB"/>
    <w:rsid w:val="007D61B4"/>
    <w:rsid w:val="007D61BF"/>
    <w:rsid w:val="007D64B8"/>
    <w:rsid w:val="007D6EA8"/>
    <w:rsid w:val="007D6FDB"/>
    <w:rsid w:val="007D6FEC"/>
    <w:rsid w:val="007D7058"/>
    <w:rsid w:val="007D71E1"/>
    <w:rsid w:val="007D726A"/>
    <w:rsid w:val="007D72A5"/>
    <w:rsid w:val="007D7D02"/>
    <w:rsid w:val="007D7E0D"/>
    <w:rsid w:val="007E09C9"/>
    <w:rsid w:val="007E0A30"/>
    <w:rsid w:val="007E0E89"/>
    <w:rsid w:val="007E102C"/>
    <w:rsid w:val="007E1283"/>
    <w:rsid w:val="007E12AC"/>
    <w:rsid w:val="007E15DE"/>
    <w:rsid w:val="007E1614"/>
    <w:rsid w:val="007E193F"/>
    <w:rsid w:val="007E244E"/>
    <w:rsid w:val="007E259F"/>
    <w:rsid w:val="007E26ED"/>
    <w:rsid w:val="007E271D"/>
    <w:rsid w:val="007E28B9"/>
    <w:rsid w:val="007E2AD9"/>
    <w:rsid w:val="007E2B12"/>
    <w:rsid w:val="007E2C15"/>
    <w:rsid w:val="007E2E49"/>
    <w:rsid w:val="007E2EBF"/>
    <w:rsid w:val="007E31C3"/>
    <w:rsid w:val="007E39C7"/>
    <w:rsid w:val="007E3E94"/>
    <w:rsid w:val="007E40E4"/>
    <w:rsid w:val="007E42A6"/>
    <w:rsid w:val="007E463C"/>
    <w:rsid w:val="007E4FAF"/>
    <w:rsid w:val="007E5095"/>
    <w:rsid w:val="007E53AA"/>
    <w:rsid w:val="007E578C"/>
    <w:rsid w:val="007E57A9"/>
    <w:rsid w:val="007E58AC"/>
    <w:rsid w:val="007E596D"/>
    <w:rsid w:val="007E5B20"/>
    <w:rsid w:val="007E5C9A"/>
    <w:rsid w:val="007E5DFD"/>
    <w:rsid w:val="007E6327"/>
    <w:rsid w:val="007E6524"/>
    <w:rsid w:val="007E65AB"/>
    <w:rsid w:val="007E6645"/>
    <w:rsid w:val="007E680D"/>
    <w:rsid w:val="007E6851"/>
    <w:rsid w:val="007E6871"/>
    <w:rsid w:val="007E68BD"/>
    <w:rsid w:val="007E68C7"/>
    <w:rsid w:val="007E6A08"/>
    <w:rsid w:val="007E6AEA"/>
    <w:rsid w:val="007E6C53"/>
    <w:rsid w:val="007E6CC8"/>
    <w:rsid w:val="007E6D75"/>
    <w:rsid w:val="007E6EF8"/>
    <w:rsid w:val="007E6F32"/>
    <w:rsid w:val="007E7342"/>
    <w:rsid w:val="007E7362"/>
    <w:rsid w:val="007E75DC"/>
    <w:rsid w:val="007E76B3"/>
    <w:rsid w:val="007E798E"/>
    <w:rsid w:val="007E7E57"/>
    <w:rsid w:val="007E7E60"/>
    <w:rsid w:val="007E7EBD"/>
    <w:rsid w:val="007F0380"/>
    <w:rsid w:val="007F040D"/>
    <w:rsid w:val="007F0927"/>
    <w:rsid w:val="007F0BBA"/>
    <w:rsid w:val="007F0C6F"/>
    <w:rsid w:val="007F0E33"/>
    <w:rsid w:val="007F1017"/>
    <w:rsid w:val="007F1168"/>
    <w:rsid w:val="007F11B2"/>
    <w:rsid w:val="007F13C6"/>
    <w:rsid w:val="007F13E3"/>
    <w:rsid w:val="007F140A"/>
    <w:rsid w:val="007F15F6"/>
    <w:rsid w:val="007F17E3"/>
    <w:rsid w:val="007F1C26"/>
    <w:rsid w:val="007F1D6E"/>
    <w:rsid w:val="007F25FF"/>
    <w:rsid w:val="007F275D"/>
    <w:rsid w:val="007F27E7"/>
    <w:rsid w:val="007F2C9E"/>
    <w:rsid w:val="007F301B"/>
    <w:rsid w:val="007F305C"/>
    <w:rsid w:val="007F312E"/>
    <w:rsid w:val="007F324F"/>
    <w:rsid w:val="007F3275"/>
    <w:rsid w:val="007F3442"/>
    <w:rsid w:val="007F371B"/>
    <w:rsid w:val="007F3836"/>
    <w:rsid w:val="007F3839"/>
    <w:rsid w:val="007F3928"/>
    <w:rsid w:val="007F3AB2"/>
    <w:rsid w:val="007F3CE2"/>
    <w:rsid w:val="007F3CEB"/>
    <w:rsid w:val="007F4049"/>
    <w:rsid w:val="007F42B7"/>
    <w:rsid w:val="007F4651"/>
    <w:rsid w:val="007F4655"/>
    <w:rsid w:val="007F4AB8"/>
    <w:rsid w:val="007F4AE2"/>
    <w:rsid w:val="007F4E41"/>
    <w:rsid w:val="007F5233"/>
    <w:rsid w:val="007F5335"/>
    <w:rsid w:val="007F5459"/>
    <w:rsid w:val="007F54B0"/>
    <w:rsid w:val="007F55CB"/>
    <w:rsid w:val="007F590E"/>
    <w:rsid w:val="007F5979"/>
    <w:rsid w:val="007F5A38"/>
    <w:rsid w:val="007F5A42"/>
    <w:rsid w:val="007F5BD2"/>
    <w:rsid w:val="007F60E3"/>
    <w:rsid w:val="007F6A0F"/>
    <w:rsid w:val="007F6A1D"/>
    <w:rsid w:val="007F6E02"/>
    <w:rsid w:val="007F6E7B"/>
    <w:rsid w:val="007F6EBA"/>
    <w:rsid w:val="007F6F29"/>
    <w:rsid w:val="007F7242"/>
    <w:rsid w:val="007F773D"/>
    <w:rsid w:val="007F779D"/>
    <w:rsid w:val="007F7807"/>
    <w:rsid w:val="007F7ACA"/>
    <w:rsid w:val="007F7B6D"/>
    <w:rsid w:val="007F7B79"/>
    <w:rsid w:val="0080019A"/>
    <w:rsid w:val="008003B1"/>
    <w:rsid w:val="0080075F"/>
    <w:rsid w:val="00800886"/>
    <w:rsid w:val="00800A41"/>
    <w:rsid w:val="00800BC3"/>
    <w:rsid w:val="00800E96"/>
    <w:rsid w:val="008013A5"/>
    <w:rsid w:val="00801624"/>
    <w:rsid w:val="00801943"/>
    <w:rsid w:val="008019CC"/>
    <w:rsid w:val="00801D42"/>
    <w:rsid w:val="00801DE2"/>
    <w:rsid w:val="00801EDE"/>
    <w:rsid w:val="0080201F"/>
    <w:rsid w:val="00802364"/>
    <w:rsid w:val="008026BC"/>
    <w:rsid w:val="00802D80"/>
    <w:rsid w:val="00802E19"/>
    <w:rsid w:val="00802F5B"/>
    <w:rsid w:val="008030D1"/>
    <w:rsid w:val="008034C8"/>
    <w:rsid w:val="008037C5"/>
    <w:rsid w:val="00803896"/>
    <w:rsid w:val="00803C2E"/>
    <w:rsid w:val="00803CE1"/>
    <w:rsid w:val="00803E2D"/>
    <w:rsid w:val="00803F47"/>
    <w:rsid w:val="00803FA8"/>
    <w:rsid w:val="00803FB0"/>
    <w:rsid w:val="0080418D"/>
    <w:rsid w:val="008044DB"/>
    <w:rsid w:val="008044DD"/>
    <w:rsid w:val="008045BE"/>
    <w:rsid w:val="00804CBE"/>
    <w:rsid w:val="00804DAF"/>
    <w:rsid w:val="008051CE"/>
    <w:rsid w:val="00805584"/>
    <w:rsid w:val="00805810"/>
    <w:rsid w:val="00805956"/>
    <w:rsid w:val="00805957"/>
    <w:rsid w:val="008059EB"/>
    <w:rsid w:val="00805C5F"/>
    <w:rsid w:val="00805CC8"/>
    <w:rsid w:val="00805D62"/>
    <w:rsid w:val="00805DA0"/>
    <w:rsid w:val="008061D5"/>
    <w:rsid w:val="0080635E"/>
    <w:rsid w:val="00806363"/>
    <w:rsid w:val="008067D1"/>
    <w:rsid w:val="00806C6D"/>
    <w:rsid w:val="00807104"/>
    <w:rsid w:val="008073F6"/>
    <w:rsid w:val="0080743B"/>
    <w:rsid w:val="00807442"/>
    <w:rsid w:val="008077EB"/>
    <w:rsid w:val="00807F58"/>
    <w:rsid w:val="0081006D"/>
    <w:rsid w:val="00810077"/>
    <w:rsid w:val="008100F4"/>
    <w:rsid w:val="0081021D"/>
    <w:rsid w:val="008104A5"/>
    <w:rsid w:val="00810535"/>
    <w:rsid w:val="00810586"/>
    <w:rsid w:val="00810690"/>
    <w:rsid w:val="0081077D"/>
    <w:rsid w:val="00810A21"/>
    <w:rsid w:val="00810A91"/>
    <w:rsid w:val="00810B15"/>
    <w:rsid w:val="00810F78"/>
    <w:rsid w:val="008110DF"/>
    <w:rsid w:val="0081130B"/>
    <w:rsid w:val="0081135B"/>
    <w:rsid w:val="008113A4"/>
    <w:rsid w:val="00811695"/>
    <w:rsid w:val="008117DB"/>
    <w:rsid w:val="00811D82"/>
    <w:rsid w:val="00812719"/>
    <w:rsid w:val="008127EA"/>
    <w:rsid w:val="00812AC3"/>
    <w:rsid w:val="00812B69"/>
    <w:rsid w:val="00812B8B"/>
    <w:rsid w:val="00812CBD"/>
    <w:rsid w:val="00812DC0"/>
    <w:rsid w:val="00813308"/>
    <w:rsid w:val="00813651"/>
    <w:rsid w:val="008136A4"/>
    <w:rsid w:val="0081398F"/>
    <w:rsid w:val="00813C6B"/>
    <w:rsid w:val="00813FE8"/>
    <w:rsid w:val="008141CC"/>
    <w:rsid w:val="008142E2"/>
    <w:rsid w:val="008144A7"/>
    <w:rsid w:val="0081470F"/>
    <w:rsid w:val="00814713"/>
    <w:rsid w:val="00814B05"/>
    <w:rsid w:val="00814D2D"/>
    <w:rsid w:val="00814DA7"/>
    <w:rsid w:val="00814DD0"/>
    <w:rsid w:val="00815493"/>
    <w:rsid w:val="00815AFC"/>
    <w:rsid w:val="00815C1F"/>
    <w:rsid w:val="00815CF5"/>
    <w:rsid w:val="0081600F"/>
    <w:rsid w:val="00816124"/>
    <w:rsid w:val="008161A2"/>
    <w:rsid w:val="00816336"/>
    <w:rsid w:val="008163B1"/>
    <w:rsid w:val="008164E3"/>
    <w:rsid w:val="00816641"/>
    <w:rsid w:val="008167FC"/>
    <w:rsid w:val="00816B01"/>
    <w:rsid w:val="00816B57"/>
    <w:rsid w:val="00816C04"/>
    <w:rsid w:val="00816D8B"/>
    <w:rsid w:val="00816DCA"/>
    <w:rsid w:val="00816DEF"/>
    <w:rsid w:val="00817095"/>
    <w:rsid w:val="00817448"/>
    <w:rsid w:val="00817479"/>
    <w:rsid w:val="008174FA"/>
    <w:rsid w:val="00817606"/>
    <w:rsid w:val="00817934"/>
    <w:rsid w:val="008179EC"/>
    <w:rsid w:val="00817AB8"/>
    <w:rsid w:val="00817C66"/>
    <w:rsid w:val="0082042C"/>
    <w:rsid w:val="00820957"/>
    <w:rsid w:val="00821202"/>
    <w:rsid w:val="0082157B"/>
    <w:rsid w:val="008216A7"/>
    <w:rsid w:val="00821778"/>
    <w:rsid w:val="00821D3C"/>
    <w:rsid w:val="00821DB3"/>
    <w:rsid w:val="00822046"/>
    <w:rsid w:val="00822097"/>
    <w:rsid w:val="008221B7"/>
    <w:rsid w:val="00822203"/>
    <w:rsid w:val="008222AA"/>
    <w:rsid w:val="0082243C"/>
    <w:rsid w:val="0082273E"/>
    <w:rsid w:val="008228B3"/>
    <w:rsid w:val="00822D5A"/>
    <w:rsid w:val="00822DFE"/>
    <w:rsid w:val="00822FB8"/>
    <w:rsid w:val="008232AA"/>
    <w:rsid w:val="0082359B"/>
    <w:rsid w:val="00823BC2"/>
    <w:rsid w:val="00823F95"/>
    <w:rsid w:val="008241ED"/>
    <w:rsid w:val="00824616"/>
    <w:rsid w:val="00824792"/>
    <w:rsid w:val="008251CB"/>
    <w:rsid w:val="008251EA"/>
    <w:rsid w:val="008253DE"/>
    <w:rsid w:val="0082589D"/>
    <w:rsid w:val="008258B0"/>
    <w:rsid w:val="00825A78"/>
    <w:rsid w:val="00825A91"/>
    <w:rsid w:val="00825C83"/>
    <w:rsid w:val="00825E52"/>
    <w:rsid w:val="00825FDE"/>
    <w:rsid w:val="0082604A"/>
    <w:rsid w:val="0082617E"/>
    <w:rsid w:val="008262E4"/>
    <w:rsid w:val="008263CB"/>
    <w:rsid w:val="008265F8"/>
    <w:rsid w:val="00826778"/>
    <w:rsid w:val="008267E0"/>
    <w:rsid w:val="00826A84"/>
    <w:rsid w:val="00826B49"/>
    <w:rsid w:val="00826E67"/>
    <w:rsid w:val="00826ED1"/>
    <w:rsid w:val="00826F32"/>
    <w:rsid w:val="008271EA"/>
    <w:rsid w:val="00827357"/>
    <w:rsid w:val="0082751C"/>
    <w:rsid w:val="00827738"/>
    <w:rsid w:val="00827815"/>
    <w:rsid w:val="0082789C"/>
    <w:rsid w:val="0082791D"/>
    <w:rsid w:val="00827C5E"/>
    <w:rsid w:val="00827C62"/>
    <w:rsid w:val="0083011E"/>
    <w:rsid w:val="00830503"/>
    <w:rsid w:val="0083068F"/>
    <w:rsid w:val="008307D7"/>
    <w:rsid w:val="00830A45"/>
    <w:rsid w:val="00830DFB"/>
    <w:rsid w:val="0083118A"/>
    <w:rsid w:val="008311B6"/>
    <w:rsid w:val="008315B2"/>
    <w:rsid w:val="00831AC6"/>
    <w:rsid w:val="00831D50"/>
    <w:rsid w:val="008320F6"/>
    <w:rsid w:val="00832890"/>
    <w:rsid w:val="00832A07"/>
    <w:rsid w:val="00832D6F"/>
    <w:rsid w:val="00833006"/>
    <w:rsid w:val="00833102"/>
    <w:rsid w:val="0083325B"/>
    <w:rsid w:val="008334E1"/>
    <w:rsid w:val="00833760"/>
    <w:rsid w:val="00833935"/>
    <w:rsid w:val="00833B11"/>
    <w:rsid w:val="00833F08"/>
    <w:rsid w:val="008344D2"/>
    <w:rsid w:val="0083456E"/>
    <w:rsid w:val="008347F9"/>
    <w:rsid w:val="00834948"/>
    <w:rsid w:val="008349CF"/>
    <w:rsid w:val="00834CB8"/>
    <w:rsid w:val="00834D31"/>
    <w:rsid w:val="008350B3"/>
    <w:rsid w:val="008351BF"/>
    <w:rsid w:val="008351C0"/>
    <w:rsid w:val="008352D1"/>
    <w:rsid w:val="00835507"/>
    <w:rsid w:val="00835578"/>
    <w:rsid w:val="008355E9"/>
    <w:rsid w:val="0083562E"/>
    <w:rsid w:val="00835885"/>
    <w:rsid w:val="00835D60"/>
    <w:rsid w:val="00835E47"/>
    <w:rsid w:val="00835F7E"/>
    <w:rsid w:val="008362C6"/>
    <w:rsid w:val="00836724"/>
    <w:rsid w:val="00836B2E"/>
    <w:rsid w:val="0083715B"/>
    <w:rsid w:val="0083720E"/>
    <w:rsid w:val="00837426"/>
    <w:rsid w:val="00837638"/>
    <w:rsid w:val="0083779E"/>
    <w:rsid w:val="0083796D"/>
    <w:rsid w:val="00837A9B"/>
    <w:rsid w:val="00837C17"/>
    <w:rsid w:val="0084029C"/>
    <w:rsid w:val="00840532"/>
    <w:rsid w:val="00840C6E"/>
    <w:rsid w:val="00840F95"/>
    <w:rsid w:val="00841058"/>
    <w:rsid w:val="00841160"/>
    <w:rsid w:val="00841833"/>
    <w:rsid w:val="008419B7"/>
    <w:rsid w:val="00841D17"/>
    <w:rsid w:val="00841EAE"/>
    <w:rsid w:val="00842207"/>
    <w:rsid w:val="00842211"/>
    <w:rsid w:val="00842932"/>
    <w:rsid w:val="00842BD2"/>
    <w:rsid w:val="00842C35"/>
    <w:rsid w:val="00842E81"/>
    <w:rsid w:val="00842FE3"/>
    <w:rsid w:val="008431F0"/>
    <w:rsid w:val="00843295"/>
    <w:rsid w:val="008432AF"/>
    <w:rsid w:val="00843420"/>
    <w:rsid w:val="0084357A"/>
    <w:rsid w:val="008435D0"/>
    <w:rsid w:val="00843626"/>
    <w:rsid w:val="00843BE7"/>
    <w:rsid w:val="00843F8A"/>
    <w:rsid w:val="0084429D"/>
    <w:rsid w:val="00844365"/>
    <w:rsid w:val="0084437B"/>
    <w:rsid w:val="00844450"/>
    <w:rsid w:val="008444A8"/>
    <w:rsid w:val="0084479B"/>
    <w:rsid w:val="00844912"/>
    <w:rsid w:val="008449C9"/>
    <w:rsid w:val="00844A88"/>
    <w:rsid w:val="00844D1E"/>
    <w:rsid w:val="00844DDD"/>
    <w:rsid w:val="00844E4B"/>
    <w:rsid w:val="00845160"/>
    <w:rsid w:val="00845462"/>
    <w:rsid w:val="008455CA"/>
    <w:rsid w:val="008456F1"/>
    <w:rsid w:val="0084573E"/>
    <w:rsid w:val="00845815"/>
    <w:rsid w:val="008459E7"/>
    <w:rsid w:val="00845A59"/>
    <w:rsid w:val="00845B66"/>
    <w:rsid w:val="00845DF7"/>
    <w:rsid w:val="00846284"/>
    <w:rsid w:val="008462C9"/>
    <w:rsid w:val="008466C1"/>
    <w:rsid w:val="00846BAB"/>
    <w:rsid w:val="00846DD7"/>
    <w:rsid w:val="0084704E"/>
    <w:rsid w:val="0084733F"/>
    <w:rsid w:val="008474C9"/>
    <w:rsid w:val="008474CA"/>
    <w:rsid w:val="008476C5"/>
    <w:rsid w:val="00847719"/>
    <w:rsid w:val="00847798"/>
    <w:rsid w:val="00847B53"/>
    <w:rsid w:val="00847C17"/>
    <w:rsid w:val="00847EFE"/>
    <w:rsid w:val="00847FE0"/>
    <w:rsid w:val="0085037B"/>
    <w:rsid w:val="0085039C"/>
    <w:rsid w:val="008507EA"/>
    <w:rsid w:val="008509BF"/>
    <w:rsid w:val="00850F6E"/>
    <w:rsid w:val="0085102D"/>
    <w:rsid w:val="008510D7"/>
    <w:rsid w:val="00851330"/>
    <w:rsid w:val="00851364"/>
    <w:rsid w:val="008516FA"/>
    <w:rsid w:val="00851810"/>
    <w:rsid w:val="00851A05"/>
    <w:rsid w:val="00851A2E"/>
    <w:rsid w:val="00851B20"/>
    <w:rsid w:val="00851C56"/>
    <w:rsid w:val="00851EFD"/>
    <w:rsid w:val="00851F1C"/>
    <w:rsid w:val="00851F5B"/>
    <w:rsid w:val="008521DD"/>
    <w:rsid w:val="0085244D"/>
    <w:rsid w:val="0085257C"/>
    <w:rsid w:val="00852926"/>
    <w:rsid w:val="00852A5C"/>
    <w:rsid w:val="00852AC6"/>
    <w:rsid w:val="00853466"/>
    <w:rsid w:val="008537BB"/>
    <w:rsid w:val="008537FD"/>
    <w:rsid w:val="00853969"/>
    <w:rsid w:val="00853D77"/>
    <w:rsid w:val="00853DA4"/>
    <w:rsid w:val="00853FF3"/>
    <w:rsid w:val="008544D4"/>
    <w:rsid w:val="008549C8"/>
    <w:rsid w:val="00854A1E"/>
    <w:rsid w:val="00854DFE"/>
    <w:rsid w:val="00855208"/>
    <w:rsid w:val="00855389"/>
    <w:rsid w:val="00855400"/>
    <w:rsid w:val="008554CE"/>
    <w:rsid w:val="0085591F"/>
    <w:rsid w:val="00856164"/>
    <w:rsid w:val="0085645F"/>
    <w:rsid w:val="008565C3"/>
    <w:rsid w:val="00856A14"/>
    <w:rsid w:val="00856A79"/>
    <w:rsid w:val="00856D4A"/>
    <w:rsid w:val="00856F26"/>
    <w:rsid w:val="00856F64"/>
    <w:rsid w:val="00857182"/>
    <w:rsid w:val="00857206"/>
    <w:rsid w:val="008575DE"/>
    <w:rsid w:val="008576A1"/>
    <w:rsid w:val="00857986"/>
    <w:rsid w:val="00857A8C"/>
    <w:rsid w:val="00857AD1"/>
    <w:rsid w:val="00857D09"/>
    <w:rsid w:val="00857D87"/>
    <w:rsid w:val="00857FE0"/>
    <w:rsid w:val="0086033C"/>
    <w:rsid w:val="00860602"/>
    <w:rsid w:val="008608C2"/>
    <w:rsid w:val="00860A5F"/>
    <w:rsid w:val="00860BB6"/>
    <w:rsid w:val="00860CE3"/>
    <w:rsid w:val="0086170B"/>
    <w:rsid w:val="0086189B"/>
    <w:rsid w:val="00861E0B"/>
    <w:rsid w:val="00862000"/>
    <w:rsid w:val="00862060"/>
    <w:rsid w:val="0086212A"/>
    <w:rsid w:val="008621A0"/>
    <w:rsid w:val="00862437"/>
    <w:rsid w:val="0086246B"/>
    <w:rsid w:val="00862556"/>
    <w:rsid w:val="0086263A"/>
    <w:rsid w:val="008626DB"/>
    <w:rsid w:val="008628E8"/>
    <w:rsid w:val="00862D08"/>
    <w:rsid w:val="00863080"/>
    <w:rsid w:val="008631A2"/>
    <w:rsid w:val="008632B7"/>
    <w:rsid w:val="008634DB"/>
    <w:rsid w:val="00863572"/>
    <w:rsid w:val="00863776"/>
    <w:rsid w:val="00863AB2"/>
    <w:rsid w:val="00863CD5"/>
    <w:rsid w:val="00863ED1"/>
    <w:rsid w:val="008640FC"/>
    <w:rsid w:val="00864289"/>
    <w:rsid w:val="00864467"/>
    <w:rsid w:val="008646E8"/>
    <w:rsid w:val="00864A2F"/>
    <w:rsid w:val="00864BDA"/>
    <w:rsid w:val="00864C0E"/>
    <w:rsid w:val="00864E74"/>
    <w:rsid w:val="00865171"/>
    <w:rsid w:val="00865258"/>
    <w:rsid w:val="008652D2"/>
    <w:rsid w:val="00865628"/>
    <w:rsid w:val="00865B29"/>
    <w:rsid w:val="00866203"/>
    <w:rsid w:val="008664BB"/>
    <w:rsid w:val="008664D6"/>
    <w:rsid w:val="0086663C"/>
    <w:rsid w:val="008668A1"/>
    <w:rsid w:val="00866926"/>
    <w:rsid w:val="00866A57"/>
    <w:rsid w:val="00866D47"/>
    <w:rsid w:val="00866E40"/>
    <w:rsid w:val="00866E86"/>
    <w:rsid w:val="00866F0A"/>
    <w:rsid w:val="00867028"/>
    <w:rsid w:val="00867114"/>
    <w:rsid w:val="00867964"/>
    <w:rsid w:val="0086798E"/>
    <w:rsid w:val="00867B54"/>
    <w:rsid w:val="008706BD"/>
    <w:rsid w:val="008706EE"/>
    <w:rsid w:val="00870854"/>
    <w:rsid w:val="00870D75"/>
    <w:rsid w:val="00871576"/>
    <w:rsid w:val="008716B5"/>
    <w:rsid w:val="00871740"/>
    <w:rsid w:val="00871783"/>
    <w:rsid w:val="00871992"/>
    <w:rsid w:val="00871B0F"/>
    <w:rsid w:val="00871B3D"/>
    <w:rsid w:val="00871CEB"/>
    <w:rsid w:val="008721C2"/>
    <w:rsid w:val="00872336"/>
    <w:rsid w:val="008725B6"/>
    <w:rsid w:val="008725FF"/>
    <w:rsid w:val="008728C5"/>
    <w:rsid w:val="00872CCB"/>
    <w:rsid w:val="00873306"/>
    <w:rsid w:val="0087349D"/>
    <w:rsid w:val="0087351A"/>
    <w:rsid w:val="0087355E"/>
    <w:rsid w:val="00873A7D"/>
    <w:rsid w:val="00873CEB"/>
    <w:rsid w:val="00873FE4"/>
    <w:rsid w:val="00874079"/>
    <w:rsid w:val="00874099"/>
    <w:rsid w:val="00874B7D"/>
    <w:rsid w:val="00874C36"/>
    <w:rsid w:val="00874CBF"/>
    <w:rsid w:val="00874CE2"/>
    <w:rsid w:val="00874D0D"/>
    <w:rsid w:val="00874EA2"/>
    <w:rsid w:val="00875095"/>
    <w:rsid w:val="00875096"/>
    <w:rsid w:val="008752FD"/>
    <w:rsid w:val="0087538C"/>
    <w:rsid w:val="008753A3"/>
    <w:rsid w:val="0087575B"/>
    <w:rsid w:val="00875F16"/>
    <w:rsid w:val="0087655C"/>
    <w:rsid w:val="00876833"/>
    <w:rsid w:val="00876CEC"/>
    <w:rsid w:val="00876F82"/>
    <w:rsid w:val="00876FBB"/>
    <w:rsid w:val="008770B7"/>
    <w:rsid w:val="008771F8"/>
    <w:rsid w:val="008772DF"/>
    <w:rsid w:val="008775AC"/>
    <w:rsid w:val="008779BC"/>
    <w:rsid w:val="00877C17"/>
    <w:rsid w:val="00877EAF"/>
    <w:rsid w:val="00877F03"/>
    <w:rsid w:val="008800EE"/>
    <w:rsid w:val="00880174"/>
    <w:rsid w:val="008801E1"/>
    <w:rsid w:val="00880652"/>
    <w:rsid w:val="008806B8"/>
    <w:rsid w:val="00880A93"/>
    <w:rsid w:val="00880DB2"/>
    <w:rsid w:val="00880DB8"/>
    <w:rsid w:val="008810C2"/>
    <w:rsid w:val="008812DF"/>
    <w:rsid w:val="0088143A"/>
    <w:rsid w:val="00881488"/>
    <w:rsid w:val="00881CC4"/>
    <w:rsid w:val="00882201"/>
    <w:rsid w:val="00882515"/>
    <w:rsid w:val="00882644"/>
    <w:rsid w:val="00882F42"/>
    <w:rsid w:val="00882F4A"/>
    <w:rsid w:val="0088312F"/>
    <w:rsid w:val="00883131"/>
    <w:rsid w:val="008831B3"/>
    <w:rsid w:val="008833B1"/>
    <w:rsid w:val="008833FF"/>
    <w:rsid w:val="00883505"/>
    <w:rsid w:val="0088399B"/>
    <w:rsid w:val="00883A3B"/>
    <w:rsid w:val="00883C70"/>
    <w:rsid w:val="0088417D"/>
    <w:rsid w:val="00884536"/>
    <w:rsid w:val="0088465F"/>
    <w:rsid w:val="00884876"/>
    <w:rsid w:val="0088494D"/>
    <w:rsid w:val="00884BFC"/>
    <w:rsid w:val="00884CFB"/>
    <w:rsid w:val="008851B3"/>
    <w:rsid w:val="00885257"/>
    <w:rsid w:val="008854C7"/>
    <w:rsid w:val="008856C8"/>
    <w:rsid w:val="00885AB6"/>
    <w:rsid w:val="00885AD9"/>
    <w:rsid w:val="00885C04"/>
    <w:rsid w:val="00885C29"/>
    <w:rsid w:val="00885C2E"/>
    <w:rsid w:val="00885C75"/>
    <w:rsid w:val="00885F02"/>
    <w:rsid w:val="00886537"/>
    <w:rsid w:val="0088653B"/>
    <w:rsid w:val="0088667A"/>
    <w:rsid w:val="008869FA"/>
    <w:rsid w:val="00886A22"/>
    <w:rsid w:val="00886F8E"/>
    <w:rsid w:val="00886FD5"/>
    <w:rsid w:val="00887218"/>
    <w:rsid w:val="00887331"/>
    <w:rsid w:val="00887615"/>
    <w:rsid w:val="008876E8"/>
    <w:rsid w:val="00887833"/>
    <w:rsid w:val="00887932"/>
    <w:rsid w:val="00887A89"/>
    <w:rsid w:val="00887B11"/>
    <w:rsid w:val="00887F25"/>
    <w:rsid w:val="0089031A"/>
    <w:rsid w:val="00890472"/>
    <w:rsid w:val="00890497"/>
    <w:rsid w:val="008904AD"/>
    <w:rsid w:val="0089066B"/>
    <w:rsid w:val="0089075B"/>
    <w:rsid w:val="00890770"/>
    <w:rsid w:val="008907C8"/>
    <w:rsid w:val="0089081F"/>
    <w:rsid w:val="00891023"/>
    <w:rsid w:val="008910B4"/>
    <w:rsid w:val="008913EB"/>
    <w:rsid w:val="00891659"/>
    <w:rsid w:val="008917F5"/>
    <w:rsid w:val="00891B1D"/>
    <w:rsid w:val="00891CB4"/>
    <w:rsid w:val="00891F07"/>
    <w:rsid w:val="00891FB3"/>
    <w:rsid w:val="00892461"/>
    <w:rsid w:val="008924CD"/>
    <w:rsid w:val="00892C7A"/>
    <w:rsid w:val="00892F58"/>
    <w:rsid w:val="00892F84"/>
    <w:rsid w:val="0089323D"/>
    <w:rsid w:val="008932ED"/>
    <w:rsid w:val="00893314"/>
    <w:rsid w:val="008933B4"/>
    <w:rsid w:val="008933EE"/>
    <w:rsid w:val="008934AD"/>
    <w:rsid w:val="008939BB"/>
    <w:rsid w:val="008939CF"/>
    <w:rsid w:val="00893B5E"/>
    <w:rsid w:val="00893DD5"/>
    <w:rsid w:val="00894051"/>
    <w:rsid w:val="00894103"/>
    <w:rsid w:val="00894442"/>
    <w:rsid w:val="00894697"/>
    <w:rsid w:val="008946AA"/>
    <w:rsid w:val="008949D3"/>
    <w:rsid w:val="00895103"/>
    <w:rsid w:val="00895352"/>
    <w:rsid w:val="00895A04"/>
    <w:rsid w:val="00895ACC"/>
    <w:rsid w:val="00895D27"/>
    <w:rsid w:val="0089606A"/>
    <w:rsid w:val="008960A4"/>
    <w:rsid w:val="008963C2"/>
    <w:rsid w:val="008964E0"/>
    <w:rsid w:val="00896534"/>
    <w:rsid w:val="00897056"/>
    <w:rsid w:val="008971DC"/>
    <w:rsid w:val="00897245"/>
    <w:rsid w:val="00897539"/>
    <w:rsid w:val="00897788"/>
    <w:rsid w:val="008978BB"/>
    <w:rsid w:val="0089793D"/>
    <w:rsid w:val="00897A3B"/>
    <w:rsid w:val="00897CA2"/>
    <w:rsid w:val="008A00A4"/>
    <w:rsid w:val="008A01B5"/>
    <w:rsid w:val="008A0424"/>
    <w:rsid w:val="008A07A7"/>
    <w:rsid w:val="008A0844"/>
    <w:rsid w:val="008A084C"/>
    <w:rsid w:val="008A0B59"/>
    <w:rsid w:val="008A0B62"/>
    <w:rsid w:val="008A0DAB"/>
    <w:rsid w:val="008A0F46"/>
    <w:rsid w:val="008A10DA"/>
    <w:rsid w:val="008A1184"/>
    <w:rsid w:val="008A1670"/>
    <w:rsid w:val="008A1871"/>
    <w:rsid w:val="008A196B"/>
    <w:rsid w:val="008A19B7"/>
    <w:rsid w:val="008A1A9F"/>
    <w:rsid w:val="008A1B04"/>
    <w:rsid w:val="008A21BE"/>
    <w:rsid w:val="008A26F3"/>
    <w:rsid w:val="008A2A2F"/>
    <w:rsid w:val="008A2A69"/>
    <w:rsid w:val="008A2CA2"/>
    <w:rsid w:val="008A2DD0"/>
    <w:rsid w:val="008A2E4F"/>
    <w:rsid w:val="008A2F74"/>
    <w:rsid w:val="008A3007"/>
    <w:rsid w:val="008A31DA"/>
    <w:rsid w:val="008A3224"/>
    <w:rsid w:val="008A32F5"/>
    <w:rsid w:val="008A346B"/>
    <w:rsid w:val="008A34F2"/>
    <w:rsid w:val="008A36BC"/>
    <w:rsid w:val="008A3862"/>
    <w:rsid w:val="008A3B6F"/>
    <w:rsid w:val="008A3C00"/>
    <w:rsid w:val="008A3CC7"/>
    <w:rsid w:val="008A4338"/>
    <w:rsid w:val="008A439E"/>
    <w:rsid w:val="008A44BB"/>
    <w:rsid w:val="008A4654"/>
    <w:rsid w:val="008A4A07"/>
    <w:rsid w:val="008A4B1B"/>
    <w:rsid w:val="008A4B45"/>
    <w:rsid w:val="008A4F2A"/>
    <w:rsid w:val="008A5037"/>
    <w:rsid w:val="008A50B0"/>
    <w:rsid w:val="008A521C"/>
    <w:rsid w:val="008A5324"/>
    <w:rsid w:val="008A544E"/>
    <w:rsid w:val="008A5B6A"/>
    <w:rsid w:val="008A5BA7"/>
    <w:rsid w:val="008A5C1D"/>
    <w:rsid w:val="008A5CB4"/>
    <w:rsid w:val="008A6586"/>
    <w:rsid w:val="008A66B0"/>
    <w:rsid w:val="008A6ED6"/>
    <w:rsid w:val="008A7340"/>
    <w:rsid w:val="008A76E6"/>
    <w:rsid w:val="008A7936"/>
    <w:rsid w:val="008A7DF6"/>
    <w:rsid w:val="008B013B"/>
    <w:rsid w:val="008B01CC"/>
    <w:rsid w:val="008B026B"/>
    <w:rsid w:val="008B06B5"/>
    <w:rsid w:val="008B0D79"/>
    <w:rsid w:val="008B0E0B"/>
    <w:rsid w:val="008B0F23"/>
    <w:rsid w:val="008B1008"/>
    <w:rsid w:val="008B1051"/>
    <w:rsid w:val="008B153D"/>
    <w:rsid w:val="008B1719"/>
    <w:rsid w:val="008B1DB8"/>
    <w:rsid w:val="008B2276"/>
    <w:rsid w:val="008B2490"/>
    <w:rsid w:val="008B29E4"/>
    <w:rsid w:val="008B29F4"/>
    <w:rsid w:val="008B2B09"/>
    <w:rsid w:val="008B2E4E"/>
    <w:rsid w:val="008B3301"/>
    <w:rsid w:val="008B37ED"/>
    <w:rsid w:val="008B3B67"/>
    <w:rsid w:val="008B3CDA"/>
    <w:rsid w:val="008B3FD6"/>
    <w:rsid w:val="008B41E3"/>
    <w:rsid w:val="008B42ED"/>
    <w:rsid w:val="008B434A"/>
    <w:rsid w:val="008B4379"/>
    <w:rsid w:val="008B47EC"/>
    <w:rsid w:val="008B48DE"/>
    <w:rsid w:val="008B4ABA"/>
    <w:rsid w:val="008B4C15"/>
    <w:rsid w:val="008B4C29"/>
    <w:rsid w:val="008B4C39"/>
    <w:rsid w:val="008B4CE7"/>
    <w:rsid w:val="008B4FA2"/>
    <w:rsid w:val="008B53C2"/>
    <w:rsid w:val="008B561B"/>
    <w:rsid w:val="008B575E"/>
    <w:rsid w:val="008B598B"/>
    <w:rsid w:val="008B5E35"/>
    <w:rsid w:val="008B63BE"/>
    <w:rsid w:val="008B654F"/>
    <w:rsid w:val="008B6640"/>
    <w:rsid w:val="008B6667"/>
    <w:rsid w:val="008B66F1"/>
    <w:rsid w:val="008B687E"/>
    <w:rsid w:val="008B6A31"/>
    <w:rsid w:val="008B6BC0"/>
    <w:rsid w:val="008B6BD1"/>
    <w:rsid w:val="008B6D7F"/>
    <w:rsid w:val="008B6EF2"/>
    <w:rsid w:val="008B6FA7"/>
    <w:rsid w:val="008B6FC7"/>
    <w:rsid w:val="008B71AF"/>
    <w:rsid w:val="008B71B0"/>
    <w:rsid w:val="008B74C4"/>
    <w:rsid w:val="008B74C6"/>
    <w:rsid w:val="008B7796"/>
    <w:rsid w:val="008B787B"/>
    <w:rsid w:val="008B7E8B"/>
    <w:rsid w:val="008B7FB3"/>
    <w:rsid w:val="008C0215"/>
    <w:rsid w:val="008C03BC"/>
    <w:rsid w:val="008C0458"/>
    <w:rsid w:val="008C04CF"/>
    <w:rsid w:val="008C056F"/>
    <w:rsid w:val="008C05E4"/>
    <w:rsid w:val="008C0638"/>
    <w:rsid w:val="008C0670"/>
    <w:rsid w:val="008C07A1"/>
    <w:rsid w:val="008C08DB"/>
    <w:rsid w:val="008C08F7"/>
    <w:rsid w:val="008C0ABD"/>
    <w:rsid w:val="008C0B0F"/>
    <w:rsid w:val="008C0C32"/>
    <w:rsid w:val="008C0CC7"/>
    <w:rsid w:val="008C0E29"/>
    <w:rsid w:val="008C101E"/>
    <w:rsid w:val="008C13B0"/>
    <w:rsid w:val="008C15FD"/>
    <w:rsid w:val="008C1803"/>
    <w:rsid w:val="008C1858"/>
    <w:rsid w:val="008C1C34"/>
    <w:rsid w:val="008C1D22"/>
    <w:rsid w:val="008C1D4F"/>
    <w:rsid w:val="008C1F7B"/>
    <w:rsid w:val="008C2112"/>
    <w:rsid w:val="008C2184"/>
    <w:rsid w:val="008C22A1"/>
    <w:rsid w:val="008C254C"/>
    <w:rsid w:val="008C275B"/>
    <w:rsid w:val="008C29E6"/>
    <w:rsid w:val="008C2C79"/>
    <w:rsid w:val="008C2D6F"/>
    <w:rsid w:val="008C2FD1"/>
    <w:rsid w:val="008C3002"/>
    <w:rsid w:val="008C3086"/>
    <w:rsid w:val="008C31AD"/>
    <w:rsid w:val="008C3348"/>
    <w:rsid w:val="008C3643"/>
    <w:rsid w:val="008C3A65"/>
    <w:rsid w:val="008C3C9C"/>
    <w:rsid w:val="008C3D92"/>
    <w:rsid w:val="008C3F98"/>
    <w:rsid w:val="008C43A6"/>
    <w:rsid w:val="008C443C"/>
    <w:rsid w:val="008C4A6A"/>
    <w:rsid w:val="008C4B09"/>
    <w:rsid w:val="008C4E6D"/>
    <w:rsid w:val="008C4F21"/>
    <w:rsid w:val="008C4F3F"/>
    <w:rsid w:val="008C4FCF"/>
    <w:rsid w:val="008C5460"/>
    <w:rsid w:val="008C5938"/>
    <w:rsid w:val="008C5DC5"/>
    <w:rsid w:val="008C63A1"/>
    <w:rsid w:val="008C6B8F"/>
    <w:rsid w:val="008C6D12"/>
    <w:rsid w:val="008C6DBE"/>
    <w:rsid w:val="008C73CA"/>
    <w:rsid w:val="008C7460"/>
    <w:rsid w:val="008C7829"/>
    <w:rsid w:val="008C7974"/>
    <w:rsid w:val="008C7A4C"/>
    <w:rsid w:val="008C7DA8"/>
    <w:rsid w:val="008D016C"/>
    <w:rsid w:val="008D05EB"/>
    <w:rsid w:val="008D067C"/>
    <w:rsid w:val="008D08F5"/>
    <w:rsid w:val="008D0CE6"/>
    <w:rsid w:val="008D0D3C"/>
    <w:rsid w:val="008D1DD1"/>
    <w:rsid w:val="008D2087"/>
    <w:rsid w:val="008D20C0"/>
    <w:rsid w:val="008D285F"/>
    <w:rsid w:val="008D3017"/>
    <w:rsid w:val="008D30D4"/>
    <w:rsid w:val="008D3204"/>
    <w:rsid w:val="008D34A8"/>
    <w:rsid w:val="008D3818"/>
    <w:rsid w:val="008D3F93"/>
    <w:rsid w:val="008D41A6"/>
    <w:rsid w:val="008D4C59"/>
    <w:rsid w:val="008D4EE2"/>
    <w:rsid w:val="008D4FF5"/>
    <w:rsid w:val="008D5050"/>
    <w:rsid w:val="008D5791"/>
    <w:rsid w:val="008D59A6"/>
    <w:rsid w:val="008D5C60"/>
    <w:rsid w:val="008D5DE2"/>
    <w:rsid w:val="008D5E68"/>
    <w:rsid w:val="008D5EFD"/>
    <w:rsid w:val="008D5FA2"/>
    <w:rsid w:val="008D630B"/>
    <w:rsid w:val="008D666D"/>
    <w:rsid w:val="008D66A5"/>
    <w:rsid w:val="008D6ED6"/>
    <w:rsid w:val="008D7149"/>
    <w:rsid w:val="008D7791"/>
    <w:rsid w:val="008D77CB"/>
    <w:rsid w:val="008D783C"/>
    <w:rsid w:val="008D78CC"/>
    <w:rsid w:val="008D7B2D"/>
    <w:rsid w:val="008D7CDD"/>
    <w:rsid w:val="008D7EC0"/>
    <w:rsid w:val="008E003C"/>
    <w:rsid w:val="008E044F"/>
    <w:rsid w:val="008E058D"/>
    <w:rsid w:val="008E0733"/>
    <w:rsid w:val="008E076B"/>
    <w:rsid w:val="008E08B7"/>
    <w:rsid w:val="008E0AE7"/>
    <w:rsid w:val="008E0BB5"/>
    <w:rsid w:val="008E0E0F"/>
    <w:rsid w:val="008E102C"/>
    <w:rsid w:val="008E12CA"/>
    <w:rsid w:val="008E1367"/>
    <w:rsid w:val="008E15DF"/>
    <w:rsid w:val="008E1633"/>
    <w:rsid w:val="008E18C3"/>
    <w:rsid w:val="008E1BD2"/>
    <w:rsid w:val="008E1C9F"/>
    <w:rsid w:val="008E1DC8"/>
    <w:rsid w:val="008E2129"/>
    <w:rsid w:val="008E2195"/>
    <w:rsid w:val="008E255E"/>
    <w:rsid w:val="008E2CD1"/>
    <w:rsid w:val="008E2DA5"/>
    <w:rsid w:val="008E325B"/>
    <w:rsid w:val="008E328E"/>
    <w:rsid w:val="008E329E"/>
    <w:rsid w:val="008E33C9"/>
    <w:rsid w:val="008E37A8"/>
    <w:rsid w:val="008E38F5"/>
    <w:rsid w:val="008E3975"/>
    <w:rsid w:val="008E39E5"/>
    <w:rsid w:val="008E3AED"/>
    <w:rsid w:val="008E3DD3"/>
    <w:rsid w:val="008E4233"/>
    <w:rsid w:val="008E4317"/>
    <w:rsid w:val="008E48BA"/>
    <w:rsid w:val="008E4B37"/>
    <w:rsid w:val="008E4B97"/>
    <w:rsid w:val="008E4F68"/>
    <w:rsid w:val="008E504F"/>
    <w:rsid w:val="008E53B0"/>
    <w:rsid w:val="008E5615"/>
    <w:rsid w:val="008E561F"/>
    <w:rsid w:val="008E59AE"/>
    <w:rsid w:val="008E5A0F"/>
    <w:rsid w:val="008E5C0B"/>
    <w:rsid w:val="008E5CB5"/>
    <w:rsid w:val="008E5F8F"/>
    <w:rsid w:val="008E63B8"/>
    <w:rsid w:val="008E68E9"/>
    <w:rsid w:val="008E6B32"/>
    <w:rsid w:val="008E6CD8"/>
    <w:rsid w:val="008E6CE0"/>
    <w:rsid w:val="008E6D2D"/>
    <w:rsid w:val="008E705F"/>
    <w:rsid w:val="008E7244"/>
    <w:rsid w:val="008E7599"/>
    <w:rsid w:val="008E797E"/>
    <w:rsid w:val="008E79F3"/>
    <w:rsid w:val="008E7C7B"/>
    <w:rsid w:val="008E7C85"/>
    <w:rsid w:val="008E7EC8"/>
    <w:rsid w:val="008F03C1"/>
    <w:rsid w:val="008F06F9"/>
    <w:rsid w:val="008F0A58"/>
    <w:rsid w:val="008F0C70"/>
    <w:rsid w:val="008F0CCF"/>
    <w:rsid w:val="008F101F"/>
    <w:rsid w:val="008F14CD"/>
    <w:rsid w:val="008F17BF"/>
    <w:rsid w:val="008F17E2"/>
    <w:rsid w:val="008F17F0"/>
    <w:rsid w:val="008F1D1A"/>
    <w:rsid w:val="008F1D5A"/>
    <w:rsid w:val="008F1D67"/>
    <w:rsid w:val="008F1D71"/>
    <w:rsid w:val="008F1F1D"/>
    <w:rsid w:val="008F20D2"/>
    <w:rsid w:val="008F24EF"/>
    <w:rsid w:val="008F277C"/>
    <w:rsid w:val="008F28AC"/>
    <w:rsid w:val="008F293F"/>
    <w:rsid w:val="008F2AB7"/>
    <w:rsid w:val="008F305F"/>
    <w:rsid w:val="008F3293"/>
    <w:rsid w:val="008F3613"/>
    <w:rsid w:val="008F364D"/>
    <w:rsid w:val="008F3775"/>
    <w:rsid w:val="008F3D38"/>
    <w:rsid w:val="008F3E9E"/>
    <w:rsid w:val="008F43D2"/>
    <w:rsid w:val="008F442E"/>
    <w:rsid w:val="008F453A"/>
    <w:rsid w:val="008F47C7"/>
    <w:rsid w:val="008F492C"/>
    <w:rsid w:val="008F49CB"/>
    <w:rsid w:val="008F4D37"/>
    <w:rsid w:val="008F4E15"/>
    <w:rsid w:val="008F4F6B"/>
    <w:rsid w:val="008F5154"/>
    <w:rsid w:val="008F5472"/>
    <w:rsid w:val="008F548E"/>
    <w:rsid w:val="008F55A5"/>
    <w:rsid w:val="008F5602"/>
    <w:rsid w:val="008F5666"/>
    <w:rsid w:val="008F58F6"/>
    <w:rsid w:val="008F5928"/>
    <w:rsid w:val="008F59EB"/>
    <w:rsid w:val="008F5A18"/>
    <w:rsid w:val="008F5ACC"/>
    <w:rsid w:val="008F5C01"/>
    <w:rsid w:val="008F5D12"/>
    <w:rsid w:val="008F5FB6"/>
    <w:rsid w:val="008F5FF2"/>
    <w:rsid w:val="008F606D"/>
    <w:rsid w:val="008F6571"/>
    <w:rsid w:val="008F66E0"/>
    <w:rsid w:val="008F6797"/>
    <w:rsid w:val="008F67E4"/>
    <w:rsid w:val="008F6BA7"/>
    <w:rsid w:val="008F6C31"/>
    <w:rsid w:val="008F72A0"/>
    <w:rsid w:val="008F7370"/>
    <w:rsid w:val="008F74EE"/>
    <w:rsid w:val="008F771A"/>
    <w:rsid w:val="008F7761"/>
    <w:rsid w:val="008F7A08"/>
    <w:rsid w:val="008F7BE9"/>
    <w:rsid w:val="008F7DC9"/>
    <w:rsid w:val="008F7DEC"/>
    <w:rsid w:val="008F7DFC"/>
    <w:rsid w:val="00900214"/>
    <w:rsid w:val="00900284"/>
    <w:rsid w:val="0090046E"/>
    <w:rsid w:val="00900528"/>
    <w:rsid w:val="00900561"/>
    <w:rsid w:val="009007ED"/>
    <w:rsid w:val="009008C6"/>
    <w:rsid w:val="00901507"/>
    <w:rsid w:val="009017F4"/>
    <w:rsid w:val="00901953"/>
    <w:rsid w:val="00901A1B"/>
    <w:rsid w:val="00901A89"/>
    <w:rsid w:val="00901BC5"/>
    <w:rsid w:val="00901BCD"/>
    <w:rsid w:val="00901DF2"/>
    <w:rsid w:val="00902059"/>
    <w:rsid w:val="00902602"/>
    <w:rsid w:val="00902747"/>
    <w:rsid w:val="00902C63"/>
    <w:rsid w:val="00902CB0"/>
    <w:rsid w:val="00902FA1"/>
    <w:rsid w:val="0090323D"/>
    <w:rsid w:val="009032C8"/>
    <w:rsid w:val="00903436"/>
    <w:rsid w:val="0090368F"/>
    <w:rsid w:val="009037CC"/>
    <w:rsid w:val="00903D71"/>
    <w:rsid w:val="009041BB"/>
    <w:rsid w:val="00904813"/>
    <w:rsid w:val="00904B5E"/>
    <w:rsid w:val="00904DD7"/>
    <w:rsid w:val="00904F5E"/>
    <w:rsid w:val="00905003"/>
    <w:rsid w:val="009053DD"/>
    <w:rsid w:val="009054C2"/>
    <w:rsid w:val="009054D1"/>
    <w:rsid w:val="009055B8"/>
    <w:rsid w:val="00905927"/>
    <w:rsid w:val="00905A9F"/>
    <w:rsid w:val="00905DD0"/>
    <w:rsid w:val="0090633D"/>
    <w:rsid w:val="009068BA"/>
    <w:rsid w:val="00906984"/>
    <w:rsid w:val="00906B13"/>
    <w:rsid w:val="00906D76"/>
    <w:rsid w:val="00906DED"/>
    <w:rsid w:val="00907063"/>
    <w:rsid w:val="00907128"/>
    <w:rsid w:val="00907352"/>
    <w:rsid w:val="0090752B"/>
    <w:rsid w:val="009078D1"/>
    <w:rsid w:val="00907B81"/>
    <w:rsid w:val="00907F2D"/>
    <w:rsid w:val="00907F99"/>
    <w:rsid w:val="00910B5E"/>
    <w:rsid w:val="00910C86"/>
    <w:rsid w:val="00910E66"/>
    <w:rsid w:val="009110F6"/>
    <w:rsid w:val="0091113E"/>
    <w:rsid w:val="009117E3"/>
    <w:rsid w:val="00911880"/>
    <w:rsid w:val="009118A6"/>
    <w:rsid w:val="00911A06"/>
    <w:rsid w:val="00911D78"/>
    <w:rsid w:val="0091219F"/>
    <w:rsid w:val="00912217"/>
    <w:rsid w:val="00912656"/>
    <w:rsid w:val="009126FA"/>
    <w:rsid w:val="00912D3A"/>
    <w:rsid w:val="00912FD2"/>
    <w:rsid w:val="00913774"/>
    <w:rsid w:val="00913C5F"/>
    <w:rsid w:val="00913D0B"/>
    <w:rsid w:val="00913D3D"/>
    <w:rsid w:val="00913E47"/>
    <w:rsid w:val="00913E4B"/>
    <w:rsid w:val="00913E92"/>
    <w:rsid w:val="00913F9A"/>
    <w:rsid w:val="0091410F"/>
    <w:rsid w:val="00914176"/>
    <w:rsid w:val="00914900"/>
    <w:rsid w:val="00914D0A"/>
    <w:rsid w:val="00914DA6"/>
    <w:rsid w:val="00914EDD"/>
    <w:rsid w:val="00914F4A"/>
    <w:rsid w:val="00914F57"/>
    <w:rsid w:val="0091523C"/>
    <w:rsid w:val="009152C1"/>
    <w:rsid w:val="00915970"/>
    <w:rsid w:val="00915A63"/>
    <w:rsid w:val="00915BA8"/>
    <w:rsid w:val="00915CDA"/>
    <w:rsid w:val="00915DAA"/>
    <w:rsid w:val="00915F22"/>
    <w:rsid w:val="0091611E"/>
    <w:rsid w:val="009161BF"/>
    <w:rsid w:val="00916230"/>
    <w:rsid w:val="009164E2"/>
    <w:rsid w:val="00916671"/>
    <w:rsid w:val="009167AB"/>
    <w:rsid w:val="00916892"/>
    <w:rsid w:val="00916BD3"/>
    <w:rsid w:val="00916C26"/>
    <w:rsid w:val="00916F18"/>
    <w:rsid w:val="00916FA8"/>
    <w:rsid w:val="00917113"/>
    <w:rsid w:val="009177E0"/>
    <w:rsid w:val="00917820"/>
    <w:rsid w:val="00917890"/>
    <w:rsid w:val="00917E41"/>
    <w:rsid w:val="00917FDE"/>
    <w:rsid w:val="009202B6"/>
    <w:rsid w:val="00920687"/>
    <w:rsid w:val="00920764"/>
    <w:rsid w:val="00920879"/>
    <w:rsid w:val="00920DD7"/>
    <w:rsid w:val="00920E25"/>
    <w:rsid w:val="00920EE6"/>
    <w:rsid w:val="00921158"/>
    <w:rsid w:val="00921274"/>
    <w:rsid w:val="00921857"/>
    <w:rsid w:val="00921A33"/>
    <w:rsid w:val="00921AB1"/>
    <w:rsid w:val="00921CDB"/>
    <w:rsid w:val="00921D6A"/>
    <w:rsid w:val="00921ECC"/>
    <w:rsid w:val="00921ECF"/>
    <w:rsid w:val="0092203F"/>
    <w:rsid w:val="00922631"/>
    <w:rsid w:val="0092280D"/>
    <w:rsid w:val="00922B98"/>
    <w:rsid w:val="00922BE1"/>
    <w:rsid w:val="00922D63"/>
    <w:rsid w:val="00922FAE"/>
    <w:rsid w:val="009230C0"/>
    <w:rsid w:val="009232B7"/>
    <w:rsid w:val="009238AF"/>
    <w:rsid w:val="00923E77"/>
    <w:rsid w:val="00924552"/>
    <w:rsid w:val="00924ABD"/>
    <w:rsid w:val="00924CFC"/>
    <w:rsid w:val="00924FFA"/>
    <w:rsid w:val="0092502A"/>
    <w:rsid w:val="00925161"/>
    <w:rsid w:val="0092529E"/>
    <w:rsid w:val="0092568B"/>
    <w:rsid w:val="0092581D"/>
    <w:rsid w:val="00925960"/>
    <w:rsid w:val="009259C4"/>
    <w:rsid w:val="009259C8"/>
    <w:rsid w:val="00925AF5"/>
    <w:rsid w:val="00925F2C"/>
    <w:rsid w:val="009263AB"/>
    <w:rsid w:val="009267A5"/>
    <w:rsid w:val="0092691C"/>
    <w:rsid w:val="00926A62"/>
    <w:rsid w:val="00926B3B"/>
    <w:rsid w:val="00926BBE"/>
    <w:rsid w:val="00926D34"/>
    <w:rsid w:val="00926E22"/>
    <w:rsid w:val="00926F8A"/>
    <w:rsid w:val="00926FF3"/>
    <w:rsid w:val="009273A1"/>
    <w:rsid w:val="009273ED"/>
    <w:rsid w:val="009276A4"/>
    <w:rsid w:val="009276BC"/>
    <w:rsid w:val="0092773E"/>
    <w:rsid w:val="0092789E"/>
    <w:rsid w:val="009279D9"/>
    <w:rsid w:val="00927C38"/>
    <w:rsid w:val="00927E33"/>
    <w:rsid w:val="0093010C"/>
    <w:rsid w:val="009303C4"/>
    <w:rsid w:val="009304A1"/>
    <w:rsid w:val="009307A1"/>
    <w:rsid w:val="00930ADF"/>
    <w:rsid w:val="00930D2E"/>
    <w:rsid w:val="00930F0B"/>
    <w:rsid w:val="0093128F"/>
    <w:rsid w:val="009319FB"/>
    <w:rsid w:val="00931BC5"/>
    <w:rsid w:val="00931BF3"/>
    <w:rsid w:val="0093215E"/>
    <w:rsid w:val="0093226C"/>
    <w:rsid w:val="009323E5"/>
    <w:rsid w:val="0093243A"/>
    <w:rsid w:val="00932829"/>
    <w:rsid w:val="00932951"/>
    <w:rsid w:val="00932A70"/>
    <w:rsid w:val="00932B1B"/>
    <w:rsid w:val="00932C8E"/>
    <w:rsid w:val="00932CBF"/>
    <w:rsid w:val="00932EA1"/>
    <w:rsid w:val="00932EBC"/>
    <w:rsid w:val="00933223"/>
    <w:rsid w:val="00933637"/>
    <w:rsid w:val="00933841"/>
    <w:rsid w:val="0093385A"/>
    <w:rsid w:val="00933A65"/>
    <w:rsid w:val="00933B5F"/>
    <w:rsid w:val="00933BFC"/>
    <w:rsid w:val="00933C65"/>
    <w:rsid w:val="00933CBC"/>
    <w:rsid w:val="00933DDC"/>
    <w:rsid w:val="00933E30"/>
    <w:rsid w:val="00933F20"/>
    <w:rsid w:val="00933F3F"/>
    <w:rsid w:val="00933FBF"/>
    <w:rsid w:val="009340EC"/>
    <w:rsid w:val="00934496"/>
    <w:rsid w:val="0093476E"/>
    <w:rsid w:val="0093491C"/>
    <w:rsid w:val="0093506B"/>
    <w:rsid w:val="0093514D"/>
    <w:rsid w:val="00935171"/>
    <w:rsid w:val="0093527E"/>
    <w:rsid w:val="009353CC"/>
    <w:rsid w:val="009355CF"/>
    <w:rsid w:val="00935678"/>
    <w:rsid w:val="009357B3"/>
    <w:rsid w:val="00935A14"/>
    <w:rsid w:val="00935EFE"/>
    <w:rsid w:val="009360F2"/>
    <w:rsid w:val="00936457"/>
    <w:rsid w:val="0093651E"/>
    <w:rsid w:val="00936669"/>
    <w:rsid w:val="00936868"/>
    <w:rsid w:val="009368D8"/>
    <w:rsid w:val="00936948"/>
    <w:rsid w:val="00936D05"/>
    <w:rsid w:val="00936DF2"/>
    <w:rsid w:val="00936EB4"/>
    <w:rsid w:val="0093742F"/>
    <w:rsid w:val="00937A84"/>
    <w:rsid w:val="00937B1F"/>
    <w:rsid w:val="00937C83"/>
    <w:rsid w:val="00937E52"/>
    <w:rsid w:val="00937EB9"/>
    <w:rsid w:val="00940103"/>
    <w:rsid w:val="00940248"/>
    <w:rsid w:val="00940773"/>
    <w:rsid w:val="00940945"/>
    <w:rsid w:val="00940AD2"/>
    <w:rsid w:val="00940C99"/>
    <w:rsid w:val="00941075"/>
    <w:rsid w:val="0094122E"/>
    <w:rsid w:val="00941281"/>
    <w:rsid w:val="0094135C"/>
    <w:rsid w:val="0094143C"/>
    <w:rsid w:val="009414CB"/>
    <w:rsid w:val="00941549"/>
    <w:rsid w:val="0094154C"/>
    <w:rsid w:val="00941586"/>
    <w:rsid w:val="009416C3"/>
    <w:rsid w:val="009417B1"/>
    <w:rsid w:val="009419B9"/>
    <w:rsid w:val="00941C5B"/>
    <w:rsid w:val="009422E7"/>
    <w:rsid w:val="009423C0"/>
    <w:rsid w:val="00942D86"/>
    <w:rsid w:val="00942E5E"/>
    <w:rsid w:val="00942F35"/>
    <w:rsid w:val="009431FA"/>
    <w:rsid w:val="00943331"/>
    <w:rsid w:val="00943364"/>
    <w:rsid w:val="009438CB"/>
    <w:rsid w:val="0094394E"/>
    <w:rsid w:val="009439F3"/>
    <w:rsid w:val="00943A62"/>
    <w:rsid w:val="00943AC3"/>
    <w:rsid w:val="00943D4D"/>
    <w:rsid w:val="00943E56"/>
    <w:rsid w:val="00943EFE"/>
    <w:rsid w:val="00943F3E"/>
    <w:rsid w:val="009442E9"/>
    <w:rsid w:val="00944398"/>
    <w:rsid w:val="00944807"/>
    <w:rsid w:val="00944AA2"/>
    <w:rsid w:val="00944ACB"/>
    <w:rsid w:val="00944BE5"/>
    <w:rsid w:val="00944DAC"/>
    <w:rsid w:val="0094551B"/>
    <w:rsid w:val="009455EC"/>
    <w:rsid w:val="009456F2"/>
    <w:rsid w:val="009459FF"/>
    <w:rsid w:val="00945A14"/>
    <w:rsid w:val="00945C59"/>
    <w:rsid w:val="00945EE9"/>
    <w:rsid w:val="009461A0"/>
    <w:rsid w:val="00946303"/>
    <w:rsid w:val="009464C4"/>
    <w:rsid w:val="0094693E"/>
    <w:rsid w:val="00946DE2"/>
    <w:rsid w:val="00947578"/>
    <w:rsid w:val="009475DE"/>
    <w:rsid w:val="00947778"/>
    <w:rsid w:val="009477B7"/>
    <w:rsid w:val="00947C14"/>
    <w:rsid w:val="00950179"/>
    <w:rsid w:val="009501BE"/>
    <w:rsid w:val="00950306"/>
    <w:rsid w:val="00950790"/>
    <w:rsid w:val="009507A7"/>
    <w:rsid w:val="009507F3"/>
    <w:rsid w:val="00950AD1"/>
    <w:rsid w:val="00950C33"/>
    <w:rsid w:val="00950D1D"/>
    <w:rsid w:val="00950DA8"/>
    <w:rsid w:val="0095110E"/>
    <w:rsid w:val="00951285"/>
    <w:rsid w:val="00951406"/>
    <w:rsid w:val="009514E1"/>
    <w:rsid w:val="009515DF"/>
    <w:rsid w:val="009519EC"/>
    <w:rsid w:val="00951A91"/>
    <w:rsid w:val="00951F2B"/>
    <w:rsid w:val="00951FD9"/>
    <w:rsid w:val="00952100"/>
    <w:rsid w:val="0095222C"/>
    <w:rsid w:val="00952296"/>
    <w:rsid w:val="00952717"/>
    <w:rsid w:val="0095335A"/>
    <w:rsid w:val="009533F8"/>
    <w:rsid w:val="0095347D"/>
    <w:rsid w:val="009538E4"/>
    <w:rsid w:val="00953AF3"/>
    <w:rsid w:val="00953FAE"/>
    <w:rsid w:val="009546D7"/>
    <w:rsid w:val="009547B3"/>
    <w:rsid w:val="00954860"/>
    <w:rsid w:val="00954A2F"/>
    <w:rsid w:val="00954F90"/>
    <w:rsid w:val="009551D6"/>
    <w:rsid w:val="00955740"/>
    <w:rsid w:val="00955741"/>
    <w:rsid w:val="0095587D"/>
    <w:rsid w:val="009559F8"/>
    <w:rsid w:val="00955A39"/>
    <w:rsid w:val="00955D49"/>
    <w:rsid w:val="00955F2F"/>
    <w:rsid w:val="0095625D"/>
    <w:rsid w:val="00956801"/>
    <w:rsid w:val="00957039"/>
    <w:rsid w:val="00957188"/>
    <w:rsid w:val="00957224"/>
    <w:rsid w:val="0095736B"/>
    <w:rsid w:val="0095753B"/>
    <w:rsid w:val="0095755E"/>
    <w:rsid w:val="009575A8"/>
    <w:rsid w:val="0095767F"/>
    <w:rsid w:val="009576A6"/>
    <w:rsid w:val="00957737"/>
    <w:rsid w:val="00957863"/>
    <w:rsid w:val="009579B8"/>
    <w:rsid w:val="00957CCF"/>
    <w:rsid w:val="00957E60"/>
    <w:rsid w:val="00957F79"/>
    <w:rsid w:val="0096011B"/>
    <w:rsid w:val="009601D8"/>
    <w:rsid w:val="0096021F"/>
    <w:rsid w:val="009608FB"/>
    <w:rsid w:val="00960903"/>
    <w:rsid w:val="00960970"/>
    <w:rsid w:val="00960A70"/>
    <w:rsid w:val="00960E2F"/>
    <w:rsid w:val="00960EAD"/>
    <w:rsid w:val="00961178"/>
    <w:rsid w:val="00961376"/>
    <w:rsid w:val="009617FD"/>
    <w:rsid w:val="00961A8C"/>
    <w:rsid w:val="00961FA9"/>
    <w:rsid w:val="009622E7"/>
    <w:rsid w:val="0096242C"/>
    <w:rsid w:val="00962518"/>
    <w:rsid w:val="0096254E"/>
    <w:rsid w:val="009625D9"/>
    <w:rsid w:val="009626D2"/>
    <w:rsid w:val="00962864"/>
    <w:rsid w:val="00962B8C"/>
    <w:rsid w:val="00962BB6"/>
    <w:rsid w:val="00962C30"/>
    <w:rsid w:val="00962C48"/>
    <w:rsid w:val="00962CC3"/>
    <w:rsid w:val="00962EC4"/>
    <w:rsid w:val="009630D4"/>
    <w:rsid w:val="009630DA"/>
    <w:rsid w:val="0096314F"/>
    <w:rsid w:val="009631D5"/>
    <w:rsid w:val="009633DE"/>
    <w:rsid w:val="009636B0"/>
    <w:rsid w:val="00963CE4"/>
    <w:rsid w:val="00963F08"/>
    <w:rsid w:val="00964566"/>
    <w:rsid w:val="00964571"/>
    <w:rsid w:val="009645B1"/>
    <w:rsid w:val="00964881"/>
    <w:rsid w:val="00964993"/>
    <w:rsid w:val="00964B8B"/>
    <w:rsid w:val="00964BBD"/>
    <w:rsid w:val="00964E51"/>
    <w:rsid w:val="0096500B"/>
    <w:rsid w:val="009652F7"/>
    <w:rsid w:val="009653C9"/>
    <w:rsid w:val="009654A9"/>
    <w:rsid w:val="0096550D"/>
    <w:rsid w:val="00965686"/>
    <w:rsid w:val="009657E0"/>
    <w:rsid w:val="00965852"/>
    <w:rsid w:val="009659F7"/>
    <w:rsid w:val="00965C40"/>
    <w:rsid w:val="00965D97"/>
    <w:rsid w:val="00965EFE"/>
    <w:rsid w:val="009661D9"/>
    <w:rsid w:val="00966956"/>
    <w:rsid w:val="00966976"/>
    <w:rsid w:val="009669A3"/>
    <w:rsid w:val="00966BF9"/>
    <w:rsid w:val="00966CC8"/>
    <w:rsid w:val="00966D06"/>
    <w:rsid w:val="00966E3A"/>
    <w:rsid w:val="00966E96"/>
    <w:rsid w:val="00967261"/>
    <w:rsid w:val="0096747F"/>
    <w:rsid w:val="00967590"/>
    <w:rsid w:val="009676F3"/>
    <w:rsid w:val="00967E4B"/>
    <w:rsid w:val="009705B9"/>
    <w:rsid w:val="009707A2"/>
    <w:rsid w:val="009707DD"/>
    <w:rsid w:val="00971028"/>
    <w:rsid w:val="009713FD"/>
    <w:rsid w:val="009714F9"/>
    <w:rsid w:val="009716A7"/>
    <w:rsid w:val="009716B0"/>
    <w:rsid w:val="009716C5"/>
    <w:rsid w:val="00971B7E"/>
    <w:rsid w:val="00971DA4"/>
    <w:rsid w:val="009720A3"/>
    <w:rsid w:val="00972374"/>
    <w:rsid w:val="009724C1"/>
    <w:rsid w:val="00972537"/>
    <w:rsid w:val="00972BC3"/>
    <w:rsid w:val="00972C84"/>
    <w:rsid w:val="00972ED3"/>
    <w:rsid w:val="00972F47"/>
    <w:rsid w:val="00973110"/>
    <w:rsid w:val="00973417"/>
    <w:rsid w:val="009735A4"/>
    <w:rsid w:val="00973835"/>
    <w:rsid w:val="00973D30"/>
    <w:rsid w:val="00973E11"/>
    <w:rsid w:val="00974239"/>
    <w:rsid w:val="0097429C"/>
    <w:rsid w:val="0097470B"/>
    <w:rsid w:val="00974731"/>
    <w:rsid w:val="00974B82"/>
    <w:rsid w:val="00974C7C"/>
    <w:rsid w:val="00974CC6"/>
    <w:rsid w:val="00975481"/>
    <w:rsid w:val="0097553B"/>
    <w:rsid w:val="0097576F"/>
    <w:rsid w:val="009757EB"/>
    <w:rsid w:val="00975893"/>
    <w:rsid w:val="009758C6"/>
    <w:rsid w:val="009759E2"/>
    <w:rsid w:val="00975B82"/>
    <w:rsid w:val="00975EA3"/>
    <w:rsid w:val="00976063"/>
    <w:rsid w:val="0097622F"/>
    <w:rsid w:val="009763BB"/>
    <w:rsid w:val="009763E2"/>
    <w:rsid w:val="00976AC7"/>
    <w:rsid w:val="00976B7C"/>
    <w:rsid w:val="00976C4A"/>
    <w:rsid w:val="009771B7"/>
    <w:rsid w:val="00977234"/>
    <w:rsid w:val="00977431"/>
    <w:rsid w:val="0097789F"/>
    <w:rsid w:val="009779BB"/>
    <w:rsid w:val="00977C73"/>
    <w:rsid w:val="00977ED2"/>
    <w:rsid w:val="0098011A"/>
    <w:rsid w:val="009801DC"/>
    <w:rsid w:val="009801E4"/>
    <w:rsid w:val="0098041B"/>
    <w:rsid w:val="00980445"/>
    <w:rsid w:val="009804DD"/>
    <w:rsid w:val="009807D1"/>
    <w:rsid w:val="00980841"/>
    <w:rsid w:val="00980B2C"/>
    <w:rsid w:val="00981450"/>
    <w:rsid w:val="00981AB6"/>
    <w:rsid w:val="00981B9E"/>
    <w:rsid w:val="00981CA9"/>
    <w:rsid w:val="00981DDC"/>
    <w:rsid w:val="00981EA4"/>
    <w:rsid w:val="00981F88"/>
    <w:rsid w:val="00982045"/>
    <w:rsid w:val="00982100"/>
    <w:rsid w:val="0098226E"/>
    <w:rsid w:val="00982656"/>
    <w:rsid w:val="00982721"/>
    <w:rsid w:val="00982AD6"/>
    <w:rsid w:val="00982ECD"/>
    <w:rsid w:val="00982FBA"/>
    <w:rsid w:val="00982FD3"/>
    <w:rsid w:val="00983582"/>
    <w:rsid w:val="00983826"/>
    <w:rsid w:val="009838AA"/>
    <w:rsid w:val="009842C5"/>
    <w:rsid w:val="009844CC"/>
    <w:rsid w:val="00984AB5"/>
    <w:rsid w:val="00984D11"/>
    <w:rsid w:val="00984FF9"/>
    <w:rsid w:val="009852B0"/>
    <w:rsid w:val="009855C0"/>
    <w:rsid w:val="00985842"/>
    <w:rsid w:val="00985A2E"/>
    <w:rsid w:val="00985D7A"/>
    <w:rsid w:val="0098616A"/>
    <w:rsid w:val="009863F2"/>
    <w:rsid w:val="00986606"/>
    <w:rsid w:val="009866AE"/>
    <w:rsid w:val="00986B17"/>
    <w:rsid w:val="00986DF1"/>
    <w:rsid w:val="0098701C"/>
    <w:rsid w:val="00987741"/>
    <w:rsid w:val="009879FC"/>
    <w:rsid w:val="00987ABF"/>
    <w:rsid w:val="00990712"/>
    <w:rsid w:val="00990748"/>
    <w:rsid w:val="0099083F"/>
    <w:rsid w:val="00990846"/>
    <w:rsid w:val="009908CF"/>
    <w:rsid w:val="00990902"/>
    <w:rsid w:val="00990A3D"/>
    <w:rsid w:val="00990C52"/>
    <w:rsid w:val="00990FAA"/>
    <w:rsid w:val="00990FBB"/>
    <w:rsid w:val="009914CC"/>
    <w:rsid w:val="00991BD3"/>
    <w:rsid w:val="00991BEC"/>
    <w:rsid w:val="00991E07"/>
    <w:rsid w:val="00991E8B"/>
    <w:rsid w:val="00992544"/>
    <w:rsid w:val="0099292E"/>
    <w:rsid w:val="009932B8"/>
    <w:rsid w:val="009932DC"/>
    <w:rsid w:val="0099359C"/>
    <w:rsid w:val="009935E0"/>
    <w:rsid w:val="009937A7"/>
    <w:rsid w:val="009939A1"/>
    <w:rsid w:val="00993B4F"/>
    <w:rsid w:val="00993B7C"/>
    <w:rsid w:val="00993C29"/>
    <w:rsid w:val="00994015"/>
    <w:rsid w:val="0099403C"/>
    <w:rsid w:val="00994091"/>
    <w:rsid w:val="00994131"/>
    <w:rsid w:val="00994223"/>
    <w:rsid w:val="009947E4"/>
    <w:rsid w:val="00994886"/>
    <w:rsid w:val="00994C89"/>
    <w:rsid w:val="00995095"/>
    <w:rsid w:val="009950B2"/>
    <w:rsid w:val="00995510"/>
    <w:rsid w:val="00995D2F"/>
    <w:rsid w:val="00995E31"/>
    <w:rsid w:val="00995F7F"/>
    <w:rsid w:val="00995FE5"/>
    <w:rsid w:val="00996141"/>
    <w:rsid w:val="00996296"/>
    <w:rsid w:val="0099640B"/>
    <w:rsid w:val="00996795"/>
    <w:rsid w:val="00996A77"/>
    <w:rsid w:val="00996E25"/>
    <w:rsid w:val="00996F23"/>
    <w:rsid w:val="00996F2E"/>
    <w:rsid w:val="009970DD"/>
    <w:rsid w:val="0099766F"/>
    <w:rsid w:val="0099783A"/>
    <w:rsid w:val="009A04A6"/>
    <w:rsid w:val="009A0574"/>
    <w:rsid w:val="009A05A9"/>
    <w:rsid w:val="009A0C68"/>
    <w:rsid w:val="009A0F87"/>
    <w:rsid w:val="009A108A"/>
    <w:rsid w:val="009A10C3"/>
    <w:rsid w:val="009A13DE"/>
    <w:rsid w:val="009A1547"/>
    <w:rsid w:val="009A17F5"/>
    <w:rsid w:val="009A183C"/>
    <w:rsid w:val="009A1BF2"/>
    <w:rsid w:val="009A1DB2"/>
    <w:rsid w:val="009A20B4"/>
    <w:rsid w:val="009A20E0"/>
    <w:rsid w:val="009A20EE"/>
    <w:rsid w:val="009A2199"/>
    <w:rsid w:val="009A2308"/>
    <w:rsid w:val="009A23DA"/>
    <w:rsid w:val="009A24C0"/>
    <w:rsid w:val="009A29C9"/>
    <w:rsid w:val="009A2AA6"/>
    <w:rsid w:val="009A2BB2"/>
    <w:rsid w:val="009A2E13"/>
    <w:rsid w:val="009A2E7F"/>
    <w:rsid w:val="009A3460"/>
    <w:rsid w:val="009A36A2"/>
    <w:rsid w:val="009A36B1"/>
    <w:rsid w:val="009A3945"/>
    <w:rsid w:val="009A3F14"/>
    <w:rsid w:val="009A4270"/>
    <w:rsid w:val="009A452F"/>
    <w:rsid w:val="009A48E1"/>
    <w:rsid w:val="009A4AA5"/>
    <w:rsid w:val="009A4BE3"/>
    <w:rsid w:val="009A4BF5"/>
    <w:rsid w:val="009A4EBE"/>
    <w:rsid w:val="009A4EE4"/>
    <w:rsid w:val="009A53DE"/>
    <w:rsid w:val="009A5452"/>
    <w:rsid w:val="009A54E9"/>
    <w:rsid w:val="009A55C4"/>
    <w:rsid w:val="009A56A5"/>
    <w:rsid w:val="009A57B0"/>
    <w:rsid w:val="009A59AA"/>
    <w:rsid w:val="009A62F1"/>
    <w:rsid w:val="009A655A"/>
    <w:rsid w:val="009A67ED"/>
    <w:rsid w:val="009A6819"/>
    <w:rsid w:val="009A697B"/>
    <w:rsid w:val="009A6F76"/>
    <w:rsid w:val="009A7106"/>
    <w:rsid w:val="009A72EC"/>
    <w:rsid w:val="009A7471"/>
    <w:rsid w:val="009A786B"/>
    <w:rsid w:val="009A7B62"/>
    <w:rsid w:val="009A7B78"/>
    <w:rsid w:val="009A7E14"/>
    <w:rsid w:val="009B004A"/>
    <w:rsid w:val="009B0154"/>
    <w:rsid w:val="009B0514"/>
    <w:rsid w:val="009B06B5"/>
    <w:rsid w:val="009B07CC"/>
    <w:rsid w:val="009B09A3"/>
    <w:rsid w:val="009B09B8"/>
    <w:rsid w:val="009B0F07"/>
    <w:rsid w:val="009B147D"/>
    <w:rsid w:val="009B176F"/>
    <w:rsid w:val="009B224F"/>
    <w:rsid w:val="009B280A"/>
    <w:rsid w:val="009B2850"/>
    <w:rsid w:val="009B2A7E"/>
    <w:rsid w:val="009B2C29"/>
    <w:rsid w:val="009B3048"/>
    <w:rsid w:val="009B3273"/>
    <w:rsid w:val="009B32AE"/>
    <w:rsid w:val="009B3482"/>
    <w:rsid w:val="009B3591"/>
    <w:rsid w:val="009B39E3"/>
    <w:rsid w:val="009B3AF0"/>
    <w:rsid w:val="009B3C06"/>
    <w:rsid w:val="009B3C73"/>
    <w:rsid w:val="009B3DD2"/>
    <w:rsid w:val="009B3F38"/>
    <w:rsid w:val="009B47CC"/>
    <w:rsid w:val="009B48C1"/>
    <w:rsid w:val="009B4A54"/>
    <w:rsid w:val="009B4B03"/>
    <w:rsid w:val="009B4CAB"/>
    <w:rsid w:val="009B536A"/>
    <w:rsid w:val="009B588A"/>
    <w:rsid w:val="009B58BD"/>
    <w:rsid w:val="009B5924"/>
    <w:rsid w:val="009B5BEE"/>
    <w:rsid w:val="009B64F9"/>
    <w:rsid w:val="009B67C7"/>
    <w:rsid w:val="009B6817"/>
    <w:rsid w:val="009B6858"/>
    <w:rsid w:val="009B6A8A"/>
    <w:rsid w:val="009B6AF6"/>
    <w:rsid w:val="009B6D25"/>
    <w:rsid w:val="009B6D4A"/>
    <w:rsid w:val="009B6D8D"/>
    <w:rsid w:val="009B70BA"/>
    <w:rsid w:val="009B713A"/>
    <w:rsid w:val="009B7370"/>
    <w:rsid w:val="009B7ABF"/>
    <w:rsid w:val="009B7B8C"/>
    <w:rsid w:val="009B7CD4"/>
    <w:rsid w:val="009B7D45"/>
    <w:rsid w:val="009C000E"/>
    <w:rsid w:val="009C0207"/>
    <w:rsid w:val="009C04C6"/>
    <w:rsid w:val="009C060C"/>
    <w:rsid w:val="009C074E"/>
    <w:rsid w:val="009C07C3"/>
    <w:rsid w:val="009C094A"/>
    <w:rsid w:val="009C0E66"/>
    <w:rsid w:val="009C0EEE"/>
    <w:rsid w:val="009C0F02"/>
    <w:rsid w:val="009C171D"/>
    <w:rsid w:val="009C179E"/>
    <w:rsid w:val="009C17CA"/>
    <w:rsid w:val="009C1826"/>
    <w:rsid w:val="009C18C5"/>
    <w:rsid w:val="009C1BA2"/>
    <w:rsid w:val="009C1CC6"/>
    <w:rsid w:val="009C1D07"/>
    <w:rsid w:val="009C1EF0"/>
    <w:rsid w:val="009C2004"/>
    <w:rsid w:val="009C2105"/>
    <w:rsid w:val="009C2474"/>
    <w:rsid w:val="009C29FB"/>
    <w:rsid w:val="009C2CF3"/>
    <w:rsid w:val="009C2ED3"/>
    <w:rsid w:val="009C2F0C"/>
    <w:rsid w:val="009C2F79"/>
    <w:rsid w:val="009C30B4"/>
    <w:rsid w:val="009C30C9"/>
    <w:rsid w:val="009C30FC"/>
    <w:rsid w:val="009C31F9"/>
    <w:rsid w:val="009C373F"/>
    <w:rsid w:val="009C37A6"/>
    <w:rsid w:val="009C38CB"/>
    <w:rsid w:val="009C3902"/>
    <w:rsid w:val="009C3935"/>
    <w:rsid w:val="009C411C"/>
    <w:rsid w:val="009C4320"/>
    <w:rsid w:val="009C43D7"/>
    <w:rsid w:val="009C4496"/>
    <w:rsid w:val="009C45E3"/>
    <w:rsid w:val="009C46CB"/>
    <w:rsid w:val="009C4D6B"/>
    <w:rsid w:val="009C4E79"/>
    <w:rsid w:val="009C5035"/>
    <w:rsid w:val="009C5168"/>
    <w:rsid w:val="009C51E4"/>
    <w:rsid w:val="009C51EB"/>
    <w:rsid w:val="009C53C1"/>
    <w:rsid w:val="009C5496"/>
    <w:rsid w:val="009C5773"/>
    <w:rsid w:val="009C5792"/>
    <w:rsid w:val="009C5BC9"/>
    <w:rsid w:val="009C5F3F"/>
    <w:rsid w:val="009C60C9"/>
    <w:rsid w:val="009C625E"/>
    <w:rsid w:val="009C639E"/>
    <w:rsid w:val="009C6800"/>
    <w:rsid w:val="009C6930"/>
    <w:rsid w:val="009C6C12"/>
    <w:rsid w:val="009C6C3F"/>
    <w:rsid w:val="009C6CA4"/>
    <w:rsid w:val="009C6D9D"/>
    <w:rsid w:val="009C6FE6"/>
    <w:rsid w:val="009C7256"/>
    <w:rsid w:val="009C72B0"/>
    <w:rsid w:val="009C78FA"/>
    <w:rsid w:val="009C7927"/>
    <w:rsid w:val="009C7D2C"/>
    <w:rsid w:val="009D01EB"/>
    <w:rsid w:val="009D03F9"/>
    <w:rsid w:val="009D0A18"/>
    <w:rsid w:val="009D0C02"/>
    <w:rsid w:val="009D10F5"/>
    <w:rsid w:val="009D1887"/>
    <w:rsid w:val="009D1A0C"/>
    <w:rsid w:val="009D1A90"/>
    <w:rsid w:val="009D1A93"/>
    <w:rsid w:val="009D1BA8"/>
    <w:rsid w:val="009D1BC1"/>
    <w:rsid w:val="009D1D35"/>
    <w:rsid w:val="009D1D76"/>
    <w:rsid w:val="009D1DEA"/>
    <w:rsid w:val="009D1EA0"/>
    <w:rsid w:val="009D1EE5"/>
    <w:rsid w:val="009D204C"/>
    <w:rsid w:val="009D20CB"/>
    <w:rsid w:val="009D20E7"/>
    <w:rsid w:val="009D2216"/>
    <w:rsid w:val="009D2552"/>
    <w:rsid w:val="009D25CF"/>
    <w:rsid w:val="009D292F"/>
    <w:rsid w:val="009D2B3A"/>
    <w:rsid w:val="009D2BBB"/>
    <w:rsid w:val="009D2CBF"/>
    <w:rsid w:val="009D2D7A"/>
    <w:rsid w:val="009D3168"/>
    <w:rsid w:val="009D3431"/>
    <w:rsid w:val="009D36E5"/>
    <w:rsid w:val="009D37DB"/>
    <w:rsid w:val="009D391F"/>
    <w:rsid w:val="009D3B88"/>
    <w:rsid w:val="009D3F4B"/>
    <w:rsid w:val="009D3F80"/>
    <w:rsid w:val="009D434F"/>
    <w:rsid w:val="009D4402"/>
    <w:rsid w:val="009D442A"/>
    <w:rsid w:val="009D4430"/>
    <w:rsid w:val="009D4561"/>
    <w:rsid w:val="009D46AB"/>
    <w:rsid w:val="009D4931"/>
    <w:rsid w:val="009D4A31"/>
    <w:rsid w:val="009D4B21"/>
    <w:rsid w:val="009D4BA6"/>
    <w:rsid w:val="009D4D75"/>
    <w:rsid w:val="009D4FEA"/>
    <w:rsid w:val="009D543C"/>
    <w:rsid w:val="009D5455"/>
    <w:rsid w:val="009D558A"/>
    <w:rsid w:val="009D5696"/>
    <w:rsid w:val="009D577E"/>
    <w:rsid w:val="009D5810"/>
    <w:rsid w:val="009D5BE5"/>
    <w:rsid w:val="009D5C55"/>
    <w:rsid w:val="009D5C97"/>
    <w:rsid w:val="009D5DF3"/>
    <w:rsid w:val="009D5E82"/>
    <w:rsid w:val="009D5F3D"/>
    <w:rsid w:val="009D6082"/>
    <w:rsid w:val="009D63A9"/>
    <w:rsid w:val="009D6964"/>
    <w:rsid w:val="009D6C11"/>
    <w:rsid w:val="009D6EA7"/>
    <w:rsid w:val="009D6EF4"/>
    <w:rsid w:val="009D70BA"/>
    <w:rsid w:val="009D7AF2"/>
    <w:rsid w:val="009D7D17"/>
    <w:rsid w:val="009D7E53"/>
    <w:rsid w:val="009D7EA3"/>
    <w:rsid w:val="009E04AB"/>
    <w:rsid w:val="009E0FF4"/>
    <w:rsid w:val="009E11BE"/>
    <w:rsid w:val="009E11C1"/>
    <w:rsid w:val="009E11D6"/>
    <w:rsid w:val="009E1467"/>
    <w:rsid w:val="009E190C"/>
    <w:rsid w:val="009E1A53"/>
    <w:rsid w:val="009E1A9E"/>
    <w:rsid w:val="009E1E5A"/>
    <w:rsid w:val="009E290F"/>
    <w:rsid w:val="009E2970"/>
    <w:rsid w:val="009E2D89"/>
    <w:rsid w:val="009E2DDA"/>
    <w:rsid w:val="009E3256"/>
    <w:rsid w:val="009E3481"/>
    <w:rsid w:val="009E3605"/>
    <w:rsid w:val="009E360B"/>
    <w:rsid w:val="009E3B4D"/>
    <w:rsid w:val="009E3C80"/>
    <w:rsid w:val="009E3CB6"/>
    <w:rsid w:val="009E3F45"/>
    <w:rsid w:val="009E4095"/>
    <w:rsid w:val="009E42DB"/>
    <w:rsid w:val="009E4367"/>
    <w:rsid w:val="009E43A3"/>
    <w:rsid w:val="009E450E"/>
    <w:rsid w:val="009E4671"/>
    <w:rsid w:val="009E4939"/>
    <w:rsid w:val="009E5140"/>
    <w:rsid w:val="009E5219"/>
    <w:rsid w:val="009E58BB"/>
    <w:rsid w:val="009E5D73"/>
    <w:rsid w:val="009E5E72"/>
    <w:rsid w:val="009E5F94"/>
    <w:rsid w:val="009E6148"/>
    <w:rsid w:val="009E6207"/>
    <w:rsid w:val="009E6511"/>
    <w:rsid w:val="009E69D8"/>
    <w:rsid w:val="009E6D4E"/>
    <w:rsid w:val="009E720A"/>
    <w:rsid w:val="009E7230"/>
    <w:rsid w:val="009E7799"/>
    <w:rsid w:val="009E78B6"/>
    <w:rsid w:val="009E78F5"/>
    <w:rsid w:val="009E7B88"/>
    <w:rsid w:val="009E7B98"/>
    <w:rsid w:val="009E7D0C"/>
    <w:rsid w:val="009E7F24"/>
    <w:rsid w:val="009F053D"/>
    <w:rsid w:val="009F067E"/>
    <w:rsid w:val="009F0810"/>
    <w:rsid w:val="009F095C"/>
    <w:rsid w:val="009F09CE"/>
    <w:rsid w:val="009F0A32"/>
    <w:rsid w:val="009F0CFB"/>
    <w:rsid w:val="009F0D6D"/>
    <w:rsid w:val="009F0E4B"/>
    <w:rsid w:val="009F0E90"/>
    <w:rsid w:val="009F0ED5"/>
    <w:rsid w:val="009F1143"/>
    <w:rsid w:val="009F11A2"/>
    <w:rsid w:val="009F133A"/>
    <w:rsid w:val="009F1414"/>
    <w:rsid w:val="009F14B8"/>
    <w:rsid w:val="009F14DC"/>
    <w:rsid w:val="009F16DD"/>
    <w:rsid w:val="009F18F2"/>
    <w:rsid w:val="009F1B1D"/>
    <w:rsid w:val="009F1CF7"/>
    <w:rsid w:val="009F1D31"/>
    <w:rsid w:val="009F1D52"/>
    <w:rsid w:val="009F1F8F"/>
    <w:rsid w:val="009F223E"/>
    <w:rsid w:val="009F2277"/>
    <w:rsid w:val="009F265D"/>
    <w:rsid w:val="009F271F"/>
    <w:rsid w:val="009F27DA"/>
    <w:rsid w:val="009F2A5F"/>
    <w:rsid w:val="009F2DC7"/>
    <w:rsid w:val="009F3010"/>
    <w:rsid w:val="009F3115"/>
    <w:rsid w:val="009F3403"/>
    <w:rsid w:val="009F39A8"/>
    <w:rsid w:val="009F39D5"/>
    <w:rsid w:val="009F3A10"/>
    <w:rsid w:val="009F3A66"/>
    <w:rsid w:val="009F3BD3"/>
    <w:rsid w:val="009F3DB4"/>
    <w:rsid w:val="009F3E63"/>
    <w:rsid w:val="009F3E8B"/>
    <w:rsid w:val="009F4011"/>
    <w:rsid w:val="009F4203"/>
    <w:rsid w:val="009F4359"/>
    <w:rsid w:val="009F4789"/>
    <w:rsid w:val="009F4938"/>
    <w:rsid w:val="009F4AB1"/>
    <w:rsid w:val="009F4C27"/>
    <w:rsid w:val="009F4FCF"/>
    <w:rsid w:val="009F52C0"/>
    <w:rsid w:val="009F54C0"/>
    <w:rsid w:val="009F557E"/>
    <w:rsid w:val="009F55F4"/>
    <w:rsid w:val="009F588A"/>
    <w:rsid w:val="009F58AE"/>
    <w:rsid w:val="009F5B7E"/>
    <w:rsid w:val="009F5C8A"/>
    <w:rsid w:val="009F5D47"/>
    <w:rsid w:val="009F6021"/>
    <w:rsid w:val="009F6184"/>
    <w:rsid w:val="009F6418"/>
    <w:rsid w:val="009F6422"/>
    <w:rsid w:val="009F642D"/>
    <w:rsid w:val="009F648C"/>
    <w:rsid w:val="009F6A1F"/>
    <w:rsid w:val="009F6AB4"/>
    <w:rsid w:val="009F6D69"/>
    <w:rsid w:val="009F6E5D"/>
    <w:rsid w:val="009F7121"/>
    <w:rsid w:val="009F74F7"/>
    <w:rsid w:val="009F753A"/>
    <w:rsid w:val="009F7785"/>
    <w:rsid w:val="009F77F4"/>
    <w:rsid w:val="009F79F6"/>
    <w:rsid w:val="009F7C66"/>
    <w:rsid w:val="009F7E01"/>
    <w:rsid w:val="009F7EA4"/>
    <w:rsid w:val="009F7ED0"/>
    <w:rsid w:val="009F7F3E"/>
    <w:rsid w:val="00A00389"/>
    <w:rsid w:val="00A003D3"/>
    <w:rsid w:val="00A00448"/>
    <w:rsid w:val="00A00831"/>
    <w:rsid w:val="00A00854"/>
    <w:rsid w:val="00A00A65"/>
    <w:rsid w:val="00A00B2B"/>
    <w:rsid w:val="00A01282"/>
    <w:rsid w:val="00A01635"/>
    <w:rsid w:val="00A01A10"/>
    <w:rsid w:val="00A01AB1"/>
    <w:rsid w:val="00A01C2C"/>
    <w:rsid w:val="00A01E79"/>
    <w:rsid w:val="00A020D5"/>
    <w:rsid w:val="00A020E3"/>
    <w:rsid w:val="00A02246"/>
    <w:rsid w:val="00A024A8"/>
    <w:rsid w:val="00A024BF"/>
    <w:rsid w:val="00A025FF"/>
    <w:rsid w:val="00A027A0"/>
    <w:rsid w:val="00A028C1"/>
    <w:rsid w:val="00A02C87"/>
    <w:rsid w:val="00A02DEA"/>
    <w:rsid w:val="00A02E11"/>
    <w:rsid w:val="00A02EAC"/>
    <w:rsid w:val="00A02F64"/>
    <w:rsid w:val="00A034AA"/>
    <w:rsid w:val="00A03752"/>
    <w:rsid w:val="00A03920"/>
    <w:rsid w:val="00A039C9"/>
    <w:rsid w:val="00A03DB9"/>
    <w:rsid w:val="00A03E2C"/>
    <w:rsid w:val="00A040D3"/>
    <w:rsid w:val="00A043CC"/>
    <w:rsid w:val="00A048F3"/>
    <w:rsid w:val="00A04A51"/>
    <w:rsid w:val="00A04C48"/>
    <w:rsid w:val="00A04E32"/>
    <w:rsid w:val="00A04E9D"/>
    <w:rsid w:val="00A04F87"/>
    <w:rsid w:val="00A050F6"/>
    <w:rsid w:val="00A05266"/>
    <w:rsid w:val="00A05383"/>
    <w:rsid w:val="00A0543F"/>
    <w:rsid w:val="00A0578D"/>
    <w:rsid w:val="00A057DE"/>
    <w:rsid w:val="00A059ED"/>
    <w:rsid w:val="00A05A86"/>
    <w:rsid w:val="00A05AFA"/>
    <w:rsid w:val="00A05C25"/>
    <w:rsid w:val="00A05DF0"/>
    <w:rsid w:val="00A05E03"/>
    <w:rsid w:val="00A0627E"/>
    <w:rsid w:val="00A06437"/>
    <w:rsid w:val="00A06947"/>
    <w:rsid w:val="00A0699D"/>
    <w:rsid w:val="00A06A1A"/>
    <w:rsid w:val="00A06B7C"/>
    <w:rsid w:val="00A06C05"/>
    <w:rsid w:val="00A06D4F"/>
    <w:rsid w:val="00A070D4"/>
    <w:rsid w:val="00A07326"/>
    <w:rsid w:val="00A07595"/>
    <w:rsid w:val="00A07606"/>
    <w:rsid w:val="00A077E2"/>
    <w:rsid w:val="00A07D6F"/>
    <w:rsid w:val="00A1035C"/>
    <w:rsid w:val="00A1047C"/>
    <w:rsid w:val="00A104D3"/>
    <w:rsid w:val="00A10520"/>
    <w:rsid w:val="00A10673"/>
    <w:rsid w:val="00A10A0B"/>
    <w:rsid w:val="00A1133B"/>
    <w:rsid w:val="00A114F2"/>
    <w:rsid w:val="00A11583"/>
    <w:rsid w:val="00A1189E"/>
    <w:rsid w:val="00A118E1"/>
    <w:rsid w:val="00A1190E"/>
    <w:rsid w:val="00A11E0F"/>
    <w:rsid w:val="00A11E7E"/>
    <w:rsid w:val="00A11F4A"/>
    <w:rsid w:val="00A11F4D"/>
    <w:rsid w:val="00A12012"/>
    <w:rsid w:val="00A120A3"/>
    <w:rsid w:val="00A1223F"/>
    <w:rsid w:val="00A123E5"/>
    <w:rsid w:val="00A128F7"/>
    <w:rsid w:val="00A12C97"/>
    <w:rsid w:val="00A12EAC"/>
    <w:rsid w:val="00A12F72"/>
    <w:rsid w:val="00A132E3"/>
    <w:rsid w:val="00A13D6C"/>
    <w:rsid w:val="00A13EE8"/>
    <w:rsid w:val="00A14539"/>
    <w:rsid w:val="00A149F1"/>
    <w:rsid w:val="00A14AC0"/>
    <w:rsid w:val="00A14ECF"/>
    <w:rsid w:val="00A1525B"/>
    <w:rsid w:val="00A15359"/>
    <w:rsid w:val="00A153B3"/>
    <w:rsid w:val="00A1554B"/>
    <w:rsid w:val="00A1575F"/>
    <w:rsid w:val="00A15D10"/>
    <w:rsid w:val="00A15ECA"/>
    <w:rsid w:val="00A16552"/>
    <w:rsid w:val="00A1683A"/>
    <w:rsid w:val="00A1694A"/>
    <w:rsid w:val="00A16A13"/>
    <w:rsid w:val="00A170EF"/>
    <w:rsid w:val="00A172E7"/>
    <w:rsid w:val="00A174EA"/>
    <w:rsid w:val="00A1764A"/>
    <w:rsid w:val="00A17960"/>
    <w:rsid w:val="00A17A3C"/>
    <w:rsid w:val="00A17C54"/>
    <w:rsid w:val="00A17D59"/>
    <w:rsid w:val="00A17E51"/>
    <w:rsid w:val="00A17FAB"/>
    <w:rsid w:val="00A17FEB"/>
    <w:rsid w:val="00A20196"/>
    <w:rsid w:val="00A201E8"/>
    <w:rsid w:val="00A2063E"/>
    <w:rsid w:val="00A20766"/>
    <w:rsid w:val="00A20F9B"/>
    <w:rsid w:val="00A20FCD"/>
    <w:rsid w:val="00A20FEC"/>
    <w:rsid w:val="00A21238"/>
    <w:rsid w:val="00A21378"/>
    <w:rsid w:val="00A2152A"/>
    <w:rsid w:val="00A218EF"/>
    <w:rsid w:val="00A219C1"/>
    <w:rsid w:val="00A21D49"/>
    <w:rsid w:val="00A21E63"/>
    <w:rsid w:val="00A21E98"/>
    <w:rsid w:val="00A21F79"/>
    <w:rsid w:val="00A21FE0"/>
    <w:rsid w:val="00A220C9"/>
    <w:rsid w:val="00A22243"/>
    <w:rsid w:val="00A224B9"/>
    <w:rsid w:val="00A2254D"/>
    <w:rsid w:val="00A22780"/>
    <w:rsid w:val="00A22796"/>
    <w:rsid w:val="00A228FB"/>
    <w:rsid w:val="00A22A99"/>
    <w:rsid w:val="00A22B86"/>
    <w:rsid w:val="00A22D4B"/>
    <w:rsid w:val="00A22D85"/>
    <w:rsid w:val="00A22DB6"/>
    <w:rsid w:val="00A22F81"/>
    <w:rsid w:val="00A2326C"/>
    <w:rsid w:val="00A23487"/>
    <w:rsid w:val="00A2386C"/>
    <w:rsid w:val="00A23919"/>
    <w:rsid w:val="00A23C1D"/>
    <w:rsid w:val="00A23D6F"/>
    <w:rsid w:val="00A23E34"/>
    <w:rsid w:val="00A23FAE"/>
    <w:rsid w:val="00A24250"/>
    <w:rsid w:val="00A2465A"/>
    <w:rsid w:val="00A249B0"/>
    <w:rsid w:val="00A249EB"/>
    <w:rsid w:val="00A24A19"/>
    <w:rsid w:val="00A24B9A"/>
    <w:rsid w:val="00A24EEE"/>
    <w:rsid w:val="00A2530D"/>
    <w:rsid w:val="00A253F5"/>
    <w:rsid w:val="00A2555B"/>
    <w:rsid w:val="00A25864"/>
    <w:rsid w:val="00A25881"/>
    <w:rsid w:val="00A25965"/>
    <w:rsid w:val="00A25AA2"/>
    <w:rsid w:val="00A25E14"/>
    <w:rsid w:val="00A25EA4"/>
    <w:rsid w:val="00A26190"/>
    <w:rsid w:val="00A26483"/>
    <w:rsid w:val="00A26951"/>
    <w:rsid w:val="00A26D01"/>
    <w:rsid w:val="00A27156"/>
    <w:rsid w:val="00A27504"/>
    <w:rsid w:val="00A276D1"/>
    <w:rsid w:val="00A2776B"/>
    <w:rsid w:val="00A27793"/>
    <w:rsid w:val="00A27C02"/>
    <w:rsid w:val="00A27D8D"/>
    <w:rsid w:val="00A303D3"/>
    <w:rsid w:val="00A3055B"/>
    <w:rsid w:val="00A30888"/>
    <w:rsid w:val="00A30B59"/>
    <w:rsid w:val="00A30BAF"/>
    <w:rsid w:val="00A30D12"/>
    <w:rsid w:val="00A30D3C"/>
    <w:rsid w:val="00A30D4C"/>
    <w:rsid w:val="00A31316"/>
    <w:rsid w:val="00A314FA"/>
    <w:rsid w:val="00A31561"/>
    <w:rsid w:val="00A317B4"/>
    <w:rsid w:val="00A31908"/>
    <w:rsid w:val="00A31980"/>
    <w:rsid w:val="00A31E7C"/>
    <w:rsid w:val="00A31E8B"/>
    <w:rsid w:val="00A32A05"/>
    <w:rsid w:val="00A32A3B"/>
    <w:rsid w:val="00A32C3F"/>
    <w:rsid w:val="00A32DAC"/>
    <w:rsid w:val="00A32FCC"/>
    <w:rsid w:val="00A330B5"/>
    <w:rsid w:val="00A33D1D"/>
    <w:rsid w:val="00A34091"/>
    <w:rsid w:val="00A34205"/>
    <w:rsid w:val="00A34211"/>
    <w:rsid w:val="00A3435F"/>
    <w:rsid w:val="00A345D7"/>
    <w:rsid w:val="00A34673"/>
    <w:rsid w:val="00A34AFF"/>
    <w:rsid w:val="00A34C02"/>
    <w:rsid w:val="00A35105"/>
    <w:rsid w:val="00A3511A"/>
    <w:rsid w:val="00A35306"/>
    <w:rsid w:val="00A35460"/>
    <w:rsid w:val="00A3547F"/>
    <w:rsid w:val="00A35547"/>
    <w:rsid w:val="00A35567"/>
    <w:rsid w:val="00A35674"/>
    <w:rsid w:val="00A35767"/>
    <w:rsid w:val="00A359FB"/>
    <w:rsid w:val="00A35FDC"/>
    <w:rsid w:val="00A361A7"/>
    <w:rsid w:val="00A36718"/>
    <w:rsid w:val="00A367FE"/>
    <w:rsid w:val="00A3696B"/>
    <w:rsid w:val="00A36B12"/>
    <w:rsid w:val="00A36D5D"/>
    <w:rsid w:val="00A36FAE"/>
    <w:rsid w:val="00A37064"/>
    <w:rsid w:val="00A377AC"/>
    <w:rsid w:val="00A4009E"/>
    <w:rsid w:val="00A4011B"/>
    <w:rsid w:val="00A40277"/>
    <w:rsid w:val="00A402CF"/>
    <w:rsid w:val="00A4031D"/>
    <w:rsid w:val="00A4086C"/>
    <w:rsid w:val="00A408D8"/>
    <w:rsid w:val="00A40BA3"/>
    <w:rsid w:val="00A40E7E"/>
    <w:rsid w:val="00A411CE"/>
    <w:rsid w:val="00A41291"/>
    <w:rsid w:val="00A41296"/>
    <w:rsid w:val="00A414E6"/>
    <w:rsid w:val="00A4158F"/>
    <w:rsid w:val="00A4161E"/>
    <w:rsid w:val="00A418C6"/>
    <w:rsid w:val="00A419CD"/>
    <w:rsid w:val="00A41A11"/>
    <w:rsid w:val="00A41C35"/>
    <w:rsid w:val="00A41D55"/>
    <w:rsid w:val="00A42334"/>
    <w:rsid w:val="00A423D6"/>
    <w:rsid w:val="00A42655"/>
    <w:rsid w:val="00A429C2"/>
    <w:rsid w:val="00A42BA0"/>
    <w:rsid w:val="00A42DEB"/>
    <w:rsid w:val="00A42F2A"/>
    <w:rsid w:val="00A43103"/>
    <w:rsid w:val="00A4321F"/>
    <w:rsid w:val="00A4338E"/>
    <w:rsid w:val="00A43393"/>
    <w:rsid w:val="00A434F1"/>
    <w:rsid w:val="00A43660"/>
    <w:rsid w:val="00A43767"/>
    <w:rsid w:val="00A437BC"/>
    <w:rsid w:val="00A43A11"/>
    <w:rsid w:val="00A43C7A"/>
    <w:rsid w:val="00A44117"/>
    <w:rsid w:val="00A4416D"/>
    <w:rsid w:val="00A4419C"/>
    <w:rsid w:val="00A4492D"/>
    <w:rsid w:val="00A44933"/>
    <w:rsid w:val="00A449E7"/>
    <w:rsid w:val="00A44BB3"/>
    <w:rsid w:val="00A44C0C"/>
    <w:rsid w:val="00A44D95"/>
    <w:rsid w:val="00A453C4"/>
    <w:rsid w:val="00A45524"/>
    <w:rsid w:val="00A45621"/>
    <w:rsid w:val="00A45692"/>
    <w:rsid w:val="00A45803"/>
    <w:rsid w:val="00A45850"/>
    <w:rsid w:val="00A46541"/>
    <w:rsid w:val="00A4662F"/>
    <w:rsid w:val="00A46C15"/>
    <w:rsid w:val="00A46DA4"/>
    <w:rsid w:val="00A46DDB"/>
    <w:rsid w:val="00A47062"/>
    <w:rsid w:val="00A47147"/>
    <w:rsid w:val="00A47480"/>
    <w:rsid w:val="00A474C3"/>
    <w:rsid w:val="00A475BF"/>
    <w:rsid w:val="00A478F8"/>
    <w:rsid w:val="00A4793D"/>
    <w:rsid w:val="00A47D8E"/>
    <w:rsid w:val="00A50576"/>
    <w:rsid w:val="00A50638"/>
    <w:rsid w:val="00A507E8"/>
    <w:rsid w:val="00A50875"/>
    <w:rsid w:val="00A50A7B"/>
    <w:rsid w:val="00A50A8B"/>
    <w:rsid w:val="00A50A9D"/>
    <w:rsid w:val="00A50AAF"/>
    <w:rsid w:val="00A50B17"/>
    <w:rsid w:val="00A50BC9"/>
    <w:rsid w:val="00A50D63"/>
    <w:rsid w:val="00A512AA"/>
    <w:rsid w:val="00A51BF8"/>
    <w:rsid w:val="00A521E0"/>
    <w:rsid w:val="00A521E1"/>
    <w:rsid w:val="00A52216"/>
    <w:rsid w:val="00A52458"/>
    <w:rsid w:val="00A530A3"/>
    <w:rsid w:val="00A53220"/>
    <w:rsid w:val="00A533F6"/>
    <w:rsid w:val="00A5378D"/>
    <w:rsid w:val="00A53B28"/>
    <w:rsid w:val="00A53CA9"/>
    <w:rsid w:val="00A53E6F"/>
    <w:rsid w:val="00A53ED1"/>
    <w:rsid w:val="00A542E8"/>
    <w:rsid w:val="00A5434D"/>
    <w:rsid w:val="00A544FD"/>
    <w:rsid w:val="00A545A7"/>
    <w:rsid w:val="00A54862"/>
    <w:rsid w:val="00A54A0A"/>
    <w:rsid w:val="00A54A68"/>
    <w:rsid w:val="00A54B2F"/>
    <w:rsid w:val="00A54D44"/>
    <w:rsid w:val="00A54E23"/>
    <w:rsid w:val="00A5503F"/>
    <w:rsid w:val="00A55140"/>
    <w:rsid w:val="00A553A9"/>
    <w:rsid w:val="00A5599B"/>
    <w:rsid w:val="00A55B39"/>
    <w:rsid w:val="00A55D72"/>
    <w:rsid w:val="00A55EF5"/>
    <w:rsid w:val="00A56446"/>
    <w:rsid w:val="00A564EE"/>
    <w:rsid w:val="00A5654C"/>
    <w:rsid w:val="00A5672F"/>
    <w:rsid w:val="00A56784"/>
    <w:rsid w:val="00A56941"/>
    <w:rsid w:val="00A56A66"/>
    <w:rsid w:val="00A56A7B"/>
    <w:rsid w:val="00A56C57"/>
    <w:rsid w:val="00A56E80"/>
    <w:rsid w:val="00A572B7"/>
    <w:rsid w:val="00A5741B"/>
    <w:rsid w:val="00A57748"/>
    <w:rsid w:val="00A579A5"/>
    <w:rsid w:val="00A57A5C"/>
    <w:rsid w:val="00A57B2F"/>
    <w:rsid w:val="00A60628"/>
    <w:rsid w:val="00A606DB"/>
    <w:rsid w:val="00A60EA0"/>
    <w:rsid w:val="00A60F47"/>
    <w:rsid w:val="00A6199D"/>
    <w:rsid w:val="00A61A96"/>
    <w:rsid w:val="00A61CEC"/>
    <w:rsid w:val="00A61E08"/>
    <w:rsid w:val="00A623E3"/>
    <w:rsid w:val="00A623F7"/>
    <w:rsid w:val="00A62A06"/>
    <w:rsid w:val="00A62BAF"/>
    <w:rsid w:val="00A62F09"/>
    <w:rsid w:val="00A6361F"/>
    <w:rsid w:val="00A6387F"/>
    <w:rsid w:val="00A63B71"/>
    <w:rsid w:val="00A63C72"/>
    <w:rsid w:val="00A63D68"/>
    <w:rsid w:val="00A64093"/>
    <w:rsid w:val="00A64181"/>
    <w:rsid w:val="00A644DB"/>
    <w:rsid w:val="00A644E4"/>
    <w:rsid w:val="00A64BC1"/>
    <w:rsid w:val="00A64DD2"/>
    <w:rsid w:val="00A64F4A"/>
    <w:rsid w:val="00A651E3"/>
    <w:rsid w:val="00A654A9"/>
    <w:rsid w:val="00A65CD8"/>
    <w:rsid w:val="00A65D5F"/>
    <w:rsid w:val="00A65DC8"/>
    <w:rsid w:val="00A65E9D"/>
    <w:rsid w:val="00A6618E"/>
    <w:rsid w:val="00A661C6"/>
    <w:rsid w:val="00A6641B"/>
    <w:rsid w:val="00A66E4F"/>
    <w:rsid w:val="00A66FE1"/>
    <w:rsid w:val="00A67121"/>
    <w:rsid w:val="00A6756D"/>
    <w:rsid w:val="00A67B59"/>
    <w:rsid w:val="00A67C1A"/>
    <w:rsid w:val="00A67CDA"/>
    <w:rsid w:val="00A70197"/>
    <w:rsid w:val="00A702EB"/>
    <w:rsid w:val="00A70481"/>
    <w:rsid w:val="00A70572"/>
    <w:rsid w:val="00A70B60"/>
    <w:rsid w:val="00A70BDD"/>
    <w:rsid w:val="00A70C53"/>
    <w:rsid w:val="00A70D09"/>
    <w:rsid w:val="00A70D94"/>
    <w:rsid w:val="00A7111E"/>
    <w:rsid w:val="00A71148"/>
    <w:rsid w:val="00A714A3"/>
    <w:rsid w:val="00A71D1E"/>
    <w:rsid w:val="00A7221B"/>
    <w:rsid w:val="00A722F4"/>
    <w:rsid w:val="00A7250D"/>
    <w:rsid w:val="00A7275C"/>
    <w:rsid w:val="00A728E8"/>
    <w:rsid w:val="00A72967"/>
    <w:rsid w:val="00A72CC8"/>
    <w:rsid w:val="00A72E82"/>
    <w:rsid w:val="00A72ED6"/>
    <w:rsid w:val="00A72F89"/>
    <w:rsid w:val="00A733B1"/>
    <w:rsid w:val="00A73440"/>
    <w:rsid w:val="00A737A7"/>
    <w:rsid w:val="00A73A0A"/>
    <w:rsid w:val="00A7414B"/>
    <w:rsid w:val="00A744D4"/>
    <w:rsid w:val="00A74538"/>
    <w:rsid w:val="00A74C7B"/>
    <w:rsid w:val="00A74DDE"/>
    <w:rsid w:val="00A7514E"/>
    <w:rsid w:val="00A7582E"/>
    <w:rsid w:val="00A75909"/>
    <w:rsid w:val="00A75930"/>
    <w:rsid w:val="00A75C16"/>
    <w:rsid w:val="00A75D6D"/>
    <w:rsid w:val="00A7633B"/>
    <w:rsid w:val="00A763F3"/>
    <w:rsid w:val="00A76765"/>
    <w:rsid w:val="00A76F0A"/>
    <w:rsid w:val="00A770A2"/>
    <w:rsid w:val="00A7729B"/>
    <w:rsid w:val="00A7755E"/>
    <w:rsid w:val="00A775C3"/>
    <w:rsid w:val="00A77708"/>
    <w:rsid w:val="00A77907"/>
    <w:rsid w:val="00A77BC9"/>
    <w:rsid w:val="00A77E77"/>
    <w:rsid w:val="00A77FC1"/>
    <w:rsid w:val="00A80342"/>
    <w:rsid w:val="00A8041C"/>
    <w:rsid w:val="00A808B8"/>
    <w:rsid w:val="00A808D0"/>
    <w:rsid w:val="00A808EF"/>
    <w:rsid w:val="00A80B67"/>
    <w:rsid w:val="00A80D40"/>
    <w:rsid w:val="00A80DD6"/>
    <w:rsid w:val="00A80E20"/>
    <w:rsid w:val="00A8114D"/>
    <w:rsid w:val="00A81189"/>
    <w:rsid w:val="00A81581"/>
    <w:rsid w:val="00A815F8"/>
    <w:rsid w:val="00A816AD"/>
    <w:rsid w:val="00A81806"/>
    <w:rsid w:val="00A81881"/>
    <w:rsid w:val="00A81A84"/>
    <w:rsid w:val="00A81D31"/>
    <w:rsid w:val="00A81E2A"/>
    <w:rsid w:val="00A82090"/>
    <w:rsid w:val="00A821EE"/>
    <w:rsid w:val="00A82585"/>
    <w:rsid w:val="00A828A0"/>
    <w:rsid w:val="00A82B50"/>
    <w:rsid w:val="00A83011"/>
    <w:rsid w:val="00A83060"/>
    <w:rsid w:val="00A831F5"/>
    <w:rsid w:val="00A83432"/>
    <w:rsid w:val="00A83865"/>
    <w:rsid w:val="00A83947"/>
    <w:rsid w:val="00A83DBD"/>
    <w:rsid w:val="00A83E70"/>
    <w:rsid w:val="00A83E78"/>
    <w:rsid w:val="00A84084"/>
    <w:rsid w:val="00A8417E"/>
    <w:rsid w:val="00A842D5"/>
    <w:rsid w:val="00A84310"/>
    <w:rsid w:val="00A8433E"/>
    <w:rsid w:val="00A8440A"/>
    <w:rsid w:val="00A8445D"/>
    <w:rsid w:val="00A84479"/>
    <w:rsid w:val="00A8458F"/>
    <w:rsid w:val="00A845A5"/>
    <w:rsid w:val="00A84D50"/>
    <w:rsid w:val="00A85155"/>
    <w:rsid w:val="00A8576D"/>
    <w:rsid w:val="00A85787"/>
    <w:rsid w:val="00A85B10"/>
    <w:rsid w:val="00A85D21"/>
    <w:rsid w:val="00A85EF3"/>
    <w:rsid w:val="00A86170"/>
    <w:rsid w:val="00A8637D"/>
    <w:rsid w:val="00A8675F"/>
    <w:rsid w:val="00A867C9"/>
    <w:rsid w:val="00A86840"/>
    <w:rsid w:val="00A86B65"/>
    <w:rsid w:val="00A86C77"/>
    <w:rsid w:val="00A86E89"/>
    <w:rsid w:val="00A8702F"/>
    <w:rsid w:val="00A8713C"/>
    <w:rsid w:val="00A87197"/>
    <w:rsid w:val="00A872B4"/>
    <w:rsid w:val="00A873C4"/>
    <w:rsid w:val="00A876D3"/>
    <w:rsid w:val="00A8793B"/>
    <w:rsid w:val="00A87DDE"/>
    <w:rsid w:val="00A87E51"/>
    <w:rsid w:val="00A87F5E"/>
    <w:rsid w:val="00A90041"/>
    <w:rsid w:val="00A90390"/>
    <w:rsid w:val="00A90464"/>
    <w:rsid w:val="00A90854"/>
    <w:rsid w:val="00A90F3C"/>
    <w:rsid w:val="00A91253"/>
    <w:rsid w:val="00A91711"/>
    <w:rsid w:val="00A91A89"/>
    <w:rsid w:val="00A91CC8"/>
    <w:rsid w:val="00A921DB"/>
    <w:rsid w:val="00A92463"/>
    <w:rsid w:val="00A924C7"/>
    <w:rsid w:val="00A925C9"/>
    <w:rsid w:val="00A929D3"/>
    <w:rsid w:val="00A92B6A"/>
    <w:rsid w:val="00A9308B"/>
    <w:rsid w:val="00A9359F"/>
    <w:rsid w:val="00A93708"/>
    <w:rsid w:val="00A9398C"/>
    <w:rsid w:val="00A93A5B"/>
    <w:rsid w:val="00A93C35"/>
    <w:rsid w:val="00A93EA7"/>
    <w:rsid w:val="00A9418D"/>
    <w:rsid w:val="00A94326"/>
    <w:rsid w:val="00A9485E"/>
    <w:rsid w:val="00A9494E"/>
    <w:rsid w:val="00A9496D"/>
    <w:rsid w:val="00A94BD2"/>
    <w:rsid w:val="00A94CBD"/>
    <w:rsid w:val="00A94DC0"/>
    <w:rsid w:val="00A94F4D"/>
    <w:rsid w:val="00A950B1"/>
    <w:rsid w:val="00A95362"/>
    <w:rsid w:val="00A954BE"/>
    <w:rsid w:val="00A9553D"/>
    <w:rsid w:val="00A9557E"/>
    <w:rsid w:val="00A955D9"/>
    <w:rsid w:val="00A95A4D"/>
    <w:rsid w:val="00A95D26"/>
    <w:rsid w:val="00A95D8B"/>
    <w:rsid w:val="00A96771"/>
    <w:rsid w:val="00A96851"/>
    <w:rsid w:val="00A9687D"/>
    <w:rsid w:val="00A96C20"/>
    <w:rsid w:val="00A96F78"/>
    <w:rsid w:val="00A97050"/>
    <w:rsid w:val="00A9774F"/>
    <w:rsid w:val="00A977DB"/>
    <w:rsid w:val="00A97AD8"/>
    <w:rsid w:val="00A97B08"/>
    <w:rsid w:val="00A97FD0"/>
    <w:rsid w:val="00AA01DA"/>
    <w:rsid w:val="00AA01E4"/>
    <w:rsid w:val="00AA03C6"/>
    <w:rsid w:val="00AA04D7"/>
    <w:rsid w:val="00AA054F"/>
    <w:rsid w:val="00AA07D2"/>
    <w:rsid w:val="00AA0815"/>
    <w:rsid w:val="00AA0847"/>
    <w:rsid w:val="00AA0901"/>
    <w:rsid w:val="00AA0A92"/>
    <w:rsid w:val="00AA0ACE"/>
    <w:rsid w:val="00AA1353"/>
    <w:rsid w:val="00AA17C9"/>
    <w:rsid w:val="00AA1947"/>
    <w:rsid w:val="00AA1CBF"/>
    <w:rsid w:val="00AA1E8D"/>
    <w:rsid w:val="00AA1F2E"/>
    <w:rsid w:val="00AA2675"/>
    <w:rsid w:val="00AA2792"/>
    <w:rsid w:val="00AA29BB"/>
    <w:rsid w:val="00AA2A3B"/>
    <w:rsid w:val="00AA2D06"/>
    <w:rsid w:val="00AA2DD4"/>
    <w:rsid w:val="00AA32D6"/>
    <w:rsid w:val="00AA34BB"/>
    <w:rsid w:val="00AA3A03"/>
    <w:rsid w:val="00AA3C09"/>
    <w:rsid w:val="00AA3C51"/>
    <w:rsid w:val="00AA3DE6"/>
    <w:rsid w:val="00AA3F10"/>
    <w:rsid w:val="00AA40EE"/>
    <w:rsid w:val="00AA4253"/>
    <w:rsid w:val="00AA437E"/>
    <w:rsid w:val="00AA4902"/>
    <w:rsid w:val="00AA4912"/>
    <w:rsid w:val="00AA4A1C"/>
    <w:rsid w:val="00AA4DB5"/>
    <w:rsid w:val="00AA4E1E"/>
    <w:rsid w:val="00AA4E63"/>
    <w:rsid w:val="00AA5320"/>
    <w:rsid w:val="00AA5349"/>
    <w:rsid w:val="00AA5528"/>
    <w:rsid w:val="00AA55F1"/>
    <w:rsid w:val="00AA574B"/>
    <w:rsid w:val="00AA5857"/>
    <w:rsid w:val="00AA59B2"/>
    <w:rsid w:val="00AA5EE6"/>
    <w:rsid w:val="00AA61C1"/>
    <w:rsid w:val="00AA6875"/>
    <w:rsid w:val="00AA6A6C"/>
    <w:rsid w:val="00AA6BDD"/>
    <w:rsid w:val="00AA6C95"/>
    <w:rsid w:val="00AA6D53"/>
    <w:rsid w:val="00AA7004"/>
    <w:rsid w:val="00AA705A"/>
    <w:rsid w:val="00AA70EC"/>
    <w:rsid w:val="00AA76EF"/>
    <w:rsid w:val="00AA77EA"/>
    <w:rsid w:val="00AA79B1"/>
    <w:rsid w:val="00AA7AB4"/>
    <w:rsid w:val="00AA7C1C"/>
    <w:rsid w:val="00AA7E91"/>
    <w:rsid w:val="00AA7F0C"/>
    <w:rsid w:val="00AB04A4"/>
    <w:rsid w:val="00AB0EB8"/>
    <w:rsid w:val="00AB1916"/>
    <w:rsid w:val="00AB1C6E"/>
    <w:rsid w:val="00AB1D66"/>
    <w:rsid w:val="00AB226B"/>
    <w:rsid w:val="00AB22D9"/>
    <w:rsid w:val="00AB2819"/>
    <w:rsid w:val="00AB2943"/>
    <w:rsid w:val="00AB2A52"/>
    <w:rsid w:val="00AB2B58"/>
    <w:rsid w:val="00AB2C5C"/>
    <w:rsid w:val="00AB2DEC"/>
    <w:rsid w:val="00AB3782"/>
    <w:rsid w:val="00AB4158"/>
    <w:rsid w:val="00AB42C2"/>
    <w:rsid w:val="00AB437F"/>
    <w:rsid w:val="00AB4442"/>
    <w:rsid w:val="00AB45B4"/>
    <w:rsid w:val="00AB466A"/>
    <w:rsid w:val="00AB4914"/>
    <w:rsid w:val="00AB4B28"/>
    <w:rsid w:val="00AB4C52"/>
    <w:rsid w:val="00AB4D1F"/>
    <w:rsid w:val="00AB4EE4"/>
    <w:rsid w:val="00AB4F88"/>
    <w:rsid w:val="00AB4F9A"/>
    <w:rsid w:val="00AB5008"/>
    <w:rsid w:val="00AB52F4"/>
    <w:rsid w:val="00AB5393"/>
    <w:rsid w:val="00AB5C09"/>
    <w:rsid w:val="00AB5F4D"/>
    <w:rsid w:val="00AB5FAB"/>
    <w:rsid w:val="00AB68BF"/>
    <w:rsid w:val="00AB7434"/>
    <w:rsid w:val="00AC07C7"/>
    <w:rsid w:val="00AC0A81"/>
    <w:rsid w:val="00AC0B2F"/>
    <w:rsid w:val="00AC13EE"/>
    <w:rsid w:val="00AC1433"/>
    <w:rsid w:val="00AC14DC"/>
    <w:rsid w:val="00AC1791"/>
    <w:rsid w:val="00AC180F"/>
    <w:rsid w:val="00AC1A92"/>
    <w:rsid w:val="00AC1DDB"/>
    <w:rsid w:val="00AC1EE6"/>
    <w:rsid w:val="00AC2164"/>
    <w:rsid w:val="00AC2446"/>
    <w:rsid w:val="00AC26C6"/>
    <w:rsid w:val="00AC284B"/>
    <w:rsid w:val="00AC2B79"/>
    <w:rsid w:val="00AC2B9F"/>
    <w:rsid w:val="00AC2F10"/>
    <w:rsid w:val="00AC3051"/>
    <w:rsid w:val="00AC3297"/>
    <w:rsid w:val="00AC368D"/>
    <w:rsid w:val="00AC3777"/>
    <w:rsid w:val="00AC3D2B"/>
    <w:rsid w:val="00AC3DAE"/>
    <w:rsid w:val="00AC4108"/>
    <w:rsid w:val="00AC455C"/>
    <w:rsid w:val="00AC470E"/>
    <w:rsid w:val="00AC4CFD"/>
    <w:rsid w:val="00AC4D07"/>
    <w:rsid w:val="00AC4E63"/>
    <w:rsid w:val="00AC50F6"/>
    <w:rsid w:val="00AC516E"/>
    <w:rsid w:val="00AC5350"/>
    <w:rsid w:val="00AC55F6"/>
    <w:rsid w:val="00AC56DD"/>
    <w:rsid w:val="00AC5732"/>
    <w:rsid w:val="00AC59E6"/>
    <w:rsid w:val="00AC5A08"/>
    <w:rsid w:val="00AC5D36"/>
    <w:rsid w:val="00AC5DEB"/>
    <w:rsid w:val="00AC5FA1"/>
    <w:rsid w:val="00AC61D2"/>
    <w:rsid w:val="00AC6213"/>
    <w:rsid w:val="00AC66B2"/>
    <w:rsid w:val="00AC6CAF"/>
    <w:rsid w:val="00AC6DC9"/>
    <w:rsid w:val="00AC6F81"/>
    <w:rsid w:val="00AC73B6"/>
    <w:rsid w:val="00AC7453"/>
    <w:rsid w:val="00AC7596"/>
    <w:rsid w:val="00AC75DB"/>
    <w:rsid w:val="00AC77B9"/>
    <w:rsid w:val="00AC794C"/>
    <w:rsid w:val="00AC7B36"/>
    <w:rsid w:val="00AC7EBC"/>
    <w:rsid w:val="00AC7F3E"/>
    <w:rsid w:val="00AD00ED"/>
    <w:rsid w:val="00AD0380"/>
    <w:rsid w:val="00AD0390"/>
    <w:rsid w:val="00AD03D8"/>
    <w:rsid w:val="00AD062E"/>
    <w:rsid w:val="00AD0837"/>
    <w:rsid w:val="00AD0D60"/>
    <w:rsid w:val="00AD0E06"/>
    <w:rsid w:val="00AD1537"/>
    <w:rsid w:val="00AD1541"/>
    <w:rsid w:val="00AD19AA"/>
    <w:rsid w:val="00AD1AA7"/>
    <w:rsid w:val="00AD1FFA"/>
    <w:rsid w:val="00AD2413"/>
    <w:rsid w:val="00AD24F1"/>
    <w:rsid w:val="00AD2506"/>
    <w:rsid w:val="00AD25C7"/>
    <w:rsid w:val="00AD2630"/>
    <w:rsid w:val="00AD27E2"/>
    <w:rsid w:val="00AD29CF"/>
    <w:rsid w:val="00AD2A15"/>
    <w:rsid w:val="00AD31C4"/>
    <w:rsid w:val="00AD327E"/>
    <w:rsid w:val="00AD3336"/>
    <w:rsid w:val="00AD3393"/>
    <w:rsid w:val="00AD3421"/>
    <w:rsid w:val="00AD37D6"/>
    <w:rsid w:val="00AD3814"/>
    <w:rsid w:val="00AD3999"/>
    <w:rsid w:val="00AD3F23"/>
    <w:rsid w:val="00AD3FE5"/>
    <w:rsid w:val="00AD403B"/>
    <w:rsid w:val="00AD40FA"/>
    <w:rsid w:val="00AD42BC"/>
    <w:rsid w:val="00AD4770"/>
    <w:rsid w:val="00AD49F9"/>
    <w:rsid w:val="00AD4ED3"/>
    <w:rsid w:val="00AD4F9B"/>
    <w:rsid w:val="00AD51F6"/>
    <w:rsid w:val="00AD52E7"/>
    <w:rsid w:val="00AD5313"/>
    <w:rsid w:val="00AD5527"/>
    <w:rsid w:val="00AD5658"/>
    <w:rsid w:val="00AD56ED"/>
    <w:rsid w:val="00AD572E"/>
    <w:rsid w:val="00AD579E"/>
    <w:rsid w:val="00AD586A"/>
    <w:rsid w:val="00AD5879"/>
    <w:rsid w:val="00AD59B7"/>
    <w:rsid w:val="00AD5A00"/>
    <w:rsid w:val="00AD5A60"/>
    <w:rsid w:val="00AD5CD3"/>
    <w:rsid w:val="00AD60B4"/>
    <w:rsid w:val="00AD60DC"/>
    <w:rsid w:val="00AD6227"/>
    <w:rsid w:val="00AD62CD"/>
    <w:rsid w:val="00AD643A"/>
    <w:rsid w:val="00AD6441"/>
    <w:rsid w:val="00AD649E"/>
    <w:rsid w:val="00AD64C9"/>
    <w:rsid w:val="00AD650D"/>
    <w:rsid w:val="00AD6612"/>
    <w:rsid w:val="00AD6687"/>
    <w:rsid w:val="00AD6801"/>
    <w:rsid w:val="00AD6855"/>
    <w:rsid w:val="00AD68DE"/>
    <w:rsid w:val="00AD6EF8"/>
    <w:rsid w:val="00AD7045"/>
    <w:rsid w:val="00AD7325"/>
    <w:rsid w:val="00AD744C"/>
    <w:rsid w:val="00AD7463"/>
    <w:rsid w:val="00AD74DF"/>
    <w:rsid w:val="00AD7559"/>
    <w:rsid w:val="00AD7983"/>
    <w:rsid w:val="00AD7A7F"/>
    <w:rsid w:val="00AD7E48"/>
    <w:rsid w:val="00AD7F2C"/>
    <w:rsid w:val="00AE049E"/>
    <w:rsid w:val="00AE04D6"/>
    <w:rsid w:val="00AE0552"/>
    <w:rsid w:val="00AE077F"/>
    <w:rsid w:val="00AE0829"/>
    <w:rsid w:val="00AE0BF0"/>
    <w:rsid w:val="00AE0F88"/>
    <w:rsid w:val="00AE1091"/>
    <w:rsid w:val="00AE1338"/>
    <w:rsid w:val="00AE15D4"/>
    <w:rsid w:val="00AE183A"/>
    <w:rsid w:val="00AE19C3"/>
    <w:rsid w:val="00AE1C65"/>
    <w:rsid w:val="00AE1E7E"/>
    <w:rsid w:val="00AE2062"/>
    <w:rsid w:val="00AE230C"/>
    <w:rsid w:val="00AE248A"/>
    <w:rsid w:val="00AE254A"/>
    <w:rsid w:val="00AE2594"/>
    <w:rsid w:val="00AE292F"/>
    <w:rsid w:val="00AE29DD"/>
    <w:rsid w:val="00AE29FB"/>
    <w:rsid w:val="00AE2A35"/>
    <w:rsid w:val="00AE2B41"/>
    <w:rsid w:val="00AE2E78"/>
    <w:rsid w:val="00AE2E89"/>
    <w:rsid w:val="00AE32EF"/>
    <w:rsid w:val="00AE3375"/>
    <w:rsid w:val="00AE3866"/>
    <w:rsid w:val="00AE3AB9"/>
    <w:rsid w:val="00AE3F1B"/>
    <w:rsid w:val="00AE44DB"/>
    <w:rsid w:val="00AE4814"/>
    <w:rsid w:val="00AE4CBF"/>
    <w:rsid w:val="00AE4CD4"/>
    <w:rsid w:val="00AE515F"/>
    <w:rsid w:val="00AE5204"/>
    <w:rsid w:val="00AE5468"/>
    <w:rsid w:val="00AE5497"/>
    <w:rsid w:val="00AE5B21"/>
    <w:rsid w:val="00AE5F1C"/>
    <w:rsid w:val="00AE5FFD"/>
    <w:rsid w:val="00AE6000"/>
    <w:rsid w:val="00AE606F"/>
    <w:rsid w:val="00AE60B6"/>
    <w:rsid w:val="00AE6242"/>
    <w:rsid w:val="00AE6296"/>
    <w:rsid w:val="00AE6396"/>
    <w:rsid w:val="00AE6671"/>
    <w:rsid w:val="00AE6869"/>
    <w:rsid w:val="00AE68C8"/>
    <w:rsid w:val="00AE6BDB"/>
    <w:rsid w:val="00AE6BE1"/>
    <w:rsid w:val="00AE72E2"/>
    <w:rsid w:val="00AE74A0"/>
    <w:rsid w:val="00AE76D6"/>
    <w:rsid w:val="00AE76DF"/>
    <w:rsid w:val="00AE798C"/>
    <w:rsid w:val="00AE7A1D"/>
    <w:rsid w:val="00AE7A1E"/>
    <w:rsid w:val="00AE7A7F"/>
    <w:rsid w:val="00AF012A"/>
    <w:rsid w:val="00AF0273"/>
    <w:rsid w:val="00AF061C"/>
    <w:rsid w:val="00AF0B5A"/>
    <w:rsid w:val="00AF0B68"/>
    <w:rsid w:val="00AF10FE"/>
    <w:rsid w:val="00AF129C"/>
    <w:rsid w:val="00AF12B4"/>
    <w:rsid w:val="00AF1401"/>
    <w:rsid w:val="00AF1ADF"/>
    <w:rsid w:val="00AF1BD1"/>
    <w:rsid w:val="00AF23BC"/>
    <w:rsid w:val="00AF298E"/>
    <w:rsid w:val="00AF29C1"/>
    <w:rsid w:val="00AF2D8B"/>
    <w:rsid w:val="00AF3005"/>
    <w:rsid w:val="00AF3287"/>
    <w:rsid w:val="00AF328E"/>
    <w:rsid w:val="00AF3AF7"/>
    <w:rsid w:val="00AF3D7F"/>
    <w:rsid w:val="00AF41D2"/>
    <w:rsid w:val="00AF44CE"/>
    <w:rsid w:val="00AF4851"/>
    <w:rsid w:val="00AF4E58"/>
    <w:rsid w:val="00AF4FD0"/>
    <w:rsid w:val="00AF53D1"/>
    <w:rsid w:val="00AF54D1"/>
    <w:rsid w:val="00AF5551"/>
    <w:rsid w:val="00AF5AEE"/>
    <w:rsid w:val="00AF5B63"/>
    <w:rsid w:val="00AF5F77"/>
    <w:rsid w:val="00AF6070"/>
    <w:rsid w:val="00AF6573"/>
    <w:rsid w:val="00AF66C5"/>
    <w:rsid w:val="00AF66F7"/>
    <w:rsid w:val="00AF696C"/>
    <w:rsid w:val="00AF6F39"/>
    <w:rsid w:val="00AF75E3"/>
    <w:rsid w:val="00AF75F8"/>
    <w:rsid w:val="00AF76BA"/>
    <w:rsid w:val="00AF7772"/>
    <w:rsid w:val="00AF77E2"/>
    <w:rsid w:val="00AF7B05"/>
    <w:rsid w:val="00AF7B4B"/>
    <w:rsid w:val="00AF7BBE"/>
    <w:rsid w:val="00AF7D12"/>
    <w:rsid w:val="00AF7D5F"/>
    <w:rsid w:val="00AF7DEF"/>
    <w:rsid w:val="00B00240"/>
    <w:rsid w:val="00B0038D"/>
    <w:rsid w:val="00B00537"/>
    <w:rsid w:val="00B00580"/>
    <w:rsid w:val="00B009FB"/>
    <w:rsid w:val="00B00D5D"/>
    <w:rsid w:val="00B0150D"/>
    <w:rsid w:val="00B017FC"/>
    <w:rsid w:val="00B01BE4"/>
    <w:rsid w:val="00B01D97"/>
    <w:rsid w:val="00B01FA4"/>
    <w:rsid w:val="00B02ADA"/>
    <w:rsid w:val="00B02BE5"/>
    <w:rsid w:val="00B02E79"/>
    <w:rsid w:val="00B035BE"/>
    <w:rsid w:val="00B038D5"/>
    <w:rsid w:val="00B03B01"/>
    <w:rsid w:val="00B03B38"/>
    <w:rsid w:val="00B03EC1"/>
    <w:rsid w:val="00B0420B"/>
    <w:rsid w:val="00B0464C"/>
    <w:rsid w:val="00B04BBF"/>
    <w:rsid w:val="00B04F10"/>
    <w:rsid w:val="00B05128"/>
    <w:rsid w:val="00B051D5"/>
    <w:rsid w:val="00B0525D"/>
    <w:rsid w:val="00B05697"/>
    <w:rsid w:val="00B0577B"/>
    <w:rsid w:val="00B058C7"/>
    <w:rsid w:val="00B05B47"/>
    <w:rsid w:val="00B05EDF"/>
    <w:rsid w:val="00B05F1D"/>
    <w:rsid w:val="00B063FE"/>
    <w:rsid w:val="00B06A37"/>
    <w:rsid w:val="00B06A72"/>
    <w:rsid w:val="00B0721F"/>
    <w:rsid w:val="00B0726F"/>
    <w:rsid w:val="00B0737B"/>
    <w:rsid w:val="00B0775E"/>
    <w:rsid w:val="00B07762"/>
    <w:rsid w:val="00B07F03"/>
    <w:rsid w:val="00B07F04"/>
    <w:rsid w:val="00B10075"/>
    <w:rsid w:val="00B102D8"/>
    <w:rsid w:val="00B107BC"/>
    <w:rsid w:val="00B10A6C"/>
    <w:rsid w:val="00B10B74"/>
    <w:rsid w:val="00B10FA0"/>
    <w:rsid w:val="00B111F5"/>
    <w:rsid w:val="00B113A4"/>
    <w:rsid w:val="00B11580"/>
    <w:rsid w:val="00B11918"/>
    <w:rsid w:val="00B11942"/>
    <w:rsid w:val="00B11AAA"/>
    <w:rsid w:val="00B11B29"/>
    <w:rsid w:val="00B1207F"/>
    <w:rsid w:val="00B12081"/>
    <w:rsid w:val="00B121F6"/>
    <w:rsid w:val="00B122BC"/>
    <w:rsid w:val="00B125E3"/>
    <w:rsid w:val="00B129A2"/>
    <w:rsid w:val="00B12C17"/>
    <w:rsid w:val="00B12CF8"/>
    <w:rsid w:val="00B12DE5"/>
    <w:rsid w:val="00B12E5E"/>
    <w:rsid w:val="00B12EE2"/>
    <w:rsid w:val="00B12F13"/>
    <w:rsid w:val="00B12FBA"/>
    <w:rsid w:val="00B131A7"/>
    <w:rsid w:val="00B134F0"/>
    <w:rsid w:val="00B13500"/>
    <w:rsid w:val="00B13C6C"/>
    <w:rsid w:val="00B13EDB"/>
    <w:rsid w:val="00B13F6B"/>
    <w:rsid w:val="00B13FE8"/>
    <w:rsid w:val="00B14438"/>
    <w:rsid w:val="00B14752"/>
    <w:rsid w:val="00B147CD"/>
    <w:rsid w:val="00B148ED"/>
    <w:rsid w:val="00B14BE6"/>
    <w:rsid w:val="00B14C81"/>
    <w:rsid w:val="00B14D6B"/>
    <w:rsid w:val="00B14FF3"/>
    <w:rsid w:val="00B151BA"/>
    <w:rsid w:val="00B15260"/>
    <w:rsid w:val="00B152CF"/>
    <w:rsid w:val="00B15421"/>
    <w:rsid w:val="00B1554E"/>
    <w:rsid w:val="00B15C00"/>
    <w:rsid w:val="00B15C24"/>
    <w:rsid w:val="00B166DB"/>
    <w:rsid w:val="00B1674F"/>
    <w:rsid w:val="00B168FB"/>
    <w:rsid w:val="00B1690B"/>
    <w:rsid w:val="00B16C43"/>
    <w:rsid w:val="00B16D30"/>
    <w:rsid w:val="00B16FB1"/>
    <w:rsid w:val="00B1730F"/>
    <w:rsid w:val="00B17429"/>
    <w:rsid w:val="00B174F5"/>
    <w:rsid w:val="00B178AD"/>
    <w:rsid w:val="00B179B3"/>
    <w:rsid w:val="00B17B01"/>
    <w:rsid w:val="00B17D35"/>
    <w:rsid w:val="00B20246"/>
    <w:rsid w:val="00B20284"/>
    <w:rsid w:val="00B20294"/>
    <w:rsid w:val="00B20297"/>
    <w:rsid w:val="00B20A81"/>
    <w:rsid w:val="00B20A8A"/>
    <w:rsid w:val="00B20ABB"/>
    <w:rsid w:val="00B20FEA"/>
    <w:rsid w:val="00B20FF2"/>
    <w:rsid w:val="00B21589"/>
    <w:rsid w:val="00B218C7"/>
    <w:rsid w:val="00B21CC5"/>
    <w:rsid w:val="00B21E3E"/>
    <w:rsid w:val="00B21F85"/>
    <w:rsid w:val="00B21FA5"/>
    <w:rsid w:val="00B22542"/>
    <w:rsid w:val="00B226E1"/>
    <w:rsid w:val="00B2272E"/>
    <w:rsid w:val="00B227B0"/>
    <w:rsid w:val="00B22A04"/>
    <w:rsid w:val="00B22CB0"/>
    <w:rsid w:val="00B22D3A"/>
    <w:rsid w:val="00B22ED9"/>
    <w:rsid w:val="00B230AF"/>
    <w:rsid w:val="00B23336"/>
    <w:rsid w:val="00B2363A"/>
    <w:rsid w:val="00B23A47"/>
    <w:rsid w:val="00B23A75"/>
    <w:rsid w:val="00B23DD9"/>
    <w:rsid w:val="00B24092"/>
    <w:rsid w:val="00B244DE"/>
    <w:rsid w:val="00B245FC"/>
    <w:rsid w:val="00B24753"/>
    <w:rsid w:val="00B2495A"/>
    <w:rsid w:val="00B25250"/>
    <w:rsid w:val="00B252FC"/>
    <w:rsid w:val="00B253C6"/>
    <w:rsid w:val="00B253DE"/>
    <w:rsid w:val="00B259F1"/>
    <w:rsid w:val="00B25A27"/>
    <w:rsid w:val="00B25C13"/>
    <w:rsid w:val="00B25C15"/>
    <w:rsid w:val="00B25CBD"/>
    <w:rsid w:val="00B25D4C"/>
    <w:rsid w:val="00B25FAB"/>
    <w:rsid w:val="00B2632A"/>
    <w:rsid w:val="00B265DA"/>
    <w:rsid w:val="00B26631"/>
    <w:rsid w:val="00B269EA"/>
    <w:rsid w:val="00B26B52"/>
    <w:rsid w:val="00B26B64"/>
    <w:rsid w:val="00B26BA8"/>
    <w:rsid w:val="00B270B7"/>
    <w:rsid w:val="00B27124"/>
    <w:rsid w:val="00B2749F"/>
    <w:rsid w:val="00B27664"/>
    <w:rsid w:val="00B27818"/>
    <w:rsid w:val="00B279BC"/>
    <w:rsid w:val="00B27C53"/>
    <w:rsid w:val="00B27DDF"/>
    <w:rsid w:val="00B27E58"/>
    <w:rsid w:val="00B300BE"/>
    <w:rsid w:val="00B3048C"/>
    <w:rsid w:val="00B30764"/>
    <w:rsid w:val="00B307E9"/>
    <w:rsid w:val="00B308DF"/>
    <w:rsid w:val="00B30C4C"/>
    <w:rsid w:val="00B30ECD"/>
    <w:rsid w:val="00B3123F"/>
    <w:rsid w:val="00B3129D"/>
    <w:rsid w:val="00B316BA"/>
    <w:rsid w:val="00B318AC"/>
    <w:rsid w:val="00B31E2A"/>
    <w:rsid w:val="00B32132"/>
    <w:rsid w:val="00B32730"/>
    <w:rsid w:val="00B327D8"/>
    <w:rsid w:val="00B32A45"/>
    <w:rsid w:val="00B32BE3"/>
    <w:rsid w:val="00B32F76"/>
    <w:rsid w:val="00B332B9"/>
    <w:rsid w:val="00B3330E"/>
    <w:rsid w:val="00B3331F"/>
    <w:rsid w:val="00B33611"/>
    <w:rsid w:val="00B338B9"/>
    <w:rsid w:val="00B33A2C"/>
    <w:rsid w:val="00B33C4C"/>
    <w:rsid w:val="00B340E0"/>
    <w:rsid w:val="00B341CE"/>
    <w:rsid w:val="00B34200"/>
    <w:rsid w:val="00B3442E"/>
    <w:rsid w:val="00B344D1"/>
    <w:rsid w:val="00B34613"/>
    <w:rsid w:val="00B346C0"/>
    <w:rsid w:val="00B34759"/>
    <w:rsid w:val="00B34843"/>
    <w:rsid w:val="00B3490D"/>
    <w:rsid w:val="00B34B03"/>
    <w:rsid w:val="00B3528C"/>
    <w:rsid w:val="00B35297"/>
    <w:rsid w:val="00B3599C"/>
    <w:rsid w:val="00B35B4F"/>
    <w:rsid w:val="00B35B65"/>
    <w:rsid w:val="00B35C03"/>
    <w:rsid w:val="00B36471"/>
    <w:rsid w:val="00B3672C"/>
    <w:rsid w:val="00B36772"/>
    <w:rsid w:val="00B36796"/>
    <w:rsid w:val="00B36C77"/>
    <w:rsid w:val="00B36DBD"/>
    <w:rsid w:val="00B3700F"/>
    <w:rsid w:val="00B37252"/>
    <w:rsid w:val="00B3737A"/>
    <w:rsid w:val="00B3750D"/>
    <w:rsid w:val="00B376BC"/>
    <w:rsid w:val="00B37B62"/>
    <w:rsid w:val="00B37DCD"/>
    <w:rsid w:val="00B401A4"/>
    <w:rsid w:val="00B4052B"/>
    <w:rsid w:val="00B40553"/>
    <w:rsid w:val="00B4069A"/>
    <w:rsid w:val="00B40E4B"/>
    <w:rsid w:val="00B41039"/>
    <w:rsid w:val="00B41338"/>
    <w:rsid w:val="00B41495"/>
    <w:rsid w:val="00B416AE"/>
    <w:rsid w:val="00B41704"/>
    <w:rsid w:val="00B41821"/>
    <w:rsid w:val="00B418B8"/>
    <w:rsid w:val="00B41933"/>
    <w:rsid w:val="00B41CDE"/>
    <w:rsid w:val="00B41D1A"/>
    <w:rsid w:val="00B41D55"/>
    <w:rsid w:val="00B41DD4"/>
    <w:rsid w:val="00B41FD4"/>
    <w:rsid w:val="00B421D1"/>
    <w:rsid w:val="00B42716"/>
    <w:rsid w:val="00B42777"/>
    <w:rsid w:val="00B429B1"/>
    <w:rsid w:val="00B42C3E"/>
    <w:rsid w:val="00B42DD4"/>
    <w:rsid w:val="00B4302B"/>
    <w:rsid w:val="00B43057"/>
    <w:rsid w:val="00B433E0"/>
    <w:rsid w:val="00B43609"/>
    <w:rsid w:val="00B438DB"/>
    <w:rsid w:val="00B439FF"/>
    <w:rsid w:val="00B43A33"/>
    <w:rsid w:val="00B43B34"/>
    <w:rsid w:val="00B43C0A"/>
    <w:rsid w:val="00B43E5D"/>
    <w:rsid w:val="00B43EEC"/>
    <w:rsid w:val="00B442DF"/>
    <w:rsid w:val="00B44434"/>
    <w:rsid w:val="00B44469"/>
    <w:rsid w:val="00B44479"/>
    <w:rsid w:val="00B44702"/>
    <w:rsid w:val="00B44709"/>
    <w:rsid w:val="00B44741"/>
    <w:rsid w:val="00B44912"/>
    <w:rsid w:val="00B449BC"/>
    <w:rsid w:val="00B44A09"/>
    <w:rsid w:val="00B44B29"/>
    <w:rsid w:val="00B44D73"/>
    <w:rsid w:val="00B44D83"/>
    <w:rsid w:val="00B44DD0"/>
    <w:rsid w:val="00B45153"/>
    <w:rsid w:val="00B455CB"/>
    <w:rsid w:val="00B456C3"/>
    <w:rsid w:val="00B456D1"/>
    <w:rsid w:val="00B457C0"/>
    <w:rsid w:val="00B458B4"/>
    <w:rsid w:val="00B45921"/>
    <w:rsid w:val="00B45C74"/>
    <w:rsid w:val="00B45E18"/>
    <w:rsid w:val="00B45F1D"/>
    <w:rsid w:val="00B46264"/>
    <w:rsid w:val="00B464E9"/>
    <w:rsid w:val="00B4676D"/>
    <w:rsid w:val="00B4693A"/>
    <w:rsid w:val="00B46987"/>
    <w:rsid w:val="00B469D2"/>
    <w:rsid w:val="00B469D4"/>
    <w:rsid w:val="00B47113"/>
    <w:rsid w:val="00B471AE"/>
    <w:rsid w:val="00B47832"/>
    <w:rsid w:val="00B47E5E"/>
    <w:rsid w:val="00B47F88"/>
    <w:rsid w:val="00B50309"/>
    <w:rsid w:val="00B5044C"/>
    <w:rsid w:val="00B5051E"/>
    <w:rsid w:val="00B5059F"/>
    <w:rsid w:val="00B508B0"/>
    <w:rsid w:val="00B50A1E"/>
    <w:rsid w:val="00B50B20"/>
    <w:rsid w:val="00B50E4A"/>
    <w:rsid w:val="00B511E9"/>
    <w:rsid w:val="00B5126A"/>
    <w:rsid w:val="00B517AE"/>
    <w:rsid w:val="00B51914"/>
    <w:rsid w:val="00B51B84"/>
    <w:rsid w:val="00B51F6A"/>
    <w:rsid w:val="00B521C6"/>
    <w:rsid w:val="00B522D1"/>
    <w:rsid w:val="00B52341"/>
    <w:rsid w:val="00B524FD"/>
    <w:rsid w:val="00B5254E"/>
    <w:rsid w:val="00B52752"/>
    <w:rsid w:val="00B527A7"/>
    <w:rsid w:val="00B52B0F"/>
    <w:rsid w:val="00B52E2F"/>
    <w:rsid w:val="00B52F91"/>
    <w:rsid w:val="00B53082"/>
    <w:rsid w:val="00B531D4"/>
    <w:rsid w:val="00B534A1"/>
    <w:rsid w:val="00B534B0"/>
    <w:rsid w:val="00B5356D"/>
    <w:rsid w:val="00B536C2"/>
    <w:rsid w:val="00B536F5"/>
    <w:rsid w:val="00B537EB"/>
    <w:rsid w:val="00B5480C"/>
    <w:rsid w:val="00B5506D"/>
    <w:rsid w:val="00B55109"/>
    <w:rsid w:val="00B55BF2"/>
    <w:rsid w:val="00B55D02"/>
    <w:rsid w:val="00B55E02"/>
    <w:rsid w:val="00B55E98"/>
    <w:rsid w:val="00B5605A"/>
    <w:rsid w:val="00B5611B"/>
    <w:rsid w:val="00B56470"/>
    <w:rsid w:val="00B565E0"/>
    <w:rsid w:val="00B565EB"/>
    <w:rsid w:val="00B567F4"/>
    <w:rsid w:val="00B56876"/>
    <w:rsid w:val="00B56E2F"/>
    <w:rsid w:val="00B574B2"/>
    <w:rsid w:val="00B57621"/>
    <w:rsid w:val="00B576DC"/>
    <w:rsid w:val="00B57A69"/>
    <w:rsid w:val="00B57C0C"/>
    <w:rsid w:val="00B57C87"/>
    <w:rsid w:val="00B57D78"/>
    <w:rsid w:val="00B57DFD"/>
    <w:rsid w:val="00B57E09"/>
    <w:rsid w:val="00B57EB3"/>
    <w:rsid w:val="00B60043"/>
    <w:rsid w:val="00B60263"/>
    <w:rsid w:val="00B605ED"/>
    <w:rsid w:val="00B609B6"/>
    <w:rsid w:val="00B60A89"/>
    <w:rsid w:val="00B60AED"/>
    <w:rsid w:val="00B61511"/>
    <w:rsid w:val="00B616AF"/>
    <w:rsid w:val="00B616B6"/>
    <w:rsid w:val="00B61F0F"/>
    <w:rsid w:val="00B624A7"/>
    <w:rsid w:val="00B62773"/>
    <w:rsid w:val="00B627F4"/>
    <w:rsid w:val="00B62A04"/>
    <w:rsid w:val="00B62B90"/>
    <w:rsid w:val="00B630DF"/>
    <w:rsid w:val="00B63CAD"/>
    <w:rsid w:val="00B63CF3"/>
    <w:rsid w:val="00B63E85"/>
    <w:rsid w:val="00B63ED4"/>
    <w:rsid w:val="00B640BA"/>
    <w:rsid w:val="00B64247"/>
    <w:rsid w:val="00B64421"/>
    <w:rsid w:val="00B64775"/>
    <w:rsid w:val="00B6499A"/>
    <w:rsid w:val="00B64DC8"/>
    <w:rsid w:val="00B64DF4"/>
    <w:rsid w:val="00B64EA7"/>
    <w:rsid w:val="00B65302"/>
    <w:rsid w:val="00B653FC"/>
    <w:rsid w:val="00B6562C"/>
    <w:rsid w:val="00B6569B"/>
    <w:rsid w:val="00B65803"/>
    <w:rsid w:val="00B65BE5"/>
    <w:rsid w:val="00B65C2E"/>
    <w:rsid w:val="00B65E72"/>
    <w:rsid w:val="00B66179"/>
    <w:rsid w:val="00B662CE"/>
    <w:rsid w:val="00B665B5"/>
    <w:rsid w:val="00B66745"/>
    <w:rsid w:val="00B66A77"/>
    <w:rsid w:val="00B66BBE"/>
    <w:rsid w:val="00B66CE0"/>
    <w:rsid w:val="00B66E48"/>
    <w:rsid w:val="00B66F1B"/>
    <w:rsid w:val="00B67378"/>
    <w:rsid w:val="00B677B5"/>
    <w:rsid w:val="00B67894"/>
    <w:rsid w:val="00B67DFC"/>
    <w:rsid w:val="00B7024B"/>
    <w:rsid w:val="00B70318"/>
    <w:rsid w:val="00B703EE"/>
    <w:rsid w:val="00B704D7"/>
    <w:rsid w:val="00B70738"/>
    <w:rsid w:val="00B70B67"/>
    <w:rsid w:val="00B70B9E"/>
    <w:rsid w:val="00B70D3E"/>
    <w:rsid w:val="00B70ED9"/>
    <w:rsid w:val="00B70FA2"/>
    <w:rsid w:val="00B7109F"/>
    <w:rsid w:val="00B7114F"/>
    <w:rsid w:val="00B712A5"/>
    <w:rsid w:val="00B7133E"/>
    <w:rsid w:val="00B71743"/>
    <w:rsid w:val="00B71A11"/>
    <w:rsid w:val="00B71E36"/>
    <w:rsid w:val="00B71F99"/>
    <w:rsid w:val="00B724AA"/>
    <w:rsid w:val="00B724DD"/>
    <w:rsid w:val="00B724DF"/>
    <w:rsid w:val="00B72955"/>
    <w:rsid w:val="00B729A4"/>
    <w:rsid w:val="00B73402"/>
    <w:rsid w:val="00B734AB"/>
    <w:rsid w:val="00B737C7"/>
    <w:rsid w:val="00B739B4"/>
    <w:rsid w:val="00B73C79"/>
    <w:rsid w:val="00B73CBB"/>
    <w:rsid w:val="00B73DA0"/>
    <w:rsid w:val="00B74598"/>
    <w:rsid w:val="00B74786"/>
    <w:rsid w:val="00B7520B"/>
    <w:rsid w:val="00B752C0"/>
    <w:rsid w:val="00B75964"/>
    <w:rsid w:val="00B75AF2"/>
    <w:rsid w:val="00B75B53"/>
    <w:rsid w:val="00B75F2F"/>
    <w:rsid w:val="00B7614F"/>
    <w:rsid w:val="00B76812"/>
    <w:rsid w:val="00B7681B"/>
    <w:rsid w:val="00B7685F"/>
    <w:rsid w:val="00B76A1A"/>
    <w:rsid w:val="00B76AFF"/>
    <w:rsid w:val="00B76BFC"/>
    <w:rsid w:val="00B76E66"/>
    <w:rsid w:val="00B771F1"/>
    <w:rsid w:val="00B7749E"/>
    <w:rsid w:val="00B77663"/>
    <w:rsid w:val="00B77AEB"/>
    <w:rsid w:val="00B77B2C"/>
    <w:rsid w:val="00B77B6E"/>
    <w:rsid w:val="00B77CE3"/>
    <w:rsid w:val="00B77E96"/>
    <w:rsid w:val="00B80703"/>
    <w:rsid w:val="00B808E5"/>
    <w:rsid w:val="00B80C26"/>
    <w:rsid w:val="00B80D23"/>
    <w:rsid w:val="00B80D2C"/>
    <w:rsid w:val="00B80DB7"/>
    <w:rsid w:val="00B80FAD"/>
    <w:rsid w:val="00B81176"/>
    <w:rsid w:val="00B811F4"/>
    <w:rsid w:val="00B81264"/>
    <w:rsid w:val="00B814CC"/>
    <w:rsid w:val="00B81834"/>
    <w:rsid w:val="00B81897"/>
    <w:rsid w:val="00B81B70"/>
    <w:rsid w:val="00B81C8B"/>
    <w:rsid w:val="00B82395"/>
    <w:rsid w:val="00B823E0"/>
    <w:rsid w:val="00B8246D"/>
    <w:rsid w:val="00B82637"/>
    <w:rsid w:val="00B826DC"/>
    <w:rsid w:val="00B82747"/>
    <w:rsid w:val="00B827CE"/>
    <w:rsid w:val="00B827F7"/>
    <w:rsid w:val="00B82AB9"/>
    <w:rsid w:val="00B82D99"/>
    <w:rsid w:val="00B82FC7"/>
    <w:rsid w:val="00B82FD3"/>
    <w:rsid w:val="00B832A4"/>
    <w:rsid w:val="00B83328"/>
    <w:rsid w:val="00B838FA"/>
    <w:rsid w:val="00B83900"/>
    <w:rsid w:val="00B8395C"/>
    <w:rsid w:val="00B83B18"/>
    <w:rsid w:val="00B83D58"/>
    <w:rsid w:val="00B83ED5"/>
    <w:rsid w:val="00B83EF1"/>
    <w:rsid w:val="00B84036"/>
    <w:rsid w:val="00B84121"/>
    <w:rsid w:val="00B843D7"/>
    <w:rsid w:val="00B84B16"/>
    <w:rsid w:val="00B8509E"/>
    <w:rsid w:val="00B853EA"/>
    <w:rsid w:val="00B85497"/>
    <w:rsid w:val="00B85562"/>
    <w:rsid w:val="00B8579A"/>
    <w:rsid w:val="00B85954"/>
    <w:rsid w:val="00B85EAF"/>
    <w:rsid w:val="00B85F27"/>
    <w:rsid w:val="00B85FBC"/>
    <w:rsid w:val="00B86195"/>
    <w:rsid w:val="00B8643E"/>
    <w:rsid w:val="00B8657A"/>
    <w:rsid w:val="00B86978"/>
    <w:rsid w:val="00B86A55"/>
    <w:rsid w:val="00B86C87"/>
    <w:rsid w:val="00B86D1D"/>
    <w:rsid w:val="00B86F24"/>
    <w:rsid w:val="00B8700A"/>
    <w:rsid w:val="00B871C4"/>
    <w:rsid w:val="00B871F0"/>
    <w:rsid w:val="00B87373"/>
    <w:rsid w:val="00B87723"/>
    <w:rsid w:val="00B87816"/>
    <w:rsid w:val="00B8792B"/>
    <w:rsid w:val="00B87945"/>
    <w:rsid w:val="00B87A56"/>
    <w:rsid w:val="00B90785"/>
    <w:rsid w:val="00B9095A"/>
    <w:rsid w:val="00B90ADB"/>
    <w:rsid w:val="00B90C12"/>
    <w:rsid w:val="00B90E3E"/>
    <w:rsid w:val="00B9163E"/>
    <w:rsid w:val="00B91719"/>
    <w:rsid w:val="00B91738"/>
    <w:rsid w:val="00B91739"/>
    <w:rsid w:val="00B91928"/>
    <w:rsid w:val="00B919A7"/>
    <w:rsid w:val="00B91E30"/>
    <w:rsid w:val="00B92017"/>
    <w:rsid w:val="00B9206B"/>
    <w:rsid w:val="00B92441"/>
    <w:rsid w:val="00B924E8"/>
    <w:rsid w:val="00B925D2"/>
    <w:rsid w:val="00B9271A"/>
    <w:rsid w:val="00B9295E"/>
    <w:rsid w:val="00B92F07"/>
    <w:rsid w:val="00B92FFF"/>
    <w:rsid w:val="00B930E3"/>
    <w:rsid w:val="00B9315C"/>
    <w:rsid w:val="00B931DB"/>
    <w:rsid w:val="00B93330"/>
    <w:rsid w:val="00B93B88"/>
    <w:rsid w:val="00B93C23"/>
    <w:rsid w:val="00B93CD8"/>
    <w:rsid w:val="00B93D8E"/>
    <w:rsid w:val="00B93F35"/>
    <w:rsid w:val="00B94059"/>
    <w:rsid w:val="00B940DC"/>
    <w:rsid w:val="00B944DD"/>
    <w:rsid w:val="00B94621"/>
    <w:rsid w:val="00B94622"/>
    <w:rsid w:val="00B94BAF"/>
    <w:rsid w:val="00B95055"/>
    <w:rsid w:val="00B9553E"/>
    <w:rsid w:val="00B95589"/>
    <w:rsid w:val="00B955F0"/>
    <w:rsid w:val="00B95777"/>
    <w:rsid w:val="00B95D13"/>
    <w:rsid w:val="00B95E07"/>
    <w:rsid w:val="00B96041"/>
    <w:rsid w:val="00B9616D"/>
    <w:rsid w:val="00B962FA"/>
    <w:rsid w:val="00B963AB"/>
    <w:rsid w:val="00B96A11"/>
    <w:rsid w:val="00B96AAD"/>
    <w:rsid w:val="00B96B72"/>
    <w:rsid w:val="00B96C79"/>
    <w:rsid w:val="00B96D66"/>
    <w:rsid w:val="00B96DA2"/>
    <w:rsid w:val="00B96EC4"/>
    <w:rsid w:val="00B9714C"/>
    <w:rsid w:val="00B9721B"/>
    <w:rsid w:val="00B976EC"/>
    <w:rsid w:val="00B978A3"/>
    <w:rsid w:val="00B978C8"/>
    <w:rsid w:val="00B979B5"/>
    <w:rsid w:val="00B979C0"/>
    <w:rsid w:val="00B97F27"/>
    <w:rsid w:val="00B97FC0"/>
    <w:rsid w:val="00BA00E4"/>
    <w:rsid w:val="00BA0681"/>
    <w:rsid w:val="00BA06CC"/>
    <w:rsid w:val="00BA0802"/>
    <w:rsid w:val="00BA097F"/>
    <w:rsid w:val="00BA0AD1"/>
    <w:rsid w:val="00BA0C82"/>
    <w:rsid w:val="00BA0E8C"/>
    <w:rsid w:val="00BA0F88"/>
    <w:rsid w:val="00BA12D4"/>
    <w:rsid w:val="00BA1347"/>
    <w:rsid w:val="00BA17ED"/>
    <w:rsid w:val="00BA1873"/>
    <w:rsid w:val="00BA1C37"/>
    <w:rsid w:val="00BA1CEC"/>
    <w:rsid w:val="00BA1F31"/>
    <w:rsid w:val="00BA2197"/>
    <w:rsid w:val="00BA2582"/>
    <w:rsid w:val="00BA2BEE"/>
    <w:rsid w:val="00BA2CB8"/>
    <w:rsid w:val="00BA2CC4"/>
    <w:rsid w:val="00BA2D84"/>
    <w:rsid w:val="00BA2E5F"/>
    <w:rsid w:val="00BA3418"/>
    <w:rsid w:val="00BA35E8"/>
    <w:rsid w:val="00BA365A"/>
    <w:rsid w:val="00BA381C"/>
    <w:rsid w:val="00BA3867"/>
    <w:rsid w:val="00BA3D0B"/>
    <w:rsid w:val="00BA3D6B"/>
    <w:rsid w:val="00BA4103"/>
    <w:rsid w:val="00BA4132"/>
    <w:rsid w:val="00BA41D5"/>
    <w:rsid w:val="00BA443D"/>
    <w:rsid w:val="00BA4967"/>
    <w:rsid w:val="00BA4CE7"/>
    <w:rsid w:val="00BA4E84"/>
    <w:rsid w:val="00BA50F7"/>
    <w:rsid w:val="00BA52FC"/>
    <w:rsid w:val="00BA54B0"/>
    <w:rsid w:val="00BA5A84"/>
    <w:rsid w:val="00BA5A9A"/>
    <w:rsid w:val="00BA5C2B"/>
    <w:rsid w:val="00BA5C9E"/>
    <w:rsid w:val="00BA62BB"/>
    <w:rsid w:val="00BA650C"/>
    <w:rsid w:val="00BA65E7"/>
    <w:rsid w:val="00BA6B1F"/>
    <w:rsid w:val="00BA6B80"/>
    <w:rsid w:val="00BA6E01"/>
    <w:rsid w:val="00BA70B8"/>
    <w:rsid w:val="00BA7376"/>
    <w:rsid w:val="00BA74A7"/>
    <w:rsid w:val="00BA74E9"/>
    <w:rsid w:val="00BA786F"/>
    <w:rsid w:val="00BA78CD"/>
    <w:rsid w:val="00BA78E8"/>
    <w:rsid w:val="00BA7E91"/>
    <w:rsid w:val="00BA7F60"/>
    <w:rsid w:val="00BB00F9"/>
    <w:rsid w:val="00BB017E"/>
    <w:rsid w:val="00BB06A6"/>
    <w:rsid w:val="00BB06E0"/>
    <w:rsid w:val="00BB08DA"/>
    <w:rsid w:val="00BB09D6"/>
    <w:rsid w:val="00BB0CBD"/>
    <w:rsid w:val="00BB0D3F"/>
    <w:rsid w:val="00BB0F41"/>
    <w:rsid w:val="00BB0F92"/>
    <w:rsid w:val="00BB0F96"/>
    <w:rsid w:val="00BB1139"/>
    <w:rsid w:val="00BB1440"/>
    <w:rsid w:val="00BB160D"/>
    <w:rsid w:val="00BB1CF4"/>
    <w:rsid w:val="00BB1D90"/>
    <w:rsid w:val="00BB1EB8"/>
    <w:rsid w:val="00BB1F79"/>
    <w:rsid w:val="00BB2014"/>
    <w:rsid w:val="00BB27A7"/>
    <w:rsid w:val="00BB29AF"/>
    <w:rsid w:val="00BB2AA8"/>
    <w:rsid w:val="00BB2F12"/>
    <w:rsid w:val="00BB353D"/>
    <w:rsid w:val="00BB37B6"/>
    <w:rsid w:val="00BB3A7A"/>
    <w:rsid w:val="00BB3E80"/>
    <w:rsid w:val="00BB4064"/>
    <w:rsid w:val="00BB4281"/>
    <w:rsid w:val="00BB42C1"/>
    <w:rsid w:val="00BB454E"/>
    <w:rsid w:val="00BB49C0"/>
    <w:rsid w:val="00BB4E41"/>
    <w:rsid w:val="00BB5202"/>
    <w:rsid w:val="00BB5478"/>
    <w:rsid w:val="00BB5641"/>
    <w:rsid w:val="00BB5818"/>
    <w:rsid w:val="00BB5A5E"/>
    <w:rsid w:val="00BB5DB8"/>
    <w:rsid w:val="00BB5E8D"/>
    <w:rsid w:val="00BB648D"/>
    <w:rsid w:val="00BB6640"/>
    <w:rsid w:val="00BB67CF"/>
    <w:rsid w:val="00BB6A1F"/>
    <w:rsid w:val="00BB7221"/>
    <w:rsid w:val="00BB79C6"/>
    <w:rsid w:val="00BB7AC3"/>
    <w:rsid w:val="00BB7EAC"/>
    <w:rsid w:val="00BC0073"/>
    <w:rsid w:val="00BC0141"/>
    <w:rsid w:val="00BC02CB"/>
    <w:rsid w:val="00BC0322"/>
    <w:rsid w:val="00BC0440"/>
    <w:rsid w:val="00BC0FDD"/>
    <w:rsid w:val="00BC1213"/>
    <w:rsid w:val="00BC1867"/>
    <w:rsid w:val="00BC1A51"/>
    <w:rsid w:val="00BC1F96"/>
    <w:rsid w:val="00BC21FA"/>
    <w:rsid w:val="00BC2B85"/>
    <w:rsid w:val="00BC2B8F"/>
    <w:rsid w:val="00BC2CB1"/>
    <w:rsid w:val="00BC2D56"/>
    <w:rsid w:val="00BC31D5"/>
    <w:rsid w:val="00BC33A2"/>
    <w:rsid w:val="00BC3625"/>
    <w:rsid w:val="00BC366E"/>
    <w:rsid w:val="00BC36F1"/>
    <w:rsid w:val="00BC3714"/>
    <w:rsid w:val="00BC3793"/>
    <w:rsid w:val="00BC3878"/>
    <w:rsid w:val="00BC38F2"/>
    <w:rsid w:val="00BC392A"/>
    <w:rsid w:val="00BC3D02"/>
    <w:rsid w:val="00BC3EEA"/>
    <w:rsid w:val="00BC3FE1"/>
    <w:rsid w:val="00BC4388"/>
    <w:rsid w:val="00BC4529"/>
    <w:rsid w:val="00BC4E64"/>
    <w:rsid w:val="00BC4E82"/>
    <w:rsid w:val="00BC5402"/>
    <w:rsid w:val="00BC5B32"/>
    <w:rsid w:val="00BC5D23"/>
    <w:rsid w:val="00BC5D28"/>
    <w:rsid w:val="00BC5E6C"/>
    <w:rsid w:val="00BC5F2C"/>
    <w:rsid w:val="00BC5F68"/>
    <w:rsid w:val="00BC5FB5"/>
    <w:rsid w:val="00BC6141"/>
    <w:rsid w:val="00BC6257"/>
    <w:rsid w:val="00BC67E6"/>
    <w:rsid w:val="00BC68BF"/>
    <w:rsid w:val="00BC6ADC"/>
    <w:rsid w:val="00BC6B23"/>
    <w:rsid w:val="00BC6B40"/>
    <w:rsid w:val="00BC6DF0"/>
    <w:rsid w:val="00BC6EB1"/>
    <w:rsid w:val="00BC7343"/>
    <w:rsid w:val="00BC7953"/>
    <w:rsid w:val="00BC7A59"/>
    <w:rsid w:val="00BC7DB6"/>
    <w:rsid w:val="00BD005E"/>
    <w:rsid w:val="00BD010C"/>
    <w:rsid w:val="00BD05B8"/>
    <w:rsid w:val="00BD082B"/>
    <w:rsid w:val="00BD084F"/>
    <w:rsid w:val="00BD09D7"/>
    <w:rsid w:val="00BD0A1A"/>
    <w:rsid w:val="00BD0EC8"/>
    <w:rsid w:val="00BD1111"/>
    <w:rsid w:val="00BD1117"/>
    <w:rsid w:val="00BD1672"/>
    <w:rsid w:val="00BD16EB"/>
    <w:rsid w:val="00BD1AEE"/>
    <w:rsid w:val="00BD1AF3"/>
    <w:rsid w:val="00BD1B65"/>
    <w:rsid w:val="00BD1BAA"/>
    <w:rsid w:val="00BD1CC1"/>
    <w:rsid w:val="00BD21F2"/>
    <w:rsid w:val="00BD230D"/>
    <w:rsid w:val="00BD24D1"/>
    <w:rsid w:val="00BD2610"/>
    <w:rsid w:val="00BD281A"/>
    <w:rsid w:val="00BD2B10"/>
    <w:rsid w:val="00BD2E51"/>
    <w:rsid w:val="00BD3047"/>
    <w:rsid w:val="00BD30F4"/>
    <w:rsid w:val="00BD34EC"/>
    <w:rsid w:val="00BD3525"/>
    <w:rsid w:val="00BD3557"/>
    <w:rsid w:val="00BD3661"/>
    <w:rsid w:val="00BD39BF"/>
    <w:rsid w:val="00BD3D62"/>
    <w:rsid w:val="00BD416E"/>
    <w:rsid w:val="00BD43BE"/>
    <w:rsid w:val="00BD46F9"/>
    <w:rsid w:val="00BD4970"/>
    <w:rsid w:val="00BD4A6D"/>
    <w:rsid w:val="00BD4AB8"/>
    <w:rsid w:val="00BD4D23"/>
    <w:rsid w:val="00BD4DAC"/>
    <w:rsid w:val="00BD4E17"/>
    <w:rsid w:val="00BD502F"/>
    <w:rsid w:val="00BD50EB"/>
    <w:rsid w:val="00BD542F"/>
    <w:rsid w:val="00BD5600"/>
    <w:rsid w:val="00BD57B3"/>
    <w:rsid w:val="00BD5B0F"/>
    <w:rsid w:val="00BD5C5E"/>
    <w:rsid w:val="00BD5ED5"/>
    <w:rsid w:val="00BD5FD1"/>
    <w:rsid w:val="00BD63C3"/>
    <w:rsid w:val="00BD6568"/>
    <w:rsid w:val="00BD66C7"/>
    <w:rsid w:val="00BD6804"/>
    <w:rsid w:val="00BD6814"/>
    <w:rsid w:val="00BD6A9A"/>
    <w:rsid w:val="00BD6EA9"/>
    <w:rsid w:val="00BD6F23"/>
    <w:rsid w:val="00BD7020"/>
    <w:rsid w:val="00BD717A"/>
    <w:rsid w:val="00BD7199"/>
    <w:rsid w:val="00BD73DD"/>
    <w:rsid w:val="00BD7799"/>
    <w:rsid w:val="00BD77E1"/>
    <w:rsid w:val="00BD7801"/>
    <w:rsid w:val="00BD7933"/>
    <w:rsid w:val="00BD7BA6"/>
    <w:rsid w:val="00BD7E84"/>
    <w:rsid w:val="00BD7F8C"/>
    <w:rsid w:val="00BE0540"/>
    <w:rsid w:val="00BE070B"/>
    <w:rsid w:val="00BE117F"/>
    <w:rsid w:val="00BE11AB"/>
    <w:rsid w:val="00BE150A"/>
    <w:rsid w:val="00BE15F6"/>
    <w:rsid w:val="00BE16B2"/>
    <w:rsid w:val="00BE16EC"/>
    <w:rsid w:val="00BE1CAE"/>
    <w:rsid w:val="00BE1DA9"/>
    <w:rsid w:val="00BE1F8D"/>
    <w:rsid w:val="00BE232C"/>
    <w:rsid w:val="00BE25A9"/>
    <w:rsid w:val="00BE25FB"/>
    <w:rsid w:val="00BE2727"/>
    <w:rsid w:val="00BE2A8B"/>
    <w:rsid w:val="00BE2C7A"/>
    <w:rsid w:val="00BE307E"/>
    <w:rsid w:val="00BE3239"/>
    <w:rsid w:val="00BE33AE"/>
    <w:rsid w:val="00BE3636"/>
    <w:rsid w:val="00BE396F"/>
    <w:rsid w:val="00BE3EA3"/>
    <w:rsid w:val="00BE3EAE"/>
    <w:rsid w:val="00BE4206"/>
    <w:rsid w:val="00BE4303"/>
    <w:rsid w:val="00BE432B"/>
    <w:rsid w:val="00BE497E"/>
    <w:rsid w:val="00BE4FE4"/>
    <w:rsid w:val="00BE509A"/>
    <w:rsid w:val="00BE52AE"/>
    <w:rsid w:val="00BE5373"/>
    <w:rsid w:val="00BE5685"/>
    <w:rsid w:val="00BE59CD"/>
    <w:rsid w:val="00BE5BB1"/>
    <w:rsid w:val="00BE5FFC"/>
    <w:rsid w:val="00BE61AA"/>
    <w:rsid w:val="00BE69AA"/>
    <w:rsid w:val="00BE6C19"/>
    <w:rsid w:val="00BE6CEE"/>
    <w:rsid w:val="00BE6D19"/>
    <w:rsid w:val="00BE751E"/>
    <w:rsid w:val="00BE7565"/>
    <w:rsid w:val="00BE7777"/>
    <w:rsid w:val="00BE7A5B"/>
    <w:rsid w:val="00BE7F97"/>
    <w:rsid w:val="00BF0417"/>
    <w:rsid w:val="00BF0464"/>
    <w:rsid w:val="00BF0545"/>
    <w:rsid w:val="00BF0F4A"/>
    <w:rsid w:val="00BF108B"/>
    <w:rsid w:val="00BF1091"/>
    <w:rsid w:val="00BF11CB"/>
    <w:rsid w:val="00BF11D8"/>
    <w:rsid w:val="00BF1642"/>
    <w:rsid w:val="00BF18FA"/>
    <w:rsid w:val="00BF1AA4"/>
    <w:rsid w:val="00BF1B61"/>
    <w:rsid w:val="00BF1C28"/>
    <w:rsid w:val="00BF1F53"/>
    <w:rsid w:val="00BF1FC3"/>
    <w:rsid w:val="00BF2173"/>
    <w:rsid w:val="00BF2565"/>
    <w:rsid w:val="00BF28E0"/>
    <w:rsid w:val="00BF30F8"/>
    <w:rsid w:val="00BF3665"/>
    <w:rsid w:val="00BF39FE"/>
    <w:rsid w:val="00BF3A03"/>
    <w:rsid w:val="00BF3DC7"/>
    <w:rsid w:val="00BF3EDD"/>
    <w:rsid w:val="00BF3F47"/>
    <w:rsid w:val="00BF4017"/>
    <w:rsid w:val="00BF418A"/>
    <w:rsid w:val="00BF46EA"/>
    <w:rsid w:val="00BF4B2C"/>
    <w:rsid w:val="00BF4D3C"/>
    <w:rsid w:val="00BF52C0"/>
    <w:rsid w:val="00BF5551"/>
    <w:rsid w:val="00BF5704"/>
    <w:rsid w:val="00BF5708"/>
    <w:rsid w:val="00BF5B2D"/>
    <w:rsid w:val="00BF5C3A"/>
    <w:rsid w:val="00BF5C98"/>
    <w:rsid w:val="00BF6011"/>
    <w:rsid w:val="00BF6054"/>
    <w:rsid w:val="00BF632F"/>
    <w:rsid w:val="00BF650F"/>
    <w:rsid w:val="00BF672B"/>
    <w:rsid w:val="00BF690C"/>
    <w:rsid w:val="00BF6B0B"/>
    <w:rsid w:val="00BF6B6F"/>
    <w:rsid w:val="00BF6DC5"/>
    <w:rsid w:val="00BF6E3B"/>
    <w:rsid w:val="00BF6E8B"/>
    <w:rsid w:val="00BF6ECE"/>
    <w:rsid w:val="00BF72F7"/>
    <w:rsid w:val="00BF736A"/>
    <w:rsid w:val="00BF7BAA"/>
    <w:rsid w:val="00C00195"/>
    <w:rsid w:val="00C002AA"/>
    <w:rsid w:val="00C004CB"/>
    <w:rsid w:val="00C0109F"/>
    <w:rsid w:val="00C01216"/>
    <w:rsid w:val="00C013BC"/>
    <w:rsid w:val="00C01497"/>
    <w:rsid w:val="00C0186F"/>
    <w:rsid w:val="00C01909"/>
    <w:rsid w:val="00C01D08"/>
    <w:rsid w:val="00C01D75"/>
    <w:rsid w:val="00C01D84"/>
    <w:rsid w:val="00C0209D"/>
    <w:rsid w:val="00C02577"/>
    <w:rsid w:val="00C02C53"/>
    <w:rsid w:val="00C033D8"/>
    <w:rsid w:val="00C033E4"/>
    <w:rsid w:val="00C03446"/>
    <w:rsid w:val="00C03684"/>
    <w:rsid w:val="00C038A1"/>
    <w:rsid w:val="00C039DD"/>
    <w:rsid w:val="00C03BA3"/>
    <w:rsid w:val="00C03CB5"/>
    <w:rsid w:val="00C03D18"/>
    <w:rsid w:val="00C040FB"/>
    <w:rsid w:val="00C043C0"/>
    <w:rsid w:val="00C047C3"/>
    <w:rsid w:val="00C04967"/>
    <w:rsid w:val="00C04B0A"/>
    <w:rsid w:val="00C04ED5"/>
    <w:rsid w:val="00C04EF8"/>
    <w:rsid w:val="00C05083"/>
    <w:rsid w:val="00C050F7"/>
    <w:rsid w:val="00C05117"/>
    <w:rsid w:val="00C0524D"/>
    <w:rsid w:val="00C052B5"/>
    <w:rsid w:val="00C052F3"/>
    <w:rsid w:val="00C05317"/>
    <w:rsid w:val="00C05466"/>
    <w:rsid w:val="00C055A3"/>
    <w:rsid w:val="00C056AF"/>
    <w:rsid w:val="00C056DF"/>
    <w:rsid w:val="00C05BA4"/>
    <w:rsid w:val="00C05C31"/>
    <w:rsid w:val="00C05CA2"/>
    <w:rsid w:val="00C05CCF"/>
    <w:rsid w:val="00C05D81"/>
    <w:rsid w:val="00C05D8B"/>
    <w:rsid w:val="00C06002"/>
    <w:rsid w:val="00C06192"/>
    <w:rsid w:val="00C063B6"/>
    <w:rsid w:val="00C06733"/>
    <w:rsid w:val="00C067A3"/>
    <w:rsid w:val="00C06AD9"/>
    <w:rsid w:val="00C06C3E"/>
    <w:rsid w:val="00C06F1D"/>
    <w:rsid w:val="00C06F2F"/>
    <w:rsid w:val="00C06FDE"/>
    <w:rsid w:val="00C07001"/>
    <w:rsid w:val="00C0728D"/>
    <w:rsid w:val="00C07981"/>
    <w:rsid w:val="00C079E7"/>
    <w:rsid w:val="00C07AB4"/>
    <w:rsid w:val="00C07CE2"/>
    <w:rsid w:val="00C07D1E"/>
    <w:rsid w:val="00C07D24"/>
    <w:rsid w:val="00C07D43"/>
    <w:rsid w:val="00C07D71"/>
    <w:rsid w:val="00C07F4C"/>
    <w:rsid w:val="00C07F82"/>
    <w:rsid w:val="00C10077"/>
    <w:rsid w:val="00C1019F"/>
    <w:rsid w:val="00C106B6"/>
    <w:rsid w:val="00C106B9"/>
    <w:rsid w:val="00C10753"/>
    <w:rsid w:val="00C1091C"/>
    <w:rsid w:val="00C10F75"/>
    <w:rsid w:val="00C111B0"/>
    <w:rsid w:val="00C1135E"/>
    <w:rsid w:val="00C11452"/>
    <w:rsid w:val="00C11737"/>
    <w:rsid w:val="00C11772"/>
    <w:rsid w:val="00C11822"/>
    <w:rsid w:val="00C11B5C"/>
    <w:rsid w:val="00C11BA1"/>
    <w:rsid w:val="00C11BB5"/>
    <w:rsid w:val="00C11C90"/>
    <w:rsid w:val="00C125C6"/>
    <w:rsid w:val="00C12CB5"/>
    <w:rsid w:val="00C12E87"/>
    <w:rsid w:val="00C12EE7"/>
    <w:rsid w:val="00C12FFC"/>
    <w:rsid w:val="00C130DF"/>
    <w:rsid w:val="00C13274"/>
    <w:rsid w:val="00C13571"/>
    <w:rsid w:val="00C13627"/>
    <w:rsid w:val="00C1364E"/>
    <w:rsid w:val="00C13A44"/>
    <w:rsid w:val="00C13AF3"/>
    <w:rsid w:val="00C13F7C"/>
    <w:rsid w:val="00C14A84"/>
    <w:rsid w:val="00C14B22"/>
    <w:rsid w:val="00C14EE6"/>
    <w:rsid w:val="00C14F19"/>
    <w:rsid w:val="00C150C2"/>
    <w:rsid w:val="00C15156"/>
    <w:rsid w:val="00C15520"/>
    <w:rsid w:val="00C15A10"/>
    <w:rsid w:val="00C15A1B"/>
    <w:rsid w:val="00C15A1D"/>
    <w:rsid w:val="00C15AE0"/>
    <w:rsid w:val="00C15BFA"/>
    <w:rsid w:val="00C15DAD"/>
    <w:rsid w:val="00C15F02"/>
    <w:rsid w:val="00C15FA3"/>
    <w:rsid w:val="00C160B5"/>
    <w:rsid w:val="00C161D0"/>
    <w:rsid w:val="00C1622F"/>
    <w:rsid w:val="00C165FF"/>
    <w:rsid w:val="00C16DA4"/>
    <w:rsid w:val="00C17414"/>
    <w:rsid w:val="00C17437"/>
    <w:rsid w:val="00C1756D"/>
    <w:rsid w:val="00C176EC"/>
    <w:rsid w:val="00C17700"/>
    <w:rsid w:val="00C177E7"/>
    <w:rsid w:val="00C179AC"/>
    <w:rsid w:val="00C17A2D"/>
    <w:rsid w:val="00C17BA8"/>
    <w:rsid w:val="00C17BE2"/>
    <w:rsid w:val="00C17C29"/>
    <w:rsid w:val="00C17C47"/>
    <w:rsid w:val="00C17E5E"/>
    <w:rsid w:val="00C17EAF"/>
    <w:rsid w:val="00C208F0"/>
    <w:rsid w:val="00C20B80"/>
    <w:rsid w:val="00C20CF5"/>
    <w:rsid w:val="00C20D22"/>
    <w:rsid w:val="00C20FA5"/>
    <w:rsid w:val="00C21377"/>
    <w:rsid w:val="00C21462"/>
    <w:rsid w:val="00C21523"/>
    <w:rsid w:val="00C21917"/>
    <w:rsid w:val="00C2195D"/>
    <w:rsid w:val="00C21989"/>
    <w:rsid w:val="00C21D97"/>
    <w:rsid w:val="00C21DE1"/>
    <w:rsid w:val="00C21E5A"/>
    <w:rsid w:val="00C21F0C"/>
    <w:rsid w:val="00C2200E"/>
    <w:rsid w:val="00C22039"/>
    <w:rsid w:val="00C22065"/>
    <w:rsid w:val="00C220AC"/>
    <w:rsid w:val="00C223A4"/>
    <w:rsid w:val="00C22651"/>
    <w:rsid w:val="00C228E5"/>
    <w:rsid w:val="00C22A87"/>
    <w:rsid w:val="00C22B77"/>
    <w:rsid w:val="00C22C2A"/>
    <w:rsid w:val="00C22C4F"/>
    <w:rsid w:val="00C22F6C"/>
    <w:rsid w:val="00C22F87"/>
    <w:rsid w:val="00C230D9"/>
    <w:rsid w:val="00C23361"/>
    <w:rsid w:val="00C233DE"/>
    <w:rsid w:val="00C23668"/>
    <w:rsid w:val="00C238E8"/>
    <w:rsid w:val="00C23E7D"/>
    <w:rsid w:val="00C242EA"/>
    <w:rsid w:val="00C24322"/>
    <w:rsid w:val="00C246C3"/>
    <w:rsid w:val="00C24753"/>
    <w:rsid w:val="00C24835"/>
    <w:rsid w:val="00C24A76"/>
    <w:rsid w:val="00C24AC9"/>
    <w:rsid w:val="00C24BE1"/>
    <w:rsid w:val="00C24C82"/>
    <w:rsid w:val="00C2510B"/>
    <w:rsid w:val="00C252A8"/>
    <w:rsid w:val="00C255AD"/>
    <w:rsid w:val="00C2587E"/>
    <w:rsid w:val="00C258FE"/>
    <w:rsid w:val="00C25A22"/>
    <w:rsid w:val="00C25CDB"/>
    <w:rsid w:val="00C25CF9"/>
    <w:rsid w:val="00C25D41"/>
    <w:rsid w:val="00C25F63"/>
    <w:rsid w:val="00C25FAA"/>
    <w:rsid w:val="00C2601A"/>
    <w:rsid w:val="00C260C7"/>
    <w:rsid w:val="00C2614A"/>
    <w:rsid w:val="00C264D9"/>
    <w:rsid w:val="00C26590"/>
    <w:rsid w:val="00C267B7"/>
    <w:rsid w:val="00C26D58"/>
    <w:rsid w:val="00C26DA4"/>
    <w:rsid w:val="00C26E69"/>
    <w:rsid w:val="00C27057"/>
    <w:rsid w:val="00C272D0"/>
    <w:rsid w:val="00C27341"/>
    <w:rsid w:val="00C27433"/>
    <w:rsid w:val="00C27642"/>
    <w:rsid w:val="00C27643"/>
    <w:rsid w:val="00C27681"/>
    <w:rsid w:val="00C27820"/>
    <w:rsid w:val="00C27854"/>
    <w:rsid w:val="00C27980"/>
    <w:rsid w:val="00C27D17"/>
    <w:rsid w:val="00C27E18"/>
    <w:rsid w:val="00C27EC5"/>
    <w:rsid w:val="00C27F3D"/>
    <w:rsid w:val="00C303AF"/>
    <w:rsid w:val="00C30684"/>
    <w:rsid w:val="00C306FD"/>
    <w:rsid w:val="00C3078B"/>
    <w:rsid w:val="00C30958"/>
    <w:rsid w:val="00C30EA8"/>
    <w:rsid w:val="00C30F6D"/>
    <w:rsid w:val="00C30F73"/>
    <w:rsid w:val="00C31014"/>
    <w:rsid w:val="00C31073"/>
    <w:rsid w:val="00C3122E"/>
    <w:rsid w:val="00C313F4"/>
    <w:rsid w:val="00C3183C"/>
    <w:rsid w:val="00C31C2C"/>
    <w:rsid w:val="00C31D1C"/>
    <w:rsid w:val="00C31D50"/>
    <w:rsid w:val="00C32007"/>
    <w:rsid w:val="00C321FD"/>
    <w:rsid w:val="00C3230A"/>
    <w:rsid w:val="00C324EA"/>
    <w:rsid w:val="00C3256B"/>
    <w:rsid w:val="00C32F1F"/>
    <w:rsid w:val="00C32F6A"/>
    <w:rsid w:val="00C33420"/>
    <w:rsid w:val="00C3356C"/>
    <w:rsid w:val="00C339FD"/>
    <w:rsid w:val="00C33BC9"/>
    <w:rsid w:val="00C340C9"/>
    <w:rsid w:val="00C3474E"/>
    <w:rsid w:val="00C348D5"/>
    <w:rsid w:val="00C34C63"/>
    <w:rsid w:val="00C351A4"/>
    <w:rsid w:val="00C352A1"/>
    <w:rsid w:val="00C3534D"/>
    <w:rsid w:val="00C35408"/>
    <w:rsid w:val="00C356CD"/>
    <w:rsid w:val="00C3587D"/>
    <w:rsid w:val="00C35A0B"/>
    <w:rsid w:val="00C35D76"/>
    <w:rsid w:val="00C35EA2"/>
    <w:rsid w:val="00C35EB5"/>
    <w:rsid w:val="00C3609B"/>
    <w:rsid w:val="00C3616B"/>
    <w:rsid w:val="00C364FF"/>
    <w:rsid w:val="00C366C0"/>
    <w:rsid w:val="00C3681A"/>
    <w:rsid w:val="00C36C07"/>
    <w:rsid w:val="00C36E00"/>
    <w:rsid w:val="00C371E3"/>
    <w:rsid w:val="00C3745F"/>
    <w:rsid w:val="00C374F3"/>
    <w:rsid w:val="00C3752D"/>
    <w:rsid w:val="00C37552"/>
    <w:rsid w:val="00C37712"/>
    <w:rsid w:val="00C37870"/>
    <w:rsid w:val="00C3794A"/>
    <w:rsid w:val="00C37A02"/>
    <w:rsid w:val="00C37AC9"/>
    <w:rsid w:val="00C401EE"/>
    <w:rsid w:val="00C40367"/>
    <w:rsid w:val="00C406F3"/>
    <w:rsid w:val="00C4099C"/>
    <w:rsid w:val="00C40BC3"/>
    <w:rsid w:val="00C40BD7"/>
    <w:rsid w:val="00C40CF0"/>
    <w:rsid w:val="00C40D00"/>
    <w:rsid w:val="00C40E0D"/>
    <w:rsid w:val="00C40E17"/>
    <w:rsid w:val="00C40E66"/>
    <w:rsid w:val="00C41826"/>
    <w:rsid w:val="00C41CAE"/>
    <w:rsid w:val="00C41CF3"/>
    <w:rsid w:val="00C41F0E"/>
    <w:rsid w:val="00C4243F"/>
    <w:rsid w:val="00C425BA"/>
    <w:rsid w:val="00C428B4"/>
    <w:rsid w:val="00C42908"/>
    <w:rsid w:val="00C42AD7"/>
    <w:rsid w:val="00C42E15"/>
    <w:rsid w:val="00C432CC"/>
    <w:rsid w:val="00C437E4"/>
    <w:rsid w:val="00C43B57"/>
    <w:rsid w:val="00C43DD6"/>
    <w:rsid w:val="00C43E7D"/>
    <w:rsid w:val="00C43FE4"/>
    <w:rsid w:val="00C4450B"/>
    <w:rsid w:val="00C449A5"/>
    <w:rsid w:val="00C449D8"/>
    <w:rsid w:val="00C44CE0"/>
    <w:rsid w:val="00C44F09"/>
    <w:rsid w:val="00C44F0B"/>
    <w:rsid w:val="00C44F61"/>
    <w:rsid w:val="00C45330"/>
    <w:rsid w:val="00C4585B"/>
    <w:rsid w:val="00C45894"/>
    <w:rsid w:val="00C45D34"/>
    <w:rsid w:val="00C45F9F"/>
    <w:rsid w:val="00C45FCB"/>
    <w:rsid w:val="00C463FB"/>
    <w:rsid w:val="00C46417"/>
    <w:rsid w:val="00C46684"/>
    <w:rsid w:val="00C46808"/>
    <w:rsid w:val="00C468DF"/>
    <w:rsid w:val="00C46B31"/>
    <w:rsid w:val="00C46EF8"/>
    <w:rsid w:val="00C470E4"/>
    <w:rsid w:val="00C472E2"/>
    <w:rsid w:val="00C47609"/>
    <w:rsid w:val="00C476EE"/>
    <w:rsid w:val="00C47765"/>
    <w:rsid w:val="00C47789"/>
    <w:rsid w:val="00C4795B"/>
    <w:rsid w:val="00C47C0A"/>
    <w:rsid w:val="00C47E87"/>
    <w:rsid w:val="00C47EF8"/>
    <w:rsid w:val="00C47FE0"/>
    <w:rsid w:val="00C5004B"/>
    <w:rsid w:val="00C5007B"/>
    <w:rsid w:val="00C503C9"/>
    <w:rsid w:val="00C5062C"/>
    <w:rsid w:val="00C507EC"/>
    <w:rsid w:val="00C50E38"/>
    <w:rsid w:val="00C51104"/>
    <w:rsid w:val="00C515D6"/>
    <w:rsid w:val="00C51832"/>
    <w:rsid w:val="00C51882"/>
    <w:rsid w:val="00C51AA9"/>
    <w:rsid w:val="00C51AF8"/>
    <w:rsid w:val="00C5246B"/>
    <w:rsid w:val="00C525C6"/>
    <w:rsid w:val="00C525E6"/>
    <w:rsid w:val="00C5293B"/>
    <w:rsid w:val="00C5349D"/>
    <w:rsid w:val="00C53573"/>
    <w:rsid w:val="00C53731"/>
    <w:rsid w:val="00C53799"/>
    <w:rsid w:val="00C53829"/>
    <w:rsid w:val="00C53B4C"/>
    <w:rsid w:val="00C5402D"/>
    <w:rsid w:val="00C544A5"/>
    <w:rsid w:val="00C547B1"/>
    <w:rsid w:val="00C548A3"/>
    <w:rsid w:val="00C548A4"/>
    <w:rsid w:val="00C54CE4"/>
    <w:rsid w:val="00C54E01"/>
    <w:rsid w:val="00C54E30"/>
    <w:rsid w:val="00C5517B"/>
    <w:rsid w:val="00C551A3"/>
    <w:rsid w:val="00C556CF"/>
    <w:rsid w:val="00C5570F"/>
    <w:rsid w:val="00C55D44"/>
    <w:rsid w:val="00C565E1"/>
    <w:rsid w:val="00C568BE"/>
    <w:rsid w:val="00C5692B"/>
    <w:rsid w:val="00C56A8A"/>
    <w:rsid w:val="00C56CE9"/>
    <w:rsid w:val="00C56DC5"/>
    <w:rsid w:val="00C56E67"/>
    <w:rsid w:val="00C56F68"/>
    <w:rsid w:val="00C56FFB"/>
    <w:rsid w:val="00C5708E"/>
    <w:rsid w:val="00C57106"/>
    <w:rsid w:val="00C5729D"/>
    <w:rsid w:val="00C57ED2"/>
    <w:rsid w:val="00C6021E"/>
    <w:rsid w:val="00C602B7"/>
    <w:rsid w:val="00C6070A"/>
    <w:rsid w:val="00C6076A"/>
    <w:rsid w:val="00C607F6"/>
    <w:rsid w:val="00C608A7"/>
    <w:rsid w:val="00C60980"/>
    <w:rsid w:val="00C60E3D"/>
    <w:rsid w:val="00C61848"/>
    <w:rsid w:val="00C6186B"/>
    <w:rsid w:val="00C61AF1"/>
    <w:rsid w:val="00C61D68"/>
    <w:rsid w:val="00C61F22"/>
    <w:rsid w:val="00C61FFD"/>
    <w:rsid w:val="00C6217D"/>
    <w:rsid w:val="00C623A0"/>
    <w:rsid w:val="00C6257C"/>
    <w:rsid w:val="00C625B8"/>
    <w:rsid w:val="00C62DCF"/>
    <w:rsid w:val="00C62DE9"/>
    <w:rsid w:val="00C63064"/>
    <w:rsid w:val="00C631D1"/>
    <w:rsid w:val="00C63240"/>
    <w:rsid w:val="00C63274"/>
    <w:rsid w:val="00C6327B"/>
    <w:rsid w:val="00C63318"/>
    <w:rsid w:val="00C63492"/>
    <w:rsid w:val="00C6349A"/>
    <w:rsid w:val="00C63577"/>
    <w:rsid w:val="00C63622"/>
    <w:rsid w:val="00C636A6"/>
    <w:rsid w:val="00C63730"/>
    <w:rsid w:val="00C63B58"/>
    <w:rsid w:val="00C63DEF"/>
    <w:rsid w:val="00C63E55"/>
    <w:rsid w:val="00C63EC8"/>
    <w:rsid w:val="00C6443A"/>
    <w:rsid w:val="00C64570"/>
    <w:rsid w:val="00C645CE"/>
    <w:rsid w:val="00C64A5F"/>
    <w:rsid w:val="00C64F0F"/>
    <w:rsid w:val="00C64F2C"/>
    <w:rsid w:val="00C651D4"/>
    <w:rsid w:val="00C652E1"/>
    <w:rsid w:val="00C653A2"/>
    <w:rsid w:val="00C653EF"/>
    <w:rsid w:val="00C65443"/>
    <w:rsid w:val="00C655EE"/>
    <w:rsid w:val="00C657E6"/>
    <w:rsid w:val="00C65ACC"/>
    <w:rsid w:val="00C65C5D"/>
    <w:rsid w:val="00C661B5"/>
    <w:rsid w:val="00C661FD"/>
    <w:rsid w:val="00C664EA"/>
    <w:rsid w:val="00C66629"/>
    <w:rsid w:val="00C66786"/>
    <w:rsid w:val="00C668DD"/>
    <w:rsid w:val="00C66D0A"/>
    <w:rsid w:val="00C66F22"/>
    <w:rsid w:val="00C674A5"/>
    <w:rsid w:val="00C6759A"/>
    <w:rsid w:val="00C676D6"/>
    <w:rsid w:val="00C67700"/>
    <w:rsid w:val="00C67710"/>
    <w:rsid w:val="00C677ED"/>
    <w:rsid w:val="00C67FEF"/>
    <w:rsid w:val="00C702CE"/>
    <w:rsid w:val="00C70622"/>
    <w:rsid w:val="00C70631"/>
    <w:rsid w:val="00C70B39"/>
    <w:rsid w:val="00C70BDA"/>
    <w:rsid w:val="00C70CAD"/>
    <w:rsid w:val="00C70F98"/>
    <w:rsid w:val="00C713BE"/>
    <w:rsid w:val="00C7151E"/>
    <w:rsid w:val="00C7179F"/>
    <w:rsid w:val="00C71B9B"/>
    <w:rsid w:val="00C72036"/>
    <w:rsid w:val="00C72241"/>
    <w:rsid w:val="00C72444"/>
    <w:rsid w:val="00C724C7"/>
    <w:rsid w:val="00C7270A"/>
    <w:rsid w:val="00C727A6"/>
    <w:rsid w:val="00C72AC0"/>
    <w:rsid w:val="00C72ACE"/>
    <w:rsid w:val="00C72AE7"/>
    <w:rsid w:val="00C72FEB"/>
    <w:rsid w:val="00C730EC"/>
    <w:rsid w:val="00C73112"/>
    <w:rsid w:val="00C73199"/>
    <w:rsid w:val="00C7328F"/>
    <w:rsid w:val="00C73594"/>
    <w:rsid w:val="00C7361D"/>
    <w:rsid w:val="00C73A82"/>
    <w:rsid w:val="00C73A94"/>
    <w:rsid w:val="00C73D83"/>
    <w:rsid w:val="00C73F1B"/>
    <w:rsid w:val="00C73F2B"/>
    <w:rsid w:val="00C73F95"/>
    <w:rsid w:val="00C74095"/>
    <w:rsid w:val="00C745D5"/>
    <w:rsid w:val="00C747D8"/>
    <w:rsid w:val="00C749F9"/>
    <w:rsid w:val="00C74C44"/>
    <w:rsid w:val="00C74CF4"/>
    <w:rsid w:val="00C74DFF"/>
    <w:rsid w:val="00C74FC7"/>
    <w:rsid w:val="00C74FFE"/>
    <w:rsid w:val="00C75083"/>
    <w:rsid w:val="00C75428"/>
    <w:rsid w:val="00C755E9"/>
    <w:rsid w:val="00C75772"/>
    <w:rsid w:val="00C758C5"/>
    <w:rsid w:val="00C759BB"/>
    <w:rsid w:val="00C75CB4"/>
    <w:rsid w:val="00C75CC5"/>
    <w:rsid w:val="00C75CD2"/>
    <w:rsid w:val="00C76109"/>
    <w:rsid w:val="00C7677C"/>
    <w:rsid w:val="00C770AF"/>
    <w:rsid w:val="00C7787F"/>
    <w:rsid w:val="00C77C02"/>
    <w:rsid w:val="00C80070"/>
    <w:rsid w:val="00C802A2"/>
    <w:rsid w:val="00C80592"/>
    <w:rsid w:val="00C806B9"/>
    <w:rsid w:val="00C80729"/>
    <w:rsid w:val="00C808AC"/>
    <w:rsid w:val="00C80C77"/>
    <w:rsid w:val="00C80D37"/>
    <w:rsid w:val="00C80FB0"/>
    <w:rsid w:val="00C814CC"/>
    <w:rsid w:val="00C8155A"/>
    <w:rsid w:val="00C815BB"/>
    <w:rsid w:val="00C817F8"/>
    <w:rsid w:val="00C81A5B"/>
    <w:rsid w:val="00C81A92"/>
    <w:rsid w:val="00C81B98"/>
    <w:rsid w:val="00C81DA7"/>
    <w:rsid w:val="00C8206A"/>
    <w:rsid w:val="00C820BA"/>
    <w:rsid w:val="00C822E2"/>
    <w:rsid w:val="00C827B9"/>
    <w:rsid w:val="00C82EF6"/>
    <w:rsid w:val="00C8308B"/>
    <w:rsid w:val="00C8322C"/>
    <w:rsid w:val="00C83255"/>
    <w:rsid w:val="00C83401"/>
    <w:rsid w:val="00C8360B"/>
    <w:rsid w:val="00C837FA"/>
    <w:rsid w:val="00C83906"/>
    <w:rsid w:val="00C83BBF"/>
    <w:rsid w:val="00C83C0C"/>
    <w:rsid w:val="00C83DE9"/>
    <w:rsid w:val="00C84191"/>
    <w:rsid w:val="00C842F2"/>
    <w:rsid w:val="00C8443E"/>
    <w:rsid w:val="00C848BF"/>
    <w:rsid w:val="00C84A43"/>
    <w:rsid w:val="00C84B08"/>
    <w:rsid w:val="00C84D8D"/>
    <w:rsid w:val="00C855CF"/>
    <w:rsid w:val="00C858F7"/>
    <w:rsid w:val="00C8594B"/>
    <w:rsid w:val="00C85975"/>
    <w:rsid w:val="00C85C17"/>
    <w:rsid w:val="00C86118"/>
    <w:rsid w:val="00C86713"/>
    <w:rsid w:val="00C869D5"/>
    <w:rsid w:val="00C86B48"/>
    <w:rsid w:val="00C86CD5"/>
    <w:rsid w:val="00C87004"/>
    <w:rsid w:val="00C8744A"/>
    <w:rsid w:val="00C875ED"/>
    <w:rsid w:val="00C87622"/>
    <w:rsid w:val="00C8777D"/>
    <w:rsid w:val="00C87911"/>
    <w:rsid w:val="00C87A5C"/>
    <w:rsid w:val="00C87B8A"/>
    <w:rsid w:val="00C87DC8"/>
    <w:rsid w:val="00C87E4A"/>
    <w:rsid w:val="00C90028"/>
    <w:rsid w:val="00C90903"/>
    <w:rsid w:val="00C9099D"/>
    <w:rsid w:val="00C909A1"/>
    <w:rsid w:val="00C90F2F"/>
    <w:rsid w:val="00C91774"/>
    <w:rsid w:val="00C9190F"/>
    <w:rsid w:val="00C919BB"/>
    <w:rsid w:val="00C91C2B"/>
    <w:rsid w:val="00C91C3E"/>
    <w:rsid w:val="00C92259"/>
    <w:rsid w:val="00C92400"/>
    <w:rsid w:val="00C92A2B"/>
    <w:rsid w:val="00C92B0F"/>
    <w:rsid w:val="00C92DD7"/>
    <w:rsid w:val="00C931BE"/>
    <w:rsid w:val="00C93544"/>
    <w:rsid w:val="00C938ED"/>
    <w:rsid w:val="00C93CAF"/>
    <w:rsid w:val="00C944A5"/>
    <w:rsid w:val="00C94642"/>
    <w:rsid w:val="00C94735"/>
    <w:rsid w:val="00C95031"/>
    <w:rsid w:val="00C95082"/>
    <w:rsid w:val="00C95490"/>
    <w:rsid w:val="00C9575F"/>
    <w:rsid w:val="00C9576C"/>
    <w:rsid w:val="00C959AB"/>
    <w:rsid w:val="00C95A51"/>
    <w:rsid w:val="00C95B8E"/>
    <w:rsid w:val="00C95CAA"/>
    <w:rsid w:val="00C95D8C"/>
    <w:rsid w:val="00C961EE"/>
    <w:rsid w:val="00C9689E"/>
    <w:rsid w:val="00C96914"/>
    <w:rsid w:val="00C96978"/>
    <w:rsid w:val="00C9721C"/>
    <w:rsid w:val="00C9758E"/>
    <w:rsid w:val="00C97635"/>
    <w:rsid w:val="00C977AA"/>
    <w:rsid w:val="00C977F8"/>
    <w:rsid w:val="00C9788A"/>
    <w:rsid w:val="00C978C7"/>
    <w:rsid w:val="00C97919"/>
    <w:rsid w:val="00C97A57"/>
    <w:rsid w:val="00C97F37"/>
    <w:rsid w:val="00CA0176"/>
    <w:rsid w:val="00CA0315"/>
    <w:rsid w:val="00CA07CE"/>
    <w:rsid w:val="00CA08D5"/>
    <w:rsid w:val="00CA0DBF"/>
    <w:rsid w:val="00CA0F7D"/>
    <w:rsid w:val="00CA0FB1"/>
    <w:rsid w:val="00CA134E"/>
    <w:rsid w:val="00CA1380"/>
    <w:rsid w:val="00CA14C1"/>
    <w:rsid w:val="00CA1AC9"/>
    <w:rsid w:val="00CA1CB0"/>
    <w:rsid w:val="00CA1EF4"/>
    <w:rsid w:val="00CA2844"/>
    <w:rsid w:val="00CA2954"/>
    <w:rsid w:val="00CA29F9"/>
    <w:rsid w:val="00CA2A97"/>
    <w:rsid w:val="00CA3427"/>
    <w:rsid w:val="00CA3773"/>
    <w:rsid w:val="00CA3A20"/>
    <w:rsid w:val="00CA3A49"/>
    <w:rsid w:val="00CA3CC7"/>
    <w:rsid w:val="00CA3DBC"/>
    <w:rsid w:val="00CA3E27"/>
    <w:rsid w:val="00CA3E94"/>
    <w:rsid w:val="00CA3FBB"/>
    <w:rsid w:val="00CA44B6"/>
    <w:rsid w:val="00CA452A"/>
    <w:rsid w:val="00CA4640"/>
    <w:rsid w:val="00CA4A6C"/>
    <w:rsid w:val="00CA4AF8"/>
    <w:rsid w:val="00CA4C01"/>
    <w:rsid w:val="00CA4D2C"/>
    <w:rsid w:val="00CA4EB7"/>
    <w:rsid w:val="00CA4F4A"/>
    <w:rsid w:val="00CA4FCB"/>
    <w:rsid w:val="00CA5042"/>
    <w:rsid w:val="00CA5129"/>
    <w:rsid w:val="00CA51A9"/>
    <w:rsid w:val="00CA52B2"/>
    <w:rsid w:val="00CA543A"/>
    <w:rsid w:val="00CA593A"/>
    <w:rsid w:val="00CA5A2B"/>
    <w:rsid w:val="00CA5CA3"/>
    <w:rsid w:val="00CA5D27"/>
    <w:rsid w:val="00CA5E85"/>
    <w:rsid w:val="00CA6090"/>
    <w:rsid w:val="00CA6189"/>
    <w:rsid w:val="00CA6315"/>
    <w:rsid w:val="00CA63D2"/>
    <w:rsid w:val="00CA64B0"/>
    <w:rsid w:val="00CA665A"/>
    <w:rsid w:val="00CA6A33"/>
    <w:rsid w:val="00CA6B2E"/>
    <w:rsid w:val="00CA6D85"/>
    <w:rsid w:val="00CA6D8D"/>
    <w:rsid w:val="00CA72AC"/>
    <w:rsid w:val="00CA7607"/>
    <w:rsid w:val="00CA7633"/>
    <w:rsid w:val="00CA7D89"/>
    <w:rsid w:val="00CA7EF2"/>
    <w:rsid w:val="00CA7F29"/>
    <w:rsid w:val="00CB00B2"/>
    <w:rsid w:val="00CB035A"/>
    <w:rsid w:val="00CB0505"/>
    <w:rsid w:val="00CB0B04"/>
    <w:rsid w:val="00CB0CD5"/>
    <w:rsid w:val="00CB0F79"/>
    <w:rsid w:val="00CB0FCA"/>
    <w:rsid w:val="00CB10A7"/>
    <w:rsid w:val="00CB12C1"/>
    <w:rsid w:val="00CB134F"/>
    <w:rsid w:val="00CB1683"/>
    <w:rsid w:val="00CB17EF"/>
    <w:rsid w:val="00CB1854"/>
    <w:rsid w:val="00CB19B2"/>
    <w:rsid w:val="00CB1A04"/>
    <w:rsid w:val="00CB1C2E"/>
    <w:rsid w:val="00CB1DE8"/>
    <w:rsid w:val="00CB1F16"/>
    <w:rsid w:val="00CB1F3A"/>
    <w:rsid w:val="00CB2045"/>
    <w:rsid w:val="00CB20D2"/>
    <w:rsid w:val="00CB23F2"/>
    <w:rsid w:val="00CB2510"/>
    <w:rsid w:val="00CB269A"/>
    <w:rsid w:val="00CB28C9"/>
    <w:rsid w:val="00CB2A9C"/>
    <w:rsid w:val="00CB2B0B"/>
    <w:rsid w:val="00CB2DBD"/>
    <w:rsid w:val="00CB3777"/>
    <w:rsid w:val="00CB3A18"/>
    <w:rsid w:val="00CB3A21"/>
    <w:rsid w:val="00CB3F01"/>
    <w:rsid w:val="00CB4259"/>
    <w:rsid w:val="00CB4346"/>
    <w:rsid w:val="00CB43D8"/>
    <w:rsid w:val="00CB4406"/>
    <w:rsid w:val="00CB440D"/>
    <w:rsid w:val="00CB461A"/>
    <w:rsid w:val="00CB4824"/>
    <w:rsid w:val="00CB4936"/>
    <w:rsid w:val="00CB4CAA"/>
    <w:rsid w:val="00CB4FF7"/>
    <w:rsid w:val="00CB501B"/>
    <w:rsid w:val="00CB534E"/>
    <w:rsid w:val="00CB5732"/>
    <w:rsid w:val="00CB57A8"/>
    <w:rsid w:val="00CB57BB"/>
    <w:rsid w:val="00CB586C"/>
    <w:rsid w:val="00CB5A71"/>
    <w:rsid w:val="00CB5AF0"/>
    <w:rsid w:val="00CB5BFA"/>
    <w:rsid w:val="00CB6B1F"/>
    <w:rsid w:val="00CB6EEA"/>
    <w:rsid w:val="00CB71D7"/>
    <w:rsid w:val="00CB7331"/>
    <w:rsid w:val="00CB7615"/>
    <w:rsid w:val="00CB7961"/>
    <w:rsid w:val="00CB7A27"/>
    <w:rsid w:val="00CB7DCB"/>
    <w:rsid w:val="00CB7ED6"/>
    <w:rsid w:val="00CC04AF"/>
    <w:rsid w:val="00CC057B"/>
    <w:rsid w:val="00CC0720"/>
    <w:rsid w:val="00CC08A2"/>
    <w:rsid w:val="00CC08C3"/>
    <w:rsid w:val="00CC0A90"/>
    <w:rsid w:val="00CC0BBC"/>
    <w:rsid w:val="00CC0D32"/>
    <w:rsid w:val="00CC0D95"/>
    <w:rsid w:val="00CC1273"/>
    <w:rsid w:val="00CC136A"/>
    <w:rsid w:val="00CC14A0"/>
    <w:rsid w:val="00CC153E"/>
    <w:rsid w:val="00CC1543"/>
    <w:rsid w:val="00CC1655"/>
    <w:rsid w:val="00CC195A"/>
    <w:rsid w:val="00CC1AC6"/>
    <w:rsid w:val="00CC1B3E"/>
    <w:rsid w:val="00CC1B78"/>
    <w:rsid w:val="00CC1CF8"/>
    <w:rsid w:val="00CC1E3F"/>
    <w:rsid w:val="00CC1F2B"/>
    <w:rsid w:val="00CC232A"/>
    <w:rsid w:val="00CC278E"/>
    <w:rsid w:val="00CC294E"/>
    <w:rsid w:val="00CC2A55"/>
    <w:rsid w:val="00CC2B3E"/>
    <w:rsid w:val="00CC2B51"/>
    <w:rsid w:val="00CC33B1"/>
    <w:rsid w:val="00CC36F1"/>
    <w:rsid w:val="00CC3720"/>
    <w:rsid w:val="00CC375A"/>
    <w:rsid w:val="00CC3761"/>
    <w:rsid w:val="00CC3880"/>
    <w:rsid w:val="00CC3C5A"/>
    <w:rsid w:val="00CC3CF5"/>
    <w:rsid w:val="00CC3E9A"/>
    <w:rsid w:val="00CC432A"/>
    <w:rsid w:val="00CC476B"/>
    <w:rsid w:val="00CC4CCE"/>
    <w:rsid w:val="00CC5237"/>
    <w:rsid w:val="00CC526F"/>
    <w:rsid w:val="00CC5360"/>
    <w:rsid w:val="00CC5419"/>
    <w:rsid w:val="00CC55BA"/>
    <w:rsid w:val="00CC5607"/>
    <w:rsid w:val="00CC566D"/>
    <w:rsid w:val="00CC56CE"/>
    <w:rsid w:val="00CC573E"/>
    <w:rsid w:val="00CC5913"/>
    <w:rsid w:val="00CC59E1"/>
    <w:rsid w:val="00CC5A88"/>
    <w:rsid w:val="00CC5D70"/>
    <w:rsid w:val="00CC5F17"/>
    <w:rsid w:val="00CC6423"/>
    <w:rsid w:val="00CC64EC"/>
    <w:rsid w:val="00CC6818"/>
    <w:rsid w:val="00CC6FB5"/>
    <w:rsid w:val="00CC7060"/>
    <w:rsid w:val="00CC717D"/>
    <w:rsid w:val="00CC7396"/>
    <w:rsid w:val="00CC7832"/>
    <w:rsid w:val="00CC79AE"/>
    <w:rsid w:val="00CC7A28"/>
    <w:rsid w:val="00CC7CD7"/>
    <w:rsid w:val="00CD006A"/>
    <w:rsid w:val="00CD03C0"/>
    <w:rsid w:val="00CD04C8"/>
    <w:rsid w:val="00CD0A1D"/>
    <w:rsid w:val="00CD0C6B"/>
    <w:rsid w:val="00CD0E07"/>
    <w:rsid w:val="00CD1007"/>
    <w:rsid w:val="00CD1043"/>
    <w:rsid w:val="00CD1198"/>
    <w:rsid w:val="00CD16A7"/>
    <w:rsid w:val="00CD1782"/>
    <w:rsid w:val="00CD1A07"/>
    <w:rsid w:val="00CD1D3B"/>
    <w:rsid w:val="00CD1D48"/>
    <w:rsid w:val="00CD1FFA"/>
    <w:rsid w:val="00CD2293"/>
    <w:rsid w:val="00CD24F3"/>
    <w:rsid w:val="00CD2598"/>
    <w:rsid w:val="00CD25DF"/>
    <w:rsid w:val="00CD2753"/>
    <w:rsid w:val="00CD2AC6"/>
    <w:rsid w:val="00CD2C2F"/>
    <w:rsid w:val="00CD2EB9"/>
    <w:rsid w:val="00CD3566"/>
    <w:rsid w:val="00CD3ABB"/>
    <w:rsid w:val="00CD3DEA"/>
    <w:rsid w:val="00CD3ECA"/>
    <w:rsid w:val="00CD3F17"/>
    <w:rsid w:val="00CD429A"/>
    <w:rsid w:val="00CD42B3"/>
    <w:rsid w:val="00CD430E"/>
    <w:rsid w:val="00CD485C"/>
    <w:rsid w:val="00CD4862"/>
    <w:rsid w:val="00CD4868"/>
    <w:rsid w:val="00CD4A7C"/>
    <w:rsid w:val="00CD4B43"/>
    <w:rsid w:val="00CD4C5E"/>
    <w:rsid w:val="00CD4FC2"/>
    <w:rsid w:val="00CD551C"/>
    <w:rsid w:val="00CD5522"/>
    <w:rsid w:val="00CD6158"/>
    <w:rsid w:val="00CD630F"/>
    <w:rsid w:val="00CD64A8"/>
    <w:rsid w:val="00CD6635"/>
    <w:rsid w:val="00CD6942"/>
    <w:rsid w:val="00CD6D7D"/>
    <w:rsid w:val="00CD6E01"/>
    <w:rsid w:val="00CD70F5"/>
    <w:rsid w:val="00CD795B"/>
    <w:rsid w:val="00CD7A45"/>
    <w:rsid w:val="00CD7BAD"/>
    <w:rsid w:val="00CD7E0E"/>
    <w:rsid w:val="00CE0019"/>
    <w:rsid w:val="00CE0267"/>
    <w:rsid w:val="00CE02BD"/>
    <w:rsid w:val="00CE02D7"/>
    <w:rsid w:val="00CE0493"/>
    <w:rsid w:val="00CE0531"/>
    <w:rsid w:val="00CE0682"/>
    <w:rsid w:val="00CE09DA"/>
    <w:rsid w:val="00CE0E2C"/>
    <w:rsid w:val="00CE0E53"/>
    <w:rsid w:val="00CE10D9"/>
    <w:rsid w:val="00CE155A"/>
    <w:rsid w:val="00CE16C1"/>
    <w:rsid w:val="00CE173B"/>
    <w:rsid w:val="00CE1878"/>
    <w:rsid w:val="00CE1DCB"/>
    <w:rsid w:val="00CE1E30"/>
    <w:rsid w:val="00CE2221"/>
    <w:rsid w:val="00CE22E5"/>
    <w:rsid w:val="00CE2674"/>
    <w:rsid w:val="00CE2AAF"/>
    <w:rsid w:val="00CE2FA1"/>
    <w:rsid w:val="00CE3190"/>
    <w:rsid w:val="00CE338A"/>
    <w:rsid w:val="00CE373E"/>
    <w:rsid w:val="00CE3813"/>
    <w:rsid w:val="00CE39D1"/>
    <w:rsid w:val="00CE3E30"/>
    <w:rsid w:val="00CE4193"/>
    <w:rsid w:val="00CE4478"/>
    <w:rsid w:val="00CE464A"/>
    <w:rsid w:val="00CE48EB"/>
    <w:rsid w:val="00CE49E5"/>
    <w:rsid w:val="00CE4BFF"/>
    <w:rsid w:val="00CE4CEE"/>
    <w:rsid w:val="00CE4EED"/>
    <w:rsid w:val="00CE4F40"/>
    <w:rsid w:val="00CE50BF"/>
    <w:rsid w:val="00CE5314"/>
    <w:rsid w:val="00CE5689"/>
    <w:rsid w:val="00CE5B62"/>
    <w:rsid w:val="00CE5BA5"/>
    <w:rsid w:val="00CE5FDB"/>
    <w:rsid w:val="00CE5FE3"/>
    <w:rsid w:val="00CE6131"/>
    <w:rsid w:val="00CE6291"/>
    <w:rsid w:val="00CE62F2"/>
    <w:rsid w:val="00CE637C"/>
    <w:rsid w:val="00CE6454"/>
    <w:rsid w:val="00CE6916"/>
    <w:rsid w:val="00CE6A3F"/>
    <w:rsid w:val="00CE6E51"/>
    <w:rsid w:val="00CE6F4C"/>
    <w:rsid w:val="00CE6FF4"/>
    <w:rsid w:val="00CE7006"/>
    <w:rsid w:val="00CE77A3"/>
    <w:rsid w:val="00CE785E"/>
    <w:rsid w:val="00CE7AE9"/>
    <w:rsid w:val="00CE7BD0"/>
    <w:rsid w:val="00CE7D0D"/>
    <w:rsid w:val="00CF0118"/>
    <w:rsid w:val="00CF033B"/>
    <w:rsid w:val="00CF03B5"/>
    <w:rsid w:val="00CF03E3"/>
    <w:rsid w:val="00CF0544"/>
    <w:rsid w:val="00CF0989"/>
    <w:rsid w:val="00CF0A42"/>
    <w:rsid w:val="00CF0BAC"/>
    <w:rsid w:val="00CF0FB1"/>
    <w:rsid w:val="00CF0FC3"/>
    <w:rsid w:val="00CF1513"/>
    <w:rsid w:val="00CF152C"/>
    <w:rsid w:val="00CF1568"/>
    <w:rsid w:val="00CF15A5"/>
    <w:rsid w:val="00CF18F4"/>
    <w:rsid w:val="00CF1C1E"/>
    <w:rsid w:val="00CF1DE3"/>
    <w:rsid w:val="00CF1E87"/>
    <w:rsid w:val="00CF2049"/>
    <w:rsid w:val="00CF22E9"/>
    <w:rsid w:val="00CF2428"/>
    <w:rsid w:val="00CF2634"/>
    <w:rsid w:val="00CF2649"/>
    <w:rsid w:val="00CF2DA2"/>
    <w:rsid w:val="00CF2DFC"/>
    <w:rsid w:val="00CF2E62"/>
    <w:rsid w:val="00CF3293"/>
    <w:rsid w:val="00CF3698"/>
    <w:rsid w:val="00CF36CA"/>
    <w:rsid w:val="00CF3947"/>
    <w:rsid w:val="00CF3B23"/>
    <w:rsid w:val="00CF4034"/>
    <w:rsid w:val="00CF41BA"/>
    <w:rsid w:val="00CF4370"/>
    <w:rsid w:val="00CF4448"/>
    <w:rsid w:val="00CF48A3"/>
    <w:rsid w:val="00CF4B3A"/>
    <w:rsid w:val="00CF4B81"/>
    <w:rsid w:val="00CF4DA6"/>
    <w:rsid w:val="00CF4E45"/>
    <w:rsid w:val="00CF50E4"/>
    <w:rsid w:val="00CF5153"/>
    <w:rsid w:val="00CF52F5"/>
    <w:rsid w:val="00CF5375"/>
    <w:rsid w:val="00CF55C2"/>
    <w:rsid w:val="00CF56B1"/>
    <w:rsid w:val="00CF573E"/>
    <w:rsid w:val="00CF5B29"/>
    <w:rsid w:val="00CF5CC8"/>
    <w:rsid w:val="00CF618B"/>
    <w:rsid w:val="00CF61FD"/>
    <w:rsid w:val="00CF6B83"/>
    <w:rsid w:val="00CF6F13"/>
    <w:rsid w:val="00CF6FC3"/>
    <w:rsid w:val="00CF74B0"/>
    <w:rsid w:val="00CF793A"/>
    <w:rsid w:val="00CF7FF9"/>
    <w:rsid w:val="00D00190"/>
    <w:rsid w:val="00D00340"/>
    <w:rsid w:val="00D00437"/>
    <w:rsid w:val="00D0055A"/>
    <w:rsid w:val="00D005D2"/>
    <w:rsid w:val="00D00667"/>
    <w:rsid w:val="00D00755"/>
    <w:rsid w:val="00D0094B"/>
    <w:rsid w:val="00D00B07"/>
    <w:rsid w:val="00D00B13"/>
    <w:rsid w:val="00D00D40"/>
    <w:rsid w:val="00D00F97"/>
    <w:rsid w:val="00D0146C"/>
    <w:rsid w:val="00D0152E"/>
    <w:rsid w:val="00D016F7"/>
    <w:rsid w:val="00D019A4"/>
    <w:rsid w:val="00D01BF2"/>
    <w:rsid w:val="00D01C55"/>
    <w:rsid w:val="00D01CEF"/>
    <w:rsid w:val="00D01E3A"/>
    <w:rsid w:val="00D02086"/>
    <w:rsid w:val="00D02457"/>
    <w:rsid w:val="00D026D4"/>
    <w:rsid w:val="00D026FC"/>
    <w:rsid w:val="00D02986"/>
    <w:rsid w:val="00D031DF"/>
    <w:rsid w:val="00D0366A"/>
    <w:rsid w:val="00D03AFF"/>
    <w:rsid w:val="00D03FBC"/>
    <w:rsid w:val="00D043A4"/>
    <w:rsid w:val="00D04446"/>
    <w:rsid w:val="00D04495"/>
    <w:rsid w:val="00D044C6"/>
    <w:rsid w:val="00D0484C"/>
    <w:rsid w:val="00D04877"/>
    <w:rsid w:val="00D04E69"/>
    <w:rsid w:val="00D04F6C"/>
    <w:rsid w:val="00D04FF4"/>
    <w:rsid w:val="00D0511F"/>
    <w:rsid w:val="00D051FB"/>
    <w:rsid w:val="00D05244"/>
    <w:rsid w:val="00D05268"/>
    <w:rsid w:val="00D0528F"/>
    <w:rsid w:val="00D052B2"/>
    <w:rsid w:val="00D054A2"/>
    <w:rsid w:val="00D0550B"/>
    <w:rsid w:val="00D059F9"/>
    <w:rsid w:val="00D05A87"/>
    <w:rsid w:val="00D05B52"/>
    <w:rsid w:val="00D05BFA"/>
    <w:rsid w:val="00D05E7C"/>
    <w:rsid w:val="00D06001"/>
    <w:rsid w:val="00D068C2"/>
    <w:rsid w:val="00D06D94"/>
    <w:rsid w:val="00D070BB"/>
    <w:rsid w:val="00D0731F"/>
    <w:rsid w:val="00D0783E"/>
    <w:rsid w:val="00D0783F"/>
    <w:rsid w:val="00D07934"/>
    <w:rsid w:val="00D07937"/>
    <w:rsid w:val="00D07A98"/>
    <w:rsid w:val="00D07AB9"/>
    <w:rsid w:val="00D07BA7"/>
    <w:rsid w:val="00D07E19"/>
    <w:rsid w:val="00D1014B"/>
    <w:rsid w:val="00D102B4"/>
    <w:rsid w:val="00D102D0"/>
    <w:rsid w:val="00D106F6"/>
    <w:rsid w:val="00D10894"/>
    <w:rsid w:val="00D10A5C"/>
    <w:rsid w:val="00D10CAE"/>
    <w:rsid w:val="00D10EFD"/>
    <w:rsid w:val="00D10FC3"/>
    <w:rsid w:val="00D10FD8"/>
    <w:rsid w:val="00D11113"/>
    <w:rsid w:val="00D1153F"/>
    <w:rsid w:val="00D1165D"/>
    <w:rsid w:val="00D11B05"/>
    <w:rsid w:val="00D11E5A"/>
    <w:rsid w:val="00D1202E"/>
    <w:rsid w:val="00D12436"/>
    <w:rsid w:val="00D129C1"/>
    <w:rsid w:val="00D12B0D"/>
    <w:rsid w:val="00D12DD9"/>
    <w:rsid w:val="00D12E6D"/>
    <w:rsid w:val="00D12FF6"/>
    <w:rsid w:val="00D135B7"/>
    <w:rsid w:val="00D13676"/>
    <w:rsid w:val="00D13871"/>
    <w:rsid w:val="00D13925"/>
    <w:rsid w:val="00D1396D"/>
    <w:rsid w:val="00D139B5"/>
    <w:rsid w:val="00D13C54"/>
    <w:rsid w:val="00D13C76"/>
    <w:rsid w:val="00D14917"/>
    <w:rsid w:val="00D14A58"/>
    <w:rsid w:val="00D14B60"/>
    <w:rsid w:val="00D14BBB"/>
    <w:rsid w:val="00D14D71"/>
    <w:rsid w:val="00D14F3C"/>
    <w:rsid w:val="00D1509A"/>
    <w:rsid w:val="00D1520C"/>
    <w:rsid w:val="00D15286"/>
    <w:rsid w:val="00D15616"/>
    <w:rsid w:val="00D15886"/>
    <w:rsid w:val="00D15C80"/>
    <w:rsid w:val="00D15D38"/>
    <w:rsid w:val="00D15DA3"/>
    <w:rsid w:val="00D15F39"/>
    <w:rsid w:val="00D15F43"/>
    <w:rsid w:val="00D1619D"/>
    <w:rsid w:val="00D16406"/>
    <w:rsid w:val="00D16445"/>
    <w:rsid w:val="00D165B0"/>
    <w:rsid w:val="00D165C8"/>
    <w:rsid w:val="00D16817"/>
    <w:rsid w:val="00D1682B"/>
    <w:rsid w:val="00D16867"/>
    <w:rsid w:val="00D16A2C"/>
    <w:rsid w:val="00D16C42"/>
    <w:rsid w:val="00D1721E"/>
    <w:rsid w:val="00D1766E"/>
    <w:rsid w:val="00D177CD"/>
    <w:rsid w:val="00D1780C"/>
    <w:rsid w:val="00D178F0"/>
    <w:rsid w:val="00D17B5A"/>
    <w:rsid w:val="00D17DA1"/>
    <w:rsid w:val="00D200C9"/>
    <w:rsid w:val="00D200EF"/>
    <w:rsid w:val="00D2061E"/>
    <w:rsid w:val="00D2080F"/>
    <w:rsid w:val="00D20863"/>
    <w:rsid w:val="00D20942"/>
    <w:rsid w:val="00D20DA7"/>
    <w:rsid w:val="00D20E8B"/>
    <w:rsid w:val="00D20E95"/>
    <w:rsid w:val="00D20F5D"/>
    <w:rsid w:val="00D21024"/>
    <w:rsid w:val="00D21085"/>
    <w:rsid w:val="00D2114F"/>
    <w:rsid w:val="00D211DD"/>
    <w:rsid w:val="00D2141E"/>
    <w:rsid w:val="00D21461"/>
    <w:rsid w:val="00D21523"/>
    <w:rsid w:val="00D21629"/>
    <w:rsid w:val="00D21935"/>
    <w:rsid w:val="00D21A9A"/>
    <w:rsid w:val="00D21AE5"/>
    <w:rsid w:val="00D21E52"/>
    <w:rsid w:val="00D22220"/>
    <w:rsid w:val="00D22387"/>
    <w:rsid w:val="00D22713"/>
    <w:rsid w:val="00D22850"/>
    <w:rsid w:val="00D22C04"/>
    <w:rsid w:val="00D22F5B"/>
    <w:rsid w:val="00D23183"/>
    <w:rsid w:val="00D23320"/>
    <w:rsid w:val="00D235AC"/>
    <w:rsid w:val="00D23666"/>
    <w:rsid w:val="00D2369E"/>
    <w:rsid w:val="00D23800"/>
    <w:rsid w:val="00D23E90"/>
    <w:rsid w:val="00D241A0"/>
    <w:rsid w:val="00D24875"/>
    <w:rsid w:val="00D24B5B"/>
    <w:rsid w:val="00D24BB2"/>
    <w:rsid w:val="00D24FD7"/>
    <w:rsid w:val="00D251AD"/>
    <w:rsid w:val="00D2529A"/>
    <w:rsid w:val="00D2536C"/>
    <w:rsid w:val="00D253F4"/>
    <w:rsid w:val="00D25A7F"/>
    <w:rsid w:val="00D25AEC"/>
    <w:rsid w:val="00D25DFF"/>
    <w:rsid w:val="00D25E58"/>
    <w:rsid w:val="00D25EAD"/>
    <w:rsid w:val="00D2602E"/>
    <w:rsid w:val="00D2624E"/>
    <w:rsid w:val="00D263E3"/>
    <w:rsid w:val="00D26773"/>
    <w:rsid w:val="00D26802"/>
    <w:rsid w:val="00D26885"/>
    <w:rsid w:val="00D269E6"/>
    <w:rsid w:val="00D26E68"/>
    <w:rsid w:val="00D27246"/>
    <w:rsid w:val="00D2727D"/>
    <w:rsid w:val="00D27582"/>
    <w:rsid w:val="00D276F2"/>
    <w:rsid w:val="00D27829"/>
    <w:rsid w:val="00D27CBD"/>
    <w:rsid w:val="00D27D8F"/>
    <w:rsid w:val="00D27EEA"/>
    <w:rsid w:val="00D30138"/>
    <w:rsid w:val="00D303E2"/>
    <w:rsid w:val="00D304F9"/>
    <w:rsid w:val="00D306FE"/>
    <w:rsid w:val="00D309AD"/>
    <w:rsid w:val="00D30E05"/>
    <w:rsid w:val="00D30E57"/>
    <w:rsid w:val="00D30E92"/>
    <w:rsid w:val="00D31136"/>
    <w:rsid w:val="00D31218"/>
    <w:rsid w:val="00D314E3"/>
    <w:rsid w:val="00D316A1"/>
    <w:rsid w:val="00D31A07"/>
    <w:rsid w:val="00D31A1B"/>
    <w:rsid w:val="00D31E53"/>
    <w:rsid w:val="00D31E91"/>
    <w:rsid w:val="00D32106"/>
    <w:rsid w:val="00D321CD"/>
    <w:rsid w:val="00D32216"/>
    <w:rsid w:val="00D32736"/>
    <w:rsid w:val="00D32999"/>
    <w:rsid w:val="00D32C01"/>
    <w:rsid w:val="00D32D2D"/>
    <w:rsid w:val="00D32EB7"/>
    <w:rsid w:val="00D33376"/>
    <w:rsid w:val="00D33713"/>
    <w:rsid w:val="00D33801"/>
    <w:rsid w:val="00D3391E"/>
    <w:rsid w:val="00D34068"/>
    <w:rsid w:val="00D34073"/>
    <w:rsid w:val="00D340B6"/>
    <w:rsid w:val="00D34649"/>
    <w:rsid w:val="00D34BD2"/>
    <w:rsid w:val="00D34D4E"/>
    <w:rsid w:val="00D34E11"/>
    <w:rsid w:val="00D351FA"/>
    <w:rsid w:val="00D352B7"/>
    <w:rsid w:val="00D35356"/>
    <w:rsid w:val="00D3558D"/>
    <w:rsid w:val="00D355E6"/>
    <w:rsid w:val="00D3590F"/>
    <w:rsid w:val="00D35911"/>
    <w:rsid w:val="00D35CBB"/>
    <w:rsid w:val="00D35D6B"/>
    <w:rsid w:val="00D363DC"/>
    <w:rsid w:val="00D3650D"/>
    <w:rsid w:val="00D36B6F"/>
    <w:rsid w:val="00D36D0A"/>
    <w:rsid w:val="00D37028"/>
    <w:rsid w:val="00D3769C"/>
    <w:rsid w:val="00D378B7"/>
    <w:rsid w:val="00D379D5"/>
    <w:rsid w:val="00D37A48"/>
    <w:rsid w:val="00D37BB7"/>
    <w:rsid w:val="00D37CF7"/>
    <w:rsid w:val="00D37FB5"/>
    <w:rsid w:val="00D40353"/>
    <w:rsid w:val="00D406F6"/>
    <w:rsid w:val="00D407E1"/>
    <w:rsid w:val="00D40830"/>
    <w:rsid w:val="00D40936"/>
    <w:rsid w:val="00D409A3"/>
    <w:rsid w:val="00D40C02"/>
    <w:rsid w:val="00D40CC8"/>
    <w:rsid w:val="00D40E3A"/>
    <w:rsid w:val="00D40EA5"/>
    <w:rsid w:val="00D4128E"/>
    <w:rsid w:val="00D413B7"/>
    <w:rsid w:val="00D4143E"/>
    <w:rsid w:val="00D419C3"/>
    <w:rsid w:val="00D41B94"/>
    <w:rsid w:val="00D41BA1"/>
    <w:rsid w:val="00D42128"/>
    <w:rsid w:val="00D42202"/>
    <w:rsid w:val="00D42687"/>
    <w:rsid w:val="00D426EC"/>
    <w:rsid w:val="00D4297B"/>
    <w:rsid w:val="00D42CA3"/>
    <w:rsid w:val="00D42DC8"/>
    <w:rsid w:val="00D42E9D"/>
    <w:rsid w:val="00D43045"/>
    <w:rsid w:val="00D4315C"/>
    <w:rsid w:val="00D43378"/>
    <w:rsid w:val="00D435BB"/>
    <w:rsid w:val="00D436F7"/>
    <w:rsid w:val="00D43A6D"/>
    <w:rsid w:val="00D441F5"/>
    <w:rsid w:val="00D44272"/>
    <w:rsid w:val="00D44834"/>
    <w:rsid w:val="00D44A15"/>
    <w:rsid w:val="00D44D85"/>
    <w:rsid w:val="00D45245"/>
    <w:rsid w:val="00D452D9"/>
    <w:rsid w:val="00D45607"/>
    <w:rsid w:val="00D4570A"/>
    <w:rsid w:val="00D458AF"/>
    <w:rsid w:val="00D45A8A"/>
    <w:rsid w:val="00D45C14"/>
    <w:rsid w:val="00D45C8F"/>
    <w:rsid w:val="00D45DE4"/>
    <w:rsid w:val="00D4615B"/>
    <w:rsid w:val="00D4615D"/>
    <w:rsid w:val="00D463D1"/>
    <w:rsid w:val="00D4649F"/>
    <w:rsid w:val="00D46A08"/>
    <w:rsid w:val="00D46A53"/>
    <w:rsid w:val="00D46DA0"/>
    <w:rsid w:val="00D46E37"/>
    <w:rsid w:val="00D475F4"/>
    <w:rsid w:val="00D47632"/>
    <w:rsid w:val="00D47737"/>
    <w:rsid w:val="00D477FC"/>
    <w:rsid w:val="00D47DD6"/>
    <w:rsid w:val="00D50016"/>
    <w:rsid w:val="00D50020"/>
    <w:rsid w:val="00D50ECD"/>
    <w:rsid w:val="00D51184"/>
    <w:rsid w:val="00D5130D"/>
    <w:rsid w:val="00D515D4"/>
    <w:rsid w:val="00D51C5A"/>
    <w:rsid w:val="00D51DF0"/>
    <w:rsid w:val="00D51DF2"/>
    <w:rsid w:val="00D51EC3"/>
    <w:rsid w:val="00D52338"/>
    <w:rsid w:val="00D5298A"/>
    <w:rsid w:val="00D52A3F"/>
    <w:rsid w:val="00D52E43"/>
    <w:rsid w:val="00D52F81"/>
    <w:rsid w:val="00D53364"/>
    <w:rsid w:val="00D538F1"/>
    <w:rsid w:val="00D53ACD"/>
    <w:rsid w:val="00D53CD6"/>
    <w:rsid w:val="00D53FA3"/>
    <w:rsid w:val="00D540BD"/>
    <w:rsid w:val="00D540C4"/>
    <w:rsid w:val="00D54146"/>
    <w:rsid w:val="00D54279"/>
    <w:rsid w:val="00D543BA"/>
    <w:rsid w:val="00D54561"/>
    <w:rsid w:val="00D54690"/>
    <w:rsid w:val="00D5494D"/>
    <w:rsid w:val="00D54AA0"/>
    <w:rsid w:val="00D54B41"/>
    <w:rsid w:val="00D54D9D"/>
    <w:rsid w:val="00D54FA8"/>
    <w:rsid w:val="00D550B1"/>
    <w:rsid w:val="00D554E5"/>
    <w:rsid w:val="00D55E9A"/>
    <w:rsid w:val="00D55EBF"/>
    <w:rsid w:val="00D564F9"/>
    <w:rsid w:val="00D56FBA"/>
    <w:rsid w:val="00D57018"/>
    <w:rsid w:val="00D5703F"/>
    <w:rsid w:val="00D5707D"/>
    <w:rsid w:val="00D5711A"/>
    <w:rsid w:val="00D571F8"/>
    <w:rsid w:val="00D573D8"/>
    <w:rsid w:val="00D575C6"/>
    <w:rsid w:val="00D5773F"/>
    <w:rsid w:val="00D57761"/>
    <w:rsid w:val="00D577AD"/>
    <w:rsid w:val="00D578B2"/>
    <w:rsid w:val="00D57B6B"/>
    <w:rsid w:val="00D60591"/>
    <w:rsid w:val="00D60971"/>
    <w:rsid w:val="00D60C4A"/>
    <w:rsid w:val="00D60E00"/>
    <w:rsid w:val="00D60EB9"/>
    <w:rsid w:val="00D60EF8"/>
    <w:rsid w:val="00D6119F"/>
    <w:rsid w:val="00D61812"/>
    <w:rsid w:val="00D61934"/>
    <w:rsid w:val="00D61A1A"/>
    <w:rsid w:val="00D61C17"/>
    <w:rsid w:val="00D61D45"/>
    <w:rsid w:val="00D61FF0"/>
    <w:rsid w:val="00D62144"/>
    <w:rsid w:val="00D623C2"/>
    <w:rsid w:val="00D625AF"/>
    <w:rsid w:val="00D62A62"/>
    <w:rsid w:val="00D62DA0"/>
    <w:rsid w:val="00D62F16"/>
    <w:rsid w:val="00D6307B"/>
    <w:rsid w:val="00D6344C"/>
    <w:rsid w:val="00D634C4"/>
    <w:rsid w:val="00D63662"/>
    <w:rsid w:val="00D636E6"/>
    <w:rsid w:val="00D63B9F"/>
    <w:rsid w:val="00D63FC7"/>
    <w:rsid w:val="00D640D9"/>
    <w:rsid w:val="00D64444"/>
    <w:rsid w:val="00D64499"/>
    <w:rsid w:val="00D6450E"/>
    <w:rsid w:val="00D6461A"/>
    <w:rsid w:val="00D646AD"/>
    <w:rsid w:val="00D64F58"/>
    <w:rsid w:val="00D651C2"/>
    <w:rsid w:val="00D6521E"/>
    <w:rsid w:val="00D652B0"/>
    <w:rsid w:val="00D6559C"/>
    <w:rsid w:val="00D655B8"/>
    <w:rsid w:val="00D65C2C"/>
    <w:rsid w:val="00D66114"/>
    <w:rsid w:val="00D66201"/>
    <w:rsid w:val="00D66352"/>
    <w:rsid w:val="00D66891"/>
    <w:rsid w:val="00D668DD"/>
    <w:rsid w:val="00D66A76"/>
    <w:rsid w:val="00D66FC8"/>
    <w:rsid w:val="00D6727C"/>
    <w:rsid w:val="00D677E8"/>
    <w:rsid w:val="00D67882"/>
    <w:rsid w:val="00D67F2D"/>
    <w:rsid w:val="00D70305"/>
    <w:rsid w:val="00D70348"/>
    <w:rsid w:val="00D70798"/>
    <w:rsid w:val="00D70951"/>
    <w:rsid w:val="00D7095F"/>
    <w:rsid w:val="00D715FC"/>
    <w:rsid w:val="00D71DE8"/>
    <w:rsid w:val="00D71E34"/>
    <w:rsid w:val="00D71F3F"/>
    <w:rsid w:val="00D722FC"/>
    <w:rsid w:val="00D723C6"/>
    <w:rsid w:val="00D723F7"/>
    <w:rsid w:val="00D72545"/>
    <w:rsid w:val="00D7290F"/>
    <w:rsid w:val="00D72A58"/>
    <w:rsid w:val="00D72E6C"/>
    <w:rsid w:val="00D7349B"/>
    <w:rsid w:val="00D73550"/>
    <w:rsid w:val="00D73560"/>
    <w:rsid w:val="00D73590"/>
    <w:rsid w:val="00D738DF"/>
    <w:rsid w:val="00D74189"/>
    <w:rsid w:val="00D743EA"/>
    <w:rsid w:val="00D74416"/>
    <w:rsid w:val="00D74517"/>
    <w:rsid w:val="00D747FD"/>
    <w:rsid w:val="00D74B84"/>
    <w:rsid w:val="00D74CC0"/>
    <w:rsid w:val="00D74D30"/>
    <w:rsid w:val="00D74FDF"/>
    <w:rsid w:val="00D752AC"/>
    <w:rsid w:val="00D752E3"/>
    <w:rsid w:val="00D7542D"/>
    <w:rsid w:val="00D7563D"/>
    <w:rsid w:val="00D7587E"/>
    <w:rsid w:val="00D75F6F"/>
    <w:rsid w:val="00D75FA8"/>
    <w:rsid w:val="00D760D1"/>
    <w:rsid w:val="00D76193"/>
    <w:rsid w:val="00D7626B"/>
    <w:rsid w:val="00D762EB"/>
    <w:rsid w:val="00D76375"/>
    <w:rsid w:val="00D76423"/>
    <w:rsid w:val="00D764E6"/>
    <w:rsid w:val="00D76705"/>
    <w:rsid w:val="00D76858"/>
    <w:rsid w:val="00D7694E"/>
    <w:rsid w:val="00D76950"/>
    <w:rsid w:val="00D77263"/>
    <w:rsid w:val="00D77BD1"/>
    <w:rsid w:val="00D77E0C"/>
    <w:rsid w:val="00D800D3"/>
    <w:rsid w:val="00D805AB"/>
    <w:rsid w:val="00D80665"/>
    <w:rsid w:val="00D80675"/>
    <w:rsid w:val="00D80868"/>
    <w:rsid w:val="00D80972"/>
    <w:rsid w:val="00D809C3"/>
    <w:rsid w:val="00D80B64"/>
    <w:rsid w:val="00D80C68"/>
    <w:rsid w:val="00D80E85"/>
    <w:rsid w:val="00D8136D"/>
    <w:rsid w:val="00D81430"/>
    <w:rsid w:val="00D8163A"/>
    <w:rsid w:val="00D81782"/>
    <w:rsid w:val="00D8197D"/>
    <w:rsid w:val="00D81A2B"/>
    <w:rsid w:val="00D81B2A"/>
    <w:rsid w:val="00D81C52"/>
    <w:rsid w:val="00D81E4E"/>
    <w:rsid w:val="00D81E6C"/>
    <w:rsid w:val="00D81E9E"/>
    <w:rsid w:val="00D823E8"/>
    <w:rsid w:val="00D824AE"/>
    <w:rsid w:val="00D826AB"/>
    <w:rsid w:val="00D8293D"/>
    <w:rsid w:val="00D82B2E"/>
    <w:rsid w:val="00D82DEA"/>
    <w:rsid w:val="00D82EED"/>
    <w:rsid w:val="00D82EF4"/>
    <w:rsid w:val="00D82FDC"/>
    <w:rsid w:val="00D830F8"/>
    <w:rsid w:val="00D833F6"/>
    <w:rsid w:val="00D83AC2"/>
    <w:rsid w:val="00D83D83"/>
    <w:rsid w:val="00D83F98"/>
    <w:rsid w:val="00D84046"/>
    <w:rsid w:val="00D84656"/>
    <w:rsid w:val="00D849ED"/>
    <w:rsid w:val="00D84CD5"/>
    <w:rsid w:val="00D84F39"/>
    <w:rsid w:val="00D85439"/>
    <w:rsid w:val="00D855F9"/>
    <w:rsid w:val="00D8574A"/>
    <w:rsid w:val="00D85845"/>
    <w:rsid w:val="00D858AB"/>
    <w:rsid w:val="00D859CE"/>
    <w:rsid w:val="00D85B8F"/>
    <w:rsid w:val="00D85C9A"/>
    <w:rsid w:val="00D85FE8"/>
    <w:rsid w:val="00D86182"/>
    <w:rsid w:val="00D86467"/>
    <w:rsid w:val="00D864AB"/>
    <w:rsid w:val="00D86520"/>
    <w:rsid w:val="00D86A1C"/>
    <w:rsid w:val="00D86A79"/>
    <w:rsid w:val="00D86AAE"/>
    <w:rsid w:val="00D86BB6"/>
    <w:rsid w:val="00D86CD9"/>
    <w:rsid w:val="00D86F14"/>
    <w:rsid w:val="00D870BB"/>
    <w:rsid w:val="00D87233"/>
    <w:rsid w:val="00D8744C"/>
    <w:rsid w:val="00D878A9"/>
    <w:rsid w:val="00D87941"/>
    <w:rsid w:val="00D879D4"/>
    <w:rsid w:val="00D90199"/>
    <w:rsid w:val="00D901C7"/>
    <w:rsid w:val="00D90477"/>
    <w:rsid w:val="00D904C1"/>
    <w:rsid w:val="00D9069F"/>
    <w:rsid w:val="00D907CF"/>
    <w:rsid w:val="00D90D7F"/>
    <w:rsid w:val="00D90E84"/>
    <w:rsid w:val="00D90F63"/>
    <w:rsid w:val="00D91011"/>
    <w:rsid w:val="00D912CA"/>
    <w:rsid w:val="00D91301"/>
    <w:rsid w:val="00D9141A"/>
    <w:rsid w:val="00D9178C"/>
    <w:rsid w:val="00D919E1"/>
    <w:rsid w:val="00D919F4"/>
    <w:rsid w:val="00D91A70"/>
    <w:rsid w:val="00D91C7F"/>
    <w:rsid w:val="00D91D6B"/>
    <w:rsid w:val="00D91E01"/>
    <w:rsid w:val="00D91F83"/>
    <w:rsid w:val="00D91FF5"/>
    <w:rsid w:val="00D92008"/>
    <w:rsid w:val="00D92416"/>
    <w:rsid w:val="00D924C3"/>
    <w:rsid w:val="00D926A4"/>
    <w:rsid w:val="00D92B8E"/>
    <w:rsid w:val="00D92C5A"/>
    <w:rsid w:val="00D92C93"/>
    <w:rsid w:val="00D92D58"/>
    <w:rsid w:val="00D9300D"/>
    <w:rsid w:val="00D9312F"/>
    <w:rsid w:val="00D93263"/>
    <w:rsid w:val="00D932B2"/>
    <w:rsid w:val="00D932DA"/>
    <w:rsid w:val="00D937D6"/>
    <w:rsid w:val="00D939FB"/>
    <w:rsid w:val="00D93BD9"/>
    <w:rsid w:val="00D9468A"/>
    <w:rsid w:val="00D94794"/>
    <w:rsid w:val="00D94C57"/>
    <w:rsid w:val="00D94C9B"/>
    <w:rsid w:val="00D94D5B"/>
    <w:rsid w:val="00D94EA9"/>
    <w:rsid w:val="00D94EE6"/>
    <w:rsid w:val="00D94F28"/>
    <w:rsid w:val="00D95248"/>
    <w:rsid w:val="00D95281"/>
    <w:rsid w:val="00D95581"/>
    <w:rsid w:val="00D9560D"/>
    <w:rsid w:val="00D9587F"/>
    <w:rsid w:val="00D958A7"/>
    <w:rsid w:val="00D959A4"/>
    <w:rsid w:val="00D95B37"/>
    <w:rsid w:val="00D96109"/>
    <w:rsid w:val="00D9610E"/>
    <w:rsid w:val="00D9671D"/>
    <w:rsid w:val="00D969FD"/>
    <w:rsid w:val="00D96AAA"/>
    <w:rsid w:val="00D97089"/>
    <w:rsid w:val="00D971FE"/>
    <w:rsid w:val="00D9725F"/>
    <w:rsid w:val="00D9765F"/>
    <w:rsid w:val="00D97764"/>
    <w:rsid w:val="00D97E5B"/>
    <w:rsid w:val="00DA0086"/>
    <w:rsid w:val="00DA03B8"/>
    <w:rsid w:val="00DA05DF"/>
    <w:rsid w:val="00DA077D"/>
    <w:rsid w:val="00DA0F2D"/>
    <w:rsid w:val="00DA0F30"/>
    <w:rsid w:val="00DA0F5F"/>
    <w:rsid w:val="00DA1154"/>
    <w:rsid w:val="00DA1863"/>
    <w:rsid w:val="00DA1A89"/>
    <w:rsid w:val="00DA1AA0"/>
    <w:rsid w:val="00DA1B80"/>
    <w:rsid w:val="00DA1FB5"/>
    <w:rsid w:val="00DA2320"/>
    <w:rsid w:val="00DA29EE"/>
    <w:rsid w:val="00DA2B01"/>
    <w:rsid w:val="00DA38AE"/>
    <w:rsid w:val="00DA3904"/>
    <w:rsid w:val="00DA3AF1"/>
    <w:rsid w:val="00DA3D0E"/>
    <w:rsid w:val="00DA3DDC"/>
    <w:rsid w:val="00DA45A0"/>
    <w:rsid w:val="00DA4688"/>
    <w:rsid w:val="00DA4BC2"/>
    <w:rsid w:val="00DA4C7A"/>
    <w:rsid w:val="00DA4CB3"/>
    <w:rsid w:val="00DA4D39"/>
    <w:rsid w:val="00DA4DA6"/>
    <w:rsid w:val="00DA5230"/>
    <w:rsid w:val="00DA5483"/>
    <w:rsid w:val="00DA55D2"/>
    <w:rsid w:val="00DA56BD"/>
    <w:rsid w:val="00DA578C"/>
    <w:rsid w:val="00DA5862"/>
    <w:rsid w:val="00DA5AB5"/>
    <w:rsid w:val="00DA5ABD"/>
    <w:rsid w:val="00DA5C08"/>
    <w:rsid w:val="00DA5E01"/>
    <w:rsid w:val="00DA5EB8"/>
    <w:rsid w:val="00DA609D"/>
    <w:rsid w:val="00DA60D9"/>
    <w:rsid w:val="00DA63C2"/>
    <w:rsid w:val="00DA63D5"/>
    <w:rsid w:val="00DA68E6"/>
    <w:rsid w:val="00DA696D"/>
    <w:rsid w:val="00DA69E0"/>
    <w:rsid w:val="00DA6A04"/>
    <w:rsid w:val="00DA6A42"/>
    <w:rsid w:val="00DA6C45"/>
    <w:rsid w:val="00DA6CDB"/>
    <w:rsid w:val="00DA6E5A"/>
    <w:rsid w:val="00DA6EFC"/>
    <w:rsid w:val="00DA6F7E"/>
    <w:rsid w:val="00DA7161"/>
    <w:rsid w:val="00DA71B5"/>
    <w:rsid w:val="00DA73CA"/>
    <w:rsid w:val="00DA76AD"/>
    <w:rsid w:val="00DA7716"/>
    <w:rsid w:val="00DA7725"/>
    <w:rsid w:val="00DA7732"/>
    <w:rsid w:val="00DA7738"/>
    <w:rsid w:val="00DA7D47"/>
    <w:rsid w:val="00DB00CE"/>
    <w:rsid w:val="00DB060B"/>
    <w:rsid w:val="00DB070A"/>
    <w:rsid w:val="00DB092F"/>
    <w:rsid w:val="00DB0C18"/>
    <w:rsid w:val="00DB0D11"/>
    <w:rsid w:val="00DB123B"/>
    <w:rsid w:val="00DB1341"/>
    <w:rsid w:val="00DB149E"/>
    <w:rsid w:val="00DB16FB"/>
    <w:rsid w:val="00DB1D64"/>
    <w:rsid w:val="00DB1D8C"/>
    <w:rsid w:val="00DB1F03"/>
    <w:rsid w:val="00DB228E"/>
    <w:rsid w:val="00DB2547"/>
    <w:rsid w:val="00DB29E0"/>
    <w:rsid w:val="00DB29E2"/>
    <w:rsid w:val="00DB2C96"/>
    <w:rsid w:val="00DB2D9F"/>
    <w:rsid w:val="00DB2ECD"/>
    <w:rsid w:val="00DB3323"/>
    <w:rsid w:val="00DB33CD"/>
    <w:rsid w:val="00DB33E5"/>
    <w:rsid w:val="00DB3469"/>
    <w:rsid w:val="00DB3F63"/>
    <w:rsid w:val="00DB40CA"/>
    <w:rsid w:val="00DB41FC"/>
    <w:rsid w:val="00DB429C"/>
    <w:rsid w:val="00DB42F8"/>
    <w:rsid w:val="00DB4749"/>
    <w:rsid w:val="00DB47B1"/>
    <w:rsid w:val="00DB4B56"/>
    <w:rsid w:val="00DB4E8A"/>
    <w:rsid w:val="00DB4F9F"/>
    <w:rsid w:val="00DB53F0"/>
    <w:rsid w:val="00DB5838"/>
    <w:rsid w:val="00DB5E50"/>
    <w:rsid w:val="00DB64B7"/>
    <w:rsid w:val="00DB64C4"/>
    <w:rsid w:val="00DB677F"/>
    <w:rsid w:val="00DB69DA"/>
    <w:rsid w:val="00DB6DE0"/>
    <w:rsid w:val="00DB7295"/>
    <w:rsid w:val="00DB73E2"/>
    <w:rsid w:val="00DB73F2"/>
    <w:rsid w:val="00DB74CB"/>
    <w:rsid w:val="00DB764F"/>
    <w:rsid w:val="00DB7777"/>
    <w:rsid w:val="00DB797E"/>
    <w:rsid w:val="00DB79F3"/>
    <w:rsid w:val="00DB7AD5"/>
    <w:rsid w:val="00DB7AD8"/>
    <w:rsid w:val="00DB7C8B"/>
    <w:rsid w:val="00DB7E0E"/>
    <w:rsid w:val="00DC005D"/>
    <w:rsid w:val="00DC01AD"/>
    <w:rsid w:val="00DC02F5"/>
    <w:rsid w:val="00DC0A79"/>
    <w:rsid w:val="00DC0D43"/>
    <w:rsid w:val="00DC0E91"/>
    <w:rsid w:val="00DC15FD"/>
    <w:rsid w:val="00DC1654"/>
    <w:rsid w:val="00DC1688"/>
    <w:rsid w:val="00DC16F8"/>
    <w:rsid w:val="00DC1AAC"/>
    <w:rsid w:val="00DC1AD1"/>
    <w:rsid w:val="00DC1C31"/>
    <w:rsid w:val="00DC1C8B"/>
    <w:rsid w:val="00DC250A"/>
    <w:rsid w:val="00DC2552"/>
    <w:rsid w:val="00DC2A15"/>
    <w:rsid w:val="00DC2C19"/>
    <w:rsid w:val="00DC2C98"/>
    <w:rsid w:val="00DC2E22"/>
    <w:rsid w:val="00DC30B7"/>
    <w:rsid w:val="00DC312B"/>
    <w:rsid w:val="00DC33B3"/>
    <w:rsid w:val="00DC3566"/>
    <w:rsid w:val="00DC37AF"/>
    <w:rsid w:val="00DC3A30"/>
    <w:rsid w:val="00DC3E05"/>
    <w:rsid w:val="00DC4256"/>
    <w:rsid w:val="00DC42CA"/>
    <w:rsid w:val="00DC4417"/>
    <w:rsid w:val="00DC4524"/>
    <w:rsid w:val="00DC4AB8"/>
    <w:rsid w:val="00DC4BA2"/>
    <w:rsid w:val="00DC4CD3"/>
    <w:rsid w:val="00DC4FF4"/>
    <w:rsid w:val="00DC504A"/>
    <w:rsid w:val="00DC530F"/>
    <w:rsid w:val="00DC5F23"/>
    <w:rsid w:val="00DC6052"/>
    <w:rsid w:val="00DC65D3"/>
    <w:rsid w:val="00DC69A9"/>
    <w:rsid w:val="00DC7027"/>
    <w:rsid w:val="00DD0468"/>
    <w:rsid w:val="00DD06E4"/>
    <w:rsid w:val="00DD0701"/>
    <w:rsid w:val="00DD07B7"/>
    <w:rsid w:val="00DD08DB"/>
    <w:rsid w:val="00DD093E"/>
    <w:rsid w:val="00DD09C3"/>
    <w:rsid w:val="00DD0B08"/>
    <w:rsid w:val="00DD0F92"/>
    <w:rsid w:val="00DD11AF"/>
    <w:rsid w:val="00DD1347"/>
    <w:rsid w:val="00DD13DE"/>
    <w:rsid w:val="00DD142E"/>
    <w:rsid w:val="00DD170B"/>
    <w:rsid w:val="00DD1972"/>
    <w:rsid w:val="00DD19E9"/>
    <w:rsid w:val="00DD2222"/>
    <w:rsid w:val="00DD2356"/>
    <w:rsid w:val="00DD2736"/>
    <w:rsid w:val="00DD276C"/>
    <w:rsid w:val="00DD2933"/>
    <w:rsid w:val="00DD2C29"/>
    <w:rsid w:val="00DD3085"/>
    <w:rsid w:val="00DD3327"/>
    <w:rsid w:val="00DD3871"/>
    <w:rsid w:val="00DD3E7C"/>
    <w:rsid w:val="00DD40E5"/>
    <w:rsid w:val="00DD4238"/>
    <w:rsid w:val="00DD4384"/>
    <w:rsid w:val="00DD442F"/>
    <w:rsid w:val="00DD4616"/>
    <w:rsid w:val="00DD4745"/>
    <w:rsid w:val="00DD4922"/>
    <w:rsid w:val="00DD4AD3"/>
    <w:rsid w:val="00DD4C04"/>
    <w:rsid w:val="00DD4E67"/>
    <w:rsid w:val="00DD5198"/>
    <w:rsid w:val="00DD5686"/>
    <w:rsid w:val="00DD5768"/>
    <w:rsid w:val="00DD57F2"/>
    <w:rsid w:val="00DD5903"/>
    <w:rsid w:val="00DD5EB0"/>
    <w:rsid w:val="00DD5F2E"/>
    <w:rsid w:val="00DD613A"/>
    <w:rsid w:val="00DD61F7"/>
    <w:rsid w:val="00DD6AB5"/>
    <w:rsid w:val="00DD6ACA"/>
    <w:rsid w:val="00DD6C88"/>
    <w:rsid w:val="00DD6E0B"/>
    <w:rsid w:val="00DD76C8"/>
    <w:rsid w:val="00DD7AB1"/>
    <w:rsid w:val="00DD7B1B"/>
    <w:rsid w:val="00DD7DB1"/>
    <w:rsid w:val="00DE002E"/>
    <w:rsid w:val="00DE009A"/>
    <w:rsid w:val="00DE049D"/>
    <w:rsid w:val="00DE07DB"/>
    <w:rsid w:val="00DE0839"/>
    <w:rsid w:val="00DE096B"/>
    <w:rsid w:val="00DE0DCE"/>
    <w:rsid w:val="00DE1514"/>
    <w:rsid w:val="00DE164E"/>
    <w:rsid w:val="00DE17B0"/>
    <w:rsid w:val="00DE1EB0"/>
    <w:rsid w:val="00DE2124"/>
    <w:rsid w:val="00DE21F4"/>
    <w:rsid w:val="00DE2247"/>
    <w:rsid w:val="00DE2524"/>
    <w:rsid w:val="00DE275C"/>
    <w:rsid w:val="00DE2983"/>
    <w:rsid w:val="00DE2AD3"/>
    <w:rsid w:val="00DE2B6E"/>
    <w:rsid w:val="00DE2BB7"/>
    <w:rsid w:val="00DE2FA7"/>
    <w:rsid w:val="00DE3318"/>
    <w:rsid w:val="00DE3484"/>
    <w:rsid w:val="00DE3509"/>
    <w:rsid w:val="00DE3D29"/>
    <w:rsid w:val="00DE3DBF"/>
    <w:rsid w:val="00DE3ED2"/>
    <w:rsid w:val="00DE455A"/>
    <w:rsid w:val="00DE45CF"/>
    <w:rsid w:val="00DE462B"/>
    <w:rsid w:val="00DE46A9"/>
    <w:rsid w:val="00DE479E"/>
    <w:rsid w:val="00DE4953"/>
    <w:rsid w:val="00DE4BA9"/>
    <w:rsid w:val="00DE4D13"/>
    <w:rsid w:val="00DE4D1D"/>
    <w:rsid w:val="00DE4F50"/>
    <w:rsid w:val="00DE50D7"/>
    <w:rsid w:val="00DE50F2"/>
    <w:rsid w:val="00DE5265"/>
    <w:rsid w:val="00DE5299"/>
    <w:rsid w:val="00DE5959"/>
    <w:rsid w:val="00DE5AA8"/>
    <w:rsid w:val="00DE5BE7"/>
    <w:rsid w:val="00DE63A5"/>
    <w:rsid w:val="00DE63E1"/>
    <w:rsid w:val="00DE6532"/>
    <w:rsid w:val="00DE6B55"/>
    <w:rsid w:val="00DE6B6C"/>
    <w:rsid w:val="00DE7031"/>
    <w:rsid w:val="00DE7097"/>
    <w:rsid w:val="00DE7227"/>
    <w:rsid w:val="00DE7231"/>
    <w:rsid w:val="00DE7521"/>
    <w:rsid w:val="00DE7A73"/>
    <w:rsid w:val="00DE7C4A"/>
    <w:rsid w:val="00DE7D1D"/>
    <w:rsid w:val="00DE7D49"/>
    <w:rsid w:val="00DE7D5F"/>
    <w:rsid w:val="00DE7F35"/>
    <w:rsid w:val="00DF02EC"/>
    <w:rsid w:val="00DF07C7"/>
    <w:rsid w:val="00DF09FC"/>
    <w:rsid w:val="00DF0C42"/>
    <w:rsid w:val="00DF0F4C"/>
    <w:rsid w:val="00DF14C5"/>
    <w:rsid w:val="00DF1A35"/>
    <w:rsid w:val="00DF1E7A"/>
    <w:rsid w:val="00DF1E9D"/>
    <w:rsid w:val="00DF222C"/>
    <w:rsid w:val="00DF248A"/>
    <w:rsid w:val="00DF26D1"/>
    <w:rsid w:val="00DF2CE8"/>
    <w:rsid w:val="00DF2DED"/>
    <w:rsid w:val="00DF2EBF"/>
    <w:rsid w:val="00DF33AF"/>
    <w:rsid w:val="00DF3577"/>
    <w:rsid w:val="00DF3590"/>
    <w:rsid w:val="00DF38C8"/>
    <w:rsid w:val="00DF3A6E"/>
    <w:rsid w:val="00DF3B00"/>
    <w:rsid w:val="00DF3BE0"/>
    <w:rsid w:val="00DF3C46"/>
    <w:rsid w:val="00DF3F36"/>
    <w:rsid w:val="00DF3F69"/>
    <w:rsid w:val="00DF3FC6"/>
    <w:rsid w:val="00DF41A4"/>
    <w:rsid w:val="00DF42AF"/>
    <w:rsid w:val="00DF4357"/>
    <w:rsid w:val="00DF4814"/>
    <w:rsid w:val="00DF4851"/>
    <w:rsid w:val="00DF4A92"/>
    <w:rsid w:val="00DF4D43"/>
    <w:rsid w:val="00DF515C"/>
    <w:rsid w:val="00DF5403"/>
    <w:rsid w:val="00DF55D4"/>
    <w:rsid w:val="00DF5875"/>
    <w:rsid w:val="00DF5BCE"/>
    <w:rsid w:val="00DF5FCC"/>
    <w:rsid w:val="00DF630F"/>
    <w:rsid w:val="00DF6383"/>
    <w:rsid w:val="00DF6652"/>
    <w:rsid w:val="00DF66D2"/>
    <w:rsid w:val="00DF6987"/>
    <w:rsid w:val="00DF6CC0"/>
    <w:rsid w:val="00DF747A"/>
    <w:rsid w:val="00DF7A60"/>
    <w:rsid w:val="00DF7D2B"/>
    <w:rsid w:val="00DF7FF1"/>
    <w:rsid w:val="00E00021"/>
    <w:rsid w:val="00E0002E"/>
    <w:rsid w:val="00E00052"/>
    <w:rsid w:val="00E002DF"/>
    <w:rsid w:val="00E003D1"/>
    <w:rsid w:val="00E0084E"/>
    <w:rsid w:val="00E00D00"/>
    <w:rsid w:val="00E00D09"/>
    <w:rsid w:val="00E01077"/>
    <w:rsid w:val="00E010F5"/>
    <w:rsid w:val="00E01196"/>
    <w:rsid w:val="00E016F8"/>
    <w:rsid w:val="00E0185E"/>
    <w:rsid w:val="00E018A7"/>
    <w:rsid w:val="00E01D9C"/>
    <w:rsid w:val="00E01DEE"/>
    <w:rsid w:val="00E02434"/>
    <w:rsid w:val="00E02648"/>
    <w:rsid w:val="00E02CB5"/>
    <w:rsid w:val="00E02CC0"/>
    <w:rsid w:val="00E02FD7"/>
    <w:rsid w:val="00E03836"/>
    <w:rsid w:val="00E03938"/>
    <w:rsid w:val="00E03F0C"/>
    <w:rsid w:val="00E03F29"/>
    <w:rsid w:val="00E03F77"/>
    <w:rsid w:val="00E0445F"/>
    <w:rsid w:val="00E048B4"/>
    <w:rsid w:val="00E04C2C"/>
    <w:rsid w:val="00E04FAA"/>
    <w:rsid w:val="00E05019"/>
    <w:rsid w:val="00E0527F"/>
    <w:rsid w:val="00E052FE"/>
    <w:rsid w:val="00E056DD"/>
    <w:rsid w:val="00E0573F"/>
    <w:rsid w:val="00E057E2"/>
    <w:rsid w:val="00E05A22"/>
    <w:rsid w:val="00E05DEA"/>
    <w:rsid w:val="00E05E4E"/>
    <w:rsid w:val="00E0616F"/>
    <w:rsid w:val="00E061AC"/>
    <w:rsid w:val="00E066CF"/>
    <w:rsid w:val="00E067E6"/>
    <w:rsid w:val="00E0683C"/>
    <w:rsid w:val="00E06901"/>
    <w:rsid w:val="00E06A63"/>
    <w:rsid w:val="00E06F5F"/>
    <w:rsid w:val="00E075C2"/>
    <w:rsid w:val="00E076AB"/>
    <w:rsid w:val="00E07ACA"/>
    <w:rsid w:val="00E07B41"/>
    <w:rsid w:val="00E07C13"/>
    <w:rsid w:val="00E1000B"/>
    <w:rsid w:val="00E1040D"/>
    <w:rsid w:val="00E10597"/>
    <w:rsid w:val="00E108E5"/>
    <w:rsid w:val="00E1096D"/>
    <w:rsid w:val="00E109C0"/>
    <w:rsid w:val="00E10AB1"/>
    <w:rsid w:val="00E10AD6"/>
    <w:rsid w:val="00E10B8F"/>
    <w:rsid w:val="00E10BF2"/>
    <w:rsid w:val="00E10CD0"/>
    <w:rsid w:val="00E10F86"/>
    <w:rsid w:val="00E1143D"/>
    <w:rsid w:val="00E116BD"/>
    <w:rsid w:val="00E11841"/>
    <w:rsid w:val="00E12286"/>
    <w:rsid w:val="00E1232C"/>
    <w:rsid w:val="00E127E9"/>
    <w:rsid w:val="00E12AC8"/>
    <w:rsid w:val="00E12BA8"/>
    <w:rsid w:val="00E12C63"/>
    <w:rsid w:val="00E12C83"/>
    <w:rsid w:val="00E12DBA"/>
    <w:rsid w:val="00E133D7"/>
    <w:rsid w:val="00E1352D"/>
    <w:rsid w:val="00E13557"/>
    <w:rsid w:val="00E13569"/>
    <w:rsid w:val="00E136C1"/>
    <w:rsid w:val="00E136F6"/>
    <w:rsid w:val="00E137CE"/>
    <w:rsid w:val="00E13DE6"/>
    <w:rsid w:val="00E1421A"/>
    <w:rsid w:val="00E14498"/>
    <w:rsid w:val="00E1476D"/>
    <w:rsid w:val="00E1485C"/>
    <w:rsid w:val="00E14E80"/>
    <w:rsid w:val="00E14FEE"/>
    <w:rsid w:val="00E15526"/>
    <w:rsid w:val="00E15586"/>
    <w:rsid w:val="00E156D4"/>
    <w:rsid w:val="00E15932"/>
    <w:rsid w:val="00E15A57"/>
    <w:rsid w:val="00E15AA5"/>
    <w:rsid w:val="00E15AD6"/>
    <w:rsid w:val="00E15B89"/>
    <w:rsid w:val="00E15F47"/>
    <w:rsid w:val="00E16555"/>
    <w:rsid w:val="00E16E3B"/>
    <w:rsid w:val="00E17007"/>
    <w:rsid w:val="00E1712E"/>
    <w:rsid w:val="00E175C6"/>
    <w:rsid w:val="00E177CB"/>
    <w:rsid w:val="00E17A35"/>
    <w:rsid w:val="00E17C5B"/>
    <w:rsid w:val="00E17F20"/>
    <w:rsid w:val="00E2012B"/>
    <w:rsid w:val="00E20285"/>
    <w:rsid w:val="00E202DF"/>
    <w:rsid w:val="00E2048C"/>
    <w:rsid w:val="00E206D3"/>
    <w:rsid w:val="00E2075A"/>
    <w:rsid w:val="00E208F9"/>
    <w:rsid w:val="00E20BB7"/>
    <w:rsid w:val="00E20C6D"/>
    <w:rsid w:val="00E20CAC"/>
    <w:rsid w:val="00E20E73"/>
    <w:rsid w:val="00E20F13"/>
    <w:rsid w:val="00E21158"/>
    <w:rsid w:val="00E2163B"/>
    <w:rsid w:val="00E218B7"/>
    <w:rsid w:val="00E21A61"/>
    <w:rsid w:val="00E2229D"/>
    <w:rsid w:val="00E2247E"/>
    <w:rsid w:val="00E22F4B"/>
    <w:rsid w:val="00E23277"/>
    <w:rsid w:val="00E23566"/>
    <w:rsid w:val="00E238F5"/>
    <w:rsid w:val="00E23A59"/>
    <w:rsid w:val="00E23A5C"/>
    <w:rsid w:val="00E23C11"/>
    <w:rsid w:val="00E24090"/>
    <w:rsid w:val="00E2410F"/>
    <w:rsid w:val="00E24175"/>
    <w:rsid w:val="00E242DD"/>
    <w:rsid w:val="00E242E0"/>
    <w:rsid w:val="00E24404"/>
    <w:rsid w:val="00E244F4"/>
    <w:rsid w:val="00E24A6E"/>
    <w:rsid w:val="00E24B84"/>
    <w:rsid w:val="00E24D57"/>
    <w:rsid w:val="00E24EBA"/>
    <w:rsid w:val="00E2540D"/>
    <w:rsid w:val="00E25467"/>
    <w:rsid w:val="00E25599"/>
    <w:rsid w:val="00E257C0"/>
    <w:rsid w:val="00E259A4"/>
    <w:rsid w:val="00E259CF"/>
    <w:rsid w:val="00E25C29"/>
    <w:rsid w:val="00E260AA"/>
    <w:rsid w:val="00E26346"/>
    <w:rsid w:val="00E26BF6"/>
    <w:rsid w:val="00E26DC9"/>
    <w:rsid w:val="00E27178"/>
    <w:rsid w:val="00E277E4"/>
    <w:rsid w:val="00E27C38"/>
    <w:rsid w:val="00E27D9E"/>
    <w:rsid w:val="00E27DE9"/>
    <w:rsid w:val="00E27FE1"/>
    <w:rsid w:val="00E303B2"/>
    <w:rsid w:val="00E30873"/>
    <w:rsid w:val="00E308EA"/>
    <w:rsid w:val="00E30A32"/>
    <w:rsid w:val="00E31070"/>
    <w:rsid w:val="00E3117F"/>
    <w:rsid w:val="00E314A6"/>
    <w:rsid w:val="00E31683"/>
    <w:rsid w:val="00E31A57"/>
    <w:rsid w:val="00E31B16"/>
    <w:rsid w:val="00E31EED"/>
    <w:rsid w:val="00E3232B"/>
    <w:rsid w:val="00E32912"/>
    <w:rsid w:val="00E32C03"/>
    <w:rsid w:val="00E32D00"/>
    <w:rsid w:val="00E32EBE"/>
    <w:rsid w:val="00E3305E"/>
    <w:rsid w:val="00E33084"/>
    <w:rsid w:val="00E330D7"/>
    <w:rsid w:val="00E33126"/>
    <w:rsid w:val="00E334EB"/>
    <w:rsid w:val="00E33585"/>
    <w:rsid w:val="00E335BA"/>
    <w:rsid w:val="00E33F48"/>
    <w:rsid w:val="00E3432A"/>
    <w:rsid w:val="00E34768"/>
    <w:rsid w:val="00E349EF"/>
    <w:rsid w:val="00E34AC9"/>
    <w:rsid w:val="00E34D85"/>
    <w:rsid w:val="00E34D87"/>
    <w:rsid w:val="00E3505F"/>
    <w:rsid w:val="00E352AB"/>
    <w:rsid w:val="00E35AB1"/>
    <w:rsid w:val="00E35D84"/>
    <w:rsid w:val="00E360F8"/>
    <w:rsid w:val="00E36437"/>
    <w:rsid w:val="00E36533"/>
    <w:rsid w:val="00E36534"/>
    <w:rsid w:val="00E36758"/>
    <w:rsid w:val="00E36E7F"/>
    <w:rsid w:val="00E37251"/>
    <w:rsid w:val="00E374F2"/>
    <w:rsid w:val="00E3787B"/>
    <w:rsid w:val="00E37944"/>
    <w:rsid w:val="00E37D04"/>
    <w:rsid w:val="00E40376"/>
    <w:rsid w:val="00E405CA"/>
    <w:rsid w:val="00E4063B"/>
    <w:rsid w:val="00E406B3"/>
    <w:rsid w:val="00E409DA"/>
    <w:rsid w:val="00E40A0F"/>
    <w:rsid w:val="00E4113F"/>
    <w:rsid w:val="00E41162"/>
    <w:rsid w:val="00E4134B"/>
    <w:rsid w:val="00E41806"/>
    <w:rsid w:val="00E41CC5"/>
    <w:rsid w:val="00E4216D"/>
    <w:rsid w:val="00E42184"/>
    <w:rsid w:val="00E421B6"/>
    <w:rsid w:val="00E422BB"/>
    <w:rsid w:val="00E423B4"/>
    <w:rsid w:val="00E42524"/>
    <w:rsid w:val="00E4270E"/>
    <w:rsid w:val="00E428E1"/>
    <w:rsid w:val="00E42A39"/>
    <w:rsid w:val="00E42B82"/>
    <w:rsid w:val="00E42BB9"/>
    <w:rsid w:val="00E42E28"/>
    <w:rsid w:val="00E42F97"/>
    <w:rsid w:val="00E43113"/>
    <w:rsid w:val="00E434C7"/>
    <w:rsid w:val="00E4358C"/>
    <w:rsid w:val="00E438BE"/>
    <w:rsid w:val="00E43B65"/>
    <w:rsid w:val="00E43D14"/>
    <w:rsid w:val="00E441CF"/>
    <w:rsid w:val="00E442B9"/>
    <w:rsid w:val="00E44609"/>
    <w:rsid w:val="00E44664"/>
    <w:rsid w:val="00E44A68"/>
    <w:rsid w:val="00E44A93"/>
    <w:rsid w:val="00E44D2F"/>
    <w:rsid w:val="00E4525D"/>
    <w:rsid w:val="00E45397"/>
    <w:rsid w:val="00E45A29"/>
    <w:rsid w:val="00E45BE3"/>
    <w:rsid w:val="00E45E82"/>
    <w:rsid w:val="00E46588"/>
    <w:rsid w:val="00E466E5"/>
    <w:rsid w:val="00E46B18"/>
    <w:rsid w:val="00E46C36"/>
    <w:rsid w:val="00E46D04"/>
    <w:rsid w:val="00E4709B"/>
    <w:rsid w:val="00E471D3"/>
    <w:rsid w:val="00E4729E"/>
    <w:rsid w:val="00E47387"/>
    <w:rsid w:val="00E477F2"/>
    <w:rsid w:val="00E50100"/>
    <w:rsid w:val="00E50853"/>
    <w:rsid w:val="00E508BE"/>
    <w:rsid w:val="00E508E8"/>
    <w:rsid w:val="00E50BEA"/>
    <w:rsid w:val="00E50C63"/>
    <w:rsid w:val="00E50CF9"/>
    <w:rsid w:val="00E50FAD"/>
    <w:rsid w:val="00E512E3"/>
    <w:rsid w:val="00E515DD"/>
    <w:rsid w:val="00E5179F"/>
    <w:rsid w:val="00E5187C"/>
    <w:rsid w:val="00E51A4C"/>
    <w:rsid w:val="00E51AAD"/>
    <w:rsid w:val="00E51AE1"/>
    <w:rsid w:val="00E51B2F"/>
    <w:rsid w:val="00E51C32"/>
    <w:rsid w:val="00E51DA7"/>
    <w:rsid w:val="00E51EA3"/>
    <w:rsid w:val="00E5201D"/>
    <w:rsid w:val="00E5227F"/>
    <w:rsid w:val="00E52D38"/>
    <w:rsid w:val="00E5312A"/>
    <w:rsid w:val="00E5370E"/>
    <w:rsid w:val="00E538DF"/>
    <w:rsid w:val="00E53985"/>
    <w:rsid w:val="00E5398F"/>
    <w:rsid w:val="00E539D9"/>
    <w:rsid w:val="00E53CC9"/>
    <w:rsid w:val="00E53D79"/>
    <w:rsid w:val="00E540F7"/>
    <w:rsid w:val="00E5461C"/>
    <w:rsid w:val="00E54651"/>
    <w:rsid w:val="00E546D9"/>
    <w:rsid w:val="00E549EB"/>
    <w:rsid w:val="00E54DCE"/>
    <w:rsid w:val="00E55122"/>
    <w:rsid w:val="00E55763"/>
    <w:rsid w:val="00E55A84"/>
    <w:rsid w:val="00E55D32"/>
    <w:rsid w:val="00E55FB7"/>
    <w:rsid w:val="00E5622F"/>
    <w:rsid w:val="00E56302"/>
    <w:rsid w:val="00E56695"/>
    <w:rsid w:val="00E56DF1"/>
    <w:rsid w:val="00E5718D"/>
    <w:rsid w:val="00E57414"/>
    <w:rsid w:val="00E57668"/>
    <w:rsid w:val="00E577D3"/>
    <w:rsid w:val="00E601A0"/>
    <w:rsid w:val="00E601A7"/>
    <w:rsid w:val="00E602F7"/>
    <w:rsid w:val="00E605FA"/>
    <w:rsid w:val="00E60F5B"/>
    <w:rsid w:val="00E610AB"/>
    <w:rsid w:val="00E611B9"/>
    <w:rsid w:val="00E61231"/>
    <w:rsid w:val="00E61488"/>
    <w:rsid w:val="00E61818"/>
    <w:rsid w:val="00E61BA5"/>
    <w:rsid w:val="00E61C32"/>
    <w:rsid w:val="00E61E0F"/>
    <w:rsid w:val="00E61E19"/>
    <w:rsid w:val="00E61EC0"/>
    <w:rsid w:val="00E61F76"/>
    <w:rsid w:val="00E621DF"/>
    <w:rsid w:val="00E6225D"/>
    <w:rsid w:val="00E622F4"/>
    <w:rsid w:val="00E6236C"/>
    <w:rsid w:val="00E62466"/>
    <w:rsid w:val="00E629EB"/>
    <w:rsid w:val="00E62AE4"/>
    <w:rsid w:val="00E62BCF"/>
    <w:rsid w:val="00E62E50"/>
    <w:rsid w:val="00E637CE"/>
    <w:rsid w:val="00E63829"/>
    <w:rsid w:val="00E63864"/>
    <w:rsid w:val="00E63E57"/>
    <w:rsid w:val="00E64131"/>
    <w:rsid w:val="00E642EE"/>
    <w:rsid w:val="00E64503"/>
    <w:rsid w:val="00E64861"/>
    <w:rsid w:val="00E64C4B"/>
    <w:rsid w:val="00E6587E"/>
    <w:rsid w:val="00E65AAD"/>
    <w:rsid w:val="00E65ADF"/>
    <w:rsid w:val="00E65FB5"/>
    <w:rsid w:val="00E662A1"/>
    <w:rsid w:val="00E66423"/>
    <w:rsid w:val="00E664B7"/>
    <w:rsid w:val="00E66588"/>
    <w:rsid w:val="00E665CA"/>
    <w:rsid w:val="00E6660D"/>
    <w:rsid w:val="00E666D7"/>
    <w:rsid w:val="00E66751"/>
    <w:rsid w:val="00E668BD"/>
    <w:rsid w:val="00E672B1"/>
    <w:rsid w:val="00E672BC"/>
    <w:rsid w:val="00E67394"/>
    <w:rsid w:val="00E67533"/>
    <w:rsid w:val="00E677AC"/>
    <w:rsid w:val="00E677FE"/>
    <w:rsid w:val="00E678B6"/>
    <w:rsid w:val="00E67B72"/>
    <w:rsid w:val="00E67E31"/>
    <w:rsid w:val="00E67F4A"/>
    <w:rsid w:val="00E701E9"/>
    <w:rsid w:val="00E70218"/>
    <w:rsid w:val="00E70451"/>
    <w:rsid w:val="00E70687"/>
    <w:rsid w:val="00E70CB4"/>
    <w:rsid w:val="00E70D75"/>
    <w:rsid w:val="00E710E9"/>
    <w:rsid w:val="00E71818"/>
    <w:rsid w:val="00E71BAE"/>
    <w:rsid w:val="00E71C82"/>
    <w:rsid w:val="00E723A8"/>
    <w:rsid w:val="00E72489"/>
    <w:rsid w:val="00E724B8"/>
    <w:rsid w:val="00E724E2"/>
    <w:rsid w:val="00E72574"/>
    <w:rsid w:val="00E72750"/>
    <w:rsid w:val="00E729E5"/>
    <w:rsid w:val="00E72F1A"/>
    <w:rsid w:val="00E72F1C"/>
    <w:rsid w:val="00E72F80"/>
    <w:rsid w:val="00E7300B"/>
    <w:rsid w:val="00E7300D"/>
    <w:rsid w:val="00E7329D"/>
    <w:rsid w:val="00E7378D"/>
    <w:rsid w:val="00E7395D"/>
    <w:rsid w:val="00E73E06"/>
    <w:rsid w:val="00E740D0"/>
    <w:rsid w:val="00E74135"/>
    <w:rsid w:val="00E74246"/>
    <w:rsid w:val="00E74571"/>
    <w:rsid w:val="00E748A1"/>
    <w:rsid w:val="00E748E7"/>
    <w:rsid w:val="00E748EA"/>
    <w:rsid w:val="00E74A20"/>
    <w:rsid w:val="00E74ABC"/>
    <w:rsid w:val="00E7516C"/>
    <w:rsid w:val="00E753C1"/>
    <w:rsid w:val="00E754A1"/>
    <w:rsid w:val="00E75947"/>
    <w:rsid w:val="00E759C1"/>
    <w:rsid w:val="00E75EEA"/>
    <w:rsid w:val="00E76B19"/>
    <w:rsid w:val="00E76DA4"/>
    <w:rsid w:val="00E76EBC"/>
    <w:rsid w:val="00E77074"/>
    <w:rsid w:val="00E770EC"/>
    <w:rsid w:val="00E77634"/>
    <w:rsid w:val="00E776E7"/>
    <w:rsid w:val="00E778C3"/>
    <w:rsid w:val="00E77F49"/>
    <w:rsid w:val="00E80361"/>
    <w:rsid w:val="00E8057E"/>
    <w:rsid w:val="00E80763"/>
    <w:rsid w:val="00E80972"/>
    <w:rsid w:val="00E80A99"/>
    <w:rsid w:val="00E80C8D"/>
    <w:rsid w:val="00E81166"/>
    <w:rsid w:val="00E81215"/>
    <w:rsid w:val="00E8127D"/>
    <w:rsid w:val="00E813E6"/>
    <w:rsid w:val="00E814AB"/>
    <w:rsid w:val="00E81938"/>
    <w:rsid w:val="00E81B19"/>
    <w:rsid w:val="00E81CF4"/>
    <w:rsid w:val="00E8203E"/>
    <w:rsid w:val="00E82357"/>
    <w:rsid w:val="00E825FF"/>
    <w:rsid w:val="00E82C64"/>
    <w:rsid w:val="00E82D5F"/>
    <w:rsid w:val="00E831E6"/>
    <w:rsid w:val="00E832BD"/>
    <w:rsid w:val="00E83361"/>
    <w:rsid w:val="00E838E8"/>
    <w:rsid w:val="00E83B9B"/>
    <w:rsid w:val="00E83C26"/>
    <w:rsid w:val="00E84110"/>
    <w:rsid w:val="00E84141"/>
    <w:rsid w:val="00E844AF"/>
    <w:rsid w:val="00E848B5"/>
    <w:rsid w:val="00E84D4E"/>
    <w:rsid w:val="00E84E4A"/>
    <w:rsid w:val="00E84E84"/>
    <w:rsid w:val="00E85038"/>
    <w:rsid w:val="00E851C0"/>
    <w:rsid w:val="00E85206"/>
    <w:rsid w:val="00E85264"/>
    <w:rsid w:val="00E853E3"/>
    <w:rsid w:val="00E8543B"/>
    <w:rsid w:val="00E85445"/>
    <w:rsid w:val="00E854B9"/>
    <w:rsid w:val="00E85761"/>
    <w:rsid w:val="00E85A08"/>
    <w:rsid w:val="00E85BCC"/>
    <w:rsid w:val="00E85BF6"/>
    <w:rsid w:val="00E85CAC"/>
    <w:rsid w:val="00E85E80"/>
    <w:rsid w:val="00E85F6F"/>
    <w:rsid w:val="00E86019"/>
    <w:rsid w:val="00E86124"/>
    <w:rsid w:val="00E86132"/>
    <w:rsid w:val="00E86279"/>
    <w:rsid w:val="00E8658A"/>
    <w:rsid w:val="00E86971"/>
    <w:rsid w:val="00E86A9F"/>
    <w:rsid w:val="00E86ADB"/>
    <w:rsid w:val="00E86C72"/>
    <w:rsid w:val="00E8708C"/>
    <w:rsid w:val="00E8729B"/>
    <w:rsid w:val="00E87593"/>
    <w:rsid w:val="00E87647"/>
    <w:rsid w:val="00E87913"/>
    <w:rsid w:val="00E87CFC"/>
    <w:rsid w:val="00E87EED"/>
    <w:rsid w:val="00E87F0D"/>
    <w:rsid w:val="00E87F82"/>
    <w:rsid w:val="00E90160"/>
    <w:rsid w:val="00E9029A"/>
    <w:rsid w:val="00E9059C"/>
    <w:rsid w:val="00E9081A"/>
    <w:rsid w:val="00E90FBB"/>
    <w:rsid w:val="00E9106C"/>
    <w:rsid w:val="00E91257"/>
    <w:rsid w:val="00E9135C"/>
    <w:rsid w:val="00E9140E"/>
    <w:rsid w:val="00E9161A"/>
    <w:rsid w:val="00E916DF"/>
    <w:rsid w:val="00E91792"/>
    <w:rsid w:val="00E91F5A"/>
    <w:rsid w:val="00E91F6C"/>
    <w:rsid w:val="00E91FEC"/>
    <w:rsid w:val="00E9242B"/>
    <w:rsid w:val="00E92B29"/>
    <w:rsid w:val="00E92CA0"/>
    <w:rsid w:val="00E932FF"/>
    <w:rsid w:val="00E93756"/>
    <w:rsid w:val="00E9375E"/>
    <w:rsid w:val="00E937C6"/>
    <w:rsid w:val="00E9388B"/>
    <w:rsid w:val="00E93969"/>
    <w:rsid w:val="00E93997"/>
    <w:rsid w:val="00E93C73"/>
    <w:rsid w:val="00E93CB5"/>
    <w:rsid w:val="00E93CE5"/>
    <w:rsid w:val="00E93D02"/>
    <w:rsid w:val="00E93D1A"/>
    <w:rsid w:val="00E93E5C"/>
    <w:rsid w:val="00E93ED8"/>
    <w:rsid w:val="00E93F4A"/>
    <w:rsid w:val="00E94163"/>
    <w:rsid w:val="00E943FA"/>
    <w:rsid w:val="00E94473"/>
    <w:rsid w:val="00E946CD"/>
    <w:rsid w:val="00E946EA"/>
    <w:rsid w:val="00E948DA"/>
    <w:rsid w:val="00E949CE"/>
    <w:rsid w:val="00E94BAD"/>
    <w:rsid w:val="00E94C3C"/>
    <w:rsid w:val="00E94FFF"/>
    <w:rsid w:val="00E951AE"/>
    <w:rsid w:val="00E952B8"/>
    <w:rsid w:val="00E956A9"/>
    <w:rsid w:val="00E956D4"/>
    <w:rsid w:val="00E9580E"/>
    <w:rsid w:val="00E960BC"/>
    <w:rsid w:val="00E964F6"/>
    <w:rsid w:val="00E96989"/>
    <w:rsid w:val="00E96D5F"/>
    <w:rsid w:val="00E97199"/>
    <w:rsid w:val="00E9739C"/>
    <w:rsid w:val="00E97484"/>
    <w:rsid w:val="00E974F3"/>
    <w:rsid w:val="00E97534"/>
    <w:rsid w:val="00E975C4"/>
    <w:rsid w:val="00E978D7"/>
    <w:rsid w:val="00E97A3C"/>
    <w:rsid w:val="00E97E0E"/>
    <w:rsid w:val="00E97E84"/>
    <w:rsid w:val="00EA0006"/>
    <w:rsid w:val="00EA01A3"/>
    <w:rsid w:val="00EA031B"/>
    <w:rsid w:val="00EA0490"/>
    <w:rsid w:val="00EA0607"/>
    <w:rsid w:val="00EA0B65"/>
    <w:rsid w:val="00EA0BAA"/>
    <w:rsid w:val="00EA125F"/>
    <w:rsid w:val="00EA138C"/>
    <w:rsid w:val="00EA1424"/>
    <w:rsid w:val="00EA14B8"/>
    <w:rsid w:val="00EA1A08"/>
    <w:rsid w:val="00EA1A58"/>
    <w:rsid w:val="00EA1D23"/>
    <w:rsid w:val="00EA1D71"/>
    <w:rsid w:val="00EA1FDC"/>
    <w:rsid w:val="00EA203A"/>
    <w:rsid w:val="00EA20A6"/>
    <w:rsid w:val="00EA2288"/>
    <w:rsid w:val="00EA2516"/>
    <w:rsid w:val="00EA29E1"/>
    <w:rsid w:val="00EA2B20"/>
    <w:rsid w:val="00EA2E4C"/>
    <w:rsid w:val="00EA3540"/>
    <w:rsid w:val="00EA3B37"/>
    <w:rsid w:val="00EA401E"/>
    <w:rsid w:val="00EA4065"/>
    <w:rsid w:val="00EA41BD"/>
    <w:rsid w:val="00EA43AA"/>
    <w:rsid w:val="00EA43AD"/>
    <w:rsid w:val="00EA4424"/>
    <w:rsid w:val="00EA4743"/>
    <w:rsid w:val="00EA4848"/>
    <w:rsid w:val="00EA48FE"/>
    <w:rsid w:val="00EA4A83"/>
    <w:rsid w:val="00EA4DAF"/>
    <w:rsid w:val="00EA50DF"/>
    <w:rsid w:val="00EA521E"/>
    <w:rsid w:val="00EA5404"/>
    <w:rsid w:val="00EA55D9"/>
    <w:rsid w:val="00EA5D63"/>
    <w:rsid w:val="00EA5E7D"/>
    <w:rsid w:val="00EA6053"/>
    <w:rsid w:val="00EA608A"/>
    <w:rsid w:val="00EA612A"/>
    <w:rsid w:val="00EA64B4"/>
    <w:rsid w:val="00EA65AD"/>
    <w:rsid w:val="00EA6D71"/>
    <w:rsid w:val="00EA6DBD"/>
    <w:rsid w:val="00EA6DDA"/>
    <w:rsid w:val="00EA6F78"/>
    <w:rsid w:val="00EA7777"/>
    <w:rsid w:val="00EA7886"/>
    <w:rsid w:val="00EA7945"/>
    <w:rsid w:val="00EA7A28"/>
    <w:rsid w:val="00EA7D5A"/>
    <w:rsid w:val="00EA7E73"/>
    <w:rsid w:val="00EB00ED"/>
    <w:rsid w:val="00EB0789"/>
    <w:rsid w:val="00EB085D"/>
    <w:rsid w:val="00EB0A89"/>
    <w:rsid w:val="00EB0D52"/>
    <w:rsid w:val="00EB11D4"/>
    <w:rsid w:val="00EB1A21"/>
    <w:rsid w:val="00EB1AD6"/>
    <w:rsid w:val="00EB1D52"/>
    <w:rsid w:val="00EB1F80"/>
    <w:rsid w:val="00EB211B"/>
    <w:rsid w:val="00EB24AA"/>
    <w:rsid w:val="00EB2518"/>
    <w:rsid w:val="00EB2536"/>
    <w:rsid w:val="00EB27CF"/>
    <w:rsid w:val="00EB2969"/>
    <w:rsid w:val="00EB2B28"/>
    <w:rsid w:val="00EB2C09"/>
    <w:rsid w:val="00EB2D69"/>
    <w:rsid w:val="00EB2E97"/>
    <w:rsid w:val="00EB2EEC"/>
    <w:rsid w:val="00EB2FDE"/>
    <w:rsid w:val="00EB2FE0"/>
    <w:rsid w:val="00EB318A"/>
    <w:rsid w:val="00EB3250"/>
    <w:rsid w:val="00EB364C"/>
    <w:rsid w:val="00EB3685"/>
    <w:rsid w:val="00EB386B"/>
    <w:rsid w:val="00EB39FE"/>
    <w:rsid w:val="00EB3B76"/>
    <w:rsid w:val="00EB3D69"/>
    <w:rsid w:val="00EB4031"/>
    <w:rsid w:val="00EB41B5"/>
    <w:rsid w:val="00EB4350"/>
    <w:rsid w:val="00EB4485"/>
    <w:rsid w:val="00EB46CD"/>
    <w:rsid w:val="00EB488F"/>
    <w:rsid w:val="00EB4A4D"/>
    <w:rsid w:val="00EB5333"/>
    <w:rsid w:val="00EB53B2"/>
    <w:rsid w:val="00EB5401"/>
    <w:rsid w:val="00EB558A"/>
    <w:rsid w:val="00EB59AC"/>
    <w:rsid w:val="00EB610B"/>
    <w:rsid w:val="00EB65AC"/>
    <w:rsid w:val="00EB6B25"/>
    <w:rsid w:val="00EB6D94"/>
    <w:rsid w:val="00EB7055"/>
    <w:rsid w:val="00EB705E"/>
    <w:rsid w:val="00EB70B5"/>
    <w:rsid w:val="00EB7246"/>
    <w:rsid w:val="00EB7358"/>
    <w:rsid w:val="00EB73A9"/>
    <w:rsid w:val="00EB73C3"/>
    <w:rsid w:val="00EB73C5"/>
    <w:rsid w:val="00EB7853"/>
    <w:rsid w:val="00EB7920"/>
    <w:rsid w:val="00EB7A71"/>
    <w:rsid w:val="00EB7F5F"/>
    <w:rsid w:val="00EC001C"/>
    <w:rsid w:val="00EC0306"/>
    <w:rsid w:val="00EC032B"/>
    <w:rsid w:val="00EC0480"/>
    <w:rsid w:val="00EC04EE"/>
    <w:rsid w:val="00EC0907"/>
    <w:rsid w:val="00EC0A20"/>
    <w:rsid w:val="00EC0A4D"/>
    <w:rsid w:val="00EC0AB0"/>
    <w:rsid w:val="00EC0BF4"/>
    <w:rsid w:val="00EC10F7"/>
    <w:rsid w:val="00EC12F3"/>
    <w:rsid w:val="00EC1474"/>
    <w:rsid w:val="00EC1486"/>
    <w:rsid w:val="00EC1560"/>
    <w:rsid w:val="00EC1574"/>
    <w:rsid w:val="00EC1586"/>
    <w:rsid w:val="00EC178E"/>
    <w:rsid w:val="00EC19B9"/>
    <w:rsid w:val="00EC1B29"/>
    <w:rsid w:val="00EC1C43"/>
    <w:rsid w:val="00EC1C5F"/>
    <w:rsid w:val="00EC1D39"/>
    <w:rsid w:val="00EC1ED4"/>
    <w:rsid w:val="00EC1EDF"/>
    <w:rsid w:val="00EC22A2"/>
    <w:rsid w:val="00EC22BE"/>
    <w:rsid w:val="00EC22E1"/>
    <w:rsid w:val="00EC2609"/>
    <w:rsid w:val="00EC2A8A"/>
    <w:rsid w:val="00EC2D0A"/>
    <w:rsid w:val="00EC2D37"/>
    <w:rsid w:val="00EC2E7E"/>
    <w:rsid w:val="00EC3448"/>
    <w:rsid w:val="00EC353F"/>
    <w:rsid w:val="00EC3E56"/>
    <w:rsid w:val="00EC4041"/>
    <w:rsid w:val="00EC4346"/>
    <w:rsid w:val="00EC4B61"/>
    <w:rsid w:val="00EC4C17"/>
    <w:rsid w:val="00EC4E57"/>
    <w:rsid w:val="00EC5182"/>
    <w:rsid w:val="00EC5697"/>
    <w:rsid w:val="00EC5AA5"/>
    <w:rsid w:val="00EC5E85"/>
    <w:rsid w:val="00EC6008"/>
    <w:rsid w:val="00EC611F"/>
    <w:rsid w:val="00EC6357"/>
    <w:rsid w:val="00EC644E"/>
    <w:rsid w:val="00EC6D57"/>
    <w:rsid w:val="00EC6D5B"/>
    <w:rsid w:val="00EC741A"/>
    <w:rsid w:val="00EC7474"/>
    <w:rsid w:val="00EC7526"/>
    <w:rsid w:val="00EC752E"/>
    <w:rsid w:val="00EC756C"/>
    <w:rsid w:val="00EC761D"/>
    <w:rsid w:val="00EC7A9C"/>
    <w:rsid w:val="00EC7B22"/>
    <w:rsid w:val="00EC7B69"/>
    <w:rsid w:val="00EC7B7D"/>
    <w:rsid w:val="00EC7F24"/>
    <w:rsid w:val="00ED0172"/>
    <w:rsid w:val="00ED0197"/>
    <w:rsid w:val="00ED09FA"/>
    <w:rsid w:val="00ED0D13"/>
    <w:rsid w:val="00ED0D98"/>
    <w:rsid w:val="00ED0E9E"/>
    <w:rsid w:val="00ED0EA1"/>
    <w:rsid w:val="00ED112F"/>
    <w:rsid w:val="00ED115D"/>
    <w:rsid w:val="00ED1272"/>
    <w:rsid w:val="00ED145B"/>
    <w:rsid w:val="00ED16EC"/>
    <w:rsid w:val="00ED19BB"/>
    <w:rsid w:val="00ED1E2E"/>
    <w:rsid w:val="00ED1F95"/>
    <w:rsid w:val="00ED20ED"/>
    <w:rsid w:val="00ED2266"/>
    <w:rsid w:val="00ED22D3"/>
    <w:rsid w:val="00ED240E"/>
    <w:rsid w:val="00ED25E5"/>
    <w:rsid w:val="00ED27B9"/>
    <w:rsid w:val="00ED2839"/>
    <w:rsid w:val="00ED2EB5"/>
    <w:rsid w:val="00ED3A00"/>
    <w:rsid w:val="00ED3F23"/>
    <w:rsid w:val="00ED4019"/>
    <w:rsid w:val="00ED404F"/>
    <w:rsid w:val="00ED45CD"/>
    <w:rsid w:val="00ED47A1"/>
    <w:rsid w:val="00ED4891"/>
    <w:rsid w:val="00ED4C6F"/>
    <w:rsid w:val="00ED4F38"/>
    <w:rsid w:val="00ED4F41"/>
    <w:rsid w:val="00ED500F"/>
    <w:rsid w:val="00ED55C1"/>
    <w:rsid w:val="00ED5E64"/>
    <w:rsid w:val="00ED6388"/>
    <w:rsid w:val="00ED64C0"/>
    <w:rsid w:val="00ED6B87"/>
    <w:rsid w:val="00ED6BB3"/>
    <w:rsid w:val="00ED6BCF"/>
    <w:rsid w:val="00ED6EA3"/>
    <w:rsid w:val="00ED7555"/>
    <w:rsid w:val="00ED7683"/>
    <w:rsid w:val="00ED79AA"/>
    <w:rsid w:val="00ED7C24"/>
    <w:rsid w:val="00ED7FD8"/>
    <w:rsid w:val="00EE038E"/>
    <w:rsid w:val="00EE065D"/>
    <w:rsid w:val="00EE09D9"/>
    <w:rsid w:val="00EE0AFD"/>
    <w:rsid w:val="00EE0C58"/>
    <w:rsid w:val="00EE0CF8"/>
    <w:rsid w:val="00EE1211"/>
    <w:rsid w:val="00EE12DC"/>
    <w:rsid w:val="00EE15A2"/>
    <w:rsid w:val="00EE15B4"/>
    <w:rsid w:val="00EE19B0"/>
    <w:rsid w:val="00EE2072"/>
    <w:rsid w:val="00EE217F"/>
    <w:rsid w:val="00EE239A"/>
    <w:rsid w:val="00EE24FB"/>
    <w:rsid w:val="00EE2559"/>
    <w:rsid w:val="00EE261F"/>
    <w:rsid w:val="00EE281D"/>
    <w:rsid w:val="00EE2C24"/>
    <w:rsid w:val="00EE2D12"/>
    <w:rsid w:val="00EE2D24"/>
    <w:rsid w:val="00EE2FFD"/>
    <w:rsid w:val="00EE360B"/>
    <w:rsid w:val="00EE365F"/>
    <w:rsid w:val="00EE3A9E"/>
    <w:rsid w:val="00EE3C0A"/>
    <w:rsid w:val="00EE3EA4"/>
    <w:rsid w:val="00EE3F18"/>
    <w:rsid w:val="00EE3F50"/>
    <w:rsid w:val="00EE3FBD"/>
    <w:rsid w:val="00EE4006"/>
    <w:rsid w:val="00EE4419"/>
    <w:rsid w:val="00EE4615"/>
    <w:rsid w:val="00EE466B"/>
    <w:rsid w:val="00EE4707"/>
    <w:rsid w:val="00EE475F"/>
    <w:rsid w:val="00EE483D"/>
    <w:rsid w:val="00EE4B7E"/>
    <w:rsid w:val="00EE4ED9"/>
    <w:rsid w:val="00EE4FA1"/>
    <w:rsid w:val="00EE53B1"/>
    <w:rsid w:val="00EE549A"/>
    <w:rsid w:val="00EE57E7"/>
    <w:rsid w:val="00EE57E8"/>
    <w:rsid w:val="00EE58C5"/>
    <w:rsid w:val="00EE5947"/>
    <w:rsid w:val="00EE5CDB"/>
    <w:rsid w:val="00EE5D50"/>
    <w:rsid w:val="00EE6364"/>
    <w:rsid w:val="00EE657F"/>
    <w:rsid w:val="00EE6B2B"/>
    <w:rsid w:val="00EE6D4D"/>
    <w:rsid w:val="00EE728A"/>
    <w:rsid w:val="00EE7506"/>
    <w:rsid w:val="00EE7585"/>
    <w:rsid w:val="00EE7764"/>
    <w:rsid w:val="00EE7A49"/>
    <w:rsid w:val="00EE7C21"/>
    <w:rsid w:val="00EE7C9E"/>
    <w:rsid w:val="00EE7F88"/>
    <w:rsid w:val="00EF05A7"/>
    <w:rsid w:val="00EF0744"/>
    <w:rsid w:val="00EF0843"/>
    <w:rsid w:val="00EF0BD9"/>
    <w:rsid w:val="00EF0C91"/>
    <w:rsid w:val="00EF0D1C"/>
    <w:rsid w:val="00EF1289"/>
    <w:rsid w:val="00EF1393"/>
    <w:rsid w:val="00EF162A"/>
    <w:rsid w:val="00EF16E6"/>
    <w:rsid w:val="00EF1909"/>
    <w:rsid w:val="00EF1911"/>
    <w:rsid w:val="00EF1979"/>
    <w:rsid w:val="00EF1C36"/>
    <w:rsid w:val="00EF1F2F"/>
    <w:rsid w:val="00EF20BE"/>
    <w:rsid w:val="00EF2261"/>
    <w:rsid w:val="00EF2272"/>
    <w:rsid w:val="00EF22A8"/>
    <w:rsid w:val="00EF2714"/>
    <w:rsid w:val="00EF28C9"/>
    <w:rsid w:val="00EF2C35"/>
    <w:rsid w:val="00EF327C"/>
    <w:rsid w:val="00EF3359"/>
    <w:rsid w:val="00EF344C"/>
    <w:rsid w:val="00EF36CF"/>
    <w:rsid w:val="00EF3A0A"/>
    <w:rsid w:val="00EF3EEA"/>
    <w:rsid w:val="00EF4559"/>
    <w:rsid w:val="00EF4707"/>
    <w:rsid w:val="00EF484D"/>
    <w:rsid w:val="00EF49BF"/>
    <w:rsid w:val="00EF4A64"/>
    <w:rsid w:val="00EF4BBD"/>
    <w:rsid w:val="00EF4CB5"/>
    <w:rsid w:val="00EF4FE2"/>
    <w:rsid w:val="00EF5146"/>
    <w:rsid w:val="00EF5315"/>
    <w:rsid w:val="00EF56BB"/>
    <w:rsid w:val="00EF572F"/>
    <w:rsid w:val="00EF5F12"/>
    <w:rsid w:val="00EF64A7"/>
    <w:rsid w:val="00EF64FB"/>
    <w:rsid w:val="00EF67EC"/>
    <w:rsid w:val="00EF6901"/>
    <w:rsid w:val="00EF69A0"/>
    <w:rsid w:val="00EF69F4"/>
    <w:rsid w:val="00EF6DBA"/>
    <w:rsid w:val="00EF6F35"/>
    <w:rsid w:val="00EF74E1"/>
    <w:rsid w:val="00EF7B6B"/>
    <w:rsid w:val="00F00087"/>
    <w:rsid w:val="00F0043C"/>
    <w:rsid w:val="00F0098C"/>
    <w:rsid w:val="00F00A79"/>
    <w:rsid w:val="00F00B81"/>
    <w:rsid w:val="00F00CEA"/>
    <w:rsid w:val="00F00E74"/>
    <w:rsid w:val="00F00FED"/>
    <w:rsid w:val="00F0111B"/>
    <w:rsid w:val="00F01252"/>
    <w:rsid w:val="00F01583"/>
    <w:rsid w:val="00F0165A"/>
    <w:rsid w:val="00F01770"/>
    <w:rsid w:val="00F01A6B"/>
    <w:rsid w:val="00F01B3A"/>
    <w:rsid w:val="00F01B47"/>
    <w:rsid w:val="00F01EC7"/>
    <w:rsid w:val="00F020CC"/>
    <w:rsid w:val="00F0224E"/>
    <w:rsid w:val="00F02281"/>
    <w:rsid w:val="00F02497"/>
    <w:rsid w:val="00F0249A"/>
    <w:rsid w:val="00F02583"/>
    <w:rsid w:val="00F02812"/>
    <w:rsid w:val="00F02C96"/>
    <w:rsid w:val="00F02D77"/>
    <w:rsid w:val="00F02FB4"/>
    <w:rsid w:val="00F031FC"/>
    <w:rsid w:val="00F03345"/>
    <w:rsid w:val="00F033E2"/>
    <w:rsid w:val="00F03A31"/>
    <w:rsid w:val="00F03AC4"/>
    <w:rsid w:val="00F03B11"/>
    <w:rsid w:val="00F03C70"/>
    <w:rsid w:val="00F03EE1"/>
    <w:rsid w:val="00F042BA"/>
    <w:rsid w:val="00F042F1"/>
    <w:rsid w:val="00F0450B"/>
    <w:rsid w:val="00F045E8"/>
    <w:rsid w:val="00F04B78"/>
    <w:rsid w:val="00F04BC4"/>
    <w:rsid w:val="00F04BEB"/>
    <w:rsid w:val="00F05060"/>
    <w:rsid w:val="00F0535C"/>
    <w:rsid w:val="00F053D8"/>
    <w:rsid w:val="00F05917"/>
    <w:rsid w:val="00F059A2"/>
    <w:rsid w:val="00F05BE2"/>
    <w:rsid w:val="00F05F16"/>
    <w:rsid w:val="00F05FE2"/>
    <w:rsid w:val="00F06191"/>
    <w:rsid w:val="00F06230"/>
    <w:rsid w:val="00F062FF"/>
    <w:rsid w:val="00F069B9"/>
    <w:rsid w:val="00F06D36"/>
    <w:rsid w:val="00F06F55"/>
    <w:rsid w:val="00F0724F"/>
    <w:rsid w:val="00F07410"/>
    <w:rsid w:val="00F07485"/>
    <w:rsid w:val="00F078AB"/>
    <w:rsid w:val="00F079D4"/>
    <w:rsid w:val="00F07C20"/>
    <w:rsid w:val="00F07ECA"/>
    <w:rsid w:val="00F07F49"/>
    <w:rsid w:val="00F10035"/>
    <w:rsid w:val="00F100D7"/>
    <w:rsid w:val="00F100EF"/>
    <w:rsid w:val="00F10609"/>
    <w:rsid w:val="00F1075D"/>
    <w:rsid w:val="00F1084B"/>
    <w:rsid w:val="00F10928"/>
    <w:rsid w:val="00F10960"/>
    <w:rsid w:val="00F109D0"/>
    <w:rsid w:val="00F10B63"/>
    <w:rsid w:val="00F10D88"/>
    <w:rsid w:val="00F10DDA"/>
    <w:rsid w:val="00F10ED4"/>
    <w:rsid w:val="00F12082"/>
    <w:rsid w:val="00F1210A"/>
    <w:rsid w:val="00F12319"/>
    <w:rsid w:val="00F1259D"/>
    <w:rsid w:val="00F1285B"/>
    <w:rsid w:val="00F12CA9"/>
    <w:rsid w:val="00F12E84"/>
    <w:rsid w:val="00F12EA5"/>
    <w:rsid w:val="00F130C6"/>
    <w:rsid w:val="00F136A2"/>
    <w:rsid w:val="00F1382F"/>
    <w:rsid w:val="00F138ED"/>
    <w:rsid w:val="00F1399F"/>
    <w:rsid w:val="00F13A72"/>
    <w:rsid w:val="00F13D82"/>
    <w:rsid w:val="00F13E74"/>
    <w:rsid w:val="00F142DE"/>
    <w:rsid w:val="00F143DB"/>
    <w:rsid w:val="00F14427"/>
    <w:rsid w:val="00F14EFB"/>
    <w:rsid w:val="00F15361"/>
    <w:rsid w:val="00F1557E"/>
    <w:rsid w:val="00F156CB"/>
    <w:rsid w:val="00F1589E"/>
    <w:rsid w:val="00F15BCB"/>
    <w:rsid w:val="00F16386"/>
    <w:rsid w:val="00F16463"/>
    <w:rsid w:val="00F165E0"/>
    <w:rsid w:val="00F1692A"/>
    <w:rsid w:val="00F169A0"/>
    <w:rsid w:val="00F16A0F"/>
    <w:rsid w:val="00F16A79"/>
    <w:rsid w:val="00F16A8F"/>
    <w:rsid w:val="00F16BC8"/>
    <w:rsid w:val="00F16D17"/>
    <w:rsid w:val="00F170BC"/>
    <w:rsid w:val="00F172BF"/>
    <w:rsid w:val="00F1740A"/>
    <w:rsid w:val="00F17414"/>
    <w:rsid w:val="00F17598"/>
    <w:rsid w:val="00F1786F"/>
    <w:rsid w:val="00F17A3B"/>
    <w:rsid w:val="00F17CAF"/>
    <w:rsid w:val="00F17F01"/>
    <w:rsid w:val="00F202FE"/>
    <w:rsid w:val="00F20463"/>
    <w:rsid w:val="00F20D82"/>
    <w:rsid w:val="00F21066"/>
    <w:rsid w:val="00F21306"/>
    <w:rsid w:val="00F216BA"/>
    <w:rsid w:val="00F21705"/>
    <w:rsid w:val="00F217E4"/>
    <w:rsid w:val="00F21911"/>
    <w:rsid w:val="00F21B85"/>
    <w:rsid w:val="00F21BAF"/>
    <w:rsid w:val="00F21C5B"/>
    <w:rsid w:val="00F21CAF"/>
    <w:rsid w:val="00F220E4"/>
    <w:rsid w:val="00F22196"/>
    <w:rsid w:val="00F22292"/>
    <w:rsid w:val="00F22598"/>
    <w:rsid w:val="00F22A6A"/>
    <w:rsid w:val="00F22CDE"/>
    <w:rsid w:val="00F22E6B"/>
    <w:rsid w:val="00F22EC6"/>
    <w:rsid w:val="00F23716"/>
    <w:rsid w:val="00F239A2"/>
    <w:rsid w:val="00F23D59"/>
    <w:rsid w:val="00F23F46"/>
    <w:rsid w:val="00F2406C"/>
    <w:rsid w:val="00F240A9"/>
    <w:rsid w:val="00F242B4"/>
    <w:rsid w:val="00F24462"/>
    <w:rsid w:val="00F249BD"/>
    <w:rsid w:val="00F24C26"/>
    <w:rsid w:val="00F24D15"/>
    <w:rsid w:val="00F24F2D"/>
    <w:rsid w:val="00F24FEA"/>
    <w:rsid w:val="00F24FF7"/>
    <w:rsid w:val="00F2502F"/>
    <w:rsid w:val="00F2507B"/>
    <w:rsid w:val="00F253E7"/>
    <w:rsid w:val="00F25553"/>
    <w:rsid w:val="00F255B0"/>
    <w:rsid w:val="00F2575C"/>
    <w:rsid w:val="00F2581E"/>
    <w:rsid w:val="00F259AE"/>
    <w:rsid w:val="00F25BDD"/>
    <w:rsid w:val="00F25CC5"/>
    <w:rsid w:val="00F25D0C"/>
    <w:rsid w:val="00F2627F"/>
    <w:rsid w:val="00F26495"/>
    <w:rsid w:val="00F26631"/>
    <w:rsid w:val="00F26714"/>
    <w:rsid w:val="00F26774"/>
    <w:rsid w:val="00F26AB3"/>
    <w:rsid w:val="00F26BE7"/>
    <w:rsid w:val="00F26C2D"/>
    <w:rsid w:val="00F26DEA"/>
    <w:rsid w:val="00F26EED"/>
    <w:rsid w:val="00F26EF9"/>
    <w:rsid w:val="00F26F4D"/>
    <w:rsid w:val="00F26FB1"/>
    <w:rsid w:val="00F27414"/>
    <w:rsid w:val="00F274D9"/>
    <w:rsid w:val="00F2767A"/>
    <w:rsid w:val="00F278F4"/>
    <w:rsid w:val="00F279B7"/>
    <w:rsid w:val="00F27D30"/>
    <w:rsid w:val="00F303C9"/>
    <w:rsid w:val="00F30501"/>
    <w:rsid w:val="00F30562"/>
    <w:rsid w:val="00F31111"/>
    <w:rsid w:val="00F31283"/>
    <w:rsid w:val="00F312EF"/>
    <w:rsid w:val="00F31449"/>
    <w:rsid w:val="00F31659"/>
    <w:rsid w:val="00F321B5"/>
    <w:rsid w:val="00F321E1"/>
    <w:rsid w:val="00F32404"/>
    <w:rsid w:val="00F324DB"/>
    <w:rsid w:val="00F3254F"/>
    <w:rsid w:val="00F32554"/>
    <w:rsid w:val="00F32FBD"/>
    <w:rsid w:val="00F33232"/>
    <w:rsid w:val="00F3333B"/>
    <w:rsid w:val="00F33A8B"/>
    <w:rsid w:val="00F33E5A"/>
    <w:rsid w:val="00F340FD"/>
    <w:rsid w:val="00F342D7"/>
    <w:rsid w:val="00F3440D"/>
    <w:rsid w:val="00F34460"/>
    <w:rsid w:val="00F344CA"/>
    <w:rsid w:val="00F34788"/>
    <w:rsid w:val="00F34A0A"/>
    <w:rsid w:val="00F34D00"/>
    <w:rsid w:val="00F3508D"/>
    <w:rsid w:val="00F3522B"/>
    <w:rsid w:val="00F35325"/>
    <w:rsid w:val="00F353EB"/>
    <w:rsid w:val="00F3540B"/>
    <w:rsid w:val="00F35B1E"/>
    <w:rsid w:val="00F35B6A"/>
    <w:rsid w:val="00F35D24"/>
    <w:rsid w:val="00F35F45"/>
    <w:rsid w:val="00F361FF"/>
    <w:rsid w:val="00F368A1"/>
    <w:rsid w:val="00F36990"/>
    <w:rsid w:val="00F36D11"/>
    <w:rsid w:val="00F36F4D"/>
    <w:rsid w:val="00F37178"/>
    <w:rsid w:val="00F37195"/>
    <w:rsid w:val="00F37376"/>
    <w:rsid w:val="00F37547"/>
    <w:rsid w:val="00F3759D"/>
    <w:rsid w:val="00F3774A"/>
    <w:rsid w:val="00F37800"/>
    <w:rsid w:val="00F3788B"/>
    <w:rsid w:val="00F37A77"/>
    <w:rsid w:val="00F37C19"/>
    <w:rsid w:val="00F37C59"/>
    <w:rsid w:val="00F40584"/>
    <w:rsid w:val="00F40BAB"/>
    <w:rsid w:val="00F40C85"/>
    <w:rsid w:val="00F41114"/>
    <w:rsid w:val="00F4165B"/>
    <w:rsid w:val="00F41860"/>
    <w:rsid w:val="00F41B1F"/>
    <w:rsid w:val="00F41F35"/>
    <w:rsid w:val="00F4208E"/>
    <w:rsid w:val="00F42231"/>
    <w:rsid w:val="00F423F0"/>
    <w:rsid w:val="00F425DB"/>
    <w:rsid w:val="00F4270F"/>
    <w:rsid w:val="00F42D67"/>
    <w:rsid w:val="00F42E09"/>
    <w:rsid w:val="00F42E56"/>
    <w:rsid w:val="00F4306D"/>
    <w:rsid w:val="00F4308D"/>
    <w:rsid w:val="00F430CC"/>
    <w:rsid w:val="00F432A0"/>
    <w:rsid w:val="00F43320"/>
    <w:rsid w:val="00F43361"/>
    <w:rsid w:val="00F43466"/>
    <w:rsid w:val="00F43683"/>
    <w:rsid w:val="00F43703"/>
    <w:rsid w:val="00F43779"/>
    <w:rsid w:val="00F437B9"/>
    <w:rsid w:val="00F43952"/>
    <w:rsid w:val="00F43BA3"/>
    <w:rsid w:val="00F44136"/>
    <w:rsid w:val="00F44A41"/>
    <w:rsid w:val="00F44BBC"/>
    <w:rsid w:val="00F44C44"/>
    <w:rsid w:val="00F44F14"/>
    <w:rsid w:val="00F450AD"/>
    <w:rsid w:val="00F45124"/>
    <w:rsid w:val="00F453FC"/>
    <w:rsid w:val="00F45627"/>
    <w:rsid w:val="00F45681"/>
    <w:rsid w:val="00F45D8B"/>
    <w:rsid w:val="00F45E20"/>
    <w:rsid w:val="00F464BA"/>
    <w:rsid w:val="00F46771"/>
    <w:rsid w:val="00F467C4"/>
    <w:rsid w:val="00F469A4"/>
    <w:rsid w:val="00F46C72"/>
    <w:rsid w:val="00F47118"/>
    <w:rsid w:val="00F47226"/>
    <w:rsid w:val="00F4753F"/>
    <w:rsid w:val="00F4759B"/>
    <w:rsid w:val="00F47C8E"/>
    <w:rsid w:val="00F500F1"/>
    <w:rsid w:val="00F5037E"/>
    <w:rsid w:val="00F5039A"/>
    <w:rsid w:val="00F50712"/>
    <w:rsid w:val="00F509F8"/>
    <w:rsid w:val="00F50FCD"/>
    <w:rsid w:val="00F51003"/>
    <w:rsid w:val="00F51142"/>
    <w:rsid w:val="00F5145C"/>
    <w:rsid w:val="00F5168E"/>
    <w:rsid w:val="00F51A1A"/>
    <w:rsid w:val="00F51C5C"/>
    <w:rsid w:val="00F52002"/>
    <w:rsid w:val="00F52062"/>
    <w:rsid w:val="00F523FA"/>
    <w:rsid w:val="00F5252E"/>
    <w:rsid w:val="00F528B3"/>
    <w:rsid w:val="00F5294D"/>
    <w:rsid w:val="00F52962"/>
    <w:rsid w:val="00F537EA"/>
    <w:rsid w:val="00F54261"/>
    <w:rsid w:val="00F5431F"/>
    <w:rsid w:val="00F549A4"/>
    <w:rsid w:val="00F54AEB"/>
    <w:rsid w:val="00F5510A"/>
    <w:rsid w:val="00F551B3"/>
    <w:rsid w:val="00F5531D"/>
    <w:rsid w:val="00F55499"/>
    <w:rsid w:val="00F5555F"/>
    <w:rsid w:val="00F5572E"/>
    <w:rsid w:val="00F55790"/>
    <w:rsid w:val="00F55C10"/>
    <w:rsid w:val="00F55C7A"/>
    <w:rsid w:val="00F55F7D"/>
    <w:rsid w:val="00F56124"/>
    <w:rsid w:val="00F561FC"/>
    <w:rsid w:val="00F564AB"/>
    <w:rsid w:val="00F56750"/>
    <w:rsid w:val="00F567DF"/>
    <w:rsid w:val="00F5684F"/>
    <w:rsid w:val="00F56BF1"/>
    <w:rsid w:val="00F56C5E"/>
    <w:rsid w:val="00F57044"/>
    <w:rsid w:val="00F5723D"/>
    <w:rsid w:val="00F577BB"/>
    <w:rsid w:val="00F57BA8"/>
    <w:rsid w:val="00F57C58"/>
    <w:rsid w:val="00F603A0"/>
    <w:rsid w:val="00F605BB"/>
    <w:rsid w:val="00F60911"/>
    <w:rsid w:val="00F60945"/>
    <w:rsid w:val="00F60A2D"/>
    <w:rsid w:val="00F60BDB"/>
    <w:rsid w:val="00F61000"/>
    <w:rsid w:val="00F611A5"/>
    <w:rsid w:val="00F61273"/>
    <w:rsid w:val="00F61325"/>
    <w:rsid w:val="00F61451"/>
    <w:rsid w:val="00F615CF"/>
    <w:rsid w:val="00F61757"/>
    <w:rsid w:val="00F61923"/>
    <w:rsid w:val="00F61AB8"/>
    <w:rsid w:val="00F61D43"/>
    <w:rsid w:val="00F61F2B"/>
    <w:rsid w:val="00F622A9"/>
    <w:rsid w:val="00F62487"/>
    <w:rsid w:val="00F62640"/>
    <w:rsid w:val="00F6264E"/>
    <w:rsid w:val="00F626BF"/>
    <w:rsid w:val="00F626D9"/>
    <w:rsid w:val="00F62E46"/>
    <w:rsid w:val="00F6354E"/>
    <w:rsid w:val="00F63677"/>
    <w:rsid w:val="00F63714"/>
    <w:rsid w:val="00F638C9"/>
    <w:rsid w:val="00F63B07"/>
    <w:rsid w:val="00F63CE7"/>
    <w:rsid w:val="00F6431D"/>
    <w:rsid w:val="00F643FE"/>
    <w:rsid w:val="00F64675"/>
    <w:rsid w:val="00F64A88"/>
    <w:rsid w:val="00F64CC4"/>
    <w:rsid w:val="00F64D3E"/>
    <w:rsid w:val="00F65102"/>
    <w:rsid w:val="00F65357"/>
    <w:rsid w:val="00F65875"/>
    <w:rsid w:val="00F65F56"/>
    <w:rsid w:val="00F65FDC"/>
    <w:rsid w:val="00F66346"/>
    <w:rsid w:val="00F66502"/>
    <w:rsid w:val="00F666FB"/>
    <w:rsid w:val="00F66C23"/>
    <w:rsid w:val="00F66D26"/>
    <w:rsid w:val="00F66DAA"/>
    <w:rsid w:val="00F67219"/>
    <w:rsid w:val="00F67263"/>
    <w:rsid w:val="00F6732E"/>
    <w:rsid w:val="00F6766B"/>
    <w:rsid w:val="00F678DE"/>
    <w:rsid w:val="00F67D1C"/>
    <w:rsid w:val="00F67F4E"/>
    <w:rsid w:val="00F700A2"/>
    <w:rsid w:val="00F704A1"/>
    <w:rsid w:val="00F708C4"/>
    <w:rsid w:val="00F70911"/>
    <w:rsid w:val="00F70A26"/>
    <w:rsid w:val="00F70B17"/>
    <w:rsid w:val="00F70C7D"/>
    <w:rsid w:val="00F71033"/>
    <w:rsid w:val="00F71620"/>
    <w:rsid w:val="00F7188A"/>
    <w:rsid w:val="00F718D1"/>
    <w:rsid w:val="00F71AF4"/>
    <w:rsid w:val="00F71D80"/>
    <w:rsid w:val="00F71D97"/>
    <w:rsid w:val="00F72403"/>
    <w:rsid w:val="00F7256B"/>
    <w:rsid w:val="00F726EE"/>
    <w:rsid w:val="00F728C4"/>
    <w:rsid w:val="00F72964"/>
    <w:rsid w:val="00F72C9A"/>
    <w:rsid w:val="00F72DF0"/>
    <w:rsid w:val="00F730AC"/>
    <w:rsid w:val="00F736E5"/>
    <w:rsid w:val="00F737ED"/>
    <w:rsid w:val="00F737F1"/>
    <w:rsid w:val="00F74370"/>
    <w:rsid w:val="00F7461F"/>
    <w:rsid w:val="00F74A3B"/>
    <w:rsid w:val="00F74F37"/>
    <w:rsid w:val="00F74F66"/>
    <w:rsid w:val="00F751F7"/>
    <w:rsid w:val="00F7529B"/>
    <w:rsid w:val="00F7550A"/>
    <w:rsid w:val="00F755D1"/>
    <w:rsid w:val="00F75F5F"/>
    <w:rsid w:val="00F76419"/>
    <w:rsid w:val="00F76729"/>
    <w:rsid w:val="00F76B4F"/>
    <w:rsid w:val="00F76CF8"/>
    <w:rsid w:val="00F76FD1"/>
    <w:rsid w:val="00F77547"/>
    <w:rsid w:val="00F77552"/>
    <w:rsid w:val="00F775D5"/>
    <w:rsid w:val="00F7777B"/>
    <w:rsid w:val="00F77984"/>
    <w:rsid w:val="00F806A7"/>
    <w:rsid w:val="00F8070C"/>
    <w:rsid w:val="00F8080A"/>
    <w:rsid w:val="00F80963"/>
    <w:rsid w:val="00F80989"/>
    <w:rsid w:val="00F80BB2"/>
    <w:rsid w:val="00F80E4A"/>
    <w:rsid w:val="00F81075"/>
    <w:rsid w:val="00F8116B"/>
    <w:rsid w:val="00F813C6"/>
    <w:rsid w:val="00F814B6"/>
    <w:rsid w:val="00F8162C"/>
    <w:rsid w:val="00F81702"/>
    <w:rsid w:val="00F81B11"/>
    <w:rsid w:val="00F81D15"/>
    <w:rsid w:val="00F81F24"/>
    <w:rsid w:val="00F81F31"/>
    <w:rsid w:val="00F81F6B"/>
    <w:rsid w:val="00F82021"/>
    <w:rsid w:val="00F823D5"/>
    <w:rsid w:val="00F82632"/>
    <w:rsid w:val="00F82892"/>
    <w:rsid w:val="00F82967"/>
    <w:rsid w:val="00F82B53"/>
    <w:rsid w:val="00F831A1"/>
    <w:rsid w:val="00F8324B"/>
    <w:rsid w:val="00F83312"/>
    <w:rsid w:val="00F837A6"/>
    <w:rsid w:val="00F837E7"/>
    <w:rsid w:val="00F83809"/>
    <w:rsid w:val="00F83930"/>
    <w:rsid w:val="00F83E9D"/>
    <w:rsid w:val="00F83EDA"/>
    <w:rsid w:val="00F842ED"/>
    <w:rsid w:val="00F84ABE"/>
    <w:rsid w:val="00F84BC4"/>
    <w:rsid w:val="00F84DBD"/>
    <w:rsid w:val="00F858AB"/>
    <w:rsid w:val="00F85AB5"/>
    <w:rsid w:val="00F85D76"/>
    <w:rsid w:val="00F85DC9"/>
    <w:rsid w:val="00F85F90"/>
    <w:rsid w:val="00F86018"/>
    <w:rsid w:val="00F862B2"/>
    <w:rsid w:val="00F86358"/>
    <w:rsid w:val="00F86382"/>
    <w:rsid w:val="00F8641D"/>
    <w:rsid w:val="00F86744"/>
    <w:rsid w:val="00F8685D"/>
    <w:rsid w:val="00F86DB9"/>
    <w:rsid w:val="00F86DF4"/>
    <w:rsid w:val="00F86EAF"/>
    <w:rsid w:val="00F86F9A"/>
    <w:rsid w:val="00F870F1"/>
    <w:rsid w:val="00F87475"/>
    <w:rsid w:val="00F8769F"/>
    <w:rsid w:val="00F87721"/>
    <w:rsid w:val="00F877FD"/>
    <w:rsid w:val="00F87A6A"/>
    <w:rsid w:val="00F87C2D"/>
    <w:rsid w:val="00F87CF2"/>
    <w:rsid w:val="00F87F71"/>
    <w:rsid w:val="00F87F77"/>
    <w:rsid w:val="00F90057"/>
    <w:rsid w:val="00F902B1"/>
    <w:rsid w:val="00F903A3"/>
    <w:rsid w:val="00F90829"/>
    <w:rsid w:val="00F90B81"/>
    <w:rsid w:val="00F90D8E"/>
    <w:rsid w:val="00F90DDD"/>
    <w:rsid w:val="00F90F2C"/>
    <w:rsid w:val="00F9144E"/>
    <w:rsid w:val="00F918C9"/>
    <w:rsid w:val="00F91A1B"/>
    <w:rsid w:val="00F91C59"/>
    <w:rsid w:val="00F91DFC"/>
    <w:rsid w:val="00F91E87"/>
    <w:rsid w:val="00F923FF"/>
    <w:rsid w:val="00F92C4B"/>
    <w:rsid w:val="00F92FB8"/>
    <w:rsid w:val="00F93326"/>
    <w:rsid w:val="00F934A8"/>
    <w:rsid w:val="00F93505"/>
    <w:rsid w:val="00F9351C"/>
    <w:rsid w:val="00F93738"/>
    <w:rsid w:val="00F93F83"/>
    <w:rsid w:val="00F94335"/>
    <w:rsid w:val="00F94390"/>
    <w:rsid w:val="00F944AF"/>
    <w:rsid w:val="00F9456B"/>
    <w:rsid w:val="00F94571"/>
    <w:rsid w:val="00F94666"/>
    <w:rsid w:val="00F947A4"/>
    <w:rsid w:val="00F94A12"/>
    <w:rsid w:val="00F94B2E"/>
    <w:rsid w:val="00F94BA4"/>
    <w:rsid w:val="00F94DE3"/>
    <w:rsid w:val="00F94E77"/>
    <w:rsid w:val="00F94E7F"/>
    <w:rsid w:val="00F94EBE"/>
    <w:rsid w:val="00F952A6"/>
    <w:rsid w:val="00F95466"/>
    <w:rsid w:val="00F95563"/>
    <w:rsid w:val="00F956A0"/>
    <w:rsid w:val="00F95D09"/>
    <w:rsid w:val="00F96516"/>
    <w:rsid w:val="00F965C6"/>
    <w:rsid w:val="00F96613"/>
    <w:rsid w:val="00F9731B"/>
    <w:rsid w:val="00F97347"/>
    <w:rsid w:val="00F97509"/>
    <w:rsid w:val="00F97521"/>
    <w:rsid w:val="00F975BD"/>
    <w:rsid w:val="00F97637"/>
    <w:rsid w:val="00F979FF"/>
    <w:rsid w:val="00F97A46"/>
    <w:rsid w:val="00FA00CD"/>
    <w:rsid w:val="00FA0483"/>
    <w:rsid w:val="00FA0B2A"/>
    <w:rsid w:val="00FA0FF0"/>
    <w:rsid w:val="00FA1210"/>
    <w:rsid w:val="00FA131F"/>
    <w:rsid w:val="00FA14C1"/>
    <w:rsid w:val="00FA15FF"/>
    <w:rsid w:val="00FA16FE"/>
    <w:rsid w:val="00FA180E"/>
    <w:rsid w:val="00FA19A1"/>
    <w:rsid w:val="00FA1E3E"/>
    <w:rsid w:val="00FA1FF2"/>
    <w:rsid w:val="00FA20CD"/>
    <w:rsid w:val="00FA2202"/>
    <w:rsid w:val="00FA23A1"/>
    <w:rsid w:val="00FA257B"/>
    <w:rsid w:val="00FA2927"/>
    <w:rsid w:val="00FA2C59"/>
    <w:rsid w:val="00FA2C60"/>
    <w:rsid w:val="00FA2F3B"/>
    <w:rsid w:val="00FA315D"/>
    <w:rsid w:val="00FA3433"/>
    <w:rsid w:val="00FA3638"/>
    <w:rsid w:val="00FA3768"/>
    <w:rsid w:val="00FA3811"/>
    <w:rsid w:val="00FA3BDD"/>
    <w:rsid w:val="00FA3D7B"/>
    <w:rsid w:val="00FA3E5E"/>
    <w:rsid w:val="00FA40C1"/>
    <w:rsid w:val="00FA44C9"/>
    <w:rsid w:val="00FA4814"/>
    <w:rsid w:val="00FA4A6E"/>
    <w:rsid w:val="00FA4F84"/>
    <w:rsid w:val="00FA51B7"/>
    <w:rsid w:val="00FA5410"/>
    <w:rsid w:val="00FA55AF"/>
    <w:rsid w:val="00FA5C08"/>
    <w:rsid w:val="00FA60B5"/>
    <w:rsid w:val="00FA6791"/>
    <w:rsid w:val="00FA6795"/>
    <w:rsid w:val="00FA6B1F"/>
    <w:rsid w:val="00FA6F26"/>
    <w:rsid w:val="00FA6F93"/>
    <w:rsid w:val="00FA6FE3"/>
    <w:rsid w:val="00FA6FED"/>
    <w:rsid w:val="00FA71EA"/>
    <w:rsid w:val="00FA7272"/>
    <w:rsid w:val="00FA73E3"/>
    <w:rsid w:val="00FA7522"/>
    <w:rsid w:val="00FA7635"/>
    <w:rsid w:val="00FA7698"/>
    <w:rsid w:val="00FA78C2"/>
    <w:rsid w:val="00FA78D0"/>
    <w:rsid w:val="00FA7AAC"/>
    <w:rsid w:val="00FA7AD5"/>
    <w:rsid w:val="00FA7BFA"/>
    <w:rsid w:val="00FA7C4A"/>
    <w:rsid w:val="00FA7FE8"/>
    <w:rsid w:val="00FB01F3"/>
    <w:rsid w:val="00FB0289"/>
    <w:rsid w:val="00FB038D"/>
    <w:rsid w:val="00FB0418"/>
    <w:rsid w:val="00FB0618"/>
    <w:rsid w:val="00FB0808"/>
    <w:rsid w:val="00FB0A09"/>
    <w:rsid w:val="00FB0B8C"/>
    <w:rsid w:val="00FB0C06"/>
    <w:rsid w:val="00FB0F3D"/>
    <w:rsid w:val="00FB1361"/>
    <w:rsid w:val="00FB1554"/>
    <w:rsid w:val="00FB1C9A"/>
    <w:rsid w:val="00FB1CD0"/>
    <w:rsid w:val="00FB1F70"/>
    <w:rsid w:val="00FB2104"/>
    <w:rsid w:val="00FB22E7"/>
    <w:rsid w:val="00FB266A"/>
    <w:rsid w:val="00FB26CE"/>
    <w:rsid w:val="00FB2708"/>
    <w:rsid w:val="00FB2BF3"/>
    <w:rsid w:val="00FB2F82"/>
    <w:rsid w:val="00FB3117"/>
    <w:rsid w:val="00FB3257"/>
    <w:rsid w:val="00FB339A"/>
    <w:rsid w:val="00FB357D"/>
    <w:rsid w:val="00FB367D"/>
    <w:rsid w:val="00FB371A"/>
    <w:rsid w:val="00FB3B90"/>
    <w:rsid w:val="00FB4D1F"/>
    <w:rsid w:val="00FB4E9A"/>
    <w:rsid w:val="00FB50D0"/>
    <w:rsid w:val="00FB5149"/>
    <w:rsid w:val="00FB5209"/>
    <w:rsid w:val="00FB5341"/>
    <w:rsid w:val="00FB57E1"/>
    <w:rsid w:val="00FB5804"/>
    <w:rsid w:val="00FB5B6F"/>
    <w:rsid w:val="00FB5D2B"/>
    <w:rsid w:val="00FB5DB3"/>
    <w:rsid w:val="00FB60F9"/>
    <w:rsid w:val="00FB6381"/>
    <w:rsid w:val="00FB642E"/>
    <w:rsid w:val="00FB6446"/>
    <w:rsid w:val="00FB6546"/>
    <w:rsid w:val="00FB65B2"/>
    <w:rsid w:val="00FB66ED"/>
    <w:rsid w:val="00FB707D"/>
    <w:rsid w:val="00FB70BE"/>
    <w:rsid w:val="00FB7108"/>
    <w:rsid w:val="00FB75C3"/>
    <w:rsid w:val="00FB75E4"/>
    <w:rsid w:val="00FB78DF"/>
    <w:rsid w:val="00FB79F4"/>
    <w:rsid w:val="00FB7F02"/>
    <w:rsid w:val="00FB7F82"/>
    <w:rsid w:val="00FC0498"/>
    <w:rsid w:val="00FC05EA"/>
    <w:rsid w:val="00FC0694"/>
    <w:rsid w:val="00FC08E3"/>
    <w:rsid w:val="00FC0948"/>
    <w:rsid w:val="00FC0C13"/>
    <w:rsid w:val="00FC0CE2"/>
    <w:rsid w:val="00FC0DFF"/>
    <w:rsid w:val="00FC0E3C"/>
    <w:rsid w:val="00FC0F28"/>
    <w:rsid w:val="00FC10EF"/>
    <w:rsid w:val="00FC125F"/>
    <w:rsid w:val="00FC1338"/>
    <w:rsid w:val="00FC1B49"/>
    <w:rsid w:val="00FC1E7A"/>
    <w:rsid w:val="00FC20C5"/>
    <w:rsid w:val="00FC20CB"/>
    <w:rsid w:val="00FC2200"/>
    <w:rsid w:val="00FC266D"/>
    <w:rsid w:val="00FC2AF9"/>
    <w:rsid w:val="00FC2DB2"/>
    <w:rsid w:val="00FC2E64"/>
    <w:rsid w:val="00FC2E6F"/>
    <w:rsid w:val="00FC2ED9"/>
    <w:rsid w:val="00FC2F33"/>
    <w:rsid w:val="00FC2F86"/>
    <w:rsid w:val="00FC31BA"/>
    <w:rsid w:val="00FC35BD"/>
    <w:rsid w:val="00FC36F2"/>
    <w:rsid w:val="00FC383E"/>
    <w:rsid w:val="00FC38BA"/>
    <w:rsid w:val="00FC3CD1"/>
    <w:rsid w:val="00FC3CD6"/>
    <w:rsid w:val="00FC3EFA"/>
    <w:rsid w:val="00FC3F82"/>
    <w:rsid w:val="00FC411E"/>
    <w:rsid w:val="00FC4390"/>
    <w:rsid w:val="00FC43C4"/>
    <w:rsid w:val="00FC46AC"/>
    <w:rsid w:val="00FC47E5"/>
    <w:rsid w:val="00FC4B27"/>
    <w:rsid w:val="00FC4D94"/>
    <w:rsid w:val="00FC4E6D"/>
    <w:rsid w:val="00FC50C5"/>
    <w:rsid w:val="00FC518A"/>
    <w:rsid w:val="00FC53EF"/>
    <w:rsid w:val="00FC5555"/>
    <w:rsid w:val="00FC5B62"/>
    <w:rsid w:val="00FC5CAA"/>
    <w:rsid w:val="00FC5D5F"/>
    <w:rsid w:val="00FC5E7E"/>
    <w:rsid w:val="00FC604B"/>
    <w:rsid w:val="00FC6087"/>
    <w:rsid w:val="00FC6907"/>
    <w:rsid w:val="00FC6D2C"/>
    <w:rsid w:val="00FC6F7A"/>
    <w:rsid w:val="00FC7104"/>
    <w:rsid w:val="00FC7886"/>
    <w:rsid w:val="00FC7E75"/>
    <w:rsid w:val="00FC7FEB"/>
    <w:rsid w:val="00FD05EA"/>
    <w:rsid w:val="00FD07AE"/>
    <w:rsid w:val="00FD0E10"/>
    <w:rsid w:val="00FD0EBA"/>
    <w:rsid w:val="00FD14D8"/>
    <w:rsid w:val="00FD1DBA"/>
    <w:rsid w:val="00FD1EC4"/>
    <w:rsid w:val="00FD21E8"/>
    <w:rsid w:val="00FD22A4"/>
    <w:rsid w:val="00FD22EE"/>
    <w:rsid w:val="00FD259E"/>
    <w:rsid w:val="00FD2635"/>
    <w:rsid w:val="00FD26D8"/>
    <w:rsid w:val="00FD2A50"/>
    <w:rsid w:val="00FD2B90"/>
    <w:rsid w:val="00FD2D8B"/>
    <w:rsid w:val="00FD34D9"/>
    <w:rsid w:val="00FD366D"/>
    <w:rsid w:val="00FD3932"/>
    <w:rsid w:val="00FD39C5"/>
    <w:rsid w:val="00FD3B2D"/>
    <w:rsid w:val="00FD3B61"/>
    <w:rsid w:val="00FD3C21"/>
    <w:rsid w:val="00FD3C47"/>
    <w:rsid w:val="00FD3EE5"/>
    <w:rsid w:val="00FD4315"/>
    <w:rsid w:val="00FD4464"/>
    <w:rsid w:val="00FD4568"/>
    <w:rsid w:val="00FD4771"/>
    <w:rsid w:val="00FD48E8"/>
    <w:rsid w:val="00FD4971"/>
    <w:rsid w:val="00FD49F5"/>
    <w:rsid w:val="00FD4B8A"/>
    <w:rsid w:val="00FD4CE9"/>
    <w:rsid w:val="00FD502A"/>
    <w:rsid w:val="00FD5EBF"/>
    <w:rsid w:val="00FD628D"/>
    <w:rsid w:val="00FD62AA"/>
    <w:rsid w:val="00FD637C"/>
    <w:rsid w:val="00FD64A9"/>
    <w:rsid w:val="00FD64AC"/>
    <w:rsid w:val="00FD6573"/>
    <w:rsid w:val="00FD658A"/>
    <w:rsid w:val="00FD6785"/>
    <w:rsid w:val="00FD68B5"/>
    <w:rsid w:val="00FD6970"/>
    <w:rsid w:val="00FD6BF8"/>
    <w:rsid w:val="00FD6FD7"/>
    <w:rsid w:val="00FD73DF"/>
    <w:rsid w:val="00FD7553"/>
    <w:rsid w:val="00FD7573"/>
    <w:rsid w:val="00FD75ED"/>
    <w:rsid w:val="00FD76E0"/>
    <w:rsid w:val="00FD7812"/>
    <w:rsid w:val="00FD7C64"/>
    <w:rsid w:val="00FD7CDD"/>
    <w:rsid w:val="00FE0059"/>
    <w:rsid w:val="00FE0102"/>
    <w:rsid w:val="00FE02E0"/>
    <w:rsid w:val="00FE0328"/>
    <w:rsid w:val="00FE0495"/>
    <w:rsid w:val="00FE04C6"/>
    <w:rsid w:val="00FE07B0"/>
    <w:rsid w:val="00FE07BB"/>
    <w:rsid w:val="00FE0858"/>
    <w:rsid w:val="00FE08CE"/>
    <w:rsid w:val="00FE0989"/>
    <w:rsid w:val="00FE0C81"/>
    <w:rsid w:val="00FE0D45"/>
    <w:rsid w:val="00FE101E"/>
    <w:rsid w:val="00FE16F6"/>
    <w:rsid w:val="00FE1F0C"/>
    <w:rsid w:val="00FE2504"/>
    <w:rsid w:val="00FE2610"/>
    <w:rsid w:val="00FE270E"/>
    <w:rsid w:val="00FE27AA"/>
    <w:rsid w:val="00FE2C0D"/>
    <w:rsid w:val="00FE2EF9"/>
    <w:rsid w:val="00FE2F68"/>
    <w:rsid w:val="00FE2F71"/>
    <w:rsid w:val="00FE3074"/>
    <w:rsid w:val="00FE3341"/>
    <w:rsid w:val="00FE3342"/>
    <w:rsid w:val="00FE3372"/>
    <w:rsid w:val="00FE3499"/>
    <w:rsid w:val="00FE3868"/>
    <w:rsid w:val="00FE388D"/>
    <w:rsid w:val="00FE3A0D"/>
    <w:rsid w:val="00FE3BA8"/>
    <w:rsid w:val="00FE3DD0"/>
    <w:rsid w:val="00FE4C70"/>
    <w:rsid w:val="00FE4C71"/>
    <w:rsid w:val="00FE4CD0"/>
    <w:rsid w:val="00FE52C5"/>
    <w:rsid w:val="00FE5332"/>
    <w:rsid w:val="00FE5589"/>
    <w:rsid w:val="00FE5A38"/>
    <w:rsid w:val="00FE5B67"/>
    <w:rsid w:val="00FE5CE1"/>
    <w:rsid w:val="00FE5F3E"/>
    <w:rsid w:val="00FE5FD3"/>
    <w:rsid w:val="00FE6536"/>
    <w:rsid w:val="00FE65EC"/>
    <w:rsid w:val="00FE66B3"/>
    <w:rsid w:val="00FE6709"/>
    <w:rsid w:val="00FE6B2F"/>
    <w:rsid w:val="00FE6BBE"/>
    <w:rsid w:val="00FE6C49"/>
    <w:rsid w:val="00FE6C66"/>
    <w:rsid w:val="00FE6F5E"/>
    <w:rsid w:val="00FE6FA4"/>
    <w:rsid w:val="00FE7233"/>
    <w:rsid w:val="00FE7309"/>
    <w:rsid w:val="00FE7325"/>
    <w:rsid w:val="00FE796C"/>
    <w:rsid w:val="00FE7D4D"/>
    <w:rsid w:val="00FF0009"/>
    <w:rsid w:val="00FF0183"/>
    <w:rsid w:val="00FF0427"/>
    <w:rsid w:val="00FF0857"/>
    <w:rsid w:val="00FF0D21"/>
    <w:rsid w:val="00FF0DB6"/>
    <w:rsid w:val="00FF0EF9"/>
    <w:rsid w:val="00FF1152"/>
    <w:rsid w:val="00FF11FE"/>
    <w:rsid w:val="00FF14C8"/>
    <w:rsid w:val="00FF16F1"/>
    <w:rsid w:val="00FF1714"/>
    <w:rsid w:val="00FF1743"/>
    <w:rsid w:val="00FF1FE0"/>
    <w:rsid w:val="00FF229D"/>
    <w:rsid w:val="00FF2554"/>
    <w:rsid w:val="00FF257C"/>
    <w:rsid w:val="00FF2627"/>
    <w:rsid w:val="00FF2682"/>
    <w:rsid w:val="00FF270D"/>
    <w:rsid w:val="00FF2BCC"/>
    <w:rsid w:val="00FF30E1"/>
    <w:rsid w:val="00FF35E7"/>
    <w:rsid w:val="00FF3709"/>
    <w:rsid w:val="00FF3BFF"/>
    <w:rsid w:val="00FF3D27"/>
    <w:rsid w:val="00FF3D37"/>
    <w:rsid w:val="00FF3E30"/>
    <w:rsid w:val="00FF3FC3"/>
    <w:rsid w:val="00FF4098"/>
    <w:rsid w:val="00FF415B"/>
    <w:rsid w:val="00FF45A9"/>
    <w:rsid w:val="00FF47C7"/>
    <w:rsid w:val="00FF4C9D"/>
    <w:rsid w:val="00FF4DEF"/>
    <w:rsid w:val="00FF55C0"/>
    <w:rsid w:val="00FF560B"/>
    <w:rsid w:val="00FF5C80"/>
    <w:rsid w:val="00FF5CEB"/>
    <w:rsid w:val="00FF5D26"/>
    <w:rsid w:val="00FF5D3D"/>
    <w:rsid w:val="00FF6101"/>
    <w:rsid w:val="00FF62C0"/>
    <w:rsid w:val="00FF65AA"/>
    <w:rsid w:val="00FF693F"/>
    <w:rsid w:val="00FF6C84"/>
    <w:rsid w:val="00FF6F12"/>
    <w:rsid w:val="00FF71CD"/>
    <w:rsid w:val="00FF71F0"/>
    <w:rsid w:val="00FF730D"/>
    <w:rsid w:val="00FF748E"/>
    <w:rsid w:val="00FF7831"/>
    <w:rsid w:val="00FF7A6E"/>
    <w:rsid w:val="00FF7A86"/>
    <w:rsid w:val="00FF7AF2"/>
    <w:rsid w:val="00FF7B2A"/>
    <w:rsid w:val="00FF7E19"/>
    <w:rsid w:val="00FF7EB4"/>
    <w:rsid w:val="0103915F"/>
    <w:rsid w:val="012DE663"/>
    <w:rsid w:val="0133FB2F"/>
    <w:rsid w:val="018CFB46"/>
    <w:rsid w:val="01B36E52"/>
    <w:rsid w:val="022BA102"/>
    <w:rsid w:val="0241E39E"/>
    <w:rsid w:val="025EE561"/>
    <w:rsid w:val="02C0FFA8"/>
    <w:rsid w:val="02CA832D"/>
    <w:rsid w:val="02FD0D78"/>
    <w:rsid w:val="0327373C"/>
    <w:rsid w:val="032CDF5D"/>
    <w:rsid w:val="03D70F34"/>
    <w:rsid w:val="03DCDA51"/>
    <w:rsid w:val="03E571BA"/>
    <w:rsid w:val="03FF2227"/>
    <w:rsid w:val="040A2201"/>
    <w:rsid w:val="044848CF"/>
    <w:rsid w:val="046F37C6"/>
    <w:rsid w:val="04AC1518"/>
    <w:rsid w:val="04BAF2E1"/>
    <w:rsid w:val="05A0C926"/>
    <w:rsid w:val="05CD53A8"/>
    <w:rsid w:val="0627C11F"/>
    <w:rsid w:val="06484F94"/>
    <w:rsid w:val="0692DF30"/>
    <w:rsid w:val="06BD88F3"/>
    <w:rsid w:val="06E4321A"/>
    <w:rsid w:val="072F7690"/>
    <w:rsid w:val="07316941"/>
    <w:rsid w:val="076CC380"/>
    <w:rsid w:val="077F9097"/>
    <w:rsid w:val="07A2CD3B"/>
    <w:rsid w:val="07AE8538"/>
    <w:rsid w:val="0844255B"/>
    <w:rsid w:val="08B716C2"/>
    <w:rsid w:val="0965AF4E"/>
    <w:rsid w:val="09C26F50"/>
    <w:rsid w:val="0A5B81D1"/>
    <w:rsid w:val="0AB7F988"/>
    <w:rsid w:val="0ADF0A35"/>
    <w:rsid w:val="0B0A9DA1"/>
    <w:rsid w:val="0C1ABBA8"/>
    <w:rsid w:val="0C337204"/>
    <w:rsid w:val="0C3D14B2"/>
    <w:rsid w:val="0C728FC4"/>
    <w:rsid w:val="0D0106D8"/>
    <w:rsid w:val="0D3BFFEF"/>
    <w:rsid w:val="0DAE5EF3"/>
    <w:rsid w:val="0DD806BC"/>
    <w:rsid w:val="0DFF7DA8"/>
    <w:rsid w:val="0E6B765D"/>
    <w:rsid w:val="0E889C24"/>
    <w:rsid w:val="0EBE0CEF"/>
    <w:rsid w:val="0F2D30EA"/>
    <w:rsid w:val="0F565B3E"/>
    <w:rsid w:val="0FE749C0"/>
    <w:rsid w:val="101B16F7"/>
    <w:rsid w:val="108835A0"/>
    <w:rsid w:val="109C9364"/>
    <w:rsid w:val="10F48D4E"/>
    <w:rsid w:val="10FFBB21"/>
    <w:rsid w:val="115C4DCC"/>
    <w:rsid w:val="1161CA6D"/>
    <w:rsid w:val="11B6455A"/>
    <w:rsid w:val="11C8F1AF"/>
    <w:rsid w:val="120ED1C8"/>
    <w:rsid w:val="12592C07"/>
    <w:rsid w:val="126E9A2E"/>
    <w:rsid w:val="12D02AC5"/>
    <w:rsid w:val="13070FF8"/>
    <w:rsid w:val="134A7B7C"/>
    <w:rsid w:val="14A501AD"/>
    <w:rsid w:val="1522B602"/>
    <w:rsid w:val="1553680F"/>
    <w:rsid w:val="15DB8F85"/>
    <w:rsid w:val="164382B4"/>
    <w:rsid w:val="168DE681"/>
    <w:rsid w:val="16CA8C8C"/>
    <w:rsid w:val="17FE0753"/>
    <w:rsid w:val="184A92E6"/>
    <w:rsid w:val="1880DA5C"/>
    <w:rsid w:val="18BFA811"/>
    <w:rsid w:val="18D2E6CE"/>
    <w:rsid w:val="1956F846"/>
    <w:rsid w:val="19961618"/>
    <w:rsid w:val="19B50E5D"/>
    <w:rsid w:val="19F671FB"/>
    <w:rsid w:val="1B768939"/>
    <w:rsid w:val="1C0FA32A"/>
    <w:rsid w:val="1C1F3E08"/>
    <w:rsid w:val="1C5D2C0E"/>
    <w:rsid w:val="1CAE1A59"/>
    <w:rsid w:val="1D0D2FFC"/>
    <w:rsid w:val="1D0DFE4F"/>
    <w:rsid w:val="1D3B7FC3"/>
    <w:rsid w:val="1DC09E0F"/>
    <w:rsid w:val="1DF2B4C9"/>
    <w:rsid w:val="1E0E0E0D"/>
    <w:rsid w:val="1EAC6A58"/>
    <w:rsid w:val="1EBDEEAF"/>
    <w:rsid w:val="1F91F9BC"/>
    <w:rsid w:val="1FA192CC"/>
    <w:rsid w:val="200EA05D"/>
    <w:rsid w:val="20180489"/>
    <w:rsid w:val="20DDF47C"/>
    <w:rsid w:val="20F0704D"/>
    <w:rsid w:val="21C1B625"/>
    <w:rsid w:val="21C8547E"/>
    <w:rsid w:val="21F92BD0"/>
    <w:rsid w:val="21FFFEE6"/>
    <w:rsid w:val="2219DD8B"/>
    <w:rsid w:val="221D3C8E"/>
    <w:rsid w:val="225BD912"/>
    <w:rsid w:val="22D3184F"/>
    <w:rsid w:val="22D6413B"/>
    <w:rsid w:val="22DF2B4E"/>
    <w:rsid w:val="236BC3CB"/>
    <w:rsid w:val="245F6CCB"/>
    <w:rsid w:val="24670199"/>
    <w:rsid w:val="24BC0993"/>
    <w:rsid w:val="253098C7"/>
    <w:rsid w:val="25383661"/>
    <w:rsid w:val="25B8B05F"/>
    <w:rsid w:val="261A47E1"/>
    <w:rsid w:val="269BA1F3"/>
    <w:rsid w:val="26D4219C"/>
    <w:rsid w:val="271BEC35"/>
    <w:rsid w:val="271FECE0"/>
    <w:rsid w:val="277B8C9C"/>
    <w:rsid w:val="28075B92"/>
    <w:rsid w:val="28A2679C"/>
    <w:rsid w:val="28E692F8"/>
    <w:rsid w:val="28F25721"/>
    <w:rsid w:val="2917BD53"/>
    <w:rsid w:val="298BA264"/>
    <w:rsid w:val="299C3D25"/>
    <w:rsid w:val="29FD760E"/>
    <w:rsid w:val="2A5A04C0"/>
    <w:rsid w:val="2A639E89"/>
    <w:rsid w:val="2A96FBD7"/>
    <w:rsid w:val="2AB2DE3F"/>
    <w:rsid w:val="2AC4CF8A"/>
    <w:rsid w:val="2AC5737D"/>
    <w:rsid w:val="2AF189D7"/>
    <w:rsid w:val="2B22388B"/>
    <w:rsid w:val="2B41512B"/>
    <w:rsid w:val="2B4E3AD4"/>
    <w:rsid w:val="2B686449"/>
    <w:rsid w:val="2B880D7D"/>
    <w:rsid w:val="2BB4DD9D"/>
    <w:rsid w:val="2BF80D36"/>
    <w:rsid w:val="2C61D219"/>
    <w:rsid w:val="2CDF1702"/>
    <w:rsid w:val="2CF8B887"/>
    <w:rsid w:val="2DF7B7A7"/>
    <w:rsid w:val="2E50E858"/>
    <w:rsid w:val="2EB70EE9"/>
    <w:rsid w:val="2EF1983D"/>
    <w:rsid w:val="2F00F07B"/>
    <w:rsid w:val="2F51476D"/>
    <w:rsid w:val="2F7BE0E2"/>
    <w:rsid w:val="2FAEFFCC"/>
    <w:rsid w:val="2FBAFED7"/>
    <w:rsid w:val="30588430"/>
    <w:rsid w:val="3086AA3A"/>
    <w:rsid w:val="30A3C135"/>
    <w:rsid w:val="3115ACD7"/>
    <w:rsid w:val="312F5869"/>
    <w:rsid w:val="31A749E6"/>
    <w:rsid w:val="31D1F514"/>
    <w:rsid w:val="31F4794E"/>
    <w:rsid w:val="32026C09"/>
    <w:rsid w:val="322E1523"/>
    <w:rsid w:val="3239CE88"/>
    <w:rsid w:val="3256C5A9"/>
    <w:rsid w:val="32DB8A03"/>
    <w:rsid w:val="334B86B7"/>
    <w:rsid w:val="3357AD0D"/>
    <w:rsid w:val="33BBE3A9"/>
    <w:rsid w:val="34106886"/>
    <w:rsid w:val="34A56895"/>
    <w:rsid w:val="34F8368D"/>
    <w:rsid w:val="35374BE2"/>
    <w:rsid w:val="358F0FAE"/>
    <w:rsid w:val="35FABB5E"/>
    <w:rsid w:val="368C91C3"/>
    <w:rsid w:val="36ADB89B"/>
    <w:rsid w:val="36FBC3A8"/>
    <w:rsid w:val="371987C6"/>
    <w:rsid w:val="37201212"/>
    <w:rsid w:val="37281D88"/>
    <w:rsid w:val="37379907"/>
    <w:rsid w:val="37704B3C"/>
    <w:rsid w:val="379B1421"/>
    <w:rsid w:val="37A617EC"/>
    <w:rsid w:val="38389794"/>
    <w:rsid w:val="383D7F6E"/>
    <w:rsid w:val="3858FF43"/>
    <w:rsid w:val="3880210C"/>
    <w:rsid w:val="38C8704B"/>
    <w:rsid w:val="391C591C"/>
    <w:rsid w:val="395B2729"/>
    <w:rsid w:val="3995B35C"/>
    <w:rsid w:val="3999A551"/>
    <w:rsid w:val="39AAAE8D"/>
    <w:rsid w:val="3A0416FB"/>
    <w:rsid w:val="3A1A763B"/>
    <w:rsid w:val="3A5FD932"/>
    <w:rsid w:val="3A608799"/>
    <w:rsid w:val="3A9B3B4C"/>
    <w:rsid w:val="3AD20A6C"/>
    <w:rsid w:val="3AE9A06D"/>
    <w:rsid w:val="3B0CCF3C"/>
    <w:rsid w:val="3B105B04"/>
    <w:rsid w:val="3C219619"/>
    <w:rsid w:val="3D3026D2"/>
    <w:rsid w:val="3D965788"/>
    <w:rsid w:val="3DB33A2D"/>
    <w:rsid w:val="3DBF0F50"/>
    <w:rsid w:val="3E817FEB"/>
    <w:rsid w:val="3F331BB6"/>
    <w:rsid w:val="3FD8EC7B"/>
    <w:rsid w:val="4009C12B"/>
    <w:rsid w:val="40291C85"/>
    <w:rsid w:val="4031F709"/>
    <w:rsid w:val="4162F6F8"/>
    <w:rsid w:val="419689BD"/>
    <w:rsid w:val="42CD2A94"/>
    <w:rsid w:val="42CEFFFA"/>
    <w:rsid w:val="439AB5CB"/>
    <w:rsid w:val="43D14A09"/>
    <w:rsid w:val="4445414A"/>
    <w:rsid w:val="4482323F"/>
    <w:rsid w:val="451A786B"/>
    <w:rsid w:val="451D28BA"/>
    <w:rsid w:val="455708C8"/>
    <w:rsid w:val="458B886F"/>
    <w:rsid w:val="460B035F"/>
    <w:rsid w:val="46133E0E"/>
    <w:rsid w:val="466F2B38"/>
    <w:rsid w:val="46A3E515"/>
    <w:rsid w:val="4710B882"/>
    <w:rsid w:val="472E5294"/>
    <w:rsid w:val="47F0DE04"/>
    <w:rsid w:val="4800733C"/>
    <w:rsid w:val="48059F96"/>
    <w:rsid w:val="480A94AF"/>
    <w:rsid w:val="48620881"/>
    <w:rsid w:val="486C3770"/>
    <w:rsid w:val="488B5B13"/>
    <w:rsid w:val="48FEF56A"/>
    <w:rsid w:val="49B8A002"/>
    <w:rsid w:val="4A6EE726"/>
    <w:rsid w:val="4B88E5D5"/>
    <w:rsid w:val="4BAAF825"/>
    <w:rsid w:val="4BD4E854"/>
    <w:rsid w:val="4BDA2821"/>
    <w:rsid w:val="4C54FF31"/>
    <w:rsid w:val="4C84CB67"/>
    <w:rsid w:val="4CAAFCAC"/>
    <w:rsid w:val="4CE4800A"/>
    <w:rsid w:val="4D00E2B2"/>
    <w:rsid w:val="4D3B8C20"/>
    <w:rsid w:val="4DBD2BCD"/>
    <w:rsid w:val="4DBE127E"/>
    <w:rsid w:val="4DF7C97B"/>
    <w:rsid w:val="4E27CAA4"/>
    <w:rsid w:val="4E9D88F2"/>
    <w:rsid w:val="4ECD8E61"/>
    <w:rsid w:val="4EEF68CD"/>
    <w:rsid w:val="4F4A133C"/>
    <w:rsid w:val="4F689910"/>
    <w:rsid w:val="4FAA8C0D"/>
    <w:rsid w:val="4FB72698"/>
    <w:rsid w:val="50093466"/>
    <w:rsid w:val="5081BE9B"/>
    <w:rsid w:val="50987A4E"/>
    <w:rsid w:val="5123FCAC"/>
    <w:rsid w:val="519F572C"/>
    <w:rsid w:val="51BDE936"/>
    <w:rsid w:val="51D45CB5"/>
    <w:rsid w:val="51EF59C4"/>
    <w:rsid w:val="5290C0EC"/>
    <w:rsid w:val="529AE0FE"/>
    <w:rsid w:val="52BC3B52"/>
    <w:rsid w:val="5362937D"/>
    <w:rsid w:val="536468F0"/>
    <w:rsid w:val="536B1958"/>
    <w:rsid w:val="53EE5443"/>
    <w:rsid w:val="541039FB"/>
    <w:rsid w:val="542CEA18"/>
    <w:rsid w:val="54422118"/>
    <w:rsid w:val="5442B448"/>
    <w:rsid w:val="54B108CF"/>
    <w:rsid w:val="54C87F9E"/>
    <w:rsid w:val="5542936B"/>
    <w:rsid w:val="5581B83E"/>
    <w:rsid w:val="55B861EA"/>
    <w:rsid w:val="5641E46E"/>
    <w:rsid w:val="568978DE"/>
    <w:rsid w:val="56A48BBD"/>
    <w:rsid w:val="56C84382"/>
    <w:rsid w:val="56D31C97"/>
    <w:rsid w:val="5718E9CD"/>
    <w:rsid w:val="57AC0EC6"/>
    <w:rsid w:val="57B5E037"/>
    <w:rsid w:val="57D3B713"/>
    <w:rsid w:val="57DFFE91"/>
    <w:rsid w:val="57E68A57"/>
    <w:rsid w:val="57FA77A8"/>
    <w:rsid w:val="580B5457"/>
    <w:rsid w:val="58171BA4"/>
    <w:rsid w:val="584B6439"/>
    <w:rsid w:val="590AA72E"/>
    <w:rsid w:val="59549B40"/>
    <w:rsid w:val="5B272E7C"/>
    <w:rsid w:val="5B3F88CE"/>
    <w:rsid w:val="5B69B51E"/>
    <w:rsid w:val="5BE44111"/>
    <w:rsid w:val="5C5D730F"/>
    <w:rsid w:val="5C7864A8"/>
    <w:rsid w:val="5D37483A"/>
    <w:rsid w:val="5D65A420"/>
    <w:rsid w:val="5D75A9F6"/>
    <w:rsid w:val="5D80DAC0"/>
    <w:rsid w:val="5D8B3D1B"/>
    <w:rsid w:val="5DCFDF34"/>
    <w:rsid w:val="5DE7D838"/>
    <w:rsid w:val="5F90D34F"/>
    <w:rsid w:val="5FA0C172"/>
    <w:rsid w:val="5FE40611"/>
    <w:rsid w:val="60AFBCDB"/>
    <w:rsid w:val="61730D6D"/>
    <w:rsid w:val="61E44B13"/>
    <w:rsid w:val="6204F6D2"/>
    <w:rsid w:val="6207D12D"/>
    <w:rsid w:val="6270017D"/>
    <w:rsid w:val="628E7405"/>
    <w:rsid w:val="63BCD9FA"/>
    <w:rsid w:val="63DC5D49"/>
    <w:rsid w:val="63FA09BF"/>
    <w:rsid w:val="64144A18"/>
    <w:rsid w:val="642C8661"/>
    <w:rsid w:val="6499348C"/>
    <w:rsid w:val="64D2C566"/>
    <w:rsid w:val="654D4A86"/>
    <w:rsid w:val="657C6508"/>
    <w:rsid w:val="659F51D5"/>
    <w:rsid w:val="66CE39EB"/>
    <w:rsid w:val="682E1855"/>
    <w:rsid w:val="6852E8E1"/>
    <w:rsid w:val="68687EA9"/>
    <w:rsid w:val="68A11A8C"/>
    <w:rsid w:val="6969F403"/>
    <w:rsid w:val="69EAB564"/>
    <w:rsid w:val="69EB6456"/>
    <w:rsid w:val="6A3F87E2"/>
    <w:rsid w:val="6A755C50"/>
    <w:rsid w:val="6A99A301"/>
    <w:rsid w:val="6AF8DE9B"/>
    <w:rsid w:val="6B3FC840"/>
    <w:rsid w:val="6B469896"/>
    <w:rsid w:val="6BC49FA5"/>
    <w:rsid w:val="6C04A7DD"/>
    <w:rsid w:val="6C271546"/>
    <w:rsid w:val="6D006391"/>
    <w:rsid w:val="6D56E296"/>
    <w:rsid w:val="6D9A11A5"/>
    <w:rsid w:val="6DAAD879"/>
    <w:rsid w:val="6DC8124F"/>
    <w:rsid w:val="6DCFEC88"/>
    <w:rsid w:val="6E85680D"/>
    <w:rsid w:val="6ECA8E5D"/>
    <w:rsid w:val="6F403BD5"/>
    <w:rsid w:val="6F7523FB"/>
    <w:rsid w:val="703A83EC"/>
    <w:rsid w:val="70769925"/>
    <w:rsid w:val="70B65F57"/>
    <w:rsid w:val="70CC9F97"/>
    <w:rsid w:val="70D1C019"/>
    <w:rsid w:val="70DEE47E"/>
    <w:rsid w:val="70E1C939"/>
    <w:rsid w:val="70F6EC06"/>
    <w:rsid w:val="7205AF69"/>
    <w:rsid w:val="72183557"/>
    <w:rsid w:val="7326E82D"/>
    <w:rsid w:val="73467B2E"/>
    <w:rsid w:val="73DDEB04"/>
    <w:rsid w:val="741DBD95"/>
    <w:rsid w:val="743AFF06"/>
    <w:rsid w:val="74CACF92"/>
    <w:rsid w:val="74CF6DA6"/>
    <w:rsid w:val="757F1BB9"/>
    <w:rsid w:val="76641246"/>
    <w:rsid w:val="77458C21"/>
    <w:rsid w:val="78679240"/>
    <w:rsid w:val="787AA2EB"/>
    <w:rsid w:val="78BAD873"/>
    <w:rsid w:val="78BF60A7"/>
    <w:rsid w:val="792FD118"/>
    <w:rsid w:val="79320520"/>
    <w:rsid w:val="793C5360"/>
    <w:rsid w:val="794D3DC4"/>
    <w:rsid w:val="798CA436"/>
    <w:rsid w:val="79B44BC7"/>
    <w:rsid w:val="79C4ABF1"/>
    <w:rsid w:val="7A18F5F9"/>
    <w:rsid w:val="7A5A8758"/>
    <w:rsid w:val="7A6579C8"/>
    <w:rsid w:val="7A9FE58D"/>
    <w:rsid w:val="7B3A082D"/>
    <w:rsid w:val="7C91F0F6"/>
    <w:rsid w:val="7C9DAE05"/>
    <w:rsid w:val="7D164012"/>
    <w:rsid w:val="7D45E645"/>
    <w:rsid w:val="7D6289E0"/>
    <w:rsid w:val="7DE16386"/>
    <w:rsid w:val="7DF72177"/>
    <w:rsid w:val="7E3BF4A9"/>
    <w:rsid w:val="7E3C4FF6"/>
    <w:rsid w:val="7E718B59"/>
    <w:rsid w:val="7E8D9F85"/>
    <w:rsid w:val="7EB6F3E9"/>
    <w:rsid w:val="7ECEDA78"/>
    <w:rsid w:val="7F641075"/>
    <w:rsid w:val="7F9C7254"/>
    <w:rsid w:val="7FAD4E63"/>
    <w:rsid w:val="7FF6248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H1"/>
    <w:basedOn w:val="Contents"/>
    <w:next w:val="Heading2"/>
    <w:link w:val="Heading1Char"/>
    <w:qFormat/>
    <w:rsid w:val="002D18F3"/>
    <w:pPr>
      <w:spacing w:before="360" w:after="0"/>
      <w:outlineLvl w:val="0"/>
    </w:pPr>
    <w:rPr>
      <w:b/>
      <w:bCs/>
    </w:rPr>
  </w:style>
  <w:style w:type="paragraph" w:styleId="Heading2">
    <w:name w:val="heading 2"/>
    <w:aliases w:val="CER Heading 2,H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H3"/>
    <w:next w:val="Normal"/>
    <w:link w:val="Heading3Char"/>
    <w:uiPriority w:val="9"/>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4B08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B08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H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H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H3 Char"/>
    <w:basedOn w:val="DefaultParagraphFont"/>
    <w:link w:val="Heading3"/>
    <w:uiPriority w:val="9"/>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4"/>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10"/>
    <w:qFormat/>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D95581"/>
    <w:pPr>
      <w:tabs>
        <w:tab w:val="left" w:pos="440"/>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39"/>
    <w:unhideWhenUsed/>
    <w:rsid w:val="004E238A"/>
    <w:pPr>
      <w:tabs>
        <w:tab w:val="right" w:leader="dot" w:pos="9730"/>
      </w:tabs>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paragraph" w:styleId="ListParagraph">
    <w:name w:val="List Paragraph"/>
    <w:basedOn w:val="Normal"/>
    <w:link w:val="ListParagraphChar"/>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semiHidden/>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semiHidden/>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table" w:customStyle="1" w:styleId="CERTable2">
    <w:name w:val="CER Table2"/>
    <w:basedOn w:val="TableNormal"/>
    <w:uiPriority w:val="99"/>
    <w:rsid w:val="002B4789"/>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ZWAdobeF" w:hAnsi="ZWAdobeF"/>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ZWAdobeF" w:hAnsi="ZWAdobeF"/>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styleId="Mention">
    <w:name w:val="Mention"/>
    <w:basedOn w:val="DefaultParagraphFont"/>
    <w:uiPriority w:val="99"/>
    <w:unhideWhenUsed/>
    <w:rsid w:val="002B4789"/>
    <w:rPr>
      <w:color w:val="2B579A"/>
      <w:shd w:val="clear" w:color="auto" w:fill="E1DFDD"/>
    </w:rPr>
  </w:style>
  <w:style w:type="paragraph" w:customStyle="1" w:styleId="Body">
    <w:name w:val="Body"/>
    <w:basedOn w:val="Normal"/>
    <w:link w:val="BodyChar"/>
    <w:rsid w:val="004A2E03"/>
    <w:pPr>
      <w:spacing w:before="60" w:after="120" w:line="280" w:lineRule="atLeast"/>
      <w:ind w:left="567"/>
    </w:pPr>
    <w:rPr>
      <w:rFonts w:ascii="Arial" w:eastAsia="Times New Roman" w:hAnsi="Arial" w:cs="Times New Roman"/>
      <w:color w:val="auto"/>
      <w:sz w:val="20"/>
      <w:lang w:val="en-GB"/>
    </w:rPr>
  </w:style>
  <w:style w:type="character" w:customStyle="1" w:styleId="BodyChar">
    <w:name w:val="Body Char"/>
    <w:link w:val="Body"/>
    <w:rsid w:val="004A2E03"/>
    <w:rPr>
      <w:rFonts w:ascii="Arial" w:eastAsia="Times New Roman" w:hAnsi="Arial"/>
      <w:szCs w:val="24"/>
      <w:lang w:val="en-GB" w:eastAsia="en-US"/>
    </w:rPr>
  </w:style>
  <w:style w:type="paragraph" w:customStyle="1" w:styleId="Bullet">
    <w:name w:val="Bullet"/>
    <w:aliases w:val="b1"/>
    <w:basedOn w:val="Body"/>
    <w:rsid w:val="004A2E03"/>
    <w:pPr>
      <w:tabs>
        <w:tab w:val="num" w:pos="-1097"/>
        <w:tab w:val="left" w:pos="964"/>
      </w:tabs>
      <w:ind w:left="-1097" w:hanging="37"/>
    </w:pPr>
  </w:style>
  <w:style w:type="paragraph" w:styleId="CommentSubject">
    <w:name w:val="annotation subject"/>
    <w:basedOn w:val="CommentText"/>
    <w:next w:val="CommentText"/>
    <w:link w:val="CommentSubjectChar"/>
    <w:uiPriority w:val="99"/>
    <w:semiHidden/>
    <w:unhideWhenUsed/>
    <w:rsid w:val="004A2E03"/>
    <w:rPr>
      <w:b/>
      <w:bCs/>
    </w:rPr>
  </w:style>
  <w:style w:type="character" w:customStyle="1" w:styleId="CommentSubjectChar">
    <w:name w:val="Comment Subject Char"/>
    <w:basedOn w:val="CommentTextChar"/>
    <w:link w:val="CommentSubject"/>
    <w:uiPriority w:val="99"/>
    <w:semiHidden/>
    <w:rsid w:val="004A2E03"/>
    <w:rPr>
      <w:rFonts w:asciiTheme="minorHAnsi" w:hAnsiTheme="minorHAnsi" w:cstheme="minorHAnsi"/>
      <w:b/>
      <w:bCs/>
      <w:color w:val="000000" w:themeColor="text1"/>
      <w:lang w:val="en-GB" w:eastAsia="en-US"/>
    </w:rPr>
  </w:style>
  <w:style w:type="paragraph" w:styleId="BalloonText">
    <w:name w:val="Balloon Text"/>
    <w:basedOn w:val="Normal"/>
    <w:link w:val="BalloonTextChar"/>
    <w:semiHidden/>
    <w:unhideWhenUsed/>
    <w:rsid w:val="004A2E03"/>
    <w:pPr>
      <w:spacing w:after="0"/>
    </w:pPr>
    <w:rPr>
      <w:rFonts w:ascii="Segoe UI" w:hAnsi="Segoe UI" w:cs="Segoe UI"/>
      <w:sz w:val="18"/>
      <w:szCs w:val="18"/>
      <w:lang w:val="en-GB"/>
    </w:rPr>
  </w:style>
  <w:style w:type="character" w:customStyle="1" w:styleId="BalloonTextChar">
    <w:name w:val="Balloon Text Char"/>
    <w:basedOn w:val="DefaultParagraphFont"/>
    <w:link w:val="BalloonText"/>
    <w:semiHidden/>
    <w:rsid w:val="004A2E03"/>
    <w:rPr>
      <w:rFonts w:ascii="Segoe UI" w:hAnsi="Segoe UI" w:cs="Segoe UI"/>
      <w:color w:val="000000" w:themeColor="text1"/>
      <w:sz w:val="18"/>
      <w:szCs w:val="18"/>
      <w:lang w:val="en-GB" w:eastAsia="en-US"/>
    </w:rPr>
  </w:style>
  <w:style w:type="paragraph" w:customStyle="1" w:styleId="Bold-ItalicHeading">
    <w:name w:val="Bold-Italic_Heading"/>
    <w:basedOn w:val="Body"/>
    <w:next w:val="Body"/>
    <w:rsid w:val="004A2E03"/>
    <w:pPr>
      <w:keepNext/>
      <w:spacing w:before="200"/>
    </w:pPr>
    <w:rPr>
      <w:b/>
      <w:i/>
      <w:color w:val="0065A4"/>
    </w:rPr>
  </w:style>
  <w:style w:type="paragraph" w:customStyle="1" w:styleId="Bullet2">
    <w:name w:val="Bullet 2"/>
    <w:aliases w:val="b2"/>
    <w:basedOn w:val="Body"/>
    <w:rsid w:val="004A2E03"/>
    <w:pPr>
      <w:numPr>
        <w:numId w:val="5"/>
      </w:numPr>
      <w:tabs>
        <w:tab w:val="clear" w:pos="1134"/>
        <w:tab w:val="left" w:pos="1417"/>
      </w:tabs>
      <w:spacing w:before="0" w:after="60"/>
      <w:ind w:left="360" w:hanging="360"/>
    </w:pPr>
  </w:style>
  <w:style w:type="table" w:customStyle="1" w:styleId="Table-Style3">
    <w:name w:val="Table-Style3"/>
    <w:basedOn w:val="TableNormal"/>
    <w:rsid w:val="004A2E03"/>
    <w:rPr>
      <w:rFonts w:ascii="Arial" w:eastAsia="Times New Roman" w:hAnsi="Arial"/>
    </w:rPr>
    <w:tblPr>
      <w:tblInd w:w="5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E7E8"/>
    </w:tcPr>
    <w:tblStylePr w:type="firstRow">
      <w:pPr>
        <w:wordWrap/>
        <w:spacing w:beforeLines="0" w:before="60" w:beforeAutospacing="0" w:afterLines="0" w:after="60" w:afterAutospacing="0" w:line="240" w:lineRule="auto"/>
        <w:contextualSpacing w:val="0"/>
      </w:pPr>
      <w:rPr>
        <w:rFonts w:ascii="Arial" w:hAnsi="Arial"/>
        <w:b w:val="0"/>
        <w:color w:val="FFFFFF"/>
        <w:sz w:val="20"/>
      </w:rPr>
      <w:tblPr/>
      <w:tcPr>
        <w:tcBorders>
          <w:insideV w:val="single" w:sz="6" w:space="0" w:color="FFFFFF"/>
        </w:tcBorders>
        <w:shd w:val="clear" w:color="auto" w:fill="00599C"/>
      </w:tcPr>
    </w:tblStylePr>
  </w:style>
  <w:style w:type="paragraph" w:customStyle="1" w:styleId="Default">
    <w:name w:val="Default"/>
    <w:rsid w:val="004A2E03"/>
    <w:pPr>
      <w:autoSpaceDE w:val="0"/>
      <w:autoSpaceDN w:val="0"/>
      <w:adjustRightInd w:val="0"/>
    </w:pPr>
    <w:rPr>
      <w:rFonts w:ascii="Calibri" w:hAnsi="Calibri" w:cs="Calibri"/>
      <w:color w:val="000000"/>
      <w:sz w:val="24"/>
      <w:szCs w:val="24"/>
    </w:rPr>
  </w:style>
  <w:style w:type="table" w:customStyle="1" w:styleId="CoverTable">
    <w:name w:val="CoverTable"/>
    <w:basedOn w:val="TableNormal"/>
    <w:rsid w:val="004A2E03"/>
    <w:rPr>
      <w:rFonts w:ascii="Arial" w:eastAsia="Times New Roman" w:hAnsi="Arial"/>
    </w:rPr>
    <w:tblPr/>
    <w:tcPr>
      <w:shd w:val="clear" w:color="auto" w:fill="auto"/>
    </w:tcPr>
  </w:style>
  <w:style w:type="table" w:customStyle="1" w:styleId="CERTable1">
    <w:name w:val="CER Table1"/>
    <w:basedOn w:val="TableNormal"/>
    <w:uiPriority w:val="99"/>
    <w:rsid w:val="004A2E03"/>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NSimSun" w:hAnsi="@NSimSun"/>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NSimSun" w:hAnsi="@NSimSun"/>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paragraph" w:styleId="TOCHeading">
    <w:name w:val="TOC Heading"/>
    <w:basedOn w:val="Heading1"/>
    <w:next w:val="Normal"/>
    <w:uiPriority w:val="39"/>
    <w:unhideWhenUsed/>
    <w:qFormat/>
    <w:rsid w:val="004A2E03"/>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Revision">
    <w:name w:val="Revision"/>
    <w:hidden/>
    <w:semiHidden/>
    <w:rsid w:val="004A2E03"/>
    <w:rPr>
      <w:rFonts w:asciiTheme="minorHAnsi" w:hAnsiTheme="minorHAnsi" w:cstheme="minorHAnsi"/>
      <w:color w:val="000000" w:themeColor="text1"/>
      <w:sz w:val="22"/>
      <w:szCs w:val="24"/>
      <w:lang w:eastAsia="en-US"/>
    </w:rPr>
  </w:style>
  <w:style w:type="paragraph" w:customStyle="1" w:styleId="Sub-para">
    <w:name w:val="Sub-para"/>
    <w:basedOn w:val="Normal"/>
    <w:uiPriority w:val="8"/>
    <w:qFormat/>
    <w:rsid w:val="004A2E03"/>
    <w:pPr>
      <w:spacing w:before="120" w:after="120"/>
      <w:ind w:left="720" w:hanging="360"/>
    </w:pPr>
    <w:rPr>
      <w:color w:val="auto"/>
      <w:lang w:val="en-GB"/>
    </w:rPr>
  </w:style>
  <w:style w:type="paragraph" w:customStyle="1" w:styleId="R2">
    <w:name w:val="R2"/>
    <w:aliases w:val="(2)"/>
    <w:basedOn w:val="Normal"/>
    <w:uiPriority w:val="99"/>
    <w:rsid w:val="004A2E03"/>
    <w:pPr>
      <w:keepLines/>
      <w:tabs>
        <w:tab w:val="right" w:pos="794"/>
      </w:tabs>
      <w:spacing w:before="180" w:after="120" w:line="260" w:lineRule="exact"/>
      <w:ind w:left="964" w:hanging="964"/>
      <w:jc w:val="both"/>
    </w:pPr>
    <w:rPr>
      <w:rFonts w:ascii="Times New Roman" w:eastAsia="Times New Roman" w:hAnsi="Times New Roman" w:cs="Times New Roman"/>
      <w:color w:val="auto"/>
      <w:sz w:val="24"/>
      <w:lang w:eastAsia="en-AU"/>
    </w:rPr>
  </w:style>
  <w:style w:type="paragraph" w:customStyle="1" w:styleId="Text">
    <w:name w:val="Text"/>
    <w:link w:val="TextChar"/>
    <w:rsid w:val="004A2E03"/>
    <w:pPr>
      <w:spacing w:before="240" w:after="120" w:line="312" w:lineRule="auto"/>
    </w:pPr>
    <w:rPr>
      <w:rFonts w:ascii="Times New Roman" w:eastAsia="Times New Roman" w:hAnsi="Times New Roman"/>
      <w:lang w:eastAsia="en-US"/>
    </w:rPr>
  </w:style>
  <w:style w:type="character" w:customStyle="1" w:styleId="TextChar">
    <w:name w:val="Text Char"/>
    <w:basedOn w:val="DefaultParagraphFont"/>
    <w:link w:val="Text"/>
    <w:locked/>
    <w:rsid w:val="004A2E03"/>
    <w:rPr>
      <w:rFonts w:ascii="Times New Roman" w:eastAsia="Times New Roman" w:hAnsi="Times New Roman"/>
      <w:lang w:eastAsia="en-US"/>
    </w:rPr>
  </w:style>
  <w:style w:type="character" w:styleId="UnresolvedMention">
    <w:name w:val="Unresolved Mention"/>
    <w:basedOn w:val="DefaultParagraphFont"/>
    <w:uiPriority w:val="99"/>
    <w:unhideWhenUsed/>
    <w:rsid w:val="004A2E03"/>
    <w:rPr>
      <w:color w:val="605E5C"/>
      <w:shd w:val="clear" w:color="auto" w:fill="E1DFDD"/>
    </w:rPr>
  </w:style>
  <w:style w:type="character" w:customStyle="1" w:styleId="ListParagraphChar">
    <w:name w:val="List Paragraph Char"/>
    <w:link w:val="ListParagraph"/>
    <w:uiPriority w:val="34"/>
    <w:rsid w:val="004A2E03"/>
    <w:rPr>
      <w:rFonts w:asciiTheme="minorHAnsi" w:hAnsiTheme="minorHAnsi" w:cstheme="minorHAnsi"/>
      <w:color w:val="000000" w:themeColor="text1"/>
      <w:sz w:val="22"/>
      <w:szCs w:val="24"/>
      <w:lang w:val="en-GB" w:eastAsia="en-US"/>
    </w:rPr>
  </w:style>
  <w:style w:type="table" w:customStyle="1" w:styleId="CERCallout1">
    <w:name w:val="CER Callout1"/>
    <w:basedOn w:val="TableNormal"/>
    <w:uiPriority w:val="99"/>
    <w:rsid w:val="004A2E03"/>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paragraph" w:customStyle="1" w:styleId="R1">
    <w:name w:val="R1"/>
    <w:aliases w:val="1. or 1.(1)"/>
    <w:basedOn w:val="Normal"/>
    <w:next w:val="R2"/>
    <w:rsid w:val="004A2E03"/>
    <w:pPr>
      <w:keepLines/>
      <w:tabs>
        <w:tab w:val="right" w:pos="794"/>
      </w:tabs>
      <w:spacing w:before="120" w:after="120" w:line="260" w:lineRule="exact"/>
      <w:ind w:left="964" w:hanging="964"/>
      <w:jc w:val="both"/>
    </w:pPr>
    <w:rPr>
      <w:rFonts w:ascii="Times New Roman" w:eastAsia="Times New Roman" w:hAnsi="Times New Roman" w:cs="Times New Roman"/>
      <w:color w:val="auto"/>
      <w:sz w:val="24"/>
      <w:lang w:eastAsia="en-AU"/>
    </w:rPr>
  </w:style>
  <w:style w:type="numbering" w:customStyle="1" w:styleId="CERbulletlist">
    <w:name w:val="CER bullet list"/>
    <w:uiPriority w:val="99"/>
    <w:rsid w:val="004A2E03"/>
    <w:pPr>
      <w:numPr>
        <w:numId w:val="11"/>
      </w:numPr>
    </w:pPr>
  </w:style>
  <w:style w:type="paragraph" w:customStyle="1" w:styleId="subsection">
    <w:name w:val="subsection"/>
    <w:basedOn w:val="Normal"/>
    <w:rsid w:val="004A2E03"/>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paragraph">
    <w:name w:val="paragraph"/>
    <w:basedOn w:val="Normal"/>
    <w:rsid w:val="004A2E03"/>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paragraphsub">
    <w:name w:val="paragraphsub"/>
    <w:basedOn w:val="Normal"/>
    <w:rsid w:val="004A2E03"/>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4A2E03"/>
  </w:style>
  <w:style w:type="paragraph" w:styleId="TOC5">
    <w:name w:val="toc 5"/>
    <w:basedOn w:val="Normal"/>
    <w:next w:val="Normal"/>
    <w:autoRedefine/>
    <w:uiPriority w:val="39"/>
    <w:unhideWhenUsed/>
    <w:rsid w:val="00027727"/>
    <w:pPr>
      <w:spacing w:after="100"/>
      <w:ind w:left="880"/>
    </w:pPr>
  </w:style>
  <w:style w:type="paragraph" w:styleId="EndnoteText">
    <w:name w:val="endnote text"/>
    <w:basedOn w:val="Normal"/>
    <w:link w:val="EndnoteTextChar"/>
    <w:uiPriority w:val="99"/>
    <w:semiHidden/>
    <w:unhideWhenUsed/>
    <w:rsid w:val="00780645"/>
    <w:pPr>
      <w:spacing w:after="0"/>
    </w:pPr>
    <w:rPr>
      <w:sz w:val="20"/>
      <w:szCs w:val="20"/>
    </w:rPr>
  </w:style>
  <w:style w:type="character" w:customStyle="1" w:styleId="EndnoteTextChar">
    <w:name w:val="Endnote Text Char"/>
    <w:basedOn w:val="DefaultParagraphFont"/>
    <w:link w:val="EndnoteText"/>
    <w:uiPriority w:val="99"/>
    <w:semiHidden/>
    <w:rsid w:val="00780645"/>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780645"/>
    <w:rPr>
      <w:vertAlign w:val="superscript"/>
    </w:rPr>
  </w:style>
  <w:style w:type="character" w:customStyle="1" w:styleId="ui-provider">
    <w:name w:val="ui-provider"/>
    <w:basedOn w:val="DefaultParagraphFont"/>
    <w:rsid w:val="00780645"/>
  </w:style>
  <w:style w:type="character" w:customStyle="1" w:styleId="cf01">
    <w:name w:val="cf01"/>
    <w:basedOn w:val="DefaultParagraphFont"/>
    <w:rsid w:val="00780645"/>
    <w:rPr>
      <w:rFonts w:ascii="Segoe UI" w:hAnsi="Segoe UI" w:cs="Segoe UI" w:hint="default"/>
      <w:sz w:val="18"/>
      <w:szCs w:val="18"/>
    </w:rPr>
  </w:style>
  <w:style w:type="character" w:customStyle="1" w:styleId="eop">
    <w:name w:val="eop"/>
    <w:basedOn w:val="DefaultParagraphFont"/>
    <w:rsid w:val="00780645"/>
  </w:style>
  <w:style w:type="character" w:customStyle="1" w:styleId="scxw260463303">
    <w:name w:val="scxw260463303"/>
    <w:basedOn w:val="DefaultParagraphFont"/>
    <w:rsid w:val="00780645"/>
  </w:style>
  <w:style w:type="character" w:customStyle="1" w:styleId="cf11">
    <w:name w:val="cf11"/>
    <w:basedOn w:val="DefaultParagraphFont"/>
    <w:rsid w:val="00780645"/>
    <w:rPr>
      <w:rFonts w:ascii="Segoe UI" w:hAnsi="Segoe UI" w:cs="Segoe UI" w:hint="default"/>
      <w:color w:val="0000FF"/>
      <w:sz w:val="18"/>
      <w:szCs w:val="18"/>
      <w:u w:val="single"/>
    </w:rPr>
  </w:style>
  <w:style w:type="paragraph" w:styleId="Bibliography">
    <w:name w:val="Bibliography"/>
    <w:basedOn w:val="Normal"/>
    <w:next w:val="Normal"/>
    <w:uiPriority w:val="99"/>
    <w:semiHidden/>
    <w:unhideWhenUsed/>
    <w:rsid w:val="004B0870"/>
  </w:style>
  <w:style w:type="paragraph" w:styleId="BlockText">
    <w:name w:val="Block Text"/>
    <w:basedOn w:val="Normal"/>
    <w:uiPriority w:val="99"/>
    <w:semiHidden/>
    <w:unhideWhenUsed/>
    <w:rsid w:val="004B0870"/>
    <w:pPr>
      <w:pBdr>
        <w:top w:val="single" w:sz="2" w:space="10" w:color="9FB76F" w:themeColor="accent1"/>
        <w:left w:val="single" w:sz="2" w:space="10" w:color="9FB76F" w:themeColor="accent1"/>
        <w:bottom w:val="single" w:sz="2" w:space="10" w:color="9FB76F" w:themeColor="accent1"/>
        <w:right w:val="single" w:sz="2" w:space="10" w:color="9FB76F" w:themeColor="accent1"/>
      </w:pBdr>
      <w:ind w:left="1152" w:right="1152"/>
    </w:pPr>
    <w:rPr>
      <w:rFonts w:eastAsiaTheme="minorEastAsia" w:cstheme="minorBidi"/>
      <w:i/>
      <w:iCs/>
      <w:color w:val="9FB76F" w:themeColor="accent1"/>
    </w:rPr>
  </w:style>
  <w:style w:type="paragraph" w:styleId="BodyText">
    <w:name w:val="Body Text"/>
    <w:basedOn w:val="Normal"/>
    <w:link w:val="BodyTextChar"/>
    <w:uiPriority w:val="99"/>
    <w:semiHidden/>
    <w:unhideWhenUsed/>
    <w:rsid w:val="004B0870"/>
    <w:pPr>
      <w:spacing w:after="120"/>
    </w:pPr>
  </w:style>
  <w:style w:type="character" w:customStyle="1" w:styleId="BodyTextChar">
    <w:name w:val="Body Text Char"/>
    <w:basedOn w:val="DefaultParagraphFont"/>
    <w:link w:val="BodyText"/>
    <w:uiPriority w:val="99"/>
    <w:semiHidden/>
    <w:rsid w:val="004B0870"/>
    <w:rPr>
      <w:rFonts w:asciiTheme="minorHAnsi" w:hAnsiTheme="minorHAnsi" w:cstheme="minorHAnsi"/>
      <w:color w:val="000000" w:themeColor="text1"/>
      <w:sz w:val="22"/>
      <w:szCs w:val="24"/>
      <w:lang w:eastAsia="en-US"/>
    </w:rPr>
  </w:style>
  <w:style w:type="paragraph" w:styleId="BodyText2">
    <w:name w:val="Body Text 2"/>
    <w:basedOn w:val="Normal"/>
    <w:link w:val="BodyText2Char"/>
    <w:uiPriority w:val="99"/>
    <w:semiHidden/>
    <w:unhideWhenUsed/>
    <w:rsid w:val="004B0870"/>
    <w:pPr>
      <w:spacing w:after="120" w:line="480" w:lineRule="auto"/>
    </w:pPr>
  </w:style>
  <w:style w:type="character" w:customStyle="1" w:styleId="BodyText2Char">
    <w:name w:val="Body Text 2 Char"/>
    <w:basedOn w:val="DefaultParagraphFont"/>
    <w:link w:val="BodyText2"/>
    <w:uiPriority w:val="99"/>
    <w:semiHidden/>
    <w:rsid w:val="004B0870"/>
    <w:rPr>
      <w:rFonts w:asciiTheme="minorHAnsi" w:hAnsiTheme="minorHAnsi" w:cstheme="minorHAnsi"/>
      <w:color w:val="000000" w:themeColor="text1"/>
      <w:sz w:val="22"/>
      <w:szCs w:val="24"/>
      <w:lang w:eastAsia="en-US"/>
    </w:rPr>
  </w:style>
  <w:style w:type="paragraph" w:styleId="BodyText3">
    <w:name w:val="Body Text 3"/>
    <w:basedOn w:val="Normal"/>
    <w:link w:val="BodyText3Char"/>
    <w:uiPriority w:val="99"/>
    <w:semiHidden/>
    <w:unhideWhenUsed/>
    <w:rsid w:val="004B0870"/>
    <w:pPr>
      <w:spacing w:after="120"/>
    </w:pPr>
    <w:rPr>
      <w:sz w:val="16"/>
      <w:szCs w:val="16"/>
    </w:rPr>
  </w:style>
  <w:style w:type="character" w:customStyle="1" w:styleId="BodyText3Char">
    <w:name w:val="Body Text 3 Char"/>
    <w:basedOn w:val="DefaultParagraphFont"/>
    <w:link w:val="BodyText3"/>
    <w:uiPriority w:val="99"/>
    <w:semiHidden/>
    <w:rsid w:val="004B0870"/>
    <w:rPr>
      <w:rFonts w:asciiTheme="minorHAnsi" w:hAnsiTheme="minorHAnsi" w:cstheme="minorHAnsi"/>
      <w:color w:val="000000" w:themeColor="text1"/>
      <w:sz w:val="16"/>
      <w:szCs w:val="16"/>
      <w:lang w:eastAsia="en-US"/>
    </w:rPr>
  </w:style>
  <w:style w:type="paragraph" w:styleId="BodyTextFirstIndent">
    <w:name w:val="Body Text First Indent"/>
    <w:basedOn w:val="BodyText"/>
    <w:link w:val="BodyTextFirstIndentChar"/>
    <w:uiPriority w:val="99"/>
    <w:rsid w:val="004B0870"/>
    <w:pPr>
      <w:spacing w:after="200"/>
      <w:ind w:firstLine="360"/>
    </w:pPr>
  </w:style>
  <w:style w:type="character" w:customStyle="1" w:styleId="BodyTextFirstIndentChar">
    <w:name w:val="Body Text First Indent Char"/>
    <w:basedOn w:val="BodyTextChar"/>
    <w:link w:val="BodyTextFirstIndent"/>
    <w:uiPriority w:val="99"/>
    <w:rsid w:val="004B0870"/>
    <w:rPr>
      <w:rFonts w:asciiTheme="minorHAnsi" w:hAnsiTheme="minorHAnsi" w:cstheme="minorHAnsi"/>
      <w:color w:val="000000" w:themeColor="text1"/>
      <w:sz w:val="22"/>
      <w:szCs w:val="24"/>
      <w:lang w:eastAsia="en-US"/>
    </w:rPr>
  </w:style>
  <w:style w:type="paragraph" w:styleId="BodyTextIndent">
    <w:name w:val="Body Text Indent"/>
    <w:basedOn w:val="Normal"/>
    <w:link w:val="BodyTextIndentChar"/>
    <w:uiPriority w:val="99"/>
    <w:semiHidden/>
    <w:unhideWhenUsed/>
    <w:rsid w:val="004B0870"/>
    <w:pPr>
      <w:spacing w:after="120"/>
      <w:ind w:left="283"/>
    </w:pPr>
  </w:style>
  <w:style w:type="character" w:customStyle="1" w:styleId="BodyTextIndentChar">
    <w:name w:val="Body Text Indent Char"/>
    <w:basedOn w:val="DefaultParagraphFont"/>
    <w:link w:val="BodyTextIndent"/>
    <w:uiPriority w:val="99"/>
    <w:semiHidden/>
    <w:rsid w:val="004B0870"/>
    <w:rPr>
      <w:rFonts w:asciiTheme="minorHAnsi" w:hAnsiTheme="minorHAnsi" w:cstheme="minorHAnsi"/>
      <w:color w:val="000000" w:themeColor="text1"/>
      <w:sz w:val="22"/>
      <w:szCs w:val="24"/>
      <w:lang w:eastAsia="en-US"/>
    </w:rPr>
  </w:style>
  <w:style w:type="paragraph" w:styleId="BodyTextFirstIndent2">
    <w:name w:val="Body Text First Indent 2"/>
    <w:basedOn w:val="BodyTextIndent"/>
    <w:link w:val="BodyTextFirstIndent2Char"/>
    <w:uiPriority w:val="99"/>
    <w:semiHidden/>
    <w:unhideWhenUsed/>
    <w:rsid w:val="004B0870"/>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B0870"/>
    <w:rPr>
      <w:rFonts w:asciiTheme="minorHAnsi" w:hAnsiTheme="minorHAnsi" w:cstheme="minorHAnsi"/>
      <w:color w:val="000000" w:themeColor="text1"/>
      <w:sz w:val="22"/>
      <w:szCs w:val="24"/>
      <w:lang w:eastAsia="en-US"/>
    </w:rPr>
  </w:style>
  <w:style w:type="paragraph" w:styleId="BodyTextIndent2">
    <w:name w:val="Body Text Indent 2"/>
    <w:basedOn w:val="Normal"/>
    <w:link w:val="BodyTextIndent2Char"/>
    <w:uiPriority w:val="99"/>
    <w:semiHidden/>
    <w:unhideWhenUsed/>
    <w:rsid w:val="004B0870"/>
    <w:pPr>
      <w:spacing w:after="120" w:line="480" w:lineRule="auto"/>
      <w:ind w:left="283"/>
    </w:pPr>
  </w:style>
  <w:style w:type="character" w:customStyle="1" w:styleId="BodyTextIndent2Char">
    <w:name w:val="Body Text Indent 2 Char"/>
    <w:basedOn w:val="DefaultParagraphFont"/>
    <w:link w:val="BodyTextIndent2"/>
    <w:uiPriority w:val="99"/>
    <w:semiHidden/>
    <w:rsid w:val="004B0870"/>
    <w:rPr>
      <w:rFonts w:asciiTheme="minorHAnsi" w:hAnsiTheme="minorHAnsi" w:cstheme="minorHAnsi"/>
      <w:color w:val="000000" w:themeColor="text1"/>
      <w:sz w:val="22"/>
      <w:szCs w:val="24"/>
      <w:lang w:eastAsia="en-US"/>
    </w:rPr>
  </w:style>
  <w:style w:type="paragraph" w:styleId="BodyTextIndent3">
    <w:name w:val="Body Text Indent 3"/>
    <w:basedOn w:val="Normal"/>
    <w:link w:val="BodyTextIndent3Char"/>
    <w:uiPriority w:val="99"/>
    <w:semiHidden/>
    <w:unhideWhenUsed/>
    <w:rsid w:val="004B087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B0870"/>
    <w:rPr>
      <w:rFonts w:asciiTheme="minorHAnsi" w:hAnsiTheme="minorHAnsi" w:cstheme="minorHAnsi"/>
      <w:color w:val="000000" w:themeColor="text1"/>
      <w:sz w:val="16"/>
      <w:szCs w:val="16"/>
      <w:lang w:eastAsia="en-US"/>
    </w:rPr>
  </w:style>
  <w:style w:type="paragraph" w:styleId="Closing">
    <w:name w:val="Closing"/>
    <w:basedOn w:val="Normal"/>
    <w:link w:val="ClosingChar"/>
    <w:uiPriority w:val="99"/>
    <w:semiHidden/>
    <w:unhideWhenUsed/>
    <w:rsid w:val="004B0870"/>
    <w:pPr>
      <w:spacing w:after="0"/>
      <w:ind w:left="4252"/>
    </w:pPr>
  </w:style>
  <w:style w:type="character" w:customStyle="1" w:styleId="ClosingChar">
    <w:name w:val="Closing Char"/>
    <w:basedOn w:val="DefaultParagraphFont"/>
    <w:link w:val="Closing"/>
    <w:uiPriority w:val="99"/>
    <w:semiHidden/>
    <w:rsid w:val="004B0870"/>
    <w:rPr>
      <w:rFonts w:asciiTheme="minorHAnsi" w:hAnsiTheme="minorHAnsi" w:cstheme="minorHAnsi"/>
      <w:color w:val="000000" w:themeColor="text1"/>
      <w:sz w:val="22"/>
      <w:szCs w:val="24"/>
      <w:lang w:eastAsia="en-US"/>
    </w:rPr>
  </w:style>
  <w:style w:type="paragraph" w:styleId="Date">
    <w:name w:val="Date"/>
    <w:basedOn w:val="Normal"/>
    <w:next w:val="Normal"/>
    <w:link w:val="DateChar"/>
    <w:uiPriority w:val="99"/>
    <w:rsid w:val="004B0870"/>
  </w:style>
  <w:style w:type="character" w:customStyle="1" w:styleId="DateChar">
    <w:name w:val="Date Char"/>
    <w:basedOn w:val="DefaultParagraphFont"/>
    <w:link w:val="Date"/>
    <w:uiPriority w:val="99"/>
    <w:rsid w:val="004B0870"/>
    <w:rPr>
      <w:rFonts w:asciiTheme="minorHAnsi" w:hAnsiTheme="minorHAnsi" w:cstheme="minorHAnsi"/>
      <w:color w:val="000000" w:themeColor="text1"/>
      <w:sz w:val="22"/>
      <w:szCs w:val="24"/>
      <w:lang w:eastAsia="en-US"/>
    </w:rPr>
  </w:style>
  <w:style w:type="paragraph" w:styleId="DocumentMap">
    <w:name w:val="Document Map"/>
    <w:basedOn w:val="Normal"/>
    <w:link w:val="DocumentMapChar"/>
    <w:uiPriority w:val="99"/>
    <w:semiHidden/>
    <w:unhideWhenUsed/>
    <w:rsid w:val="004B0870"/>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B0870"/>
    <w:rPr>
      <w:rFonts w:ascii="Segoe UI" w:hAnsi="Segoe UI" w:cs="Segoe UI"/>
      <w:color w:val="000000" w:themeColor="text1"/>
      <w:sz w:val="16"/>
      <w:szCs w:val="16"/>
      <w:lang w:eastAsia="en-US"/>
    </w:rPr>
  </w:style>
  <w:style w:type="paragraph" w:styleId="E-mailSignature">
    <w:name w:val="E-mail Signature"/>
    <w:basedOn w:val="Normal"/>
    <w:link w:val="E-mailSignatureChar"/>
    <w:uiPriority w:val="99"/>
    <w:semiHidden/>
    <w:unhideWhenUsed/>
    <w:rsid w:val="004B0870"/>
    <w:pPr>
      <w:spacing w:after="0"/>
    </w:pPr>
  </w:style>
  <w:style w:type="character" w:customStyle="1" w:styleId="E-mailSignatureChar">
    <w:name w:val="E-mail Signature Char"/>
    <w:basedOn w:val="DefaultParagraphFont"/>
    <w:link w:val="E-mailSignature"/>
    <w:uiPriority w:val="99"/>
    <w:semiHidden/>
    <w:rsid w:val="004B0870"/>
    <w:rPr>
      <w:rFonts w:asciiTheme="minorHAnsi" w:hAnsiTheme="minorHAnsi" w:cstheme="minorHAnsi"/>
      <w:color w:val="000000" w:themeColor="text1"/>
      <w:sz w:val="22"/>
      <w:szCs w:val="24"/>
      <w:lang w:eastAsia="en-US"/>
    </w:rPr>
  </w:style>
  <w:style w:type="paragraph" w:styleId="EnvelopeAddress">
    <w:name w:val="envelope address"/>
    <w:basedOn w:val="Normal"/>
    <w:uiPriority w:val="99"/>
    <w:semiHidden/>
    <w:unhideWhenUsed/>
    <w:rsid w:val="004B0870"/>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B0870"/>
    <w:pPr>
      <w:spacing w:after="0"/>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9"/>
    <w:semiHidden/>
    <w:rsid w:val="004B087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9"/>
    <w:semiHidden/>
    <w:rsid w:val="004B0870"/>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4B0870"/>
    <w:pPr>
      <w:spacing w:after="0"/>
    </w:pPr>
    <w:rPr>
      <w:i/>
      <w:iCs/>
    </w:rPr>
  </w:style>
  <w:style w:type="character" w:customStyle="1" w:styleId="HTMLAddressChar">
    <w:name w:val="HTML Address Char"/>
    <w:basedOn w:val="DefaultParagraphFont"/>
    <w:link w:val="HTMLAddress"/>
    <w:uiPriority w:val="99"/>
    <w:semiHidden/>
    <w:rsid w:val="004B0870"/>
    <w:rPr>
      <w:rFonts w:asciiTheme="minorHAnsi" w:hAnsiTheme="minorHAnsi" w:cstheme="minorHAnsi"/>
      <w:i/>
      <w:iCs/>
      <w:color w:val="000000" w:themeColor="text1"/>
      <w:sz w:val="22"/>
      <w:szCs w:val="24"/>
      <w:lang w:eastAsia="en-US"/>
    </w:rPr>
  </w:style>
  <w:style w:type="paragraph" w:styleId="HTMLPreformatted">
    <w:name w:val="HTML Preformatted"/>
    <w:basedOn w:val="Normal"/>
    <w:link w:val="HTMLPreformattedChar"/>
    <w:uiPriority w:val="99"/>
    <w:semiHidden/>
    <w:unhideWhenUsed/>
    <w:rsid w:val="004B0870"/>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0870"/>
    <w:rPr>
      <w:rFonts w:ascii="Consolas" w:hAnsi="Consolas" w:cstheme="minorHAnsi"/>
      <w:color w:val="000000" w:themeColor="text1"/>
      <w:lang w:eastAsia="en-US"/>
    </w:rPr>
  </w:style>
  <w:style w:type="paragraph" w:styleId="Index1">
    <w:name w:val="index 1"/>
    <w:basedOn w:val="Normal"/>
    <w:next w:val="Normal"/>
    <w:autoRedefine/>
    <w:uiPriority w:val="99"/>
    <w:semiHidden/>
    <w:unhideWhenUsed/>
    <w:rsid w:val="004B0870"/>
    <w:pPr>
      <w:spacing w:after="0"/>
      <w:ind w:left="220" w:hanging="220"/>
    </w:pPr>
  </w:style>
  <w:style w:type="paragraph" w:styleId="Index2">
    <w:name w:val="index 2"/>
    <w:basedOn w:val="Normal"/>
    <w:next w:val="Normal"/>
    <w:autoRedefine/>
    <w:uiPriority w:val="99"/>
    <w:semiHidden/>
    <w:unhideWhenUsed/>
    <w:rsid w:val="004B0870"/>
    <w:pPr>
      <w:spacing w:after="0"/>
      <w:ind w:left="440" w:hanging="220"/>
    </w:pPr>
  </w:style>
  <w:style w:type="paragraph" w:styleId="Index3">
    <w:name w:val="index 3"/>
    <w:basedOn w:val="Normal"/>
    <w:next w:val="Normal"/>
    <w:autoRedefine/>
    <w:uiPriority w:val="99"/>
    <w:semiHidden/>
    <w:unhideWhenUsed/>
    <w:rsid w:val="004B0870"/>
    <w:pPr>
      <w:spacing w:after="0"/>
      <w:ind w:left="660" w:hanging="220"/>
    </w:pPr>
  </w:style>
  <w:style w:type="paragraph" w:styleId="Index4">
    <w:name w:val="index 4"/>
    <w:basedOn w:val="Normal"/>
    <w:next w:val="Normal"/>
    <w:autoRedefine/>
    <w:uiPriority w:val="99"/>
    <w:semiHidden/>
    <w:unhideWhenUsed/>
    <w:rsid w:val="004B0870"/>
    <w:pPr>
      <w:spacing w:after="0"/>
      <w:ind w:left="880" w:hanging="220"/>
    </w:pPr>
  </w:style>
  <w:style w:type="paragraph" w:styleId="Index5">
    <w:name w:val="index 5"/>
    <w:basedOn w:val="Normal"/>
    <w:next w:val="Normal"/>
    <w:autoRedefine/>
    <w:uiPriority w:val="99"/>
    <w:semiHidden/>
    <w:unhideWhenUsed/>
    <w:rsid w:val="004B0870"/>
    <w:pPr>
      <w:spacing w:after="0"/>
      <w:ind w:left="1100" w:hanging="220"/>
    </w:pPr>
  </w:style>
  <w:style w:type="paragraph" w:styleId="Index6">
    <w:name w:val="index 6"/>
    <w:basedOn w:val="Normal"/>
    <w:next w:val="Normal"/>
    <w:autoRedefine/>
    <w:uiPriority w:val="99"/>
    <w:semiHidden/>
    <w:unhideWhenUsed/>
    <w:rsid w:val="004B0870"/>
    <w:pPr>
      <w:spacing w:after="0"/>
      <w:ind w:left="1320" w:hanging="220"/>
    </w:pPr>
  </w:style>
  <w:style w:type="paragraph" w:styleId="Index7">
    <w:name w:val="index 7"/>
    <w:basedOn w:val="Normal"/>
    <w:next w:val="Normal"/>
    <w:autoRedefine/>
    <w:uiPriority w:val="99"/>
    <w:semiHidden/>
    <w:unhideWhenUsed/>
    <w:rsid w:val="004B0870"/>
    <w:pPr>
      <w:spacing w:after="0"/>
      <w:ind w:left="1540" w:hanging="220"/>
    </w:pPr>
  </w:style>
  <w:style w:type="paragraph" w:styleId="Index8">
    <w:name w:val="index 8"/>
    <w:basedOn w:val="Normal"/>
    <w:next w:val="Normal"/>
    <w:autoRedefine/>
    <w:uiPriority w:val="99"/>
    <w:semiHidden/>
    <w:unhideWhenUsed/>
    <w:rsid w:val="004B0870"/>
    <w:pPr>
      <w:spacing w:after="0"/>
      <w:ind w:left="1760" w:hanging="220"/>
    </w:pPr>
  </w:style>
  <w:style w:type="paragraph" w:styleId="Index9">
    <w:name w:val="index 9"/>
    <w:basedOn w:val="Normal"/>
    <w:next w:val="Normal"/>
    <w:autoRedefine/>
    <w:uiPriority w:val="99"/>
    <w:semiHidden/>
    <w:unhideWhenUsed/>
    <w:rsid w:val="004B0870"/>
    <w:pPr>
      <w:spacing w:after="0"/>
      <w:ind w:left="1980" w:hanging="220"/>
    </w:pPr>
  </w:style>
  <w:style w:type="paragraph" w:styleId="IndexHeading">
    <w:name w:val="index heading"/>
    <w:basedOn w:val="Normal"/>
    <w:next w:val="Index1"/>
    <w:uiPriority w:val="99"/>
    <w:semiHidden/>
    <w:unhideWhenUsed/>
    <w:rsid w:val="004B0870"/>
    <w:rPr>
      <w:rFonts w:asciiTheme="majorHAnsi" w:eastAsiaTheme="majorEastAsia" w:hAnsiTheme="majorHAnsi" w:cstheme="majorBidi"/>
      <w:b/>
      <w:bCs/>
    </w:rPr>
  </w:style>
  <w:style w:type="paragraph" w:styleId="IntenseQuote">
    <w:name w:val="Intense Quote"/>
    <w:basedOn w:val="Normal"/>
    <w:next w:val="Normal"/>
    <w:link w:val="IntenseQuoteChar"/>
    <w:uiPriority w:val="99"/>
    <w:rsid w:val="004B0870"/>
    <w:pPr>
      <w:pBdr>
        <w:top w:val="single" w:sz="4" w:space="10" w:color="9FB76F" w:themeColor="accent1"/>
        <w:bottom w:val="single" w:sz="4" w:space="10" w:color="9FB76F" w:themeColor="accent1"/>
      </w:pBdr>
      <w:spacing w:before="360" w:after="360"/>
      <w:ind w:left="864" w:right="864"/>
      <w:jc w:val="center"/>
    </w:pPr>
    <w:rPr>
      <w:i/>
      <w:iCs/>
      <w:color w:val="9FB76F" w:themeColor="accent1"/>
    </w:rPr>
  </w:style>
  <w:style w:type="character" w:customStyle="1" w:styleId="IntenseQuoteChar">
    <w:name w:val="Intense Quote Char"/>
    <w:basedOn w:val="DefaultParagraphFont"/>
    <w:link w:val="IntenseQuote"/>
    <w:uiPriority w:val="99"/>
    <w:rsid w:val="004B0870"/>
    <w:rPr>
      <w:rFonts w:asciiTheme="minorHAnsi" w:hAnsiTheme="minorHAnsi" w:cstheme="minorHAnsi"/>
      <w:i/>
      <w:iCs/>
      <w:color w:val="9FB76F" w:themeColor="accent1"/>
      <w:sz w:val="22"/>
      <w:szCs w:val="24"/>
      <w:lang w:eastAsia="en-US"/>
    </w:rPr>
  </w:style>
  <w:style w:type="paragraph" w:styleId="List">
    <w:name w:val="List"/>
    <w:basedOn w:val="Normal"/>
    <w:uiPriority w:val="99"/>
    <w:semiHidden/>
    <w:unhideWhenUsed/>
    <w:rsid w:val="004B0870"/>
    <w:pPr>
      <w:ind w:left="283" w:hanging="283"/>
      <w:contextualSpacing/>
    </w:pPr>
  </w:style>
  <w:style w:type="paragraph" w:styleId="List2">
    <w:name w:val="List 2"/>
    <w:basedOn w:val="Normal"/>
    <w:uiPriority w:val="99"/>
    <w:semiHidden/>
    <w:unhideWhenUsed/>
    <w:rsid w:val="004B0870"/>
    <w:pPr>
      <w:ind w:left="566" w:hanging="283"/>
      <w:contextualSpacing/>
    </w:pPr>
  </w:style>
  <w:style w:type="paragraph" w:styleId="List3">
    <w:name w:val="List 3"/>
    <w:basedOn w:val="Normal"/>
    <w:uiPriority w:val="99"/>
    <w:semiHidden/>
    <w:unhideWhenUsed/>
    <w:rsid w:val="004B0870"/>
    <w:pPr>
      <w:ind w:left="849" w:hanging="283"/>
      <w:contextualSpacing/>
    </w:pPr>
  </w:style>
  <w:style w:type="paragraph" w:styleId="List4">
    <w:name w:val="List 4"/>
    <w:basedOn w:val="Normal"/>
    <w:uiPriority w:val="99"/>
    <w:rsid w:val="004B0870"/>
    <w:pPr>
      <w:ind w:left="1132" w:hanging="283"/>
      <w:contextualSpacing/>
    </w:pPr>
  </w:style>
  <w:style w:type="paragraph" w:styleId="List5">
    <w:name w:val="List 5"/>
    <w:basedOn w:val="Normal"/>
    <w:uiPriority w:val="99"/>
    <w:rsid w:val="004B0870"/>
    <w:pPr>
      <w:ind w:left="1415" w:hanging="283"/>
      <w:contextualSpacing/>
    </w:pPr>
  </w:style>
  <w:style w:type="paragraph" w:styleId="ListBullet">
    <w:name w:val="List Bullet"/>
    <w:basedOn w:val="Normal"/>
    <w:uiPriority w:val="99"/>
    <w:semiHidden/>
    <w:unhideWhenUsed/>
    <w:rsid w:val="004B0870"/>
    <w:pPr>
      <w:numPr>
        <w:numId w:val="28"/>
      </w:numPr>
      <w:contextualSpacing/>
    </w:pPr>
  </w:style>
  <w:style w:type="paragraph" w:styleId="ListBullet2">
    <w:name w:val="List Bullet 2"/>
    <w:basedOn w:val="Normal"/>
    <w:uiPriority w:val="99"/>
    <w:semiHidden/>
    <w:unhideWhenUsed/>
    <w:rsid w:val="004B0870"/>
    <w:pPr>
      <w:numPr>
        <w:numId w:val="29"/>
      </w:numPr>
      <w:contextualSpacing/>
    </w:pPr>
  </w:style>
  <w:style w:type="paragraph" w:styleId="ListBullet3">
    <w:name w:val="List Bullet 3"/>
    <w:basedOn w:val="Normal"/>
    <w:uiPriority w:val="99"/>
    <w:semiHidden/>
    <w:unhideWhenUsed/>
    <w:rsid w:val="004B0870"/>
    <w:pPr>
      <w:numPr>
        <w:numId w:val="30"/>
      </w:numPr>
      <w:contextualSpacing/>
    </w:pPr>
  </w:style>
  <w:style w:type="paragraph" w:styleId="ListBullet4">
    <w:name w:val="List Bullet 4"/>
    <w:basedOn w:val="Normal"/>
    <w:uiPriority w:val="99"/>
    <w:semiHidden/>
    <w:unhideWhenUsed/>
    <w:rsid w:val="004B0870"/>
    <w:pPr>
      <w:numPr>
        <w:numId w:val="31"/>
      </w:numPr>
      <w:contextualSpacing/>
    </w:pPr>
  </w:style>
  <w:style w:type="paragraph" w:styleId="ListBullet5">
    <w:name w:val="List Bullet 5"/>
    <w:basedOn w:val="Normal"/>
    <w:uiPriority w:val="99"/>
    <w:semiHidden/>
    <w:unhideWhenUsed/>
    <w:rsid w:val="004B0870"/>
    <w:pPr>
      <w:numPr>
        <w:numId w:val="32"/>
      </w:numPr>
      <w:contextualSpacing/>
    </w:pPr>
  </w:style>
  <w:style w:type="paragraph" w:styleId="ListContinue">
    <w:name w:val="List Continue"/>
    <w:basedOn w:val="Normal"/>
    <w:uiPriority w:val="99"/>
    <w:semiHidden/>
    <w:unhideWhenUsed/>
    <w:rsid w:val="004B0870"/>
    <w:pPr>
      <w:spacing w:after="120"/>
      <w:ind w:left="283"/>
      <w:contextualSpacing/>
    </w:pPr>
  </w:style>
  <w:style w:type="paragraph" w:styleId="ListContinue2">
    <w:name w:val="List Continue 2"/>
    <w:basedOn w:val="Normal"/>
    <w:uiPriority w:val="99"/>
    <w:semiHidden/>
    <w:unhideWhenUsed/>
    <w:rsid w:val="004B0870"/>
    <w:pPr>
      <w:spacing w:after="120"/>
      <w:ind w:left="566"/>
      <w:contextualSpacing/>
    </w:pPr>
  </w:style>
  <w:style w:type="paragraph" w:styleId="ListContinue3">
    <w:name w:val="List Continue 3"/>
    <w:basedOn w:val="Normal"/>
    <w:uiPriority w:val="99"/>
    <w:semiHidden/>
    <w:unhideWhenUsed/>
    <w:rsid w:val="004B0870"/>
    <w:pPr>
      <w:spacing w:after="120"/>
      <w:ind w:left="849"/>
      <w:contextualSpacing/>
    </w:pPr>
  </w:style>
  <w:style w:type="paragraph" w:styleId="ListContinue4">
    <w:name w:val="List Continue 4"/>
    <w:basedOn w:val="Normal"/>
    <w:uiPriority w:val="99"/>
    <w:semiHidden/>
    <w:unhideWhenUsed/>
    <w:rsid w:val="004B0870"/>
    <w:pPr>
      <w:spacing w:after="120"/>
      <w:ind w:left="1132"/>
      <w:contextualSpacing/>
    </w:pPr>
  </w:style>
  <w:style w:type="paragraph" w:styleId="ListContinue5">
    <w:name w:val="List Continue 5"/>
    <w:basedOn w:val="Normal"/>
    <w:uiPriority w:val="99"/>
    <w:semiHidden/>
    <w:unhideWhenUsed/>
    <w:rsid w:val="004B0870"/>
    <w:pPr>
      <w:spacing w:after="120"/>
      <w:ind w:left="1415"/>
      <w:contextualSpacing/>
    </w:pPr>
  </w:style>
  <w:style w:type="paragraph" w:styleId="ListNumber">
    <w:name w:val="List Number"/>
    <w:basedOn w:val="Normal"/>
    <w:uiPriority w:val="99"/>
    <w:rsid w:val="004B0870"/>
    <w:pPr>
      <w:numPr>
        <w:numId w:val="33"/>
      </w:numPr>
      <w:contextualSpacing/>
    </w:pPr>
  </w:style>
  <w:style w:type="paragraph" w:styleId="ListNumber2">
    <w:name w:val="List Number 2"/>
    <w:basedOn w:val="Normal"/>
    <w:uiPriority w:val="99"/>
    <w:semiHidden/>
    <w:unhideWhenUsed/>
    <w:rsid w:val="004B0870"/>
    <w:pPr>
      <w:numPr>
        <w:numId w:val="34"/>
      </w:numPr>
      <w:contextualSpacing/>
    </w:pPr>
  </w:style>
  <w:style w:type="paragraph" w:styleId="ListNumber3">
    <w:name w:val="List Number 3"/>
    <w:basedOn w:val="Normal"/>
    <w:uiPriority w:val="99"/>
    <w:semiHidden/>
    <w:unhideWhenUsed/>
    <w:rsid w:val="004B0870"/>
    <w:pPr>
      <w:numPr>
        <w:numId w:val="35"/>
      </w:numPr>
      <w:contextualSpacing/>
    </w:pPr>
  </w:style>
  <w:style w:type="paragraph" w:styleId="ListNumber4">
    <w:name w:val="List Number 4"/>
    <w:basedOn w:val="Normal"/>
    <w:uiPriority w:val="99"/>
    <w:semiHidden/>
    <w:unhideWhenUsed/>
    <w:rsid w:val="004B0870"/>
    <w:pPr>
      <w:numPr>
        <w:numId w:val="36"/>
      </w:numPr>
      <w:contextualSpacing/>
    </w:pPr>
  </w:style>
  <w:style w:type="paragraph" w:styleId="ListNumber5">
    <w:name w:val="List Number 5"/>
    <w:basedOn w:val="Normal"/>
    <w:uiPriority w:val="99"/>
    <w:semiHidden/>
    <w:unhideWhenUsed/>
    <w:rsid w:val="004B0870"/>
    <w:pPr>
      <w:numPr>
        <w:numId w:val="37"/>
      </w:numPr>
      <w:contextualSpacing/>
    </w:pPr>
  </w:style>
  <w:style w:type="paragraph" w:styleId="MacroText">
    <w:name w:val="macro"/>
    <w:link w:val="MacroTextChar"/>
    <w:uiPriority w:val="99"/>
    <w:semiHidden/>
    <w:unhideWhenUsed/>
    <w:rsid w:val="004B0870"/>
    <w:pPr>
      <w:tabs>
        <w:tab w:val="left" w:pos="480"/>
        <w:tab w:val="left" w:pos="960"/>
        <w:tab w:val="left" w:pos="1440"/>
        <w:tab w:val="left" w:pos="1920"/>
        <w:tab w:val="left" w:pos="2400"/>
        <w:tab w:val="left" w:pos="2880"/>
        <w:tab w:val="left" w:pos="3360"/>
        <w:tab w:val="left" w:pos="3840"/>
        <w:tab w:val="left" w:pos="4320"/>
      </w:tabs>
    </w:pPr>
    <w:rPr>
      <w:rFonts w:ascii="Consolas" w:hAnsi="Consolas" w:cstheme="minorHAnsi"/>
      <w:color w:val="000000" w:themeColor="text1"/>
      <w:lang w:eastAsia="en-US"/>
    </w:rPr>
  </w:style>
  <w:style w:type="character" w:customStyle="1" w:styleId="MacroTextChar">
    <w:name w:val="Macro Text Char"/>
    <w:basedOn w:val="DefaultParagraphFont"/>
    <w:link w:val="MacroText"/>
    <w:uiPriority w:val="99"/>
    <w:semiHidden/>
    <w:rsid w:val="004B0870"/>
    <w:rPr>
      <w:rFonts w:ascii="Consolas" w:hAnsi="Consolas" w:cstheme="minorHAnsi"/>
      <w:color w:val="000000" w:themeColor="text1"/>
      <w:lang w:eastAsia="en-US"/>
    </w:rPr>
  </w:style>
  <w:style w:type="paragraph" w:styleId="MessageHeader">
    <w:name w:val="Message Header"/>
    <w:basedOn w:val="Normal"/>
    <w:link w:val="MessageHeaderChar"/>
    <w:uiPriority w:val="99"/>
    <w:semiHidden/>
    <w:unhideWhenUsed/>
    <w:rsid w:val="004B087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B0870"/>
    <w:rPr>
      <w:rFonts w:asciiTheme="majorHAnsi" w:eastAsiaTheme="majorEastAsia" w:hAnsiTheme="majorHAnsi" w:cstheme="majorBidi"/>
      <w:color w:val="000000" w:themeColor="text1"/>
      <w:sz w:val="24"/>
      <w:szCs w:val="24"/>
      <w:shd w:val="pct20" w:color="auto" w:fill="auto"/>
      <w:lang w:eastAsia="en-US"/>
    </w:rPr>
  </w:style>
  <w:style w:type="paragraph" w:styleId="NoSpacing">
    <w:name w:val="No Spacing"/>
    <w:uiPriority w:val="99"/>
    <w:rsid w:val="004B0870"/>
    <w:rPr>
      <w:rFonts w:asciiTheme="minorHAnsi" w:hAnsiTheme="minorHAnsi" w:cstheme="minorHAnsi"/>
      <w:color w:val="000000" w:themeColor="text1"/>
      <w:sz w:val="22"/>
      <w:szCs w:val="24"/>
      <w:lang w:eastAsia="en-US"/>
    </w:rPr>
  </w:style>
  <w:style w:type="paragraph" w:styleId="NormalIndent">
    <w:name w:val="Normal Indent"/>
    <w:basedOn w:val="Normal"/>
    <w:uiPriority w:val="99"/>
    <w:semiHidden/>
    <w:unhideWhenUsed/>
    <w:rsid w:val="004B0870"/>
    <w:pPr>
      <w:ind w:left="720"/>
    </w:pPr>
  </w:style>
  <w:style w:type="paragraph" w:styleId="NoteHeading">
    <w:name w:val="Note Heading"/>
    <w:basedOn w:val="Normal"/>
    <w:next w:val="Normal"/>
    <w:link w:val="NoteHeadingChar"/>
    <w:uiPriority w:val="99"/>
    <w:semiHidden/>
    <w:unhideWhenUsed/>
    <w:rsid w:val="004B0870"/>
    <w:pPr>
      <w:spacing w:after="0"/>
    </w:pPr>
  </w:style>
  <w:style w:type="character" w:customStyle="1" w:styleId="NoteHeadingChar">
    <w:name w:val="Note Heading Char"/>
    <w:basedOn w:val="DefaultParagraphFont"/>
    <w:link w:val="NoteHeading"/>
    <w:uiPriority w:val="99"/>
    <w:semiHidden/>
    <w:rsid w:val="004B0870"/>
    <w:rPr>
      <w:rFonts w:asciiTheme="minorHAnsi" w:hAnsiTheme="minorHAnsi" w:cstheme="minorHAnsi"/>
      <w:color w:val="000000" w:themeColor="text1"/>
      <w:sz w:val="22"/>
      <w:szCs w:val="24"/>
      <w:lang w:eastAsia="en-US"/>
    </w:rPr>
  </w:style>
  <w:style w:type="paragraph" w:styleId="PlainText">
    <w:name w:val="Plain Text"/>
    <w:basedOn w:val="Normal"/>
    <w:link w:val="PlainTextChar"/>
    <w:uiPriority w:val="99"/>
    <w:semiHidden/>
    <w:unhideWhenUsed/>
    <w:rsid w:val="004B087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4B0870"/>
    <w:rPr>
      <w:rFonts w:ascii="Consolas" w:hAnsi="Consolas" w:cstheme="minorHAnsi"/>
      <w:color w:val="000000" w:themeColor="text1"/>
      <w:sz w:val="21"/>
      <w:szCs w:val="21"/>
      <w:lang w:eastAsia="en-US"/>
    </w:rPr>
  </w:style>
  <w:style w:type="paragraph" w:styleId="Quote">
    <w:name w:val="Quote"/>
    <w:basedOn w:val="Normal"/>
    <w:next w:val="Normal"/>
    <w:link w:val="QuoteChar"/>
    <w:uiPriority w:val="99"/>
    <w:rsid w:val="004B08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4B0870"/>
    <w:rPr>
      <w:rFonts w:asciiTheme="minorHAnsi" w:hAnsiTheme="minorHAnsi" w:cstheme="minorHAnsi"/>
      <w:i/>
      <w:iCs/>
      <w:color w:val="404040" w:themeColor="text1" w:themeTint="BF"/>
      <w:sz w:val="22"/>
      <w:szCs w:val="24"/>
      <w:lang w:eastAsia="en-US"/>
    </w:rPr>
  </w:style>
  <w:style w:type="paragraph" w:styleId="Salutation">
    <w:name w:val="Salutation"/>
    <w:basedOn w:val="Normal"/>
    <w:next w:val="Normal"/>
    <w:link w:val="SalutationChar"/>
    <w:uiPriority w:val="99"/>
    <w:rsid w:val="004B0870"/>
  </w:style>
  <w:style w:type="character" w:customStyle="1" w:styleId="SalutationChar">
    <w:name w:val="Salutation Char"/>
    <w:basedOn w:val="DefaultParagraphFont"/>
    <w:link w:val="Salutation"/>
    <w:uiPriority w:val="99"/>
    <w:rsid w:val="004B0870"/>
    <w:rPr>
      <w:rFonts w:asciiTheme="minorHAnsi" w:hAnsiTheme="minorHAnsi" w:cstheme="minorHAnsi"/>
      <w:color w:val="000000" w:themeColor="text1"/>
      <w:sz w:val="22"/>
      <w:szCs w:val="24"/>
      <w:lang w:eastAsia="en-US"/>
    </w:rPr>
  </w:style>
  <w:style w:type="paragraph" w:styleId="Signature">
    <w:name w:val="Signature"/>
    <w:basedOn w:val="Normal"/>
    <w:link w:val="SignatureChar"/>
    <w:uiPriority w:val="99"/>
    <w:semiHidden/>
    <w:unhideWhenUsed/>
    <w:rsid w:val="004B0870"/>
    <w:pPr>
      <w:spacing w:after="0"/>
      <w:ind w:left="4252"/>
    </w:pPr>
  </w:style>
  <w:style w:type="character" w:customStyle="1" w:styleId="SignatureChar">
    <w:name w:val="Signature Char"/>
    <w:basedOn w:val="DefaultParagraphFont"/>
    <w:link w:val="Signature"/>
    <w:uiPriority w:val="99"/>
    <w:semiHidden/>
    <w:rsid w:val="004B0870"/>
    <w:rPr>
      <w:rFonts w:asciiTheme="minorHAnsi" w:hAnsiTheme="minorHAnsi" w:cstheme="minorHAnsi"/>
      <w:color w:val="000000" w:themeColor="text1"/>
      <w:sz w:val="22"/>
      <w:szCs w:val="24"/>
      <w:lang w:eastAsia="en-US"/>
    </w:rPr>
  </w:style>
  <w:style w:type="paragraph" w:styleId="TableofAuthorities">
    <w:name w:val="table of authorities"/>
    <w:basedOn w:val="Normal"/>
    <w:next w:val="Normal"/>
    <w:uiPriority w:val="99"/>
    <w:semiHidden/>
    <w:unhideWhenUsed/>
    <w:rsid w:val="004B0870"/>
    <w:pPr>
      <w:spacing w:after="0"/>
      <w:ind w:left="220" w:hanging="220"/>
    </w:pPr>
  </w:style>
  <w:style w:type="paragraph" w:styleId="TableofFigures">
    <w:name w:val="table of figures"/>
    <w:basedOn w:val="Normal"/>
    <w:next w:val="Normal"/>
    <w:uiPriority w:val="99"/>
    <w:semiHidden/>
    <w:unhideWhenUsed/>
    <w:rsid w:val="004B0870"/>
    <w:pPr>
      <w:spacing w:after="0"/>
    </w:pPr>
  </w:style>
  <w:style w:type="paragraph" w:styleId="TOAHeading">
    <w:name w:val="toa heading"/>
    <w:basedOn w:val="Normal"/>
    <w:next w:val="Normal"/>
    <w:uiPriority w:val="99"/>
    <w:semiHidden/>
    <w:unhideWhenUsed/>
    <w:rsid w:val="004B0870"/>
    <w:pPr>
      <w:spacing w:before="120"/>
    </w:pPr>
    <w:rPr>
      <w:rFonts w:asciiTheme="majorHAnsi" w:eastAsiaTheme="majorEastAsia" w:hAnsiTheme="majorHAnsi" w:cstheme="majorBidi"/>
      <w:b/>
      <w:bCs/>
      <w:sz w:val="24"/>
    </w:rPr>
  </w:style>
  <w:style w:type="paragraph" w:styleId="TOC6">
    <w:name w:val="toc 6"/>
    <w:basedOn w:val="Normal"/>
    <w:next w:val="Normal"/>
    <w:autoRedefine/>
    <w:uiPriority w:val="99"/>
    <w:semiHidden/>
    <w:unhideWhenUsed/>
    <w:rsid w:val="004B0870"/>
    <w:pPr>
      <w:spacing w:after="100"/>
      <w:ind w:left="1100"/>
    </w:pPr>
  </w:style>
  <w:style w:type="paragraph" w:styleId="TOC7">
    <w:name w:val="toc 7"/>
    <w:basedOn w:val="Normal"/>
    <w:next w:val="Normal"/>
    <w:autoRedefine/>
    <w:uiPriority w:val="99"/>
    <w:semiHidden/>
    <w:unhideWhenUsed/>
    <w:rsid w:val="004B0870"/>
    <w:pPr>
      <w:spacing w:after="100"/>
      <w:ind w:left="1320"/>
    </w:pPr>
  </w:style>
  <w:style w:type="paragraph" w:styleId="TOC8">
    <w:name w:val="toc 8"/>
    <w:basedOn w:val="Normal"/>
    <w:next w:val="Normal"/>
    <w:autoRedefine/>
    <w:uiPriority w:val="99"/>
    <w:semiHidden/>
    <w:unhideWhenUsed/>
    <w:rsid w:val="004B0870"/>
    <w:pPr>
      <w:spacing w:after="100"/>
      <w:ind w:left="1540"/>
    </w:pPr>
  </w:style>
  <w:style w:type="paragraph" w:styleId="TOC9">
    <w:name w:val="toc 9"/>
    <w:basedOn w:val="Normal"/>
    <w:next w:val="Normal"/>
    <w:autoRedefine/>
    <w:uiPriority w:val="99"/>
    <w:semiHidden/>
    <w:unhideWhenUsed/>
    <w:rsid w:val="004B0870"/>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028225">
      <w:bodyDiv w:val="1"/>
      <w:marLeft w:val="0"/>
      <w:marRight w:val="0"/>
      <w:marTop w:val="0"/>
      <w:marBottom w:val="0"/>
      <w:divBdr>
        <w:top w:val="none" w:sz="0" w:space="0" w:color="auto"/>
        <w:left w:val="none" w:sz="0" w:space="0" w:color="auto"/>
        <w:bottom w:val="none" w:sz="0" w:space="0" w:color="auto"/>
        <w:right w:val="none" w:sz="0" w:space="0" w:color="auto"/>
      </w:divBdr>
    </w:div>
    <w:div w:id="855998092">
      <w:bodyDiv w:val="1"/>
      <w:marLeft w:val="0"/>
      <w:marRight w:val="0"/>
      <w:marTop w:val="0"/>
      <w:marBottom w:val="0"/>
      <w:divBdr>
        <w:top w:val="none" w:sz="0" w:space="0" w:color="auto"/>
        <w:left w:val="none" w:sz="0" w:space="0" w:color="auto"/>
        <w:bottom w:val="none" w:sz="0" w:space="0" w:color="auto"/>
        <w:right w:val="none" w:sz="0" w:space="0" w:color="auto"/>
      </w:divBdr>
    </w:div>
    <w:div w:id="926841768">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95231626">
      <w:bodyDiv w:val="1"/>
      <w:marLeft w:val="0"/>
      <w:marRight w:val="0"/>
      <w:marTop w:val="0"/>
      <w:marBottom w:val="0"/>
      <w:divBdr>
        <w:top w:val="none" w:sz="0" w:space="0" w:color="auto"/>
        <w:left w:val="none" w:sz="0" w:space="0" w:color="auto"/>
        <w:bottom w:val="none" w:sz="0" w:space="0" w:color="auto"/>
        <w:right w:val="none" w:sz="0" w:space="0" w:color="auto"/>
      </w:divBdr>
      <w:divsChild>
        <w:div w:id="801190373">
          <w:marLeft w:val="0"/>
          <w:marRight w:val="0"/>
          <w:marTop w:val="0"/>
          <w:marBottom w:val="0"/>
          <w:divBdr>
            <w:top w:val="none" w:sz="0" w:space="0" w:color="auto"/>
            <w:left w:val="none" w:sz="0" w:space="0" w:color="auto"/>
            <w:bottom w:val="none" w:sz="0" w:space="0" w:color="auto"/>
            <w:right w:val="none" w:sz="0" w:space="0" w:color="auto"/>
          </w:divBdr>
        </w:div>
        <w:div w:id="1680159632">
          <w:marLeft w:val="0"/>
          <w:marRight w:val="0"/>
          <w:marTop w:val="0"/>
          <w:marBottom w:val="0"/>
          <w:divBdr>
            <w:top w:val="none" w:sz="0" w:space="0" w:color="auto"/>
            <w:left w:val="none" w:sz="0" w:space="0" w:color="auto"/>
            <w:bottom w:val="none" w:sz="0" w:space="0" w:color="auto"/>
            <w:right w:val="none" w:sz="0" w:space="0" w:color="auto"/>
          </w:divBdr>
        </w:div>
        <w:div w:id="1878664522">
          <w:marLeft w:val="0"/>
          <w:marRight w:val="0"/>
          <w:marTop w:val="0"/>
          <w:marBottom w:val="0"/>
          <w:divBdr>
            <w:top w:val="none" w:sz="0" w:space="0" w:color="auto"/>
            <w:left w:val="none" w:sz="0" w:space="0" w:color="auto"/>
            <w:bottom w:val="none" w:sz="0" w:space="0" w:color="auto"/>
            <w:right w:val="none" w:sz="0" w:space="0" w:color="auto"/>
          </w:divBdr>
        </w:div>
      </w:divsChild>
    </w:div>
    <w:div w:id="1360283043">
      <w:bodyDiv w:val="1"/>
      <w:marLeft w:val="0"/>
      <w:marRight w:val="0"/>
      <w:marTop w:val="0"/>
      <w:marBottom w:val="0"/>
      <w:divBdr>
        <w:top w:val="none" w:sz="0" w:space="0" w:color="auto"/>
        <w:left w:val="none" w:sz="0" w:space="0" w:color="auto"/>
        <w:bottom w:val="none" w:sz="0" w:space="0" w:color="auto"/>
        <w:right w:val="none" w:sz="0" w:space="0" w:color="auto"/>
      </w:divBdr>
    </w:div>
    <w:div w:id="137909070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45534419">
      <w:bodyDiv w:val="1"/>
      <w:marLeft w:val="0"/>
      <w:marRight w:val="0"/>
      <w:marTop w:val="0"/>
      <w:marBottom w:val="0"/>
      <w:divBdr>
        <w:top w:val="none" w:sz="0" w:space="0" w:color="auto"/>
        <w:left w:val="none" w:sz="0" w:space="0" w:color="auto"/>
        <w:bottom w:val="none" w:sz="0" w:space="0" w:color="auto"/>
        <w:right w:val="none" w:sz="0" w:space="0" w:color="auto"/>
      </w:divBdr>
    </w:div>
    <w:div w:id="1533421947">
      <w:bodyDiv w:val="1"/>
      <w:marLeft w:val="0"/>
      <w:marRight w:val="0"/>
      <w:marTop w:val="0"/>
      <w:marBottom w:val="0"/>
      <w:divBdr>
        <w:top w:val="none" w:sz="0" w:space="0" w:color="auto"/>
        <w:left w:val="none" w:sz="0" w:space="0" w:color="auto"/>
        <w:bottom w:val="none" w:sz="0" w:space="0" w:color="auto"/>
        <w:right w:val="none" w:sz="0" w:space="0" w:color="auto"/>
      </w:divBdr>
    </w:div>
    <w:div w:id="1548447129">
      <w:bodyDiv w:val="1"/>
      <w:marLeft w:val="0"/>
      <w:marRight w:val="0"/>
      <w:marTop w:val="0"/>
      <w:marBottom w:val="0"/>
      <w:divBdr>
        <w:top w:val="none" w:sz="0" w:space="0" w:color="auto"/>
        <w:left w:val="none" w:sz="0" w:space="0" w:color="auto"/>
        <w:bottom w:val="none" w:sz="0" w:space="0" w:color="auto"/>
        <w:right w:val="none" w:sz="0" w:space="0" w:color="auto"/>
      </w:divBdr>
    </w:div>
    <w:div w:id="1720279415">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7892535">
      <w:bodyDiv w:val="1"/>
      <w:marLeft w:val="0"/>
      <w:marRight w:val="0"/>
      <w:marTop w:val="0"/>
      <w:marBottom w:val="0"/>
      <w:divBdr>
        <w:top w:val="none" w:sz="0" w:space="0" w:color="auto"/>
        <w:left w:val="none" w:sz="0" w:space="0" w:color="auto"/>
        <w:bottom w:val="none" w:sz="0" w:space="0" w:color="auto"/>
        <w:right w:val="none" w:sz="0" w:space="0" w:color="auto"/>
      </w:divBdr>
    </w:div>
    <w:div w:id="203164324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cer.gov.au/schemes/national-greenhouse-and-energy-reporting-scheme/report-emissions-and-energy/amendments-to-national-greenhouse-and-energy-reporting-legislation" TargetMode="External"/><Relationship Id="rId21" Type="http://schemas.openxmlformats.org/officeDocument/2006/relationships/image" Target="media/image12.svg"/><Relationship Id="rId42" Type="http://schemas.openxmlformats.org/officeDocument/2006/relationships/image" Target="media/image17.png"/><Relationship Id="rId47" Type="http://schemas.openxmlformats.org/officeDocument/2006/relationships/hyperlink" Target="https://cer.gov.au/schemes/national-greenhouse-and-energy-reporting-scheme/assess-your-obligations" TargetMode="External"/><Relationship Id="rId63" Type="http://schemas.openxmlformats.org/officeDocument/2006/relationships/hyperlink" Target="mailto:cer-nger-reporting@cer.gov.au" TargetMode="External"/><Relationship Id="rId68" Type="http://schemas.openxmlformats.org/officeDocument/2006/relationships/hyperlink" Target="https://cer.gov.au/document_page/contracts-and-leasing-guideline" TargetMode="External"/><Relationship Id="rId84" Type="http://schemas.openxmlformats.org/officeDocument/2006/relationships/theme" Target="theme/theme1.xml"/><Relationship Id="rId16" Type="http://schemas.openxmlformats.org/officeDocument/2006/relationships/image" Target="media/image8.svg"/><Relationship Id="rId11" Type="http://schemas.openxmlformats.org/officeDocument/2006/relationships/image" Target="media/image3.png"/><Relationship Id="rId32" Type="http://schemas.openxmlformats.org/officeDocument/2006/relationships/hyperlink" Target="https://cer.gov.au/document_page/reporting-hydrofluorocarbons-and-sulphur-hexafluoride-gases-guideline" TargetMode="External"/><Relationship Id="rId37" Type="http://schemas.openxmlformats.org/officeDocument/2006/relationships/image" Target="media/image15.png"/><Relationship Id="rId53" Type="http://schemas.openxmlformats.org/officeDocument/2006/relationships/image" Target="media/image19.png"/><Relationship Id="rId58" Type="http://schemas.openxmlformats.org/officeDocument/2006/relationships/hyperlink" Target="https://www.ghgprotocol.org/sites/default/files/ghgp/CHP_guidance_v1.0.pdf" TargetMode="External"/><Relationship Id="rId74" Type="http://schemas.openxmlformats.org/officeDocument/2006/relationships/image" Target="media/image23.jpg"/><Relationship Id="rId79" Type="http://schemas.openxmlformats.org/officeDocument/2006/relationships/header" Target="header5.xml"/><Relationship Id="rId5" Type="http://schemas.openxmlformats.org/officeDocument/2006/relationships/settings" Target="settings.xml"/><Relationship Id="rId61" Type="http://schemas.openxmlformats.org/officeDocument/2006/relationships/hyperlink" Target="mailto:cer-nger-reporting@cer.gov.au" TargetMode="External"/><Relationship Id="rId82" Type="http://schemas.openxmlformats.org/officeDocument/2006/relationships/header" Target="header7.xml"/><Relationship Id="rId19" Type="http://schemas.microsoft.com/office/2007/relationships/hdphoto" Target="media/hdphoto1.wdp"/><Relationship Id="rId14" Type="http://schemas.openxmlformats.org/officeDocument/2006/relationships/image" Target="media/image6.svg"/><Relationship Id="rId22" Type="http://schemas.openxmlformats.org/officeDocument/2006/relationships/hyperlink" Target="https://www.legislation.gov.au/Series/C2007A00175" TargetMode="External"/><Relationship Id="rId27" Type="http://schemas.openxmlformats.org/officeDocument/2006/relationships/hyperlink" Target="https://www.legislation.gov.au/Series/F2015L01637" TargetMode="External"/><Relationship Id="rId30" Type="http://schemas.openxmlformats.org/officeDocument/2006/relationships/hyperlink" Target="https://cer.gov.au/schemes/national-greenhouse-and-energy-reporting-scheme/report-emissions-and-energy/nger-reporting-guides" TargetMode="External"/><Relationship Id="rId35" Type="http://schemas.openxmlformats.org/officeDocument/2006/relationships/image" Target="media/image13.png"/><Relationship Id="rId43" Type="http://schemas.openxmlformats.org/officeDocument/2006/relationships/hyperlink" Target="https://cer.gov.au/document_page/reporting-hydrofluorocarbons-and-sulphur-hexafluoride-gases-guideline" TargetMode="External"/><Relationship Id="rId48" Type="http://schemas.openxmlformats.org/officeDocument/2006/relationships/hyperlink" Target="https://cer.gov.au/schemes/national-greenhouse-and-energy-reporting-scheme/assess-your-obligations" TargetMode="External"/><Relationship Id="rId56" Type="http://schemas.openxmlformats.org/officeDocument/2006/relationships/hyperlink" Target="https://cer.gov.au/document_page/reporting-energy-production-and-consumption-guideline" TargetMode="External"/><Relationship Id="rId64" Type="http://schemas.openxmlformats.org/officeDocument/2006/relationships/hyperlink" Target="http://www.cer.gov.au/" TargetMode="External"/><Relationship Id="rId69" Type="http://schemas.openxmlformats.org/officeDocument/2006/relationships/header" Target="header1.xml"/><Relationship Id="rId77" Type="http://schemas.openxmlformats.org/officeDocument/2006/relationships/hyperlink" Target="https://cer.gov.au/document_page/petroleum-based-oils-and-greases-guideline" TargetMode="External"/><Relationship Id="rId8" Type="http://schemas.openxmlformats.org/officeDocument/2006/relationships/endnotes" Target="endnotes.xml"/><Relationship Id="rId51" Type="http://schemas.openxmlformats.org/officeDocument/2006/relationships/hyperlink" Target="https://www.dcceew.gov.au/climate-change/publications/national-greenhouse-accounts-factors" TargetMode="External"/><Relationship Id="rId72" Type="http://schemas.openxmlformats.org/officeDocument/2006/relationships/header" Target="header2.xml"/><Relationship Id="rId80" Type="http://schemas.openxmlformats.org/officeDocument/2006/relationships/image" Target="media/image25.jpg"/><Relationship Id="rId3" Type="http://schemas.openxmlformats.org/officeDocument/2006/relationships/numbering" Target="numbering.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hyperlink" Target="https://cer.gov.au/schemes/national-greenhouse-and-energy-reporting-scheme" TargetMode="External"/><Relationship Id="rId33" Type="http://schemas.openxmlformats.org/officeDocument/2006/relationships/hyperlink" Target="https://cer.gov.au/document_page/guidance-aggregated-facility-reporting-percentage-estimates-and-incidental-emissions-and-energy" TargetMode="External"/><Relationship Id="rId38" Type="http://schemas.openxmlformats.org/officeDocument/2006/relationships/hyperlink" Target="https://cer.gov.au/about-us/contact-us" TargetMode="External"/><Relationship Id="rId46" Type="http://schemas.openxmlformats.org/officeDocument/2006/relationships/hyperlink" Target="https://aemo.com.au/-/media/files/electricity/nem/5ms/program-information/2020/global-settlement-fact-sheet-updated-july2020.pdf" TargetMode="External"/><Relationship Id="rId59" Type="http://schemas.openxmlformats.org/officeDocument/2006/relationships/hyperlink" Target="https://ghgprotocol.org/calculation-tools-and-guidance" TargetMode="External"/><Relationship Id="rId67" Type="http://schemas.openxmlformats.org/officeDocument/2006/relationships/hyperlink" Target="https://cer.gov.au/document_page/defining-facility-national-greenhouse-and-energy-reporting" TargetMode="External"/><Relationship Id="rId20" Type="http://schemas.openxmlformats.org/officeDocument/2006/relationships/image" Target="media/image11.png"/><Relationship Id="rId41" Type="http://schemas.openxmlformats.org/officeDocument/2006/relationships/hyperlink" Target="https://cer.gov.au/document_page/petroleum-based-oils-and-greases-guideline" TargetMode="External"/><Relationship Id="rId54" Type="http://schemas.openxmlformats.org/officeDocument/2006/relationships/hyperlink" Target="https://cer.gov.au/document_page/voluntary-market-based-scope-2-emissions-guideline" TargetMode="External"/><Relationship Id="rId62" Type="http://schemas.openxmlformats.org/officeDocument/2006/relationships/hyperlink" Target="https://cer.gov.au/document_page/methods-and-measurement-criteria-guideline" TargetMode="External"/><Relationship Id="rId70" Type="http://schemas.openxmlformats.org/officeDocument/2006/relationships/footer" Target="footer1.xml"/><Relationship Id="rId75" Type="http://schemas.openxmlformats.org/officeDocument/2006/relationships/header" Target="header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legislation.gov.au/Series/F2008L02230" TargetMode="External"/><Relationship Id="rId28" Type="http://schemas.openxmlformats.org/officeDocument/2006/relationships/hyperlink" Target="https://cer.gov.au/document_page/reporting-hydrofluorocarbons-and-sulphur-hexafluoride-gases-guideline" TargetMode="External"/><Relationship Id="rId36" Type="http://schemas.openxmlformats.org/officeDocument/2006/relationships/image" Target="media/image14.png"/><Relationship Id="rId49" Type="http://schemas.openxmlformats.org/officeDocument/2006/relationships/image" Target="media/image18.png"/><Relationship Id="rId57" Type="http://schemas.openxmlformats.org/officeDocument/2006/relationships/hyperlink" Target="https://www.aemc.gov.au/regulation/energy-rules/national-electricity-rules/current" TargetMode="External"/><Relationship Id="rId10" Type="http://schemas.openxmlformats.org/officeDocument/2006/relationships/image" Target="media/image2.svg"/><Relationship Id="rId31" Type="http://schemas.openxmlformats.org/officeDocument/2006/relationships/hyperlink" Target="https://cer.gov.au/document_page/nger-quick-help-topics" TargetMode="External"/><Relationship Id="rId44" Type="http://schemas.openxmlformats.org/officeDocument/2006/relationships/hyperlink" Target="https://cer.gov.au/schemes/national-greenhouse-and-energy-reporting-scheme/about-emissions-and-energy-data/emissions" TargetMode="External"/><Relationship Id="rId52" Type="http://schemas.openxmlformats.org/officeDocument/2006/relationships/hyperlink" Target="https://cer.gov.au/document_page/voluntary-market-based-scope-2-emissions-guideline" TargetMode="External"/><Relationship Id="rId60" Type="http://schemas.openxmlformats.org/officeDocument/2006/relationships/hyperlink" Target="https://cer.gov.au/document_page/reporting-blended-fuels-other-fuel-mixes-bitumen-and-explosives-guideline" TargetMode="External"/><Relationship Id="rId65" Type="http://schemas.openxmlformats.org/officeDocument/2006/relationships/hyperlink" Target="https://cer.gov.au/schemes/national-greenhouse-and-energy-reporting-scheme/report-emissions-and-energy/nger-reporting-guides" TargetMode="External"/><Relationship Id="rId73" Type="http://schemas.openxmlformats.org/officeDocument/2006/relationships/footer" Target="footer3.xml"/><Relationship Id="rId78" Type="http://schemas.openxmlformats.org/officeDocument/2006/relationships/hyperlink" Target="https://cer.gov.au/document_page/contracts-and-leasing-guideline" TargetMode="External"/><Relationship Id="rId81"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16.png"/><Relationship Id="rId34" Type="http://schemas.openxmlformats.org/officeDocument/2006/relationships/hyperlink" Target="https://cer.gov.au/document_page/reporting-uncertainty-guideline" TargetMode="External"/><Relationship Id="rId50" Type="http://schemas.openxmlformats.org/officeDocument/2006/relationships/hyperlink" Target="https://cer.gov.au/schemes/national-greenhouse-and-energy-reporting-scheme/report-emissions-and-energy/amendments-to-national-greenhouse-and-energy-reporting-legislation" TargetMode="External"/><Relationship Id="rId55" Type="http://schemas.openxmlformats.org/officeDocument/2006/relationships/hyperlink" Target="https://cer.gov.au/document_page/voluntary-market-based-scope-2-emissions-guideline" TargetMode="External"/><Relationship Id="rId76"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cer.gov.au/document_page/voluntary-market-based-scope-2-emissions-guideline" TargetMode="External"/><Relationship Id="rId24" Type="http://schemas.openxmlformats.org/officeDocument/2006/relationships/hyperlink" Target="https://www.legislation.gov.au/Series/F2008L02309" TargetMode="External"/><Relationship Id="rId40" Type="http://schemas.openxmlformats.org/officeDocument/2006/relationships/hyperlink" Target="https://cer.gov.au/document_page/estimating-emissions-and-energy-fuel-combustion-guideline" TargetMode="External"/><Relationship Id="rId45" Type="http://schemas.openxmlformats.org/officeDocument/2006/relationships/hyperlink" Target="https://energy-rules.aemc.gov.au/ner/594" TargetMode="External"/><Relationship Id="rId66" Type="http://schemas.openxmlformats.org/officeDocument/2006/relationships/hyperlink" Target="https://cer.gov.au/document_page/petroleum-based-oils-and-greases-guidelin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269B8B-E045-47A7-A9B1-D89B0E41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20068</Words>
  <Characters>112384</Characters>
  <Application>Microsoft Office Word</Application>
  <DocSecurity>0</DocSecurity>
  <Lines>2554</Lines>
  <Paragraphs>1439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emissions and energy from electricity production and consumption guideline</dc:title>
  <dc:subject/>
  <dc:creator/>
  <cp:keywords/>
  <cp:lastModifiedBy/>
  <cp:revision>1</cp:revision>
  <dcterms:created xsi:type="dcterms:W3CDTF">2026-07-23T04:44:00Z</dcterms:created>
  <dcterms:modified xsi:type="dcterms:W3CDTF">2026-07-23T04:44:00Z</dcterms:modified>
  <cp:contentStatus/>
</cp:coreProperties>
</file>