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BC7122" w14:textId="34FCD311" w:rsidR="005869AB" w:rsidRPr="00297E61" w:rsidRDefault="005869AB" w:rsidP="005869AB">
      <w:pPr>
        <w:pStyle w:val="CERcovertitle"/>
        <w:tabs>
          <w:tab w:val="left" w:pos="5103"/>
        </w:tabs>
        <w:spacing w:before="2520"/>
        <w:ind w:left="5103" w:right="-41"/>
        <w:rPr>
          <w:sz w:val="48"/>
          <w:szCs w:val="48"/>
        </w:rPr>
      </w:pPr>
      <w:r w:rsidRPr="00297E61">
        <w:rPr>
          <w:rFonts w:asciiTheme="minorHAnsi" w:hAnsiTheme="minorHAnsi"/>
          <w:sz w:val="48"/>
          <w:szCs w:val="48"/>
        </w:rPr>
        <mc:AlternateContent>
          <mc:Choice Requires="wps">
            <w:drawing>
              <wp:anchor distT="0" distB="0" distL="114300" distR="114300" simplePos="0" relativeHeight="251658245" behindDoc="0" locked="0" layoutInCell="1" allowOverlap="1" wp14:anchorId="082BFC96" wp14:editId="1A85B0FB">
                <wp:simplePos x="0" y="0"/>
                <wp:positionH relativeFrom="margin">
                  <wp:posOffset>62026</wp:posOffset>
                </wp:positionH>
                <wp:positionV relativeFrom="paragraph">
                  <wp:posOffset>1156922</wp:posOffset>
                </wp:positionV>
                <wp:extent cx="6192000" cy="6185230"/>
                <wp:effectExtent l="0" t="0" r="0" b="6350"/>
                <wp:wrapNone/>
                <wp:docPr id="1565066867" name="Freeform: Shape 1565066867" descr="P1#y1">
                  <a:extLst xmlns:a="http://schemas.openxmlformats.org/drawingml/2006/main">
                    <a:ext uri="{FF2B5EF4-FFF2-40B4-BE49-F238E27FC236}">
                      <a16:creationId xmlns:a16="http://schemas.microsoft.com/office/drawing/2014/main" id="{833A9379-F33B-6747-102E-56A337149380}"/>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2000" cy="6185230"/>
                        </a:xfrm>
                        <a:custGeom>
                          <a:avLst/>
                          <a:gdLst>
                            <a:gd name="connsiteX0" fmla="*/ 5805660 w 7550841"/>
                            <a:gd name="connsiteY0" fmla="*/ 5698644 h 7542959"/>
                            <a:gd name="connsiteX1" fmla="*/ 7449582 w 7550841"/>
                            <a:gd name="connsiteY1" fmla="*/ 5698644 h 7542959"/>
                            <a:gd name="connsiteX2" fmla="*/ 7550841 w 7550841"/>
                            <a:gd name="connsiteY2" fmla="*/ 5788610 h 7542959"/>
                            <a:gd name="connsiteX3" fmla="*/ 7550841 w 7550841"/>
                            <a:gd name="connsiteY3" fmla="*/ 7441836 h 7542959"/>
                            <a:gd name="connsiteX4" fmla="*/ 7449582 w 7550841"/>
                            <a:gd name="connsiteY4" fmla="*/ 7542959 h 7542959"/>
                            <a:gd name="connsiteX5" fmla="*/ 5805660 w 7550841"/>
                            <a:gd name="connsiteY5" fmla="*/ 7542959 h 7542959"/>
                            <a:gd name="connsiteX6" fmla="*/ 5704401 w 7550841"/>
                            <a:gd name="connsiteY6" fmla="*/ 7441836 h 7542959"/>
                            <a:gd name="connsiteX7" fmla="*/ 5704401 w 7550841"/>
                            <a:gd name="connsiteY7" fmla="*/ 5788610 h 7542959"/>
                            <a:gd name="connsiteX8" fmla="*/ 3894784 w 7550841"/>
                            <a:gd name="connsiteY8" fmla="*/ 5698644 h 7542959"/>
                            <a:gd name="connsiteX9" fmla="*/ 5559985 w 7550841"/>
                            <a:gd name="connsiteY9" fmla="*/ 5698644 h 7542959"/>
                            <a:gd name="connsiteX10" fmla="*/ 5650604 w 7550841"/>
                            <a:gd name="connsiteY10" fmla="*/ 5788610 h 7542959"/>
                            <a:gd name="connsiteX11" fmla="*/ 5650604 w 7550841"/>
                            <a:gd name="connsiteY11" fmla="*/ 7441836 h 7542959"/>
                            <a:gd name="connsiteX12" fmla="*/ 5559985 w 7550841"/>
                            <a:gd name="connsiteY12" fmla="*/ 7542959 h 7542959"/>
                            <a:gd name="connsiteX13" fmla="*/ 3894784 w 7550841"/>
                            <a:gd name="connsiteY13" fmla="*/ 7542959 h 7542959"/>
                            <a:gd name="connsiteX14" fmla="*/ 3804166 w 7550841"/>
                            <a:gd name="connsiteY14" fmla="*/ 7441836 h 7542959"/>
                            <a:gd name="connsiteX15" fmla="*/ 3804166 w 7550841"/>
                            <a:gd name="connsiteY15" fmla="*/ 5788610 h 7542959"/>
                            <a:gd name="connsiteX16" fmla="*/ 2001855 w 7550841"/>
                            <a:gd name="connsiteY16" fmla="*/ 5698644 h 7542959"/>
                            <a:gd name="connsiteX17" fmla="*/ 3645777 w 7550841"/>
                            <a:gd name="connsiteY17" fmla="*/ 5698644 h 7542959"/>
                            <a:gd name="connsiteX18" fmla="*/ 3747036 w 7550841"/>
                            <a:gd name="connsiteY18" fmla="*/ 5788610 h 7542959"/>
                            <a:gd name="connsiteX19" fmla="*/ 3747036 w 7550841"/>
                            <a:gd name="connsiteY19" fmla="*/ 7441836 h 7542959"/>
                            <a:gd name="connsiteX20" fmla="*/ 3645777 w 7550841"/>
                            <a:gd name="connsiteY20" fmla="*/ 7542959 h 7542959"/>
                            <a:gd name="connsiteX21" fmla="*/ 2001855 w 7550841"/>
                            <a:gd name="connsiteY21" fmla="*/ 7542959 h 7542959"/>
                            <a:gd name="connsiteX22" fmla="*/ 1900596 w 7550841"/>
                            <a:gd name="connsiteY22" fmla="*/ 7441836 h 7542959"/>
                            <a:gd name="connsiteX23" fmla="*/ 1900596 w 7550841"/>
                            <a:gd name="connsiteY23" fmla="*/ 5788610 h 7542959"/>
                            <a:gd name="connsiteX24" fmla="*/ 3894784 w 7550841"/>
                            <a:gd name="connsiteY24" fmla="*/ 3796819 h 7542959"/>
                            <a:gd name="connsiteX25" fmla="*/ 5115195 w 7550841"/>
                            <a:gd name="connsiteY25" fmla="*/ 3796819 h 7542959"/>
                            <a:gd name="connsiteX26" fmla="*/ 5559985 w 7550841"/>
                            <a:gd name="connsiteY26" fmla="*/ 3796819 h 7542959"/>
                            <a:gd name="connsiteX27" fmla="*/ 5805660 w 7550841"/>
                            <a:gd name="connsiteY27" fmla="*/ 3796819 h 7542959"/>
                            <a:gd name="connsiteX28" fmla="*/ 6759117 w 7550841"/>
                            <a:gd name="connsiteY28" fmla="*/ 3796819 h 7542959"/>
                            <a:gd name="connsiteX29" fmla="*/ 7449582 w 7550841"/>
                            <a:gd name="connsiteY29" fmla="*/ 3796819 h 7542959"/>
                            <a:gd name="connsiteX30" fmla="*/ 7550841 w 7550841"/>
                            <a:gd name="connsiteY30" fmla="*/ 3886786 h 7542959"/>
                            <a:gd name="connsiteX31" fmla="*/ 7550841 w 7550841"/>
                            <a:gd name="connsiteY31" fmla="*/ 5540012 h 7542959"/>
                            <a:gd name="connsiteX32" fmla="*/ 7449582 w 7550841"/>
                            <a:gd name="connsiteY32" fmla="*/ 5641134 h 7542959"/>
                            <a:gd name="connsiteX33" fmla="*/ 6759117 w 7550841"/>
                            <a:gd name="connsiteY33" fmla="*/ 5641134 h 7542959"/>
                            <a:gd name="connsiteX34" fmla="*/ 5805660 w 7550841"/>
                            <a:gd name="connsiteY34" fmla="*/ 5641134 h 7542959"/>
                            <a:gd name="connsiteX35" fmla="*/ 5559985 w 7550841"/>
                            <a:gd name="connsiteY35" fmla="*/ 5641134 h 7542959"/>
                            <a:gd name="connsiteX36" fmla="*/ 5115195 w 7550841"/>
                            <a:gd name="connsiteY36" fmla="*/ 5641134 h 7542959"/>
                            <a:gd name="connsiteX37" fmla="*/ 3894784 w 7550841"/>
                            <a:gd name="connsiteY37" fmla="*/ 5641134 h 7542959"/>
                            <a:gd name="connsiteX38" fmla="*/ 3804166 w 7550841"/>
                            <a:gd name="connsiteY38" fmla="*/ 5551150 h 7542959"/>
                            <a:gd name="connsiteX39" fmla="*/ 3804166 w 7550841"/>
                            <a:gd name="connsiteY39" fmla="*/ 3897961 h 7542959"/>
                            <a:gd name="connsiteX40" fmla="*/ 1991217 w 7550841"/>
                            <a:gd name="connsiteY40" fmla="*/ 3796819 h 7542959"/>
                            <a:gd name="connsiteX41" fmla="*/ 3656417 w 7550841"/>
                            <a:gd name="connsiteY41" fmla="*/ 3796819 h 7542959"/>
                            <a:gd name="connsiteX42" fmla="*/ 3747036 w 7550841"/>
                            <a:gd name="connsiteY42" fmla="*/ 3897961 h 7542959"/>
                            <a:gd name="connsiteX43" fmla="*/ 3747036 w 7550841"/>
                            <a:gd name="connsiteY43" fmla="*/ 5551150 h 7542959"/>
                            <a:gd name="connsiteX44" fmla="*/ 3656417 w 7550841"/>
                            <a:gd name="connsiteY44" fmla="*/ 5641134 h 7542959"/>
                            <a:gd name="connsiteX45" fmla="*/ 1991217 w 7550841"/>
                            <a:gd name="connsiteY45" fmla="*/ 5641134 h 7542959"/>
                            <a:gd name="connsiteX46" fmla="*/ 1900599 w 7550841"/>
                            <a:gd name="connsiteY46" fmla="*/ 5551150 h 7542959"/>
                            <a:gd name="connsiteX47" fmla="*/ 1900599 w 7550841"/>
                            <a:gd name="connsiteY47" fmla="*/ 3897961 h 7542959"/>
                            <a:gd name="connsiteX48" fmla="*/ 90980 w 7550841"/>
                            <a:gd name="connsiteY48" fmla="*/ 3796819 h 7542959"/>
                            <a:gd name="connsiteX49" fmla="*/ 1756180 w 7550841"/>
                            <a:gd name="connsiteY49" fmla="*/ 3796819 h 7542959"/>
                            <a:gd name="connsiteX50" fmla="*/ 1846799 w 7550841"/>
                            <a:gd name="connsiteY50" fmla="*/ 3886785 h 7542959"/>
                            <a:gd name="connsiteX51" fmla="*/ 1846799 w 7550841"/>
                            <a:gd name="connsiteY51" fmla="*/ 5540011 h 7542959"/>
                            <a:gd name="connsiteX52" fmla="*/ 1756180 w 7550841"/>
                            <a:gd name="connsiteY52" fmla="*/ 5641134 h 7542959"/>
                            <a:gd name="connsiteX53" fmla="*/ 90980 w 7550841"/>
                            <a:gd name="connsiteY53" fmla="*/ 5641134 h 7542959"/>
                            <a:gd name="connsiteX54" fmla="*/ 361 w 7550841"/>
                            <a:gd name="connsiteY54" fmla="*/ 5540011 h 7542959"/>
                            <a:gd name="connsiteX55" fmla="*/ 361 w 7550841"/>
                            <a:gd name="connsiteY55" fmla="*/ 3886785 h 7542959"/>
                            <a:gd name="connsiteX56" fmla="*/ 90009 w 7550841"/>
                            <a:gd name="connsiteY56" fmla="*/ 0 h 7542959"/>
                            <a:gd name="connsiteX57" fmla="*/ 3645017 w 7550841"/>
                            <a:gd name="connsiteY57" fmla="*/ 0 h 7542959"/>
                            <a:gd name="connsiteX58" fmla="*/ 3735026 w 7550841"/>
                            <a:gd name="connsiteY58" fmla="*/ 90009 h 7542959"/>
                            <a:gd name="connsiteX59" fmla="*/ 3735026 w 7550841"/>
                            <a:gd name="connsiteY59" fmla="*/ 1226288 h 7542959"/>
                            <a:gd name="connsiteX60" fmla="*/ 3735026 w 7550841"/>
                            <a:gd name="connsiteY60" fmla="*/ 1744021 h 7542959"/>
                            <a:gd name="connsiteX61" fmla="*/ 3735026 w 7550841"/>
                            <a:gd name="connsiteY61" fmla="*/ 1991367 h 7542959"/>
                            <a:gd name="connsiteX62" fmla="*/ 3735026 w 7550841"/>
                            <a:gd name="connsiteY62" fmla="*/ 2879939 h 7542959"/>
                            <a:gd name="connsiteX63" fmla="*/ 3735026 w 7550841"/>
                            <a:gd name="connsiteY63" fmla="*/ 3633858 h 7542959"/>
                            <a:gd name="connsiteX64" fmla="*/ 3645017 w 7550841"/>
                            <a:gd name="connsiteY64" fmla="*/ 3735028 h 7542959"/>
                            <a:gd name="connsiteX65" fmla="*/ 2689118 w 7550841"/>
                            <a:gd name="connsiteY65" fmla="*/ 3735028 h 7542959"/>
                            <a:gd name="connsiteX66" fmla="*/ 1991366 w 7550841"/>
                            <a:gd name="connsiteY66" fmla="*/ 3735028 h 7542959"/>
                            <a:gd name="connsiteX67" fmla="*/ 1744020 w 7550841"/>
                            <a:gd name="connsiteY67" fmla="*/ 3735028 h 7542959"/>
                            <a:gd name="connsiteX68" fmla="*/ 1035107 w 7550841"/>
                            <a:gd name="connsiteY68" fmla="*/ 3735028 h 7542959"/>
                            <a:gd name="connsiteX69" fmla="*/ 90009 w 7550841"/>
                            <a:gd name="connsiteY69" fmla="*/ 3735028 h 7542959"/>
                            <a:gd name="connsiteX70" fmla="*/ 0 w 7550841"/>
                            <a:gd name="connsiteY70" fmla="*/ 3633858 h 7542959"/>
                            <a:gd name="connsiteX71" fmla="*/ 0 w 7550841"/>
                            <a:gd name="connsiteY71" fmla="*/ 2879939 h 7542959"/>
                            <a:gd name="connsiteX72" fmla="*/ 0 w 7550841"/>
                            <a:gd name="connsiteY72" fmla="*/ 1991367 h 7542959"/>
                            <a:gd name="connsiteX73" fmla="*/ 0 w 7550841"/>
                            <a:gd name="connsiteY73" fmla="*/ 1744021 h 7542959"/>
                            <a:gd name="connsiteX74" fmla="*/ 0 w 7550841"/>
                            <a:gd name="connsiteY74" fmla="*/ 1226288 h 7542959"/>
                            <a:gd name="connsiteX75" fmla="*/ 0 w 7550841"/>
                            <a:gd name="connsiteY75" fmla="*/ 90009 h 75429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Lst>
                          <a:rect l="l" t="t" r="r" b="b"/>
                          <a:pathLst>
                            <a:path w="7550841" h="7542959">
                              <a:moveTo>
                                <a:pt x="5805660" y="5698644"/>
                              </a:moveTo>
                              <a:lnTo>
                                <a:pt x="7449582" y="5698644"/>
                              </a:lnTo>
                              <a:lnTo>
                                <a:pt x="7550841" y="5788610"/>
                              </a:lnTo>
                              <a:lnTo>
                                <a:pt x="7550841" y="7441836"/>
                              </a:lnTo>
                              <a:lnTo>
                                <a:pt x="7449582" y="7542959"/>
                              </a:lnTo>
                              <a:lnTo>
                                <a:pt x="5805660" y="7542959"/>
                              </a:lnTo>
                              <a:lnTo>
                                <a:pt x="5704401" y="7441836"/>
                              </a:lnTo>
                              <a:lnTo>
                                <a:pt x="5704401" y="5788610"/>
                              </a:lnTo>
                              <a:close/>
                              <a:moveTo>
                                <a:pt x="3894784" y="5698644"/>
                              </a:moveTo>
                              <a:lnTo>
                                <a:pt x="5559985" y="5698644"/>
                              </a:lnTo>
                              <a:lnTo>
                                <a:pt x="5650604" y="5788610"/>
                              </a:lnTo>
                              <a:lnTo>
                                <a:pt x="5650604" y="7441836"/>
                              </a:lnTo>
                              <a:lnTo>
                                <a:pt x="5559985" y="7542959"/>
                              </a:lnTo>
                              <a:lnTo>
                                <a:pt x="3894784" y="7542959"/>
                              </a:lnTo>
                              <a:lnTo>
                                <a:pt x="3804166" y="7441836"/>
                              </a:lnTo>
                              <a:lnTo>
                                <a:pt x="3804166" y="5788610"/>
                              </a:lnTo>
                              <a:close/>
                              <a:moveTo>
                                <a:pt x="2001855" y="5698644"/>
                              </a:moveTo>
                              <a:lnTo>
                                <a:pt x="3645777" y="5698644"/>
                              </a:lnTo>
                              <a:lnTo>
                                <a:pt x="3747036" y="5788610"/>
                              </a:lnTo>
                              <a:lnTo>
                                <a:pt x="3747036" y="7441836"/>
                              </a:lnTo>
                              <a:lnTo>
                                <a:pt x="3645777" y="7542959"/>
                              </a:lnTo>
                              <a:lnTo>
                                <a:pt x="2001855" y="7542959"/>
                              </a:lnTo>
                              <a:lnTo>
                                <a:pt x="1900596" y="7441836"/>
                              </a:lnTo>
                              <a:lnTo>
                                <a:pt x="1900596" y="5788610"/>
                              </a:lnTo>
                              <a:close/>
                              <a:moveTo>
                                <a:pt x="3894784" y="3796819"/>
                              </a:moveTo>
                              <a:lnTo>
                                <a:pt x="5115195" y="3796819"/>
                              </a:lnTo>
                              <a:lnTo>
                                <a:pt x="5559985" y="3796819"/>
                              </a:lnTo>
                              <a:lnTo>
                                <a:pt x="5805660" y="3796819"/>
                              </a:lnTo>
                              <a:lnTo>
                                <a:pt x="6759117" y="3796819"/>
                              </a:lnTo>
                              <a:lnTo>
                                <a:pt x="7449582" y="3796819"/>
                              </a:lnTo>
                              <a:lnTo>
                                <a:pt x="7550841" y="3886786"/>
                              </a:lnTo>
                              <a:lnTo>
                                <a:pt x="7550841" y="5540012"/>
                              </a:lnTo>
                              <a:lnTo>
                                <a:pt x="7449582" y="5641134"/>
                              </a:lnTo>
                              <a:lnTo>
                                <a:pt x="6759117" y="5641134"/>
                              </a:lnTo>
                              <a:lnTo>
                                <a:pt x="5805660" y="5641134"/>
                              </a:lnTo>
                              <a:lnTo>
                                <a:pt x="5559985" y="5641134"/>
                              </a:lnTo>
                              <a:lnTo>
                                <a:pt x="5115195" y="5641134"/>
                              </a:lnTo>
                              <a:lnTo>
                                <a:pt x="3894784" y="5641134"/>
                              </a:lnTo>
                              <a:lnTo>
                                <a:pt x="3804166" y="5551150"/>
                              </a:lnTo>
                              <a:lnTo>
                                <a:pt x="3804166" y="3897961"/>
                              </a:lnTo>
                              <a:close/>
                              <a:moveTo>
                                <a:pt x="1991217" y="3796819"/>
                              </a:moveTo>
                              <a:lnTo>
                                <a:pt x="3656417" y="3796819"/>
                              </a:lnTo>
                              <a:lnTo>
                                <a:pt x="3747036" y="3897961"/>
                              </a:lnTo>
                              <a:lnTo>
                                <a:pt x="3747036" y="5551150"/>
                              </a:lnTo>
                              <a:lnTo>
                                <a:pt x="3656417" y="5641134"/>
                              </a:lnTo>
                              <a:lnTo>
                                <a:pt x="1991217" y="5641134"/>
                              </a:lnTo>
                              <a:lnTo>
                                <a:pt x="1900599" y="5551150"/>
                              </a:lnTo>
                              <a:lnTo>
                                <a:pt x="1900599" y="3897961"/>
                              </a:lnTo>
                              <a:close/>
                              <a:moveTo>
                                <a:pt x="90980" y="3796819"/>
                              </a:moveTo>
                              <a:lnTo>
                                <a:pt x="1756180" y="3796819"/>
                              </a:lnTo>
                              <a:lnTo>
                                <a:pt x="1846799" y="3886785"/>
                              </a:lnTo>
                              <a:lnTo>
                                <a:pt x="1846799" y="5540011"/>
                              </a:lnTo>
                              <a:lnTo>
                                <a:pt x="1756180" y="5641134"/>
                              </a:lnTo>
                              <a:lnTo>
                                <a:pt x="90980" y="5641134"/>
                              </a:lnTo>
                              <a:lnTo>
                                <a:pt x="361" y="5540011"/>
                              </a:lnTo>
                              <a:lnTo>
                                <a:pt x="361" y="3886785"/>
                              </a:lnTo>
                              <a:close/>
                              <a:moveTo>
                                <a:pt x="90009" y="0"/>
                              </a:moveTo>
                              <a:lnTo>
                                <a:pt x="3645017" y="0"/>
                              </a:lnTo>
                              <a:lnTo>
                                <a:pt x="3735026" y="90009"/>
                              </a:lnTo>
                              <a:lnTo>
                                <a:pt x="3735026" y="1226288"/>
                              </a:lnTo>
                              <a:lnTo>
                                <a:pt x="3735026" y="1744021"/>
                              </a:lnTo>
                              <a:lnTo>
                                <a:pt x="3735026" y="1991367"/>
                              </a:lnTo>
                              <a:lnTo>
                                <a:pt x="3735026" y="2879939"/>
                              </a:lnTo>
                              <a:lnTo>
                                <a:pt x="3735026" y="3633858"/>
                              </a:lnTo>
                              <a:lnTo>
                                <a:pt x="3645017" y="3735028"/>
                              </a:lnTo>
                              <a:lnTo>
                                <a:pt x="2689118" y="3735028"/>
                              </a:lnTo>
                              <a:lnTo>
                                <a:pt x="1991366" y="3735028"/>
                              </a:lnTo>
                              <a:lnTo>
                                <a:pt x="1744020" y="3735028"/>
                              </a:lnTo>
                              <a:lnTo>
                                <a:pt x="1035107" y="3735028"/>
                              </a:lnTo>
                              <a:lnTo>
                                <a:pt x="90009" y="3735028"/>
                              </a:lnTo>
                              <a:lnTo>
                                <a:pt x="0" y="3633858"/>
                              </a:lnTo>
                              <a:lnTo>
                                <a:pt x="0" y="2879939"/>
                              </a:lnTo>
                              <a:lnTo>
                                <a:pt x="0" y="1991367"/>
                              </a:lnTo>
                              <a:lnTo>
                                <a:pt x="0" y="1744021"/>
                              </a:lnTo>
                              <a:lnTo>
                                <a:pt x="0" y="1226288"/>
                              </a:lnTo>
                              <a:lnTo>
                                <a:pt x="0" y="90009"/>
                              </a:lnTo>
                              <a:close/>
                            </a:path>
                          </a:pathLst>
                        </a:custGeom>
                        <a:solidFill>
                          <a:schemeClr val="accent1">
                            <a:lumMod val="60000"/>
                            <a:lumOff val="40000"/>
                          </a:schemeClr>
                        </a:solidFill>
                        <a:ln>
                          <a:noFill/>
                        </a:ln>
                        <a:effectLst/>
                      </wps:spPr>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1271AFFE" id="Freeform: Shape 1565066867" o:spid="_x0000_s1026" alt="P1#y1" style="position:absolute;margin-left:4.9pt;margin-top:91.1pt;width:487.55pt;height:487.0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550841,754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" path="m5805660,5698644r1643922,l7550841,5788610r,1653226l7449582,7542959r-1643922,l5704401,7441836r,-1653226l5805660,5698644xm3894784,5698644r1665201,l5650604,5788610r,1653226l5559985,7542959r-1665201,l3804166,7441836r,-1653226l3894784,5698644xm2001855,5698644r1643922,l3747036,5788610r,1653226l3645777,7542959r-1643922,l1900596,7441836r,-1653226l2001855,5698644xm3894784,3796819r1220411,l5559985,3796819r245675,l6759117,3796819r690465,l7550841,3886786r,1653226l7449582,5641134r-690465,l5805660,5641134r-245675,l5115195,5641134r-1220411,l3804166,5551150r,-1653189l3894784,3796819xm1991217,3796819r1665200,l3747036,3897961r,1653189l3656417,5641134r-1665200,l1900599,5551150r,-1653189l1991217,3796819xm90980,3796819r1665200,l1846799,3886785r,1653226l1756180,5641134r-1665200,l361,5540011r,-1653226l90980,3796819xm90009,l3645017,r90009,90009l3735026,1226288r,517733l3735026,1991367r,888572l3735026,3633858r-90009,101170l2689118,3735028r-697752,l1744020,3735028r-708913,l90009,3735028,,3633858,,2879939,,1991367,,1744021,,1226288,,90009,90009,xe" fillcolor="#c5d3a8 [1940]" stroked="f">
                <v:path arrowok="t" o:connecttype="custom" o:connectlocs="4760880,4672891;6108963,4672891;6192000,4746663;6192000,6102309;6108963,6185230;4760880,6185230;4677843,6102309;4677843,4746663;3193883,4672891;4559416,4672891;4633728,4746663;4633728,6102309;4559416,6185230;3193883,6185230;3119572,6102309;3119572,4746663;1641603,4672891;2989687,4672891;3072724,4746663;3072724,6102309;2989687,6185230;1641603,6185230;1558567,6102309;1558567,4746663;3193883,3113393;4194670,3113393;4559416,3113393;4760880,3113393;5542754,3113393;6108963,3113393;6192000,3187166;6192000,4542812;6108963,4625733;5542754,4625733;4760880,4625733;4559416,4625733;4194670,4625733;3193883,4625733;3119572,4551946;3119572,3196330;1632880,3113393;2998412,3113393;3072724,3196330;3072724,4551946;2998412,4625733;1632880,4625733;1558569,4551946;1558569,3196330;74607,3113393;1440140,3113393;1514451,3187166;1514451,4542812;1440140,4625733;74607,4625733;296,4542812;296,3187166;73811,0;2989064,0;3062875,73807;3062875,1005557;3062875,1430098;3062875,1632922;3062875,2361551;3062875,2979765;2989064,3062725;2205187,3062725;1633002,3062725;1430168,3062725;848830,3062725;73811,3062725;0,2979765;0,2361551;0,1632922;0,1430098;0,1005557;0,73807" o:connectangles="0,0,0,0,0,0,0,0,0,0,0,0,0,0,0,0,0,0,0,0,0,0,0,0,0,0,0,0,0,0,0,0,0,0,0,0,0,0,0,0,0,0,0,0,0,0,0,0,0,0,0,0,0,0,0,0,0,0,0,0,0,0,0,0,0,0,0,0,0,0,0,0,0,0,0,0"/>
                <o:lock v:ext="edit" aspectratio="t"/>
                <w10:wrap anchorx="margin"/>
              </v:shape>
            </w:pict>
          </mc:Fallback>
        </mc:AlternateContent>
      </w:r>
      <w:r w:rsidRPr="00297E61">
        <w:rPr>
          <w:sz w:val="48"/>
          <w:szCs w:val="48"/>
        </w:rPr>
        <w:drawing>
          <wp:anchor distT="0" distB="0" distL="114300" distR="114300" simplePos="0" relativeHeight="251658247" behindDoc="0" locked="0" layoutInCell="1" allowOverlap="1" wp14:anchorId="15E3404A" wp14:editId="4A2605B6">
            <wp:simplePos x="0" y="0"/>
            <wp:positionH relativeFrom="column">
              <wp:posOffset>159710</wp:posOffset>
            </wp:positionH>
            <wp:positionV relativeFrom="page">
              <wp:posOffset>2562003</wp:posOffset>
            </wp:positionV>
            <wp:extent cx="2664000" cy="2664000"/>
            <wp:effectExtent l="0" t="0" r="0" b="0"/>
            <wp:wrapNone/>
            <wp:docPr id="22" name="Graphic 22" descr="P1#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1#y2">
                      <a:extLst>
                        <a:ext uri="{C183D7F6-B498-43B3-948B-1728B52AA6E4}">
                          <adec:decorative xmlns:adec="http://schemas.microsoft.com/office/drawing/2017/decorative" val="1"/>
                        </a:ext>
                      </a:extLst>
                    </pic:cNvPr>
                    <pic:cNvPicPr/>
                  </pic:nvPicPr>
                  <pic:blipFill>
                    <a:blip r:embed="rId9">
                      <a:extLst>
                        <a:ext uri="{96DAC541-7B7A-43D3-8B79-37D633B846F1}">
                          <asvg:svgBlip xmlns:asvg="http://schemas.microsoft.com/office/drawing/2016/SVG/main" r:embed="rId10"/>
                        </a:ext>
                      </a:extLst>
                    </a:blip>
                    <a:stretch>
                      <a:fillRect/>
                    </a:stretch>
                  </pic:blipFill>
                  <pic:spPr>
                    <a:xfrm>
                      <a:off x="0" y="0"/>
                      <a:ext cx="2664000" cy="2664000"/>
                    </a:xfrm>
                    <a:prstGeom prst="rect">
                      <a:avLst/>
                    </a:prstGeom>
                  </pic:spPr>
                </pic:pic>
              </a:graphicData>
            </a:graphic>
            <wp14:sizeRelH relativeFrom="page">
              <wp14:pctWidth>0</wp14:pctWidth>
            </wp14:sizeRelH>
            <wp14:sizeRelV relativeFrom="page">
              <wp14:pctHeight>0</wp14:pctHeight>
            </wp14:sizeRelV>
          </wp:anchor>
        </w:drawing>
      </w:r>
      <w:r w:rsidR="00297E61" w:rsidRPr="00297E61">
        <w:rPr>
          <w:rFonts w:asciiTheme="minorHAnsi" w:hAnsiTheme="minorHAnsi"/>
          <w:sz w:val="48"/>
          <w:szCs w:val="48"/>
        </w:rPr>
        <w:t>Estimating emissions  and energy from  electricity production and consumption guideline</w:t>
      </w:r>
    </w:p>
    <w:p w14:paraId="474CFFB7" w14:textId="555A44E3" w:rsidR="005869AB" w:rsidRPr="00531F3B" w:rsidRDefault="005869AB" w:rsidP="005869AB">
      <w:pPr>
        <w:pStyle w:val="BodyText1"/>
        <w:tabs>
          <w:tab w:val="left" w:pos="3969"/>
        </w:tabs>
        <w:ind w:left="5103" w:right="101"/>
      </w:pPr>
      <w:r>
        <w:rPr>
          <w:noProof/>
        </w:rPr>
        <w:drawing>
          <wp:anchor distT="0" distB="0" distL="114300" distR="114300" simplePos="0" relativeHeight="251658252" behindDoc="0" locked="0" layoutInCell="1" allowOverlap="1" wp14:anchorId="2FB6051D" wp14:editId="74EEF5E2">
            <wp:simplePos x="0" y="0"/>
            <wp:positionH relativeFrom="column">
              <wp:posOffset>3848100</wp:posOffset>
            </wp:positionH>
            <wp:positionV relativeFrom="page">
              <wp:posOffset>5474897</wp:posOffset>
            </wp:positionV>
            <wp:extent cx="1419860" cy="1419860"/>
            <wp:effectExtent l="0" t="0" r="8890" b="0"/>
            <wp:wrapNone/>
            <wp:docPr id="302912591" name="Graphic 302912591" descr="P2#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12591" name="Graphic 302912591" descr="P2#y2">
                      <a:extLst>
                        <a:ext uri="{C183D7F6-B498-43B3-948B-1728B52AA6E4}">
                          <adec:decorative xmlns:adec="http://schemas.microsoft.com/office/drawing/2017/decorative" val="1"/>
                        </a:ext>
                      </a:extLst>
                    </pic:cNvPr>
                    <pic:cNvPicPr/>
                  </pic:nvPicPr>
                  <pic:blipFill>
                    <a:blip r:embed="rId11">
                      <a:extLst>
                        <a:ext uri="{96DAC541-7B7A-43D3-8B79-37D633B846F1}">
                          <asvg:svgBlip xmlns:asvg="http://schemas.microsoft.com/office/drawing/2016/SVG/main" r:embed="rId12"/>
                        </a:ext>
                      </a:extLst>
                    </a:blip>
                    <a:stretch>
                      <a:fillRect/>
                    </a:stretch>
                  </pic:blipFill>
                  <pic:spPr>
                    <a:xfrm>
                      <a:off x="0" y="0"/>
                      <a:ext cx="1419860" cy="1419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1" behindDoc="0" locked="0" layoutInCell="1" allowOverlap="1" wp14:anchorId="0E5BE2D4" wp14:editId="76199F14">
            <wp:simplePos x="0" y="0"/>
            <wp:positionH relativeFrom="column">
              <wp:posOffset>1657350</wp:posOffset>
            </wp:positionH>
            <wp:positionV relativeFrom="page">
              <wp:posOffset>5526509</wp:posOffset>
            </wp:positionV>
            <wp:extent cx="1327785" cy="1327785"/>
            <wp:effectExtent l="0" t="0" r="0" b="0"/>
            <wp:wrapNone/>
            <wp:docPr id="1265433460" name="Graphic 1265433460" descr="P2#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33460" name="Graphic 1265433460" descr="P2#y1">
                      <a:extLst>
                        <a:ext uri="{C183D7F6-B498-43B3-948B-1728B52AA6E4}">
                          <adec:decorative xmlns:adec="http://schemas.microsoft.com/office/drawing/2017/decorative" val="1"/>
                        </a:ext>
                      </a:extLst>
                    </pic:cNvPr>
                    <pic:cNvPicPr/>
                  </pic:nvPicPr>
                  <pic:blipFill>
                    <a:blip r:embed="rId13">
                      <a:extLst>
                        <a:ext uri="{96DAC541-7B7A-43D3-8B79-37D633B846F1}">
                          <asvg:svgBlip xmlns:asvg="http://schemas.microsoft.com/office/drawing/2016/SVG/main" r:embed="rId14"/>
                        </a:ext>
                      </a:extLst>
                    </a:blip>
                    <a:stretch>
                      <a:fillRect/>
                    </a:stretch>
                  </pic:blipFill>
                  <pic:spPr>
                    <a:xfrm>
                      <a:off x="0" y="0"/>
                      <a:ext cx="1327785" cy="132778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411E1B">
        <w:t xml:space="preserve">August </w:t>
      </w:r>
      <w:r>
        <w:t>202</w:t>
      </w:r>
      <w:r w:rsidR="00225404">
        <w:t>5</w:t>
      </w:r>
    </w:p>
    <w:p w14:paraId="6FFAEB91" w14:textId="77777777" w:rsidR="001F0346" w:rsidRPr="00BA1F31" w:rsidRDefault="005869AB" w:rsidP="007F6A1D">
      <w:bookmarkStart w:id="0" w:name="_Toc174712893"/>
      <w:bookmarkStart w:id="1" w:name="_Toc174712985"/>
      <w:bookmarkStart w:id="2" w:name="_Toc175057678"/>
      <w:r>
        <w:rPr>
          <w:noProof/>
        </w:rPr>
        <w:drawing>
          <wp:anchor distT="0" distB="0" distL="114300" distR="114300" simplePos="0" relativeHeight="251658250" behindDoc="0" locked="0" layoutInCell="1" allowOverlap="1" wp14:anchorId="4FF8A7B8" wp14:editId="11471597">
            <wp:simplePos x="0" y="0"/>
            <wp:positionH relativeFrom="column">
              <wp:posOffset>4803922</wp:posOffset>
            </wp:positionH>
            <wp:positionV relativeFrom="page">
              <wp:posOffset>7152404</wp:posOffset>
            </wp:positionV>
            <wp:extent cx="1328400" cy="1328400"/>
            <wp:effectExtent l="0" t="0" r="5715" b="0"/>
            <wp:wrapNone/>
            <wp:docPr id="1889892832" name="Graphic 1889892832" descr="P3#y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892832" name="Graphic 1889892832" descr="P3#y4">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1328400" cy="1328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9" behindDoc="0" locked="0" layoutInCell="1" allowOverlap="1" wp14:anchorId="6F13E9DD" wp14:editId="69FFC356">
            <wp:simplePos x="0" y="0"/>
            <wp:positionH relativeFrom="column">
              <wp:posOffset>3219125</wp:posOffset>
            </wp:positionH>
            <wp:positionV relativeFrom="page">
              <wp:posOffset>7153984</wp:posOffset>
            </wp:positionV>
            <wp:extent cx="1328400" cy="1328400"/>
            <wp:effectExtent l="0" t="0" r="0" b="0"/>
            <wp:wrapNone/>
            <wp:docPr id="1036013163" name="Picture 1036013163" descr="P3#y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013163" name="Picture 1036013163" descr="P3#y3">
                      <a:extLst>
                        <a:ext uri="{C183D7F6-B498-43B3-948B-1728B52AA6E4}">
                          <adec:decorative xmlns:adec="http://schemas.microsoft.com/office/drawing/2017/decorative" val="1"/>
                        </a:ext>
                      </a:extLst>
                    </pic:cNvPr>
                    <pic:cNvPicPr/>
                  </pic:nvPicPr>
                  <pic:blipFill>
                    <a:blip r:embed="rId17">
                      <a:duotone>
                        <a:prstClr val="black"/>
                        <a:schemeClr val="accent1">
                          <a:lumMod val="40000"/>
                          <a:lumOff val="60000"/>
                          <a:tint val="45000"/>
                          <a:satMod val="400000"/>
                        </a:schemeClr>
                      </a:duotone>
                    </a:blip>
                    <a:stretch>
                      <a:fillRect/>
                    </a:stretch>
                  </pic:blipFill>
                  <pic:spPr>
                    <a:xfrm>
                      <a:off x="0" y="0"/>
                      <a:ext cx="1328400" cy="1328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0" locked="0" layoutInCell="1" allowOverlap="1" wp14:anchorId="13F5A46B" wp14:editId="51B15F1B">
            <wp:simplePos x="0" y="0"/>
            <wp:positionH relativeFrom="column">
              <wp:posOffset>1629883</wp:posOffset>
            </wp:positionH>
            <wp:positionV relativeFrom="page">
              <wp:posOffset>7178912</wp:posOffset>
            </wp:positionV>
            <wp:extent cx="1327785" cy="1306195"/>
            <wp:effectExtent l="0" t="0" r="0" b="0"/>
            <wp:wrapNone/>
            <wp:docPr id="24239820" name="Picture 24239820" descr="P3#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9820" name="Picture 24239820" descr="P3#y2">
                      <a:extLst>
                        <a:ext uri="{C183D7F6-B498-43B3-948B-1728B52AA6E4}">
                          <adec:decorative xmlns:adec="http://schemas.microsoft.com/office/drawing/2017/decorative" val="1"/>
                        </a:ext>
                      </a:extLst>
                    </pic:cNvPr>
                    <pic:cNvPicPr/>
                  </pic:nvPicPr>
                  <pic:blipFill>
                    <a:blip r:embed="rId18">
                      <a:duotone>
                        <a:prstClr val="black"/>
                        <a:schemeClr val="accent1">
                          <a:lumMod val="60000"/>
                          <a:lumOff val="40000"/>
                          <a:tint val="45000"/>
                          <a:satMod val="400000"/>
                        </a:schemeClr>
                      </a:duotone>
                      <a:extLst>
                        <a:ext uri="{BEBA8EAE-BF5A-486C-A8C5-ECC9F3942E4B}">
                          <a14:imgProps xmlns:a14="http://schemas.microsoft.com/office/drawing/2010/main">
                            <a14:imgLayer r:embed="rId19">
                              <a14:imgEffect>
                                <a14:colorTemperature colorTemp="11200"/>
                              </a14:imgEffect>
                              <a14:imgEffect>
                                <a14:saturation sat="400000"/>
                              </a14:imgEffect>
                            </a14:imgLayer>
                          </a14:imgProps>
                        </a:ext>
                      </a:extLst>
                    </a:blip>
                    <a:stretch>
                      <a:fillRect/>
                    </a:stretch>
                  </pic:blipFill>
                  <pic:spPr>
                    <a:xfrm>
                      <a:off x="0" y="0"/>
                      <a:ext cx="1327785" cy="13061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6" behindDoc="0" locked="0" layoutInCell="1" allowOverlap="1" wp14:anchorId="1C9A7E87" wp14:editId="6DF4D436">
            <wp:simplePos x="0" y="0"/>
            <wp:positionH relativeFrom="column">
              <wp:posOffset>76200</wp:posOffset>
            </wp:positionH>
            <wp:positionV relativeFrom="page">
              <wp:posOffset>5584751</wp:posOffset>
            </wp:positionV>
            <wp:extent cx="1327785" cy="1327785"/>
            <wp:effectExtent l="0" t="0" r="5715" b="0"/>
            <wp:wrapNone/>
            <wp:docPr id="886585983" name="Graphic 886585983" descr="P3#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85983" name="Graphic 886585983" descr="P3#y1">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1327785" cy="1327785"/>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p>
    <w:p w14:paraId="6519C78F" w14:textId="448286A3" w:rsidR="00235142" w:rsidRPr="00874B8F" w:rsidRDefault="0018495B" w:rsidP="005B2609">
      <w:pPr>
        <w:pStyle w:val="Heading1"/>
      </w:pPr>
      <w:bookmarkStart w:id="3" w:name="_Toc205461418"/>
      <w:r>
        <w:rPr>
          <w:noProof/>
        </w:rPr>
        <w:drawing>
          <wp:anchor distT="0" distB="0" distL="114300" distR="114300" simplePos="0" relativeHeight="251658242" behindDoc="0" locked="0" layoutInCell="1" allowOverlap="1" wp14:anchorId="1F99CBE1" wp14:editId="349D6EF3">
            <wp:simplePos x="0" y="0"/>
            <wp:positionH relativeFrom="column">
              <wp:posOffset>4803922</wp:posOffset>
            </wp:positionH>
            <wp:positionV relativeFrom="page">
              <wp:posOffset>7152404</wp:posOffset>
            </wp:positionV>
            <wp:extent cx="1328400" cy="1328400"/>
            <wp:effectExtent l="0" t="0" r="5715" b="0"/>
            <wp:wrapNone/>
            <wp:docPr id="27" name="Graphic 27" descr="P4#y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P4#y3">
                      <a:extLst>
                        <a:ext uri="{C183D7F6-B498-43B3-948B-1728B52AA6E4}">
                          <adec:decorative xmlns:adec="http://schemas.microsoft.com/office/drawing/2017/decorative" val="1"/>
                        </a:ext>
                      </a:extLst>
                    </pic:cNvPr>
                    <pic:cNvPicPr/>
                  </pic:nvPicPr>
                  <pic:blipFill>
                    <a:blip r:embed="rId15">
                      <a:extLst>
                        <a:ext uri="{96DAC541-7B7A-43D3-8B79-37D633B846F1}">
                          <asvg:svgBlip xmlns:asvg="http://schemas.microsoft.com/office/drawing/2016/SVG/main" r:embed="rId16"/>
                        </a:ext>
                      </a:extLst>
                    </a:blip>
                    <a:stretch>
                      <a:fillRect/>
                    </a:stretch>
                  </pic:blipFill>
                  <pic:spPr>
                    <a:xfrm>
                      <a:off x="0" y="0"/>
                      <a:ext cx="1328400" cy="1328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0" locked="0" layoutInCell="1" allowOverlap="1" wp14:anchorId="27AA53C8" wp14:editId="095DB4CE">
            <wp:simplePos x="0" y="0"/>
            <wp:positionH relativeFrom="column">
              <wp:posOffset>3219125</wp:posOffset>
            </wp:positionH>
            <wp:positionV relativeFrom="page">
              <wp:posOffset>7153984</wp:posOffset>
            </wp:positionV>
            <wp:extent cx="1328400" cy="1328400"/>
            <wp:effectExtent l="0" t="0" r="0" b="0"/>
            <wp:wrapNone/>
            <wp:docPr id="26" name="Picture 26" descr="P4#y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4#y2">
                      <a:extLst>
                        <a:ext uri="{C183D7F6-B498-43B3-948B-1728B52AA6E4}">
                          <adec:decorative xmlns:adec="http://schemas.microsoft.com/office/drawing/2017/decorative" val="1"/>
                        </a:ext>
                      </a:extLst>
                    </pic:cNvPr>
                    <pic:cNvPicPr/>
                  </pic:nvPicPr>
                  <pic:blipFill>
                    <a:blip r:embed="rId17">
                      <a:duotone>
                        <a:prstClr val="black"/>
                        <a:schemeClr val="accent1">
                          <a:lumMod val="40000"/>
                          <a:lumOff val="60000"/>
                          <a:tint val="45000"/>
                          <a:satMod val="400000"/>
                        </a:schemeClr>
                      </a:duotone>
                    </a:blip>
                    <a:stretch>
                      <a:fillRect/>
                    </a:stretch>
                  </pic:blipFill>
                  <pic:spPr>
                    <a:xfrm>
                      <a:off x="0" y="0"/>
                      <a:ext cx="1328400" cy="1328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8F54FFC" wp14:editId="6B661C41">
            <wp:simplePos x="0" y="0"/>
            <wp:positionH relativeFrom="column">
              <wp:posOffset>1629883</wp:posOffset>
            </wp:positionH>
            <wp:positionV relativeFrom="page">
              <wp:posOffset>7178912</wp:posOffset>
            </wp:positionV>
            <wp:extent cx="1327785" cy="1306195"/>
            <wp:effectExtent l="0" t="0" r="0" b="0"/>
            <wp:wrapNone/>
            <wp:docPr id="25" name="Picture 25" descr="P4#y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4#y1">
                      <a:extLst>
                        <a:ext uri="{C183D7F6-B498-43B3-948B-1728B52AA6E4}">
                          <adec:decorative xmlns:adec="http://schemas.microsoft.com/office/drawing/2017/decorative" val="1"/>
                        </a:ext>
                      </a:extLst>
                    </pic:cNvPr>
                    <pic:cNvPicPr/>
                  </pic:nvPicPr>
                  <pic:blipFill>
                    <a:blip r:embed="rId18">
                      <a:duotone>
                        <a:prstClr val="black"/>
                        <a:schemeClr val="accent1">
                          <a:lumMod val="60000"/>
                          <a:lumOff val="40000"/>
                          <a:tint val="45000"/>
                          <a:satMod val="400000"/>
                        </a:schemeClr>
                      </a:duotone>
                      <a:extLst>
                        <a:ext uri="{BEBA8EAE-BF5A-486C-A8C5-ECC9F3942E4B}">
                          <a14:imgProps xmlns:a14="http://schemas.microsoft.com/office/drawing/2010/main">
                            <a14:imgLayer r:embed="rId19">
                              <a14:imgEffect>
                                <a14:colorTemperature colorTemp="11200"/>
                              </a14:imgEffect>
                              <a14:imgEffect>
                                <a14:saturation sat="400000"/>
                              </a14:imgEffect>
                            </a14:imgLayer>
                          </a14:imgProps>
                        </a:ext>
                      </a:extLst>
                    </a:blip>
                    <a:stretch>
                      <a:fillRect/>
                    </a:stretch>
                  </pic:blipFill>
                  <pic:spPr>
                    <a:xfrm>
                      <a:off x="0" y="0"/>
                      <a:ext cx="1327785" cy="13061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4B5271F4" wp14:editId="5A4EDEA6">
            <wp:simplePos x="0" y="0"/>
            <wp:positionH relativeFrom="column">
              <wp:posOffset>76200</wp:posOffset>
            </wp:positionH>
            <wp:positionV relativeFrom="page">
              <wp:posOffset>5584751</wp:posOffset>
            </wp:positionV>
            <wp:extent cx="1327785" cy="1327785"/>
            <wp:effectExtent l="0" t="0" r="5715" b="0"/>
            <wp:wrapNone/>
            <wp:docPr id="16" name="Graphic 16" descr="P4#y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P4#y4">
                      <a:extLst>
                        <a:ext uri="{C183D7F6-B498-43B3-948B-1728B52AA6E4}">
                          <adec:decorative xmlns:adec="http://schemas.microsoft.com/office/drawing/2017/decorative" val="1"/>
                        </a:ext>
                      </a:extLst>
                    </pic:cNvPr>
                    <pic:cNvPicPr/>
                  </pic:nvPicPr>
                  <pic:blipFill>
                    <a:blip r:embed="rId20">
                      <a:extLst>
                        <a:ext uri="{96DAC541-7B7A-43D3-8B79-37D633B846F1}">
                          <asvg:svgBlip xmlns:asvg="http://schemas.microsoft.com/office/drawing/2016/SVG/main" r:embed="rId21"/>
                        </a:ext>
                      </a:extLst>
                    </a:blip>
                    <a:stretch>
                      <a:fillRect/>
                    </a:stretch>
                  </pic:blipFill>
                  <pic:spPr>
                    <a:xfrm>
                      <a:off x="0" y="0"/>
                      <a:ext cx="1327785" cy="1327785"/>
                    </a:xfrm>
                    <a:prstGeom prst="rect">
                      <a:avLst/>
                    </a:prstGeom>
                  </pic:spPr>
                </pic:pic>
              </a:graphicData>
            </a:graphic>
            <wp14:sizeRelH relativeFrom="page">
              <wp14:pctWidth>0</wp14:pctWidth>
            </wp14:sizeRelH>
            <wp14:sizeRelV relativeFrom="page">
              <wp14:pctHeight>0</wp14:pctHeight>
            </wp14:sizeRelV>
          </wp:anchor>
        </w:drawing>
      </w:r>
      <w:r w:rsidR="003A5739" w:rsidRPr="00531F3B">
        <w:br w:type="page"/>
      </w:r>
      <w:bookmarkStart w:id="4" w:name="_Toc447009035"/>
      <w:bookmarkStart w:id="5" w:name="_Toc413749884"/>
      <w:r w:rsidR="00235142" w:rsidRPr="00874B8F">
        <w:lastRenderedPageBreak/>
        <w:t>Contents</w:t>
      </w:r>
      <w:bookmarkEnd w:id="3"/>
    </w:p>
    <w:p w14:paraId="54577975" w14:textId="3F26CFD7" w:rsidR="0086263A" w:rsidRDefault="00235142">
      <w:pPr>
        <w:pStyle w:val="TOC1"/>
        <w:rPr>
          <w:rFonts w:eastAsiaTheme="minorEastAsia" w:cstheme="minorBidi"/>
          <w:b w:val="0"/>
          <w:noProof/>
          <w:color w:val="auto"/>
          <w:kern w:val="2"/>
          <w:sz w:val="24"/>
          <w:lang w:eastAsia="en-AU"/>
          <w14:ligatures w14:val="standardContextual"/>
        </w:rPr>
      </w:pPr>
      <w:r>
        <w:fldChar w:fldCharType="begin"/>
      </w:r>
      <w:r>
        <w:instrText xml:space="preserve"> TOC  \* MERGEFORMAT </w:instrText>
      </w:r>
      <w:r>
        <w:fldChar w:fldCharType="separate"/>
      </w:r>
      <w:r w:rsidR="0086263A">
        <w:rPr>
          <w:noProof/>
        </w:rPr>
        <w:t>Contents</w:t>
      </w:r>
      <w:r w:rsidR="0086263A">
        <w:rPr>
          <w:noProof/>
        </w:rPr>
        <w:tab/>
      </w:r>
      <w:r w:rsidR="0086263A">
        <w:rPr>
          <w:noProof/>
        </w:rPr>
        <w:fldChar w:fldCharType="begin"/>
      </w:r>
      <w:r w:rsidR="0086263A">
        <w:rPr>
          <w:noProof/>
        </w:rPr>
        <w:instrText xml:space="preserve"> PAGEREF _Toc205461418 \h </w:instrText>
      </w:r>
      <w:r w:rsidR="0086263A">
        <w:rPr>
          <w:noProof/>
        </w:rPr>
      </w:r>
      <w:r w:rsidR="0086263A">
        <w:rPr>
          <w:noProof/>
        </w:rPr>
        <w:fldChar w:fldCharType="separate"/>
      </w:r>
      <w:r w:rsidR="004B0870">
        <w:rPr>
          <w:noProof/>
        </w:rPr>
        <w:t>1</w:t>
      </w:r>
      <w:r w:rsidR="0086263A">
        <w:rPr>
          <w:noProof/>
        </w:rPr>
        <w:fldChar w:fldCharType="end"/>
      </w:r>
    </w:p>
    <w:p w14:paraId="3ADB65BB" w14:textId="57BDF0F5" w:rsidR="0086263A" w:rsidRDefault="0086263A">
      <w:pPr>
        <w:pStyle w:val="TOC1"/>
        <w:rPr>
          <w:rFonts w:eastAsiaTheme="minorEastAsia" w:cstheme="minorBidi"/>
          <w:b w:val="0"/>
          <w:noProof/>
          <w:color w:val="auto"/>
          <w:kern w:val="2"/>
          <w:sz w:val="24"/>
          <w:lang w:eastAsia="en-AU"/>
          <w14:ligatures w14:val="standardContextual"/>
        </w:rPr>
      </w:pPr>
      <w:r w:rsidRPr="008A7330">
        <w:rPr>
          <w:iCs/>
          <w:noProof/>
        </w:rPr>
        <w:t>Definitions and abbreviations</w:t>
      </w:r>
      <w:r>
        <w:rPr>
          <w:noProof/>
        </w:rPr>
        <w:tab/>
      </w:r>
      <w:r>
        <w:rPr>
          <w:noProof/>
        </w:rPr>
        <w:fldChar w:fldCharType="begin"/>
      </w:r>
      <w:r>
        <w:rPr>
          <w:noProof/>
        </w:rPr>
        <w:instrText xml:space="preserve"> PAGEREF _Toc205461419 \h </w:instrText>
      </w:r>
      <w:r>
        <w:rPr>
          <w:noProof/>
        </w:rPr>
      </w:r>
      <w:r>
        <w:rPr>
          <w:noProof/>
        </w:rPr>
        <w:fldChar w:fldCharType="separate"/>
      </w:r>
      <w:r w:rsidR="004B0870">
        <w:rPr>
          <w:noProof/>
        </w:rPr>
        <w:t>5</w:t>
      </w:r>
      <w:r>
        <w:rPr>
          <w:noProof/>
        </w:rPr>
        <w:fldChar w:fldCharType="end"/>
      </w:r>
    </w:p>
    <w:p w14:paraId="0DDA83D0" w14:textId="0683C8C6" w:rsidR="0086263A" w:rsidRDefault="0086263A">
      <w:pPr>
        <w:pStyle w:val="TOC1"/>
        <w:rPr>
          <w:rFonts w:eastAsiaTheme="minorEastAsia" w:cstheme="minorBidi"/>
          <w:b w:val="0"/>
          <w:noProof/>
          <w:color w:val="auto"/>
          <w:kern w:val="2"/>
          <w:sz w:val="24"/>
          <w:lang w:eastAsia="en-AU"/>
          <w14:ligatures w14:val="standardContextual"/>
        </w:rPr>
      </w:pPr>
      <w:r w:rsidRPr="008A7330">
        <w:rPr>
          <w:noProof/>
          <w:lang w:val="en-GB"/>
        </w:rPr>
        <w:t>Disclaimer</w:t>
      </w:r>
      <w:r>
        <w:rPr>
          <w:noProof/>
        </w:rPr>
        <w:tab/>
      </w:r>
      <w:r>
        <w:rPr>
          <w:noProof/>
        </w:rPr>
        <w:fldChar w:fldCharType="begin"/>
      </w:r>
      <w:r>
        <w:rPr>
          <w:noProof/>
        </w:rPr>
        <w:instrText xml:space="preserve"> PAGEREF _Toc205461420 \h </w:instrText>
      </w:r>
      <w:r>
        <w:rPr>
          <w:noProof/>
        </w:rPr>
      </w:r>
      <w:r>
        <w:rPr>
          <w:noProof/>
        </w:rPr>
        <w:fldChar w:fldCharType="separate"/>
      </w:r>
      <w:r w:rsidR="004B0870">
        <w:rPr>
          <w:noProof/>
        </w:rPr>
        <w:t>7</w:t>
      </w:r>
      <w:r>
        <w:rPr>
          <w:noProof/>
        </w:rPr>
        <w:fldChar w:fldCharType="end"/>
      </w:r>
    </w:p>
    <w:p w14:paraId="12FF83FA" w14:textId="62F49B60" w:rsidR="0086263A" w:rsidRDefault="0086263A">
      <w:pPr>
        <w:pStyle w:val="TOC1"/>
        <w:rPr>
          <w:rFonts w:eastAsiaTheme="minorEastAsia" w:cstheme="minorBidi"/>
          <w:b w:val="0"/>
          <w:noProof/>
          <w:color w:val="auto"/>
          <w:kern w:val="2"/>
          <w:sz w:val="24"/>
          <w:lang w:eastAsia="en-AU"/>
          <w14:ligatures w14:val="standardContextual"/>
        </w:rPr>
      </w:pPr>
      <w:r w:rsidRPr="008A7330">
        <w:rPr>
          <w:noProof/>
          <w:lang w:val="en-GB"/>
        </w:rPr>
        <w:t>2024–25 updates</w:t>
      </w:r>
      <w:r>
        <w:rPr>
          <w:noProof/>
        </w:rPr>
        <w:tab/>
      </w:r>
      <w:r>
        <w:rPr>
          <w:noProof/>
        </w:rPr>
        <w:fldChar w:fldCharType="begin"/>
      </w:r>
      <w:r>
        <w:rPr>
          <w:noProof/>
        </w:rPr>
        <w:instrText xml:space="preserve"> PAGEREF _Toc205461421 \h </w:instrText>
      </w:r>
      <w:r>
        <w:rPr>
          <w:noProof/>
        </w:rPr>
      </w:r>
      <w:r>
        <w:rPr>
          <w:noProof/>
        </w:rPr>
        <w:fldChar w:fldCharType="separate"/>
      </w:r>
      <w:r w:rsidR="004B0870">
        <w:rPr>
          <w:noProof/>
        </w:rPr>
        <w:t>8</w:t>
      </w:r>
      <w:r>
        <w:rPr>
          <w:noProof/>
        </w:rPr>
        <w:fldChar w:fldCharType="end"/>
      </w:r>
    </w:p>
    <w:p w14:paraId="6F76D73F" w14:textId="6EBF02A3" w:rsidR="0086263A" w:rsidRDefault="0086263A">
      <w:pPr>
        <w:pStyle w:val="TOC1"/>
        <w:rPr>
          <w:rFonts w:eastAsiaTheme="minorEastAsia" w:cstheme="minorBidi"/>
          <w:b w:val="0"/>
          <w:noProof/>
          <w:color w:val="auto"/>
          <w:kern w:val="2"/>
          <w:sz w:val="24"/>
          <w:lang w:eastAsia="en-AU"/>
          <w14:ligatures w14:val="standardContextual"/>
        </w:rPr>
      </w:pPr>
      <w:r w:rsidRPr="008A7330">
        <w:rPr>
          <w:noProof/>
          <w:lang w:val="en-GB"/>
        </w:rPr>
        <w:t>1.</w:t>
      </w:r>
      <w:r>
        <w:rPr>
          <w:rFonts w:eastAsiaTheme="minorEastAsia" w:cstheme="minorBidi"/>
          <w:b w:val="0"/>
          <w:noProof/>
          <w:color w:val="auto"/>
          <w:kern w:val="2"/>
          <w:sz w:val="24"/>
          <w:lang w:eastAsia="en-AU"/>
          <w14:ligatures w14:val="standardContextual"/>
        </w:rPr>
        <w:tab/>
      </w:r>
      <w:r w:rsidRPr="008A7330">
        <w:rPr>
          <w:noProof/>
          <w:lang w:val="en-GB"/>
        </w:rPr>
        <w:t>Purpose of this guideline</w:t>
      </w:r>
      <w:r>
        <w:rPr>
          <w:noProof/>
        </w:rPr>
        <w:tab/>
      </w:r>
      <w:r>
        <w:rPr>
          <w:noProof/>
        </w:rPr>
        <w:fldChar w:fldCharType="begin"/>
      </w:r>
      <w:r>
        <w:rPr>
          <w:noProof/>
        </w:rPr>
        <w:instrText xml:space="preserve"> PAGEREF _Toc205461422 \h </w:instrText>
      </w:r>
      <w:r>
        <w:rPr>
          <w:noProof/>
        </w:rPr>
      </w:r>
      <w:r>
        <w:rPr>
          <w:noProof/>
        </w:rPr>
        <w:fldChar w:fldCharType="separate"/>
      </w:r>
      <w:r w:rsidR="004B0870">
        <w:rPr>
          <w:noProof/>
        </w:rPr>
        <w:t>9</w:t>
      </w:r>
      <w:r>
        <w:rPr>
          <w:noProof/>
        </w:rPr>
        <w:fldChar w:fldCharType="end"/>
      </w:r>
    </w:p>
    <w:p w14:paraId="3D2C8C64" w14:textId="7C2527E3"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1.1.</w:t>
      </w:r>
      <w:r>
        <w:rPr>
          <w:rFonts w:eastAsiaTheme="minorEastAsia" w:cstheme="minorBidi"/>
          <w:noProof/>
          <w:color w:val="auto"/>
          <w:kern w:val="2"/>
          <w:sz w:val="24"/>
          <w:lang w:eastAsia="en-AU"/>
          <w14:ligatures w14:val="standardContextual"/>
        </w:rPr>
        <w:tab/>
      </w:r>
      <w:r>
        <w:rPr>
          <w:noProof/>
        </w:rPr>
        <w:t>Focus of this guideline</w:t>
      </w:r>
      <w:r>
        <w:rPr>
          <w:noProof/>
        </w:rPr>
        <w:tab/>
      </w:r>
      <w:r>
        <w:rPr>
          <w:noProof/>
        </w:rPr>
        <w:fldChar w:fldCharType="begin"/>
      </w:r>
      <w:r>
        <w:rPr>
          <w:noProof/>
        </w:rPr>
        <w:instrText xml:space="preserve"> PAGEREF _Toc205461423 \h </w:instrText>
      </w:r>
      <w:r>
        <w:rPr>
          <w:noProof/>
        </w:rPr>
      </w:r>
      <w:r>
        <w:rPr>
          <w:noProof/>
        </w:rPr>
        <w:fldChar w:fldCharType="separate"/>
      </w:r>
      <w:r w:rsidR="004B0870">
        <w:rPr>
          <w:noProof/>
        </w:rPr>
        <w:t>9</w:t>
      </w:r>
      <w:r>
        <w:rPr>
          <w:noProof/>
        </w:rPr>
        <w:fldChar w:fldCharType="end"/>
      </w:r>
    </w:p>
    <w:p w14:paraId="71129F95" w14:textId="76CF192C" w:rsidR="0086263A" w:rsidRDefault="0086263A">
      <w:pPr>
        <w:pStyle w:val="TOC1"/>
        <w:rPr>
          <w:rFonts w:eastAsiaTheme="minorEastAsia" w:cstheme="minorBidi"/>
          <w:b w:val="0"/>
          <w:noProof/>
          <w:color w:val="auto"/>
          <w:kern w:val="2"/>
          <w:sz w:val="24"/>
          <w:lang w:eastAsia="en-AU"/>
          <w14:ligatures w14:val="standardContextual"/>
        </w:rPr>
      </w:pPr>
      <w:r w:rsidRPr="008A7330">
        <w:rPr>
          <w:noProof/>
          <w:lang w:val="en-GB"/>
        </w:rPr>
        <w:t>2.</w:t>
      </w:r>
      <w:r>
        <w:rPr>
          <w:rFonts w:eastAsiaTheme="minorEastAsia" w:cstheme="minorBidi"/>
          <w:b w:val="0"/>
          <w:noProof/>
          <w:color w:val="auto"/>
          <w:kern w:val="2"/>
          <w:sz w:val="24"/>
          <w:lang w:eastAsia="en-AU"/>
          <w14:ligatures w14:val="standardContextual"/>
        </w:rPr>
        <w:tab/>
      </w:r>
      <w:r w:rsidRPr="008A7330">
        <w:rPr>
          <w:noProof/>
          <w:lang w:val="en-GB"/>
        </w:rPr>
        <w:t>Good reporting practices</w:t>
      </w:r>
      <w:r>
        <w:rPr>
          <w:noProof/>
        </w:rPr>
        <w:tab/>
      </w:r>
      <w:r>
        <w:rPr>
          <w:noProof/>
        </w:rPr>
        <w:fldChar w:fldCharType="begin"/>
      </w:r>
      <w:r>
        <w:rPr>
          <w:noProof/>
        </w:rPr>
        <w:instrText xml:space="preserve"> PAGEREF _Toc205461424 \h </w:instrText>
      </w:r>
      <w:r>
        <w:rPr>
          <w:noProof/>
        </w:rPr>
      </w:r>
      <w:r>
        <w:rPr>
          <w:noProof/>
        </w:rPr>
        <w:fldChar w:fldCharType="separate"/>
      </w:r>
      <w:r w:rsidR="004B0870">
        <w:rPr>
          <w:noProof/>
        </w:rPr>
        <w:t>9</w:t>
      </w:r>
      <w:r>
        <w:rPr>
          <w:noProof/>
        </w:rPr>
        <w:fldChar w:fldCharType="end"/>
      </w:r>
    </w:p>
    <w:p w14:paraId="72810D5D" w14:textId="2C621853"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2.1.</w:t>
      </w:r>
      <w:r>
        <w:rPr>
          <w:rFonts w:eastAsiaTheme="minorEastAsia" w:cstheme="minorBidi"/>
          <w:noProof/>
          <w:color w:val="auto"/>
          <w:kern w:val="2"/>
          <w:sz w:val="24"/>
          <w:lang w:eastAsia="en-AU"/>
          <w14:ligatures w14:val="standardContextual"/>
        </w:rPr>
        <w:tab/>
      </w:r>
      <w:r>
        <w:rPr>
          <w:noProof/>
        </w:rPr>
        <w:t>Applying the principles for complying under the NGER Act</w:t>
      </w:r>
      <w:r>
        <w:rPr>
          <w:noProof/>
        </w:rPr>
        <w:tab/>
      </w:r>
      <w:r>
        <w:rPr>
          <w:noProof/>
        </w:rPr>
        <w:fldChar w:fldCharType="begin"/>
      </w:r>
      <w:r>
        <w:rPr>
          <w:noProof/>
        </w:rPr>
        <w:instrText xml:space="preserve"> PAGEREF _Toc205461425 \h </w:instrText>
      </w:r>
      <w:r>
        <w:rPr>
          <w:noProof/>
        </w:rPr>
      </w:r>
      <w:r>
        <w:rPr>
          <w:noProof/>
        </w:rPr>
        <w:fldChar w:fldCharType="separate"/>
      </w:r>
      <w:r w:rsidR="004B0870">
        <w:rPr>
          <w:noProof/>
        </w:rPr>
        <w:t>11</w:t>
      </w:r>
      <w:r>
        <w:rPr>
          <w:noProof/>
        </w:rPr>
        <w:fldChar w:fldCharType="end"/>
      </w:r>
    </w:p>
    <w:p w14:paraId="5BEA9AE6" w14:textId="5F040C52"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2.2.</w:t>
      </w:r>
      <w:r>
        <w:rPr>
          <w:rFonts w:eastAsiaTheme="minorEastAsia" w:cstheme="minorBidi"/>
          <w:noProof/>
          <w:color w:val="auto"/>
          <w:kern w:val="2"/>
          <w:sz w:val="24"/>
          <w:lang w:eastAsia="en-AU"/>
          <w14:ligatures w14:val="standardContextual"/>
        </w:rPr>
        <w:tab/>
      </w:r>
      <w:r>
        <w:rPr>
          <w:noProof/>
        </w:rPr>
        <w:t>Working with financial and process control data</w:t>
      </w:r>
      <w:r>
        <w:rPr>
          <w:noProof/>
        </w:rPr>
        <w:tab/>
      </w:r>
      <w:r>
        <w:rPr>
          <w:noProof/>
        </w:rPr>
        <w:fldChar w:fldCharType="begin"/>
      </w:r>
      <w:r>
        <w:rPr>
          <w:noProof/>
        </w:rPr>
        <w:instrText xml:space="preserve"> PAGEREF _Toc205461426 \h </w:instrText>
      </w:r>
      <w:r>
        <w:rPr>
          <w:noProof/>
        </w:rPr>
      </w:r>
      <w:r>
        <w:rPr>
          <w:noProof/>
        </w:rPr>
        <w:fldChar w:fldCharType="separate"/>
      </w:r>
      <w:r w:rsidR="004B0870">
        <w:rPr>
          <w:noProof/>
        </w:rPr>
        <w:t>12</w:t>
      </w:r>
      <w:r>
        <w:rPr>
          <w:noProof/>
        </w:rPr>
        <w:fldChar w:fldCharType="end"/>
      </w:r>
    </w:p>
    <w:p w14:paraId="52455BF8" w14:textId="3B707EEB" w:rsidR="0086263A" w:rsidRDefault="0086263A">
      <w:pPr>
        <w:pStyle w:val="TOC1"/>
        <w:rPr>
          <w:rFonts w:eastAsiaTheme="minorEastAsia" w:cstheme="minorBidi"/>
          <w:b w:val="0"/>
          <w:noProof/>
          <w:color w:val="auto"/>
          <w:kern w:val="2"/>
          <w:sz w:val="24"/>
          <w:lang w:eastAsia="en-AU"/>
          <w14:ligatures w14:val="standardContextual"/>
        </w:rPr>
      </w:pPr>
      <w:r w:rsidRPr="008A7330">
        <w:rPr>
          <w:noProof/>
          <w:lang w:val="en-GB"/>
        </w:rPr>
        <w:t>3.</w:t>
      </w:r>
      <w:r>
        <w:rPr>
          <w:rFonts w:eastAsiaTheme="minorEastAsia" w:cstheme="minorBidi"/>
          <w:b w:val="0"/>
          <w:noProof/>
          <w:color w:val="auto"/>
          <w:kern w:val="2"/>
          <w:sz w:val="24"/>
          <w:lang w:eastAsia="en-AU"/>
          <w14:ligatures w14:val="standardContextual"/>
        </w:rPr>
        <w:tab/>
      </w:r>
      <w:r w:rsidRPr="008A7330">
        <w:rPr>
          <w:noProof/>
          <w:lang w:val="en-GB"/>
        </w:rPr>
        <w:t>General principles on estimating scope 1 emissions</w:t>
      </w:r>
      <w:r>
        <w:rPr>
          <w:noProof/>
        </w:rPr>
        <w:tab/>
      </w:r>
      <w:r>
        <w:rPr>
          <w:noProof/>
        </w:rPr>
        <w:fldChar w:fldCharType="begin"/>
      </w:r>
      <w:r>
        <w:rPr>
          <w:noProof/>
        </w:rPr>
        <w:instrText xml:space="preserve"> PAGEREF _Toc205461427 \h </w:instrText>
      </w:r>
      <w:r>
        <w:rPr>
          <w:noProof/>
        </w:rPr>
      </w:r>
      <w:r>
        <w:rPr>
          <w:noProof/>
        </w:rPr>
        <w:fldChar w:fldCharType="separate"/>
      </w:r>
      <w:r w:rsidR="004B0870">
        <w:rPr>
          <w:noProof/>
        </w:rPr>
        <w:t>12</w:t>
      </w:r>
      <w:r>
        <w:rPr>
          <w:noProof/>
        </w:rPr>
        <w:fldChar w:fldCharType="end"/>
      </w:r>
    </w:p>
    <w:p w14:paraId="49E620F2" w14:textId="559B649F"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3.1.</w:t>
      </w:r>
      <w:r>
        <w:rPr>
          <w:rFonts w:eastAsiaTheme="minorEastAsia" w:cstheme="minorBidi"/>
          <w:noProof/>
          <w:color w:val="auto"/>
          <w:kern w:val="2"/>
          <w:sz w:val="24"/>
          <w:lang w:eastAsia="en-AU"/>
          <w14:ligatures w14:val="standardContextual"/>
        </w:rPr>
        <w:tab/>
      </w:r>
      <w:r>
        <w:rPr>
          <w:noProof/>
        </w:rPr>
        <w:t>Common emissions sources for electricity production</w:t>
      </w:r>
      <w:r>
        <w:rPr>
          <w:noProof/>
        </w:rPr>
        <w:tab/>
      </w:r>
      <w:r>
        <w:rPr>
          <w:noProof/>
        </w:rPr>
        <w:fldChar w:fldCharType="begin"/>
      </w:r>
      <w:r>
        <w:rPr>
          <w:noProof/>
        </w:rPr>
        <w:instrText xml:space="preserve"> PAGEREF _Toc205461428 \h </w:instrText>
      </w:r>
      <w:r>
        <w:rPr>
          <w:noProof/>
        </w:rPr>
      </w:r>
      <w:r>
        <w:rPr>
          <w:noProof/>
        </w:rPr>
        <w:fldChar w:fldCharType="separate"/>
      </w:r>
      <w:r w:rsidR="004B0870">
        <w:rPr>
          <w:noProof/>
        </w:rPr>
        <w:t>12</w:t>
      </w:r>
      <w:r>
        <w:rPr>
          <w:noProof/>
        </w:rPr>
        <w:fldChar w:fldCharType="end"/>
      </w:r>
    </w:p>
    <w:p w14:paraId="1C8AB451" w14:textId="74144CF6" w:rsidR="0086263A" w:rsidRDefault="0086263A">
      <w:pPr>
        <w:pStyle w:val="TOC4"/>
        <w:rPr>
          <w:rFonts w:eastAsiaTheme="minorEastAsia" w:cstheme="minorBidi"/>
          <w:noProof/>
          <w:color w:val="auto"/>
          <w:kern w:val="2"/>
          <w:sz w:val="24"/>
          <w:lang w:eastAsia="en-AU"/>
          <w14:ligatures w14:val="standardContextual"/>
        </w:rPr>
      </w:pPr>
      <w:r>
        <w:rPr>
          <w:noProof/>
        </w:rPr>
        <w:t>Identifying reportable scope 1 emissions sources</w:t>
      </w:r>
      <w:r>
        <w:rPr>
          <w:noProof/>
        </w:rPr>
        <w:tab/>
      </w:r>
      <w:r>
        <w:rPr>
          <w:noProof/>
        </w:rPr>
        <w:fldChar w:fldCharType="begin"/>
      </w:r>
      <w:r>
        <w:rPr>
          <w:noProof/>
        </w:rPr>
        <w:instrText xml:space="preserve"> PAGEREF _Toc205461429 \h </w:instrText>
      </w:r>
      <w:r>
        <w:rPr>
          <w:noProof/>
        </w:rPr>
      </w:r>
      <w:r>
        <w:rPr>
          <w:noProof/>
        </w:rPr>
        <w:fldChar w:fldCharType="separate"/>
      </w:r>
      <w:r w:rsidR="004B0870">
        <w:rPr>
          <w:noProof/>
        </w:rPr>
        <w:t>14</w:t>
      </w:r>
      <w:r>
        <w:rPr>
          <w:noProof/>
        </w:rPr>
        <w:fldChar w:fldCharType="end"/>
      </w:r>
    </w:p>
    <w:p w14:paraId="10343715" w14:textId="34B28376"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3.2.</w:t>
      </w:r>
      <w:r>
        <w:rPr>
          <w:rFonts w:eastAsiaTheme="minorEastAsia" w:cstheme="minorBidi"/>
          <w:noProof/>
          <w:color w:val="auto"/>
          <w:kern w:val="2"/>
          <w:sz w:val="24"/>
          <w:lang w:eastAsia="en-AU"/>
          <w14:ligatures w14:val="standardContextual"/>
        </w:rPr>
        <w:tab/>
      </w:r>
      <w:r>
        <w:rPr>
          <w:noProof/>
        </w:rPr>
        <w:t>Methods for estimating emissions</w:t>
      </w:r>
      <w:r>
        <w:rPr>
          <w:noProof/>
        </w:rPr>
        <w:tab/>
      </w:r>
      <w:r>
        <w:rPr>
          <w:noProof/>
        </w:rPr>
        <w:fldChar w:fldCharType="begin"/>
      </w:r>
      <w:r>
        <w:rPr>
          <w:noProof/>
        </w:rPr>
        <w:instrText xml:space="preserve"> PAGEREF _Toc205461430 \h </w:instrText>
      </w:r>
      <w:r>
        <w:rPr>
          <w:noProof/>
        </w:rPr>
      </w:r>
      <w:r>
        <w:rPr>
          <w:noProof/>
        </w:rPr>
        <w:fldChar w:fldCharType="separate"/>
      </w:r>
      <w:r w:rsidR="004B0870">
        <w:rPr>
          <w:noProof/>
        </w:rPr>
        <w:t>15</w:t>
      </w:r>
      <w:r>
        <w:rPr>
          <w:noProof/>
        </w:rPr>
        <w:fldChar w:fldCharType="end"/>
      </w:r>
    </w:p>
    <w:p w14:paraId="3E31E830" w14:textId="663809F3"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3.3.</w:t>
      </w:r>
      <w:r>
        <w:rPr>
          <w:rFonts w:eastAsiaTheme="minorEastAsia" w:cstheme="minorBidi"/>
          <w:noProof/>
          <w:color w:val="auto"/>
          <w:kern w:val="2"/>
          <w:sz w:val="24"/>
          <w:lang w:eastAsia="en-AU"/>
          <w14:ligatures w14:val="standardContextual"/>
        </w:rPr>
        <w:tab/>
      </w:r>
      <w:r>
        <w:rPr>
          <w:noProof/>
        </w:rPr>
        <w:t>Thresholds for estimating and reporting emissions</w:t>
      </w:r>
      <w:r>
        <w:rPr>
          <w:noProof/>
        </w:rPr>
        <w:tab/>
      </w:r>
      <w:r>
        <w:rPr>
          <w:noProof/>
        </w:rPr>
        <w:fldChar w:fldCharType="begin"/>
      </w:r>
      <w:r>
        <w:rPr>
          <w:noProof/>
        </w:rPr>
        <w:instrText xml:space="preserve"> PAGEREF _Toc205461431 \h </w:instrText>
      </w:r>
      <w:r>
        <w:rPr>
          <w:noProof/>
        </w:rPr>
      </w:r>
      <w:r>
        <w:rPr>
          <w:noProof/>
        </w:rPr>
        <w:fldChar w:fldCharType="separate"/>
      </w:r>
      <w:r w:rsidR="004B0870">
        <w:rPr>
          <w:noProof/>
        </w:rPr>
        <w:t>16</w:t>
      </w:r>
      <w:r>
        <w:rPr>
          <w:noProof/>
        </w:rPr>
        <w:fldChar w:fldCharType="end"/>
      </w:r>
    </w:p>
    <w:p w14:paraId="1BA53ED3" w14:textId="2559A290" w:rsidR="0086263A" w:rsidRDefault="0086263A">
      <w:pPr>
        <w:pStyle w:val="TOC4"/>
        <w:rPr>
          <w:rFonts w:eastAsiaTheme="minorEastAsia" w:cstheme="minorBidi"/>
          <w:noProof/>
          <w:color w:val="auto"/>
          <w:kern w:val="2"/>
          <w:sz w:val="24"/>
          <w:lang w:eastAsia="en-AU"/>
          <w14:ligatures w14:val="standardContextual"/>
        </w:rPr>
      </w:pPr>
      <w:r>
        <w:rPr>
          <w:noProof/>
        </w:rPr>
        <w:t>Separate instance of a source</w:t>
      </w:r>
      <w:r>
        <w:rPr>
          <w:noProof/>
        </w:rPr>
        <w:tab/>
      </w:r>
      <w:r>
        <w:rPr>
          <w:noProof/>
        </w:rPr>
        <w:fldChar w:fldCharType="begin"/>
      </w:r>
      <w:r>
        <w:rPr>
          <w:noProof/>
        </w:rPr>
        <w:instrText xml:space="preserve"> PAGEREF _Toc205461432 \h </w:instrText>
      </w:r>
      <w:r>
        <w:rPr>
          <w:noProof/>
        </w:rPr>
      </w:r>
      <w:r>
        <w:rPr>
          <w:noProof/>
        </w:rPr>
        <w:fldChar w:fldCharType="separate"/>
      </w:r>
      <w:r w:rsidR="004B0870">
        <w:rPr>
          <w:noProof/>
        </w:rPr>
        <w:t>16</w:t>
      </w:r>
      <w:r>
        <w:rPr>
          <w:noProof/>
        </w:rPr>
        <w:fldChar w:fldCharType="end"/>
      </w:r>
    </w:p>
    <w:p w14:paraId="2D67DFC6" w14:textId="6C4566FE" w:rsidR="0086263A" w:rsidRDefault="0086263A">
      <w:pPr>
        <w:pStyle w:val="TOC4"/>
        <w:rPr>
          <w:rFonts w:eastAsiaTheme="minorEastAsia" w:cstheme="minorBidi"/>
          <w:noProof/>
          <w:color w:val="auto"/>
          <w:kern w:val="2"/>
          <w:sz w:val="24"/>
          <w:lang w:eastAsia="en-AU"/>
          <w14:ligatures w14:val="standardContextual"/>
        </w:rPr>
      </w:pPr>
      <w:r>
        <w:rPr>
          <w:noProof/>
        </w:rPr>
        <w:t>Thresholds for estimating incidental emissions</w:t>
      </w:r>
      <w:r>
        <w:rPr>
          <w:noProof/>
        </w:rPr>
        <w:tab/>
      </w:r>
      <w:r>
        <w:rPr>
          <w:noProof/>
        </w:rPr>
        <w:fldChar w:fldCharType="begin"/>
      </w:r>
      <w:r>
        <w:rPr>
          <w:noProof/>
        </w:rPr>
        <w:instrText xml:space="preserve"> PAGEREF _Toc205461433 \h </w:instrText>
      </w:r>
      <w:r>
        <w:rPr>
          <w:noProof/>
        </w:rPr>
      </w:r>
      <w:r>
        <w:rPr>
          <w:noProof/>
        </w:rPr>
        <w:fldChar w:fldCharType="separate"/>
      </w:r>
      <w:r w:rsidR="004B0870">
        <w:rPr>
          <w:noProof/>
        </w:rPr>
        <w:t>16</w:t>
      </w:r>
      <w:r>
        <w:rPr>
          <w:noProof/>
        </w:rPr>
        <w:fldChar w:fldCharType="end"/>
      </w:r>
    </w:p>
    <w:p w14:paraId="05006E79" w14:textId="64E638F8"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3.4.</w:t>
      </w:r>
      <w:r>
        <w:rPr>
          <w:rFonts w:eastAsiaTheme="minorEastAsia" w:cstheme="minorBidi"/>
          <w:noProof/>
          <w:color w:val="auto"/>
          <w:kern w:val="2"/>
          <w:sz w:val="24"/>
          <w:lang w:eastAsia="en-AU"/>
          <w14:ligatures w14:val="standardContextual"/>
        </w:rPr>
        <w:tab/>
      </w:r>
      <w:r>
        <w:rPr>
          <w:noProof/>
        </w:rPr>
        <w:t>Uncertainty</w:t>
      </w:r>
      <w:r>
        <w:rPr>
          <w:noProof/>
        </w:rPr>
        <w:tab/>
      </w:r>
      <w:r>
        <w:rPr>
          <w:noProof/>
        </w:rPr>
        <w:fldChar w:fldCharType="begin"/>
      </w:r>
      <w:r>
        <w:rPr>
          <w:noProof/>
        </w:rPr>
        <w:instrText xml:space="preserve"> PAGEREF _Toc205461434 \h </w:instrText>
      </w:r>
      <w:r>
        <w:rPr>
          <w:noProof/>
        </w:rPr>
      </w:r>
      <w:r>
        <w:rPr>
          <w:noProof/>
        </w:rPr>
        <w:fldChar w:fldCharType="separate"/>
      </w:r>
      <w:r w:rsidR="004B0870">
        <w:rPr>
          <w:noProof/>
        </w:rPr>
        <w:t>17</w:t>
      </w:r>
      <w:r>
        <w:rPr>
          <w:noProof/>
        </w:rPr>
        <w:fldChar w:fldCharType="end"/>
      </w:r>
    </w:p>
    <w:p w14:paraId="7C9ACCA1" w14:textId="6368B4A8" w:rsidR="0086263A" w:rsidRDefault="0086263A">
      <w:pPr>
        <w:pStyle w:val="TOC1"/>
        <w:rPr>
          <w:rFonts w:eastAsiaTheme="minorEastAsia" w:cstheme="minorBidi"/>
          <w:b w:val="0"/>
          <w:noProof/>
          <w:color w:val="auto"/>
          <w:kern w:val="2"/>
          <w:sz w:val="24"/>
          <w:lang w:eastAsia="en-AU"/>
          <w14:ligatures w14:val="standardContextual"/>
        </w:rPr>
      </w:pPr>
      <w:r w:rsidRPr="008A7330">
        <w:rPr>
          <w:noProof/>
          <w:lang w:val="en-GB"/>
        </w:rPr>
        <w:t>4.</w:t>
      </w:r>
      <w:r>
        <w:rPr>
          <w:rFonts w:eastAsiaTheme="minorEastAsia" w:cstheme="minorBidi"/>
          <w:b w:val="0"/>
          <w:noProof/>
          <w:color w:val="auto"/>
          <w:kern w:val="2"/>
          <w:sz w:val="24"/>
          <w:lang w:eastAsia="en-AU"/>
          <w14:ligatures w14:val="standardContextual"/>
        </w:rPr>
        <w:tab/>
      </w:r>
      <w:r w:rsidRPr="008A7330">
        <w:rPr>
          <w:noProof/>
          <w:lang w:val="en-GB"/>
        </w:rPr>
        <w:t>Estimating emissions from fuel combustion</w:t>
      </w:r>
      <w:r>
        <w:rPr>
          <w:noProof/>
        </w:rPr>
        <w:tab/>
      </w:r>
      <w:r>
        <w:rPr>
          <w:noProof/>
        </w:rPr>
        <w:fldChar w:fldCharType="begin"/>
      </w:r>
      <w:r>
        <w:rPr>
          <w:noProof/>
        </w:rPr>
        <w:instrText xml:space="preserve"> PAGEREF _Toc205461435 \h </w:instrText>
      </w:r>
      <w:r>
        <w:rPr>
          <w:noProof/>
        </w:rPr>
      </w:r>
      <w:r>
        <w:rPr>
          <w:noProof/>
        </w:rPr>
        <w:fldChar w:fldCharType="separate"/>
      </w:r>
      <w:r w:rsidR="004B0870">
        <w:rPr>
          <w:noProof/>
        </w:rPr>
        <w:t>18</w:t>
      </w:r>
      <w:r>
        <w:rPr>
          <w:noProof/>
        </w:rPr>
        <w:fldChar w:fldCharType="end"/>
      </w:r>
    </w:p>
    <w:p w14:paraId="59A930ED" w14:textId="432F7C5B" w:rsidR="0086263A" w:rsidRDefault="0086263A">
      <w:pPr>
        <w:pStyle w:val="TOC5"/>
        <w:tabs>
          <w:tab w:val="right" w:leader="dot" w:pos="9730"/>
        </w:tabs>
        <w:rPr>
          <w:rFonts w:eastAsiaTheme="minorEastAsia" w:cstheme="minorBidi"/>
          <w:noProof/>
          <w:color w:val="auto"/>
          <w:kern w:val="2"/>
          <w:sz w:val="24"/>
          <w:lang w:eastAsia="en-AU"/>
          <w14:ligatures w14:val="standardContextual"/>
        </w:rPr>
      </w:pPr>
      <w:r w:rsidRPr="008A7330">
        <w:rPr>
          <w:b/>
          <w:bCs/>
          <w:noProof/>
        </w:rPr>
        <w:t>Example – difference between estimating emissions using emission factors and energy content of fuel combusted, and direct measurement of emissions</w:t>
      </w:r>
      <w:r>
        <w:rPr>
          <w:noProof/>
        </w:rPr>
        <w:tab/>
      </w:r>
      <w:r>
        <w:rPr>
          <w:noProof/>
        </w:rPr>
        <w:fldChar w:fldCharType="begin"/>
      </w:r>
      <w:r>
        <w:rPr>
          <w:noProof/>
        </w:rPr>
        <w:instrText xml:space="preserve"> PAGEREF _Toc205461436 \h </w:instrText>
      </w:r>
      <w:r>
        <w:rPr>
          <w:noProof/>
        </w:rPr>
      </w:r>
      <w:r>
        <w:rPr>
          <w:noProof/>
        </w:rPr>
        <w:fldChar w:fldCharType="separate"/>
      </w:r>
      <w:r w:rsidR="004B0870">
        <w:rPr>
          <w:noProof/>
        </w:rPr>
        <w:t>18</w:t>
      </w:r>
      <w:r>
        <w:rPr>
          <w:noProof/>
        </w:rPr>
        <w:fldChar w:fldCharType="end"/>
      </w:r>
    </w:p>
    <w:p w14:paraId="4AC6D86D" w14:textId="355B2D9B"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4.1.</w:t>
      </w:r>
      <w:r>
        <w:rPr>
          <w:rFonts w:eastAsiaTheme="minorEastAsia" w:cstheme="minorBidi"/>
          <w:noProof/>
          <w:color w:val="auto"/>
          <w:kern w:val="2"/>
          <w:sz w:val="24"/>
          <w:lang w:eastAsia="en-AU"/>
          <w14:ligatures w14:val="standardContextual"/>
        </w:rPr>
        <w:tab/>
      </w:r>
      <w:r>
        <w:rPr>
          <w:noProof/>
        </w:rPr>
        <w:t>Method 1, 2 and 3 – using emission factors and energy content of fuel combusted</w:t>
      </w:r>
      <w:r>
        <w:rPr>
          <w:noProof/>
        </w:rPr>
        <w:tab/>
      </w:r>
      <w:r>
        <w:rPr>
          <w:noProof/>
        </w:rPr>
        <w:fldChar w:fldCharType="begin"/>
      </w:r>
      <w:r>
        <w:rPr>
          <w:noProof/>
        </w:rPr>
        <w:instrText xml:space="preserve"> PAGEREF _Toc205461437 \h </w:instrText>
      </w:r>
      <w:r>
        <w:rPr>
          <w:noProof/>
        </w:rPr>
      </w:r>
      <w:r>
        <w:rPr>
          <w:noProof/>
        </w:rPr>
        <w:fldChar w:fldCharType="separate"/>
      </w:r>
      <w:r w:rsidR="004B0870">
        <w:rPr>
          <w:noProof/>
        </w:rPr>
        <w:t>18</w:t>
      </w:r>
      <w:r>
        <w:rPr>
          <w:noProof/>
        </w:rPr>
        <w:fldChar w:fldCharType="end"/>
      </w:r>
    </w:p>
    <w:p w14:paraId="4969AFC1" w14:textId="19D85DC6" w:rsidR="0086263A" w:rsidRDefault="0086263A">
      <w:pPr>
        <w:pStyle w:val="TOC4"/>
        <w:rPr>
          <w:rFonts w:eastAsiaTheme="minorEastAsia" w:cstheme="minorBidi"/>
          <w:noProof/>
          <w:color w:val="auto"/>
          <w:kern w:val="2"/>
          <w:sz w:val="24"/>
          <w:lang w:eastAsia="en-AU"/>
          <w14:ligatures w14:val="standardContextual"/>
        </w:rPr>
      </w:pPr>
      <w:r>
        <w:rPr>
          <w:noProof/>
        </w:rPr>
        <w:t>Quantity of fuel combusted required for Methods 1, 2 and 3</w:t>
      </w:r>
      <w:r>
        <w:rPr>
          <w:noProof/>
        </w:rPr>
        <w:tab/>
      </w:r>
      <w:r>
        <w:rPr>
          <w:noProof/>
        </w:rPr>
        <w:fldChar w:fldCharType="begin"/>
      </w:r>
      <w:r>
        <w:rPr>
          <w:noProof/>
        </w:rPr>
        <w:instrText xml:space="preserve"> PAGEREF _Toc205461438 \h </w:instrText>
      </w:r>
      <w:r>
        <w:rPr>
          <w:noProof/>
        </w:rPr>
      </w:r>
      <w:r>
        <w:rPr>
          <w:noProof/>
        </w:rPr>
        <w:fldChar w:fldCharType="separate"/>
      </w:r>
      <w:r w:rsidR="004B0870">
        <w:rPr>
          <w:noProof/>
        </w:rPr>
        <w:t>19</w:t>
      </w:r>
      <w:r>
        <w:rPr>
          <w:noProof/>
        </w:rPr>
        <w:fldChar w:fldCharType="end"/>
      </w:r>
    </w:p>
    <w:p w14:paraId="76885700" w14:textId="2E80EB51" w:rsidR="0086263A" w:rsidRDefault="0086263A">
      <w:pPr>
        <w:pStyle w:val="TOC4"/>
        <w:rPr>
          <w:rFonts w:eastAsiaTheme="minorEastAsia" w:cstheme="minorBidi"/>
          <w:noProof/>
          <w:color w:val="auto"/>
          <w:kern w:val="2"/>
          <w:sz w:val="24"/>
          <w:lang w:eastAsia="en-AU"/>
          <w14:ligatures w14:val="standardContextual"/>
        </w:rPr>
      </w:pPr>
      <w:r>
        <w:rPr>
          <w:noProof/>
        </w:rPr>
        <w:t>Method 1 – default emission factors</w:t>
      </w:r>
      <w:r>
        <w:rPr>
          <w:noProof/>
        </w:rPr>
        <w:tab/>
      </w:r>
      <w:r>
        <w:rPr>
          <w:noProof/>
        </w:rPr>
        <w:fldChar w:fldCharType="begin"/>
      </w:r>
      <w:r>
        <w:rPr>
          <w:noProof/>
        </w:rPr>
        <w:instrText xml:space="preserve"> PAGEREF _Toc205461439 \h </w:instrText>
      </w:r>
      <w:r>
        <w:rPr>
          <w:noProof/>
        </w:rPr>
      </w:r>
      <w:r>
        <w:rPr>
          <w:noProof/>
        </w:rPr>
        <w:fldChar w:fldCharType="separate"/>
      </w:r>
      <w:r w:rsidR="004B0870">
        <w:rPr>
          <w:noProof/>
        </w:rPr>
        <w:t>19</w:t>
      </w:r>
      <w:r>
        <w:rPr>
          <w:noProof/>
        </w:rPr>
        <w:fldChar w:fldCharType="end"/>
      </w:r>
    </w:p>
    <w:p w14:paraId="677E9DAC" w14:textId="2BDB4C1F" w:rsidR="0086263A" w:rsidRDefault="0086263A">
      <w:pPr>
        <w:pStyle w:val="TOC4"/>
        <w:rPr>
          <w:rFonts w:eastAsiaTheme="minorEastAsia" w:cstheme="minorBidi"/>
          <w:noProof/>
          <w:color w:val="auto"/>
          <w:kern w:val="2"/>
          <w:sz w:val="24"/>
          <w:lang w:eastAsia="en-AU"/>
          <w14:ligatures w14:val="standardContextual"/>
        </w:rPr>
      </w:pPr>
      <w:r>
        <w:rPr>
          <w:noProof/>
        </w:rPr>
        <w:t>Methods 2 and 3 – fuel sampling and analysis</w:t>
      </w:r>
      <w:r>
        <w:rPr>
          <w:noProof/>
        </w:rPr>
        <w:tab/>
      </w:r>
      <w:r>
        <w:rPr>
          <w:noProof/>
        </w:rPr>
        <w:fldChar w:fldCharType="begin"/>
      </w:r>
      <w:r>
        <w:rPr>
          <w:noProof/>
        </w:rPr>
        <w:instrText xml:space="preserve"> PAGEREF _Toc205461440 \h </w:instrText>
      </w:r>
      <w:r>
        <w:rPr>
          <w:noProof/>
        </w:rPr>
      </w:r>
      <w:r>
        <w:rPr>
          <w:noProof/>
        </w:rPr>
        <w:fldChar w:fldCharType="separate"/>
      </w:r>
      <w:r w:rsidR="004B0870">
        <w:rPr>
          <w:noProof/>
        </w:rPr>
        <w:t>19</w:t>
      </w:r>
      <w:r>
        <w:rPr>
          <w:noProof/>
        </w:rPr>
        <w:fldChar w:fldCharType="end"/>
      </w:r>
    </w:p>
    <w:p w14:paraId="7F73C74B" w14:textId="11D01A4C"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4.2.</w:t>
      </w:r>
      <w:r>
        <w:rPr>
          <w:rFonts w:eastAsiaTheme="minorEastAsia" w:cstheme="minorBidi"/>
          <w:noProof/>
          <w:color w:val="auto"/>
          <w:kern w:val="2"/>
          <w:sz w:val="24"/>
          <w:lang w:eastAsia="en-AU"/>
          <w14:ligatures w14:val="standardContextual"/>
        </w:rPr>
        <w:tab/>
      </w:r>
      <w:r>
        <w:rPr>
          <w:noProof/>
        </w:rPr>
        <w:t>Method 4 – Direct measurement of emissions</w:t>
      </w:r>
      <w:r>
        <w:rPr>
          <w:noProof/>
        </w:rPr>
        <w:tab/>
      </w:r>
      <w:r>
        <w:rPr>
          <w:noProof/>
        </w:rPr>
        <w:fldChar w:fldCharType="begin"/>
      </w:r>
      <w:r>
        <w:rPr>
          <w:noProof/>
        </w:rPr>
        <w:instrText xml:space="preserve"> PAGEREF _Toc205461441 \h </w:instrText>
      </w:r>
      <w:r>
        <w:rPr>
          <w:noProof/>
        </w:rPr>
      </w:r>
      <w:r>
        <w:rPr>
          <w:noProof/>
        </w:rPr>
        <w:fldChar w:fldCharType="separate"/>
      </w:r>
      <w:r w:rsidR="004B0870">
        <w:rPr>
          <w:noProof/>
        </w:rPr>
        <w:t>19</w:t>
      </w:r>
      <w:r>
        <w:rPr>
          <w:noProof/>
        </w:rPr>
        <w:fldChar w:fldCharType="end"/>
      </w:r>
    </w:p>
    <w:p w14:paraId="17B17319" w14:textId="0A5B337B"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4.3.</w:t>
      </w:r>
      <w:r>
        <w:rPr>
          <w:rFonts w:eastAsiaTheme="minorEastAsia" w:cstheme="minorBidi"/>
          <w:noProof/>
          <w:color w:val="auto"/>
          <w:kern w:val="2"/>
          <w:sz w:val="24"/>
          <w:lang w:eastAsia="en-AU"/>
          <w14:ligatures w14:val="standardContextual"/>
        </w:rPr>
        <w:tab/>
      </w:r>
      <w:r>
        <w:rPr>
          <w:noProof/>
        </w:rPr>
        <w:t>Estimating emissions from combustion of solid fuels</w:t>
      </w:r>
      <w:r>
        <w:rPr>
          <w:noProof/>
        </w:rPr>
        <w:tab/>
      </w:r>
      <w:r>
        <w:rPr>
          <w:noProof/>
        </w:rPr>
        <w:fldChar w:fldCharType="begin"/>
      </w:r>
      <w:r>
        <w:rPr>
          <w:noProof/>
        </w:rPr>
        <w:instrText xml:space="preserve"> PAGEREF _Toc205461442 \h </w:instrText>
      </w:r>
      <w:r>
        <w:rPr>
          <w:noProof/>
        </w:rPr>
      </w:r>
      <w:r>
        <w:rPr>
          <w:noProof/>
        </w:rPr>
        <w:fldChar w:fldCharType="separate"/>
      </w:r>
      <w:r w:rsidR="004B0870">
        <w:rPr>
          <w:noProof/>
        </w:rPr>
        <w:t>20</w:t>
      </w:r>
      <w:r>
        <w:rPr>
          <w:noProof/>
        </w:rPr>
        <w:fldChar w:fldCharType="end"/>
      </w:r>
    </w:p>
    <w:p w14:paraId="0D993A76" w14:textId="176B5EAC" w:rsidR="0086263A" w:rsidRDefault="0086263A">
      <w:pPr>
        <w:pStyle w:val="TOC3"/>
        <w:tabs>
          <w:tab w:val="left" w:pos="1200"/>
        </w:tabs>
        <w:rPr>
          <w:rFonts w:eastAsiaTheme="minorEastAsia" w:cstheme="minorBidi"/>
          <w:noProof/>
          <w:color w:val="auto"/>
          <w:kern w:val="2"/>
          <w:sz w:val="24"/>
          <w:lang w:eastAsia="en-AU"/>
          <w14:ligatures w14:val="standardContextual"/>
        </w:rPr>
      </w:pPr>
      <w:r w:rsidRPr="008A7330">
        <w:rPr>
          <w:noProof/>
          <w:lang w:val="en-GB"/>
        </w:rPr>
        <w:t>4.3.1.</w:t>
      </w:r>
      <w:r>
        <w:rPr>
          <w:rFonts w:eastAsiaTheme="minorEastAsia" w:cstheme="minorBidi"/>
          <w:noProof/>
          <w:color w:val="auto"/>
          <w:kern w:val="2"/>
          <w:sz w:val="24"/>
          <w:lang w:eastAsia="en-AU"/>
          <w14:ligatures w14:val="standardContextual"/>
        </w:rPr>
        <w:tab/>
      </w:r>
      <w:r w:rsidRPr="008A7330">
        <w:rPr>
          <w:noProof/>
          <w:lang w:val="en-GB"/>
        </w:rPr>
        <w:t>Sampling and analysis requirements for Methods 2 and 3 for solid fuels</w:t>
      </w:r>
      <w:r>
        <w:rPr>
          <w:noProof/>
        </w:rPr>
        <w:tab/>
      </w:r>
      <w:r>
        <w:rPr>
          <w:noProof/>
        </w:rPr>
        <w:fldChar w:fldCharType="begin"/>
      </w:r>
      <w:r>
        <w:rPr>
          <w:noProof/>
        </w:rPr>
        <w:instrText xml:space="preserve"> PAGEREF _Toc205461443 \h </w:instrText>
      </w:r>
      <w:r>
        <w:rPr>
          <w:noProof/>
        </w:rPr>
      </w:r>
      <w:r>
        <w:rPr>
          <w:noProof/>
        </w:rPr>
        <w:fldChar w:fldCharType="separate"/>
      </w:r>
      <w:r w:rsidR="004B0870">
        <w:rPr>
          <w:noProof/>
        </w:rPr>
        <w:t>21</w:t>
      </w:r>
      <w:r>
        <w:rPr>
          <w:noProof/>
        </w:rPr>
        <w:fldChar w:fldCharType="end"/>
      </w:r>
    </w:p>
    <w:p w14:paraId="4A647312" w14:textId="7B160C88" w:rsidR="0086263A" w:rsidRDefault="0086263A">
      <w:pPr>
        <w:pStyle w:val="TOC4"/>
        <w:rPr>
          <w:rFonts w:eastAsiaTheme="minorEastAsia" w:cstheme="minorBidi"/>
          <w:noProof/>
          <w:color w:val="auto"/>
          <w:kern w:val="2"/>
          <w:sz w:val="24"/>
          <w:lang w:eastAsia="en-AU"/>
          <w14:ligatures w14:val="standardContextual"/>
        </w:rPr>
      </w:pPr>
      <w:r>
        <w:rPr>
          <w:noProof/>
        </w:rPr>
        <w:t>Bias testing</w:t>
      </w:r>
      <w:r>
        <w:rPr>
          <w:noProof/>
        </w:rPr>
        <w:tab/>
      </w:r>
      <w:r>
        <w:rPr>
          <w:noProof/>
        </w:rPr>
        <w:fldChar w:fldCharType="begin"/>
      </w:r>
      <w:r>
        <w:rPr>
          <w:noProof/>
        </w:rPr>
        <w:instrText xml:space="preserve"> PAGEREF _Toc205461444 \h </w:instrText>
      </w:r>
      <w:r>
        <w:rPr>
          <w:noProof/>
        </w:rPr>
      </w:r>
      <w:r>
        <w:rPr>
          <w:noProof/>
        </w:rPr>
        <w:fldChar w:fldCharType="separate"/>
      </w:r>
      <w:r w:rsidR="004B0870">
        <w:rPr>
          <w:noProof/>
        </w:rPr>
        <w:t>22</w:t>
      </w:r>
      <w:r>
        <w:rPr>
          <w:noProof/>
        </w:rPr>
        <w:fldChar w:fldCharType="end"/>
      </w:r>
    </w:p>
    <w:p w14:paraId="0A9F47D8" w14:textId="48E46648"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4.4.</w:t>
      </w:r>
      <w:r>
        <w:rPr>
          <w:rFonts w:eastAsiaTheme="minorEastAsia" w:cstheme="minorBidi"/>
          <w:noProof/>
          <w:color w:val="auto"/>
          <w:kern w:val="2"/>
          <w:sz w:val="24"/>
          <w:lang w:eastAsia="en-AU"/>
          <w14:ligatures w14:val="standardContextual"/>
        </w:rPr>
        <w:tab/>
      </w:r>
      <w:r>
        <w:rPr>
          <w:noProof/>
        </w:rPr>
        <w:t>Emissions from combustion of gaseous fuels</w:t>
      </w:r>
      <w:r>
        <w:rPr>
          <w:noProof/>
        </w:rPr>
        <w:tab/>
      </w:r>
      <w:r>
        <w:rPr>
          <w:noProof/>
        </w:rPr>
        <w:fldChar w:fldCharType="begin"/>
      </w:r>
      <w:r>
        <w:rPr>
          <w:noProof/>
        </w:rPr>
        <w:instrText xml:space="preserve"> PAGEREF _Toc205461445 \h </w:instrText>
      </w:r>
      <w:r>
        <w:rPr>
          <w:noProof/>
        </w:rPr>
      </w:r>
      <w:r>
        <w:rPr>
          <w:noProof/>
        </w:rPr>
        <w:fldChar w:fldCharType="separate"/>
      </w:r>
      <w:r w:rsidR="004B0870">
        <w:rPr>
          <w:noProof/>
        </w:rPr>
        <w:t>23</w:t>
      </w:r>
      <w:r>
        <w:rPr>
          <w:noProof/>
        </w:rPr>
        <w:fldChar w:fldCharType="end"/>
      </w:r>
    </w:p>
    <w:p w14:paraId="1B93D5D4" w14:textId="6AB9E881" w:rsidR="0086263A" w:rsidRDefault="0086263A">
      <w:pPr>
        <w:pStyle w:val="TOC3"/>
        <w:tabs>
          <w:tab w:val="left" w:pos="1200"/>
        </w:tabs>
        <w:rPr>
          <w:rFonts w:eastAsiaTheme="minorEastAsia" w:cstheme="minorBidi"/>
          <w:noProof/>
          <w:color w:val="auto"/>
          <w:kern w:val="2"/>
          <w:sz w:val="24"/>
          <w:lang w:eastAsia="en-AU"/>
          <w14:ligatures w14:val="standardContextual"/>
        </w:rPr>
      </w:pPr>
      <w:r w:rsidRPr="008A7330">
        <w:rPr>
          <w:noProof/>
          <w:lang w:val="en-GB"/>
        </w:rPr>
        <w:t>4.4.1.</w:t>
      </w:r>
      <w:r>
        <w:rPr>
          <w:rFonts w:eastAsiaTheme="minorEastAsia" w:cstheme="minorBidi"/>
          <w:noProof/>
          <w:color w:val="auto"/>
          <w:kern w:val="2"/>
          <w:sz w:val="24"/>
          <w:lang w:eastAsia="en-AU"/>
          <w14:ligatures w14:val="standardContextual"/>
        </w:rPr>
        <w:tab/>
      </w:r>
      <w:r w:rsidRPr="008A7330">
        <w:rPr>
          <w:noProof/>
          <w:lang w:val="en-GB"/>
        </w:rPr>
        <w:t>Sampling and analysis requirements for Methods 2 and 3 for gaseous fuels</w:t>
      </w:r>
      <w:r>
        <w:rPr>
          <w:noProof/>
        </w:rPr>
        <w:tab/>
      </w:r>
      <w:r>
        <w:rPr>
          <w:noProof/>
        </w:rPr>
        <w:fldChar w:fldCharType="begin"/>
      </w:r>
      <w:r>
        <w:rPr>
          <w:noProof/>
        </w:rPr>
        <w:instrText xml:space="preserve"> PAGEREF _Toc205461446 \h </w:instrText>
      </w:r>
      <w:r>
        <w:rPr>
          <w:noProof/>
        </w:rPr>
      </w:r>
      <w:r>
        <w:rPr>
          <w:noProof/>
        </w:rPr>
        <w:fldChar w:fldCharType="separate"/>
      </w:r>
      <w:r w:rsidR="004B0870">
        <w:rPr>
          <w:noProof/>
        </w:rPr>
        <w:t>24</w:t>
      </w:r>
      <w:r>
        <w:rPr>
          <w:noProof/>
        </w:rPr>
        <w:fldChar w:fldCharType="end"/>
      </w:r>
    </w:p>
    <w:p w14:paraId="117EEDE0" w14:textId="62F6D186" w:rsidR="0086263A" w:rsidRDefault="0086263A">
      <w:pPr>
        <w:pStyle w:val="TOC4"/>
        <w:rPr>
          <w:rFonts w:eastAsiaTheme="minorEastAsia" w:cstheme="minorBidi"/>
          <w:noProof/>
          <w:color w:val="auto"/>
          <w:kern w:val="2"/>
          <w:sz w:val="24"/>
          <w:lang w:eastAsia="en-AU"/>
          <w14:ligatures w14:val="standardContextual"/>
        </w:rPr>
      </w:pPr>
      <w:r>
        <w:rPr>
          <w:noProof/>
        </w:rPr>
        <w:t>Bias testing</w:t>
      </w:r>
      <w:r>
        <w:rPr>
          <w:noProof/>
        </w:rPr>
        <w:tab/>
      </w:r>
      <w:r>
        <w:rPr>
          <w:noProof/>
        </w:rPr>
        <w:fldChar w:fldCharType="begin"/>
      </w:r>
      <w:r>
        <w:rPr>
          <w:noProof/>
        </w:rPr>
        <w:instrText xml:space="preserve"> PAGEREF _Toc205461447 \h </w:instrText>
      </w:r>
      <w:r>
        <w:rPr>
          <w:noProof/>
        </w:rPr>
      </w:r>
      <w:r>
        <w:rPr>
          <w:noProof/>
        </w:rPr>
        <w:fldChar w:fldCharType="separate"/>
      </w:r>
      <w:r w:rsidR="004B0870">
        <w:rPr>
          <w:noProof/>
        </w:rPr>
        <w:t>25</w:t>
      </w:r>
      <w:r>
        <w:rPr>
          <w:noProof/>
        </w:rPr>
        <w:fldChar w:fldCharType="end"/>
      </w:r>
    </w:p>
    <w:p w14:paraId="4D786545" w14:textId="37063205"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4.5.</w:t>
      </w:r>
      <w:r>
        <w:rPr>
          <w:rFonts w:eastAsiaTheme="minorEastAsia" w:cstheme="minorBidi"/>
          <w:noProof/>
          <w:color w:val="auto"/>
          <w:kern w:val="2"/>
          <w:sz w:val="24"/>
          <w:lang w:eastAsia="en-AU"/>
          <w14:ligatures w14:val="standardContextual"/>
        </w:rPr>
        <w:tab/>
      </w:r>
      <w:r>
        <w:rPr>
          <w:noProof/>
        </w:rPr>
        <w:t>Emissions from combustion of liquid fuels</w:t>
      </w:r>
      <w:r>
        <w:rPr>
          <w:noProof/>
        </w:rPr>
        <w:tab/>
      </w:r>
      <w:r>
        <w:rPr>
          <w:noProof/>
        </w:rPr>
        <w:fldChar w:fldCharType="begin"/>
      </w:r>
      <w:r>
        <w:rPr>
          <w:noProof/>
        </w:rPr>
        <w:instrText xml:space="preserve"> PAGEREF _Toc205461448 \h </w:instrText>
      </w:r>
      <w:r>
        <w:rPr>
          <w:noProof/>
        </w:rPr>
      </w:r>
      <w:r>
        <w:rPr>
          <w:noProof/>
        </w:rPr>
        <w:fldChar w:fldCharType="separate"/>
      </w:r>
      <w:r w:rsidR="004B0870">
        <w:rPr>
          <w:noProof/>
        </w:rPr>
        <w:t>26</w:t>
      </w:r>
      <w:r>
        <w:rPr>
          <w:noProof/>
        </w:rPr>
        <w:fldChar w:fldCharType="end"/>
      </w:r>
    </w:p>
    <w:p w14:paraId="1ED1D911" w14:textId="08269A9F" w:rsidR="0086263A" w:rsidRDefault="0086263A">
      <w:pPr>
        <w:pStyle w:val="TOC3"/>
        <w:tabs>
          <w:tab w:val="left" w:pos="1200"/>
        </w:tabs>
        <w:rPr>
          <w:rFonts w:eastAsiaTheme="minorEastAsia" w:cstheme="minorBidi"/>
          <w:noProof/>
          <w:color w:val="auto"/>
          <w:kern w:val="2"/>
          <w:sz w:val="24"/>
          <w:lang w:eastAsia="en-AU"/>
          <w14:ligatures w14:val="standardContextual"/>
        </w:rPr>
      </w:pPr>
      <w:r w:rsidRPr="008A7330">
        <w:rPr>
          <w:noProof/>
          <w:lang w:val="en-GB"/>
        </w:rPr>
        <w:t>4.5.1.</w:t>
      </w:r>
      <w:r>
        <w:rPr>
          <w:rFonts w:eastAsiaTheme="minorEastAsia" w:cstheme="minorBidi"/>
          <w:noProof/>
          <w:color w:val="auto"/>
          <w:kern w:val="2"/>
          <w:sz w:val="24"/>
          <w:lang w:eastAsia="en-AU"/>
          <w14:ligatures w14:val="standardContextual"/>
        </w:rPr>
        <w:tab/>
      </w:r>
      <w:r w:rsidRPr="008A7330">
        <w:rPr>
          <w:noProof/>
          <w:lang w:val="en-GB"/>
        </w:rPr>
        <w:t>Sampling and analysis requirements for Methods 2 and 3 for liquid fuels</w:t>
      </w:r>
      <w:r>
        <w:rPr>
          <w:noProof/>
        </w:rPr>
        <w:tab/>
      </w:r>
      <w:r>
        <w:rPr>
          <w:noProof/>
        </w:rPr>
        <w:fldChar w:fldCharType="begin"/>
      </w:r>
      <w:r>
        <w:rPr>
          <w:noProof/>
        </w:rPr>
        <w:instrText xml:space="preserve"> PAGEREF _Toc205461449 \h </w:instrText>
      </w:r>
      <w:r>
        <w:rPr>
          <w:noProof/>
        </w:rPr>
      </w:r>
      <w:r>
        <w:rPr>
          <w:noProof/>
        </w:rPr>
        <w:fldChar w:fldCharType="separate"/>
      </w:r>
      <w:r w:rsidR="004B0870">
        <w:rPr>
          <w:noProof/>
        </w:rPr>
        <w:t>26</w:t>
      </w:r>
      <w:r>
        <w:rPr>
          <w:noProof/>
        </w:rPr>
        <w:fldChar w:fldCharType="end"/>
      </w:r>
    </w:p>
    <w:p w14:paraId="73812236" w14:textId="2FCD662D" w:rsidR="0086263A" w:rsidRDefault="0086263A">
      <w:pPr>
        <w:pStyle w:val="TOC4"/>
        <w:rPr>
          <w:rFonts w:eastAsiaTheme="minorEastAsia" w:cstheme="minorBidi"/>
          <w:noProof/>
          <w:color w:val="auto"/>
          <w:kern w:val="2"/>
          <w:sz w:val="24"/>
          <w:lang w:eastAsia="en-AU"/>
          <w14:ligatures w14:val="standardContextual"/>
        </w:rPr>
      </w:pPr>
      <w:r>
        <w:rPr>
          <w:noProof/>
        </w:rPr>
        <w:t>Bias testing</w:t>
      </w:r>
      <w:r>
        <w:rPr>
          <w:noProof/>
        </w:rPr>
        <w:tab/>
      </w:r>
      <w:r>
        <w:rPr>
          <w:noProof/>
        </w:rPr>
        <w:fldChar w:fldCharType="begin"/>
      </w:r>
      <w:r>
        <w:rPr>
          <w:noProof/>
        </w:rPr>
        <w:instrText xml:space="preserve"> PAGEREF _Toc205461450 \h </w:instrText>
      </w:r>
      <w:r>
        <w:rPr>
          <w:noProof/>
        </w:rPr>
      </w:r>
      <w:r>
        <w:rPr>
          <w:noProof/>
        </w:rPr>
        <w:fldChar w:fldCharType="separate"/>
      </w:r>
      <w:r w:rsidR="004B0870">
        <w:rPr>
          <w:noProof/>
        </w:rPr>
        <w:t>27</w:t>
      </w:r>
      <w:r>
        <w:rPr>
          <w:noProof/>
        </w:rPr>
        <w:fldChar w:fldCharType="end"/>
      </w:r>
    </w:p>
    <w:p w14:paraId="3C0A64EF" w14:textId="21078918"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4.6.</w:t>
      </w:r>
      <w:r>
        <w:rPr>
          <w:rFonts w:eastAsiaTheme="minorEastAsia" w:cstheme="minorBidi"/>
          <w:noProof/>
          <w:color w:val="auto"/>
          <w:kern w:val="2"/>
          <w:sz w:val="24"/>
          <w:lang w:eastAsia="en-AU"/>
          <w14:ligatures w14:val="standardContextual"/>
        </w:rPr>
        <w:tab/>
      </w:r>
      <w:r>
        <w:rPr>
          <w:noProof/>
        </w:rPr>
        <w:t>Emissions from consumption of PBOGs</w:t>
      </w:r>
      <w:r>
        <w:rPr>
          <w:noProof/>
        </w:rPr>
        <w:tab/>
      </w:r>
      <w:r>
        <w:rPr>
          <w:noProof/>
        </w:rPr>
        <w:fldChar w:fldCharType="begin"/>
      </w:r>
      <w:r>
        <w:rPr>
          <w:noProof/>
        </w:rPr>
        <w:instrText xml:space="preserve"> PAGEREF _Toc205461451 \h </w:instrText>
      </w:r>
      <w:r>
        <w:rPr>
          <w:noProof/>
        </w:rPr>
      </w:r>
      <w:r>
        <w:rPr>
          <w:noProof/>
        </w:rPr>
        <w:fldChar w:fldCharType="separate"/>
      </w:r>
      <w:r w:rsidR="004B0870">
        <w:rPr>
          <w:noProof/>
        </w:rPr>
        <w:t>27</w:t>
      </w:r>
      <w:r>
        <w:rPr>
          <w:noProof/>
        </w:rPr>
        <w:fldChar w:fldCharType="end"/>
      </w:r>
    </w:p>
    <w:p w14:paraId="75CEED47" w14:textId="133A671D" w:rsidR="0086263A" w:rsidRDefault="0086263A">
      <w:pPr>
        <w:pStyle w:val="TOC1"/>
        <w:rPr>
          <w:rFonts w:eastAsiaTheme="minorEastAsia" w:cstheme="minorBidi"/>
          <w:b w:val="0"/>
          <w:noProof/>
          <w:color w:val="auto"/>
          <w:kern w:val="2"/>
          <w:sz w:val="24"/>
          <w:lang w:eastAsia="en-AU"/>
          <w14:ligatures w14:val="standardContextual"/>
        </w:rPr>
      </w:pPr>
      <w:r w:rsidRPr="008A7330">
        <w:rPr>
          <w:noProof/>
          <w:lang w:val="en-GB"/>
        </w:rPr>
        <w:t>5.</w:t>
      </w:r>
      <w:r>
        <w:rPr>
          <w:rFonts w:eastAsiaTheme="minorEastAsia" w:cstheme="minorBidi"/>
          <w:b w:val="0"/>
          <w:noProof/>
          <w:color w:val="auto"/>
          <w:kern w:val="2"/>
          <w:sz w:val="24"/>
          <w:lang w:eastAsia="en-AU"/>
          <w14:ligatures w14:val="standardContextual"/>
        </w:rPr>
        <w:tab/>
      </w:r>
      <w:r w:rsidRPr="008A7330">
        <w:rPr>
          <w:noProof/>
          <w:lang w:val="en-GB"/>
        </w:rPr>
        <w:t>Estimating emissions of sulphur hexafluoride</w:t>
      </w:r>
      <w:r>
        <w:rPr>
          <w:noProof/>
        </w:rPr>
        <w:tab/>
      </w:r>
      <w:r>
        <w:rPr>
          <w:noProof/>
        </w:rPr>
        <w:fldChar w:fldCharType="begin"/>
      </w:r>
      <w:r>
        <w:rPr>
          <w:noProof/>
        </w:rPr>
        <w:instrText xml:space="preserve"> PAGEREF _Toc205461452 \h </w:instrText>
      </w:r>
      <w:r>
        <w:rPr>
          <w:noProof/>
        </w:rPr>
      </w:r>
      <w:r>
        <w:rPr>
          <w:noProof/>
        </w:rPr>
        <w:fldChar w:fldCharType="separate"/>
      </w:r>
      <w:r w:rsidR="004B0870">
        <w:rPr>
          <w:noProof/>
        </w:rPr>
        <w:t>28</w:t>
      </w:r>
      <w:r>
        <w:rPr>
          <w:noProof/>
        </w:rPr>
        <w:fldChar w:fldCharType="end"/>
      </w:r>
    </w:p>
    <w:p w14:paraId="1E71AF70" w14:textId="079643A5" w:rsidR="0086263A" w:rsidRDefault="0086263A">
      <w:pPr>
        <w:pStyle w:val="TOC1"/>
        <w:rPr>
          <w:rFonts w:eastAsiaTheme="minorEastAsia" w:cstheme="minorBidi"/>
          <w:b w:val="0"/>
          <w:noProof/>
          <w:color w:val="auto"/>
          <w:kern w:val="2"/>
          <w:sz w:val="24"/>
          <w:lang w:eastAsia="en-AU"/>
          <w14:ligatures w14:val="standardContextual"/>
        </w:rPr>
      </w:pPr>
      <w:r w:rsidRPr="008A7330">
        <w:rPr>
          <w:noProof/>
          <w:lang w:val="en-GB"/>
        </w:rPr>
        <w:t>6.</w:t>
      </w:r>
      <w:r>
        <w:rPr>
          <w:rFonts w:eastAsiaTheme="minorEastAsia" w:cstheme="minorBidi"/>
          <w:b w:val="0"/>
          <w:noProof/>
          <w:color w:val="auto"/>
          <w:kern w:val="2"/>
          <w:sz w:val="24"/>
          <w:lang w:eastAsia="en-AU"/>
          <w14:ligatures w14:val="standardContextual"/>
        </w:rPr>
        <w:tab/>
      </w:r>
      <w:r w:rsidRPr="008A7330">
        <w:rPr>
          <w:noProof/>
          <w:lang w:val="en-GB"/>
        </w:rPr>
        <w:t>Reporting scope 2 emissions from purchased, acquired or lost electricity</w:t>
      </w:r>
      <w:r>
        <w:rPr>
          <w:noProof/>
        </w:rPr>
        <w:tab/>
      </w:r>
      <w:r>
        <w:rPr>
          <w:noProof/>
        </w:rPr>
        <w:fldChar w:fldCharType="begin"/>
      </w:r>
      <w:r>
        <w:rPr>
          <w:noProof/>
        </w:rPr>
        <w:instrText xml:space="preserve"> PAGEREF _Toc205461453 \h </w:instrText>
      </w:r>
      <w:r>
        <w:rPr>
          <w:noProof/>
        </w:rPr>
      </w:r>
      <w:r>
        <w:rPr>
          <w:noProof/>
        </w:rPr>
        <w:fldChar w:fldCharType="separate"/>
      </w:r>
      <w:r w:rsidR="004B0870">
        <w:rPr>
          <w:noProof/>
        </w:rPr>
        <w:t>29</w:t>
      </w:r>
      <w:r>
        <w:rPr>
          <w:noProof/>
        </w:rPr>
        <w:fldChar w:fldCharType="end"/>
      </w:r>
    </w:p>
    <w:p w14:paraId="0A640BDF" w14:textId="688B8093"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lastRenderedPageBreak/>
        <w:t>6.1.</w:t>
      </w:r>
      <w:r>
        <w:rPr>
          <w:rFonts w:eastAsiaTheme="minorEastAsia" w:cstheme="minorBidi"/>
          <w:noProof/>
          <w:color w:val="auto"/>
          <w:kern w:val="2"/>
          <w:sz w:val="24"/>
          <w:lang w:eastAsia="en-AU"/>
          <w14:ligatures w14:val="standardContextual"/>
        </w:rPr>
        <w:tab/>
      </w:r>
      <w:r>
        <w:rPr>
          <w:noProof/>
        </w:rPr>
        <w:t>When to report scope 2 emissions</w:t>
      </w:r>
      <w:r>
        <w:rPr>
          <w:noProof/>
        </w:rPr>
        <w:tab/>
      </w:r>
      <w:r>
        <w:rPr>
          <w:noProof/>
        </w:rPr>
        <w:fldChar w:fldCharType="begin"/>
      </w:r>
      <w:r>
        <w:rPr>
          <w:noProof/>
        </w:rPr>
        <w:instrText xml:space="preserve"> PAGEREF _Toc205461454 \h </w:instrText>
      </w:r>
      <w:r>
        <w:rPr>
          <w:noProof/>
        </w:rPr>
      </w:r>
      <w:r>
        <w:rPr>
          <w:noProof/>
        </w:rPr>
        <w:fldChar w:fldCharType="separate"/>
      </w:r>
      <w:r w:rsidR="004B0870">
        <w:rPr>
          <w:noProof/>
        </w:rPr>
        <w:t>29</w:t>
      </w:r>
      <w:r>
        <w:rPr>
          <w:noProof/>
        </w:rPr>
        <w:fldChar w:fldCharType="end"/>
      </w:r>
    </w:p>
    <w:p w14:paraId="3B28159F" w14:textId="39687F97" w:rsidR="0086263A" w:rsidRDefault="0086263A">
      <w:pPr>
        <w:pStyle w:val="TOC3"/>
        <w:tabs>
          <w:tab w:val="left" w:pos="1200"/>
        </w:tabs>
        <w:rPr>
          <w:rFonts w:eastAsiaTheme="minorEastAsia" w:cstheme="minorBidi"/>
          <w:noProof/>
          <w:color w:val="auto"/>
          <w:kern w:val="2"/>
          <w:sz w:val="24"/>
          <w:lang w:eastAsia="en-AU"/>
          <w14:ligatures w14:val="standardContextual"/>
        </w:rPr>
      </w:pPr>
      <w:r>
        <w:rPr>
          <w:noProof/>
        </w:rPr>
        <w:t>6.1.1.</w:t>
      </w:r>
      <w:r>
        <w:rPr>
          <w:rFonts w:eastAsiaTheme="minorEastAsia" w:cstheme="minorBidi"/>
          <w:noProof/>
          <w:color w:val="auto"/>
          <w:kern w:val="2"/>
          <w:sz w:val="24"/>
          <w:lang w:eastAsia="en-AU"/>
          <w14:ligatures w14:val="standardContextual"/>
        </w:rPr>
        <w:tab/>
      </w:r>
      <w:r>
        <w:rPr>
          <w:noProof/>
        </w:rPr>
        <w:t>Meaning of ‘purchased’ or ‘acquired’ electricity</w:t>
      </w:r>
      <w:r>
        <w:rPr>
          <w:noProof/>
        </w:rPr>
        <w:tab/>
      </w:r>
      <w:r>
        <w:rPr>
          <w:noProof/>
        </w:rPr>
        <w:fldChar w:fldCharType="begin"/>
      </w:r>
      <w:r>
        <w:rPr>
          <w:noProof/>
        </w:rPr>
        <w:instrText xml:space="preserve"> PAGEREF _Toc205461455 \h </w:instrText>
      </w:r>
      <w:r>
        <w:rPr>
          <w:noProof/>
        </w:rPr>
      </w:r>
      <w:r>
        <w:rPr>
          <w:noProof/>
        </w:rPr>
        <w:fldChar w:fldCharType="separate"/>
      </w:r>
      <w:r w:rsidR="004B0870">
        <w:rPr>
          <w:noProof/>
        </w:rPr>
        <w:t>29</w:t>
      </w:r>
      <w:r>
        <w:rPr>
          <w:noProof/>
        </w:rPr>
        <w:fldChar w:fldCharType="end"/>
      </w:r>
    </w:p>
    <w:p w14:paraId="0BD243AA" w14:textId="335799F6" w:rsidR="0086263A" w:rsidRDefault="0086263A">
      <w:pPr>
        <w:pStyle w:val="TOC5"/>
        <w:tabs>
          <w:tab w:val="right" w:leader="dot" w:pos="9730"/>
        </w:tabs>
        <w:rPr>
          <w:rFonts w:eastAsiaTheme="minorEastAsia" w:cstheme="minorBidi"/>
          <w:noProof/>
          <w:color w:val="auto"/>
          <w:kern w:val="2"/>
          <w:sz w:val="24"/>
          <w:lang w:eastAsia="en-AU"/>
          <w14:ligatures w14:val="standardContextual"/>
        </w:rPr>
      </w:pPr>
      <w:r w:rsidRPr="008A7330">
        <w:rPr>
          <w:rFonts w:ascii="Calibri" w:eastAsia="Calibri" w:hAnsi="Calibri" w:cs="Calibri"/>
          <w:b/>
          <w:noProof/>
        </w:rPr>
        <w:t>Example – Purchased electricity</w:t>
      </w:r>
      <w:r>
        <w:rPr>
          <w:noProof/>
        </w:rPr>
        <w:tab/>
      </w:r>
      <w:r>
        <w:rPr>
          <w:noProof/>
        </w:rPr>
        <w:fldChar w:fldCharType="begin"/>
      </w:r>
      <w:r>
        <w:rPr>
          <w:noProof/>
        </w:rPr>
        <w:instrText xml:space="preserve"> PAGEREF _Toc205461456 \h </w:instrText>
      </w:r>
      <w:r>
        <w:rPr>
          <w:noProof/>
        </w:rPr>
      </w:r>
      <w:r>
        <w:rPr>
          <w:noProof/>
        </w:rPr>
        <w:fldChar w:fldCharType="separate"/>
      </w:r>
      <w:r w:rsidR="004B0870">
        <w:rPr>
          <w:noProof/>
        </w:rPr>
        <w:t>30</w:t>
      </w:r>
      <w:r>
        <w:rPr>
          <w:noProof/>
        </w:rPr>
        <w:fldChar w:fldCharType="end"/>
      </w:r>
    </w:p>
    <w:p w14:paraId="1C7A8E80" w14:textId="7CF1029E" w:rsidR="0086263A" w:rsidRDefault="0086263A">
      <w:pPr>
        <w:pStyle w:val="TOC3"/>
        <w:tabs>
          <w:tab w:val="left" w:pos="1200"/>
        </w:tabs>
        <w:rPr>
          <w:rFonts w:eastAsiaTheme="minorEastAsia" w:cstheme="minorBidi"/>
          <w:noProof/>
          <w:color w:val="auto"/>
          <w:kern w:val="2"/>
          <w:sz w:val="24"/>
          <w:lang w:eastAsia="en-AU"/>
          <w14:ligatures w14:val="standardContextual"/>
        </w:rPr>
      </w:pPr>
      <w:r>
        <w:rPr>
          <w:noProof/>
        </w:rPr>
        <w:t>6.1.2.</w:t>
      </w:r>
      <w:r>
        <w:rPr>
          <w:rFonts w:eastAsiaTheme="minorEastAsia" w:cstheme="minorBidi"/>
          <w:noProof/>
          <w:color w:val="auto"/>
          <w:kern w:val="2"/>
          <w:sz w:val="24"/>
          <w:lang w:eastAsia="en-AU"/>
          <w14:ligatures w14:val="standardContextual"/>
        </w:rPr>
        <w:tab/>
      </w:r>
      <w:r>
        <w:rPr>
          <w:noProof/>
        </w:rPr>
        <w:t>Loss of electricity from an electricity transmission or distribution network</w:t>
      </w:r>
      <w:r>
        <w:rPr>
          <w:noProof/>
        </w:rPr>
        <w:tab/>
      </w:r>
      <w:r>
        <w:rPr>
          <w:noProof/>
        </w:rPr>
        <w:fldChar w:fldCharType="begin"/>
      </w:r>
      <w:r>
        <w:rPr>
          <w:noProof/>
        </w:rPr>
        <w:instrText xml:space="preserve"> PAGEREF _Toc205461457 \h </w:instrText>
      </w:r>
      <w:r>
        <w:rPr>
          <w:noProof/>
        </w:rPr>
      </w:r>
      <w:r>
        <w:rPr>
          <w:noProof/>
        </w:rPr>
        <w:fldChar w:fldCharType="separate"/>
      </w:r>
      <w:r w:rsidR="004B0870">
        <w:rPr>
          <w:noProof/>
        </w:rPr>
        <w:t>30</w:t>
      </w:r>
      <w:r>
        <w:rPr>
          <w:noProof/>
        </w:rPr>
        <w:fldChar w:fldCharType="end"/>
      </w:r>
    </w:p>
    <w:p w14:paraId="24B991C1" w14:textId="6CC2A8BF" w:rsidR="0086263A" w:rsidRDefault="0086263A">
      <w:pPr>
        <w:pStyle w:val="TOC3"/>
        <w:tabs>
          <w:tab w:val="left" w:pos="1200"/>
        </w:tabs>
        <w:rPr>
          <w:rFonts w:eastAsiaTheme="minorEastAsia" w:cstheme="minorBidi"/>
          <w:noProof/>
          <w:color w:val="auto"/>
          <w:kern w:val="2"/>
          <w:sz w:val="24"/>
          <w:lang w:eastAsia="en-AU"/>
          <w14:ligatures w14:val="standardContextual"/>
        </w:rPr>
      </w:pPr>
      <w:r>
        <w:rPr>
          <w:noProof/>
        </w:rPr>
        <w:t>6.1.3.</w:t>
      </w:r>
      <w:r>
        <w:rPr>
          <w:rFonts w:eastAsiaTheme="minorEastAsia" w:cstheme="minorBidi"/>
          <w:noProof/>
          <w:color w:val="auto"/>
          <w:kern w:val="2"/>
          <w:sz w:val="24"/>
          <w:lang w:eastAsia="en-AU"/>
          <w14:ligatures w14:val="standardContextual"/>
        </w:rPr>
        <w:tab/>
      </w:r>
      <w:r>
        <w:rPr>
          <w:noProof/>
        </w:rPr>
        <w:t>Unaccounted for energy</w:t>
      </w:r>
      <w:r>
        <w:rPr>
          <w:noProof/>
        </w:rPr>
        <w:tab/>
      </w:r>
      <w:r>
        <w:rPr>
          <w:noProof/>
        </w:rPr>
        <w:fldChar w:fldCharType="begin"/>
      </w:r>
      <w:r>
        <w:rPr>
          <w:noProof/>
        </w:rPr>
        <w:instrText xml:space="preserve"> PAGEREF _Toc205461458 \h </w:instrText>
      </w:r>
      <w:r>
        <w:rPr>
          <w:noProof/>
        </w:rPr>
      </w:r>
      <w:r>
        <w:rPr>
          <w:noProof/>
        </w:rPr>
        <w:fldChar w:fldCharType="separate"/>
      </w:r>
      <w:r w:rsidR="004B0870">
        <w:rPr>
          <w:noProof/>
        </w:rPr>
        <w:t>30</w:t>
      </w:r>
      <w:r>
        <w:rPr>
          <w:noProof/>
        </w:rPr>
        <w:fldChar w:fldCharType="end"/>
      </w:r>
    </w:p>
    <w:p w14:paraId="7E195700" w14:textId="14D7B5C9"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6.2.</w:t>
      </w:r>
      <w:r>
        <w:rPr>
          <w:rFonts w:eastAsiaTheme="minorEastAsia" w:cstheme="minorBidi"/>
          <w:noProof/>
          <w:color w:val="auto"/>
          <w:kern w:val="2"/>
          <w:sz w:val="24"/>
          <w:lang w:eastAsia="en-AU"/>
          <w14:ligatures w14:val="standardContextual"/>
        </w:rPr>
        <w:tab/>
      </w:r>
      <w:r>
        <w:rPr>
          <w:noProof/>
        </w:rPr>
        <w:t>Methods for estimating scope 2 emissions</w:t>
      </w:r>
      <w:r>
        <w:rPr>
          <w:noProof/>
        </w:rPr>
        <w:tab/>
      </w:r>
      <w:r>
        <w:rPr>
          <w:noProof/>
        </w:rPr>
        <w:fldChar w:fldCharType="begin"/>
      </w:r>
      <w:r>
        <w:rPr>
          <w:noProof/>
        </w:rPr>
        <w:instrText xml:space="preserve"> PAGEREF _Toc205461459 \h </w:instrText>
      </w:r>
      <w:r>
        <w:rPr>
          <w:noProof/>
        </w:rPr>
      </w:r>
      <w:r>
        <w:rPr>
          <w:noProof/>
        </w:rPr>
        <w:fldChar w:fldCharType="separate"/>
      </w:r>
      <w:r w:rsidR="004B0870">
        <w:rPr>
          <w:noProof/>
        </w:rPr>
        <w:t>32</w:t>
      </w:r>
      <w:r>
        <w:rPr>
          <w:noProof/>
        </w:rPr>
        <w:fldChar w:fldCharType="end"/>
      </w:r>
    </w:p>
    <w:p w14:paraId="2D2B9C8D" w14:textId="01F7485A" w:rsidR="0086263A" w:rsidRDefault="0086263A">
      <w:pPr>
        <w:pStyle w:val="TOC3"/>
        <w:tabs>
          <w:tab w:val="left" w:pos="1200"/>
        </w:tabs>
        <w:rPr>
          <w:rFonts w:eastAsiaTheme="minorEastAsia" w:cstheme="minorBidi"/>
          <w:noProof/>
          <w:color w:val="auto"/>
          <w:kern w:val="2"/>
          <w:sz w:val="24"/>
          <w:lang w:eastAsia="en-AU"/>
          <w14:ligatures w14:val="standardContextual"/>
        </w:rPr>
      </w:pPr>
      <w:r>
        <w:rPr>
          <w:noProof/>
        </w:rPr>
        <w:t>6.2.1.</w:t>
      </w:r>
      <w:r>
        <w:rPr>
          <w:rFonts w:eastAsiaTheme="minorEastAsia" w:cstheme="minorBidi"/>
          <w:noProof/>
          <w:color w:val="auto"/>
          <w:kern w:val="2"/>
          <w:sz w:val="24"/>
          <w:lang w:eastAsia="en-AU"/>
          <w14:ligatures w14:val="standardContextual"/>
        </w:rPr>
        <w:tab/>
      </w:r>
      <w:r>
        <w:rPr>
          <w:noProof/>
        </w:rPr>
        <w:t>Mandatory location-based methods for scope 2 emissions</w:t>
      </w:r>
      <w:r>
        <w:rPr>
          <w:noProof/>
        </w:rPr>
        <w:tab/>
      </w:r>
      <w:r>
        <w:rPr>
          <w:noProof/>
        </w:rPr>
        <w:fldChar w:fldCharType="begin"/>
      </w:r>
      <w:r>
        <w:rPr>
          <w:noProof/>
        </w:rPr>
        <w:instrText xml:space="preserve"> PAGEREF _Toc205461460 \h </w:instrText>
      </w:r>
      <w:r>
        <w:rPr>
          <w:noProof/>
        </w:rPr>
      </w:r>
      <w:r>
        <w:rPr>
          <w:noProof/>
        </w:rPr>
        <w:fldChar w:fldCharType="separate"/>
      </w:r>
      <w:r w:rsidR="004B0870">
        <w:rPr>
          <w:noProof/>
        </w:rPr>
        <w:t>32</w:t>
      </w:r>
      <w:r>
        <w:rPr>
          <w:noProof/>
        </w:rPr>
        <w:fldChar w:fldCharType="end"/>
      </w:r>
    </w:p>
    <w:p w14:paraId="7D21A94E" w14:textId="2BE94BEF" w:rsidR="0086263A" w:rsidRDefault="0086263A">
      <w:pPr>
        <w:pStyle w:val="TOC5"/>
        <w:tabs>
          <w:tab w:val="right" w:leader="dot" w:pos="9730"/>
        </w:tabs>
        <w:rPr>
          <w:rFonts w:eastAsiaTheme="minorEastAsia" w:cstheme="minorBidi"/>
          <w:noProof/>
          <w:color w:val="auto"/>
          <w:kern w:val="2"/>
          <w:sz w:val="24"/>
          <w:lang w:eastAsia="en-AU"/>
          <w14:ligatures w14:val="standardContextual"/>
        </w:rPr>
      </w:pPr>
      <w:r w:rsidRPr="008A7330">
        <w:rPr>
          <w:bCs/>
          <w:noProof/>
        </w:rPr>
        <w:t xml:space="preserve">Emission factors for </w:t>
      </w:r>
      <w:r>
        <w:rPr>
          <w:noProof/>
        </w:rPr>
        <w:t>electricity from the main electricity grid (Method A1)</w:t>
      </w:r>
      <w:r>
        <w:rPr>
          <w:noProof/>
        </w:rPr>
        <w:tab/>
      </w:r>
      <w:r>
        <w:rPr>
          <w:noProof/>
        </w:rPr>
        <w:fldChar w:fldCharType="begin"/>
      </w:r>
      <w:r>
        <w:rPr>
          <w:noProof/>
        </w:rPr>
        <w:instrText xml:space="preserve"> PAGEREF _Toc205461461 \h </w:instrText>
      </w:r>
      <w:r>
        <w:rPr>
          <w:noProof/>
        </w:rPr>
      </w:r>
      <w:r>
        <w:rPr>
          <w:noProof/>
        </w:rPr>
        <w:fldChar w:fldCharType="separate"/>
      </w:r>
      <w:r w:rsidR="004B0870">
        <w:rPr>
          <w:noProof/>
        </w:rPr>
        <w:t>33</w:t>
      </w:r>
      <w:r>
        <w:rPr>
          <w:noProof/>
        </w:rPr>
        <w:fldChar w:fldCharType="end"/>
      </w:r>
    </w:p>
    <w:p w14:paraId="0F691E9C" w14:textId="5DF712D8" w:rsidR="0086263A" w:rsidRDefault="0086263A">
      <w:pPr>
        <w:pStyle w:val="TOC5"/>
        <w:tabs>
          <w:tab w:val="right" w:leader="dot" w:pos="9730"/>
        </w:tabs>
        <w:rPr>
          <w:rFonts w:eastAsiaTheme="minorEastAsia" w:cstheme="minorBidi"/>
          <w:noProof/>
          <w:color w:val="auto"/>
          <w:kern w:val="2"/>
          <w:sz w:val="24"/>
          <w:lang w:eastAsia="en-AU"/>
          <w14:ligatures w14:val="standardContextual"/>
        </w:rPr>
      </w:pPr>
      <w:r>
        <w:rPr>
          <w:noProof/>
        </w:rPr>
        <w:t>Emission factors for electricity from other sources (Method A2)</w:t>
      </w:r>
      <w:r>
        <w:rPr>
          <w:noProof/>
        </w:rPr>
        <w:tab/>
      </w:r>
      <w:r>
        <w:rPr>
          <w:noProof/>
        </w:rPr>
        <w:fldChar w:fldCharType="begin"/>
      </w:r>
      <w:r>
        <w:rPr>
          <w:noProof/>
        </w:rPr>
        <w:instrText xml:space="preserve"> PAGEREF _Toc205461462 \h </w:instrText>
      </w:r>
      <w:r>
        <w:rPr>
          <w:noProof/>
        </w:rPr>
      </w:r>
      <w:r>
        <w:rPr>
          <w:noProof/>
        </w:rPr>
        <w:fldChar w:fldCharType="separate"/>
      </w:r>
      <w:r w:rsidR="004B0870">
        <w:rPr>
          <w:noProof/>
        </w:rPr>
        <w:t>33</w:t>
      </w:r>
      <w:r>
        <w:rPr>
          <w:noProof/>
        </w:rPr>
        <w:fldChar w:fldCharType="end"/>
      </w:r>
    </w:p>
    <w:p w14:paraId="4EC7F128" w14:textId="52883F85" w:rsidR="0086263A" w:rsidRDefault="0086263A">
      <w:pPr>
        <w:pStyle w:val="TOC3"/>
        <w:tabs>
          <w:tab w:val="left" w:pos="1200"/>
        </w:tabs>
        <w:rPr>
          <w:rFonts w:eastAsiaTheme="minorEastAsia" w:cstheme="minorBidi"/>
          <w:noProof/>
          <w:color w:val="auto"/>
          <w:kern w:val="2"/>
          <w:sz w:val="24"/>
          <w:lang w:eastAsia="en-AU"/>
          <w14:ligatures w14:val="standardContextual"/>
        </w:rPr>
      </w:pPr>
      <w:r>
        <w:rPr>
          <w:noProof/>
        </w:rPr>
        <w:t>6.2.2.</w:t>
      </w:r>
      <w:r>
        <w:rPr>
          <w:rFonts w:eastAsiaTheme="minorEastAsia" w:cstheme="minorBidi"/>
          <w:noProof/>
          <w:color w:val="auto"/>
          <w:kern w:val="2"/>
          <w:sz w:val="24"/>
          <w:lang w:eastAsia="en-AU"/>
          <w14:ligatures w14:val="standardContextual"/>
        </w:rPr>
        <w:tab/>
      </w:r>
      <w:r>
        <w:rPr>
          <w:noProof/>
        </w:rPr>
        <w:t>Voluntary market-based method for estimating scope 2 emissions</w:t>
      </w:r>
      <w:r>
        <w:rPr>
          <w:noProof/>
        </w:rPr>
        <w:tab/>
      </w:r>
      <w:r>
        <w:rPr>
          <w:noProof/>
        </w:rPr>
        <w:fldChar w:fldCharType="begin"/>
      </w:r>
      <w:r>
        <w:rPr>
          <w:noProof/>
        </w:rPr>
        <w:instrText xml:space="preserve"> PAGEREF _Toc205461463 \h </w:instrText>
      </w:r>
      <w:r>
        <w:rPr>
          <w:noProof/>
        </w:rPr>
      </w:r>
      <w:r>
        <w:rPr>
          <w:noProof/>
        </w:rPr>
        <w:fldChar w:fldCharType="separate"/>
      </w:r>
      <w:r w:rsidR="004B0870">
        <w:rPr>
          <w:noProof/>
        </w:rPr>
        <w:t>34</w:t>
      </w:r>
      <w:r>
        <w:rPr>
          <w:noProof/>
        </w:rPr>
        <w:fldChar w:fldCharType="end"/>
      </w:r>
    </w:p>
    <w:p w14:paraId="677B64FE" w14:textId="370E3BE1"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6.3.</w:t>
      </w:r>
      <w:r>
        <w:rPr>
          <w:rFonts w:eastAsiaTheme="minorEastAsia" w:cstheme="minorBidi"/>
          <w:noProof/>
          <w:color w:val="auto"/>
          <w:kern w:val="2"/>
          <w:sz w:val="24"/>
          <w:lang w:eastAsia="en-AU"/>
          <w14:ligatures w14:val="standardContextual"/>
        </w:rPr>
        <w:tab/>
      </w:r>
      <w:r>
        <w:rPr>
          <w:noProof/>
        </w:rPr>
        <w:t>Reporting scope 2 emissions in EERS</w:t>
      </w:r>
      <w:r>
        <w:rPr>
          <w:noProof/>
        </w:rPr>
        <w:tab/>
      </w:r>
      <w:r>
        <w:rPr>
          <w:noProof/>
        </w:rPr>
        <w:fldChar w:fldCharType="begin"/>
      </w:r>
      <w:r>
        <w:rPr>
          <w:noProof/>
        </w:rPr>
        <w:instrText xml:space="preserve"> PAGEREF _Toc205461464 \h </w:instrText>
      </w:r>
      <w:r>
        <w:rPr>
          <w:noProof/>
        </w:rPr>
      </w:r>
      <w:r>
        <w:rPr>
          <w:noProof/>
        </w:rPr>
        <w:fldChar w:fldCharType="separate"/>
      </w:r>
      <w:r w:rsidR="004B0870">
        <w:rPr>
          <w:noProof/>
        </w:rPr>
        <w:t>34</w:t>
      </w:r>
      <w:r>
        <w:rPr>
          <w:noProof/>
        </w:rPr>
        <w:fldChar w:fldCharType="end"/>
      </w:r>
    </w:p>
    <w:p w14:paraId="03DE5FD6" w14:textId="22861F83"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6.4.</w:t>
      </w:r>
      <w:r>
        <w:rPr>
          <w:rFonts w:eastAsiaTheme="minorEastAsia" w:cstheme="minorBidi"/>
          <w:noProof/>
          <w:color w:val="auto"/>
          <w:kern w:val="2"/>
          <w:sz w:val="24"/>
          <w:lang w:eastAsia="en-AU"/>
          <w14:ligatures w14:val="standardContextual"/>
        </w:rPr>
        <w:tab/>
      </w:r>
      <w:r>
        <w:rPr>
          <w:noProof/>
        </w:rPr>
        <w:t>Evidence to keep for scope 2 emissions estimates</w:t>
      </w:r>
      <w:r>
        <w:rPr>
          <w:noProof/>
        </w:rPr>
        <w:tab/>
      </w:r>
      <w:r>
        <w:rPr>
          <w:noProof/>
        </w:rPr>
        <w:fldChar w:fldCharType="begin"/>
      </w:r>
      <w:r>
        <w:rPr>
          <w:noProof/>
        </w:rPr>
        <w:instrText xml:space="preserve"> PAGEREF _Toc205461465 \h </w:instrText>
      </w:r>
      <w:r>
        <w:rPr>
          <w:noProof/>
        </w:rPr>
      </w:r>
      <w:r>
        <w:rPr>
          <w:noProof/>
        </w:rPr>
        <w:fldChar w:fldCharType="separate"/>
      </w:r>
      <w:r w:rsidR="004B0870">
        <w:rPr>
          <w:noProof/>
        </w:rPr>
        <w:t>35</w:t>
      </w:r>
      <w:r>
        <w:rPr>
          <w:noProof/>
        </w:rPr>
        <w:fldChar w:fldCharType="end"/>
      </w:r>
    </w:p>
    <w:p w14:paraId="050F3604" w14:textId="073B2C35" w:rsidR="0086263A" w:rsidRDefault="0086263A">
      <w:pPr>
        <w:pStyle w:val="TOC1"/>
        <w:rPr>
          <w:rFonts w:eastAsiaTheme="minorEastAsia" w:cstheme="minorBidi"/>
          <w:b w:val="0"/>
          <w:noProof/>
          <w:color w:val="auto"/>
          <w:kern w:val="2"/>
          <w:sz w:val="24"/>
          <w:lang w:eastAsia="en-AU"/>
          <w14:ligatures w14:val="standardContextual"/>
        </w:rPr>
      </w:pPr>
      <w:r w:rsidRPr="008A7330">
        <w:rPr>
          <w:noProof/>
          <w:lang w:val="en-GB"/>
        </w:rPr>
        <w:t>7.</w:t>
      </w:r>
      <w:r>
        <w:rPr>
          <w:rFonts w:eastAsiaTheme="minorEastAsia" w:cstheme="minorBidi"/>
          <w:b w:val="0"/>
          <w:noProof/>
          <w:color w:val="auto"/>
          <w:kern w:val="2"/>
          <w:sz w:val="24"/>
          <w:lang w:eastAsia="en-AU"/>
          <w14:ligatures w14:val="standardContextual"/>
        </w:rPr>
        <w:tab/>
      </w:r>
      <w:r w:rsidRPr="008A7330">
        <w:rPr>
          <w:noProof/>
          <w:lang w:val="en-GB"/>
        </w:rPr>
        <w:t>Electricity production and consumption</w:t>
      </w:r>
      <w:r>
        <w:rPr>
          <w:noProof/>
        </w:rPr>
        <w:tab/>
      </w:r>
      <w:r>
        <w:rPr>
          <w:noProof/>
        </w:rPr>
        <w:fldChar w:fldCharType="begin"/>
      </w:r>
      <w:r>
        <w:rPr>
          <w:noProof/>
        </w:rPr>
        <w:instrText xml:space="preserve"> PAGEREF _Toc205461466 \h </w:instrText>
      </w:r>
      <w:r>
        <w:rPr>
          <w:noProof/>
        </w:rPr>
      </w:r>
      <w:r>
        <w:rPr>
          <w:noProof/>
        </w:rPr>
        <w:fldChar w:fldCharType="separate"/>
      </w:r>
      <w:r w:rsidR="004B0870">
        <w:rPr>
          <w:noProof/>
        </w:rPr>
        <w:t>36</w:t>
      </w:r>
      <w:r>
        <w:rPr>
          <w:noProof/>
        </w:rPr>
        <w:fldChar w:fldCharType="end"/>
      </w:r>
    </w:p>
    <w:p w14:paraId="3397DD71" w14:textId="353C5D39"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7.1.</w:t>
      </w:r>
      <w:r>
        <w:rPr>
          <w:rFonts w:eastAsiaTheme="minorEastAsia" w:cstheme="minorBidi"/>
          <w:noProof/>
          <w:color w:val="auto"/>
          <w:kern w:val="2"/>
          <w:sz w:val="24"/>
          <w:lang w:eastAsia="en-AU"/>
          <w14:ligatures w14:val="standardContextual"/>
        </w:rPr>
        <w:tab/>
      </w:r>
      <w:r>
        <w:rPr>
          <w:noProof/>
        </w:rPr>
        <w:t>Energy as a fuel or energy commodity</w:t>
      </w:r>
      <w:r>
        <w:rPr>
          <w:noProof/>
        </w:rPr>
        <w:tab/>
      </w:r>
      <w:r>
        <w:rPr>
          <w:noProof/>
        </w:rPr>
        <w:fldChar w:fldCharType="begin"/>
      </w:r>
      <w:r>
        <w:rPr>
          <w:noProof/>
        </w:rPr>
        <w:instrText xml:space="preserve"> PAGEREF _Toc205461467 \h </w:instrText>
      </w:r>
      <w:r>
        <w:rPr>
          <w:noProof/>
        </w:rPr>
      </w:r>
      <w:r>
        <w:rPr>
          <w:noProof/>
        </w:rPr>
        <w:fldChar w:fldCharType="separate"/>
      </w:r>
      <w:r w:rsidR="004B0870">
        <w:rPr>
          <w:noProof/>
        </w:rPr>
        <w:t>36</w:t>
      </w:r>
      <w:r>
        <w:rPr>
          <w:noProof/>
        </w:rPr>
        <w:fldChar w:fldCharType="end"/>
      </w:r>
    </w:p>
    <w:p w14:paraId="64171569" w14:textId="5F3A609E" w:rsidR="0086263A" w:rsidRDefault="0086263A">
      <w:pPr>
        <w:pStyle w:val="TOC5"/>
        <w:tabs>
          <w:tab w:val="right" w:leader="dot" w:pos="9730"/>
        </w:tabs>
        <w:rPr>
          <w:rFonts w:eastAsiaTheme="minorEastAsia" w:cstheme="minorBidi"/>
          <w:noProof/>
          <w:color w:val="auto"/>
          <w:kern w:val="2"/>
          <w:sz w:val="24"/>
          <w:lang w:eastAsia="en-AU"/>
          <w14:ligatures w14:val="standardContextual"/>
        </w:rPr>
      </w:pPr>
      <w:r w:rsidRPr="008A7330">
        <w:rPr>
          <w:b/>
          <w:bCs/>
          <w:noProof/>
        </w:rPr>
        <w:t>Example – Energy production and consumption from a gas-fired power station</w:t>
      </w:r>
      <w:r>
        <w:rPr>
          <w:noProof/>
        </w:rPr>
        <w:tab/>
      </w:r>
      <w:r>
        <w:rPr>
          <w:noProof/>
        </w:rPr>
        <w:fldChar w:fldCharType="begin"/>
      </w:r>
      <w:r>
        <w:rPr>
          <w:noProof/>
        </w:rPr>
        <w:instrText xml:space="preserve"> PAGEREF _Toc205461468 \h </w:instrText>
      </w:r>
      <w:r>
        <w:rPr>
          <w:noProof/>
        </w:rPr>
      </w:r>
      <w:r>
        <w:rPr>
          <w:noProof/>
        </w:rPr>
        <w:fldChar w:fldCharType="separate"/>
      </w:r>
      <w:r w:rsidR="004B0870">
        <w:rPr>
          <w:noProof/>
        </w:rPr>
        <w:t>37</w:t>
      </w:r>
      <w:r>
        <w:rPr>
          <w:noProof/>
        </w:rPr>
        <w:fldChar w:fldCharType="end"/>
      </w:r>
    </w:p>
    <w:p w14:paraId="649D436B" w14:textId="6090670A"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7.2.</w:t>
      </w:r>
      <w:r>
        <w:rPr>
          <w:rFonts w:eastAsiaTheme="minorEastAsia" w:cstheme="minorBidi"/>
          <w:noProof/>
          <w:color w:val="auto"/>
          <w:kern w:val="2"/>
          <w:sz w:val="24"/>
          <w:lang w:eastAsia="en-AU"/>
          <w14:ligatures w14:val="standardContextual"/>
        </w:rPr>
        <w:tab/>
      </w:r>
      <w:r>
        <w:rPr>
          <w:noProof/>
        </w:rPr>
        <w:t>Estimating energy production and consumption</w:t>
      </w:r>
      <w:r>
        <w:rPr>
          <w:noProof/>
        </w:rPr>
        <w:tab/>
      </w:r>
      <w:r>
        <w:rPr>
          <w:noProof/>
        </w:rPr>
        <w:fldChar w:fldCharType="begin"/>
      </w:r>
      <w:r>
        <w:rPr>
          <w:noProof/>
        </w:rPr>
        <w:instrText xml:space="preserve"> PAGEREF _Toc205461469 \h </w:instrText>
      </w:r>
      <w:r>
        <w:rPr>
          <w:noProof/>
        </w:rPr>
      </w:r>
      <w:r>
        <w:rPr>
          <w:noProof/>
        </w:rPr>
        <w:fldChar w:fldCharType="separate"/>
      </w:r>
      <w:r w:rsidR="004B0870">
        <w:rPr>
          <w:noProof/>
        </w:rPr>
        <w:t>37</w:t>
      </w:r>
      <w:r>
        <w:rPr>
          <w:noProof/>
        </w:rPr>
        <w:fldChar w:fldCharType="end"/>
      </w:r>
    </w:p>
    <w:p w14:paraId="00305DC1" w14:textId="57CBDE0F"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7.3.</w:t>
      </w:r>
      <w:r>
        <w:rPr>
          <w:rFonts w:eastAsiaTheme="minorEastAsia" w:cstheme="minorBidi"/>
          <w:noProof/>
          <w:color w:val="auto"/>
          <w:kern w:val="2"/>
          <w:sz w:val="24"/>
          <w:lang w:eastAsia="en-AU"/>
          <w14:ligatures w14:val="standardContextual"/>
        </w:rPr>
        <w:tab/>
      </w:r>
      <w:r>
        <w:rPr>
          <w:noProof/>
        </w:rPr>
        <w:t>Electricity production and consumption</w:t>
      </w:r>
      <w:r>
        <w:rPr>
          <w:noProof/>
        </w:rPr>
        <w:tab/>
      </w:r>
      <w:r>
        <w:rPr>
          <w:noProof/>
        </w:rPr>
        <w:fldChar w:fldCharType="begin"/>
      </w:r>
      <w:r>
        <w:rPr>
          <w:noProof/>
        </w:rPr>
        <w:instrText xml:space="preserve"> PAGEREF _Toc205461470 \h </w:instrText>
      </w:r>
      <w:r>
        <w:rPr>
          <w:noProof/>
        </w:rPr>
      </w:r>
      <w:r>
        <w:rPr>
          <w:noProof/>
        </w:rPr>
        <w:fldChar w:fldCharType="separate"/>
      </w:r>
      <w:r w:rsidR="004B0870">
        <w:rPr>
          <w:noProof/>
        </w:rPr>
        <w:t>37</w:t>
      </w:r>
      <w:r>
        <w:rPr>
          <w:noProof/>
        </w:rPr>
        <w:fldChar w:fldCharType="end"/>
      </w:r>
    </w:p>
    <w:p w14:paraId="5A896E95" w14:textId="417AC8F8" w:rsidR="0086263A" w:rsidRDefault="0086263A">
      <w:pPr>
        <w:pStyle w:val="TOC5"/>
        <w:tabs>
          <w:tab w:val="right" w:leader="dot" w:pos="9730"/>
        </w:tabs>
        <w:rPr>
          <w:rFonts w:eastAsiaTheme="minorEastAsia" w:cstheme="minorBidi"/>
          <w:noProof/>
          <w:color w:val="auto"/>
          <w:kern w:val="2"/>
          <w:sz w:val="24"/>
          <w:lang w:eastAsia="en-AU"/>
          <w14:ligatures w14:val="standardContextual"/>
        </w:rPr>
      </w:pPr>
      <w:r w:rsidRPr="008A7330">
        <w:rPr>
          <w:b/>
          <w:bCs/>
          <w:noProof/>
        </w:rPr>
        <w:t>Electricity threshold example</w:t>
      </w:r>
      <w:r>
        <w:rPr>
          <w:noProof/>
        </w:rPr>
        <w:tab/>
      </w:r>
      <w:r>
        <w:rPr>
          <w:noProof/>
        </w:rPr>
        <w:fldChar w:fldCharType="begin"/>
      </w:r>
      <w:r>
        <w:rPr>
          <w:noProof/>
        </w:rPr>
        <w:instrText xml:space="preserve"> PAGEREF _Toc205461471 \h </w:instrText>
      </w:r>
      <w:r>
        <w:rPr>
          <w:noProof/>
        </w:rPr>
      </w:r>
      <w:r>
        <w:rPr>
          <w:noProof/>
        </w:rPr>
        <w:fldChar w:fldCharType="separate"/>
      </w:r>
      <w:r w:rsidR="004B0870">
        <w:rPr>
          <w:noProof/>
        </w:rPr>
        <w:t>39</w:t>
      </w:r>
      <w:r>
        <w:rPr>
          <w:noProof/>
        </w:rPr>
        <w:fldChar w:fldCharType="end"/>
      </w:r>
    </w:p>
    <w:p w14:paraId="6564302E" w14:textId="2EF10C1A" w:rsidR="0086263A" w:rsidRDefault="0086263A">
      <w:pPr>
        <w:pStyle w:val="TOC3"/>
        <w:tabs>
          <w:tab w:val="left" w:pos="1200"/>
        </w:tabs>
        <w:rPr>
          <w:rFonts w:eastAsiaTheme="minorEastAsia" w:cstheme="minorBidi"/>
          <w:noProof/>
          <w:color w:val="auto"/>
          <w:kern w:val="2"/>
          <w:sz w:val="24"/>
          <w:lang w:eastAsia="en-AU"/>
          <w14:ligatures w14:val="standardContextual"/>
        </w:rPr>
      </w:pPr>
      <w:r w:rsidRPr="008A7330">
        <w:rPr>
          <w:noProof/>
          <w:lang w:val="en-GB"/>
        </w:rPr>
        <w:t>7.3.1.</w:t>
      </w:r>
      <w:r>
        <w:rPr>
          <w:rFonts w:eastAsiaTheme="minorEastAsia" w:cstheme="minorBidi"/>
          <w:noProof/>
          <w:color w:val="auto"/>
          <w:kern w:val="2"/>
          <w:sz w:val="24"/>
          <w:lang w:eastAsia="en-AU"/>
          <w14:ligatures w14:val="standardContextual"/>
        </w:rPr>
        <w:tab/>
      </w:r>
      <w:r w:rsidRPr="008A7330">
        <w:rPr>
          <w:noProof/>
          <w:lang w:val="en-GB"/>
        </w:rPr>
        <w:t>Quantifying electricity consumption</w:t>
      </w:r>
      <w:r>
        <w:rPr>
          <w:noProof/>
        </w:rPr>
        <w:tab/>
      </w:r>
      <w:r>
        <w:rPr>
          <w:noProof/>
        </w:rPr>
        <w:fldChar w:fldCharType="begin"/>
      </w:r>
      <w:r>
        <w:rPr>
          <w:noProof/>
        </w:rPr>
        <w:instrText xml:space="preserve"> PAGEREF _Toc205461472 \h </w:instrText>
      </w:r>
      <w:r>
        <w:rPr>
          <w:noProof/>
        </w:rPr>
      </w:r>
      <w:r>
        <w:rPr>
          <w:noProof/>
        </w:rPr>
        <w:fldChar w:fldCharType="separate"/>
      </w:r>
      <w:r w:rsidR="004B0870">
        <w:rPr>
          <w:noProof/>
        </w:rPr>
        <w:t>39</w:t>
      </w:r>
      <w:r>
        <w:rPr>
          <w:noProof/>
        </w:rPr>
        <w:fldChar w:fldCharType="end"/>
      </w:r>
    </w:p>
    <w:p w14:paraId="4F994C12" w14:textId="307A9EA4" w:rsidR="0086263A" w:rsidRDefault="0086263A">
      <w:pPr>
        <w:pStyle w:val="TOC5"/>
        <w:tabs>
          <w:tab w:val="right" w:leader="dot" w:pos="9730"/>
        </w:tabs>
        <w:rPr>
          <w:rFonts w:eastAsiaTheme="minorEastAsia" w:cstheme="minorBidi"/>
          <w:noProof/>
          <w:color w:val="auto"/>
          <w:kern w:val="2"/>
          <w:sz w:val="24"/>
          <w:lang w:eastAsia="en-AU"/>
          <w14:ligatures w14:val="standardContextual"/>
        </w:rPr>
      </w:pPr>
      <w:r w:rsidRPr="008A7330">
        <w:rPr>
          <w:b/>
          <w:bCs/>
          <w:noProof/>
        </w:rPr>
        <w:t>Example – Quantifying electricity consumption at a hydro power plant</w:t>
      </w:r>
      <w:r>
        <w:rPr>
          <w:noProof/>
        </w:rPr>
        <w:tab/>
      </w:r>
      <w:r>
        <w:rPr>
          <w:noProof/>
        </w:rPr>
        <w:fldChar w:fldCharType="begin"/>
      </w:r>
      <w:r>
        <w:rPr>
          <w:noProof/>
        </w:rPr>
        <w:instrText xml:space="preserve"> PAGEREF _Toc205461473 \h </w:instrText>
      </w:r>
      <w:r>
        <w:rPr>
          <w:noProof/>
        </w:rPr>
      </w:r>
      <w:r>
        <w:rPr>
          <w:noProof/>
        </w:rPr>
        <w:fldChar w:fldCharType="separate"/>
      </w:r>
      <w:r w:rsidR="004B0870">
        <w:rPr>
          <w:noProof/>
        </w:rPr>
        <w:t>40</w:t>
      </w:r>
      <w:r>
        <w:rPr>
          <w:noProof/>
        </w:rPr>
        <w:fldChar w:fldCharType="end"/>
      </w:r>
    </w:p>
    <w:p w14:paraId="470835F1" w14:textId="7FC0F6AD" w:rsidR="0086263A" w:rsidRDefault="0086263A">
      <w:pPr>
        <w:pStyle w:val="TOC3"/>
        <w:tabs>
          <w:tab w:val="left" w:pos="1200"/>
        </w:tabs>
        <w:rPr>
          <w:rFonts w:eastAsiaTheme="minorEastAsia" w:cstheme="minorBidi"/>
          <w:noProof/>
          <w:color w:val="auto"/>
          <w:kern w:val="2"/>
          <w:sz w:val="24"/>
          <w:lang w:eastAsia="en-AU"/>
          <w14:ligatures w14:val="standardContextual"/>
        </w:rPr>
      </w:pPr>
      <w:r w:rsidRPr="008A7330">
        <w:rPr>
          <w:noProof/>
          <w:lang w:val="en-GB"/>
        </w:rPr>
        <w:t>7.3.2.</w:t>
      </w:r>
      <w:r>
        <w:rPr>
          <w:rFonts w:eastAsiaTheme="minorEastAsia" w:cstheme="minorBidi"/>
          <w:noProof/>
          <w:color w:val="auto"/>
          <w:kern w:val="2"/>
          <w:sz w:val="24"/>
          <w:lang w:eastAsia="en-AU"/>
          <w14:ligatures w14:val="standardContextual"/>
        </w:rPr>
        <w:tab/>
      </w:r>
      <w:r w:rsidRPr="008A7330">
        <w:rPr>
          <w:noProof/>
          <w:lang w:val="en-GB"/>
        </w:rPr>
        <w:t>Quantifying electricity production</w:t>
      </w:r>
      <w:r>
        <w:rPr>
          <w:noProof/>
        </w:rPr>
        <w:tab/>
      </w:r>
      <w:r>
        <w:rPr>
          <w:noProof/>
        </w:rPr>
        <w:fldChar w:fldCharType="begin"/>
      </w:r>
      <w:r>
        <w:rPr>
          <w:noProof/>
        </w:rPr>
        <w:instrText xml:space="preserve"> PAGEREF _Toc205461474 \h </w:instrText>
      </w:r>
      <w:r>
        <w:rPr>
          <w:noProof/>
        </w:rPr>
      </w:r>
      <w:r>
        <w:rPr>
          <w:noProof/>
        </w:rPr>
        <w:fldChar w:fldCharType="separate"/>
      </w:r>
      <w:r w:rsidR="004B0870">
        <w:rPr>
          <w:noProof/>
        </w:rPr>
        <w:t>40</w:t>
      </w:r>
      <w:r>
        <w:rPr>
          <w:noProof/>
        </w:rPr>
        <w:fldChar w:fldCharType="end"/>
      </w:r>
    </w:p>
    <w:p w14:paraId="210A2B81" w14:textId="0D52058B" w:rsidR="0086263A" w:rsidRDefault="0086263A">
      <w:pPr>
        <w:pStyle w:val="TOC4"/>
        <w:rPr>
          <w:rFonts w:eastAsiaTheme="minorEastAsia" w:cstheme="minorBidi"/>
          <w:noProof/>
          <w:color w:val="auto"/>
          <w:kern w:val="2"/>
          <w:sz w:val="24"/>
          <w:lang w:eastAsia="en-AU"/>
          <w14:ligatures w14:val="standardContextual"/>
        </w:rPr>
      </w:pPr>
      <w:r>
        <w:rPr>
          <w:noProof/>
        </w:rPr>
        <w:t>Reporting consumption and production of electricity for use onsite in EERS</w:t>
      </w:r>
      <w:r>
        <w:rPr>
          <w:noProof/>
        </w:rPr>
        <w:tab/>
      </w:r>
      <w:r>
        <w:rPr>
          <w:noProof/>
        </w:rPr>
        <w:fldChar w:fldCharType="begin"/>
      </w:r>
      <w:r>
        <w:rPr>
          <w:noProof/>
        </w:rPr>
        <w:instrText xml:space="preserve"> PAGEREF _Toc205461475 \h </w:instrText>
      </w:r>
      <w:r>
        <w:rPr>
          <w:noProof/>
        </w:rPr>
      </w:r>
      <w:r>
        <w:rPr>
          <w:noProof/>
        </w:rPr>
        <w:fldChar w:fldCharType="separate"/>
      </w:r>
      <w:r w:rsidR="004B0870">
        <w:rPr>
          <w:noProof/>
        </w:rPr>
        <w:t>41</w:t>
      </w:r>
      <w:r>
        <w:rPr>
          <w:noProof/>
        </w:rPr>
        <w:fldChar w:fldCharType="end"/>
      </w:r>
    </w:p>
    <w:p w14:paraId="1E33BC3F" w14:textId="2DDD4180" w:rsidR="0086263A" w:rsidRDefault="0086263A">
      <w:pPr>
        <w:pStyle w:val="TOC4"/>
        <w:rPr>
          <w:rFonts w:eastAsiaTheme="minorEastAsia" w:cstheme="minorBidi"/>
          <w:noProof/>
          <w:color w:val="auto"/>
          <w:kern w:val="2"/>
          <w:sz w:val="24"/>
          <w:lang w:eastAsia="en-AU"/>
          <w14:ligatures w14:val="standardContextual"/>
        </w:rPr>
      </w:pPr>
      <w:r w:rsidRPr="008A7330">
        <w:rPr>
          <w:b/>
          <w:noProof/>
        </w:rPr>
        <w:t>Example – Reporting consumption and production of electricity for use onsite in EERS</w:t>
      </w:r>
      <w:r>
        <w:rPr>
          <w:noProof/>
        </w:rPr>
        <w:tab/>
      </w:r>
      <w:r>
        <w:rPr>
          <w:noProof/>
        </w:rPr>
        <w:fldChar w:fldCharType="begin"/>
      </w:r>
      <w:r>
        <w:rPr>
          <w:noProof/>
        </w:rPr>
        <w:instrText xml:space="preserve"> PAGEREF _Toc205461476 \h </w:instrText>
      </w:r>
      <w:r>
        <w:rPr>
          <w:noProof/>
        </w:rPr>
      </w:r>
      <w:r>
        <w:rPr>
          <w:noProof/>
        </w:rPr>
        <w:fldChar w:fldCharType="separate"/>
      </w:r>
      <w:r w:rsidR="004B0870">
        <w:rPr>
          <w:noProof/>
        </w:rPr>
        <w:t>42</w:t>
      </w:r>
      <w:r>
        <w:rPr>
          <w:noProof/>
        </w:rPr>
        <w:fldChar w:fldCharType="end"/>
      </w:r>
    </w:p>
    <w:p w14:paraId="41C98232" w14:textId="1245A4E9" w:rsidR="0086263A" w:rsidRDefault="0086263A">
      <w:pPr>
        <w:pStyle w:val="TOC4"/>
        <w:rPr>
          <w:rFonts w:eastAsiaTheme="minorEastAsia" w:cstheme="minorBidi"/>
          <w:noProof/>
          <w:color w:val="auto"/>
          <w:kern w:val="2"/>
          <w:sz w:val="24"/>
          <w:lang w:eastAsia="en-AU"/>
          <w14:ligatures w14:val="standardContextual"/>
        </w:rPr>
      </w:pPr>
      <w:r>
        <w:rPr>
          <w:noProof/>
        </w:rPr>
        <w:t>Measuring electricity production</w:t>
      </w:r>
      <w:r>
        <w:rPr>
          <w:noProof/>
        </w:rPr>
        <w:tab/>
      </w:r>
      <w:r>
        <w:rPr>
          <w:noProof/>
        </w:rPr>
        <w:fldChar w:fldCharType="begin"/>
      </w:r>
      <w:r>
        <w:rPr>
          <w:noProof/>
        </w:rPr>
        <w:instrText xml:space="preserve"> PAGEREF _Toc205461477 \h </w:instrText>
      </w:r>
      <w:r>
        <w:rPr>
          <w:noProof/>
        </w:rPr>
      </w:r>
      <w:r>
        <w:rPr>
          <w:noProof/>
        </w:rPr>
        <w:fldChar w:fldCharType="separate"/>
      </w:r>
      <w:r w:rsidR="004B0870">
        <w:rPr>
          <w:noProof/>
        </w:rPr>
        <w:t>42</w:t>
      </w:r>
      <w:r>
        <w:rPr>
          <w:noProof/>
        </w:rPr>
        <w:fldChar w:fldCharType="end"/>
      </w:r>
    </w:p>
    <w:p w14:paraId="6A9492AD" w14:textId="2ACD49DC" w:rsidR="0086263A" w:rsidRDefault="0086263A">
      <w:pPr>
        <w:pStyle w:val="TOC5"/>
        <w:tabs>
          <w:tab w:val="right" w:leader="dot" w:pos="9730"/>
        </w:tabs>
        <w:rPr>
          <w:rFonts w:eastAsiaTheme="minorEastAsia" w:cstheme="minorBidi"/>
          <w:noProof/>
          <w:color w:val="auto"/>
          <w:kern w:val="2"/>
          <w:sz w:val="24"/>
          <w:lang w:eastAsia="en-AU"/>
          <w14:ligatures w14:val="standardContextual"/>
        </w:rPr>
      </w:pPr>
      <w:r w:rsidRPr="008A7330">
        <w:rPr>
          <w:b/>
          <w:bCs/>
          <w:noProof/>
        </w:rPr>
        <w:t>Example – Quantifying electricity production at a gas-fired power plant</w:t>
      </w:r>
      <w:r>
        <w:rPr>
          <w:noProof/>
        </w:rPr>
        <w:tab/>
      </w:r>
      <w:r>
        <w:rPr>
          <w:noProof/>
        </w:rPr>
        <w:fldChar w:fldCharType="begin"/>
      </w:r>
      <w:r>
        <w:rPr>
          <w:noProof/>
        </w:rPr>
        <w:instrText xml:space="preserve"> PAGEREF _Toc205461478 \h </w:instrText>
      </w:r>
      <w:r>
        <w:rPr>
          <w:noProof/>
        </w:rPr>
      </w:r>
      <w:r>
        <w:rPr>
          <w:noProof/>
        </w:rPr>
        <w:fldChar w:fldCharType="separate"/>
      </w:r>
      <w:r w:rsidR="004B0870">
        <w:rPr>
          <w:noProof/>
        </w:rPr>
        <w:t>43</w:t>
      </w:r>
      <w:r>
        <w:rPr>
          <w:noProof/>
        </w:rPr>
        <w:fldChar w:fldCharType="end"/>
      </w:r>
    </w:p>
    <w:p w14:paraId="60CBE0DF" w14:textId="6575D036" w:rsidR="0086263A" w:rsidRDefault="0086263A">
      <w:pPr>
        <w:pStyle w:val="TOC3"/>
        <w:tabs>
          <w:tab w:val="left" w:pos="1200"/>
        </w:tabs>
        <w:rPr>
          <w:rFonts w:eastAsiaTheme="minorEastAsia" w:cstheme="minorBidi"/>
          <w:noProof/>
          <w:color w:val="auto"/>
          <w:kern w:val="2"/>
          <w:sz w:val="24"/>
          <w:lang w:eastAsia="en-AU"/>
          <w14:ligatures w14:val="standardContextual"/>
        </w:rPr>
      </w:pPr>
      <w:r w:rsidRPr="008A7330">
        <w:rPr>
          <w:noProof/>
          <w:lang w:val="en-GB"/>
        </w:rPr>
        <w:t>7.3.3.</w:t>
      </w:r>
      <w:r>
        <w:rPr>
          <w:rFonts w:eastAsiaTheme="minorEastAsia" w:cstheme="minorBidi"/>
          <w:noProof/>
          <w:color w:val="auto"/>
          <w:kern w:val="2"/>
          <w:sz w:val="24"/>
          <w:lang w:eastAsia="en-AU"/>
          <w14:ligatures w14:val="standardContextual"/>
        </w:rPr>
        <w:tab/>
      </w:r>
      <w:r w:rsidRPr="008A7330">
        <w:rPr>
          <w:noProof/>
          <w:lang w:val="en-GB"/>
        </w:rPr>
        <w:t>Cogeneration</w:t>
      </w:r>
      <w:r>
        <w:rPr>
          <w:noProof/>
        </w:rPr>
        <w:tab/>
      </w:r>
      <w:r>
        <w:rPr>
          <w:noProof/>
        </w:rPr>
        <w:fldChar w:fldCharType="begin"/>
      </w:r>
      <w:r>
        <w:rPr>
          <w:noProof/>
        </w:rPr>
        <w:instrText xml:space="preserve"> PAGEREF _Toc205461479 \h </w:instrText>
      </w:r>
      <w:r>
        <w:rPr>
          <w:noProof/>
        </w:rPr>
      </w:r>
      <w:r>
        <w:rPr>
          <w:noProof/>
        </w:rPr>
        <w:fldChar w:fldCharType="separate"/>
      </w:r>
      <w:r w:rsidR="004B0870">
        <w:rPr>
          <w:noProof/>
        </w:rPr>
        <w:t>43</w:t>
      </w:r>
      <w:r>
        <w:rPr>
          <w:noProof/>
        </w:rPr>
        <w:fldChar w:fldCharType="end"/>
      </w:r>
    </w:p>
    <w:p w14:paraId="087EA5AE" w14:textId="671F1728"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7.4.</w:t>
      </w:r>
      <w:r>
        <w:rPr>
          <w:rFonts w:eastAsiaTheme="minorEastAsia" w:cstheme="minorBidi"/>
          <w:noProof/>
          <w:color w:val="auto"/>
          <w:kern w:val="2"/>
          <w:sz w:val="24"/>
          <w:lang w:eastAsia="en-AU"/>
          <w14:ligatures w14:val="standardContextual"/>
        </w:rPr>
        <w:tab/>
      </w:r>
      <w:r>
        <w:rPr>
          <w:noProof/>
        </w:rPr>
        <w:t>Renewable energy commodity production and consumption</w:t>
      </w:r>
      <w:r>
        <w:rPr>
          <w:noProof/>
        </w:rPr>
        <w:tab/>
      </w:r>
      <w:r>
        <w:rPr>
          <w:noProof/>
        </w:rPr>
        <w:fldChar w:fldCharType="begin"/>
      </w:r>
      <w:r>
        <w:rPr>
          <w:noProof/>
        </w:rPr>
        <w:instrText xml:space="preserve"> PAGEREF _Toc205461480 \h </w:instrText>
      </w:r>
      <w:r>
        <w:rPr>
          <w:noProof/>
        </w:rPr>
      </w:r>
      <w:r>
        <w:rPr>
          <w:noProof/>
        </w:rPr>
        <w:fldChar w:fldCharType="separate"/>
      </w:r>
      <w:r w:rsidR="004B0870">
        <w:rPr>
          <w:noProof/>
        </w:rPr>
        <w:t>44</w:t>
      </w:r>
      <w:r>
        <w:rPr>
          <w:noProof/>
        </w:rPr>
        <w:fldChar w:fldCharType="end"/>
      </w:r>
    </w:p>
    <w:p w14:paraId="7DA6AF71" w14:textId="56191F20" w:rsidR="0086263A" w:rsidRDefault="0086263A">
      <w:pPr>
        <w:pStyle w:val="TOC3"/>
        <w:rPr>
          <w:rFonts w:eastAsiaTheme="minorEastAsia" w:cstheme="minorBidi"/>
          <w:noProof/>
          <w:color w:val="auto"/>
          <w:kern w:val="2"/>
          <w:sz w:val="24"/>
          <w:lang w:eastAsia="en-AU"/>
          <w14:ligatures w14:val="standardContextual"/>
        </w:rPr>
      </w:pPr>
      <w:r w:rsidRPr="008A7330">
        <w:rPr>
          <w:b/>
          <w:noProof/>
        </w:rPr>
        <w:t>Example – Consumption of a renewable energy commodity</w:t>
      </w:r>
      <w:r>
        <w:rPr>
          <w:noProof/>
        </w:rPr>
        <w:tab/>
      </w:r>
      <w:r>
        <w:rPr>
          <w:noProof/>
        </w:rPr>
        <w:fldChar w:fldCharType="begin"/>
      </w:r>
      <w:r>
        <w:rPr>
          <w:noProof/>
        </w:rPr>
        <w:instrText xml:space="preserve"> PAGEREF _Toc205461481 \h </w:instrText>
      </w:r>
      <w:r>
        <w:rPr>
          <w:noProof/>
        </w:rPr>
      </w:r>
      <w:r>
        <w:rPr>
          <w:noProof/>
        </w:rPr>
        <w:fldChar w:fldCharType="separate"/>
      </w:r>
      <w:r w:rsidR="004B0870">
        <w:rPr>
          <w:noProof/>
        </w:rPr>
        <w:t>44</w:t>
      </w:r>
      <w:r>
        <w:rPr>
          <w:noProof/>
        </w:rPr>
        <w:fldChar w:fldCharType="end"/>
      </w:r>
    </w:p>
    <w:p w14:paraId="7EA57AD5" w14:textId="56206936" w:rsidR="0086263A" w:rsidRDefault="0086263A">
      <w:pPr>
        <w:pStyle w:val="TOC3"/>
        <w:rPr>
          <w:rFonts w:eastAsiaTheme="minorEastAsia" w:cstheme="minorBidi"/>
          <w:noProof/>
          <w:color w:val="auto"/>
          <w:kern w:val="2"/>
          <w:sz w:val="24"/>
          <w:lang w:eastAsia="en-AU"/>
          <w14:ligatures w14:val="standardContextual"/>
        </w:rPr>
      </w:pPr>
      <w:r w:rsidRPr="008A7330">
        <w:rPr>
          <w:b/>
          <w:noProof/>
        </w:rPr>
        <w:t>Example – Reporting production of electricity from a renewable energy commodity</w:t>
      </w:r>
      <w:r>
        <w:rPr>
          <w:noProof/>
        </w:rPr>
        <w:tab/>
      </w:r>
      <w:r>
        <w:rPr>
          <w:noProof/>
        </w:rPr>
        <w:fldChar w:fldCharType="begin"/>
      </w:r>
      <w:r>
        <w:rPr>
          <w:noProof/>
        </w:rPr>
        <w:instrText xml:space="preserve"> PAGEREF _Toc205461482 \h </w:instrText>
      </w:r>
      <w:r>
        <w:rPr>
          <w:noProof/>
        </w:rPr>
      </w:r>
      <w:r>
        <w:rPr>
          <w:noProof/>
        </w:rPr>
        <w:fldChar w:fldCharType="separate"/>
      </w:r>
      <w:r w:rsidR="004B0870">
        <w:rPr>
          <w:noProof/>
        </w:rPr>
        <w:t>45</w:t>
      </w:r>
      <w:r>
        <w:rPr>
          <w:noProof/>
        </w:rPr>
        <w:fldChar w:fldCharType="end"/>
      </w:r>
    </w:p>
    <w:p w14:paraId="2D663617" w14:textId="72F886D8" w:rsidR="0086263A" w:rsidRDefault="0086263A">
      <w:pPr>
        <w:pStyle w:val="TOC3"/>
        <w:tabs>
          <w:tab w:val="left" w:pos="1200"/>
        </w:tabs>
        <w:rPr>
          <w:rFonts w:eastAsiaTheme="minorEastAsia" w:cstheme="minorBidi"/>
          <w:noProof/>
          <w:color w:val="auto"/>
          <w:kern w:val="2"/>
          <w:sz w:val="24"/>
          <w:lang w:eastAsia="en-AU"/>
          <w14:ligatures w14:val="standardContextual"/>
        </w:rPr>
      </w:pPr>
      <w:r w:rsidRPr="008A7330">
        <w:rPr>
          <w:noProof/>
          <w:lang w:val="en-GB"/>
        </w:rPr>
        <w:t>7.4.1.</w:t>
      </w:r>
      <w:r>
        <w:rPr>
          <w:rFonts w:eastAsiaTheme="minorEastAsia" w:cstheme="minorBidi"/>
          <w:noProof/>
          <w:color w:val="auto"/>
          <w:kern w:val="2"/>
          <w:sz w:val="24"/>
          <w:lang w:eastAsia="en-AU"/>
          <w14:ligatures w14:val="standardContextual"/>
        </w:rPr>
        <w:tab/>
      </w:r>
      <w:r w:rsidRPr="008A7330">
        <w:rPr>
          <w:noProof/>
          <w:lang w:val="en-GB"/>
        </w:rPr>
        <w:t>Reporting of NGER data alongside RET data</w:t>
      </w:r>
      <w:r>
        <w:rPr>
          <w:noProof/>
        </w:rPr>
        <w:tab/>
      </w:r>
      <w:r>
        <w:rPr>
          <w:noProof/>
        </w:rPr>
        <w:fldChar w:fldCharType="begin"/>
      </w:r>
      <w:r>
        <w:rPr>
          <w:noProof/>
        </w:rPr>
        <w:instrText xml:space="preserve"> PAGEREF _Toc205461483 \h </w:instrText>
      </w:r>
      <w:r>
        <w:rPr>
          <w:noProof/>
        </w:rPr>
      </w:r>
      <w:r>
        <w:rPr>
          <w:noProof/>
        </w:rPr>
        <w:fldChar w:fldCharType="separate"/>
      </w:r>
      <w:r w:rsidR="004B0870">
        <w:rPr>
          <w:noProof/>
        </w:rPr>
        <w:t>45</w:t>
      </w:r>
      <w:r>
        <w:rPr>
          <w:noProof/>
        </w:rPr>
        <w:fldChar w:fldCharType="end"/>
      </w:r>
    </w:p>
    <w:p w14:paraId="4535DBCF" w14:textId="6E4F0F21"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7.5.</w:t>
      </w:r>
      <w:r>
        <w:rPr>
          <w:rFonts w:eastAsiaTheme="minorEastAsia" w:cstheme="minorBidi"/>
          <w:noProof/>
          <w:color w:val="auto"/>
          <w:kern w:val="2"/>
          <w:sz w:val="24"/>
          <w:lang w:eastAsia="en-AU"/>
          <w14:ligatures w14:val="standardContextual"/>
        </w:rPr>
        <w:tab/>
      </w:r>
      <w:r>
        <w:rPr>
          <w:noProof/>
        </w:rPr>
        <w:t>Energy consumption from fuel use</w:t>
      </w:r>
      <w:r>
        <w:rPr>
          <w:noProof/>
        </w:rPr>
        <w:tab/>
      </w:r>
      <w:r>
        <w:rPr>
          <w:noProof/>
        </w:rPr>
        <w:fldChar w:fldCharType="begin"/>
      </w:r>
      <w:r>
        <w:rPr>
          <w:noProof/>
        </w:rPr>
        <w:instrText xml:space="preserve"> PAGEREF _Toc205461484 \h </w:instrText>
      </w:r>
      <w:r>
        <w:rPr>
          <w:noProof/>
        </w:rPr>
      </w:r>
      <w:r>
        <w:rPr>
          <w:noProof/>
        </w:rPr>
        <w:fldChar w:fldCharType="separate"/>
      </w:r>
      <w:r w:rsidR="004B0870">
        <w:rPr>
          <w:noProof/>
        </w:rPr>
        <w:t>45</w:t>
      </w:r>
      <w:r>
        <w:rPr>
          <w:noProof/>
        </w:rPr>
        <w:fldChar w:fldCharType="end"/>
      </w:r>
    </w:p>
    <w:p w14:paraId="3E3E6AAB" w14:textId="42DF1AD3" w:rsidR="0086263A" w:rsidRDefault="0086263A">
      <w:pPr>
        <w:pStyle w:val="TOC3"/>
        <w:tabs>
          <w:tab w:val="left" w:pos="1200"/>
        </w:tabs>
        <w:rPr>
          <w:rFonts w:eastAsiaTheme="minorEastAsia" w:cstheme="minorBidi"/>
          <w:noProof/>
          <w:color w:val="auto"/>
          <w:kern w:val="2"/>
          <w:sz w:val="24"/>
          <w:lang w:eastAsia="en-AU"/>
          <w14:ligatures w14:val="standardContextual"/>
        </w:rPr>
      </w:pPr>
      <w:r w:rsidRPr="008A7330">
        <w:rPr>
          <w:noProof/>
          <w:lang w:val="en-GB"/>
        </w:rPr>
        <w:t>7.5.1.</w:t>
      </w:r>
      <w:r>
        <w:rPr>
          <w:rFonts w:eastAsiaTheme="minorEastAsia" w:cstheme="minorBidi"/>
          <w:noProof/>
          <w:color w:val="auto"/>
          <w:kern w:val="2"/>
          <w:sz w:val="24"/>
          <w:lang w:eastAsia="en-AU"/>
          <w14:ligatures w14:val="standardContextual"/>
        </w:rPr>
        <w:tab/>
      </w:r>
      <w:r w:rsidRPr="008A7330">
        <w:rPr>
          <w:noProof/>
          <w:lang w:val="en-GB"/>
        </w:rPr>
        <w:t>Blended fuels and other fuel mixes</w:t>
      </w:r>
      <w:r>
        <w:rPr>
          <w:noProof/>
        </w:rPr>
        <w:tab/>
      </w:r>
      <w:r>
        <w:rPr>
          <w:noProof/>
        </w:rPr>
        <w:fldChar w:fldCharType="begin"/>
      </w:r>
      <w:r>
        <w:rPr>
          <w:noProof/>
        </w:rPr>
        <w:instrText xml:space="preserve"> PAGEREF _Toc205461485 \h </w:instrText>
      </w:r>
      <w:r>
        <w:rPr>
          <w:noProof/>
        </w:rPr>
      </w:r>
      <w:r>
        <w:rPr>
          <w:noProof/>
        </w:rPr>
        <w:fldChar w:fldCharType="separate"/>
      </w:r>
      <w:r w:rsidR="004B0870">
        <w:rPr>
          <w:noProof/>
        </w:rPr>
        <w:t>46</w:t>
      </w:r>
      <w:r>
        <w:rPr>
          <w:noProof/>
        </w:rPr>
        <w:fldChar w:fldCharType="end"/>
      </w:r>
    </w:p>
    <w:p w14:paraId="7B8EED1F" w14:textId="32074EDA"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7.6.</w:t>
      </w:r>
      <w:r>
        <w:rPr>
          <w:rFonts w:eastAsiaTheme="minorEastAsia" w:cstheme="minorBidi"/>
          <w:noProof/>
          <w:color w:val="auto"/>
          <w:kern w:val="2"/>
          <w:sz w:val="24"/>
          <w:lang w:eastAsia="en-AU"/>
          <w14:ligatures w14:val="standardContextual"/>
        </w:rPr>
        <w:tab/>
      </w:r>
      <w:r>
        <w:rPr>
          <w:noProof/>
        </w:rPr>
        <w:t>Reporting of battery energy storage system (BESS) activities</w:t>
      </w:r>
      <w:r>
        <w:rPr>
          <w:noProof/>
        </w:rPr>
        <w:tab/>
      </w:r>
      <w:r>
        <w:rPr>
          <w:noProof/>
        </w:rPr>
        <w:fldChar w:fldCharType="begin"/>
      </w:r>
      <w:r>
        <w:rPr>
          <w:noProof/>
        </w:rPr>
        <w:instrText xml:space="preserve"> PAGEREF _Toc205461486 \h </w:instrText>
      </w:r>
      <w:r>
        <w:rPr>
          <w:noProof/>
        </w:rPr>
      </w:r>
      <w:r>
        <w:rPr>
          <w:noProof/>
        </w:rPr>
        <w:fldChar w:fldCharType="separate"/>
      </w:r>
      <w:r w:rsidR="004B0870">
        <w:rPr>
          <w:noProof/>
        </w:rPr>
        <w:t>47</w:t>
      </w:r>
      <w:r>
        <w:rPr>
          <w:noProof/>
        </w:rPr>
        <w:fldChar w:fldCharType="end"/>
      </w:r>
    </w:p>
    <w:p w14:paraId="352BB7A6" w14:textId="17D63A68" w:rsidR="0086263A" w:rsidRDefault="0086263A">
      <w:pPr>
        <w:pStyle w:val="TOC3"/>
        <w:tabs>
          <w:tab w:val="left" w:pos="1200"/>
        </w:tabs>
        <w:rPr>
          <w:rFonts w:eastAsiaTheme="minorEastAsia" w:cstheme="minorBidi"/>
          <w:noProof/>
          <w:color w:val="auto"/>
          <w:kern w:val="2"/>
          <w:sz w:val="24"/>
          <w:lang w:eastAsia="en-AU"/>
          <w14:ligatures w14:val="standardContextual"/>
        </w:rPr>
      </w:pPr>
      <w:r>
        <w:rPr>
          <w:noProof/>
        </w:rPr>
        <w:t>7.6.1.</w:t>
      </w:r>
      <w:r>
        <w:rPr>
          <w:rFonts w:eastAsiaTheme="minorEastAsia" w:cstheme="minorBidi"/>
          <w:noProof/>
          <w:color w:val="auto"/>
          <w:kern w:val="2"/>
          <w:sz w:val="24"/>
          <w:lang w:eastAsia="en-AU"/>
          <w14:ligatures w14:val="standardContextual"/>
        </w:rPr>
        <w:tab/>
      </w:r>
      <w:r>
        <w:rPr>
          <w:noProof/>
        </w:rPr>
        <w:t>Principles of BESS reporting</w:t>
      </w:r>
      <w:r>
        <w:rPr>
          <w:noProof/>
        </w:rPr>
        <w:tab/>
      </w:r>
      <w:r>
        <w:rPr>
          <w:noProof/>
        </w:rPr>
        <w:fldChar w:fldCharType="begin"/>
      </w:r>
      <w:r>
        <w:rPr>
          <w:noProof/>
        </w:rPr>
        <w:instrText xml:space="preserve"> PAGEREF _Toc205461487 \h </w:instrText>
      </w:r>
      <w:r>
        <w:rPr>
          <w:noProof/>
        </w:rPr>
      </w:r>
      <w:r>
        <w:rPr>
          <w:noProof/>
        </w:rPr>
        <w:fldChar w:fldCharType="separate"/>
      </w:r>
      <w:r w:rsidR="004B0870">
        <w:rPr>
          <w:noProof/>
        </w:rPr>
        <w:t>47</w:t>
      </w:r>
      <w:r>
        <w:rPr>
          <w:noProof/>
        </w:rPr>
        <w:fldChar w:fldCharType="end"/>
      </w:r>
    </w:p>
    <w:p w14:paraId="693118AB" w14:textId="4CF0E7E2" w:rsidR="0086263A" w:rsidRDefault="0086263A">
      <w:pPr>
        <w:pStyle w:val="TOC3"/>
        <w:tabs>
          <w:tab w:val="left" w:pos="1200"/>
        </w:tabs>
        <w:rPr>
          <w:rFonts w:eastAsiaTheme="minorEastAsia" w:cstheme="minorBidi"/>
          <w:noProof/>
          <w:color w:val="auto"/>
          <w:kern w:val="2"/>
          <w:sz w:val="24"/>
          <w:lang w:eastAsia="en-AU"/>
          <w14:ligatures w14:val="standardContextual"/>
        </w:rPr>
      </w:pPr>
      <w:r>
        <w:rPr>
          <w:noProof/>
        </w:rPr>
        <w:t>7.6.2.</w:t>
      </w:r>
      <w:r>
        <w:rPr>
          <w:rFonts w:eastAsiaTheme="minorEastAsia" w:cstheme="minorBidi"/>
          <w:noProof/>
          <w:color w:val="auto"/>
          <w:kern w:val="2"/>
          <w:sz w:val="24"/>
          <w:lang w:eastAsia="en-AU"/>
          <w14:ligatures w14:val="standardContextual"/>
        </w:rPr>
        <w:tab/>
      </w:r>
      <w:r>
        <w:rPr>
          <w:noProof/>
        </w:rPr>
        <w:t>Reporting VPP activities (a ‘BESS network’)</w:t>
      </w:r>
      <w:r>
        <w:rPr>
          <w:noProof/>
        </w:rPr>
        <w:tab/>
      </w:r>
      <w:r>
        <w:rPr>
          <w:noProof/>
        </w:rPr>
        <w:fldChar w:fldCharType="begin"/>
      </w:r>
      <w:r>
        <w:rPr>
          <w:noProof/>
        </w:rPr>
        <w:instrText xml:space="preserve"> PAGEREF _Toc205461488 \h </w:instrText>
      </w:r>
      <w:r>
        <w:rPr>
          <w:noProof/>
        </w:rPr>
      </w:r>
      <w:r>
        <w:rPr>
          <w:noProof/>
        </w:rPr>
        <w:fldChar w:fldCharType="separate"/>
      </w:r>
      <w:r w:rsidR="004B0870">
        <w:rPr>
          <w:noProof/>
        </w:rPr>
        <w:t>47</w:t>
      </w:r>
      <w:r>
        <w:rPr>
          <w:noProof/>
        </w:rPr>
        <w:fldChar w:fldCharType="end"/>
      </w:r>
    </w:p>
    <w:p w14:paraId="1B8C4F42" w14:textId="0523BED3"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7.7.</w:t>
      </w:r>
      <w:r>
        <w:rPr>
          <w:rFonts w:eastAsiaTheme="minorEastAsia" w:cstheme="minorBidi"/>
          <w:noProof/>
          <w:color w:val="auto"/>
          <w:kern w:val="2"/>
          <w:sz w:val="24"/>
          <w:lang w:eastAsia="en-AU"/>
          <w14:ligatures w14:val="standardContextual"/>
        </w:rPr>
        <w:tab/>
      </w:r>
      <w:r>
        <w:rPr>
          <w:noProof/>
        </w:rPr>
        <w:t>Net Energy Consumption</w:t>
      </w:r>
      <w:r>
        <w:rPr>
          <w:noProof/>
        </w:rPr>
        <w:tab/>
      </w:r>
      <w:r>
        <w:rPr>
          <w:noProof/>
        </w:rPr>
        <w:fldChar w:fldCharType="begin"/>
      </w:r>
      <w:r>
        <w:rPr>
          <w:noProof/>
        </w:rPr>
        <w:instrText xml:space="preserve"> PAGEREF _Toc205461489 \h </w:instrText>
      </w:r>
      <w:r>
        <w:rPr>
          <w:noProof/>
        </w:rPr>
      </w:r>
      <w:r>
        <w:rPr>
          <w:noProof/>
        </w:rPr>
        <w:fldChar w:fldCharType="separate"/>
      </w:r>
      <w:r w:rsidR="004B0870">
        <w:rPr>
          <w:noProof/>
        </w:rPr>
        <w:t>47</w:t>
      </w:r>
      <w:r>
        <w:rPr>
          <w:noProof/>
        </w:rPr>
        <w:fldChar w:fldCharType="end"/>
      </w:r>
    </w:p>
    <w:p w14:paraId="70C96978" w14:textId="3C436072" w:rsidR="0086263A" w:rsidRDefault="0086263A">
      <w:pPr>
        <w:pStyle w:val="TOC4"/>
        <w:rPr>
          <w:rFonts w:eastAsiaTheme="minorEastAsia" w:cstheme="minorBidi"/>
          <w:noProof/>
          <w:color w:val="auto"/>
          <w:kern w:val="2"/>
          <w:sz w:val="24"/>
          <w:lang w:eastAsia="en-AU"/>
          <w14:ligatures w14:val="standardContextual"/>
        </w:rPr>
      </w:pPr>
      <w:r>
        <w:rPr>
          <w:noProof/>
        </w:rPr>
        <w:t>Defining primary and secondary energy commodities</w:t>
      </w:r>
      <w:r>
        <w:rPr>
          <w:noProof/>
        </w:rPr>
        <w:tab/>
      </w:r>
      <w:r>
        <w:rPr>
          <w:noProof/>
        </w:rPr>
        <w:fldChar w:fldCharType="begin"/>
      </w:r>
      <w:r>
        <w:rPr>
          <w:noProof/>
        </w:rPr>
        <w:instrText xml:space="preserve"> PAGEREF _Toc205461490 \h </w:instrText>
      </w:r>
      <w:r>
        <w:rPr>
          <w:noProof/>
        </w:rPr>
      </w:r>
      <w:r>
        <w:rPr>
          <w:noProof/>
        </w:rPr>
        <w:fldChar w:fldCharType="separate"/>
      </w:r>
      <w:r w:rsidR="004B0870">
        <w:rPr>
          <w:noProof/>
        </w:rPr>
        <w:t>47</w:t>
      </w:r>
      <w:r>
        <w:rPr>
          <w:noProof/>
        </w:rPr>
        <w:fldChar w:fldCharType="end"/>
      </w:r>
    </w:p>
    <w:p w14:paraId="79E02045" w14:textId="150024BF" w:rsidR="0086263A" w:rsidRDefault="0086263A">
      <w:pPr>
        <w:pStyle w:val="TOC4"/>
        <w:rPr>
          <w:rFonts w:eastAsiaTheme="minorEastAsia" w:cstheme="minorBidi"/>
          <w:noProof/>
          <w:color w:val="auto"/>
          <w:kern w:val="2"/>
          <w:sz w:val="24"/>
          <w:lang w:eastAsia="en-AU"/>
          <w14:ligatures w14:val="standardContextual"/>
        </w:rPr>
      </w:pPr>
      <w:r>
        <w:rPr>
          <w:noProof/>
        </w:rPr>
        <w:t>Calculating net energy consumption</w:t>
      </w:r>
      <w:r>
        <w:rPr>
          <w:noProof/>
        </w:rPr>
        <w:tab/>
      </w:r>
      <w:r>
        <w:rPr>
          <w:noProof/>
        </w:rPr>
        <w:fldChar w:fldCharType="begin"/>
      </w:r>
      <w:r>
        <w:rPr>
          <w:noProof/>
        </w:rPr>
        <w:instrText xml:space="preserve"> PAGEREF _Toc205461491 \h </w:instrText>
      </w:r>
      <w:r>
        <w:rPr>
          <w:noProof/>
        </w:rPr>
      </w:r>
      <w:r>
        <w:rPr>
          <w:noProof/>
        </w:rPr>
        <w:fldChar w:fldCharType="separate"/>
      </w:r>
      <w:r w:rsidR="004B0870">
        <w:rPr>
          <w:noProof/>
        </w:rPr>
        <w:t>48</w:t>
      </w:r>
      <w:r>
        <w:rPr>
          <w:noProof/>
        </w:rPr>
        <w:fldChar w:fldCharType="end"/>
      </w:r>
    </w:p>
    <w:p w14:paraId="2642E4B0" w14:textId="0F3AFBE4" w:rsidR="0086263A" w:rsidRDefault="0086263A">
      <w:pPr>
        <w:pStyle w:val="TOC1"/>
        <w:rPr>
          <w:rFonts w:eastAsiaTheme="minorEastAsia" w:cstheme="minorBidi"/>
          <w:b w:val="0"/>
          <w:noProof/>
          <w:color w:val="auto"/>
          <w:kern w:val="2"/>
          <w:sz w:val="24"/>
          <w:lang w:eastAsia="en-AU"/>
          <w14:ligatures w14:val="standardContextual"/>
        </w:rPr>
      </w:pPr>
      <w:r w:rsidRPr="008A7330">
        <w:rPr>
          <w:noProof/>
          <w:lang w:val="en-GB"/>
        </w:rPr>
        <w:lastRenderedPageBreak/>
        <w:t>8.</w:t>
      </w:r>
      <w:r>
        <w:rPr>
          <w:rFonts w:eastAsiaTheme="minorEastAsia" w:cstheme="minorBidi"/>
          <w:b w:val="0"/>
          <w:noProof/>
          <w:color w:val="auto"/>
          <w:kern w:val="2"/>
          <w:sz w:val="24"/>
          <w:lang w:eastAsia="en-AU"/>
          <w14:ligatures w14:val="standardContextual"/>
        </w:rPr>
        <w:tab/>
      </w:r>
      <w:r w:rsidRPr="008A7330">
        <w:rPr>
          <w:noProof/>
          <w:lang w:val="en-GB"/>
        </w:rPr>
        <w:t>Measurement requirements</w:t>
      </w:r>
      <w:r>
        <w:rPr>
          <w:noProof/>
        </w:rPr>
        <w:tab/>
      </w:r>
      <w:r>
        <w:rPr>
          <w:noProof/>
        </w:rPr>
        <w:fldChar w:fldCharType="begin"/>
      </w:r>
      <w:r>
        <w:rPr>
          <w:noProof/>
        </w:rPr>
        <w:instrText xml:space="preserve"> PAGEREF _Toc205461492 \h </w:instrText>
      </w:r>
      <w:r>
        <w:rPr>
          <w:noProof/>
        </w:rPr>
      </w:r>
      <w:r>
        <w:rPr>
          <w:noProof/>
        </w:rPr>
        <w:fldChar w:fldCharType="separate"/>
      </w:r>
      <w:r w:rsidR="004B0870">
        <w:rPr>
          <w:noProof/>
        </w:rPr>
        <w:t>49</w:t>
      </w:r>
      <w:r>
        <w:rPr>
          <w:noProof/>
        </w:rPr>
        <w:fldChar w:fldCharType="end"/>
      </w:r>
    </w:p>
    <w:p w14:paraId="6F4C03E2" w14:textId="373DE929"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8.1.</w:t>
      </w:r>
      <w:r>
        <w:rPr>
          <w:rFonts w:eastAsiaTheme="minorEastAsia" w:cstheme="minorBidi"/>
          <w:noProof/>
          <w:color w:val="auto"/>
          <w:kern w:val="2"/>
          <w:sz w:val="24"/>
          <w:lang w:eastAsia="en-AU"/>
          <w14:ligatures w14:val="standardContextual"/>
        </w:rPr>
        <w:tab/>
      </w:r>
      <w:r>
        <w:rPr>
          <w:noProof/>
        </w:rPr>
        <w:t>Measurement Criteria</w:t>
      </w:r>
      <w:r>
        <w:rPr>
          <w:noProof/>
        </w:rPr>
        <w:tab/>
      </w:r>
      <w:r>
        <w:rPr>
          <w:noProof/>
        </w:rPr>
        <w:fldChar w:fldCharType="begin"/>
      </w:r>
      <w:r>
        <w:rPr>
          <w:noProof/>
        </w:rPr>
        <w:instrText xml:space="preserve"> PAGEREF _Toc205461493 \h </w:instrText>
      </w:r>
      <w:r>
        <w:rPr>
          <w:noProof/>
        </w:rPr>
      </w:r>
      <w:r>
        <w:rPr>
          <w:noProof/>
        </w:rPr>
        <w:fldChar w:fldCharType="separate"/>
      </w:r>
      <w:r w:rsidR="004B0870">
        <w:rPr>
          <w:noProof/>
        </w:rPr>
        <w:t>49</w:t>
      </w:r>
      <w:r>
        <w:rPr>
          <w:noProof/>
        </w:rPr>
        <w:fldChar w:fldCharType="end"/>
      </w:r>
    </w:p>
    <w:p w14:paraId="523DEE09" w14:textId="2F55AA1B" w:rsidR="0086263A" w:rsidRDefault="0086263A">
      <w:pPr>
        <w:pStyle w:val="TOC4"/>
        <w:rPr>
          <w:rFonts w:eastAsiaTheme="minorEastAsia" w:cstheme="minorBidi"/>
          <w:noProof/>
          <w:color w:val="auto"/>
          <w:kern w:val="2"/>
          <w:sz w:val="24"/>
          <w:lang w:eastAsia="en-AU"/>
          <w14:ligatures w14:val="standardContextual"/>
        </w:rPr>
      </w:pPr>
      <w:r>
        <w:rPr>
          <w:noProof/>
        </w:rPr>
        <w:t>Specific notes regarding measurement criteria per fuel states</w:t>
      </w:r>
      <w:r>
        <w:rPr>
          <w:noProof/>
        </w:rPr>
        <w:tab/>
      </w:r>
      <w:r>
        <w:rPr>
          <w:noProof/>
        </w:rPr>
        <w:fldChar w:fldCharType="begin"/>
      </w:r>
      <w:r>
        <w:rPr>
          <w:noProof/>
        </w:rPr>
        <w:instrText xml:space="preserve"> PAGEREF _Toc205461494 \h </w:instrText>
      </w:r>
      <w:r>
        <w:rPr>
          <w:noProof/>
        </w:rPr>
      </w:r>
      <w:r>
        <w:rPr>
          <w:noProof/>
        </w:rPr>
        <w:fldChar w:fldCharType="separate"/>
      </w:r>
      <w:r w:rsidR="004B0870">
        <w:rPr>
          <w:noProof/>
        </w:rPr>
        <w:t>50</w:t>
      </w:r>
      <w:r>
        <w:rPr>
          <w:noProof/>
        </w:rPr>
        <w:fldChar w:fldCharType="end"/>
      </w:r>
    </w:p>
    <w:p w14:paraId="2CE1AFB4" w14:textId="30D79F4E"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8.2.</w:t>
      </w:r>
      <w:r>
        <w:rPr>
          <w:rFonts w:eastAsiaTheme="minorEastAsia" w:cstheme="minorBidi"/>
          <w:noProof/>
          <w:color w:val="auto"/>
          <w:kern w:val="2"/>
          <w:sz w:val="24"/>
          <w:lang w:eastAsia="en-AU"/>
          <w14:ligatures w14:val="standardContextual"/>
        </w:rPr>
        <w:tab/>
      </w:r>
      <w:r>
        <w:rPr>
          <w:noProof/>
        </w:rPr>
        <w:t>Metering considerations</w:t>
      </w:r>
      <w:r>
        <w:rPr>
          <w:noProof/>
        </w:rPr>
        <w:tab/>
      </w:r>
      <w:r>
        <w:rPr>
          <w:noProof/>
        </w:rPr>
        <w:fldChar w:fldCharType="begin"/>
      </w:r>
      <w:r>
        <w:rPr>
          <w:noProof/>
        </w:rPr>
        <w:instrText xml:space="preserve"> PAGEREF _Toc205461495 \h </w:instrText>
      </w:r>
      <w:r>
        <w:rPr>
          <w:noProof/>
        </w:rPr>
      </w:r>
      <w:r>
        <w:rPr>
          <w:noProof/>
        </w:rPr>
        <w:fldChar w:fldCharType="separate"/>
      </w:r>
      <w:r w:rsidR="004B0870">
        <w:rPr>
          <w:noProof/>
        </w:rPr>
        <w:t>50</w:t>
      </w:r>
      <w:r>
        <w:rPr>
          <w:noProof/>
        </w:rPr>
        <w:fldChar w:fldCharType="end"/>
      </w:r>
    </w:p>
    <w:p w14:paraId="691E5D76" w14:textId="41B58E31"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8.3.</w:t>
      </w:r>
      <w:r>
        <w:rPr>
          <w:rFonts w:eastAsiaTheme="minorEastAsia" w:cstheme="minorBidi"/>
          <w:noProof/>
          <w:color w:val="auto"/>
          <w:kern w:val="2"/>
          <w:sz w:val="24"/>
          <w:lang w:eastAsia="en-AU"/>
          <w14:ligatures w14:val="standardContextual"/>
        </w:rPr>
        <w:tab/>
      </w:r>
      <w:r>
        <w:rPr>
          <w:noProof/>
        </w:rPr>
        <w:t>Industry practice (measurement criterion BBB)</w:t>
      </w:r>
      <w:r>
        <w:rPr>
          <w:noProof/>
        </w:rPr>
        <w:tab/>
      </w:r>
      <w:r>
        <w:rPr>
          <w:noProof/>
        </w:rPr>
        <w:fldChar w:fldCharType="begin"/>
      </w:r>
      <w:r>
        <w:rPr>
          <w:noProof/>
        </w:rPr>
        <w:instrText xml:space="preserve"> PAGEREF _Toc205461496 \h </w:instrText>
      </w:r>
      <w:r>
        <w:rPr>
          <w:noProof/>
        </w:rPr>
      </w:r>
      <w:r>
        <w:rPr>
          <w:noProof/>
        </w:rPr>
        <w:fldChar w:fldCharType="separate"/>
      </w:r>
      <w:r w:rsidR="004B0870">
        <w:rPr>
          <w:noProof/>
        </w:rPr>
        <w:t>53</w:t>
      </w:r>
      <w:r>
        <w:rPr>
          <w:noProof/>
        </w:rPr>
        <w:fldChar w:fldCharType="end"/>
      </w:r>
    </w:p>
    <w:p w14:paraId="4CF4663C" w14:textId="05C75D5F" w:rsidR="0086263A" w:rsidRDefault="0086263A">
      <w:pPr>
        <w:pStyle w:val="TOC4"/>
        <w:rPr>
          <w:rFonts w:eastAsiaTheme="minorEastAsia" w:cstheme="minorBidi"/>
          <w:noProof/>
          <w:color w:val="auto"/>
          <w:kern w:val="2"/>
          <w:sz w:val="24"/>
          <w:lang w:eastAsia="en-AU"/>
          <w14:ligatures w14:val="standardContextual"/>
        </w:rPr>
      </w:pPr>
      <w:r w:rsidRPr="008A7330">
        <w:rPr>
          <w:rFonts w:eastAsiaTheme="majorEastAsia"/>
          <w:noProof/>
        </w:rPr>
        <w:t>Measuring fuel consumption based on electricity production</w:t>
      </w:r>
      <w:r>
        <w:rPr>
          <w:noProof/>
        </w:rPr>
        <w:tab/>
      </w:r>
      <w:r>
        <w:rPr>
          <w:noProof/>
        </w:rPr>
        <w:fldChar w:fldCharType="begin"/>
      </w:r>
      <w:r>
        <w:rPr>
          <w:noProof/>
        </w:rPr>
        <w:instrText xml:space="preserve"> PAGEREF _Toc205461497 \h </w:instrText>
      </w:r>
      <w:r>
        <w:rPr>
          <w:noProof/>
        </w:rPr>
      </w:r>
      <w:r>
        <w:rPr>
          <w:noProof/>
        </w:rPr>
        <w:fldChar w:fldCharType="separate"/>
      </w:r>
      <w:r w:rsidR="004B0870">
        <w:rPr>
          <w:noProof/>
        </w:rPr>
        <w:t>54</w:t>
      </w:r>
      <w:r>
        <w:rPr>
          <w:noProof/>
        </w:rPr>
        <w:fldChar w:fldCharType="end"/>
      </w:r>
    </w:p>
    <w:p w14:paraId="5702FAFD" w14:textId="1166FF69" w:rsidR="0086263A" w:rsidRDefault="0086263A">
      <w:pPr>
        <w:pStyle w:val="TOC2"/>
        <w:tabs>
          <w:tab w:val="left" w:pos="880"/>
          <w:tab w:val="right" w:leader="dot" w:pos="9730"/>
        </w:tabs>
        <w:rPr>
          <w:rFonts w:eastAsiaTheme="minorEastAsia" w:cstheme="minorBidi"/>
          <w:noProof/>
          <w:color w:val="auto"/>
          <w:kern w:val="2"/>
          <w:sz w:val="24"/>
          <w:lang w:eastAsia="en-AU"/>
          <w14:ligatures w14:val="standardContextual"/>
        </w:rPr>
      </w:pPr>
      <w:r>
        <w:rPr>
          <w:noProof/>
        </w:rPr>
        <w:t>8.4.</w:t>
      </w:r>
      <w:r>
        <w:rPr>
          <w:rFonts w:eastAsiaTheme="minorEastAsia" w:cstheme="minorBidi"/>
          <w:noProof/>
          <w:color w:val="auto"/>
          <w:kern w:val="2"/>
          <w:sz w:val="24"/>
          <w:lang w:eastAsia="en-AU"/>
          <w14:ligatures w14:val="standardContextual"/>
        </w:rPr>
        <w:tab/>
      </w:r>
      <w:r>
        <w:rPr>
          <w:noProof/>
        </w:rPr>
        <w:t>Temporarily unavailability of a method of estimating emissions</w:t>
      </w:r>
      <w:r>
        <w:rPr>
          <w:noProof/>
        </w:rPr>
        <w:tab/>
      </w:r>
      <w:r>
        <w:rPr>
          <w:noProof/>
        </w:rPr>
        <w:fldChar w:fldCharType="begin"/>
      </w:r>
      <w:r>
        <w:rPr>
          <w:noProof/>
        </w:rPr>
        <w:instrText xml:space="preserve"> PAGEREF _Toc205461498 \h </w:instrText>
      </w:r>
      <w:r>
        <w:rPr>
          <w:noProof/>
        </w:rPr>
      </w:r>
      <w:r>
        <w:rPr>
          <w:noProof/>
        </w:rPr>
        <w:fldChar w:fldCharType="separate"/>
      </w:r>
      <w:r w:rsidR="004B0870">
        <w:rPr>
          <w:noProof/>
        </w:rPr>
        <w:t>54</w:t>
      </w:r>
      <w:r>
        <w:rPr>
          <w:noProof/>
        </w:rPr>
        <w:fldChar w:fldCharType="end"/>
      </w:r>
    </w:p>
    <w:p w14:paraId="2863AB08" w14:textId="2367602D" w:rsidR="0086263A" w:rsidRDefault="0086263A">
      <w:pPr>
        <w:pStyle w:val="TOC1"/>
        <w:rPr>
          <w:rFonts w:eastAsiaTheme="minorEastAsia" w:cstheme="minorBidi"/>
          <w:b w:val="0"/>
          <w:noProof/>
          <w:color w:val="auto"/>
          <w:kern w:val="2"/>
          <w:sz w:val="24"/>
          <w:lang w:eastAsia="en-AU"/>
          <w14:ligatures w14:val="standardContextual"/>
        </w:rPr>
      </w:pPr>
      <w:r w:rsidRPr="008A7330">
        <w:rPr>
          <w:noProof/>
          <w:lang w:val="en-GB"/>
        </w:rPr>
        <w:t>9.</w:t>
      </w:r>
      <w:r>
        <w:rPr>
          <w:rFonts w:eastAsiaTheme="minorEastAsia" w:cstheme="minorBidi"/>
          <w:b w:val="0"/>
          <w:noProof/>
          <w:color w:val="auto"/>
          <w:kern w:val="2"/>
          <w:sz w:val="24"/>
          <w:lang w:eastAsia="en-AU"/>
          <w14:ligatures w14:val="standardContextual"/>
        </w:rPr>
        <w:tab/>
      </w:r>
      <w:r w:rsidRPr="008A7330">
        <w:rPr>
          <w:noProof/>
          <w:lang w:val="en-GB"/>
        </w:rPr>
        <w:t>More information and references</w:t>
      </w:r>
      <w:r>
        <w:rPr>
          <w:noProof/>
        </w:rPr>
        <w:tab/>
      </w:r>
      <w:r>
        <w:rPr>
          <w:noProof/>
        </w:rPr>
        <w:fldChar w:fldCharType="begin"/>
      </w:r>
      <w:r>
        <w:rPr>
          <w:noProof/>
        </w:rPr>
        <w:instrText xml:space="preserve"> PAGEREF _Toc205461499 \h </w:instrText>
      </w:r>
      <w:r>
        <w:rPr>
          <w:noProof/>
        </w:rPr>
      </w:r>
      <w:r>
        <w:rPr>
          <w:noProof/>
        </w:rPr>
        <w:fldChar w:fldCharType="separate"/>
      </w:r>
      <w:r w:rsidR="004B0870">
        <w:rPr>
          <w:noProof/>
        </w:rPr>
        <w:t>55</w:t>
      </w:r>
      <w:r>
        <w:rPr>
          <w:noProof/>
        </w:rPr>
        <w:fldChar w:fldCharType="end"/>
      </w:r>
    </w:p>
    <w:p w14:paraId="12A513B2" w14:textId="13D8C8A3" w:rsidR="0086263A" w:rsidRDefault="0086263A">
      <w:pPr>
        <w:pStyle w:val="TOC2"/>
        <w:tabs>
          <w:tab w:val="right" w:leader="dot" w:pos="9730"/>
        </w:tabs>
        <w:rPr>
          <w:rFonts w:eastAsiaTheme="minorEastAsia" w:cstheme="minorBidi"/>
          <w:noProof/>
          <w:color w:val="auto"/>
          <w:kern w:val="2"/>
          <w:sz w:val="24"/>
          <w:lang w:eastAsia="en-AU"/>
          <w14:ligatures w14:val="standardContextual"/>
        </w:rPr>
      </w:pPr>
      <w:r>
        <w:rPr>
          <w:noProof/>
        </w:rPr>
        <w:t>More information</w:t>
      </w:r>
      <w:r>
        <w:rPr>
          <w:noProof/>
        </w:rPr>
        <w:tab/>
      </w:r>
      <w:r>
        <w:rPr>
          <w:noProof/>
        </w:rPr>
        <w:fldChar w:fldCharType="begin"/>
      </w:r>
      <w:r>
        <w:rPr>
          <w:noProof/>
        </w:rPr>
        <w:instrText xml:space="preserve"> PAGEREF _Toc205461500 \h </w:instrText>
      </w:r>
      <w:r>
        <w:rPr>
          <w:noProof/>
        </w:rPr>
      </w:r>
      <w:r>
        <w:rPr>
          <w:noProof/>
        </w:rPr>
        <w:fldChar w:fldCharType="separate"/>
      </w:r>
      <w:r w:rsidR="004B0870">
        <w:rPr>
          <w:noProof/>
        </w:rPr>
        <w:t>55</w:t>
      </w:r>
      <w:r>
        <w:rPr>
          <w:noProof/>
        </w:rPr>
        <w:fldChar w:fldCharType="end"/>
      </w:r>
    </w:p>
    <w:p w14:paraId="61F15992" w14:textId="521BCD2A" w:rsidR="0086263A" w:rsidRDefault="0086263A">
      <w:pPr>
        <w:pStyle w:val="TOC2"/>
        <w:tabs>
          <w:tab w:val="right" w:leader="dot" w:pos="9730"/>
        </w:tabs>
        <w:rPr>
          <w:rFonts w:eastAsiaTheme="minorEastAsia" w:cstheme="minorBidi"/>
          <w:noProof/>
          <w:color w:val="auto"/>
          <w:kern w:val="2"/>
          <w:sz w:val="24"/>
          <w:lang w:eastAsia="en-AU"/>
          <w14:ligatures w14:val="standardContextual"/>
        </w:rPr>
      </w:pPr>
      <w:r>
        <w:rPr>
          <w:noProof/>
        </w:rPr>
        <w:t>References</w:t>
      </w:r>
      <w:r>
        <w:rPr>
          <w:noProof/>
        </w:rPr>
        <w:tab/>
      </w:r>
      <w:r>
        <w:rPr>
          <w:noProof/>
        </w:rPr>
        <w:fldChar w:fldCharType="begin"/>
      </w:r>
      <w:r>
        <w:rPr>
          <w:noProof/>
        </w:rPr>
        <w:instrText xml:space="preserve"> PAGEREF _Toc205461501 \h </w:instrText>
      </w:r>
      <w:r>
        <w:rPr>
          <w:noProof/>
        </w:rPr>
      </w:r>
      <w:r>
        <w:rPr>
          <w:noProof/>
        </w:rPr>
        <w:fldChar w:fldCharType="separate"/>
      </w:r>
      <w:r w:rsidR="004B0870">
        <w:rPr>
          <w:noProof/>
        </w:rPr>
        <w:t>55</w:t>
      </w:r>
      <w:r>
        <w:rPr>
          <w:noProof/>
        </w:rPr>
        <w:fldChar w:fldCharType="end"/>
      </w:r>
    </w:p>
    <w:p w14:paraId="030621F1" w14:textId="395F7A60" w:rsidR="0086263A" w:rsidRDefault="0086263A">
      <w:pPr>
        <w:pStyle w:val="TOC1"/>
        <w:rPr>
          <w:rFonts w:eastAsiaTheme="minorEastAsia" w:cstheme="minorBidi"/>
          <w:b w:val="0"/>
          <w:noProof/>
          <w:color w:val="auto"/>
          <w:kern w:val="2"/>
          <w:sz w:val="24"/>
          <w:lang w:eastAsia="en-AU"/>
          <w14:ligatures w14:val="standardContextual"/>
        </w:rPr>
      </w:pPr>
      <w:r>
        <w:rPr>
          <w:noProof/>
        </w:rPr>
        <w:t>Appendices</w:t>
      </w:r>
      <w:r>
        <w:rPr>
          <w:noProof/>
        </w:rPr>
        <w:tab/>
      </w:r>
      <w:r>
        <w:rPr>
          <w:noProof/>
        </w:rPr>
        <w:fldChar w:fldCharType="begin"/>
      </w:r>
      <w:r>
        <w:rPr>
          <w:noProof/>
        </w:rPr>
        <w:instrText xml:space="preserve"> PAGEREF _Toc205461502 \h </w:instrText>
      </w:r>
      <w:r>
        <w:rPr>
          <w:noProof/>
        </w:rPr>
      </w:r>
      <w:r>
        <w:rPr>
          <w:noProof/>
        </w:rPr>
        <w:fldChar w:fldCharType="separate"/>
      </w:r>
      <w:r w:rsidR="004B0870">
        <w:rPr>
          <w:noProof/>
        </w:rPr>
        <w:t>56</w:t>
      </w:r>
      <w:r>
        <w:rPr>
          <w:noProof/>
        </w:rPr>
        <w:fldChar w:fldCharType="end"/>
      </w:r>
    </w:p>
    <w:p w14:paraId="1D50BD3F" w14:textId="0DF8146A" w:rsidR="0086263A" w:rsidRDefault="0086263A">
      <w:pPr>
        <w:pStyle w:val="TOC2"/>
        <w:tabs>
          <w:tab w:val="right" w:leader="dot" w:pos="9730"/>
        </w:tabs>
        <w:rPr>
          <w:rFonts w:eastAsiaTheme="minorEastAsia" w:cstheme="minorBidi"/>
          <w:noProof/>
          <w:color w:val="auto"/>
          <w:kern w:val="2"/>
          <w:sz w:val="24"/>
          <w:lang w:eastAsia="en-AU"/>
          <w14:ligatures w14:val="standardContextual"/>
        </w:rPr>
      </w:pPr>
      <w:r>
        <w:rPr>
          <w:noProof/>
        </w:rPr>
        <w:t>Appendix A – Case examples for electricity sector facilities</w:t>
      </w:r>
      <w:r>
        <w:rPr>
          <w:noProof/>
        </w:rPr>
        <w:tab/>
      </w:r>
      <w:r>
        <w:rPr>
          <w:noProof/>
        </w:rPr>
        <w:fldChar w:fldCharType="begin"/>
      </w:r>
      <w:r>
        <w:rPr>
          <w:noProof/>
        </w:rPr>
        <w:instrText xml:space="preserve"> PAGEREF _Toc205461503 \h </w:instrText>
      </w:r>
      <w:r>
        <w:rPr>
          <w:noProof/>
        </w:rPr>
      </w:r>
      <w:r>
        <w:rPr>
          <w:noProof/>
        </w:rPr>
        <w:fldChar w:fldCharType="separate"/>
      </w:r>
      <w:r w:rsidR="004B0870">
        <w:rPr>
          <w:noProof/>
        </w:rPr>
        <w:t>56</w:t>
      </w:r>
      <w:r>
        <w:rPr>
          <w:noProof/>
        </w:rPr>
        <w:fldChar w:fldCharType="end"/>
      </w:r>
    </w:p>
    <w:p w14:paraId="3D78D130" w14:textId="3E695CC5" w:rsidR="0086263A" w:rsidRDefault="0086263A">
      <w:pPr>
        <w:pStyle w:val="TOC3"/>
        <w:rPr>
          <w:rFonts w:eastAsiaTheme="minorEastAsia" w:cstheme="minorBidi"/>
          <w:noProof/>
          <w:color w:val="auto"/>
          <w:kern w:val="2"/>
          <w:sz w:val="24"/>
          <w:lang w:eastAsia="en-AU"/>
          <w14:ligatures w14:val="standardContextual"/>
        </w:rPr>
      </w:pPr>
      <w:r w:rsidRPr="008A7330">
        <w:rPr>
          <w:noProof/>
          <w:lang w:val="en-GB"/>
        </w:rPr>
        <w:t>Case example 1: Gas-fired power plant</w:t>
      </w:r>
      <w:r>
        <w:rPr>
          <w:noProof/>
        </w:rPr>
        <w:tab/>
      </w:r>
      <w:r>
        <w:rPr>
          <w:noProof/>
        </w:rPr>
        <w:fldChar w:fldCharType="begin"/>
      </w:r>
      <w:r>
        <w:rPr>
          <w:noProof/>
        </w:rPr>
        <w:instrText xml:space="preserve"> PAGEREF _Toc205461504 \h </w:instrText>
      </w:r>
      <w:r>
        <w:rPr>
          <w:noProof/>
        </w:rPr>
      </w:r>
      <w:r>
        <w:rPr>
          <w:noProof/>
        </w:rPr>
        <w:fldChar w:fldCharType="separate"/>
      </w:r>
      <w:r w:rsidR="004B0870">
        <w:rPr>
          <w:noProof/>
        </w:rPr>
        <w:t>56</w:t>
      </w:r>
      <w:r>
        <w:rPr>
          <w:noProof/>
        </w:rPr>
        <w:fldChar w:fldCharType="end"/>
      </w:r>
    </w:p>
    <w:p w14:paraId="5EFDEADD" w14:textId="3031FE13" w:rsidR="0086263A" w:rsidRDefault="0086263A">
      <w:pPr>
        <w:pStyle w:val="TOC4"/>
        <w:rPr>
          <w:rFonts w:eastAsiaTheme="minorEastAsia" w:cstheme="minorBidi"/>
          <w:noProof/>
          <w:color w:val="auto"/>
          <w:kern w:val="2"/>
          <w:sz w:val="24"/>
          <w:lang w:eastAsia="en-AU"/>
          <w14:ligatures w14:val="standardContextual"/>
        </w:rPr>
      </w:pPr>
      <w:r>
        <w:rPr>
          <w:noProof/>
        </w:rPr>
        <w:t>NGER activities and industry sector</w:t>
      </w:r>
      <w:r>
        <w:rPr>
          <w:noProof/>
        </w:rPr>
        <w:tab/>
      </w:r>
      <w:r>
        <w:rPr>
          <w:noProof/>
        </w:rPr>
        <w:fldChar w:fldCharType="begin"/>
      </w:r>
      <w:r>
        <w:rPr>
          <w:noProof/>
        </w:rPr>
        <w:instrText xml:space="preserve"> PAGEREF _Toc205461505 \h </w:instrText>
      </w:r>
      <w:r>
        <w:rPr>
          <w:noProof/>
        </w:rPr>
      </w:r>
      <w:r>
        <w:rPr>
          <w:noProof/>
        </w:rPr>
        <w:fldChar w:fldCharType="separate"/>
      </w:r>
      <w:r w:rsidR="004B0870">
        <w:rPr>
          <w:noProof/>
        </w:rPr>
        <w:t>56</w:t>
      </w:r>
      <w:r>
        <w:rPr>
          <w:noProof/>
        </w:rPr>
        <w:fldChar w:fldCharType="end"/>
      </w:r>
    </w:p>
    <w:p w14:paraId="4E28049D" w14:textId="055D2AB8" w:rsidR="0086263A" w:rsidRDefault="0086263A">
      <w:pPr>
        <w:pStyle w:val="TOC3"/>
        <w:rPr>
          <w:rFonts w:eastAsiaTheme="minorEastAsia" w:cstheme="minorBidi"/>
          <w:noProof/>
          <w:color w:val="auto"/>
          <w:kern w:val="2"/>
          <w:sz w:val="24"/>
          <w:lang w:eastAsia="en-AU"/>
          <w14:ligatures w14:val="standardContextual"/>
        </w:rPr>
      </w:pPr>
      <w:r w:rsidRPr="008A7330">
        <w:rPr>
          <w:noProof/>
          <w:lang w:val="en-GB"/>
        </w:rPr>
        <w:t>Case example 2: Hydro power plant</w:t>
      </w:r>
      <w:r>
        <w:rPr>
          <w:noProof/>
        </w:rPr>
        <w:tab/>
      </w:r>
      <w:r>
        <w:rPr>
          <w:noProof/>
        </w:rPr>
        <w:fldChar w:fldCharType="begin"/>
      </w:r>
      <w:r>
        <w:rPr>
          <w:noProof/>
        </w:rPr>
        <w:instrText xml:space="preserve"> PAGEREF _Toc205461506 \h </w:instrText>
      </w:r>
      <w:r>
        <w:rPr>
          <w:noProof/>
        </w:rPr>
      </w:r>
      <w:r>
        <w:rPr>
          <w:noProof/>
        </w:rPr>
        <w:fldChar w:fldCharType="separate"/>
      </w:r>
      <w:r w:rsidR="004B0870">
        <w:rPr>
          <w:noProof/>
        </w:rPr>
        <w:t>61</w:t>
      </w:r>
      <w:r>
        <w:rPr>
          <w:noProof/>
        </w:rPr>
        <w:fldChar w:fldCharType="end"/>
      </w:r>
    </w:p>
    <w:p w14:paraId="7045DD30" w14:textId="45411ABD" w:rsidR="0086263A" w:rsidRDefault="0086263A">
      <w:pPr>
        <w:pStyle w:val="TOC4"/>
        <w:rPr>
          <w:rFonts w:eastAsiaTheme="minorEastAsia" w:cstheme="minorBidi"/>
          <w:noProof/>
          <w:color w:val="auto"/>
          <w:kern w:val="2"/>
          <w:sz w:val="24"/>
          <w:lang w:eastAsia="en-AU"/>
          <w14:ligatures w14:val="standardContextual"/>
        </w:rPr>
      </w:pPr>
      <w:r>
        <w:rPr>
          <w:noProof/>
        </w:rPr>
        <w:t>NGER activities and industry sector</w:t>
      </w:r>
      <w:r>
        <w:rPr>
          <w:noProof/>
        </w:rPr>
        <w:tab/>
      </w:r>
      <w:r>
        <w:rPr>
          <w:noProof/>
        </w:rPr>
        <w:fldChar w:fldCharType="begin"/>
      </w:r>
      <w:r>
        <w:rPr>
          <w:noProof/>
        </w:rPr>
        <w:instrText xml:space="preserve"> PAGEREF _Toc205461507 \h </w:instrText>
      </w:r>
      <w:r>
        <w:rPr>
          <w:noProof/>
        </w:rPr>
      </w:r>
      <w:r>
        <w:rPr>
          <w:noProof/>
        </w:rPr>
        <w:fldChar w:fldCharType="separate"/>
      </w:r>
      <w:r w:rsidR="004B0870">
        <w:rPr>
          <w:noProof/>
        </w:rPr>
        <w:t>61</w:t>
      </w:r>
      <w:r>
        <w:rPr>
          <w:noProof/>
        </w:rPr>
        <w:fldChar w:fldCharType="end"/>
      </w:r>
    </w:p>
    <w:p w14:paraId="6A75B548" w14:textId="434378B1" w:rsidR="00235142" w:rsidRDefault="00235142" w:rsidP="00235142">
      <w:r>
        <w:fldChar w:fldCharType="end"/>
      </w:r>
    </w:p>
    <w:p w14:paraId="7CDA73F9" w14:textId="51F212FD" w:rsidR="002B4789" w:rsidRPr="00FF338C" w:rsidRDefault="00235142" w:rsidP="002B4789">
      <w:pPr>
        <w:pStyle w:val="Caption"/>
      </w:pPr>
      <w:r>
        <w:br w:type="page"/>
      </w:r>
      <w:bookmarkStart w:id="6" w:name="_Toc106705741"/>
      <w:bookmarkStart w:id="7" w:name="_Toc205461419"/>
      <w:bookmarkEnd w:id="4"/>
      <w:bookmarkEnd w:id="5"/>
      <w:r w:rsidR="002B4789" w:rsidRPr="00E67D71">
        <w:rPr>
          <w:rStyle w:val="Heading1Char"/>
          <w:rFonts w:eastAsia="Cambria"/>
          <w:i w:val="0"/>
        </w:rPr>
        <w:t>Definitions and abbreviations</w:t>
      </w:r>
      <w:bookmarkEnd w:id="6"/>
      <w:bookmarkEnd w:id="7"/>
      <w:r w:rsidR="002B4789" w:rsidRPr="00FF338C">
        <w:t xml:space="preserve"> </w:t>
      </w:r>
    </w:p>
    <w:tbl>
      <w:tblPr>
        <w:tblStyle w:val="CERTable"/>
        <w:tblW w:w="9781" w:type="dxa"/>
        <w:tblLook w:val="04A0" w:firstRow="1" w:lastRow="0" w:firstColumn="1" w:lastColumn="0" w:noHBand="0" w:noVBand="1"/>
      </w:tblPr>
      <w:tblGrid>
        <w:gridCol w:w="1575"/>
        <w:gridCol w:w="8206"/>
      </w:tblGrid>
      <w:tr w:rsidR="002B4789" w:rsidRPr="00FF338C" w14:paraId="6F73C883" w14:textId="77777777" w:rsidTr="00EC10F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75" w:type="dxa"/>
          </w:tcPr>
          <w:p w14:paraId="63A00C0B" w14:textId="77777777" w:rsidR="002B4789" w:rsidRPr="00FF338C" w:rsidRDefault="002B4789">
            <w:r w:rsidRPr="00FF338C">
              <w:t>Term</w:t>
            </w:r>
          </w:p>
        </w:tc>
        <w:tc>
          <w:tcPr>
            <w:tcW w:w="8206" w:type="dxa"/>
          </w:tcPr>
          <w:p w14:paraId="0DFAF41E" w14:textId="77777777" w:rsidR="002B4789" w:rsidRPr="00FF338C" w:rsidRDefault="002B4789">
            <w:pPr>
              <w:cnfStyle w:val="100000000000" w:firstRow="1" w:lastRow="0" w:firstColumn="0" w:lastColumn="0" w:oddVBand="0" w:evenVBand="0" w:oddHBand="0" w:evenHBand="0" w:firstRowFirstColumn="0" w:firstRowLastColumn="0" w:lastRowFirstColumn="0" w:lastRowLastColumn="0"/>
            </w:pPr>
            <w:r w:rsidRPr="00FF338C">
              <w:t>Meaning</w:t>
            </w:r>
          </w:p>
        </w:tc>
      </w:tr>
      <w:tr w:rsidR="002B4789" w:rsidRPr="00FF338C" w14:paraId="51E855D5" w14:textId="77777777" w:rsidTr="00D21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47E02A79" w14:textId="77777777" w:rsidR="002B4789" w:rsidRPr="00FF338C" w:rsidRDefault="002B4789">
            <w:r w:rsidRPr="00FF338C">
              <w:t>ANZSIC</w:t>
            </w:r>
          </w:p>
        </w:tc>
        <w:tc>
          <w:tcPr>
            <w:tcW w:w="8206" w:type="dxa"/>
          </w:tcPr>
          <w:p w14:paraId="7DCA388C" w14:textId="77777777" w:rsidR="002B4789" w:rsidRPr="00FF338C" w:rsidRDefault="002B4789">
            <w:pPr>
              <w:cnfStyle w:val="000000100000" w:firstRow="0" w:lastRow="0" w:firstColumn="0" w:lastColumn="0" w:oddVBand="0" w:evenVBand="0" w:oddHBand="1" w:evenHBand="0" w:firstRowFirstColumn="0" w:firstRowLastColumn="0" w:lastRowFirstColumn="0" w:lastRowLastColumn="0"/>
            </w:pPr>
            <w:r w:rsidRPr="00FF338C">
              <w:t>Australian and New Zealand Standard Industrial Classification</w:t>
            </w:r>
          </w:p>
        </w:tc>
      </w:tr>
      <w:tr w:rsidR="002B4789" w:rsidRPr="00FF338C" w14:paraId="20D2F26B" w14:textId="77777777" w:rsidTr="00D214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5931B9B3" w14:textId="77777777" w:rsidR="002B4789" w:rsidRPr="00FF338C" w:rsidRDefault="002B4789">
            <w:proofErr w:type="spellStart"/>
            <w:r>
              <w:t>BoP</w:t>
            </w:r>
            <w:proofErr w:type="spellEnd"/>
          </w:p>
        </w:tc>
        <w:tc>
          <w:tcPr>
            <w:tcW w:w="8206" w:type="dxa"/>
          </w:tcPr>
          <w:p w14:paraId="63ADE264" w14:textId="77777777" w:rsidR="002B4789" w:rsidRPr="00FF338C" w:rsidRDefault="002B4789">
            <w:pPr>
              <w:cnfStyle w:val="000000010000" w:firstRow="0" w:lastRow="0" w:firstColumn="0" w:lastColumn="0" w:oddVBand="0" w:evenVBand="0" w:oddHBand="0" w:evenHBand="1" w:firstRowFirstColumn="0" w:firstRowLastColumn="0" w:lastRowFirstColumn="0" w:lastRowLastColumn="0"/>
            </w:pPr>
            <w:r>
              <w:t>Basis of Preparation</w:t>
            </w:r>
          </w:p>
        </w:tc>
      </w:tr>
      <w:tr w:rsidR="002B4789" w:rsidRPr="00FF338C" w14:paraId="204FEA86" w14:textId="77777777" w:rsidTr="79B44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57AAAF69" w14:textId="77777777" w:rsidR="002B4789" w:rsidRPr="00FF338C" w:rsidRDefault="002B4789">
            <w:pPr>
              <w:spacing w:before="60" w:after="60"/>
            </w:pPr>
            <w:r w:rsidRPr="00FF338C">
              <w:t>CEM</w:t>
            </w:r>
          </w:p>
        </w:tc>
        <w:tc>
          <w:tcPr>
            <w:tcW w:w="8206" w:type="dxa"/>
          </w:tcPr>
          <w:p w14:paraId="4A18465B" w14:textId="21E73089" w:rsidR="002B4789" w:rsidRPr="00FF338C" w:rsidDel="000F461A" w:rsidRDefault="002B4789">
            <w:pPr>
              <w:spacing w:before="60" w:after="60"/>
              <w:cnfStyle w:val="000000100000" w:firstRow="0" w:lastRow="0" w:firstColumn="0" w:lastColumn="0" w:oddVBand="0" w:evenVBand="0" w:oddHBand="1" w:evenHBand="0" w:firstRowFirstColumn="0" w:firstRowLastColumn="0" w:lastRowFirstColumn="0" w:lastRowLastColumn="0"/>
            </w:pPr>
            <w:r w:rsidRPr="00FF338C">
              <w:t xml:space="preserve">Continuous </w:t>
            </w:r>
            <w:r w:rsidR="00662705">
              <w:t>e</w:t>
            </w:r>
            <w:r w:rsidRPr="00FF338C">
              <w:t xml:space="preserve">missions </w:t>
            </w:r>
            <w:r w:rsidR="00662705">
              <w:t>m</w:t>
            </w:r>
            <w:r w:rsidRPr="00FF338C">
              <w:t>onitoring</w:t>
            </w:r>
          </w:p>
        </w:tc>
      </w:tr>
      <w:tr w:rsidR="002B4789" w:rsidRPr="00FF338C" w14:paraId="3A54F114" w14:textId="77777777" w:rsidTr="00D214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34E4EBE0" w14:textId="77777777" w:rsidR="002B4789" w:rsidRDefault="002B4789">
            <w:pPr>
              <w:spacing w:before="60" w:after="60"/>
            </w:pPr>
            <w:r w:rsidRPr="00FF338C">
              <w:t>Department</w:t>
            </w:r>
          </w:p>
        </w:tc>
        <w:tc>
          <w:tcPr>
            <w:tcW w:w="8206" w:type="dxa"/>
          </w:tcPr>
          <w:p w14:paraId="4D39B802" w14:textId="070A30BE" w:rsidR="002B4789" w:rsidRDefault="002B4789">
            <w:pPr>
              <w:spacing w:before="60" w:after="60"/>
              <w:cnfStyle w:val="000000010000" w:firstRow="0" w:lastRow="0" w:firstColumn="0" w:lastColumn="0" w:oddVBand="0" w:evenVBand="0" w:oddHBand="0" w:evenHBand="1" w:firstRowFirstColumn="0" w:firstRowLastColumn="0" w:lastRowFirstColumn="0" w:lastRowLastColumn="0"/>
            </w:pPr>
            <w:r>
              <w:t xml:space="preserve">The Australian Government </w:t>
            </w:r>
            <w:r w:rsidRPr="00FF338C">
              <w:t xml:space="preserve">Department of </w:t>
            </w:r>
            <w:r w:rsidRPr="003A2603">
              <w:t>Climate Change, Energy, the Environment and Water</w:t>
            </w:r>
          </w:p>
        </w:tc>
      </w:tr>
      <w:tr w:rsidR="002B4789" w:rsidRPr="00FF338C" w14:paraId="2C9217F0" w14:textId="77777777" w:rsidTr="79B44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67B169A0" w14:textId="77777777" w:rsidR="002B4789" w:rsidRPr="00FF338C" w:rsidRDefault="002B4789">
            <w:pPr>
              <w:spacing w:before="60" w:after="60"/>
            </w:pPr>
            <w:r>
              <w:t>EERS</w:t>
            </w:r>
          </w:p>
        </w:tc>
        <w:tc>
          <w:tcPr>
            <w:tcW w:w="8206" w:type="dxa"/>
          </w:tcPr>
          <w:p w14:paraId="1C2E0568" w14:textId="77777777" w:rsidR="002B4789" w:rsidRDefault="002B4789">
            <w:pPr>
              <w:spacing w:before="60" w:after="60"/>
              <w:cnfStyle w:val="000000100000" w:firstRow="0" w:lastRow="0" w:firstColumn="0" w:lastColumn="0" w:oddVBand="0" w:evenVBand="0" w:oddHBand="1" w:evenHBand="0" w:firstRowFirstColumn="0" w:firstRowLastColumn="0" w:lastRowFirstColumn="0" w:lastRowLastColumn="0"/>
            </w:pPr>
            <w:r>
              <w:t>Emissions and Energy Reporting System</w:t>
            </w:r>
          </w:p>
        </w:tc>
      </w:tr>
      <w:tr w:rsidR="002B4789" w:rsidRPr="00FF338C" w14:paraId="16CC9450" w14:textId="77777777" w:rsidTr="00D214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17F7F7E3" w14:textId="77777777" w:rsidR="002B4789" w:rsidRPr="00FF338C" w:rsidRDefault="002B4789">
            <w:r w:rsidRPr="00FF338C">
              <w:t>GJ</w:t>
            </w:r>
          </w:p>
        </w:tc>
        <w:tc>
          <w:tcPr>
            <w:tcW w:w="8206" w:type="dxa"/>
          </w:tcPr>
          <w:p w14:paraId="1EED75CA" w14:textId="77777777" w:rsidR="002B4789" w:rsidRPr="00FF338C" w:rsidRDefault="002B4789">
            <w:pPr>
              <w:cnfStyle w:val="000000010000" w:firstRow="0" w:lastRow="0" w:firstColumn="0" w:lastColumn="0" w:oddVBand="0" w:evenVBand="0" w:oddHBand="0" w:evenHBand="1" w:firstRowFirstColumn="0" w:firstRowLastColumn="0" w:lastRowFirstColumn="0" w:lastRowLastColumn="0"/>
            </w:pPr>
            <w:r w:rsidRPr="00FF338C">
              <w:t>Gigajoules</w:t>
            </w:r>
          </w:p>
        </w:tc>
      </w:tr>
      <w:tr w:rsidR="002B4789" w:rsidRPr="00FF338C" w14:paraId="53EE1479" w14:textId="77777777" w:rsidTr="00D21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416270F1" w14:textId="77777777" w:rsidR="002B4789" w:rsidRPr="00FF338C" w:rsidRDefault="002B4789">
            <w:r w:rsidRPr="00FF338C">
              <w:t>GWh</w:t>
            </w:r>
          </w:p>
        </w:tc>
        <w:tc>
          <w:tcPr>
            <w:tcW w:w="8206" w:type="dxa"/>
          </w:tcPr>
          <w:p w14:paraId="7893AA02" w14:textId="77777777" w:rsidR="002B4789" w:rsidRPr="00FF338C" w:rsidRDefault="002B4789">
            <w:pPr>
              <w:cnfStyle w:val="000000100000" w:firstRow="0" w:lastRow="0" w:firstColumn="0" w:lastColumn="0" w:oddVBand="0" w:evenVBand="0" w:oddHBand="1" w:evenHBand="0" w:firstRowFirstColumn="0" w:firstRowLastColumn="0" w:lastRowFirstColumn="0" w:lastRowLastColumn="0"/>
            </w:pPr>
            <w:r w:rsidRPr="00FF338C">
              <w:t>Gigawatt hours</w:t>
            </w:r>
          </w:p>
        </w:tc>
      </w:tr>
      <w:tr w:rsidR="002B4789" w:rsidRPr="00FF338C" w14:paraId="4DFD0F25" w14:textId="77777777" w:rsidTr="00D214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6F9448A3" w14:textId="77777777" w:rsidR="002B4789" w:rsidRPr="00FF338C" w:rsidRDefault="002B4789">
            <w:r w:rsidRPr="00FF338C">
              <w:t>ISO</w:t>
            </w:r>
          </w:p>
        </w:tc>
        <w:tc>
          <w:tcPr>
            <w:tcW w:w="8206" w:type="dxa"/>
          </w:tcPr>
          <w:p w14:paraId="26B37786" w14:textId="6B13ABD4" w:rsidR="002B4789" w:rsidRPr="00FF338C" w:rsidRDefault="002B4789">
            <w:pPr>
              <w:cnfStyle w:val="000000010000" w:firstRow="0" w:lastRow="0" w:firstColumn="0" w:lastColumn="0" w:oddVBand="0" w:evenVBand="0" w:oddHBand="0" w:evenHBand="1" w:firstRowFirstColumn="0" w:firstRowLastColumn="0" w:lastRowFirstColumn="0" w:lastRowLastColumn="0"/>
            </w:pPr>
            <w:r w:rsidRPr="00FF338C">
              <w:t>International Organisation for Standardisation</w:t>
            </w:r>
          </w:p>
        </w:tc>
      </w:tr>
      <w:tr w:rsidR="002B4789" w:rsidRPr="00FF338C" w14:paraId="103FABD4" w14:textId="77777777" w:rsidTr="00D21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003AD284" w14:textId="77777777" w:rsidR="002B4789" w:rsidRPr="00FF338C" w:rsidRDefault="002B4789">
            <w:r>
              <w:t>kt</w:t>
            </w:r>
          </w:p>
        </w:tc>
        <w:tc>
          <w:tcPr>
            <w:tcW w:w="8206" w:type="dxa"/>
          </w:tcPr>
          <w:p w14:paraId="6BAABDC9" w14:textId="77777777" w:rsidR="002B4789" w:rsidRPr="00FF338C" w:rsidRDefault="002B4789">
            <w:pPr>
              <w:cnfStyle w:val="000000100000" w:firstRow="0" w:lastRow="0" w:firstColumn="0" w:lastColumn="0" w:oddVBand="0" w:evenVBand="0" w:oddHBand="1" w:evenHBand="0" w:firstRowFirstColumn="0" w:firstRowLastColumn="0" w:lastRowFirstColumn="0" w:lastRowLastColumn="0"/>
            </w:pPr>
            <w:proofErr w:type="spellStart"/>
            <w:r>
              <w:t>Kilotonne</w:t>
            </w:r>
            <w:proofErr w:type="spellEnd"/>
          </w:p>
        </w:tc>
      </w:tr>
      <w:tr w:rsidR="002B4789" w:rsidRPr="00FF338C" w14:paraId="01A85B07" w14:textId="77777777" w:rsidTr="00D214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75AFA3C7" w14:textId="77777777" w:rsidR="002B4789" w:rsidRPr="00FF338C" w:rsidRDefault="002B4789">
            <w:r w:rsidRPr="00FF338C">
              <w:t>kWh</w:t>
            </w:r>
          </w:p>
        </w:tc>
        <w:tc>
          <w:tcPr>
            <w:tcW w:w="8206" w:type="dxa"/>
          </w:tcPr>
          <w:p w14:paraId="6E2AF93C" w14:textId="77777777" w:rsidR="002B4789" w:rsidRPr="00FF338C" w:rsidRDefault="002B4789">
            <w:pPr>
              <w:cnfStyle w:val="000000010000" w:firstRow="0" w:lastRow="0" w:firstColumn="0" w:lastColumn="0" w:oddVBand="0" w:evenVBand="0" w:oddHBand="0" w:evenHBand="1" w:firstRowFirstColumn="0" w:firstRowLastColumn="0" w:lastRowFirstColumn="0" w:lastRowLastColumn="0"/>
            </w:pPr>
            <w:r w:rsidRPr="00FF338C">
              <w:t>Kilowatt hours</w:t>
            </w:r>
          </w:p>
        </w:tc>
      </w:tr>
      <w:tr w:rsidR="00153ADB" w:rsidRPr="00FF338C" w14:paraId="21806812" w14:textId="77777777" w:rsidTr="00D21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444558AB" w14:textId="48373BBF" w:rsidR="00153ADB" w:rsidRPr="00FF338C" w:rsidRDefault="00153ADB">
            <w:r>
              <w:t>MTBI</w:t>
            </w:r>
          </w:p>
        </w:tc>
        <w:tc>
          <w:tcPr>
            <w:tcW w:w="8206" w:type="dxa"/>
          </w:tcPr>
          <w:p w14:paraId="33676AFE" w14:textId="2F078766" w:rsidR="00153ADB" w:rsidRPr="00FF338C" w:rsidRDefault="000A07E0">
            <w:pPr>
              <w:cnfStyle w:val="000000100000" w:firstRow="0" w:lastRow="0" w:firstColumn="0" w:lastColumn="0" w:oddVBand="0" w:evenVBand="0" w:oddHBand="1" w:evenHBand="0" w:firstRowFirstColumn="0" w:firstRowLastColumn="0" w:lastRowFirstColumn="0" w:lastRowLastColumn="0"/>
            </w:pPr>
            <w:r>
              <w:t>M</w:t>
            </w:r>
            <w:r w:rsidRPr="000A07E0">
              <w:t>atters to be identified, as specified in Schedule 4 of the NGER Measurement Determination</w:t>
            </w:r>
          </w:p>
        </w:tc>
      </w:tr>
      <w:tr w:rsidR="00153ADB" w:rsidRPr="00FF338C" w14:paraId="3B148D9E" w14:textId="77777777" w:rsidTr="00D214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082D898D" w14:textId="3F92679C" w:rsidR="00153ADB" w:rsidRPr="00FF338C" w:rsidRDefault="00153ADB" w:rsidP="00153ADB">
            <w:r w:rsidRPr="00FF338C">
              <w:t>MW</w:t>
            </w:r>
          </w:p>
        </w:tc>
        <w:tc>
          <w:tcPr>
            <w:tcW w:w="8206" w:type="dxa"/>
          </w:tcPr>
          <w:p w14:paraId="56028E29" w14:textId="6E9D96E6" w:rsidR="00153ADB" w:rsidRPr="00FF338C" w:rsidRDefault="00153ADB" w:rsidP="00153ADB">
            <w:pPr>
              <w:cnfStyle w:val="000000010000" w:firstRow="0" w:lastRow="0" w:firstColumn="0" w:lastColumn="0" w:oddVBand="0" w:evenVBand="0" w:oddHBand="0" w:evenHBand="1" w:firstRowFirstColumn="0" w:firstRowLastColumn="0" w:lastRowFirstColumn="0" w:lastRowLastColumn="0"/>
            </w:pPr>
            <w:r w:rsidRPr="00FF338C">
              <w:t>Megawatts</w:t>
            </w:r>
          </w:p>
        </w:tc>
      </w:tr>
      <w:tr w:rsidR="00153ADB" w:rsidRPr="00FF338C" w14:paraId="4A213C08" w14:textId="77777777" w:rsidTr="00D21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14D4C72F" w14:textId="2EB2DD7B" w:rsidR="00153ADB" w:rsidRPr="00FF338C" w:rsidRDefault="00153ADB" w:rsidP="00153ADB">
            <w:r w:rsidRPr="00FF338C">
              <w:t>MWh</w:t>
            </w:r>
          </w:p>
        </w:tc>
        <w:tc>
          <w:tcPr>
            <w:tcW w:w="8206" w:type="dxa"/>
          </w:tcPr>
          <w:p w14:paraId="41EA0727" w14:textId="1EE78F21" w:rsidR="00153ADB" w:rsidRPr="00FF338C" w:rsidRDefault="00153ADB" w:rsidP="00153ADB">
            <w:pPr>
              <w:cnfStyle w:val="000000100000" w:firstRow="0" w:lastRow="0" w:firstColumn="0" w:lastColumn="0" w:oddVBand="0" w:evenVBand="0" w:oddHBand="1" w:evenHBand="0" w:firstRowFirstColumn="0" w:firstRowLastColumn="0" w:lastRowFirstColumn="0" w:lastRowLastColumn="0"/>
            </w:pPr>
            <w:r w:rsidRPr="00FF338C">
              <w:t>Megawatt hours</w:t>
            </w:r>
          </w:p>
        </w:tc>
      </w:tr>
      <w:tr w:rsidR="002B4789" w:rsidRPr="00FF338C" w14:paraId="1031AF1C" w14:textId="77777777" w:rsidTr="00D214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32B8C222" w14:textId="77777777" w:rsidR="002B4789" w:rsidRPr="00FF338C" w:rsidRDefault="002B4789">
            <w:r w:rsidRPr="00FF338C">
              <w:t>NGER</w:t>
            </w:r>
          </w:p>
        </w:tc>
        <w:tc>
          <w:tcPr>
            <w:tcW w:w="8206" w:type="dxa"/>
          </w:tcPr>
          <w:p w14:paraId="74FC5ABB" w14:textId="77777777" w:rsidR="002B4789" w:rsidRPr="00FF338C" w:rsidRDefault="002B4789">
            <w:pPr>
              <w:cnfStyle w:val="000000010000" w:firstRow="0" w:lastRow="0" w:firstColumn="0" w:lastColumn="0" w:oddVBand="0" w:evenVBand="0" w:oddHBand="0" w:evenHBand="1" w:firstRowFirstColumn="0" w:firstRowLastColumn="0" w:lastRowFirstColumn="0" w:lastRowLastColumn="0"/>
            </w:pPr>
            <w:r w:rsidRPr="00FF338C">
              <w:t>National Greenhouse and Energy Reporting</w:t>
            </w:r>
          </w:p>
        </w:tc>
      </w:tr>
      <w:tr w:rsidR="002B4789" w:rsidRPr="00FF338C" w14:paraId="3FD80AB0" w14:textId="77777777" w:rsidTr="00D21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5D178815" w14:textId="77777777" w:rsidR="002B4789" w:rsidRPr="00FF338C" w:rsidRDefault="002B4789">
            <w:r w:rsidRPr="00FF338C">
              <w:t>NGER Act</w:t>
            </w:r>
          </w:p>
        </w:tc>
        <w:tc>
          <w:tcPr>
            <w:tcW w:w="8206" w:type="dxa"/>
          </w:tcPr>
          <w:p w14:paraId="6ACC6F55" w14:textId="77777777" w:rsidR="002B4789" w:rsidRPr="00FF338C" w:rsidRDefault="002B4789">
            <w:pPr>
              <w:cnfStyle w:val="000000100000" w:firstRow="0" w:lastRow="0" w:firstColumn="0" w:lastColumn="0" w:oddVBand="0" w:evenVBand="0" w:oddHBand="1" w:evenHBand="0" w:firstRowFirstColumn="0" w:firstRowLastColumn="0" w:lastRowFirstColumn="0" w:lastRowLastColumn="0"/>
              <w:rPr>
                <w:i/>
              </w:rPr>
            </w:pPr>
            <w:r w:rsidRPr="00FF338C">
              <w:rPr>
                <w:i/>
              </w:rPr>
              <w:t>National Greenhouse and Energy Reporting Act 2007</w:t>
            </w:r>
          </w:p>
        </w:tc>
      </w:tr>
      <w:tr w:rsidR="002B4789" w:rsidRPr="00FF338C" w14:paraId="2014CF4E" w14:textId="77777777" w:rsidTr="00D214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5E1ED0B0" w14:textId="442C7EBC" w:rsidR="002B4789" w:rsidRDefault="002B4789">
            <w:r w:rsidRPr="00FF338C">
              <w:t xml:space="preserve">NGER </w:t>
            </w:r>
            <w:r w:rsidR="00C51104">
              <w:t>L</w:t>
            </w:r>
            <w:r w:rsidRPr="00FF338C">
              <w:t>egislation</w:t>
            </w:r>
          </w:p>
        </w:tc>
        <w:tc>
          <w:tcPr>
            <w:tcW w:w="8206" w:type="dxa"/>
          </w:tcPr>
          <w:p w14:paraId="5F38C61A" w14:textId="27B41A24" w:rsidR="002B4789" w:rsidRPr="00EB51E3" w:rsidRDefault="002B4789">
            <w:pPr>
              <w:cnfStyle w:val="000000010000" w:firstRow="0" w:lastRow="0" w:firstColumn="0" w:lastColumn="0" w:oddVBand="0" w:evenVBand="0" w:oddHBand="0" w:evenHBand="1" w:firstRowFirstColumn="0" w:firstRowLastColumn="0" w:lastRowFirstColumn="0" w:lastRowLastColumn="0"/>
              <w:rPr>
                <w:i/>
              </w:rPr>
            </w:pPr>
            <w:r>
              <w:t>The NGER Act, the NGER Regulations</w:t>
            </w:r>
            <w:r w:rsidR="005102C5">
              <w:t xml:space="preserve">, </w:t>
            </w:r>
            <w:r>
              <w:t>the NGER Measurement Determination</w:t>
            </w:r>
            <w:r w:rsidR="005102C5">
              <w:t xml:space="preserve">, and </w:t>
            </w:r>
            <w:r w:rsidR="00FA7522">
              <w:t>the National Greenhouse and Energy Reporting (Safeguard Mechanism) Rule 2015 (Safeguard Mechanism Rule)</w:t>
            </w:r>
            <w:r w:rsidR="005102C5">
              <w:t xml:space="preserve"> </w:t>
            </w:r>
          </w:p>
        </w:tc>
      </w:tr>
      <w:tr w:rsidR="002B4789" w:rsidRPr="00FF338C" w14:paraId="3676E215" w14:textId="77777777" w:rsidTr="00D21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5961A07A" w14:textId="77777777" w:rsidR="002B4789" w:rsidRPr="00FF338C" w:rsidRDefault="002B4789">
            <w:r>
              <w:t>NGER Measurement Determination</w:t>
            </w:r>
          </w:p>
        </w:tc>
        <w:tc>
          <w:tcPr>
            <w:tcW w:w="8206" w:type="dxa"/>
          </w:tcPr>
          <w:p w14:paraId="11564A8E" w14:textId="77777777" w:rsidR="002B4789" w:rsidRPr="00C67339" w:rsidRDefault="002B4789">
            <w:pPr>
              <w:cnfStyle w:val="000000100000" w:firstRow="0" w:lastRow="0" w:firstColumn="0" w:lastColumn="0" w:oddVBand="0" w:evenVBand="0" w:oddHBand="1" w:evenHBand="0" w:firstRowFirstColumn="0" w:firstRowLastColumn="0" w:lastRowFirstColumn="0" w:lastRowLastColumn="0"/>
              <w:rPr>
                <w:iCs/>
              </w:rPr>
            </w:pPr>
            <w:r w:rsidRPr="00C67339">
              <w:rPr>
                <w:iCs/>
              </w:rPr>
              <w:t>National Greenhouse and Energy Reporting (Measurement) Determination 2008</w:t>
            </w:r>
          </w:p>
        </w:tc>
      </w:tr>
      <w:tr w:rsidR="002B4789" w:rsidRPr="00FF338C" w14:paraId="145D0A80" w14:textId="77777777" w:rsidTr="00D214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09CC17D3" w14:textId="77777777" w:rsidR="002B4789" w:rsidRPr="00FF338C" w:rsidRDefault="002B4789">
            <w:r w:rsidRPr="00FF338C">
              <w:t>NGER Regulations</w:t>
            </w:r>
          </w:p>
        </w:tc>
        <w:tc>
          <w:tcPr>
            <w:tcW w:w="8206" w:type="dxa"/>
          </w:tcPr>
          <w:p w14:paraId="75BAA51C" w14:textId="77777777" w:rsidR="002B4789" w:rsidRPr="00C67339" w:rsidRDefault="002B4789">
            <w:pPr>
              <w:cnfStyle w:val="000000010000" w:firstRow="0" w:lastRow="0" w:firstColumn="0" w:lastColumn="0" w:oddVBand="0" w:evenVBand="0" w:oddHBand="0" w:evenHBand="1" w:firstRowFirstColumn="0" w:firstRowLastColumn="0" w:lastRowFirstColumn="0" w:lastRowLastColumn="0"/>
              <w:rPr>
                <w:iCs/>
              </w:rPr>
            </w:pPr>
            <w:r w:rsidRPr="00C67339">
              <w:rPr>
                <w:iCs/>
              </w:rPr>
              <w:t>National Greenhouse and Energy Reporting Regulations 2008</w:t>
            </w:r>
          </w:p>
        </w:tc>
      </w:tr>
      <w:tr w:rsidR="002B4789" w:rsidRPr="00FF338C" w14:paraId="71095282" w14:textId="77777777" w:rsidTr="00D21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763F31F6" w14:textId="77777777" w:rsidR="002B4789" w:rsidRPr="00FF338C" w:rsidRDefault="002B4789">
            <w:r w:rsidRPr="00FF338C">
              <w:t>PBOGs</w:t>
            </w:r>
          </w:p>
        </w:tc>
        <w:tc>
          <w:tcPr>
            <w:tcW w:w="8206" w:type="dxa"/>
          </w:tcPr>
          <w:p w14:paraId="716CABD7" w14:textId="77777777" w:rsidR="002B4789" w:rsidRPr="00FF338C" w:rsidRDefault="002B4789">
            <w:pPr>
              <w:cnfStyle w:val="000000100000" w:firstRow="0" w:lastRow="0" w:firstColumn="0" w:lastColumn="0" w:oddVBand="0" w:evenVBand="0" w:oddHBand="1" w:evenHBand="0" w:firstRowFirstColumn="0" w:firstRowLastColumn="0" w:lastRowFirstColumn="0" w:lastRowLastColumn="0"/>
            </w:pPr>
            <w:r w:rsidRPr="00FF338C">
              <w:t>Petroleum</w:t>
            </w:r>
            <w:r>
              <w:t>-</w:t>
            </w:r>
            <w:r w:rsidRPr="00FF338C">
              <w:t>based oils and greases</w:t>
            </w:r>
          </w:p>
        </w:tc>
      </w:tr>
      <w:tr w:rsidR="002B4789" w:rsidRPr="00FF338C" w14:paraId="1CE3E4EE" w14:textId="77777777" w:rsidTr="79B44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0DAF4BBA" w14:textId="77777777" w:rsidR="002B4789" w:rsidRPr="00FF338C" w:rsidRDefault="002B4789">
            <w:r w:rsidRPr="00FF338C">
              <w:t>PEM</w:t>
            </w:r>
          </w:p>
        </w:tc>
        <w:tc>
          <w:tcPr>
            <w:tcW w:w="8206" w:type="dxa"/>
          </w:tcPr>
          <w:p w14:paraId="18F8D3D9" w14:textId="77777777" w:rsidR="002B4789" w:rsidRPr="00FF338C" w:rsidRDefault="002B4789">
            <w:pPr>
              <w:cnfStyle w:val="000000010000" w:firstRow="0" w:lastRow="0" w:firstColumn="0" w:lastColumn="0" w:oddVBand="0" w:evenVBand="0" w:oddHBand="0" w:evenHBand="1" w:firstRowFirstColumn="0" w:firstRowLastColumn="0" w:lastRowFirstColumn="0" w:lastRowLastColumn="0"/>
            </w:pPr>
            <w:r w:rsidRPr="00FF338C">
              <w:t>Periodic Emissions Monitoring</w:t>
            </w:r>
          </w:p>
        </w:tc>
      </w:tr>
      <w:tr w:rsidR="00717F5E" w:rsidRPr="00FF338C" w14:paraId="157EDA46" w14:textId="77777777" w:rsidTr="00D21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0ED2739A" w14:textId="381A2CC7" w:rsidR="00717F5E" w:rsidRPr="00FF338C" w:rsidRDefault="00717F5E">
            <w:r>
              <w:t>Reporter</w:t>
            </w:r>
          </w:p>
        </w:tc>
        <w:tc>
          <w:tcPr>
            <w:tcW w:w="8206" w:type="dxa"/>
          </w:tcPr>
          <w:p w14:paraId="3AA98C79" w14:textId="56CA3B0C" w:rsidR="00717F5E" w:rsidRPr="00FF338C" w:rsidRDefault="00717F5E">
            <w:pPr>
              <w:cnfStyle w:val="000000100000" w:firstRow="0" w:lastRow="0" w:firstColumn="0" w:lastColumn="0" w:oddVBand="0" w:evenVBand="0" w:oddHBand="1" w:evenHBand="0" w:firstRowFirstColumn="0" w:firstRowLastColumn="0" w:lastRowFirstColumn="0" w:lastRowLastColumn="0"/>
            </w:pPr>
            <w:r w:rsidRPr="002B4789">
              <w:t>An entity required to report emissions and energy production and consumption to the Clean Energy Regulator under section 19, 22G, or 22X of the NGER Act</w:t>
            </w:r>
          </w:p>
        </w:tc>
      </w:tr>
      <w:tr w:rsidR="00717F5E" w:rsidRPr="00FF338C" w14:paraId="7AEB9711" w14:textId="77777777" w:rsidTr="00D214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34C09C1C" w14:textId="3DD71954" w:rsidR="00717F5E" w:rsidRPr="00FF338C" w:rsidRDefault="00717F5E">
            <w:r>
              <w:t>S</w:t>
            </w:r>
            <w:r w:rsidRPr="00FF338C">
              <w:t xml:space="preserve">afeguard </w:t>
            </w:r>
            <w:r w:rsidR="00925F2C">
              <w:t>M</w:t>
            </w:r>
            <w:r w:rsidRPr="00FF338C">
              <w:t>echanism</w:t>
            </w:r>
          </w:p>
        </w:tc>
        <w:tc>
          <w:tcPr>
            <w:tcW w:w="8206" w:type="dxa"/>
          </w:tcPr>
          <w:p w14:paraId="5C31BB4E" w14:textId="275A2310" w:rsidR="00717F5E" w:rsidRPr="00FF338C" w:rsidRDefault="007D6FEC">
            <w:pPr>
              <w:cnfStyle w:val="000000010000" w:firstRow="0" w:lastRow="0" w:firstColumn="0" w:lastColumn="0" w:oddVBand="0" w:evenVBand="0" w:oddHBand="0" w:evenHBand="1" w:firstRowFirstColumn="0" w:firstRowLastColumn="0" w:lastRowFirstColumn="0" w:lastRowLastColumn="0"/>
            </w:pPr>
            <w:r w:rsidRPr="00D2141E">
              <w:rPr>
                <w:bCs/>
              </w:rPr>
              <w:t>The Australian Government’s mechanism to</w:t>
            </w:r>
            <w:r w:rsidR="00C13AF3">
              <w:rPr>
                <w:bCs/>
              </w:rPr>
              <w:t xml:space="preserve"> contribute to the achievement of</w:t>
            </w:r>
            <w:r w:rsidRPr="00D2141E">
              <w:rPr>
                <w:bCs/>
              </w:rPr>
              <w:t xml:space="preserve"> Australia’s greenhouse gas emissions reduction targets. See </w:t>
            </w:r>
            <w:bookmarkStart w:id="8" w:name="_Hlk139525957"/>
            <w:r w:rsidRPr="007D6FEC">
              <w:fldChar w:fldCharType="begin"/>
            </w:r>
            <w:r w:rsidR="007C6102">
              <w:instrText>HYPERLINK "https://cer.gov.au/schemes/safeguard-mechanism" \o "A link to the Safeguard Mechanism scheme page of the Clean Energy Regulator website"</w:instrText>
            </w:r>
            <w:r w:rsidRPr="007D6FEC">
              <w:fldChar w:fldCharType="separate"/>
            </w:r>
            <w:r w:rsidRPr="00D2141E">
              <w:rPr>
                <w:rStyle w:val="Hyperlink"/>
                <w:rFonts w:asciiTheme="minorHAnsi" w:hAnsiTheme="minorHAnsi"/>
                <w:bCs/>
              </w:rPr>
              <w:t>the Safeguard Mechanism</w:t>
            </w:r>
            <w:r w:rsidRPr="007D6FEC">
              <w:rPr>
                <w:bCs/>
              </w:rPr>
              <w:fldChar w:fldCharType="end"/>
            </w:r>
            <w:bookmarkEnd w:id="8"/>
            <w:r w:rsidRPr="00D2141E">
              <w:rPr>
                <w:bCs/>
              </w:rPr>
              <w:t xml:space="preserve"> for more information</w:t>
            </w:r>
            <w:r w:rsidR="004B0870">
              <w:rPr>
                <w:rFonts w:ascii="ZWAdobeF" w:hAnsi="ZWAdobeF" w:cs="ZWAdobeF"/>
                <w:bCs/>
                <w:color w:val="auto"/>
                <w:sz w:val="2"/>
                <w:szCs w:val="2"/>
              </w:rPr>
              <w:t>0F</w:t>
            </w:r>
            <w:r>
              <w:rPr>
                <w:rStyle w:val="FootnoteReference"/>
                <w:bCs/>
              </w:rPr>
              <w:footnoteReference w:id="2"/>
            </w:r>
          </w:p>
        </w:tc>
      </w:tr>
      <w:tr w:rsidR="003C4745" w:rsidRPr="00FF338C" w14:paraId="1EA29E29" w14:textId="77777777" w:rsidTr="79B44B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206C8D61" w14:textId="0E8D9D48" w:rsidR="006A17ED" w:rsidRDefault="00AC2164">
            <w:r w:rsidRPr="002C556E">
              <w:t>Scope 1 emission</w:t>
            </w:r>
          </w:p>
        </w:tc>
        <w:tc>
          <w:tcPr>
            <w:tcW w:w="8206" w:type="dxa"/>
          </w:tcPr>
          <w:p w14:paraId="7F78897E" w14:textId="71913E00" w:rsidR="006A17ED" w:rsidRPr="006A17ED" w:rsidRDefault="003A28DC">
            <w:pPr>
              <w:cnfStyle w:val="000000100000" w:firstRow="0" w:lastRow="0" w:firstColumn="0" w:lastColumn="0" w:oddVBand="0" w:evenVBand="0" w:oddHBand="1" w:evenHBand="0" w:firstRowFirstColumn="0" w:firstRowLastColumn="0" w:lastRowFirstColumn="0" w:lastRowLastColumn="0"/>
              <w:rPr>
                <w:bCs/>
              </w:rPr>
            </w:pPr>
            <w:r w:rsidRPr="003A28DC">
              <w:t>Scope 1 greenhouse gas emissions are emissions released into the atmosphere as a direct result of the activities at your facility.</w:t>
            </w:r>
            <w:r w:rsidR="00437CF5">
              <w:t xml:space="preserve"> </w:t>
            </w:r>
            <w:r w:rsidR="00437CF5" w:rsidRPr="00437CF5">
              <w:t>Scope 1 emissions are also referred to as direct emissions.</w:t>
            </w:r>
            <w:r w:rsidR="00F92FB8">
              <w:t xml:space="preserve"> </w:t>
            </w:r>
            <w:r w:rsidR="00F92FB8" w:rsidRPr="00F92FB8">
              <w:t>Scope 2 emissions are also referred to as indirect emissions.</w:t>
            </w:r>
          </w:p>
        </w:tc>
      </w:tr>
      <w:tr w:rsidR="003C4745" w:rsidRPr="00FF338C" w14:paraId="4556ED1B" w14:textId="77777777" w:rsidTr="79B44B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5A770F19" w14:textId="72699EE6" w:rsidR="00EF344C" w:rsidRPr="002C556E" w:rsidRDefault="00C9689E">
            <w:r w:rsidRPr="002C556E">
              <w:t>Scope 2 emission</w:t>
            </w:r>
          </w:p>
        </w:tc>
        <w:tc>
          <w:tcPr>
            <w:tcW w:w="8206" w:type="dxa"/>
          </w:tcPr>
          <w:p w14:paraId="248B0601" w14:textId="4ABB2418" w:rsidR="00EF344C" w:rsidRPr="002C556E" w:rsidRDefault="00573F2E">
            <w:pPr>
              <w:cnfStyle w:val="000000010000" w:firstRow="0" w:lastRow="0" w:firstColumn="0" w:lastColumn="0" w:oddVBand="0" w:evenVBand="0" w:oddHBand="0" w:evenHBand="1" w:firstRowFirstColumn="0" w:firstRowLastColumn="0" w:lastRowFirstColumn="0" w:lastRowLastColumn="0"/>
            </w:pPr>
            <w:r w:rsidRPr="00573F2E">
              <w:t>Scope 2 emissions for a facility represent the emissions that were released outside your facility boundary to produce the electricity that you imported into the facility and used. </w:t>
            </w:r>
          </w:p>
        </w:tc>
      </w:tr>
      <w:tr w:rsidR="00EA7886" w:rsidRPr="00FF338C" w14:paraId="372ECC0B" w14:textId="77777777" w:rsidTr="00D21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5" w:type="dxa"/>
          </w:tcPr>
          <w:p w14:paraId="7B969958" w14:textId="0204BC96" w:rsidR="00EA7886" w:rsidRPr="00FF338C" w:rsidRDefault="00530034" w:rsidP="00717F5E">
            <w:r w:rsidRPr="00530034">
              <w:t>t CO</w:t>
            </w:r>
            <w:r w:rsidRPr="00530034">
              <w:rPr>
                <w:vertAlign w:val="subscript"/>
              </w:rPr>
              <w:t>2</w:t>
            </w:r>
            <w:r w:rsidRPr="00530034">
              <w:t>-e</w:t>
            </w:r>
          </w:p>
        </w:tc>
        <w:tc>
          <w:tcPr>
            <w:tcW w:w="8206" w:type="dxa"/>
          </w:tcPr>
          <w:p w14:paraId="5B85CDA3" w14:textId="07E85D03" w:rsidR="00EA7886" w:rsidRPr="00FF338C" w:rsidRDefault="00530034" w:rsidP="00717F5E">
            <w:pPr>
              <w:cnfStyle w:val="000000100000" w:firstRow="0" w:lastRow="0" w:firstColumn="0" w:lastColumn="0" w:oddVBand="0" w:evenVBand="0" w:oddHBand="1" w:evenHBand="0" w:firstRowFirstColumn="0" w:firstRowLastColumn="0" w:lastRowFirstColumn="0" w:lastRowLastColumn="0"/>
            </w:pPr>
            <w:r w:rsidRPr="00530034">
              <w:t>Tonnes of carbon dioxide equivalence</w:t>
            </w:r>
          </w:p>
        </w:tc>
      </w:tr>
    </w:tbl>
    <w:p w14:paraId="40B874F5" w14:textId="7978351C" w:rsidR="00235142" w:rsidRDefault="00235142" w:rsidP="00235142">
      <w:pPr>
        <w:spacing w:after="0"/>
      </w:pPr>
    </w:p>
    <w:p w14:paraId="38331809" w14:textId="42F3D5C6" w:rsidR="00AD1537" w:rsidRPr="00F44F8C" w:rsidRDefault="00AD1537" w:rsidP="00AD1537">
      <w:pPr>
        <w:spacing w:after="0"/>
        <w:rPr>
          <w:lang w:val="en-GB"/>
        </w:rPr>
      </w:pPr>
      <w:r w:rsidRPr="00D02F02">
        <w:rPr>
          <w:rStyle w:val="ui-provider"/>
        </w:rPr>
        <w:t xml:space="preserve">Please refer to Division 2 of the NGER Act, </w:t>
      </w:r>
      <w:r w:rsidR="001271C9" w:rsidRPr="00D02F02">
        <w:rPr>
          <w:rStyle w:val="ui-provider"/>
        </w:rPr>
        <w:t xml:space="preserve">1.03 </w:t>
      </w:r>
      <w:r w:rsidR="00D76423">
        <w:rPr>
          <w:rStyle w:val="ui-provider"/>
        </w:rPr>
        <w:t xml:space="preserve">of the </w:t>
      </w:r>
      <w:r w:rsidRPr="00D02F02">
        <w:rPr>
          <w:rStyle w:val="ui-provider"/>
        </w:rPr>
        <w:t>NGER Regulation</w:t>
      </w:r>
      <w:r w:rsidR="00D76423">
        <w:rPr>
          <w:rStyle w:val="ui-provider"/>
        </w:rPr>
        <w:t>s</w:t>
      </w:r>
      <w:r w:rsidRPr="00D02F02">
        <w:rPr>
          <w:rStyle w:val="ui-provider"/>
        </w:rPr>
        <w:t xml:space="preserve"> and Division 1.1.2 of the NGER Measurement Determination for defined terms in NGER legislation. </w:t>
      </w:r>
    </w:p>
    <w:p w14:paraId="139A6045" w14:textId="246BFC87" w:rsidR="001B624B" w:rsidRDefault="001B624B" w:rsidP="00235142">
      <w:pPr>
        <w:spacing w:after="0"/>
      </w:pPr>
    </w:p>
    <w:p w14:paraId="199F6703" w14:textId="77777777" w:rsidR="00A12012" w:rsidRDefault="00A12012">
      <w:pPr>
        <w:spacing w:after="0"/>
        <w:rPr>
          <w:rFonts w:ascii="Calibri" w:eastAsia="Times New Roman" w:hAnsi="Calibri" w:cs="Calibri"/>
          <w:b/>
          <w:bCs/>
          <w:kern w:val="32"/>
          <w:sz w:val="40"/>
          <w:lang w:val="en-GB"/>
        </w:rPr>
      </w:pPr>
      <w:bookmarkStart w:id="9" w:name="_Toc106705742"/>
      <w:r>
        <w:rPr>
          <w:lang w:val="en-GB"/>
        </w:rPr>
        <w:br w:type="page"/>
      </w:r>
    </w:p>
    <w:p w14:paraId="1049B3E6" w14:textId="363490AF" w:rsidR="001B624B" w:rsidRPr="00FF338C" w:rsidRDefault="001B624B" w:rsidP="001B624B">
      <w:pPr>
        <w:pStyle w:val="Heading1"/>
        <w:rPr>
          <w:lang w:val="en-GB"/>
        </w:rPr>
      </w:pPr>
      <w:bookmarkStart w:id="10" w:name="_Toc205461420"/>
      <w:r w:rsidRPr="00FF338C">
        <w:rPr>
          <w:lang w:val="en-GB"/>
        </w:rPr>
        <w:t>Disclaimer</w:t>
      </w:r>
      <w:bookmarkEnd w:id="9"/>
      <w:bookmarkEnd w:id="10"/>
    </w:p>
    <w:p w14:paraId="76872CDB" w14:textId="47FFEF4F" w:rsidR="001B624B" w:rsidRPr="000B3301" w:rsidRDefault="001B624B" w:rsidP="00B85497">
      <w:pPr>
        <w:autoSpaceDE w:val="0"/>
        <w:autoSpaceDN w:val="0"/>
        <w:adjustRightInd w:val="0"/>
        <w:spacing w:after="0"/>
        <w:rPr>
          <w:lang w:eastAsia="en-AU"/>
        </w:rPr>
      </w:pPr>
      <w:r w:rsidRPr="000B3301">
        <w:rPr>
          <w:lang w:eastAsia="en-AU"/>
        </w:rPr>
        <w:t>This</w:t>
      </w:r>
      <w:r w:rsidRPr="000B3301">
        <w:rPr>
          <w:i/>
          <w:iCs/>
          <w:lang w:eastAsia="en-AU"/>
        </w:rPr>
        <w:t xml:space="preserve"> </w:t>
      </w:r>
      <w:r w:rsidRPr="000B3301">
        <w:rPr>
          <w:lang w:eastAsia="en-AU"/>
        </w:rPr>
        <w:t>guideline has been developed by the Clean Energy Regulator (</w:t>
      </w:r>
      <w:r w:rsidR="36FBC3A8" w:rsidRPr="000B3301">
        <w:rPr>
          <w:lang w:eastAsia="en-AU"/>
        </w:rPr>
        <w:t>CER</w:t>
      </w:r>
      <w:r w:rsidRPr="000B3301">
        <w:rPr>
          <w:lang w:eastAsia="en-AU"/>
        </w:rPr>
        <w:t xml:space="preserve">) to assist entities to comply with their reporting obligations under the </w:t>
      </w:r>
      <w:hyperlink r:id="rId22" w:tooltip="A link to the Australian Government legislation - the National Greenhouse and Energy reporting act 2007" w:history="1">
        <w:r w:rsidRPr="000B3301">
          <w:rPr>
            <w:rStyle w:val="Hyperlink"/>
            <w:i/>
            <w:iCs/>
            <w:lang w:eastAsia="en-AU"/>
          </w:rPr>
          <w:t>National Greenhouse and Energy Reporting Act 2007</w:t>
        </w:r>
      </w:hyperlink>
      <w:bookmarkStart w:id="11" w:name="_Ref105748531"/>
      <w:r w:rsidR="004B0870">
        <w:rPr>
          <w:rFonts w:ascii="ZWAdobeF" w:hAnsi="ZWAdobeF" w:cs="ZWAdobeF"/>
          <w:color w:val="auto"/>
          <w:sz w:val="2"/>
          <w:szCs w:val="2"/>
        </w:rPr>
        <w:t>1F</w:t>
      </w:r>
      <w:r w:rsidRPr="00A469D7">
        <w:rPr>
          <w:rStyle w:val="FootnoteReference"/>
          <w:color w:val="000000"/>
          <w:lang w:eastAsia="en-AU"/>
        </w:rPr>
        <w:footnoteReference w:id="3"/>
      </w:r>
      <w:bookmarkEnd w:id="11"/>
      <w:r w:rsidRPr="000B3301">
        <w:rPr>
          <w:i/>
          <w:iCs/>
          <w:lang w:eastAsia="en-AU"/>
        </w:rPr>
        <w:t xml:space="preserve"> </w:t>
      </w:r>
      <w:r w:rsidRPr="000B3301">
        <w:rPr>
          <w:iCs/>
          <w:lang w:eastAsia="en-AU"/>
        </w:rPr>
        <w:t>(NGER Act)</w:t>
      </w:r>
      <w:r w:rsidRPr="000B3301">
        <w:rPr>
          <w:i/>
          <w:iCs/>
          <w:lang w:eastAsia="en-AU"/>
        </w:rPr>
        <w:t xml:space="preserve"> </w:t>
      </w:r>
      <w:r w:rsidRPr="000B3301">
        <w:rPr>
          <w:lang w:eastAsia="en-AU"/>
        </w:rPr>
        <w:t>and associated legislation.</w:t>
      </w:r>
    </w:p>
    <w:p w14:paraId="3AD0D781" w14:textId="77777777" w:rsidR="001B624B" w:rsidRPr="000B3301" w:rsidRDefault="001B624B" w:rsidP="00B85497">
      <w:pPr>
        <w:autoSpaceDE w:val="0"/>
        <w:autoSpaceDN w:val="0"/>
        <w:adjustRightInd w:val="0"/>
        <w:spacing w:after="0"/>
        <w:rPr>
          <w:lang w:eastAsia="en-AU"/>
        </w:rPr>
      </w:pPr>
    </w:p>
    <w:p w14:paraId="78E832C5" w14:textId="698AF7B5" w:rsidR="001B624B" w:rsidRPr="000B3301" w:rsidRDefault="001B624B" w:rsidP="00B85497">
      <w:pPr>
        <w:autoSpaceDE w:val="0"/>
        <w:autoSpaceDN w:val="0"/>
        <w:adjustRightInd w:val="0"/>
        <w:spacing w:after="0"/>
        <w:ind w:left="50"/>
        <w:rPr>
          <w:lang w:eastAsia="en-AU"/>
        </w:rPr>
      </w:pPr>
      <w:r w:rsidRPr="004C131A">
        <w:rPr>
          <w:lang w:eastAsia="en-AU"/>
        </w:rPr>
        <w:t xml:space="preserve">This guideline only applies to the </w:t>
      </w:r>
      <w:r w:rsidR="00225404">
        <w:rPr>
          <w:lang w:eastAsia="en-AU"/>
        </w:rPr>
        <w:t>2024–25</w:t>
      </w:r>
      <w:r w:rsidRPr="004C131A">
        <w:rPr>
          <w:lang w:eastAsia="en-AU"/>
        </w:rPr>
        <w:t xml:space="preserve"> NGER reporting year and should be read in conjunction with the NGER Act</w:t>
      </w:r>
      <w:r w:rsidRPr="00DE2AFF">
        <w:rPr>
          <w:lang w:eastAsia="en-AU"/>
        </w:rPr>
        <w:t xml:space="preserve">, </w:t>
      </w:r>
      <w:hyperlink r:id="rId23" w:tooltip="A link to the Australian Government legislation - the National Greenhouse and Energy regulations 2008" w:history="1">
        <w:r w:rsidRPr="00B85497">
          <w:rPr>
            <w:rStyle w:val="Hyperlink"/>
            <w:lang w:eastAsia="en-AU"/>
          </w:rPr>
          <w:t>National Greenhouse and Energy Regulations 2008</w:t>
        </w:r>
      </w:hyperlink>
      <w:r w:rsidR="004B0870">
        <w:rPr>
          <w:rFonts w:ascii="ZWAdobeF" w:hAnsi="ZWAdobeF" w:cs="ZWAdobeF"/>
          <w:color w:val="auto"/>
          <w:sz w:val="2"/>
          <w:szCs w:val="2"/>
        </w:rPr>
        <w:t>2F</w:t>
      </w:r>
      <w:r w:rsidRPr="00DE2AFF">
        <w:rPr>
          <w:rStyle w:val="FootnoteReference"/>
          <w:color w:val="000000"/>
          <w:lang w:eastAsia="en-AU"/>
        </w:rPr>
        <w:footnoteReference w:id="4"/>
      </w:r>
      <w:r w:rsidRPr="00DE2AFF">
        <w:rPr>
          <w:color w:val="000000"/>
          <w:lang w:eastAsia="en-AU"/>
        </w:rPr>
        <w:t xml:space="preserve"> (</w:t>
      </w:r>
      <w:r w:rsidRPr="001166CF">
        <w:rPr>
          <w:lang w:eastAsia="en-AU"/>
        </w:rPr>
        <w:t xml:space="preserve">NGER Regulations), and </w:t>
      </w:r>
      <w:hyperlink r:id="rId24" w:tooltip="A link to the Australian Government legislation - the National Greenhouse and Energy Measurement Determination" w:history="1">
        <w:r w:rsidRPr="00B85497">
          <w:rPr>
            <w:rStyle w:val="Hyperlink"/>
            <w:lang w:eastAsia="en-AU"/>
          </w:rPr>
          <w:t>National Greenhouse and Energy Reporting (Measurement) Determination 2008</w:t>
        </w:r>
      </w:hyperlink>
      <w:r w:rsidR="004B0870">
        <w:rPr>
          <w:rFonts w:ascii="ZWAdobeF" w:hAnsi="ZWAdobeF" w:cs="ZWAdobeF"/>
          <w:color w:val="auto"/>
          <w:sz w:val="2"/>
          <w:szCs w:val="2"/>
        </w:rPr>
        <w:t>3F</w:t>
      </w:r>
      <w:r w:rsidRPr="00DE2AFF">
        <w:rPr>
          <w:rStyle w:val="FootnoteReference"/>
          <w:color w:val="000000"/>
          <w:lang w:eastAsia="en-AU"/>
        </w:rPr>
        <w:footnoteReference w:id="5"/>
      </w:r>
      <w:r w:rsidRPr="00DE2AFF">
        <w:rPr>
          <w:lang w:eastAsia="en-AU"/>
        </w:rPr>
        <w:t xml:space="preserve"> (NGER Measurement Determination), as</w:t>
      </w:r>
      <w:r w:rsidRPr="004C131A">
        <w:rPr>
          <w:lang w:eastAsia="en-AU"/>
        </w:rPr>
        <w:t xml:space="preserve"> in force for this reporting period. These</w:t>
      </w:r>
      <w:r w:rsidRPr="000B3301">
        <w:rPr>
          <w:lang w:eastAsia="en-AU"/>
        </w:rPr>
        <w:t xml:space="preserve"> laws and their interpretation are subject to change, which may affect the accuracy of the information contained in the guideline. </w:t>
      </w:r>
    </w:p>
    <w:p w14:paraId="7EF0B7A2" w14:textId="77777777" w:rsidR="001B624B" w:rsidRPr="000B3301" w:rsidRDefault="001B624B" w:rsidP="00B85497">
      <w:pPr>
        <w:autoSpaceDE w:val="0"/>
        <w:autoSpaceDN w:val="0"/>
        <w:adjustRightInd w:val="0"/>
        <w:spacing w:after="0"/>
        <w:rPr>
          <w:lang w:eastAsia="en-AU"/>
        </w:rPr>
      </w:pPr>
    </w:p>
    <w:p w14:paraId="73C1BCA8" w14:textId="134DD0FE" w:rsidR="001B624B" w:rsidRPr="000B3301" w:rsidRDefault="001B624B" w:rsidP="00B85497">
      <w:pPr>
        <w:autoSpaceDE w:val="0"/>
        <w:autoSpaceDN w:val="0"/>
        <w:adjustRightInd w:val="0"/>
        <w:spacing w:after="0"/>
        <w:rPr>
          <w:lang w:eastAsia="en-AU"/>
        </w:rPr>
      </w:pPr>
      <w:r w:rsidRPr="000B3301">
        <w:rPr>
          <w:lang w:eastAsia="en-AU"/>
        </w:rPr>
        <w:t>The guidance provided in this document is not exhaustive, nor does it consider all circumstances applicable to all entities. Th</w:t>
      </w:r>
      <w:r>
        <w:rPr>
          <w:lang w:eastAsia="en-AU"/>
        </w:rPr>
        <w:t>is</w:t>
      </w:r>
      <w:r w:rsidRPr="000B3301">
        <w:rPr>
          <w:lang w:eastAsia="en-AU"/>
        </w:rPr>
        <w:t xml:space="preserve"> </w:t>
      </w:r>
      <w:r>
        <w:rPr>
          <w:lang w:eastAsia="en-AU"/>
        </w:rPr>
        <w:t>guidance</w:t>
      </w:r>
      <w:r w:rsidRPr="000B3301">
        <w:rPr>
          <w:lang w:eastAsia="en-AU"/>
        </w:rPr>
        <w:t xml:space="preserve"> is not intended to comprehensively deal with its subject area, and it is not a substitute for independent legal advice. Although entities are not bound to follow the guidance provided in this document, they must ensure they meet their obligations under the </w:t>
      </w:r>
      <w:hyperlink r:id="rId25" w:tooltip="A link to the NGER scheme page of the Clean Energy Regulator website" w:history="1">
        <w:r w:rsidRPr="00452C2E">
          <w:rPr>
            <w:rStyle w:val="Hyperlink"/>
            <w:lang w:eastAsia="en-AU"/>
          </w:rPr>
          <w:t>National Greenhouse and Energy Reporting (NGER) scheme</w:t>
        </w:r>
      </w:hyperlink>
      <w:r w:rsidR="004B0870">
        <w:rPr>
          <w:rFonts w:ascii="ZWAdobeF" w:hAnsi="ZWAdobeF" w:cs="ZWAdobeF"/>
          <w:color w:val="auto"/>
          <w:sz w:val="2"/>
          <w:szCs w:val="2"/>
        </w:rPr>
        <w:t>4F</w:t>
      </w:r>
      <w:r>
        <w:rPr>
          <w:rStyle w:val="FootnoteReference"/>
          <w:lang w:eastAsia="en-AU"/>
        </w:rPr>
        <w:footnoteReference w:id="6"/>
      </w:r>
      <w:r w:rsidRPr="000B3301">
        <w:rPr>
          <w:lang w:eastAsia="en-AU"/>
        </w:rPr>
        <w:t xml:space="preserve"> at all times.</w:t>
      </w:r>
      <w:r w:rsidR="00494FFC">
        <w:rPr>
          <w:lang w:eastAsia="en-AU"/>
        </w:rPr>
        <w:t xml:space="preserve"> The</w:t>
      </w:r>
      <w:r w:rsidRPr="000B3301">
        <w:rPr>
          <w:lang w:eastAsia="en-AU"/>
        </w:rPr>
        <w:t xml:space="preserve"> </w:t>
      </w:r>
      <w:r w:rsidR="10FFBB21" w:rsidRPr="000B3301">
        <w:rPr>
          <w:lang w:eastAsia="en-AU"/>
        </w:rPr>
        <w:t>CER</w:t>
      </w:r>
      <w:r w:rsidRPr="000B3301">
        <w:rPr>
          <w:lang w:eastAsia="en-AU"/>
        </w:rPr>
        <w:t xml:space="preserve"> encourages all users of this </w:t>
      </w:r>
      <w:r>
        <w:rPr>
          <w:lang w:eastAsia="en-AU"/>
        </w:rPr>
        <w:t>guidance</w:t>
      </w:r>
      <w:r w:rsidRPr="000B3301">
        <w:rPr>
          <w:lang w:eastAsia="en-AU"/>
        </w:rPr>
        <w:t xml:space="preserve"> to seek independent legal advice before taking any action or decision based on this </w:t>
      </w:r>
      <w:r>
        <w:rPr>
          <w:lang w:eastAsia="en-AU"/>
        </w:rPr>
        <w:t>guidance</w:t>
      </w:r>
      <w:r w:rsidRPr="000B3301">
        <w:rPr>
          <w:lang w:eastAsia="en-AU"/>
        </w:rPr>
        <w:t>.</w:t>
      </w:r>
    </w:p>
    <w:p w14:paraId="6A6F6E24" w14:textId="77777777" w:rsidR="001B624B" w:rsidRPr="000B3301" w:rsidRDefault="001B624B" w:rsidP="00B85497">
      <w:pPr>
        <w:autoSpaceDE w:val="0"/>
        <w:autoSpaceDN w:val="0"/>
        <w:adjustRightInd w:val="0"/>
        <w:spacing w:after="0"/>
        <w:rPr>
          <w:lang w:eastAsia="en-AU"/>
        </w:rPr>
      </w:pPr>
    </w:p>
    <w:p w14:paraId="4FE157AF" w14:textId="48DB6726" w:rsidR="001B624B" w:rsidRPr="000B3301" w:rsidRDefault="0133FB2F" w:rsidP="00B85497">
      <w:pPr>
        <w:autoSpaceDE w:val="0"/>
        <w:autoSpaceDN w:val="0"/>
        <w:adjustRightInd w:val="0"/>
        <w:spacing w:after="0"/>
        <w:rPr>
          <w:lang w:eastAsia="en-AU"/>
        </w:rPr>
      </w:pPr>
      <w:r w:rsidRPr="261A47E1">
        <w:rPr>
          <w:lang w:eastAsia="en-AU"/>
        </w:rPr>
        <w:t>CER</w:t>
      </w:r>
      <w:r w:rsidR="001B624B" w:rsidRPr="000B3301">
        <w:rPr>
          <w:lang w:eastAsia="en-AU"/>
        </w:rPr>
        <w:t xml:space="preserve"> and the Australian Government will not be liable for any loss or damage from any cause (including negligence) whether arising directly, incidentally, or as consequential loss, out of or in connection with, any use of this guideline or reliance on it, for any purpose.</w:t>
      </w:r>
    </w:p>
    <w:p w14:paraId="12EDB10A" w14:textId="77777777" w:rsidR="001B624B" w:rsidRPr="000B3301" w:rsidRDefault="001B624B" w:rsidP="00B85497">
      <w:pPr>
        <w:autoSpaceDE w:val="0"/>
        <w:autoSpaceDN w:val="0"/>
        <w:adjustRightInd w:val="0"/>
        <w:spacing w:after="0"/>
        <w:rPr>
          <w:lang w:eastAsia="en-AU"/>
        </w:rPr>
      </w:pPr>
    </w:p>
    <w:p w14:paraId="43AD85A7" w14:textId="4941B114" w:rsidR="001B624B" w:rsidRPr="00A82423" w:rsidRDefault="001B624B" w:rsidP="00B85497">
      <w:pPr>
        <w:spacing w:after="0"/>
      </w:pPr>
      <w:r w:rsidRPr="000B3301">
        <w:rPr>
          <w:lang w:eastAsia="en-AU"/>
        </w:rPr>
        <w:t xml:space="preserve">If an entity chooses to meet their obligations under the NGER scheme in a manner that is inconsistent with the guidance provided in this document, </w:t>
      </w:r>
      <w:r w:rsidR="584B6439" w:rsidRPr="261A47E1">
        <w:rPr>
          <w:lang w:eastAsia="en-AU"/>
        </w:rPr>
        <w:t>CER</w:t>
      </w:r>
      <w:r w:rsidRPr="000B3301">
        <w:rPr>
          <w:lang w:eastAsia="en-AU"/>
        </w:rPr>
        <w:t>, or an independent auditor, may require the entity to demonstrate that they are compliant with requirements of the NGER Act, NGER Regulations, and/or the NGER Measurement Determination. Entities are responsible for determining their obligations under the law and for applying the law to their individual circumstances.</w:t>
      </w:r>
    </w:p>
    <w:p w14:paraId="7BEF92AB" w14:textId="77777777" w:rsidR="001B624B" w:rsidRDefault="001B624B" w:rsidP="001B624B">
      <w:pPr>
        <w:spacing w:after="0"/>
        <w:rPr>
          <w:rFonts w:eastAsia="Times New Roman"/>
          <w:b/>
          <w:bCs/>
          <w:color w:val="005874"/>
          <w:kern w:val="32"/>
          <w:sz w:val="40"/>
        </w:rPr>
      </w:pPr>
      <w:r>
        <w:br w:type="page"/>
      </w:r>
    </w:p>
    <w:p w14:paraId="67148F13" w14:textId="34F230B9" w:rsidR="004A2E03" w:rsidRPr="00074D44" w:rsidRDefault="00225404" w:rsidP="004A2E03">
      <w:pPr>
        <w:pStyle w:val="Heading1"/>
        <w:rPr>
          <w:lang w:val="en-GB"/>
        </w:rPr>
      </w:pPr>
      <w:bookmarkStart w:id="12" w:name="_Toc205461421"/>
      <w:r>
        <w:rPr>
          <w:lang w:val="en-GB"/>
        </w:rPr>
        <w:t>2024–25</w:t>
      </w:r>
      <w:r w:rsidR="004A2E03" w:rsidRPr="00074D44">
        <w:rPr>
          <w:lang w:val="en-GB"/>
        </w:rPr>
        <w:t xml:space="preserve"> updates</w:t>
      </w:r>
      <w:bookmarkEnd w:id="12"/>
      <w:r w:rsidR="004A2E03" w:rsidRPr="00074D44">
        <w:rPr>
          <w:lang w:val="en-GB"/>
        </w:rPr>
        <w:t> </w:t>
      </w:r>
    </w:p>
    <w:p w14:paraId="2FAA136B" w14:textId="489B12E9" w:rsidR="00DA4688" w:rsidRPr="00330B59" w:rsidRDefault="005838E4" w:rsidP="00D2141E">
      <w:pPr>
        <w:pStyle w:val="paragraph"/>
        <w:rPr>
          <w:rStyle w:val="normaltextrun"/>
          <w:rFonts w:ascii="Calibri" w:hAnsi="Calibri" w:cs="Calibri"/>
          <w:b/>
          <w:bCs/>
          <w:color w:val="000000" w:themeColor="text1"/>
          <w:kern w:val="32"/>
          <w:sz w:val="40"/>
          <w:szCs w:val="22"/>
        </w:rPr>
      </w:pPr>
      <w:r>
        <w:rPr>
          <w:rStyle w:val="normaltextrun"/>
          <w:rFonts w:ascii="Calibri" w:eastAsiaTheme="minorEastAsia" w:hAnsi="Calibri" w:cs="Calibri"/>
          <w:color w:val="000000"/>
          <w:sz w:val="22"/>
          <w:szCs w:val="22"/>
        </w:rPr>
        <w:t xml:space="preserve">Changes in this document for the </w:t>
      </w:r>
      <w:r w:rsidR="00225404">
        <w:rPr>
          <w:rStyle w:val="normaltextrun"/>
          <w:rFonts w:ascii="Calibri" w:eastAsiaTheme="minorEastAsia" w:hAnsi="Calibri" w:cs="Calibri"/>
          <w:color w:val="000000"/>
          <w:sz w:val="22"/>
          <w:szCs w:val="22"/>
        </w:rPr>
        <w:t>2024–25</w:t>
      </w:r>
      <w:r>
        <w:rPr>
          <w:rStyle w:val="normaltextrun"/>
          <w:rFonts w:ascii="Calibri" w:eastAsiaTheme="minorEastAsia" w:hAnsi="Calibri" w:cs="Calibri"/>
          <w:color w:val="000000"/>
          <w:sz w:val="22"/>
          <w:szCs w:val="22"/>
        </w:rPr>
        <w:t xml:space="preserve"> reporting year:</w:t>
      </w:r>
      <w:r>
        <w:rPr>
          <w:rStyle w:val="eop"/>
          <w:rFonts w:ascii="Calibri" w:eastAsiaTheme="minorEastAsia" w:hAnsi="Calibri" w:cs="Calibri"/>
          <w:color w:val="000000"/>
          <w:sz w:val="22"/>
        </w:rPr>
        <w:t> </w:t>
      </w:r>
    </w:p>
    <w:p w14:paraId="12195288" w14:textId="7B7E7397" w:rsidR="00A17FAB" w:rsidRDefault="00D939FB" w:rsidP="00D2141E">
      <w:pPr>
        <w:pStyle w:val="CERbullets"/>
        <w:rPr>
          <w:rStyle w:val="normaltextrun"/>
          <w:rFonts w:ascii="Calibri" w:hAnsi="Calibri" w:cs="Calibri"/>
          <w:szCs w:val="22"/>
        </w:rPr>
      </w:pPr>
      <w:r>
        <w:rPr>
          <w:rStyle w:val="normaltextrun"/>
          <w:rFonts w:ascii="Calibri" w:hAnsi="Calibri" w:cs="Calibri"/>
          <w:szCs w:val="22"/>
        </w:rPr>
        <w:t>Chapter 6</w:t>
      </w:r>
      <w:r w:rsidR="00EB085D">
        <w:rPr>
          <w:rStyle w:val="normaltextrun"/>
          <w:rFonts w:ascii="Calibri" w:hAnsi="Calibri" w:cs="Calibri"/>
          <w:szCs w:val="22"/>
        </w:rPr>
        <w:t xml:space="preserve">: </w:t>
      </w:r>
      <w:r w:rsidR="000132D8">
        <w:rPr>
          <w:rStyle w:val="normaltextrun"/>
          <w:rFonts w:ascii="Calibri" w:hAnsi="Calibri" w:cs="Calibri"/>
          <w:szCs w:val="22"/>
        </w:rPr>
        <w:t xml:space="preserve">Additional discussion of scope 2 reporting methods, </w:t>
      </w:r>
      <w:r w:rsidR="00663FE1">
        <w:rPr>
          <w:rStyle w:val="normaltextrun"/>
          <w:rFonts w:ascii="Calibri" w:hAnsi="Calibri" w:cs="Calibri"/>
          <w:szCs w:val="22"/>
        </w:rPr>
        <w:t xml:space="preserve">in relation </w:t>
      </w:r>
      <w:r w:rsidR="00AA6BDD">
        <w:rPr>
          <w:rStyle w:val="normaltextrun"/>
          <w:rFonts w:ascii="Calibri" w:hAnsi="Calibri" w:cs="Calibri"/>
          <w:szCs w:val="22"/>
        </w:rPr>
        <w:t xml:space="preserve">to </w:t>
      </w:r>
      <w:r w:rsidR="0080075F">
        <w:rPr>
          <w:rStyle w:val="normaltextrun"/>
          <w:rFonts w:ascii="Calibri" w:hAnsi="Calibri" w:cs="Calibri"/>
          <w:szCs w:val="22"/>
        </w:rPr>
        <w:t xml:space="preserve">electricity purchased, acquired or lost from other sources </w:t>
      </w:r>
      <w:r>
        <w:rPr>
          <w:rStyle w:val="normaltextrun"/>
          <w:rFonts w:ascii="Calibri" w:hAnsi="Calibri" w:cs="Calibri"/>
          <w:szCs w:val="22"/>
        </w:rPr>
        <w:t xml:space="preserve">and </w:t>
      </w:r>
      <w:r w:rsidR="00663FE1">
        <w:rPr>
          <w:rStyle w:val="normaltextrun"/>
          <w:rFonts w:ascii="Calibri" w:hAnsi="Calibri" w:cs="Calibri"/>
          <w:szCs w:val="22"/>
        </w:rPr>
        <w:t xml:space="preserve">the new MTBI </w:t>
      </w:r>
      <w:r>
        <w:rPr>
          <w:rStyle w:val="normaltextrun"/>
          <w:rFonts w:ascii="Calibri" w:hAnsi="Calibri" w:cs="Calibri"/>
          <w:szCs w:val="22"/>
        </w:rPr>
        <w:t>for this method</w:t>
      </w:r>
      <w:r w:rsidR="0097576F">
        <w:rPr>
          <w:rStyle w:val="normaltextrun"/>
          <w:rFonts w:ascii="Calibri" w:hAnsi="Calibri" w:cs="Calibri"/>
          <w:szCs w:val="22"/>
        </w:rPr>
        <w:t>.</w:t>
      </w:r>
    </w:p>
    <w:p w14:paraId="7EBC4C28" w14:textId="5C45D81B" w:rsidR="00B44709" w:rsidRDefault="00B44709" w:rsidP="00D2141E">
      <w:pPr>
        <w:pStyle w:val="CERbullets"/>
        <w:rPr>
          <w:rStyle w:val="normaltextrun"/>
          <w:rFonts w:ascii="Calibri" w:hAnsi="Calibri" w:cs="Calibri"/>
          <w:szCs w:val="22"/>
        </w:rPr>
      </w:pPr>
      <w:r>
        <w:rPr>
          <w:rStyle w:val="normaltextrun"/>
          <w:rFonts w:ascii="Calibri" w:hAnsi="Calibri" w:cs="Calibri"/>
          <w:szCs w:val="22"/>
        </w:rPr>
        <w:t xml:space="preserve">Chapter 7.3.1: </w:t>
      </w:r>
      <w:r w:rsidR="005436BA">
        <w:rPr>
          <w:rStyle w:val="normaltextrun"/>
          <w:rFonts w:ascii="Calibri" w:hAnsi="Calibri" w:cs="Calibri"/>
          <w:szCs w:val="22"/>
        </w:rPr>
        <w:t xml:space="preserve">Clarification </w:t>
      </w:r>
      <w:r w:rsidR="000E1A10">
        <w:rPr>
          <w:rStyle w:val="normaltextrun"/>
          <w:rFonts w:ascii="Calibri" w:hAnsi="Calibri" w:cs="Calibri"/>
          <w:szCs w:val="22"/>
        </w:rPr>
        <w:t xml:space="preserve">of </w:t>
      </w:r>
      <w:r w:rsidR="005436BA">
        <w:rPr>
          <w:rStyle w:val="normaltextrun"/>
          <w:rFonts w:ascii="Calibri" w:hAnsi="Calibri" w:cs="Calibri"/>
          <w:szCs w:val="22"/>
        </w:rPr>
        <w:t>reporting requirements for electric vehicle charging.</w:t>
      </w:r>
    </w:p>
    <w:p w14:paraId="21C9EAD5" w14:textId="5A8FB73D" w:rsidR="00D939FB" w:rsidRPr="00084932" w:rsidRDefault="00EB085D" w:rsidP="00D2141E">
      <w:pPr>
        <w:pStyle w:val="CERbullets"/>
        <w:rPr>
          <w:rStyle w:val="normaltextrun"/>
          <w:rFonts w:ascii="Calibri" w:hAnsi="Calibri" w:cs="Calibri"/>
          <w:szCs w:val="22"/>
        </w:rPr>
      </w:pPr>
      <w:r>
        <w:rPr>
          <w:rStyle w:val="normaltextrun"/>
          <w:rFonts w:ascii="Calibri" w:hAnsi="Calibri" w:cs="Calibri"/>
          <w:szCs w:val="22"/>
        </w:rPr>
        <w:t xml:space="preserve">Chapter 7.6: Further principles of reporting for battery energy storage systems (BESS) </w:t>
      </w:r>
      <w:r w:rsidR="00FC5D5F">
        <w:rPr>
          <w:rStyle w:val="normaltextrun"/>
          <w:rFonts w:ascii="Calibri" w:hAnsi="Calibri" w:cs="Calibri"/>
          <w:szCs w:val="22"/>
        </w:rPr>
        <w:t xml:space="preserve">and </w:t>
      </w:r>
      <w:r w:rsidR="00C837FA">
        <w:rPr>
          <w:rStyle w:val="normaltextrun"/>
          <w:rFonts w:ascii="Calibri" w:hAnsi="Calibri" w:cs="Calibri"/>
          <w:szCs w:val="22"/>
        </w:rPr>
        <w:t>virtual power plants (</w:t>
      </w:r>
      <w:r w:rsidR="00FC5D5F">
        <w:rPr>
          <w:rStyle w:val="normaltextrun"/>
          <w:rFonts w:ascii="Calibri" w:hAnsi="Calibri" w:cs="Calibri"/>
          <w:szCs w:val="22"/>
        </w:rPr>
        <w:t>VPP</w:t>
      </w:r>
      <w:r w:rsidR="00C837FA">
        <w:rPr>
          <w:rStyle w:val="normaltextrun"/>
          <w:rFonts w:ascii="Calibri" w:hAnsi="Calibri" w:cs="Calibri"/>
          <w:szCs w:val="22"/>
        </w:rPr>
        <w:t>)</w:t>
      </w:r>
      <w:r w:rsidR="0097576F">
        <w:rPr>
          <w:rStyle w:val="normaltextrun"/>
          <w:rFonts w:ascii="Calibri" w:hAnsi="Calibri" w:cs="Calibri"/>
          <w:szCs w:val="22"/>
        </w:rPr>
        <w:t>.</w:t>
      </w:r>
    </w:p>
    <w:p w14:paraId="54263F11" w14:textId="3EF5182B" w:rsidR="005838E4" w:rsidRDefault="005838E4" w:rsidP="00D2141E">
      <w:pPr>
        <w:pStyle w:val="CERbullets"/>
        <w:rPr>
          <w:rFonts w:ascii="Calibri" w:hAnsi="Calibri" w:cs="Calibri"/>
          <w:szCs w:val="22"/>
        </w:rPr>
      </w:pPr>
      <w:r w:rsidRPr="00330B59">
        <w:rPr>
          <w:rStyle w:val="normaltextrun"/>
          <w:rFonts w:ascii="Calibri" w:eastAsiaTheme="minorEastAsia" w:hAnsi="Calibri" w:cs="Calibri"/>
          <w:szCs w:val="22"/>
          <w:lang w:val="en-GB"/>
        </w:rPr>
        <w:t>Minor stylistic and formatting changes</w:t>
      </w:r>
      <w:r w:rsidR="009D5E82">
        <w:rPr>
          <w:rStyle w:val="normaltextrun"/>
          <w:rFonts w:ascii="Calibri" w:eastAsiaTheme="minorEastAsia" w:hAnsi="Calibri" w:cs="Calibri"/>
          <w:szCs w:val="22"/>
          <w:lang w:val="en-GB"/>
        </w:rPr>
        <w:t xml:space="preserve">, including </w:t>
      </w:r>
      <w:r w:rsidR="003A3D54">
        <w:rPr>
          <w:rStyle w:val="normaltextrun"/>
          <w:rFonts w:ascii="Calibri" w:eastAsiaTheme="minorEastAsia" w:hAnsi="Calibri" w:cs="Calibri"/>
          <w:szCs w:val="22"/>
          <w:lang w:val="en-GB"/>
        </w:rPr>
        <w:t>correction</w:t>
      </w:r>
      <w:r w:rsidR="00384257">
        <w:rPr>
          <w:rStyle w:val="normaltextrun"/>
          <w:rFonts w:ascii="Calibri" w:eastAsiaTheme="minorEastAsia" w:hAnsi="Calibri" w:cs="Calibri"/>
          <w:szCs w:val="22"/>
          <w:lang w:val="en-GB"/>
        </w:rPr>
        <w:t xml:space="preserve"> of references to tables and </w:t>
      </w:r>
      <w:r w:rsidR="001E2C1C">
        <w:rPr>
          <w:rStyle w:val="normaltextrun"/>
          <w:rFonts w:ascii="Calibri" w:eastAsiaTheme="minorEastAsia" w:hAnsi="Calibri" w:cs="Calibri"/>
          <w:szCs w:val="22"/>
          <w:lang w:val="en-GB"/>
        </w:rPr>
        <w:t>figures</w:t>
      </w:r>
      <w:r w:rsidR="00301BEB">
        <w:rPr>
          <w:rStyle w:val="normaltextrun"/>
          <w:rFonts w:ascii="Calibri" w:eastAsiaTheme="minorEastAsia" w:hAnsi="Calibri" w:cs="Calibri"/>
          <w:szCs w:val="22"/>
          <w:lang w:val="en-GB"/>
        </w:rPr>
        <w:t>.</w:t>
      </w:r>
      <w:r>
        <w:rPr>
          <w:rStyle w:val="scxw260463303"/>
          <w:rFonts w:ascii="Calibri" w:hAnsi="Calibri" w:cs="Calibri"/>
          <w:szCs w:val="22"/>
        </w:rPr>
        <w:t> </w:t>
      </w:r>
      <w:r>
        <w:rPr>
          <w:rFonts w:ascii="Calibri" w:hAnsi="Calibri" w:cs="Calibri"/>
          <w:szCs w:val="22"/>
        </w:rPr>
        <w:br/>
      </w:r>
    </w:p>
    <w:p w14:paraId="5A4E5AEC" w14:textId="2B576BE1" w:rsidR="005838E4" w:rsidRDefault="005838E4" w:rsidP="005838E4">
      <w:pPr>
        <w:pStyle w:val="paragraph"/>
        <w:spacing w:before="0" w:beforeAutospacing="0" w:after="0" w:afterAutospacing="0"/>
        <w:textAlignment w:val="baseline"/>
        <w:rPr>
          <w:rStyle w:val="eop"/>
          <w:rFonts w:ascii="Calibri" w:eastAsiaTheme="minorEastAsia" w:hAnsi="Calibri" w:cs="Calibri"/>
          <w:sz w:val="22"/>
        </w:rPr>
      </w:pPr>
      <w:r>
        <w:rPr>
          <w:rStyle w:val="normaltextrun"/>
          <w:rFonts w:ascii="Calibri" w:eastAsiaTheme="minorEastAsia" w:hAnsi="Calibri" w:cs="Calibri"/>
          <w:sz w:val="22"/>
          <w:szCs w:val="22"/>
        </w:rPr>
        <w:t xml:space="preserve">Read about the </w:t>
      </w:r>
      <w:hyperlink r:id="rId26" w:tooltip="A link to the NGER amendments page of the Clean Energy Regulator website" w:history="1">
        <w:r w:rsidR="004672B4">
          <w:rPr>
            <w:rStyle w:val="normaltextrun"/>
            <w:rFonts w:ascii="Calibri" w:eastAsiaTheme="minorEastAsia" w:hAnsi="Calibri" w:cs="Calibri"/>
            <w:color w:val="006C93"/>
            <w:sz w:val="22"/>
            <w:szCs w:val="22"/>
            <w:u w:val="single"/>
          </w:rPr>
          <w:t xml:space="preserve">changes to the NGER Legislation for the </w:t>
        </w:r>
        <w:r w:rsidR="00225404">
          <w:rPr>
            <w:rStyle w:val="normaltextrun"/>
            <w:rFonts w:ascii="Calibri" w:eastAsiaTheme="minorEastAsia" w:hAnsi="Calibri" w:cs="Calibri"/>
            <w:color w:val="006C93"/>
            <w:sz w:val="22"/>
            <w:szCs w:val="22"/>
            <w:u w:val="single"/>
          </w:rPr>
          <w:t>2024–25</w:t>
        </w:r>
        <w:r w:rsidR="004672B4">
          <w:rPr>
            <w:rStyle w:val="normaltextrun"/>
            <w:rFonts w:ascii="Calibri" w:eastAsiaTheme="minorEastAsia" w:hAnsi="Calibri" w:cs="Calibri"/>
            <w:color w:val="006C93"/>
            <w:sz w:val="22"/>
            <w:szCs w:val="22"/>
            <w:u w:val="single"/>
          </w:rPr>
          <w:t xml:space="preserve"> reporting period</w:t>
        </w:r>
      </w:hyperlink>
      <w:r w:rsidR="004B0870">
        <w:rPr>
          <w:rFonts w:ascii="ZWAdobeF" w:hAnsi="ZWAdobeF" w:cs="ZWAdobeF"/>
          <w:sz w:val="2"/>
          <w:szCs w:val="2"/>
        </w:rPr>
        <w:t>5F</w:t>
      </w:r>
      <w:r w:rsidR="004672B4">
        <w:rPr>
          <w:rStyle w:val="FootnoteReference"/>
          <w:rFonts w:ascii="Segoe UI" w:hAnsi="Segoe UI" w:cs="Segoe UI"/>
          <w:sz w:val="18"/>
          <w:szCs w:val="18"/>
        </w:rPr>
        <w:footnoteReference w:id="7"/>
      </w:r>
      <w:r>
        <w:rPr>
          <w:rStyle w:val="normaltextrun"/>
          <w:rFonts w:ascii="Calibri" w:eastAsiaTheme="minorEastAsia" w:hAnsi="Calibri" w:cs="Calibri"/>
          <w:sz w:val="22"/>
          <w:szCs w:val="22"/>
        </w:rPr>
        <w:t>.  </w:t>
      </w:r>
      <w:r>
        <w:rPr>
          <w:rStyle w:val="eop"/>
          <w:rFonts w:ascii="Calibri" w:eastAsiaTheme="minorEastAsia" w:hAnsi="Calibri" w:cs="Calibri"/>
          <w:sz w:val="22"/>
        </w:rPr>
        <w:t> </w:t>
      </w:r>
    </w:p>
    <w:p w14:paraId="74D47633" w14:textId="77777777" w:rsidR="002439A1" w:rsidRDefault="002439A1">
      <w:pPr>
        <w:spacing w:after="0"/>
        <w:rPr>
          <w:rStyle w:val="eop"/>
          <w:rFonts w:ascii="Calibri" w:eastAsiaTheme="minorEastAsia" w:hAnsi="Calibri" w:cs="Calibri"/>
          <w:color w:val="auto"/>
          <w:lang w:eastAsia="en-AU"/>
        </w:rPr>
      </w:pPr>
      <w:r>
        <w:rPr>
          <w:rStyle w:val="eop"/>
          <w:rFonts w:ascii="Calibri" w:eastAsiaTheme="minorEastAsia" w:hAnsi="Calibri" w:cs="Calibri"/>
        </w:rPr>
        <w:br w:type="page"/>
      </w:r>
    </w:p>
    <w:p w14:paraId="133626B6" w14:textId="7AB70FE2" w:rsidR="004A2E03" w:rsidRPr="00FF338C" w:rsidRDefault="000315DF" w:rsidP="00DB4B56">
      <w:pPr>
        <w:pStyle w:val="Heading1"/>
        <w:numPr>
          <w:ilvl w:val="0"/>
          <w:numId w:val="3"/>
        </w:numPr>
        <w:ind w:left="426" w:hanging="426"/>
        <w:rPr>
          <w:lang w:val="en-GB"/>
        </w:rPr>
      </w:pPr>
      <w:bookmarkStart w:id="13" w:name="_Toc139895787"/>
      <w:bookmarkStart w:id="14" w:name="_Toc139895918"/>
      <w:bookmarkStart w:id="15" w:name="_Toc139896010"/>
      <w:bookmarkStart w:id="16" w:name="_Toc140062865"/>
      <w:bookmarkStart w:id="17" w:name="_Toc140141822"/>
      <w:bookmarkStart w:id="18" w:name="_Toc142059103"/>
      <w:bookmarkStart w:id="19" w:name="_Toc147852440"/>
      <w:bookmarkEnd w:id="13"/>
      <w:bookmarkEnd w:id="14"/>
      <w:bookmarkEnd w:id="15"/>
      <w:bookmarkEnd w:id="16"/>
      <w:bookmarkEnd w:id="17"/>
      <w:bookmarkEnd w:id="18"/>
      <w:bookmarkEnd w:id="19"/>
      <w:r>
        <w:t xml:space="preserve"> </w:t>
      </w:r>
      <w:bookmarkStart w:id="20" w:name="_Ref511987459"/>
      <w:bookmarkStart w:id="21" w:name="_Toc512010382"/>
      <w:bookmarkStart w:id="22" w:name="_Toc512339580"/>
      <w:bookmarkStart w:id="23" w:name="_Toc106705744"/>
      <w:bookmarkStart w:id="24" w:name="_Toc205461422"/>
      <w:r w:rsidR="004A2E03" w:rsidRPr="00FF338C">
        <w:rPr>
          <w:lang w:val="en-GB"/>
        </w:rPr>
        <w:t>Purpose of this guideline</w:t>
      </w:r>
      <w:bookmarkEnd w:id="20"/>
      <w:bookmarkEnd w:id="21"/>
      <w:bookmarkEnd w:id="22"/>
      <w:bookmarkEnd w:id="23"/>
      <w:bookmarkEnd w:id="24"/>
    </w:p>
    <w:p w14:paraId="162C646C" w14:textId="3D9CCC95" w:rsidR="00513620" w:rsidRDefault="00513620" w:rsidP="00513620"/>
    <w:p w14:paraId="1F77CC04" w14:textId="53D254C7" w:rsidR="004A2E03" w:rsidRPr="00FF338C" w:rsidRDefault="00776CC5" w:rsidP="004A2E03">
      <w:r>
        <w:t>This guideline</w:t>
      </w:r>
      <w:r w:rsidDel="00613654">
        <w:t xml:space="preserve"> </w:t>
      </w:r>
      <w:r>
        <w:t>provide</w:t>
      </w:r>
      <w:r w:rsidR="00613654">
        <w:t>s</w:t>
      </w:r>
      <w:r>
        <w:t xml:space="preserve"> information to assist </w:t>
      </w:r>
      <w:r w:rsidR="006A57B2">
        <w:t>NGER reporters</w:t>
      </w:r>
      <w:r>
        <w:t xml:space="preserve"> </w:t>
      </w:r>
      <w:r w:rsidR="00C47E87">
        <w:t>to report</w:t>
      </w:r>
      <w:r w:rsidR="00721F49">
        <w:t xml:space="preserve"> </w:t>
      </w:r>
      <w:r w:rsidR="0035428D">
        <w:t>emission</w:t>
      </w:r>
      <w:r w:rsidR="0056179D">
        <w:t>s</w:t>
      </w:r>
      <w:r w:rsidR="004A2E03" w:rsidRPr="00FF338C">
        <w:t xml:space="preserve"> and </w:t>
      </w:r>
      <w:r w:rsidR="0035428D">
        <w:t xml:space="preserve">energy </w:t>
      </w:r>
      <w:r w:rsidR="00F321B5">
        <w:t xml:space="preserve">from </w:t>
      </w:r>
      <w:r w:rsidR="004A2E03" w:rsidRPr="00FF338C">
        <w:t xml:space="preserve">electricity </w:t>
      </w:r>
      <w:r w:rsidR="00CF41BA">
        <w:t>production</w:t>
      </w:r>
      <w:r w:rsidR="00F321B5">
        <w:t xml:space="preserve"> and</w:t>
      </w:r>
      <w:r w:rsidR="00CF41BA">
        <w:t xml:space="preserve"> </w:t>
      </w:r>
      <w:r w:rsidR="00256BFD">
        <w:t>consumption</w:t>
      </w:r>
      <w:r w:rsidR="004A2E03" w:rsidRPr="00FF338C">
        <w:t xml:space="preserve"> under the NGER Act</w:t>
      </w:r>
      <w:r w:rsidR="004A2E03">
        <w:t xml:space="preserve"> and</w:t>
      </w:r>
      <w:r w:rsidR="00D20942">
        <w:t xml:space="preserve"> other requirements</w:t>
      </w:r>
      <w:r w:rsidR="004A2E03">
        <w:t xml:space="preserve"> </w:t>
      </w:r>
      <w:r w:rsidR="00D20942">
        <w:t xml:space="preserve">under </w:t>
      </w:r>
      <w:r w:rsidR="004A2E03">
        <w:t>the</w:t>
      </w:r>
      <w:r w:rsidR="004A2E03" w:rsidRPr="004710E1">
        <w:rPr>
          <w:i/>
          <w:iCs/>
        </w:rPr>
        <w:t xml:space="preserve"> </w:t>
      </w:r>
      <w:hyperlink r:id="rId27" w:tooltip="A link to the Australian Government legislation - the National Greenhouse and Energy Reporting (Safeguard Mechanism) rule" w:history="1">
        <w:r w:rsidR="004A2E03" w:rsidRPr="0088632B">
          <w:rPr>
            <w:rStyle w:val="Hyperlink"/>
            <w:rFonts w:asciiTheme="minorHAnsi" w:hAnsiTheme="minorHAnsi"/>
          </w:rPr>
          <w:t>National Greenhouse and Energy Reporting (Safeguard Mechanism) Rule 2015</w:t>
        </w:r>
      </w:hyperlink>
      <w:r w:rsidR="004B0870">
        <w:rPr>
          <w:rFonts w:ascii="ZWAdobeF" w:hAnsi="ZWAdobeF" w:cs="ZWAdobeF"/>
          <w:color w:val="auto"/>
          <w:sz w:val="2"/>
          <w:szCs w:val="2"/>
        </w:rPr>
        <w:t>6F</w:t>
      </w:r>
      <w:r w:rsidR="004A2E03">
        <w:rPr>
          <w:rStyle w:val="FootnoteReference"/>
        </w:rPr>
        <w:footnoteReference w:id="8"/>
      </w:r>
      <w:r w:rsidR="004A2E03" w:rsidRPr="004710E1">
        <w:t xml:space="preserve"> (Safeguard </w:t>
      </w:r>
      <w:r w:rsidR="004A2E03">
        <w:t xml:space="preserve">Mechanism </w:t>
      </w:r>
      <w:r w:rsidR="004A2E03" w:rsidRPr="004710E1">
        <w:t>Rule</w:t>
      </w:r>
      <w:r w:rsidR="004A2E03">
        <w:t>)</w:t>
      </w:r>
      <w:r w:rsidR="004A2E03" w:rsidRPr="00FF338C">
        <w:t>.</w:t>
      </w:r>
    </w:p>
    <w:p w14:paraId="188ED8AF" w14:textId="56C910C1" w:rsidR="004A2E03" w:rsidRPr="00FF338C" w:rsidRDefault="004A2E03" w:rsidP="0035044B">
      <w:pPr>
        <w:pStyle w:val="CERbullets"/>
        <w:numPr>
          <w:ilvl w:val="0"/>
          <w:numId w:val="0"/>
        </w:numPr>
        <w:ind w:left="360"/>
      </w:pPr>
    </w:p>
    <w:p w14:paraId="3B1B795B" w14:textId="77777777" w:rsidR="004A2E03" w:rsidRPr="00FF338C" w:rsidRDefault="004A2E03" w:rsidP="00DB4B56">
      <w:pPr>
        <w:pStyle w:val="Heading2"/>
        <w:numPr>
          <w:ilvl w:val="1"/>
          <w:numId w:val="3"/>
        </w:numPr>
        <w:ind w:left="426" w:hanging="426"/>
      </w:pPr>
      <w:bookmarkStart w:id="25" w:name="_Toc512010383"/>
      <w:bookmarkStart w:id="26" w:name="_Toc512339581"/>
      <w:bookmarkStart w:id="27" w:name="_Toc106705745"/>
      <w:bookmarkStart w:id="28" w:name="_Toc205461423"/>
      <w:r w:rsidRPr="00FF338C">
        <w:t>Focus of this guideline</w:t>
      </w:r>
      <w:bookmarkEnd w:id="25"/>
      <w:bookmarkEnd w:id="26"/>
      <w:bookmarkEnd w:id="27"/>
      <w:bookmarkEnd w:id="28"/>
    </w:p>
    <w:p w14:paraId="280B7259" w14:textId="42452BA1" w:rsidR="004A2E03" w:rsidRPr="00FF338C" w:rsidRDefault="004A2E03" w:rsidP="004A2E03">
      <w:pPr>
        <w:rPr>
          <w:rFonts w:eastAsia="Times New Roman"/>
          <w:b/>
          <w:color w:val="005874"/>
          <w:sz w:val="30"/>
          <w:szCs w:val="30"/>
        </w:rPr>
      </w:pPr>
      <w:r w:rsidRPr="00BD5B0F">
        <w:t>The guideline focuses on</w:t>
      </w:r>
      <w:r>
        <w:t>:</w:t>
      </w:r>
    </w:p>
    <w:p w14:paraId="5A2E9573" w14:textId="6AD67614" w:rsidR="004A2E03" w:rsidRPr="00FF338C" w:rsidRDefault="004A2E03" w:rsidP="00B3330E">
      <w:pPr>
        <w:numPr>
          <w:ilvl w:val="0"/>
          <w:numId w:val="1"/>
        </w:numPr>
        <w:spacing w:before="120" w:after="120"/>
      </w:pPr>
      <w:r>
        <w:t xml:space="preserve">good </w:t>
      </w:r>
      <w:r w:rsidR="00D77263">
        <w:t xml:space="preserve">reporting </w:t>
      </w:r>
      <w:r>
        <w:t>practice</w:t>
      </w:r>
      <w:r w:rsidR="00D77263">
        <w:t>s</w:t>
      </w:r>
      <w:r>
        <w:t xml:space="preserve"> — section 2</w:t>
      </w:r>
    </w:p>
    <w:p w14:paraId="482843CE" w14:textId="1B06C86F" w:rsidR="004A2E03" w:rsidRPr="00FF338C" w:rsidRDefault="004A2E03" w:rsidP="00B3330E">
      <w:pPr>
        <w:numPr>
          <w:ilvl w:val="0"/>
          <w:numId w:val="1"/>
        </w:numPr>
        <w:spacing w:before="120" w:after="120"/>
      </w:pPr>
      <w:r w:rsidRPr="00FF338C">
        <w:t xml:space="preserve">estimating scope 1 emissions </w:t>
      </w:r>
      <w:r>
        <w:t>— section 3</w:t>
      </w:r>
    </w:p>
    <w:p w14:paraId="4BBE064F" w14:textId="2DE5DD87" w:rsidR="004A2E03" w:rsidRPr="00FF338C" w:rsidRDefault="004A2E03" w:rsidP="00B3330E">
      <w:pPr>
        <w:numPr>
          <w:ilvl w:val="0"/>
          <w:numId w:val="1"/>
        </w:numPr>
        <w:spacing w:before="120" w:after="120"/>
      </w:pPr>
      <w:r>
        <w:t>e</w:t>
      </w:r>
      <w:r w:rsidRPr="00FF338C">
        <w:t xml:space="preserve">stimating emissions from fuel combustion </w:t>
      </w:r>
      <w:r w:rsidR="00CA29F9">
        <w:t>for electricity production</w:t>
      </w:r>
      <w:r>
        <w:t>— section 4</w:t>
      </w:r>
    </w:p>
    <w:p w14:paraId="5404E1AF" w14:textId="470B3F6B" w:rsidR="004A2E03" w:rsidRPr="00FF338C" w:rsidRDefault="004A2E03" w:rsidP="00B3330E">
      <w:pPr>
        <w:numPr>
          <w:ilvl w:val="0"/>
          <w:numId w:val="1"/>
        </w:numPr>
        <w:spacing w:before="120" w:after="120"/>
      </w:pPr>
      <w:r>
        <w:t>e</w:t>
      </w:r>
      <w:r w:rsidRPr="00FF338C">
        <w:t>stimating emissions of sulphur hexafluoride</w:t>
      </w:r>
      <w:r>
        <w:t xml:space="preserve"> — section 5</w:t>
      </w:r>
      <w:r w:rsidR="00AD3FE5">
        <w:t>. Additional</w:t>
      </w:r>
      <w:r w:rsidR="00201AE0">
        <w:t xml:space="preserve"> </w:t>
      </w:r>
      <w:r w:rsidR="00DD170B">
        <w:t>guidance</w:t>
      </w:r>
      <w:r w:rsidR="00DD170B" w:rsidDel="005F7BF6">
        <w:t xml:space="preserve"> </w:t>
      </w:r>
      <w:r w:rsidR="007A71FD">
        <w:t>is also provided</w:t>
      </w:r>
      <w:r w:rsidR="00412A62">
        <w:t xml:space="preserve"> </w:t>
      </w:r>
      <w:r w:rsidR="006C1CE1">
        <w:t>in the</w:t>
      </w:r>
      <w:r w:rsidR="007A71FD">
        <w:t xml:space="preserve"> </w:t>
      </w:r>
      <w:hyperlink r:id="rId28" w:tooltip="A link to the Reporting Hydrofluorocarbons and Sulphur Hexaflouride gases guide the Clean Energy Regulator website" w:history="1">
        <w:r w:rsidRPr="79B44BC7">
          <w:rPr>
            <w:rStyle w:val="Hyperlink"/>
            <w:rFonts w:asciiTheme="minorHAnsi" w:hAnsiTheme="minorHAnsi"/>
          </w:rPr>
          <w:t>Reporting Hydrofluorocarbons and Sulphur Hexafluoride gases guideline</w:t>
        </w:r>
      </w:hyperlink>
      <w:r w:rsidR="004B0870">
        <w:rPr>
          <w:rFonts w:ascii="ZWAdobeF" w:hAnsi="ZWAdobeF" w:cs="ZWAdobeF"/>
          <w:color w:val="auto"/>
          <w:sz w:val="2"/>
          <w:szCs w:val="2"/>
        </w:rPr>
        <w:t>7F</w:t>
      </w:r>
      <w:r>
        <w:rPr>
          <w:rStyle w:val="FootnoteReference"/>
          <w:color w:val="005874"/>
          <w:u w:val="single"/>
        </w:rPr>
        <w:footnoteReference w:id="9"/>
      </w:r>
      <w:r w:rsidR="00946303">
        <w:rPr>
          <w:rStyle w:val="Hyperlink"/>
          <w:rFonts w:asciiTheme="minorHAnsi" w:hAnsiTheme="minorHAnsi"/>
        </w:rPr>
        <w:t>.</w:t>
      </w:r>
    </w:p>
    <w:p w14:paraId="5A52E05F" w14:textId="158CBFA5" w:rsidR="004A2E03" w:rsidRPr="00FF338C" w:rsidRDefault="004A2E03" w:rsidP="00B3330E">
      <w:pPr>
        <w:numPr>
          <w:ilvl w:val="0"/>
          <w:numId w:val="1"/>
        </w:numPr>
        <w:spacing w:before="120" w:after="120"/>
      </w:pPr>
      <w:r>
        <w:t>s</w:t>
      </w:r>
      <w:r w:rsidRPr="00FF338C">
        <w:t xml:space="preserve">cope 2 emissions from electricity use </w:t>
      </w:r>
      <w:r>
        <w:t>— section 6</w:t>
      </w:r>
      <w:r w:rsidR="0041337F">
        <w:t>. Addit</w:t>
      </w:r>
      <w:r w:rsidR="000457C7">
        <w:t>i</w:t>
      </w:r>
      <w:r w:rsidR="0041337F">
        <w:t xml:space="preserve">onal </w:t>
      </w:r>
      <w:r w:rsidR="000457C7">
        <w:t xml:space="preserve">guidance </w:t>
      </w:r>
      <w:r w:rsidR="00271043">
        <w:t xml:space="preserve">is also provided </w:t>
      </w:r>
      <w:r w:rsidR="009F14B8">
        <w:t>in the</w:t>
      </w:r>
      <w:r w:rsidR="00C63064">
        <w:t xml:space="preserve"> </w:t>
      </w:r>
      <w:hyperlink r:id="rId29" w:tooltip="A link to the Voluntary market-based scope 2 emissions guide the Clean Energy Regulator website" w:history="1">
        <w:r w:rsidR="00C63064" w:rsidRPr="001876A4">
          <w:rPr>
            <w:rStyle w:val="Hyperlink"/>
            <w:rFonts w:asciiTheme="minorHAnsi" w:hAnsiTheme="minorHAnsi"/>
          </w:rPr>
          <w:t>Voluntary market-based scope 2 emissions guideline</w:t>
        </w:r>
      </w:hyperlink>
      <w:r w:rsidR="004B0870">
        <w:rPr>
          <w:rFonts w:ascii="ZWAdobeF" w:hAnsi="ZWAdobeF" w:cs="ZWAdobeF"/>
          <w:color w:val="auto"/>
          <w:sz w:val="2"/>
          <w:szCs w:val="2"/>
        </w:rPr>
        <w:t>8F</w:t>
      </w:r>
      <w:r w:rsidR="001876A4">
        <w:rPr>
          <w:rStyle w:val="FootnoteReference"/>
        </w:rPr>
        <w:footnoteReference w:id="10"/>
      </w:r>
      <w:r w:rsidR="00C63064">
        <w:t xml:space="preserve"> </w:t>
      </w:r>
      <w:r w:rsidR="00CA29F9">
        <w:t xml:space="preserve"> </w:t>
      </w:r>
    </w:p>
    <w:p w14:paraId="387688A2" w14:textId="7C54F638" w:rsidR="004A2E03" w:rsidRPr="00FF338C" w:rsidRDefault="004A2E03" w:rsidP="00B3330E">
      <w:pPr>
        <w:numPr>
          <w:ilvl w:val="0"/>
          <w:numId w:val="1"/>
        </w:numPr>
        <w:spacing w:before="120" w:after="120"/>
      </w:pPr>
      <w:r>
        <w:t>r</w:t>
      </w:r>
      <w:r w:rsidRPr="00FF338C">
        <w:t>eporting energy production and consumption</w:t>
      </w:r>
      <w:r>
        <w:t xml:space="preserve"> — section 7</w:t>
      </w:r>
    </w:p>
    <w:p w14:paraId="36648CD0" w14:textId="5F1C9EB0" w:rsidR="004A2E03" w:rsidRPr="00FF338C" w:rsidRDefault="004A2E03" w:rsidP="00B3330E">
      <w:pPr>
        <w:numPr>
          <w:ilvl w:val="0"/>
          <w:numId w:val="1"/>
        </w:numPr>
        <w:spacing w:before="120" w:after="120"/>
      </w:pPr>
      <w:r>
        <w:t>m</w:t>
      </w:r>
      <w:r w:rsidRPr="00FF338C">
        <w:t>easurement requirements</w:t>
      </w:r>
      <w:r>
        <w:t xml:space="preserve"> — section 8.</w:t>
      </w:r>
    </w:p>
    <w:p w14:paraId="4A7AD8DC" w14:textId="53A0D343" w:rsidR="004A2E03" w:rsidRPr="00FF338C" w:rsidRDefault="004A2E03" w:rsidP="004A2E03">
      <w:r w:rsidRPr="001B671E">
        <w:t xml:space="preserve">This </w:t>
      </w:r>
      <w:r>
        <w:t>document</w:t>
      </w:r>
      <w:r w:rsidRPr="001B671E">
        <w:t xml:space="preserve"> will not cover </w:t>
      </w:r>
      <w:r w:rsidR="00CE373E">
        <w:t>other</w:t>
      </w:r>
      <w:r w:rsidRPr="001B671E">
        <w:t xml:space="preserve"> NGER reporting requirements such as determining facility and operational control and using the Emissions and Energy Reporting System (EERS).</w:t>
      </w:r>
      <w:r w:rsidRPr="00FF338C">
        <w:t xml:space="preserve"> </w:t>
      </w:r>
      <w:r>
        <w:t xml:space="preserve">See </w:t>
      </w:r>
      <w:hyperlink r:id="rId30" w:tooltip="A link to the NGER reporting guides on the Clean Energy Regulator website" w:history="1">
        <w:r w:rsidR="00A330B5">
          <w:rPr>
            <w:rStyle w:val="Hyperlink"/>
            <w:rFonts w:asciiTheme="minorHAnsi" w:hAnsiTheme="minorHAnsi"/>
          </w:rPr>
          <w:t>NGER Reporting Guides</w:t>
        </w:r>
      </w:hyperlink>
      <w:r w:rsidR="004B0870">
        <w:rPr>
          <w:rFonts w:ascii="ZWAdobeF" w:hAnsi="ZWAdobeF" w:cs="ZWAdobeF"/>
          <w:color w:val="auto"/>
          <w:sz w:val="2"/>
          <w:szCs w:val="2"/>
        </w:rPr>
        <w:t>9F</w:t>
      </w:r>
      <w:r>
        <w:rPr>
          <w:rStyle w:val="FootnoteReference"/>
          <w:color w:val="005874"/>
          <w:u w:val="single"/>
        </w:rPr>
        <w:footnoteReference w:id="11"/>
      </w:r>
      <w:r>
        <w:t xml:space="preserve"> for more guidance</w:t>
      </w:r>
      <w:r w:rsidRPr="00FF338C">
        <w:t>.</w:t>
      </w:r>
    </w:p>
    <w:p w14:paraId="65DE4CD5" w14:textId="6324B49A" w:rsidR="004A2E03" w:rsidRPr="00FF338C" w:rsidRDefault="004A2E03" w:rsidP="008E6B32">
      <w:pPr>
        <w:pStyle w:val="Heading1"/>
        <w:numPr>
          <w:ilvl w:val="0"/>
          <w:numId w:val="3"/>
        </w:numPr>
        <w:ind w:left="426" w:hanging="426"/>
        <w:rPr>
          <w:lang w:val="en-GB"/>
        </w:rPr>
      </w:pPr>
      <w:bookmarkStart w:id="29" w:name="_Toc205461424"/>
      <w:bookmarkStart w:id="30" w:name="_Toc512010384"/>
      <w:bookmarkStart w:id="31" w:name="_Toc512339582"/>
      <w:bookmarkStart w:id="32" w:name="_Toc106705746"/>
      <w:r w:rsidRPr="008851B3">
        <w:rPr>
          <w:lang w:val="en-GB"/>
        </w:rPr>
        <w:t>Good reporting</w:t>
      </w:r>
      <w:r w:rsidR="00145749" w:rsidRPr="008851B3">
        <w:rPr>
          <w:lang w:val="en-GB"/>
        </w:rPr>
        <w:t xml:space="preserve"> practice</w:t>
      </w:r>
      <w:r w:rsidR="00F5572E" w:rsidRPr="008851B3">
        <w:rPr>
          <w:lang w:val="en-GB"/>
        </w:rPr>
        <w:t>s</w:t>
      </w:r>
      <w:bookmarkEnd w:id="29"/>
      <w:r w:rsidRPr="008851B3">
        <w:rPr>
          <w:lang w:val="en-GB"/>
        </w:rPr>
        <w:t xml:space="preserve"> </w:t>
      </w:r>
      <w:bookmarkEnd w:id="30"/>
      <w:bookmarkEnd w:id="31"/>
      <w:bookmarkEnd w:id="32"/>
    </w:p>
    <w:p w14:paraId="1C366A36" w14:textId="2367DF8B" w:rsidR="004A2E03" w:rsidRPr="00FF338C" w:rsidRDefault="009B6858" w:rsidP="004A2E03">
      <w:r>
        <w:t>NGER reporters</w:t>
      </w:r>
      <w:r w:rsidR="004A2E03" w:rsidRPr="00FF338C">
        <w:t xml:space="preserve"> must keep </w:t>
      </w:r>
      <w:r w:rsidR="000C0A1E" w:rsidRPr="00FF338C">
        <w:t xml:space="preserve">accessible </w:t>
      </w:r>
      <w:r w:rsidR="004A2E03" w:rsidRPr="00FF338C">
        <w:t>records of the</w:t>
      </w:r>
      <w:r w:rsidR="006E02F9">
        <w:t>ir</w:t>
      </w:r>
      <w:r w:rsidR="004A2E03" w:rsidRPr="00FF338C">
        <w:t xml:space="preserve"> activities and facilities </w:t>
      </w:r>
      <w:r w:rsidR="000438E0">
        <w:t>that are subject to</w:t>
      </w:r>
      <w:r w:rsidR="004A2E03" w:rsidRPr="00FF338C">
        <w:t xml:space="preserve"> the NGER Act. </w:t>
      </w:r>
      <w:r w:rsidR="000C0A1E">
        <w:t>These r</w:t>
      </w:r>
      <w:r w:rsidR="004A2E03" w:rsidRPr="00FF338C">
        <w:t xml:space="preserve">ecords must be kept for </w:t>
      </w:r>
      <w:r w:rsidR="001848D4">
        <w:t>5</w:t>
      </w:r>
      <w:r w:rsidR="004A2E03" w:rsidRPr="00FF338C">
        <w:t xml:space="preserve"> years and enable</w:t>
      </w:r>
      <w:r w:rsidR="00494FFC">
        <w:t xml:space="preserve"> the</w:t>
      </w:r>
      <w:r w:rsidR="004A2E03" w:rsidRPr="00FF338C">
        <w:t xml:space="preserve"> </w:t>
      </w:r>
      <w:r w:rsidR="2FAEFFCC">
        <w:t>CER</w:t>
      </w:r>
      <w:r w:rsidR="004A2E03" w:rsidRPr="00FF338C">
        <w:t xml:space="preserve"> to ascertain whether the </w:t>
      </w:r>
      <w:r w:rsidR="000C0A1E">
        <w:t>NGER reporter</w:t>
      </w:r>
      <w:r w:rsidR="004A2E03" w:rsidRPr="00FF338C">
        <w:t xml:space="preserve"> has complied with the NGER Act. </w:t>
      </w:r>
    </w:p>
    <w:p w14:paraId="6E95637E" w14:textId="487CA4F3" w:rsidR="004A2E03" w:rsidRPr="00FF338C" w:rsidRDefault="004A2E03" w:rsidP="004A2E03">
      <w:r w:rsidRPr="00FF338C">
        <w:t xml:space="preserve">The record-keeping requirements include preparing and documenting source and activity data capture, as well as recording and processing data using the general estimation principles in section 1.13 of the </w:t>
      </w:r>
      <w:r>
        <w:t>NGER Measurement Determination</w:t>
      </w:r>
      <w:r w:rsidR="0023098D">
        <w:t>.</w:t>
      </w:r>
    </w:p>
    <w:p w14:paraId="45778498" w14:textId="6E996CFD" w:rsidR="00FF55C0" w:rsidRPr="00FF338C" w:rsidRDefault="00FF55C0" w:rsidP="00FF55C0">
      <w:pPr>
        <w:pStyle w:val="Caption"/>
      </w:pPr>
      <w:bookmarkStart w:id="33" w:name="_Ref199338749"/>
      <w:r>
        <w:t xml:space="preserve">Table </w:t>
      </w:r>
      <w:r w:rsidR="006D365E">
        <w:fldChar w:fldCharType="begin"/>
      </w:r>
      <w:r w:rsidR="006D365E">
        <w:instrText xml:space="preserve"> SEQ Table \* ARABIC </w:instrText>
      </w:r>
      <w:r w:rsidR="006D365E">
        <w:fldChar w:fldCharType="separate"/>
      </w:r>
      <w:r w:rsidR="004B0870">
        <w:rPr>
          <w:noProof/>
        </w:rPr>
        <w:t>1</w:t>
      </w:r>
      <w:r w:rsidR="006D365E">
        <w:rPr>
          <w:noProof/>
        </w:rPr>
        <w:fldChar w:fldCharType="end"/>
      </w:r>
      <w:bookmarkEnd w:id="33"/>
      <w:r>
        <w:t xml:space="preserve"> </w:t>
      </w:r>
      <w:r w:rsidRPr="00FF338C">
        <w:t>– General estimation principles for NGER reporting</w:t>
      </w:r>
      <w:r>
        <w:t>.</w:t>
      </w:r>
    </w:p>
    <w:tbl>
      <w:tblPr>
        <w:tblStyle w:val="CERTable"/>
        <w:tblW w:w="9776" w:type="dxa"/>
        <w:tblLook w:val="06A0" w:firstRow="1" w:lastRow="0" w:firstColumn="1" w:lastColumn="0" w:noHBand="1" w:noVBand="1"/>
      </w:tblPr>
      <w:tblGrid>
        <w:gridCol w:w="2972"/>
        <w:gridCol w:w="6804"/>
      </w:tblGrid>
      <w:tr w:rsidR="004A2E03" w:rsidRPr="00C64711" w14:paraId="1561BC63" w14:textId="77777777" w:rsidTr="00BC1A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72" w:type="dxa"/>
            <w:hideMark/>
          </w:tcPr>
          <w:p w14:paraId="2C1E7A1A" w14:textId="77777777" w:rsidR="004A2E03" w:rsidRPr="003F37EC" w:rsidRDefault="004A2E03">
            <w:pPr>
              <w:rPr>
                <w:szCs w:val="22"/>
              </w:rPr>
            </w:pPr>
            <w:r w:rsidRPr="003F37EC">
              <w:rPr>
                <w:szCs w:val="22"/>
              </w:rPr>
              <w:t>General estimation principles</w:t>
            </w:r>
          </w:p>
        </w:tc>
        <w:tc>
          <w:tcPr>
            <w:tcW w:w="6804" w:type="dxa"/>
            <w:hideMark/>
          </w:tcPr>
          <w:p w14:paraId="283F09A5" w14:textId="7707011F" w:rsidR="004A2E03" w:rsidRPr="00EE0C1D" w:rsidRDefault="004A2E03">
            <w:pPr>
              <w:cnfStyle w:val="100000000000" w:firstRow="1" w:lastRow="0" w:firstColumn="0" w:lastColumn="0" w:oddVBand="0" w:evenVBand="0" w:oddHBand="0" w:evenHBand="0" w:firstRowFirstColumn="0" w:firstRowLastColumn="0" w:lastRowFirstColumn="0" w:lastRowLastColumn="0"/>
              <w:rPr>
                <w:szCs w:val="22"/>
              </w:rPr>
            </w:pPr>
            <w:r w:rsidRPr="00EE0C1D">
              <w:rPr>
                <w:szCs w:val="22"/>
              </w:rPr>
              <w:t>Example for NGER reporting</w:t>
            </w:r>
          </w:p>
        </w:tc>
      </w:tr>
      <w:tr w:rsidR="004A2E03" w:rsidRPr="00C64711" w14:paraId="0AB3393E" w14:textId="77777777" w:rsidTr="00BC1A51">
        <w:tc>
          <w:tcPr>
            <w:cnfStyle w:val="001000000000" w:firstRow="0" w:lastRow="0" w:firstColumn="1" w:lastColumn="0" w:oddVBand="0" w:evenVBand="0" w:oddHBand="0" w:evenHBand="0" w:firstRowFirstColumn="0" w:firstRowLastColumn="0" w:lastRowFirstColumn="0" w:lastRowLastColumn="0"/>
            <w:tcW w:w="2972" w:type="dxa"/>
            <w:hideMark/>
          </w:tcPr>
          <w:p w14:paraId="6184D357" w14:textId="77777777" w:rsidR="004A2E03" w:rsidRPr="00C67339" w:rsidRDefault="004A2E03">
            <w:pPr>
              <w:rPr>
                <w:b w:val="0"/>
                <w:szCs w:val="22"/>
              </w:rPr>
            </w:pPr>
            <w:r w:rsidRPr="00C67339">
              <w:rPr>
                <w:szCs w:val="22"/>
              </w:rPr>
              <w:t>Transparency</w:t>
            </w:r>
          </w:p>
          <w:p w14:paraId="3FACA558" w14:textId="77777777" w:rsidR="004A2E03" w:rsidRPr="00717F5E" w:rsidRDefault="004A2E03">
            <w:pPr>
              <w:rPr>
                <w:b w:val="0"/>
                <w:szCs w:val="22"/>
              </w:rPr>
            </w:pPr>
            <w:r w:rsidRPr="00717F5E">
              <w:rPr>
                <w:b w:val="0"/>
                <w:szCs w:val="22"/>
              </w:rPr>
              <w:t>Emission estimates must be documented and verifiable.</w:t>
            </w:r>
          </w:p>
        </w:tc>
        <w:tc>
          <w:tcPr>
            <w:tcW w:w="6804" w:type="dxa"/>
            <w:hideMark/>
          </w:tcPr>
          <w:p w14:paraId="5D4FFAA8" w14:textId="09CF7C66" w:rsidR="004A2E03" w:rsidRPr="00C67339" w:rsidRDefault="004A2E03" w:rsidP="00B3330E">
            <w:pPr>
              <w:numPr>
                <w:ilvl w:val="0"/>
                <w:numId w:val="1"/>
              </w:numPr>
              <w:spacing w:after="120"/>
              <w:cnfStyle w:val="000000000000" w:firstRow="0" w:lastRow="0" w:firstColumn="0" w:lastColumn="0" w:oddVBand="0" w:evenVBand="0" w:oddHBand="0" w:evenHBand="0" w:firstRowFirstColumn="0" w:firstRowLastColumn="0" w:lastRowFirstColumn="0" w:lastRowLastColumn="0"/>
            </w:pPr>
            <w:r>
              <w:t xml:space="preserve">All key decisions and assumptions made to prepare NGER reporting, including decision on sampling frequency and method selection for each activity should be documented and updated each year. This includes decisions regarding selection of the NGER executive officer, and where relevant the NGER nominated report submitter. </w:t>
            </w:r>
          </w:p>
          <w:p w14:paraId="604FE921" w14:textId="77777777" w:rsidR="004A2E03" w:rsidRPr="00C67339" w:rsidRDefault="004A2E03" w:rsidP="00B3330E">
            <w:pPr>
              <w:numPr>
                <w:ilvl w:val="0"/>
                <w:numId w:val="1"/>
              </w:numPr>
              <w:spacing w:after="120"/>
              <w:cnfStyle w:val="000000000000" w:firstRow="0" w:lastRow="0" w:firstColumn="0" w:lastColumn="0" w:oddVBand="0" w:evenVBand="0" w:oddHBand="0" w:evenHBand="0" w:firstRowFirstColumn="0" w:firstRowLastColumn="0" w:lastRowFirstColumn="0" w:lastRowLastColumn="0"/>
              <w:rPr>
                <w:szCs w:val="22"/>
              </w:rPr>
            </w:pPr>
            <w:r>
              <w:t xml:space="preserve">All activity data </w:t>
            </w:r>
            <w:r w:rsidDel="009C5038">
              <w:t xml:space="preserve">should </w:t>
            </w:r>
            <w:r>
              <w:t xml:space="preserve">be recorded with a clear audit trail. This includes all sampling parameters, </w:t>
            </w:r>
            <w:r w:rsidDel="00C52927">
              <w:t>data and</w:t>
            </w:r>
            <w:r>
              <w:t xml:space="preserve"> techniques used to calculate emissions, as well as records for how the sampling performed meets the sampling requirements irrespective of whether the sampling is performed by a third party.</w:t>
            </w:r>
          </w:p>
          <w:p w14:paraId="74AF789E" w14:textId="3DE2C66F" w:rsidR="004A2E03" w:rsidRPr="00C67339" w:rsidRDefault="004A2E03" w:rsidP="00B3330E">
            <w:pPr>
              <w:numPr>
                <w:ilvl w:val="0"/>
                <w:numId w:val="1"/>
              </w:numPr>
              <w:spacing w:after="120"/>
              <w:cnfStyle w:val="000000000000" w:firstRow="0" w:lastRow="0" w:firstColumn="0" w:lastColumn="0" w:oddVBand="0" w:evenVBand="0" w:oddHBand="0" w:evenHBand="0" w:firstRowFirstColumn="0" w:firstRowLastColumn="0" w:lastRowFirstColumn="0" w:lastRowLastColumn="0"/>
              <w:rPr>
                <w:rFonts w:cs="Arial"/>
                <w:color w:val="000000"/>
                <w:szCs w:val="22"/>
              </w:rPr>
            </w:pPr>
            <w:r>
              <w:t xml:space="preserve">All data processing </w:t>
            </w:r>
            <w:r w:rsidDel="009C5038">
              <w:t xml:space="preserve">should </w:t>
            </w:r>
            <w:r>
              <w:t xml:space="preserve">be kept for </w:t>
            </w:r>
            <w:r w:rsidR="001848D4">
              <w:t>5</w:t>
            </w:r>
            <w:r>
              <w:t xml:space="preserve"> years. This may include identifying how records for all samples are kept easily accessible</w:t>
            </w:r>
            <w:r w:rsidR="003B2F81">
              <w:t>.</w:t>
            </w:r>
            <w:r>
              <w:t xml:space="preserve"> </w:t>
            </w:r>
            <w:r w:rsidR="003B2F81">
              <w:t>F</w:t>
            </w:r>
            <w:r>
              <w:t xml:space="preserve">or example, if a facility changes </w:t>
            </w:r>
            <w:r w:rsidR="004539D1">
              <w:t>ownership</w:t>
            </w:r>
            <w:r>
              <w:t>.</w:t>
            </w:r>
          </w:p>
        </w:tc>
      </w:tr>
      <w:tr w:rsidR="004A2E03" w:rsidRPr="00C64711" w14:paraId="2EDEE806" w14:textId="77777777" w:rsidTr="00BC1A51">
        <w:tc>
          <w:tcPr>
            <w:cnfStyle w:val="001000000000" w:firstRow="0" w:lastRow="0" w:firstColumn="1" w:lastColumn="0" w:oddVBand="0" w:evenVBand="0" w:oddHBand="0" w:evenHBand="0" w:firstRowFirstColumn="0" w:firstRowLastColumn="0" w:lastRowFirstColumn="0" w:lastRowLastColumn="0"/>
            <w:tcW w:w="2972" w:type="dxa"/>
            <w:hideMark/>
          </w:tcPr>
          <w:p w14:paraId="18A7AC1C" w14:textId="77777777" w:rsidR="004A2E03" w:rsidRPr="00C67339" w:rsidRDefault="004A2E03">
            <w:pPr>
              <w:rPr>
                <w:b w:val="0"/>
                <w:szCs w:val="22"/>
              </w:rPr>
            </w:pPr>
            <w:r w:rsidRPr="00C67339">
              <w:rPr>
                <w:szCs w:val="22"/>
              </w:rPr>
              <w:t>Comparability</w:t>
            </w:r>
          </w:p>
          <w:p w14:paraId="73826491" w14:textId="77777777" w:rsidR="004A2E03" w:rsidRPr="00717F5E" w:rsidRDefault="004A2E03">
            <w:pPr>
              <w:rPr>
                <w:b w:val="0"/>
                <w:szCs w:val="22"/>
              </w:rPr>
            </w:pPr>
            <w:r w:rsidRPr="00717F5E">
              <w:rPr>
                <w:b w:val="0"/>
                <w:szCs w:val="22"/>
              </w:rPr>
              <w:t>Emission estimates using a particular method and produced by a registered corporation or liable entity in an industry sector must be comparable with emission estimates produced by similar corporations or entities in that industry sector using the same method and consistent with the emission estimates published by the Department in the National Greenhouse Accounts.</w:t>
            </w:r>
          </w:p>
        </w:tc>
        <w:tc>
          <w:tcPr>
            <w:tcW w:w="6804" w:type="dxa"/>
          </w:tcPr>
          <w:p w14:paraId="6C5909EE" w14:textId="5C6295CC" w:rsidR="004A2E03" w:rsidRPr="00C67339" w:rsidRDefault="004A2E03" w:rsidP="00B3330E">
            <w:pPr>
              <w:numPr>
                <w:ilvl w:val="0"/>
                <w:numId w:val="1"/>
              </w:numPr>
              <w:spacing w:after="120"/>
              <w:cnfStyle w:val="000000000000" w:firstRow="0" w:lastRow="0" w:firstColumn="0" w:lastColumn="0" w:oddVBand="0" w:evenVBand="0" w:oddHBand="0" w:evenHBand="0" w:firstRowFirstColumn="0" w:firstRowLastColumn="0" w:lastRowFirstColumn="0" w:lastRowLastColumn="0"/>
              <w:rPr>
                <w:szCs w:val="22"/>
              </w:rPr>
            </w:pPr>
            <w:r>
              <w:t>Appropriately using the rules and requirements of the NGER Measurement Determination will achieve this for most activity data and emissions estimates.</w:t>
            </w:r>
          </w:p>
        </w:tc>
      </w:tr>
      <w:tr w:rsidR="004A2E03" w:rsidRPr="00C64711" w14:paraId="073DE341" w14:textId="77777777" w:rsidTr="00BC1A51">
        <w:tc>
          <w:tcPr>
            <w:cnfStyle w:val="001000000000" w:firstRow="0" w:lastRow="0" w:firstColumn="1" w:lastColumn="0" w:oddVBand="0" w:evenVBand="0" w:oddHBand="0" w:evenHBand="0" w:firstRowFirstColumn="0" w:firstRowLastColumn="0" w:lastRowFirstColumn="0" w:lastRowLastColumn="0"/>
            <w:tcW w:w="2972" w:type="dxa"/>
            <w:hideMark/>
          </w:tcPr>
          <w:p w14:paraId="3877EBB2" w14:textId="77777777" w:rsidR="004A2E03" w:rsidRPr="00C67339" w:rsidRDefault="004A2E03">
            <w:pPr>
              <w:rPr>
                <w:b w:val="0"/>
                <w:szCs w:val="22"/>
              </w:rPr>
            </w:pPr>
            <w:r w:rsidRPr="00C67339">
              <w:rPr>
                <w:szCs w:val="22"/>
              </w:rPr>
              <w:t>Accuracy</w:t>
            </w:r>
          </w:p>
          <w:p w14:paraId="6B99EA5F" w14:textId="359C1F40" w:rsidR="004A2E03" w:rsidRPr="00717F5E" w:rsidRDefault="004A2E03">
            <w:pPr>
              <w:rPr>
                <w:b w:val="0"/>
                <w:szCs w:val="22"/>
              </w:rPr>
            </w:pPr>
            <w:r w:rsidRPr="00717F5E">
              <w:rPr>
                <w:b w:val="0"/>
                <w:szCs w:val="22"/>
              </w:rPr>
              <w:t xml:space="preserve">Having regard to the availability of reasonable resources by a registered corporation or liable entity and the requirements of the NGER Measurement Determination, uncertainties in emission estimates must be minimised and any estimates must neither be over nor </w:t>
            </w:r>
            <w:r w:rsidRPr="00717F5E" w:rsidDel="00CE5314">
              <w:rPr>
                <w:b w:val="0"/>
                <w:szCs w:val="22"/>
              </w:rPr>
              <w:t>underestimates</w:t>
            </w:r>
            <w:r w:rsidRPr="00717F5E">
              <w:rPr>
                <w:b w:val="0"/>
                <w:szCs w:val="22"/>
              </w:rPr>
              <w:t xml:space="preserve"> of the true values at a 95% confidence level.</w:t>
            </w:r>
          </w:p>
        </w:tc>
        <w:tc>
          <w:tcPr>
            <w:tcW w:w="6804" w:type="dxa"/>
            <w:hideMark/>
          </w:tcPr>
          <w:p w14:paraId="0AC12F22" w14:textId="77777777" w:rsidR="004A2E03" w:rsidRPr="00C67339" w:rsidRDefault="004A2E03" w:rsidP="00B3330E">
            <w:pPr>
              <w:numPr>
                <w:ilvl w:val="0"/>
                <w:numId w:val="1"/>
              </w:numPr>
              <w:spacing w:after="120"/>
              <w:cnfStyle w:val="000000000000" w:firstRow="0" w:lastRow="0" w:firstColumn="0" w:lastColumn="0" w:oddVBand="0" w:evenVBand="0" w:oddHBand="0" w:evenHBand="0" w:firstRowFirstColumn="0" w:firstRowLastColumn="0" w:lastRowFirstColumn="0" w:lastRowLastColumn="0"/>
              <w:rPr>
                <w:szCs w:val="22"/>
              </w:rPr>
            </w:pPr>
            <w:r>
              <w:t>This is particularly relevant:</w:t>
            </w:r>
          </w:p>
          <w:p w14:paraId="3039DF21" w14:textId="7E2761A5" w:rsidR="004A2E03" w:rsidRPr="00C67339" w:rsidRDefault="004A2E03" w:rsidP="008E6B32">
            <w:pPr>
              <w:pStyle w:val="CERbullets"/>
              <w:numPr>
                <w:ilvl w:val="1"/>
                <w:numId w:val="1"/>
              </w:numPr>
              <w:cnfStyle w:val="000000000000" w:firstRow="0" w:lastRow="0" w:firstColumn="0" w:lastColumn="0" w:oddVBand="0" w:evenVBand="0" w:oddHBand="0" w:evenHBand="0" w:firstRowFirstColumn="0" w:firstRowLastColumn="0" w:lastRowFirstColumn="0" w:lastRowLastColumn="0"/>
            </w:pPr>
            <w:r>
              <w:t>i</w:t>
            </w:r>
            <w:r w:rsidRPr="00C67339">
              <w:t xml:space="preserve">n respect </w:t>
            </w:r>
            <w:r w:rsidR="00667231">
              <w:t>to</w:t>
            </w:r>
            <w:r w:rsidRPr="00C67339">
              <w:t xml:space="preserve"> sampling, for example when higher order methods are used, sampling should occur in a manner and frequency which minimises uncertainties so that estimates within a 95</w:t>
            </w:r>
            <w:r>
              <w:t>%</w:t>
            </w:r>
            <w:r w:rsidRPr="00C67339">
              <w:t xml:space="preserve"> confidence interval lie as close to the true values as possible </w:t>
            </w:r>
          </w:p>
          <w:p w14:paraId="3731BC2C" w14:textId="77777777" w:rsidR="004A2E03" w:rsidRPr="00C67339" w:rsidRDefault="004A2E03" w:rsidP="008E6B32">
            <w:pPr>
              <w:pStyle w:val="CERbullets"/>
              <w:numPr>
                <w:ilvl w:val="1"/>
                <w:numId w:val="1"/>
              </w:numPr>
              <w:cnfStyle w:val="000000000000" w:firstRow="0" w:lastRow="0" w:firstColumn="0" w:lastColumn="0" w:oddVBand="0" w:evenVBand="0" w:oddHBand="0" w:evenHBand="0" w:firstRowFirstColumn="0" w:firstRowLastColumn="0" w:lastRowFirstColumn="0" w:lastRowLastColumn="0"/>
            </w:pPr>
            <w:r>
              <w:t>w</w:t>
            </w:r>
            <w:r w:rsidRPr="00C67339">
              <w:t>here industry practice may be used to capture data</w:t>
            </w:r>
            <w:r>
              <w:t>, f</w:t>
            </w:r>
            <w:r w:rsidRPr="00C67339">
              <w:t>or example</w:t>
            </w:r>
            <w:r>
              <w:t>,</w:t>
            </w:r>
            <w:r w:rsidRPr="00C67339">
              <w:t xml:space="preserve"> BBB criteria – see </w:t>
            </w:r>
            <w:hyperlink w:anchor="_Measurement_Criteria" w:history="1">
              <w:r>
                <w:rPr>
                  <w:rStyle w:val="Hyperlink"/>
                </w:rPr>
                <w:t>chapter</w:t>
              </w:r>
              <w:r w:rsidRPr="00C67339">
                <w:rPr>
                  <w:rStyle w:val="Hyperlink"/>
                  <w:rFonts w:asciiTheme="minorHAnsi" w:hAnsiTheme="minorHAnsi"/>
                  <w:szCs w:val="22"/>
                </w:rPr>
                <w:t xml:space="preserve"> 8.1</w:t>
              </w:r>
            </w:hyperlink>
            <w:r w:rsidRPr="00C67339">
              <w:t xml:space="preserve"> </w:t>
            </w:r>
            <w:r>
              <w:t>of this guideline</w:t>
            </w:r>
            <w:r w:rsidRPr="00C67339">
              <w:t>.</w:t>
            </w:r>
          </w:p>
          <w:p w14:paraId="0A0CACE5" w14:textId="77777777" w:rsidR="004A2E03" w:rsidRDefault="004A2E03" w:rsidP="00B3330E">
            <w:pPr>
              <w:numPr>
                <w:ilvl w:val="0"/>
                <w:numId w:val="1"/>
              </w:numPr>
              <w:spacing w:after="120"/>
              <w:cnfStyle w:val="000000000000" w:firstRow="0" w:lastRow="0" w:firstColumn="0" w:lastColumn="0" w:oddVBand="0" w:evenVBand="0" w:oddHBand="0" w:evenHBand="0" w:firstRowFirstColumn="0" w:firstRowLastColumn="0" w:lastRowFirstColumn="0" w:lastRowLastColumn="0"/>
              <w:rPr>
                <w:szCs w:val="22"/>
              </w:rPr>
            </w:pPr>
            <w:r>
              <w:t>Estimates should be neutral without bias.</w:t>
            </w:r>
          </w:p>
          <w:p w14:paraId="2351768E" w14:textId="77777777" w:rsidR="004A2E03" w:rsidRPr="00C67339" w:rsidRDefault="004A2E03" w:rsidP="00B3330E">
            <w:pPr>
              <w:numPr>
                <w:ilvl w:val="0"/>
                <w:numId w:val="1"/>
              </w:numPr>
              <w:spacing w:after="120"/>
              <w:cnfStyle w:val="000000000000" w:firstRow="0" w:lastRow="0" w:firstColumn="0" w:lastColumn="0" w:oddVBand="0" w:evenVBand="0" w:oddHBand="0" w:evenHBand="0" w:firstRowFirstColumn="0" w:firstRowLastColumn="0" w:lastRowFirstColumn="0" w:lastRowLastColumn="0"/>
              <w:rPr>
                <w:szCs w:val="22"/>
              </w:rPr>
            </w:pPr>
            <w:r>
              <w:t xml:space="preserve">Bias testing for fuel combustion emissions from coal fired power plants </w:t>
            </w:r>
            <w:r w:rsidDel="003E6E75">
              <w:t xml:space="preserve">should </w:t>
            </w:r>
            <w:r>
              <w:t>be performed and documented.</w:t>
            </w:r>
          </w:p>
        </w:tc>
      </w:tr>
      <w:tr w:rsidR="004A2E03" w:rsidRPr="00C64711" w14:paraId="7A7F9DFB" w14:textId="77777777" w:rsidTr="00BC1A51">
        <w:tc>
          <w:tcPr>
            <w:cnfStyle w:val="001000000000" w:firstRow="0" w:lastRow="0" w:firstColumn="1" w:lastColumn="0" w:oddVBand="0" w:evenVBand="0" w:oddHBand="0" w:evenHBand="0" w:firstRowFirstColumn="0" w:firstRowLastColumn="0" w:lastRowFirstColumn="0" w:lastRowLastColumn="0"/>
            <w:tcW w:w="2972" w:type="dxa"/>
            <w:hideMark/>
          </w:tcPr>
          <w:p w14:paraId="6C43FAE5" w14:textId="77777777" w:rsidR="004A2E03" w:rsidRPr="00C67339" w:rsidRDefault="004A2E03">
            <w:pPr>
              <w:rPr>
                <w:szCs w:val="22"/>
              </w:rPr>
            </w:pPr>
            <w:r w:rsidRPr="00C67339">
              <w:rPr>
                <w:szCs w:val="22"/>
              </w:rPr>
              <w:t>Completeness</w:t>
            </w:r>
          </w:p>
          <w:p w14:paraId="06FD0B92" w14:textId="77777777" w:rsidR="004A2E03" w:rsidRPr="00717F5E" w:rsidRDefault="004A2E03">
            <w:pPr>
              <w:rPr>
                <w:b w:val="0"/>
                <w:szCs w:val="22"/>
              </w:rPr>
            </w:pPr>
            <w:r w:rsidRPr="00717F5E">
              <w:rPr>
                <w:b w:val="0"/>
                <w:szCs w:val="22"/>
              </w:rPr>
              <w:t>Subject to any applicable reporting thresholds, all emission sources identified in section 1.10 of the NGER Measurement Determination, and production and consumption of all fuels and energy commodities listed in Schedule 1 of the NGER Regulations, must be accounted for.</w:t>
            </w:r>
          </w:p>
        </w:tc>
        <w:tc>
          <w:tcPr>
            <w:tcW w:w="6804" w:type="dxa"/>
            <w:hideMark/>
          </w:tcPr>
          <w:p w14:paraId="34B19491" w14:textId="77777777" w:rsidR="004A2E03" w:rsidRPr="00C67339" w:rsidRDefault="004A2E03" w:rsidP="00B3330E">
            <w:pPr>
              <w:numPr>
                <w:ilvl w:val="0"/>
                <w:numId w:val="1"/>
              </w:numPr>
              <w:spacing w:after="120"/>
              <w:cnfStyle w:val="000000000000" w:firstRow="0" w:lastRow="0" w:firstColumn="0" w:lastColumn="0" w:oddVBand="0" w:evenVBand="0" w:oddHBand="0" w:evenHBand="0" w:firstRowFirstColumn="0" w:firstRowLastColumn="0" w:lastRowFirstColumn="0" w:lastRowLastColumn="0"/>
              <w:rPr>
                <w:szCs w:val="22"/>
              </w:rPr>
            </w:pPr>
            <w:r>
              <w:t xml:space="preserve">All reportable emissions and energy </w:t>
            </w:r>
            <w:r w:rsidDel="00E62861">
              <w:t xml:space="preserve">should </w:t>
            </w:r>
            <w:r>
              <w:t>be accounted for, including the fuel combustion emissions that occur through contractor activities considered to form part of the facility, for example, for electricity transmission or distribution networks or contractor activities at new facility being commissioned within the operational control of the reporter.</w:t>
            </w:r>
          </w:p>
          <w:p w14:paraId="1B9D3ED1" w14:textId="77777777" w:rsidR="004A2E03" w:rsidRPr="00C67339" w:rsidRDefault="004A2E03" w:rsidP="00B3330E">
            <w:pPr>
              <w:numPr>
                <w:ilvl w:val="0"/>
                <w:numId w:val="1"/>
              </w:numPr>
              <w:spacing w:after="120"/>
              <w:cnfStyle w:val="000000000000" w:firstRow="0" w:lastRow="0" w:firstColumn="0" w:lastColumn="0" w:oddVBand="0" w:evenVBand="0" w:oddHBand="0" w:evenHBand="0" w:firstRowFirstColumn="0" w:firstRowLastColumn="0" w:lastRowFirstColumn="0" w:lastRowLastColumn="0"/>
              <w:rPr>
                <w:szCs w:val="22"/>
              </w:rPr>
            </w:pPr>
            <w:r>
              <w:t xml:space="preserve">All energy production and consumption, subject to relevant thresholds, </w:t>
            </w:r>
            <w:r w:rsidDel="00A03285">
              <w:t xml:space="preserve">should </w:t>
            </w:r>
            <w:r>
              <w:t>be reported – including reporting the use of own produced electricity at electricity generators.</w:t>
            </w:r>
          </w:p>
        </w:tc>
      </w:tr>
    </w:tbl>
    <w:p w14:paraId="0CDCA005" w14:textId="77777777" w:rsidR="004A2E03" w:rsidRPr="00FF338C" w:rsidRDefault="004A2E03" w:rsidP="004A2E03"/>
    <w:p w14:paraId="06F3A0C8" w14:textId="204B8819" w:rsidR="004A2E03" w:rsidRPr="00FF338C" w:rsidRDefault="004A2E03" w:rsidP="00DB4B56">
      <w:pPr>
        <w:pStyle w:val="Heading2"/>
        <w:numPr>
          <w:ilvl w:val="1"/>
          <w:numId w:val="3"/>
        </w:numPr>
        <w:ind w:left="426" w:hanging="426"/>
      </w:pPr>
      <w:bookmarkStart w:id="34" w:name="_Toc512010385"/>
      <w:bookmarkStart w:id="35" w:name="_Toc512339583"/>
      <w:bookmarkStart w:id="36" w:name="_Toc106705747"/>
      <w:bookmarkStart w:id="37" w:name="_Toc205461425"/>
      <w:r w:rsidRPr="00FF338C">
        <w:t xml:space="preserve">Applying the principles </w:t>
      </w:r>
      <w:bookmarkEnd w:id="34"/>
      <w:bookmarkEnd w:id="35"/>
      <w:bookmarkEnd w:id="36"/>
      <w:r w:rsidR="00116A2E" w:rsidDel="00AA6A6C">
        <w:t xml:space="preserve">for </w:t>
      </w:r>
      <w:r w:rsidR="005D769F" w:rsidDel="00AA6A6C">
        <w:t>compl</w:t>
      </w:r>
      <w:r w:rsidR="00BE1CAE" w:rsidDel="00AA6A6C">
        <w:t>ying</w:t>
      </w:r>
      <w:r w:rsidR="00116A2E" w:rsidDel="00AA6A6C">
        <w:t xml:space="preserve"> </w:t>
      </w:r>
      <w:r w:rsidR="008C1D22" w:rsidDel="00AA6A6C">
        <w:t>under</w:t>
      </w:r>
      <w:r w:rsidR="008C1D22">
        <w:t xml:space="preserve"> </w:t>
      </w:r>
      <w:r w:rsidR="002A2A44">
        <w:t xml:space="preserve">the </w:t>
      </w:r>
      <w:r w:rsidR="008C1D22">
        <w:t>NGER A</w:t>
      </w:r>
      <w:r w:rsidR="00851F5B">
        <w:t>ct</w:t>
      </w:r>
      <w:bookmarkEnd w:id="37"/>
    </w:p>
    <w:p w14:paraId="4B6BDEA4" w14:textId="721CA59C" w:rsidR="004A2E03" w:rsidRPr="00FF338C" w:rsidRDefault="004A2E03" w:rsidP="004A2E03">
      <w:r>
        <w:t>E</w:t>
      </w:r>
      <w:r w:rsidRPr="00FF338C">
        <w:t>xecutive officer</w:t>
      </w:r>
      <w:r>
        <w:t>s</w:t>
      </w:r>
      <w:r w:rsidRPr="00FF338C">
        <w:t xml:space="preserve"> must approve the submission of a report to </w:t>
      </w:r>
      <w:r w:rsidR="6ECA8E5D">
        <w:t>CER</w:t>
      </w:r>
      <w:r w:rsidRPr="00FF338C">
        <w:t xml:space="preserve">, declaring that the report has been prepared in accordance with the NGER legislation. This includes confirming that the general principles have been appropriately applied. </w:t>
      </w:r>
    </w:p>
    <w:p w14:paraId="04490615" w14:textId="3ECE5FB7" w:rsidR="004A2E03" w:rsidRPr="00FF338C" w:rsidRDefault="004A2E03" w:rsidP="004A2E03">
      <w:r w:rsidRPr="00FF338C">
        <w:t>Registered corporations and the accountable executive officer are responsible for determining appropriate internal reporting processes and controls.</w:t>
      </w:r>
      <w:r>
        <w:t xml:space="preserve"> </w:t>
      </w:r>
      <w:r w:rsidR="00DA5EB8">
        <w:t>C</w:t>
      </w:r>
      <w:r w:rsidRPr="00FF338C">
        <w:t>onsideration should be given to the following:</w:t>
      </w:r>
    </w:p>
    <w:p w14:paraId="3CE77099" w14:textId="6E5E941E" w:rsidR="004A2E03" w:rsidRPr="006C00B6" w:rsidRDefault="00DA5EB8" w:rsidP="00D2141E">
      <w:pPr>
        <w:numPr>
          <w:ilvl w:val="0"/>
          <w:numId w:val="1"/>
        </w:numPr>
        <w:spacing w:before="120" w:after="120"/>
        <w:rPr>
          <w:b/>
        </w:rPr>
      </w:pPr>
      <w:r>
        <w:t>Th</w:t>
      </w:r>
      <w:r w:rsidR="004A2E03" w:rsidRPr="00EF64A7">
        <w:t>e NGER reporting responsibility may be delegated to an individual with limited control over the activity and source data required to prepare the report.</w:t>
      </w:r>
      <w:r w:rsidR="005720FB">
        <w:t xml:space="preserve"> </w:t>
      </w:r>
      <w:r w:rsidR="00EF64A7">
        <w:t xml:space="preserve">In </w:t>
      </w:r>
      <w:r w:rsidR="00EF64A7" w:rsidRPr="00FF338C">
        <w:t>these circumstances</w:t>
      </w:r>
      <w:r w:rsidR="00EF64A7">
        <w:t>,</w:t>
      </w:r>
      <w:r w:rsidR="00EF64A7" w:rsidRPr="00FF338C">
        <w:t xml:space="preserve"> </w:t>
      </w:r>
      <w:r w:rsidR="004A2E03" w:rsidRPr="00FF338C">
        <w:t xml:space="preserve">it may be difficult to confirm whether data is complete and accurate. Reporters </w:t>
      </w:r>
      <w:r w:rsidR="004A2E03">
        <w:t xml:space="preserve">are responsible for having </w:t>
      </w:r>
      <w:r w:rsidR="004A2E03" w:rsidRPr="00FF338C">
        <w:t>processes in place to ensure the quality of NGER data.</w:t>
      </w:r>
    </w:p>
    <w:p w14:paraId="15D781E0" w14:textId="510F3279" w:rsidR="004A2E03" w:rsidRPr="00FF338C" w:rsidRDefault="004A2E03" w:rsidP="00B3330E">
      <w:pPr>
        <w:numPr>
          <w:ilvl w:val="0"/>
          <w:numId w:val="1"/>
        </w:numPr>
        <w:spacing w:before="120" w:after="120"/>
      </w:pPr>
      <w:r w:rsidRPr="006046BA">
        <w:t>Formalising reliance on existing data processes</w:t>
      </w:r>
      <w:r w:rsidRPr="00FF338C">
        <w:t xml:space="preserve"> </w:t>
      </w:r>
      <w:r w:rsidR="002C293C">
        <w:t>which</w:t>
      </w:r>
      <w:r w:rsidRPr="00FF338C">
        <w:t xml:space="preserve"> may be suitable to rely upon for NGER reporting, for example:</w:t>
      </w:r>
    </w:p>
    <w:p w14:paraId="079E39E8" w14:textId="655B5998" w:rsidR="004A2E03" w:rsidRPr="00D2141E" w:rsidRDefault="004A2E03" w:rsidP="008E6B32">
      <w:pPr>
        <w:pStyle w:val="CERbullets"/>
        <w:numPr>
          <w:ilvl w:val="1"/>
          <w:numId w:val="1"/>
        </w:numPr>
      </w:pPr>
      <w:r w:rsidRPr="00D2141E">
        <w:t xml:space="preserve">Electricity generation data, including delivery to an electricity network </w:t>
      </w:r>
      <w:r w:rsidR="009419B9" w:rsidRPr="00D2141E">
        <w:t>such as</w:t>
      </w:r>
      <w:r w:rsidRPr="00D2141E">
        <w:t xml:space="preserve"> the </w:t>
      </w:r>
      <w:r w:rsidR="009419B9" w:rsidRPr="00D2141E">
        <w:t>National Electricity Market,</w:t>
      </w:r>
      <w:r w:rsidRPr="00D2141E">
        <w:t xml:space="preserve"> to estimate and report energy production data. </w:t>
      </w:r>
      <w:r w:rsidR="00DA609D" w:rsidRPr="00D2141E">
        <w:t>Th</w:t>
      </w:r>
      <w:r w:rsidR="00DA609D">
        <w:t>is</w:t>
      </w:r>
      <w:r w:rsidRPr="00D2141E">
        <w:t xml:space="preserve"> data may be controlled by engineering or accounting departments</w:t>
      </w:r>
    </w:p>
    <w:p w14:paraId="5C20305A" w14:textId="5992CCEF" w:rsidR="004A2E03" w:rsidRPr="00D2141E" w:rsidRDefault="004A2E03" w:rsidP="008E6B32">
      <w:pPr>
        <w:pStyle w:val="CERbullets"/>
        <w:numPr>
          <w:ilvl w:val="1"/>
          <w:numId w:val="1"/>
        </w:numPr>
      </w:pPr>
      <w:r w:rsidRPr="00D2141E">
        <w:t>Fuel consumption data measured based on invoices for fuel deliveries</w:t>
      </w:r>
      <w:r w:rsidR="00730206">
        <w:t>. F</w:t>
      </w:r>
      <w:r w:rsidRPr="00D2141E">
        <w:t xml:space="preserve">or example, criteria ‘A’ or ‘AA’, see </w:t>
      </w:r>
      <w:hyperlink w:anchor="_Measurement_Criteria" w:history="1">
        <w:r>
          <w:rPr>
            <w:rStyle w:val="Hyperlink"/>
            <w:rFonts w:asciiTheme="minorHAnsi" w:hAnsiTheme="minorHAnsi"/>
          </w:rPr>
          <w:t>chapter</w:t>
        </w:r>
        <w:r w:rsidRPr="003420C7">
          <w:rPr>
            <w:rStyle w:val="Hyperlink"/>
            <w:rFonts w:asciiTheme="minorHAnsi" w:hAnsiTheme="minorHAnsi"/>
          </w:rPr>
          <w:t xml:space="preserve"> 8.1</w:t>
        </w:r>
      </w:hyperlink>
      <w:r w:rsidRPr="00D2141E">
        <w:t xml:space="preserve"> of this guideline. Purchasing or accounts teams may be in control of </w:t>
      </w:r>
      <w:r w:rsidR="008251EA" w:rsidRPr="00D2141E">
        <w:t>th</w:t>
      </w:r>
      <w:r w:rsidR="008251EA">
        <w:t>is</w:t>
      </w:r>
      <w:r w:rsidRPr="00D2141E">
        <w:t xml:space="preserve"> data, with reconciliation of the amounts paid for fuel deliveries and recorded in the accounting system</w:t>
      </w:r>
      <w:r>
        <w:t>.</w:t>
      </w:r>
    </w:p>
    <w:p w14:paraId="59EBD9F1" w14:textId="65B8234A" w:rsidR="004A2E03" w:rsidRPr="00EE0C1D" w:rsidRDefault="004A2E03" w:rsidP="00B3330E">
      <w:pPr>
        <w:numPr>
          <w:ilvl w:val="0"/>
          <w:numId w:val="1"/>
        </w:numPr>
        <w:spacing w:before="120" w:after="120"/>
      </w:pPr>
      <w:r w:rsidRPr="006046BA">
        <w:t xml:space="preserve">Accountability for ensuring the data used for NGER reporting is complete and accurate </w:t>
      </w:r>
      <w:r w:rsidRPr="006046BA" w:rsidDel="00A30DCC">
        <w:t xml:space="preserve">should </w:t>
      </w:r>
      <w:r w:rsidRPr="006046BA">
        <w:t>be formalised.</w:t>
      </w:r>
      <w:r w:rsidRPr="003F37EC">
        <w:t xml:space="preserve"> This includes</w:t>
      </w:r>
      <w:r w:rsidRPr="00EE0C1D">
        <w:t>:</w:t>
      </w:r>
    </w:p>
    <w:p w14:paraId="4814C5F2" w14:textId="4FF1B200" w:rsidR="004A2E03" w:rsidRPr="00D2141E" w:rsidRDefault="005720FB" w:rsidP="008E6B32">
      <w:pPr>
        <w:pStyle w:val="CERbullets"/>
        <w:numPr>
          <w:ilvl w:val="1"/>
          <w:numId w:val="1"/>
        </w:numPr>
      </w:pPr>
      <w:r w:rsidRPr="00D2141E">
        <w:t>f</w:t>
      </w:r>
      <w:r w:rsidR="004A2E03" w:rsidRPr="00D2141E">
        <w:t xml:space="preserve">ormal approval of the data </w:t>
      </w:r>
    </w:p>
    <w:p w14:paraId="090C681E" w14:textId="2D7370DD" w:rsidR="004A2E03" w:rsidRPr="00D2141E" w:rsidRDefault="005720FB" w:rsidP="008E6B32">
      <w:pPr>
        <w:pStyle w:val="CERbullets"/>
        <w:numPr>
          <w:ilvl w:val="1"/>
          <w:numId w:val="1"/>
        </w:numPr>
      </w:pPr>
      <w:r w:rsidRPr="00D2141E">
        <w:t>s</w:t>
      </w:r>
      <w:r w:rsidR="004A2E03" w:rsidRPr="00D2141E">
        <w:t xml:space="preserve">ense checks on total amounts to be reported </w:t>
      </w:r>
    </w:p>
    <w:p w14:paraId="3C030E9B" w14:textId="6CEC655E" w:rsidR="004A2E03" w:rsidRPr="00FF338C" w:rsidRDefault="004261DF" w:rsidP="00B3330E">
      <w:pPr>
        <w:pStyle w:val="CERbullets"/>
        <w:numPr>
          <w:ilvl w:val="1"/>
          <w:numId w:val="1"/>
        </w:numPr>
      </w:pPr>
      <w:r w:rsidRPr="004261DF">
        <w:t>a</w:t>
      </w:r>
      <w:r w:rsidR="004A2E03" w:rsidRPr="006046BA">
        <w:t xml:space="preserve"> formal process to </w:t>
      </w:r>
      <w:r w:rsidRPr="004261DF">
        <w:t>inform the person(s) responsible for submitting the NGER report of any</w:t>
      </w:r>
      <w:r w:rsidR="004A2E03" w:rsidRPr="006046BA">
        <w:t xml:space="preserve"> changes </w:t>
      </w:r>
      <w:r w:rsidRPr="004261DF">
        <w:t>to the</w:t>
      </w:r>
      <w:r w:rsidR="004A2E03" w:rsidRPr="006046BA">
        <w:t xml:space="preserve"> data</w:t>
      </w:r>
      <w:r w:rsidR="004A2E03" w:rsidRPr="00FF338C">
        <w:t xml:space="preserve"> – in live production environments, changes to source measurements are common over the course of a reporting year and can be caused by a range of factors. </w:t>
      </w:r>
    </w:p>
    <w:p w14:paraId="22E7B0BB" w14:textId="5BD5A5A1" w:rsidR="004A2E03" w:rsidRPr="00FF338C" w:rsidRDefault="00D2141E" w:rsidP="00D2141E">
      <w:pPr>
        <w:numPr>
          <w:ilvl w:val="0"/>
          <w:numId w:val="1"/>
        </w:numPr>
        <w:spacing w:before="120" w:after="120"/>
      </w:pPr>
      <w:r>
        <w:t>U</w:t>
      </w:r>
      <w:r w:rsidR="00E601A7">
        <w:t>sing</w:t>
      </w:r>
      <w:r w:rsidR="004A2E03">
        <w:t xml:space="preserve"> a</w:t>
      </w:r>
      <w:r w:rsidR="004A2E03" w:rsidRPr="006046BA">
        <w:rPr>
          <w:color w:val="auto"/>
        </w:rPr>
        <w:t xml:space="preserve"> Basis of Preparation (</w:t>
      </w:r>
      <w:proofErr w:type="spellStart"/>
      <w:r w:rsidR="004A2E03" w:rsidRPr="006046BA">
        <w:rPr>
          <w:color w:val="auto"/>
        </w:rPr>
        <w:t>BoP</w:t>
      </w:r>
      <w:proofErr w:type="spellEnd"/>
      <w:r w:rsidR="004A2E03" w:rsidRPr="006046BA">
        <w:rPr>
          <w:color w:val="auto"/>
        </w:rPr>
        <w:t>)</w:t>
      </w:r>
      <w:r w:rsidR="004A2E03" w:rsidRPr="00FF338C">
        <w:rPr>
          <w:b/>
          <w:color w:val="auto"/>
        </w:rPr>
        <w:t xml:space="preserve"> </w:t>
      </w:r>
      <w:r w:rsidR="004A2E03" w:rsidRPr="00FF338C">
        <w:t>–</w:t>
      </w:r>
      <w:r w:rsidR="004A2E03">
        <w:rPr>
          <w:color w:val="auto"/>
        </w:rPr>
        <w:t xml:space="preserve"> </w:t>
      </w:r>
      <w:r w:rsidR="004A2E03" w:rsidRPr="00FF338C">
        <w:rPr>
          <w:color w:val="auto"/>
        </w:rPr>
        <w:t xml:space="preserve">a </w:t>
      </w:r>
      <w:proofErr w:type="spellStart"/>
      <w:r w:rsidR="004A2E03" w:rsidRPr="00FF338C">
        <w:rPr>
          <w:color w:val="auto"/>
        </w:rPr>
        <w:t>BoP</w:t>
      </w:r>
      <w:proofErr w:type="spellEnd"/>
      <w:r w:rsidR="004A2E03" w:rsidRPr="00FF338C">
        <w:rPr>
          <w:color w:val="auto"/>
        </w:rPr>
        <w:t xml:space="preserve"> supports a reporter in meeting </w:t>
      </w:r>
      <w:r w:rsidR="00627400">
        <w:rPr>
          <w:color w:val="auto"/>
        </w:rPr>
        <w:t>the</w:t>
      </w:r>
      <w:r w:rsidR="00627400" w:rsidRPr="79B44BC7">
        <w:rPr>
          <w:color w:val="auto"/>
        </w:rPr>
        <w:t xml:space="preserve"> </w:t>
      </w:r>
      <w:r w:rsidR="004A2E03" w:rsidRPr="00FF338C">
        <w:rPr>
          <w:color w:val="auto"/>
        </w:rPr>
        <w:t>record keeping requirements under</w:t>
      </w:r>
      <w:r w:rsidR="004A2E03">
        <w:rPr>
          <w:color w:val="auto"/>
        </w:rPr>
        <w:t xml:space="preserve"> </w:t>
      </w:r>
      <w:r w:rsidR="004A2E03" w:rsidRPr="00FF338C">
        <w:rPr>
          <w:color w:val="auto"/>
        </w:rPr>
        <w:t xml:space="preserve">the NGER Act. A </w:t>
      </w:r>
      <w:proofErr w:type="spellStart"/>
      <w:r w:rsidR="004A2E03" w:rsidRPr="00FF338C">
        <w:rPr>
          <w:color w:val="auto"/>
        </w:rPr>
        <w:t>BoP</w:t>
      </w:r>
      <w:proofErr w:type="spellEnd"/>
      <w:r w:rsidR="004A2E03" w:rsidRPr="00FF338C">
        <w:rPr>
          <w:color w:val="auto"/>
        </w:rPr>
        <w:t xml:space="preserve"> </w:t>
      </w:r>
      <w:r w:rsidR="00291550" w:rsidRPr="79B44BC7">
        <w:rPr>
          <w:color w:val="auto"/>
        </w:rPr>
        <w:t>records</w:t>
      </w:r>
      <w:r w:rsidR="004A2E03" w:rsidRPr="00FF338C">
        <w:rPr>
          <w:color w:val="auto"/>
        </w:rPr>
        <w:t xml:space="preserve"> the methodology </w:t>
      </w:r>
      <w:r w:rsidR="00627400">
        <w:rPr>
          <w:color w:val="auto"/>
        </w:rPr>
        <w:t>used to</w:t>
      </w:r>
      <w:r w:rsidR="004A2E03" w:rsidRPr="79B44BC7">
        <w:rPr>
          <w:color w:val="auto"/>
        </w:rPr>
        <w:t xml:space="preserve"> prepare</w:t>
      </w:r>
      <w:r w:rsidR="00450152">
        <w:rPr>
          <w:color w:val="auto"/>
        </w:rPr>
        <w:t xml:space="preserve"> the</w:t>
      </w:r>
      <w:r w:rsidR="004A2E03" w:rsidRPr="00FF338C">
        <w:rPr>
          <w:color w:val="auto"/>
        </w:rPr>
        <w:t xml:space="preserve"> NGER report, including details such as facility layout, data sources and calculation methods. </w:t>
      </w:r>
      <w:r w:rsidR="00136769">
        <w:rPr>
          <w:color w:val="auto"/>
        </w:rPr>
        <w:t xml:space="preserve">Read more about the </w:t>
      </w:r>
      <w:proofErr w:type="spellStart"/>
      <w:r w:rsidR="00136769">
        <w:rPr>
          <w:color w:val="auto"/>
        </w:rPr>
        <w:t>BoP</w:t>
      </w:r>
      <w:proofErr w:type="spellEnd"/>
      <w:r w:rsidR="00121A21">
        <w:rPr>
          <w:color w:val="auto"/>
        </w:rPr>
        <w:t xml:space="preserve"> in the </w:t>
      </w:r>
      <w:hyperlink r:id="rId31" w:tooltip="A link to the NGER quick help topics guide on the Clean Energy Regulator website" w:history="1">
        <w:r w:rsidR="00121A21" w:rsidRPr="00BF6B0B">
          <w:rPr>
            <w:rStyle w:val="Hyperlink"/>
            <w:rFonts w:asciiTheme="minorHAnsi" w:hAnsiTheme="minorHAnsi"/>
          </w:rPr>
          <w:t xml:space="preserve">NGER </w:t>
        </w:r>
        <w:r w:rsidR="00894051" w:rsidRPr="00BF6B0B">
          <w:rPr>
            <w:rStyle w:val="Hyperlink"/>
            <w:rFonts w:asciiTheme="minorHAnsi" w:hAnsiTheme="minorHAnsi"/>
          </w:rPr>
          <w:t>quick help topics</w:t>
        </w:r>
      </w:hyperlink>
      <w:r w:rsidR="004B0870">
        <w:rPr>
          <w:rFonts w:ascii="ZWAdobeF" w:hAnsi="ZWAdobeF" w:cs="ZWAdobeF"/>
          <w:color w:val="auto"/>
          <w:sz w:val="2"/>
          <w:szCs w:val="2"/>
        </w:rPr>
        <w:t>10F</w:t>
      </w:r>
      <w:r w:rsidR="0010394F">
        <w:rPr>
          <w:rStyle w:val="FootnoteReference"/>
        </w:rPr>
        <w:footnoteReference w:id="12"/>
      </w:r>
      <w:r w:rsidR="00121A21">
        <w:rPr>
          <w:color w:val="auto"/>
        </w:rPr>
        <w:t>.</w:t>
      </w:r>
      <w:r w:rsidR="007F590E">
        <w:rPr>
          <w:color w:val="auto"/>
        </w:rPr>
        <w:t xml:space="preserve"> </w:t>
      </w:r>
      <w:r w:rsidR="00494FFC">
        <w:rPr>
          <w:color w:val="auto"/>
        </w:rPr>
        <w:t>The</w:t>
      </w:r>
      <w:r w:rsidR="004A2E03" w:rsidRPr="79B44BC7">
        <w:rPr>
          <w:color w:val="auto"/>
        </w:rPr>
        <w:t xml:space="preserve"> </w:t>
      </w:r>
      <w:r w:rsidR="28E692F8">
        <w:t>CER</w:t>
      </w:r>
      <w:r w:rsidR="004A2E03" w:rsidRPr="00FF338C">
        <w:t xml:space="preserve"> encourages reporters to </w:t>
      </w:r>
      <w:r w:rsidR="004A2E03">
        <w:t xml:space="preserve">voluntarily </w:t>
      </w:r>
      <w:r w:rsidR="004A2E03" w:rsidRPr="00FF338C">
        <w:t xml:space="preserve">submit their </w:t>
      </w:r>
      <w:proofErr w:type="spellStart"/>
      <w:r w:rsidR="004A2E03" w:rsidRPr="00FF338C">
        <w:t>BoP</w:t>
      </w:r>
      <w:proofErr w:type="spellEnd"/>
      <w:r w:rsidR="004A2E03" w:rsidRPr="00FF338C">
        <w:t xml:space="preserve"> (or a summary thereof) with each year’s NGER report.</w:t>
      </w:r>
    </w:p>
    <w:p w14:paraId="2D73B639" w14:textId="77777777" w:rsidR="004A2E03" w:rsidRPr="00FF338C" w:rsidRDefault="004A2E03" w:rsidP="00DB4B56">
      <w:pPr>
        <w:pStyle w:val="Heading2"/>
        <w:numPr>
          <w:ilvl w:val="1"/>
          <w:numId w:val="3"/>
        </w:numPr>
        <w:ind w:left="426" w:hanging="426"/>
      </w:pPr>
      <w:bookmarkStart w:id="38" w:name="_Toc511376928"/>
      <w:bookmarkStart w:id="39" w:name="_Toc511388525"/>
      <w:bookmarkStart w:id="40" w:name="_Toc511389447"/>
      <w:bookmarkStart w:id="41" w:name="_Toc511392956"/>
      <w:bookmarkStart w:id="42" w:name="_Toc511654414"/>
      <w:bookmarkStart w:id="43" w:name="_Ref511925663"/>
      <w:bookmarkStart w:id="44" w:name="_Toc512010386"/>
      <w:bookmarkStart w:id="45" w:name="_Toc512339584"/>
      <w:bookmarkStart w:id="46" w:name="_Toc106705748"/>
      <w:bookmarkStart w:id="47" w:name="_Toc205461426"/>
      <w:r w:rsidRPr="00FF338C">
        <w:t xml:space="preserve">Working with </w:t>
      </w:r>
      <w:bookmarkEnd w:id="38"/>
      <w:bookmarkEnd w:id="39"/>
      <w:bookmarkEnd w:id="40"/>
      <w:bookmarkEnd w:id="41"/>
      <w:bookmarkEnd w:id="42"/>
      <w:bookmarkEnd w:id="43"/>
      <w:r w:rsidRPr="00FF338C">
        <w:t>financial and process control data</w:t>
      </w:r>
      <w:bookmarkEnd w:id="44"/>
      <w:bookmarkEnd w:id="45"/>
      <w:bookmarkEnd w:id="46"/>
      <w:bookmarkEnd w:id="47"/>
    </w:p>
    <w:p w14:paraId="4B227CB4" w14:textId="303CECFC" w:rsidR="004A2E03" w:rsidRPr="00FF338C" w:rsidRDefault="004A2E03" w:rsidP="004A2E03">
      <w:pPr>
        <w:spacing w:before="120" w:after="120"/>
      </w:pPr>
      <w:r w:rsidRPr="00FF338C">
        <w:t>Facilities constituted by electricity generation, transmission and distribution activities are characterised by a high degree of metering and measurement conducted for both financial and process control purposes. Typical parameters which are directly metered include electricity consumed, electricity produced, electricity sold</w:t>
      </w:r>
      <w:r w:rsidR="006C22C7">
        <w:t>,</w:t>
      </w:r>
      <w:r w:rsidRPr="00FF338C">
        <w:t xml:space="preserve"> and fuels purchased. Meters and other measurement devices can be owned and controlled </w:t>
      </w:r>
      <w:r>
        <w:t xml:space="preserve">by </w:t>
      </w:r>
      <w:r w:rsidRPr="00FF338C">
        <w:t>the reporting organisation, or by customers, vendors and third-party intermediaries.</w:t>
      </w:r>
    </w:p>
    <w:p w14:paraId="0516D09F" w14:textId="77777777" w:rsidR="004A2E03" w:rsidRPr="00FF338C" w:rsidRDefault="004A2E03" w:rsidP="004A2E03">
      <w:pPr>
        <w:spacing w:before="120" w:after="120"/>
      </w:pPr>
      <w:r w:rsidRPr="00FF338C">
        <w:t>Much of this metered information may be suitable for use in the preparation of NGER reports. Staff responsible for process control and financial accounting are usually important contributors to a complete and accurate NGER report and should be involved in ensuring that the measurement requirements for NGER reporting are met and appropriately documented.</w:t>
      </w:r>
    </w:p>
    <w:p w14:paraId="574E2553" w14:textId="48DBB2F0" w:rsidR="004A2E03" w:rsidRPr="00FF338C" w:rsidRDefault="004A2E03" w:rsidP="004A2E03">
      <w:r w:rsidRPr="00FF338C">
        <w:t xml:space="preserve">NGER can be prescriptive in terms of the location of metering points (for example, measuring electricity production ‘at the terminals’), the types of measurement devices </w:t>
      </w:r>
      <w:r>
        <w:t xml:space="preserve">and how they are to be </w:t>
      </w:r>
      <w:r w:rsidRPr="00FF338C">
        <w:t>calibrated, and the extent of sampling which is considered representative.</w:t>
      </w:r>
    </w:p>
    <w:p w14:paraId="6BFAB884" w14:textId="77777777" w:rsidR="004A2E03" w:rsidRPr="00FF338C" w:rsidRDefault="004A2E03" w:rsidP="00B3330E">
      <w:pPr>
        <w:pStyle w:val="Heading1"/>
        <w:numPr>
          <w:ilvl w:val="0"/>
          <w:numId w:val="3"/>
        </w:numPr>
        <w:rPr>
          <w:lang w:val="en-GB"/>
        </w:rPr>
      </w:pPr>
      <w:bookmarkStart w:id="48" w:name="_Toc512010387"/>
      <w:bookmarkStart w:id="49" w:name="_Toc512339585"/>
      <w:bookmarkStart w:id="50" w:name="_Toc106705749"/>
      <w:bookmarkStart w:id="51" w:name="_Toc205461427"/>
      <w:r w:rsidRPr="00FF338C">
        <w:rPr>
          <w:lang w:val="en-GB"/>
        </w:rPr>
        <w:t>General principles on estimating scope 1 emissions</w:t>
      </w:r>
      <w:bookmarkEnd w:id="48"/>
      <w:bookmarkEnd w:id="49"/>
      <w:bookmarkEnd w:id="50"/>
      <w:bookmarkEnd w:id="51"/>
    </w:p>
    <w:p w14:paraId="0C859837" w14:textId="4231F39F" w:rsidR="004A2E03" w:rsidRPr="00FF338C" w:rsidRDefault="004A2E03" w:rsidP="004A2E03">
      <w:r w:rsidRPr="00FF338C">
        <w:t>Direct, or scope 1 emissions</w:t>
      </w:r>
      <w:r>
        <w:t>,</w:t>
      </w:r>
      <w:r w:rsidRPr="00FF338C">
        <w:t xml:space="preserve"> are defined in </w:t>
      </w:r>
      <w:r w:rsidR="004F4148" w:rsidRPr="00FF338C">
        <w:t>2.23</w:t>
      </w:r>
      <w:r w:rsidR="004F4148">
        <w:t xml:space="preserve"> of the </w:t>
      </w:r>
      <w:r w:rsidRPr="00FF338C">
        <w:t>NGER Regulation</w:t>
      </w:r>
      <w:r w:rsidR="004F4148">
        <w:t>s</w:t>
      </w:r>
      <w:r w:rsidRPr="00FF338C">
        <w:t xml:space="preserve"> as </w:t>
      </w:r>
      <w:r w:rsidRPr="003F37EC">
        <w:t>‘</w:t>
      </w:r>
      <w:r w:rsidRPr="00C67339">
        <w:t xml:space="preserve">the release of greenhouse gas into the atmosphere as a direct result of an activity or series of activities (including ancillary activities) that constitute the facility’. </w:t>
      </w:r>
    </w:p>
    <w:p w14:paraId="7C2D3DFC" w14:textId="405EBEB1" w:rsidR="004A2E03" w:rsidRPr="00FF338C" w:rsidRDefault="004A2E03" w:rsidP="00DB4B56">
      <w:pPr>
        <w:pStyle w:val="Heading2"/>
        <w:numPr>
          <w:ilvl w:val="1"/>
          <w:numId w:val="3"/>
        </w:numPr>
        <w:ind w:left="426" w:hanging="426"/>
      </w:pPr>
      <w:bookmarkStart w:id="52" w:name="_Toc512010388"/>
      <w:bookmarkStart w:id="53" w:name="_Toc512339586"/>
      <w:bookmarkStart w:id="54" w:name="_Toc106705750"/>
      <w:bookmarkStart w:id="55" w:name="_Toc205461428"/>
      <w:r w:rsidRPr="00FF338C">
        <w:t xml:space="preserve">Common emissions sources for electricity </w:t>
      </w:r>
      <w:bookmarkEnd w:id="52"/>
      <w:bookmarkEnd w:id="53"/>
      <w:bookmarkEnd w:id="54"/>
      <w:r w:rsidR="00A54A68">
        <w:t>production</w:t>
      </w:r>
      <w:bookmarkEnd w:id="55"/>
      <w:r w:rsidR="008F364D" w:rsidRPr="00FF338C">
        <w:t xml:space="preserve"> </w:t>
      </w:r>
    </w:p>
    <w:p w14:paraId="6EAFDBBD" w14:textId="13827B58" w:rsidR="004A2E03" w:rsidRPr="00FF338C" w:rsidRDefault="004A2E03" w:rsidP="004A2E03">
      <w:r>
        <w:t xml:space="preserve">Sources of </w:t>
      </w:r>
      <w:r w:rsidRPr="00FF338C">
        <w:t xml:space="preserve">emissions </w:t>
      </w:r>
      <w:r>
        <w:t xml:space="preserve">that </w:t>
      </w:r>
      <w:r w:rsidRPr="00FF338C">
        <w:t xml:space="preserve">are reportable under the NGER legislation are defined under section 1.10 of the </w:t>
      </w:r>
      <w:r>
        <w:t>NGER Measurement Determination</w:t>
      </w:r>
      <w:r w:rsidRPr="00FF338C">
        <w:t xml:space="preserve">. Sources of scope 1 emissions common to facilities </w:t>
      </w:r>
      <w:r w:rsidR="00B3442E">
        <w:t>producing</w:t>
      </w:r>
      <w:r w:rsidRPr="00FF338C">
        <w:t xml:space="preserve"> electricity </w:t>
      </w:r>
      <w:r w:rsidR="00E42A39">
        <w:t xml:space="preserve">from </w:t>
      </w:r>
      <w:r w:rsidR="00B3442E">
        <w:t xml:space="preserve">generating </w:t>
      </w:r>
      <w:r w:rsidR="00275339">
        <w:t>units</w:t>
      </w:r>
      <w:r w:rsidRPr="00FF338C" w:rsidDel="00EA71F7">
        <w:t xml:space="preserve"> </w:t>
      </w:r>
      <w:r w:rsidRPr="00FF338C">
        <w:t xml:space="preserve">are shown </w:t>
      </w:r>
      <w:r>
        <w:t>below</w:t>
      </w:r>
      <w:r w:rsidRPr="00FF338C">
        <w:t>.</w:t>
      </w:r>
    </w:p>
    <w:p w14:paraId="223C5F79" w14:textId="49AECAA6" w:rsidR="008A4B1B" w:rsidRDefault="008A4B1B" w:rsidP="0035044B">
      <w:pPr>
        <w:pStyle w:val="Caption"/>
        <w:keepNext/>
      </w:pPr>
      <w:r>
        <w:t xml:space="preserve">Table </w:t>
      </w:r>
      <w:r>
        <w:fldChar w:fldCharType="begin"/>
      </w:r>
      <w:r>
        <w:instrText xml:space="preserve"> SEQ Table \* ARABIC </w:instrText>
      </w:r>
      <w:r>
        <w:fldChar w:fldCharType="separate"/>
      </w:r>
      <w:r w:rsidR="004B0870">
        <w:rPr>
          <w:noProof/>
        </w:rPr>
        <w:t>2</w:t>
      </w:r>
      <w:r>
        <w:fldChar w:fldCharType="end"/>
      </w:r>
      <w:r>
        <w:t xml:space="preserve"> – </w:t>
      </w:r>
      <w:r w:rsidRPr="00416AD6">
        <w:t>Common scope 1 emissions sources related to electricity productio</w:t>
      </w:r>
      <w:r w:rsidR="00BE4303">
        <w:t>n.</w:t>
      </w:r>
    </w:p>
    <w:tbl>
      <w:tblPr>
        <w:tblStyle w:val="CERTable"/>
        <w:tblW w:w="9776" w:type="dxa"/>
        <w:tblLook w:val="06A0" w:firstRow="1" w:lastRow="0" w:firstColumn="1" w:lastColumn="0" w:noHBand="1" w:noVBand="1"/>
      </w:tblPr>
      <w:tblGrid>
        <w:gridCol w:w="1696"/>
        <w:gridCol w:w="8080"/>
      </w:tblGrid>
      <w:tr w:rsidR="004A2E03" w:rsidRPr="00C64711" w14:paraId="4BE02872" w14:textId="77777777" w:rsidTr="00BC1A5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6" w:type="dxa"/>
            <w:hideMark/>
          </w:tcPr>
          <w:p w14:paraId="3A8F4A85" w14:textId="77777777" w:rsidR="004A2E03" w:rsidRPr="00C67339" w:rsidRDefault="004A2E03">
            <w:pPr>
              <w:rPr>
                <w:szCs w:val="22"/>
              </w:rPr>
            </w:pPr>
            <w:r w:rsidRPr="00C67339">
              <w:rPr>
                <w:szCs w:val="22"/>
              </w:rPr>
              <w:t>Emissions source</w:t>
            </w:r>
          </w:p>
        </w:tc>
        <w:tc>
          <w:tcPr>
            <w:tcW w:w="8080" w:type="dxa"/>
            <w:hideMark/>
          </w:tcPr>
          <w:p w14:paraId="262A9D45" w14:textId="133D9C6C" w:rsidR="004A2E03" w:rsidRPr="00C67339" w:rsidRDefault="005371F3">
            <w:pPr>
              <w:cnfStyle w:val="100000000000" w:firstRow="1" w:lastRow="0" w:firstColumn="0" w:lastColumn="0" w:oddVBand="0" w:evenVBand="0" w:oddHBand="0" w:evenHBand="0" w:firstRowFirstColumn="0" w:firstRowLastColumn="0" w:lastRowFirstColumn="0" w:lastRowLastColumn="0"/>
              <w:rPr>
                <w:szCs w:val="22"/>
              </w:rPr>
            </w:pPr>
            <w:r>
              <w:rPr>
                <w:szCs w:val="22"/>
              </w:rPr>
              <w:t>Activity</w:t>
            </w:r>
            <w:r w:rsidR="00CF0989">
              <w:rPr>
                <w:szCs w:val="22"/>
              </w:rPr>
              <w:t xml:space="preserve"> releasing emission</w:t>
            </w:r>
          </w:p>
        </w:tc>
      </w:tr>
      <w:tr w:rsidR="004A2E03" w:rsidRPr="00C64711" w14:paraId="5E96408F" w14:textId="77777777" w:rsidTr="00BC1A51">
        <w:tc>
          <w:tcPr>
            <w:cnfStyle w:val="001000000000" w:firstRow="0" w:lastRow="0" w:firstColumn="1" w:lastColumn="0" w:oddVBand="0" w:evenVBand="0" w:oddHBand="0" w:evenHBand="0" w:firstRowFirstColumn="0" w:firstRowLastColumn="0" w:lastRowFirstColumn="0" w:lastRowLastColumn="0"/>
            <w:tcW w:w="1696" w:type="dxa"/>
            <w:vMerge w:val="restart"/>
          </w:tcPr>
          <w:p w14:paraId="717C8915" w14:textId="64C4620C" w:rsidR="004A2E03" w:rsidRPr="00C67339" w:rsidRDefault="004A2E03">
            <w:pPr>
              <w:rPr>
                <w:szCs w:val="22"/>
              </w:rPr>
            </w:pPr>
            <w:r w:rsidRPr="00C67339">
              <w:rPr>
                <w:szCs w:val="22"/>
              </w:rPr>
              <w:t>Fuel combustion</w:t>
            </w:r>
          </w:p>
          <w:p w14:paraId="51A3EB81" w14:textId="77777777" w:rsidR="004A2E03" w:rsidRPr="008A5BA7" w:rsidRDefault="004A2E03">
            <w:pPr>
              <w:rPr>
                <w:szCs w:val="22"/>
              </w:rPr>
            </w:pPr>
            <w:r w:rsidRPr="00E26BF6">
              <w:rPr>
                <w:szCs w:val="22"/>
              </w:rPr>
              <w:t>(Item 1A in s1.10)</w:t>
            </w:r>
          </w:p>
          <w:p w14:paraId="188E9DE4" w14:textId="77777777" w:rsidR="004A2E03" w:rsidRPr="00C67339" w:rsidRDefault="004A2E03">
            <w:pPr>
              <w:rPr>
                <w:szCs w:val="22"/>
              </w:rPr>
            </w:pPr>
            <w:r w:rsidRPr="00E26BF6">
              <w:rPr>
                <w:szCs w:val="22"/>
              </w:rPr>
              <w:t xml:space="preserve">See </w:t>
            </w:r>
            <w:hyperlink w:anchor="_Estimating_emissions_from" w:history="1">
              <w:r w:rsidRPr="00E26BF6">
                <w:rPr>
                  <w:rStyle w:val="Hyperlink"/>
                  <w:rFonts w:asciiTheme="minorHAnsi" w:hAnsiTheme="minorHAnsi"/>
                  <w:szCs w:val="22"/>
                </w:rPr>
                <w:t>chapter 4</w:t>
              </w:r>
            </w:hyperlink>
            <w:r w:rsidRPr="00E26BF6">
              <w:rPr>
                <w:szCs w:val="22"/>
              </w:rPr>
              <w:t xml:space="preserve"> of this </w:t>
            </w:r>
            <w:r w:rsidRPr="00E26BF6">
              <w:t>guideline</w:t>
            </w:r>
            <w:r w:rsidRPr="00E26BF6">
              <w:rPr>
                <w:szCs w:val="22"/>
              </w:rPr>
              <w:t>.</w:t>
            </w:r>
          </w:p>
        </w:tc>
        <w:tc>
          <w:tcPr>
            <w:tcW w:w="8080" w:type="dxa"/>
          </w:tcPr>
          <w:p w14:paraId="324BE821" w14:textId="77777777" w:rsidR="004A2E03" w:rsidRPr="00C67339" w:rsidRDefault="004A2E03">
            <w:pPr>
              <w:spacing w:after="120"/>
              <w:cnfStyle w:val="000000000000" w:firstRow="0" w:lastRow="0" w:firstColumn="0" w:lastColumn="0" w:oddVBand="0" w:evenVBand="0" w:oddHBand="0" w:evenHBand="0" w:firstRowFirstColumn="0" w:firstRowLastColumn="0" w:lastRowFirstColumn="0" w:lastRowLastColumn="0"/>
              <w:rPr>
                <w:rFonts w:cs="Arial"/>
                <w:b/>
                <w:color w:val="000000"/>
                <w:szCs w:val="22"/>
              </w:rPr>
            </w:pPr>
            <w:r w:rsidRPr="00C67339">
              <w:rPr>
                <w:rFonts w:cs="Arial"/>
                <w:b/>
                <w:color w:val="000000"/>
                <w:szCs w:val="22"/>
              </w:rPr>
              <w:t>Electricity generation purposes</w:t>
            </w:r>
          </w:p>
          <w:p w14:paraId="25150B96" w14:textId="47411DB9" w:rsidR="004A2E03" w:rsidRPr="00C67339" w:rsidRDefault="004A2E03">
            <w:pPr>
              <w:spacing w:after="120"/>
              <w:cnfStyle w:val="000000000000" w:firstRow="0" w:lastRow="0" w:firstColumn="0" w:lastColumn="0" w:oddVBand="0" w:evenVBand="0" w:oddHBand="0" w:evenHBand="0" w:firstRowFirstColumn="0" w:firstRowLastColumn="0" w:lastRowFirstColumn="0" w:lastRowLastColumn="0"/>
              <w:rPr>
                <w:rFonts w:cs="Arial"/>
                <w:color w:val="000000"/>
                <w:szCs w:val="22"/>
              </w:rPr>
            </w:pPr>
            <w:r>
              <w:rPr>
                <w:rFonts w:cs="Arial"/>
                <w:color w:val="000000"/>
                <w:szCs w:val="22"/>
              </w:rPr>
              <w:t xml:space="preserve">This is combustion </w:t>
            </w:r>
            <w:r w:rsidRPr="00C67339">
              <w:rPr>
                <w:rFonts w:cs="Arial"/>
                <w:color w:val="000000"/>
                <w:szCs w:val="22"/>
              </w:rPr>
              <w:t xml:space="preserve">of fuel to generate electricity either for use in own facility or for use </w:t>
            </w:r>
            <w:r>
              <w:rPr>
                <w:rFonts w:cs="Arial"/>
                <w:color w:val="000000"/>
                <w:szCs w:val="22"/>
              </w:rPr>
              <w:t xml:space="preserve">in an </w:t>
            </w:r>
            <w:r w:rsidRPr="00C67339">
              <w:rPr>
                <w:rFonts w:cs="Arial"/>
                <w:color w:val="000000"/>
                <w:szCs w:val="22"/>
              </w:rPr>
              <w:t xml:space="preserve">outside facility (including delivery into an electricity network). These are the most significant emissions from </w:t>
            </w:r>
            <w:r w:rsidR="00E05E4E">
              <w:rPr>
                <w:rFonts w:cs="Arial"/>
                <w:color w:val="000000"/>
                <w:szCs w:val="22"/>
              </w:rPr>
              <w:t>electricity production</w:t>
            </w:r>
            <w:r w:rsidRPr="00C67339">
              <w:rPr>
                <w:rFonts w:cs="Arial"/>
                <w:color w:val="000000"/>
                <w:szCs w:val="22"/>
              </w:rPr>
              <w:t>. Examples include:</w:t>
            </w:r>
          </w:p>
          <w:p w14:paraId="336A4BEA" w14:textId="77777777" w:rsidR="004A2E03" w:rsidRPr="00C67339" w:rsidRDefault="004A2E03" w:rsidP="00B3330E">
            <w:pPr>
              <w:numPr>
                <w:ilvl w:val="0"/>
                <w:numId w:val="1"/>
              </w:numPr>
              <w:spacing w:after="120"/>
              <w:cnfStyle w:val="000000000000" w:firstRow="0" w:lastRow="0" w:firstColumn="0" w:lastColumn="0" w:oddVBand="0" w:evenVBand="0" w:oddHBand="0" w:evenHBand="0" w:firstRowFirstColumn="0" w:firstRowLastColumn="0" w:lastRowFirstColumn="0" w:lastRowLastColumn="0"/>
              <w:rPr>
                <w:color w:val="auto"/>
                <w:kern w:val="0"/>
                <w:szCs w:val="22"/>
              </w:rPr>
            </w:pPr>
            <w:r w:rsidRPr="79B44BC7">
              <w:rPr>
                <w:color w:val="auto"/>
              </w:rPr>
              <w:t>coal fired power station (solid fuel combustion)</w:t>
            </w:r>
          </w:p>
          <w:p w14:paraId="0FEF225B" w14:textId="77777777" w:rsidR="004A2E03" w:rsidRPr="00C67339" w:rsidRDefault="004A2E03" w:rsidP="00B3330E">
            <w:pPr>
              <w:numPr>
                <w:ilvl w:val="0"/>
                <w:numId w:val="1"/>
              </w:numPr>
              <w:spacing w:after="120"/>
              <w:cnfStyle w:val="000000000000" w:firstRow="0" w:lastRow="0" w:firstColumn="0" w:lastColumn="0" w:oddVBand="0" w:evenVBand="0" w:oddHBand="0" w:evenHBand="0" w:firstRowFirstColumn="0" w:firstRowLastColumn="0" w:lastRowFirstColumn="0" w:lastRowLastColumn="0"/>
              <w:rPr>
                <w:color w:val="auto"/>
                <w:kern w:val="0"/>
                <w:szCs w:val="22"/>
              </w:rPr>
            </w:pPr>
            <w:r w:rsidRPr="79B44BC7">
              <w:rPr>
                <w:color w:val="auto"/>
              </w:rPr>
              <w:t>gas fired power station (gaseous fuel combustion)</w:t>
            </w:r>
          </w:p>
          <w:p w14:paraId="6405C86F" w14:textId="77777777" w:rsidR="004A2E03" w:rsidRPr="00C67339" w:rsidRDefault="004A2E03" w:rsidP="00B3330E">
            <w:pPr>
              <w:numPr>
                <w:ilvl w:val="0"/>
                <w:numId w:val="1"/>
              </w:numPr>
              <w:spacing w:after="120"/>
              <w:cnfStyle w:val="000000000000" w:firstRow="0" w:lastRow="0" w:firstColumn="0" w:lastColumn="0" w:oddVBand="0" w:evenVBand="0" w:oddHBand="0" w:evenHBand="0" w:firstRowFirstColumn="0" w:firstRowLastColumn="0" w:lastRowFirstColumn="0" w:lastRowLastColumn="0"/>
              <w:rPr>
                <w:rFonts w:cs="Arial"/>
                <w:color w:val="000000"/>
                <w:szCs w:val="22"/>
              </w:rPr>
            </w:pPr>
            <w:r w:rsidRPr="79B44BC7">
              <w:rPr>
                <w:color w:val="auto"/>
              </w:rPr>
              <w:t>diesel fired</w:t>
            </w:r>
            <w:r>
              <w:t xml:space="preserve"> electricity generator (liquid fuel combustion).</w:t>
            </w:r>
          </w:p>
          <w:p w14:paraId="4CE74030" w14:textId="798089CB" w:rsidR="004A2E03" w:rsidRPr="003F37EC" w:rsidRDefault="004A2E03" w:rsidP="00D2141E">
            <w:pPr>
              <w:cnfStyle w:val="000000000000" w:firstRow="0" w:lastRow="0" w:firstColumn="0" w:lastColumn="0" w:oddVBand="0" w:evenVBand="0" w:oddHBand="0" w:evenHBand="0" w:firstRowFirstColumn="0" w:firstRowLastColumn="0" w:lastRowFirstColumn="0" w:lastRowLastColumn="0"/>
              <w:rPr>
                <w:rFonts w:cs="Arial"/>
                <w:color w:val="000000"/>
              </w:rPr>
            </w:pPr>
            <w:r w:rsidRPr="006046BA">
              <w:t>Note</w:t>
            </w:r>
            <w:r w:rsidRPr="005430DC">
              <w:t>: It</w:t>
            </w:r>
            <w:r w:rsidRPr="003F37EC">
              <w:t xml:space="preserve"> is important t</w:t>
            </w:r>
            <w:r>
              <w:t xml:space="preserve">hat </w:t>
            </w:r>
            <w:r w:rsidRPr="003F37EC">
              <w:t>fuel combustion for electricity</w:t>
            </w:r>
            <w:r>
              <w:t xml:space="preserve"> generation</w:t>
            </w:r>
            <w:r w:rsidRPr="003F37EC">
              <w:t xml:space="preserve"> purpose</w:t>
            </w:r>
            <w:r>
              <w:t>s be reported</w:t>
            </w:r>
            <w:r w:rsidRPr="003F37EC">
              <w:t xml:space="preserve"> as </w:t>
            </w:r>
            <w:r w:rsidR="00C4243F" w:rsidRPr="003F37EC">
              <w:t>such and</w:t>
            </w:r>
            <w:r w:rsidRPr="003F37EC">
              <w:t xml:space="preserve"> </w:t>
            </w:r>
            <w:r w:rsidRPr="00C67339">
              <w:t>not</w:t>
            </w:r>
            <w:r>
              <w:t xml:space="preserve"> reported</w:t>
            </w:r>
            <w:r w:rsidRPr="00C67339">
              <w:t xml:space="preserve"> as fuel combustion for stationary energy purposes</w:t>
            </w:r>
            <w:r w:rsidRPr="003F37EC">
              <w:t>.</w:t>
            </w:r>
            <w:r w:rsidR="004F479D">
              <w:t xml:space="preserve"> </w:t>
            </w:r>
            <w:r w:rsidR="004F479D" w:rsidRPr="00D2141E">
              <w:t>Fuel combustion for generating units that do not meet the electricity production reporting threshold (Regulation 4.19) can be reported as fuel combustion for stationary energy purposes</w:t>
            </w:r>
            <w:r w:rsidR="004F479D">
              <w:t>.</w:t>
            </w:r>
            <w:r w:rsidR="00755DD8">
              <w:t xml:space="preserve"> See </w:t>
            </w:r>
            <w:r w:rsidR="00755DD8">
              <w:fldChar w:fldCharType="begin" w:fldLock="1"/>
            </w:r>
            <w:r w:rsidR="00755DD8">
              <w:instrText xml:space="preserve"> REF _Ref199338865 </w:instrText>
            </w:r>
            <w:r w:rsidR="00755DD8">
              <w:fldChar w:fldCharType="separate"/>
            </w:r>
            <w:r w:rsidR="00755DD8">
              <w:t xml:space="preserve">Table </w:t>
            </w:r>
            <w:r w:rsidR="00755DD8">
              <w:rPr>
                <w:noProof/>
              </w:rPr>
              <w:t>10</w:t>
            </w:r>
            <w:r w:rsidR="00755DD8">
              <w:fldChar w:fldCharType="end"/>
            </w:r>
            <w:r w:rsidR="00755DD8">
              <w:t xml:space="preserve"> for more information.</w:t>
            </w:r>
          </w:p>
        </w:tc>
      </w:tr>
      <w:tr w:rsidR="004A2E03" w:rsidRPr="00C64711" w14:paraId="51D906E6" w14:textId="77777777" w:rsidTr="00BC1A51">
        <w:tc>
          <w:tcPr>
            <w:cnfStyle w:val="001000000000" w:firstRow="0" w:lastRow="0" w:firstColumn="1" w:lastColumn="0" w:oddVBand="0" w:evenVBand="0" w:oddHBand="0" w:evenHBand="0" w:firstRowFirstColumn="0" w:firstRowLastColumn="0" w:lastRowFirstColumn="0" w:lastRowLastColumn="0"/>
            <w:tcW w:w="1696" w:type="dxa"/>
            <w:vMerge/>
          </w:tcPr>
          <w:p w14:paraId="4537A6F5" w14:textId="77777777" w:rsidR="004A2E03" w:rsidRPr="00C67339" w:rsidRDefault="004A2E03">
            <w:pPr>
              <w:rPr>
                <w:szCs w:val="22"/>
              </w:rPr>
            </w:pPr>
          </w:p>
        </w:tc>
        <w:tc>
          <w:tcPr>
            <w:tcW w:w="8080" w:type="dxa"/>
          </w:tcPr>
          <w:p w14:paraId="030CEC42" w14:textId="77777777" w:rsidR="004A2E03" w:rsidRPr="00C67339" w:rsidRDefault="004A2E03">
            <w:pPr>
              <w:spacing w:after="120"/>
              <w:cnfStyle w:val="000000000000" w:firstRow="0" w:lastRow="0" w:firstColumn="0" w:lastColumn="0" w:oddVBand="0" w:evenVBand="0" w:oddHBand="0" w:evenHBand="0" w:firstRowFirstColumn="0" w:firstRowLastColumn="0" w:lastRowFirstColumn="0" w:lastRowLastColumn="0"/>
              <w:rPr>
                <w:b/>
                <w:szCs w:val="22"/>
              </w:rPr>
            </w:pPr>
            <w:r w:rsidRPr="00C67339">
              <w:rPr>
                <w:b/>
                <w:szCs w:val="22"/>
              </w:rPr>
              <w:t>Stationary energy purposes</w:t>
            </w:r>
          </w:p>
          <w:p w14:paraId="5E6A9254" w14:textId="4601A6C2" w:rsidR="009A4270" w:rsidRDefault="00CD6635" w:rsidP="00CF3293">
            <w:pPr>
              <w:spacing w:after="120"/>
              <w:cnfStyle w:val="000000000000" w:firstRow="0" w:lastRow="0" w:firstColumn="0" w:lastColumn="0" w:oddVBand="0" w:evenVBand="0" w:oddHBand="0" w:evenHBand="0" w:firstRowFirstColumn="0" w:firstRowLastColumn="0" w:lastRowFirstColumn="0" w:lastRowLastColumn="0"/>
            </w:pPr>
            <w:r>
              <w:t>‘</w:t>
            </w:r>
            <w:r w:rsidR="6852E8E1">
              <w:t>S</w:t>
            </w:r>
            <w:r w:rsidR="00674BA2">
              <w:t>tationary energy purposes</w:t>
            </w:r>
            <w:r>
              <w:t>’</w:t>
            </w:r>
            <w:r w:rsidR="00674BA2">
              <w:t xml:space="preserve"> means</w:t>
            </w:r>
            <w:r w:rsidR="004A2E03">
              <w:t xml:space="preserve"> fuel </w:t>
            </w:r>
            <w:r w:rsidR="00674BA2">
              <w:t xml:space="preserve">combusted </w:t>
            </w:r>
            <w:r w:rsidR="00217F59">
              <w:t>for</w:t>
            </w:r>
            <w:r w:rsidR="00EC0907">
              <w:t xml:space="preserve"> </w:t>
            </w:r>
            <w:r w:rsidR="00A25881">
              <w:t>‘</w:t>
            </w:r>
            <w:r w:rsidR="004A2E03">
              <w:t xml:space="preserve">stationary </w:t>
            </w:r>
            <w:r w:rsidR="00A25881">
              <w:t xml:space="preserve">equipment’ </w:t>
            </w:r>
            <w:r w:rsidR="008350B3">
              <w:t xml:space="preserve">or </w:t>
            </w:r>
            <w:r w:rsidR="00217F59">
              <w:t>non-</w:t>
            </w:r>
            <w:r w:rsidR="00674BA2">
              <w:t>transport</w:t>
            </w:r>
            <w:r w:rsidR="00674BA2" w:rsidDel="00545D9C">
              <w:t xml:space="preserve"> energy purposes</w:t>
            </w:r>
            <w:r w:rsidR="00674BA2">
              <w:t>.</w:t>
            </w:r>
            <w:r w:rsidR="004A2E03">
              <w:t xml:space="preserve"> Stationary equipment includes</w:t>
            </w:r>
            <w:r w:rsidR="009A4270">
              <w:t>:</w:t>
            </w:r>
          </w:p>
          <w:p w14:paraId="713C8A43" w14:textId="2D5E5572" w:rsidR="009A4270" w:rsidRPr="00D2141E" w:rsidRDefault="004A2E03" w:rsidP="009A4270">
            <w:pPr>
              <w:pStyle w:val="CERbullets"/>
              <w:cnfStyle w:val="000000000000" w:firstRow="0" w:lastRow="0" w:firstColumn="0" w:lastColumn="0" w:oddVBand="0" w:evenVBand="0" w:oddHBand="0" w:evenHBand="0" w:firstRowFirstColumn="0" w:firstRowLastColumn="0" w:lastRowFirstColumn="0" w:lastRowLastColumn="0"/>
              <w:rPr>
                <w:b/>
              </w:rPr>
            </w:pPr>
            <w:r>
              <w:t>onsite mobile equipment that is not registered</w:t>
            </w:r>
            <w:r w:rsidR="003D413F" w:rsidDel="00D14F3C">
              <w:t xml:space="preserve"> </w:t>
            </w:r>
            <w:r w:rsidR="008831B3">
              <w:t>for</w:t>
            </w:r>
            <w:r w:rsidR="000144F7">
              <w:t xml:space="preserve"> road</w:t>
            </w:r>
            <w:r w:rsidR="00D33713">
              <w:t xml:space="preserve"> </w:t>
            </w:r>
            <w:r w:rsidR="008831B3">
              <w:t>use</w:t>
            </w:r>
            <w:r>
              <w:t xml:space="preserve">, such as diesel-powered </w:t>
            </w:r>
            <w:r w:rsidDel="00013C67">
              <w:t>dozer</w:t>
            </w:r>
            <w:r w:rsidR="00E512E3" w:rsidDel="00013C67">
              <w:t>s</w:t>
            </w:r>
            <w:r w:rsidR="002E3588" w:rsidDel="00013C67">
              <w:t>,</w:t>
            </w:r>
            <w:r w:rsidR="002E3588" w:rsidDel="0021694D">
              <w:t xml:space="preserve"> </w:t>
            </w:r>
            <w:r w:rsidR="00257858">
              <w:t>forkli</w:t>
            </w:r>
            <w:r w:rsidR="00E60F5B">
              <w:t>ft</w:t>
            </w:r>
            <w:r w:rsidR="00E512E3">
              <w:t>s</w:t>
            </w:r>
            <w:r w:rsidR="00F16BC8">
              <w:t xml:space="preserve">, </w:t>
            </w:r>
            <w:r w:rsidR="004C793D">
              <w:t>and</w:t>
            </w:r>
            <w:r w:rsidR="00E60F5B">
              <w:t xml:space="preserve"> </w:t>
            </w:r>
            <w:r w:rsidR="00136787">
              <w:t xml:space="preserve">excavators </w:t>
            </w:r>
            <w:r w:rsidR="001E004F">
              <w:t xml:space="preserve"> </w:t>
            </w:r>
          </w:p>
          <w:p w14:paraId="4AC82D60" w14:textId="01347CFD" w:rsidR="009A4270" w:rsidRPr="00D2141E" w:rsidRDefault="00F16BC8" w:rsidP="009A4270">
            <w:pPr>
              <w:pStyle w:val="CERbullets"/>
              <w:cnfStyle w:val="000000000000" w:firstRow="0" w:lastRow="0" w:firstColumn="0" w:lastColumn="0" w:oddVBand="0" w:evenVBand="0" w:oddHBand="0" w:evenHBand="0" w:firstRowFirstColumn="0" w:firstRowLastColumn="0" w:lastRowFirstColumn="0" w:lastRowLastColumn="0"/>
              <w:rPr>
                <w:b/>
              </w:rPr>
            </w:pPr>
            <w:r>
              <w:t xml:space="preserve">portable generators </w:t>
            </w:r>
            <w:r w:rsidR="009A4270" w:rsidRPr="001F3DA5">
              <w:rPr>
                <w:color w:val="000000" w:themeColor="text1"/>
              </w:rPr>
              <w:t>that do not meet the electricity production reporting threshold (Regulation 4.19)</w:t>
            </w:r>
          </w:p>
          <w:p w14:paraId="64DBF5A9" w14:textId="5AD336B5" w:rsidR="009A4270" w:rsidRPr="00D2141E" w:rsidRDefault="00170DAF" w:rsidP="009A4270">
            <w:pPr>
              <w:pStyle w:val="CERbullets"/>
              <w:cnfStyle w:val="000000000000" w:firstRow="0" w:lastRow="0" w:firstColumn="0" w:lastColumn="0" w:oddVBand="0" w:evenVBand="0" w:oddHBand="0" w:evenHBand="0" w:firstRowFirstColumn="0" w:firstRowLastColumn="0" w:lastRowFirstColumn="0" w:lastRowLastColumn="0"/>
              <w:rPr>
                <w:b/>
              </w:rPr>
            </w:pPr>
            <w:r>
              <w:t>portable lighting tower</w:t>
            </w:r>
            <w:r w:rsidR="008350B3">
              <w:t>s</w:t>
            </w:r>
          </w:p>
          <w:p w14:paraId="21D05EFE" w14:textId="30B4358F" w:rsidR="004A2E03" w:rsidRPr="00C67339" w:rsidRDefault="002A665B" w:rsidP="00D2141E">
            <w:pPr>
              <w:pStyle w:val="CERbullets"/>
              <w:cnfStyle w:val="000000000000" w:firstRow="0" w:lastRow="0" w:firstColumn="0" w:lastColumn="0" w:oddVBand="0" w:evenVBand="0" w:oddHBand="0" w:evenHBand="0" w:firstRowFirstColumn="0" w:firstRowLastColumn="0" w:lastRowFirstColumn="0" w:lastRowLastColumn="0"/>
              <w:rPr>
                <w:b/>
              </w:rPr>
            </w:pPr>
            <w:r>
              <w:t>gas compressor</w:t>
            </w:r>
            <w:r w:rsidR="007C1CAA">
              <w:t>s</w:t>
            </w:r>
            <w:r w:rsidR="004A2E03">
              <w:t>.</w:t>
            </w:r>
          </w:p>
        </w:tc>
      </w:tr>
      <w:tr w:rsidR="004A2E03" w:rsidRPr="00C64711" w14:paraId="5762D53C" w14:textId="77777777" w:rsidTr="00BC1A51">
        <w:tc>
          <w:tcPr>
            <w:cnfStyle w:val="001000000000" w:firstRow="0" w:lastRow="0" w:firstColumn="1" w:lastColumn="0" w:oddVBand="0" w:evenVBand="0" w:oddHBand="0" w:evenHBand="0" w:firstRowFirstColumn="0" w:firstRowLastColumn="0" w:lastRowFirstColumn="0" w:lastRowLastColumn="0"/>
            <w:tcW w:w="1696" w:type="dxa"/>
            <w:vMerge/>
          </w:tcPr>
          <w:p w14:paraId="0DEA811F" w14:textId="77777777" w:rsidR="004A2E03" w:rsidRPr="00C67339" w:rsidRDefault="004A2E03">
            <w:pPr>
              <w:rPr>
                <w:szCs w:val="22"/>
              </w:rPr>
            </w:pPr>
          </w:p>
        </w:tc>
        <w:tc>
          <w:tcPr>
            <w:tcW w:w="8080" w:type="dxa"/>
          </w:tcPr>
          <w:p w14:paraId="78683463" w14:textId="77777777" w:rsidR="004A2E03" w:rsidRPr="00C67339" w:rsidRDefault="004A2E03">
            <w:pPr>
              <w:spacing w:after="120"/>
              <w:cnfStyle w:val="000000000000" w:firstRow="0" w:lastRow="0" w:firstColumn="0" w:lastColumn="0" w:oddVBand="0" w:evenVBand="0" w:oddHBand="0" w:evenHBand="0" w:firstRowFirstColumn="0" w:firstRowLastColumn="0" w:lastRowFirstColumn="0" w:lastRowLastColumn="0"/>
              <w:rPr>
                <w:b/>
                <w:szCs w:val="22"/>
              </w:rPr>
            </w:pPr>
            <w:r w:rsidRPr="00C67339">
              <w:rPr>
                <w:b/>
                <w:szCs w:val="22"/>
              </w:rPr>
              <w:t>Transport energy purposes</w:t>
            </w:r>
          </w:p>
          <w:p w14:paraId="06351F6F" w14:textId="2430C917" w:rsidR="00525874" w:rsidRDefault="008350B3">
            <w:pPr>
              <w:spacing w:after="120"/>
              <w:cnfStyle w:val="000000000000" w:firstRow="0" w:lastRow="0" w:firstColumn="0" w:lastColumn="0" w:oddVBand="0" w:evenVBand="0" w:oddHBand="0" w:evenHBand="0" w:firstRowFirstColumn="0" w:firstRowLastColumn="0" w:lastRowFirstColumn="0" w:lastRowLastColumn="0"/>
              <w:rPr>
                <w:szCs w:val="22"/>
              </w:rPr>
            </w:pPr>
            <w:r>
              <w:rPr>
                <w:szCs w:val="22"/>
              </w:rPr>
              <w:t>‘</w:t>
            </w:r>
            <w:r w:rsidR="005A2709">
              <w:rPr>
                <w:szCs w:val="22"/>
              </w:rPr>
              <w:t>T</w:t>
            </w:r>
            <w:r w:rsidR="00BD7E84" w:rsidRPr="00BD7E84">
              <w:rPr>
                <w:szCs w:val="22"/>
              </w:rPr>
              <w:t>ransport energy purposes</w:t>
            </w:r>
            <w:r>
              <w:rPr>
                <w:szCs w:val="22"/>
              </w:rPr>
              <w:t>’</w:t>
            </w:r>
            <w:r w:rsidR="00BD7E84" w:rsidRPr="00BD7E84">
              <w:rPr>
                <w:szCs w:val="22"/>
              </w:rPr>
              <w:t xml:space="preserve"> </w:t>
            </w:r>
            <w:r>
              <w:rPr>
                <w:szCs w:val="22"/>
              </w:rPr>
              <w:t>means</w:t>
            </w:r>
            <w:r w:rsidR="00BD7E84" w:rsidRPr="00BD7E84">
              <w:rPr>
                <w:szCs w:val="22"/>
              </w:rPr>
              <w:t xml:space="preserve"> fuel combusted </w:t>
            </w:r>
            <w:r w:rsidR="000E7445">
              <w:rPr>
                <w:szCs w:val="22"/>
              </w:rPr>
              <w:t>fo</w:t>
            </w:r>
            <w:r w:rsidR="00E85038">
              <w:rPr>
                <w:szCs w:val="22"/>
              </w:rPr>
              <w:t>r</w:t>
            </w:r>
            <w:r w:rsidR="00BD7E84" w:rsidRPr="00BD7E84">
              <w:rPr>
                <w:szCs w:val="22"/>
              </w:rPr>
              <w:t>:</w:t>
            </w:r>
          </w:p>
          <w:p w14:paraId="21DC5ABF" w14:textId="77777777" w:rsidR="00525874" w:rsidRPr="00525874" w:rsidRDefault="00BD7E84" w:rsidP="00525874">
            <w:pPr>
              <w:pStyle w:val="CERbullets"/>
              <w:cnfStyle w:val="000000000000" w:firstRow="0" w:lastRow="0" w:firstColumn="0" w:lastColumn="0" w:oddVBand="0" w:evenVBand="0" w:oddHBand="0" w:evenHBand="0" w:firstRowFirstColumn="0" w:firstRowLastColumn="0" w:lastRowFirstColumn="0" w:lastRowLastColumn="0"/>
              <w:rPr>
                <w:rStyle w:val="CERbulletsChar"/>
                <w:szCs w:val="22"/>
              </w:rPr>
            </w:pPr>
            <w:r w:rsidRPr="00D2141E">
              <w:rPr>
                <w:rStyle w:val="CERbulletsChar"/>
              </w:rPr>
              <w:t>transport by vehicles registered for road use</w:t>
            </w:r>
          </w:p>
          <w:p w14:paraId="2968D5FA" w14:textId="77777777" w:rsidR="00525874" w:rsidRPr="00525874" w:rsidRDefault="00BD7E84" w:rsidP="00525874">
            <w:pPr>
              <w:pStyle w:val="CERbullets"/>
              <w:cnfStyle w:val="000000000000" w:firstRow="0" w:lastRow="0" w:firstColumn="0" w:lastColumn="0" w:oddVBand="0" w:evenVBand="0" w:oddHBand="0" w:evenHBand="0" w:firstRowFirstColumn="0" w:firstRowLastColumn="0" w:lastRowFirstColumn="0" w:lastRowLastColumn="0"/>
              <w:rPr>
                <w:rStyle w:val="CERbulletsChar"/>
                <w:szCs w:val="22"/>
              </w:rPr>
            </w:pPr>
            <w:r w:rsidRPr="00D2141E">
              <w:rPr>
                <w:rStyle w:val="CERbulletsChar"/>
              </w:rPr>
              <w:t>rail transport</w:t>
            </w:r>
          </w:p>
          <w:p w14:paraId="3976C790" w14:textId="77777777" w:rsidR="004B1242" w:rsidRPr="004B1242" w:rsidRDefault="00BD7E84" w:rsidP="00525874">
            <w:pPr>
              <w:pStyle w:val="CERbullets"/>
              <w:cnfStyle w:val="000000000000" w:firstRow="0" w:lastRow="0" w:firstColumn="0" w:lastColumn="0" w:oddVBand="0" w:evenVBand="0" w:oddHBand="0" w:evenHBand="0" w:firstRowFirstColumn="0" w:firstRowLastColumn="0" w:lastRowFirstColumn="0" w:lastRowLastColumn="0"/>
              <w:rPr>
                <w:rStyle w:val="CERbulletsChar"/>
                <w:szCs w:val="22"/>
              </w:rPr>
            </w:pPr>
            <w:r w:rsidRPr="00D2141E">
              <w:rPr>
                <w:rStyle w:val="CERbulletsChar"/>
              </w:rPr>
              <w:t>waterborne transport</w:t>
            </w:r>
          </w:p>
          <w:p w14:paraId="50AEA7A9" w14:textId="7DAE6B5B" w:rsidR="004A2E03" w:rsidRPr="00C67339" w:rsidRDefault="00BD7E84" w:rsidP="00D2141E">
            <w:pPr>
              <w:pStyle w:val="CERbullets"/>
              <w:cnfStyle w:val="000000000000" w:firstRow="0" w:lastRow="0" w:firstColumn="0" w:lastColumn="0" w:oddVBand="0" w:evenVBand="0" w:oddHBand="0" w:evenHBand="0" w:firstRowFirstColumn="0" w:firstRowLastColumn="0" w:lastRowFirstColumn="0" w:lastRowLastColumn="0"/>
              <w:rPr>
                <w:szCs w:val="22"/>
              </w:rPr>
            </w:pPr>
            <w:r w:rsidRPr="00D2141E">
              <w:rPr>
                <w:rStyle w:val="CERbulletsChar"/>
              </w:rPr>
              <w:t>air transport.</w:t>
            </w:r>
          </w:p>
        </w:tc>
      </w:tr>
      <w:tr w:rsidR="004A2E03" w:rsidRPr="00C64711" w14:paraId="3F77C04B" w14:textId="77777777" w:rsidTr="79B44BC7">
        <w:tc>
          <w:tcPr>
            <w:cnfStyle w:val="001000000000" w:firstRow="0" w:lastRow="0" w:firstColumn="1" w:lastColumn="0" w:oddVBand="0" w:evenVBand="0" w:oddHBand="0" w:evenHBand="0" w:firstRowFirstColumn="0" w:firstRowLastColumn="0" w:lastRowFirstColumn="0" w:lastRowLastColumn="0"/>
            <w:tcW w:w="1696" w:type="dxa"/>
            <w:vMerge/>
          </w:tcPr>
          <w:p w14:paraId="059B4CA5" w14:textId="77777777" w:rsidR="004A2E03" w:rsidRPr="00C67339" w:rsidRDefault="004A2E03">
            <w:pPr>
              <w:rPr>
                <w:szCs w:val="22"/>
              </w:rPr>
            </w:pPr>
          </w:p>
        </w:tc>
        <w:tc>
          <w:tcPr>
            <w:tcW w:w="8080" w:type="dxa"/>
            <w:tcBorders>
              <w:bottom w:val="single" w:sz="8" w:space="0" w:color="E8E8E8" w:themeColor="background2"/>
            </w:tcBorders>
          </w:tcPr>
          <w:p w14:paraId="31D8145C" w14:textId="77777777" w:rsidR="004A2E03" w:rsidRPr="00C67339" w:rsidRDefault="004A2E03">
            <w:pPr>
              <w:spacing w:after="120"/>
              <w:cnfStyle w:val="000000000000" w:firstRow="0" w:lastRow="0" w:firstColumn="0" w:lastColumn="0" w:oddVBand="0" w:evenVBand="0" w:oddHBand="0" w:evenHBand="0" w:firstRowFirstColumn="0" w:firstRowLastColumn="0" w:lastRowFirstColumn="0" w:lastRowLastColumn="0"/>
              <w:rPr>
                <w:b/>
                <w:szCs w:val="22"/>
              </w:rPr>
            </w:pPr>
            <w:r w:rsidRPr="00C67339">
              <w:rPr>
                <w:b/>
                <w:szCs w:val="22"/>
              </w:rPr>
              <w:t>Combustion of petroleum-based oils and greases (PBOGs)</w:t>
            </w:r>
          </w:p>
          <w:p w14:paraId="4991CCA9" w14:textId="77777777" w:rsidR="004A2E03" w:rsidRPr="00C67339" w:rsidRDefault="004A2E03">
            <w:pPr>
              <w:spacing w:after="120"/>
              <w:cnfStyle w:val="000000000000" w:firstRow="0" w:lastRow="0" w:firstColumn="0" w:lastColumn="0" w:oddVBand="0" w:evenVBand="0" w:oddHBand="0" w:evenHBand="0" w:firstRowFirstColumn="0" w:firstRowLastColumn="0" w:lastRowFirstColumn="0" w:lastRowLastColumn="0"/>
              <w:rPr>
                <w:szCs w:val="22"/>
              </w:rPr>
            </w:pPr>
            <w:r w:rsidRPr="00C67339">
              <w:rPr>
                <w:szCs w:val="22"/>
              </w:rPr>
              <w:t>When used as lubricants, PBOGs are partly oxidised, resulting in fuel combustion emissions</w:t>
            </w:r>
            <w:r>
              <w:rPr>
                <w:szCs w:val="22"/>
              </w:rPr>
              <w:t>. See</w:t>
            </w:r>
            <w:r w:rsidRPr="00C67339">
              <w:rPr>
                <w:szCs w:val="22"/>
              </w:rPr>
              <w:t xml:space="preserve"> </w:t>
            </w:r>
            <w:hyperlink w:anchor="_Emissions_from_consumption" w:history="1">
              <w:r>
                <w:rPr>
                  <w:rStyle w:val="Hyperlink"/>
                  <w:rFonts w:asciiTheme="minorHAnsi" w:hAnsiTheme="minorHAnsi"/>
                  <w:szCs w:val="22"/>
                </w:rPr>
                <w:t>chapter 4.6</w:t>
              </w:r>
            </w:hyperlink>
            <w:r w:rsidRPr="00C67339">
              <w:rPr>
                <w:szCs w:val="22"/>
              </w:rPr>
              <w:t xml:space="preserve"> </w:t>
            </w:r>
            <w:r>
              <w:rPr>
                <w:szCs w:val="22"/>
              </w:rPr>
              <w:t>of</w:t>
            </w:r>
            <w:r w:rsidRPr="00C67339">
              <w:rPr>
                <w:szCs w:val="22"/>
              </w:rPr>
              <w:t xml:space="preserve"> this guideline</w:t>
            </w:r>
            <w:r>
              <w:rPr>
                <w:szCs w:val="22"/>
              </w:rPr>
              <w:t xml:space="preserve"> for more information</w:t>
            </w:r>
            <w:r w:rsidRPr="00C67339">
              <w:rPr>
                <w:szCs w:val="22"/>
              </w:rPr>
              <w:t>.</w:t>
            </w:r>
          </w:p>
          <w:p w14:paraId="796554EB" w14:textId="77777777" w:rsidR="004A2E03" w:rsidRPr="00C67339" w:rsidRDefault="004A2E03">
            <w:pPr>
              <w:spacing w:after="120"/>
              <w:cnfStyle w:val="000000000000" w:firstRow="0" w:lastRow="0" w:firstColumn="0" w:lastColumn="0" w:oddVBand="0" w:evenVBand="0" w:oddHBand="0" w:evenHBand="0" w:firstRowFirstColumn="0" w:firstRowLastColumn="0" w:lastRowFirstColumn="0" w:lastRowLastColumn="0"/>
              <w:rPr>
                <w:szCs w:val="22"/>
              </w:rPr>
            </w:pPr>
            <w:r w:rsidRPr="006046BA">
              <w:rPr>
                <w:szCs w:val="22"/>
              </w:rPr>
              <w:t>Note</w:t>
            </w:r>
            <w:r w:rsidRPr="005430DC">
              <w:rPr>
                <w:bCs/>
                <w:szCs w:val="22"/>
              </w:rPr>
              <w:t>: PBOGs</w:t>
            </w:r>
            <w:r w:rsidRPr="00C67339">
              <w:rPr>
                <w:szCs w:val="22"/>
              </w:rPr>
              <w:t xml:space="preserve"> consumed without combustion</w:t>
            </w:r>
            <w:r>
              <w:rPr>
                <w:szCs w:val="22"/>
              </w:rPr>
              <w:t xml:space="preserve"> must </w:t>
            </w:r>
            <w:r w:rsidRPr="00C67339">
              <w:rPr>
                <w:szCs w:val="22"/>
              </w:rPr>
              <w:t>be reported as energy consumed without combustion.</w:t>
            </w:r>
          </w:p>
        </w:tc>
      </w:tr>
      <w:tr w:rsidR="00503817" w:rsidRPr="00C64711" w14:paraId="357FD14F" w14:textId="77777777" w:rsidTr="00BC1A51">
        <w:trPr>
          <w:trHeight w:val="2351"/>
        </w:trPr>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E8E8E8" w:themeColor="background2"/>
              <w:bottom w:val="single" w:sz="4" w:space="0" w:color="FCBA5C" w:themeColor="accent2"/>
            </w:tcBorders>
          </w:tcPr>
          <w:p w14:paraId="7018E013" w14:textId="7F202ECF" w:rsidR="004A2E03" w:rsidRPr="00253A6C" w:rsidRDefault="004A2E03">
            <w:pPr>
              <w:rPr>
                <w:szCs w:val="22"/>
              </w:rPr>
            </w:pPr>
            <w:r w:rsidRPr="00EE5638">
              <w:rPr>
                <w:szCs w:val="22"/>
              </w:rPr>
              <w:t xml:space="preserve">Emissions of </w:t>
            </w:r>
            <w:r w:rsidRPr="00253A6C">
              <w:rPr>
                <w:szCs w:val="22"/>
              </w:rPr>
              <w:t>sulphur hexafluoride gases</w:t>
            </w:r>
          </w:p>
          <w:p w14:paraId="05592926" w14:textId="77777777" w:rsidR="004A2E03" w:rsidRPr="00256727" w:rsidRDefault="004A2E03">
            <w:pPr>
              <w:spacing w:after="120"/>
              <w:rPr>
                <w:szCs w:val="22"/>
              </w:rPr>
            </w:pPr>
            <w:r w:rsidRPr="00256727">
              <w:rPr>
                <w:szCs w:val="22"/>
              </w:rPr>
              <w:t xml:space="preserve">(Item 30 in s1.10) </w:t>
            </w:r>
          </w:p>
          <w:p w14:paraId="488C4E2D" w14:textId="77777777" w:rsidR="004A2E03" w:rsidRPr="00EE5638" w:rsidRDefault="004A2E03">
            <w:pPr>
              <w:spacing w:after="120"/>
              <w:rPr>
                <w:szCs w:val="22"/>
              </w:rPr>
            </w:pPr>
            <w:r w:rsidRPr="00256727">
              <w:rPr>
                <w:szCs w:val="22"/>
              </w:rPr>
              <w:t xml:space="preserve">See </w:t>
            </w:r>
            <w:hyperlink w:anchor="_Estimating_emissions_of" w:history="1">
              <w:r w:rsidRPr="00256727">
                <w:rPr>
                  <w:rStyle w:val="Hyperlink"/>
                  <w:rFonts w:asciiTheme="minorHAnsi" w:hAnsiTheme="minorHAnsi"/>
                  <w:szCs w:val="22"/>
                </w:rPr>
                <w:t>chapter 5</w:t>
              </w:r>
            </w:hyperlink>
            <w:r w:rsidRPr="00256727">
              <w:rPr>
                <w:szCs w:val="22"/>
              </w:rPr>
              <w:t xml:space="preserve"> of this guideline and the separate guidance document.</w:t>
            </w:r>
          </w:p>
        </w:tc>
        <w:tc>
          <w:tcPr>
            <w:tcW w:w="8080" w:type="dxa"/>
            <w:tcBorders>
              <w:top w:val="single" w:sz="8" w:space="0" w:color="E8E8E8" w:themeColor="background2"/>
              <w:bottom w:val="single" w:sz="4" w:space="0" w:color="FCBA5C" w:themeColor="accent2"/>
            </w:tcBorders>
          </w:tcPr>
          <w:p w14:paraId="499FF71A" w14:textId="77777777" w:rsidR="004A2E03" w:rsidRPr="00253A6C" w:rsidRDefault="004A2E03">
            <w:pPr>
              <w:spacing w:after="120"/>
              <w:cnfStyle w:val="000000000000" w:firstRow="0" w:lastRow="0" w:firstColumn="0" w:lastColumn="0" w:oddVBand="0" w:evenVBand="0" w:oddHBand="0" w:evenHBand="0" w:firstRowFirstColumn="0" w:firstRowLastColumn="0" w:lastRowFirstColumn="0" w:lastRowLastColumn="0"/>
              <w:rPr>
                <w:szCs w:val="22"/>
              </w:rPr>
            </w:pPr>
            <w:r w:rsidRPr="00EE5638">
              <w:rPr>
                <w:szCs w:val="22"/>
              </w:rPr>
              <w:t>Emissions of sulphur hexafluoride (SF</w:t>
            </w:r>
            <w:r w:rsidRPr="00EE5638">
              <w:rPr>
                <w:szCs w:val="22"/>
                <w:vertAlign w:val="subscript"/>
              </w:rPr>
              <w:t>6</w:t>
            </w:r>
            <w:r w:rsidRPr="00EE5638">
              <w:rPr>
                <w:szCs w:val="22"/>
              </w:rPr>
              <w:t xml:space="preserve">) occur when the gas leaks from switch gear and circuit breaker equipment, which is widely used at facilities constituted by </w:t>
            </w:r>
            <w:r w:rsidRPr="00253A6C">
              <w:rPr>
                <w:szCs w:val="22"/>
              </w:rPr>
              <w:t>electricity transmission and distribution activities.</w:t>
            </w:r>
          </w:p>
          <w:p w14:paraId="18D789B9" w14:textId="175C8CE9" w:rsidR="004A2E03" w:rsidRPr="00253A6C" w:rsidRDefault="004A2E03">
            <w:pPr>
              <w:spacing w:after="120"/>
              <w:cnfStyle w:val="000000000000" w:firstRow="0" w:lastRow="0" w:firstColumn="0" w:lastColumn="0" w:oddVBand="0" w:evenVBand="0" w:oddHBand="0" w:evenHBand="0" w:firstRowFirstColumn="0" w:firstRowLastColumn="0" w:lastRowFirstColumn="0" w:lastRowLastColumn="0"/>
              <w:rPr>
                <w:szCs w:val="22"/>
              </w:rPr>
            </w:pPr>
            <w:r w:rsidRPr="00253A6C">
              <w:rPr>
                <w:szCs w:val="22"/>
              </w:rPr>
              <w:t>SF</w:t>
            </w:r>
            <w:r w:rsidRPr="00253A6C">
              <w:rPr>
                <w:szCs w:val="22"/>
                <w:vertAlign w:val="subscript"/>
              </w:rPr>
              <w:t>6</w:t>
            </w:r>
            <w:r w:rsidRPr="00253A6C">
              <w:rPr>
                <w:szCs w:val="22"/>
              </w:rPr>
              <w:t xml:space="preserve"> has a global warming potential of </w:t>
            </w:r>
            <w:r w:rsidRPr="000B3301">
              <w:rPr>
                <w:szCs w:val="22"/>
              </w:rPr>
              <w:t>2</w:t>
            </w:r>
            <w:r>
              <w:rPr>
                <w:szCs w:val="22"/>
              </w:rPr>
              <w:t>3</w:t>
            </w:r>
            <w:r w:rsidRPr="000B3301">
              <w:rPr>
                <w:szCs w:val="22"/>
              </w:rPr>
              <w:t>,</w:t>
            </w:r>
            <w:r>
              <w:rPr>
                <w:szCs w:val="22"/>
              </w:rPr>
              <w:t>5</w:t>
            </w:r>
            <w:r w:rsidRPr="000B3301">
              <w:rPr>
                <w:szCs w:val="22"/>
              </w:rPr>
              <w:t>00</w:t>
            </w:r>
            <w:r w:rsidR="008D5FA2">
              <w:rPr>
                <w:szCs w:val="22"/>
              </w:rPr>
              <w:t> </w:t>
            </w:r>
            <w:r w:rsidRPr="00253A6C">
              <w:rPr>
                <w:szCs w:val="22"/>
              </w:rPr>
              <w:t>t</w:t>
            </w:r>
            <w:r w:rsidR="008D5FA2">
              <w:rPr>
                <w:szCs w:val="22"/>
              </w:rPr>
              <w:t> </w:t>
            </w:r>
            <w:r w:rsidRPr="00253A6C">
              <w:rPr>
                <w:szCs w:val="22"/>
              </w:rPr>
              <w:t>CO</w:t>
            </w:r>
            <w:r w:rsidRPr="00253A6C">
              <w:rPr>
                <w:szCs w:val="22"/>
                <w:vertAlign w:val="subscript"/>
              </w:rPr>
              <w:t>2</w:t>
            </w:r>
            <w:r w:rsidRPr="00253A6C">
              <w:rPr>
                <w:szCs w:val="22"/>
              </w:rPr>
              <w:t>-e per t of SF</w:t>
            </w:r>
            <w:r w:rsidRPr="00253A6C">
              <w:rPr>
                <w:szCs w:val="22"/>
                <w:vertAlign w:val="subscript"/>
              </w:rPr>
              <w:t>6</w:t>
            </w:r>
            <w:r w:rsidRPr="00253A6C">
              <w:rPr>
                <w:szCs w:val="22"/>
              </w:rPr>
              <w:t>.</w:t>
            </w:r>
          </w:p>
          <w:p w14:paraId="077F30CD" w14:textId="2E3FE7BB" w:rsidR="004A2E03" w:rsidRPr="00C67339" w:rsidRDefault="00494FFC">
            <w:pPr>
              <w:spacing w:after="120"/>
              <w:cnfStyle w:val="000000000000" w:firstRow="0" w:lastRow="0" w:firstColumn="0" w:lastColumn="0" w:oddVBand="0" w:evenVBand="0" w:oddHBand="0" w:evenHBand="0" w:firstRowFirstColumn="0" w:firstRowLastColumn="0" w:lastRowFirstColumn="0" w:lastRowLastColumn="0"/>
            </w:pPr>
            <w:r>
              <w:t xml:space="preserve">The </w:t>
            </w:r>
            <w:r w:rsidR="1522B602" w:rsidRPr="07316941">
              <w:t>CER</w:t>
            </w:r>
            <w:r w:rsidR="004A2E03" w:rsidRPr="07316941">
              <w:t xml:space="preserve"> publishes separate guidance for </w:t>
            </w:r>
            <w:hyperlink r:id="rId32" w:tooltip="A link to the Reporting Hydrofluorocarbons and Sulphur Hexaflouride gases guide the Clean Energy Regulator website" w:history="1">
              <w:r w:rsidR="0000408D" w:rsidRPr="0000408D">
                <w:rPr>
                  <w:rStyle w:val="Hyperlink"/>
                  <w:rFonts w:asciiTheme="minorHAnsi" w:hAnsiTheme="minorHAnsi"/>
                </w:rPr>
                <w:t>r</w:t>
              </w:r>
              <w:r w:rsidR="00317536" w:rsidRPr="0000408D">
                <w:rPr>
                  <w:rStyle w:val="Hyperlink"/>
                  <w:rFonts w:asciiTheme="minorHAnsi" w:hAnsiTheme="minorHAnsi"/>
                </w:rPr>
                <w:t>eporting hydrofluorocarbons and sulphur hexafluoride gases</w:t>
              </w:r>
            </w:hyperlink>
            <w:r w:rsidR="004B0870">
              <w:rPr>
                <w:rFonts w:ascii="ZWAdobeF" w:hAnsi="ZWAdobeF" w:cs="ZWAdobeF"/>
                <w:color w:val="auto"/>
                <w:sz w:val="2"/>
                <w:szCs w:val="2"/>
              </w:rPr>
              <w:t>11F</w:t>
            </w:r>
            <w:r w:rsidR="004A2E03">
              <w:rPr>
                <w:rStyle w:val="FootnoteReference"/>
                <w:color w:val="005874"/>
                <w:u w:val="single"/>
              </w:rPr>
              <w:footnoteReference w:id="13"/>
            </w:r>
            <w:r w:rsidR="004A2E03">
              <w:rPr>
                <w:rStyle w:val="Hyperlink"/>
                <w:rFonts w:asciiTheme="minorHAnsi" w:hAnsiTheme="minorHAnsi"/>
              </w:rPr>
              <w:t>.</w:t>
            </w:r>
          </w:p>
        </w:tc>
      </w:tr>
    </w:tbl>
    <w:p w14:paraId="038D9D51" w14:textId="77777777" w:rsidR="004A2E03" w:rsidRPr="00FF338C" w:rsidRDefault="004A2E03" w:rsidP="004A2E03"/>
    <w:p w14:paraId="6AD8E931" w14:textId="08DB838A" w:rsidR="004A2E03" w:rsidRPr="00FF338C" w:rsidRDefault="004A2E03" w:rsidP="004A2E03">
      <w:bookmarkStart w:id="56" w:name="_Ref511655729"/>
      <w:r w:rsidRPr="00FF338C">
        <w:t>Other reportable scope 1 emissions sources may occur</w:t>
      </w:r>
      <w:r>
        <w:t xml:space="preserve"> </w:t>
      </w:r>
      <w:r w:rsidR="002B4AA1" w:rsidRPr="00FF338C">
        <w:t xml:space="preserve">at </w:t>
      </w:r>
      <w:r w:rsidR="0081135B">
        <w:t xml:space="preserve">a facility that generates </w:t>
      </w:r>
      <w:r w:rsidR="002B4AA1" w:rsidRPr="00FF338C">
        <w:t>electricity</w:t>
      </w:r>
      <w:r w:rsidR="0081135B">
        <w:t>.</w:t>
      </w:r>
      <w:r w:rsidR="002B4AA1" w:rsidRPr="00FF338C">
        <w:t xml:space="preserve"> </w:t>
      </w:r>
      <w:r>
        <w:t xml:space="preserve"> </w:t>
      </w:r>
      <w:r w:rsidR="002B4AA1">
        <w:t>H</w:t>
      </w:r>
      <w:r>
        <w:t>owever</w:t>
      </w:r>
      <w:r w:rsidR="00675794">
        <w:t>,</w:t>
      </w:r>
      <w:r>
        <w:t xml:space="preserve"> t</w:t>
      </w:r>
      <w:r w:rsidRPr="00FF338C">
        <w:t xml:space="preserve">his guideline </w:t>
      </w:r>
      <w:r w:rsidR="002B4AA1">
        <w:t xml:space="preserve">will </w:t>
      </w:r>
      <w:r w:rsidR="00675794">
        <w:t>only</w:t>
      </w:r>
      <w:r w:rsidRPr="00FF338C">
        <w:t xml:space="preserve"> cover emissions sources </w:t>
      </w:r>
      <w:r w:rsidR="00A54A0A" w:rsidRPr="00131265">
        <w:t>commonly</w:t>
      </w:r>
      <w:r w:rsidR="00A54A0A">
        <w:t xml:space="preserve"> associated with electricity generation</w:t>
      </w:r>
      <w:r w:rsidRPr="00FF338C">
        <w:t>.</w:t>
      </w:r>
    </w:p>
    <w:p w14:paraId="1E76E28E" w14:textId="77777777" w:rsidR="004A2E03" w:rsidRPr="00FF338C" w:rsidRDefault="004A2E03" w:rsidP="004A2E03">
      <w:pPr>
        <w:pStyle w:val="Heading4"/>
      </w:pPr>
      <w:bookmarkStart w:id="57" w:name="_Toc526867685"/>
      <w:bookmarkStart w:id="58" w:name="_Toc526869727"/>
      <w:bookmarkStart w:id="59" w:name="_Toc205461429"/>
      <w:r w:rsidRPr="00FF338C">
        <w:t>Identifying reportable scope 1 emissions sources</w:t>
      </w:r>
      <w:bookmarkEnd w:id="57"/>
      <w:bookmarkEnd w:id="58"/>
      <w:bookmarkEnd w:id="59"/>
    </w:p>
    <w:p w14:paraId="53B7ABFF" w14:textId="7FA206BC" w:rsidR="004A2E03" w:rsidRDefault="004A2E03" w:rsidP="004A2E03">
      <w:r w:rsidRPr="00FF338C">
        <w:t xml:space="preserve">Emissions from the sources listed in section 1.10 of the </w:t>
      </w:r>
      <w:r>
        <w:t>NGER Measurement Determination</w:t>
      </w:r>
      <w:r w:rsidRPr="00FF338C">
        <w:t xml:space="preserve"> are required to be estimated and reported for the facilities at which they occur and for which a method exists in the </w:t>
      </w:r>
      <w:r>
        <w:t>NGER Measurement Determination</w:t>
      </w:r>
      <w:r w:rsidRPr="00FF338C">
        <w:t xml:space="preserve">. Reporters </w:t>
      </w:r>
      <w:r>
        <w:t>must</w:t>
      </w:r>
      <w:r w:rsidRPr="00FF338C">
        <w:t xml:space="preserve"> </w:t>
      </w:r>
      <w:r>
        <w:t xml:space="preserve">identify and document </w:t>
      </w:r>
      <w:r w:rsidRPr="00FF338C">
        <w:t>all emissions sources occurring at reportable facilities</w:t>
      </w:r>
      <w:r>
        <w:t>.</w:t>
      </w:r>
    </w:p>
    <w:p w14:paraId="0BCAE9EF" w14:textId="5D128FF7" w:rsidR="007E0E89" w:rsidRPr="00FF338C" w:rsidRDefault="007E0E89" w:rsidP="004A2E03">
      <w:r>
        <w:t>However</w:t>
      </w:r>
      <w:r w:rsidRPr="00FF338C">
        <w:t xml:space="preserve">, </w:t>
      </w:r>
      <w:r w:rsidR="00DB3469">
        <w:t xml:space="preserve">if there is no source or </w:t>
      </w:r>
      <w:r w:rsidR="009B58BD">
        <w:t>method</w:t>
      </w:r>
      <w:r w:rsidR="00681F7A">
        <w:t xml:space="preserve"> in NGE</w:t>
      </w:r>
      <w:r w:rsidR="00751C63">
        <w:t xml:space="preserve">R, the emissions </w:t>
      </w:r>
      <w:r w:rsidR="00D306FE">
        <w:t xml:space="preserve">are not reportable. For example, </w:t>
      </w:r>
      <w:r w:rsidRPr="00FF338C">
        <w:t xml:space="preserve">a gas fired power station may engage in occasional flaring or venting of fuels, </w:t>
      </w:r>
      <w:r w:rsidR="00BD7933">
        <w:t xml:space="preserve">but as there is </w:t>
      </w:r>
      <w:r w:rsidRPr="00FF338C">
        <w:t xml:space="preserve">no source or method in </w:t>
      </w:r>
      <w:r>
        <w:t xml:space="preserve">NGER </w:t>
      </w:r>
      <w:r w:rsidRPr="00FF338C">
        <w:t>to estimate these emissions</w:t>
      </w:r>
      <w:r w:rsidR="00A027A0">
        <w:t>, they are not reportable</w:t>
      </w:r>
      <w:r w:rsidRPr="00FF338C">
        <w:t>.</w:t>
      </w:r>
    </w:p>
    <w:bookmarkEnd w:id="56"/>
    <w:p w14:paraId="484E30D3" w14:textId="77777777" w:rsidR="004A2E03" w:rsidRPr="00FF338C" w:rsidRDefault="004A2E03" w:rsidP="004A2E03">
      <w:r w:rsidRPr="00FF338C">
        <w:rPr>
          <w:rFonts w:eastAsiaTheme="minorHAnsi"/>
        </w:rPr>
        <w:t xml:space="preserve">Additionally, separate occurrences of an emissions source can be identified in accordance with section 1.9B of the </w:t>
      </w:r>
      <w:r>
        <w:rPr>
          <w:rFonts w:eastAsiaTheme="minorHAnsi"/>
        </w:rPr>
        <w:t>NGER Measurement Determination</w:t>
      </w:r>
      <w:r w:rsidRPr="00FF338C">
        <w:rPr>
          <w:rFonts w:eastAsiaTheme="minorHAnsi"/>
        </w:rPr>
        <w:t>. This allows</w:t>
      </w:r>
      <w:r w:rsidRPr="00FF338C" w:rsidDel="00B11246">
        <w:rPr>
          <w:rFonts w:eastAsiaTheme="minorHAnsi"/>
        </w:rPr>
        <w:t xml:space="preserve"> </w:t>
      </w:r>
      <w:r w:rsidRPr="00FF338C">
        <w:t>reporters flexibility to measure, estimate and report separate occurrences of a source differently where appropriate.</w:t>
      </w:r>
    </w:p>
    <w:p w14:paraId="1F6E496A" w14:textId="77777777" w:rsidR="00583144" w:rsidRDefault="00583144">
      <w:pPr>
        <w:spacing w:after="0"/>
        <w:rPr>
          <w:rFonts w:asciiTheme="majorHAnsi" w:eastAsia="Times New Roman" w:hAnsiTheme="majorHAnsi"/>
          <w:b/>
          <w:bCs/>
          <w:sz w:val="32"/>
          <w:szCs w:val="32"/>
        </w:rPr>
      </w:pPr>
      <w:bookmarkStart w:id="60" w:name="_Toc106705751"/>
      <w:r>
        <w:br w:type="page"/>
      </w:r>
    </w:p>
    <w:p w14:paraId="7AB3EAA9" w14:textId="3C04CE62" w:rsidR="004A2E03" w:rsidRPr="00FF338C" w:rsidRDefault="004A2E03" w:rsidP="00DB4B56">
      <w:pPr>
        <w:pStyle w:val="Heading2"/>
        <w:numPr>
          <w:ilvl w:val="1"/>
          <w:numId w:val="3"/>
        </w:numPr>
        <w:ind w:left="426" w:hanging="426"/>
      </w:pPr>
      <w:bookmarkStart w:id="61" w:name="_Toc205461430"/>
      <w:r>
        <w:t>Methods for estimating emissions</w:t>
      </w:r>
      <w:bookmarkEnd w:id="60"/>
      <w:bookmarkEnd w:id="61"/>
    </w:p>
    <w:p w14:paraId="28997FBC" w14:textId="53BF5A77" w:rsidR="00C6257C" w:rsidRDefault="004A2E03" w:rsidP="00583144">
      <w:pPr>
        <w:rPr>
          <w:rFonts w:ascii="Calibri Light" w:eastAsiaTheme="minorHAnsi" w:hAnsi="Calibri Light" w:cs="Calibri Light"/>
          <w:i/>
          <w:iCs/>
          <w:sz w:val="18"/>
          <w:szCs w:val="18"/>
        </w:rPr>
      </w:pPr>
      <w:r>
        <w:t xml:space="preserve">Available </w:t>
      </w:r>
      <w:r w:rsidRPr="00FF338C">
        <w:t xml:space="preserve">emissions estimation methods differ by emissions source, activity, fuel type and greenhouse gas. </w:t>
      </w:r>
      <w:r w:rsidRPr="00FF338C">
        <w:rPr>
          <w:color w:val="auto"/>
        </w:rPr>
        <w:t xml:space="preserve">Up to </w:t>
      </w:r>
      <w:r w:rsidR="001848D4">
        <w:rPr>
          <w:color w:val="auto"/>
        </w:rPr>
        <w:t>4</w:t>
      </w:r>
      <w:r>
        <w:rPr>
          <w:color w:val="auto"/>
        </w:rPr>
        <w:t xml:space="preserve"> alternative</w:t>
      </w:r>
      <w:r w:rsidRPr="00FF338C">
        <w:rPr>
          <w:color w:val="auto"/>
        </w:rPr>
        <w:t xml:space="preserve"> methods for estimating emissions are provided in the </w:t>
      </w:r>
      <w:r>
        <w:rPr>
          <w:color w:val="auto"/>
        </w:rPr>
        <w:t>NGER Measurement Determination</w:t>
      </w:r>
      <w:r w:rsidRPr="00FF338C">
        <w:rPr>
          <w:color w:val="auto"/>
        </w:rPr>
        <w:t xml:space="preserve">, as detailed </w:t>
      </w:r>
      <w:r>
        <w:rPr>
          <w:color w:val="auto"/>
        </w:rPr>
        <w:t>in</w:t>
      </w:r>
      <w:r w:rsidR="002F66C4">
        <w:rPr>
          <w:color w:val="auto"/>
        </w:rPr>
        <w:t xml:space="preserve"> </w:t>
      </w:r>
      <w:r w:rsidR="002F66C4">
        <w:rPr>
          <w:color w:val="auto"/>
        </w:rPr>
        <w:fldChar w:fldCharType="begin" w:fldLock="1"/>
      </w:r>
      <w:r w:rsidR="002F66C4">
        <w:rPr>
          <w:color w:val="auto"/>
        </w:rPr>
        <w:instrText xml:space="preserve"> REF _Ref199335554 </w:instrText>
      </w:r>
      <w:r w:rsidR="002F66C4">
        <w:rPr>
          <w:color w:val="auto"/>
        </w:rPr>
        <w:fldChar w:fldCharType="separate"/>
      </w:r>
      <w:r w:rsidR="002F66C4">
        <w:t xml:space="preserve">Table </w:t>
      </w:r>
      <w:r w:rsidR="002F66C4">
        <w:rPr>
          <w:noProof/>
        </w:rPr>
        <w:t>3</w:t>
      </w:r>
      <w:r w:rsidR="002F66C4">
        <w:rPr>
          <w:color w:val="auto"/>
        </w:rPr>
        <w:fldChar w:fldCharType="end"/>
      </w:r>
      <w:r w:rsidRPr="00FF338C">
        <w:rPr>
          <w:color w:val="auto"/>
        </w:rPr>
        <w:t>.</w:t>
      </w:r>
      <w:r w:rsidR="00405629">
        <w:rPr>
          <w:color w:val="auto"/>
        </w:rPr>
        <w:t xml:space="preserve"> </w:t>
      </w:r>
      <w:bookmarkStart w:id="62" w:name="_Ref140142784"/>
      <w:bookmarkStart w:id="63" w:name="_Ref511381718"/>
    </w:p>
    <w:p w14:paraId="43518CBC" w14:textId="5B6A4C49" w:rsidR="00D932DA" w:rsidRDefault="00D932DA" w:rsidP="00D2141E">
      <w:pPr>
        <w:pStyle w:val="Caption"/>
        <w:keepNext/>
      </w:pPr>
      <w:bookmarkStart w:id="64" w:name="_Ref199335554"/>
      <w:bookmarkEnd w:id="62"/>
      <w:bookmarkEnd w:id="63"/>
      <w:r>
        <w:t xml:space="preserve">Table </w:t>
      </w:r>
      <w:r>
        <w:fldChar w:fldCharType="begin"/>
      </w:r>
      <w:r>
        <w:instrText xml:space="preserve"> SEQ Table \* ARABIC </w:instrText>
      </w:r>
      <w:r>
        <w:fldChar w:fldCharType="separate"/>
      </w:r>
      <w:r w:rsidR="004B0870">
        <w:rPr>
          <w:noProof/>
        </w:rPr>
        <w:t>3</w:t>
      </w:r>
      <w:r>
        <w:fldChar w:fldCharType="end"/>
      </w:r>
      <w:bookmarkEnd w:id="64"/>
      <w:r>
        <w:t xml:space="preserve"> </w:t>
      </w:r>
      <w:r w:rsidRPr="00FF338C">
        <w:t>– General estimation methods available in NGER</w:t>
      </w:r>
      <w:r>
        <w:t>.</w:t>
      </w:r>
    </w:p>
    <w:tbl>
      <w:tblPr>
        <w:tblStyle w:val="CERTable"/>
        <w:tblW w:w="5000" w:type="pct"/>
        <w:tblLook w:val="0420" w:firstRow="1" w:lastRow="0" w:firstColumn="0" w:lastColumn="0" w:noHBand="0" w:noVBand="1"/>
      </w:tblPr>
      <w:tblGrid>
        <w:gridCol w:w="2562"/>
        <w:gridCol w:w="2392"/>
        <w:gridCol w:w="2390"/>
        <w:gridCol w:w="2396"/>
      </w:tblGrid>
      <w:tr w:rsidR="00E8658A" w:rsidRPr="00C64711" w14:paraId="259DFB6C" w14:textId="77777777" w:rsidTr="009A0C68">
        <w:trPr>
          <w:cnfStyle w:val="100000000000" w:firstRow="1" w:lastRow="0" w:firstColumn="0" w:lastColumn="0" w:oddVBand="0" w:evenVBand="0" w:oddHBand="0" w:evenHBand="0" w:firstRowFirstColumn="0" w:firstRowLastColumn="0" w:lastRowFirstColumn="0" w:lastRowLastColumn="0"/>
          <w:tblHeader/>
        </w:trPr>
        <w:tc>
          <w:tcPr>
            <w:tcW w:w="1315" w:type="pct"/>
          </w:tcPr>
          <w:p w14:paraId="30D52BD0" w14:textId="7DEACE90" w:rsidR="004A2E03" w:rsidRPr="00C67339" w:rsidRDefault="004A2E03">
            <w:pPr>
              <w:pStyle w:val="Body"/>
              <w:ind w:left="0"/>
              <w:rPr>
                <w:rFonts w:asciiTheme="minorHAnsi" w:hAnsiTheme="minorHAnsi"/>
                <w:sz w:val="22"/>
                <w:szCs w:val="22"/>
              </w:rPr>
            </w:pPr>
            <w:r w:rsidRPr="00C67339">
              <w:rPr>
                <w:rFonts w:asciiTheme="minorHAnsi" w:hAnsiTheme="minorHAnsi"/>
                <w:sz w:val="22"/>
                <w:szCs w:val="22"/>
              </w:rPr>
              <w:t>Method 1</w:t>
            </w:r>
          </w:p>
        </w:tc>
        <w:tc>
          <w:tcPr>
            <w:tcW w:w="1228" w:type="pct"/>
          </w:tcPr>
          <w:p w14:paraId="7CFE9F27" w14:textId="77777777" w:rsidR="004A2E03" w:rsidRPr="00C67339" w:rsidRDefault="004A2E03">
            <w:pPr>
              <w:pStyle w:val="Body"/>
              <w:ind w:left="0"/>
              <w:rPr>
                <w:rFonts w:asciiTheme="minorHAnsi" w:hAnsiTheme="minorHAnsi"/>
                <w:sz w:val="22"/>
                <w:szCs w:val="22"/>
              </w:rPr>
            </w:pPr>
            <w:r w:rsidRPr="00C67339">
              <w:rPr>
                <w:rFonts w:asciiTheme="minorHAnsi" w:hAnsiTheme="minorHAnsi"/>
                <w:sz w:val="22"/>
                <w:szCs w:val="22"/>
              </w:rPr>
              <w:t>Method 2</w:t>
            </w:r>
          </w:p>
        </w:tc>
        <w:tc>
          <w:tcPr>
            <w:tcW w:w="1227" w:type="pct"/>
          </w:tcPr>
          <w:p w14:paraId="4F2C9E24" w14:textId="77777777" w:rsidR="004A2E03" w:rsidRPr="00C67339" w:rsidRDefault="004A2E03">
            <w:pPr>
              <w:pStyle w:val="Body"/>
              <w:ind w:left="0"/>
              <w:rPr>
                <w:rFonts w:asciiTheme="minorHAnsi" w:hAnsiTheme="minorHAnsi"/>
                <w:sz w:val="22"/>
                <w:szCs w:val="22"/>
              </w:rPr>
            </w:pPr>
            <w:r w:rsidRPr="00C67339">
              <w:rPr>
                <w:rFonts w:asciiTheme="minorHAnsi" w:hAnsiTheme="minorHAnsi"/>
                <w:sz w:val="22"/>
                <w:szCs w:val="22"/>
              </w:rPr>
              <w:t>Method 3</w:t>
            </w:r>
          </w:p>
        </w:tc>
        <w:tc>
          <w:tcPr>
            <w:tcW w:w="1230" w:type="pct"/>
          </w:tcPr>
          <w:p w14:paraId="7DBBB865" w14:textId="77777777" w:rsidR="004A2E03" w:rsidRPr="00C67339" w:rsidRDefault="004A2E03">
            <w:pPr>
              <w:pStyle w:val="Body"/>
              <w:ind w:left="0"/>
              <w:rPr>
                <w:rFonts w:asciiTheme="minorHAnsi" w:hAnsiTheme="minorHAnsi"/>
                <w:sz w:val="22"/>
                <w:szCs w:val="22"/>
              </w:rPr>
            </w:pPr>
            <w:r w:rsidRPr="00C67339">
              <w:rPr>
                <w:rFonts w:asciiTheme="minorHAnsi" w:hAnsiTheme="minorHAnsi"/>
                <w:sz w:val="22"/>
                <w:szCs w:val="22"/>
              </w:rPr>
              <w:t>Method 4</w:t>
            </w:r>
          </w:p>
        </w:tc>
      </w:tr>
      <w:tr w:rsidR="004A2E03" w:rsidRPr="00C64711" w14:paraId="75901149" w14:textId="77777777" w:rsidTr="008E6B32">
        <w:trPr>
          <w:cnfStyle w:val="000000100000" w:firstRow="0" w:lastRow="0" w:firstColumn="0" w:lastColumn="0" w:oddVBand="0" w:evenVBand="0" w:oddHBand="1" w:evenHBand="0" w:firstRowFirstColumn="0" w:firstRowLastColumn="0" w:lastRowFirstColumn="0" w:lastRowLastColumn="0"/>
        </w:trPr>
        <w:tc>
          <w:tcPr>
            <w:tcW w:w="1315" w:type="pct"/>
            <w:shd w:val="clear" w:color="auto" w:fill="F2F2F2" w:themeFill="background1" w:themeFillShade="F2"/>
          </w:tcPr>
          <w:p w14:paraId="2EE740A7" w14:textId="6A9F93BA" w:rsidR="004A2E03" w:rsidRPr="00642427" w:rsidRDefault="004A2E03" w:rsidP="00D2141E">
            <w:pPr>
              <w:pStyle w:val="Sub-para"/>
              <w:ind w:left="0" w:firstLine="0"/>
              <w:rPr>
                <w:b/>
              </w:rPr>
            </w:pPr>
            <w:r w:rsidRPr="00620728">
              <w:rPr>
                <w:bCs/>
              </w:rPr>
              <w:t xml:space="preserve">Use of default </w:t>
            </w:r>
            <w:r w:rsidRPr="004F2B48">
              <w:rPr>
                <w:bCs/>
              </w:rPr>
              <w:t>emission factors for fuel types and emissions sources</w:t>
            </w:r>
          </w:p>
        </w:tc>
        <w:tc>
          <w:tcPr>
            <w:tcW w:w="1228" w:type="pct"/>
          </w:tcPr>
          <w:p w14:paraId="625ECAA4" w14:textId="38A25D7E" w:rsidR="004A2E03" w:rsidRPr="00BB2DE7" w:rsidRDefault="004A2E03" w:rsidP="00D2141E">
            <w:pPr>
              <w:pStyle w:val="Sub-para"/>
              <w:ind w:left="0" w:firstLine="0"/>
            </w:pPr>
            <w:r w:rsidRPr="000845CB">
              <w:t>Use of industry sampling methods and Australian or i</w:t>
            </w:r>
            <w:r w:rsidRPr="00CD2EA4">
              <w:t>nternational standards for analysis of fuels and raw materials</w:t>
            </w:r>
            <w:r w:rsidR="299C3D25">
              <w:t xml:space="preserve"> to determine emission factor</w:t>
            </w:r>
            <w:r w:rsidR="7A5A8758">
              <w:t>.</w:t>
            </w:r>
          </w:p>
        </w:tc>
        <w:tc>
          <w:tcPr>
            <w:tcW w:w="1227" w:type="pct"/>
          </w:tcPr>
          <w:p w14:paraId="77715F80" w14:textId="1B4E983B" w:rsidR="004A2E03" w:rsidRPr="00CD2EA4" w:rsidRDefault="004A2E03" w:rsidP="00D2141E">
            <w:pPr>
              <w:pStyle w:val="Sub-para"/>
              <w:ind w:left="0" w:firstLine="0"/>
            </w:pPr>
            <w:r w:rsidRPr="000845CB">
              <w:t>Use of Australian or international standards for sampling and analysis of fuels and raw m</w:t>
            </w:r>
            <w:r w:rsidRPr="00CD2EA4">
              <w:t>aterials</w:t>
            </w:r>
            <w:r w:rsidR="0FE749C0">
              <w:t xml:space="preserve"> to determine </w:t>
            </w:r>
            <w:r w:rsidR="298BA264">
              <w:t>emission factor</w:t>
            </w:r>
            <w:r>
              <w:t>.</w:t>
            </w:r>
          </w:p>
        </w:tc>
        <w:tc>
          <w:tcPr>
            <w:tcW w:w="1230" w:type="pct"/>
          </w:tcPr>
          <w:p w14:paraId="175D68F4" w14:textId="77777777" w:rsidR="004A2E03" w:rsidRPr="00CD2EA4" w:rsidRDefault="004A2E03" w:rsidP="00D2141E">
            <w:pPr>
              <w:pStyle w:val="Sub-para"/>
              <w:ind w:left="0" w:firstLine="0"/>
            </w:pPr>
            <w:r w:rsidRPr="000845CB">
              <w:t xml:space="preserve">Use of </w:t>
            </w:r>
            <w:r w:rsidRPr="00BE04C1">
              <w:t>direct measurement of emissions released from the source</w:t>
            </w:r>
          </w:p>
        </w:tc>
      </w:tr>
      <w:tr w:rsidR="004A2E03" w:rsidRPr="00C64711" w14:paraId="5DDD8D99" w14:textId="77777777" w:rsidTr="008E6B32">
        <w:trPr>
          <w:cnfStyle w:val="000000010000" w:firstRow="0" w:lastRow="0" w:firstColumn="0" w:lastColumn="0" w:oddVBand="0" w:evenVBand="0" w:oddHBand="0" w:evenHBand="1" w:firstRowFirstColumn="0" w:firstRowLastColumn="0" w:lastRowFirstColumn="0" w:lastRowLastColumn="0"/>
        </w:trPr>
        <w:tc>
          <w:tcPr>
            <w:tcW w:w="1315" w:type="pct"/>
            <w:shd w:val="clear" w:color="auto" w:fill="F2F2F2" w:themeFill="background1" w:themeFillShade="F2"/>
          </w:tcPr>
          <w:p w14:paraId="32F403A6" w14:textId="13E1E0AC" w:rsidR="004A2E03" w:rsidRPr="00642427" w:rsidRDefault="004A2E03">
            <w:pPr>
              <w:pStyle w:val="Sub-para"/>
              <w:ind w:left="0" w:firstLine="0"/>
              <w:rPr>
                <w:b/>
              </w:rPr>
            </w:pPr>
            <w:r w:rsidRPr="00580869">
              <w:rPr>
                <w:bCs/>
              </w:rPr>
              <w:t xml:space="preserve">Useful when emission source is </w:t>
            </w:r>
            <w:proofErr w:type="gramStart"/>
            <w:r w:rsidRPr="00580869">
              <w:rPr>
                <w:bCs/>
              </w:rPr>
              <w:t>fairly homogenous</w:t>
            </w:r>
            <w:proofErr w:type="gramEnd"/>
            <w:r w:rsidRPr="00AC6CEC">
              <w:rPr>
                <w:bCs/>
              </w:rPr>
              <w:t xml:space="preserve">, </w:t>
            </w:r>
            <w:r w:rsidRPr="009924F4">
              <w:rPr>
                <w:bCs/>
              </w:rPr>
              <w:t>for example</w:t>
            </w:r>
            <w:r w:rsidR="005A6D35" w:rsidRPr="00033F1A">
              <w:rPr>
                <w:bCs/>
              </w:rPr>
              <w:t>,</w:t>
            </w:r>
            <w:r w:rsidRPr="009924F4">
              <w:rPr>
                <w:bCs/>
              </w:rPr>
              <w:t xml:space="preserve"> liquid fuels</w:t>
            </w:r>
          </w:p>
        </w:tc>
        <w:tc>
          <w:tcPr>
            <w:tcW w:w="1228" w:type="pct"/>
          </w:tcPr>
          <w:p w14:paraId="563CC0F5" w14:textId="77777777" w:rsidR="004A2E03" w:rsidRPr="00BB2DE7" w:rsidRDefault="004A2E03">
            <w:pPr>
              <w:pStyle w:val="Sub-para"/>
              <w:ind w:left="0" w:firstLine="0"/>
            </w:pPr>
            <w:r w:rsidRPr="006046BA">
              <w:t>Useful when</w:t>
            </w:r>
            <w:r w:rsidRPr="000845CB">
              <w:t xml:space="preserve"> fuels exhibit some variability in key qualities</w:t>
            </w:r>
            <w:r>
              <w:t>,</w:t>
            </w:r>
            <w:r w:rsidRPr="000845CB">
              <w:t xml:space="preserve"> </w:t>
            </w:r>
            <w:r w:rsidRPr="00CD2EA4">
              <w:t>for example</w:t>
            </w:r>
            <w:r w:rsidRPr="00BB2DE7">
              <w:t xml:space="preserve"> gaseous fuels</w:t>
            </w:r>
            <w:r>
              <w:t>.</w:t>
            </w:r>
          </w:p>
        </w:tc>
        <w:tc>
          <w:tcPr>
            <w:tcW w:w="1227" w:type="pct"/>
          </w:tcPr>
          <w:p w14:paraId="73C3660B" w14:textId="77777777" w:rsidR="004A2E03" w:rsidRPr="00BB2DE7" w:rsidRDefault="004A2E03">
            <w:pPr>
              <w:pStyle w:val="Sub-para"/>
              <w:ind w:left="0" w:firstLine="0"/>
            </w:pPr>
            <w:r w:rsidRPr="006046BA">
              <w:t>Useful when</w:t>
            </w:r>
            <w:r w:rsidRPr="000845CB">
              <w:t xml:space="preserve"> fuels exhibit some variability in key qualities</w:t>
            </w:r>
            <w:r>
              <w:t>,</w:t>
            </w:r>
            <w:r w:rsidRPr="000845CB">
              <w:t xml:space="preserve"> </w:t>
            </w:r>
            <w:r w:rsidRPr="00CD2EA4">
              <w:t>for example,</w:t>
            </w:r>
            <w:r w:rsidRPr="00BB2DE7">
              <w:t xml:space="preserve"> gaseous fuels</w:t>
            </w:r>
            <w:r>
              <w:t>.</w:t>
            </w:r>
          </w:p>
        </w:tc>
        <w:tc>
          <w:tcPr>
            <w:tcW w:w="1230" w:type="pct"/>
          </w:tcPr>
          <w:p w14:paraId="2A2EBB8B" w14:textId="77777777" w:rsidR="004A2E03" w:rsidRPr="006138F0" w:rsidRDefault="004A2E03">
            <w:pPr>
              <w:pStyle w:val="Sub-para"/>
              <w:ind w:left="0" w:firstLine="0"/>
            </w:pPr>
            <w:r w:rsidRPr="006046BA">
              <w:t>Useful when</w:t>
            </w:r>
            <w:r w:rsidRPr="000845CB">
              <w:t xml:space="preserve"> a high level of accuracy is desired</w:t>
            </w:r>
            <w:r w:rsidRPr="00CD2EA4">
              <w:t xml:space="preserve">, </w:t>
            </w:r>
            <w:r w:rsidRPr="00BB2DE7">
              <w:t>for example for large emission sources</w:t>
            </w:r>
            <w:r>
              <w:t>.</w:t>
            </w:r>
          </w:p>
        </w:tc>
      </w:tr>
      <w:tr w:rsidR="004A2E03" w:rsidRPr="00C64711" w14:paraId="4164B65C" w14:textId="77777777" w:rsidTr="008E6B32">
        <w:trPr>
          <w:cnfStyle w:val="000000100000" w:firstRow="0" w:lastRow="0" w:firstColumn="0" w:lastColumn="0" w:oddVBand="0" w:evenVBand="0" w:oddHBand="1" w:evenHBand="0" w:firstRowFirstColumn="0" w:firstRowLastColumn="0" w:lastRowFirstColumn="0" w:lastRowLastColumn="0"/>
        </w:trPr>
        <w:tc>
          <w:tcPr>
            <w:tcW w:w="5000" w:type="pct"/>
            <w:gridSpan w:val="4"/>
            <w:tcBorders>
              <w:bottom w:val="single" w:sz="4" w:space="0" w:color="FCBA5C" w:themeColor="accent2"/>
            </w:tcBorders>
          </w:tcPr>
          <w:p w14:paraId="178E1913" w14:textId="77777777" w:rsidR="004A2E03" w:rsidRPr="00C67339" w:rsidRDefault="004A2E03">
            <w:pPr>
              <w:pStyle w:val="Body"/>
              <w:ind w:left="0"/>
              <w:rPr>
                <w:rFonts w:asciiTheme="minorHAnsi" w:hAnsiTheme="minorHAnsi"/>
                <w:sz w:val="22"/>
                <w:szCs w:val="22"/>
              </w:rPr>
            </w:pPr>
            <w:r w:rsidRPr="00C67339">
              <w:rPr>
                <w:noProof/>
                <w:sz w:val="22"/>
                <w:szCs w:val="22"/>
                <w:lang w:val="en-AU" w:eastAsia="en-AU"/>
              </w:rPr>
              <mc:AlternateContent>
                <mc:Choice Requires="wpg">
                  <w:drawing>
                    <wp:anchor distT="0" distB="0" distL="114300" distR="114300" simplePos="0" relativeHeight="251658244" behindDoc="0" locked="0" layoutInCell="1" allowOverlap="1" wp14:anchorId="7F30F4DB" wp14:editId="57722485">
                      <wp:simplePos x="0" y="0"/>
                      <wp:positionH relativeFrom="column">
                        <wp:posOffset>-6350</wp:posOffset>
                      </wp:positionH>
                      <wp:positionV relativeFrom="paragraph">
                        <wp:posOffset>4445</wp:posOffset>
                      </wp:positionV>
                      <wp:extent cx="6086475" cy="343535"/>
                      <wp:effectExtent l="0" t="0" r="0" b="0"/>
                      <wp:wrapNone/>
                      <wp:docPr id="3" name="Group 3" descr="P330C13T4#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86475" cy="343535"/>
                                <a:chOff x="0" y="38135"/>
                                <a:chExt cx="5666377" cy="343857"/>
                              </a:xfrm>
                            </wpg:grpSpPr>
                            <wps:wsp>
                              <wps:cNvPr id="5" name="Text Box 5"/>
                              <wps:cNvSpPr txBox="1"/>
                              <wps:spPr>
                                <a:xfrm>
                                  <a:off x="0" y="38135"/>
                                  <a:ext cx="1698171" cy="343857"/>
                                </a:xfrm>
                                <a:prstGeom prst="rect">
                                  <a:avLst/>
                                </a:prstGeom>
                                <a:noFill/>
                                <a:ln w="6350">
                                  <a:noFill/>
                                </a:ln>
                              </wps:spPr>
                              <wps:txbx>
                                <w:txbxContent>
                                  <w:p w14:paraId="3C0DB44D" w14:textId="77777777" w:rsidR="004A2E03" w:rsidRPr="00DB463F" w:rsidRDefault="004A2E03" w:rsidP="004A2E03">
                                    <w:pPr>
                                      <w:ind w:left="-142"/>
                                      <w:rPr>
                                        <w:b/>
                                      </w:rPr>
                                    </w:pPr>
                                    <w:r>
                                      <w:rPr>
                                        <w:b/>
                                      </w:rPr>
                                      <w:t>Generally least</w:t>
                                    </w:r>
                                    <w:r w:rsidRPr="00DB463F">
                                      <w:rPr>
                                        <w:b/>
                                      </w:rPr>
                                      <w:t xml:space="preserve"> accurate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3918857" y="45763"/>
                                  <a:ext cx="1747520" cy="272415"/>
                                </a:xfrm>
                                <a:prstGeom prst="rect">
                                  <a:avLst/>
                                </a:prstGeom>
                                <a:noFill/>
                                <a:ln w="6350">
                                  <a:noFill/>
                                </a:ln>
                              </wps:spPr>
                              <wps:txbx>
                                <w:txbxContent>
                                  <w:p w14:paraId="23435E05" w14:textId="77777777" w:rsidR="004A2E03" w:rsidRDefault="004A2E03" w:rsidP="004A2E03">
                                    <w:pPr>
                                      <w:ind w:right="39"/>
                                      <w:jc w:val="right"/>
                                      <w:rPr>
                                        <w:b/>
                                      </w:rPr>
                                    </w:pPr>
                                    <w:r>
                                      <w:rPr>
                                        <w:b/>
                                      </w:rPr>
                                      <w:t>Generally most</w:t>
                                    </w:r>
                                    <w:r w:rsidRPr="00DB463F">
                                      <w:rPr>
                                        <w:b/>
                                      </w:rPr>
                                      <w:t xml:space="preserve"> accurate</w:t>
                                    </w:r>
                                  </w:p>
                                  <w:p w14:paraId="6A7AAC9F" w14:textId="77777777" w:rsidR="004A2E03" w:rsidRDefault="004A2E03" w:rsidP="004A2E03">
                                    <w:pPr>
                                      <w:ind w:right="39"/>
                                      <w:jc w:val="right"/>
                                      <w:rPr>
                                        <w:b/>
                                      </w:rPr>
                                    </w:pPr>
                                  </w:p>
                                  <w:p w14:paraId="7F3D428C" w14:textId="77777777" w:rsidR="004A2E03" w:rsidRDefault="004A2E03" w:rsidP="004A2E03">
                                    <w:pPr>
                                      <w:ind w:right="39"/>
                                      <w:jc w:val="right"/>
                                      <w:rPr>
                                        <w:b/>
                                      </w:rPr>
                                    </w:pPr>
                                  </w:p>
                                  <w:p w14:paraId="6C2EFF8D" w14:textId="77777777" w:rsidR="004A2E03" w:rsidRPr="00DB463F" w:rsidRDefault="004A2E03" w:rsidP="004A2E03">
                                    <w:pPr>
                                      <w:ind w:right="39"/>
                                      <w:jc w:val="right"/>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Straight Arrow Connector 8"/>
                              <wps:cNvCnPr/>
                              <wps:spPr>
                                <a:xfrm flipV="1">
                                  <a:off x="1698171" y="175522"/>
                                  <a:ext cx="2340000" cy="0"/>
                                </a:xfrm>
                                <a:prstGeom prst="straightConnector1">
                                  <a:avLst/>
                                </a:prstGeom>
                                <a:ln w="38100">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30F4DB" id="Group 3" o:spid="_x0000_s1026" alt="P330C13T4#y1" style="position:absolute;margin-left:-.5pt;margin-top:.35pt;width:479.25pt;height:27.05pt;z-index:251658244;mso-width-relative:margin;mso-height-relative:margin" coordorigin=",381" coordsize="56663,3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">
                      <v:shapetype id="_x0000_t202" coordsize="21600,21600" o:spt="202" path="m,l,21600r21600,l21600,xe">
                        <v:stroke joinstyle="miter"/>
                        <v:path gradientshapeok="t" o:connecttype="rect"/>
                      </v:shapetype>
                      <v:shape id="Text Box 5" o:spid="_x0000_s1027" type="#_x0000_t202" style="position:absolute;top:381;width:16981;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3C0DB44D" w14:textId="77777777" w:rsidR="004A2E03" w:rsidRPr="00DB463F" w:rsidRDefault="004A2E03" w:rsidP="004A2E03">
                              <w:pPr>
                                <w:ind w:left="-142"/>
                                <w:rPr>
                                  <w:b/>
                                </w:rPr>
                              </w:pPr>
                              <w:r>
                                <w:rPr>
                                  <w:b/>
                                </w:rPr>
                                <w:t>Generally least</w:t>
                              </w:r>
                              <w:r w:rsidRPr="00DB463F">
                                <w:rPr>
                                  <w:b/>
                                </w:rPr>
                                <w:t xml:space="preserve"> accurate</w:t>
                              </w:r>
                            </w:p>
                          </w:txbxContent>
                        </v:textbox>
                      </v:shape>
                      <v:shape id="Text Box 7" o:spid="_x0000_s1028" type="#_x0000_t202" style="position:absolute;left:39188;top:457;width:17475;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23435E05" w14:textId="77777777" w:rsidR="004A2E03" w:rsidRDefault="004A2E03" w:rsidP="004A2E03">
                              <w:pPr>
                                <w:ind w:right="39"/>
                                <w:jc w:val="right"/>
                                <w:rPr>
                                  <w:b/>
                                </w:rPr>
                              </w:pPr>
                              <w:r>
                                <w:rPr>
                                  <w:b/>
                                </w:rPr>
                                <w:t>Generally most</w:t>
                              </w:r>
                              <w:r w:rsidRPr="00DB463F">
                                <w:rPr>
                                  <w:b/>
                                </w:rPr>
                                <w:t xml:space="preserve"> accurate</w:t>
                              </w:r>
                            </w:p>
                            <w:p w14:paraId="6A7AAC9F" w14:textId="77777777" w:rsidR="004A2E03" w:rsidRDefault="004A2E03" w:rsidP="004A2E03">
                              <w:pPr>
                                <w:ind w:right="39"/>
                                <w:jc w:val="right"/>
                                <w:rPr>
                                  <w:b/>
                                </w:rPr>
                              </w:pPr>
                            </w:p>
                            <w:p w14:paraId="7F3D428C" w14:textId="77777777" w:rsidR="004A2E03" w:rsidRDefault="004A2E03" w:rsidP="004A2E03">
                              <w:pPr>
                                <w:ind w:right="39"/>
                                <w:jc w:val="right"/>
                                <w:rPr>
                                  <w:b/>
                                </w:rPr>
                              </w:pPr>
                            </w:p>
                            <w:p w14:paraId="6C2EFF8D" w14:textId="77777777" w:rsidR="004A2E03" w:rsidRPr="00DB463F" w:rsidRDefault="004A2E03" w:rsidP="004A2E03">
                              <w:pPr>
                                <w:ind w:right="39"/>
                                <w:jc w:val="right"/>
                                <w:rPr>
                                  <w:b/>
                                </w:rPr>
                              </w:pPr>
                            </w:p>
                          </w:txbxContent>
                        </v:textbox>
                      </v:shape>
                      <v:shapetype id="_x0000_t32" coordsize="21600,21600" o:spt="32" o:oned="t" path="m,l21600,21600e" filled="f">
                        <v:path arrowok="t" fillok="f" o:connecttype="none"/>
                        <o:lock v:ext="edit" shapetype="t"/>
                      </v:shapetype>
                      <v:shape id="Straight Arrow Connector 8" o:spid="_x0000_s1029" type="#_x0000_t32" style="position:absolute;left:16981;top:1755;width:2340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" strokecolor="black [3040]" strokeweight="3pt">
                        <v:stroke startarrow="block" endarrow="block"/>
                      </v:shape>
                    </v:group>
                  </w:pict>
                </mc:Fallback>
              </mc:AlternateContent>
            </w:r>
          </w:p>
        </w:tc>
      </w:tr>
    </w:tbl>
    <w:p w14:paraId="4FB4B3B3" w14:textId="77777777" w:rsidR="004A2E03" w:rsidRPr="00FF338C" w:rsidRDefault="004A2E03" w:rsidP="004A2E03">
      <w:pPr>
        <w:rPr>
          <w:color w:val="auto"/>
        </w:rPr>
      </w:pPr>
    </w:p>
    <w:p w14:paraId="625EB06B" w14:textId="77777777" w:rsidR="004A2E03" w:rsidRDefault="004A2E03" w:rsidP="004A2E03">
      <w:pPr>
        <w:rPr>
          <w:color w:val="auto"/>
        </w:rPr>
      </w:pPr>
      <w:r w:rsidRPr="00FF338C">
        <w:rPr>
          <w:color w:val="auto"/>
        </w:rPr>
        <w:t>In selecting available methods for estimating emissions, reporters can make their own judgements to balance the costs of using the higher-order methods with the benefits of potentially improved</w:t>
      </w:r>
      <w:r>
        <w:rPr>
          <w:color w:val="auto"/>
        </w:rPr>
        <w:t xml:space="preserve"> accuracy of </w:t>
      </w:r>
      <w:r w:rsidRPr="00FF338C">
        <w:rPr>
          <w:color w:val="auto"/>
        </w:rPr>
        <w:t>emission</w:t>
      </w:r>
      <w:r>
        <w:rPr>
          <w:color w:val="auto"/>
        </w:rPr>
        <w:t>s</w:t>
      </w:r>
      <w:r w:rsidRPr="00FF338C">
        <w:rPr>
          <w:color w:val="auto"/>
        </w:rPr>
        <w:t xml:space="preserve"> estimates.</w:t>
      </w:r>
    </w:p>
    <w:p w14:paraId="65A2E344" w14:textId="64A9CD65" w:rsidR="004A2E03" w:rsidRDefault="00721ABF" w:rsidP="004A2E03">
      <w:r>
        <w:rPr>
          <w:color w:val="auto"/>
        </w:rPr>
        <w:t xml:space="preserve">In some </w:t>
      </w:r>
      <w:r w:rsidR="0086033C">
        <w:rPr>
          <w:color w:val="auto"/>
        </w:rPr>
        <w:t>circumstances</w:t>
      </w:r>
      <w:r>
        <w:rPr>
          <w:color w:val="auto"/>
        </w:rPr>
        <w:t>, the NGER legislation restricts the different types of Methods available</w:t>
      </w:r>
      <w:r w:rsidR="0086033C">
        <w:rPr>
          <w:color w:val="auto"/>
        </w:rPr>
        <w:t xml:space="preserve">. For example, </w:t>
      </w:r>
      <w:r w:rsidR="004A2E03" w:rsidRPr="00FF338C">
        <w:rPr>
          <w:color w:val="auto"/>
        </w:rPr>
        <w:t xml:space="preserve">Method 1 </w:t>
      </w:r>
      <w:r w:rsidR="0086033C">
        <w:rPr>
          <w:b/>
          <w:bCs/>
          <w:color w:val="auto"/>
        </w:rPr>
        <w:t>can</w:t>
      </w:r>
      <w:r w:rsidR="004A2E03" w:rsidRPr="00D2141E">
        <w:rPr>
          <w:b/>
          <w:bCs/>
          <w:color w:val="auto"/>
        </w:rPr>
        <w:t>not</w:t>
      </w:r>
      <w:r w:rsidR="004A2E03" w:rsidRPr="00D2141E">
        <w:rPr>
          <w:b/>
          <w:color w:val="auto"/>
        </w:rPr>
        <w:t xml:space="preserve"> be</w:t>
      </w:r>
      <w:r w:rsidR="004A2E03" w:rsidRPr="00FF338C">
        <w:rPr>
          <w:color w:val="auto"/>
        </w:rPr>
        <w:t xml:space="preserve"> used </w:t>
      </w:r>
      <w:r w:rsidR="004A2E03">
        <w:rPr>
          <w:color w:val="auto"/>
        </w:rPr>
        <w:t xml:space="preserve">to estimate </w:t>
      </w:r>
      <w:r w:rsidR="004A2E03" w:rsidRPr="00FF338C">
        <w:rPr>
          <w:color w:val="auto"/>
        </w:rPr>
        <w:t xml:space="preserve">emissions of carbon dioxide for </w:t>
      </w:r>
      <w:r w:rsidR="004A2E03">
        <w:rPr>
          <w:color w:val="auto"/>
        </w:rPr>
        <w:t xml:space="preserve">the main fuel combusted from the operation of the </w:t>
      </w:r>
      <w:r w:rsidR="004A2E03" w:rsidRPr="00FF338C">
        <w:rPr>
          <w:color w:val="auto"/>
        </w:rPr>
        <w:t xml:space="preserve">facilities with the </w:t>
      </w:r>
      <w:r w:rsidR="004A2E03" w:rsidRPr="00FF338C">
        <w:t>Australian and New Zealand Standard Industrial Classification</w:t>
      </w:r>
      <w:r w:rsidR="00AC5D36">
        <w:rPr>
          <w:color w:val="auto"/>
        </w:rPr>
        <w:t xml:space="preserve"> </w:t>
      </w:r>
      <w:r w:rsidR="00595714">
        <w:rPr>
          <w:color w:val="auto"/>
        </w:rPr>
        <w:t>(</w:t>
      </w:r>
      <w:r w:rsidR="00AC5D36">
        <w:rPr>
          <w:color w:val="auto"/>
        </w:rPr>
        <w:t>ANZSIC</w:t>
      </w:r>
      <w:r w:rsidR="00595714">
        <w:rPr>
          <w:color w:val="auto"/>
        </w:rPr>
        <w:t>) code</w:t>
      </w:r>
      <w:r w:rsidR="004A2E03" w:rsidRPr="00FF338C">
        <w:rPr>
          <w:color w:val="auto"/>
        </w:rPr>
        <w:t xml:space="preserve"> of 2611 where the generating unit has the capacity to produce 30</w:t>
      </w:r>
      <w:r w:rsidR="004A2E03">
        <w:rPr>
          <w:color w:val="auto"/>
        </w:rPr>
        <w:t xml:space="preserve"> MW</w:t>
      </w:r>
      <w:r w:rsidR="004A2E03" w:rsidRPr="00FF338C">
        <w:rPr>
          <w:color w:val="auto"/>
        </w:rPr>
        <w:t xml:space="preserve"> or more of electricity and generates more than 50,000 </w:t>
      </w:r>
      <w:r w:rsidR="004A2E03">
        <w:rPr>
          <w:color w:val="auto"/>
        </w:rPr>
        <w:t xml:space="preserve">MWh </w:t>
      </w:r>
      <w:r w:rsidR="004A2E03" w:rsidRPr="00FF338C">
        <w:rPr>
          <w:color w:val="auto"/>
        </w:rPr>
        <w:t>of electricity in a reporting year.</w:t>
      </w:r>
      <w:r w:rsidR="004B0870">
        <w:rPr>
          <w:rFonts w:ascii="ZWAdobeF" w:hAnsi="ZWAdobeF" w:cs="ZWAdobeF"/>
          <w:color w:val="auto"/>
          <w:sz w:val="2"/>
          <w:szCs w:val="2"/>
        </w:rPr>
        <w:t>12F</w:t>
      </w:r>
      <w:r w:rsidR="004A2E03" w:rsidRPr="00FF338C">
        <w:rPr>
          <w:rStyle w:val="FootnoteReference"/>
          <w:color w:val="auto"/>
        </w:rPr>
        <w:footnoteReference w:id="14"/>
      </w:r>
      <w:r w:rsidR="004A2E03">
        <w:rPr>
          <w:color w:val="auto"/>
        </w:rPr>
        <w:t xml:space="preserve"> </w:t>
      </w:r>
      <w:r w:rsidR="004A2E03">
        <w:t>This requirement is based on total generation and production capacity of the generating units at the facility.</w:t>
      </w:r>
    </w:p>
    <w:p w14:paraId="359819CD" w14:textId="77777777" w:rsidR="00583144" w:rsidRDefault="00583144">
      <w:pPr>
        <w:spacing w:after="0"/>
        <w:rPr>
          <w:rFonts w:asciiTheme="majorHAnsi" w:eastAsia="Times New Roman" w:hAnsiTheme="majorHAnsi"/>
          <w:b/>
          <w:bCs/>
          <w:sz w:val="32"/>
          <w:szCs w:val="32"/>
        </w:rPr>
      </w:pPr>
      <w:bookmarkStart w:id="65" w:name="_Thresholds_for_estimating"/>
      <w:bookmarkStart w:id="66" w:name="_Toc511376907"/>
      <w:bookmarkStart w:id="67" w:name="_Toc511388504"/>
      <w:bookmarkStart w:id="68" w:name="_Toc511389426"/>
      <w:bookmarkStart w:id="69" w:name="_Toc511392935"/>
      <w:bookmarkStart w:id="70" w:name="_Toc511732465"/>
      <w:bookmarkStart w:id="71" w:name="_Toc512010390"/>
      <w:bookmarkStart w:id="72" w:name="_Toc512339588"/>
      <w:bookmarkStart w:id="73" w:name="_Toc106705752"/>
      <w:bookmarkEnd w:id="65"/>
      <w:r>
        <w:br w:type="page"/>
      </w:r>
    </w:p>
    <w:p w14:paraId="34F5A536" w14:textId="1AF1495C" w:rsidR="004A2E03" w:rsidRPr="00FF338C" w:rsidRDefault="004A2E03" w:rsidP="00DB4B56">
      <w:pPr>
        <w:pStyle w:val="Heading2"/>
        <w:numPr>
          <w:ilvl w:val="1"/>
          <w:numId w:val="3"/>
        </w:numPr>
        <w:ind w:left="426" w:hanging="426"/>
      </w:pPr>
      <w:bookmarkStart w:id="74" w:name="_Toc205461431"/>
      <w:r w:rsidRPr="00FF338C">
        <w:t>Thresholds for estimating and reporting emissions</w:t>
      </w:r>
      <w:bookmarkEnd w:id="66"/>
      <w:bookmarkEnd w:id="67"/>
      <w:bookmarkEnd w:id="68"/>
      <w:bookmarkEnd w:id="69"/>
      <w:bookmarkEnd w:id="70"/>
      <w:bookmarkEnd w:id="71"/>
      <w:bookmarkEnd w:id="72"/>
      <w:bookmarkEnd w:id="73"/>
      <w:bookmarkEnd w:id="74"/>
    </w:p>
    <w:p w14:paraId="4ECFC59C" w14:textId="1A9FDDE5" w:rsidR="004A2E03" w:rsidRDefault="00BC2CB1" w:rsidP="004A2E03">
      <w:pPr>
        <w:rPr>
          <w:color w:val="auto"/>
        </w:rPr>
      </w:pPr>
      <w:r>
        <w:rPr>
          <w:color w:val="auto"/>
        </w:rPr>
        <w:t xml:space="preserve">All emissions from the use of </w:t>
      </w:r>
      <w:r w:rsidR="0078115E">
        <w:rPr>
          <w:color w:val="auto"/>
        </w:rPr>
        <w:t>sulphur hexaflu</w:t>
      </w:r>
      <w:r w:rsidR="00885257">
        <w:rPr>
          <w:color w:val="auto"/>
        </w:rPr>
        <w:t xml:space="preserve">oride </w:t>
      </w:r>
      <w:r w:rsidR="003D3CD8">
        <w:rPr>
          <w:color w:val="auto"/>
        </w:rPr>
        <w:t xml:space="preserve">must be reported. </w:t>
      </w:r>
      <w:r w:rsidR="004A2E03" w:rsidRPr="00EE5638">
        <w:rPr>
          <w:color w:val="auto"/>
        </w:rPr>
        <w:t xml:space="preserve">The emissions from the combustion of fuels </w:t>
      </w:r>
      <w:r w:rsidR="0069532A">
        <w:rPr>
          <w:color w:val="auto"/>
        </w:rPr>
        <w:t xml:space="preserve">must be reported </w:t>
      </w:r>
      <w:r w:rsidR="004A2E03" w:rsidRPr="00FF338C">
        <w:rPr>
          <w:color w:val="auto"/>
        </w:rPr>
        <w:t xml:space="preserve">if the quantity consumed is greater than the thresholds listed </w:t>
      </w:r>
      <w:r w:rsidR="004A2E03">
        <w:rPr>
          <w:color w:val="auto"/>
        </w:rPr>
        <w:t>below</w:t>
      </w:r>
      <w:r w:rsidR="004A2E03" w:rsidRPr="00FF338C">
        <w:rPr>
          <w:color w:val="auto"/>
        </w:rPr>
        <w:t xml:space="preserve">. </w:t>
      </w:r>
    </w:p>
    <w:p w14:paraId="13DCC5F8" w14:textId="093D39EA" w:rsidR="004A2E03" w:rsidRDefault="004A2E03" w:rsidP="00B85497">
      <w:pPr>
        <w:keepNext/>
        <w:spacing w:after="0"/>
        <w:rPr>
          <w:i/>
          <w:iCs/>
          <w:color w:val="454743" w:themeColor="text2"/>
          <w:sz w:val="18"/>
          <w:szCs w:val="18"/>
        </w:rPr>
      </w:pPr>
      <w:bookmarkStart w:id="75" w:name="_Ref511316059"/>
      <w:r w:rsidRPr="00FF338C">
        <w:rPr>
          <w:i/>
          <w:iCs/>
          <w:color w:val="454743" w:themeColor="text2"/>
          <w:sz w:val="18"/>
          <w:szCs w:val="18"/>
        </w:rPr>
        <w:t xml:space="preserve">Table </w:t>
      </w:r>
      <w:r w:rsidRPr="00FF338C">
        <w:rPr>
          <w:i/>
          <w:iCs/>
          <w:color w:val="454743" w:themeColor="text2"/>
          <w:sz w:val="18"/>
          <w:szCs w:val="18"/>
        </w:rPr>
        <w:fldChar w:fldCharType="begin"/>
      </w:r>
      <w:r w:rsidRPr="00FF338C">
        <w:rPr>
          <w:i/>
          <w:iCs/>
          <w:color w:val="454743" w:themeColor="text2"/>
          <w:sz w:val="18"/>
          <w:szCs w:val="18"/>
        </w:rPr>
        <w:instrText xml:space="preserve"> SEQ Table \* ARABIC </w:instrText>
      </w:r>
      <w:r w:rsidRPr="00FF338C">
        <w:rPr>
          <w:i/>
          <w:iCs/>
          <w:color w:val="454743" w:themeColor="text2"/>
          <w:sz w:val="18"/>
          <w:szCs w:val="18"/>
        </w:rPr>
        <w:fldChar w:fldCharType="separate"/>
      </w:r>
      <w:r w:rsidR="004B0870">
        <w:rPr>
          <w:i/>
          <w:iCs/>
          <w:noProof/>
          <w:color w:val="454743" w:themeColor="text2"/>
          <w:sz w:val="18"/>
          <w:szCs w:val="18"/>
        </w:rPr>
        <w:t>4</w:t>
      </w:r>
      <w:r w:rsidRPr="00FF338C">
        <w:rPr>
          <w:i/>
          <w:iCs/>
          <w:color w:val="454743" w:themeColor="text2"/>
          <w:sz w:val="18"/>
          <w:szCs w:val="18"/>
        </w:rPr>
        <w:fldChar w:fldCharType="end"/>
      </w:r>
      <w:bookmarkEnd w:id="75"/>
      <w:r w:rsidRPr="00FF338C">
        <w:rPr>
          <w:i/>
          <w:iCs/>
          <w:color w:val="454743" w:themeColor="text2"/>
          <w:sz w:val="18"/>
          <w:szCs w:val="18"/>
        </w:rPr>
        <w:t xml:space="preserve"> – Thresholds for emission estimation</w:t>
      </w:r>
      <w:r w:rsidR="002D44DF">
        <w:rPr>
          <w:i/>
          <w:iCs/>
          <w:color w:val="454743" w:themeColor="text2"/>
          <w:sz w:val="18"/>
          <w:szCs w:val="18"/>
        </w:rPr>
        <w:t>.</w:t>
      </w:r>
    </w:p>
    <w:p w14:paraId="17A37BD6" w14:textId="77777777" w:rsidR="004A2E03" w:rsidRPr="00FF338C" w:rsidRDefault="004A2E03" w:rsidP="004A2E03">
      <w:pPr>
        <w:spacing w:after="0"/>
        <w:rPr>
          <w:i/>
          <w:iCs/>
          <w:color w:val="auto"/>
          <w:sz w:val="18"/>
          <w:szCs w:val="18"/>
        </w:rPr>
      </w:pPr>
    </w:p>
    <w:tbl>
      <w:tblPr>
        <w:tblStyle w:val="CERTable"/>
        <w:tblW w:w="5000" w:type="pct"/>
        <w:tblLook w:val="04A0" w:firstRow="1" w:lastRow="0" w:firstColumn="1" w:lastColumn="0" w:noHBand="0" w:noVBand="1"/>
      </w:tblPr>
      <w:tblGrid>
        <w:gridCol w:w="4870"/>
        <w:gridCol w:w="4870"/>
      </w:tblGrid>
      <w:tr w:rsidR="004A2E03" w:rsidRPr="00C64711" w14:paraId="3CD9E87E" w14:textId="77777777" w:rsidTr="009A0C68">
        <w:trPr>
          <w:cnfStyle w:val="100000000000" w:firstRow="1" w:lastRow="0" w:firstColumn="0" w:lastColumn="0" w:oddVBand="0" w:evenVBand="0" w:oddHBand="0" w:evenHBand="0" w:firstRowFirstColumn="0" w:firstRowLastColumn="0" w:lastRowFirstColumn="0" w:lastRowLastColumn="0"/>
          <w:trHeight w:val="827"/>
          <w:tblHeader/>
        </w:trPr>
        <w:tc>
          <w:tcPr>
            <w:cnfStyle w:val="001000000000" w:firstRow="0" w:lastRow="0" w:firstColumn="1" w:lastColumn="0" w:oddVBand="0" w:evenVBand="0" w:oddHBand="0" w:evenHBand="0" w:firstRowFirstColumn="0" w:firstRowLastColumn="0" w:lastRowFirstColumn="0" w:lastRowLastColumn="0"/>
            <w:tcW w:w="2500" w:type="pct"/>
          </w:tcPr>
          <w:p w14:paraId="75D271D1" w14:textId="77777777" w:rsidR="004A2E03" w:rsidRPr="00C67339" w:rsidRDefault="004A2E03">
            <w:pPr>
              <w:rPr>
                <w:rFonts w:cs="Arial"/>
                <w:color w:val="auto"/>
                <w:szCs w:val="22"/>
              </w:rPr>
            </w:pPr>
            <w:r w:rsidRPr="00C67339">
              <w:rPr>
                <w:rFonts w:cs="Arial"/>
                <w:szCs w:val="22"/>
              </w:rPr>
              <w:t>Emission source</w:t>
            </w:r>
          </w:p>
        </w:tc>
        <w:tc>
          <w:tcPr>
            <w:tcW w:w="2500" w:type="pct"/>
          </w:tcPr>
          <w:p w14:paraId="25655E28" w14:textId="3357E364" w:rsidR="004A2E03" w:rsidRPr="00C67339" w:rsidRDefault="004A2E03">
            <w:pPr>
              <w:cnfStyle w:val="100000000000" w:firstRow="1" w:lastRow="0" w:firstColumn="0" w:lastColumn="0" w:oddVBand="0" w:evenVBand="0" w:oddHBand="0" w:evenHBand="0" w:firstRowFirstColumn="0" w:firstRowLastColumn="0" w:lastRowFirstColumn="0" w:lastRowLastColumn="0"/>
              <w:rPr>
                <w:rFonts w:cs="Arial"/>
                <w:color w:val="auto"/>
                <w:szCs w:val="22"/>
              </w:rPr>
            </w:pPr>
            <w:r w:rsidRPr="00C67339">
              <w:rPr>
                <w:rFonts w:cs="Arial"/>
                <w:szCs w:val="22"/>
              </w:rPr>
              <w:t xml:space="preserve">Estimation threshold per each separate instance of the source </w:t>
            </w:r>
            <w:r w:rsidR="00B73C79">
              <w:rPr>
                <w:rFonts w:cs="Arial"/>
                <w:szCs w:val="22"/>
              </w:rPr>
              <w:t>during the reporting</w:t>
            </w:r>
            <w:r w:rsidRPr="00C67339">
              <w:rPr>
                <w:rFonts w:cs="Arial"/>
                <w:szCs w:val="22"/>
              </w:rPr>
              <w:t xml:space="preserve"> year</w:t>
            </w:r>
          </w:p>
        </w:tc>
      </w:tr>
      <w:tr w:rsidR="004A2E03" w:rsidRPr="00C64711" w14:paraId="2E6AF040" w14:textId="77777777" w:rsidTr="008E6B32">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500" w:type="pct"/>
          </w:tcPr>
          <w:p w14:paraId="0EB8F9F3" w14:textId="77777777" w:rsidR="004A2E03" w:rsidRPr="00C67339" w:rsidRDefault="004A2E03">
            <w:pPr>
              <w:rPr>
                <w:rFonts w:cs="Arial"/>
                <w:b w:val="0"/>
                <w:color w:val="auto"/>
                <w:szCs w:val="22"/>
              </w:rPr>
            </w:pPr>
            <w:r w:rsidRPr="00C67339">
              <w:rPr>
                <w:rFonts w:cs="Arial"/>
                <w:szCs w:val="22"/>
              </w:rPr>
              <w:t>Solid fuel combustion</w:t>
            </w:r>
          </w:p>
        </w:tc>
        <w:tc>
          <w:tcPr>
            <w:tcW w:w="2500" w:type="pct"/>
          </w:tcPr>
          <w:p w14:paraId="6959A063" w14:textId="71B2A085" w:rsidR="004A2E03" w:rsidRPr="00C67339" w:rsidRDefault="004A2E03">
            <w:pP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67339">
              <w:rPr>
                <w:rFonts w:cs="Arial"/>
                <w:szCs w:val="22"/>
              </w:rPr>
              <w:t>1</w:t>
            </w:r>
            <w:r w:rsidR="00FE2F71">
              <w:rPr>
                <w:rFonts w:cs="Arial"/>
                <w:szCs w:val="22"/>
              </w:rPr>
              <w:t> t</w:t>
            </w:r>
            <w:r w:rsidRPr="00C67339">
              <w:rPr>
                <w:rFonts w:cs="Arial"/>
                <w:szCs w:val="22"/>
              </w:rPr>
              <w:t xml:space="preserve"> (per section 2.2 of the NGER Measurement Determination)</w:t>
            </w:r>
          </w:p>
        </w:tc>
      </w:tr>
      <w:tr w:rsidR="004A2E03" w:rsidRPr="00C64711" w14:paraId="47D4C934" w14:textId="77777777" w:rsidTr="008E6B32">
        <w:trPr>
          <w:cnfStyle w:val="000000010000" w:firstRow="0" w:lastRow="0" w:firstColumn="0" w:lastColumn="0" w:oddVBand="0" w:evenVBand="0" w:oddHBand="0" w:evenHBand="1" w:firstRowFirstColumn="0" w:firstRowLastColumn="0" w:lastRowFirstColumn="0" w:lastRowLastColumn="0"/>
          <w:trHeight w:val="1972"/>
        </w:trPr>
        <w:tc>
          <w:tcPr>
            <w:cnfStyle w:val="001000000000" w:firstRow="0" w:lastRow="0" w:firstColumn="1" w:lastColumn="0" w:oddVBand="0" w:evenVBand="0" w:oddHBand="0" w:evenHBand="0" w:firstRowFirstColumn="0" w:firstRowLastColumn="0" w:lastRowFirstColumn="0" w:lastRowLastColumn="0"/>
            <w:tcW w:w="2500" w:type="pct"/>
          </w:tcPr>
          <w:p w14:paraId="578F8B82" w14:textId="77777777" w:rsidR="004A2E03" w:rsidRPr="00C67339" w:rsidRDefault="004A2E03">
            <w:pPr>
              <w:rPr>
                <w:rFonts w:cs="Arial"/>
                <w:b w:val="0"/>
                <w:color w:val="auto"/>
                <w:szCs w:val="22"/>
              </w:rPr>
            </w:pPr>
            <w:r w:rsidRPr="00C67339">
              <w:rPr>
                <w:rFonts w:cs="Arial"/>
                <w:szCs w:val="22"/>
              </w:rPr>
              <w:t xml:space="preserve">Liquid fuel combustion </w:t>
            </w:r>
          </w:p>
        </w:tc>
        <w:tc>
          <w:tcPr>
            <w:tcW w:w="2500" w:type="pct"/>
          </w:tcPr>
          <w:p w14:paraId="38E7E646" w14:textId="2AF14D34" w:rsidR="004A2E03" w:rsidRPr="00D92140" w:rsidRDefault="004A2E03" w:rsidP="00B3330E">
            <w:pPr>
              <w:pStyle w:val="CERbullets"/>
              <w:numPr>
                <w:ilvl w:val="0"/>
                <w:numId w:val="12"/>
              </w:numPr>
              <w:ind w:left="357" w:hanging="357"/>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bookmarkStart w:id="76" w:name="_Hlk48047265"/>
            <w:r w:rsidRPr="25383661">
              <w:rPr>
                <w:rFonts w:ascii="Calibri" w:hAnsi="Calibri" w:cs="Calibri"/>
                <w:color w:val="000000" w:themeColor="text1"/>
              </w:rPr>
              <w:t>1</w:t>
            </w:r>
            <w:r w:rsidR="00615F28" w:rsidRPr="25383661">
              <w:rPr>
                <w:rFonts w:ascii="Calibri" w:hAnsi="Calibri" w:cs="Calibri"/>
                <w:color w:val="000000" w:themeColor="text1"/>
              </w:rPr>
              <w:t> </w:t>
            </w:r>
            <w:proofErr w:type="spellStart"/>
            <w:r w:rsidR="00615F28" w:rsidRPr="25383661">
              <w:rPr>
                <w:rFonts w:ascii="Calibri" w:hAnsi="Calibri" w:cs="Calibri"/>
                <w:color w:val="000000" w:themeColor="text1"/>
              </w:rPr>
              <w:t>kL</w:t>
            </w:r>
            <w:proofErr w:type="spellEnd"/>
          </w:p>
          <w:p w14:paraId="3379E26C" w14:textId="4312F94F" w:rsidR="004A2E03" w:rsidRPr="00D92140" w:rsidRDefault="004A2E03" w:rsidP="00B3330E">
            <w:pPr>
              <w:pStyle w:val="CERbullets"/>
              <w:numPr>
                <w:ilvl w:val="0"/>
                <w:numId w:val="12"/>
              </w:numPr>
              <w:ind w:left="357" w:hanging="357"/>
              <w:cnfStyle w:val="000000010000" w:firstRow="0" w:lastRow="0" w:firstColumn="0" w:lastColumn="0" w:oddVBand="0" w:evenVBand="0" w:oddHBand="0" w:evenHBand="1" w:firstRowFirstColumn="0" w:firstRowLastColumn="0" w:lastRowFirstColumn="0" w:lastRowLastColumn="0"/>
              <w:rPr>
                <w:rFonts w:ascii="Calibri" w:hAnsi="Calibri" w:cs="Calibri"/>
                <w:color w:val="000000"/>
              </w:rPr>
            </w:pPr>
            <w:r w:rsidRPr="00D92140">
              <w:rPr>
                <w:rFonts w:ascii="Calibri" w:hAnsi="Calibri" w:cs="Calibri"/>
                <w:color w:val="000000"/>
              </w:rPr>
              <w:t>5</w:t>
            </w:r>
            <w:r w:rsidR="00615F28">
              <w:rPr>
                <w:rFonts w:ascii="Calibri" w:hAnsi="Calibri" w:cs="Calibri"/>
                <w:color w:val="000000"/>
              </w:rPr>
              <w:t> </w:t>
            </w:r>
            <w:proofErr w:type="spellStart"/>
            <w:r w:rsidR="00615F28">
              <w:rPr>
                <w:rFonts w:ascii="Calibri" w:hAnsi="Calibri" w:cs="Calibri"/>
                <w:color w:val="000000"/>
              </w:rPr>
              <w:t>kL</w:t>
            </w:r>
            <w:proofErr w:type="spellEnd"/>
            <w:r w:rsidRPr="00D92140">
              <w:rPr>
                <w:rFonts w:ascii="Calibri" w:hAnsi="Calibri" w:cs="Calibri"/>
                <w:color w:val="000000"/>
              </w:rPr>
              <w:t xml:space="preserve"> for petroleum-based oils (other than those used as fuels) and petroleum-based greases</w:t>
            </w:r>
            <w:r>
              <w:rPr>
                <w:rFonts w:ascii="Calibri" w:hAnsi="Calibri" w:cs="Calibri"/>
                <w:color w:val="000000"/>
              </w:rPr>
              <w:t>.</w:t>
            </w:r>
          </w:p>
          <w:bookmarkEnd w:id="76"/>
          <w:p w14:paraId="65F01EA7" w14:textId="77777777" w:rsidR="004A2E03" w:rsidRPr="00C67339" w:rsidRDefault="004A2E03">
            <w:pPr>
              <w:cnfStyle w:val="000000010000" w:firstRow="0" w:lastRow="0" w:firstColumn="0" w:lastColumn="0" w:oddVBand="0" w:evenVBand="0" w:oddHBand="0" w:evenHBand="1" w:firstRowFirstColumn="0" w:firstRowLastColumn="0" w:lastRowFirstColumn="0" w:lastRowLastColumn="0"/>
              <w:rPr>
                <w:rFonts w:cs="Arial"/>
                <w:szCs w:val="22"/>
                <w:vertAlign w:val="superscript"/>
              </w:rPr>
            </w:pPr>
            <w:r w:rsidRPr="00C67339">
              <w:rPr>
                <w:rFonts w:cs="Arial"/>
                <w:szCs w:val="22"/>
              </w:rPr>
              <w:t>(per section 2.39 of the NGER Measurement Determination)</w:t>
            </w:r>
          </w:p>
        </w:tc>
      </w:tr>
      <w:tr w:rsidR="004A2E03" w:rsidRPr="00C64711" w14:paraId="244BF371" w14:textId="77777777" w:rsidTr="008E6B32">
        <w:trPr>
          <w:cnfStyle w:val="000000100000" w:firstRow="0" w:lastRow="0" w:firstColumn="0" w:lastColumn="0" w:oddVBand="0" w:evenVBand="0" w:oddHBand="1" w:evenHBand="0" w:firstRowFirstColumn="0" w:firstRowLastColumn="0" w:lastRowFirstColumn="0" w:lastRowLastColumn="0"/>
          <w:trHeight w:val="813"/>
        </w:trPr>
        <w:tc>
          <w:tcPr>
            <w:cnfStyle w:val="001000000000" w:firstRow="0" w:lastRow="0" w:firstColumn="1" w:lastColumn="0" w:oddVBand="0" w:evenVBand="0" w:oddHBand="0" w:evenHBand="0" w:firstRowFirstColumn="0" w:firstRowLastColumn="0" w:lastRowFirstColumn="0" w:lastRowLastColumn="0"/>
            <w:tcW w:w="2500" w:type="pct"/>
          </w:tcPr>
          <w:p w14:paraId="4937B63E" w14:textId="77777777" w:rsidR="004A2E03" w:rsidRPr="00C67339" w:rsidRDefault="004A2E03">
            <w:pPr>
              <w:rPr>
                <w:rFonts w:cs="Arial"/>
                <w:b w:val="0"/>
                <w:color w:val="auto"/>
                <w:szCs w:val="22"/>
              </w:rPr>
            </w:pPr>
            <w:r w:rsidRPr="00C67339">
              <w:rPr>
                <w:rFonts w:cs="Arial"/>
                <w:szCs w:val="22"/>
              </w:rPr>
              <w:t>Gaseous fuel combustion</w:t>
            </w:r>
          </w:p>
        </w:tc>
        <w:tc>
          <w:tcPr>
            <w:tcW w:w="2500" w:type="pct"/>
          </w:tcPr>
          <w:p w14:paraId="79574701" w14:textId="79B71690" w:rsidR="004A2E03" w:rsidRPr="00C67339" w:rsidRDefault="004A2E03">
            <w:pPr>
              <w:cnfStyle w:val="000000100000" w:firstRow="0" w:lastRow="0" w:firstColumn="0" w:lastColumn="0" w:oddVBand="0" w:evenVBand="0" w:oddHBand="1" w:evenHBand="0" w:firstRowFirstColumn="0" w:firstRowLastColumn="0" w:lastRowFirstColumn="0" w:lastRowLastColumn="0"/>
              <w:rPr>
                <w:rFonts w:cs="Arial"/>
                <w:color w:val="auto"/>
                <w:szCs w:val="22"/>
              </w:rPr>
            </w:pPr>
            <w:r w:rsidRPr="00C67339">
              <w:rPr>
                <w:rFonts w:cs="Arial"/>
                <w:szCs w:val="22"/>
              </w:rPr>
              <w:t>100</w:t>
            </w:r>
            <w:r>
              <w:rPr>
                <w:rFonts w:cs="Arial"/>
                <w:color w:val="auto"/>
                <w:szCs w:val="22"/>
              </w:rPr>
              <w:t>0</w:t>
            </w:r>
            <w:r w:rsidR="009A7B62">
              <w:rPr>
                <w:rFonts w:cs="Arial"/>
                <w:color w:val="auto"/>
                <w:szCs w:val="22"/>
              </w:rPr>
              <w:t> </w:t>
            </w:r>
            <w:r w:rsidR="00AD7983">
              <w:rPr>
                <w:color w:val="auto"/>
                <w:szCs w:val="22"/>
              </w:rPr>
              <w:t>m</w:t>
            </w:r>
            <w:r w:rsidR="009A7B62">
              <w:rPr>
                <w:color w:val="auto"/>
                <w:szCs w:val="22"/>
                <w:vertAlign w:val="superscript"/>
              </w:rPr>
              <w:t>3</w:t>
            </w:r>
            <w:r w:rsidRPr="00C67339">
              <w:rPr>
                <w:color w:val="auto"/>
                <w:szCs w:val="22"/>
              </w:rPr>
              <w:t xml:space="preserve"> </w:t>
            </w:r>
            <w:r w:rsidRPr="00C67339">
              <w:rPr>
                <w:rFonts w:cs="Arial"/>
                <w:color w:val="auto"/>
                <w:szCs w:val="22"/>
              </w:rPr>
              <w:t xml:space="preserve">(per </w:t>
            </w:r>
            <w:r w:rsidRPr="00C67339">
              <w:rPr>
                <w:rFonts w:cs="Arial"/>
                <w:szCs w:val="22"/>
              </w:rPr>
              <w:t>section 2.18 of the NGER Measurement Determination)</w:t>
            </w:r>
          </w:p>
        </w:tc>
      </w:tr>
      <w:tr w:rsidR="004A2E03" w:rsidRPr="00C64711" w14:paraId="19591081" w14:textId="77777777" w:rsidTr="008E6B32">
        <w:trPr>
          <w:cnfStyle w:val="000000010000" w:firstRow="0" w:lastRow="0" w:firstColumn="0" w:lastColumn="0" w:oddVBand="0" w:evenVBand="0" w:oddHBand="0" w:evenHBand="1"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2500" w:type="pct"/>
          </w:tcPr>
          <w:p w14:paraId="10C6F61E" w14:textId="0D96D208" w:rsidR="004A2E03" w:rsidRPr="00EE5638" w:rsidRDefault="004A2E03">
            <w:pPr>
              <w:rPr>
                <w:rFonts w:cs="Arial"/>
                <w:b w:val="0"/>
                <w:color w:val="auto"/>
              </w:rPr>
            </w:pPr>
          </w:p>
        </w:tc>
        <w:tc>
          <w:tcPr>
            <w:tcW w:w="2500" w:type="pct"/>
          </w:tcPr>
          <w:p w14:paraId="3BDC9BFD" w14:textId="7A536C61" w:rsidR="004A2E03" w:rsidRPr="00EE5638" w:rsidRDefault="004A2E03">
            <w:pPr>
              <w:cnfStyle w:val="000000010000" w:firstRow="0" w:lastRow="0" w:firstColumn="0" w:lastColumn="0" w:oddVBand="0" w:evenVBand="0" w:oddHBand="0" w:evenHBand="1" w:firstRowFirstColumn="0" w:firstRowLastColumn="0" w:lastRowFirstColumn="0" w:lastRowLastColumn="0"/>
              <w:rPr>
                <w:rFonts w:cs="Arial"/>
                <w:color w:val="auto"/>
                <w:szCs w:val="22"/>
              </w:rPr>
            </w:pPr>
          </w:p>
        </w:tc>
      </w:tr>
    </w:tbl>
    <w:p w14:paraId="08DAE54E" w14:textId="77777777" w:rsidR="004A2E03" w:rsidRPr="00FF338C" w:rsidRDefault="004A2E03" w:rsidP="004A2E03">
      <w:pPr>
        <w:pStyle w:val="Heading4"/>
      </w:pPr>
      <w:bookmarkStart w:id="77" w:name="_Separate_instance_of"/>
      <w:bookmarkStart w:id="78" w:name="_Toc526867688"/>
      <w:bookmarkStart w:id="79" w:name="_Toc526869730"/>
      <w:bookmarkStart w:id="80" w:name="_Toc205461432"/>
      <w:bookmarkEnd w:id="77"/>
      <w:r w:rsidRPr="00FF338C">
        <w:t>Separate instance of a source</w:t>
      </w:r>
      <w:bookmarkEnd w:id="78"/>
      <w:bookmarkEnd w:id="79"/>
      <w:bookmarkEnd w:id="80"/>
    </w:p>
    <w:p w14:paraId="509B9CE7" w14:textId="77777777" w:rsidR="004A2E03" w:rsidRPr="00FF338C" w:rsidRDefault="004A2E03" w:rsidP="004A2E03">
      <w:pPr>
        <w:rPr>
          <w:color w:val="auto"/>
        </w:rPr>
      </w:pPr>
      <w:r w:rsidRPr="00FF338C">
        <w:rPr>
          <w:color w:val="auto"/>
        </w:rPr>
        <w:t xml:space="preserve">The estimation thresholds apply to each </w:t>
      </w:r>
      <w:r>
        <w:rPr>
          <w:color w:val="auto"/>
        </w:rPr>
        <w:t>‘</w:t>
      </w:r>
      <w:r w:rsidRPr="002A64B3">
        <w:rPr>
          <w:color w:val="auto"/>
        </w:rPr>
        <w:t>instance of a source</w:t>
      </w:r>
      <w:r>
        <w:rPr>
          <w:color w:val="auto"/>
        </w:rPr>
        <w:t>’, which is defined by s</w:t>
      </w:r>
      <w:r w:rsidRPr="00FF338C">
        <w:rPr>
          <w:color w:val="auto"/>
        </w:rPr>
        <w:t xml:space="preserve">ection 1.9A of the </w:t>
      </w:r>
      <w:r>
        <w:rPr>
          <w:color w:val="auto"/>
        </w:rPr>
        <w:t>NGER Measurement Determination as follows</w:t>
      </w:r>
      <w:r w:rsidRPr="00FF338C">
        <w:rPr>
          <w:color w:val="auto"/>
        </w:rPr>
        <w:t>:</w:t>
      </w:r>
    </w:p>
    <w:p w14:paraId="7CDF3344" w14:textId="0A1D2FDC" w:rsidR="004A2E03" w:rsidRPr="00C67339" w:rsidDel="00463115" w:rsidRDefault="004A2E03" w:rsidP="00B3330E">
      <w:pPr>
        <w:pStyle w:val="CERbullets"/>
        <w:numPr>
          <w:ilvl w:val="0"/>
          <w:numId w:val="12"/>
        </w:numPr>
        <w:ind w:left="357" w:hanging="357"/>
        <w:rPr>
          <w:rFonts w:ascii="Calibri" w:hAnsi="Calibri" w:cs="Calibri"/>
          <w:color w:val="000000"/>
          <w:kern w:val="2"/>
        </w:rPr>
      </w:pPr>
      <w:r w:rsidRPr="00C67339" w:rsidDel="00463115">
        <w:rPr>
          <w:rFonts w:ascii="Calibri" w:hAnsi="Calibri" w:cs="Calibri"/>
          <w:color w:val="000000"/>
          <w:kern w:val="2"/>
        </w:rPr>
        <w:t xml:space="preserve">If </w:t>
      </w:r>
      <w:r w:rsidR="00AF5B63">
        <w:rPr>
          <w:rFonts w:ascii="Calibri" w:hAnsi="Calibri" w:cs="Calibri"/>
          <w:color w:val="000000"/>
          <w:kern w:val="2"/>
        </w:rPr>
        <w:t>2</w:t>
      </w:r>
      <w:r w:rsidRPr="00C67339" w:rsidDel="00463115">
        <w:rPr>
          <w:rFonts w:ascii="Calibri" w:hAnsi="Calibri" w:cs="Calibri"/>
          <w:color w:val="000000"/>
          <w:kern w:val="2"/>
        </w:rPr>
        <w:t xml:space="preserve"> or more different activities of a facility have the same source of emissions, each activity is taken to be a separate </w:t>
      </w:r>
      <w:r>
        <w:rPr>
          <w:rFonts w:ascii="Calibri" w:hAnsi="Calibri" w:cs="Calibri"/>
          <w:color w:val="000000"/>
          <w:kern w:val="2"/>
        </w:rPr>
        <w:t>‘</w:t>
      </w:r>
      <w:r w:rsidRPr="00C67339" w:rsidDel="00463115">
        <w:rPr>
          <w:rFonts w:ascii="Calibri" w:hAnsi="Calibri" w:cs="Calibri"/>
          <w:color w:val="000000"/>
          <w:kern w:val="2"/>
        </w:rPr>
        <w:t>instance of the source</w:t>
      </w:r>
      <w:r>
        <w:rPr>
          <w:rFonts w:ascii="Calibri" w:hAnsi="Calibri" w:cs="Calibri"/>
          <w:color w:val="000000"/>
          <w:kern w:val="2"/>
        </w:rPr>
        <w:t>’</w:t>
      </w:r>
      <w:r w:rsidRPr="00C67339" w:rsidDel="00463115">
        <w:rPr>
          <w:rFonts w:ascii="Calibri" w:hAnsi="Calibri" w:cs="Calibri"/>
          <w:color w:val="000000"/>
          <w:kern w:val="2"/>
        </w:rPr>
        <w:t xml:space="preserve"> if the activity is performed by a class of equipment different from that used by another activity. </w:t>
      </w:r>
    </w:p>
    <w:p w14:paraId="19BEA061" w14:textId="32B99EC4" w:rsidR="004A2E03" w:rsidRPr="00FF338C" w:rsidRDefault="004A2E03" w:rsidP="004A2E03">
      <w:pPr>
        <w:rPr>
          <w:color w:val="auto"/>
        </w:rPr>
      </w:pPr>
      <w:r w:rsidRPr="00FF338C">
        <w:rPr>
          <w:color w:val="auto"/>
        </w:rPr>
        <w:t xml:space="preserve">For example, </w:t>
      </w:r>
      <w:r w:rsidR="00AF5B63">
        <w:rPr>
          <w:color w:val="auto"/>
        </w:rPr>
        <w:t>2</w:t>
      </w:r>
      <w:r w:rsidRPr="00FF338C">
        <w:rPr>
          <w:color w:val="auto"/>
        </w:rPr>
        <w:t xml:space="preserve"> compressors at a facility that are the same class of equipment and perform the same activity from the combustion of natural gas will be the same instance of the source. However, diesel may be combusted in generators used for electricity production and in light vehicles. </w:t>
      </w:r>
      <w:r>
        <w:rPr>
          <w:color w:val="auto"/>
        </w:rPr>
        <w:t>In this example each</w:t>
      </w:r>
      <w:r w:rsidRPr="00FF338C">
        <w:rPr>
          <w:color w:val="auto"/>
        </w:rPr>
        <w:t xml:space="preserve"> class of equipment has the same source of emissions (</w:t>
      </w:r>
      <w:r>
        <w:rPr>
          <w:color w:val="auto"/>
        </w:rPr>
        <w:t xml:space="preserve">see </w:t>
      </w:r>
      <w:r w:rsidRPr="00FF338C">
        <w:rPr>
          <w:color w:val="auto"/>
        </w:rPr>
        <w:t>1A ‘Fuel combustion’</w:t>
      </w:r>
      <w:r>
        <w:rPr>
          <w:color w:val="auto"/>
        </w:rPr>
        <w:t xml:space="preserve"> in </w:t>
      </w:r>
      <w:r w:rsidRPr="00FF338C">
        <w:rPr>
          <w:color w:val="auto"/>
        </w:rPr>
        <w:t xml:space="preserve">section 1.10 of the </w:t>
      </w:r>
      <w:r>
        <w:rPr>
          <w:color w:val="auto"/>
        </w:rPr>
        <w:t>NGER Measurement Determination</w:t>
      </w:r>
      <w:r w:rsidRPr="00FF338C">
        <w:rPr>
          <w:color w:val="auto"/>
        </w:rPr>
        <w:t xml:space="preserve">) but are separate instances of the source as they are </w:t>
      </w:r>
      <w:r w:rsidR="00AF5B63">
        <w:rPr>
          <w:color w:val="auto"/>
        </w:rPr>
        <w:t>2</w:t>
      </w:r>
      <w:r w:rsidRPr="00FF338C">
        <w:rPr>
          <w:color w:val="auto"/>
        </w:rPr>
        <w:t xml:space="preserve"> different classes of equipment used in different activities. </w:t>
      </w:r>
    </w:p>
    <w:p w14:paraId="411B79A3" w14:textId="77777777" w:rsidR="004A2E03" w:rsidRPr="00FF338C" w:rsidRDefault="004A2E03" w:rsidP="004A2E03">
      <w:pPr>
        <w:pStyle w:val="Heading4"/>
        <w:rPr>
          <w:color w:val="FF0000"/>
        </w:rPr>
      </w:pPr>
      <w:bookmarkStart w:id="81" w:name="_Toc526867689"/>
      <w:bookmarkStart w:id="82" w:name="_Toc526869731"/>
      <w:bookmarkStart w:id="83" w:name="_Toc205461433"/>
      <w:r w:rsidRPr="00FF338C">
        <w:t>Thresholds for estimating incidental emissions</w:t>
      </w:r>
      <w:bookmarkEnd w:id="81"/>
      <w:bookmarkEnd w:id="82"/>
      <w:bookmarkEnd w:id="83"/>
    </w:p>
    <w:p w14:paraId="5616383B" w14:textId="77777777" w:rsidR="004A2E03" w:rsidRPr="00FF338C" w:rsidRDefault="004A2E03" w:rsidP="004A2E03">
      <w:r w:rsidRPr="00FF338C">
        <w:t xml:space="preserve">NGER allows smaller ‘incidental emissions’ to be estimated without using a prescribed estimation method. Incidental emissions can be estimated using another method, so long as </w:t>
      </w:r>
      <w:r>
        <w:t>that method satisfies</w:t>
      </w:r>
      <w:r w:rsidRPr="00FF338C">
        <w:t xml:space="preserve"> the general estimation principles in section 1.13 of the </w:t>
      </w:r>
      <w:r>
        <w:t>NGER Measurement Determination</w:t>
      </w:r>
      <w:r w:rsidRPr="00FF338C">
        <w:t>.</w:t>
      </w:r>
    </w:p>
    <w:p w14:paraId="740AF170" w14:textId="43E8776B" w:rsidR="004A2E03" w:rsidRPr="002E567B" w:rsidRDefault="002F4BEC" w:rsidP="00084932">
      <w:pPr>
        <w:rPr>
          <w:i/>
          <w:color w:val="454743" w:themeColor="text2"/>
          <w:sz w:val="18"/>
          <w:szCs w:val="18"/>
        </w:rPr>
      </w:pPr>
      <w:r>
        <w:t xml:space="preserve">4.27(5) of the </w:t>
      </w:r>
      <w:r w:rsidR="004A2E03">
        <w:t xml:space="preserve">NGER </w:t>
      </w:r>
      <w:r>
        <w:t>R</w:t>
      </w:r>
      <w:r w:rsidR="004A2E03">
        <w:t>egulation</w:t>
      </w:r>
      <w:r>
        <w:t>s</w:t>
      </w:r>
      <w:r w:rsidR="004A2E03" w:rsidRPr="00FF338C">
        <w:t xml:space="preserve"> prescribes maximum thresholds</w:t>
      </w:r>
      <w:r w:rsidR="004A2E03">
        <w:t xml:space="preserve"> per facility</w:t>
      </w:r>
      <w:r w:rsidR="004A2E03" w:rsidRPr="00FF338C">
        <w:t xml:space="preserve"> for this allowance to estimate incidental emissions without using a prescribed method:</w:t>
      </w:r>
    </w:p>
    <w:p w14:paraId="62DD5D88" w14:textId="77777777" w:rsidR="004A2E03" w:rsidRDefault="004A2E03" w:rsidP="004A2E03">
      <w:pPr>
        <w:spacing w:after="0"/>
      </w:pPr>
    </w:p>
    <w:p w14:paraId="100031AF" w14:textId="2A4B6937" w:rsidR="002F66C4" w:rsidRDefault="002F66C4" w:rsidP="00084932">
      <w:pPr>
        <w:pStyle w:val="Caption"/>
        <w:keepNext/>
      </w:pPr>
      <w:r>
        <w:t xml:space="preserve">Table </w:t>
      </w:r>
      <w:r>
        <w:fldChar w:fldCharType="begin"/>
      </w:r>
      <w:r>
        <w:instrText xml:space="preserve"> SEQ Table \* ARABIC </w:instrText>
      </w:r>
      <w:r>
        <w:fldChar w:fldCharType="separate"/>
      </w:r>
      <w:r w:rsidR="004B0870">
        <w:rPr>
          <w:noProof/>
        </w:rPr>
        <w:t>5</w:t>
      </w:r>
      <w:r>
        <w:fldChar w:fldCharType="end"/>
      </w:r>
      <w:r>
        <w:t xml:space="preserve"> </w:t>
      </w:r>
      <w:r w:rsidRPr="00C92612">
        <w:t>– Greenhouse gas emissions incidental reporting thresholds.</w:t>
      </w:r>
    </w:p>
    <w:tbl>
      <w:tblPr>
        <w:tblStyle w:val="CERTable"/>
        <w:tblW w:w="0" w:type="auto"/>
        <w:tblLook w:val="04A0" w:firstRow="1" w:lastRow="0" w:firstColumn="1" w:lastColumn="0" w:noHBand="0" w:noVBand="1"/>
      </w:tblPr>
      <w:tblGrid>
        <w:gridCol w:w="4390"/>
        <w:gridCol w:w="2693"/>
        <w:gridCol w:w="2647"/>
      </w:tblGrid>
      <w:tr w:rsidR="00503817" w14:paraId="1A7849AE" w14:textId="77777777" w:rsidTr="009A0C6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0" w:type="dxa"/>
          </w:tcPr>
          <w:p w14:paraId="615A1062" w14:textId="77777777" w:rsidR="004A2E03" w:rsidRDefault="004A2E03">
            <w:r>
              <w:t>Application type and level</w:t>
            </w:r>
          </w:p>
        </w:tc>
        <w:tc>
          <w:tcPr>
            <w:tcW w:w="2693" w:type="dxa"/>
          </w:tcPr>
          <w:p w14:paraId="5733619B" w14:textId="77777777" w:rsidR="004A2E03" w:rsidRDefault="004A2E03">
            <w:pPr>
              <w:cnfStyle w:val="100000000000" w:firstRow="1" w:lastRow="0" w:firstColumn="0" w:lastColumn="0" w:oddVBand="0" w:evenVBand="0" w:oddHBand="0" w:evenHBand="0" w:firstRowFirstColumn="0" w:firstRowLastColumn="0" w:lastRowFirstColumn="0" w:lastRowLastColumn="0"/>
            </w:pPr>
            <w:r>
              <w:t>Scope 1 emissions (CO</w:t>
            </w:r>
            <w:r w:rsidRPr="00C16E87">
              <w:rPr>
                <w:vertAlign w:val="subscript"/>
              </w:rPr>
              <w:t>2</w:t>
            </w:r>
            <w:r>
              <w:t>-e)</w:t>
            </w:r>
          </w:p>
        </w:tc>
        <w:tc>
          <w:tcPr>
            <w:tcW w:w="2647" w:type="dxa"/>
          </w:tcPr>
          <w:p w14:paraId="693467A0" w14:textId="77777777" w:rsidR="004A2E03" w:rsidRDefault="004A2E03">
            <w:pPr>
              <w:cnfStyle w:val="100000000000" w:firstRow="1" w:lastRow="0" w:firstColumn="0" w:lastColumn="0" w:oddVBand="0" w:evenVBand="0" w:oddHBand="0" w:evenHBand="0" w:firstRowFirstColumn="0" w:firstRowLastColumn="0" w:lastRowFirstColumn="0" w:lastRowLastColumn="0"/>
            </w:pPr>
            <w:r>
              <w:t>Scope 2 emissions (CO</w:t>
            </w:r>
            <w:r w:rsidRPr="00C16E87">
              <w:rPr>
                <w:vertAlign w:val="subscript"/>
              </w:rPr>
              <w:t>2</w:t>
            </w:r>
            <w:r>
              <w:t>-e)</w:t>
            </w:r>
          </w:p>
        </w:tc>
      </w:tr>
      <w:tr w:rsidR="004A2E03" w14:paraId="540D651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13AF68E9" w14:textId="77777777" w:rsidR="004A2E03" w:rsidRDefault="004A2E03">
            <w:r>
              <w:t>Total emissions from fuel combustion at a facility</w:t>
            </w:r>
          </w:p>
        </w:tc>
        <w:tc>
          <w:tcPr>
            <w:tcW w:w="2693" w:type="dxa"/>
          </w:tcPr>
          <w:p w14:paraId="4B587E2C" w14:textId="2FA3A3D9" w:rsidR="004A2E03" w:rsidRDefault="004A2E03">
            <w:pPr>
              <w:cnfStyle w:val="000000100000" w:firstRow="0" w:lastRow="0" w:firstColumn="0" w:lastColumn="0" w:oddVBand="0" w:evenVBand="0" w:oddHBand="1" w:evenHBand="0" w:firstRowFirstColumn="0" w:firstRowLastColumn="0" w:lastRowFirstColumn="0" w:lastRowLastColumn="0"/>
            </w:pPr>
            <w:r>
              <w:t>12</w:t>
            </w:r>
            <w:r w:rsidR="00826ED1">
              <w:t> </w:t>
            </w:r>
            <w:r>
              <w:t>kt or less</w:t>
            </w:r>
          </w:p>
        </w:tc>
        <w:tc>
          <w:tcPr>
            <w:tcW w:w="2647" w:type="dxa"/>
          </w:tcPr>
          <w:p w14:paraId="1CED3B6C" w14:textId="6C7183F2" w:rsidR="004A2E03" w:rsidRDefault="004A2E03">
            <w:pPr>
              <w:cnfStyle w:val="000000100000" w:firstRow="0" w:lastRow="0" w:firstColumn="0" w:lastColumn="0" w:oddVBand="0" w:evenVBand="0" w:oddHBand="1" w:evenHBand="0" w:firstRowFirstColumn="0" w:firstRowLastColumn="0" w:lastRowFirstColumn="0" w:lastRowLastColumn="0"/>
            </w:pPr>
            <w:r>
              <w:t>12</w:t>
            </w:r>
            <w:r w:rsidR="00826ED1">
              <w:t> </w:t>
            </w:r>
            <w:r>
              <w:t>kt or less</w:t>
            </w:r>
          </w:p>
        </w:tc>
      </w:tr>
      <w:tr w:rsidR="004A2E03" w14:paraId="718E22DA" w14:textId="77777777" w:rsidTr="00D052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bottom w:val="single" w:sz="8" w:space="0" w:color="E8E8E8" w:themeColor="background2"/>
            </w:tcBorders>
          </w:tcPr>
          <w:p w14:paraId="20ED034C" w14:textId="77777777" w:rsidR="004A2E03" w:rsidRDefault="004A2E03">
            <w:proofErr w:type="gramStart"/>
            <w:r>
              <w:t>Amount</w:t>
            </w:r>
            <w:proofErr w:type="gramEnd"/>
            <w:r>
              <w:t xml:space="preserve"> of emissions from a source, other than combustion of fuel, at a facility</w:t>
            </w:r>
          </w:p>
        </w:tc>
        <w:tc>
          <w:tcPr>
            <w:tcW w:w="2693" w:type="dxa"/>
            <w:tcBorders>
              <w:bottom w:val="single" w:sz="8" w:space="0" w:color="E8E8E8" w:themeColor="background2"/>
            </w:tcBorders>
          </w:tcPr>
          <w:p w14:paraId="3FA43474" w14:textId="4BC1FCA5" w:rsidR="004A2E03" w:rsidRDefault="004A2E03">
            <w:pPr>
              <w:cnfStyle w:val="000000010000" w:firstRow="0" w:lastRow="0" w:firstColumn="0" w:lastColumn="0" w:oddVBand="0" w:evenVBand="0" w:oddHBand="0" w:evenHBand="1" w:firstRowFirstColumn="0" w:firstRowLastColumn="0" w:lastRowFirstColumn="0" w:lastRowLastColumn="0"/>
            </w:pPr>
            <w:r>
              <w:t>3</w:t>
            </w:r>
            <w:r w:rsidR="00826ED1">
              <w:t> </w:t>
            </w:r>
            <w:r>
              <w:t>kt or less</w:t>
            </w:r>
          </w:p>
        </w:tc>
        <w:tc>
          <w:tcPr>
            <w:tcW w:w="2647" w:type="dxa"/>
            <w:tcBorders>
              <w:bottom w:val="single" w:sz="8" w:space="0" w:color="E8E8E8" w:themeColor="background2"/>
            </w:tcBorders>
          </w:tcPr>
          <w:p w14:paraId="197D28AD" w14:textId="54F4BBDC" w:rsidR="004A2E03" w:rsidRDefault="004A2E03">
            <w:pPr>
              <w:cnfStyle w:val="000000010000" w:firstRow="0" w:lastRow="0" w:firstColumn="0" w:lastColumn="0" w:oddVBand="0" w:evenVBand="0" w:oddHBand="0" w:evenHBand="1" w:firstRowFirstColumn="0" w:firstRowLastColumn="0" w:lastRowFirstColumn="0" w:lastRowLastColumn="0"/>
            </w:pPr>
            <w:r>
              <w:t>3</w:t>
            </w:r>
            <w:r w:rsidR="00826ED1">
              <w:t> </w:t>
            </w:r>
            <w:r>
              <w:t>kt or less</w:t>
            </w:r>
          </w:p>
        </w:tc>
      </w:tr>
      <w:tr w:rsidR="00503817" w14:paraId="0DE87F4A" w14:textId="77777777" w:rsidTr="00D052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single" w:sz="8" w:space="0" w:color="E8E8E8" w:themeColor="background2"/>
              <w:bottom w:val="single" w:sz="4" w:space="0" w:color="FCBA5C" w:themeColor="accent2"/>
            </w:tcBorders>
          </w:tcPr>
          <w:p w14:paraId="74DBF343" w14:textId="77777777" w:rsidR="004A2E03" w:rsidRDefault="004A2E03">
            <w:r>
              <w:t>Total emissions, from a source other than combustion of fuel, at a facility</w:t>
            </w:r>
          </w:p>
        </w:tc>
        <w:tc>
          <w:tcPr>
            <w:tcW w:w="2693" w:type="dxa"/>
            <w:tcBorders>
              <w:top w:val="single" w:sz="8" w:space="0" w:color="E8E8E8" w:themeColor="background2"/>
              <w:bottom w:val="single" w:sz="4" w:space="0" w:color="FCBA5C" w:themeColor="accent2"/>
            </w:tcBorders>
          </w:tcPr>
          <w:p w14:paraId="35104B19" w14:textId="2230658C" w:rsidR="004A2E03" w:rsidRDefault="004A2E03">
            <w:pPr>
              <w:cnfStyle w:val="000000100000" w:firstRow="0" w:lastRow="0" w:firstColumn="0" w:lastColumn="0" w:oddVBand="0" w:evenVBand="0" w:oddHBand="1" w:evenHBand="0" w:firstRowFirstColumn="0" w:firstRowLastColumn="0" w:lastRowFirstColumn="0" w:lastRowLastColumn="0"/>
            </w:pPr>
            <w:r>
              <w:t>12</w:t>
            </w:r>
            <w:r w:rsidR="00826ED1">
              <w:t> </w:t>
            </w:r>
            <w:r>
              <w:t>kt or less</w:t>
            </w:r>
          </w:p>
        </w:tc>
        <w:tc>
          <w:tcPr>
            <w:tcW w:w="2647" w:type="dxa"/>
            <w:tcBorders>
              <w:top w:val="single" w:sz="8" w:space="0" w:color="E8E8E8" w:themeColor="background2"/>
              <w:bottom w:val="single" w:sz="4" w:space="0" w:color="FCBA5C" w:themeColor="accent2"/>
            </w:tcBorders>
          </w:tcPr>
          <w:p w14:paraId="4D1DDE5D" w14:textId="057829D3" w:rsidR="004A2E03" w:rsidRDefault="004A2E03">
            <w:pPr>
              <w:cnfStyle w:val="000000100000" w:firstRow="0" w:lastRow="0" w:firstColumn="0" w:lastColumn="0" w:oddVBand="0" w:evenVBand="0" w:oddHBand="1" w:evenHBand="0" w:firstRowFirstColumn="0" w:firstRowLastColumn="0" w:lastRowFirstColumn="0" w:lastRowLastColumn="0"/>
            </w:pPr>
            <w:r>
              <w:t>12</w:t>
            </w:r>
            <w:r w:rsidR="00826ED1">
              <w:t> </w:t>
            </w:r>
            <w:r>
              <w:t>kt or less</w:t>
            </w:r>
          </w:p>
        </w:tc>
      </w:tr>
    </w:tbl>
    <w:p w14:paraId="2B67E3C5" w14:textId="1F09946D" w:rsidR="004A2E03" w:rsidRPr="00FF338C" w:rsidRDefault="004A2E03" w:rsidP="004A2E03">
      <w:pPr>
        <w:spacing w:before="240"/>
      </w:pPr>
      <w:r w:rsidRPr="003A0F07">
        <w:t xml:space="preserve">This allowance provides some flexibility to estimate smaller incidental emissions without having to meet all </w:t>
      </w:r>
      <w:r>
        <w:t>requirements of</w:t>
      </w:r>
      <w:r w:rsidRPr="003A0F07">
        <w:t xml:space="preserve"> prescribed methods. However, the emissions </w:t>
      </w:r>
      <w:r>
        <w:t>must</w:t>
      </w:r>
      <w:r w:rsidRPr="003A0F07">
        <w:t xml:space="preserve"> be appropriately estimated each </w:t>
      </w:r>
      <w:r w:rsidR="00367622">
        <w:t xml:space="preserve">reporting </w:t>
      </w:r>
      <w:r w:rsidRPr="003A0F07">
        <w:t>year.</w:t>
      </w:r>
    </w:p>
    <w:p w14:paraId="4B99C4A6" w14:textId="5C935A8A" w:rsidR="004A2E03" w:rsidRPr="00D2141E" w:rsidRDefault="004A2E03" w:rsidP="004A2E03">
      <w:r w:rsidRPr="00D2141E">
        <w:t>Note: It is also important to note this is an annual allowance, accordingly, emissions sources considered incidental one</w:t>
      </w:r>
      <w:r>
        <w:t xml:space="preserve"> </w:t>
      </w:r>
      <w:r w:rsidR="00367622">
        <w:t>reporting</w:t>
      </w:r>
      <w:r w:rsidRPr="00D2141E">
        <w:t xml:space="preserve"> year may not be so the following year. Reporters</w:t>
      </w:r>
      <w:r w:rsidRPr="00D2141E" w:rsidDel="00976700">
        <w:t xml:space="preserve"> </w:t>
      </w:r>
      <w:r w:rsidRPr="00D2141E">
        <w:t xml:space="preserve">must check they meet the threshold each </w:t>
      </w:r>
      <w:r w:rsidR="00367622">
        <w:t xml:space="preserve">reporting </w:t>
      </w:r>
      <w:r w:rsidRPr="00D2141E">
        <w:t>year.</w:t>
      </w:r>
    </w:p>
    <w:p w14:paraId="79C580EE" w14:textId="61397B13" w:rsidR="007F5233" w:rsidRPr="001E1406" w:rsidRDefault="007F5233" w:rsidP="007F5233">
      <w:r>
        <w:t xml:space="preserve">See the </w:t>
      </w:r>
      <w:hyperlink r:id="rId33" w:tooltip="A link to the Aggregated facility reporting, percentage estimates, and incidental emissions and energy guide the Clean Energy Regulator website" w:history="1">
        <w:r w:rsidR="00A56784" w:rsidRPr="00F603A0">
          <w:rPr>
            <w:rStyle w:val="Hyperlink"/>
            <w:rFonts w:asciiTheme="minorHAnsi" w:hAnsiTheme="minorHAnsi"/>
          </w:rPr>
          <w:t>Guidance on aggregated facility reporting</w:t>
        </w:r>
        <w:r w:rsidR="000C0AFD">
          <w:rPr>
            <w:rStyle w:val="Hyperlink"/>
            <w:rFonts w:asciiTheme="minorHAnsi" w:hAnsiTheme="minorHAnsi"/>
          </w:rPr>
          <w:t>,</w:t>
        </w:r>
        <w:r w:rsidR="00A56784" w:rsidRPr="00F603A0">
          <w:rPr>
            <w:rStyle w:val="Hyperlink"/>
            <w:rFonts w:asciiTheme="minorHAnsi" w:hAnsiTheme="minorHAnsi"/>
          </w:rPr>
          <w:t xml:space="preserve"> percentage estimates</w:t>
        </w:r>
        <w:r w:rsidR="008D6ED6">
          <w:rPr>
            <w:rStyle w:val="Hyperlink"/>
            <w:rFonts w:asciiTheme="minorHAnsi" w:hAnsiTheme="minorHAnsi"/>
          </w:rPr>
          <w:t>,</w:t>
        </w:r>
        <w:r w:rsidR="00A56784" w:rsidRPr="00F603A0">
          <w:rPr>
            <w:rStyle w:val="Hyperlink"/>
            <w:rFonts w:asciiTheme="minorHAnsi" w:hAnsiTheme="minorHAnsi"/>
          </w:rPr>
          <w:t xml:space="preserve"> and incidental emissions and energy</w:t>
        </w:r>
      </w:hyperlink>
      <w:r w:rsidR="004B0870">
        <w:rPr>
          <w:rFonts w:ascii="ZWAdobeF" w:hAnsi="ZWAdobeF" w:cs="ZWAdobeF"/>
          <w:color w:val="auto"/>
          <w:sz w:val="2"/>
          <w:szCs w:val="2"/>
        </w:rPr>
        <w:t>13F</w:t>
      </w:r>
      <w:r w:rsidR="00F603A0">
        <w:rPr>
          <w:rStyle w:val="FootnoteReference"/>
        </w:rPr>
        <w:footnoteReference w:id="15"/>
      </w:r>
      <w:r w:rsidR="00F603A0">
        <w:t xml:space="preserve"> for more information</w:t>
      </w:r>
      <w:r w:rsidR="00636CD1">
        <w:t>.</w:t>
      </w:r>
    </w:p>
    <w:p w14:paraId="6519E41A" w14:textId="77777777" w:rsidR="004A2E03" w:rsidRPr="00FF338C" w:rsidRDefault="004A2E03" w:rsidP="00DB4B56">
      <w:pPr>
        <w:pStyle w:val="Heading2"/>
        <w:numPr>
          <w:ilvl w:val="1"/>
          <w:numId w:val="3"/>
        </w:numPr>
        <w:ind w:left="426" w:hanging="426"/>
      </w:pPr>
      <w:bookmarkStart w:id="84" w:name="_Toc512010391"/>
      <w:bookmarkStart w:id="85" w:name="_Toc512339589"/>
      <w:bookmarkStart w:id="86" w:name="_Toc106705753"/>
      <w:bookmarkStart w:id="87" w:name="_Toc205461434"/>
      <w:r w:rsidRPr="00FF338C">
        <w:t>Uncertainty</w:t>
      </w:r>
      <w:bookmarkEnd w:id="84"/>
      <w:bookmarkEnd w:id="85"/>
      <w:bookmarkEnd w:id="86"/>
      <w:bookmarkEnd w:id="87"/>
    </w:p>
    <w:p w14:paraId="2D50A472" w14:textId="7DF47329" w:rsidR="004A2E03" w:rsidRPr="00FF338C" w:rsidRDefault="004A2E03" w:rsidP="004A2E03">
      <w:r w:rsidRPr="00FF338C">
        <w:t>Uncertainty must be reported for a facility if the scope 1 emissions from the combustion of an energy type or for a source are 25,000</w:t>
      </w:r>
      <w:r w:rsidR="00B20246">
        <w:t> </w:t>
      </w:r>
      <w:r w:rsidRPr="00FF338C">
        <w:t>t</w:t>
      </w:r>
      <w:r w:rsidR="00B20246">
        <w:t> </w:t>
      </w:r>
      <w:r w:rsidRPr="00FF338C">
        <w:t>CO</w:t>
      </w:r>
      <w:r w:rsidRPr="00FF338C">
        <w:rPr>
          <w:vertAlign w:val="subscript"/>
        </w:rPr>
        <w:t>2</w:t>
      </w:r>
      <w:r w:rsidRPr="00FF338C">
        <w:t>-e or more in a reporting year</w:t>
      </w:r>
      <w:r>
        <w:t xml:space="preserve"> (r</w:t>
      </w:r>
      <w:r w:rsidRPr="00BE7AE6">
        <w:t>egulations 4.08 and 4.17A of the NGER Regulations</w:t>
      </w:r>
      <w:r>
        <w:t>)</w:t>
      </w:r>
      <w:r w:rsidRPr="00FF338C">
        <w:t>. This may particularly be the case for fuel combustion in electricity generators</w:t>
      </w:r>
      <w:r>
        <w:t xml:space="preserve">, </w:t>
      </w:r>
      <w:r w:rsidRPr="00FF338C">
        <w:t xml:space="preserve">for example coal or gas fired power stations. </w:t>
      </w:r>
    </w:p>
    <w:p w14:paraId="09C16B94" w14:textId="77777777" w:rsidR="004A2E03" w:rsidRDefault="004A2E03" w:rsidP="004A2E03">
      <w:pPr>
        <w:spacing w:after="0"/>
      </w:pPr>
      <w:r>
        <w:t>The NGER Measurement Determination</w:t>
      </w:r>
      <w:r w:rsidRPr="00FF338C">
        <w:t xml:space="preserve"> sets out how to assess uncertainty </w:t>
      </w:r>
      <w:r>
        <w:t>as follows:</w:t>
      </w:r>
    </w:p>
    <w:p w14:paraId="5C48CF27" w14:textId="249146FA" w:rsidR="004A2E03" w:rsidRDefault="004A2E03" w:rsidP="00B3330E">
      <w:pPr>
        <w:pStyle w:val="Sub-para"/>
        <w:numPr>
          <w:ilvl w:val="0"/>
          <w:numId w:val="1"/>
        </w:numPr>
      </w:pPr>
      <w:r w:rsidRPr="00FF338C">
        <w:t xml:space="preserve">Part 8.3 </w:t>
      </w:r>
      <w:r>
        <w:t xml:space="preserve">– </w:t>
      </w:r>
      <w:r w:rsidRPr="00FF338C">
        <w:t xml:space="preserve">where </w:t>
      </w:r>
      <w:r w:rsidR="07AE8538">
        <w:t>M</w:t>
      </w:r>
      <w:r>
        <w:t>ethod</w:t>
      </w:r>
      <w:r w:rsidRPr="00FF338C">
        <w:t xml:space="preserve"> 1 is used to estimate scope 1 emissions</w:t>
      </w:r>
      <w:r>
        <w:t>.</w:t>
      </w:r>
    </w:p>
    <w:p w14:paraId="703FE275" w14:textId="4D5DBED0" w:rsidR="004A2E03" w:rsidRDefault="004A2E03" w:rsidP="00B3330E">
      <w:pPr>
        <w:pStyle w:val="Sub-para"/>
        <w:numPr>
          <w:ilvl w:val="0"/>
          <w:numId w:val="1"/>
        </w:numPr>
      </w:pPr>
      <w:r w:rsidRPr="00FF338C">
        <w:t xml:space="preserve">Part 8.4 </w:t>
      </w:r>
      <w:r>
        <w:t xml:space="preserve">– </w:t>
      </w:r>
      <w:r w:rsidRPr="00FF338C">
        <w:t xml:space="preserve">where </w:t>
      </w:r>
      <w:r w:rsidR="3D965788">
        <w:t>M</w:t>
      </w:r>
      <w:r>
        <w:t>ethod</w:t>
      </w:r>
      <w:r w:rsidRPr="00FF338C">
        <w:t xml:space="preserve"> 2, 3 or 4 is used to estimate scope 1 emissions</w:t>
      </w:r>
      <w:r>
        <w:t>.</w:t>
      </w:r>
    </w:p>
    <w:p w14:paraId="5DDF93CB" w14:textId="75336A81" w:rsidR="004A2E03" w:rsidRPr="00EE0C1D" w:rsidRDefault="004A2E03" w:rsidP="004A2E03">
      <w:pPr>
        <w:pStyle w:val="Sub-para"/>
        <w:ind w:left="0" w:firstLine="0"/>
      </w:pPr>
      <w:r>
        <w:t>See</w:t>
      </w:r>
      <w:r w:rsidRPr="00FF338C">
        <w:t xml:space="preserve"> the </w:t>
      </w:r>
      <w:hyperlink r:id="rId34" w:tooltip="A link to the Reporting uncertainty guide the Clean Energy Regulator website" w:history="1">
        <w:r w:rsidRPr="00C67339">
          <w:rPr>
            <w:rStyle w:val="Hyperlink"/>
            <w:rFonts w:asciiTheme="minorHAnsi" w:hAnsiTheme="minorHAnsi"/>
            <w:iCs/>
          </w:rPr>
          <w:t>Reporting uncertainty</w:t>
        </w:r>
        <w:r w:rsidRPr="00EE0C1D">
          <w:rPr>
            <w:rStyle w:val="Hyperlink"/>
            <w:rFonts w:asciiTheme="minorHAnsi" w:hAnsiTheme="minorHAnsi"/>
          </w:rPr>
          <w:t xml:space="preserve"> guideline</w:t>
        </w:r>
      </w:hyperlink>
      <w:r w:rsidR="004B0870">
        <w:rPr>
          <w:rFonts w:ascii="ZWAdobeF" w:hAnsi="ZWAdobeF" w:cs="ZWAdobeF"/>
          <w:sz w:val="2"/>
          <w:szCs w:val="2"/>
        </w:rPr>
        <w:t>14F</w:t>
      </w:r>
      <w:r w:rsidRPr="00FF338C">
        <w:rPr>
          <w:rStyle w:val="FootnoteReference"/>
        </w:rPr>
        <w:footnoteReference w:id="16"/>
      </w:r>
      <w:r>
        <w:t xml:space="preserve"> for more information</w:t>
      </w:r>
      <w:r w:rsidRPr="00FF338C">
        <w:t>.</w:t>
      </w:r>
    </w:p>
    <w:p w14:paraId="0C5DC442" w14:textId="77777777" w:rsidR="00583144" w:rsidRDefault="00583144">
      <w:pPr>
        <w:spacing w:after="0"/>
        <w:rPr>
          <w:rFonts w:ascii="Calibri" w:eastAsia="Times New Roman" w:hAnsi="Calibri" w:cs="Calibri"/>
          <w:b/>
          <w:bCs/>
          <w:kern w:val="32"/>
          <w:sz w:val="40"/>
          <w:lang w:val="en-GB"/>
        </w:rPr>
      </w:pPr>
      <w:bookmarkStart w:id="88" w:name="_Estimating_emissions_from"/>
      <w:bookmarkStart w:id="89" w:name="_Ref511911416"/>
      <w:bookmarkStart w:id="90" w:name="_Toc512010392"/>
      <w:bookmarkStart w:id="91" w:name="_Toc512339590"/>
      <w:bookmarkStart w:id="92" w:name="_Toc106705754"/>
      <w:bookmarkEnd w:id="88"/>
      <w:r>
        <w:rPr>
          <w:lang w:val="en-GB"/>
        </w:rPr>
        <w:br w:type="page"/>
      </w:r>
    </w:p>
    <w:p w14:paraId="6535C529" w14:textId="184AE5C7" w:rsidR="004A2E03" w:rsidRPr="00FF338C" w:rsidRDefault="004A2E03" w:rsidP="00B3330E">
      <w:pPr>
        <w:pStyle w:val="Heading1"/>
        <w:numPr>
          <w:ilvl w:val="0"/>
          <w:numId w:val="3"/>
        </w:numPr>
        <w:rPr>
          <w:lang w:val="en-GB"/>
        </w:rPr>
      </w:pPr>
      <w:bookmarkStart w:id="93" w:name="_Toc205461435"/>
      <w:r w:rsidRPr="00FF338C">
        <w:rPr>
          <w:lang w:val="en-GB"/>
        </w:rPr>
        <w:t>Estimating emissions from fuel combustion</w:t>
      </w:r>
      <w:bookmarkEnd w:id="89"/>
      <w:bookmarkEnd w:id="90"/>
      <w:bookmarkEnd w:id="91"/>
      <w:bookmarkEnd w:id="92"/>
      <w:bookmarkEnd w:id="93"/>
    </w:p>
    <w:p w14:paraId="7C21DF2D" w14:textId="145F4BA7" w:rsidR="00734346" w:rsidRDefault="004A2E03" w:rsidP="00250E83">
      <w:pPr>
        <w:spacing w:after="0"/>
        <w:rPr>
          <w:color w:val="auto"/>
        </w:rPr>
      </w:pPr>
      <w:r w:rsidRPr="00FF338C">
        <w:t xml:space="preserve">Fuel combustion accounts for a large proportion of scope 1 emissions from the electricity sector. Available estimation methods are provided in </w:t>
      </w:r>
      <w:r>
        <w:t>c</w:t>
      </w:r>
      <w:r w:rsidRPr="00FF338C">
        <w:t xml:space="preserve">hapter 2 of the </w:t>
      </w:r>
      <w:r>
        <w:t>NGER Measurement Determination</w:t>
      </w:r>
      <w:r w:rsidRPr="00FF338C">
        <w:t xml:space="preserve"> </w:t>
      </w:r>
      <w:r w:rsidRPr="00FF338C">
        <w:rPr>
          <w:color w:val="auto"/>
        </w:rPr>
        <w:t xml:space="preserve">and vary according </w:t>
      </w:r>
      <w:r w:rsidR="00250E83">
        <w:rPr>
          <w:color w:val="auto"/>
        </w:rPr>
        <w:t>to</w:t>
      </w:r>
      <w:r w:rsidR="0060185E">
        <w:rPr>
          <w:color w:val="auto"/>
        </w:rPr>
        <w:t>:</w:t>
      </w:r>
      <w:r w:rsidR="00250E83">
        <w:rPr>
          <w:color w:val="auto"/>
        </w:rPr>
        <w:t xml:space="preserve"> </w:t>
      </w:r>
    </w:p>
    <w:p w14:paraId="698578C8" w14:textId="788EA05F" w:rsidR="004A2E03" w:rsidRDefault="007662A0" w:rsidP="00D2141E">
      <w:pPr>
        <w:pStyle w:val="CERbullets"/>
      </w:pPr>
      <w:r>
        <w:t>t</w:t>
      </w:r>
      <w:r w:rsidR="004A2E03" w:rsidRPr="00FF338C">
        <w:t xml:space="preserve">he physical state of the fuel being combusted, </w:t>
      </w:r>
      <w:r w:rsidR="004A2E03">
        <w:t>for example:</w:t>
      </w:r>
    </w:p>
    <w:p w14:paraId="4E6C72D7" w14:textId="52766C40" w:rsidR="007662A0" w:rsidRPr="003D09A1" w:rsidRDefault="00771A1F" w:rsidP="0005403B">
      <w:pPr>
        <w:pStyle w:val="Sub-para"/>
        <w:numPr>
          <w:ilvl w:val="0"/>
          <w:numId w:val="20"/>
        </w:numPr>
      </w:pPr>
      <w:r w:rsidRPr="00D2141E">
        <w:t xml:space="preserve">Part 2.2 </w:t>
      </w:r>
      <w:r>
        <w:t xml:space="preserve">– </w:t>
      </w:r>
      <w:r w:rsidR="003D09A1">
        <w:t>combustion of solid fuel</w:t>
      </w:r>
    </w:p>
    <w:p w14:paraId="6634BB6B" w14:textId="106DA891" w:rsidR="003D09A1" w:rsidRDefault="003D09A1" w:rsidP="0005403B">
      <w:pPr>
        <w:pStyle w:val="Sub-para"/>
        <w:numPr>
          <w:ilvl w:val="0"/>
          <w:numId w:val="18"/>
        </w:numPr>
      </w:pPr>
      <w:r>
        <w:t>Part 2.3 – combustion of gaseous fuel</w:t>
      </w:r>
    </w:p>
    <w:p w14:paraId="586EF0DD" w14:textId="3BCBADFA" w:rsidR="003D09A1" w:rsidRPr="003D09A1" w:rsidRDefault="003D09A1" w:rsidP="0005403B">
      <w:pPr>
        <w:pStyle w:val="Sub-para"/>
        <w:numPr>
          <w:ilvl w:val="0"/>
          <w:numId w:val="18"/>
        </w:numPr>
      </w:pPr>
      <w:r>
        <w:t>Part 2.4 – combustion of liquid fuel</w:t>
      </w:r>
    </w:p>
    <w:p w14:paraId="4BA9C310" w14:textId="752A973F" w:rsidR="00734346" w:rsidRDefault="00734346" w:rsidP="00734346">
      <w:pPr>
        <w:pStyle w:val="CERbullets"/>
      </w:pPr>
      <w:r>
        <w:t>t</w:t>
      </w:r>
      <w:r w:rsidR="004A2E03" w:rsidRPr="00FF338C">
        <w:t xml:space="preserve">he type </w:t>
      </w:r>
      <w:r w:rsidR="004A2E03" w:rsidRPr="00604B1A">
        <w:rPr>
          <w:color w:val="000000" w:themeColor="text1"/>
        </w:rPr>
        <w:t>of</w:t>
      </w:r>
      <w:r w:rsidR="004A2E03" w:rsidRPr="00FF338C">
        <w:t xml:space="preserve"> greenhouse gas emitted, being carbon dioxide, methane and nitrous oxide (as applicable).</w:t>
      </w:r>
    </w:p>
    <w:p w14:paraId="0ECEF58F" w14:textId="7F04F2E2" w:rsidR="004A2E03" w:rsidRPr="00FF338C" w:rsidRDefault="004A2E03" w:rsidP="00D2141E">
      <w:pPr>
        <w:spacing w:before="240"/>
      </w:pPr>
      <w:r w:rsidRPr="00FF338C">
        <w:t xml:space="preserve">Depending on the </w:t>
      </w:r>
      <w:r>
        <w:t>applicable greenhouse gas,</w:t>
      </w:r>
      <w:r w:rsidRPr="00FF338C" w:rsidDel="006924E9">
        <w:t xml:space="preserve"> </w:t>
      </w:r>
      <w:r w:rsidRPr="00FF338C">
        <w:t xml:space="preserve">emissions from fuel combustion can be estimated by: </w:t>
      </w:r>
    </w:p>
    <w:p w14:paraId="34AF2E7D" w14:textId="76F07FBB" w:rsidR="004A2E03" w:rsidRPr="00FF338C" w:rsidRDefault="004A2E03" w:rsidP="00D2141E">
      <w:pPr>
        <w:pStyle w:val="Sub-para"/>
        <w:numPr>
          <w:ilvl w:val="0"/>
          <w:numId w:val="1"/>
        </w:numPr>
      </w:pPr>
      <w:r w:rsidRPr="00FF338C">
        <w:t>the use of emission factors and energy content of the</w:t>
      </w:r>
      <w:r>
        <w:t xml:space="preserve"> fuel combusted (</w:t>
      </w:r>
      <w:r w:rsidR="6C271546">
        <w:t>M</w:t>
      </w:r>
      <w:r>
        <w:t>ethods</w:t>
      </w:r>
      <w:r w:rsidRPr="00FF338C">
        <w:t xml:space="preserve"> 1, 2 or 3</w:t>
      </w:r>
      <w:r>
        <w:t>)</w:t>
      </w:r>
    </w:p>
    <w:p w14:paraId="3F974C73" w14:textId="3E100F59" w:rsidR="004A2E03" w:rsidRPr="00FF338C" w:rsidRDefault="004A2E03" w:rsidP="00D2141E">
      <w:pPr>
        <w:pStyle w:val="Sub-para"/>
        <w:numPr>
          <w:ilvl w:val="0"/>
          <w:numId w:val="1"/>
        </w:numPr>
      </w:pPr>
      <w:r w:rsidRPr="00FF338C">
        <w:t>d</w:t>
      </w:r>
      <w:r>
        <w:t>irect measurement of emissions</w:t>
      </w:r>
      <w:r w:rsidRPr="00FF338C">
        <w:t xml:space="preserve"> </w:t>
      </w:r>
      <w:r>
        <w:t>(</w:t>
      </w:r>
      <w:r w:rsidR="0AB7F988">
        <w:t>M</w:t>
      </w:r>
      <w:r>
        <w:t>ethod</w:t>
      </w:r>
      <w:r w:rsidRPr="00FF338C">
        <w:t xml:space="preserve"> 4</w:t>
      </w:r>
      <w:r>
        <w:t>)</w:t>
      </w:r>
      <w:r w:rsidRPr="00FF338C">
        <w:t xml:space="preserve">. </w:t>
      </w:r>
    </w:p>
    <w:p w14:paraId="2A5CA5DB" w14:textId="620334C1" w:rsidR="004A2E03" w:rsidRPr="00FF338C" w:rsidRDefault="004A2E03" w:rsidP="004A2E03"/>
    <w:tbl>
      <w:tblPr>
        <w:tblStyle w:val="CERCallout"/>
        <w:tblW w:w="5000" w:type="pct"/>
        <w:tblLook w:val="04A0" w:firstRow="1" w:lastRow="0" w:firstColumn="1" w:lastColumn="0" w:noHBand="0" w:noVBand="1"/>
      </w:tblPr>
      <w:tblGrid>
        <w:gridCol w:w="9710"/>
      </w:tblGrid>
      <w:tr w:rsidR="00D67F2D" w:rsidRPr="00FF338C" w14:paraId="5444B4A3" w14:textId="77777777" w:rsidTr="008E6B32">
        <w:trPr>
          <w:cnfStyle w:val="100000000000" w:firstRow="1" w:lastRow="0" w:firstColumn="0" w:lastColumn="0" w:oddVBand="0" w:evenVBand="0" w:oddHBand="0" w:evenHBand="0" w:firstRowFirstColumn="0" w:firstRowLastColumn="0" w:lastRowFirstColumn="0" w:lastRowLastColumn="0"/>
        </w:trPr>
        <w:tc>
          <w:tcPr>
            <w:tcW w:w="5000" w:type="pct"/>
            <w:hideMark/>
          </w:tcPr>
          <w:p w14:paraId="3F538060" w14:textId="5713A2D1" w:rsidR="004A2E03" w:rsidRPr="00302E97" w:rsidRDefault="004B0870">
            <w:pPr>
              <w:pStyle w:val="Heading5"/>
              <w:ind w:left="5"/>
              <w:rPr>
                <w:b/>
                <w:bCs/>
              </w:rPr>
            </w:pPr>
            <w:bookmarkStart w:id="94" w:name="_Toc526867692"/>
            <w:bookmarkStart w:id="95" w:name="_Toc526869734"/>
            <w:bookmarkStart w:id="96" w:name="_Toc205461436"/>
            <w:r>
              <w:rPr>
                <w:rFonts w:ascii="ZWAdobeF" w:hAnsi="ZWAdobeF" w:cs="ZWAdobeF"/>
                <w:bCs/>
                <w:color w:val="auto"/>
                <w:sz w:val="2"/>
                <w:szCs w:val="2"/>
              </w:rPr>
              <w:t>3B</w:t>
            </w:r>
            <w:r w:rsidR="004A2E03" w:rsidRPr="00302E97">
              <w:rPr>
                <w:b/>
                <w:bCs/>
              </w:rPr>
              <w:t>Example – difference between estimating emissions using emission factors and energy content of fuel combusted, and direct measurement of emissions</w:t>
            </w:r>
            <w:bookmarkEnd w:id="94"/>
            <w:bookmarkEnd w:id="95"/>
            <w:bookmarkEnd w:id="96"/>
          </w:p>
          <w:p w14:paraId="0170B719" w14:textId="181BAE7A" w:rsidR="004A2E03" w:rsidRPr="00D12436" w:rsidRDefault="004A2E03">
            <w:pPr>
              <w:ind w:left="5"/>
              <w:rPr>
                <w:b w:val="0"/>
                <w:bCs/>
              </w:rPr>
            </w:pPr>
            <w:hyperlink w:anchor="_Case_example_1:" w:history="1">
              <w:r w:rsidRPr="00D12436">
                <w:rPr>
                  <w:rStyle w:val="Hyperlink"/>
                  <w:rFonts w:asciiTheme="minorHAnsi" w:hAnsiTheme="minorHAnsi"/>
                  <w:b w:val="0"/>
                  <w:bCs/>
                </w:rPr>
                <w:t>Case example 1 in Appendix A</w:t>
              </w:r>
            </w:hyperlink>
            <w:r w:rsidRPr="00D12436">
              <w:rPr>
                <w:b w:val="0"/>
                <w:bCs/>
              </w:rPr>
              <w:t xml:space="preserve"> illustrates the </w:t>
            </w:r>
            <w:r w:rsidR="00A9485E" w:rsidRPr="00D12436">
              <w:rPr>
                <w:b w:val="0"/>
                <w:bCs/>
              </w:rPr>
              <w:t>principal</w:t>
            </w:r>
            <w:r w:rsidRPr="00D12436">
              <w:rPr>
                <w:b w:val="0"/>
                <w:bCs/>
              </w:rPr>
              <w:t xml:space="preserve"> difference in respect of a gas-fired power station between estimating emissions using emission factors and energy content of fuel combusted, and direct measurement of emissions. </w:t>
            </w:r>
          </w:p>
          <w:p w14:paraId="5C2CF3DA" w14:textId="77777777" w:rsidR="004A2E03" w:rsidRPr="00D12436" w:rsidRDefault="004A2E03">
            <w:pPr>
              <w:ind w:left="3"/>
              <w:rPr>
                <w:b w:val="0"/>
                <w:bCs/>
              </w:rPr>
            </w:pPr>
            <w:r w:rsidRPr="00D12436">
              <w:rPr>
                <w:b w:val="0"/>
                <w:bCs/>
              </w:rPr>
              <w:t>Scope 1 emissions occur when carbon dioxide (CO</w:t>
            </w:r>
            <w:r w:rsidRPr="00D12436">
              <w:rPr>
                <w:b w:val="0"/>
                <w:bCs/>
                <w:vertAlign w:val="subscript"/>
              </w:rPr>
              <w:t>2</w:t>
            </w:r>
            <w:r w:rsidRPr="00D12436">
              <w:rPr>
                <w:b w:val="0"/>
                <w:bCs/>
              </w:rPr>
              <w:t>), methane (CH</w:t>
            </w:r>
            <w:r w:rsidRPr="00D12436">
              <w:rPr>
                <w:b w:val="0"/>
                <w:bCs/>
                <w:vertAlign w:val="subscript"/>
              </w:rPr>
              <w:t>4</w:t>
            </w:r>
            <w:r w:rsidRPr="00D12436">
              <w:rPr>
                <w:b w:val="0"/>
                <w:bCs/>
              </w:rPr>
              <w:t>) and nitrous oxide (N</w:t>
            </w:r>
            <w:r w:rsidRPr="00D12436">
              <w:rPr>
                <w:b w:val="0"/>
                <w:bCs/>
                <w:vertAlign w:val="subscript"/>
              </w:rPr>
              <w:t>2</w:t>
            </w:r>
            <w:r w:rsidRPr="00D12436">
              <w:rPr>
                <w:b w:val="0"/>
                <w:bCs/>
              </w:rPr>
              <w:t xml:space="preserve">O) are released through the discharge point </w:t>
            </w:r>
            <w:proofErr w:type="gramStart"/>
            <w:r w:rsidRPr="00D12436">
              <w:rPr>
                <w:b w:val="0"/>
                <w:bCs/>
              </w:rPr>
              <w:t>as a result of</w:t>
            </w:r>
            <w:proofErr w:type="gramEnd"/>
            <w:r w:rsidRPr="00D12436">
              <w:rPr>
                <w:b w:val="0"/>
                <w:bCs/>
              </w:rPr>
              <w:t xml:space="preserve"> combusting gaseous fuel to generate electricity.</w:t>
            </w:r>
          </w:p>
          <w:p w14:paraId="4393CDC2" w14:textId="77777777" w:rsidR="004A2E03" w:rsidRPr="00D12436" w:rsidRDefault="004A2E03" w:rsidP="00B3330E">
            <w:pPr>
              <w:numPr>
                <w:ilvl w:val="0"/>
                <w:numId w:val="1"/>
              </w:numPr>
              <w:spacing w:before="120" w:beforeAutospacing="0" w:after="120"/>
              <w:rPr>
                <w:b w:val="0"/>
                <w:bCs/>
              </w:rPr>
            </w:pPr>
            <w:r w:rsidRPr="00D12436">
              <w:rPr>
                <w:b w:val="0"/>
                <w:bCs/>
              </w:rPr>
              <w:t xml:space="preserve">Estimating emissions using emission factors and energy content of fuel combusted involves </w:t>
            </w:r>
            <w:r w:rsidRPr="00D12436">
              <w:rPr>
                <w:b w:val="0"/>
                <w:bCs/>
                <w:color w:val="auto"/>
              </w:rPr>
              <w:t>estimating</w:t>
            </w:r>
            <w:r w:rsidRPr="00D12436">
              <w:rPr>
                <w:b w:val="0"/>
                <w:bCs/>
              </w:rPr>
              <w:t xml:space="preserve"> the gases released through the chimney using the amount of fuel combusted (number 2 in the diagram provided in the case example) – it then applies energy content and emission factors for the gaseous fuel combusted to estimate the emissions, rather than measuring the emissions directly.</w:t>
            </w:r>
          </w:p>
          <w:p w14:paraId="18496F6F" w14:textId="77777777" w:rsidR="004A2E03" w:rsidRPr="00FF338C" w:rsidRDefault="004A2E03" w:rsidP="00B3330E">
            <w:pPr>
              <w:numPr>
                <w:ilvl w:val="0"/>
                <w:numId w:val="1"/>
              </w:numPr>
              <w:spacing w:before="120" w:beforeAutospacing="0" w:after="120"/>
              <w:rPr>
                <w:b w:val="0"/>
              </w:rPr>
            </w:pPr>
            <w:r w:rsidRPr="00D12436">
              <w:rPr>
                <w:b w:val="0"/>
                <w:bCs/>
              </w:rPr>
              <w:t xml:space="preserve">Direct measurement of emissions involves direct </w:t>
            </w:r>
            <w:r w:rsidRPr="00D12436">
              <w:rPr>
                <w:b w:val="0"/>
                <w:bCs/>
                <w:color w:val="auto"/>
              </w:rPr>
              <w:t>measurement</w:t>
            </w:r>
            <w:r w:rsidRPr="00D12436">
              <w:rPr>
                <w:b w:val="0"/>
                <w:bCs/>
              </w:rPr>
              <w:t xml:space="preserve"> of the gases released through the chimney using appropriate gas monitoring equipment at the chimney (see number 3 in the case example).</w:t>
            </w:r>
          </w:p>
        </w:tc>
      </w:tr>
    </w:tbl>
    <w:p w14:paraId="31C4C98F" w14:textId="77777777" w:rsidR="004A2E03" w:rsidRPr="00FF338C" w:rsidRDefault="004A2E03" w:rsidP="00DB4B56">
      <w:pPr>
        <w:pStyle w:val="Heading2"/>
        <w:numPr>
          <w:ilvl w:val="1"/>
          <w:numId w:val="3"/>
        </w:numPr>
        <w:ind w:left="426" w:hanging="426"/>
      </w:pPr>
      <w:bookmarkStart w:id="97" w:name="_Toc512010393"/>
      <w:bookmarkStart w:id="98" w:name="_Toc512339591"/>
      <w:bookmarkStart w:id="99" w:name="_Toc106705755"/>
      <w:bookmarkStart w:id="100" w:name="_Toc205461437"/>
      <w:r w:rsidRPr="00FF338C">
        <w:t>Method 1, 2 and 3 – using emission factors and energy content of fuel combusted</w:t>
      </w:r>
      <w:bookmarkEnd w:id="97"/>
      <w:bookmarkEnd w:id="98"/>
      <w:bookmarkEnd w:id="99"/>
      <w:bookmarkEnd w:id="100"/>
    </w:p>
    <w:p w14:paraId="65752FB7" w14:textId="628B09C7" w:rsidR="004A2E03" w:rsidRPr="00FF338C" w:rsidRDefault="004A2E03" w:rsidP="004A2E03">
      <w:r w:rsidRPr="00FF338C">
        <w:t xml:space="preserve">For </w:t>
      </w:r>
      <w:r w:rsidR="06BD88F3">
        <w:t>M</w:t>
      </w:r>
      <w:r w:rsidRPr="00FF338C">
        <w:t>ethods 1, 2 and 3</w:t>
      </w:r>
      <w:r>
        <w:t>,</w:t>
      </w:r>
      <w:r w:rsidRPr="00FF338C">
        <w:t xml:space="preserve"> greenhouse gas emissions from fuel combustion are based on:</w:t>
      </w:r>
    </w:p>
    <w:p w14:paraId="5BB4653B" w14:textId="379B59F1" w:rsidR="004A2E03" w:rsidRPr="00FF338C" w:rsidRDefault="004A2E03" w:rsidP="00B3330E">
      <w:pPr>
        <w:numPr>
          <w:ilvl w:val="0"/>
          <w:numId w:val="1"/>
        </w:numPr>
        <w:spacing w:before="120" w:after="120"/>
        <w:ind w:right="284"/>
      </w:pPr>
      <w:r w:rsidRPr="00FF338C">
        <w:t xml:space="preserve">measuring the fuel consumed for combustion during the </w:t>
      </w:r>
      <w:r w:rsidR="007F312E">
        <w:t xml:space="preserve">reporting </w:t>
      </w:r>
      <w:r w:rsidRPr="00FF338C">
        <w:t>year (Q)</w:t>
      </w:r>
    </w:p>
    <w:p w14:paraId="329C7BE6" w14:textId="3262F001" w:rsidR="004A2E03" w:rsidRPr="00FF338C" w:rsidRDefault="004A2E03" w:rsidP="00B3330E">
      <w:pPr>
        <w:numPr>
          <w:ilvl w:val="0"/>
          <w:numId w:val="1"/>
        </w:numPr>
        <w:spacing w:before="120" w:after="120"/>
        <w:ind w:right="284"/>
      </w:pPr>
      <w:r w:rsidRPr="00FF338C">
        <w:t>applying appropriate energy content and emission factors for carbon dioxide, methane and nitrous oxide.</w:t>
      </w:r>
    </w:p>
    <w:p w14:paraId="3849FCDF" w14:textId="7F68F1B7" w:rsidR="004A2E03" w:rsidRPr="00FF338C" w:rsidRDefault="004A2E03" w:rsidP="004A2E03">
      <w:pPr>
        <w:pStyle w:val="Heading4"/>
      </w:pPr>
      <w:bookmarkStart w:id="101" w:name="_Toc526867694"/>
      <w:bookmarkStart w:id="102" w:name="_Toc526869736"/>
      <w:bookmarkStart w:id="103" w:name="_Toc205461438"/>
      <w:r w:rsidRPr="00FF338C">
        <w:t xml:space="preserve">Quantity of fuel combusted required for </w:t>
      </w:r>
      <w:r w:rsidR="7D45E645">
        <w:t>M</w:t>
      </w:r>
      <w:r w:rsidRPr="00FF338C">
        <w:t>ethod</w:t>
      </w:r>
      <w:r>
        <w:t>s</w:t>
      </w:r>
      <w:r w:rsidRPr="00FF338C">
        <w:t xml:space="preserve"> 1, 2 and 3</w:t>
      </w:r>
      <w:bookmarkEnd w:id="101"/>
      <w:bookmarkEnd w:id="102"/>
      <w:bookmarkEnd w:id="103"/>
    </w:p>
    <w:p w14:paraId="0976DA72" w14:textId="11B7C5EC" w:rsidR="004A2E03" w:rsidRDefault="004A2E03" w:rsidP="004A2E03">
      <w:r w:rsidRPr="00FF338C">
        <w:t xml:space="preserve">The accuracy and completeness of the emissions estimates depend on measurement of the quantity of fuel consumed for combustion during the </w:t>
      </w:r>
      <w:r w:rsidR="007F312E">
        <w:t>reporting</w:t>
      </w:r>
      <w:r w:rsidRPr="00FF338C">
        <w:t xml:space="preserve"> year (Q).</w:t>
      </w:r>
    </w:p>
    <w:p w14:paraId="2FA6FC51" w14:textId="77777777" w:rsidR="004A2E03" w:rsidRDefault="004A2E03" w:rsidP="004A2E03">
      <w:r w:rsidRPr="00FF338C">
        <w:t>Whilst these differ</w:t>
      </w:r>
      <w:r>
        <w:t xml:space="preserve"> for </w:t>
      </w:r>
      <w:r w:rsidRPr="00FF338C">
        <w:t>each fuel category (solid, gaseous and liquid), there is significant commonality.</w:t>
      </w:r>
    </w:p>
    <w:p w14:paraId="342A6C0B" w14:textId="77777777" w:rsidR="004A2E03" w:rsidRPr="00FF338C" w:rsidRDefault="004A2E03" w:rsidP="004A2E03">
      <w:r w:rsidRPr="00FF338C">
        <w:t xml:space="preserve">More detail on measurement requirements is available in </w:t>
      </w:r>
      <w:hyperlink w:anchor="_Measurement_requirements" w:history="1">
        <w:r w:rsidRPr="009F2565">
          <w:rPr>
            <w:rStyle w:val="Hyperlink"/>
            <w:rFonts w:asciiTheme="minorHAnsi" w:hAnsiTheme="minorHAnsi"/>
          </w:rPr>
          <w:t>chapter 8</w:t>
        </w:r>
      </w:hyperlink>
      <w:r w:rsidRPr="00FF338C">
        <w:t xml:space="preserve"> </w:t>
      </w:r>
      <w:r>
        <w:t>of this guideline</w:t>
      </w:r>
      <w:r w:rsidRPr="00FF338C">
        <w:t>.</w:t>
      </w:r>
    </w:p>
    <w:p w14:paraId="5A7FB9D0" w14:textId="77777777" w:rsidR="004A2E03" w:rsidRPr="00FF338C" w:rsidRDefault="004A2E03" w:rsidP="004A2E03">
      <w:pPr>
        <w:pStyle w:val="Heading4"/>
      </w:pPr>
      <w:bookmarkStart w:id="104" w:name="_Toc526867695"/>
      <w:bookmarkStart w:id="105" w:name="_Toc526869737"/>
      <w:bookmarkStart w:id="106" w:name="_Toc205461439"/>
      <w:r w:rsidRPr="00FF338C">
        <w:t>Method 1 – default emission factors</w:t>
      </w:r>
      <w:bookmarkEnd w:id="104"/>
      <w:bookmarkEnd w:id="105"/>
      <w:bookmarkEnd w:id="106"/>
    </w:p>
    <w:p w14:paraId="710835E7" w14:textId="77777777" w:rsidR="004A2E03" w:rsidRDefault="004A2E03" w:rsidP="004A2E03">
      <w:r w:rsidRPr="00FF338C">
        <w:t xml:space="preserve">Method 1 requires measuring the quantity of fuel combusted, determining the correct fuel type from Schedule 1 of the </w:t>
      </w:r>
      <w:r>
        <w:t>NGER Measurement Determination</w:t>
      </w:r>
      <w:r w:rsidRPr="00FF338C">
        <w:t xml:space="preserve"> and use of the corresponding default emission factors</w:t>
      </w:r>
      <w:r>
        <w:t xml:space="preserve"> listed within Schedule 1 of the NGER Measurement Determination.</w:t>
      </w:r>
      <w:r w:rsidRPr="00FF338C">
        <w:t xml:space="preserve"> </w:t>
      </w:r>
    </w:p>
    <w:p w14:paraId="6308DAD9" w14:textId="77777777" w:rsidR="004A2E03" w:rsidRDefault="004A2E03" w:rsidP="004A2E03">
      <w:bookmarkStart w:id="107" w:name="OLE_LINK2"/>
      <w:r>
        <w:t xml:space="preserve">Reporters can use either the default </w:t>
      </w:r>
      <w:r w:rsidRPr="00FF338C">
        <w:t>energy content factor</w:t>
      </w:r>
      <w:r>
        <w:t xml:space="preserve"> for the </w:t>
      </w:r>
      <w:r w:rsidRPr="00FF338C">
        <w:t xml:space="preserve">fuel type </w:t>
      </w:r>
      <w:r>
        <w:t xml:space="preserve">listed within Schedule 1 of the NGER Measurement Determination or a non-default energy content factor </w:t>
      </w:r>
      <w:r w:rsidRPr="00FF338C">
        <w:t xml:space="preserve">estimated under section 6.5 of the </w:t>
      </w:r>
      <w:r>
        <w:t>NGER Measurement Determination</w:t>
      </w:r>
      <w:r w:rsidRPr="00FF338C">
        <w:t>.</w:t>
      </w:r>
      <w:bookmarkEnd w:id="107"/>
      <w:r w:rsidRPr="00FF338C">
        <w:t xml:space="preserve"> </w:t>
      </w:r>
    </w:p>
    <w:p w14:paraId="65C0A174" w14:textId="43570334" w:rsidR="004A2E03" w:rsidRPr="00FF338C" w:rsidRDefault="004A2E03" w:rsidP="004A2E03">
      <w:r w:rsidRPr="0018616C">
        <w:t xml:space="preserve">Method 1 </w:t>
      </w:r>
      <w:r>
        <w:t>must</w:t>
      </w:r>
      <w:r w:rsidRPr="0018616C">
        <w:t xml:space="preserve"> not be used to estimate carbon dioxide emissions from the </w:t>
      </w:r>
      <w:r w:rsidRPr="00502833">
        <w:t xml:space="preserve">combustion of </w:t>
      </w:r>
      <w:r w:rsidR="00662791">
        <w:t>a</w:t>
      </w:r>
      <w:r w:rsidRPr="00502833">
        <w:t xml:space="preserve"> solid</w:t>
      </w:r>
      <w:r w:rsidRPr="0018616C">
        <w:t xml:space="preserve"> or </w:t>
      </w:r>
      <w:r w:rsidRPr="00502833">
        <w:t>gaseous fossil fuel</w:t>
      </w:r>
      <w:r w:rsidRPr="0018616C">
        <w:t xml:space="preserve"> </w:t>
      </w:r>
      <w:r>
        <w:t>if</w:t>
      </w:r>
      <w:r w:rsidR="00620979">
        <w:t xml:space="preserve"> the following conditions are met</w:t>
      </w:r>
      <w:r w:rsidRPr="00FF338C">
        <w:t>:</w:t>
      </w:r>
    </w:p>
    <w:p w14:paraId="29FECB30" w14:textId="617861C0" w:rsidR="004A2E03" w:rsidRPr="00FF338C" w:rsidRDefault="004A2E03" w:rsidP="00B3330E">
      <w:pPr>
        <w:numPr>
          <w:ilvl w:val="0"/>
          <w:numId w:val="1"/>
        </w:numPr>
        <w:spacing w:before="120" w:after="120"/>
        <w:ind w:right="284"/>
      </w:pPr>
      <w:r>
        <w:t xml:space="preserve">the solid or gaseous fuel </w:t>
      </w:r>
      <w:r w:rsidR="00662791">
        <w:t>is</w:t>
      </w:r>
      <w:r>
        <w:t xml:space="preserve"> the main fuel combusted for the operation of the facility</w:t>
      </w:r>
    </w:p>
    <w:p w14:paraId="2EC5C76E" w14:textId="5089D890" w:rsidR="004A2E03" w:rsidRPr="00FF338C" w:rsidRDefault="004A2E03" w:rsidP="00B3330E">
      <w:pPr>
        <w:numPr>
          <w:ilvl w:val="0"/>
          <w:numId w:val="1"/>
        </w:numPr>
        <w:spacing w:before="120" w:after="120"/>
        <w:ind w:right="284"/>
      </w:pPr>
      <w:r w:rsidRPr="00FF338C">
        <w:t>the princip</w:t>
      </w:r>
      <w:r>
        <w:t>al</w:t>
      </w:r>
      <w:r w:rsidRPr="00FF338C">
        <w:t xml:space="preserve"> activity of the facility is electricity generation from fossil fuels (ANZSIC code 2611</w:t>
      </w:r>
      <w:r w:rsidR="004B0870">
        <w:rPr>
          <w:rFonts w:ascii="ZWAdobeF" w:hAnsi="ZWAdobeF" w:cs="ZWAdobeF"/>
          <w:color w:val="auto"/>
          <w:sz w:val="2"/>
          <w:szCs w:val="2"/>
        </w:rPr>
        <w:t>15F</w:t>
      </w:r>
      <w:r w:rsidRPr="00FF338C">
        <w:rPr>
          <w:rStyle w:val="FootnoteReference"/>
        </w:rPr>
        <w:footnoteReference w:id="17"/>
      </w:r>
      <w:r w:rsidRPr="00FF338C">
        <w:t>)</w:t>
      </w:r>
    </w:p>
    <w:p w14:paraId="74809C60" w14:textId="047ABFFC" w:rsidR="004A2E03" w:rsidRDefault="004A2E03" w:rsidP="004A2E03">
      <w:pPr>
        <w:pStyle w:val="CERbullets"/>
      </w:pPr>
      <w:r>
        <w:t xml:space="preserve">the </w:t>
      </w:r>
      <w:r w:rsidR="009E58BB">
        <w:t>total</w:t>
      </w:r>
      <w:r>
        <w:t xml:space="preserve"> capacity of all generating units </w:t>
      </w:r>
      <w:r w:rsidR="00F06D36">
        <w:t>combined</w:t>
      </w:r>
      <w:r>
        <w:t xml:space="preserve"> at the facility is 30</w:t>
      </w:r>
      <w:r w:rsidR="00C56DC5">
        <w:t> </w:t>
      </w:r>
      <w:r>
        <w:t>MW or more</w:t>
      </w:r>
    </w:p>
    <w:p w14:paraId="57B82056" w14:textId="0896C4E3" w:rsidR="008933B4" w:rsidRDefault="004A2E03" w:rsidP="004F7F48">
      <w:pPr>
        <w:pStyle w:val="CERbullets"/>
      </w:pPr>
      <w:r>
        <w:t>the facility generates more than 50,000</w:t>
      </w:r>
      <w:r w:rsidR="003B651F">
        <w:t> </w:t>
      </w:r>
      <w:r>
        <w:t xml:space="preserve">MWh </w:t>
      </w:r>
      <w:r w:rsidR="00775FC7">
        <w:t xml:space="preserve">of electricity </w:t>
      </w:r>
      <w:r>
        <w:t xml:space="preserve">in a reporting year. </w:t>
      </w:r>
    </w:p>
    <w:p w14:paraId="7CB3EB82" w14:textId="77777777" w:rsidR="004A2E03" w:rsidRPr="00FF338C" w:rsidRDefault="004A2E03" w:rsidP="004A2E03">
      <w:pPr>
        <w:pStyle w:val="Heading4"/>
      </w:pPr>
      <w:bookmarkStart w:id="108" w:name="_Toc526867696"/>
      <w:bookmarkStart w:id="109" w:name="_Toc526869738"/>
      <w:bookmarkStart w:id="110" w:name="_Toc205461440"/>
      <w:r w:rsidRPr="00FF338C">
        <w:t>Method</w:t>
      </w:r>
      <w:r>
        <w:t>s</w:t>
      </w:r>
      <w:r w:rsidRPr="00FF338C">
        <w:t xml:space="preserve"> 2 and 3 – fuel sampling and analysis</w:t>
      </w:r>
      <w:bookmarkEnd w:id="108"/>
      <w:bookmarkEnd w:id="109"/>
      <w:bookmarkEnd w:id="110"/>
    </w:p>
    <w:p w14:paraId="1D5ED82F" w14:textId="77777777" w:rsidR="004A2E03" w:rsidRDefault="004A2E03" w:rsidP="004A2E03">
      <w:r w:rsidRPr="00FF338C">
        <w:t>Methods 2 and 3 require sampling and analysis of the properties of the fuel combusted to estimate a facility specific emission factor rather than using the default emission factor.</w:t>
      </w:r>
    </w:p>
    <w:p w14:paraId="5A984396" w14:textId="77777777" w:rsidR="004A2E03" w:rsidRPr="00FF338C" w:rsidRDefault="004A2E03" w:rsidP="004A2E03">
      <w:r>
        <w:t xml:space="preserve">Reporters can use either the default </w:t>
      </w:r>
      <w:r w:rsidRPr="00FF338C">
        <w:t>energy content factor</w:t>
      </w:r>
      <w:r>
        <w:t xml:space="preserve"> for the </w:t>
      </w:r>
      <w:r w:rsidRPr="00FF338C">
        <w:t xml:space="preserve">fuel type </w:t>
      </w:r>
      <w:r>
        <w:t xml:space="preserve">listed within Schedule 1 of the NGER Measurement Determination or a non-default energy content factor </w:t>
      </w:r>
      <w:r w:rsidRPr="00FF338C">
        <w:t xml:space="preserve">estimated under section 6.5 of the </w:t>
      </w:r>
      <w:r>
        <w:t>NGER Measurement Determination</w:t>
      </w:r>
      <w:r w:rsidRPr="00FF338C">
        <w:t xml:space="preserve">. </w:t>
      </w:r>
    </w:p>
    <w:p w14:paraId="1E65BA65" w14:textId="2E92A15C" w:rsidR="004A2E03" w:rsidRPr="00FF338C" w:rsidRDefault="004A2E03" w:rsidP="004A2E03">
      <w:r w:rsidRPr="00FF338C">
        <w:t xml:space="preserve">Method 3 generally only differs from </w:t>
      </w:r>
      <w:r w:rsidR="56D31C97">
        <w:t>M</w:t>
      </w:r>
      <w:r w:rsidRPr="00FF338C">
        <w:t xml:space="preserve">ethod 2 in requiring the use of an </w:t>
      </w:r>
      <w:r w:rsidR="006911EB">
        <w:t>i</w:t>
      </w:r>
      <w:r w:rsidRPr="00FF338C">
        <w:t>nternational or Australian standard for sampling and analysis.</w:t>
      </w:r>
    </w:p>
    <w:p w14:paraId="3FAC738E" w14:textId="77777777" w:rsidR="004A2E03" w:rsidRPr="00FF338C" w:rsidRDefault="004A2E03" w:rsidP="004A2E03">
      <w:r w:rsidRPr="00FF338C">
        <w:t>The sampling and analysis requirements differ considerably per fuel category</w:t>
      </w:r>
      <w:r>
        <w:t xml:space="preserve">: </w:t>
      </w:r>
      <w:r w:rsidRPr="00FF338C">
        <w:t>solid, gaseous or liquid fuel.</w:t>
      </w:r>
      <w:r>
        <w:t xml:space="preserve"> See</w:t>
      </w:r>
      <w:r w:rsidRPr="00FF338C">
        <w:t xml:space="preserve"> </w:t>
      </w:r>
      <w:r>
        <w:t>chapters</w:t>
      </w:r>
      <w:r w:rsidRPr="00C67339">
        <w:t xml:space="preserve"> </w:t>
      </w:r>
      <w:hyperlink w:anchor="_Estimating_emissions_from_1" w:history="1">
        <w:r w:rsidRPr="00D64647">
          <w:rPr>
            <w:rStyle w:val="Hyperlink"/>
            <w:rFonts w:asciiTheme="minorHAnsi" w:hAnsiTheme="minorHAnsi"/>
          </w:rPr>
          <w:t>4.3</w:t>
        </w:r>
      </w:hyperlink>
      <w:r w:rsidRPr="00C67339">
        <w:t xml:space="preserve">, </w:t>
      </w:r>
      <w:hyperlink w:anchor="_Emissions_from_combustion" w:history="1">
        <w:r w:rsidRPr="00D64647">
          <w:rPr>
            <w:rStyle w:val="Hyperlink"/>
            <w:rFonts w:asciiTheme="minorHAnsi" w:hAnsiTheme="minorHAnsi"/>
          </w:rPr>
          <w:t>4.4</w:t>
        </w:r>
      </w:hyperlink>
      <w:r w:rsidRPr="00C67339">
        <w:t xml:space="preserve"> and </w:t>
      </w:r>
      <w:hyperlink w:anchor="_Emissions_from_combustion_1" w:history="1">
        <w:r w:rsidRPr="00D64647">
          <w:rPr>
            <w:rStyle w:val="Hyperlink"/>
            <w:rFonts w:asciiTheme="minorHAnsi" w:hAnsiTheme="minorHAnsi"/>
          </w:rPr>
          <w:t>4.5</w:t>
        </w:r>
      </w:hyperlink>
      <w:r w:rsidRPr="00FF338C">
        <w:t xml:space="preserve"> </w:t>
      </w:r>
      <w:r>
        <w:t xml:space="preserve">of this guideline for guidance on </w:t>
      </w:r>
      <w:r w:rsidRPr="00FF338C">
        <w:t>emissions estimation methods for each fuel category.</w:t>
      </w:r>
    </w:p>
    <w:p w14:paraId="5108AA3F" w14:textId="73C89920" w:rsidR="004A2E03" w:rsidRPr="00FF338C" w:rsidRDefault="004A2E03" w:rsidP="00DB4B56">
      <w:pPr>
        <w:pStyle w:val="Heading2"/>
        <w:numPr>
          <w:ilvl w:val="1"/>
          <w:numId w:val="3"/>
        </w:numPr>
        <w:ind w:left="426" w:hanging="426"/>
      </w:pPr>
      <w:bookmarkStart w:id="111" w:name="_Toc107922545"/>
      <w:bookmarkStart w:id="112" w:name="_Toc107922546"/>
      <w:bookmarkStart w:id="113" w:name="_Toc107922547"/>
      <w:bookmarkStart w:id="114" w:name="_Toc107922548"/>
      <w:bookmarkStart w:id="115" w:name="_Toc107922549"/>
      <w:bookmarkStart w:id="116" w:name="_Toc512010394"/>
      <w:bookmarkStart w:id="117" w:name="_Toc512339592"/>
      <w:bookmarkStart w:id="118" w:name="_Toc106705756"/>
      <w:bookmarkStart w:id="119" w:name="_Toc205461441"/>
      <w:bookmarkEnd w:id="111"/>
      <w:bookmarkEnd w:id="112"/>
      <w:bookmarkEnd w:id="113"/>
      <w:bookmarkEnd w:id="114"/>
      <w:bookmarkEnd w:id="115"/>
      <w:r w:rsidRPr="00FF338C">
        <w:t>Method 4 – Direct measurement of emissions</w:t>
      </w:r>
      <w:bookmarkEnd w:id="116"/>
      <w:bookmarkEnd w:id="117"/>
      <w:bookmarkEnd w:id="118"/>
      <w:bookmarkEnd w:id="119"/>
    </w:p>
    <w:p w14:paraId="547800BC" w14:textId="4F7A20F0" w:rsidR="004A2E03" w:rsidRPr="00FF338C" w:rsidRDefault="004A2E03" w:rsidP="004A2E03">
      <w:r w:rsidRPr="00FF338C">
        <w:t xml:space="preserve">Part 1.3 of the </w:t>
      </w:r>
      <w:r>
        <w:t>NGER Measurement Determination</w:t>
      </w:r>
      <w:r w:rsidRPr="00FF338C">
        <w:t xml:space="preserve"> provides the requirements for direct measurement of emissions under </w:t>
      </w:r>
      <w:r w:rsidR="536B1958">
        <w:t>M</w:t>
      </w:r>
      <w:r w:rsidRPr="00FF338C">
        <w:t>ethod 4. There are</w:t>
      </w:r>
      <w:r w:rsidR="00AF5B63">
        <w:t xml:space="preserve"> 2</w:t>
      </w:r>
      <w:r w:rsidRPr="00FF338C">
        <w:t xml:space="preserve"> monitoring approaches: </w:t>
      </w:r>
    </w:p>
    <w:p w14:paraId="1AC121F0" w14:textId="77777777" w:rsidR="004A2E03" w:rsidRPr="00FF338C" w:rsidRDefault="004A2E03" w:rsidP="00B3330E">
      <w:pPr>
        <w:numPr>
          <w:ilvl w:val="0"/>
          <w:numId w:val="1"/>
        </w:numPr>
        <w:spacing w:before="120" w:after="120"/>
        <w:ind w:right="284"/>
      </w:pPr>
      <w:r w:rsidRPr="00FF338C">
        <w:t>continuous emissions monitoring (CEM)</w:t>
      </w:r>
    </w:p>
    <w:p w14:paraId="7E3FAE67" w14:textId="757DE2B5" w:rsidR="004A2E03" w:rsidRPr="00FF338C" w:rsidRDefault="004A2E03" w:rsidP="00B3330E">
      <w:pPr>
        <w:numPr>
          <w:ilvl w:val="0"/>
          <w:numId w:val="1"/>
        </w:numPr>
        <w:spacing w:before="120" w:after="120"/>
        <w:ind w:right="284"/>
      </w:pPr>
      <w:r w:rsidRPr="00FF338C">
        <w:t>periodic emissions monitoring (PEM).</w:t>
      </w:r>
    </w:p>
    <w:p w14:paraId="6C12AACA" w14:textId="55351B5C" w:rsidR="004A2E03" w:rsidRPr="00FF338C" w:rsidRDefault="004A2E03" w:rsidP="004A2E03">
      <w:r w:rsidRPr="00FF338C">
        <w:t xml:space="preserve">Application of </w:t>
      </w:r>
      <w:r w:rsidR="1956F846">
        <w:t>M</w:t>
      </w:r>
      <w:r w:rsidRPr="00FF338C">
        <w:t xml:space="preserve">ethod 4 to estimate emissions requires compliance with specific requirements for representative sampling, analysis of samples, and the use of equipment. </w:t>
      </w:r>
    </w:p>
    <w:p w14:paraId="232EED83" w14:textId="4C3D4E72" w:rsidR="004A2E03" w:rsidRPr="00FF338C" w:rsidRDefault="004A2E03" w:rsidP="004A2E03">
      <w:r>
        <w:t>See</w:t>
      </w:r>
      <w:r w:rsidRPr="00FF338C">
        <w:t xml:space="preserve"> </w:t>
      </w:r>
      <w:hyperlink w:anchor="_Metering_considerations">
        <w:r w:rsidRPr="14A501AD">
          <w:rPr>
            <w:rStyle w:val="Hyperlink"/>
            <w:rFonts w:asciiTheme="minorHAnsi" w:hAnsiTheme="minorHAnsi"/>
          </w:rPr>
          <w:t>chapter 8.2</w:t>
        </w:r>
      </w:hyperlink>
      <w:r w:rsidRPr="00FF338C">
        <w:t xml:space="preserve"> of this guideline</w:t>
      </w:r>
      <w:r>
        <w:t xml:space="preserve"> for more </w:t>
      </w:r>
      <w:r w:rsidRPr="00FF338C">
        <w:t xml:space="preserve">information on the use of metering equipment for </w:t>
      </w:r>
      <w:r w:rsidR="11C8F1AF">
        <w:t>M</w:t>
      </w:r>
      <w:r w:rsidRPr="00FF338C">
        <w:t>ethod 4.</w:t>
      </w:r>
    </w:p>
    <w:p w14:paraId="5A5A843E" w14:textId="77777777" w:rsidR="004A2E03" w:rsidRPr="00FF338C" w:rsidRDefault="004A2E03" w:rsidP="00DB4B56">
      <w:pPr>
        <w:pStyle w:val="Heading2"/>
        <w:numPr>
          <w:ilvl w:val="1"/>
          <w:numId w:val="3"/>
        </w:numPr>
        <w:ind w:left="426" w:hanging="426"/>
      </w:pPr>
      <w:bookmarkStart w:id="120" w:name="_Estimating_emissions_from_1"/>
      <w:bookmarkStart w:id="121" w:name="_Toc512010395"/>
      <w:bookmarkStart w:id="122" w:name="_Toc512339593"/>
      <w:bookmarkStart w:id="123" w:name="_Toc106705757"/>
      <w:bookmarkStart w:id="124" w:name="_Toc205461442"/>
      <w:bookmarkEnd w:id="120"/>
      <w:r w:rsidRPr="00FF338C">
        <w:t>Estimating emissions from combustion of solid fuels</w:t>
      </w:r>
      <w:bookmarkEnd w:id="121"/>
      <w:bookmarkEnd w:id="122"/>
      <w:bookmarkEnd w:id="123"/>
      <w:bookmarkEnd w:id="124"/>
    </w:p>
    <w:p w14:paraId="5D902D91" w14:textId="77777777" w:rsidR="004A2E03" w:rsidRDefault="004A2E03" w:rsidP="004A2E03">
      <w:r w:rsidRPr="00FF338C">
        <w:t>In the electricity sector, solid fuels are primarily combusted for electricity generation purposes</w:t>
      </w:r>
      <w:r>
        <w:t xml:space="preserve">, </w:t>
      </w:r>
      <w:r w:rsidRPr="00FF338C">
        <w:t xml:space="preserve">for example, at coal fired power stations. The methods available for estimating emissions from the combustion of solid fuels are outlined </w:t>
      </w:r>
      <w:r>
        <w:t>below</w:t>
      </w:r>
      <w:r w:rsidRPr="00FF338C">
        <w:t>.</w:t>
      </w:r>
    </w:p>
    <w:p w14:paraId="34C18E15" w14:textId="726A0F0E" w:rsidR="00011733" w:rsidRDefault="00011733" w:rsidP="00084932">
      <w:pPr>
        <w:pStyle w:val="Caption"/>
        <w:keepNext/>
      </w:pPr>
      <w:r>
        <w:t xml:space="preserve">Figure </w:t>
      </w:r>
      <w:r>
        <w:fldChar w:fldCharType="begin"/>
      </w:r>
      <w:r>
        <w:instrText xml:space="preserve"> SEQ Figure \* ARABIC </w:instrText>
      </w:r>
      <w:r>
        <w:fldChar w:fldCharType="separate"/>
      </w:r>
      <w:r w:rsidR="004B0870">
        <w:rPr>
          <w:noProof/>
        </w:rPr>
        <w:t>1</w:t>
      </w:r>
      <w:r>
        <w:fldChar w:fldCharType="end"/>
      </w:r>
      <w:r w:rsidRPr="005B200F">
        <w:t xml:space="preserve"> – Available methods for estimating emissions from the combustion of solid fuels.</w:t>
      </w:r>
    </w:p>
    <w:p w14:paraId="5563D9B2" w14:textId="507237BE" w:rsidR="002A6738" w:rsidRDefault="00A57A5C" w:rsidP="00256727">
      <w:r>
        <w:rPr>
          <w:noProof/>
        </w:rPr>
        <w:drawing>
          <wp:inline distT="0" distB="0" distL="0" distR="0" wp14:anchorId="02D3686F" wp14:editId="5E0D1F00">
            <wp:extent cx="6184900" cy="4077367"/>
            <wp:effectExtent l="0" t="0" r="6350" b="0"/>
            <wp:docPr id="9" name="Picture 9" descr="P43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439#yIS1"/>
                    <pic:cNvPicPr/>
                  </pic:nvPicPr>
                  <pic:blipFill rotWithShape="1">
                    <a:blip r:embed="rId35">
                      <a:extLst>
                        <a:ext uri="{28A0092B-C50C-407E-A947-70E740481C1C}">
                          <a14:useLocalDpi xmlns:a14="http://schemas.microsoft.com/office/drawing/2010/main" val="0"/>
                        </a:ext>
                      </a:extLst>
                    </a:blip>
                    <a:srcRect/>
                    <a:stretch>
                      <a:fillRect/>
                    </a:stretch>
                  </pic:blipFill>
                  <pic:spPr bwMode="auto">
                    <a:xfrm>
                      <a:off x="0" y="0"/>
                      <a:ext cx="6184901" cy="4077368"/>
                    </a:xfrm>
                    <a:prstGeom prst="rect">
                      <a:avLst/>
                    </a:prstGeom>
                    <a:ln>
                      <a:noFill/>
                    </a:ln>
                    <a:extLst>
                      <a:ext uri="{53640926-AAD7-44D8-BBD7-CCE9431645EC}">
                        <a14:shadowObscured xmlns:a14="http://schemas.microsoft.com/office/drawing/2010/main"/>
                      </a:ext>
                    </a:extLst>
                  </pic:spPr>
                </pic:pic>
              </a:graphicData>
            </a:graphic>
          </wp:inline>
        </w:drawing>
      </w:r>
    </w:p>
    <w:p w14:paraId="02510B0F" w14:textId="40E2BC70" w:rsidR="00A57A5C" w:rsidRDefault="00A57A5C" w:rsidP="00256727">
      <w:r w:rsidRPr="00FF338C">
        <w:t xml:space="preserve">For </w:t>
      </w:r>
      <w:r w:rsidR="20F0704D">
        <w:t>M</w:t>
      </w:r>
      <w:r w:rsidRPr="00FF338C">
        <w:t>ethod</w:t>
      </w:r>
      <w:r>
        <w:t>s</w:t>
      </w:r>
      <w:r w:rsidRPr="00FF338C">
        <w:t xml:space="preserve"> 1, 2 and 3</w:t>
      </w:r>
      <w:r>
        <w:t>,</w:t>
      </w:r>
      <w:r w:rsidRPr="00FF338C">
        <w:t xml:space="preserve"> fuel quantities of solid fuels combusted should be measured per the measurement requirements in Division 2.2.5 of the </w:t>
      </w:r>
      <w:r>
        <w:t>NGER Measurement Determination</w:t>
      </w:r>
      <w:r w:rsidRPr="00FF338C">
        <w:t xml:space="preserve"> </w:t>
      </w:r>
      <w:r>
        <w:t>–</w:t>
      </w:r>
      <w:r w:rsidRPr="00FF338C">
        <w:t xml:space="preserve"> </w:t>
      </w:r>
      <w:r>
        <w:t>see</w:t>
      </w:r>
      <w:r w:rsidRPr="00FF338C">
        <w:t xml:space="preserve"> </w:t>
      </w:r>
      <w:hyperlink w:anchor="_Measurement_requirements">
        <w:r w:rsidRPr="14A501AD">
          <w:rPr>
            <w:rStyle w:val="Hyperlink"/>
            <w:rFonts w:asciiTheme="minorHAnsi" w:hAnsiTheme="minorHAnsi"/>
          </w:rPr>
          <w:t>Chapter 8</w:t>
        </w:r>
      </w:hyperlink>
      <w:r w:rsidRPr="00FF338C">
        <w:t xml:space="preserve"> </w:t>
      </w:r>
      <w:r>
        <w:t>of this guideline</w:t>
      </w:r>
      <w:r w:rsidRPr="00FF338C">
        <w:t>.</w:t>
      </w:r>
    </w:p>
    <w:p w14:paraId="7A21FDAF" w14:textId="6727024C" w:rsidR="00A57A5C" w:rsidRDefault="00A57A5C" w:rsidP="00A57A5C">
      <w:r>
        <w:t xml:space="preserve">Method 1, set out in Division 2.2.2 of the NGER Measurement Determination, uses the default emission factors set out in Schedule 1 of the NGER Measurement Determination. Method 1 is the only method available for estimation of emissions of methane and nitrous oxide from the combustion of solid fuels. Method 1 may be used for estimating emissions of carbon dioxide, subject to the criteria in subsection 2.3(3) of the NGER Measurement Determination. </w:t>
      </w:r>
      <w:r w:rsidR="6270017D">
        <w:t>M</w:t>
      </w:r>
      <w:r>
        <w:t xml:space="preserve">ethod 1 must </w:t>
      </w:r>
      <w:r w:rsidRPr="00032840">
        <w:t>not</w:t>
      </w:r>
      <w:r>
        <w:t xml:space="preserve"> be used if: </w:t>
      </w:r>
    </w:p>
    <w:p w14:paraId="050E2E79" w14:textId="77777777" w:rsidR="00A57A5C" w:rsidRDefault="00A57A5C" w:rsidP="008E6B32">
      <w:pPr>
        <w:pStyle w:val="CERbullets"/>
      </w:pPr>
      <w:r>
        <w:t>the principal activity of the facility is electricity generation (ANZSIC industry classification and code 2611)</w:t>
      </w:r>
    </w:p>
    <w:p w14:paraId="0C1980CC" w14:textId="7BE8AC64" w:rsidR="00A57A5C" w:rsidRDefault="00A57A5C" w:rsidP="008E6B32">
      <w:pPr>
        <w:pStyle w:val="CERbullets"/>
      </w:pPr>
      <w:r>
        <w:t xml:space="preserve">the </w:t>
      </w:r>
      <w:r w:rsidR="004F439B" w:rsidRPr="008E6B32">
        <w:t>total</w:t>
      </w:r>
      <w:r>
        <w:t xml:space="preserve"> capacity of all generating units at the facility is 30</w:t>
      </w:r>
      <w:r w:rsidR="006C3334" w:rsidRPr="008E6B32">
        <w:t> </w:t>
      </w:r>
      <w:r>
        <w:t>MW or more</w:t>
      </w:r>
    </w:p>
    <w:p w14:paraId="496EC55C" w14:textId="077595FF" w:rsidR="00A57A5C" w:rsidRPr="00FF338C" w:rsidRDefault="00A57A5C" w:rsidP="008E6B32">
      <w:pPr>
        <w:pStyle w:val="CERbullets"/>
      </w:pPr>
      <w:r>
        <w:t>the facility generates more than 50,000</w:t>
      </w:r>
      <w:r w:rsidR="006C3334" w:rsidRPr="008E6B32">
        <w:t> </w:t>
      </w:r>
      <w:r>
        <w:t xml:space="preserve">MWh in a reporting year. </w:t>
      </w:r>
    </w:p>
    <w:p w14:paraId="44A946DD" w14:textId="48EE52B4" w:rsidR="000F1113" w:rsidRDefault="0051694C" w:rsidP="000F1113">
      <w:r>
        <w:t xml:space="preserve">The energy content factor used to estimate </w:t>
      </w:r>
      <w:r w:rsidR="00182E37">
        <w:t xml:space="preserve">emissions under </w:t>
      </w:r>
      <w:r w:rsidR="439AB5CB">
        <w:t>M</w:t>
      </w:r>
      <w:r w:rsidR="00182E37">
        <w:t xml:space="preserve">ethod 1 can </w:t>
      </w:r>
      <w:r w:rsidR="008E5A0F">
        <w:t>either be</w:t>
      </w:r>
      <w:r w:rsidR="002306CF">
        <w:t xml:space="preserve"> taken f</w:t>
      </w:r>
      <w:r w:rsidR="008E5A0F">
        <w:t xml:space="preserve">rom </w:t>
      </w:r>
      <w:r w:rsidR="002306CF">
        <w:t xml:space="preserve">Part 1 of Schedule 1 of the NGER Measurement Determination or </w:t>
      </w:r>
      <w:r w:rsidR="00B05B47">
        <w:t>estimated via analysis of the fuel in accordance with the standard</w:t>
      </w:r>
      <w:r w:rsidR="00B02BE5">
        <w:t xml:space="preserve"> listed in Schedule 2 of the NGER Measurement Determination, or equivalent.</w:t>
      </w:r>
    </w:p>
    <w:p w14:paraId="6F548488" w14:textId="2A02D957" w:rsidR="00470C75" w:rsidRPr="00FF338C" w:rsidRDefault="002B0919" w:rsidP="00D2141E">
      <w:r>
        <w:t xml:space="preserve">If </w:t>
      </w:r>
      <w:r w:rsidR="00470C75">
        <w:t xml:space="preserve">performing analysis to determine an energy content factor, </w:t>
      </w:r>
      <w:r w:rsidR="000E4601">
        <w:t xml:space="preserve">see </w:t>
      </w:r>
      <w:r w:rsidR="00D26885">
        <w:fldChar w:fldCharType="begin" w:fldLock="1"/>
      </w:r>
      <w:r w:rsidR="00D26885">
        <w:instrText xml:space="preserve"> REF _Ref199338749 </w:instrText>
      </w:r>
      <w:r w:rsidR="00D26885">
        <w:fldChar w:fldCharType="separate"/>
      </w:r>
      <w:r w:rsidR="00D26885">
        <w:fldChar w:fldCharType="end"/>
      </w:r>
      <w:r w:rsidR="00D26885">
        <w:fldChar w:fldCharType="begin" w:fldLock="1"/>
      </w:r>
      <w:r w:rsidR="00D26885">
        <w:instrText xml:space="preserve"> REF _Ref199338756 </w:instrText>
      </w:r>
      <w:r w:rsidR="00D26885">
        <w:fldChar w:fldCharType="separate"/>
      </w:r>
      <w:r w:rsidR="00D26885">
        <w:t xml:space="preserve">Table </w:t>
      </w:r>
      <w:r w:rsidR="00D26885">
        <w:rPr>
          <w:noProof/>
        </w:rPr>
        <w:t>6</w:t>
      </w:r>
      <w:r w:rsidR="00D26885">
        <w:fldChar w:fldCharType="end"/>
      </w:r>
      <w:r w:rsidR="000E4601">
        <w:t xml:space="preserve"> for fur</w:t>
      </w:r>
      <w:r w:rsidR="00BD4970">
        <w:t>ther information.</w:t>
      </w:r>
    </w:p>
    <w:p w14:paraId="39963D8D" w14:textId="77777777" w:rsidR="00A57A5C" w:rsidRPr="00FF338C" w:rsidRDefault="00A57A5C" w:rsidP="00B3330E">
      <w:pPr>
        <w:pStyle w:val="Heading3"/>
        <w:numPr>
          <w:ilvl w:val="2"/>
          <w:numId w:val="3"/>
        </w:numPr>
        <w:ind w:left="505" w:hanging="505"/>
        <w:rPr>
          <w:lang w:val="en-GB"/>
        </w:rPr>
      </w:pPr>
      <w:bookmarkStart w:id="125" w:name="_Ref511917503"/>
      <w:bookmarkStart w:id="126" w:name="_Toc512010396"/>
      <w:bookmarkStart w:id="127" w:name="_Toc512339594"/>
      <w:bookmarkStart w:id="128" w:name="_Toc205461443"/>
      <w:r w:rsidRPr="00FF338C">
        <w:rPr>
          <w:lang w:val="en-GB"/>
        </w:rPr>
        <w:t>Sampling and analysis requirements for Methods 2 and 3 for solid fuels</w:t>
      </w:r>
      <w:bookmarkEnd w:id="125"/>
      <w:bookmarkEnd w:id="126"/>
      <w:bookmarkEnd w:id="127"/>
      <w:bookmarkEnd w:id="128"/>
    </w:p>
    <w:p w14:paraId="53C42FF9" w14:textId="5345F656" w:rsidR="00A57A5C" w:rsidRDefault="00A57A5C" w:rsidP="00A57A5C">
      <w:r>
        <w:t>Method 2 is derived from the methodologies published in the Technical Guidelines for the Generator Efficiency Standards program</w:t>
      </w:r>
      <w:r w:rsidR="004B0870">
        <w:rPr>
          <w:rFonts w:ascii="ZWAdobeF" w:hAnsi="ZWAdobeF" w:cs="ZWAdobeF"/>
          <w:color w:val="auto"/>
          <w:sz w:val="2"/>
          <w:szCs w:val="2"/>
        </w:rPr>
        <w:t>16F</w:t>
      </w:r>
      <w:r>
        <w:rPr>
          <w:rStyle w:val="FootnoteReference"/>
        </w:rPr>
        <w:footnoteReference w:id="18"/>
      </w:r>
      <w:r>
        <w:t xml:space="preserve"> and is designed to enable more accurate emissions estimates to be made.  </w:t>
      </w:r>
    </w:p>
    <w:p w14:paraId="287156EC" w14:textId="66F7A32C" w:rsidR="00A57A5C" w:rsidRPr="002226F1" w:rsidRDefault="00A57A5C" w:rsidP="00A57A5C">
      <w:r>
        <w:t xml:space="preserve">Under </w:t>
      </w:r>
      <w:r w:rsidR="7FF6248B">
        <w:t>M</w:t>
      </w:r>
      <w:r>
        <w:t>ethod</w:t>
      </w:r>
      <w:r w:rsidR="00017423">
        <w:t>s</w:t>
      </w:r>
      <w:r>
        <w:t xml:space="preserve"> 2</w:t>
      </w:r>
      <w:r w:rsidR="00017423">
        <w:t xml:space="preserve"> and 3</w:t>
      </w:r>
      <w:r>
        <w:t xml:space="preserve">, representative and unbiased samples of consumed fuels must be analysed for carbon, ash or moisture content in accordance with the prescribed Australian or international documentary standards or their equivalent. </w:t>
      </w:r>
      <w:r w:rsidR="001848D4">
        <w:t>Two</w:t>
      </w:r>
      <w:r>
        <w:t xml:space="preserve"> different versions of </w:t>
      </w:r>
      <w:r w:rsidR="21F92BD0">
        <w:t>M</w:t>
      </w:r>
      <w:r>
        <w:t>ethod 2 are available. The first, which uses a default oxidation factor, is set out in subdivision 2.2.3.1 of the NGER Measurement Determination. The second allows reporters to use an estimated oxidation factor determined by reference to additional information about the fuels combusted by the facility and is set out in subdivision 2.2.3.2. Default oxidation factors are drawn from those utilised in the National Greenhouse Accounts.</w:t>
      </w:r>
    </w:p>
    <w:p w14:paraId="4C4CDB9F" w14:textId="2E02C004" w:rsidR="00A13EE8" w:rsidRPr="002226F1" w:rsidRDefault="00A13EE8" w:rsidP="00A57A5C">
      <w:r>
        <w:t xml:space="preserve">The energy content factor used to estimate emissions under </w:t>
      </w:r>
      <w:r w:rsidR="6D56E296">
        <w:t>M</w:t>
      </w:r>
      <w:r>
        <w:t xml:space="preserve">ethods 2 and 3 can either be taken from Part 1 of Schedule 1 of the NGER Measurement </w:t>
      </w:r>
      <w:r w:rsidR="00D57B6B">
        <w:t>Determination or</w:t>
      </w:r>
      <w:r>
        <w:t xml:space="preserve"> estimated via analysis of the fuel in accordance with the standard listed in Schedule 2 of the NGER Measurement Determination or equivalent.</w:t>
      </w:r>
    </w:p>
    <w:p w14:paraId="0847ACDD" w14:textId="28FA7899" w:rsidR="00A4338E" w:rsidRDefault="00A4338E" w:rsidP="009A0F87">
      <w:pPr>
        <w:pStyle w:val="Caption"/>
        <w:keepNext/>
      </w:pPr>
      <w:bookmarkStart w:id="129" w:name="_Ref199338756"/>
      <w:r>
        <w:t xml:space="preserve">Table </w:t>
      </w:r>
      <w:r>
        <w:fldChar w:fldCharType="begin"/>
      </w:r>
      <w:r>
        <w:instrText xml:space="preserve"> SEQ Table \* ARABIC </w:instrText>
      </w:r>
      <w:r>
        <w:fldChar w:fldCharType="separate"/>
      </w:r>
      <w:r w:rsidR="004B0870">
        <w:rPr>
          <w:noProof/>
        </w:rPr>
        <w:t>6</w:t>
      </w:r>
      <w:r>
        <w:fldChar w:fldCharType="end"/>
      </w:r>
      <w:bookmarkEnd w:id="129"/>
      <w:r>
        <w:t xml:space="preserve"> </w:t>
      </w:r>
      <w:r w:rsidRPr="008D5E6B">
        <w:t>– Solid fuel sampling and analysis frequency.</w:t>
      </w:r>
    </w:p>
    <w:tbl>
      <w:tblPr>
        <w:tblStyle w:val="CERTable"/>
        <w:tblW w:w="5000" w:type="pct"/>
        <w:tblLook w:val="04A0" w:firstRow="1" w:lastRow="0" w:firstColumn="1" w:lastColumn="0" w:noHBand="0" w:noVBand="1"/>
      </w:tblPr>
      <w:tblGrid>
        <w:gridCol w:w="2663"/>
        <w:gridCol w:w="3567"/>
        <w:gridCol w:w="3510"/>
      </w:tblGrid>
      <w:tr w:rsidR="00503817" w:rsidRPr="00C64711" w14:paraId="257AE65E" w14:textId="77777777" w:rsidTr="008E6B32">
        <w:trPr>
          <w:cnfStyle w:val="100000000000" w:firstRow="1" w:lastRow="0" w:firstColumn="0" w:lastColumn="0" w:oddVBand="0" w:evenVBand="0" w:oddHBand="0" w:evenHBand="0" w:firstRowFirstColumn="0" w:firstRowLastColumn="0" w:lastRowFirstColumn="0" w:lastRowLastColumn="0"/>
          <w:cantSplit w:val="0"/>
          <w:trHeight w:val="190"/>
          <w:tblHeader/>
        </w:trPr>
        <w:tc>
          <w:tcPr>
            <w:cnfStyle w:val="001000000000" w:firstRow="0" w:lastRow="0" w:firstColumn="1" w:lastColumn="0" w:oddVBand="0" w:evenVBand="0" w:oddHBand="0" w:evenHBand="0" w:firstRowFirstColumn="0" w:firstRowLastColumn="0" w:lastRowFirstColumn="0" w:lastRowLastColumn="0"/>
            <w:tcW w:w="1367" w:type="pct"/>
          </w:tcPr>
          <w:p w14:paraId="3AC44027" w14:textId="77777777" w:rsidR="00A57A5C" w:rsidRPr="00871997" w:rsidRDefault="00A57A5C">
            <w:pPr>
              <w:pStyle w:val="Body"/>
              <w:ind w:left="0"/>
              <w:rPr>
                <w:rFonts w:asciiTheme="minorHAnsi" w:hAnsiTheme="minorHAnsi"/>
                <w:sz w:val="22"/>
                <w:szCs w:val="22"/>
              </w:rPr>
            </w:pPr>
            <w:r w:rsidRPr="00871997">
              <w:rPr>
                <w:rFonts w:asciiTheme="minorHAnsi" w:hAnsiTheme="minorHAnsi"/>
                <w:sz w:val="22"/>
                <w:szCs w:val="22"/>
              </w:rPr>
              <w:t>Parameter</w:t>
            </w:r>
          </w:p>
        </w:tc>
        <w:tc>
          <w:tcPr>
            <w:tcW w:w="1831" w:type="pct"/>
          </w:tcPr>
          <w:p w14:paraId="15DDF36F" w14:textId="77777777" w:rsidR="00A57A5C" w:rsidRPr="00871997" w:rsidRDefault="00A57A5C">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71997">
              <w:rPr>
                <w:rFonts w:asciiTheme="minorHAnsi" w:hAnsiTheme="minorHAnsi"/>
                <w:sz w:val="22"/>
                <w:szCs w:val="22"/>
              </w:rPr>
              <w:t>Minimum fuel sampling and analysis frequency</w:t>
            </w:r>
          </w:p>
        </w:tc>
        <w:tc>
          <w:tcPr>
            <w:tcW w:w="1802" w:type="pct"/>
          </w:tcPr>
          <w:p w14:paraId="7ED0A5F0" w14:textId="77777777" w:rsidR="00A57A5C" w:rsidRPr="00871997" w:rsidRDefault="00A57A5C">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Furnace ash and f</w:t>
            </w:r>
            <w:r w:rsidRPr="00871997">
              <w:rPr>
                <w:rFonts w:asciiTheme="minorHAnsi" w:hAnsiTheme="minorHAnsi"/>
                <w:sz w:val="22"/>
                <w:szCs w:val="22"/>
              </w:rPr>
              <w:t>ly ash sampling and analysis frequency</w:t>
            </w:r>
          </w:p>
        </w:tc>
      </w:tr>
      <w:tr w:rsidR="00A57A5C" w:rsidRPr="00C64711" w14:paraId="20C834FF" w14:textId="77777777" w:rsidTr="008E6B32">
        <w:trPr>
          <w:cnfStyle w:val="000000100000" w:firstRow="0" w:lastRow="0" w:firstColumn="0" w:lastColumn="0" w:oddVBand="0" w:evenVBand="0" w:oddHBand="1" w:evenHBand="0" w:firstRowFirstColumn="0" w:firstRowLastColumn="0" w:lastRowFirstColumn="0" w:lastRowLastColumn="0"/>
          <w:cantSplit w:val="0"/>
          <w:trHeight w:val="190"/>
        </w:trPr>
        <w:tc>
          <w:tcPr>
            <w:cnfStyle w:val="001000000000" w:firstRow="0" w:lastRow="0" w:firstColumn="1" w:lastColumn="0" w:oddVBand="0" w:evenVBand="0" w:oddHBand="0" w:evenHBand="0" w:firstRowFirstColumn="0" w:firstRowLastColumn="0" w:lastRowFirstColumn="0" w:lastRowLastColumn="0"/>
            <w:tcW w:w="1367" w:type="pct"/>
          </w:tcPr>
          <w:p w14:paraId="76E4797D" w14:textId="77777777" w:rsidR="00A57A5C" w:rsidRPr="00872A70" w:rsidRDefault="00A57A5C">
            <w:pPr>
              <w:pStyle w:val="Body"/>
              <w:ind w:left="0"/>
              <w:rPr>
                <w:rFonts w:asciiTheme="minorHAnsi" w:hAnsiTheme="minorHAnsi"/>
                <w:sz w:val="22"/>
                <w:szCs w:val="22"/>
              </w:rPr>
            </w:pPr>
            <w:r w:rsidRPr="00872A70">
              <w:rPr>
                <w:rFonts w:asciiTheme="minorHAnsi" w:hAnsiTheme="minorHAnsi"/>
                <w:sz w:val="22"/>
                <w:szCs w:val="22"/>
              </w:rPr>
              <w:t xml:space="preserve">Energy content factors </w:t>
            </w:r>
          </w:p>
        </w:tc>
        <w:tc>
          <w:tcPr>
            <w:tcW w:w="1831" w:type="pct"/>
            <w:vMerge w:val="restart"/>
          </w:tcPr>
          <w:p w14:paraId="3615AC58" w14:textId="5618FC97" w:rsidR="00A57A5C" w:rsidRPr="006138F0" w:rsidRDefault="00A57A5C">
            <w:pPr>
              <w:pStyle w:val="Body"/>
              <w:ind w:left="25"/>
              <w:cnfStyle w:val="000000100000" w:firstRow="0" w:lastRow="0" w:firstColumn="0" w:lastColumn="0" w:oddVBand="0" w:evenVBand="0" w:oddHBand="1" w:evenHBand="0" w:firstRowFirstColumn="0" w:firstRowLastColumn="0" w:lastRowFirstColumn="0" w:lastRowLastColumn="0"/>
              <w:rPr>
                <w:rFonts w:asciiTheme="minorHAnsi" w:hAnsiTheme="minorHAnsi"/>
                <w:bCs/>
                <w:sz w:val="22"/>
                <w:szCs w:val="22"/>
              </w:rPr>
            </w:pPr>
            <w:r w:rsidRPr="005E1BF7">
              <w:rPr>
                <w:rFonts w:asciiTheme="minorHAnsi" w:hAnsiTheme="minorHAnsi"/>
                <w:sz w:val="22"/>
                <w:szCs w:val="22"/>
              </w:rPr>
              <w:t>Monthly composite sample</w:t>
            </w:r>
            <w:r w:rsidR="00915CDA">
              <w:rPr>
                <w:rFonts w:asciiTheme="minorHAnsi" w:hAnsiTheme="minorHAnsi"/>
                <w:sz w:val="22"/>
                <w:szCs w:val="22"/>
              </w:rPr>
              <w:t>.</w:t>
            </w:r>
            <w:r w:rsidRPr="006138F0">
              <w:rPr>
                <w:rFonts w:asciiTheme="minorHAnsi" w:hAnsiTheme="minorHAnsi"/>
                <w:bCs/>
                <w:sz w:val="22"/>
                <w:szCs w:val="22"/>
              </w:rPr>
              <w:t xml:space="preserve"> </w:t>
            </w:r>
          </w:p>
          <w:p w14:paraId="7881703A" w14:textId="77777777" w:rsidR="00A57A5C" w:rsidRPr="00872A70" w:rsidRDefault="00A57A5C">
            <w:pPr>
              <w:pStyle w:val="Body"/>
              <w:ind w:left="25"/>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 xml:space="preserve">Samples must be taken on </w:t>
            </w:r>
            <w:r>
              <w:rPr>
                <w:rFonts w:asciiTheme="minorHAnsi" w:hAnsiTheme="minorHAnsi"/>
                <w:sz w:val="22"/>
                <w:szCs w:val="22"/>
              </w:rPr>
              <w:t>‘</w:t>
            </w:r>
            <w:r w:rsidRPr="00872A70">
              <w:rPr>
                <w:rFonts w:asciiTheme="minorHAnsi" w:hAnsiTheme="minorHAnsi"/>
                <w:sz w:val="22"/>
                <w:szCs w:val="22"/>
              </w:rPr>
              <w:t>enough occasions to produce a representative sample</w:t>
            </w:r>
            <w:r>
              <w:rPr>
                <w:rFonts w:asciiTheme="minorHAnsi" w:hAnsiTheme="minorHAnsi"/>
                <w:sz w:val="22"/>
                <w:szCs w:val="22"/>
              </w:rPr>
              <w:t>’</w:t>
            </w:r>
            <w:r w:rsidRPr="00872A70">
              <w:rPr>
                <w:rFonts w:asciiTheme="minorHAnsi" w:hAnsiTheme="minorHAnsi"/>
                <w:sz w:val="22"/>
                <w:szCs w:val="22"/>
              </w:rPr>
              <w:t xml:space="preserve">, </w:t>
            </w:r>
            <w:r>
              <w:rPr>
                <w:rFonts w:asciiTheme="minorHAnsi" w:hAnsiTheme="minorHAnsi"/>
                <w:sz w:val="22"/>
                <w:szCs w:val="22"/>
              </w:rPr>
              <w:t xml:space="preserve">per </w:t>
            </w:r>
            <w:r w:rsidRPr="00F21075">
              <w:rPr>
                <w:rFonts w:asciiTheme="minorHAnsi" w:hAnsiTheme="minorHAnsi"/>
                <w:sz w:val="22"/>
                <w:szCs w:val="22"/>
              </w:rPr>
              <w:t>subsection 2.7(2)</w:t>
            </w:r>
            <w:r>
              <w:rPr>
                <w:rFonts w:asciiTheme="minorHAnsi" w:hAnsiTheme="minorHAnsi"/>
                <w:sz w:val="22"/>
                <w:szCs w:val="22"/>
              </w:rPr>
              <w:t xml:space="preserve"> of the </w:t>
            </w:r>
            <w:r w:rsidRPr="00872A70">
              <w:rPr>
                <w:rFonts w:asciiTheme="minorHAnsi" w:hAnsiTheme="minorHAnsi"/>
                <w:sz w:val="22"/>
                <w:szCs w:val="22"/>
              </w:rPr>
              <w:t xml:space="preserve">NGER Measurement Determination. </w:t>
            </w:r>
          </w:p>
          <w:p w14:paraId="18BB4D1F" w14:textId="3AE378F2" w:rsidR="00A57A5C" w:rsidRPr="00872A70" w:rsidRDefault="00A57A5C">
            <w:pPr>
              <w:pStyle w:val="Body"/>
              <w:ind w:left="25"/>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 xml:space="preserve">A mechanical sampling system designed and operated in accordance with AS 4264 </w:t>
            </w:r>
            <w:r>
              <w:rPr>
                <w:rFonts w:asciiTheme="minorHAnsi" w:hAnsiTheme="minorHAnsi"/>
                <w:sz w:val="22"/>
                <w:szCs w:val="22"/>
              </w:rPr>
              <w:t>must</w:t>
            </w:r>
            <w:r w:rsidRPr="00872A70">
              <w:rPr>
                <w:rFonts w:asciiTheme="minorHAnsi" w:hAnsiTheme="minorHAnsi"/>
                <w:sz w:val="22"/>
                <w:szCs w:val="22"/>
              </w:rPr>
              <w:t xml:space="preserve"> be used to sample the solid fuel. Ideally, this would be set up to obtain coal as it is either being loaded at the coal source, unloaded at the facility or at a point immediately prior to combustion.</w:t>
            </w:r>
          </w:p>
          <w:p w14:paraId="648A4F0A" w14:textId="77777777" w:rsidR="00A57A5C" w:rsidRPr="00872A70" w:rsidRDefault="00A57A5C">
            <w:pPr>
              <w:pStyle w:val="Body"/>
              <w:ind w:left="25"/>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If necessary, manual sampling of the coal may be used provided that the sampling equipment and procedure used is in accordance with AS 4264.</w:t>
            </w:r>
          </w:p>
          <w:p w14:paraId="4EFC70BF" w14:textId="1FCF70B2" w:rsidR="00A1694A" w:rsidRDefault="00A57A5C">
            <w:pPr>
              <w:pStyle w:val="Body"/>
              <w:ind w:left="25"/>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 xml:space="preserve">Analysis must be undertaken in line with the standards listed for the </w:t>
            </w:r>
            <w:r w:rsidR="004443CE">
              <w:rPr>
                <w:rFonts w:asciiTheme="minorHAnsi" w:hAnsiTheme="minorHAnsi"/>
                <w:sz w:val="22"/>
                <w:szCs w:val="22"/>
              </w:rPr>
              <w:t>fuel</w:t>
            </w:r>
            <w:r w:rsidRPr="00872A70">
              <w:rPr>
                <w:rFonts w:asciiTheme="minorHAnsi" w:hAnsiTheme="minorHAnsi"/>
                <w:sz w:val="22"/>
                <w:szCs w:val="22"/>
              </w:rPr>
              <w:t xml:space="preserve"> listed in Schedule 2 of the NGER Measurement </w:t>
            </w:r>
            <w:r w:rsidR="00935EFE">
              <w:rPr>
                <w:rFonts w:asciiTheme="minorHAnsi" w:hAnsiTheme="minorHAnsi"/>
                <w:sz w:val="22"/>
                <w:szCs w:val="22"/>
              </w:rPr>
              <w:t>D</w:t>
            </w:r>
            <w:r w:rsidRPr="00872A70">
              <w:rPr>
                <w:rFonts w:asciiTheme="minorHAnsi" w:hAnsiTheme="minorHAnsi"/>
                <w:sz w:val="22"/>
                <w:szCs w:val="22"/>
              </w:rPr>
              <w:t>etermination.</w:t>
            </w:r>
          </w:p>
          <w:p w14:paraId="290715FD" w14:textId="2B3962A5" w:rsidR="00A57A5C" w:rsidRPr="00872A70" w:rsidRDefault="00A1694A">
            <w:pPr>
              <w:pStyle w:val="Body"/>
              <w:ind w:left="25"/>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A </w:t>
            </w:r>
            <w:r w:rsidRPr="00A1694A">
              <w:rPr>
                <w:rFonts w:asciiTheme="minorHAnsi" w:hAnsiTheme="minorHAnsi"/>
                <w:sz w:val="22"/>
                <w:szCs w:val="22"/>
                <w:lang w:val="en-AU"/>
              </w:rPr>
              <w:t>standard that is equivalent to a standard set out in Schedule 2</w:t>
            </w:r>
            <w:r>
              <w:rPr>
                <w:rFonts w:asciiTheme="minorHAnsi" w:hAnsiTheme="minorHAnsi"/>
                <w:sz w:val="22"/>
                <w:szCs w:val="22"/>
                <w:lang w:val="en-AU"/>
              </w:rPr>
              <w:t xml:space="preserve"> may also be used. </w:t>
            </w:r>
          </w:p>
        </w:tc>
        <w:tc>
          <w:tcPr>
            <w:tcW w:w="1802" w:type="pct"/>
          </w:tcPr>
          <w:p w14:paraId="0FE35F35" w14:textId="77777777" w:rsidR="00A57A5C" w:rsidRPr="00872A70"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highlight w:val="yellow"/>
              </w:rPr>
            </w:pPr>
            <w:r w:rsidRPr="00872A70">
              <w:rPr>
                <w:rFonts w:asciiTheme="minorHAnsi" w:hAnsiTheme="minorHAnsi"/>
                <w:sz w:val="22"/>
                <w:szCs w:val="22"/>
              </w:rPr>
              <w:t>NA</w:t>
            </w:r>
          </w:p>
        </w:tc>
      </w:tr>
      <w:tr w:rsidR="00A57A5C" w:rsidRPr="00C64711" w14:paraId="3EA45391" w14:textId="77777777" w:rsidTr="008E6B32">
        <w:trPr>
          <w:cnfStyle w:val="000000010000" w:firstRow="0" w:lastRow="0" w:firstColumn="0" w:lastColumn="0" w:oddVBand="0" w:evenVBand="0" w:oddHBand="0" w:evenHBand="1" w:firstRowFirstColumn="0" w:firstRowLastColumn="0" w:lastRowFirstColumn="0" w:lastRowLastColumn="0"/>
          <w:cantSplit w:val="0"/>
          <w:trHeight w:val="182"/>
        </w:trPr>
        <w:tc>
          <w:tcPr>
            <w:cnfStyle w:val="001000000000" w:firstRow="0" w:lastRow="0" w:firstColumn="1" w:lastColumn="0" w:oddVBand="0" w:evenVBand="0" w:oddHBand="0" w:evenHBand="0" w:firstRowFirstColumn="0" w:firstRowLastColumn="0" w:lastRowFirstColumn="0" w:lastRowLastColumn="0"/>
            <w:tcW w:w="1367" w:type="pct"/>
          </w:tcPr>
          <w:p w14:paraId="3BA5CBB7" w14:textId="77777777" w:rsidR="00A57A5C" w:rsidRPr="00872A70" w:rsidRDefault="00A57A5C">
            <w:pPr>
              <w:pStyle w:val="Body"/>
              <w:ind w:left="0"/>
              <w:rPr>
                <w:rFonts w:asciiTheme="minorHAnsi" w:hAnsiTheme="minorHAnsi"/>
                <w:sz w:val="22"/>
                <w:szCs w:val="22"/>
              </w:rPr>
            </w:pPr>
            <w:r w:rsidRPr="00872A70">
              <w:rPr>
                <w:rFonts w:asciiTheme="minorHAnsi" w:hAnsiTheme="minorHAnsi"/>
                <w:sz w:val="22"/>
                <w:szCs w:val="22"/>
              </w:rPr>
              <w:t>Carbon</w:t>
            </w:r>
          </w:p>
        </w:tc>
        <w:tc>
          <w:tcPr>
            <w:tcW w:w="1831" w:type="pct"/>
            <w:vMerge/>
          </w:tcPr>
          <w:p w14:paraId="62850458" w14:textId="77777777" w:rsidR="00A57A5C" w:rsidRPr="00872A70" w:rsidRDefault="00A57A5C">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1802" w:type="pct"/>
          </w:tcPr>
          <w:p w14:paraId="24048E25" w14:textId="77250573" w:rsidR="00A57A5C" w:rsidRDefault="00A57A5C">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Pr>
                <w:rFonts w:asciiTheme="minorHAnsi" w:hAnsiTheme="minorHAnsi"/>
                <w:sz w:val="22"/>
                <w:szCs w:val="22"/>
              </w:rPr>
              <w:t>Fly ash must be sampled as</w:t>
            </w:r>
            <w:r w:rsidRPr="00872A70">
              <w:rPr>
                <w:rFonts w:asciiTheme="minorHAnsi" w:hAnsiTheme="minorHAnsi"/>
                <w:sz w:val="22"/>
                <w:szCs w:val="22"/>
              </w:rPr>
              <w:t xml:space="preserve"> </w:t>
            </w:r>
            <w:r>
              <w:rPr>
                <w:rFonts w:asciiTheme="minorHAnsi" w:hAnsiTheme="minorHAnsi"/>
                <w:sz w:val="22"/>
                <w:szCs w:val="22"/>
              </w:rPr>
              <w:t xml:space="preserve">per </w:t>
            </w:r>
            <w:r w:rsidRPr="00872A70">
              <w:rPr>
                <w:rFonts w:asciiTheme="minorHAnsi" w:hAnsiTheme="minorHAnsi"/>
                <w:sz w:val="22"/>
                <w:szCs w:val="22"/>
              </w:rPr>
              <w:t>section 2.11 of the NGER Measurement Determination</w:t>
            </w:r>
            <w:r>
              <w:rPr>
                <w:rFonts w:asciiTheme="minorHAnsi" w:hAnsiTheme="minorHAnsi"/>
                <w:sz w:val="22"/>
                <w:szCs w:val="22"/>
              </w:rPr>
              <w:t>.</w:t>
            </w:r>
          </w:p>
          <w:p w14:paraId="5DCDE3AD" w14:textId="77777777" w:rsidR="00A57A5C" w:rsidRPr="00872A70" w:rsidRDefault="00A57A5C">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Furnace ash must be analysed and sampled according to section 2.9 and 2.10 </w:t>
            </w:r>
            <w:r w:rsidRPr="00872A70">
              <w:rPr>
                <w:rFonts w:asciiTheme="minorHAnsi" w:hAnsiTheme="minorHAnsi"/>
                <w:sz w:val="22"/>
                <w:szCs w:val="22"/>
              </w:rPr>
              <w:t>of the NGER Measurement Determination</w:t>
            </w:r>
            <w:r>
              <w:rPr>
                <w:rFonts w:asciiTheme="minorHAnsi" w:hAnsiTheme="minorHAnsi"/>
                <w:sz w:val="22"/>
                <w:szCs w:val="22"/>
              </w:rPr>
              <w:t>.</w:t>
            </w:r>
          </w:p>
        </w:tc>
      </w:tr>
      <w:tr w:rsidR="00A57A5C" w:rsidRPr="00C64711" w14:paraId="76B22321" w14:textId="77777777" w:rsidTr="008E6B32">
        <w:trPr>
          <w:cnfStyle w:val="000000100000" w:firstRow="0" w:lastRow="0" w:firstColumn="0" w:lastColumn="0" w:oddVBand="0" w:evenVBand="0" w:oddHBand="1" w:evenHBand="0" w:firstRowFirstColumn="0" w:firstRowLastColumn="0" w:lastRowFirstColumn="0" w:lastRowLastColumn="0"/>
          <w:cantSplit w:val="0"/>
          <w:trHeight w:val="1799"/>
        </w:trPr>
        <w:tc>
          <w:tcPr>
            <w:cnfStyle w:val="001000000000" w:firstRow="0" w:lastRow="0" w:firstColumn="1" w:lastColumn="0" w:oddVBand="0" w:evenVBand="0" w:oddHBand="0" w:evenHBand="0" w:firstRowFirstColumn="0" w:firstRowLastColumn="0" w:lastRowFirstColumn="0" w:lastRowLastColumn="0"/>
            <w:tcW w:w="1367" w:type="pct"/>
          </w:tcPr>
          <w:p w14:paraId="4126B4D9" w14:textId="77777777" w:rsidR="00A57A5C" w:rsidRPr="00872A70" w:rsidRDefault="00A57A5C">
            <w:pPr>
              <w:pStyle w:val="Body"/>
              <w:ind w:left="0"/>
              <w:rPr>
                <w:rFonts w:asciiTheme="minorHAnsi" w:hAnsiTheme="minorHAnsi"/>
                <w:sz w:val="22"/>
                <w:szCs w:val="22"/>
              </w:rPr>
            </w:pPr>
            <w:r w:rsidRPr="00872A70">
              <w:rPr>
                <w:rFonts w:asciiTheme="minorHAnsi" w:hAnsiTheme="minorHAnsi"/>
                <w:sz w:val="22"/>
                <w:szCs w:val="22"/>
              </w:rPr>
              <w:t>Moisture</w:t>
            </w:r>
          </w:p>
        </w:tc>
        <w:tc>
          <w:tcPr>
            <w:tcW w:w="1831" w:type="pct"/>
            <w:vMerge w:val="restart"/>
          </w:tcPr>
          <w:p w14:paraId="04F4B424" w14:textId="77777777" w:rsidR="00A57A5C" w:rsidRPr="00872A70" w:rsidRDefault="00A57A5C">
            <w:pPr>
              <w:pStyle w:val="Body"/>
              <w:ind w:left="25"/>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One delivery of coal will normally represent one day or one trainload of coal. As such, if the delivery of coal is continuous, sampling for moisture and ash should be undertaken daily.</w:t>
            </w:r>
          </w:p>
        </w:tc>
        <w:tc>
          <w:tcPr>
            <w:tcW w:w="1802" w:type="pct"/>
          </w:tcPr>
          <w:p w14:paraId="3AAF6B3F" w14:textId="77777777" w:rsidR="00A57A5C" w:rsidRPr="00872A70"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NA</w:t>
            </w:r>
          </w:p>
        </w:tc>
      </w:tr>
      <w:tr w:rsidR="00A57A5C" w:rsidRPr="00C64711" w14:paraId="50150102" w14:textId="77777777" w:rsidTr="008E6B32">
        <w:trPr>
          <w:cnfStyle w:val="000000010000" w:firstRow="0" w:lastRow="0" w:firstColumn="0" w:lastColumn="0" w:oddVBand="0" w:evenVBand="0" w:oddHBand="0" w:evenHBand="1" w:firstRowFirstColumn="0" w:firstRowLastColumn="0" w:lastRowFirstColumn="0" w:lastRowLastColumn="0"/>
          <w:cantSplit w:val="0"/>
          <w:trHeight w:val="16"/>
        </w:trPr>
        <w:tc>
          <w:tcPr>
            <w:cnfStyle w:val="001000000000" w:firstRow="0" w:lastRow="0" w:firstColumn="1" w:lastColumn="0" w:oddVBand="0" w:evenVBand="0" w:oddHBand="0" w:evenHBand="0" w:firstRowFirstColumn="0" w:firstRowLastColumn="0" w:lastRowFirstColumn="0" w:lastRowLastColumn="0"/>
            <w:tcW w:w="1367" w:type="pct"/>
            <w:tcBorders>
              <w:bottom w:val="single" w:sz="8" w:space="0" w:color="E8E8E8" w:themeColor="background2"/>
            </w:tcBorders>
          </w:tcPr>
          <w:p w14:paraId="2AFAA1A0" w14:textId="77777777" w:rsidR="00A57A5C" w:rsidRPr="00872A70" w:rsidRDefault="00A57A5C">
            <w:pPr>
              <w:pStyle w:val="Body"/>
              <w:ind w:left="0"/>
              <w:rPr>
                <w:rFonts w:asciiTheme="minorHAnsi" w:hAnsiTheme="minorHAnsi"/>
                <w:sz w:val="22"/>
                <w:szCs w:val="22"/>
              </w:rPr>
            </w:pPr>
            <w:r w:rsidRPr="00872A70">
              <w:rPr>
                <w:rFonts w:asciiTheme="minorHAnsi" w:hAnsiTheme="minorHAnsi"/>
                <w:sz w:val="22"/>
                <w:szCs w:val="22"/>
              </w:rPr>
              <w:t>Ash</w:t>
            </w:r>
          </w:p>
        </w:tc>
        <w:tc>
          <w:tcPr>
            <w:tcW w:w="1831" w:type="pct"/>
            <w:vMerge/>
            <w:tcBorders>
              <w:bottom w:val="single" w:sz="8" w:space="0" w:color="E8E8E8" w:themeColor="background2"/>
            </w:tcBorders>
          </w:tcPr>
          <w:p w14:paraId="6C173BAF" w14:textId="77777777" w:rsidR="00A57A5C" w:rsidRPr="00872A70" w:rsidRDefault="00A57A5C">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1802" w:type="pct"/>
            <w:tcBorders>
              <w:bottom w:val="single" w:sz="8" w:space="0" w:color="E8E8E8" w:themeColor="background2"/>
            </w:tcBorders>
          </w:tcPr>
          <w:p w14:paraId="52598A21" w14:textId="77777777" w:rsidR="00A57A5C" w:rsidRPr="00872A70" w:rsidRDefault="00A57A5C">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NA</w:t>
            </w:r>
          </w:p>
        </w:tc>
      </w:tr>
      <w:tr w:rsidR="0069532A" w:rsidRPr="00C64711" w14:paraId="12FEC07F" w14:textId="77777777" w:rsidTr="008E6B32">
        <w:trPr>
          <w:cnfStyle w:val="000000100000" w:firstRow="0" w:lastRow="0" w:firstColumn="0" w:lastColumn="0" w:oddVBand="0" w:evenVBand="0" w:oddHBand="1" w:evenHBand="0" w:firstRowFirstColumn="0" w:firstRowLastColumn="0" w:lastRowFirstColumn="0" w:lastRowLastColumn="0"/>
          <w:cantSplit w:val="0"/>
          <w:trHeight w:val="16"/>
        </w:trPr>
        <w:tc>
          <w:tcPr>
            <w:cnfStyle w:val="001000000000" w:firstRow="0" w:lastRow="0" w:firstColumn="1" w:lastColumn="0" w:oddVBand="0" w:evenVBand="0" w:oddHBand="0" w:evenHBand="0" w:firstRowFirstColumn="0" w:firstRowLastColumn="0" w:lastRowFirstColumn="0" w:lastRowLastColumn="0"/>
            <w:tcW w:w="1367" w:type="pct"/>
            <w:tcBorders>
              <w:top w:val="single" w:sz="8" w:space="0" w:color="E8E8E8" w:themeColor="background2"/>
              <w:bottom w:val="single" w:sz="4" w:space="0" w:color="FCBA5C" w:themeColor="accent2"/>
            </w:tcBorders>
          </w:tcPr>
          <w:p w14:paraId="50D48E94" w14:textId="77777777" w:rsidR="00A57A5C" w:rsidRPr="00872A70" w:rsidRDefault="00A57A5C">
            <w:pPr>
              <w:pStyle w:val="Body"/>
              <w:ind w:left="0"/>
              <w:rPr>
                <w:rFonts w:asciiTheme="minorHAnsi" w:hAnsiTheme="minorHAnsi"/>
                <w:sz w:val="22"/>
                <w:szCs w:val="22"/>
              </w:rPr>
            </w:pPr>
            <w:r w:rsidRPr="00872A70">
              <w:rPr>
                <w:rFonts w:asciiTheme="minorHAnsi" w:hAnsiTheme="minorHAnsi"/>
                <w:sz w:val="22"/>
                <w:szCs w:val="22"/>
              </w:rPr>
              <w:t>Exceptions</w:t>
            </w:r>
          </w:p>
          <w:p w14:paraId="056EB057" w14:textId="77777777" w:rsidR="00A57A5C" w:rsidRPr="00872A70" w:rsidRDefault="00A57A5C">
            <w:pPr>
              <w:pStyle w:val="Body"/>
              <w:ind w:left="0"/>
              <w:rPr>
                <w:rFonts w:asciiTheme="minorHAnsi" w:hAnsiTheme="minorHAnsi"/>
                <w:b w:val="0"/>
                <w:sz w:val="22"/>
                <w:szCs w:val="22"/>
              </w:rPr>
            </w:pPr>
          </w:p>
        </w:tc>
        <w:tc>
          <w:tcPr>
            <w:tcW w:w="1831" w:type="pct"/>
            <w:tcBorders>
              <w:top w:val="single" w:sz="8" w:space="0" w:color="E8E8E8" w:themeColor="background2"/>
              <w:bottom w:val="single" w:sz="4" w:space="0" w:color="FCBA5C" w:themeColor="accent2"/>
            </w:tcBorders>
          </w:tcPr>
          <w:p w14:paraId="026FB4A7" w14:textId="77777777" w:rsidR="00A57A5C" w:rsidRPr="00BD3F61"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bCs/>
                <w:sz w:val="22"/>
                <w:szCs w:val="22"/>
              </w:rPr>
            </w:pPr>
            <w:r w:rsidRPr="005E1BF7">
              <w:rPr>
                <w:rFonts w:asciiTheme="minorHAnsi" w:hAnsiTheme="minorHAnsi"/>
                <w:sz w:val="22"/>
                <w:szCs w:val="22"/>
              </w:rPr>
              <w:t>If delivery lasts one month or less</w:t>
            </w:r>
            <w:r>
              <w:rPr>
                <w:rFonts w:asciiTheme="minorHAnsi" w:hAnsiTheme="minorHAnsi"/>
                <w:bCs/>
                <w:sz w:val="22"/>
                <w:szCs w:val="22"/>
              </w:rPr>
              <w:t>,</w:t>
            </w:r>
            <w:r w:rsidRPr="00032840">
              <w:rPr>
                <w:rFonts w:asciiTheme="minorHAnsi" w:hAnsiTheme="minorHAnsi"/>
                <w:bCs/>
                <w:sz w:val="22"/>
                <w:szCs w:val="22"/>
              </w:rPr>
              <w:t xml:space="preserve"> </w:t>
            </w:r>
            <w:r w:rsidRPr="006138F0">
              <w:rPr>
                <w:rFonts w:asciiTheme="minorHAnsi" w:hAnsiTheme="minorHAnsi"/>
                <w:bCs/>
                <w:sz w:val="22"/>
                <w:szCs w:val="22"/>
              </w:rPr>
              <w:t>analysis must be carried out</w:t>
            </w:r>
            <w:r>
              <w:rPr>
                <w:rFonts w:asciiTheme="minorHAnsi" w:hAnsiTheme="minorHAnsi"/>
                <w:bCs/>
                <w:sz w:val="22"/>
                <w:szCs w:val="22"/>
              </w:rPr>
              <w:t xml:space="preserve"> on</w:t>
            </w:r>
            <w:r w:rsidRPr="006138F0">
              <w:rPr>
                <w:rFonts w:asciiTheme="minorHAnsi" w:hAnsiTheme="minorHAnsi"/>
                <w:bCs/>
                <w:sz w:val="22"/>
                <w:szCs w:val="22"/>
              </w:rPr>
              <w:t xml:space="preserve"> each </w:t>
            </w:r>
            <w:r w:rsidRPr="00CE6FAC">
              <w:rPr>
                <w:rFonts w:asciiTheme="minorHAnsi" w:hAnsiTheme="minorHAnsi"/>
                <w:bCs/>
                <w:sz w:val="22"/>
                <w:szCs w:val="22"/>
              </w:rPr>
              <w:t>deliv</w:t>
            </w:r>
            <w:r w:rsidRPr="008E7ED5">
              <w:rPr>
                <w:rFonts w:asciiTheme="minorHAnsi" w:hAnsiTheme="minorHAnsi"/>
                <w:bCs/>
                <w:sz w:val="22"/>
                <w:szCs w:val="22"/>
              </w:rPr>
              <w:t>ery unless fuel properties do not change significantly between deliveries over a period of a month, in which case analysis may be carried out monthly.</w:t>
            </w:r>
          </w:p>
          <w:p w14:paraId="1272233E" w14:textId="77777777" w:rsidR="00A57A5C" w:rsidRPr="00872A70"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5E1BF7">
              <w:rPr>
                <w:rFonts w:asciiTheme="minorHAnsi" w:hAnsiTheme="minorHAnsi"/>
                <w:sz w:val="22"/>
                <w:szCs w:val="22"/>
              </w:rPr>
              <w:t>If a delivery of fuel lasts for more than a month and fuel properties do not change significantly before the next delivery</w:t>
            </w:r>
            <w:r>
              <w:rPr>
                <w:rFonts w:asciiTheme="minorHAnsi" w:hAnsiTheme="minorHAnsi"/>
                <w:bCs/>
                <w:sz w:val="22"/>
                <w:szCs w:val="22"/>
              </w:rPr>
              <w:t>,</w:t>
            </w:r>
            <w:r w:rsidRPr="006138F0">
              <w:rPr>
                <w:rFonts w:asciiTheme="minorHAnsi" w:hAnsiTheme="minorHAnsi"/>
                <w:bCs/>
                <w:sz w:val="22"/>
                <w:szCs w:val="22"/>
              </w:rPr>
              <w:t xml:space="preserve"> energy</w:t>
            </w:r>
            <w:r w:rsidRPr="00872A70">
              <w:rPr>
                <w:rFonts w:asciiTheme="minorHAnsi" w:hAnsiTheme="minorHAnsi"/>
                <w:sz w:val="22"/>
                <w:szCs w:val="22"/>
              </w:rPr>
              <w:t xml:space="preserve"> content and carbon analysis may be conducted on a delivery basis, rather than monthly basis.</w:t>
            </w:r>
          </w:p>
        </w:tc>
        <w:tc>
          <w:tcPr>
            <w:tcW w:w="1802" w:type="pct"/>
            <w:tcBorders>
              <w:top w:val="single" w:sz="8" w:space="0" w:color="E8E8E8" w:themeColor="background2"/>
              <w:bottom w:val="single" w:sz="4" w:space="0" w:color="FCBA5C" w:themeColor="accent2"/>
            </w:tcBorders>
          </w:tcPr>
          <w:p w14:paraId="3FBEBA52" w14:textId="77777777" w:rsidR="00A57A5C" w:rsidRPr="00872A70"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NA</w:t>
            </w:r>
          </w:p>
        </w:tc>
      </w:tr>
    </w:tbl>
    <w:p w14:paraId="522B8068" w14:textId="77777777" w:rsidR="00A57A5C" w:rsidRPr="00FF338C" w:rsidRDefault="00A57A5C" w:rsidP="00A57A5C">
      <w:pPr>
        <w:pStyle w:val="Heading4"/>
      </w:pPr>
      <w:bookmarkStart w:id="130" w:name="_Toc205461444"/>
      <w:r w:rsidRPr="00FF338C">
        <w:t>Bias testing</w:t>
      </w:r>
      <w:bookmarkEnd w:id="130"/>
    </w:p>
    <w:p w14:paraId="69E9FF6E" w14:textId="7EF17A86" w:rsidR="00A57A5C" w:rsidRPr="00FF338C" w:rsidRDefault="00D3590F" w:rsidP="00A57A5C">
      <w:r>
        <w:t>When</w:t>
      </w:r>
      <w:r w:rsidR="00A57A5C" w:rsidRPr="00FF338C">
        <w:t xml:space="preserve"> </w:t>
      </w:r>
      <w:r w:rsidR="58171BA4">
        <w:t>M</w:t>
      </w:r>
      <w:r w:rsidR="00A57A5C" w:rsidRPr="00FF338C">
        <w:t xml:space="preserve">ethod 2 or 3 is selected, samples must be </w:t>
      </w:r>
      <w:r w:rsidR="00A57A5C">
        <w:t>‘</w:t>
      </w:r>
      <w:r w:rsidR="00A57A5C" w:rsidRPr="00FF338C">
        <w:t>free of bias so that any estimates are neither over nor under</w:t>
      </w:r>
      <w:r w:rsidR="00A57A5C">
        <w:t>-</w:t>
      </w:r>
      <w:r w:rsidR="00A57A5C" w:rsidRPr="00FF338C">
        <w:t>estimates of the true value</w:t>
      </w:r>
      <w:r w:rsidR="00A57A5C">
        <w:t>’, per s</w:t>
      </w:r>
      <w:r w:rsidR="00A57A5C" w:rsidRPr="00FF338C">
        <w:t xml:space="preserve">ection 2.7 of the </w:t>
      </w:r>
      <w:r w:rsidR="00A57A5C">
        <w:t>NGER Measurement Determination</w:t>
      </w:r>
      <w:r w:rsidR="00A57A5C" w:rsidRPr="00FF338C">
        <w:t xml:space="preserve">. Bias </w:t>
      </w:r>
      <w:r w:rsidR="00A57A5C">
        <w:t>must</w:t>
      </w:r>
      <w:r w:rsidR="00A57A5C" w:rsidRPr="00FF338C">
        <w:t xml:space="preserve"> be tested in accordance with an appropriate standard</w:t>
      </w:r>
      <w:r w:rsidR="00A57A5C">
        <w:t xml:space="preserve">, </w:t>
      </w:r>
      <w:r w:rsidR="00A57A5C" w:rsidRPr="00FF338C">
        <w:t>for example, AS 4264.4</w:t>
      </w:r>
      <w:r w:rsidR="00A57A5C">
        <w:t xml:space="preserve"> -</w:t>
      </w:r>
      <w:r w:rsidR="00A57A5C" w:rsidRPr="00FF338C">
        <w:t>1996</w:t>
      </w:r>
      <w:r w:rsidR="00A57A5C">
        <w:t xml:space="preserve"> </w:t>
      </w:r>
      <w:r w:rsidR="00A57A5C" w:rsidRPr="00B85497">
        <w:rPr>
          <w:i/>
          <w:iCs/>
        </w:rPr>
        <w:t>Coal and coke – Sampling – Determination of precision and bias</w:t>
      </w:r>
      <w:r w:rsidR="00A57A5C" w:rsidRPr="00FF338C">
        <w:t xml:space="preserve">. </w:t>
      </w:r>
    </w:p>
    <w:p w14:paraId="50F8FD25" w14:textId="23253E54" w:rsidR="00A57A5C" w:rsidRPr="00FF338C" w:rsidRDefault="00A57A5C" w:rsidP="00A57A5C">
      <w:r w:rsidRPr="00FF338C">
        <w:t xml:space="preserve">In the case of bias testing of mechanical samplers, the reference samples are usually </w:t>
      </w:r>
      <w:r w:rsidR="00F34460">
        <w:t>‘</w:t>
      </w:r>
      <w:r w:rsidRPr="00FF338C">
        <w:t>stopped belt samples</w:t>
      </w:r>
      <w:r w:rsidR="00F34460">
        <w:t>’</w:t>
      </w:r>
      <w:r w:rsidRPr="00FF338C">
        <w:t xml:space="preserve"> off a conveyor belt. For the purposes of verification of a coal sampling system, the coal samples taken for bias testing (pairs consisting of a reference sample and a sample taken by the coal sampler) should be analysed for total moisture and ash.</w:t>
      </w:r>
    </w:p>
    <w:p w14:paraId="7B145AA4" w14:textId="77777777" w:rsidR="00A57A5C" w:rsidRPr="00FF338C" w:rsidRDefault="00A57A5C" w:rsidP="00A57A5C">
      <w:r w:rsidRPr="00FF338C">
        <w:t>Bias testing should always be carried out on a new sampling system. For an existing system, the following verification procedure may be followed if there is some doubt about the conformance of the sampling system:</w:t>
      </w:r>
    </w:p>
    <w:p w14:paraId="56E63C7D" w14:textId="77777777" w:rsidR="00A57A5C" w:rsidRPr="00FF338C" w:rsidRDefault="00A57A5C" w:rsidP="00A57A5C">
      <w:pPr>
        <w:pStyle w:val="CERbullets"/>
      </w:pPr>
      <w:r w:rsidRPr="00FF338C">
        <w:t>conduct a detailed technical audit of the sampling system</w:t>
      </w:r>
    </w:p>
    <w:p w14:paraId="59AB6B70" w14:textId="77777777" w:rsidR="00A57A5C" w:rsidRPr="00FF338C" w:rsidRDefault="00A57A5C" w:rsidP="00A57A5C">
      <w:pPr>
        <w:pStyle w:val="CERbullets"/>
      </w:pPr>
      <w:r w:rsidRPr="00FF338C">
        <w:t>correct any non-conformances that have been observed</w:t>
      </w:r>
    </w:p>
    <w:p w14:paraId="20459456" w14:textId="77777777" w:rsidR="00A57A5C" w:rsidRPr="00FF338C" w:rsidRDefault="00A57A5C" w:rsidP="00B3330E">
      <w:pPr>
        <w:pStyle w:val="ListParagraph"/>
        <w:numPr>
          <w:ilvl w:val="0"/>
          <w:numId w:val="1"/>
        </w:numPr>
      </w:pPr>
      <w:r w:rsidRPr="00FF338C">
        <w:t>conduct a limited bias test on the system, usually with the coal that exhibits the widest stochastic variability in total moisture or ash, to provide a more quantitative verification that the sampling system is performing correctly.</w:t>
      </w:r>
    </w:p>
    <w:p w14:paraId="28586941" w14:textId="77777777" w:rsidR="00A57A5C" w:rsidRPr="00FF338C" w:rsidRDefault="00A57A5C" w:rsidP="00A57A5C">
      <w:pPr>
        <w:rPr>
          <w:b/>
        </w:rPr>
      </w:pPr>
      <w:r w:rsidRPr="00FF338C">
        <w:t xml:space="preserve">If you are aware of bias, it must be eliminated where possible. Following the implementation of measures to eliminate bias, the presence of residual bias </w:t>
      </w:r>
      <w:r>
        <w:t>must</w:t>
      </w:r>
      <w:r w:rsidRPr="00FF338C">
        <w:t xml:space="preserve"> be retested and assessed. If any remaining bias exists which cannot feasibly be eliminated, data </w:t>
      </w:r>
      <w:r>
        <w:t>must</w:t>
      </w:r>
      <w:r w:rsidRPr="00FF338C">
        <w:t xml:space="preserve"> be corrected to account for the bias, the corrections documented, and records kept.</w:t>
      </w:r>
    </w:p>
    <w:p w14:paraId="62CABD6D" w14:textId="77777777" w:rsidR="00A57A5C" w:rsidRPr="00FF338C" w:rsidRDefault="00A57A5C" w:rsidP="00DB4B56">
      <w:pPr>
        <w:pStyle w:val="Heading2"/>
        <w:numPr>
          <w:ilvl w:val="1"/>
          <w:numId w:val="3"/>
        </w:numPr>
        <w:ind w:left="426" w:hanging="426"/>
      </w:pPr>
      <w:bookmarkStart w:id="131" w:name="_Emissions_from_combustion"/>
      <w:bookmarkStart w:id="132" w:name="_Toc512010397"/>
      <w:bookmarkStart w:id="133" w:name="_Toc512339595"/>
      <w:bookmarkStart w:id="134" w:name="_Toc106705758"/>
      <w:bookmarkStart w:id="135" w:name="_Toc205461445"/>
      <w:bookmarkEnd w:id="131"/>
      <w:r w:rsidRPr="00FF338C">
        <w:t>Emissions from combustion of gaseous fuels</w:t>
      </w:r>
      <w:bookmarkEnd w:id="132"/>
      <w:bookmarkEnd w:id="133"/>
      <w:bookmarkEnd w:id="134"/>
      <w:bookmarkEnd w:id="135"/>
    </w:p>
    <w:p w14:paraId="16D1DE22" w14:textId="77777777" w:rsidR="00A57A5C" w:rsidRDefault="00A57A5C" w:rsidP="00A57A5C">
      <w:r w:rsidRPr="00FF338C">
        <w:t>In the electricity sector, gaseous fuels can be combusted for generation purposes (</w:t>
      </w:r>
      <w:r>
        <w:t>for example</w:t>
      </w:r>
      <w:r w:rsidRPr="00FF338C">
        <w:t xml:space="preserve"> at a gas-fired power plant) or in other equipment. The methods available for estimating emissions from the combustion of liquid fuels are outlined </w:t>
      </w:r>
      <w:r>
        <w:t>below</w:t>
      </w:r>
      <w:r w:rsidRPr="00FF338C">
        <w:t>.</w:t>
      </w:r>
    </w:p>
    <w:p w14:paraId="0C438889" w14:textId="2407319E" w:rsidR="00A57A5C" w:rsidRDefault="00A57A5C" w:rsidP="00A57A5C">
      <w:pPr>
        <w:pStyle w:val="Caption"/>
        <w:keepNext/>
      </w:pPr>
      <w:bookmarkStart w:id="136" w:name="_Ref508014406"/>
      <w:bookmarkStart w:id="137" w:name="_Ref506301095"/>
      <w:r w:rsidRPr="00FF338C">
        <w:t xml:space="preserve">Figure </w:t>
      </w:r>
      <w:r w:rsidR="00011733">
        <w:fldChar w:fldCharType="begin"/>
      </w:r>
      <w:r w:rsidR="00011733">
        <w:instrText xml:space="preserve"> SEQ Figure \* ARABIC </w:instrText>
      </w:r>
      <w:r w:rsidR="00011733">
        <w:fldChar w:fldCharType="separate"/>
      </w:r>
      <w:r w:rsidR="004B0870">
        <w:rPr>
          <w:noProof/>
        </w:rPr>
        <w:t>2</w:t>
      </w:r>
      <w:r w:rsidR="00011733">
        <w:fldChar w:fldCharType="end"/>
      </w:r>
      <w:bookmarkEnd w:id="136"/>
      <w:bookmarkEnd w:id="137"/>
      <w:r w:rsidRPr="00FF338C">
        <w:t xml:space="preserve"> – Available methods for estimating emissions from the combustion of gaseous fuels</w:t>
      </w:r>
      <w:r w:rsidR="002D44DF">
        <w:t>.</w:t>
      </w:r>
    </w:p>
    <w:p w14:paraId="15D99C81" w14:textId="77777777" w:rsidR="00A57A5C" w:rsidRPr="00346DE4" w:rsidRDefault="00A57A5C" w:rsidP="00256727">
      <w:pPr>
        <w:jc w:val="center"/>
      </w:pPr>
      <w:r w:rsidRPr="006A383E">
        <w:rPr>
          <w:noProof/>
        </w:rPr>
        <w:drawing>
          <wp:inline distT="0" distB="0" distL="0" distR="0" wp14:anchorId="34838425" wp14:editId="34715E24">
            <wp:extent cx="6184900" cy="4279265"/>
            <wp:effectExtent l="0" t="0" r="6350" b="6985"/>
            <wp:docPr id="14" name="Picture 14" descr="P4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495#yIS1"/>
                    <pic:cNvPicPr/>
                  </pic:nvPicPr>
                  <pic:blipFill>
                    <a:blip r:embed="rId36"/>
                    <a:stretch>
                      <a:fillRect/>
                    </a:stretch>
                  </pic:blipFill>
                  <pic:spPr>
                    <a:xfrm>
                      <a:off x="0" y="0"/>
                      <a:ext cx="6184900" cy="4279265"/>
                    </a:xfrm>
                    <a:prstGeom prst="rect">
                      <a:avLst/>
                    </a:prstGeom>
                  </pic:spPr>
                </pic:pic>
              </a:graphicData>
            </a:graphic>
          </wp:inline>
        </w:drawing>
      </w:r>
    </w:p>
    <w:p w14:paraId="5855C532" w14:textId="03B701A5" w:rsidR="00A57A5C" w:rsidRDefault="00A57A5C" w:rsidP="00A57A5C">
      <w:r w:rsidRPr="00FF338C">
        <w:t xml:space="preserve">For </w:t>
      </w:r>
      <w:r w:rsidR="0C337204">
        <w:t>M</w:t>
      </w:r>
      <w:r w:rsidRPr="00FF338C">
        <w:t>ethod</w:t>
      </w:r>
      <w:r>
        <w:t>s</w:t>
      </w:r>
      <w:r w:rsidRPr="00FF338C">
        <w:t xml:space="preserve"> 1, 2 and 3</w:t>
      </w:r>
      <w:r>
        <w:t>,</w:t>
      </w:r>
      <w:r w:rsidRPr="00FF338C">
        <w:t xml:space="preserve"> fuel quantities of gaseous fuels combusted should be measured per Division 2.3.6 in the </w:t>
      </w:r>
      <w:r>
        <w:t>NGER Measurement Determination</w:t>
      </w:r>
      <w:r w:rsidRPr="00FF338C">
        <w:t xml:space="preserve">. </w:t>
      </w:r>
      <w:r>
        <w:t xml:space="preserve">See </w:t>
      </w:r>
      <w:hyperlink w:anchor="_Measurement_requirements">
        <w:r w:rsidR="001B7109">
          <w:rPr>
            <w:rStyle w:val="Hyperlink"/>
            <w:rFonts w:asciiTheme="minorHAnsi" w:hAnsiTheme="minorHAnsi"/>
          </w:rPr>
          <w:t>Chapter 8</w:t>
        </w:r>
      </w:hyperlink>
      <w:r w:rsidRPr="00FF338C">
        <w:t xml:space="preserve"> </w:t>
      </w:r>
      <w:r>
        <w:t xml:space="preserve">of this guideline for more information on </w:t>
      </w:r>
      <w:r w:rsidRPr="00FF338C">
        <w:t>measurement requirements.</w:t>
      </w:r>
    </w:p>
    <w:p w14:paraId="0CA7619C" w14:textId="78AA23CA" w:rsidR="00E92CA0" w:rsidRDefault="008801E1" w:rsidP="008801E1">
      <w:r>
        <w:t xml:space="preserve">The energy content factor used to estimate emissions under </w:t>
      </w:r>
      <w:r w:rsidR="368C91C3">
        <w:t>M</w:t>
      </w:r>
      <w:r>
        <w:t xml:space="preserve">ethod 1, 2 </w:t>
      </w:r>
      <w:r w:rsidR="00272AB2">
        <w:t>and</w:t>
      </w:r>
      <w:r>
        <w:t xml:space="preserve"> 3 can either be</w:t>
      </w:r>
      <w:r w:rsidR="00E92CA0">
        <w:t>:</w:t>
      </w:r>
      <w:r>
        <w:t xml:space="preserve"> </w:t>
      </w:r>
    </w:p>
    <w:p w14:paraId="3560EBC3" w14:textId="1C527CF4" w:rsidR="00E92CA0" w:rsidRDefault="008801E1" w:rsidP="00E92CA0">
      <w:pPr>
        <w:pStyle w:val="CERbullets"/>
      </w:pPr>
      <w:r>
        <w:t xml:space="preserve">taken from Part </w:t>
      </w:r>
      <w:r w:rsidR="002C5826">
        <w:t>2</w:t>
      </w:r>
      <w:r>
        <w:t xml:space="preserve"> of Schedule </w:t>
      </w:r>
      <w:r w:rsidR="00A57A5C">
        <w:t>1 of the NGER Measurement Determination</w:t>
      </w:r>
      <w:r>
        <w:t xml:space="preserve"> </w:t>
      </w:r>
    </w:p>
    <w:p w14:paraId="6BCBEA38" w14:textId="0C41C025" w:rsidR="008801E1" w:rsidRDefault="008801E1" w:rsidP="00E92CA0">
      <w:pPr>
        <w:pStyle w:val="CERbullets"/>
      </w:pPr>
      <w:r>
        <w:t xml:space="preserve">estimated via analysis of the fuel in accordance with the standard listed in </w:t>
      </w:r>
      <w:r w:rsidR="00280E6D">
        <w:t>Subdivision 2.3.3.2</w:t>
      </w:r>
      <w:r>
        <w:t xml:space="preserve"> of the NGER Measurement Determination, or equivalent</w:t>
      </w:r>
    </w:p>
    <w:p w14:paraId="64ECEF9F" w14:textId="1AB31FD9" w:rsidR="00E92CA0" w:rsidRDefault="00FB2104" w:rsidP="00D2141E">
      <w:pPr>
        <w:pStyle w:val="CERbullets"/>
      </w:pPr>
      <w:r>
        <w:t xml:space="preserve">equal to </w:t>
      </w:r>
      <w:r w:rsidR="00F947A4">
        <w:t xml:space="preserve">one, if the </w:t>
      </w:r>
      <w:r w:rsidR="00395DE9">
        <w:t>quantity of fuel has been measured in GJ.</w:t>
      </w:r>
    </w:p>
    <w:p w14:paraId="15D0B932" w14:textId="10EC4226" w:rsidR="00E37251" w:rsidRDefault="008801E1" w:rsidP="00D2141E">
      <w:pPr>
        <w:spacing w:before="240"/>
      </w:pPr>
      <w:r>
        <w:t xml:space="preserve">If performing analysis to determine an energy content factor, see </w:t>
      </w:r>
      <w:r w:rsidR="006C799F">
        <w:fldChar w:fldCharType="begin" w:fldLock="1"/>
      </w:r>
      <w:r w:rsidR="006C799F">
        <w:instrText xml:space="preserve"> REF _Ref199338788 </w:instrText>
      </w:r>
      <w:r w:rsidR="006C799F">
        <w:fldChar w:fldCharType="separate"/>
      </w:r>
      <w:r w:rsidR="006C799F">
        <w:t xml:space="preserve">Table </w:t>
      </w:r>
      <w:r w:rsidR="006C799F">
        <w:rPr>
          <w:noProof/>
        </w:rPr>
        <w:t>7</w:t>
      </w:r>
      <w:r w:rsidR="006C799F">
        <w:fldChar w:fldCharType="end"/>
      </w:r>
      <w:r w:rsidR="006C799F">
        <w:t xml:space="preserve"> </w:t>
      </w:r>
      <w:r>
        <w:t xml:space="preserve">and </w:t>
      </w:r>
      <w:r w:rsidR="006C799F">
        <w:fldChar w:fldCharType="begin" w:fldLock="1"/>
      </w:r>
      <w:r w:rsidR="006C799F">
        <w:instrText xml:space="preserve"> REF _Ref199338824 </w:instrText>
      </w:r>
      <w:r w:rsidR="006C799F">
        <w:fldChar w:fldCharType="separate"/>
      </w:r>
      <w:r w:rsidR="006C799F">
        <w:t xml:space="preserve">Table </w:t>
      </w:r>
      <w:r w:rsidR="006C799F">
        <w:rPr>
          <w:noProof/>
        </w:rPr>
        <w:t>8</w:t>
      </w:r>
      <w:r w:rsidR="006C799F">
        <w:fldChar w:fldCharType="end"/>
      </w:r>
      <w:r w:rsidR="006C799F">
        <w:t xml:space="preserve"> </w:t>
      </w:r>
      <w:r>
        <w:t>for further information.</w:t>
      </w:r>
    </w:p>
    <w:p w14:paraId="6D7B022D" w14:textId="3CFD7E22" w:rsidR="00A57A5C" w:rsidRDefault="00A57A5C" w:rsidP="00A57A5C">
      <w:r>
        <w:t>Method 1, set out in Division 2.3.</w:t>
      </w:r>
      <w:r w:rsidR="00914176">
        <w:t>2</w:t>
      </w:r>
      <w:r>
        <w:t xml:space="preserve"> of the NGER Measurement Determination, uses the default emission factors set out in Schedule 1 of the NGER Measurement Determination. Method 1 is the only method available for estimation of emissions of methane and nitrous oxide from the combustion of gaseous fuels. Method 1 may be used for estimating emissions of carbon dioxide, subject to the criteria in subsection 2.19(3) of the NGER Measurement Determination. </w:t>
      </w:r>
      <w:r w:rsidR="451A786B">
        <w:t>M</w:t>
      </w:r>
      <w:r w:rsidR="0ADF0A35">
        <w:t>ethod 1 must not be used if</w:t>
      </w:r>
      <w:r>
        <w:t xml:space="preserve">: </w:t>
      </w:r>
    </w:p>
    <w:p w14:paraId="474879A4" w14:textId="2F69FCFC" w:rsidR="00544453" w:rsidRDefault="00A57A5C" w:rsidP="00544453">
      <w:pPr>
        <w:pStyle w:val="CERbullets"/>
      </w:pPr>
      <w:r w:rsidRPr="006138F0">
        <w:t xml:space="preserve">the </w:t>
      </w:r>
      <w:r w:rsidR="00544453" w:rsidRPr="006138F0">
        <w:t>principal activity of the facility is electricity generation (ANZSIC industry classification code 2611)</w:t>
      </w:r>
    </w:p>
    <w:p w14:paraId="230F7195" w14:textId="2D6BB48B" w:rsidR="00A57A5C" w:rsidRPr="00FF338C" w:rsidRDefault="00A57A5C" w:rsidP="00A57A5C">
      <w:pPr>
        <w:pStyle w:val="CERbullets"/>
      </w:pPr>
      <w:r>
        <w:t xml:space="preserve">the </w:t>
      </w:r>
      <w:r w:rsidR="00AB7434">
        <w:t>total</w:t>
      </w:r>
      <w:r w:rsidRPr="006138F0">
        <w:t xml:space="preserve"> capacity of all generating units at the facility is 30</w:t>
      </w:r>
      <w:r w:rsidR="008963C2">
        <w:t> </w:t>
      </w:r>
      <w:r w:rsidRPr="006138F0">
        <w:t>MW or more</w:t>
      </w:r>
    </w:p>
    <w:p w14:paraId="6B9E947D" w14:textId="75118847" w:rsidR="00A57A5C" w:rsidRDefault="00A57A5C" w:rsidP="00A57A5C">
      <w:pPr>
        <w:pStyle w:val="CERbullets"/>
      </w:pPr>
      <w:r w:rsidRPr="006138F0">
        <w:t>the</w:t>
      </w:r>
      <w:r>
        <w:t xml:space="preserve"> facility generates more than 50,000</w:t>
      </w:r>
      <w:r w:rsidR="008963C2">
        <w:t> </w:t>
      </w:r>
      <w:r>
        <w:t>MWh in a reporting year.</w:t>
      </w:r>
    </w:p>
    <w:p w14:paraId="3DB36F47" w14:textId="77777777" w:rsidR="00A57A5C" w:rsidRPr="00FF338C" w:rsidRDefault="00A57A5C" w:rsidP="00B3330E">
      <w:pPr>
        <w:pStyle w:val="Heading3"/>
        <w:numPr>
          <w:ilvl w:val="2"/>
          <w:numId w:val="3"/>
        </w:numPr>
        <w:ind w:left="505" w:hanging="505"/>
        <w:rPr>
          <w:lang w:val="en-GB"/>
        </w:rPr>
      </w:pPr>
      <w:bookmarkStart w:id="138" w:name="_Sampling_and_analysis"/>
      <w:bookmarkStart w:id="139" w:name="_Ref511917520"/>
      <w:bookmarkStart w:id="140" w:name="_Ref511988321"/>
      <w:bookmarkStart w:id="141" w:name="_Toc512010398"/>
      <w:bookmarkStart w:id="142" w:name="_Toc512339596"/>
      <w:bookmarkStart w:id="143" w:name="_Toc205461446"/>
      <w:bookmarkEnd w:id="138"/>
      <w:r w:rsidRPr="00FF338C">
        <w:rPr>
          <w:lang w:val="en-GB"/>
        </w:rPr>
        <w:t>Sampling and analysis requirements for Methods 2 and 3 for gaseous fuels</w:t>
      </w:r>
      <w:bookmarkEnd w:id="139"/>
      <w:bookmarkEnd w:id="140"/>
      <w:bookmarkEnd w:id="141"/>
      <w:bookmarkEnd w:id="142"/>
      <w:bookmarkEnd w:id="143"/>
    </w:p>
    <w:p w14:paraId="27C0D7FA" w14:textId="6B0ACD26" w:rsidR="00A57A5C" w:rsidRPr="00FF338C" w:rsidRDefault="00A57A5C" w:rsidP="00A57A5C">
      <w:r w:rsidRPr="00FF338C">
        <w:t xml:space="preserve">Sampling and analysis should be undertaken for the parameters listed and at the frequencies indicated in </w:t>
      </w:r>
      <w:r w:rsidR="006C799F">
        <w:fldChar w:fldCharType="begin" w:fldLock="1"/>
      </w:r>
      <w:r w:rsidR="006C799F">
        <w:instrText xml:space="preserve"> REF _Ref199338788 </w:instrText>
      </w:r>
      <w:r w:rsidR="006C799F">
        <w:fldChar w:fldCharType="separate"/>
      </w:r>
      <w:r w:rsidR="006C799F">
        <w:t xml:space="preserve">Table </w:t>
      </w:r>
      <w:r w:rsidR="006C799F">
        <w:rPr>
          <w:noProof/>
        </w:rPr>
        <w:t>7</w:t>
      </w:r>
      <w:r w:rsidR="006C799F">
        <w:fldChar w:fldCharType="end"/>
      </w:r>
      <w:r w:rsidR="006C799F">
        <w:t xml:space="preserve"> and </w:t>
      </w:r>
      <w:r w:rsidR="006C799F">
        <w:fldChar w:fldCharType="begin" w:fldLock="1"/>
      </w:r>
      <w:r w:rsidR="006C799F">
        <w:instrText xml:space="preserve"> REF _Ref199338824 </w:instrText>
      </w:r>
      <w:r w:rsidR="006C799F">
        <w:fldChar w:fldCharType="separate"/>
      </w:r>
      <w:r w:rsidR="006C799F">
        <w:t xml:space="preserve">Table </w:t>
      </w:r>
      <w:r w:rsidR="006C799F">
        <w:rPr>
          <w:noProof/>
        </w:rPr>
        <w:t>8</w:t>
      </w:r>
      <w:r w:rsidR="006C799F">
        <w:fldChar w:fldCharType="end"/>
      </w:r>
      <w:r w:rsidRPr="00FF338C">
        <w:t xml:space="preserve">as per the following divisions of the </w:t>
      </w:r>
      <w:r>
        <w:t>NGER Measurement Determination</w:t>
      </w:r>
      <w:r w:rsidRPr="00FF338C">
        <w:t>:</w:t>
      </w:r>
    </w:p>
    <w:p w14:paraId="2C2A5BDA" w14:textId="77777777" w:rsidR="00A57A5C" w:rsidRPr="00FF338C" w:rsidRDefault="00A57A5C" w:rsidP="00A57A5C">
      <w:pPr>
        <w:pStyle w:val="CERbullets"/>
      </w:pPr>
      <w:r w:rsidRPr="00FF338C">
        <w:t>Method 2: Subdivision 2.3.3.2 (CO</w:t>
      </w:r>
      <w:r w:rsidRPr="00FF338C">
        <w:rPr>
          <w:vertAlign w:val="subscript"/>
        </w:rPr>
        <w:t>2</w:t>
      </w:r>
      <w:r w:rsidRPr="00FF338C">
        <w:t>), and Division 2.3.5 (CH</w:t>
      </w:r>
      <w:r w:rsidRPr="00FF338C">
        <w:rPr>
          <w:vertAlign w:val="subscript"/>
        </w:rPr>
        <w:t>4</w:t>
      </w:r>
      <w:r w:rsidRPr="00FF338C">
        <w:t>).</w:t>
      </w:r>
    </w:p>
    <w:p w14:paraId="70127F5A" w14:textId="77777777" w:rsidR="00A57A5C" w:rsidRPr="00FF338C" w:rsidRDefault="00A57A5C" w:rsidP="00A57A5C">
      <w:pPr>
        <w:pStyle w:val="CERbullets"/>
      </w:pPr>
      <w:bookmarkStart w:id="144" w:name="_Hlk75261883"/>
      <w:r w:rsidRPr="00FF338C">
        <w:t>Method 3: Division 2.3.4.</w:t>
      </w:r>
    </w:p>
    <w:bookmarkEnd w:id="144"/>
    <w:p w14:paraId="10AC92A3" w14:textId="77777777" w:rsidR="00A57A5C" w:rsidRPr="00FF338C" w:rsidRDefault="00A57A5C" w:rsidP="00A57A5C">
      <w:r w:rsidRPr="00FF338C">
        <w:t xml:space="preserve">An accredited laboratory or similar laboratory complying with </w:t>
      </w:r>
      <w:r>
        <w:t>I</w:t>
      </w:r>
      <w:r w:rsidRPr="009752E3">
        <w:t xml:space="preserve">nternational Organization for Standardization </w:t>
      </w:r>
      <w:r>
        <w:t>(</w:t>
      </w:r>
      <w:r w:rsidRPr="00FF338C">
        <w:t>ISO</w:t>
      </w:r>
      <w:r>
        <w:t>)</w:t>
      </w:r>
      <w:r w:rsidRPr="00FF338C">
        <w:t xml:space="preserve"> 17025 should be used to conduct gas analysis. If an online analyser is used, it </w:t>
      </w:r>
      <w:r>
        <w:t>must</w:t>
      </w:r>
      <w:r w:rsidRPr="00FF338C">
        <w:t xml:space="preserve"> be calibrated in line with an appropriate standard </w:t>
      </w:r>
      <w:r>
        <w:t xml:space="preserve">– </w:t>
      </w:r>
      <w:r w:rsidRPr="00FF338C">
        <w:t>for example, ISO 6975:1997.</w:t>
      </w:r>
    </w:p>
    <w:p w14:paraId="47824344" w14:textId="77777777" w:rsidR="00A57A5C" w:rsidRPr="00FF338C" w:rsidRDefault="00A57A5C" w:rsidP="00A57A5C">
      <w:r w:rsidRPr="00FF338C">
        <w:t>The density of a gaseous fuel must be analysed in accordance with ISO 6976:1995 or in accordance with a standard that is equivalent to that standard.</w:t>
      </w:r>
    </w:p>
    <w:p w14:paraId="703B2951" w14:textId="391D6B76" w:rsidR="008C4A6A" w:rsidRDefault="008C4A6A" w:rsidP="009A0F87">
      <w:pPr>
        <w:pStyle w:val="Caption"/>
        <w:keepNext/>
      </w:pPr>
      <w:bookmarkStart w:id="145" w:name="_Ref199338788"/>
      <w:r>
        <w:t xml:space="preserve">Table </w:t>
      </w:r>
      <w:r>
        <w:fldChar w:fldCharType="begin"/>
      </w:r>
      <w:r>
        <w:instrText xml:space="preserve"> SEQ Table \* ARABIC </w:instrText>
      </w:r>
      <w:r>
        <w:fldChar w:fldCharType="separate"/>
      </w:r>
      <w:r w:rsidR="004B0870">
        <w:rPr>
          <w:noProof/>
        </w:rPr>
        <w:t>7</w:t>
      </w:r>
      <w:r>
        <w:fldChar w:fldCharType="end"/>
      </w:r>
      <w:bookmarkEnd w:id="145"/>
      <w:r>
        <w:t xml:space="preserve"> </w:t>
      </w:r>
      <w:r w:rsidRPr="006379A0">
        <w:t>– Gaseous fuel sampling and analysis frequency – Pipeline quality gases.</w:t>
      </w:r>
    </w:p>
    <w:tbl>
      <w:tblPr>
        <w:tblStyle w:val="CERTable"/>
        <w:tblW w:w="5000" w:type="pct"/>
        <w:tblLook w:val="04A0" w:firstRow="1" w:lastRow="0" w:firstColumn="1" w:lastColumn="0" w:noHBand="0" w:noVBand="1"/>
      </w:tblPr>
      <w:tblGrid>
        <w:gridCol w:w="2176"/>
        <w:gridCol w:w="7564"/>
      </w:tblGrid>
      <w:tr w:rsidR="00A57A5C" w:rsidRPr="00C64711" w14:paraId="257D311B" w14:textId="77777777" w:rsidTr="008E6B3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117" w:type="pct"/>
          </w:tcPr>
          <w:p w14:paraId="2DD36AFC" w14:textId="77777777" w:rsidR="00A57A5C" w:rsidRPr="00872A70" w:rsidRDefault="00A57A5C">
            <w:pPr>
              <w:pStyle w:val="Body"/>
              <w:ind w:left="0"/>
              <w:rPr>
                <w:rFonts w:asciiTheme="minorHAnsi" w:hAnsiTheme="minorHAnsi"/>
                <w:sz w:val="22"/>
                <w:szCs w:val="22"/>
              </w:rPr>
            </w:pPr>
            <w:r w:rsidRPr="00872A70">
              <w:rPr>
                <w:rFonts w:asciiTheme="minorHAnsi" w:hAnsiTheme="minorHAnsi"/>
                <w:sz w:val="22"/>
                <w:szCs w:val="22"/>
              </w:rPr>
              <w:t>Parameter</w:t>
            </w:r>
          </w:p>
        </w:tc>
        <w:tc>
          <w:tcPr>
            <w:tcW w:w="3883" w:type="pct"/>
          </w:tcPr>
          <w:p w14:paraId="22BC1BA4" w14:textId="77777777" w:rsidR="00A57A5C" w:rsidRPr="00872A70" w:rsidRDefault="00A57A5C">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 xml:space="preserve">Minimum fuel sampling and analysis frequency </w:t>
            </w:r>
          </w:p>
        </w:tc>
      </w:tr>
      <w:tr w:rsidR="00A57A5C" w:rsidRPr="00C64711" w14:paraId="12140132" w14:textId="77777777" w:rsidTr="008E6B32">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117" w:type="pct"/>
          </w:tcPr>
          <w:p w14:paraId="4700B312" w14:textId="77777777" w:rsidR="00A57A5C" w:rsidRPr="00872A70" w:rsidRDefault="00A57A5C">
            <w:pPr>
              <w:pStyle w:val="Body"/>
              <w:ind w:left="0"/>
              <w:rPr>
                <w:rFonts w:asciiTheme="minorHAnsi" w:hAnsiTheme="minorHAnsi"/>
                <w:sz w:val="22"/>
                <w:szCs w:val="22"/>
              </w:rPr>
            </w:pPr>
            <w:r w:rsidRPr="00872A70">
              <w:rPr>
                <w:rFonts w:asciiTheme="minorHAnsi" w:hAnsiTheme="minorHAnsi"/>
                <w:sz w:val="22"/>
                <w:szCs w:val="22"/>
              </w:rPr>
              <w:t>Gas composition</w:t>
            </w:r>
          </w:p>
        </w:tc>
        <w:tc>
          <w:tcPr>
            <w:tcW w:w="3883" w:type="pct"/>
          </w:tcPr>
          <w:p w14:paraId="00E2A657" w14:textId="77777777" w:rsidR="00A57A5C" w:rsidRPr="00872A70"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Monthly</w:t>
            </w:r>
          </w:p>
        </w:tc>
      </w:tr>
      <w:tr w:rsidR="00A57A5C" w:rsidRPr="00C64711" w14:paraId="0C903F5B" w14:textId="77777777" w:rsidTr="008E6B32">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1117" w:type="pct"/>
          </w:tcPr>
          <w:p w14:paraId="247E8760" w14:textId="77777777" w:rsidR="00A57A5C" w:rsidRPr="00872A70" w:rsidRDefault="00A57A5C">
            <w:pPr>
              <w:pStyle w:val="Body"/>
              <w:ind w:left="0"/>
              <w:rPr>
                <w:rFonts w:asciiTheme="minorHAnsi" w:hAnsiTheme="minorHAnsi"/>
                <w:sz w:val="22"/>
                <w:szCs w:val="22"/>
              </w:rPr>
            </w:pPr>
            <w:r w:rsidRPr="00872A70">
              <w:rPr>
                <w:rFonts w:asciiTheme="minorHAnsi" w:hAnsiTheme="minorHAnsi"/>
                <w:sz w:val="22"/>
                <w:szCs w:val="22"/>
              </w:rPr>
              <w:t>Energy content</w:t>
            </w:r>
          </w:p>
        </w:tc>
        <w:tc>
          <w:tcPr>
            <w:tcW w:w="3883" w:type="pct"/>
          </w:tcPr>
          <w:p w14:paraId="251C334C" w14:textId="77777777" w:rsidR="00A57A5C" w:rsidRPr="00872A70" w:rsidRDefault="00A57A5C">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Monthly if category 1 or 2 gas measuring equipment used</w:t>
            </w:r>
          </w:p>
          <w:p w14:paraId="45E8BC65" w14:textId="77777777" w:rsidR="00A57A5C" w:rsidRPr="00872A70" w:rsidRDefault="00A57A5C">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Continuous if category 3 or 4 gas measuring equipment used</w:t>
            </w:r>
          </w:p>
        </w:tc>
      </w:tr>
    </w:tbl>
    <w:p w14:paraId="3A7EB0D9" w14:textId="77777777" w:rsidR="000D1C5C" w:rsidRDefault="000D1C5C" w:rsidP="00A57A5C">
      <w:pPr>
        <w:rPr>
          <w:iCs/>
        </w:rPr>
      </w:pPr>
    </w:p>
    <w:p w14:paraId="47343BCF" w14:textId="73EB46DC" w:rsidR="00FD64AC" w:rsidRDefault="000D1C5C" w:rsidP="00A57A5C">
      <w:pPr>
        <w:rPr>
          <w:iCs/>
        </w:rPr>
      </w:pPr>
      <w:r w:rsidRPr="00872A70">
        <w:rPr>
          <w:iCs/>
        </w:rPr>
        <w:t>See section 2.31 of the NGER Measurement Determination for classifications of measuring equipment.</w:t>
      </w:r>
    </w:p>
    <w:p w14:paraId="240A5B69" w14:textId="77777777" w:rsidR="00FD64AC" w:rsidRDefault="00FD64AC">
      <w:pPr>
        <w:spacing w:after="0"/>
        <w:rPr>
          <w:iCs/>
        </w:rPr>
      </w:pPr>
      <w:r>
        <w:rPr>
          <w:iCs/>
        </w:rPr>
        <w:br w:type="page"/>
      </w:r>
    </w:p>
    <w:p w14:paraId="29B08501" w14:textId="77777777" w:rsidR="00D66352" w:rsidRDefault="00D66352" w:rsidP="00A57A5C">
      <w:pPr>
        <w:rPr>
          <w:szCs w:val="22"/>
        </w:rPr>
      </w:pPr>
    </w:p>
    <w:p w14:paraId="2D7F3015" w14:textId="04C9A953" w:rsidR="008C4A6A" w:rsidRDefault="008C4A6A" w:rsidP="009A0F87">
      <w:pPr>
        <w:pStyle w:val="Caption"/>
        <w:keepNext/>
      </w:pPr>
      <w:bookmarkStart w:id="146" w:name="_Ref199338824"/>
      <w:r>
        <w:t xml:space="preserve">Table </w:t>
      </w:r>
      <w:r>
        <w:fldChar w:fldCharType="begin"/>
      </w:r>
      <w:r>
        <w:instrText xml:space="preserve"> SEQ Table \* ARABIC </w:instrText>
      </w:r>
      <w:r>
        <w:fldChar w:fldCharType="separate"/>
      </w:r>
      <w:r w:rsidR="004B0870">
        <w:rPr>
          <w:noProof/>
        </w:rPr>
        <w:t>8</w:t>
      </w:r>
      <w:r>
        <w:fldChar w:fldCharType="end"/>
      </w:r>
      <w:bookmarkEnd w:id="146"/>
      <w:r>
        <w:t xml:space="preserve"> </w:t>
      </w:r>
      <w:r w:rsidRPr="00934D14">
        <w:t>– Gaseous fuel sampling and analysis frequency – All other gases (including fugitive emissions).</w:t>
      </w:r>
    </w:p>
    <w:tbl>
      <w:tblPr>
        <w:tblStyle w:val="CERTable"/>
        <w:tblW w:w="5000" w:type="pct"/>
        <w:tblLook w:val="04A0" w:firstRow="1" w:lastRow="0" w:firstColumn="1" w:lastColumn="0" w:noHBand="0" w:noVBand="1"/>
      </w:tblPr>
      <w:tblGrid>
        <w:gridCol w:w="2176"/>
        <w:gridCol w:w="7564"/>
      </w:tblGrid>
      <w:tr w:rsidR="00D66352" w:rsidRPr="00C64711" w14:paraId="776F8C01" w14:textId="77777777" w:rsidTr="008E6B32">
        <w:trPr>
          <w:cnfStyle w:val="100000000000" w:firstRow="1" w:lastRow="0" w:firstColumn="0" w:lastColumn="0" w:oddVBand="0" w:evenVBand="0" w:oddHBand="0"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1117" w:type="pct"/>
          </w:tcPr>
          <w:p w14:paraId="16867CFC" w14:textId="77777777" w:rsidR="00D66352" w:rsidRPr="00872A70" w:rsidRDefault="00D66352">
            <w:pPr>
              <w:pStyle w:val="Body"/>
              <w:ind w:left="0"/>
              <w:rPr>
                <w:rFonts w:asciiTheme="minorHAnsi" w:hAnsiTheme="minorHAnsi"/>
                <w:sz w:val="22"/>
                <w:szCs w:val="22"/>
              </w:rPr>
            </w:pPr>
            <w:r w:rsidRPr="00872A70">
              <w:rPr>
                <w:rFonts w:asciiTheme="minorHAnsi" w:hAnsiTheme="minorHAnsi"/>
                <w:sz w:val="22"/>
                <w:szCs w:val="22"/>
              </w:rPr>
              <w:t>Parameter</w:t>
            </w:r>
          </w:p>
        </w:tc>
        <w:tc>
          <w:tcPr>
            <w:tcW w:w="3883" w:type="pct"/>
          </w:tcPr>
          <w:p w14:paraId="407584AC" w14:textId="77777777" w:rsidR="00D66352" w:rsidRPr="00872A70" w:rsidRDefault="00D66352">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 xml:space="preserve">Minimum fuel sampling and analysis frequency </w:t>
            </w:r>
          </w:p>
        </w:tc>
      </w:tr>
      <w:tr w:rsidR="00D66352" w:rsidRPr="00C64711" w14:paraId="7CF119D0" w14:textId="77777777" w:rsidTr="008E6B32">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117" w:type="pct"/>
          </w:tcPr>
          <w:p w14:paraId="3F3C0CFF" w14:textId="77777777" w:rsidR="00D66352" w:rsidRPr="00872A70" w:rsidRDefault="00D66352">
            <w:pPr>
              <w:pStyle w:val="Body"/>
              <w:ind w:left="0"/>
              <w:rPr>
                <w:rFonts w:asciiTheme="minorHAnsi" w:hAnsiTheme="minorHAnsi"/>
                <w:sz w:val="22"/>
                <w:szCs w:val="22"/>
              </w:rPr>
            </w:pPr>
            <w:r w:rsidRPr="00872A70">
              <w:rPr>
                <w:rFonts w:asciiTheme="minorHAnsi" w:hAnsiTheme="minorHAnsi"/>
                <w:sz w:val="22"/>
                <w:szCs w:val="22"/>
              </w:rPr>
              <w:t xml:space="preserve">Gas composition </w:t>
            </w:r>
          </w:p>
        </w:tc>
        <w:tc>
          <w:tcPr>
            <w:tcW w:w="3883" w:type="pct"/>
          </w:tcPr>
          <w:p w14:paraId="7DCB57B8" w14:textId="77777777" w:rsidR="00D66352" w:rsidRPr="00872A70" w:rsidRDefault="00D66352">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Monthly</w:t>
            </w:r>
          </w:p>
        </w:tc>
      </w:tr>
      <w:tr w:rsidR="00D66352" w:rsidRPr="00C64711" w14:paraId="2A8D34DA" w14:textId="77777777" w:rsidTr="008E6B32">
        <w:trPr>
          <w:cnfStyle w:val="000000010000" w:firstRow="0" w:lastRow="0" w:firstColumn="0" w:lastColumn="0" w:oddVBand="0" w:evenVBand="0" w:oddHBand="0" w:evenHBand="1"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117" w:type="pct"/>
            <w:tcBorders>
              <w:bottom w:val="single" w:sz="8" w:space="0" w:color="E8E8E8" w:themeColor="background2"/>
            </w:tcBorders>
          </w:tcPr>
          <w:p w14:paraId="48783706" w14:textId="77777777" w:rsidR="00D66352" w:rsidRPr="00872A70" w:rsidRDefault="00D66352">
            <w:pPr>
              <w:pStyle w:val="Body"/>
              <w:ind w:left="0"/>
              <w:rPr>
                <w:rFonts w:asciiTheme="minorHAnsi" w:hAnsiTheme="minorHAnsi"/>
                <w:sz w:val="22"/>
                <w:szCs w:val="22"/>
              </w:rPr>
            </w:pPr>
            <w:r w:rsidRPr="00872A70">
              <w:rPr>
                <w:rFonts w:asciiTheme="minorHAnsi" w:hAnsiTheme="minorHAnsi"/>
                <w:sz w:val="22"/>
                <w:szCs w:val="22"/>
              </w:rPr>
              <w:t>Energy content</w:t>
            </w:r>
          </w:p>
        </w:tc>
        <w:tc>
          <w:tcPr>
            <w:tcW w:w="3883" w:type="pct"/>
            <w:tcBorders>
              <w:bottom w:val="single" w:sz="8" w:space="0" w:color="E8E8E8" w:themeColor="background2"/>
            </w:tcBorders>
          </w:tcPr>
          <w:p w14:paraId="46E3C1C3" w14:textId="77777777" w:rsidR="00D66352" w:rsidRPr="00872A70" w:rsidRDefault="00D66352">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Monthly</w:t>
            </w:r>
          </w:p>
        </w:tc>
      </w:tr>
      <w:tr w:rsidR="00503817" w:rsidRPr="00C64711" w14:paraId="502AB7FD" w14:textId="77777777" w:rsidTr="008E6B32">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117" w:type="pct"/>
            <w:tcBorders>
              <w:top w:val="single" w:sz="8" w:space="0" w:color="E8E8E8" w:themeColor="background2"/>
              <w:bottom w:val="single" w:sz="4" w:space="0" w:color="FCBA5C" w:themeColor="accent2"/>
            </w:tcBorders>
          </w:tcPr>
          <w:p w14:paraId="06314EF7" w14:textId="77777777" w:rsidR="00D66352" w:rsidRPr="00872A70" w:rsidRDefault="00D66352">
            <w:pPr>
              <w:pStyle w:val="Body"/>
              <w:ind w:left="0"/>
              <w:rPr>
                <w:rFonts w:asciiTheme="minorHAnsi" w:hAnsiTheme="minorHAnsi"/>
                <w:sz w:val="22"/>
                <w:szCs w:val="22"/>
              </w:rPr>
            </w:pPr>
            <w:r w:rsidRPr="00872A70">
              <w:rPr>
                <w:rFonts w:asciiTheme="minorHAnsi" w:hAnsiTheme="minorHAnsi"/>
                <w:sz w:val="22"/>
                <w:szCs w:val="22"/>
              </w:rPr>
              <w:t>Exception</w:t>
            </w:r>
          </w:p>
        </w:tc>
        <w:tc>
          <w:tcPr>
            <w:tcW w:w="3883" w:type="pct"/>
            <w:tcBorders>
              <w:top w:val="single" w:sz="8" w:space="0" w:color="E8E8E8" w:themeColor="background2"/>
              <w:bottom w:val="single" w:sz="4" w:space="0" w:color="FCBA5C" w:themeColor="accent2"/>
            </w:tcBorders>
          </w:tcPr>
          <w:p w14:paraId="2CAEFCF3" w14:textId="5272AB83" w:rsidR="00D66352" w:rsidRPr="00872A70" w:rsidRDefault="00D66352">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If a reporter certifies in writing that such frequency of analysis will cause significant hardship or expense, the analysis may be undertaken at a frequency that will allow an unbiased estimate to be obtained</w:t>
            </w:r>
          </w:p>
        </w:tc>
      </w:tr>
    </w:tbl>
    <w:p w14:paraId="39394850" w14:textId="77777777" w:rsidR="00D66352" w:rsidRDefault="00D66352" w:rsidP="00A57A5C">
      <w:pPr>
        <w:rPr>
          <w:iCs/>
        </w:rPr>
      </w:pPr>
    </w:p>
    <w:p w14:paraId="2B0BE21C" w14:textId="77777777" w:rsidR="00A57A5C" w:rsidRPr="00FF338C" w:rsidRDefault="00A57A5C" w:rsidP="00A57A5C">
      <w:r w:rsidRPr="00532F92">
        <w:rPr>
          <w:bCs/>
        </w:rPr>
        <w:t>Note: Gaseous</w:t>
      </w:r>
      <w:r w:rsidRPr="00FF338C">
        <w:t xml:space="preserve"> fuel is typically delivered with set energy content specifications. Whilst these specifications can be useful to sense-check fuel sampling and analysis, they may not meet the NGER requirements for fuel sampling and analysis. </w:t>
      </w:r>
      <w:r>
        <w:t>T</w:t>
      </w:r>
      <w:r w:rsidRPr="00FF338C">
        <w:t xml:space="preserve">he reporter should establish and document that sufficient fuel sampling and analysis has been performed. Alternatively, the reporter can use the default energy content factor for the fuel type specified in Part 2 of Schedule 1 of the </w:t>
      </w:r>
      <w:r>
        <w:t>NGER Measurement Determination</w:t>
      </w:r>
      <w:r w:rsidRPr="00FF338C">
        <w:t>.</w:t>
      </w:r>
    </w:p>
    <w:p w14:paraId="01EE1F7F" w14:textId="77777777" w:rsidR="00A57A5C" w:rsidRPr="00FF338C" w:rsidRDefault="00A57A5C" w:rsidP="00A57A5C">
      <w:pPr>
        <w:pStyle w:val="Heading4"/>
      </w:pPr>
      <w:bookmarkStart w:id="147" w:name="_Toc205461447"/>
      <w:r w:rsidRPr="00FF338C">
        <w:t>Bias testing</w:t>
      </w:r>
      <w:bookmarkEnd w:id="147"/>
    </w:p>
    <w:p w14:paraId="273AFE04" w14:textId="77777777" w:rsidR="00A57A5C" w:rsidRPr="00FF338C" w:rsidRDefault="00A57A5C" w:rsidP="00A57A5C">
      <w:r w:rsidRPr="00FF338C">
        <w:t>Samples</w:t>
      </w:r>
      <w:r w:rsidRPr="00FF338C" w:rsidDel="00B876E6">
        <w:t xml:space="preserve"> </w:t>
      </w:r>
      <w:r>
        <w:t>must</w:t>
      </w:r>
      <w:r w:rsidRPr="00FF338C">
        <w:t xml:space="preserve"> be </w:t>
      </w:r>
      <w:r>
        <w:t>‘</w:t>
      </w:r>
      <w:r w:rsidRPr="00FF338C">
        <w:t>free of bias so that any estimates are neither over nor under</w:t>
      </w:r>
      <w:r>
        <w:t>-</w:t>
      </w:r>
      <w:r w:rsidRPr="00FF338C">
        <w:t>estimates of the true value</w:t>
      </w:r>
      <w:r>
        <w:t>’, per s</w:t>
      </w:r>
      <w:r w:rsidRPr="00FF338C">
        <w:t xml:space="preserve">ection 2.44 of the </w:t>
      </w:r>
      <w:r>
        <w:t>NGER Measurement Determination</w:t>
      </w:r>
      <w:r w:rsidRPr="00FF338C">
        <w:t xml:space="preserve">. </w:t>
      </w:r>
    </w:p>
    <w:p w14:paraId="1D2F9FBF" w14:textId="77777777" w:rsidR="00A57A5C" w:rsidRPr="00FF338C" w:rsidRDefault="00A57A5C" w:rsidP="00A57A5C">
      <w:r w:rsidRPr="00FF338C">
        <w:t xml:space="preserve">Bias is less likely to occur in the sampling and analysis of gaseous fuels. If you are aware of bias, it must be eliminated where possible. Following the implementation of measures to eliminate bias, the presence of residual bias </w:t>
      </w:r>
      <w:r>
        <w:t>must</w:t>
      </w:r>
      <w:r w:rsidRPr="00FF338C">
        <w:t xml:space="preserve"> be retested and assessed. If any remaining bias exists which cannot feasibly be eliminated, data </w:t>
      </w:r>
      <w:r>
        <w:t>must</w:t>
      </w:r>
      <w:r w:rsidRPr="00FF338C">
        <w:t xml:space="preserve"> be corrected to account for the bias, the corrections documented</w:t>
      </w:r>
      <w:r>
        <w:t>,</w:t>
      </w:r>
      <w:r w:rsidRPr="00FF338C">
        <w:t xml:space="preserve"> and </w:t>
      </w:r>
      <w:r>
        <w:t xml:space="preserve">the </w:t>
      </w:r>
      <w:r w:rsidRPr="00FF338C">
        <w:t>records kept.</w:t>
      </w:r>
    </w:p>
    <w:p w14:paraId="34E900CB" w14:textId="77777777" w:rsidR="00FD64AC" w:rsidRDefault="00FD64AC">
      <w:pPr>
        <w:spacing w:after="0"/>
        <w:rPr>
          <w:rFonts w:asciiTheme="majorHAnsi" w:eastAsia="Times New Roman" w:hAnsiTheme="majorHAnsi"/>
          <w:b/>
          <w:bCs/>
          <w:sz w:val="32"/>
          <w:szCs w:val="32"/>
        </w:rPr>
      </w:pPr>
      <w:bookmarkStart w:id="148" w:name="_Emissions_from_combustion_1"/>
      <w:bookmarkStart w:id="149" w:name="_Toc512010399"/>
      <w:bookmarkStart w:id="150" w:name="_Toc512339597"/>
      <w:bookmarkStart w:id="151" w:name="_Toc106705759"/>
      <w:bookmarkEnd w:id="148"/>
      <w:r>
        <w:br w:type="page"/>
      </w:r>
    </w:p>
    <w:p w14:paraId="47102705" w14:textId="2E455560" w:rsidR="00A57A5C" w:rsidRPr="00FF338C" w:rsidRDefault="00A57A5C" w:rsidP="00DB4B56">
      <w:pPr>
        <w:pStyle w:val="Heading2"/>
        <w:numPr>
          <w:ilvl w:val="1"/>
          <w:numId w:val="3"/>
        </w:numPr>
        <w:ind w:left="426" w:hanging="426"/>
      </w:pPr>
      <w:bookmarkStart w:id="152" w:name="_Toc205461448"/>
      <w:r w:rsidRPr="00FF338C">
        <w:t>Emissions from combustion of liquid fuels</w:t>
      </w:r>
      <w:bookmarkEnd w:id="149"/>
      <w:bookmarkEnd w:id="150"/>
      <w:bookmarkEnd w:id="151"/>
      <w:bookmarkEnd w:id="152"/>
    </w:p>
    <w:p w14:paraId="51B5D357" w14:textId="77777777" w:rsidR="00A57A5C" w:rsidRDefault="00A57A5C" w:rsidP="00A57A5C">
      <w:r w:rsidRPr="00FF338C">
        <w:t>In the electricity sector, liquid fuels can be combusted for generation purposes or in other equipment – including for transport purposes</w:t>
      </w:r>
      <w:r>
        <w:t xml:space="preserve">, </w:t>
      </w:r>
      <w:r w:rsidRPr="00FF338C">
        <w:t>for example</w:t>
      </w:r>
      <w:r>
        <w:t>,</w:t>
      </w:r>
      <w:r w:rsidRPr="00FF338C">
        <w:t xml:space="preserve"> road-registered combustion engine vehicles. The methods available for estimating emissions from the combustion of liquid fuels are outlined </w:t>
      </w:r>
      <w:r>
        <w:t>below</w:t>
      </w:r>
      <w:r w:rsidRPr="00FF338C">
        <w:t>.</w:t>
      </w:r>
    </w:p>
    <w:p w14:paraId="4779995B" w14:textId="4C44405E" w:rsidR="00A57A5C" w:rsidRPr="00227CF6" w:rsidRDefault="00A57A5C" w:rsidP="00A57A5C">
      <w:pPr>
        <w:pStyle w:val="Caption"/>
        <w:rPr>
          <w:noProof/>
          <w:szCs w:val="24"/>
        </w:rPr>
      </w:pPr>
      <w:bookmarkStart w:id="153" w:name="_Ref512240952"/>
      <w:r>
        <w:t xml:space="preserve">Figure </w:t>
      </w:r>
      <w:r w:rsidR="00011733">
        <w:fldChar w:fldCharType="begin"/>
      </w:r>
      <w:r w:rsidR="00011733">
        <w:instrText xml:space="preserve"> SEQ Figure \* ARABIC </w:instrText>
      </w:r>
      <w:r w:rsidR="00011733">
        <w:fldChar w:fldCharType="separate"/>
      </w:r>
      <w:r w:rsidR="004B0870">
        <w:rPr>
          <w:noProof/>
        </w:rPr>
        <w:t>3</w:t>
      </w:r>
      <w:r w:rsidR="00011733">
        <w:fldChar w:fldCharType="end"/>
      </w:r>
      <w:bookmarkEnd w:id="153"/>
      <w:r>
        <w:t xml:space="preserve"> – Available methods for estimating emissions from the combustion of liquid fuels</w:t>
      </w:r>
      <w:r w:rsidR="002D44DF">
        <w:t>.</w:t>
      </w:r>
    </w:p>
    <w:p w14:paraId="1EFD0F5A" w14:textId="77777777" w:rsidR="00A57A5C" w:rsidRPr="00FF338C" w:rsidRDefault="00A57A5C" w:rsidP="00A57A5C">
      <w:r>
        <w:rPr>
          <w:noProof/>
          <w:lang w:eastAsia="en-AU"/>
        </w:rPr>
        <w:drawing>
          <wp:inline distT="0" distB="0" distL="0" distR="0" wp14:anchorId="7C356C72" wp14:editId="253F2C4B">
            <wp:extent cx="5048250" cy="3003265"/>
            <wp:effectExtent l="0" t="0" r="0" b="6985"/>
            <wp:docPr id="17" name="Picture 17" descr="P54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549#yIS1"/>
                    <pic:cNvPicPr>
                      <a:picLocks noChangeAspect="1" noChangeArrowheads="1"/>
                    </pic:cNvPicPr>
                  </pic:nvPicPr>
                  <pic:blipFill>
                    <a:blip r:embed="rId37"/>
                    <a:stretch>
                      <a:fillRect/>
                    </a:stretch>
                  </pic:blipFill>
                  <pic:spPr bwMode="auto">
                    <a:xfrm>
                      <a:off x="0" y="0"/>
                      <a:ext cx="5061507" cy="3011152"/>
                    </a:xfrm>
                    <a:prstGeom prst="rect">
                      <a:avLst/>
                    </a:prstGeom>
                    <a:noFill/>
                  </pic:spPr>
                </pic:pic>
              </a:graphicData>
            </a:graphic>
          </wp:inline>
        </w:drawing>
      </w:r>
    </w:p>
    <w:p w14:paraId="6D42BA9F" w14:textId="10F58C29" w:rsidR="00A57A5C" w:rsidRPr="00FF338C" w:rsidRDefault="00A57A5C" w:rsidP="00A57A5C">
      <w:pPr>
        <w:rPr>
          <w:color w:val="auto"/>
        </w:rPr>
      </w:pPr>
      <w:r w:rsidRPr="00FF338C">
        <w:rPr>
          <w:color w:val="auto"/>
        </w:rPr>
        <w:t xml:space="preserve">Method 1 is available for estimating emissions of carbon dioxide </w:t>
      </w:r>
      <w:r>
        <w:rPr>
          <w:color w:val="auto"/>
        </w:rPr>
        <w:t>for</w:t>
      </w:r>
      <w:r w:rsidRPr="00FF338C">
        <w:rPr>
          <w:color w:val="auto"/>
        </w:rPr>
        <w:t xml:space="preserve"> all liquid fuel power generators. </w:t>
      </w:r>
    </w:p>
    <w:p w14:paraId="33FE582E" w14:textId="038771F9" w:rsidR="00A57A5C" w:rsidRDefault="00A57A5C" w:rsidP="00A57A5C">
      <w:r w:rsidRPr="00FF338C">
        <w:t xml:space="preserve">For </w:t>
      </w:r>
      <w:r w:rsidR="792FD118">
        <w:t>M</w:t>
      </w:r>
      <w:r w:rsidRPr="00FF338C">
        <w:t>ethod</w:t>
      </w:r>
      <w:r>
        <w:t>s</w:t>
      </w:r>
      <w:r w:rsidRPr="00FF338C">
        <w:t xml:space="preserve"> 1, 2 and 3</w:t>
      </w:r>
      <w:r w:rsidR="00DF1E7A">
        <w:t>,</w:t>
      </w:r>
      <w:r w:rsidRPr="00FF338C">
        <w:t xml:space="preserve"> fuel quantities of liquid fuels combusted should be measured as per Division 2.4.6 in the </w:t>
      </w:r>
      <w:r>
        <w:t xml:space="preserve">NGER Measurement Determination. See </w:t>
      </w:r>
      <w:hyperlink w:anchor="_Measurement_requirements">
        <w:r w:rsidRPr="225BD912">
          <w:rPr>
            <w:rStyle w:val="Hyperlink"/>
            <w:rFonts w:asciiTheme="minorHAnsi" w:hAnsiTheme="minorHAnsi"/>
          </w:rPr>
          <w:t>Chapter 8</w:t>
        </w:r>
      </w:hyperlink>
      <w:r w:rsidRPr="00FF338C">
        <w:t xml:space="preserve"> </w:t>
      </w:r>
      <w:r>
        <w:t>of this guideline for more information</w:t>
      </w:r>
      <w:r w:rsidRPr="00FF338C">
        <w:t xml:space="preserve">. </w:t>
      </w:r>
    </w:p>
    <w:p w14:paraId="3D5AD8A1" w14:textId="2BDAC933" w:rsidR="00220AF6" w:rsidRDefault="00220AF6" w:rsidP="00220AF6">
      <w:r>
        <w:t xml:space="preserve">The energy content factor used to estimate emissions under </w:t>
      </w:r>
      <w:r w:rsidR="2F51476D">
        <w:t>M</w:t>
      </w:r>
      <w:r>
        <w:t xml:space="preserve">ethod 1, 2 and 3 can either be: </w:t>
      </w:r>
    </w:p>
    <w:p w14:paraId="36C91E84" w14:textId="361BF543" w:rsidR="00BF4D3C" w:rsidRDefault="00220AF6" w:rsidP="00220AF6">
      <w:pPr>
        <w:pStyle w:val="CERbullets"/>
      </w:pPr>
      <w:r>
        <w:t xml:space="preserve">taken from Part </w:t>
      </w:r>
      <w:r w:rsidR="00BF4D3C">
        <w:t>3</w:t>
      </w:r>
      <w:r>
        <w:t xml:space="preserve"> of Schedule 1 of the NGER Measurement Determination</w:t>
      </w:r>
      <w:r w:rsidR="00BF4D3C">
        <w:t xml:space="preserve"> for stationary energy purposes</w:t>
      </w:r>
    </w:p>
    <w:p w14:paraId="10735E0F" w14:textId="59C89251" w:rsidR="00DA1154" w:rsidRDefault="00DA1154" w:rsidP="00220AF6">
      <w:pPr>
        <w:pStyle w:val="CERbullets"/>
      </w:pPr>
      <w:r>
        <w:t>taken from Division 4.1 of Schedule 1 of the NGER Measurement Determination for transport energy purposes</w:t>
      </w:r>
    </w:p>
    <w:p w14:paraId="0CED0B43" w14:textId="49A26465" w:rsidR="00220AF6" w:rsidRPr="00DA1154" w:rsidRDefault="00220AF6" w:rsidP="00D2141E">
      <w:pPr>
        <w:pStyle w:val="CERbullets"/>
      </w:pPr>
      <w:r>
        <w:t>estimated via analysis of the fuel in accordance with the standard listed in Subdivision 2.</w:t>
      </w:r>
      <w:r w:rsidR="00DA1154">
        <w:t>4</w:t>
      </w:r>
      <w:r>
        <w:t>.3.2 of the NGER Measurement Determination or equivalent</w:t>
      </w:r>
      <w:r w:rsidR="000C6D39">
        <w:t>.</w:t>
      </w:r>
    </w:p>
    <w:p w14:paraId="3F899E46" w14:textId="5C74708E" w:rsidR="00A57A5C" w:rsidRPr="00FF338C" w:rsidRDefault="00A57A5C" w:rsidP="00B3330E">
      <w:pPr>
        <w:pStyle w:val="Heading3"/>
        <w:numPr>
          <w:ilvl w:val="2"/>
          <w:numId w:val="3"/>
        </w:numPr>
        <w:ind w:left="505" w:hanging="505"/>
        <w:rPr>
          <w:lang w:val="en-GB"/>
        </w:rPr>
      </w:pPr>
      <w:bookmarkStart w:id="154" w:name="_Sampling_and_analysis_1"/>
      <w:bookmarkStart w:id="155" w:name="_Ref511917530"/>
      <w:bookmarkStart w:id="156" w:name="_Ref511988410"/>
      <w:bookmarkStart w:id="157" w:name="_Toc512010400"/>
      <w:bookmarkStart w:id="158" w:name="_Toc512339598"/>
      <w:bookmarkStart w:id="159" w:name="_Toc205461449"/>
      <w:bookmarkEnd w:id="154"/>
      <w:r w:rsidRPr="00FF338C">
        <w:rPr>
          <w:lang w:val="en-GB"/>
        </w:rPr>
        <w:t xml:space="preserve">Sampling and analysis requirements for </w:t>
      </w:r>
      <w:r w:rsidR="2EB70EE9" w:rsidRPr="371987C6">
        <w:rPr>
          <w:lang w:val="en-GB"/>
        </w:rPr>
        <w:t>M</w:t>
      </w:r>
      <w:r w:rsidRPr="00FF338C">
        <w:rPr>
          <w:lang w:val="en-GB"/>
        </w:rPr>
        <w:t>ethods 2 and 3 for liquid fuels</w:t>
      </w:r>
      <w:bookmarkEnd w:id="155"/>
      <w:bookmarkEnd w:id="156"/>
      <w:bookmarkEnd w:id="157"/>
      <w:bookmarkEnd w:id="158"/>
      <w:bookmarkEnd w:id="159"/>
    </w:p>
    <w:p w14:paraId="1D89BACC" w14:textId="2978677C" w:rsidR="00A57A5C" w:rsidRPr="00FF338C" w:rsidRDefault="00A57A5C" w:rsidP="00A57A5C">
      <w:r w:rsidRPr="00FF338C">
        <w:t xml:space="preserve">Sampling and analysis </w:t>
      </w:r>
      <w:r>
        <w:t>must</w:t>
      </w:r>
      <w:r w:rsidRPr="00FF338C">
        <w:t xml:space="preserve"> be undertaken for the parameters listed and at the frequencies indicated in </w:t>
      </w:r>
      <w:r w:rsidR="006C799F">
        <w:fldChar w:fldCharType="begin" w:fldLock="1"/>
      </w:r>
      <w:r w:rsidR="006C799F">
        <w:instrText xml:space="preserve"> REF _Ref199338850 </w:instrText>
      </w:r>
      <w:r w:rsidR="006C799F">
        <w:fldChar w:fldCharType="separate"/>
      </w:r>
      <w:r w:rsidR="006C799F">
        <w:t xml:space="preserve">Table </w:t>
      </w:r>
      <w:r w:rsidR="006C799F">
        <w:rPr>
          <w:noProof/>
        </w:rPr>
        <w:t>9</w:t>
      </w:r>
      <w:r w:rsidR="006C799F">
        <w:fldChar w:fldCharType="end"/>
      </w:r>
      <w:r w:rsidR="006C799F">
        <w:t xml:space="preserve"> </w:t>
      </w:r>
      <w:r w:rsidRPr="00FF338C">
        <w:t xml:space="preserve">as per the following divisions of the </w:t>
      </w:r>
      <w:r>
        <w:t>NGER Measurement Determination</w:t>
      </w:r>
      <w:r w:rsidRPr="00FF338C">
        <w:t>:</w:t>
      </w:r>
    </w:p>
    <w:p w14:paraId="47CFF601" w14:textId="77777777" w:rsidR="00A57A5C" w:rsidRPr="00FF338C" w:rsidRDefault="00A57A5C" w:rsidP="00A57A5C">
      <w:pPr>
        <w:pStyle w:val="CERbullets"/>
      </w:pPr>
      <w:r w:rsidRPr="00FF338C">
        <w:t>Method 2</w:t>
      </w:r>
      <w:r>
        <w:t xml:space="preserve"> - </w:t>
      </w:r>
      <w:r w:rsidRPr="00FF338C">
        <w:t>Subdivision 2.4.3.2 (CO</w:t>
      </w:r>
      <w:r w:rsidRPr="00FF338C">
        <w:rPr>
          <w:vertAlign w:val="subscript"/>
        </w:rPr>
        <w:t>2</w:t>
      </w:r>
      <w:r w:rsidRPr="00FF338C">
        <w:t>) and Division 2.4.5 (CH</w:t>
      </w:r>
      <w:r w:rsidRPr="00FF338C">
        <w:rPr>
          <w:vertAlign w:val="subscript"/>
        </w:rPr>
        <w:t>4</w:t>
      </w:r>
      <w:r w:rsidRPr="00FF338C">
        <w:t xml:space="preserve"> and N</w:t>
      </w:r>
      <w:r w:rsidRPr="00FF338C">
        <w:rPr>
          <w:vertAlign w:val="subscript"/>
        </w:rPr>
        <w:t>2</w:t>
      </w:r>
      <w:r w:rsidRPr="00FF338C">
        <w:t>O)</w:t>
      </w:r>
    </w:p>
    <w:p w14:paraId="101D72A9" w14:textId="77777777" w:rsidR="00A57A5C" w:rsidRPr="00FF338C" w:rsidRDefault="00A57A5C" w:rsidP="00A57A5C">
      <w:pPr>
        <w:pStyle w:val="CERbullets"/>
      </w:pPr>
      <w:r w:rsidRPr="00FF338C">
        <w:t>Method 3</w:t>
      </w:r>
      <w:r>
        <w:t xml:space="preserve"> - </w:t>
      </w:r>
      <w:r w:rsidRPr="00FF338C">
        <w:t>Division 2.4.4.</w:t>
      </w:r>
    </w:p>
    <w:p w14:paraId="54C47F41" w14:textId="77777777" w:rsidR="00A57A5C" w:rsidRPr="00FF338C" w:rsidRDefault="00A57A5C" w:rsidP="00A57A5C">
      <w:r w:rsidRPr="00FF338C">
        <w:t>An</w:t>
      </w:r>
      <w:r>
        <w:t xml:space="preserve"> </w:t>
      </w:r>
      <w:r w:rsidRPr="00FF338C">
        <w:t xml:space="preserve">accredited laboratory or </w:t>
      </w:r>
      <w:r w:rsidRPr="001166CF">
        <w:t>a</w:t>
      </w:r>
      <w:r w:rsidRPr="00FF338C">
        <w:t xml:space="preserve"> laboratory </w:t>
      </w:r>
      <w:r w:rsidRPr="001166CF">
        <w:t>that meets requirements equivalent to those in AS</w:t>
      </w:r>
      <w:r w:rsidRPr="00FF338C">
        <w:t xml:space="preserve"> ISO</w:t>
      </w:r>
      <w:r w:rsidRPr="001166CF">
        <w:t>/IEC</w:t>
      </w:r>
      <w:r w:rsidRPr="00FF338C">
        <w:t xml:space="preserve"> 17025</w:t>
      </w:r>
      <w:r w:rsidRPr="001166CF">
        <w:t>:2005</w:t>
      </w:r>
      <w:r w:rsidRPr="00FF338C" w:rsidDel="00FC2666">
        <w:t xml:space="preserve"> </w:t>
      </w:r>
      <w:r>
        <w:t>must</w:t>
      </w:r>
      <w:r w:rsidRPr="00FF338C">
        <w:t xml:space="preserve"> be used to conduct liquid analysis.</w:t>
      </w:r>
    </w:p>
    <w:p w14:paraId="5A9ECB36" w14:textId="0C2F19F3" w:rsidR="00554FE5" w:rsidRDefault="00554FE5" w:rsidP="009A0F87">
      <w:pPr>
        <w:pStyle w:val="Caption"/>
        <w:keepNext/>
      </w:pPr>
      <w:bookmarkStart w:id="160" w:name="_Ref199338850"/>
      <w:r>
        <w:t xml:space="preserve">Table </w:t>
      </w:r>
      <w:r>
        <w:fldChar w:fldCharType="begin"/>
      </w:r>
      <w:r>
        <w:instrText xml:space="preserve"> SEQ Table \* ARABIC </w:instrText>
      </w:r>
      <w:r>
        <w:fldChar w:fldCharType="separate"/>
      </w:r>
      <w:r w:rsidR="004B0870">
        <w:rPr>
          <w:noProof/>
        </w:rPr>
        <w:t>9</w:t>
      </w:r>
      <w:r>
        <w:fldChar w:fldCharType="end"/>
      </w:r>
      <w:bookmarkEnd w:id="160"/>
      <w:r w:rsidRPr="005A27E8">
        <w:t xml:space="preserve"> – Liquid fuel sampling and analysis frequency.</w:t>
      </w:r>
    </w:p>
    <w:tbl>
      <w:tblPr>
        <w:tblStyle w:val="CERTable"/>
        <w:tblW w:w="5000" w:type="pct"/>
        <w:tblLook w:val="04A0" w:firstRow="1" w:lastRow="0" w:firstColumn="1" w:lastColumn="0" w:noHBand="0" w:noVBand="1"/>
      </w:tblPr>
      <w:tblGrid>
        <w:gridCol w:w="1973"/>
        <w:gridCol w:w="7767"/>
      </w:tblGrid>
      <w:tr w:rsidR="00A57A5C" w:rsidRPr="00C64711" w14:paraId="4A1FB49A" w14:textId="77777777" w:rsidTr="00017C64">
        <w:trPr>
          <w:cnfStyle w:val="100000000000" w:firstRow="1" w:lastRow="0" w:firstColumn="0" w:lastColumn="0" w:oddVBand="0" w:evenVBand="0" w:oddHBand="0" w:evenHBand="0" w:firstRowFirstColumn="0" w:firstRowLastColumn="0" w:lastRowFirstColumn="0" w:lastRowLastColumn="0"/>
          <w:trHeight w:val="365"/>
          <w:tblHeader/>
        </w:trPr>
        <w:tc>
          <w:tcPr>
            <w:cnfStyle w:val="001000000000" w:firstRow="0" w:lastRow="0" w:firstColumn="1" w:lastColumn="0" w:oddVBand="0" w:evenVBand="0" w:oddHBand="0" w:evenHBand="0" w:firstRowFirstColumn="0" w:firstRowLastColumn="0" w:lastRowFirstColumn="0" w:lastRowLastColumn="0"/>
            <w:tcW w:w="1013" w:type="pct"/>
          </w:tcPr>
          <w:p w14:paraId="319639F9" w14:textId="77777777" w:rsidR="00A57A5C" w:rsidRPr="00872A70" w:rsidRDefault="00A57A5C">
            <w:pPr>
              <w:pStyle w:val="Body"/>
              <w:ind w:left="0"/>
              <w:rPr>
                <w:rFonts w:asciiTheme="minorHAnsi" w:hAnsiTheme="minorHAnsi"/>
                <w:sz w:val="22"/>
                <w:szCs w:val="22"/>
              </w:rPr>
            </w:pPr>
            <w:r w:rsidRPr="00872A70">
              <w:rPr>
                <w:rFonts w:asciiTheme="minorHAnsi" w:hAnsiTheme="minorHAnsi"/>
                <w:sz w:val="22"/>
                <w:szCs w:val="22"/>
              </w:rPr>
              <w:t>Parameter</w:t>
            </w:r>
          </w:p>
        </w:tc>
        <w:tc>
          <w:tcPr>
            <w:tcW w:w="3987" w:type="pct"/>
          </w:tcPr>
          <w:p w14:paraId="6B3ACEE2" w14:textId="77777777" w:rsidR="00A57A5C" w:rsidRPr="00872A70" w:rsidRDefault="00A57A5C">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Minimum fuel sampling and analysis frequency</w:t>
            </w:r>
            <w:r>
              <w:rPr>
                <w:rFonts w:asciiTheme="minorHAnsi" w:hAnsiTheme="minorHAnsi"/>
                <w:sz w:val="22"/>
                <w:szCs w:val="22"/>
              </w:rPr>
              <w:t xml:space="preserve"> for all liquid fuel types</w:t>
            </w:r>
          </w:p>
        </w:tc>
      </w:tr>
      <w:tr w:rsidR="00A57A5C" w:rsidRPr="00C64711" w14:paraId="4D6A5BD3" w14:textId="77777777" w:rsidTr="008E6B32">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013" w:type="pct"/>
          </w:tcPr>
          <w:p w14:paraId="3D606591" w14:textId="77777777" w:rsidR="00A57A5C" w:rsidRPr="00872A70" w:rsidRDefault="00A57A5C">
            <w:pPr>
              <w:pStyle w:val="Body"/>
              <w:ind w:left="0"/>
              <w:rPr>
                <w:rFonts w:asciiTheme="minorHAnsi" w:hAnsiTheme="minorHAnsi"/>
                <w:sz w:val="22"/>
                <w:szCs w:val="22"/>
              </w:rPr>
            </w:pPr>
            <w:r w:rsidRPr="00872A70">
              <w:rPr>
                <w:rFonts w:asciiTheme="minorHAnsi" w:hAnsiTheme="minorHAnsi"/>
                <w:sz w:val="22"/>
                <w:szCs w:val="22"/>
              </w:rPr>
              <w:t>Energy</w:t>
            </w:r>
          </w:p>
        </w:tc>
        <w:tc>
          <w:tcPr>
            <w:tcW w:w="3987" w:type="pct"/>
          </w:tcPr>
          <w:p w14:paraId="36253B8D" w14:textId="77777777" w:rsidR="00A57A5C" w:rsidRPr="00872A70"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Quarterly or by delivery</w:t>
            </w:r>
          </w:p>
        </w:tc>
      </w:tr>
      <w:tr w:rsidR="00A57A5C" w:rsidRPr="00C64711" w14:paraId="34AA4763" w14:textId="77777777" w:rsidTr="008E6B32">
        <w:trPr>
          <w:cnfStyle w:val="000000010000" w:firstRow="0" w:lastRow="0" w:firstColumn="0" w:lastColumn="0" w:oddVBand="0" w:evenVBand="0" w:oddHBand="0" w:evenHBand="1"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013" w:type="pct"/>
          </w:tcPr>
          <w:p w14:paraId="0451920F" w14:textId="77777777" w:rsidR="00A57A5C" w:rsidRPr="00872A70" w:rsidRDefault="00A57A5C">
            <w:pPr>
              <w:pStyle w:val="Body"/>
              <w:ind w:left="0"/>
              <w:rPr>
                <w:rFonts w:asciiTheme="minorHAnsi" w:hAnsiTheme="minorHAnsi"/>
                <w:sz w:val="22"/>
                <w:szCs w:val="22"/>
              </w:rPr>
            </w:pPr>
            <w:r w:rsidRPr="00872A70">
              <w:rPr>
                <w:rFonts w:asciiTheme="minorHAnsi" w:hAnsiTheme="minorHAnsi"/>
                <w:sz w:val="22"/>
                <w:szCs w:val="22"/>
              </w:rPr>
              <w:t>Carbon</w:t>
            </w:r>
          </w:p>
        </w:tc>
        <w:tc>
          <w:tcPr>
            <w:tcW w:w="3987" w:type="pct"/>
          </w:tcPr>
          <w:p w14:paraId="485D0C36" w14:textId="77777777" w:rsidR="00A57A5C" w:rsidRPr="00872A70" w:rsidRDefault="00A57A5C">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Quarterly or by delivery</w:t>
            </w:r>
          </w:p>
        </w:tc>
      </w:tr>
    </w:tbl>
    <w:p w14:paraId="03817DA8" w14:textId="77777777" w:rsidR="00A57A5C" w:rsidRPr="00FF338C" w:rsidRDefault="00A57A5C" w:rsidP="00A57A5C"/>
    <w:p w14:paraId="19BE3D99" w14:textId="3E081BE8" w:rsidR="00A57A5C" w:rsidRPr="00FF338C" w:rsidRDefault="00A57A5C" w:rsidP="00A57A5C">
      <w:r w:rsidRPr="00FF338C">
        <w:t xml:space="preserve">Standards for analysis of liquid fuels are listed in subdivision 2.4.3.2 of the </w:t>
      </w:r>
      <w:r>
        <w:t>NGER Measurement Determination</w:t>
      </w:r>
      <w:r w:rsidRPr="00FF338C">
        <w:t xml:space="preserve">. If a reporter is considering the use of </w:t>
      </w:r>
      <w:r w:rsidR="42CD2A94" w:rsidRPr="00FF338C">
        <w:t>M</w:t>
      </w:r>
      <w:r w:rsidRPr="00FF338C">
        <w:t xml:space="preserve">ethod 2 or </w:t>
      </w:r>
      <w:r w:rsidR="60AFBCDB" w:rsidRPr="00FF338C">
        <w:t>M</w:t>
      </w:r>
      <w:r w:rsidRPr="00FF338C">
        <w:t xml:space="preserve">ethod 3 for a liquid fuel type which does not have an analysis standard, </w:t>
      </w:r>
      <w:r>
        <w:t xml:space="preserve">they </w:t>
      </w:r>
      <w:r w:rsidRPr="00FF338C">
        <w:t xml:space="preserve">should </w:t>
      </w:r>
      <w:hyperlink r:id="rId38" w:tooltip="A link to the 'contact us' page of the Clean Energy Regulator website" w:history="1">
        <w:r w:rsidR="00E94163">
          <w:rPr>
            <w:rStyle w:val="Hyperlink"/>
            <w:rFonts w:asciiTheme="minorHAnsi" w:hAnsiTheme="minorHAnsi"/>
          </w:rPr>
          <w:t>contact the CER</w:t>
        </w:r>
      </w:hyperlink>
      <w:r w:rsidR="004B0870">
        <w:rPr>
          <w:rFonts w:ascii="ZWAdobeF" w:hAnsi="ZWAdobeF" w:cs="ZWAdobeF"/>
          <w:color w:val="auto"/>
          <w:sz w:val="2"/>
          <w:szCs w:val="2"/>
        </w:rPr>
        <w:t>17F</w:t>
      </w:r>
      <w:r>
        <w:rPr>
          <w:rStyle w:val="FootnoteReference"/>
        </w:rPr>
        <w:footnoteReference w:id="19"/>
      </w:r>
      <w:r w:rsidRPr="00FF338C">
        <w:t xml:space="preserve"> to discuss options for fuel sampling and analysis.</w:t>
      </w:r>
    </w:p>
    <w:p w14:paraId="324DC676" w14:textId="77777777" w:rsidR="00A57A5C" w:rsidRPr="00FF338C" w:rsidRDefault="00A57A5C" w:rsidP="00A57A5C">
      <w:pPr>
        <w:pStyle w:val="Heading4"/>
      </w:pPr>
      <w:bookmarkStart w:id="161" w:name="_Toc205461450"/>
      <w:r w:rsidRPr="00FF338C">
        <w:t>Bias testing</w:t>
      </w:r>
      <w:bookmarkEnd w:id="161"/>
    </w:p>
    <w:p w14:paraId="6CC37954" w14:textId="77777777" w:rsidR="00A57A5C" w:rsidRPr="00FF338C" w:rsidRDefault="00A57A5C" w:rsidP="00A57A5C">
      <w:r w:rsidRPr="00FF338C">
        <w:t>Samples</w:t>
      </w:r>
      <w:r w:rsidRPr="00FF338C" w:rsidDel="001869EB">
        <w:t xml:space="preserve"> </w:t>
      </w:r>
      <w:r>
        <w:t>must</w:t>
      </w:r>
      <w:r w:rsidRPr="00FF338C">
        <w:t xml:space="preserve"> be </w:t>
      </w:r>
      <w:r>
        <w:t>‘</w:t>
      </w:r>
      <w:r w:rsidRPr="00FF338C">
        <w:t>free of bias so that any estimates are neither over nor under</w:t>
      </w:r>
      <w:r>
        <w:t>-</w:t>
      </w:r>
      <w:r w:rsidRPr="00FF338C">
        <w:t>estimates of the true value</w:t>
      </w:r>
      <w:r>
        <w:t>’, per s</w:t>
      </w:r>
      <w:r w:rsidRPr="00FF338C">
        <w:t xml:space="preserve">ection 2.44 of the </w:t>
      </w:r>
      <w:r>
        <w:t>NGER Measurement Determination</w:t>
      </w:r>
      <w:r w:rsidRPr="00FF338C">
        <w:t xml:space="preserve">. Bias is less likely to occur in the sampling and analysis of liquid fuels. </w:t>
      </w:r>
    </w:p>
    <w:p w14:paraId="22126AE7" w14:textId="77777777" w:rsidR="00A57A5C" w:rsidRPr="00FF338C" w:rsidRDefault="00A57A5C" w:rsidP="00A57A5C">
      <w:r w:rsidRPr="00FF338C">
        <w:t xml:space="preserve">If a reporter is aware of bias, it must be eliminated where possible. Following implementation of measures to eliminate bias, the presence of residual bias </w:t>
      </w:r>
      <w:r>
        <w:t>must</w:t>
      </w:r>
      <w:r w:rsidRPr="00FF338C">
        <w:t xml:space="preserve"> be retested and assessed. If any remaining bias exists that cannot feasibly be eliminated, data </w:t>
      </w:r>
      <w:r>
        <w:t>must</w:t>
      </w:r>
      <w:r w:rsidRPr="00FF338C">
        <w:t xml:space="preserve"> be corrected to account for the bias, the corrections documented</w:t>
      </w:r>
      <w:r>
        <w:t>,</w:t>
      </w:r>
      <w:r w:rsidRPr="00FF338C">
        <w:t xml:space="preserve"> and </w:t>
      </w:r>
      <w:r>
        <w:t xml:space="preserve">the </w:t>
      </w:r>
      <w:r w:rsidRPr="00FF338C">
        <w:t>records kept.</w:t>
      </w:r>
    </w:p>
    <w:p w14:paraId="379BDC3C" w14:textId="77777777" w:rsidR="00A57A5C" w:rsidRPr="00FF338C" w:rsidRDefault="00A57A5C" w:rsidP="00DB4B56">
      <w:pPr>
        <w:pStyle w:val="Heading2"/>
        <w:numPr>
          <w:ilvl w:val="1"/>
          <w:numId w:val="3"/>
        </w:numPr>
        <w:ind w:left="426" w:hanging="426"/>
      </w:pPr>
      <w:bookmarkStart w:id="162" w:name="_Emissions_from_consumption"/>
      <w:bookmarkStart w:id="163" w:name="_Ref511911315"/>
      <w:bookmarkStart w:id="164" w:name="_Toc512010401"/>
      <w:bookmarkStart w:id="165" w:name="_Toc512339599"/>
      <w:bookmarkStart w:id="166" w:name="_Toc106705760"/>
      <w:bookmarkStart w:id="167" w:name="_Toc205461451"/>
      <w:bookmarkEnd w:id="162"/>
      <w:r w:rsidRPr="00FF338C">
        <w:t>Emissions from consumption of PBOGs</w:t>
      </w:r>
      <w:bookmarkEnd w:id="163"/>
      <w:bookmarkEnd w:id="164"/>
      <w:bookmarkEnd w:id="165"/>
      <w:bookmarkEnd w:id="166"/>
      <w:bookmarkEnd w:id="167"/>
    </w:p>
    <w:p w14:paraId="715CCC1A" w14:textId="77777777" w:rsidR="00A57A5C" w:rsidRDefault="00A57A5C" w:rsidP="00A57A5C">
      <w:r w:rsidRPr="00FF338C">
        <w:t xml:space="preserve">PBOGs used as lubricants are considered to have undergone a degree of oxidation and are therefore reported under the fuel combustion emissions source. Available emissions estimation methods are summarised </w:t>
      </w:r>
      <w:r>
        <w:t>below</w:t>
      </w:r>
      <w:r w:rsidRPr="00FF338C">
        <w:t xml:space="preserve">. </w:t>
      </w:r>
    </w:p>
    <w:p w14:paraId="5DDFAC91" w14:textId="46654FAB" w:rsidR="00A57A5C" w:rsidRPr="00FF338C" w:rsidRDefault="00A57A5C" w:rsidP="00FD64AC">
      <w:pPr>
        <w:pStyle w:val="Caption"/>
      </w:pPr>
      <w:bookmarkStart w:id="168" w:name="_Ref511908794"/>
      <w:r w:rsidRPr="00FF338C">
        <w:t xml:space="preserve">Figure </w:t>
      </w:r>
      <w:r w:rsidR="00011733">
        <w:fldChar w:fldCharType="begin"/>
      </w:r>
      <w:r w:rsidR="00011733">
        <w:instrText xml:space="preserve"> SEQ Figure \* ARABIC </w:instrText>
      </w:r>
      <w:r w:rsidR="00011733">
        <w:fldChar w:fldCharType="separate"/>
      </w:r>
      <w:r w:rsidR="004B0870">
        <w:rPr>
          <w:noProof/>
        </w:rPr>
        <w:t>4</w:t>
      </w:r>
      <w:r w:rsidR="00011733">
        <w:fldChar w:fldCharType="end"/>
      </w:r>
      <w:bookmarkEnd w:id="168"/>
      <w:r w:rsidRPr="00FF338C">
        <w:t xml:space="preserve"> – Available methods for estimating emissions from consumption of PBOGs</w:t>
      </w:r>
      <w:r w:rsidR="00617B66">
        <w:t xml:space="preserve"> when they are used as a lubricant</w:t>
      </w:r>
      <w:r w:rsidR="002D44DF">
        <w:t>.</w:t>
      </w:r>
      <w:r>
        <w:rPr>
          <w:noProof/>
          <w:lang w:eastAsia="en-AU"/>
        </w:rPr>
        <w:drawing>
          <wp:inline distT="0" distB="0" distL="0" distR="0" wp14:anchorId="743BDA82" wp14:editId="4FA7681D">
            <wp:extent cx="5391150" cy="3207393"/>
            <wp:effectExtent l="0" t="0" r="0" b="0"/>
            <wp:docPr id="10" name="Picture 10" descr="P57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578#yIS1"/>
                    <pic:cNvPicPr>
                      <a:picLocks noChangeAspect="1" noChangeArrowheads="1"/>
                    </pic:cNvPicPr>
                  </pic:nvPicPr>
                  <pic:blipFill>
                    <a:blip r:embed="rId39"/>
                    <a:stretch>
                      <a:fillRect/>
                    </a:stretch>
                  </pic:blipFill>
                  <pic:spPr bwMode="auto">
                    <a:xfrm>
                      <a:off x="0" y="0"/>
                      <a:ext cx="5411589" cy="3219553"/>
                    </a:xfrm>
                    <a:prstGeom prst="rect">
                      <a:avLst/>
                    </a:prstGeom>
                    <a:noFill/>
                  </pic:spPr>
                </pic:pic>
              </a:graphicData>
            </a:graphic>
          </wp:inline>
        </w:drawing>
      </w:r>
    </w:p>
    <w:p w14:paraId="68EC165B" w14:textId="36CB4F43" w:rsidR="00A57A5C" w:rsidRPr="00FF338C" w:rsidRDefault="00A57A5C" w:rsidP="00A57A5C">
      <w:r w:rsidRPr="00FF338C">
        <w:t>Whe</w:t>
      </w:r>
      <w:r w:rsidR="003D7159">
        <w:t>n</w:t>
      </w:r>
      <w:r w:rsidRPr="00FF338C">
        <w:t xml:space="preserve"> PBOGs are used as a fuel, </w:t>
      </w:r>
      <w:r w:rsidR="007E6CC8">
        <w:t>the</w:t>
      </w:r>
      <w:r w:rsidRPr="00FF338C">
        <w:t xml:space="preserve"> emissions </w:t>
      </w:r>
      <w:r w:rsidRPr="00FF338C" w:rsidDel="00AE3FC7">
        <w:t xml:space="preserve">should </w:t>
      </w:r>
      <w:r w:rsidRPr="00FF338C">
        <w:t xml:space="preserve">be </w:t>
      </w:r>
      <w:r w:rsidR="004F1EC3">
        <w:t>estimated</w:t>
      </w:r>
      <w:r w:rsidRPr="00FF338C">
        <w:t xml:space="preserve"> as per </w:t>
      </w:r>
      <w:r>
        <w:t>‘</w:t>
      </w:r>
      <w:r w:rsidRPr="00FF338C">
        <w:t xml:space="preserve">liquid fuels other than </w:t>
      </w:r>
      <w:r>
        <w:t>PBOGs’</w:t>
      </w:r>
      <w:r w:rsidRPr="00FF338C">
        <w:t xml:space="preserve">. </w:t>
      </w:r>
    </w:p>
    <w:p w14:paraId="44229F8A" w14:textId="60E1DE28" w:rsidR="00A57A5C" w:rsidRPr="00FF338C" w:rsidRDefault="00A57A5C" w:rsidP="00A57A5C">
      <w:r>
        <w:t>See</w:t>
      </w:r>
      <w:r w:rsidRPr="00FF338C">
        <w:t xml:space="preserve"> the </w:t>
      </w:r>
      <w:hyperlink r:id="rId40" w:tooltip="A link to the Fuel combustiopn guideline on the Clean Energy Regulator website" w:history="1">
        <w:r w:rsidR="003C0144" w:rsidRPr="001F0D25">
          <w:rPr>
            <w:rStyle w:val="Hyperlink"/>
            <w:rFonts w:asciiTheme="minorHAnsi" w:hAnsiTheme="minorHAnsi"/>
          </w:rPr>
          <w:t>Fuel combustion guideline</w:t>
        </w:r>
      </w:hyperlink>
      <w:r w:rsidR="004B0870">
        <w:rPr>
          <w:rFonts w:ascii="ZWAdobeF" w:hAnsi="ZWAdobeF" w:cs="ZWAdobeF"/>
          <w:color w:val="auto"/>
          <w:sz w:val="2"/>
          <w:szCs w:val="2"/>
        </w:rPr>
        <w:t>18F</w:t>
      </w:r>
      <w:r w:rsidR="001F0D25">
        <w:rPr>
          <w:rStyle w:val="FootnoteReference"/>
        </w:rPr>
        <w:footnoteReference w:id="20"/>
      </w:r>
      <w:r w:rsidR="003C0144">
        <w:t xml:space="preserve"> and</w:t>
      </w:r>
      <w:r w:rsidRPr="00FF338C">
        <w:t xml:space="preserve"> the </w:t>
      </w:r>
      <w:hyperlink r:id="rId41" w:tooltip="A link to the Petroleum-based oils and greases guideline on the Clean Energy Regulator website" w:history="1">
        <w:r w:rsidRPr="00872A70">
          <w:rPr>
            <w:rStyle w:val="Hyperlink"/>
            <w:rFonts w:asciiTheme="minorHAnsi" w:hAnsiTheme="minorHAnsi"/>
            <w:iCs/>
          </w:rPr>
          <w:t>Petroleum-based oils and greases</w:t>
        </w:r>
        <w:r w:rsidRPr="00463115">
          <w:rPr>
            <w:rStyle w:val="Hyperlink"/>
            <w:rFonts w:asciiTheme="minorHAnsi" w:hAnsiTheme="minorHAnsi"/>
          </w:rPr>
          <w:t xml:space="preserve"> guideline</w:t>
        </w:r>
      </w:hyperlink>
      <w:r w:rsidR="004B0870">
        <w:rPr>
          <w:rFonts w:ascii="ZWAdobeF" w:hAnsi="ZWAdobeF" w:cs="ZWAdobeF"/>
          <w:color w:val="auto"/>
          <w:sz w:val="2"/>
          <w:szCs w:val="2"/>
        </w:rPr>
        <w:t>19F</w:t>
      </w:r>
      <w:r w:rsidRPr="00FF338C">
        <w:rPr>
          <w:rStyle w:val="FootnoteReference"/>
        </w:rPr>
        <w:footnoteReference w:id="21"/>
      </w:r>
      <w:r>
        <w:t xml:space="preserve"> for more information</w:t>
      </w:r>
      <w:r w:rsidR="00E00D00">
        <w:t xml:space="preserve"> on reporting emissions from the consumption of PBOGs</w:t>
      </w:r>
      <w:r w:rsidRPr="00FF338C">
        <w:t>.</w:t>
      </w:r>
    </w:p>
    <w:p w14:paraId="7F4F3BFC" w14:textId="77777777" w:rsidR="00A57A5C" w:rsidRPr="00EE5638" w:rsidRDefault="00A57A5C" w:rsidP="00B3330E">
      <w:pPr>
        <w:pStyle w:val="Heading1"/>
        <w:numPr>
          <w:ilvl w:val="0"/>
          <w:numId w:val="3"/>
        </w:numPr>
        <w:rPr>
          <w:lang w:val="en-GB"/>
        </w:rPr>
      </w:pPr>
      <w:bookmarkStart w:id="169" w:name="_Estimating_emissions_of"/>
      <w:bookmarkStart w:id="170" w:name="_Ref511911381"/>
      <w:bookmarkStart w:id="171" w:name="_Toc512010402"/>
      <w:bookmarkStart w:id="172" w:name="_Toc512339600"/>
      <w:bookmarkStart w:id="173" w:name="_Toc106705761"/>
      <w:bookmarkStart w:id="174" w:name="_Toc205461452"/>
      <w:bookmarkEnd w:id="169"/>
      <w:r w:rsidRPr="00EE5638">
        <w:rPr>
          <w:lang w:val="en-GB"/>
        </w:rPr>
        <w:t>Estimating emissions of sulphur hexafluoride</w:t>
      </w:r>
      <w:bookmarkEnd w:id="170"/>
      <w:bookmarkEnd w:id="171"/>
      <w:bookmarkEnd w:id="172"/>
      <w:bookmarkEnd w:id="173"/>
      <w:bookmarkEnd w:id="174"/>
    </w:p>
    <w:p w14:paraId="1DBD1DFF" w14:textId="34C64197" w:rsidR="00A57A5C" w:rsidRPr="00253A6C" w:rsidRDefault="00A57A5C" w:rsidP="00A57A5C">
      <w:r w:rsidRPr="00253A6C">
        <w:t>Sulphur hexafluoride (SF</w:t>
      </w:r>
      <w:r w:rsidRPr="00253A6C">
        <w:rPr>
          <w:vertAlign w:val="subscript"/>
        </w:rPr>
        <w:t>6</w:t>
      </w:r>
      <w:r w:rsidRPr="00253A6C">
        <w:t xml:space="preserve">) is used in many electricity sector facilities, for </w:t>
      </w:r>
      <w:r w:rsidR="00915970">
        <w:t>example</w:t>
      </w:r>
      <w:r w:rsidR="00DF5FCC">
        <w:t>,</w:t>
      </w:r>
      <w:r w:rsidRPr="00253A6C">
        <w:t xml:space="preserve"> in electrical switchgear. Any emissions of SF</w:t>
      </w:r>
      <w:r w:rsidRPr="00253A6C">
        <w:rPr>
          <w:vertAlign w:val="subscript"/>
        </w:rPr>
        <w:t>6</w:t>
      </w:r>
      <w:r w:rsidRPr="00253A6C">
        <w:t xml:space="preserve"> where it is used in gas insulated switch gear and circuit breakers is required to be reported </w:t>
      </w:r>
      <w:r w:rsidRPr="000B3301">
        <w:t xml:space="preserve">as there </w:t>
      </w:r>
      <w:r w:rsidR="006E0498" w:rsidRPr="000B3301">
        <w:t>is</w:t>
      </w:r>
      <w:r w:rsidRPr="000B3301">
        <w:t xml:space="preserve"> no reporting threshold</w:t>
      </w:r>
      <w:r>
        <w:t xml:space="preserve"> li</w:t>
      </w:r>
      <w:r w:rsidRPr="000B3301">
        <w:t>s</w:t>
      </w:r>
      <w:r>
        <w:t>ted within the NGER legislation</w:t>
      </w:r>
      <w:r w:rsidRPr="00253A6C">
        <w:t xml:space="preserve">. </w:t>
      </w:r>
    </w:p>
    <w:p w14:paraId="37C7BD4C" w14:textId="48445B81" w:rsidR="008E6B32" w:rsidRDefault="00A57A5C" w:rsidP="00FD64AC">
      <w:pPr>
        <w:rPr>
          <w:rFonts w:ascii="Calibri Light" w:eastAsiaTheme="minorHAnsi" w:hAnsi="Calibri Light" w:cs="Calibri Light"/>
          <w:i/>
          <w:iCs/>
          <w:sz w:val="18"/>
          <w:szCs w:val="18"/>
        </w:rPr>
      </w:pPr>
      <w:r w:rsidRPr="00253A6C">
        <w:t>The following methods are available for estimating emissions of sulphur hexafluoride.</w:t>
      </w:r>
    </w:p>
    <w:p w14:paraId="28EE51A7" w14:textId="4E7E72D5" w:rsidR="00A57A5C" w:rsidRPr="00EE5638" w:rsidRDefault="00A57A5C" w:rsidP="00A57A5C">
      <w:pPr>
        <w:pStyle w:val="Caption"/>
      </w:pPr>
      <w:r w:rsidRPr="00253A6C">
        <w:t xml:space="preserve">Figure </w:t>
      </w:r>
      <w:r w:rsidR="00011733">
        <w:fldChar w:fldCharType="begin"/>
      </w:r>
      <w:r w:rsidR="00011733">
        <w:instrText xml:space="preserve"> SEQ Figure \* ARABIC </w:instrText>
      </w:r>
      <w:r w:rsidR="00011733">
        <w:fldChar w:fldCharType="separate"/>
      </w:r>
      <w:r w:rsidR="004B0870">
        <w:rPr>
          <w:noProof/>
        </w:rPr>
        <w:t>5</w:t>
      </w:r>
      <w:r w:rsidR="00011733">
        <w:fldChar w:fldCharType="end"/>
      </w:r>
      <w:r w:rsidRPr="00EE5638">
        <w:t xml:space="preserve"> – Available methods for estimating emissions of sulphur hexafluoride</w:t>
      </w:r>
      <w:r w:rsidR="002D44DF">
        <w:t>.</w:t>
      </w:r>
    </w:p>
    <w:p w14:paraId="59BF451D" w14:textId="77777777" w:rsidR="00A57A5C" w:rsidRPr="00E84BDE" w:rsidRDefault="00A57A5C" w:rsidP="00D66352">
      <w:pPr>
        <w:jc w:val="center"/>
      </w:pPr>
      <w:r w:rsidRPr="00EE5638">
        <w:rPr>
          <w:noProof/>
          <w:lang w:eastAsia="en-AU"/>
        </w:rPr>
        <w:drawing>
          <wp:inline distT="0" distB="0" distL="0" distR="0" wp14:anchorId="5DF46B1F" wp14:editId="44EB8891">
            <wp:extent cx="5261610" cy="1039142"/>
            <wp:effectExtent l="0" t="0" r="0" b="8890"/>
            <wp:docPr id="11" name="Picture 11" descr="P5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585#yIS1"/>
                    <pic:cNvPicPr>
                      <a:picLocks noChangeAspect="1" noChangeArrowheads="1"/>
                    </pic:cNvPicPr>
                  </pic:nvPicPr>
                  <pic:blipFill>
                    <a:blip r:embed="rId42"/>
                    <a:stretch>
                      <a:fillRect/>
                    </a:stretch>
                  </pic:blipFill>
                  <pic:spPr bwMode="auto">
                    <a:xfrm>
                      <a:off x="0" y="0"/>
                      <a:ext cx="5261610" cy="1039142"/>
                    </a:xfrm>
                    <a:prstGeom prst="rect">
                      <a:avLst/>
                    </a:prstGeom>
                    <a:noFill/>
                  </pic:spPr>
                </pic:pic>
              </a:graphicData>
            </a:graphic>
          </wp:inline>
        </w:drawing>
      </w:r>
    </w:p>
    <w:p w14:paraId="19CB5463" w14:textId="54149D3D" w:rsidR="00A57A5C" w:rsidRPr="00E84BDE" w:rsidRDefault="00A57A5C" w:rsidP="00A57A5C">
      <w:r w:rsidRPr="00E84BDE">
        <w:t xml:space="preserve">See the </w:t>
      </w:r>
      <w:hyperlink r:id="rId43" w:tooltip="A link to the Reporting Hydrofluorocarbons and Sulphur Hexafluoride gases guideline on the Clean Energy Regulator website" w:history="1">
        <w:r w:rsidRPr="00E84BDE">
          <w:rPr>
            <w:rStyle w:val="Hyperlink"/>
            <w:rFonts w:asciiTheme="minorHAnsi" w:hAnsiTheme="minorHAnsi"/>
            <w:iCs/>
          </w:rPr>
          <w:t>Reporting Hydrofluorocarbons and Sulphur Hexafluoride gases</w:t>
        </w:r>
        <w:r w:rsidRPr="00E84BDE">
          <w:rPr>
            <w:rStyle w:val="Hyperlink"/>
            <w:rFonts w:asciiTheme="minorHAnsi" w:hAnsiTheme="minorHAnsi"/>
            <w:i/>
          </w:rPr>
          <w:t xml:space="preserve"> </w:t>
        </w:r>
        <w:r w:rsidRPr="00E84BDE">
          <w:rPr>
            <w:rStyle w:val="Hyperlink"/>
            <w:rFonts w:asciiTheme="minorHAnsi" w:hAnsiTheme="minorHAnsi"/>
          </w:rPr>
          <w:t>guideline</w:t>
        </w:r>
      </w:hyperlink>
      <w:r w:rsidR="004B0870">
        <w:rPr>
          <w:rFonts w:ascii="ZWAdobeF" w:hAnsi="ZWAdobeF" w:cs="ZWAdobeF"/>
          <w:color w:val="auto"/>
          <w:sz w:val="2"/>
          <w:szCs w:val="2"/>
        </w:rPr>
        <w:t>20F</w:t>
      </w:r>
      <w:r w:rsidRPr="00E84BDE">
        <w:rPr>
          <w:rStyle w:val="FootnoteReference"/>
        </w:rPr>
        <w:footnoteReference w:id="22"/>
      </w:r>
      <w:r w:rsidRPr="00E84BDE">
        <w:t xml:space="preserve"> for more information.</w:t>
      </w:r>
    </w:p>
    <w:p w14:paraId="0ABE4910" w14:textId="663EAED5" w:rsidR="0024665C" w:rsidRPr="00FF338C" w:rsidRDefault="0024665C" w:rsidP="0024665C">
      <w:pPr>
        <w:pStyle w:val="Heading1"/>
        <w:numPr>
          <w:ilvl w:val="0"/>
          <w:numId w:val="3"/>
        </w:numPr>
        <w:rPr>
          <w:lang w:val="en-GB"/>
        </w:rPr>
      </w:pPr>
      <w:bookmarkStart w:id="175" w:name="_Toc74235127"/>
      <w:bookmarkStart w:id="176" w:name="_Toc75334324"/>
      <w:bookmarkStart w:id="177" w:name="_Toc75438182"/>
      <w:bookmarkStart w:id="178" w:name="_Toc74235128"/>
      <w:bookmarkStart w:id="179" w:name="_Toc75334325"/>
      <w:bookmarkStart w:id="180" w:name="_Toc75438183"/>
      <w:bookmarkStart w:id="181" w:name="_Toc74235129"/>
      <w:bookmarkStart w:id="182" w:name="_Toc75334326"/>
      <w:bookmarkStart w:id="183" w:name="_Toc75438184"/>
      <w:bookmarkStart w:id="184" w:name="_Toc74235130"/>
      <w:bookmarkStart w:id="185" w:name="_Toc75334327"/>
      <w:bookmarkStart w:id="186" w:name="_Toc75438185"/>
      <w:bookmarkStart w:id="187" w:name="_Toc74235132"/>
      <w:bookmarkStart w:id="188" w:name="_Toc75334329"/>
      <w:bookmarkStart w:id="189" w:name="_Toc75438187"/>
      <w:bookmarkStart w:id="190" w:name="_Toc74235133"/>
      <w:bookmarkStart w:id="191" w:name="_Toc75334330"/>
      <w:bookmarkStart w:id="192" w:name="_Toc75438188"/>
      <w:bookmarkStart w:id="193" w:name="_Toc74235134"/>
      <w:bookmarkStart w:id="194" w:name="_Toc75334331"/>
      <w:bookmarkStart w:id="195" w:name="_Toc75438189"/>
      <w:bookmarkStart w:id="196" w:name="_Toc74235135"/>
      <w:bookmarkStart w:id="197" w:name="_Toc75334332"/>
      <w:bookmarkStart w:id="198" w:name="_Toc75438190"/>
      <w:bookmarkStart w:id="199" w:name="_Reporting_scope_2"/>
      <w:bookmarkStart w:id="200" w:name="_Toc205461453"/>
      <w:bookmarkStart w:id="201" w:name="_Toc512010405"/>
      <w:bookmarkStart w:id="202" w:name="_Toc512339603"/>
      <w:bookmarkStart w:id="203" w:name="_Toc106705762"/>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Pr>
          <w:lang w:val="en-GB"/>
        </w:rPr>
        <w:t xml:space="preserve">Reporting </w:t>
      </w:r>
      <w:r w:rsidDel="008B598B">
        <w:rPr>
          <w:lang w:val="en-GB"/>
        </w:rPr>
        <w:t>s</w:t>
      </w:r>
      <w:r w:rsidRPr="00FF338C">
        <w:rPr>
          <w:lang w:val="en-GB"/>
        </w:rPr>
        <w:t xml:space="preserve">cope 2 emissions from </w:t>
      </w:r>
      <w:r>
        <w:rPr>
          <w:lang w:val="en-GB"/>
        </w:rPr>
        <w:t xml:space="preserve">purchased, acquired or lost </w:t>
      </w:r>
      <w:r w:rsidRPr="00FF338C">
        <w:rPr>
          <w:lang w:val="en-GB"/>
        </w:rPr>
        <w:t>electricity</w:t>
      </w:r>
      <w:bookmarkEnd w:id="200"/>
      <w:r w:rsidRPr="00FF338C">
        <w:rPr>
          <w:lang w:val="en-GB"/>
        </w:rPr>
        <w:t xml:space="preserve"> </w:t>
      </w:r>
    </w:p>
    <w:p w14:paraId="4105A389" w14:textId="35E11EE7" w:rsidR="0024665C" w:rsidRPr="00E010F5" w:rsidRDefault="0024665C" w:rsidP="0024665C">
      <w:pPr>
        <w:rPr>
          <w:rFonts w:ascii="Calibri" w:hAnsi="Calibri" w:cs="Calibri"/>
          <w:szCs w:val="22"/>
        </w:rPr>
      </w:pPr>
      <w:hyperlink r:id="rId44" w:anchor="types-of-emissions" w:tooltip="A link to the About emissions and energy data page of the Clean Energy Regulator website" w:history="1">
        <w:r w:rsidRPr="00287D6B">
          <w:rPr>
            <w:rStyle w:val="Hyperlink"/>
            <w:rFonts w:cs="Calibri"/>
          </w:rPr>
          <w:t>Scope 2 emissions</w:t>
        </w:r>
      </w:hyperlink>
      <w:r w:rsidR="004B0870">
        <w:rPr>
          <w:rFonts w:ascii="ZWAdobeF" w:hAnsi="ZWAdobeF" w:cs="ZWAdobeF"/>
          <w:color w:val="auto"/>
          <w:sz w:val="2"/>
          <w:szCs w:val="2"/>
        </w:rPr>
        <w:t>21F</w:t>
      </w:r>
      <w:r w:rsidRPr="00E010F5">
        <w:rPr>
          <w:rStyle w:val="FootnoteReference"/>
          <w:rFonts w:ascii="Calibri" w:hAnsi="Calibri" w:cs="Calibri"/>
          <w:szCs w:val="22"/>
        </w:rPr>
        <w:footnoteReference w:id="23"/>
      </w:r>
      <w:r w:rsidRPr="00E010F5">
        <w:rPr>
          <w:rFonts w:ascii="Calibri" w:hAnsi="Calibri" w:cs="Calibri"/>
          <w:szCs w:val="22"/>
        </w:rPr>
        <w:t xml:space="preserve"> are defined in 2.24 of the NGER Regulations as greenhouse gases released into the atmosphere as a direct result of one or more activities that generate electricity, heating, cooling, or steam that is consumed by the facility but not created at the facility.</w:t>
      </w:r>
    </w:p>
    <w:p w14:paraId="105F8581" w14:textId="12855DCB" w:rsidR="0024665C" w:rsidRDefault="0024665C" w:rsidP="0024665C">
      <w:pPr>
        <w:rPr>
          <w:rFonts w:ascii="Calibri" w:hAnsi="Calibri" w:cs="Calibri"/>
          <w:szCs w:val="22"/>
        </w:rPr>
      </w:pPr>
      <w:r w:rsidRPr="00E010F5">
        <w:rPr>
          <w:rFonts w:ascii="Calibri" w:hAnsi="Calibri" w:cs="Calibri"/>
          <w:szCs w:val="22"/>
        </w:rPr>
        <w:t>Scope 2 emissions are reported for</w:t>
      </w:r>
      <w:r>
        <w:rPr>
          <w:rFonts w:ascii="Calibri" w:hAnsi="Calibri" w:cs="Calibri"/>
          <w:szCs w:val="22"/>
        </w:rPr>
        <w:t xml:space="preserve">: </w:t>
      </w:r>
    </w:p>
    <w:p w14:paraId="3B916B53" w14:textId="77777777" w:rsidR="0024665C" w:rsidRDefault="0024665C" w:rsidP="0024665C">
      <w:pPr>
        <w:pStyle w:val="CERbullets"/>
      </w:pPr>
      <w:r w:rsidRPr="00E010F5">
        <w:t xml:space="preserve">purchased or acquired electricity consumed during the operation of your facility </w:t>
      </w:r>
    </w:p>
    <w:p w14:paraId="54CF113D" w14:textId="77777777" w:rsidR="0024665C" w:rsidRDefault="0024665C" w:rsidP="0024665C">
      <w:pPr>
        <w:pStyle w:val="CERbullets"/>
      </w:pPr>
      <w:r w:rsidRPr="00E010F5">
        <w:t>the loss of electricity from an electricity transmission or distribution network</w:t>
      </w:r>
      <w:r>
        <w:t>, usually due to line losses</w:t>
      </w:r>
      <w:r w:rsidRPr="00E010F5">
        <w:t xml:space="preserve"> </w:t>
      </w:r>
    </w:p>
    <w:p w14:paraId="26D532F2" w14:textId="77777777" w:rsidR="0024665C" w:rsidRDefault="0024665C" w:rsidP="0024665C">
      <w:pPr>
        <w:pStyle w:val="CERbullets"/>
      </w:pPr>
      <w:r w:rsidRPr="00E010F5">
        <w:t xml:space="preserve">electricity consumed by utility scale batteries and </w:t>
      </w:r>
      <w:proofErr w:type="gramStart"/>
      <w:r w:rsidRPr="00E010F5">
        <w:t>battery</w:t>
      </w:r>
      <w:proofErr w:type="gramEnd"/>
      <w:r w:rsidRPr="00E010F5">
        <w:t xml:space="preserve"> electric vehicles (BEVs). </w:t>
      </w:r>
    </w:p>
    <w:p w14:paraId="5C1022F6" w14:textId="09062D8C" w:rsidR="0024665C" w:rsidRPr="00E010F5" w:rsidRDefault="0024665C" w:rsidP="0024665C">
      <w:pPr>
        <w:pStyle w:val="CERbullets"/>
        <w:numPr>
          <w:ilvl w:val="0"/>
          <w:numId w:val="0"/>
        </w:numPr>
      </w:pPr>
      <w:r w:rsidRPr="00E010F5">
        <w:t>Read</w:t>
      </w:r>
      <w:r w:rsidR="00C267B7">
        <w:t xml:space="preserve"> section</w:t>
      </w:r>
      <w:r w:rsidRPr="00E010F5">
        <w:t xml:space="preserve"> </w:t>
      </w:r>
      <w:r w:rsidR="00C267B7">
        <w:fldChar w:fldCharType="begin" w:fldLock="1"/>
      </w:r>
      <w:r w:rsidR="00C267B7">
        <w:instrText xml:space="preserve"> REF _Ref71280486 \r \h </w:instrText>
      </w:r>
      <w:r w:rsidR="00C267B7">
        <w:fldChar w:fldCharType="separate"/>
      </w:r>
      <w:r w:rsidR="00C267B7">
        <w:t>7.6</w:t>
      </w:r>
      <w:r w:rsidR="00C267B7">
        <w:fldChar w:fldCharType="end"/>
      </w:r>
      <w:r w:rsidR="00C267B7">
        <w:t xml:space="preserve"> </w:t>
      </w:r>
      <w:r w:rsidRPr="00E010F5">
        <w:t>of this guideline for principles about reporting emissions from the operation of a battery at a facility under the NGER Scheme.</w:t>
      </w:r>
    </w:p>
    <w:p w14:paraId="721A2848" w14:textId="77777777" w:rsidR="0024665C" w:rsidRPr="00090FD0" w:rsidRDefault="0024665C" w:rsidP="00D2141E">
      <w:pPr>
        <w:pStyle w:val="Heading2"/>
        <w:numPr>
          <w:ilvl w:val="1"/>
          <w:numId w:val="3"/>
        </w:numPr>
        <w:ind w:hanging="792"/>
      </w:pPr>
      <w:bookmarkStart w:id="204" w:name="_Toc205461454"/>
      <w:r>
        <w:t>When to report scope 2 emissions</w:t>
      </w:r>
      <w:bookmarkEnd w:id="204"/>
      <w:r>
        <w:t xml:space="preserve">  </w:t>
      </w:r>
    </w:p>
    <w:p w14:paraId="70884817" w14:textId="138D1D47" w:rsidR="0024665C" w:rsidRPr="005A415A" w:rsidRDefault="0024665C" w:rsidP="0024665C">
      <w:pPr>
        <w:pStyle w:val="BodyText1"/>
        <w:rPr>
          <w:szCs w:val="22"/>
        </w:rPr>
      </w:pPr>
      <w:r w:rsidRPr="005A415A">
        <w:rPr>
          <w:szCs w:val="22"/>
        </w:rPr>
        <w:t>You must report</w:t>
      </w:r>
      <w:r w:rsidR="003554EE">
        <w:rPr>
          <w:szCs w:val="22"/>
        </w:rPr>
        <w:t xml:space="preserve"> </w:t>
      </w:r>
      <w:r w:rsidR="00BC6257">
        <w:rPr>
          <w:szCs w:val="22"/>
        </w:rPr>
        <w:t>s</w:t>
      </w:r>
      <w:r w:rsidRPr="005A415A">
        <w:rPr>
          <w:szCs w:val="22"/>
        </w:rPr>
        <w:t xml:space="preserve">cope 2 emissions </w:t>
      </w:r>
      <w:r w:rsidR="00AA5349">
        <w:rPr>
          <w:szCs w:val="22"/>
        </w:rPr>
        <w:t>using a location-based</w:t>
      </w:r>
      <w:r w:rsidR="00AA5349" w:rsidRPr="005A415A">
        <w:rPr>
          <w:szCs w:val="22"/>
        </w:rPr>
        <w:t xml:space="preserve"> </w:t>
      </w:r>
      <w:r w:rsidR="00AA5349">
        <w:rPr>
          <w:szCs w:val="22"/>
        </w:rPr>
        <w:t xml:space="preserve">approach </w:t>
      </w:r>
      <w:r w:rsidRPr="005A415A">
        <w:rPr>
          <w:szCs w:val="22"/>
        </w:rPr>
        <w:t>if your facility consumes more than 20,000 kWh of purchased</w:t>
      </w:r>
      <w:r w:rsidR="00687657">
        <w:rPr>
          <w:szCs w:val="22"/>
        </w:rPr>
        <w:t>,</w:t>
      </w:r>
      <w:r w:rsidRPr="005A415A">
        <w:rPr>
          <w:szCs w:val="22"/>
        </w:rPr>
        <w:t xml:space="preserve"> acquired </w:t>
      </w:r>
      <w:r w:rsidR="00687657">
        <w:rPr>
          <w:szCs w:val="22"/>
        </w:rPr>
        <w:t xml:space="preserve">or lost </w:t>
      </w:r>
      <w:r w:rsidRPr="005A415A">
        <w:rPr>
          <w:szCs w:val="22"/>
        </w:rPr>
        <w:t>electricity in the reporting year and the electricity:</w:t>
      </w:r>
    </w:p>
    <w:p w14:paraId="374296F6" w14:textId="77777777" w:rsidR="0024665C" w:rsidRPr="00201EEF" w:rsidRDefault="0024665C" w:rsidP="0024665C">
      <w:pPr>
        <w:pStyle w:val="CERbullets"/>
      </w:pPr>
      <w:r w:rsidRPr="00201EEF">
        <w:t xml:space="preserve">is used for the operation of a facility </w:t>
      </w:r>
    </w:p>
    <w:p w14:paraId="53BB7F45" w14:textId="5FD71557" w:rsidR="0024665C" w:rsidRDefault="0024665C" w:rsidP="00D2141E">
      <w:pPr>
        <w:pStyle w:val="CERbullets"/>
      </w:pPr>
      <w:r w:rsidRPr="00201EEF">
        <w:t xml:space="preserve">is purchased or acquired from the main electricity grid in your </w:t>
      </w:r>
      <w:r w:rsidR="00BC6257">
        <w:t>s</w:t>
      </w:r>
      <w:r w:rsidRPr="00201EEF">
        <w:t xml:space="preserve">tate or </w:t>
      </w:r>
      <w:r w:rsidR="00BC6257">
        <w:t>t</w:t>
      </w:r>
      <w:r w:rsidRPr="00201EEF">
        <w:t>erritory</w:t>
      </w:r>
      <w:r>
        <w:t xml:space="preserve"> (most common example)</w:t>
      </w:r>
      <w:r w:rsidRPr="00201EEF">
        <w:t xml:space="preserve"> or from </w:t>
      </w:r>
      <w:r w:rsidR="00D15DA3">
        <w:t xml:space="preserve">a network other than </w:t>
      </w:r>
      <w:r w:rsidR="007B5355">
        <w:t>the main electricity grid in a State or Territory</w:t>
      </w:r>
      <w:r w:rsidRPr="00201EEF">
        <w:t xml:space="preserve"> </w:t>
      </w:r>
      <w:r>
        <w:t>(for example, a microgrid</w:t>
      </w:r>
      <w:r w:rsidR="004F282C">
        <w:t xml:space="preserve"> or </w:t>
      </w:r>
      <w:r w:rsidR="00EB318A">
        <w:t>other ‘behind the meter’ configurations</w:t>
      </w:r>
      <w:r>
        <w:t>)</w:t>
      </w:r>
      <w:r w:rsidRPr="00201EEF">
        <w:t>.</w:t>
      </w:r>
    </w:p>
    <w:p w14:paraId="0E9BD1E4" w14:textId="3F8F87A9" w:rsidR="00AA5349" w:rsidRPr="00BE33AE" w:rsidRDefault="007B6A39" w:rsidP="00B924E8">
      <w:pPr>
        <w:pStyle w:val="BodyText1"/>
      </w:pPr>
      <w:r>
        <w:t xml:space="preserve">Additionally, you may choose to also report scope 2 emissions using a market-based approach. </w:t>
      </w:r>
      <w:r w:rsidR="00EE7585">
        <w:t xml:space="preserve">The methods required for these approaches will be described in </w:t>
      </w:r>
      <w:hyperlink w:anchor="_Methods_for_estimating" w:history="1">
        <w:r w:rsidR="00EE7585" w:rsidRPr="0012522C">
          <w:rPr>
            <w:rStyle w:val="Hyperlink"/>
            <w:rFonts w:asciiTheme="minorHAnsi" w:hAnsiTheme="minorHAnsi"/>
          </w:rPr>
          <w:t xml:space="preserve">chapter </w:t>
        </w:r>
        <w:r w:rsidR="0012522C" w:rsidRPr="0012522C">
          <w:rPr>
            <w:rStyle w:val="Hyperlink"/>
            <w:rFonts w:asciiTheme="minorHAnsi" w:hAnsiTheme="minorHAnsi"/>
          </w:rPr>
          <w:t>6.2</w:t>
        </w:r>
      </w:hyperlink>
      <w:r w:rsidR="0012522C">
        <w:t xml:space="preserve"> of this guideline.</w:t>
      </w:r>
    </w:p>
    <w:p w14:paraId="7AF4437A" w14:textId="04B49634" w:rsidR="0024665C" w:rsidRPr="00A36A5E" w:rsidRDefault="0024665C" w:rsidP="0024665C">
      <w:pPr>
        <w:pStyle w:val="BodyText1"/>
      </w:pPr>
    </w:p>
    <w:p w14:paraId="07CD88AC" w14:textId="132440FE" w:rsidR="0024665C" w:rsidRPr="00723F4A" w:rsidRDefault="0024665C" w:rsidP="00D2141E">
      <w:pPr>
        <w:pStyle w:val="Heading3"/>
        <w:numPr>
          <w:ilvl w:val="2"/>
          <w:numId w:val="3"/>
        </w:numPr>
        <w:ind w:left="851" w:hanging="851"/>
      </w:pPr>
      <w:bookmarkStart w:id="205" w:name="_Toc205461455"/>
      <w:r>
        <w:t xml:space="preserve">Meaning of </w:t>
      </w:r>
      <w:r w:rsidRPr="00723F4A">
        <w:t>‘purchased</w:t>
      </w:r>
      <w:r w:rsidR="00460018">
        <w:t>’</w:t>
      </w:r>
      <w:r w:rsidRPr="00723F4A">
        <w:t xml:space="preserve"> or </w:t>
      </w:r>
      <w:r w:rsidR="00460018">
        <w:t>‘</w:t>
      </w:r>
      <w:r w:rsidRPr="00723F4A">
        <w:t>acquired’</w:t>
      </w:r>
      <w:r>
        <w:t xml:space="preserve"> electricity</w:t>
      </w:r>
      <w:bookmarkEnd w:id="205"/>
      <w:r>
        <w:t xml:space="preserve"> </w:t>
      </w:r>
    </w:p>
    <w:p w14:paraId="7300F0F1" w14:textId="462B43AF" w:rsidR="0024665C" w:rsidRPr="000C317A" w:rsidRDefault="0024665C" w:rsidP="0024665C">
      <w:pPr>
        <w:rPr>
          <w:rFonts w:ascii="Calibri" w:hAnsi="Calibri" w:cs="Calibri"/>
          <w:szCs w:val="22"/>
        </w:rPr>
      </w:pPr>
      <w:r w:rsidRPr="00E93CB5">
        <w:t>‘</w:t>
      </w:r>
      <w:r w:rsidRPr="000C317A">
        <w:rPr>
          <w:rFonts w:ascii="Calibri" w:hAnsi="Calibri" w:cs="Calibri"/>
          <w:szCs w:val="22"/>
        </w:rPr>
        <w:t xml:space="preserve">Purchased’ electricity </w:t>
      </w:r>
      <w:r w:rsidR="00981EA4">
        <w:rPr>
          <w:rFonts w:ascii="Calibri" w:hAnsi="Calibri" w:cs="Calibri"/>
          <w:szCs w:val="22"/>
        </w:rPr>
        <w:t>includes</w:t>
      </w:r>
      <w:r w:rsidRPr="000C317A">
        <w:rPr>
          <w:rFonts w:ascii="Calibri" w:hAnsi="Calibri" w:cs="Calibri"/>
          <w:szCs w:val="22"/>
        </w:rPr>
        <w:t xml:space="preserve"> </w:t>
      </w:r>
      <w:r>
        <w:rPr>
          <w:rFonts w:ascii="Calibri" w:hAnsi="Calibri" w:cs="Calibri"/>
          <w:szCs w:val="22"/>
        </w:rPr>
        <w:t>obtaining</w:t>
      </w:r>
      <w:r w:rsidRPr="000C317A">
        <w:rPr>
          <w:rFonts w:ascii="Calibri" w:hAnsi="Calibri" w:cs="Calibri"/>
          <w:szCs w:val="22"/>
        </w:rPr>
        <w:t xml:space="preserve"> electricity:</w:t>
      </w:r>
    </w:p>
    <w:p w14:paraId="0628522D" w14:textId="77777777" w:rsidR="0024665C" w:rsidRPr="001F08AB" w:rsidRDefault="0024665C" w:rsidP="0024665C">
      <w:pPr>
        <w:pStyle w:val="CERbullets"/>
      </w:pPr>
      <w:r w:rsidRPr="001F08AB">
        <w:t xml:space="preserve">through a commercial transaction </w:t>
      </w:r>
    </w:p>
    <w:p w14:paraId="53E54F4E" w14:textId="2A2FCB84" w:rsidR="0024665C" w:rsidRPr="001F08AB" w:rsidRDefault="0024665C" w:rsidP="0024665C">
      <w:pPr>
        <w:pStyle w:val="CERbullets"/>
      </w:pPr>
      <w:r w:rsidRPr="001F08AB">
        <w:t>through a contractual arrangement or</w:t>
      </w:r>
    </w:p>
    <w:p w14:paraId="1F203DB4" w14:textId="7F849357" w:rsidR="0024665C" w:rsidRPr="001F08AB" w:rsidRDefault="0024665C" w:rsidP="0024665C">
      <w:pPr>
        <w:pStyle w:val="CERbullets"/>
      </w:pPr>
      <w:r w:rsidRPr="001F08AB">
        <w:t>by providing financial, service, product, or other consideration to the electricity provider.</w:t>
      </w:r>
    </w:p>
    <w:p w14:paraId="32EBD81E" w14:textId="1C1578C1" w:rsidR="0024665C" w:rsidRPr="00D47929" w:rsidRDefault="0024665C" w:rsidP="0024665C">
      <w:pPr>
        <w:rPr>
          <w:rFonts w:ascii="Calibri" w:hAnsi="Calibri" w:cs="Calibri"/>
          <w:sz w:val="24"/>
        </w:rPr>
      </w:pPr>
      <w:r w:rsidRPr="000C317A">
        <w:rPr>
          <w:rFonts w:ascii="Calibri" w:hAnsi="Calibri" w:cs="Calibri"/>
          <w:szCs w:val="22"/>
        </w:rPr>
        <w:t xml:space="preserve">If you decide that </w:t>
      </w:r>
      <w:r>
        <w:rPr>
          <w:rFonts w:ascii="Calibri" w:hAnsi="Calibri" w:cs="Calibri"/>
          <w:szCs w:val="22"/>
        </w:rPr>
        <w:t xml:space="preserve">your </w:t>
      </w:r>
      <w:r w:rsidRPr="000C317A">
        <w:rPr>
          <w:rFonts w:ascii="Calibri" w:hAnsi="Calibri" w:cs="Calibri"/>
          <w:szCs w:val="22"/>
        </w:rPr>
        <w:t xml:space="preserve">electricity </w:t>
      </w:r>
      <w:r>
        <w:rPr>
          <w:rFonts w:ascii="Calibri" w:hAnsi="Calibri" w:cs="Calibri"/>
          <w:szCs w:val="22"/>
        </w:rPr>
        <w:t>is</w:t>
      </w:r>
      <w:r w:rsidRPr="000C317A">
        <w:rPr>
          <w:rFonts w:ascii="Calibri" w:hAnsi="Calibri" w:cs="Calibri"/>
          <w:szCs w:val="22"/>
        </w:rPr>
        <w:t xml:space="preserve"> </w:t>
      </w:r>
      <w:r>
        <w:rPr>
          <w:rFonts w:ascii="Calibri" w:hAnsi="Calibri" w:cs="Calibri"/>
          <w:szCs w:val="22"/>
        </w:rPr>
        <w:t>‘</w:t>
      </w:r>
      <w:r w:rsidRPr="000C317A">
        <w:rPr>
          <w:rFonts w:ascii="Calibri" w:hAnsi="Calibri" w:cs="Calibri"/>
          <w:szCs w:val="22"/>
        </w:rPr>
        <w:t>acquired</w:t>
      </w:r>
      <w:r>
        <w:rPr>
          <w:rFonts w:ascii="Calibri" w:hAnsi="Calibri" w:cs="Calibri"/>
          <w:szCs w:val="22"/>
        </w:rPr>
        <w:t>’</w:t>
      </w:r>
      <w:r w:rsidRPr="000C317A">
        <w:rPr>
          <w:rFonts w:ascii="Calibri" w:hAnsi="Calibri" w:cs="Calibri"/>
          <w:szCs w:val="22"/>
        </w:rPr>
        <w:t xml:space="preserve"> </w:t>
      </w:r>
      <w:r>
        <w:rPr>
          <w:rFonts w:ascii="Calibri" w:hAnsi="Calibri" w:cs="Calibri"/>
          <w:szCs w:val="22"/>
        </w:rPr>
        <w:t>rather than</w:t>
      </w:r>
      <w:r w:rsidRPr="000C317A">
        <w:rPr>
          <w:rFonts w:ascii="Calibri" w:hAnsi="Calibri" w:cs="Calibri"/>
          <w:szCs w:val="22"/>
        </w:rPr>
        <w:t xml:space="preserve"> ‘purchased,’ we expect you to keep records of the basis for this decision. These records should include details of how the electricity was acquired.</w:t>
      </w:r>
      <w:r>
        <w:rPr>
          <w:rFonts w:ascii="Calibri" w:hAnsi="Calibri" w:cs="Calibri"/>
          <w:sz w:val="24"/>
        </w:rPr>
        <w:br/>
      </w:r>
    </w:p>
    <w:tbl>
      <w:tblPr>
        <w:tblStyle w:val="CERCallout"/>
        <w:tblW w:w="5000" w:type="pct"/>
        <w:tblLook w:val="04A0" w:firstRow="1" w:lastRow="0" w:firstColumn="1" w:lastColumn="0" w:noHBand="0" w:noVBand="1"/>
      </w:tblPr>
      <w:tblGrid>
        <w:gridCol w:w="9710"/>
      </w:tblGrid>
      <w:tr w:rsidR="00D67F2D" w:rsidRPr="00FF338C" w14:paraId="3363CF8F" w14:textId="77777777" w:rsidTr="008E6B32">
        <w:trPr>
          <w:cnfStyle w:val="100000000000" w:firstRow="1" w:lastRow="0" w:firstColumn="0" w:lastColumn="0" w:oddVBand="0" w:evenVBand="0" w:oddHBand="0" w:evenHBand="0" w:firstRowFirstColumn="0" w:firstRowLastColumn="0" w:lastRowFirstColumn="0" w:lastRowLastColumn="0"/>
        </w:trPr>
        <w:tc>
          <w:tcPr>
            <w:tcW w:w="5000" w:type="pct"/>
          </w:tcPr>
          <w:p w14:paraId="1CCEB371" w14:textId="2DA2BC04" w:rsidR="0024665C" w:rsidRPr="00D47929" w:rsidRDefault="004B0870" w:rsidP="008E6B32">
            <w:pPr>
              <w:pStyle w:val="Heading5"/>
              <w:ind w:left="0"/>
              <w:rPr>
                <w:rFonts w:ascii="Calibri" w:eastAsia="Calibri" w:hAnsi="Calibri" w:cs="Calibri"/>
                <w:b/>
                <w:bCs/>
              </w:rPr>
            </w:pPr>
            <w:bookmarkStart w:id="206" w:name="_Toc205461456"/>
            <w:r>
              <w:rPr>
                <w:rFonts w:ascii="ZWAdobeF" w:eastAsia="Calibri" w:hAnsi="ZWAdobeF" w:cs="ZWAdobeF"/>
                <w:color w:val="auto"/>
                <w:sz w:val="2"/>
                <w:szCs w:val="2"/>
              </w:rPr>
              <w:t>4B</w:t>
            </w:r>
            <w:r w:rsidR="0024665C" w:rsidRPr="008216A7">
              <w:rPr>
                <w:rFonts w:ascii="Calibri" w:eastAsia="Calibri" w:hAnsi="Calibri" w:cs="Calibri"/>
                <w:b/>
              </w:rPr>
              <w:t>Example – Purchased electricity</w:t>
            </w:r>
            <w:bookmarkEnd w:id="206"/>
          </w:p>
          <w:p w14:paraId="40C6C6E6" w14:textId="158EAAAF" w:rsidR="0024665C" w:rsidRPr="00933223" w:rsidRDefault="0024665C" w:rsidP="00933223">
            <w:pPr>
              <w:spacing w:before="120" w:after="120"/>
              <w:ind w:left="0"/>
              <w:rPr>
                <w:rFonts w:ascii="Calibri" w:eastAsia="Calibri" w:hAnsi="Calibri" w:cs="Calibri"/>
                <w:b w:val="0"/>
                <w:bCs/>
              </w:rPr>
            </w:pPr>
            <w:hyperlink w:anchor="_Case_example_1:" w:history="1">
              <w:r w:rsidRPr="00933223">
                <w:rPr>
                  <w:rStyle w:val="Hyperlink"/>
                </w:rPr>
                <w:t>Case example 1 in Appendix A</w:t>
              </w:r>
            </w:hyperlink>
            <w:r w:rsidRPr="00933223">
              <w:rPr>
                <w:rFonts w:ascii="Calibri" w:eastAsia="Calibri" w:hAnsi="Calibri" w:cs="Calibri"/>
                <w:b w:val="0"/>
                <w:bCs/>
              </w:rPr>
              <w:t xml:space="preserve"> illustrates how electricity produced at one facility leads to scope 2 emissions at another facility.</w:t>
            </w:r>
          </w:p>
          <w:p w14:paraId="24C93F05" w14:textId="3C5D4B71" w:rsidR="0024665C" w:rsidRPr="00D47929" w:rsidRDefault="0024665C">
            <w:pPr>
              <w:numPr>
                <w:ilvl w:val="0"/>
                <w:numId w:val="1"/>
              </w:numPr>
              <w:spacing w:before="120" w:beforeAutospacing="0" w:after="120"/>
              <w:rPr>
                <w:rFonts w:ascii="Calibri" w:eastAsia="Calibri" w:hAnsi="Calibri" w:cs="Calibri"/>
                <w:b w:val="0"/>
                <w:bCs/>
              </w:rPr>
            </w:pPr>
            <w:r w:rsidRPr="00D47929">
              <w:rPr>
                <w:rFonts w:ascii="Calibri" w:eastAsia="Calibri" w:hAnsi="Calibri" w:cs="Calibri"/>
                <w:b w:val="0"/>
                <w:bCs/>
              </w:rPr>
              <w:t>Electricity produced at the gas-fired power plant (see number 4 in</w:t>
            </w:r>
            <w:r w:rsidR="00C44F0B">
              <w:rPr>
                <w:rFonts w:eastAsiaTheme="minorEastAsia"/>
                <w:bCs/>
              </w:rPr>
              <w:t xml:space="preserve"> </w:t>
            </w:r>
            <w:r w:rsidR="00C44F0B" w:rsidRPr="008221B7">
              <w:rPr>
                <w:rFonts w:eastAsiaTheme="minorEastAsia"/>
              </w:rPr>
              <w:fldChar w:fldCharType="begin" w:fldLock="1"/>
            </w:r>
            <w:r w:rsidR="00C44F0B" w:rsidRPr="00C44F0B">
              <w:rPr>
                <w:rFonts w:eastAsiaTheme="minorEastAsia"/>
                <w:b w:val="0"/>
                <w:bCs/>
              </w:rPr>
              <w:instrText xml:space="preserve"> </w:instrText>
            </w:r>
            <w:r w:rsidR="00C44F0B" w:rsidRPr="007D0A6E">
              <w:rPr>
                <w:rFonts w:eastAsiaTheme="minorEastAsia"/>
                <w:bCs/>
              </w:rPr>
              <w:instrText xml:space="preserve">REF </w:instrText>
            </w:r>
            <w:r w:rsidR="00C44F0B" w:rsidRPr="00C44F0B">
              <w:rPr>
                <w:rFonts w:eastAsiaTheme="minorEastAsia"/>
                <w:b w:val="0"/>
                <w:bCs/>
              </w:rPr>
              <w:instrText xml:space="preserve">_Ref199339978 </w:instrText>
            </w:r>
            <w:r w:rsidR="00C44F0B" w:rsidRPr="007D0A6E">
              <w:rPr>
                <w:rFonts w:eastAsiaTheme="minorEastAsia"/>
                <w:bCs/>
              </w:rPr>
              <w:instrText xml:space="preserve"> \* MERGEFORMAT </w:instrText>
            </w:r>
            <w:r w:rsidR="00C44F0B" w:rsidRPr="008221B7">
              <w:rPr>
                <w:rFonts w:eastAsiaTheme="minorEastAsia"/>
                <w:bCs/>
              </w:rPr>
              <w:fldChar w:fldCharType="separate"/>
            </w:r>
            <w:r w:rsidR="00C44F0B" w:rsidRPr="007D0A6E">
              <w:rPr>
                <w:bCs/>
              </w:rPr>
              <w:t xml:space="preserve">Figure </w:t>
            </w:r>
            <w:r w:rsidR="00C44F0B" w:rsidRPr="007D0A6E">
              <w:rPr>
                <w:bCs/>
                <w:noProof/>
              </w:rPr>
              <w:t>7</w:t>
            </w:r>
            <w:r w:rsidR="00C44F0B" w:rsidRPr="008221B7">
              <w:rPr>
                <w:rFonts w:eastAsiaTheme="minorEastAsia"/>
              </w:rPr>
              <w:fldChar w:fldCharType="end"/>
            </w:r>
            <w:r w:rsidRPr="00D47929">
              <w:rPr>
                <w:rFonts w:ascii="Calibri" w:eastAsia="Calibri" w:hAnsi="Calibri" w:cs="Calibri"/>
                <w:b w:val="0"/>
                <w:bCs/>
              </w:rPr>
              <w:t xml:space="preserve">) is delivered to a separate facility without passing through a main electricity grid (see number 6 in </w:t>
            </w:r>
            <w:r w:rsidR="00C44F0B" w:rsidRPr="00974C94">
              <w:rPr>
                <w:rFonts w:eastAsiaTheme="minorEastAsia"/>
                <w:bCs/>
              </w:rPr>
              <w:fldChar w:fldCharType="begin" w:fldLock="1"/>
            </w:r>
            <w:r w:rsidR="00C44F0B" w:rsidRPr="00C44F0B">
              <w:rPr>
                <w:rFonts w:eastAsiaTheme="minorEastAsia"/>
                <w:b w:val="0"/>
                <w:bCs/>
              </w:rPr>
              <w:instrText xml:space="preserve"> </w:instrText>
            </w:r>
            <w:r w:rsidR="00C44F0B" w:rsidRPr="00974C94">
              <w:rPr>
                <w:rFonts w:eastAsiaTheme="minorEastAsia"/>
                <w:b w:val="0"/>
                <w:bCs/>
              </w:rPr>
              <w:instrText xml:space="preserve">REF </w:instrText>
            </w:r>
            <w:r w:rsidR="00C44F0B" w:rsidRPr="00C44F0B">
              <w:rPr>
                <w:rFonts w:eastAsiaTheme="minorEastAsia"/>
                <w:b w:val="0"/>
                <w:bCs/>
              </w:rPr>
              <w:instrText xml:space="preserve">_Ref199339978 </w:instrText>
            </w:r>
            <w:r w:rsidR="00C44F0B" w:rsidRPr="00974C94">
              <w:rPr>
                <w:rFonts w:eastAsiaTheme="minorEastAsia"/>
                <w:b w:val="0"/>
                <w:bCs/>
              </w:rPr>
              <w:instrText xml:space="preserve"> \* MERGEFORMAT </w:instrText>
            </w:r>
            <w:r w:rsidR="00C44F0B" w:rsidRPr="00974C94">
              <w:rPr>
                <w:rFonts w:eastAsiaTheme="minorEastAsia"/>
                <w:bCs/>
              </w:rPr>
              <w:fldChar w:fldCharType="separate"/>
            </w:r>
            <w:r w:rsidR="00C44F0B" w:rsidRPr="00974C94">
              <w:rPr>
                <w:b w:val="0"/>
                <w:bCs/>
              </w:rPr>
              <w:t xml:space="preserve">Figure </w:t>
            </w:r>
            <w:r w:rsidR="00C44F0B" w:rsidRPr="00974C94">
              <w:rPr>
                <w:b w:val="0"/>
                <w:bCs/>
                <w:noProof/>
              </w:rPr>
              <w:t>7</w:t>
            </w:r>
            <w:r w:rsidR="00C44F0B" w:rsidRPr="00974C94">
              <w:rPr>
                <w:rFonts w:eastAsiaTheme="minorEastAsia"/>
                <w:bCs/>
              </w:rPr>
              <w:fldChar w:fldCharType="end"/>
            </w:r>
            <w:r w:rsidRPr="00D47929">
              <w:rPr>
                <w:rFonts w:ascii="Calibri" w:eastAsia="Calibri" w:hAnsi="Calibri" w:cs="Calibri"/>
                <w:b w:val="0"/>
                <w:bCs/>
              </w:rPr>
              <w:t>).</w:t>
            </w:r>
          </w:p>
          <w:p w14:paraId="57837802" w14:textId="7DE8E72A" w:rsidR="0024665C" w:rsidRPr="00D47929" w:rsidRDefault="00D25DFF">
            <w:pPr>
              <w:numPr>
                <w:ilvl w:val="0"/>
                <w:numId w:val="1"/>
              </w:numPr>
              <w:spacing w:before="120" w:beforeAutospacing="0" w:after="120"/>
              <w:rPr>
                <w:rFonts w:ascii="Calibri" w:eastAsia="Calibri" w:hAnsi="Calibri" w:cs="Calibri"/>
                <w:b w:val="0"/>
                <w:bCs/>
              </w:rPr>
            </w:pPr>
            <w:r>
              <w:rPr>
                <w:rFonts w:ascii="Calibri" w:eastAsia="Calibri" w:hAnsi="Calibri" w:cs="Calibri"/>
                <w:b w:val="0"/>
                <w:bCs/>
              </w:rPr>
              <w:t>For</w:t>
            </w:r>
            <w:r w:rsidRPr="00D47929">
              <w:rPr>
                <w:rFonts w:ascii="Calibri" w:eastAsia="Calibri" w:hAnsi="Calibri" w:cs="Calibri"/>
                <w:b w:val="0"/>
                <w:bCs/>
              </w:rPr>
              <w:t xml:space="preserve"> </w:t>
            </w:r>
            <w:r w:rsidR="0024665C" w:rsidRPr="00D47929">
              <w:rPr>
                <w:rFonts w:ascii="Calibri" w:eastAsia="Calibri" w:hAnsi="Calibri" w:cs="Calibri"/>
                <w:b w:val="0"/>
                <w:bCs/>
              </w:rPr>
              <w:t xml:space="preserve">the electricity used at the separate facility, scope 2 emissions must be reported by that facility. The emission factor applicable for the electricity produced from the gas-fired power plant can be obtained from the supplier to estimate accurate scope 2 emissions. If that emission factor is unavailable, the emission factor for the Northern Territory </w:t>
            </w:r>
            <w:r w:rsidR="007A7BF5">
              <w:rPr>
                <w:rFonts w:ascii="Calibri" w:eastAsia="Calibri" w:hAnsi="Calibri" w:cs="Calibri"/>
                <w:b w:val="0"/>
                <w:bCs/>
              </w:rPr>
              <w:t xml:space="preserve">must </w:t>
            </w:r>
            <w:r w:rsidR="0024665C" w:rsidRPr="00D47929">
              <w:rPr>
                <w:rFonts w:ascii="Calibri" w:eastAsia="Calibri" w:hAnsi="Calibri" w:cs="Calibri"/>
                <w:b w:val="0"/>
                <w:bCs/>
              </w:rPr>
              <w:t>be used.</w:t>
            </w:r>
          </w:p>
          <w:p w14:paraId="699FD2B8" w14:textId="08EC55A1" w:rsidR="0024665C" w:rsidRPr="00796F35" w:rsidRDefault="0024665C">
            <w:pPr>
              <w:spacing w:before="120" w:after="120"/>
              <w:ind w:left="0"/>
              <w:rPr>
                <w:rFonts w:ascii="Calibri" w:eastAsia="Calibri" w:hAnsi="Calibri" w:cs="Calibri"/>
                <w:b w:val="0"/>
              </w:rPr>
            </w:pPr>
            <w:r w:rsidRPr="00D47929">
              <w:rPr>
                <w:rFonts w:ascii="Calibri" w:eastAsia="Calibri" w:hAnsi="Calibri" w:cs="Calibri"/>
                <w:b w:val="0"/>
                <w:bCs/>
              </w:rPr>
              <w:t xml:space="preserve">In addition, the gas-fired power station uses some of its own produced electricity (see number 5 in </w:t>
            </w:r>
            <w:r w:rsidR="00C44F0B" w:rsidRPr="00974C94">
              <w:rPr>
                <w:rFonts w:eastAsiaTheme="minorEastAsia"/>
                <w:bCs/>
              </w:rPr>
              <w:fldChar w:fldCharType="begin" w:fldLock="1"/>
            </w:r>
            <w:r w:rsidR="00C44F0B" w:rsidRPr="00C44F0B">
              <w:rPr>
                <w:rFonts w:eastAsiaTheme="minorEastAsia"/>
                <w:b w:val="0"/>
                <w:bCs/>
              </w:rPr>
              <w:instrText xml:space="preserve"> </w:instrText>
            </w:r>
            <w:r w:rsidR="00C44F0B" w:rsidRPr="00974C94">
              <w:rPr>
                <w:rFonts w:eastAsiaTheme="minorEastAsia"/>
                <w:b w:val="0"/>
                <w:bCs/>
              </w:rPr>
              <w:instrText xml:space="preserve">REF </w:instrText>
            </w:r>
            <w:r w:rsidR="00C44F0B" w:rsidRPr="00C44F0B">
              <w:rPr>
                <w:rFonts w:eastAsiaTheme="minorEastAsia"/>
                <w:b w:val="0"/>
                <w:bCs/>
              </w:rPr>
              <w:instrText xml:space="preserve">_Ref199339978 </w:instrText>
            </w:r>
            <w:r w:rsidR="00C44F0B" w:rsidRPr="00974C94">
              <w:rPr>
                <w:rFonts w:eastAsiaTheme="minorEastAsia"/>
                <w:b w:val="0"/>
                <w:bCs/>
              </w:rPr>
              <w:instrText xml:space="preserve"> \* MERGEFORMAT </w:instrText>
            </w:r>
            <w:r w:rsidR="00C44F0B" w:rsidRPr="00974C94">
              <w:rPr>
                <w:rFonts w:eastAsiaTheme="minorEastAsia"/>
                <w:bCs/>
              </w:rPr>
              <w:fldChar w:fldCharType="separate"/>
            </w:r>
            <w:r w:rsidR="00C44F0B" w:rsidRPr="00974C94">
              <w:rPr>
                <w:b w:val="0"/>
                <w:bCs/>
              </w:rPr>
              <w:t xml:space="preserve">Figure </w:t>
            </w:r>
            <w:r w:rsidR="00C44F0B" w:rsidRPr="00974C94">
              <w:rPr>
                <w:b w:val="0"/>
                <w:bCs/>
                <w:noProof/>
              </w:rPr>
              <w:t>7</w:t>
            </w:r>
            <w:r w:rsidR="00C44F0B" w:rsidRPr="00974C94">
              <w:rPr>
                <w:rFonts w:eastAsiaTheme="minorEastAsia"/>
                <w:bCs/>
              </w:rPr>
              <w:fldChar w:fldCharType="end"/>
            </w:r>
            <w:r w:rsidRPr="00D47929">
              <w:rPr>
                <w:rFonts w:ascii="Calibri" w:eastAsia="Calibri" w:hAnsi="Calibri" w:cs="Calibri"/>
                <w:b w:val="0"/>
                <w:bCs/>
              </w:rPr>
              <w:t xml:space="preserve">). This is not ‘purchased or acquired electricity’ leading to scope 2 emissions. It is instead consumption of own produced electricity – see </w:t>
            </w:r>
            <w:hyperlink w:anchor="_Electricity_production_and" w:history="1">
              <w:r w:rsidR="001B27DD">
                <w:rPr>
                  <w:rStyle w:val="Hyperlink"/>
                  <w:bCs/>
                </w:rPr>
                <w:t>Chapter 7.3</w:t>
              </w:r>
            </w:hyperlink>
            <w:r w:rsidRPr="00D47929">
              <w:rPr>
                <w:rFonts w:ascii="Calibri" w:eastAsia="Calibri" w:hAnsi="Calibri" w:cs="Calibri"/>
                <w:b w:val="0"/>
                <w:bCs/>
              </w:rPr>
              <w:t xml:space="preserve"> of this guideline for more information. Scope 1 emissions are estimated from fuel combustion.</w:t>
            </w:r>
          </w:p>
        </w:tc>
      </w:tr>
    </w:tbl>
    <w:p w14:paraId="171E7E50" w14:textId="77777777" w:rsidR="0024665C" w:rsidRDefault="0024665C" w:rsidP="0024665C">
      <w:pPr>
        <w:rPr>
          <w:rFonts w:ascii="Calibri" w:hAnsi="Calibri" w:cs="Calibri"/>
          <w:b/>
          <w:bCs/>
          <w:sz w:val="24"/>
        </w:rPr>
      </w:pPr>
    </w:p>
    <w:p w14:paraId="07E082FB" w14:textId="150F00A7" w:rsidR="0024665C" w:rsidRPr="004D1F78" w:rsidRDefault="0024665C" w:rsidP="0015088A">
      <w:pPr>
        <w:pStyle w:val="Heading3"/>
        <w:numPr>
          <w:ilvl w:val="2"/>
          <w:numId w:val="3"/>
        </w:numPr>
        <w:ind w:left="851" w:hanging="851"/>
      </w:pPr>
      <w:bookmarkStart w:id="207" w:name="_Toc205461457"/>
      <w:r>
        <w:t xml:space="preserve">Loss of electricity from an </w:t>
      </w:r>
      <w:r w:rsidRPr="004D1F78">
        <w:t>electricity transmission or distribution network</w:t>
      </w:r>
      <w:bookmarkEnd w:id="207"/>
    </w:p>
    <w:p w14:paraId="4B0D8856" w14:textId="0EF2AC07" w:rsidR="0024665C" w:rsidRDefault="0024665C" w:rsidP="0024665C">
      <w:pPr>
        <w:rPr>
          <w:rFonts w:ascii="Calibri" w:hAnsi="Calibri" w:cs="Calibri"/>
          <w:szCs w:val="22"/>
        </w:rPr>
      </w:pPr>
      <w:r w:rsidRPr="000C317A">
        <w:rPr>
          <w:rFonts w:ascii="Calibri" w:hAnsi="Calibri" w:cs="Calibri"/>
          <w:szCs w:val="22"/>
        </w:rPr>
        <w:t xml:space="preserve">A </w:t>
      </w:r>
      <w:r w:rsidR="00963CE4">
        <w:rPr>
          <w:rFonts w:ascii="Calibri" w:hAnsi="Calibri" w:cs="Calibri"/>
          <w:szCs w:val="22"/>
        </w:rPr>
        <w:t>facility</w:t>
      </w:r>
      <w:r w:rsidRPr="000C317A">
        <w:rPr>
          <w:rFonts w:ascii="Calibri" w:hAnsi="Calibri" w:cs="Calibri"/>
          <w:szCs w:val="22"/>
        </w:rPr>
        <w:t xml:space="preserve"> </w:t>
      </w:r>
      <w:r w:rsidR="00EC7474">
        <w:rPr>
          <w:rFonts w:ascii="Calibri" w:hAnsi="Calibri" w:cs="Calibri"/>
          <w:szCs w:val="22"/>
        </w:rPr>
        <w:t xml:space="preserve">that operates </w:t>
      </w:r>
      <w:r w:rsidR="008A7DF6">
        <w:rPr>
          <w:rFonts w:ascii="Calibri" w:hAnsi="Calibri" w:cs="Calibri"/>
          <w:szCs w:val="22"/>
        </w:rPr>
        <w:t xml:space="preserve">a </w:t>
      </w:r>
      <w:r w:rsidRPr="000C317A">
        <w:rPr>
          <w:rFonts w:ascii="Calibri" w:hAnsi="Calibri" w:cs="Calibri"/>
          <w:szCs w:val="22"/>
        </w:rPr>
        <w:t xml:space="preserve">transmission or distribution network must report scope 2 emissions </w:t>
      </w:r>
      <w:r w:rsidR="00E70CB4">
        <w:rPr>
          <w:rFonts w:ascii="Calibri" w:hAnsi="Calibri" w:cs="Calibri"/>
          <w:szCs w:val="22"/>
        </w:rPr>
        <w:t>covering</w:t>
      </w:r>
      <w:r w:rsidR="00E70CB4" w:rsidRPr="000C317A">
        <w:rPr>
          <w:rFonts w:ascii="Calibri" w:hAnsi="Calibri" w:cs="Calibri"/>
          <w:szCs w:val="22"/>
        </w:rPr>
        <w:t xml:space="preserve"> </w:t>
      </w:r>
      <w:r w:rsidRPr="000C317A">
        <w:rPr>
          <w:rFonts w:ascii="Calibri" w:hAnsi="Calibri" w:cs="Calibri"/>
          <w:szCs w:val="22"/>
        </w:rPr>
        <w:t xml:space="preserve">the amount of electricity lost </w:t>
      </w:r>
      <w:r w:rsidR="00327560">
        <w:rPr>
          <w:rFonts w:ascii="Calibri" w:hAnsi="Calibri" w:cs="Calibri"/>
          <w:szCs w:val="22"/>
        </w:rPr>
        <w:t>from</w:t>
      </w:r>
      <w:r w:rsidR="00365514" w:rsidRPr="000C317A">
        <w:rPr>
          <w:rFonts w:ascii="Calibri" w:hAnsi="Calibri" w:cs="Calibri"/>
          <w:szCs w:val="22"/>
        </w:rPr>
        <w:t xml:space="preserve"> </w:t>
      </w:r>
      <w:r w:rsidRPr="000C317A">
        <w:rPr>
          <w:rFonts w:ascii="Calibri" w:hAnsi="Calibri" w:cs="Calibri"/>
          <w:szCs w:val="22"/>
        </w:rPr>
        <w:t>transmi</w:t>
      </w:r>
      <w:r w:rsidR="005909EF">
        <w:rPr>
          <w:rFonts w:ascii="Calibri" w:hAnsi="Calibri" w:cs="Calibri"/>
          <w:szCs w:val="22"/>
        </w:rPr>
        <w:t>ss</w:t>
      </w:r>
      <w:r w:rsidRPr="000C317A">
        <w:rPr>
          <w:rFonts w:ascii="Calibri" w:hAnsi="Calibri" w:cs="Calibri"/>
          <w:szCs w:val="22"/>
        </w:rPr>
        <w:t>i</w:t>
      </w:r>
      <w:r w:rsidR="00365514">
        <w:rPr>
          <w:rFonts w:ascii="Calibri" w:hAnsi="Calibri" w:cs="Calibri"/>
          <w:szCs w:val="22"/>
        </w:rPr>
        <w:t>on</w:t>
      </w:r>
      <w:r w:rsidR="0059457D">
        <w:rPr>
          <w:rFonts w:ascii="Calibri" w:hAnsi="Calibri" w:cs="Calibri"/>
          <w:szCs w:val="22"/>
        </w:rPr>
        <w:t xml:space="preserve"> or distribution</w:t>
      </w:r>
      <w:r w:rsidR="00217834">
        <w:rPr>
          <w:rFonts w:ascii="Calibri" w:hAnsi="Calibri" w:cs="Calibri"/>
          <w:szCs w:val="22"/>
        </w:rPr>
        <w:t xml:space="preserve"> of</w:t>
      </w:r>
      <w:r w:rsidRPr="000C317A">
        <w:rPr>
          <w:rFonts w:ascii="Calibri" w:hAnsi="Calibri" w:cs="Calibri"/>
          <w:szCs w:val="22"/>
        </w:rPr>
        <w:t xml:space="preserve"> the electricity </w:t>
      </w:r>
      <w:r w:rsidR="00327560">
        <w:rPr>
          <w:rFonts w:ascii="Calibri" w:hAnsi="Calibri" w:cs="Calibri"/>
          <w:szCs w:val="22"/>
        </w:rPr>
        <w:t>through</w:t>
      </w:r>
      <w:r w:rsidR="00327560" w:rsidRPr="000C317A">
        <w:rPr>
          <w:rFonts w:ascii="Calibri" w:hAnsi="Calibri" w:cs="Calibri"/>
          <w:szCs w:val="22"/>
        </w:rPr>
        <w:t xml:space="preserve"> </w:t>
      </w:r>
      <w:r w:rsidRPr="000C317A">
        <w:rPr>
          <w:rFonts w:ascii="Calibri" w:hAnsi="Calibri" w:cs="Calibri"/>
          <w:szCs w:val="22"/>
        </w:rPr>
        <w:t xml:space="preserve">the network. </w:t>
      </w:r>
    </w:p>
    <w:p w14:paraId="61342B13" w14:textId="49B42E9F" w:rsidR="0024665C" w:rsidRPr="000C317A" w:rsidRDefault="0024665C" w:rsidP="0024665C">
      <w:pPr>
        <w:rPr>
          <w:rFonts w:ascii="Calibri" w:hAnsi="Calibri" w:cs="Calibri"/>
          <w:szCs w:val="22"/>
        </w:rPr>
      </w:pPr>
      <w:r w:rsidRPr="000C317A">
        <w:rPr>
          <w:rFonts w:ascii="Calibri" w:hAnsi="Calibri" w:cs="Calibri"/>
          <w:szCs w:val="22"/>
        </w:rPr>
        <w:t xml:space="preserve">As electricity flows through transmission and distribution networks, energy is lost due to electrical resistance and the heating of conductors. This lost energy in NGER is referred as “the loss of electricity from an electricity transmission or distribution network in the main electricity grid or in a network other than the main electricity grid in the </w:t>
      </w:r>
      <w:r w:rsidR="00041EEE">
        <w:rPr>
          <w:rFonts w:ascii="Calibri" w:hAnsi="Calibri" w:cs="Calibri"/>
          <w:szCs w:val="22"/>
        </w:rPr>
        <w:t>s</w:t>
      </w:r>
      <w:r w:rsidRPr="000C317A">
        <w:rPr>
          <w:rFonts w:ascii="Calibri" w:hAnsi="Calibri" w:cs="Calibri"/>
          <w:szCs w:val="22"/>
        </w:rPr>
        <w:t xml:space="preserve">tate or </w:t>
      </w:r>
      <w:r w:rsidR="00041EEE">
        <w:rPr>
          <w:rFonts w:ascii="Calibri" w:hAnsi="Calibri" w:cs="Calibri"/>
          <w:szCs w:val="22"/>
        </w:rPr>
        <w:t>t</w:t>
      </w:r>
      <w:r w:rsidRPr="000C317A">
        <w:rPr>
          <w:rFonts w:ascii="Calibri" w:hAnsi="Calibri" w:cs="Calibri"/>
          <w:szCs w:val="22"/>
        </w:rPr>
        <w:t xml:space="preserve">erritory”. </w:t>
      </w:r>
    </w:p>
    <w:p w14:paraId="29655DF5" w14:textId="186B536B" w:rsidR="0024665C" w:rsidRPr="000C317A" w:rsidRDefault="0024665C" w:rsidP="0024665C">
      <w:pPr>
        <w:rPr>
          <w:rFonts w:ascii="Calibri" w:hAnsi="Calibri" w:cs="Calibri"/>
          <w:szCs w:val="22"/>
        </w:rPr>
      </w:pPr>
      <w:r w:rsidRPr="000C317A">
        <w:rPr>
          <w:rFonts w:ascii="Calibri" w:hAnsi="Calibri" w:cs="Calibri"/>
          <w:szCs w:val="22"/>
        </w:rPr>
        <w:t>We have adopted the definition of a network from</w:t>
      </w:r>
      <w:r w:rsidR="004A4F98">
        <w:rPr>
          <w:rFonts w:ascii="Calibri" w:hAnsi="Calibri" w:cs="Calibri"/>
          <w:szCs w:val="22"/>
        </w:rPr>
        <w:t xml:space="preserve"> the</w:t>
      </w:r>
      <w:r w:rsidRPr="000C317A">
        <w:rPr>
          <w:rFonts w:ascii="Calibri" w:hAnsi="Calibri" w:cs="Calibri"/>
          <w:szCs w:val="22"/>
        </w:rPr>
        <w:t xml:space="preserve"> </w:t>
      </w:r>
      <w:hyperlink r:id="rId45" w:tooltip="A link to the National Electricty Rules page on the Australian Energy Market Commission website." w:history="1">
        <w:r w:rsidRPr="000C317A">
          <w:rPr>
            <w:rStyle w:val="Hyperlink"/>
            <w:rFonts w:asciiTheme="minorHAnsi" w:hAnsiTheme="minorHAnsi" w:cstheme="minorBidi"/>
            <w:szCs w:val="22"/>
          </w:rPr>
          <w:t>National Electricity Rules</w:t>
        </w:r>
      </w:hyperlink>
      <w:r w:rsidR="004B0870">
        <w:rPr>
          <w:rFonts w:ascii="ZWAdobeF" w:hAnsi="ZWAdobeF" w:cs="ZWAdobeF"/>
          <w:color w:val="auto"/>
          <w:sz w:val="2"/>
          <w:szCs w:val="2"/>
        </w:rPr>
        <w:t>22F</w:t>
      </w:r>
      <w:r w:rsidRPr="4E27CAA4">
        <w:rPr>
          <w:rStyle w:val="FootnoteReference"/>
          <w:rFonts w:ascii="Calibri" w:hAnsi="Calibri" w:cs="Calibri"/>
        </w:rPr>
        <w:footnoteReference w:id="24"/>
      </w:r>
      <w:r w:rsidRPr="000C317A">
        <w:rPr>
          <w:rFonts w:ascii="Calibri" w:hAnsi="Calibri" w:cs="Calibri"/>
          <w:szCs w:val="22"/>
        </w:rPr>
        <w:t xml:space="preserve"> made by the Australian Energy Market Commission (AEMC). A network is defined as </w:t>
      </w:r>
      <w:r w:rsidR="0007086A">
        <w:rPr>
          <w:rFonts w:ascii="Calibri" w:hAnsi="Calibri" w:cs="Calibri"/>
          <w:szCs w:val="22"/>
        </w:rPr>
        <w:t>“</w:t>
      </w:r>
      <w:r w:rsidRPr="000C317A">
        <w:rPr>
          <w:rFonts w:ascii="Calibri" w:hAnsi="Calibri" w:cs="Calibri"/>
          <w:szCs w:val="22"/>
        </w:rPr>
        <w:t>the apparatus, equipment, plant and buildings used to convey, and control the conveyance of, electricity</w:t>
      </w:r>
      <w:r w:rsidR="005D79B1">
        <w:rPr>
          <w:rFonts w:ascii="Calibri" w:hAnsi="Calibri" w:cs="Calibri"/>
          <w:szCs w:val="22"/>
        </w:rPr>
        <w:t xml:space="preserve"> to customers (whether wholesale or retail)</w:t>
      </w:r>
      <w:r w:rsidRPr="000C317A">
        <w:rPr>
          <w:rFonts w:ascii="Calibri" w:hAnsi="Calibri" w:cs="Calibri"/>
          <w:szCs w:val="22"/>
        </w:rPr>
        <w:t xml:space="preserve"> excluding any </w:t>
      </w:r>
      <w:r w:rsidRPr="005D79B1">
        <w:rPr>
          <w:rFonts w:ascii="Calibri" w:hAnsi="Calibri" w:cs="Calibri"/>
          <w:szCs w:val="22"/>
        </w:rPr>
        <w:t>connection assets</w:t>
      </w:r>
      <w:r w:rsidRPr="000C317A">
        <w:rPr>
          <w:rFonts w:ascii="Calibri" w:hAnsi="Calibri" w:cs="Calibri"/>
          <w:szCs w:val="22"/>
        </w:rPr>
        <w:t>. In relation to a Network Service Provider, a network owned, operated or controlled by that Network Service Provider</w:t>
      </w:r>
      <w:r w:rsidR="005D79B1">
        <w:rPr>
          <w:rFonts w:ascii="Calibri" w:hAnsi="Calibri" w:cs="Calibri"/>
          <w:szCs w:val="22"/>
        </w:rPr>
        <w:t>”</w:t>
      </w:r>
      <w:r w:rsidRPr="000C317A">
        <w:rPr>
          <w:rFonts w:ascii="Calibri" w:hAnsi="Calibri" w:cs="Calibri"/>
          <w:szCs w:val="22"/>
        </w:rPr>
        <w:t>.</w:t>
      </w:r>
      <w:r>
        <w:rPr>
          <w:rFonts w:ascii="Calibri" w:hAnsi="Calibri" w:cs="Calibri"/>
          <w:szCs w:val="22"/>
        </w:rPr>
        <w:t xml:space="preserve"> </w:t>
      </w:r>
      <w:r w:rsidR="00DF7A60">
        <w:rPr>
          <w:rFonts w:ascii="Calibri" w:hAnsi="Calibri" w:cs="Calibri"/>
          <w:szCs w:val="22"/>
        </w:rPr>
        <w:t xml:space="preserve">A single connection </w:t>
      </w:r>
      <w:r w:rsidR="00752D27">
        <w:rPr>
          <w:rFonts w:ascii="Calibri" w:hAnsi="Calibri" w:cs="Calibri"/>
          <w:szCs w:val="22"/>
        </w:rPr>
        <w:t>between two facilities would be included in this definition.</w:t>
      </w:r>
    </w:p>
    <w:p w14:paraId="30D2429E" w14:textId="54333870" w:rsidR="0024665C" w:rsidRDefault="0024665C" w:rsidP="0024665C">
      <w:pPr>
        <w:rPr>
          <w:highlight w:val="yellow"/>
        </w:rPr>
      </w:pPr>
      <w:r w:rsidRPr="000C317A">
        <w:rPr>
          <w:rFonts w:ascii="Calibri" w:hAnsi="Calibri" w:cs="Calibri"/>
          <w:szCs w:val="22"/>
        </w:rPr>
        <w:t xml:space="preserve">Generally, calculations of </w:t>
      </w:r>
      <w:r w:rsidRPr="009D204C">
        <w:rPr>
          <w:rFonts w:ascii="Calibri" w:hAnsi="Calibri" w:cs="Calibri"/>
          <w:szCs w:val="22"/>
        </w:rPr>
        <w:t>transmission or distribution losses from a facility are based on the amount of electricity entering the network and the amount of electricity leaving the network measured</w:t>
      </w:r>
      <w:r w:rsidR="005E15C5">
        <w:rPr>
          <w:rFonts w:ascii="Calibri" w:hAnsi="Calibri" w:cs="Calibri"/>
          <w:szCs w:val="22"/>
        </w:rPr>
        <w:t xml:space="preserve"> at the connection points. </w:t>
      </w:r>
    </w:p>
    <w:p w14:paraId="0D526D3C" w14:textId="7FB988E3" w:rsidR="0024665C" w:rsidRPr="001D2686" w:rsidRDefault="0024665C" w:rsidP="00D2141E">
      <w:pPr>
        <w:pStyle w:val="Heading3"/>
        <w:numPr>
          <w:ilvl w:val="2"/>
          <w:numId w:val="3"/>
        </w:numPr>
        <w:ind w:left="851" w:hanging="851"/>
      </w:pPr>
      <w:bookmarkStart w:id="208" w:name="_Toc205461458"/>
      <w:r w:rsidRPr="00E87F0D">
        <w:t xml:space="preserve">Unaccounted for </w:t>
      </w:r>
      <w:r w:rsidR="007F371B">
        <w:t>e</w:t>
      </w:r>
      <w:r w:rsidRPr="00E87F0D">
        <w:t>nergy</w:t>
      </w:r>
      <w:bookmarkEnd w:id="208"/>
    </w:p>
    <w:p w14:paraId="2E35555D" w14:textId="686BFEFE" w:rsidR="0024665C" w:rsidRPr="000C317A" w:rsidRDefault="0024665C" w:rsidP="0024665C">
      <w:pPr>
        <w:rPr>
          <w:szCs w:val="22"/>
        </w:rPr>
      </w:pPr>
      <w:r w:rsidRPr="000C317A">
        <w:rPr>
          <w:szCs w:val="22"/>
        </w:rPr>
        <w:t xml:space="preserve">In May 2022, the Australian Energy Market Operator (AEMO) introduced a </w:t>
      </w:r>
      <w:hyperlink r:id="rId46" w:tooltip="A link to the Global Settlement Framework page on the Australian Energy Market Operator website." w:history="1">
        <w:r w:rsidRPr="000C317A">
          <w:rPr>
            <w:rStyle w:val="Hyperlink"/>
            <w:rFonts w:asciiTheme="minorHAnsi" w:hAnsiTheme="minorHAnsi"/>
          </w:rPr>
          <w:t>Global Settlement Framework</w:t>
        </w:r>
      </w:hyperlink>
      <w:r w:rsidR="004B0870">
        <w:rPr>
          <w:rFonts w:ascii="ZWAdobeF" w:hAnsi="ZWAdobeF" w:cs="ZWAdobeF"/>
          <w:color w:val="auto"/>
          <w:sz w:val="2"/>
          <w:szCs w:val="2"/>
        </w:rPr>
        <w:t>23F</w:t>
      </w:r>
      <w:r w:rsidRPr="000C317A">
        <w:rPr>
          <w:rStyle w:val="FootnoteReference"/>
          <w:szCs w:val="22"/>
        </w:rPr>
        <w:footnoteReference w:id="25"/>
      </w:r>
      <w:r w:rsidRPr="000C317A">
        <w:rPr>
          <w:szCs w:val="22"/>
        </w:rPr>
        <w:t xml:space="preserve"> to invoice all retailers </w:t>
      </w:r>
      <w:r w:rsidRPr="00825A78">
        <w:rPr>
          <w:szCs w:val="22"/>
        </w:rPr>
        <w:t xml:space="preserve">for </w:t>
      </w:r>
      <w:r>
        <w:rPr>
          <w:szCs w:val="22"/>
        </w:rPr>
        <w:t>u</w:t>
      </w:r>
      <w:r w:rsidRPr="00825A78">
        <w:rPr>
          <w:szCs w:val="22"/>
        </w:rPr>
        <w:t xml:space="preserve">naccounted for </w:t>
      </w:r>
      <w:r>
        <w:rPr>
          <w:szCs w:val="22"/>
        </w:rPr>
        <w:t>e</w:t>
      </w:r>
      <w:r w:rsidRPr="00825A78">
        <w:rPr>
          <w:szCs w:val="22"/>
        </w:rPr>
        <w:t xml:space="preserve">nergy </w:t>
      </w:r>
      <w:r w:rsidRPr="000C317A">
        <w:rPr>
          <w:szCs w:val="22"/>
        </w:rPr>
        <w:t>(UFE) within a distribution area.</w:t>
      </w:r>
    </w:p>
    <w:p w14:paraId="4F189DF6" w14:textId="77777777" w:rsidR="0024665C" w:rsidRPr="00825A78" w:rsidRDefault="0024665C" w:rsidP="0024665C">
      <w:pPr>
        <w:rPr>
          <w:szCs w:val="22"/>
        </w:rPr>
      </w:pPr>
      <w:r w:rsidRPr="00825A78">
        <w:rPr>
          <w:szCs w:val="22"/>
        </w:rPr>
        <w:t xml:space="preserve">UFE is the discrepancy between the amount of electricity </w:t>
      </w:r>
      <w:r w:rsidRPr="00D2141E">
        <w:rPr>
          <w:b/>
          <w:bCs/>
          <w:szCs w:val="22"/>
        </w:rPr>
        <w:t>supplied</w:t>
      </w:r>
      <w:r w:rsidRPr="007F371B">
        <w:rPr>
          <w:szCs w:val="22"/>
        </w:rPr>
        <w:t xml:space="preserve"> </w:t>
      </w:r>
      <w:r w:rsidRPr="00825A78">
        <w:rPr>
          <w:szCs w:val="22"/>
        </w:rPr>
        <w:t>into a distribution area and</w:t>
      </w:r>
      <w:r>
        <w:rPr>
          <w:szCs w:val="22"/>
        </w:rPr>
        <w:t xml:space="preserve"> the amount of</w:t>
      </w:r>
      <w:r w:rsidRPr="00825A78">
        <w:rPr>
          <w:szCs w:val="22"/>
        </w:rPr>
        <w:t xml:space="preserve"> </w:t>
      </w:r>
      <w:r>
        <w:rPr>
          <w:szCs w:val="22"/>
        </w:rPr>
        <w:t xml:space="preserve">electricity </w:t>
      </w:r>
      <w:r w:rsidRPr="00D2141E">
        <w:rPr>
          <w:b/>
          <w:bCs/>
          <w:szCs w:val="22"/>
        </w:rPr>
        <w:t>consumed</w:t>
      </w:r>
      <w:r>
        <w:rPr>
          <w:szCs w:val="22"/>
        </w:rPr>
        <w:t xml:space="preserve"> </w:t>
      </w:r>
      <w:r w:rsidRPr="00825A78">
        <w:rPr>
          <w:szCs w:val="22"/>
        </w:rPr>
        <w:t>in that distribution area based on electricity end-user metering.</w:t>
      </w:r>
    </w:p>
    <w:p w14:paraId="7E70C3A6" w14:textId="77777777" w:rsidR="0024665C" w:rsidRPr="00825A78" w:rsidRDefault="0024665C" w:rsidP="0024665C">
      <w:pPr>
        <w:rPr>
          <w:szCs w:val="22"/>
        </w:rPr>
      </w:pPr>
      <w:r w:rsidRPr="00825A78">
        <w:rPr>
          <w:szCs w:val="22"/>
        </w:rPr>
        <w:t xml:space="preserve">Electricity retailers may adjust customer invoices for UFE. As a result, some electricity users may notice </w:t>
      </w:r>
      <w:r>
        <w:rPr>
          <w:szCs w:val="22"/>
        </w:rPr>
        <w:t>UFE</w:t>
      </w:r>
      <w:r w:rsidRPr="00825A78">
        <w:rPr>
          <w:szCs w:val="22"/>
        </w:rPr>
        <w:t xml:space="preserve"> on their invoices. The quantity of UFE may be positive or negative.</w:t>
      </w:r>
    </w:p>
    <w:p w14:paraId="470EBCFA" w14:textId="77777777" w:rsidR="0024665C" w:rsidRPr="00825A78" w:rsidRDefault="0024665C" w:rsidP="0024665C">
      <w:pPr>
        <w:rPr>
          <w:szCs w:val="22"/>
        </w:rPr>
      </w:pPr>
      <w:r w:rsidRPr="00825A78">
        <w:rPr>
          <w:szCs w:val="22"/>
        </w:rPr>
        <w:t>If a retailer includes an item in your invoice for UFE, you should not include it in your electricity consumption for reporting scope 2 emissions under NGER. That is, you should only report the total of the other electricity quantities in your customer invoice, without adjustment for UFE.</w:t>
      </w:r>
    </w:p>
    <w:p w14:paraId="1B749E76" w14:textId="490D31DD" w:rsidR="0024665C" w:rsidRPr="00825A78" w:rsidRDefault="0024665C" w:rsidP="0024665C">
      <w:pPr>
        <w:rPr>
          <w:szCs w:val="22"/>
        </w:rPr>
      </w:pPr>
      <w:r w:rsidRPr="00825A78">
        <w:rPr>
          <w:szCs w:val="22"/>
        </w:rPr>
        <w:t xml:space="preserve">If you are aware that your electricity invoice includes </w:t>
      </w:r>
      <w:r w:rsidR="000172A7" w:rsidRPr="00825A78">
        <w:rPr>
          <w:szCs w:val="22"/>
        </w:rPr>
        <w:t>UFE,</w:t>
      </w:r>
      <w:r w:rsidRPr="00825A78">
        <w:rPr>
          <w:szCs w:val="22"/>
        </w:rPr>
        <w:t xml:space="preserve"> but it</w:t>
      </w:r>
      <w:r w:rsidR="00090B6E">
        <w:rPr>
          <w:szCs w:val="22"/>
        </w:rPr>
        <w:t>’</w:t>
      </w:r>
      <w:r w:rsidR="00B34843">
        <w:rPr>
          <w:szCs w:val="22"/>
        </w:rPr>
        <w:t>s</w:t>
      </w:r>
      <w:r w:rsidRPr="00825A78">
        <w:rPr>
          <w:szCs w:val="22"/>
        </w:rPr>
        <w:t xml:space="preserve"> not explicitly quantified, you should:</w:t>
      </w:r>
    </w:p>
    <w:p w14:paraId="63EFCDF6" w14:textId="77777777" w:rsidR="0024665C" w:rsidRPr="005453B4" w:rsidRDefault="0024665C" w:rsidP="0024665C">
      <w:pPr>
        <w:pStyle w:val="CERbullets"/>
      </w:pPr>
      <w:r w:rsidRPr="005453B4">
        <w:t>consult your electricity retailer to obtain more information</w:t>
      </w:r>
    </w:p>
    <w:p w14:paraId="01BD3FF2" w14:textId="77777777" w:rsidR="0024665C" w:rsidRPr="005453B4" w:rsidRDefault="0024665C" w:rsidP="0024665C">
      <w:pPr>
        <w:pStyle w:val="CERbullets"/>
      </w:pPr>
      <w:r w:rsidRPr="005453B4">
        <w:t xml:space="preserve">document the method you used for estimating UFE in your </w:t>
      </w:r>
      <w:proofErr w:type="spellStart"/>
      <w:r w:rsidRPr="005453B4">
        <w:t>BoP</w:t>
      </w:r>
      <w:proofErr w:type="spellEnd"/>
      <w:r w:rsidRPr="005453B4">
        <w:t>. </w:t>
      </w:r>
    </w:p>
    <w:p w14:paraId="544AD7C4" w14:textId="77777777" w:rsidR="0024665C" w:rsidRPr="009D204C" w:rsidRDefault="0024665C" w:rsidP="0024665C">
      <w:pPr>
        <w:rPr>
          <w:rFonts w:ascii="Calibri" w:hAnsi="Calibri" w:cs="Calibri"/>
          <w:szCs w:val="22"/>
        </w:rPr>
      </w:pPr>
    </w:p>
    <w:tbl>
      <w:tblPr>
        <w:tblStyle w:val="CERCallout"/>
        <w:tblW w:w="9893" w:type="dxa"/>
        <w:tblLook w:val="04A0" w:firstRow="1" w:lastRow="0" w:firstColumn="1" w:lastColumn="0" w:noHBand="0" w:noVBand="1"/>
      </w:tblPr>
      <w:tblGrid>
        <w:gridCol w:w="10038"/>
      </w:tblGrid>
      <w:tr w:rsidR="00D67F2D" w:rsidRPr="008A503B" w14:paraId="76A27486" w14:textId="77777777">
        <w:trPr>
          <w:cnfStyle w:val="100000000000" w:firstRow="1" w:lastRow="0" w:firstColumn="0" w:lastColumn="0" w:oddVBand="0" w:evenVBand="0" w:oddHBand="0" w:evenHBand="0" w:firstRowFirstColumn="0" w:firstRowLastColumn="0" w:lastRowFirstColumn="0" w:lastRowLastColumn="0"/>
        </w:trPr>
        <w:tc>
          <w:tcPr>
            <w:tcW w:w="9893" w:type="dxa"/>
          </w:tcPr>
          <w:p w14:paraId="56446487" w14:textId="77777777" w:rsidR="0024665C" w:rsidRPr="000C317A" w:rsidRDefault="0024665C">
            <w:pPr>
              <w:spacing w:before="37" w:after="25"/>
              <w:ind w:left="0"/>
              <w:rPr>
                <w:rFonts w:ascii="Calibri" w:hAnsi="Calibri" w:cs="Calibri"/>
                <w:szCs w:val="22"/>
              </w:rPr>
            </w:pPr>
            <w:r w:rsidRPr="000C317A">
              <w:rPr>
                <w:rFonts w:ascii="Calibri" w:hAnsi="Calibri" w:cs="Calibri"/>
              </w:rPr>
              <w:t>Example: Reporting scope 2 emissions based on an electricity bill that includes UFE</w:t>
            </w:r>
          </w:p>
          <w:p w14:paraId="18D17639" w14:textId="611BAA84" w:rsidR="0024665C" w:rsidRPr="001561D5" w:rsidRDefault="0024665C">
            <w:pPr>
              <w:spacing w:before="37" w:after="25"/>
              <w:ind w:left="0"/>
              <w:rPr>
                <w:rFonts w:ascii="Calibri" w:hAnsi="Calibri" w:cs="Calibri"/>
                <w:szCs w:val="22"/>
              </w:rPr>
            </w:pPr>
            <w:r>
              <w:rPr>
                <w:rFonts w:ascii="Calibri" w:hAnsi="Calibri" w:cs="Calibri"/>
                <w:b w:val="0"/>
                <w:szCs w:val="22"/>
              </w:rPr>
              <w:t>This</w:t>
            </w:r>
            <w:r w:rsidRPr="183F6EF4">
              <w:rPr>
                <w:rFonts w:ascii="Calibri" w:hAnsi="Calibri" w:cs="Calibri"/>
                <w:b w:val="0"/>
                <w:szCs w:val="22"/>
              </w:rPr>
              <w:t xml:space="preserve"> electricity invoice display</w:t>
            </w:r>
            <w:r>
              <w:rPr>
                <w:rFonts w:ascii="Calibri" w:hAnsi="Calibri" w:cs="Calibri"/>
                <w:b w:val="0"/>
                <w:szCs w:val="22"/>
              </w:rPr>
              <w:t>s</w:t>
            </w:r>
            <w:r w:rsidRPr="183F6EF4">
              <w:rPr>
                <w:rFonts w:ascii="Calibri" w:hAnsi="Calibri" w:cs="Calibri"/>
                <w:b w:val="0"/>
                <w:szCs w:val="22"/>
              </w:rPr>
              <w:t xml:space="preserve"> </w:t>
            </w:r>
            <w:r>
              <w:rPr>
                <w:rFonts w:ascii="Calibri" w:hAnsi="Calibri" w:cs="Calibri"/>
                <w:b w:val="0"/>
                <w:szCs w:val="22"/>
              </w:rPr>
              <w:t xml:space="preserve">the quantities of electricity that add up to your </w:t>
            </w:r>
            <w:r w:rsidR="009D46AB">
              <w:rPr>
                <w:rFonts w:ascii="Calibri" w:hAnsi="Calibri" w:cs="Calibri"/>
                <w:b w:val="0"/>
                <w:szCs w:val="22"/>
              </w:rPr>
              <w:t>t</w:t>
            </w:r>
            <w:r>
              <w:rPr>
                <w:rFonts w:ascii="Calibri" w:hAnsi="Calibri" w:cs="Calibri"/>
                <w:b w:val="0"/>
                <w:szCs w:val="22"/>
              </w:rPr>
              <w:t xml:space="preserve">otal </w:t>
            </w:r>
            <w:r w:rsidR="009D46AB">
              <w:rPr>
                <w:rFonts w:ascii="Calibri" w:hAnsi="Calibri" w:cs="Calibri"/>
                <w:b w:val="0"/>
                <w:szCs w:val="22"/>
              </w:rPr>
              <w:t>c</w:t>
            </w:r>
            <w:r>
              <w:rPr>
                <w:rFonts w:ascii="Calibri" w:hAnsi="Calibri" w:cs="Calibri"/>
                <w:b w:val="0"/>
                <w:szCs w:val="22"/>
              </w:rPr>
              <w:t xml:space="preserve">onsumption </w:t>
            </w:r>
            <w:r w:rsidR="009D46AB">
              <w:rPr>
                <w:rFonts w:ascii="Calibri" w:hAnsi="Calibri" w:cs="Calibri"/>
                <w:b w:val="0"/>
                <w:szCs w:val="22"/>
              </w:rPr>
              <w:t>c</w:t>
            </w:r>
            <w:r>
              <w:rPr>
                <w:rFonts w:ascii="Calibri" w:hAnsi="Calibri" w:cs="Calibri"/>
                <w:b w:val="0"/>
                <w:szCs w:val="22"/>
              </w:rPr>
              <w:t xml:space="preserve">harges. This includes a quantity of </w:t>
            </w:r>
            <w:r w:rsidR="00BD3557">
              <w:rPr>
                <w:rFonts w:ascii="Calibri" w:hAnsi="Calibri" w:cs="Calibri"/>
                <w:b w:val="0"/>
                <w:szCs w:val="22"/>
              </w:rPr>
              <w:t>u</w:t>
            </w:r>
            <w:r w:rsidRPr="000E42BC">
              <w:rPr>
                <w:rFonts w:ascii="Calibri" w:hAnsi="Calibri" w:cs="Calibri"/>
                <w:b w:val="0"/>
                <w:szCs w:val="22"/>
              </w:rPr>
              <w:t xml:space="preserve">naccounted for </w:t>
            </w:r>
            <w:r w:rsidR="00BD3557">
              <w:rPr>
                <w:rFonts w:ascii="Calibri" w:hAnsi="Calibri" w:cs="Calibri"/>
                <w:b w:val="0"/>
                <w:szCs w:val="22"/>
              </w:rPr>
              <w:t>e</w:t>
            </w:r>
            <w:r w:rsidRPr="000E42BC">
              <w:rPr>
                <w:rFonts w:ascii="Calibri" w:hAnsi="Calibri" w:cs="Calibri"/>
                <w:b w:val="0"/>
                <w:szCs w:val="22"/>
              </w:rPr>
              <w:t>nergy</w:t>
            </w:r>
            <w:r>
              <w:rPr>
                <w:rFonts w:ascii="Calibri" w:hAnsi="Calibri" w:cs="Calibri"/>
                <w:b w:val="0"/>
                <w:szCs w:val="22"/>
              </w:rPr>
              <w:t xml:space="preserve"> which should not be included in </w:t>
            </w:r>
            <w:r w:rsidRPr="00D2141E">
              <w:rPr>
                <w:rFonts w:ascii="Calibri" w:hAnsi="Calibri" w:cs="Calibri"/>
                <w:szCs w:val="22"/>
              </w:rPr>
              <w:t>your</w:t>
            </w:r>
            <w:r w:rsidRPr="00BD3557">
              <w:rPr>
                <w:rFonts w:ascii="Calibri" w:hAnsi="Calibri" w:cs="Calibri"/>
                <w:b w:val="0"/>
                <w:iCs/>
                <w:szCs w:val="22"/>
              </w:rPr>
              <w:t xml:space="preserve"> </w:t>
            </w:r>
            <w:r>
              <w:rPr>
                <w:rFonts w:ascii="Calibri" w:hAnsi="Calibri" w:cs="Calibri"/>
                <w:b w:val="0"/>
                <w:szCs w:val="22"/>
              </w:rPr>
              <w:t>electricity consumption reported under NGER.</w:t>
            </w:r>
            <w:r>
              <w:rPr>
                <w:rFonts w:ascii="Calibri" w:hAnsi="Calibri" w:cs="Calibri"/>
                <w:b w:val="0"/>
                <w:szCs w:val="22"/>
              </w:rPr>
              <w:br/>
            </w:r>
          </w:p>
          <w:tbl>
            <w:tblPr>
              <w:tblW w:w="9470" w:type="dxa"/>
              <w:tblLook w:val="04A0" w:firstRow="1" w:lastRow="0" w:firstColumn="1" w:lastColumn="0" w:noHBand="0" w:noVBand="1"/>
            </w:tblPr>
            <w:tblGrid>
              <w:gridCol w:w="2520"/>
              <w:gridCol w:w="3543"/>
              <w:gridCol w:w="1706"/>
              <w:gridCol w:w="1701"/>
            </w:tblGrid>
            <w:tr w:rsidR="0024665C" w:rsidRPr="001561D5" w14:paraId="22F68B94" w14:textId="77777777" w:rsidTr="00BE117F">
              <w:trPr>
                <w:cantSplit/>
                <w:trHeight w:val="530"/>
              </w:trPr>
              <w:tc>
                <w:tcPr>
                  <w:tcW w:w="2520" w:type="dxa"/>
                  <w:tcBorders>
                    <w:top w:val="nil"/>
                    <w:left w:val="nil"/>
                    <w:bottom w:val="single" w:sz="12" w:space="0" w:color="FCBA5C"/>
                    <w:right w:val="nil"/>
                  </w:tcBorders>
                  <w:shd w:val="clear" w:color="auto" w:fill="E8E8E8" w:themeFill="background2"/>
                  <w:vAlign w:val="center"/>
                  <w:hideMark/>
                </w:tcPr>
                <w:p w14:paraId="36B120C1" w14:textId="70A75AEE" w:rsidR="0024665C" w:rsidRPr="001561D5" w:rsidRDefault="0024665C">
                  <w:pPr>
                    <w:spacing w:after="0"/>
                    <w:rPr>
                      <w:rFonts w:ascii="Calibri" w:eastAsia="Times New Roman" w:hAnsi="Calibri" w:cs="Calibri"/>
                      <w:b/>
                      <w:color w:val="000000"/>
                      <w:lang w:eastAsia="en-AU"/>
                    </w:rPr>
                  </w:pPr>
                  <w:r w:rsidRPr="183F6EF4">
                    <w:rPr>
                      <w:rFonts w:ascii="Calibri" w:eastAsia="Times New Roman" w:hAnsi="Calibri" w:cs="Calibri"/>
                      <w:b/>
                      <w:lang w:val="en-GB" w:eastAsia="en-AU"/>
                    </w:rPr>
                    <w:t xml:space="preserve">Energy </w:t>
                  </w:r>
                  <w:r w:rsidR="00BD3557">
                    <w:rPr>
                      <w:rFonts w:ascii="Calibri" w:eastAsia="Times New Roman" w:hAnsi="Calibri" w:cs="Calibri"/>
                      <w:b/>
                      <w:lang w:val="en-GB" w:eastAsia="en-AU"/>
                    </w:rPr>
                    <w:t>c</w:t>
                  </w:r>
                  <w:r w:rsidRPr="183F6EF4">
                    <w:rPr>
                      <w:rFonts w:ascii="Calibri" w:eastAsia="Times New Roman" w:hAnsi="Calibri" w:cs="Calibri"/>
                      <w:b/>
                      <w:lang w:val="en-GB" w:eastAsia="en-AU"/>
                    </w:rPr>
                    <w:t>harge</w:t>
                  </w:r>
                  <w:r>
                    <w:rPr>
                      <w:rFonts w:ascii="Calibri" w:eastAsia="Times New Roman" w:hAnsi="Calibri" w:cs="Calibri"/>
                      <w:b/>
                      <w:color w:val="000000"/>
                      <w:lang w:eastAsia="en-AU"/>
                    </w:rPr>
                    <w:t>s</w:t>
                  </w:r>
                </w:p>
              </w:tc>
              <w:tc>
                <w:tcPr>
                  <w:tcW w:w="3543" w:type="dxa"/>
                  <w:tcBorders>
                    <w:top w:val="nil"/>
                    <w:left w:val="nil"/>
                    <w:bottom w:val="single" w:sz="12" w:space="0" w:color="FCBA5C"/>
                    <w:right w:val="nil"/>
                  </w:tcBorders>
                  <w:shd w:val="clear" w:color="auto" w:fill="E8E8E8" w:themeFill="background2"/>
                  <w:vAlign w:val="center"/>
                  <w:hideMark/>
                </w:tcPr>
                <w:p w14:paraId="444260DB" w14:textId="2A27D6E2" w:rsidR="0024665C" w:rsidRPr="001561D5" w:rsidRDefault="0024665C">
                  <w:pPr>
                    <w:spacing w:after="0"/>
                    <w:jc w:val="center"/>
                    <w:rPr>
                      <w:rFonts w:ascii="Calibri" w:eastAsia="Times New Roman" w:hAnsi="Calibri" w:cs="Calibri"/>
                      <w:b/>
                      <w:color w:val="000000"/>
                      <w:lang w:eastAsia="en-AU"/>
                    </w:rPr>
                  </w:pPr>
                  <w:r w:rsidRPr="183F6EF4">
                    <w:rPr>
                      <w:rFonts w:ascii="Calibri" w:eastAsia="Times New Roman" w:hAnsi="Calibri" w:cs="Calibri"/>
                      <w:b/>
                      <w:lang w:val="en-GB" w:eastAsia="en-AU"/>
                    </w:rPr>
                    <w:t xml:space="preserve">Contract </w:t>
                  </w:r>
                  <w:r w:rsidR="00BD3557">
                    <w:rPr>
                      <w:rFonts w:ascii="Calibri" w:eastAsia="Times New Roman" w:hAnsi="Calibri" w:cs="Calibri"/>
                      <w:b/>
                      <w:lang w:val="en-GB" w:eastAsia="en-AU"/>
                    </w:rPr>
                    <w:t>r</w:t>
                  </w:r>
                  <w:r w:rsidRPr="183F6EF4">
                    <w:rPr>
                      <w:rFonts w:ascii="Calibri" w:eastAsia="Times New Roman" w:hAnsi="Calibri" w:cs="Calibri"/>
                      <w:b/>
                      <w:lang w:val="en-GB" w:eastAsia="en-AU"/>
                    </w:rPr>
                    <w:t>ate x (DLF x MLF)</w:t>
                  </w:r>
                </w:p>
              </w:tc>
              <w:tc>
                <w:tcPr>
                  <w:tcW w:w="1706" w:type="dxa"/>
                  <w:tcBorders>
                    <w:top w:val="nil"/>
                    <w:left w:val="nil"/>
                    <w:bottom w:val="single" w:sz="12" w:space="0" w:color="FCBA5C"/>
                    <w:right w:val="nil"/>
                  </w:tcBorders>
                  <w:shd w:val="clear" w:color="auto" w:fill="E8E8E8" w:themeFill="background2"/>
                  <w:vAlign w:val="center"/>
                  <w:hideMark/>
                </w:tcPr>
                <w:p w14:paraId="418A9C1B" w14:textId="38F9C931" w:rsidR="0024665C" w:rsidRPr="001561D5" w:rsidRDefault="0024665C">
                  <w:pPr>
                    <w:spacing w:after="0"/>
                    <w:jc w:val="center"/>
                    <w:rPr>
                      <w:rFonts w:ascii="Calibri" w:eastAsia="Times New Roman" w:hAnsi="Calibri" w:cs="Calibri"/>
                      <w:b/>
                      <w:color w:val="000000"/>
                      <w:lang w:eastAsia="en-AU"/>
                    </w:rPr>
                  </w:pPr>
                  <w:r w:rsidRPr="183F6EF4">
                    <w:rPr>
                      <w:rFonts w:ascii="Calibri" w:eastAsia="Times New Roman" w:hAnsi="Calibri" w:cs="Calibri"/>
                      <w:b/>
                      <w:lang w:val="en-GB" w:eastAsia="en-AU"/>
                    </w:rPr>
                    <w:t xml:space="preserve">Metered </w:t>
                  </w:r>
                  <w:r w:rsidR="00BD3557">
                    <w:rPr>
                      <w:rFonts w:ascii="Calibri" w:eastAsia="Times New Roman" w:hAnsi="Calibri" w:cs="Calibri"/>
                      <w:b/>
                      <w:lang w:val="en-GB" w:eastAsia="en-AU"/>
                    </w:rPr>
                    <w:t>r</w:t>
                  </w:r>
                  <w:r w:rsidRPr="183F6EF4">
                    <w:rPr>
                      <w:rFonts w:ascii="Calibri" w:eastAsia="Times New Roman" w:hAnsi="Calibri" w:cs="Calibri"/>
                      <w:b/>
                      <w:lang w:val="en-GB" w:eastAsia="en-AU"/>
                    </w:rPr>
                    <w:t>ate</w:t>
                  </w:r>
                </w:p>
              </w:tc>
              <w:tc>
                <w:tcPr>
                  <w:tcW w:w="1701" w:type="dxa"/>
                  <w:tcBorders>
                    <w:top w:val="nil"/>
                    <w:left w:val="nil"/>
                    <w:bottom w:val="single" w:sz="12" w:space="0" w:color="FCBA5C"/>
                    <w:right w:val="nil"/>
                  </w:tcBorders>
                  <w:shd w:val="clear" w:color="auto" w:fill="E8E8E8" w:themeFill="background2"/>
                  <w:vAlign w:val="center"/>
                  <w:hideMark/>
                </w:tcPr>
                <w:p w14:paraId="7D939CE2" w14:textId="77777777" w:rsidR="0024665C" w:rsidRPr="001561D5" w:rsidRDefault="0024665C">
                  <w:pPr>
                    <w:spacing w:after="0"/>
                    <w:jc w:val="center"/>
                    <w:rPr>
                      <w:rFonts w:ascii="Calibri" w:eastAsia="Times New Roman" w:hAnsi="Calibri" w:cs="Calibri"/>
                      <w:b/>
                      <w:color w:val="000000"/>
                      <w:lang w:eastAsia="en-AU"/>
                    </w:rPr>
                  </w:pPr>
                  <w:r w:rsidRPr="183F6EF4">
                    <w:rPr>
                      <w:rFonts w:ascii="Calibri" w:eastAsia="Times New Roman" w:hAnsi="Calibri" w:cs="Calibri"/>
                      <w:b/>
                      <w:lang w:val="en-GB" w:eastAsia="en-AU"/>
                    </w:rPr>
                    <w:t>Quantity</w:t>
                  </w:r>
                </w:p>
              </w:tc>
            </w:tr>
            <w:tr w:rsidR="0024665C" w:rsidRPr="001561D5" w14:paraId="66F9B89F" w14:textId="77777777" w:rsidTr="00BE117F">
              <w:trPr>
                <w:cantSplit/>
                <w:trHeight w:val="310"/>
              </w:trPr>
              <w:tc>
                <w:tcPr>
                  <w:tcW w:w="2520" w:type="dxa"/>
                  <w:tcBorders>
                    <w:top w:val="nil"/>
                    <w:left w:val="nil"/>
                    <w:bottom w:val="single" w:sz="8" w:space="0" w:color="D1D1D1" w:themeColor="background2" w:themeShade="E6"/>
                    <w:right w:val="nil"/>
                  </w:tcBorders>
                  <w:shd w:val="clear" w:color="auto" w:fill="F2F2F2" w:themeFill="background1" w:themeFillShade="F2"/>
                  <w:vAlign w:val="center"/>
                  <w:hideMark/>
                </w:tcPr>
                <w:p w14:paraId="675581CF" w14:textId="37BF4A04" w:rsidR="0024665C" w:rsidRPr="001561D5" w:rsidRDefault="0024665C">
                  <w:pPr>
                    <w:spacing w:after="0"/>
                    <w:jc w:val="both"/>
                    <w:rPr>
                      <w:rFonts w:ascii="Calibri" w:eastAsia="Times New Roman" w:hAnsi="Calibri" w:cs="Calibri"/>
                      <w:b/>
                      <w:color w:val="000000"/>
                      <w:lang w:eastAsia="en-AU"/>
                    </w:rPr>
                  </w:pPr>
                  <w:r w:rsidRPr="183F6EF4">
                    <w:rPr>
                      <w:rFonts w:ascii="Calibri" w:eastAsia="Times New Roman" w:hAnsi="Calibri" w:cs="Calibri"/>
                      <w:b/>
                      <w:lang w:val="en-GB" w:eastAsia="en-AU"/>
                    </w:rPr>
                    <w:t xml:space="preserve">Peak </w:t>
                  </w:r>
                  <w:r w:rsidR="00BD3557">
                    <w:rPr>
                      <w:rFonts w:ascii="Calibri" w:eastAsia="Times New Roman" w:hAnsi="Calibri" w:cs="Calibri"/>
                      <w:b/>
                      <w:lang w:val="en-GB" w:eastAsia="en-AU"/>
                    </w:rPr>
                    <w:t>e</w:t>
                  </w:r>
                  <w:r w:rsidRPr="183F6EF4">
                    <w:rPr>
                      <w:rFonts w:ascii="Calibri" w:eastAsia="Times New Roman" w:hAnsi="Calibri" w:cs="Calibri"/>
                      <w:b/>
                      <w:lang w:val="en-GB" w:eastAsia="en-AU"/>
                    </w:rPr>
                    <w:t>nergy</w:t>
                  </w:r>
                </w:p>
              </w:tc>
              <w:tc>
                <w:tcPr>
                  <w:tcW w:w="3543" w:type="dxa"/>
                  <w:tcBorders>
                    <w:top w:val="nil"/>
                    <w:left w:val="nil"/>
                    <w:bottom w:val="single" w:sz="8" w:space="0" w:color="D1D1D1" w:themeColor="background2" w:themeShade="E6"/>
                    <w:right w:val="nil"/>
                  </w:tcBorders>
                  <w:vAlign w:val="center"/>
                  <w:hideMark/>
                </w:tcPr>
                <w:p w14:paraId="5661C242" w14:textId="77777777" w:rsidR="0024665C" w:rsidRPr="001561D5" w:rsidRDefault="0024665C">
                  <w:pPr>
                    <w:spacing w:after="0"/>
                    <w:jc w:val="center"/>
                    <w:rPr>
                      <w:rFonts w:ascii="Calibri" w:eastAsia="Times New Roman" w:hAnsi="Calibri" w:cs="Calibri"/>
                      <w:color w:val="000000"/>
                      <w:lang w:eastAsia="en-AU"/>
                    </w:rPr>
                  </w:pPr>
                  <w:r w:rsidRPr="183F6EF4">
                    <w:rPr>
                      <w:rFonts w:ascii="Calibri" w:eastAsia="Times New Roman" w:hAnsi="Calibri" w:cs="Calibri"/>
                      <w:lang w:val="en-GB" w:eastAsia="en-AU"/>
                    </w:rPr>
                    <w:t xml:space="preserve">7.2440 c/kWh </w:t>
                  </w:r>
                  <w:r>
                    <w:rPr>
                      <w:rFonts w:ascii="Calibri" w:eastAsia="Times New Roman" w:hAnsi="Calibri" w:cs="Calibri"/>
                      <w:lang w:val="en-GB" w:eastAsia="en-AU"/>
                    </w:rPr>
                    <w:t>x (</w:t>
                  </w:r>
                  <w:r w:rsidRPr="183F6EF4">
                    <w:rPr>
                      <w:rFonts w:ascii="Calibri" w:eastAsia="Times New Roman" w:hAnsi="Calibri" w:cs="Calibri"/>
                      <w:lang w:val="en-GB" w:eastAsia="en-AU"/>
                    </w:rPr>
                    <w:t xml:space="preserve">1.0680 </w:t>
                  </w:r>
                  <w:r>
                    <w:rPr>
                      <w:rFonts w:ascii="Calibri" w:eastAsia="Times New Roman" w:hAnsi="Calibri" w:cs="Calibri"/>
                      <w:lang w:val="en-GB" w:eastAsia="en-AU"/>
                    </w:rPr>
                    <w:t xml:space="preserve">x </w:t>
                  </w:r>
                  <w:r w:rsidRPr="183F6EF4">
                    <w:rPr>
                      <w:rFonts w:ascii="Calibri" w:eastAsia="Times New Roman" w:hAnsi="Calibri" w:cs="Calibri"/>
                      <w:lang w:val="en-GB" w:eastAsia="en-AU"/>
                    </w:rPr>
                    <w:t>0.9747</w:t>
                  </w:r>
                  <w:r>
                    <w:rPr>
                      <w:rFonts w:ascii="Calibri" w:eastAsia="Times New Roman" w:hAnsi="Calibri" w:cs="Calibri"/>
                      <w:lang w:val="en-GB" w:eastAsia="en-AU"/>
                    </w:rPr>
                    <w:t>)</w:t>
                  </w:r>
                </w:p>
              </w:tc>
              <w:tc>
                <w:tcPr>
                  <w:tcW w:w="1706" w:type="dxa"/>
                  <w:tcBorders>
                    <w:top w:val="nil"/>
                    <w:left w:val="nil"/>
                    <w:bottom w:val="single" w:sz="8" w:space="0" w:color="D1D1D1" w:themeColor="background2" w:themeShade="E6"/>
                    <w:right w:val="nil"/>
                  </w:tcBorders>
                  <w:vAlign w:val="center"/>
                  <w:hideMark/>
                </w:tcPr>
                <w:p w14:paraId="7F663291" w14:textId="77777777" w:rsidR="0024665C" w:rsidRPr="001561D5" w:rsidRDefault="0024665C">
                  <w:pPr>
                    <w:spacing w:after="0"/>
                    <w:jc w:val="center"/>
                    <w:rPr>
                      <w:rFonts w:ascii="Calibri" w:eastAsia="Times New Roman" w:hAnsi="Calibri" w:cs="Calibri"/>
                      <w:color w:val="000000"/>
                      <w:lang w:eastAsia="en-AU"/>
                    </w:rPr>
                  </w:pPr>
                  <w:r w:rsidRPr="183F6EF4">
                    <w:rPr>
                      <w:rFonts w:ascii="Calibri" w:eastAsia="Times New Roman" w:hAnsi="Calibri" w:cs="Calibri"/>
                      <w:lang w:val="en-GB" w:eastAsia="en-AU"/>
                    </w:rPr>
                    <w:t>7.5409 c/kWh</w:t>
                  </w:r>
                </w:p>
              </w:tc>
              <w:tc>
                <w:tcPr>
                  <w:tcW w:w="1701" w:type="dxa"/>
                  <w:tcBorders>
                    <w:top w:val="nil"/>
                    <w:left w:val="nil"/>
                    <w:bottom w:val="single" w:sz="8" w:space="0" w:color="D1D1D1" w:themeColor="background2" w:themeShade="E6"/>
                    <w:right w:val="nil"/>
                  </w:tcBorders>
                  <w:vAlign w:val="center"/>
                  <w:hideMark/>
                </w:tcPr>
                <w:p w14:paraId="0EAEE7A7" w14:textId="77777777" w:rsidR="0024665C" w:rsidRPr="001561D5" w:rsidRDefault="0024665C">
                  <w:pPr>
                    <w:spacing w:after="0"/>
                    <w:jc w:val="right"/>
                    <w:rPr>
                      <w:rFonts w:ascii="Calibri" w:eastAsia="Times New Roman" w:hAnsi="Calibri" w:cs="Calibri"/>
                      <w:color w:val="000000"/>
                      <w:lang w:eastAsia="en-AU"/>
                    </w:rPr>
                  </w:pPr>
                  <w:r w:rsidRPr="183F6EF4">
                    <w:rPr>
                      <w:rFonts w:ascii="Calibri" w:eastAsia="Times New Roman" w:hAnsi="Calibri" w:cs="Calibri"/>
                      <w:lang w:val="en-GB" w:eastAsia="en-AU"/>
                    </w:rPr>
                    <w:t>15,591.29 kWh</w:t>
                  </w:r>
                </w:p>
              </w:tc>
            </w:tr>
            <w:tr w:rsidR="0024665C" w:rsidRPr="001561D5" w14:paraId="33C2F7EF" w14:textId="77777777" w:rsidTr="00BE117F">
              <w:trPr>
                <w:cantSplit/>
                <w:trHeight w:val="300"/>
              </w:trPr>
              <w:tc>
                <w:tcPr>
                  <w:tcW w:w="2520" w:type="dxa"/>
                  <w:tcBorders>
                    <w:top w:val="nil"/>
                    <w:left w:val="nil"/>
                    <w:bottom w:val="single" w:sz="8" w:space="0" w:color="D1D1D1" w:themeColor="background2" w:themeShade="E6"/>
                    <w:right w:val="nil"/>
                  </w:tcBorders>
                  <w:shd w:val="clear" w:color="auto" w:fill="F2F2F2" w:themeFill="background1" w:themeFillShade="F2"/>
                  <w:vAlign w:val="center"/>
                  <w:hideMark/>
                </w:tcPr>
                <w:p w14:paraId="152CAC7E" w14:textId="00DB4C03" w:rsidR="0024665C" w:rsidRPr="001561D5" w:rsidRDefault="0024665C">
                  <w:pPr>
                    <w:spacing w:after="0"/>
                    <w:jc w:val="both"/>
                    <w:rPr>
                      <w:rFonts w:ascii="Calibri" w:eastAsia="Times New Roman" w:hAnsi="Calibri" w:cs="Calibri"/>
                      <w:b/>
                      <w:color w:val="000000"/>
                      <w:lang w:eastAsia="en-AU"/>
                    </w:rPr>
                  </w:pPr>
                  <w:r w:rsidRPr="183F6EF4">
                    <w:rPr>
                      <w:rFonts w:ascii="Calibri" w:eastAsia="Times New Roman" w:hAnsi="Calibri" w:cs="Calibri"/>
                      <w:b/>
                      <w:lang w:val="en-GB" w:eastAsia="en-AU"/>
                    </w:rPr>
                    <w:t xml:space="preserve">Shoulder </w:t>
                  </w:r>
                  <w:r w:rsidR="00BD3557">
                    <w:rPr>
                      <w:rFonts w:ascii="Calibri" w:eastAsia="Times New Roman" w:hAnsi="Calibri" w:cs="Calibri"/>
                      <w:b/>
                      <w:lang w:val="en-GB" w:eastAsia="en-AU"/>
                    </w:rPr>
                    <w:t>e</w:t>
                  </w:r>
                  <w:r w:rsidRPr="183F6EF4">
                    <w:rPr>
                      <w:rFonts w:ascii="Calibri" w:eastAsia="Times New Roman" w:hAnsi="Calibri" w:cs="Calibri"/>
                      <w:b/>
                      <w:lang w:val="en-GB" w:eastAsia="en-AU"/>
                    </w:rPr>
                    <w:t>nergy</w:t>
                  </w:r>
                </w:p>
              </w:tc>
              <w:tc>
                <w:tcPr>
                  <w:tcW w:w="3543" w:type="dxa"/>
                  <w:tcBorders>
                    <w:top w:val="nil"/>
                    <w:left w:val="nil"/>
                    <w:bottom w:val="single" w:sz="8" w:space="0" w:color="D1D1D1" w:themeColor="background2" w:themeShade="E6"/>
                    <w:right w:val="nil"/>
                  </w:tcBorders>
                  <w:vAlign w:val="center"/>
                  <w:hideMark/>
                </w:tcPr>
                <w:p w14:paraId="6DE2137F" w14:textId="77777777" w:rsidR="0024665C" w:rsidRPr="001561D5" w:rsidRDefault="0024665C">
                  <w:pPr>
                    <w:spacing w:after="0"/>
                    <w:jc w:val="center"/>
                    <w:rPr>
                      <w:rFonts w:ascii="Calibri" w:eastAsia="Times New Roman" w:hAnsi="Calibri" w:cs="Calibri"/>
                      <w:color w:val="000000"/>
                      <w:lang w:eastAsia="en-AU"/>
                    </w:rPr>
                  </w:pPr>
                  <w:r w:rsidRPr="183F6EF4">
                    <w:rPr>
                      <w:rFonts w:ascii="Calibri" w:eastAsia="Times New Roman" w:hAnsi="Calibri" w:cs="Calibri"/>
                      <w:lang w:val="en-GB" w:eastAsia="en-AU"/>
                    </w:rPr>
                    <w:t xml:space="preserve">6.3420 c/kWh </w:t>
                  </w:r>
                  <w:r>
                    <w:rPr>
                      <w:rFonts w:ascii="Calibri" w:eastAsia="Times New Roman" w:hAnsi="Calibri" w:cs="Calibri"/>
                      <w:lang w:val="en-GB" w:eastAsia="en-AU"/>
                    </w:rPr>
                    <w:t>x</w:t>
                  </w:r>
                  <w:r w:rsidRPr="183F6EF4">
                    <w:rPr>
                      <w:rFonts w:ascii="Calibri" w:eastAsia="Times New Roman" w:hAnsi="Calibri" w:cs="Calibri"/>
                      <w:lang w:val="en-GB" w:eastAsia="en-AU"/>
                    </w:rPr>
                    <w:t xml:space="preserve"> </w:t>
                  </w:r>
                  <w:r>
                    <w:rPr>
                      <w:rFonts w:ascii="Calibri" w:eastAsia="Times New Roman" w:hAnsi="Calibri" w:cs="Calibri"/>
                      <w:lang w:val="en-GB" w:eastAsia="en-AU"/>
                    </w:rPr>
                    <w:t>(</w:t>
                  </w:r>
                  <w:r w:rsidRPr="183F6EF4">
                    <w:rPr>
                      <w:rFonts w:ascii="Calibri" w:eastAsia="Times New Roman" w:hAnsi="Calibri" w:cs="Calibri"/>
                      <w:lang w:val="en-GB" w:eastAsia="en-AU"/>
                    </w:rPr>
                    <w:t xml:space="preserve">1.0680 </w:t>
                  </w:r>
                  <w:r>
                    <w:rPr>
                      <w:rFonts w:ascii="Calibri" w:eastAsia="Times New Roman" w:hAnsi="Calibri" w:cs="Calibri"/>
                      <w:lang w:val="en-GB" w:eastAsia="en-AU"/>
                    </w:rPr>
                    <w:t>x</w:t>
                  </w:r>
                  <w:r w:rsidRPr="183F6EF4">
                    <w:rPr>
                      <w:rFonts w:ascii="Calibri" w:eastAsia="Times New Roman" w:hAnsi="Calibri" w:cs="Calibri"/>
                      <w:lang w:val="en-GB" w:eastAsia="en-AU"/>
                    </w:rPr>
                    <w:t xml:space="preserve"> 0.9744</w:t>
                  </w:r>
                  <w:r>
                    <w:rPr>
                      <w:rFonts w:ascii="Calibri" w:eastAsia="Times New Roman" w:hAnsi="Calibri" w:cs="Calibri"/>
                      <w:lang w:val="en-GB" w:eastAsia="en-AU"/>
                    </w:rPr>
                    <w:t>)</w:t>
                  </w:r>
                </w:p>
              </w:tc>
              <w:tc>
                <w:tcPr>
                  <w:tcW w:w="1706" w:type="dxa"/>
                  <w:tcBorders>
                    <w:top w:val="nil"/>
                    <w:left w:val="nil"/>
                    <w:bottom w:val="single" w:sz="8" w:space="0" w:color="D1D1D1" w:themeColor="background2" w:themeShade="E6"/>
                    <w:right w:val="nil"/>
                  </w:tcBorders>
                  <w:vAlign w:val="center"/>
                  <w:hideMark/>
                </w:tcPr>
                <w:p w14:paraId="1512D20C" w14:textId="77777777" w:rsidR="0024665C" w:rsidRPr="001561D5" w:rsidRDefault="0024665C">
                  <w:pPr>
                    <w:spacing w:after="0"/>
                    <w:jc w:val="center"/>
                    <w:rPr>
                      <w:rFonts w:ascii="Calibri" w:eastAsia="Times New Roman" w:hAnsi="Calibri" w:cs="Calibri"/>
                      <w:color w:val="000000"/>
                      <w:lang w:eastAsia="en-AU"/>
                    </w:rPr>
                  </w:pPr>
                  <w:r w:rsidRPr="183F6EF4">
                    <w:rPr>
                      <w:rFonts w:ascii="Calibri" w:eastAsia="Times New Roman" w:hAnsi="Calibri" w:cs="Calibri"/>
                      <w:lang w:val="en-GB" w:eastAsia="en-AU"/>
                    </w:rPr>
                    <w:t>6.5998 c/kWh</w:t>
                  </w:r>
                </w:p>
              </w:tc>
              <w:tc>
                <w:tcPr>
                  <w:tcW w:w="1701" w:type="dxa"/>
                  <w:tcBorders>
                    <w:top w:val="nil"/>
                    <w:left w:val="nil"/>
                    <w:bottom w:val="single" w:sz="8" w:space="0" w:color="D1D1D1" w:themeColor="background2" w:themeShade="E6"/>
                    <w:right w:val="nil"/>
                  </w:tcBorders>
                  <w:vAlign w:val="center"/>
                  <w:hideMark/>
                </w:tcPr>
                <w:p w14:paraId="0E10C0D9" w14:textId="77777777" w:rsidR="0024665C" w:rsidRPr="001561D5" w:rsidRDefault="0024665C">
                  <w:pPr>
                    <w:spacing w:after="0"/>
                    <w:jc w:val="right"/>
                    <w:rPr>
                      <w:rFonts w:ascii="Calibri" w:eastAsia="Times New Roman" w:hAnsi="Calibri" w:cs="Calibri"/>
                      <w:color w:val="000000"/>
                      <w:lang w:eastAsia="en-AU"/>
                    </w:rPr>
                  </w:pPr>
                  <w:r w:rsidRPr="183F6EF4">
                    <w:rPr>
                      <w:rFonts w:ascii="Calibri" w:eastAsia="Times New Roman" w:hAnsi="Calibri" w:cs="Calibri"/>
                      <w:lang w:val="en-GB" w:eastAsia="en-AU"/>
                    </w:rPr>
                    <w:t>6,075.95 kWh</w:t>
                  </w:r>
                </w:p>
              </w:tc>
            </w:tr>
            <w:tr w:rsidR="0024665C" w:rsidRPr="001561D5" w14:paraId="61E88BC2" w14:textId="77777777" w:rsidTr="00BE117F">
              <w:trPr>
                <w:cantSplit/>
                <w:trHeight w:val="300"/>
              </w:trPr>
              <w:tc>
                <w:tcPr>
                  <w:tcW w:w="2520" w:type="dxa"/>
                  <w:tcBorders>
                    <w:top w:val="nil"/>
                    <w:left w:val="nil"/>
                    <w:bottom w:val="single" w:sz="8" w:space="0" w:color="D1D1D1" w:themeColor="background2" w:themeShade="E6"/>
                    <w:right w:val="nil"/>
                  </w:tcBorders>
                  <w:shd w:val="clear" w:color="auto" w:fill="F2F2F2" w:themeFill="background1" w:themeFillShade="F2"/>
                  <w:vAlign w:val="center"/>
                  <w:hideMark/>
                </w:tcPr>
                <w:p w14:paraId="59AE6104" w14:textId="02191F13" w:rsidR="0024665C" w:rsidRPr="001561D5" w:rsidRDefault="0024665C">
                  <w:pPr>
                    <w:spacing w:after="0"/>
                    <w:jc w:val="both"/>
                    <w:rPr>
                      <w:rFonts w:ascii="Calibri" w:eastAsia="Times New Roman" w:hAnsi="Calibri" w:cs="Calibri"/>
                      <w:b/>
                      <w:color w:val="000000"/>
                      <w:lang w:eastAsia="en-AU"/>
                    </w:rPr>
                  </w:pPr>
                  <w:r w:rsidRPr="183F6EF4">
                    <w:rPr>
                      <w:rFonts w:ascii="Calibri" w:eastAsia="Times New Roman" w:hAnsi="Calibri" w:cs="Calibri"/>
                      <w:b/>
                      <w:lang w:val="en-GB" w:eastAsia="en-AU"/>
                    </w:rPr>
                    <w:t xml:space="preserve">Off </w:t>
                  </w:r>
                  <w:r w:rsidR="00BD3557">
                    <w:rPr>
                      <w:rFonts w:ascii="Calibri" w:eastAsia="Times New Roman" w:hAnsi="Calibri" w:cs="Calibri"/>
                      <w:b/>
                      <w:lang w:val="en-GB" w:eastAsia="en-AU"/>
                    </w:rPr>
                    <w:t>p</w:t>
                  </w:r>
                  <w:r w:rsidRPr="183F6EF4">
                    <w:rPr>
                      <w:rFonts w:ascii="Calibri" w:eastAsia="Times New Roman" w:hAnsi="Calibri" w:cs="Calibri"/>
                      <w:b/>
                      <w:lang w:val="en-GB" w:eastAsia="en-AU"/>
                    </w:rPr>
                    <w:t xml:space="preserve">eak </w:t>
                  </w:r>
                  <w:r w:rsidR="00BD3557">
                    <w:rPr>
                      <w:rFonts w:ascii="Calibri" w:eastAsia="Times New Roman" w:hAnsi="Calibri" w:cs="Calibri"/>
                      <w:b/>
                      <w:lang w:val="en-GB" w:eastAsia="en-AU"/>
                    </w:rPr>
                    <w:t>e</w:t>
                  </w:r>
                  <w:r w:rsidRPr="183F6EF4">
                    <w:rPr>
                      <w:rFonts w:ascii="Calibri" w:eastAsia="Times New Roman" w:hAnsi="Calibri" w:cs="Calibri"/>
                      <w:b/>
                      <w:lang w:val="en-GB" w:eastAsia="en-AU"/>
                    </w:rPr>
                    <w:t>nergy</w:t>
                  </w:r>
                </w:p>
              </w:tc>
              <w:tc>
                <w:tcPr>
                  <w:tcW w:w="3543" w:type="dxa"/>
                  <w:tcBorders>
                    <w:top w:val="nil"/>
                    <w:left w:val="nil"/>
                    <w:bottom w:val="single" w:sz="8" w:space="0" w:color="D1D1D1" w:themeColor="background2" w:themeShade="E6"/>
                    <w:right w:val="nil"/>
                  </w:tcBorders>
                  <w:vAlign w:val="center"/>
                  <w:hideMark/>
                </w:tcPr>
                <w:p w14:paraId="11CCC473" w14:textId="7DC0AAAF" w:rsidR="0024665C" w:rsidRPr="001561D5" w:rsidRDefault="0024665C">
                  <w:pPr>
                    <w:spacing w:after="0"/>
                    <w:jc w:val="center"/>
                    <w:rPr>
                      <w:rFonts w:ascii="Calibri" w:eastAsia="Times New Roman" w:hAnsi="Calibri" w:cs="Calibri"/>
                      <w:color w:val="000000"/>
                      <w:lang w:eastAsia="en-AU"/>
                    </w:rPr>
                  </w:pPr>
                  <w:r w:rsidRPr="183F6EF4">
                    <w:rPr>
                      <w:rFonts w:ascii="Calibri" w:eastAsia="Times New Roman" w:hAnsi="Calibri" w:cs="Calibri"/>
                      <w:lang w:val="en-GB" w:eastAsia="en-AU"/>
                    </w:rPr>
                    <w:t xml:space="preserve">4.8757 c/kWh </w:t>
                  </w:r>
                  <w:r>
                    <w:rPr>
                      <w:rFonts w:ascii="Calibri" w:eastAsia="Times New Roman" w:hAnsi="Calibri" w:cs="Calibri"/>
                      <w:lang w:val="en-GB" w:eastAsia="en-AU"/>
                    </w:rPr>
                    <w:t>x (</w:t>
                  </w:r>
                  <w:r w:rsidRPr="183F6EF4">
                    <w:rPr>
                      <w:rFonts w:ascii="Calibri" w:eastAsia="Times New Roman" w:hAnsi="Calibri" w:cs="Calibri"/>
                      <w:lang w:val="en-GB" w:eastAsia="en-AU"/>
                    </w:rPr>
                    <w:t xml:space="preserve">1.0680 </w:t>
                  </w:r>
                  <w:r>
                    <w:rPr>
                      <w:rFonts w:ascii="Calibri" w:eastAsia="Times New Roman" w:hAnsi="Calibri" w:cs="Calibri"/>
                      <w:lang w:val="en-GB" w:eastAsia="en-AU"/>
                    </w:rPr>
                    <w:t xml:space="preserve">x </w:t>
                  </w:r>
                  <w:r w:rsidRPr="183F6EF4">
                    <w:rPr>
                      <w:rFonts w:ascii="Calibri" w:eastAsia="Times New Roman" w:hAnsi="Calibri" w:cs="Calibri"/>
                      <w:lang w:val="en-GB" w:eastAsia="en-AU"/>
                    </w:rPr>
                    <w:t>0.9747</w:t>
                  </w:r>
                  <w:r>
                    <w:rPr>
                      <w:rFonts w:ascii="Calibri" w:eastAsia="Times New Roman" w:hAnsi="Calibri" w:cs="Calibri"/>
                      <w:lang w:val="en-GB" w:eastAsia="en-AU"/>
                    </w:rPr>
                    <w:t>)</w:t>
                  </w:r>
                </w:p>
              </w:tc>
              <w:tc>
                <w:tcPr>
                  <w:tcW w:w="1706" w:type="dxa"/>
                  <w:tcBorders>
                    <w:top w:val="nil"/>
                    <w:left w:val="nil"/>
                    <w:bottom w:val="single" w:sz="8" w:space="0" w:color="D1D1D1" w:themeColor="background2" w:themeShade="E6"/>
                    <w:right w:val="nil"/>
                  </w:tcBorders>
                  <w:vAlign w:val="center"/>
                  <w:hideMark/>
                </w:tcPr>
                <w:p w14:paraId="77993C20" w14:textId="77777777" w:rsidR="0024665C" w:rsidRPr="001561D5" w:rsidRDefault="0024665C">
                  <w:pPr>
                    <w:spacing w:after="0"/>
                    <w:jc w:val="center"/>
                    <w:rPr>
                      <w:rFonts w:ascii="Calibri" w:eastAsia="Times New Roman" w:hAnsi="Calibri" w:cs="Calibri"/>
                      <w:color w:val="000000"/>
                      <w:lang w:eastAsia="en-AU"/>
                    </w:rPr>
                  </w:pPr>
                  <w:r w:rsidRPr="183F6EF4">
                    <w:rPr>
                      <w:rFonts w:ascii="Calibri" w:eastAsia="Times New Roman" w:hAnsi="Calibri" w:cs="Calibri"/>
                      <w:lang w:val="en-GB" w:eastAsia="en-AU"/>
                    </w:rPr>
                    <w:t>5.0755 c/kwh</w:t>
                  </w:r>
                </w:p>
              </w:tc>
              <w:tc>
                <w:tcPr>
                  <w:tcW w:w="1701" w:type="dxa"/>
                  <w:tcBorders>
                    <w:top w:val="nil"/>
                    <w:left w:val="nil"/>
                    <w:bottom w:val="single" w:sz="8" w:space="0" w:color="D1D1D1" w:themeColor="background2" w:themeShade="E6"/>
                    <w:right w:val="nil"/>
                  </w:tcBorders>
                  <w:vAlign w:val="center"/>
                  <w:hideMark/>
                </w:tcPr>
                <w:p w14:paraId="4CA49B59" w14:textId="77777777" w:rsidR="0024665C" w:rsidRPr="001561D5" w:rsidRDefault="0024665C">
                  <w:pPr>
                    <w:spacing w:after="0"/>
                    <w:jc w:val="right"/>
                    <w:rPr>
                      <w:rFonts w:ascii="Calibri" w:eastAsia="Times New Roman" w:hAnsi="Calibri" w:cs="Calibri"/>
                      <w:color w:val="000000"/>
                      <w:lang w:eastAsia="en-AU"/>
                    </w:rPr>
                  </w:pPr>
                  <w:r w:rsidRPr="183F6EF4">
                    <w:rPr>
                      <w:rFonts w:ascii="Calibri" w:eastAsia="Times New Roman" w:hAnsi="Calibri" w:cs="Calibri"/>
                      <w:lang w:val="en-GB" w:eastAsia="en-AU"/>
                    </w:rPr>
                    <w:t>82,523.46 kWh</w:t>
                  </w:r>
                </w:p>
              </w:tc>
            </w:tr>
            <w:tr w:rsidR="0024665C" w:rsidRPr="001561D5" w14:paraId="5E01E918" w14:textId="77777777" w:rsidTr="00BE117F">
              <w:trPr>
                <w:cantSplit/>
                <w:trHeight w:val="300"/>
              </w:trPr>
              <w:tc>
                <w:tcPr>
                  <w:tcW w:w="2520" w:type="dxa"/>
                  <w:tcBorders>
                    <w:top w:val="nil"/>
                    <w:left w:val="nil"/>
                    <w:bottom w:val="single" w:sz="8" w:space="0" w:color="D1D1D1" w:themeColor="background2" w:themeShade="E6"/>
                    <w:right w:val="nil"/>
                  </w:tcBorders>
                  <w:shd w:val="clear" w:color="auto" w:fill="F2F2F2" w:themeFill="background1" w:themeFillShade="F2"/>
                  <w:vAlign w:val="center"/>
                  <w:hideMark/>
                </w:tcPr>
                <w:p w14:paraId="314676EE" w14:textId="281E1866" w:rsidR="0024665C" w:rsidRPr="001561D5" w:rsidRDefault="0024665C">
                  <w:pPr>
                    <w:spacing w:after="0"/>
                    <w:rPr>
                      <w:rFonts w:ascii="Calibri" w:eastAsia="Times New Roman" w:hAnsi="Calibri" w:cs="Calibri"/>
                      <w:b/>
                      <w:color w:val="000000"/>
                      <w:lang w:eastAsia="en-AU"/>
                    </w:rPr>
                  </w:pPr>
                  <w:r w:rsidRPr="183F6EF4">
                    <w:rPr>
                      <w:rFonts w:ascii="Calibri" w:eastAsia="Times New Roman" w:hAnsi="Calibri" w:cs="Calibri"/>
                      <w:b/>
                      <w:lang w:val="en-GB" w:eastAsia="en-AU"/>
                    </w:rPr>
                    <w:t xml:space="preserve">Unaccounted for </w:t>
                  </w:r>
                  <w:r w:rsidR="00BD3557">
                    <w:rPr>
                      <w:rFonts w:ascii="Calibri" w:eastAsia="Times New Roman" w:hAnsi="Calibri" w:cs="Calibri"/>
                      <w:b/>
                      <w:lang w:val="en-GB" w:eastAsia="en-AU"/>
                    </w:rPr>
                    <w:t>e</w:t>
                  </w:r>
                  <w:r w:rsidRPr="183F6EF4">
                    <w:rPr>
                      <w:rFonts w:ascii="Calibri" w:eastAsia="Times New Roman" w:hAnsi="Calibri" w:cs="Calibri"/>
                      <w:b/>
                      <w:lang w:val="en-GB" w:eastAsia="en-AU"/>
                    </w:rPr>
                    <w:t>nergy</w:t>
                  </w:r>
                </w:p>
              </w:tc>
              <w:tc>
                <w:tcPr>
                  <w:tcW w:w="3543" w:type="dxa"/>
                  <w:tcBorders>
                    <w:top w:val="nil"/>
                    <w:left w:val="nil"/>
                    <w:bottom w:val="single" w:sz="8" w:space="0" w:color="D1D1D1" w:themeColor="background2" w:themeShade="E6"/>
                    <w:right w:val="nil"/>
                  </w:tcBorders>
                  <w:vAlign w:val="center"/>
                  <w:hideMark/>
                </w:tcPr>
                <w:p w14:paraId="774D600D" w14:textId="77777777" w:rsidR="0024665C" w:rsidRPr="001561D5" w:rsidRDefault="0024665C">
                  <w:pPr>
                    <w:spacing w:after="0"/>
                    <w:jc w:val="right"/>
                    <w:rPr>
                      <w:rFonts w:ascii="Calibri" w:eastAsia="Times New Roman" w:hAnsi="Calibri" w:cs="Calibri"/>
                      <w:color w:val="000000"/>
                      <w:lang w:eastAsia="en-AU"/>
                    </w:rPr>
                  </w:pPr>
                  <w:r w:rsidRPr="183F6EF4">
                    <w:rPr>
                      <w:rFonts w:ascii="Calibri" w:eastAsia="Times New Roman" w:hAnsi="Calibri" w:cs="Calibri"/>
                      <w:lang w:val="en-GB" w:eastAsia="en-AU"/>
                    </w:rPr>
                    <w:t> </w:t>
                  </w:r>
                </w:p>
              </w:tc>
              <w:tc>
                <w:tcPr>
                  <w:tcW w:w="1706" w:type="dxa"/>
                  <w:tcBorders>
                    <w:top w:val="nil"/>
                    <w:left w:val="nil"/>
                    <w:bottom w:val="single" w:sz="8" w:space="0" w:color="D1D1D1" w:themeColor="background2" w:themeShade="E6"/>
                    <w:right w:val="nil"/>
                  </w:tcBorders>
                  <w:vAlign w:val="center"/>
                  <w:hideMark/>
                </w:tcPr>
                <w:p w14:paraId="6E6AB986" w14:textId="77777777" w:rsidR="0024665C" w:rsidRPr="001561D5" w:rsidRDefault="0024665C">
                  <w:pPr>
                    <w:spacing w:after="0"/>
                    <w:jc w:val="right"/>
                    <w:rPr>
                      <w:rFonts w:ascii="Calibri" w:eastAsia="Times New Roman" w:hAnsi="Calibri" w:cs="Calibri"/>
                      <w:color w:val="000000"/>
                      <w:lang w:eastAsia="en-AU"/>
                    </w:rPr>
                  </w:pPr>
                  <w:r w:rsidRPr="183F6EF4">
                    <w:rPr>
                      <w:rFonts w:ascii="Calibri" w:eastAsia="Times New Roman" w:hAnsi="Calibri" w:cs="Calibri"/>
                      <w:lang w:val="en-GB" w:eastAsia="en-AU"/>
                    </w:rPr>
                    <w:t> </w:t>
                  </w:r>
                </w:p>
              </w:tc>
              <w:tc>
                <w:tcPr>
                  <w:tcW w:w="1701" w:type="dxa"/>
                  <w:tcBorders>
                    <w:top w:val="nil"/>
                    <w:left w:val="nil"/>
                    <w:bottom w:val="single" w:sz="8" w:space="0" w:color="D1D1D1" w:themeColor="background2" w:themeShade="E6"/>
                    <w:right w:val="nil"/>
                  </w:tcBorders>
                  <w:vAlign w:val="center"/>
                  <w:hideMark/>
                </w:tcPr>
                <w:p w14:paraId="0F5C2B9D" w14:textId="77777777" w:rsidR="0024665C" w:rsidRPr="001561D5" w:rsidRDefault="0024665C">
                  <w:pPr>
                    <w:spacing w:after="0"/>
                    <w:jc w:val="right"/>
                    <w:rPr>
                      <w:rFonts w:ascii="Calibri" w:eastAsia="Times New Roman" w:hAnsi="Calibri" w:cs="Calibri"/>
                      <w:color w:val="000000"/>
                      <w:lang w:eastAsia="en-AU"/>
                    </w:rPr>
                  </w:pPr>
                  <w:r w:rsidRPr="183F6EF4">
                    <w:rPr>
                      <w:rFonts w:ascii="Calibri" w:eastAsia="Times New Roman" w:hAnsi="Calibri" w:cs="Calibri"/>
                      <w:lang w:val="en-GB" w:eastAsia="en-AU"/>
                    </w:rPr>
                    <w:t>-3,214.90 kWh</w:t>
                  </w:r>
                </w:p>
              </w:tc>
            </w:tr>
            <w:tr w:rsidR="0024665C" w:rsidRPr="001561D5" w14:paraId="2DEEE3D3" w14:textId="77777777" w:rsidTr="00BE117F">
              <w:trPr>
                <w:cantSplit/>
                <w:trHeight w:val="300"/>
              </w:trPr>
              <w:tc>
                <w:tcPr>
                  <w:tcW w:w="2520" w:type="dxa"/>
                  <w:tcBorders>
                    <w:top w:val="nil"/>
                    <w:left w:val="nil"/>
                    <w:bottom w:val="single" w:sz="8" w:space="0" w:color="D1D1D1" w:themeColor="background2" w:themeShade="E6"/>
                    <w:right w:val="nil"/>
                  </w:tcBorders>
                  <w:shd w:val="clear" w:color="auto" w:fill="F2F2F2" w:themeFill="background1" w:themeFillShade="F2"/>
                  <w:vAlign w:val="center"/>
                  <w:hideMark/>
                </w:tcPr>
                <w:p w14:paraId="0A582D5E" w14:textId="595B9989" w:rsidR="0024665C" w:rsidRPr="001561D5" w:rsidRDefault="0024665C">
                  <w:pPr>
                    <w:spacing w:after="0"/>
                    <w:rPr>
                      <w:rFonts w:ascii="Calibri" w:eastAsia="Times New Roman" w:hAnsi="Calibri" w:cs="Calibri"/>
                      <w:b/>
                      <w:color w:val="000000"/>
                      <w:lang w:eastAsia="en-AU"/>
                    </w:rPr>
                  </w:pPr>
                  <w:r w:rsidRPr="183F6EF4">
                    <w:rPr>
                      <w:rFonts w:ascii="Calibri" w:eastAsia="Times New Roman" w:hAnsi="Calibri" w:cs="Calibri"/>
                      <w:b/>
                      <w:lang w:val="en-GB" w:eastAsia="en-AU"/>
                    </w:rPr>
                    <w:t xml:space="preserve">Total </w:t>
                  </w:r>
                  <w:r w:rsidR="009D46AB">
                    <w:rPr>
                      <w:rFonts w:ascii="Calibri" w:eastAsia="Times New Roman" w:hAnsi="Calibri" w:cs="Calibri"/>
                      <w:b/>
                      <w:lang w:val="en-GB" w:eastAsia="en-AU"/>
                    </w:rPr>
                    <w:t>c</w:t>
                  </w:r>
                  <w:r w:rsidRPr="183F6EF4">
                    <w:rPr>
                      <w:rFonts w:ascii="Calibri" w:eastAsia="Times New Roman" w:hAnsi="Calibri" w:cs="Calibri"/>
                      <w:b/>
                      <w:lang w:val="en-GB" w:eastAsia="en-AU"/>
                    </w:rPr>
                    <w:t xml:space="preserve">onsumption </w:t>
                  </w:r>
                  <w:r w:rsidR="009D46AB">
                    <w:rPr>
                      <w:rFonts w:ascii="Calibri" w:eastAsia="Times New Roman" w:hAnsi="Calibri" w:cs="Calibri"/>
                      <w:b/>
                      <w:lang w:val="en-GB" w:eastAsia="en-AU"/>
                    </w:rPr>
                    <w:t>c</w:t>
                  </w:r>
                  <w:r w:rsidRPr="183F6EF4">
                    <w:rPr>
                      <w:rFonts w:ascii="Calibri" w:eastAsia="Times New Roman" w:hAnsi="Calibri" w:cs="Calibri"/>
                      <w:b/>
                      <w:lang w:val="en-GB" w:eastAsia="en-AU"/>
                    </w:rPr>
                    <w:t>harges</w:t>
                  </w:r>
                </w:p>
              </w:tc>
              <w:tc>
                <w:tcPr>
                  <w:tcW w:w="3543" w:type="dxa"/>
                  <w:tcBorders>
                    <w:top w:val="nil"/>
                    <w:left w:val="nil"/>
                    <w:bottom w:val="single" w:sz="8" w:space="0" w:color="D1D1D1" w:themeColor="background2" w:themeShade="E6"/>
                    <w:right w:val="nil"/>
                  </w:tcBorders>
                  <w:vAlign w:val="center"/>
                  <w:hideMark/>
                </w:tcPr>
                <w:p w14:paraId="73D114FC" w14:textId="77777777" w:rsidR="0024665C" w:rsidRPr="001561D5" w:rsidRDefault="0024665C">
                  <w:pPr>
                    <w:spacing w:after="0"/>
                    <w:jc w:val="right"/>
                    <w:rPr>
                      <w:rFonts w:ascii="Calibri" w:eastAsia="Times New Roman" w:hAnsi="Calibri" w:cs="Calibri"/>
                      <w:color w:val="000000"/>
                      <w:lang w:eastAsia="en-AU"/>
                    </w:rPr>
                  </w:pPr>
                  <w:r w:rsidRPr="183F6EF4">
                    <w:rPr>
                      <w:rFonts w:ascii="Calibri" w:eastAsia="Times New Roman" w:hAnsi="Calibri" w:cs="Calibri"/>
                      <w:lang w:val="en-GB" w:eastAsia="en-AU"/>
                    </w:rPr>
                    <w:t> </w:t>
                  </w:r>
                </w:p>
              </w:tc>
              <w:tc>
                <w:tcPr>
                  <w:tcW w:w="1706" w:type="dxa"/>
                  <w:tcBorders>
                    <w:top w:val="nil"/>
                    <w:left w:val="nil"/>
                    <w:bottom w:val="single" w:sz="8" w:space="0" w:color="D1D1D1" w:themeColor="background2" w:themeShade="E6"/>
                    <w:right w:val="nil"/>
                  </w:tcBorders>
                  <w:vAlign w:val="center"/>
                  <w:hideMark/>
                </w:tcPr>
                <w:p w14:paraId="371EFD56" w14:textId="77777777" w:rsidR="0024665C" w:rsidRPr="001561D5" w:rsidRDefault="0024665C">
                  <w:pPr>
                    <w:spacing w:after="0"/>
                    <w:jc w:val="right"/>
                    <w:rPr>
                      <w:rFonts w:ascii="Calibri" w:eastAsia="Times New Roman" w:hAnsi="Calibri" w:cs="Calibri"/>
                      <w:color w:val="000000"/>
                      <w:lang w:eastAsia="en-AU"/>
                    </w:rPr>
                  </w:pPr>
                  <w:r w:rsidRPr="183F6EF4">
                    <w:rPr>
                      <w:rFonts w:ascii="Calibri" w:eastAsia="Times New Roman" w:hAnsi="Calibri" w:cs="Calibri"/>
                      <w:lang w:val="en-GB" w:eastAsia="en-AU"/>
                    </w:rPr>
                    <w:t> </w:t>
                  </w:r>
                </w:p>
              </w:tc>
              <w:tc>
                <w:tcPr>
                  <w:tcW w:w="1701" w:type="dxa"/>
                  <w:tcBorders>
                    <w:top w:val="nil"/>
                    <w:left w:val="nil"/>
                    <w:bottom w:val="single" w:sz="8" w:space="0" w:color="D1D1D1" w:themeColor="background2" w:themeShade="E6"/>
                    <w:right w:val="nil"/>
                  </w:tcBorders>
                  <w:vAlign w:val="center"/>
                  <w:hideMark/>
                </w:tcPr>
                <w:p w14:paraId="3AE99466" w14:textId="77777777" w:rsidR="0024665C" w:rsidRPr="001561D5" w:rsidRDefault="0024665C">
                  <w:pPr>
                    <w:spacing w:after="0"/>
                    <w:jc w:val="right"/>
                    <w:rPr>
                      <w:rFonts w:ascii="Calibri" w:eastAsia="Times New Roman" w:hAnsi="Calibri" w:cs="Calibri"/>
                      <w:color w:val="000000"/>
                      <w:lang w:eastAsia="en-AU"/>
                    </w:rPr>
                  </w:pPr>
                  <w:r w:rsidRPr="183F6EF4">
                    <w:rPr>
                      <w:rFonts w:ascii="Calibri" w:eastAsia="Times New Roman" w:hAnsi="Calibri" w:cs="Calibri"/>
                      <w:lang w:val="en-GB" w:eastAsia="en-AU"/>
                    </w:rPr>
                    <w:t>100,975.80 kWh</w:t>
                  </w:r>
                </w:p>
              </w:tc>
            </w:tr>
          </w:tbl>
          <w:p w14:paraId="40A6D62A" w14:textId="77777777" w:rsidR="0024665C" w:rsidRDefault="0024665C">
            <w:pPr>
              <w:spacing w:before="160"/>
              <w:ind w:left="0"/>
              <w:rPr>
                <w:rFonts w:ascii="Calibri" w:hAnsi="Calibri" w:cs="Calibri"/>
                <w:szCs w:val="22"/>
              </w:rPr>
            </w:pPr>
            <w:r>
              <w:rPr>
                <w:rFonts w:ascii="Calibri" w:hAnsi="Calibri" w:cs="Calibri"/>
                <w:b w:val="0"/>
                <w:szCs w:val="22"/>
              </w:rPr>
              <w:t>You should add up the electricity quantities without including the UFE:</w:t>
            </w:r>
          </w:p>
          <w:p w14:paraId="5B72F228" w14:textId="272D3904" w:rsidR="0024665C" w:rsidRPr="000C317A" w:rsidRDefault="0024665C">
            <w:pPr>
              <w:spacing w:before="160"/>
              <w:ind w:left="0"/>
              <w:rPr>
                <w:rFonts w:ascii="Calibri" w:hAnsi="Calibri" w:cs="Calibri"/>
                <w:b w:val="0"/>
                <w:szCs w:val="22"/>
              </w:rPr>
            </w:pPr>
            <w:r>
              <w:rPr>
                <w:rFonts w:ascii="Calibri" w:hAnsi="Calibri" w:cs="Calibri"/>
                <w:b w:val="0"/>
                <w:szCs w:val="22"/>
              </w:rPr>
              <w:t xml:space="preserve">     </w:t>
            </w:r>
            <w:r w:rsidRPr="000E42BC">
              <w:rPr>
                <w:rFonts w:ascii="Calibri" w:hAnsi="Calibri" w:cs="Calibri"/>
                <w:b w:val="0"/>
                <w:szCs w:val="22"/>
              </w:rPr>
              <w:t>15,591.29 kWh</w:t>
            </w:r>
            <w:r>
              <w:rPr>
                <w:rFonts w:ascii="Calibri" w:hAnsi="Calibri" w:cs="Calibri"/>
                <w:b w:val="0"/>
                <w:szCs w:val="22"/>
              </w:rPr>
              <w:t xml:space="preserve"> (Peak </w:t>
            </w:r>
            <w:r w:rsidR="000842B5">
              <w:rPr>
                <w:rFonts w:ascii="Calibri" w:hAnsi="Calibri" w:cs="Calibri"/>
                <w:b w:val="0"/>
                <w:szCs w:val="22"/>
              </w:rPr>
              <w:t>e</w:t>
            </w:r>
            <w:r>
              <w:rPr>
                <w:rFonts w:ascii="Calibri" w:hAnsi="Calibri" w:cs="Calibri"/>
                <w:b w:val="0"/>
                <w:szCs w:val="22"/>
              </w:rPr>
              <w:t xml:space="preserve">nergy) </w:t>
            </w:r>
            <w:r>
              <w:rPr>
                <w:rFonts w:ascii="Calibri" w:hAnsi="Calibri" w:cs="Calibri"/>
                <w:b w:val="0"/>
                <w:szCs w:val="22"/>
              </w:rPr>
              <w:br/>
              <w:t xml:space="preserve">+     </w:t>
            </w:r>
            <w:r w:rsidRPr="000E42BC">
              <w:rPr>
                <w:rFonts w:ascii="Calibri" w:hAnsi="Calibri" w:cs="Calibri"/>
                <w:b w:val="0"/>
                <w:szCs w:val="22"/>
              </w:rPr>
              <w:t>6,075.95 kWh</w:t>
            </w:r>
            <w:r>
              <w:rPr>
                <w:rFonts w:ascii="Calibri" w:hAnsi="Calibri" w:cs="Calibri"/>
                <w:b w:val="0"/>
                <w:szCs w:val="22"/>
              </w:rPr>
              <w:t xml:space="preserve"> (Shoulder </w:t>
            </w:r>
            <w:r w:rsidR="000842B5">
              <w:rPr>
                <w:rFonts w:ascii="Calibri" w:hAnsi="Calibri" w:cs="Calibri"/>
                <w:b w:val="0"/>
                <w:szCs w:val="22"/>
              </w:rPr>
              <w:t>e</w:t>
            </w:r>
            <w:r>
              <w:rPr>
                <w:rFonts w:ascii="Calibri" w:hAnsi="Calibri" w:cs="Calibri"/>
                <w:b w:val="0"/>
                <w:szCs w:val="22"/>
              </w:rPr>
              <w:t xml:space="preserve">nergy) </w:t>
            </w:r>
            <w:r>
              <w:rPr>
                <w:rFonts w:ascii="Calibri" w:hAnsi="Calibri" w:cs="Calibri"/>
                <w:b w:val="0"/>
                <w:szCs w:val="22"/>
              </w:rPr>
              <w:br/>
            </w:r>
            <w:r w:rsidRPr="00033F1A">
              <w:rPr>
                <w:rFonts w:ascii="Calibri" w:hAnsi="Calibri" w:cs="Calibri"/>
                <w:b w:val="0"/>
                <w:bCs/>
                <w:szCs w:val="22"/>
                <w:u w:val="single"/>
              </w:rPr>
              <w:t xml:space="preserve">+    82,523.46 kWh (Off </w:t>
            </w:r>
            <w:r w:rsidR="000842B5" w:rsidRPr="00033F1A">
              <w:rPr>
                <w:rFonts w:ascii="Calibri" w:hAnsi="Calibri" w:cs="Calibri"/>
                <w:b w:val="0"/>
                <w:bCs/>
                <w:szCs w:val="22"/>
                <w:u w:val="single"/>
              </w:rPr>
              <w:t>p</w:t>
            </w:r>
            <w:r w:rsidRPr="00033F1A">
              <w:rPr>
                <w:rFonts w:ascii="Calibri" w:hAnsi="Calibri" w:cs="Calibri"/>
                <w:b w:val="0"/>
                <w:bCs/>
                <w:szCs w:val="22"/>
                <w:u w:val="single"/>
              </w:rPr>
              <w:t xml:space="preserve">eak </w:t>
            </w:r>
            <w:r w:rsidR="000842B5" w:rsidRPr="00033F1A">
              <w:rPr>
                <w:rFonts w:ascii="Calibri" w:hAnsi="Calibri" w:cs="Calibri"/>
                <w:b w:val="0"/>
                <w:bCs/>
                <w:szCs w:val="22"/>
                <w:u w:val="single"/>
              </w:rPr>
              <w:t>e</w:t>
            </w:r>
            <w:r w:rsidRPr="00033F1A">
              <w:rPr>
                <w:rFonts w:ascii="Calibri" w:hAnsi="Calibri" w:cs="Calibri"/>
                <w:b w:val="0"/>
                <w:bCs/>
                <w:szCs w:val="22"/>
                <w:u w:val="single"/>
              </w:rPr>
              <w:t>nergy)</w:t>
            </w:r>
            <w:r>
              <w:rPr>
                <w:rFonts w:ascii="Calibri" w:hAnsi="Calibri" w:cs="Calibri"/>
                <w:b w:val="0"/>
                <w:szCs w:val="22"/>
              </w:rPr>
              <w:t xml:space="preserve"> </w:t>
            </w:r>
            <w:r>
              <w:rPr>
                <w:rFonts w:ascii="Calibri" w:hAnsi="Calibri" w:cs="Calibri"/>
                <w:bCs/>
                <w:szCs w:val="22"/>
              </w:rPr>
              <w:br/>
              <w:t xml:space="preserve">    </w:t>
            </w:r>
            <w:r w:rsidRPr="004B2CCD">
              <w:rPr>
                <w:rFonts w:ascii="Calibri" w:hAnsi="Calibri" w:cs="Calibri"/>
                <w:szCs w:val="22"/>
              </w:rPr>
              <w:t>104,190.70 kWh</w:t>
            </w:r>
            <w:r>
              <w:rPr>
                <w:rFonts w:ascii="Calibri" w:hAnsi="Calibri" w:cs="Calibri"/>
                <w:b w:val="0"/>
                <w:szCs w:val="22"/>
              </w:rPr>
              <w:t xml:space="preserve"> </w:t>
            </w:r>
            <w:r>
              <w:rPr>
                <w:rFonts w:ascii="Calibri" w:hAnsi="Calibri" w:cs="Calibri"/>
                <w:b w:val="0"/>
                <w:szCs w:val="22"/>
              </w:rPr>
              <w:br/>
            </w:r>
            <w:r>
              <w:rPr>
                <w:rFonts w:ascii="Calibri" w:hAnsi="Calibri" w:cs="Calibri"/>
                <w:b w:val="0"/>
                <w:szCs w:val="22"/>
              </w:rPr>
              <w:br/>
            </w:r>
            <w:r w:rsidRPr="000C317A">
              <w:rPr>
                <w:rFonts w:ascii="Calibri" w:hAnsi="Calibri" w:cs="Calibri"/>
                <w:b w:val="0"/>
                <w:szCs w:val="22"/>
              </w:rPr>
              <w:t>This is the amount of electricity that you should report as scope 2 emissions from the consumption of electricity purchased from the grid.</w:t>
            </w:r>
          </w:p>
          <w:p w14:paraId="63C0CDC2" w14:textId="77777777" w:rsidR="0024665C" w:rsidRPr="008A503B" w:rsidRDefault="0024665C">
            <w:pPr>
              <w:ind w:left="0"/>
              <w:rPr>
                <w:rFonts w:ascii="Calibri" w:hAnsi="Calibri" w:cs="Calibri"/>
                <w:b w:val="0"/>
                <w:szCs w:val="22"/>
              </w:rPr>
            </w:pPr>
            <w:r w:rsidRPr="000C317A">
              <w:rPr>
                <w:b w:val="0"/>
              </w:rPr>
              <w:t xml:space="preserve">The UFE guidance provided above is for facilities that are </w:t>
            </w:r>
            <w:r w:rsidRPr="00D2141E">
              <w:rPr>
                <w:bCs/>
              </w:rPr>
              <w:t>electricity retail customers</w:t>
            </w:r>
            <w:r w:rsidRPr="000C317A">
              <w:rPr>
                <w:b w:val="0"/>
              </w:rPr>
              <w:t xml:space="preserve">. </w:t>
            </w:r>
            <w:r w:rsidRPr="000C317A">
              <w:rPr>
                <w:b w:val="0"/>
              </w:rPr>
              <w:br/>
            </w:r>
            <w:r w:rsidRPr="000C317A">
              <w:rPr>
                <w:b w:val="0"/>
              </w:rPr>
              <w:br/>
              <w:t>If your facility has a principal activity of electricity transmission (ANZSIC code 262) or electricity distribution (ANZSIC code 263), you should continue to report line losses according to section 7.2 (1A) of the NGER Determination.</w:t>
            </w:r>
          </w:p>
        </w:tc>
      </w:tr>
    </w:tbl>
    <w:p w14:paraId="71C9F736" w14:textId="77777777" w:rsidR="0024665C" w:rsidRPr="001D2686" w:rsidRDefault="0024665C" w:rsidP="00D2141E">
      <w:pPr>
        <w:pStyle w:val="Heading2"/>
        <w:numPr>
          <w:ilvl w:val="1"/>
          <w:numId w:val="3"/>
        </w:numPr>
        <w:ind w:left="851" w:hanging="851"/>
      </w:pPr>
      <w:bookmarkStart w:id="209" w:name="_Methods_for_estimating"/>
      <w:bookmarkStart w:id="210" w:name="_Toc205461459"/>
      <w:bookmarkEnd w:id="209"/>
      <w:r w:rsidRPr="001D2686">
        <w:t xml:space="preserve">Methods for estimating </w:t>
      </w:r>
      <w:r>
        <w:t>s</w:t>
      </w:r>
      <w:r w:rsidRPr="001D2686">
        <w:t>cope 2 emission</w:t>
      </w:r>
      <w:r>
        <w:t>s</w:t>
      </w:r>
      <w:bookmarkEnd w:id="210"/>
      <w:r w:rsidRPr="001D2686">
        <w:t xml:space="preserve"> </w:t>
      </w:r>
    </w:p>
    <w:p w14:paraId="6C1DCE9F" w14:textId="4C4B7573" w:rsidR="0024665C" w:rsidRDefault="0024665C" w:rsidP="0024665C">
      <w:pPr>
        <w:pStyle w:val="BodyText1"/>
      </w:pPr>
      <w:r>
        <w:t xml:space="preserve">Most methods for estimating emissions under the NGER Scheme are location-based methods. This means that the emissions are tied to a time and physical location. Location-based emissions estimation methods are based on onsite consumption multiplied by industry averages and typically do not reflect a company’s decision to purchase renewable energy or products. </w:t>
      </w:r>
    </w:p>
    <w:p w14:paraId="4E8C9B47" w14:textId="6360F2DC" w:rsidR="0024665C" w:rsidRDefault="0024665C" w:rsidP="0024665C">
      <w:pPr>
        <w:pStyle w:val="BodyText1"/>
      </w:pPr>
      <w:r>
        <w:t>Location-based and market-based accounting methods are distinct and complementary approaches for estimating emissions. For scope 2 emissions, they are different ways of accounting for the indirect emissions from the consumption of electricity. Together, these methods provide a more complete picture of emissions from electricity use.</w:t>
      </w:r>
    </w:p>
    <w:p w14:paraId="032DD3D4" w14:textId="5EA6CEFB" w:rsidR="0024665C" w:rsidRDefault="0024665C" w:rsidP="0024665C">
      <w:pPr>
        <w:pStyle w:val="CERbullets"/>
        <w:numPr>
          <w:ilvl w:val="0"/>
          <w:numId w:val="0"/>
        </w:numPr>
      </w:pPr>
      <w:r w:rsidRPr="007D39BF">
        <w:t xml:space="preserve">Chapter 7 of the NGER Measurement Determination specifies </w:t>
      </w:r>
      <w:r>
        <w:t>the two</w:t>
      </w:r>
      <w:r w:rsidRPr="007D39BF">
        <w:t xml:space="preserve"> </w:t>
      </w:r>
      <w:r>
        <w:t xml:space="preserve">types of </w:t>
      </w:r>
      <w:r w:rsidRPr="007D39BF">
        <w:t>method</w:t>
      </w:r>
      <w:r w:rsidR="00284CBB">
        <w:t>s</w:t>
      </w:r>
      <w:r w:rsidRPr="007D39BF">
        <w:t xml:space="preserve"> </w:t>
      </w:r>
      <w:r>
        <w:t xml:space="preserve">for reporting </w:t>
      </w:r>
      <w:r w:rsidRPr="007D39BF">
        <w:t>scope 2 emissions</w:t>
      </w:r>
      <w:r>
        <w:t xml:space="preserve">: </w:t>
      </w:r>
    </w:p>
    <w:p w14:paraId="1024281D" w14:textId="77380529" w:rsidR="0024665C" w:rsidRPr="00BE117F" w:rsidRDefault="0024665C" w:rsidP="00BE117F">
      <w:pPr>
        <w:pStyle w:val="CERbullets"/>
      </w:pPr>
      <w:r w:rsidRPr="00BE117F" w:rsidDel="00B253DE">
        <w:t>M</w:t>
      </w:r>
      <w:r w:rsidRPr="00BE117F">
        <w:t>andatory location-based method for purchased, acquired or lost electricity</w:t>
      </w:r>
    </w:p>
    <w:p w14:paraId="56238793" w14:textId="77777777" w:rsidR="0024665C" w:rsidRPr="00BE117F" w:rsidRDefault="0024665C" w:rsidP="00BE117F">
      <w:pPr>
        <w:pStyle w:val="CERbullets"/>
      </w:pPr>
      <w:r w:rsidRPr="00BE117F">
        <w:t xml:space="preserve">Voluntary market-based method for purchased or acquired electricity </w:t>
      </w:r>
    </w:p>
    <w:p w14:paraId="2C14F53C" w14:textId="77777777" w:rsidR="0024665C" w:rsidRDefault="0024665C" w:rsidP="00932CBF">
      <w:pPr>
        <w:pStyle w:val="BodyText1"/>
      </w:pPr>
    </w:p>
    <w:tbl>
      <w:tblPr>
        <w:tblStyle w:val="CERCallout"/>
        <w:tblW w:w="5000" w:type="pct"/>
        <w:tblLook w:val="04A0" w:firstRow="1" w:lastRow="0" w:firstColumn="1" w:lastColumn="0" w:noHBand="0" w:noVBand="1"/>
      </w:tblPr>
      <w:tblGrid>
        <w:gridCol w:w="9710"/>
      </w:tblGrid>
      <w:tr w:rsidR="00D67F2D" w14:paraId="1A9B1399" w14:textId="77777777" w:rsidTr="00BE117F">
        <w:trPr>
          <w:cnfStyle w:val="100000000000" w:firstRow="1" w:lastRow="0" w:firstColumn="0" w:lastColumn="0" w:oddVBand="0" w:evenVBand="0" w:oddHBand="0" w:evenHBand="0" w:firstRowFirstColumn="0" w:firstRowLastColumn="0" w:lastRowFirstColumn="0" w:lastRowLastColumn="0"/>
          <w:trHeight w:val="442"/>
        </w:trPr>
        <w:tc>
          <w:tcPr>
            <w:tcW w:w="5000" w:type="pct"/>
          </w:tcPr>
          <w:p w14:paraId="3B10C8AD" w14:textId="12224F49" w:rsidR="0024665C" w:rsidRDefault="0024665C">
            <w:pPr>
              <w:pStyle w:val="CERbullets"/>
              <w:numPr>
                <w:ilvl w:val="0"/>
                <w:numId w:val="0"/>
              </w:numPr>
            </w:pPr>
            <w:r>
              <w:rPr>
                <w:b w:val="0"/>
              </w:rPr>
              <w:t xml:space="preserve">When determining </w:t>
            </w:r>
            <w:hyperlink r:id="rId47" w:tooltip="A link to the Assess your obligations page of the Clean Energy Regulator website" w:history="1">
              <w:r>
                <w:rPr>
                  <w:rStyle w:val="Hyperlink"/>
                  <w:rFonts w:asciiTheme="minorHAnsi" w:hAnsiTheme="minorHAnsi"/>
                </w:rPr>
                <w:t>your r</w:t>
              </w:r>
              <w:r w:rsidRPr="00D6638C">
                <w:rPr>
                  <w:rStyle w:val="Hyperlink"/>
                  <w:rFonts w:asciiTheme="minorHAnsi" w:hAnsiTheme="minorHAnsi"/>
                </w:rPr>
                <w:t>eporting obligations</w:t>
              </w:r>
            </w:hyperlink>
            <w:r w:rsidR="004B0870">
              <w:rPr>
                <w:rFonts w:ascii="ZWAdobeF" w:hAnsi="ZWAdobeF" w:cs="ZWAdobeF"/>
                <w:b w:val="0"/>
                <w:sz w:val="2"/>
                <w:szCs w:val="2"/>
              </w:rPr>
              <w:t>24F</w:t>
            </w:r>
            <w:r>
              <w:rPr>
                <w:rStyle w:val="FootnoteReference"/>
              </w:rPr>
              <w:footnoteReference w:id="26"/>
            </w:r>
            <w:r>
              <w:rPr>
                <w:b w:val="0"/>
              </w:rPr>
              <w:t xml:space="preserve">, you must use a location-based method to estimate scope 2 emissions. </w:t>
            </w:r>
          </w:p>
          <w:p w14:paraId="0DEF7270" w14:textId="77777777" w:rsidR="0024665C" w:rsidRDefault="0024665C">
            <w:pPr>
              <w:pStyle w:val="CERbullets"/>
              <w:numPr>
                <w:ilvl w:val="0"/>
                <w:numId w:val="0"/>
              </w:numPr>
            </w:pPr>
            <w:r>
              <w:rPr>
                <w:b w:val="0"/>
              </w:rPr>
              <w:t>Location-based methods are described in section 7.2 and 7.3 of the NGER Measurement Determination.</w:t>
            </w:r>
          </w:p>
          <w:p w14:paraId="3605E125" w14:textId="49486468" w:rsidR="0024665C" w:rsidRPr="00D01A38" w:rsidRDefault="0024665C">
            <w:pPr>
              <w:pStyle w:val="CERbullets"/>
              <w:numPr>
                <w:ilvl w:val="0"/>
                <w:numId w:val="0"/>
              </w:numPr>
              <w:rPr>
                <w:b w:val="0"/>
                <w:bCs/>
              </w:rPr>
            </w:pPr>
            <w:r>
              <w:rPr>
                <w:b w:val="0"/>
                <w:bCs/>
              </w:rPr>
              <w:t xml:space="preserve">You cannot use the </w:t>
            </w:r>
            <w:r w:rsidRPr="00D01A38">
              <w:rPr>
                <w:b w:val="0"/>
                <w:bCs/>
              </w:rPr>
              <w:t xml:space="preserve">voluntary market-based method for scope 2 emissions (Method B) to determine if </w:t>
            </w:r>
            <w:r>
              <w:rPr>
                <w:b w:val="0"/>
                <w:bCs/>
              </w:rPr>
              <w:t>your</w:t>
            </w:r>
            <w:r w:rsidRPr="00D01A38">
              <w:rPr>
                <w:b w:val="0"/>
                <w:bCs/>
              </w:rPr>
              <w:t xml:space="preserve"> </w:t>
            </w:r>
            <w:r w:rsidRPr="0037673C">
              <w:rPr>
                <w:b w:val="0"/>
                <w:bCs/>
              </w:rPr>
              <w:t>c</w:t>
            </w:r>
            <w:r>
              <w:rPr>
                <w:b w:val="0"/>
                <w:bCs/>
              </w:rPr>
              <w:t>ontrolling c</w:t>
            </w:r>
            <w:r w:rsidRPr="0037673C">
              <w:rPr>
                <w:b w:val="0"/>
                <w:bCs/>
              </w:rPr>
              <w:t>orporation’s</w:t>
            </w:r>
            <w:r w:rsidRPr="00D01A38">
              <w:rPr>
                <w:b w:val="0"/>
                <w:bCs/>
              </w:rPr>
              <w:t xml:space="preserve"> group meets </w:t>
            </w:r>
            <w:hyperlink r:id="rId48" w:anchor="nger-thresholds" w:tooltip="A link to the NGER reporting thresholds section of the Assess your obligations page of the Clean Energy Regulator website" w:history="1">
              <w:r w:rsidRPr="008C4A37">
                <w:rPr>
                  <w:rStyle w:val="Hyperlink"/>
                  <w:rFonts w:asciiTheme="minorHAnsi" w:hAnsiTheme="minorHAnsi"/>
                  <w:bCs/>
                </w:rPr>
                <w:t>a</w:t>
              </w:r>
              <w:r>
                <w:rPr>
                  <w:rStyle w:val="Hyperlink"/>
                  <w:rFonts w:asciiTheme="minorHAnsi" w:hAnsiTheme="minorHAnsi"/>
                  <w:bCs/>
                </w:rPr>
                <w:t>n NGER reporting</w:t>
              </w:r>
              <w:r w:rsidRPr="008C4A37">
                <w:rPr>
                  <w:rStyle w:val="Hyperlink"/>
                  <w:rFonts w:asciiTheme="minorHAnsi" w:hAnsiTheme="minorHAnsi"/>
                  <w:bCs/>
                </w:rPr>
                <w:t xml:space="preserve"> threshold</w:t>
              </w:r>
            </w:hyperlink>
            <w:r w:rsidR="004B0870">
              <w:rPr>
                <w:rFonts w:ascii="ZWAdobeF" w:hAnsi="ZWAdobeF" w:cs="ZWAdobeF"/>
                <w:b w:val="0"/>
                <w:sz w:val="2"/>
                <w:szCs w:val="2"/>
              </w:rPr>
              <w:t>25F</w:t>
            </w:r>
            <w:r>
              <w:rPr>
                <w:rStyle w:val="FootnoteReference"/>
                <w:bCs/>
              </w:rPr>
              <w:footnoteReference w:id="27"/>
            </w:r>
            <w:r>
              <w:rPr>
                <w:bCs/>
              </w:rPr>
              <w:t xml:space="preserve">. </w:t>
            </w:r>
            <w:r w:rsidRPr="00D01A38">
              <w:rPr>
                <w:b w:val="0"/>
                <w:bCs/>
              </w:rPr>
              <w:t xml:space="preserve"> </w:t>
            </w:r>
          </w:p>
        </w:tc>
      </w:tr>
    </w:tbl>
    <w:p w14:paraId="4A4B8F2D" w14:textId="77777777" w:rsidR="0024665C" w:rsidRDefault="0024665C" w:rsidP="00D2141E">
      <w:pPr>
        <w:pStyle w:val="Heading3"/>
        <w:numPr>
          <w:ilvl w:val="2"/>
          <w:numId w:val="3"/>
        </w:numPr>
        <w:ind w:left="851" w:hanging="851"/>
      </w:pPr>
      <w:bookmarkStart w:id="211" w:name="_Toc205461460"/>
      <w:r>
        <w:t>Mandatory location-based methods for scope 2 emissions</w:t>
      </w:r>
      <w:bookmarkEnd w:id="211"/>
      <w:r>
        <w:t xml:space="preserve"> </w:t>
      </w:r>
    </w:p>
    <w:p w14:paraId="4FC08CD6" w14:textId="6C353877" w:rsidR="0024665C" w:rsidRPr="00A36A5E" w:rsidRDefault="0024665C" w:rsidP="0024665C">
      <w:pPr>
        <w:spacing w:before="200"/>
      </w:pPr>
      <w:r>
        <w:t>If</w:t>
      </w:r>
      <w:r w:rsidRPr="00A36A5E">
        <w:t xml:space="preserve"> your facility consumes more than 20,000</w:t>
      </w:r>
      <w:r>
        <w:t xml:space="preserve"> k</w:t>
      </w:r>
      <w:r w:rsidRPr="00A36A5E">
        <w:t xml:space="preserve">Wh of electricity from </w:t>
      </w:r>
      <w:r>
        <w:t xml:space="preserve">outside your facility </w:t>
      </w:r>
      <w:r w:rsidRPr="00A36A5E">
        <w:t xml:space="preserve">during the reporting year, </w:t>
      </w:r>
      <w:r>
        <w:t xml:space="preserve">you </w:t>
      </w:r>
      <w:r w:rsidRPr="00A36A5E">
        <w:t>must report scope 2 emissions using</w:t>
      </w:r>
      <w:r>
        <w:t xml:space="preserve"> </w:t>
      </w:r>
      <w:r w:rsidR="009F39D5">
        <w:t xml:space="preserve">at least </w:t>
      </w:r>
      <w:r>
        <w:t>one of the location-based methods: Method A1 or Method A2</w:t>
      </w:r>
      <w:r w:rsidRPr="00A36A5E">
        <w:t xml:space="preserve">. </w:t>
      </w:r>
    </w:p>
    <w:p w14:paraId="28E7BF44" w14:textId="2EC3DB51" w:rsidR="0024665C" w:rsidRDefault="0024665C" w:rsidP="0024665C">
      <w:pPr>
        <w:pStyle w:val="BodyText1"/>
      </w:pPr>
      <w:r>
        <w:t>The location-based formula estimates scope 2 emissions by applying a</w:t>
      </w:r>
      <w:r w:rsidR="00D135B7">
        <w:t>n</w:t>
      </w:r>
      <w:r>
        <w:t xml:space="preserve"> emission factor to the amount of electricity purchased, acquired or lost from:</w:t>
      </w:r>
    </w:p>
    <w:p w14:paraId="5DA15F28" w14:textId="77777777" w:rsidR="0024665C" w:rsidRPr="00BE117F" w:rsidRDefault="0024665C" w:rsidP="00BE117F">
      <w:pPr>
        <w:pStyle w:val="CERbullets"/>
      </w:pPr>
      <w:r w:rsidRPr="00BE117F">
        <w:t>the main electricity grid, as per section 7.2 of the Measurement Determination (Method A1)</w:t>
      </w:r>
    </w:p>
    <w:p w14:paraId="12CC5800" w14:textId="13AF3DE1" w:rsidR="0024665C" w:rsidRPr="00BE117F" w:rsidRDefault="00064B2C" w:rsidP="00BE117F">
      <w:pPr>
        <w:pStyle w:val="CERbullets"/>
      </w:pPr>
      <w:r>
        <w:t>other sources</w:t>
      </w:r>
      <w:r w:rsidR="0024665C" w:rsidRPr="00BE117F">
        <w:t>, as per section 7.3 of the Measurement Determination (Method A2)</w:t>
      </w:r>
      <w:r w:rsidR="0016062A" w:rsidRPr="00BE117F">
        <w:t>.</w:t>
      </w:r>
    </w:p>
    <w:p w14:paraId="77336883" w14:textId="06878DFA" w:rsidR="00E22F4B" w:rsidRPr="003960AE" w:rsidRDefault="00E22F4B" w:rsidP="00E22F4B">
      <w:pPr>
        <w:pStyle w:val="BodyText1"/>
      </w:pPr>
      <w:r w:rsidRPr="003960AE">
        <w:t xml:space="preserve">The </w:t>
      </w:r>
      <w:r w:rsidR="00911880">
        <w:t>“</w:t>
      </w:r>
      <w:r w:rsidRPr="003960AE">
        <w:t>main</w:t>
      </w:r>
      <w:r w:rsidR="00911880">
        <w:t>”</w:t>
      </w:r>
      <w:r w:rsidRPr="003960AE">
        <w:t xml:space="preserve"> electricity grid is defined </w:t>
      </w:r>
      <w:r>
        <w:t xml:space="preserve">in subsection 7.2(4) of the NGER Measurement Determination </w:t>
      </w:r>
      <w:r w:rsidRPr="003960AE">
        <w:t>as:</w:t>
      </w:r>
    </w:p>
    <w:p w14:paraId="0A3D6A65" w14:textId="77777777" w:rsidR="00E22F4B" w:rsidRPr="00A22B86" w:rsidRDefault="00E22F4B" w:rsidP="00050022">
      <w:pPr>
        <w:pStyle w:val="ListParagraph"/>
        <w:numPr>
          <w:ilvl w:val="0"/>
          <w:numId w:val="25"/>
        </w:numPr>
        <w:ind w:left="714" w:hanging="357"/>
        <w:contextualSpacing w:val="0"/>
      </w:pPr>
      <w:r w:rsidRPr="005A415A">
        <w:t>for Western Australia – the Southwest Interconnected System</w:t>
      </w:r>
      <w:r w:rsidRPr="00A22B86">
        <w:t xml:space="preserve"> </w:t>
      </w:r>
    </w:p>
    <w:p w14:paraId="71276175" w14:textId="1966DB70" w:rsidR="00E22F4B" w:rsidRDefault="00E22F4B" w:rsidP="00050022">
      <w:pPr>
        <w:pStyle w:val="ListParagraph"/>
        <w:numPr>
          <w:ilvl w:val="0"/>
          <w:numId w:val="25"/>
        </w:numPr>
        <w:ind w:left="714" w:hanging="357"/>
        <w:contextualSpacing w:val="0"/>
      </w:pPr>
      <w:r w:rsidRPr="005A415A">
        <w:t>for the Northern Territory – the Darwin-Katherin</w:t>
      </w:r>
      <w:r w:rsidR="0016396D">
        <w:t>e</w:t>
      </w:r>
      <w:r w:rsidRPr="005A415A">
        <w:t xml:space="preserve"> Interconnected System</w:t>
      </w:r>
      <w:r>
        <w:t xml:space="preserve"> </w:t>
      </w:r>
    </w:p>
    <w:p w14:paraId="0ED2AB43" w14:textId="77777777" w:rsidR="00E22F4B" w:rsidRPr="005A415A" w:rsidRDefault="00E22F4B" w:rsidP="00050022">
      <w:pPr>
        <w:pStyle w:val="ListParagraph"/>
        <w:numPr>
          <w:ilvl w:val="0"/>
          <w:numId w:val="25"/>
        </w:numPr>
        <w:ind w:left="714" w:hanging="357"/>
        <w:contextualSpacing w:val="0"/>
      </w:pPr>
      <w:r w:rsidRPr="005A415A">
        <w:t xml:space="preserve">for each other </w:t>
      </w:r>
      <w:r w:rsidRPr="00A22B86">
        <w:t>state</w:t>
      </w:r>
      <w:r w:rsidRPr="005A415A">
        <w:t xml:space="preserve"> and </w:t>
      </w:r>
      <w:r w:rsidRPr="00A22B86">
        <w:t>territory</w:t>
      </w:r>
      <w:r w:rsidRPr="005A415A">
        <w:t xml:space="preserve"> – the electricity grid listed in Part 6 of Schedule 1 that provides electricity to the largest percentage of the </w:t>
      </w:r>
      <w:r w:rsidRPr="00A22B86">
        <w:t>state</w:t>
      </w:r>
      <w:r w:rsidRPr="005A415A">
        <w:t xml:space="preserve"> or </w:t>
      </w:r>
      <w:r w:rsidRPr="00A22B86">
        <w:t>territory</w:t>
      </w:r>
      <w:r w:rsidRPr="005A415A">
        <w:t xml:space="preserve"> population</w:t>
      </w:r>
    </w:p>
    <w:p w14:paraId="4300D03A" w14:textId="624558CC" w:rsidR="00E22F4B" w:rsidRPr="00A36A5E" w:rsidRDefault="00E22F4B" w:rsidP="00E22F4B">
      <w:pPr>
        <w:pStyle w:val="BodyText1"/>
      </w:pPr>
      <w:r w:rsidRPr="00A36A5E">
        <w:t>The main electricity grid for the Australian Capital Territory, New South Wales, South Australia, Tasmania, Queensland, and Victoria is the National Electricity Market (NEM).</w:t>
      </w:r>
      <w:r w:rsidR="006711B8">
        <w:t xml:space="preserve"> If you acquire electricity through any of the</w:t>
      </w:r>
      <w:r w:rsidR="00E62E50">
        <w:t xml:space="preserve">se networks, you must </w:t>
      </w:r>
      <w:r w:rsidR="0082791D">
        <w:t xml:space="preserve">use method A1 </w:t>
      </w:r>
      <w:r w:rsidR="007B7277">
        <w:t>to report scope 2 emissions</w:t>
      </w:r>
    </w:p>
    <w:p w14:paraId="1FD7945C" w14:textId="40B0495F" w:rsidR="00E22F4B" w:rsidRDefault="007B7277" w:rsidP="00E22F4B">
      <w:r>
        <w:t xml:space="preserve">If your purchased, acquired or </w:t>
      </w:r>
      <w:r w:rsidR="00D82FDC">
        <w:t xml:space="preserve">lost electricity is from a </w:t>
      </w:r>
      <w:r w:rsidR="0040156E">
        <w:t xml:space="preserve">source other than the main electricity grid, you must use method A2 to report scope 2 emissions. This includes </w:t>
      </w:r>
      <w:r w:rsidR="00E22F4B" w:rsidRPr="00A36A5E">
        <w:t>networks in the Christmas and Cocos (Keeling) Islands, Norfolk Island, and Northwest Interconnected Systems in Western Australia.</w:t>
      </w:r>
      <w:r w:rsidR="0040156E">
        <w:t xml:space="preserve"> It also includes </w:t>
      </w:r>
      <w:r w:rsidR="006C7095">
        <w:t xml:space="preserve">other private networks and direct connections to </w:t>
      </w:r>
      <w:r w:rsidR="00BF30F8">
        <w:t>generators outside of your facility.</w:t>
      </w:r>
    </w:p>
    <w:p w14:paraId="4458C301" w14:textId="5802A9D8" w:rsidR="0024665C" w:rsidRDefault="006C6E1C" w:rsidP="0024665C">
      <w:r>
        <w:t>For both method A1 and method A2, l</w:t>
      </w:r>
      <w:r w:rsidR="0024665C">
        <w:t xml:space="preserve">ocation-based scope 2 emissions </w:t>
      </w:r>
      <w:r>
        <w:t xml:space="preserve">must </w:t>
      </w:r>
      <w:r w:rsidR="0024665C">
        <w:t>be estimated using this formula:</w:t>
      </w:r>
    </w:p>
    <w:p w14:paraId="1C3DD063" w14:textId="77777777" w:rsidR="0024665C" w:rsidRPr="00A36A5E" w:rsidRDefault="0024665C" w:rsidP="0024665C">
      <w:pPr>
        <w:jc w:val="center"/>
        <w:rPr>
          <w:rFonts w:ascii="Calibri" w:hAnsi="Calibri" w:cs="Calibri"/>
          <w:sz w:val="24"/>
        </w:rPr>
      </w:pPr>
      <w:r w:rsidRPr="00A36A5E">
        <w:rPr>
          <w:rFonts w:ascii="Calibri" w:hAnsi="Calibri" w:cs="Calibri"/>
          <w:noProof/>
          <w:sz w:val="24"/>
        </w:rPr>
        <w:drawing>
          <wp:inline distT="0" distB="0" distL="0" distR="0" wp14:anchorId="4643068C" wp14:editId="2D08C6C4">
            <wp:extent cx="1433780" cy="462257"/>
            <wp:effectExtent l="0" t="0" r="0" b="0"/>
            <wp:docPr id="382541806" name="Picture 1" descr="P6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41806" name="Picture 1" descr="P686#yIS1"/>
                    <pic:cNvPicPr/>
                  </pic:nvPicPr>
                  <pic:blipFill>
                    <a:blip r:embed="rId49"/>
                    <a:stretch>
                      <a:fillRect/>
                    </a:stretch>
                  </pic:blipFill>
                  <pic:spPr>
                    <a:xfrm>
                      <a:off x="0" y="0"/>
                      <a:ext cx="1444691" cy="465775"/>
                    </a:xfrm>
                    <a:prstGeom prst="rect">
                      <a:avLst/>
                    </a:prstGeom>
                  </pic:spPr>
                </pic:pic>
              </a:graphicData>
            </a:graphic>
          </wp:inline>
        </w:drawing>
      </w:r>
    </w:p>
    <w:p w14:paraId="0A702356" w14:textId="77777777" w:rsidR="0024665C" w:rsidRPr="00D2141E" w:rsidRDefault="0024665C" w:rsidP="0024665C">
      <w:pPr>
        <w:rPr>
          <w:szCs w:val="22"/>
        </w:rPr>
      </w:pPr>
      <w:r w:rsidRPr="00D2141E">
        <w:rPr>
          <w:szCs w:val="22"/>
        </w:rPr>
        <w:t>Where:</w:t>
      </w:r>
    </w:p>
    <w:p w14:paraId="0B0844A8" w14:textId="254A1BEC" w:rsidR="0024665C" w:rsidRPr="00D2141E" w:rsidRDefault="0024665C" w:rsidP="0024665C">
      <w:pPr>
        <w:ind w:left="720"/>
        <w:rPr>
          <w:szCs w:val="22"/>
        </w:rPr>
      </w:pPr>
      <w:r w:rsidRPr="00D2141E">
        <w:rPr>
          <w:b/>
          <w:bCs/>
          <w:szCs w:val="22"/>
        </w:rPr>
        <w:t>Y</w:t>
      </w:r>
      <w:r w:rsidRPr="00D2141E">
        <w:rPr>
          <w:szCs w:val="22"/>
        </w:rPr>
        <w:t xml:space="preserve"> is the scope 2 emissions measured in tonnes carbon dioxide equivalence (t CO2-e)</w:t>
      </w:r>
      <w:r w:rsidR="0016062A" w:rsidRPr="00D2141E">
        <w:rPr>
          <w:szCs w:val="22"/>
        </w:rPr>
        <w:t>.</w:t>
      </w:r>
    </w:p>
    <w:p w14:paraId="573E8D2A" w14:textId="77777777" w:rsidR="0024665C" w:rsidRPr="00D2141E" w:rsidRDefault="0024665C" w:rsidP="0024665C">
      <w:pPr>
        <w:ind w:left="720"/>
        <w:rPr>
          <w:szCs w:val="22"/>
        </w:rPr>
      </w:pPr>
      <w:r w:rsidRPr="00D2141E">
        <w:rPr>
          <w:b/>
          <w:bCs/>
          <w:szCs w:val="22"/>
        </w:rPr>
        <w:t>Q</w:t>
      </w:r>
      <w:r w:rsidRPr="00D2141E">
        <w:rPr>
          <w:szCs w:val="22"/>
        </w:rPr>
        <w:t xml:space="preserve"> is the quantity of electricity purchased, acquired or lost from the operation of the facility measured in kilowatt-hours. If the electricity is measured in gigajoules, convert the quantity to kilowatt hours by dividing the amount in gigajoules by 0.0036.</w:t>
      </w:r>
    </w:p>
    <w:p w14:paraId="15BA5D93" w14:textId="77777777" w:rsidR="0024665C" w:rsidRPr="00D2141E" w:rsidRDefault="0024665C" w:rsidP="0024665C">
      <w:pPr>
        <w:ind w:left="720"/>
        <w:rPr>
          <w:szCs w:val="22"/>
        </w:rPr>
      </w:pPr>
      <w:r w:rsidRPr="00D2141E">
        <w:rPr>
          <w:b/>
          <w:bCs/>
          <w:szCs w:val="22"/>
        </w:rPr>
        <w:t>EF</w:t>
      </w:r>
      <w:r w:rsidRPr="00D2141E">
        <w:rPr>
          <w:szCs w:val="22"/>
        </w:rPr>
        <w:t xml:space="preserve"> is the scope 2 location-based emission factor in kilograms of CO</w:t>
      </w:r>
      <w:r w:rsidRPr="00D2141E">
        <w:rPr>
          <w:szCs w:val="22"/>
          <w:vertAlign w:val="subscript"/>
        </w:rPr>
        <w:t>2</w:t>
      </w:r>
      <w:r w:rsidRPr="00D2141E">
        <w:rPr>
          <w:szCs w:val="22"/>
        </w:rPr>
        <w:t xml:space="preserve">-e emissions per kilowatt-hours. </w:t>
      </w:r>
    </w:p>
    <w:p w14:paraId="7B7CBE56" w14:textId="77777777" w:rsidR="0042343D" w:rsidRDefault="0042343D" w:rsidP="00050022">
      <w:pPr>
        <w:pStyle w:val="Heading5"/>
      </w:pPr>
      <w:bookmarkStart w:id="212" w:name="_Toc205461461"/>
      <w:r>
        <w:rPr>
          <w:bCs/>
        </w:rPr>
        <w:t xml:space="preserve">Emission factors for </w:t>
      </w:r>
      <w:r>
        <w:t>electricity from the main electricity grid (Method A1)</w:t>
      </w:r>
      <w:bookmarkEnd w:id="212"/>
    </w:p>
    <w:p w14:paraId="7B9EEAA4" w14:textId="7940CF28" w:rsidR="0042343D" w:rsidRPr="00471D02" w:rsidRDefault="0042343D" w:rsidP="0042343D">
      <w:pPr>
        <w:pStyle w:val="BodyText1"/>
        <w:jc w:val="both"/>
        <w:rPr>
          <w:bCs/>
        </w:rPr>
      </w:pPr>
      <w:r w:rsidRPr="00471D02">
        <w:rPr>
          <w:bCs/>
        </w:rPr>
        <w:t xml:space="preserve">When you estimate scope 2 emissions from the main grid you must use the state or territory scope 2 emissions factors listed within Part 6 of Schedule 1 of the NGER Measurement Determination. These emissions factors are calculated by the Department of Climate Change, Energy, the Environment and Water (DCCEEW) and are updated each year. Updates to these </w:t>
      </w:r>
      <w:hyperlink r:id="rId50" w:history="1">
        <w:r w:rsidRPr="00B12FBA">
          <w:rPr>
            <w:rStyle w:val="Hyperlink"/>
            <w:rFonts w:asciiTheme="minorHAnsi" w:hAnsiTheme="minorHAnsi"/>
            <w:bCs/>
          </w:rPr>
          <w:t>emission factors</w:t>
        </w:r>
      </w:hyperlink>
      <w:r w:rsidR="004B0870">
        <w:rPr>
          <w:rFonts w:ascii="ZWAdobeF" w:hAnsi="ZWAdobeF" w:cs="ZWAdobeF"/>
          <w:bCs/>
          <w:color w:val="auto"/>
          <w:sz w:val="2"/>
          <w:szCs w:val="2"/>
        </w:rPr>
        <w:t>26F</w:t>
      </w:r>
      <w:r w:rsidR="00B12FBA">
        <w:rPr>
          <w:rStyle w:val="FootnoteReference"/>
          <w:bCs/>
        </w:rPr>
        <w:footnoteReference w:id="28"/>
      </w:r>
      <w:r w:rsidRPr="00471D02">
        <w:rPr>
          <w:bCs/>
        </w:rPr>
        <w:t xml:space="preserve"> are also published on our website. Please ensure that you are referring to the correct Compilation of the NGER Measurement Determination.</w:t>
      </w:r>
    </w:p>
    <w:p w14:paraId="00506A43" w14:textId="77777777" w:rsidR="0042343D" w:rsidRPr="00D2141E" w:rsidRDefault="0042343D" w:rsidP="00050022">
      <w:pPr>
        <w:pStyle w:val="Heading5"/>
        <w:rPr>
          <w:szCs w:val="22"/>
        </w:rPr>
      </w:pPr>
      <w:bookmarkStart w:id="213" w:name="_Toc205461462"/>
      <w:r>
        <w:t>Emission factors for electricity from other sources (Method A2)</w:t>
      </w:r>
      <w:bookmarkEnd w:id="213"/>
    </w:p>
    <w:p w14:paraId="2809474F" w14:textId="77777777" w:rsidR="0042343D" w:rsidRPr="00033F1A" w:rsidRDefault="0042343D" w:rsidP="0042343D">
      <w:pPr>
        <w:rPr>
          <w:rFonts w:ascii="Calibri" w:hAnsi="Calibri" w:cs="Calibri"/>
          <w:b/>
          <w:bCs/>
          <w:szCs w:val="22"/>
        </w:rPr>
      </w:pPr>
      <w:r w:rsidRPr="00033F1A">
        <w:rPr>
          <w:rFonts w:ascii="Calibri" w:hAnsi="Calibri" w:cs="Calibri"/>
          <w:bCs/>
          <w:szCs w:val="22"/>
        </w:rPr>
        <w:t>The facility can use scope 2 location-based emission factor either:</w:t>
      </w:r>
    </w:p>
    <w:p w14:paraId="070179AC" w14:textId="67D71A95" w:rsidR="0042343D" w:rsidRPr="00050022" w:rsidRDefault="0042343D" w:rsidP="00050022">
      <w:pPr>
        <w:pStyle w:val="BodyText1"/>
        <w:numPr>
          <w:ilvl w:val="0"/>
          <w:numId w:val="23"/>
        </w:numPr>
      </w:pPr>
      <w:r w:rsidRPr="0042343D">
        <w:t>provided by the supplier of the electricity, or</w:t>
      </w:r>
    </w:p>
    <w:p w14:paraId="5EA5606C" w14:textId="7ABD1A92" w:rsidR="0042343D" w:rsidRPr="00050022" w:rsidRDefault="0042343D" w:rsidP="00050022">
      <w:pPr>
        <w:pStyle w:val="BodyText1"/>
        <w:numPr>
          <w:ilvl w:val="0"/>
          <w:numId w:val="23"/>
        </w:numPr>
      </w:pPr>
      <w:r w:rsidRPr="0042343D">
        <w:t>if that factor is not available, the emission factor for the Northern Territory as mentioned in Part 6 of Schedule 1.</w:t>
      </w:r>
    </w:p>
    <w:p w14:paraId="29A497A9" w14:textId="0970FE22" w:rsidR="0024665C" w:rsidRDefault="0042343D" w:rsidP="00050022">
      <w:pPr>
        <w:pStyle w:val="BodyText1"/>
      </w:pPr>
      <w:r w:rsidRPr="00033F1A">
        <w:t xml:space="preserve">You must use the emissions factors listed above, irrespective of whether you have purchased </w:t>
      </w:r>
      <w:proofErr w:type="spellStart"/>
      <w:r w:rsidRPr="00033F1A">
        <w:t>GreenPower</w:t>
      </w:r>
      <w:proofErr w:type="spellEnd"/>
      <w:r w:rsidRPr="00033F1A">
        <w:t xml:space="preserve"> electricity</w:t>
      </w:r>
      <w:r>
        <w:t xml:space="preserve"> or purchased electricity through a power purchase agreement</w:t>
      </w:r>
      <w:r w:rsidRPr="00033F1A">
        <w:t>.</w:t>
      </w:r>
      <w:r>
        <w:t xml:space="preserve"> </w:t>
      </w:r>
    </w:p>
    <w:tbl>
      <w:tblPr>
        <w:tblStyle w:val="CERCallout"/>
        <w:tblW w:w="0" w:type="auto"/>
        <w:tblLook w:val="0600" w:firstRow="0" w:lastRow="0" w:firstColumn="0" w:lastColumn="0" w:noHBand="1" w:noVBand="1"/>
      </w:tblPr>
      <w:tblGrid>
        <w:gridCol w:w="9710"/>
      </w:tblGrid>
      <w:tr w:rsidR="00D67F2D" w14:paraId="25D08721" w14:textId="77777777" w:rsidTr="00050022">
        <w:tc>
          <w:tcPr>
            <w:tcW w:w="9730" w:type="dxa"/>
          </w:tcPr>
          <w:p w14:paraId="2C610251" w14:textId="166C60AC" w:rsidR="000A07E0" w:rsidRPr="00E9388B" w:rsidRDefault="008E7599" w:rsidP="00050022">
            <w:pPr>
              <w:pStyle w:val="BodyText1"/>
              <w:rPr>
                <w:b/>
              </w:rPr>
            </w:pPr>
            <w:r w:rsidRPr="00E9388B">
              <w:rPr>
                <w:b/>
              </w:rPr>
              <w:t xml:space="preserve">Additional information for </w:t>
            </w:r>
            <w:r w:rsidR="000A07E0" w:rsidRPr="00E9388B">
              <w:rPr>
                <w:b/>
              </w:rPr>
              <w:t xml:space="preserve">electricity </w:t>
            </w:r>
            <w:r w:rsidRPr="00E9388B">
              <w:rPr>
                <w:b/>
              </w:rPr>
              <w:t xml:space="preserve">purchased, </w:t>
            </w:r>
            <w:r w:rsidR="000A07E0" w:rsidRPr="00E9388B">
              <w:rPr>
                <w:b/>
              </w:rPr>
              <w:t xml:space="preserve">acquired or </w:t>
            </w:r>
            <w:r w:rsidRPr="00E9388B">
              <w:rPr>
                <w:b/>
              </w:rPr>
              <w:t xml:space="preserve">lost </w:t>
            </w:r>
            <w:r w:rsidR="000A07E0" w:rsidRPr="00E9388B">
              <w:rPr>
                <w:b/>
              </w:rPr>
              <w:t>from other sources</w:t>
            </w:r>
          </w:p>
          <w:p w14:paraId="1999FC0A" w14:textId="45418EA6" w:rsidR="00B25D4C" w:rsidRPr="00A2776B" w:rsidRDefault="000A07E0" w:rsidP="00B25D4C">
            <w:pPr>
              <w:spacing w:before="200"/>
              <w:rPr>
                <w:rFonts w:ascii="Calibri" w:hAnsi="Calibri" w:cs="Calibri"/>
                <w:b/>
                <w:szCs w:val="22"/>
              </w:rPr>
            </w:pPr>
            <w:r w:rsidRPr="00A2776B">
              <w:rPr>
                <w:rFonts w:ascii="Calibri" w:hAnsi="Calibri" w:cs="Calibri"/>
              </w:rPr>
              <w:t xml:space="preserve">From </w:t>
            </w:r>
            <w:r w:rsidR="00ED16EC" w:rsidRPr="00A2776B">
              <w:rPr>
                <w:rFonts w:ascii="Calibri" w:hAnsi="Calibri" w:cs="Calibri"/>
              </w:rPr>
              <w:t xml:space="preserve">the 2024–25 reporting year, </w:t>
            </w:r>
            <w:r w:rsidR="00DC3566" w:rsidRPr="00A2776B">
              <w:rPr>
                <w:rFonts w:ascii="Calibri" w:hAnsi="Calibri" w:cs="Calibri"/>
              </w:rPr>
              <w:t xml:space="preserve">if a registered corporation has reported scope 1 emissions from the combustion of fuel for the purpose of generating electricity </w:t>
            </w:r>
            <w:r w:rsidR="00231348" w:rsidRPr="00A2776B">
              <w:rPr>
                <w:rFonts w:ascii="Calibri" w:hAnsi="Calibri" w:cs="Calibri"/>
              </w:rPr>
              <w:t xml:space="preserve">at certain facilities </w:t>
            </w:r>
            <w:r w:rsidR="00DC3566" w:rsidRPr="00A2776B">
              <w:rPr>
                <w:rFonts w:ascii="Calibri" w:hAnsi="Calibri" w:cs="Calibri"/>
              </w:rPr>
              <w:t xml:space="preserve">and </w:t>
            </w:r>
            <w:r w:rsidR="00C02577" w:rsidRPr="00A2776B">
              <w:rPr>
                <w:rFonts w:ascii="Calibri" w:hAnsi="Calibri" w:cs="Calibri"/>
              </w:rPr>
              <w:t xml:space="preserve">has also reported scope 2 emissions </w:t>
            </w:r>
            <w:r w:rsidR="00B25D4C" w:rsidRPr="00A2776B">
              <w:rPr>
                <w:rFonts w:ascii="Calibri" w:hAnsi="Calibri" w:cs="Calibri"/>
              </w:rPr>
              <w:t>from the consumption of that electricity</w:t>
            </w:r>
            <w:r w:rsidR="00231348" w:rsidRPr="00A2776B">
              <w:rPr>
                <w:rFonts w:ascii="Calibri" w:hAnsi="Calibri" w:cs="Calibri"/>
              </w:rPr>
              <w:t xml:space="preserve"> by other facilities within their operational contro</w:t>
            </w:r>
            <w:r w:rsidR="00640062" w:rsidRPr="00A2776B">
              <w:rPr>
                <w:rFonts w:ascii="Calibri" w:hAnsi="Calibri" w:cs="Calibri"/>
              </w:rPr>
              <w:t>l</w:t>
            </w:r>
            <w:r w:rsidR="00B25D4C" w:rsidRPr="00A2776B">
              <w:rPr>
                <w:rFonts w:ascii="Calibri" w:hAnsi="Calibri" w:cs="Calibri"/>
              </w:rPr>
              <w:t>, the corporation must report:</w:t>
            </w:r>
          </w:p>
          <w:p w14:paraId="3A72BF65" w14:textId="1219C79D" w:rsidR="0024665C" w:rsidRPr="00050022" w:rsidRDefault="007105CD" w:rsidP="00E9388B">
            <w:pPr>
              <w:pStyle w:val="ListParagraph"/>
              <w:numPr>
                <w:ilvl w:val="0"/>
                <w:numId w:val="24"/>
              </w:numPr>
              <w:ind w:left="1003" w:hanging="357"/>
            </w:pPr>
            <w:r w:rsidRPr="00F37178">
              <w:t>The identi</w:t>
            </w:r>
            <w:r w:rsidR="00EA031B" w:rsidRPr="00F37178">
              <w:t>t</w:t>
            </w:r>
            <w:r w:rsidRPr="00F37178">
              <w:t>y of the facility generating the electricity, and</w:t>
            </w:r>
          </w:p>
          <w:p w14:paraId="00061510" w14:textId="77777777" w:rsidR="007105CD" w:rsidRPr="00050022" w:rsidRDefault="007105CD" w:rsidP="00E9388B">
            <w:pPr>
              <w:pStyle w:val="ListParagraph"/>
              <w:numPr>
                <w:ilvl w:val="0"/>
                <w:numId w:val="24"/>
              </w:numPr>
              <w:ind w:left="1003" w:hanging="357"/>
            </w:pPr>
            <w:r w:rsidRPr="00F37178">
              <w:t>The identity of the facility consuming that electricity.</w:t>
            </w:r>
          </w:p>
          <w:p w14:paraId="0C0F1372" w14:textId="2D8A2600" w:rsidR="007105CD" w:rsidRPr="00050022" w:rsidRDefault="007105CD" w:rsidP="000A07E0">
            <w:pPr>
              <w:spacing w:before="200"/>
            </w:pPr>
            <w:r w:rsidRPr="00A2776B">
              <w:t>Th</w:t>
            </w:r>
            <w:r w:rsidR="00E1712E" w:rsidRPr="00A2776B">
              <w:t>e</w:t>
            </w:r>
            <w:r w:rsidR="00171F2F" w:rsidRPr="00A2776B">
              <w:t xml:space="preserve"> additional information </w:t>
            </w:r>
            <w:r w:rsidR="00FD637C" w:rsidRPr="00A2776B">
              <w:t>is</w:t>
            </w:r>
            <w:r w:rsidR="00171F2F" w:rsidRPr="00A2776B">
              <w:t xml:space="preserve"> to be reported in EERS as matter</w:t>
            </w:r>
            <w:r w:rsidR="00A873C4" w:rsidRPr="00A2776B">
              <w:t>s</w:t>
            </w:r>
            <w:r w:rsidR="00171F2F" w:rsidRPr="00A2776B">
              <w:t xml:space="preserve"> to be identified (MTBI)</w:t>
            </w:r>
            <w:r w:rsidR="000A717D" w:rsidRPr="00A2776B">
              <w:t>, as described in Part 7 of Schedule 4 of the NGER Measurement Determination</w:t>
            </w:r>
            <w:r w:rsidR="00A873C4" w:rsidRPr="00A2776B">
              <w:t xml:space="preserve"> for the </w:t>
            </w:r>
            <w:r w:rsidR="008A76E6" w:rsidRPr="00A2776B">
              <w:t>facility that consumed the electricity</w:t>
            </w:r>
            <w:r w:rsidR="00440636" w:rsidRPr="00A2776B">
              <w:t>.</w:t>
            </w:r>
          </w:p>
          <w:p w14:paraId="3A2F5AC5" w14:textId="16C27BE3" w:rsidR="00C6349A" w:rsidRDefault="000A717D" w:rsidP="00C6349A">
            <w:pPr>
              <w:spacing w:before="200"/>
              <w:rPr>
                <w:bCs/>
              </w:rPr>
            </w:pPr>
            <w:r w:rsidRPr="004C1A2B">
              <w:t>The</w:t>
            </w:r>
            <w:r w:rsidRPr="001C0C63">
              <w:t xml:space="preserve"> </w:t>
            </w:r>
            <w:r>
              <w:t xml:space="preserve">NGER Measurement Determination </w:t>
            </w:r>
            <w:r w:rsidR="00823BC2">
              <w:t xml:space="preserve">has included </w:t>
            </w:r>
            <w:r w:rsidR="00072ED3">
              <w:t>this requirement in relation to reporting scope 2 emissions under methods A1, A2 and B</w:t>
            </w:r>
            <w:r w:rsidR="00CC573E">
              <w:t>. However, f</w:t>
            </w:r>
            <w:r w:rsidR="00440636">
              <w:rPr>
                <w:bCs/>
              </w:rPr>
              <w:t xml:space="preserve">or the 2024–25 reporting year, </w:t>
            </w:r>
            <w:r w:rsidR="00494FFC">
              <w:rPr>
                <w:bCs/>
              </w:rPr>
              <w:t xml:space="preserve">the </w:t>
            </w:r>
            <w:r w:rsidR="00A91711">
              <w:rPr>
                <w:bCs/>
              </w:rPr>
              <w:t>CER con</w:t>
            </w:r>
            <w:r>
              <w:rPr>
                <w:bCs/>
              </w:rPr>
              <w:t xml:space="preserve">siders that this requirement </w:t>
            </w:r>
            <w:r w:rsidR="00C25FAA">
              <w:rPr>
                <w:bCs/>
              </w:rPr>
              <w:t xml:space="preserve">applies only to </w:t>
            </w:r>
            <w:r w:rsidR="00E1232C">
              <w:rPr>
                <w:bCs/>
              </w:rPr>
              <w:t>reporting under method A2 (</w:t>
            </w:r>
            <w:r w:rsidR="00167055">
              <w:rPr>
                <w:bCs/>
              </w:rPr>
              <w:t>l</w:t>
            </w:r>
            <w:r w:rsidR="00167055" w:rsidRPr="00167055">
              <w:rPr>
                <w:bCs/>
              </w:rPr>
              <w:t>ocation</w:t>
            </w:r>
            <w:r w:rsidR="00167055" w:rsidRPr="00167055">
              <w:rPr>
                <w:rFonts w:ascii="Cambria Math" w:hAnsi="Cambria Math" w:cs="Cambria Math"/>
                <w:bCs/>
              </w:rPr>
              <w:t>‑</w:t>
            </w:r>
            <w:r w:rsidR="00167055" w:rsidRPr="00167055">
              <w:rPr>
                <w:bCs/>
              </w:rPr>
              <w:t>based method</w:t>
            </w:r>
            <w:r w:rsidR="00167055" w:rsidRPr="00167055">
              <w:rPr>
                <w:rFonts w:ascii="Calibri" w:hAnsi="Calibri" w:cs="Calibri"/>
                <w:bCs/>
              </w:rPr>
              <w:t>—</w:t>
            </w:r>
            <w:r w:rsidR="00167055" w:rsidRPr="00167055">
              <w:rPr>
                <w:bCs/>
              </w:rPr>
              <w:t>electricity purchased, acquired or lost from other sources</w:t>
            </w:r>
            <w:r w:rsidR="00167055">
              <w:rPr>
                <w:bCs/>
              </w:rPr>
              <w:t>).</w:t>
            </w:r>
          </w:p>
          <w:p w14:paraId="21FBC85D" w14:textId="5D2DDCF2" w:rsidR="00AB4442" w:rsidRDefault="00AB2DEC" w:rsidP="00AB4442">
            <w:pPr>
              <w:spacing w:before="200"/>
            </w:pPr>
            <w:r>
              <w:t>M</w:t>
            </w:r>
            <w:r w:rsidR="000E63AC">
              <w:t>ethod</w:t>
            </w:r>
            <w:r>
              <w:t xml:space="preserve"> A2</w:t>
            </w:r>
            <w:r w:rsidR="000E63AC">
              <w:t xml:space="preserve"> and th</w:t>
            </w:r>
            <w:r>
              <w:t>e</w:t>
            </w:r>
            <w:r w:rsidR="00571562">
              <w:t>se</w:t>
            </w:r>
            <w:r w:rsidR="000E63AC">
              <w:t xml:space="preserve"> MTBI</w:t>
            </w:r>
            <w:r>
              <w:t>s</w:t>
            </w:r>
            <w:r w:rsidR="000E63AC">
              <w:t xml:space="preserve"> should be used </w:t>
            </w:r>
            <w:r w:rsidR="00D47632">
              <w:t xml:space="preserve">for any arrangement of electricity connection infrastructure between facilities under the operational control of the same corporation. </w:t>
            </w:r>
          </w:p>
          <w:p w14:paraId="6ACBC18F" w14:textId="2C98BFFA" w:rsidR="000E63AC" w:rsidRPr="000C3C32" w:rsidRDefault="006F5F3A" w:rsidP="000C3C32">
            <w:pPr>
              <w:spacing w:before="200"/>
            </w:pPr>
            <w:r>
              <w:t xml:space="preserve">For example, </w:t>
            </w:r>
            <w:r w:rsidR="000C3C32">
              <w:t xml:space="preserve">consider a situation where </w:t>
            </w:r>
            <w:r>
              <w:t>facility A</w:t>
            </w:r>
            <w:r w:rsidR="00191DCE">
              <w:t xml:space="preserve"> is connected to facility B which is in turn connected to facility C, and facility A produces electricity for facilities B and C</w:t>
            </w:r>
            <w:r w:rsidR="000C3C32">
              <w:t>. In this case</w:t>
            </w:r>
            <w:r w:rsidR="00191DCE">
              <w:t xml:space="preserve">, </w:t>
            </w:r>
            <w:r w:rsidR="0020291E">
              <w:t xml:space="preserve">even though only </w:t>
            </w:r>
            <w:r w:rsidR="00E003D1">
              <w:t xml:space="preserve">facility B has a direct connection to facility A, </w:t>
            </w:r>
            <w:r w:rsidR="00191DCE">
              <w:t xml:space="preserve">facilities B and C should both report </w:t>
            </w:r>
            <w:r w:rsidR="00EA031B">
              <w:t xml:space="preserve">scope 2 emissions using </w:t>
            </w:r>
            <w:r w:rsidR="0016462D">
              <w:t>method A2</w:t>
            </w:r>
            <w:r w:rsidR="00E003D1">
              <w:t>. B</w:t>
            </w:r>
            <w:r w:rsidR="00557AFA">
              <w:t xml:space="preserve">oth facilities </w:t>
            </w:r>
            <w:r w:rsidR="0016462D">
              <w:t xml:space="preserve">should </w:t>
            </w:r>
            <w:r w:rsidR="00E003D1">
              <w:t xml:space="preserve">also </w:t>
            </w:r>
            <w:r w:rsidR="000C3C32">
              <w:t xml:space="preserve">specify </w:t>
            </w:r>
            <w:r w:rsidR="0016462D">
              <w:t>that the electricity was generated in facility A when reporting</w:t>
            </w:r>
            <w:r w:rsidR="00557AFA">
              <w:t xml:space="preserve"> th</w:t>
            </w:r>
            <w:r w:rsidR="00644E2F">
              <w:t>e</w:t>
            </w:r>
            <w:r w:rsidR="00557AFA">
              <w:t xml:space="preserve"> MTBI</w:t>
            </w:r>
            <w:r w:rsidR="00644E2F">
              <w:t>s</w:t>
            </w:r>
            <w:r w:rsidR="00557AFA">
              <w:t>.</w:t>
            </w:r>
          </w:p>
        </w:tc>
      </w:tr>
    </w:tbl>
    <w:p w14:paraId="32282EAE" w14:textId="77777777" w:rsidR="00FB0B8C" w:rsidRDefault="00FB0B8C" w:rsidP="00411E1B">
      <w:pPr>
        <w:pStyle w:val="BodyText1"/>
      </w:pPr>
    </w:p>
    <w:p w14:paraId="2BDA9E9E" w14:textId="0537363B" w:rsidR="0024665C" w:rsidRPr="00E8708C" w:rsidRDefault="0024665C" w:rsidP="00D2141E">
      <w:pPr>
        <w:pStyle w:val="Heading3"/>
        <w:numPr>
          <w:ilvl w:val="2"/>
          <w:numId w:val="3"/>
        </w:numPr>
        <w:ind w:left="851" w:hanging="851"/>
      </w:pPr>
      <w:bookmarkStart w:id="214" w:name="_Toc205461463"/>
      <w:r>
        <w:t>V</w:t>
      </w:r>
      <w:r w:rsidRPr="00E8708C">
        <w:t>oluntary market-based method for estimating scope 2 emissions</w:t>
      </w:r>
      <w:bookmarkEnd w:id="214"/>
      <w:r w:rsidRPr="00E8708C">
        <w:t xml:space="preserve"> </w:t>
      </w:r>
    </w:p>
    <w:p w14:paraId="7D03CB84" w14:textId="46582884" w:rsidR="0024665C" w:rsidRPr="00D2141E" w:rsidRDefault="0024665C" w:rsidP="0024665C">
      <w:pPr>
        <w:rPr>
          <w:rFonts w:ascii="Calibri" w:hAnsi="Calibri" w:cs="Calibri"/>
          <w:szCs w:val="22"/>
        </w:rPr>
      </w:pPr>
      <w:r w:rsidRPr="00D2141E">
        <w:rPr>
          <w:rFonts w:ascii="Calibri" w:hAnsi="Calibri" w:cs="Calibri"/>
          <w:szCs w:val="22"/>
        </w:rPr>
        <w:t xml:space="preserve">In addition to the location-based method, you may also choose to use the voluntary market-based method regardless of the amount of purchased electricity consumed from the operation of a facility during a year. The </w:t>
      </w:r>
      <w:hyperlink r:id="rId51" w:tooltip="A link to the Voluntary market-based scope 2 emissions guideline on the Clean Energy Regulator website" w:history="1">
        <w:r w:rsidRPr="00D2141E">
          <w:rPr>
            <w:rStyle w:val="Hyperlink"/>
            <w:rFonts w:cs="Calibri"/>
            <w:szCs w:val="22"/>
          </w:rPr>
          <w:t>Voluntary market-based scope 2 emissions guideline</w:t>
        </w:r>
      </w:hyperlink>
      <w:r w:rsidR="004B0870">
        <w:rPr>
          <w:rFonts w:ascii="ZWAdobeF" w:hAnsi="ZWAdobeF" w:cs="ZWAdobeF"/>
          <w:color w:val="auto"/>
          <w:sz w:val="2"/>
          <w:szCs w:val="2"/>
        </w:rPr>
        <w:t>27F</w:t>
      </w:r>
      <w:r w:rsidRPr="00D2141E">
        <w:rPr>
          <w:rStyle w:val="FootnoteReference"/>
          <w:rFonts w:ascii="Calibri" w:hAnsi="Calibri" w:cs="Calibri"/>
          <w:szCs w:val="22"/>
        </w:rPr>
        <w:footnoteReference w:id="29"/>
      </w:r>
      <w:r w:rsidRPr="00D2141E">
        <w:rPr>
          <w:rFonts w:ascii="Calibri" w:hAnsi="Calibri" w:cs="Calibri"/>
          <w:szCs w:val="22"/>
        </w:rPr>
        <w:t xml:space="preserve"> contains instructions and examples for reporting under voluntary market-based Method B. </w:t>
      </w:r>
    </w:p>
    <w:p w14:paraId="3DCCB7F8" w14:textId="77777777" w:rsidR="0024665C" w:rsidRDefault="0024665C" w:rsidP="00D2141E">
      <w:pPr>
        <w:pStyle w:val="Heading2"/>
        <w:numPr>
          <w:ilvl w:val="1"/>
          <w:numId w:val="3"/>
        </w:numPr>
        <w:ind w:hanging="792"/>
      </w:pPr>
      <w:bookmarkStart w:id="215" w:name="_Toc205461464"/>
      <w:r>
        <w:t>Reporting scope 2 emissions in EERS</w:t>
      </w:r>
      <w:bookmarkEnd w:id="215"/>
      <w:r>
        <w:t xml:space="preserve"> </w:t>
      </w:r>
    </w:p>
    <w:p w14:paraId="71BA8A8B" w14:textId="1983C397" w:rsidR="0024665C" w:rsidRPr="00933BD5" w:rsidRDefault="0024665C" w:rsidP="0024665C">
      <w:pPr>
        <w:pStyle w:val="BodyText1"/>
      </w:pPr>
      <w:r>
        <w:t>Select ‘Scope 2 emissions’ as the source category in EERS and choose the relevant activity from the drop</w:t>
      </w:r>
      <w:r w:rsidR="009A67ED">
        <w:t>-</w:t>
      </w:r>
      <w:r>
        <w:t xml:space="preserve">down menu. </w:t>
      </w:r>
    </w:p>
    <w:p w14:paraId="1C61F474" w14:textId="67B0895C" w:rsidR="0024665C" w:rsidRPr="00675A6B" w:rsidRDefault="0024665C" w:rsidP="00766333">
      <w:pPr>
        <w:pStyle w:val="BodyText1"/>
      </w:pPr>
      <w:r w:rsidRPr="00766333">
        <w:rPr>
          <w:b/>
        </w:rPr>
        <w:t>Method A1 – ‘</w:t>
      </w:r>
      <w:r w:rsidR="003A1560">
        <w:rPr>
          <w:b/>
        </w:rPr>
        <w:t>location-based</w:t>
      </w:r>
      <w:r w:rsidR="000543DC">
        <w:rPr>
          <w:b/>
        </w:rPr>
        <w:t xml:space="preserve"> method - e</w:t>
      </w:r>
      <w:r w:rsidR="007402B7" w:rsidRPr="00766333">
        <w:rPr>
          <w:b/>
        </w:rPr>
        <w:t xml:space="preserve">lectricity purchased, acquired or lost </w:t>
      </w:r>
      <w:r w:rsidRPr="00766333">
        <w:rPr>
          <w:b/>
        </w:rPr>
        <w:t xml:space="preserve">from the main </w:t>
      </w:r>
      <w:r w:rsidR="007402B7" w:rsidRPr="00766333">
        <w:rPr>
          <w:b/>
        </w:rPr>
        <w:t xml:space="preserve">electricity </w:t>
      </w:r>
      <w:r w:rsidRPr="00766333">
        <w:rPr>
          <w:b/>
        </w:rPr>
        <w:t xml:space="preserve">grid in a </w:t>
      </w:r>
      <w:r w:rsidR="007402B7" w:rsidRPr="00766333">
        <w:rPr>
          <w:b/>
        </w:rPr>
        <w:t>S</w:t>
      </w:r>
      <w:r w:rsidRPr="00766333">
        <w:rPr>
          <w:b/>
        </w:rPr>
        <w:t xml:space="preserve">tate or </w:t>
      </w:r>
      <w:r w:rsidR="007402B7" w:rsidRPr="00766333">
        <w:rPr>
          <w:b/>
        </w:rPr>
        <w:t>T</w:t>
      </w:r>
      <w:r w:rsidRPr="00766333">
        <w:rPr>
          <w:b/>
        </w:rPr>
        <w:t>erritory’</w:t>
      </w:r>
    </w:p>
    <w:p w14:paraId="74EBC6A7" w14:textId="28F7E7DB" w:rsidR="0024665C" w:rsidRDefault="0024665C" w:rsidP="0024665C">
      <w:pPr>
        <w:pStyle w:val="BodyText1"/>
      </w:pPr>
      <w:r>
        <w:t xml:space="preserve">You must enter the quantity of electricity consumed by your facility in kWh. </w:t>
      </w:r>
      <w:r>
        <w:br/>
      </w:r>
      <w:r>
        <w:br/>
        <w:t xml:space="preserve">When you press ‘calculate’ and ‘save’, </w:t>
      </w:r>
      <w:r w:rsidRPr="00675A6B">
        <w:t xml:space="preserve">EERS will calculate the energy consumption and scope 2 emissions based on the scope 2 emissions factor for the applicable </w:t>
      </w:r>
      <w:r w:rsidR="00756A88">
        <w:t>s</w:t>
      </w:r>
      <w:r w:rsidRPr="00675A6B">
        <w:t xml:space="preserve">tate or </w:t>
      </w:r>
      <w:r w:rsidR="00756A88">
        <w:t>t</w:t>
      </w:r>
      <w:r w:rsidRPr="00675A6B">
        <w:t>erritory.</w:t>
      </w:r>
    </w:p>
    <w:p w14:paraId="1430DD92" w14:textId="542B5939" w:rsidR="0024665C" w:rsidRPr="00675A6B" w:rsidRDefault="0024665C" w:rsidP="00D61FF0">
      <w:pPr>
        <w:pStyle w:val="BodyText1"/>
      </w:pPr>
      <w:r w:rsidRPr="00D61FF0">
        <w:rPr>
          <w:b/>
        </w:rPr>
        <w:t>Method A2 – ‘</w:t>
      </w:r>
      <w:r w:rsidR="003A1560">
        <w:rPr>
          <w:b/>
        </w:rPr>
        <w:t>location-based</w:t>
      </w:r>
      <w:r w:rsidR="000543DC">
        <w:rPr>
          <w:b/>
        </w:rPr>
        <w:t xml:space="preserve"> method - e</w:t>
      </w:r>
      <w:r w:rsidRPr="00D61FF0">
        <w:rPr>
          <w:b/>
        </w:rPr>
        <w:t xml:space="preserve">lectricity </w:t>
      </w:r>
      <w:r w:rsidR="007F5BD2" w:rsidRPr="00D61FF0">
        <w:rPr>
          <w:b/>
        </w:rPr>
        <w:t xml:space="preserve">purchased, acquired or lost </w:t>
      </w:r>
      <w:r w:rsidRPr="00D61FF0">
        <w:rPr>
          <w:b/>
        </w:rPr>
        <w:t>from other sources’</w:t>
      </w:r>
    </w:p>
    <w:p w14:paraId="31B0E8E8" w14:textId="74D432A1" w:rsidR="0024665C" w:rsidRDefault="0024665C" w:rsidP="0024665C">
      <w:pPr>
        <w:pStyle w:val="BodyText1"/>
      </w:pPr>
      <w:r>
        <w:t xml:space="preserve">You must enter </w:t>
      </w:r>
      <w:r w:rsidRPr="00E8708C">
        <w:t>the</w:t>
      </w:r>
      <w:r>
        <w:t xml:space="preserve"> quantity of electricity consumed by your facility in kWh and </w:t>
      </w:r>
      <w:r w:rsidRPr="00E8708C">
        <w:t xml:space="preserve">the emission factor provided by the electricity supplier. If </w:t>
      </w:r>
      <w:r>
        <w:t>your</w:t>
      </w:r>
      <w:r w:rsidRPr="00E8708C">
        <w:t xml:space="preserve"> supplier cannot provide an emission factor, you must </w:t>
      </w:r>
      <w:r>
        <w:t xml:space="preserve">use the emission factor for the Northern Territory from Part 6 of Schedule 1 of the NGER Measurement Determination. </w:t>
      </w:r>
    </w:p>
    <w:p w14:paraId="6AE3CEF7" w14:textId="77777777" w:rsidR="0024665C" w:rsidRPr="00933BD5" w:rsidRDefault="0024665C" w:rsidP="0024665C">
      <w:pPr>
        <w:pStyle w:val="BodyText1"/>
        <w:rPr>
          <w:rFonts w:cstheme="minorBidi"/>
          <w:szCs w:val="22"/>
        </w:rPr>
      </w:pPr>
      <w:r>
        <w:t>When adding the activity in EERS, tick the box to use the</w:t>
      </w:r>
      <w:r w:rsidRPr="00E8708C">
        <w:t xml:space="preserve"> Northern Territory factor</w:t>
      </w:r>
      <w:r>
        <w:t xml:space="preserve"> as shown in</w:t>
      </w:r>
      <w:r>
        <w:fldChar w:fldCharType="begin" w:fldLock="1"/>
      </w:r>
      <w:r>
        <w:instrText xml:space="preserve"> REF _Ref173316252 \h </w:instrText>
      </w:r>
      <w:r>
        <w:fldChar w:fldCharType="separate"/>
      </w:r>
      <w:r>
        <w:fldChar w:fldCharType="end"/>
      </w:r>
      <w:r>
        <w:t xml:space="preserve"> </w:t>
      </w:r>
      <w:r>
        <w:fldChar w:fldCharType="begin" w:fldLock="1"/>
      </w:r>
      <w:r>
        <w:instrText xml:space="preserve"> REF _Ref173316264 \h </w:instrText>
      </w:r>
      <w:r>
        <w:fldChar w:fldCharType="separate"/>
      </w:r>
      <w:r>
        <w:t xml:space="preserve">Figure </w:t>
      </w:r>
      <w:r>
        <w:rPr>
          <w:noProof/>
        </w:rPr>
        <w:t>6</w:t>
      </w:r>
      <w:r>
        <w:fldChar w:fldCharType="end"/>
      </w:r>
      <w:r w:rsidRPr="00E8708C">
        <w:t>.</w:t>
      </w:r>
    </w:p>
    <w:p w14:paraId="4087CCE5" w14:textId="2E7116B3" w:rsidR="0024665C" w:rsidRDefault="0024665C" w:rsidP="0024665C">
      <w:pPr>
        <w:pStyle w:val="Caption"/>
        <w:keepNext/>
      </w:pPr>
      <w:bookmarkStart w:id="216" w:name="_Ref173316264"/>
      <w:r>
        <w:t xml:space="preserve">Figure </w:t>
      </w:r>
      <w:r w:rsidR="00011733">
        <w:fldChar w:fldCharType="begin"/>
      </w:r>
      <w:r w:rsidR="00011733">
        <w:instrText xml:space="preserve"> SEQ Figure \* ARABIC </w:instrText>
      </w:r>
      <w:r w:rsidR="00011733">
        <w:fldChar w:fldCharType="separate"/>
      </w:r>
      <w:r w:rsidR="004B0870">
        <w:rPr>
          <w:noProof/>
        </w:rPr>
        <w:t>6</w:t>
      </w:r>
      <w:r w:rsidR="00011733">
        <w:fldChar w:fldCharType="end"/>
      </w:r>
      <w:bookmarkEnd w:id="216"/>
      <w:r>
        <w:t xml:space="preserve"> – Selecting the default emission factor for Method A2 in EERS</w:t>
      </w:r>
    </w:p>
    <w:p w14:paraId="34CC4E13" w14:textId="77777777" w:rsidR="0024665C" w:rsidRPr="00704768" w:rsidRDefault="0024665C" w:rsidP="0024665C">
      <w:pPr>
        <w:pStyle w:val="CERbullets"/>
        <w:numPr>
          <w:ilvl w:val="0"/>
          <w:numId w:val="0"/>
        </w:numPr>
        <w:spacing w:line="259" w:lineRule="auto"/>
        <w:ind w:left="360" w:hanging="360"/>
        <w:jc w:val="center"/>
        <w:rPr>
          <w:lang w:eastAsia="en-AU"/>
        </w:rPr>
      </w:pPr>
      <w:r w:rsidRPr="00704768">
        <w:rPr>
          <w:noProof/>
          <w:lang w:eastAsia="en-AU"/>
        </w:rPr>
        <w:drawing>
          <wp:inline distT="0" distB="0" distL="0" distR="0" wp14:anchorId="1A569174" wp14:editId="1E7EA60D">
            <wp:extent cx="4724400" cy="2460254"/>
            <wp:effectExtent l="0" t="0" r="0" b="0"/>
            <wp:docPr id="711992120" name="Picture 1" descr="P7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92120" name="Picture 1" descr="P718#yIS1"/>
                    <pic:cNvPicPr>
                      <a:picLocks noChangeAspect="1" noChangeArrowheads="1"/>
                    </pic:cNvPicPr>
                  </pic:nvPicPr>
                  <pic:blipFill rotWithShape="1">
                    <a:blip r:embed="rId52">
                      <a:extLst>
                        <a:ext uri="{28A0092B-C50C-407E-A947-70E740481C1C}">
                          <a14:useLocalDpi xmlns:a14="http://schemas.microsoft.com/office/drawing/2010/main" val="0"/>
                        </a:ext>
                      </a:extLst>
                    </a:blip>
                    <a:srcRect/>
                    <a:stretch/>
                  </pic:blipFill>
                  <pic:spPr bwMode="auto">
                    <a:xfrm>
                      <a:off x="0" y="0"/>
                      <a:ext cx="4728233" cy="2462250"/>
                    </a:xfrm>
                    <a:prstGeom prst="rect">
                      <a:avLst/>
                    </a:prstGeom>
                    <a:noFill/>
                    <a:ln>
                      <a:noFill/>
                    </a:ln>
                    <a:extLst>
                      <a:ext uri="{53640926-AAD7-44D8-BBD7-CCE9431645EC}">
                        <a14:shadowObscured xmlns:a14="http://schemas.microsoft.com/office/drawing/2010/main"/>
                      </a:ext>
                    </a:extLst>
                  </pic:spPr>
                </pic:pic>
              </a:graphicData>
            </a:graphic>
          </wp:inline>
        </w:drawing>
      </w:r>
    </w:p>
    <w:p w14:paraId="7F62AA43" w14:textId="403DAC24" w:rsidR="007F5BD2" w:rsidRPr="00675A6B" w:rsidRDefault="007F5BD2" w:rsidP="00D61FF0">
      <w:pPr>
        <w:pStyle w:val="BodyText1"/>
      </w:pPr>
      <w:r w:rsidRPr="00D61FF0">
        <w:rPr>
          <w:b/>
        </w:rPr>
        <w:t>Method B – ‘</w:t>
      </w:r>
      <w:r w:rsidR="003A1560">
        <w:rPr>
          <w:b/>
        </w:rPr>
        <w:t>m</w:t>
      </w:r>
      <w:r w:rsidRPr="00D61FF0">
        <w:rPr>
          <w:b/>
        </w:rPr>
        <w:t>arket-based method’</w:t>
      </w:r>
    </w:p>
    <w:p w14:paraId="2FAFB15A" w14:textId="3F173AE0" w:rsidR="00C22A87" w:rsidRPr="00A36A5E" w:rsidRDefault="00A83DBD" w:rsidP="00D61FF0">
      <w:pPr>
        <w:pStyle w:val="BodyText1"/>
      </w:pPr>
      <w:r>
        <w:t xml:space="preserve">If you choose to additionally report scope 2 emissions using the market-based method </w:t>
      </w:r>
      <w:r w:rsidR="00072193">
        <w:t>there are different requirements</w:t>
      </w:r>
      <w:r w:rsidR="00D74517">
        <w:t xml:space="preserve"> for what you must report.</w:t>
      </w:r>
      <w:r w:rsidR="00D34E11">
        <w:t xml:space="preserve"> </w:t>
      </w:r>
      <w:r w:rsidR="001F6978">
        <w:t>For more information</w:t>
      </w:r>
      <w:r w:rsidR="0084479B">
        <w:t xml:space="preserve"> on </w:t>
      </w:r>
      <w:r w:rsidR="00D34E11">
        <w:t>what to report if you use the market-based method</w:t>
      </w:r>
      <w:r w:rsidR="001F6978">
        <w:t xml:space="preserve">, </w:t>
      </w:r>
      <w:r w:rsidR="00015C1D">
        <w:t xml:space="preserve">see the </w:t>
      </w:r>
      <w:hyperlink r:id="rId53" w:history="1">
        <w:r w:rsidR="00015C1D" w:rsidRPr="00D2141E">
          <w:rPr>
            <w:rStyle w:val="Hyperlink"/>
            <w:rFonts w:cs="Calibri"/>
            <w:szCs w:val="22"/>
          </w:rPr>
          <w:t>Voluntary market-based scope 2 emissions guideline</w:t>
        </w:r>
      </w:hyperlink>
      <w:r w:rsidR="004B0870">
        <w:rPr>
          <w:rFonts w:ascii="ZWAdobeF" w:hAnsi="ZWAdobeF" w:cs="ZWAdobeF"/>
          <w:color w:val="auto"/>
          <w:sz w:val="2"/>
          <w:szCs w:val="2"/>
        </w:rPr>
        <w:t>28F</w:t>
      </w:r>
      <w:r w:rsidR="00015C1D" w:rsidRPr="00D2141E">
        <w:rPr>
          <w:rStyle w:val="FootnoteReference"/>
          <w:rFonts w:ascii="Calibri" w:hAnsi="Calibri" w:cs="Calibri"/>
          <w:szCs w:val="22"/>
        </w:rPr>
        <w:footnoteReference w:id="30"/>
      </w:r>
      <w:r w:rsidR="00015C1D">
        <w:t>.</w:t>
      </w:r>
    </w:p>
    <w:p w14:paraId="3F7C1BE1" w14:textId="77777777" w:rsidR="0024665C" w:rsidRDefault="0024665C" w:rsidP="00D2141E">
      <w:pPr>
        <w:pStyle w:val="Heading2"/>
        <w:numPr>
          <w:ilvl w:val="1"/>
          <w:numId w:val="3"/>
        </w:numPr>
        <w:ind w:left="851" w:hanging="851"/>
      </w:pPr>
      <w:bookmarkStart w:id="217" w:name="_Toc205461465"/>
      <w:r>
        <w:t>Evidence to keep for scope 2 emissions estimates</w:t>
      </w:r>
      <w:bookmarkEnd w:id="217"/>
    </w:p>
    <w:p w14:paraId="174651D2" w14:textId="1F9E9C92" w:rsidR="0024665C" w:rsidRPr="00D2141E" w:rsidRDefault="0024665C" w:rsidP="0024665C">
      <w:pPr>
        <w:rPr>
          <w:szCs w:val="22"/>
        </w:rPr>
      </w:pPr>
      <w:r w:rsidRPr="00D2141E">
        <w:rPr>
          <w:szCs w:val="22"/>
        </w:rPr>
        <w:t xml:space="preserve">In accordance with section 6.5 of the NGER Measurement Determination, the amount of electricity consumed by your facility (Q) must be evidenced by: </w:t>
      </w:r>
    </w:p>
    <w:p w14:paraId="7BCD3972" w14:textId="62328197" w:rsidR="00DC530F" w:rsidRPr="000504FD" w:rsidRDefault="0024665C" w:rsidP="00D13925">
      <w:pPr>
        <w:pStyle w:val="CERbullets"/>
      </w:pPr>
      <w:r w:rsidRPr="000504FD">
        <w:t xml:space="preserve">invoices, contractual arrangements or industry metering records </w:t>
      </w:r>
    </w:p>
    <w:p w14:paraId="2A6B0A2A" w14:textId="709ED5F6" w:rsidR="00A57A5C" w:rsidRDefault="0024665C" w:rsidP="00D2141E">
      <w:pPr>
        <w:pStyle w:val="CERbullets"/>
      </w:pPr>
      <w:r w:rsidRPr="000504FD">
        <w:t>records of estimates made in line with industry practice</w:t>
      </w:r>
      <w:r>
        <w:t xml:space="preserve"> </w:t>
      </w:r>
      <w:r w:rsidRPr="000504FD">
        <w:t>or if such evidence is not available</w:t>
      </w:r>
      <w:r>
        <w:t>.</w:t>
      </w:r>
      <w:bookmarkStart w:id="218" w:name="_Toc139895830"/>
      <w:bookmarkStart w:id="219" w:name="_Toc139895961"/>
      <w:bookmarkStart w:id="220" w:name="_Toc139896053"/>
      <w:bookmarkStart w:id="221" w:name="_Toc140062908"/>
      <w:bookmarkStart w:id="222" w:name="_Toc140141865"/>
      <w:bookmarkStart w:id="223" w:name="_Toc142059146"/>
      <w:bookmarkStart w:id="224" w:name="_Toc147852481"/>
      <w:bookmarkStart w:id="225" w:name="_Toc139895831"/>
      <w:bookmarkStart w:id="226" w:name="_Toc139895962"/>
      <w:bookmarkStart w:id="227" w:name="_Toc139896054"/>
      <w:bookmarkStart w:id="228" w:name="_Toc140062909"/>
      <w:bookmarkStart w:id="229" w:name="_Toc140141866"/>
      <w:bookmarkStart w:id="230" w:name="_Toc142059147"/>
      <w:bookmarkStart w:id="231" w:name="_Toc147852482"/>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01"/>
      <w:bookmarkEnd w:id="202"/>
      <w:bookmarkEnd w:id="203"/>
    </w:p>
    <w:p w14:paraId="66467CCC" w14:textId="644BF852" w:rsidR="00D919E1" w:rsidRPr="00FF338C" w:rsidRDefault="003B6B5E" w:rsidP="00667BB9">
      <w:pPr>
        <w:pStyle w:val="BodyText1"/>
      </w:pPr>
      <w:r>
        <w:t xml:space="preserve">Additional evidence will be required if you also choose to </w:t>
      </w:r>
      <w:r w:rsidR="00624E86">
        <w:t xml:space="preserve">report using the market-based method. </w:t>
      </w:r>
      <w:r w:rsidR="002438DB">
        <w:t>T</w:t>
      </w:r>
      <w:r w:rsidR="00624E86">
        <w:t xml:space="preserve">his </w:t>
      </w:r>
      <w:r w:rsidR="00DD2933">
        <w:t>additional</w:t>
      </w:r>
      <w:r w:rsidR="00624E86">
        <w:t xml:space="preserve"> evidence</w:t>
      </w:r>
      <w:r w:rsidR="002438DB">
        <w:t xml:space="preserve"> is described further </w:t>
      </w:r>
      <w:r w:rsidR="00C21E5A">
        <w:t xml:space="preserve">in </w:t>
      </w:r>
      <w:r w:rsidR="00624E86">
        <w:t xml:space="preserve">the </w:t>
      </w:r>
      <w:r w:rsidR="00801DE2" w:rsidRPr="00667BB9">
        <w:t>Voluntary market-based scope 2 emissions guideline</w:t>
      </w:r>
      <w:r w:rsidR="00624E86">
        <w:t>.</w:t>
      </w:r>
    </w:p>
    <w:p w14:paraId="6771C18D" w14:textId="5DF396F9" w:rsidR="00A57A5C" w:rsidRPr="00FF338C" w:rsidRDefault="00625327" w:rsidP="00D2141E">
      <w:pPr>
        <w:pStyle w:val="Heading1"/>
        <w:numPr>
          <w:ilvl w:val="0"/>
          <w:numId w:val="3"/>
        </w:numPr>
        <w:ind w:left="851" w:hanging="851"/>
        <w:rPr>
          <w:lang w:val="en-GB"/>
        </w:rPr>
      </w:pPr>
      <w:bookmarkStart w:id="232" w:name="_Energy_production_and"/>
      <w:bookmarkStart w:id="233" w:name="_Ref511972700"/>
      <w:bookmarkStart w:id="234" w:name="_Toc512010410"/>
      <w:bookmarkStart w:id="235" w:name="_Toc512339609"/>
      <w:bookmarkStart w:id="236" w:name="_Toc106705766"/>
      <w:bookmarkStart w:id="237" w:name="_Toc205461466"/>
      <w:bookmarkEnd w:id="232"/>
      <w:r>
        <w:rPr>
          <w:lang w:val="en-GB"/>
        </w:rPr>
        <w:t>Electricity</w:t>
      </w:r>
      <w:r w:rsidR="00A57A5C" w:rsidRPr="00FF338C">
        <w:rPr>
          <w:lang w:val="en-GB"/>
        </w:rPr>
        <w:t xml:space="preserve"> production and consumption</w:t>
      </w:r>
      <w:bookmarkEnd w:id="233"/>
      <w:bookmarkEnd w:id="234"/>
      <w:bookmarkEnd w:id="235"/>
      <w:bookmarkEnd w:id="236"/>
      <w:bookmarkEnd w:id="237"/>
    </w:p>
    <w:p w14:paraId="121B2554" w14:textId="287EC8A2" w:rsidR="00A57A5C" w:rsidRPr="00FF338C" w:rsidRDefault="00A57A5C" w:rsidP="00A57A5C">
      <w:r w:rsidRPr="00FF338C">
        <w:t xml:space="preserve">This </w:t>
      </w:r>
      <w:r>
        <w:t>chapter</w:t>
      </w:r>
      <w:r w:rsidRPr="00FF338C">
        <w:t xml:space="preserve"> provides an overview of how to report </w:t>
      </w:r>
      <w:r w:rsidR="00F10D88">
        <w:t>activities associated with</w:t>
      </w:r>
      <w:r w:rsidRPr="00FF338C">
        <w:t xml:space="preserve"> electricity </w:t>
      </w:r>
      <w:r w:rsidR="006D5A56">
        <w:t>produc</w:t>
      </w:r>
      <w:r w:rsidR="003A3723">
        <w:t>tion</w:t>
      </w:r>
      <w:r w:rsidRPr="00FF338C">
        <w:t xml:space="preserve"> and </w:t>
      </w:r>
      <w:r w:rsidR="002E4C1C">
        <w:t>consumption</w:t>
      </w:r>
      <w:r w:rsidR="006D5A56">
        <w:t>.</w:t>
      </w:r>
      <w:r w:rsidRPr="00057BD3">
        <w:t xml:space="preserve"> </w:t>
      </w:r>
      <w:r w:rsidR="004E7968" w:rsidRPr="00057BD3" w:rsidDel="004E7968">
        <w:t xml:space="preserve"> </w:t>
      </w:r>
    </w:p>
    <w:p w14:paraId="107D7816" w14:textId="77777777" w:rsidR="00A57A5C" w:rsidRPr="00FF338C" w:rsidRDefault="00A57A5C" w:rsidP="00DB4B56">
      <w:pPr>
        <w:pStyle w:val="Heading2"/>
        <w:numPr>
          <w:ilvl w:val="1"/>
          <w:numId w:val="3"/>
        </w:numPr>
        <w:ind w:left="426" w:hanging="426"/>
      </w:pPr>
      <w:bookmarkStart w:id="238" w:name="_Ref511316651"/>
      <w:bookmarkStart w:id="239" w:name="_Toc511376930"/>
      <w:bookmarkStart w:id="240" w:name="_Toc511388527"/>
      <w:bookmarkStart w:id="241" w:name="_Toc511389449"/>
      <w:bookmarkStart w:id="242" w:name="_Toc511392958"/>
      <w:bookmarkStart w:id="243" w:name="_Toc511732488"/>
      <w:bookmarkStart w:id="244" w:name="_Toc512010411"/>
      <w:bookmarkStart w:id="245" w:name="_Toc512339610"/>
      <w:bookmarkStart w:id="246" w:name="_Toc106705767"/>
      <w:bookmarkStart w:id="247" w:name="_Toc205461467"/>
      <w:r w:rsidRPr="00FF338C">
        <w:t xml:space="preserve">Energy </w:t>
      </w:r>
      <w:bookmarkEnd w:id="238"/>
      <w:bookmarkEnd w:id="239"/>
      <w:r w:rsidRPr="00FF338C">
        <w:t>as a fuel or energy commodity</w:t>
      </w:r>
      <w:bookmarkEnd w:id="240"/>
      <w:bookmarkEnd w:id="241"/>
      <w:bookmarkEnd w:id="242"/>
      <w:bookmarkEnd w:id="243"/>
      <w:bookmarkEnd w:id="244"/>
      <w:bookmarkEnd w:id="245"/>
      <w:bookmarkEnd w:id="246"/>
      <w:bookmarkEnd w:id="247"/>
    </w:p>
    <w:p w14:paraId="3874A7CE" w14:textId="29CF993D" w:rsidR="00A57A5C" w:rsidRPr="00FF338C" w:rsidRDefault="00A57A5C" w:rsidP="00A57A5C">
      <w:pPr>
        <w:rPr>
          <w:color w:val="auto"/>
        </w:rPr>
      </w:pPr>
      <w:r w:rsidRPr="00FF338C">
        <w:rPr>
          <w:color w:val="auto"/>
        </w:rPr>
        <w:t xml:space="preserve">In NGER, the term </w:t>
      </w:r>
      <w:r>
        <w:rPr>
          <w:color w:val="auto"/>
        </w:rPr>
        <w:t>‘energy’</w:t>
      </w:r>
      <w:r w:rsidRPr="00FF338C">
        <w:rPr>
          <w:color w:val="auto"/>
        </w:rPr>
        <w:t xml:space="preserve"> is</w:t>
      </w:r>
      <w:r>
        <w:rPr>
          <w:color w:val="auto"/>
        </w:rPr>
        <w:t xml:space="preserve"> defined within regulation 2.03 of the NGER Regulations. It is</w:t>
      </w:r>
      <w:r w:rsidRPr="00FF338C">
        <w:rPr>
          <w:color w:val="auto"/>
        </w:rPr>
        <w:t xml:space="preserve"> used to describe individual fuels </w:t>
      </w:r>
      <w:r>
        <w:rPr>
          <w:color w:val="auto"/>
        </w:rPr>
        <w:t>and</w:t>
      </w:r>
      <w:r w:rsidRPr="00FF338C">
        <w:rPr>
          <w:color w:val="auto"/>
        </w:rPr>
        <w:t xml:space="preserve"> energy commodities as </w:t>
      </w:r>
      <w:r w:rsidR="008F1F1D">
        <w:rPr>
          <w:color w:val="auto"/>
        </w:rPr>
        <w:t>listed</w:t>
      </w:r>
      <w:r w:rsidRPr="00FF338C">
        <w:rPr>
          <w:color w:val="auto"/>
        </w:rPr>
        <w:t xml:space="preserve"> in Schedule 1 of the NGER Regulations. These comprise a range of solid, liquid and gaseous fuels, including naturally occurring materials and fuels derived from other sources. Other energy commodities such as electricity, as well as renewable energy commodities such as wind and solar energy used for electricity generation are also covered. </w:t>
      </w:r>
    </w:p>
    <w:p w14:paraId="6E564C12" w14:textId="2600E78A" w:rsidR="00A57A5C" w:rsidRPr="00FF338C" w:rsidRDefault="00A57A5C" w:rsidP="00A57A5C">
      <w:r w:rsidRPr="00FF338C">
        <w:t xml:space="preserve">Correct reporting of energy flows under NGER requires </w:t>
      </w:r>
      <w:r w:rsidR="001848D4">
        <w:t>3</w:t>
      </w:r>
      <w:r w:rsidRPr="00FF338C">
        <w:t xml:space="preserve"> totals to be prepared:</w:t>
      </w:r>
    </w:p>
    <w:p w14:paraId="7FB13E41" w14:textId="59A5845A" w:rsidR="00A57A5C" w:rsidRPr="00FF338C" w:rsidRDefault="00AE4CBF" w:rsidP="00B3330E">
      <w:pPr>
        <w:numPr>
          <w:ilvl w:val="0"/>
          <w:numId w:val="1"/>
        </w:numPr>
        <w:spacing w:before="120" w:after="120"/>
        <w:rPr>
          <w:b/>
        </w:rPr>
      </w:pPr>
      <w:r>
        <w:t>p</w:t>
      </w:r>
      <w:r w:rsidR="00A57A5C">
        <w:t>roduction</w:t>
      </w:r>
      <w:r w:rsidR="00A57A5C" w:rsidRPr="007D5032">
        <w:rPr>
          <w:bCs/>
        </w:rPr>
        <w:t xml:space="preserve"> of energy</w:t>
      </w:r>
      <w:r w:rsidR="00A57A5C" w:rsidRPr="00FF338C">
        <w:rPr>
          <w:b/>
        </w:rPr>
        <w:t xml:space="preserve"> </w:t>
      </w:r>
      <w:r w:rsidR="00A57A5C" w:rsidRPr="00FF338C">
        <w:t xml:space="preserve">– defined in 2.25 </w:t>
      </w:r>
      <w:r w:rsidR="00CF03B5">
        <w:t xml:space="preserve">of the </w:t>
      </w:r>
      <w:r w:rsidR="00A57A5C">
        <w:t xml:space="preserve">NGER </w:t>
      </w:r>
      <w:r w:rsidR="00CF03B5">
        <w:t>R</w:t>
      </w:r>
      <w:r w:rsidR="00A57A5C">
        <w:t>egulation</w:t>
      </w:r>
      <w:r w:rsidR="00CF03B5">
        <w:t>s</w:t>
      </w:r>
      <w:r w:rsidR="00A57A5C">
        <w:t xml:space="preserve"> </w:t>
      </w:r>
      <w:r w:rsidR="00A57A5C" w:rsidRPr="00FF338C">
        <w:t>as:</w:t>
      </w:r>
    </w:p>
    <w:p w14:paraId="4DAE3D39" w14:textId="5F045F2D" w:rsidR="00A57A5C" w:rsidRPr="00FF338C" w:rsidRDefault="00A57A5C" w:rsidP="00B3330E">
      <w:pPr>
        <w:pStyle w:val="CERbullets"/>
        <w:numPr>
          <w:ilvl w:val="1"/>
          <w:numId w:val="1"/>
        </w:numPr>
      </w:pPr>
      <w:r w:rsidRPr="00FF338C">
        <w:t>extraction or capture of energy from natural sources for final consumption by or from the operation of the facility, or for use other than in the operation of the facility</w:t>
      </w:r>
    </w:p>
    <w:p w14:paraId="306F860E" w14:textId="391FC3A7" w:rsidR="00A57A5C" w:rsidRPr="00FF338C" w:rsidRDefault="00A57A5C" w:rsidP="00B3330E">
      <w:pPr>
        <w:pStyle w:val="CERbullets"/>
        <w:numPr>
          <w:ilvl w:val="1"/>
          <w:numId w:val="1"/>
        </w:numPr>
      </w:pPr>
      <w:r w:rsidRPr="00FF338C">
        <w:t>manufacture of energy by the conversion of energy from one form to another form for final consumption by or from the operation of the facility, or for use other than in the operation of the facility</w:t>
      </w:r>
    </w:p>
    <w:p w14:paraId="41769277" w14:textId="242DC049" w:rsidR="00A57A5C" w:rsidRPr="00FF338C" w:rsidRDefault="00AE4CBF" w:rsidP="00B3330E">
      <w:pPr>
        <w:numPr>
          <w:ilvl w:val="0"/>
          <w:numId w:val="1"/>
        </w:numPr>
        <w:spacing w:before="120" w:after="120"/>
      </w:pPr>
      <w:r w:rsidRPr="79B44BC7">
        <w:rPr>
          <w:rFonts w:ascii="Calibri" w:hAnsi="Calibri"/>
        </w:rPr>
        <w:t>c</w:t>
      </w:r>
      <w:r w:rsidR="00A57A5C" w:rsidRPr="79B44BC7">
        <w:rPr>
          <w:rFonts w:ascii="Calibri" w:hAnsi="Calibri"/>
        </w:rPr>
        <w:t>onsumption of energy</w:t>
      </w:r>
      <w:r w:rsidR="00A57A5C" w:rsidRPr="79B44BC7">
        <w:rPr>
          <w:rFonts w:ascii="Calibri" w:hAnsi="Calibri"/>
          <w:b/>
        </w:rPr>
        <w:t xml:space="preserve"> </w:t>
      </w:r>
      <w:r w:rsidR="00A57A5C" w:rsidRPr="79B44BC7">
        <w:rPr>
          <w:rFonts w:ascii="Calibri" w:hAnsi="Calibri"/>
        </w:rPr>
        <w:t xml:space="preserve">– defined in </w:t>
      </w:r>
      <w:r w:rsidR="00CF03B5" w:rsidRPr="79B44BC7">
        <w:rPr>
          <w:rFonts w:ascii="Calibri" w:hAnsi="Calibri"/>
        </w:rPr>
        <w:t xml:space="preserve">2.26 of the </w:t>
      </w:r>
      <w:r w:rsidR="00A57A5C" w:rsidRPr="79B44BC7">
        <w:rPr>
          <w:rFonts w:ascii="Calibri" w:hAnsi="Calibri"/>
        </w:rPr>
        <w:t xml:space="preserve">NGER </w:t>
      </w:r>
      <w:r w:rsidR="00415AFA" w:rsidRPr="79B44BC7">
        <w:rPr>
          <w:rFonts w:ascii="Calibri" w:hAnsi="Calibri"/>
        </w:rPr>
        <w:t>R</w:t>
      </w:r>
      <w:r w:rsidR="00A57A5C" w:rsidRPr="79B44BC7">
        <w:rPr>
          <w:rFonts w:ascii="Calibri" w:hAnsi="Calibri"/>
        </w:rPr>
        <w:t>egulation</w:t>
      </w:r>
      <w:r w:rsidR="00415AFA" w:rsidRPr="79B44BC7">
        <w:rPr>
          <w:rFonts w:ascii="Calibri" w:hAnsi="Calibri"/>
        </w:rPr>
        <w:t>s</w:t>
      </w:r>
      <w:r w:rsidR="00A57A5C" w:rsidRPr="00FF338C">
        <w:t xml:space="preserve"> as the </w:t>
      </w:r>
      <w:r w:rsidR="00A57A5C" w:rsidRPr="00872A70">
        <w:rPr>
          <w:iCs/>
        </w:rPr>
        <w:t>use or disposal of energy from the operation of the facility, including own-use and losses in extraction, production and transmission</w:t>
      </w:r>
    </w:p>
    <w:p w14:paraId="7CDDAEBA" w14:textId="5FE4366C" w:rsidR="00A57A5C" w:rsidRPr="00FF338C" w:rsidRDefault="00AE4CBF" w:rsidP="00B3330E">
      <w:pPr>
        <w:numPr>
          <w:ilvl w:val="0"/>
          <w:numId w:val="1"/>
        </w:numPr>
        <w:spacing w:before="120" w:after="120"/>
      </w:pPr>
      <w:r>
        <w:t>n</w:t>
      </w:r>
      <w:r w:rsidR="00A57A5C">
        <w:t>et</w:t>
      </w:r>
      <w:r w:rsidR="00A57A5C" w:rsidRPr="007D5032">
        <w:rPr>
          <w:bCs/>
        </w:rPr>
        <w:t xml:space="preserve"> energy consumption</w:t>
      </w:r>
      <w:r w:rsidR="00A57A5C" w:rsidRPr="00FF338C">
        <w:t xml:space="preserve"> – </w:t>
      </w:r>
      <w:r w:rsidR="00255F27">
        <w:t xml:space="preserve">as determined </w:t>
      </w:r>
      <w:r w:rsidR="000A0409">
        <w:t>in 5.03 of the NGER Regulations. S</w:t>
      </w:r>
      <w:r w:rsidR="00A57A5C">
        <w:t>ee</w:t>
      </w:r>
      <w:r w:rsidR="00A57A5C" w:rsidRPr="00FF338C">
        <w:t xml:space="preserve"> </w:t>
      </w:r>
      <w:hyperlink w:anchor="_Toc74235182" w:history="1">
        <w:r w:rsidR="00AC0B2F">
          <w:rPr>
            <w:rStyle w:val="Hyperlink"/>
            <w:rFonts w:asciiTheme="minorHAnsi" w:hAnsiTheme="minorHAnsi"/>
          </w:rPr>
          <w:t>chapter 7.7</w:t>
        </w:r>
      </w:hyperlink>
      <w:r w:rsidR="00A57A5C" w:rsidRPr="00FF338C">
        <w:t xml:space="preserve"> of this guideline</w:t>
      </w:r>
      <w:r w:rsidR="00DE7C4A">
        <w:t xml:space="preserve"> for further information</w:t>
      </w:r>
      <w:r w:rsidR="00A57A5C" w:rsidRPr="00FF338C">
        <w:t>.</w:t>
      </w:r>
    </w:p>
    <w:p w14:paraId="5F850B0E" w14:textId="2B3C726B" w:rsidR="00A57A5C" w:rsidRPr="00FF338C" w:rsidRDefault="00A57A5C" w:rsidP="00A57A5C">
      <w:pPr>
        <w:rPr>
          <w:color w:val="auto"/>
        </w:rPr>
      </w:pPr>
      <w:r w:rsidRPr="00FF338C">
        <w:t>The</w:t>
      </w:r>
      <w:r w:rsidR="00F425DB">
        <w:t xml:space="preserve"> 3</w:t>
      </w:r>
      <w:r w:rsidRPr="00FF338C">
        <w:t xml:space="preserve"> totals </w:t>
      </w:r>
      <w:r w:rsidR="00F425DB">
        <w:t xml:space="preserve">described above </w:t>
      </w:r>
      <w:r w:rsidRPr="00FF338C">
        <w:t>are prepared by aggregating estimates of the calorific values of individual energy flows across a facility over the reporting year (measured in gigajoules</w:t>
      </w:r>
      <w:r>
        <w:t xml:space="preserve"> (</w:t>
      </w:r>
      <w:r w:rsidRPr="00FF338C">
        <w:t>GJ</w:t>
      </w:r>
      <w:r>
        <w:t>)</w:t>
      </w:r>
      <w:r w:rsidRPr="00FF338C">
        <w:t xml:space="preserve">). </w:t>
      </w:r>
      <w:r w:rsidRPr="00FF338C">
        <w:rPr>
          <w:color w:val="auto"/>
        </w:rPr>
        <w:t xml:space="preserve">When reporting energy production and consumption, only those fuels and energy commodities that are listed in Schedule 1 of the NGER Regulations </w:t>
      </w:r>
      <w:r w:rsidRPr="00203E01">
        <w:rPr>
          <w:color w:val="auto"/>
        </w:rPr>
        <w:t>and</w:t>
      </w:r>
      <w:r w:rsidRPr="00FF338C">
        <w:rPr>
          <w:color w:val="auto"/>
        </w:rPr>
        <w:t xml:space="preserve"> for which there are applicable methods in the </w:t>
      </w:r>
      <w:r>
        <w:rPr>
          <w:color w:val="auto"/>
        </w:rPr>
        <w:t>NGER Measurement Determination</w:t>
      </w:r>
      <w:r w:rsidRPr="00FF338C">
        <w:rPr>
          <w:color w:val="auto"/>
        </w:rPr>
        <w:t xml:space="preserve"> </w:t>
      </w:r>
      <w:r w:rsidRPr="00FF338C" w:rsidDel="00354E1B">
        <w:rPr>
          <w:color w:val="auto"/>
        </w:rPr>
        <w:t xml:space="preserve">should </w:t>
      </w:r>
      <w:r w:rsidRPr="00FF338C">
        <w:rPr>
          <w:color w:val="auto"/>
        </w:rPr>
        <w:t>be reported.</w:t>
      </w:r>
    </w:p>
    <w:p w14:paraId="0E061119" w14:textId="61338115" w:rsidR="00A57A5C" w:rsidRPr="00FF338C" w:rsidRDefault="00A57A5C" w:rsidP="00A57A5C">
      <w:r w:rsidRPr="00FF338C">
        <w:t>For generation facilities</w:t>
      </w:r>
      <w:r>
        <w:t>,</w:t>
      </w:r>
      <w:r w:rsidRPr="00FF338C">
        <w:t xml:space="preserve"> </w:t>
      </w:r>
      <w:proofErr w:type="gramStart"/>
      <w:r w:rsidRPr="00FF338C">
        <w:t>the majority of</w:t>
      </w:r>
      <w:proofErr w:type="gramEnd"/>
      <w:r w:rsidRPr="00FF338C">
        <w:t xml:space="preserve"> energy produced is</w:t>
      </w:r>
      <w:r>
        <w:t xml:space="preserve"> electricity </w:t>
      </w:r>
      <w:r w:rsidR="00857FE0">
        <w:t xml:space="preserve">for </w:t>
      </w:r>
      <w:r w:rsidR="008E48BA">
        <w:t xml:space="preserve">supply </w:t>
      </w:r>
      <w:r w:rsidR="00857FE0">
        <w:t xml:space="preserve">onto </w:t>
      </w:r>
      <w:r w:rsidR="00971028">
        <w:t>a network</w:t>
      </w:r>
      <w:r w:rsidR="008A4654">
        <w:t xml:space="preserve"> outside of the facility</w:t>
      </w:r>
      <w:r w:rsidR="00971028">
        <w:t>.</w:t>
      </w:r>
      <w:r w:rsidRPr="00FF338C">
        <w:t xml:space="preserve"> </w:t>
      </w:r>
      <w:r w:rsidR="000561FA">
        <w:t xml:space="preserve">For non-renewable </w:t>
      </w:r>
      <w:r w:rsidR="00E80C8D">
        <w:t>or</w:t>
      </w:r>
      <w:r w:rsidR="003A4F5A">
        <w:t xml:space="preserve"> non-</w:t>
      </w:r>
      <w:r w:rsidR="00E80C8D">
        <w:t xml:space="preserve">biogas </w:t>
      </w:r>
      <w:r w:rsidR="000561FA">
        <w:t>generation facilities</w:t>
      </w:r>
      <w:r w:rsidR="00B609B6">
        <w:t xml:space="preserve">, </w:t>
      </w:r>
      <w:proofErr w:type="gramStart"/>
      <w:r w:rsidRPr="00FF338C">
        <w:t>the majority of</w:t>
      </w:r>
      <w:proofErr w:type="gramEnd"/>
      <w:r w:rsidRPr="00FF338C">
        <w:t xml:space="preserve"> energy consumed </w:t>
      </w:r>
      <w:r>
        <w:t xml:space="preserve">is </w:t>
      </w:r>
      <w:r w:rsidR="001C6E80">
        <w:t>from</w:t>
      </w:r>
      <w:r>
        <w:t xml:space="preserve"> </w:t>
      </w:r>
      <w:r w:rsidRPr="00FF338C">
        <w:t xml:space="preserve">fuels </w:t>
      </w:r>
      <w:r w:rsidR="008A4654">
        <w:t>combusted</w:t>
      </w:r>
      <w:r w:rsidR="00FE52C5">
        <w:t xml:space="preserve"> </w:t>
      </w:r>
      <w:r w:rsidRPr="00FF338C">
        <w:t xml:space="preserve">for </w:t>
      </w:r>
      <w:r w:rsidR="0011122A">
        <w:t xml:space="preserve">electricity </w:t>
      </w:r>
      <w:r w:rsidRPr="00FF338C">
        <w:t xml:space="preserve">generation </w:t>
      </w:r>
      <w:r w:rsidR="001C6E80">
        <w:t>and</w:t>
      </w:r>
      <w:r>
        <w:t xml:space="preserve"> </w:t>
      </w:r>
      <w:r w:rsidRPr="00FF338C">
        <w:t xml:space="preserve">any electricity used or lost on site. For transmission and distribution facilities, </w:t>
      </w:r>
      <w:r w:rsidR="00577ED4">
        <w:t xml:space="preserve">electricity </w:t>
      </w:r>
      <w:r w:rsidRPr="00FF338C">
        <w:t xml:space="preserve">line losses usually constitute </w:t>
      </w:r>
      <w:proofErr w:type="gramStart"/>
      <w:r w:rsidRPr="00FF338C">
        <w:t>the majority of</w:t>
      </w:r>
      <w:proofErr w:type="gramEnd"/>
      <w:r w:rsidRPr="00FF338C">
        <w:t xml:space="preserve"> energy consu</w:t>
      </w:r>
      <w:r>
        <w:t>med</w:t>
      </w:r>
      <w:r w:rsidRPr="00FF338C">
        <w:t xml:space="preserve"> with minimal or no energy production.</w:t>
      </w:r>
    </w:p>
    <w:tbl>
      <w:tblPr>
        <w:tblStyle w:val="CERCallout"/>
        <w:tblW w:w="5000" w:type="pct"/>
        <w:tblLook w:val="04A0" w:firstRow="1" w:lastRow="0" w:firstColumn="1" w:lastColumn="0" w:noHBand="0" w:noVBand="1"/>
      </w:tblPr>
      <w:tblGrid>
        <w:gridCol w:w="9710"/>
      </w:tblGrid>
      <w:tr w:rsidR="00D67F2D" w:rsidRPr="00FF338C" w14:paraId="7672D8B0" w14:textId="77777777" w:rsidTr="00BE117F">
        <w:trPr>
          <w:cnfStyle w:val="100000000000" w:firstRow="1" w:lastRow="0" w:firstColumn="0" w:lastColumn="0" w:oddVBand="0" w:evenVBand="0" w:oddHBand="0" w:evenHBand="0" w:firstRowFirstColumn="0" w:firstRowLastColumn="0" w:lastRowFirstColumn="0" w:lastRowLastColumn="0"/>
        </w:trPr>
        <w:tc>
          <w:tcPr>
            <w:tcW w:w="5000" w:type="pct"/>
          </w:tcPr>
          <w:p w14:paraId="19CAACF9" w14:textId="54D94116" w:rsidR="00A57A5C" w:rsidRPr="00FB5D2B" w:rsidRDefault="004B0870">
            <w:pPr>
              <w:pStyle w:val="Heading5"/>
              <w:ind w:left="2"/>
              <w:rPr>
                <w:b/>
                <w:bCs/>
              </w:rPr>
            </w:pPr>
            <w:bookmarkStart w:id="248" w:name="_Toc526867718"/>
            <w:bookmarkStart w:id="249" w:name="_Toc526869760"/>
            <w:bookmarkStart w:id="250" w:name="_Toc205461468"/>
            <w:r>
              <w:rPr>
                <w:rFonts w:ascii="ZWAdobeF" w:hAnsi="ZWAdobeF" w:cs="ZWAdobeF"/>
                <w:bCs/>
                <w:color w:val="auto"/>
                <w:sz w:val="2"/>
                <w:szCs w:val="2"/>
              </w:rPr>
              <w:t>5B</w:t>
            </w:r>
            <w:r w:rsidR="00A57A5C" w:rsidRPr="00FB5D2B">
              <w:rPr>
                <w:b/>
                <w:bCs/>
              </w:rPr>
              <w:t>Example – Energy production and consumption from a gas</w:t>
            </w:r>
            <w:r w:rsidR="00002C8B">
              <w:rPr>
                <w:b/>
                <w:bCs/>
              </w:rPr>
              <w:t>-</w:t>
            </w:r>
            <w:r w:rsidR="00A57A5C" w:rsidRPr="00FB5D2B">
              <w:rPr>
                <w:b/>
                <w:bCs/>
              </w:rPr>
              <w:t>fired power station</w:t>
            </w:r>
            <w:bookmarkEnd w:id="248"/>
            <w:bookmarkEnd w:id="249"/>
            <w:bookmarkEnd w:id="250"/>
          </w:p>
          <w:p w14:paraId="0F5A8B7A" w14:textId="77777777" w:rsidR="00A57A5C" w:rsidRPr="00FB5D2B" w:rsidRDefault="00A57A5C" w:rsidP="00703446">
            <w:pPr>
              <w:pStyle w:val="CERbullets"/>
              <w:numPr>
                <w:ilvl w:val="0"/>
                <w:numId w:val="0"/>
              </w:numPr>
              <w:ind w:left="2"/>
              <w:rPr>
                <w:b w:val="0"/>
                <w:bCs/>
              </w:rPr>
            </w:pPr>
            <w:hyperlink w:anchor="_Appendix_A_–" w:history="1">
              <w:r w:rsidRPr="00FB5D2B">
                <w:rPr>
                  <w:rStyle w:val="Hyperlink"/>
                  <w:rFonts w:asciiTheme="minorHAnsi" w:hAnsiTheme="minorHAnsi"/>
                  <w:b w:val="0"/>
                  <w:bCs/>
                </w:rPr>
                <w:t>Case example 1 in Appendix A</w:t>
              </w:r>
            </w:hyperlink>
            <w:r w:rsidRPr="00FB5D2B">
              <w:rPr>
                <w:b w:val="0"/>
                <w:bCs/>
              </w:rPr>
              <w:t xml:space="preserve"> in respect of a gas-fired power station illustrates the concept of energy as a commodity with reference to energy production and energy consumption.</w:t>
            </w:r>
          </w:p>
          <w:p w14:paraId="1FA57195" w14:textId="775A3F38" w:rsidR="00A57A5C" w:rsidRPr="00FB5D2B" w:rsidRDefault="00A57A5C" w:rsidP="00703446">
            <w:pPr>
              <w:pStyle w:val="CERbullets"/>
              <w:numPr>
                <w:ilvl w:val="0"/>
                <w:numId w:val="0"/>
              </w:numPr>
              <w:ind w:left="2"/>
              <w:rPr>
                <w:b w:val="0"/>
                <w:bCs/>
              </w:rPr>
            </w:pPr>
            <w:r w:rsidRPr="00FB5D2B">
              <w:rPr>
                <w:b w:val="0"/>
                <w:bCs/>
              </w:rPr>
              <w:t>In this case, energy production comprises</w:t>
            </w:r>
            <w:r w:rsidR="00B22A04">
              <w:rPr>
                <w:b w:val="0"/>
                <w:bCs/>
              </w:rPr>
              <w:t xml:space="preserve"> of</w:t>
            </w:r>
            <w:r w:rsidRPr="00FB5D2B">
              <w:rPr>
                <w:b w:val="0"/>
                <w:bCs/>
              </w:rPr>
              <w:t>:</w:t>
            </w:r>
          </w:p>
          <w:p w14:paraId="290325B1" w14:textId="27FD69C9" w:rsidR="00A57A5C" w:rsidRPr="00FB5D2B" w:rsidRDefault="00A57A5C" w:rsidP="00B3330E">
            <w:pPr>
              <w:pStyle w:val="CERbullets"/>
              <w:spacing w:beforeAutospacing="0"/>
              <w:ind w:left="428"/>
              <w:rPr>
                <w:b w:val="0"/>
                <w:bCs/>
              </w:rPr>
            </w:pPr>
            <w:r w:rsidRPr="00FB5D2B">
              <w:rPr>
                <w:b w:val="0"/>
                <w:bCs/>
              </w:rPr>
              <w:t>electricity produced and consumed at the facility (see numbers 4 and 5 in</w:t>
            </w:r>
            <w:r w:rsidR="00C44F0B">
              <w:rPr>
                <w:b w:val="0"/>
                <w:bCs/>
              </w:rPr>
              <w:t xml:space="preserve"> </w:t>
            </w:r>
            <w:r w:rsidR="00C44F0B" w:rsidRPr="00974C94">
              <w:rPr>
                <w:rFonts w:eastAsiaTheme="minorEastAsia"/>
                <w:bCs/>
              </w:rPr>
              <w:fldChar w:fldCharType="begin" w:fldLock="1"/>
            </w:r>
            <w:r w:rsidR="00C44F0B" w:rsidRPr="00C44F0B">
              <w:rPr>
                <w:rFonts w:eastAsiaTheme="minorEastAsia"/>
                <w:b w:val="0"/>
                <w:bCs/>
              </w:rPr>
              <w:instrText xml:space="preserve"> </w:instrText>
            </w:r>
            <w:r w:rsidR="00C44F0B" w:rsidRPr="00974C94">
              <w:rPr>
                <w:rFonts w:eastAsiaTheme="minorEastAsia"/>
                <w:b w:val="0"/>
                <w:bCs/>
              </w:rPr>
              <w:instrText xml:space="preserve">REF </w:instrText>
            </w:r>
            <w:r w:rsidR="00C44F0B" w:rsidRPr="00C44F0B">
              <w:rPr>
                <w:rFonts w:eastAsiaTheme="minorEastAsia"/>
                <w:b w:val="0"/>
                <w:bCs/>
              </w:rPr>
              <w:instrText xml:space="preserve">_Ref199339978 </w:instrText>
            </w:r>
            <w:r w:rsidR="00C44F0B" w:rsidRPr="00974C94">
              <w:rPr>
                <w:rFonts w:eastAsiaTheme="minorEastAsia"/>
                <w:b w:val="0"/>
                <w:bCs/>
              </w:rPr>
              <w:instrText xml:space="preserve"> \* MERGEFORMAT </w:instrText>
            </w:r>
            <w:r w:rsidR="00C44F0B" w:rsidRPr="00974C94">
              <w:rPr>
                <w:rFonts w:eastAsiaTheme="minorEastAsia"/>
                <w:bCs/>
              </w:rPr>
              <w:fldChar w:fldCharType="separate"/>
            </w:r>
            <w:r w:rsidR="00C44F0B" w:rsidRPr="00974C94">
              <w:rPr>
                <w:b w:val="0"/>
                <w:bCs/>
              </w:rPr>
              <w:t xml:space="preserve">Figure </w:t>
            </w:r>
            <w:r w:rsidR="00C44F0B" w:rsidRPr="00974C94">
              <w:rPr>
                <w:b w:val="0"/>
                <w:bCs/>
                <w:noProof/>
              </w:rPr>
              <w:t>7</w:t>
            </w:r>
            <w:r w:rsidR="00C44F0B" w:rsidRPr="00974C94">
              <w:rPr>
                <w:rFonts w:eastAsiaTheme="minorEastAsia"/>
                <w:bCs/>
              </w:rPr>
              <w:fldChar w:fldCharType="end"/>
            </w:r>
            <w:r>
              <w:fldChar w:fldCharType="begin" w:fldLock="1"/>
            </w:r>
            <w:r>
              <w:rPr>
                <w:b w:val="0"/>
              </w:rPr>
              <w:instrText xml:space="preserve"> REF _Ref142312973 \h </w:instrText>
            </w:r>
            <w:r>
              <w:fldChar w:fldCharType="separate"/>
            </w:r>
            <w:r>
              <w:fldChar w:fldCharType="end"/>
            </w:r>
            <w:r w:rsidRPr="79B44BC7">
              <w:rPr>
                <w:b w:val="0"/>
              </w:rPr>
              <w:t>)</w:t>
            </w:r>
          </w:p>
          <w:p w14:paraId="78C9B27E" w14:textId="3DC131F9" w:rsidR="00A57A5C" w:rsidRPr="00FB5D2B" w:rsidRDefault="00A57A5C" w:rsidP="00B3330E">
            <w:pPr>
              <w:pStyle w:val="CERbullets"/>
              <w:spacing w:beforeAutospacing="0"/>
              <w:ind w:left="428"/>
              <w:rPr>
                <w:b w:val="0"/>
                <w:bCs/>
              </w:rPr>
            </w:pPr>
            <w:r w:rsidRPr="00FB5D2B">
              <w:rPr>
                <w:b w:val="0"/>
                <w:bCs/>
              </w:rPr>
              <w:t>electricity produced and delivered directly to the nearby facility (see number 6 in</w:t>
            </w:r>
            <w:r w:rsidR="00C44F0B">
              <w:rPr>
                <w:b w:val="0"/>
                <w:bCs/>
              </w:rPr>
              <w:t xml:space="preserve"> </w:t>
            </w:r>
            <w:r w:rsidR="00C44F0B" w:rsidRPr="00974C94">
              <w:rPr>
                <w:rFonts w:eastAsiaTheme="minorEastAsia"/>
                <w:bCs/>
              </w:rPr>
              <w:fldChar w:fldCharType="begin" w:fldLock="1"/>
            </w:r>
            <w:r w:rsidR="00C44F0B" w:rsidRPr="00C44F0B">
              <w:rPr>
                <w:rFonts w:eastAsiaTheme="minorEastAsia"/>
                <w:b w:val="0"/>
                <w:bCs/>
              </w:rPr>
              <w:instrText xml:space="preserve"> </w:instrText>
            </w:r>
            <w:r w:rsidR="00C44F0B" w:rsidRPr="00974C94">
              <w:rPr>
                <w:rFonts w:eastAsiaTheme="minorEastAsia"/>
                <w:b w:val="0"/>
                <w:bCs/>
              </w:rPr>
              <w:instrText xml:space="preserve">REF </w:instrText>
            </w:r>
            <w:r w:rsidR="00C44F0B" w:rsidRPr="00C44F0B">
              <w:rPr>
                <w:rFonts w:eastAsiaTheme="minorEastAsia"/>
                <w:b w:val="0"/>
                <w:bCs/>
              </w:rPr>
              <w:instrText xml:space="preserve">_Ref199339978 </w:instrText>
            </w:r>
            <w:r w:rsidR="00C44F0B" w:rsidRPr="00974C94">
              <w:rPr>
                <w:rFonts w:eastAsiaTheme="minorEastAsia"/>
                <w:b w:val="0"/>
                <w:bCs/>
              </w:rPr>
              <w:instrText xml:space="preserve"> \* MERGEFORMAT </w:instrText>
            </w:r>
            <w:r w:rsidR="00C44F0B" w:rsidRPr="00974C94">
              <w:rPr>
                <w:rFonts w:eastAsiaTheme="minorEastAsia"/>
                <w:bCs/>
              </w:rPr>
              <w:fldChar w:fldCharType="separate"/>
            </w:r>
            <w:r w:rsidR="00C44F0B" w:rsidRPr="00974C94">
              <w:rPr>
                <w:b w:val="0"/>
                <w:bCs/>
              </w:rPr>
              <w:t xml:space="preserve">Figure </w:t>
            </w:r>
            <w:r w:rsidR="00C44F0B" w:rsidRPr="00974C94">
              <w:rPr>
                <w:b w:val="0"/>
                <w:bCs/>
                <w:noProof/>
              </w:rPr>
              <w:t>7</w:t>
            </w:r>
            <w:r w:rsidR="00C44F0B" w:rsidRPr="00974C94">
              <w:rPr>
                <w:rFonts w:eastAsiaTheme="minorEastAsia"/>
                <w:bCs/>
              </w:rPr>
              <w:fldChar w:fldCharType="end"/>
            </w:r>
            <w:r w:rsidRPr="79B44BC7">
              <w:rPr>
                <w:b w:val="0"/>
              </w:rPr>
              <w:t>)</w:t>
            </w:r>
          </w:p>
          <w:p w14:paraId="6CD178A4" w14:textId="2F2421AD" w:rsidR="00A57A5C" w:rsidRPr="00FB5D2B" w:rsidRDefault="00A57A5C" w:rsidP="00B3330E">
            <w:pPr>
              <w:pStyle w:val="CERbullets"/>
              <w:spacing w:beforeAutospacing="0"/>
              <w:ind w:left="428"/>
              <w:rPr>
                <w:b w:val="0"/>
                <w:bCs/>
              </w:rPr>
            </w:pPr>
            <w:r w:rsidRPr="00FB5D2B">
              <w:rPr>
                <w:b w:val="0"/>
                <w:bCs/>
              </w:rPr>
              <w:t xml:space="preserve">electricity transferred to an electricity network (see number 7 in </w:t>
            </w:r>
            <w:r w:rsidR="00C44F0B" w:rsidRPr="00974C94">
              <w:rPr>
                <w:rFonts w:eastAsiaTheme="minorEastAsia"/>
                <w:bCs/>
              </w:rPr>
              <w:fldChar w:fldCharType="begin" w:fldLock="1"/>
            </w:r>
            <w:r w:rsidR="00C44F0B" w:rsidRPr="00C44F0B">
              <w:rPr>
                <w:rFonts w:eastAsiaTheme="minorEastAsia"/>
                <w:b w:val="0"/>
                <w:bCs/>
              </w:rPr>
              <w:instrText xml:space="preserve"> </w:instrText>
            </w:r>
            <w:r w:rsidR="00C44F0B" w:rsidRPr="00974C94">
              <w:rPr>
                <w:rFonts w:eastAsiaTheme="minorEastAsia"/>
                <w:b w:val="0"/>
                <w:bCs/>
              </w:rPr>
              <w:instrText xml:space="preserve">REF </w:instrText>
            </w:r>
            <w:r w:rsidR="00C44F0B" w:rsidRPr="00C44F0B">
              <w:rPr>
                <w:rFonts w:eastAsiaTheme="minorEastAsia"/>
                <w:b w:val="0"/>
                <w:bCs/>
              </w:rPr>
              <w:instrText xml:space="preserve">_Ref199339978 </w:instrText>
            </w:r>
            <w:r w:rsidR="00C44F0B" w:rsidRPr="00974C94">
              <w:rPr>
                <w:rFonts w:eastAsiaTheme="minorEastAsia"/>
                <w:b w:val="0"/>
                <w:bCs/>
              </w:rPr>
              <w:instrText xml:space="preserve"> \* MERGEFORMAT </w:instrText>
            </w:r>
            <w:r w:rsidR="00C44F0B" w:rsidRPr="00974C94">
              <w:rPr>
                <w:rFonts w:eastAsiaTheme="minorEastAsia"/>
                <w:bCs/>
              </w:rPr>
              <w:fldChar w:fldCharType="separate"/>
            </w:r>
            <w:r w:rsidR="00C44F0B" w:rsidRPr="00974C94">
              <w:rPr>
                <w:b w:val="0"/>
                <w:bCs/>
              </w:rPr>
              <w:t xml:space="preserve">Figure </w:t>
            </w:r>
            <w:r w:rsidR="00C44F0B" w:rsidRPr="00974C94">
              <w:rPr>
                <w:b w:val="0"/>
                <w:bCs/>
                <w:noProof/>
              </w:rPr>
              <w:t>7</w:t>
            </w:r>
            <w:r w:rsidR="00C44F0B" w:rsidRPr="00974C94">
              <w:rPr>
                <w:rFonts w:eastAsiaTheme="minorEastAsia"/>
                <w:bCs/>
              </w:rPr>
              <w:fldChar w:fldCharType="end"/>
            </w:r>
            <w:r w:rsidRPr="79B44BC7">
              <w:rPr>
                <w:b w:val="0"/>
              </w:rPr>
              <w:t>).</w:t>
            </w:r>
          </w:p>
          <w:p w14:paraId="3B0E28EF" w14:textId="77777777" w:rsidR="00A57A5C" w:rsidRPr="00FB5D2B" w:rsidRDefault="00A57A5C" w:rsidP="00703446">
            <w:pPr>
              <w:pStyle w:val="CERbullets"/>
              <w:numPr>
                <w:ilvl w:val="0"/>
                <w:numId w:val="0"/>
              </w:numPr>
              <w:ind w:left="2"/>
              <w:rPr>
                <w:b w:val="0"/>
                <w:bCs/>
              </w:rPr>
            </w:pPr>
            <w:r w:rsidRPr="00FB5D2B">
              <w:rPr>
                <w:b w:val="0"/>
                <w:bCs/>
              </w:rPr>
              <w:t>In this case, energy consumption comprises:</w:t>
            </w:r>
          </w:p>
          <w:p w14:paraId="29452E52" w14:textId="0C5CD140" w:rsidR="00A57A5C" w:rsidRPr="00FB5D2B" w:rsidRDefault="00A57A5C" w:rsidP="00B3330E">
            <w:pPr>
              <w:pStyle w:val="CERbullets"/>
              <w:spacing w:beforeAutospacing="0"/>
              <w:ind w:left="428"/>
              <w:rPr>
                <w:b w:val="0"/>
                <w:bCs/>
              </w:rPr>
            </w:pPr>
            <w:r w:rsidRPr="00FB5D2B">
              <w:rPr>
                <w:b w:val="0"/>
                <w:bCs/>
              </w:rPr>
              <w:t xml:space="preserve">gas combusted for generation purposes (see number 2 in </w:t>
            </w:r>
            <w:r w:rsidR="00C44F0B" w:rsidRPr="00974C94">
              <w:rPr>
                <w:rFonts w:eastAsiaTheme="minorEastAsia"/>
                <w:bCs/>
              </w:rPr>
              <w:fldChar w:fldCharType="begin" w:fldLock="1"/>
            </w:r>
            <w:r w:rsidR="00C44F0B" w:rsidRPr="00C44F0B">
              <w:rPr>
                <w:rFonts w:eastAsiaTheme="minorEastAsia"/>
                <w:b w:val="0"/>
                <w:bCs/>
              </w:rPr>
              <w:instrText xml:space="preserve"> </w:instrText>
            </w:r>
            <w:r w:rsidR="00C44F0B" w:rsidRPr="00974C94">
              <w:rPr>
                <w:rFonts w:eastAsiaTheme="minorEastAsia"/>
                <w:b w:val="0"/>
                <w:bCs/>
              </w:rPr>
              <w:instrText xml:space="preserve">REF </w:instrText>
            </w:r>
            <w:r w:rsidR="00C44F0B" w:rsidRPr="00C44F0B">
              <w:rPr>
                <w:rFonts w:eastAsiaTheme="minorEastAsia"/>
                <w:b w:val="0"/>
                <w:bCs/>
              </w:rPr>
              <w:instrText xml:space="preserve">_Ref199339978 </w:instrText>
            </w:r>
            <w:r w:rsidR="00C44F0B" w:rsidRPr="00974C94">
              <w:rPr>
                <w:rFonts w:eastAsiaTheme="minorEastAsia"/>
                <w:b w:val="0"/>
                <w:bCs/>
              </w:rPr>
              <w:instrText xml:space="preserve"> \* MERGEFORMAT </w:instrText>
            </w:r>
            <w:r w:rsidR="00C44F0B" w:rsidRPr="00974C94">
              <w:rPr>
                <w:rFonts w:eastAsiaTheme="minorEastAsia"/>
                <w:bCs/>
              </w:rPr>
              <w:fldChar w:fldCharType="separate"/>
            </w:r>
            <w:r w:rsidR="00C44F0B" w:rsidRPr="00974C94">
              <w:rPr>
                <w:b w:val="0"/>
                <w:bCs/>
              </w:rPr>
              <w:t xml:space="preserve">Figure </w:t>
            </w:r>
            <w:r w:rsidR="00C44F0B" w:rsidRPr="00974C94">
              <w:rPr>
                <w:b w:val="0"/>
                <w:bCs/>
                <w:noProof/>
              </w:rPr>
              <w:t>7</w:t>
            </w:r>
            <w:r w:rsidR="00C44F0B" w:rsidRPr="00974C94">
              <w:rPr>
                <w:rFonts w:eastAsiaTheme="minorEastAsia"/>
                <w:bCs/>
              </w:rPr>
              <w:fldChar w:fldCharType="end"/>
            </w:r>
            <w:r w:rsidRPr="79B44BC7">
              <w:rPr>
                <w:b w:val="0"/>
              </w:rPr>
              <w:t>)</w:t>
            </w:r>
          </w:p>
          <w:p w14:paraId="5E0EBCEE" w14:textId="2585235C" w:rsidR="00A57A5C" w:rsidRPr="00FF338C" w:rsidRDefault="00A57A5C" w:rsidP="00B3330E">
            <w:pPr>
              <w:pStyle w:val="CERbullets"/>
              <w:spacing w:beforeAutospacing="0"/>
              <w:ind w:left="428"/>
            </w:pPr>
            <w:r w:rsidRPr="00FB5D2B">
              <w:rPr>
                <w:b w:val="0"/>
                <w:bCs/>
              </w:rPr>
              <w:t xml:space="preserve">own produced electricity consumed by facility (see number 5 in </w:t>
            </w:r>
            <w:r w:rsidR="00C44F0B" w:rsidRPr="00974C94">
              <w:rPr>
                <w:rFonts w:eastAsiaTheme="minorEastAsia"/>
                <w:bCs/>
              </w:rPr>
              <w:fldChar w:fldCharType="begin" w:fldLock="1"/>
            </w:r>
            <w:r w:rsidR="00C44F0B" w:rsidRPr="00C44F0B">
              <w:rPr>
                <w:rFonts w:eastAsiaTheme="minorEastAsia"/>
                <w:b w:val="0"/>
                <w:bCs/>
              </w:rPr>
              <w:instrText xml:space="preserve"> </w:instrText>
            </w:r>
            <w:r w:rsidR="00C44F0B" w:rsidRPr="00974C94">
              <w:rPr>
                <w:rFonts w:eastAsiaTheme="minorEastAsia"/>
                <w:b w:val="0"/>
                <w:bCs/>
              </w:rPr>
              <w:instrText xml:space="preserve">REF </w:instrText>
            </w:r>
            <w:r w:rsidR="00C44F0B" w:rsidRPr="00C44F0B">
              <w:rPr>
                <w:rFonts w:eastAsiaTheme="minorEastAsia"/>
                <w:b w:val="0"/>
                <w:bCs/>
              </w:rPr>
              <w:instrText xml:space="preserve">_Ref199339978 </w:instrText>
            </w:r>
            <w:r w:rsidR="00C44F0B" w:rsidRPr="00974C94">
              <w:rPr>
                <w:rFonts w:eastAsiaTheme="minorEastAsia"/>
                <w:b w:val="0"/>
                <w:bCs/>
              </w:rPr>
              <w:instrText xml:space="preserve"> \* MERGEFORMAT </w:instrText>
            </w:r>
            <w:r w:rsidR="00C44F0B" w:rsidRPr="00974C94">
              <w:rPr>
                <w:rFonts w:eastAsiaTheme="minorEastAsia"/>
                <w:bCs/>
              </w:rPr>
              <w:fldChar w:fldCharType="separate"/>
            </w:r>
            <w:r w:rsidR="00C44F0B" w:rsidRPr="00974C94">
              <w:rPr>
                <w:b w:val="0"/>
                <w:bCs/>
              </w:rPr>
              <w:t xml:space="preserve">Figure </w:t>
            </w:r>
            <w:r w:rsidR="00C44F0B" w:rsidRPr="00974C94">
              <w:rPr>
                <w:b w:val="0"/>
                <w:bCs/>
                <w:noProof/>
              </w:rPr>
              <w:t>7</w:t>
            </w:r>
            <w:r w:rsidR="00C44F0B" w:rsidRPr="00974C94">
              <w:rPr>
                <w:rFonts w:eastAsiaTheme="minorEastAsia"/>
                <w:bCs/>
              </w:rPr>
              <w:fldChar w:fldCharType="end"/>
            </w:r>
            <w:r w:rsidRPr="79B44BC7">
              <w:rPr>
                <w:b w:val="0"/>
              </w:rPr>
              <w:t>).</w:t>
            </w:r>
          </w:p>
        </w:tc>
      </w:tr>
    </w:tbl>
    <w:p w14:paraId="2EEFDD29" w14:textId="77777777" w:rsidR="00A57A5C" w:rsidRPr="00FF338C" w:rsidRDefault="00A57A5C" w:rsidP="00DB4B56">
      <w:pPr>
        <w:pStyle w:val="Heading2"/>
        <w:numPr>
          <w:ilvl w:val="1"/>
          <w:numId w:val="3"/>
        </w:numPr>
        <w:ind w:left="426" w:hanging="426"/>
      </w:pPr>
      <w:bookmarkStart w:id="251" w:name="_Estimating_energy_production"/>
      <w:bookmarkStart w:id="252" w:name="_Ref511319172"/>
      <w:bookmarkStart w:id="253" w:name="_Toc511376931"/>
      <w:bookmarkStart w:id="254" w:name="_Toc511388528"/>
      <w:bookmarkStart w:id="255" w:name="_Toc511389450"/>
      <w:bookmarkStart w:id="256" w:name="_Toc511392959"/>
      <w:bookmarkStart w:id="257" w:name="_Toc511732490"/>
      <w:bookmarkStart w:id="258" w:name="_Toc512010412"/>
      <w:bookmarkStart w:id="259" w:name="_Toc512339611"/>
      <w:bookmarkStart w:id="260" w:name="_Toc106705768"/>
      <w:bookmarkStart w:id="261" w:name="_Toc205461469"/>
      <w:bookmarkEnd w:id="251"/>
      <w:r w:rsidRPr="00FF338C">
        <w:t>Estimating energy production and consumption</w:t>
      </w:r>
      <w:bookmarkEnd w:id="252"/>
      <w:bookmarkEnd w:id="253"/>
      <w:bookmarkEnd w:id="254"/>
      <w:bookmarkEnd w:id="255"/>
      <w:bookmarkEnd w:id="256"/>
      <w:bookmarkEnd w:id="257"/>
      <w:bookmarkEnd w:id="258"/>
      <w:bookmarkEnd w:id="259"/>
      <w:bookmarkEnd w:id="260"/>
      <w:bookmarkEnd w:id="261"/>
    </w:p>
    <w:p w14:paraId="4304463C" w14:textId="6B3DC045" w:rsidR="00A57A5C" w:rsidRDefault="00A57A5C" w:rsidP="00A57A5C">
      <w:pPr>
        <w:rPr>
          <w:color w:val="auto"/>
        </w:rPr>
      </w:pPr>
      <w:r w:rsidRPr="00FF338C">
        <w:rPr>
          <w:color w:val="auto"/>
        </w:rPr>
        <w:t xml:space="preserve">Both total energy production and total energy consumption from the operation of a facility during a reporting year are estimated using the following equation: </w:t>
      </w:r>
    </w:p>
    <w:p w14:paraId="72C60EAC" w14:textId="77777777" w:rsidR="006B1FD6" w:rsidRPr="006B1FD6" w:rsidRDefault="006B1FD6" w:rsidP="006B1FD6">
      <w:pPr>
        <w:ind w:left="360"/>
        <w:rPr>
          <w:b/>
          <w:color w:val="auto"/>
        </w:rPr>
      </w:pPr>
      <w:r w:rsidRPr="006B1FD6">
        <w:rPr>
          <w:b/>
          <w:color w:val="auto"/>
        </w:rPr>
        <w:t>Z = Q x EC</w:t>
      </w:r>
    </w:p>
    <w:p w14:paraId="332DE41B" w14:textId="1B8203BA" w:rsidR="006B1FD6" w:rsidRPr="00D2141E" w:rsidRDefault="00033F1A" w:rsidP="00D2141E">
      <w:pPr>
        <w:rPr>
          <w:color w:val="auto"/>
        </w:rPr>
      </w:pPr>
      <w:r>
        <w:rPr>
          <w:bCs/>
          <w:color w:val="auto"/>
        </w:rPr>
        <w:t>Wher</w:t>
      </w:r>
      <w:r w:rsidR="00D2141E">
        <w:rPr>
          <w:bCs/>
          <w:color w:val="auto"/>
        </w:rPr>
        <w:t>e</w:t>
      </w:r>
      <w:r w:rsidR="000379D5">
        <w:rPr>
          <w:bCs/>
          <w:color w:val="auto"/>
        </w:rPr>
        <w:t>:</w:t>
      </w:r>
    </w:p>
    <w:p w14:paraId="0294B0F6" w14:textId="052C23D0" w:rsidR="006B1FD6" w:rsidRPr="00D2141E" w:rsidRDefault="006B1FD6" w:rsidP="00D2141E">
      <w:pPr>
        <w:ind w:left="720"/>
        <w:rPr>
          <w:color w:val="auto"/>
        </w:rPr>
      </w:pPr>
      <w:r w:rsidRPr="006B1FD6">
        <w:rPr>
          <w:b/>
          <w:color w:val="auto"/>
        </w:rPr>
        <w:t xml:space="preserve">Z </w:t>
      </w:r>
      <w:r w:rsidRPr="00D2141E">
        <w:rPr>
          <w:color w:val="auto"/>
        </w:rPr>
        <w:t>is the amount of an individual fuel or energy commodity produced or consumed in GJ</w:t>
      </w:r>
      <w:r w:rsidR="004274F0">
        <w:rPr>
          <w:bCs/>
          <w:color w:val="auto"/>
        </w:rPr>
        <w:t>.</w:t>
      </w:r>
    </w:p>
    <w:p w14:paraId="1D5575FB" w14:textId="02C959B8" w:rsidR="006B1FD6" w:rsidRPr="006B1FD6" w:rsidRDefault="006B1FD6" w:rsidP="00D2141E">
      <w:pPr>
        <w:ind w:left="720"/>
        <w:rPr>
          <w:b/>
          <w:color w:val="auto"/>
        </w:rPr>
      </w:pPr>
      <w:r w:rsidRPr="006B1FD6">
        <w:rPr>
          <w:b/>
          <w:color w:val="auto"/>
        </w:rPr>
        <w:t xml:space="preserve">Q </w:t>
      </w:r>
      <w:r w:rsidRPr="00D2141E">
        <w:rPr>
          <w:color w:val="auto"/>
        </w:rPr>
        <w:t xml:space="preserve">is the physical quantity of the fuel or energy commodity produced or consumed during the </w:t>
      </w:r>
      <w:r w:rsidR="007F312E" w:rsidRPr="00D2141E">
        <w:rPr>
          <w:bCs/>
          <w:color w:val="auto"/>
        </w:rPr>
        <w:t xml:space="preserve">reporting </w:t>
      </w:r>
      <w:r w:rsidRPr="00D2141E">
        <w:rPr>
          <w:bCs/>
          <w:color w:val="auto"/>
        </w:rPr>
        <w:t>year</w:t>
      </w:r>
      <w:r w:rsidR="004274F0" w:rsidRPr="00D2141E">
        <w:rPr>
          <w:bCs/>
          <w:color w:val="auto"/>
        </w:rPr>
        <w:t>.</w:t>
      </w:r>
    </w:p>
    <w:p w14:paraId="3B0610FA" w14:textId="729BE2E4" w:rsidR="006B1FD6" w:rsidRPr="006B1FD6" w:rsidRDefault="006B1FD6" w:rsidP="00D2141E">
      <w:pPr>
        <w:ind w:left="720"/>
        <w:rPr>
          <w:b/>
          <w:color w:val="auto"/>
        </w:rPr>
      </w:pPr>
      <w:r w:rsidRPr="006B1FD6">
        <w:rPr>
          <w:b/>
          <w:color w:val="auto"/>
        </w:rPr>
        <w:t xml:space="preserve">EC </w:t>
      </w:r>
      <w:r w:rsidRPr="00D2141E">
        <w:rPr>
          <w:color w:val="auto"/>
        </w:rPr>
        <w:t>is the energy content factor of the fuel or energy commodity.</w:t>
      </w:r>
    </w:p>
    <w:p w14:paraId="48339CD4" w14:textId="11FF6CC7" w:rsidR="00A57A5C" w:rsidRDefault="00A57A5C" w:rsidP="00A57A5C">
      <w:pPr>
        <w:rPr>
          <w:color w:val="auto"/>
        </w:rPr>
      </w:pPr>
      <w:r w:rsidRPr="00FF338C">
        <w:rPr>
          <w:color w:val="auto"/>
        </w:rPr>
        <w:t>Individual energy flows on a per-gigajoule basis are aggregated to derive total energy production and energy consumption figures. In the case of electricity production and consumption, Q is measured in kWh, and the energy content factor is 0.0036</w:t>
      </w:r>
      <w:r w:rsidR="002F5ED5">
        <w:rPr>
          <w:color w:val="auto"/>
        </w:rPr>
        <w:t> </w:t>
      </w:r>
      <w:r w:rsidRPr="00FF338C">
        <w:rPr>
          <w:color w:val="auto"/>
        </w:rPr>
        <w:t>GJ</w:t>
      </w:r>
      <w:r w:rsidR="000B7D0A">
        <w:rPr>
          <w:color w:val="auto"/>
        </w:rPr>
        <w:t>/</w:t>
      </w:r>
      <w:r w:rsidRPr="00FF338C">
        <w:rPr>
          <w:color w:val="auto"/>
        </w:rPr>
        <w:t>kWh.</w:t>
      </w:r>
    </w:p>
    <w:p w14:paraId="4ACA4B3C" w14:textId="77777777" w:rsidR="00A57A5C" w:rsidRPr="00FF338C" w:rsidRDefault="00A57A5C" w:rsidP="00DB4B56">
      <w:pPr>
        <w:pStyle w:val="Heading2"/>
        <w:numPr>
          <w:ilvl w:val="1"/>
          <w:numId w:val="3"/>
        </w:numPr>
        <w:ind w:left="426" w:hanging="426"/>
      </w:pPr>
      <w:bookmarkStart w:id="262" w:name="_Electricity_production_and"/>
      <w:bookmarkStart w:id="263" w:name="_Ref511911829"/>
      <w:bookmarkStart w:id="264" w:name="_Ref511911830"/>
      <w:bookmarkStart w:id="265" w:name="_Toc512010413"/>
      <w:bookmarkStart w:id="266" w:name="_Toc512339612"/>
      <w:bookmarkStart w:id="267" w:name="_Toc106705769"/>
      <w:bookmarkStart w:id="268" w:name="_Toc205461470"/>
      <w:bookmarkEnd w:id="262"/>
      <w:r w:rsidRPr="00FF338C">
        <w:t>Electricity production and consumption</w:t>
      </w:r>
      <w:bookmarkEnd w:id="263"/>
      <w:bookmarkEnd w:id="264"/>
      <w:bookmarkEnd w:id="265"/>
      <w:bookmarkEnd w:id="266"/>
      <w:bookmarkEnd w:id="267"/>
      <w:bookmarkEnd w:id="268"/>
      <w:r w:rsidRPr="00FF338C">
        <w:t xml:space="preserve"> </w:t>
      </w:r>
    </w:p>
    <w:p w14:paraId="4DB525EC" w14:textId="1648BFF1" w:rsidR="00A57A5C" w:rsidRPr="00FF338C" w:rsidRDefault="00A57A5C" w:rsidP="00A57A5C">
      <w:r w:rsidRPr="00FF338C">
        <w:t>Electricity production and consumption must be reported if it exceeds the thresholds listed in</w:t>
      </w:r>
      <w:r>
        <w:t xml:space="preserve"> </w:t>
      </w:r>
      <w:r w:rsidRPr="00FF338C">
        <w:t>4.19, 4.20 and 4.23</w:t>
      </w:r>
      <w:r w:rsidR="00406A01">
        <w:t xml:space="preserve"> of the </w:t>
      </w:r>
      <w:r>
        <w:t>NGER</w:t>
      </w:r>
      <w:r w:rsidRPr="00FF338C">
        <w:t xml:space="preserve"> Regulations, and section 2.68 of the </w:t>
      </w:r>
      <w:r>
        <w:t>NGER Measurement Determination</w:t>
      </w:r>
      <w:r w:rsidRPr="00FF338C">
        <w:t xml:space="preserve">, summarised </w:t>
      </w:r>
      <w:r w:rsidR="00576085">
        <w:t>in</w:t>
      </w:r>
      <w:r w:rsidR="006C799F">
        <w:t xml:space="preserve"> </w:t>
      </w:r>
      <w:r w:rsidR="006C799F">
        <w:fldChar w:fldCharType="begin" w:fldLock="1"/>
      </w:r>
      <w:r w:rsidR="006C799F">
        <w:instrText xml:space="preserve"> REF _Ref199338865 </w:instrText>
      </w:r>
      <w:r w:rsidR="006C799F">
        <w:fldChar w:fldCharType="separate"/>
      </w:r>
      <w:r w:rsidR="006C799F">
        <w:t xml:space="preserve">Table </w:t>
      </w:r>
      <w:r w:rsidR="006C799F">
        <w:rPr>
          <w:noProof/>
        </w:rPr>
        <w:t>10</w:t>
      </w:r>
      <w:r w:rsidR="006C799F">
        <w:fldChar w:fldCharType="end"/>
      </w:r>
      <w:r w:rsidR="006C799F">
        <w:t xml:space="preserve"> and </w:t>
      </w:r>
      <w:r w:rsidR="006C799F">
        <w:fldChar w:fldCharType="begin" w:fldLock="1"/>
      </w:r>
      <w:r w:rsidR="006C799F">
        <w:instrText xml:space="preserve"> REF _Ref199338869 </w:instrText>
      </w:r>
      <w:r w:rsidR="006C799F">
        <w:fldChar w:fldCharType="separate"/>
      </w:r>
      <w:r w:rsidR="006C799F">
        <w:t xml:space="preserve">Table </w:t>
      </w:r>
      <w:r w:rsidR="006C799F">
        <w:rPr>
          <w:noProof/>
        </w:rPr>
        <w:t>11</w:t>
      </w:r>
      <w:r w:rsidR="006C799F">
        <w:fldChar w:fldCharType="end"/>
      </w:r>
      <w:r w:rsidRPr="00FF338C">
        <w:t>.</w:t>
      </w:r>
    </w:p>
    <w:p w14:paraId="55D1DC36" w14:textId="77777777" w:rsidR="00FD64AC" w:rsidRDefault="00FD64AC">
      <w:pPr>
        <w:spacing w:after="0"/>
        <w:rPr>
          <w:rFonts w:ascii="Calibri Light" w:eastAsiaTheme="minorHAnsi" w:hAnsi="Calibri Light" w:cs="Calibri Light"/>
          <w:i/>
          <w:iCs/>
          <w:sz w:val="18"/>
          <w:szCs w:val="18"/>
        </w:rPr>
      </w:pPr>
      <w:bookmarkStart w:id="269" w:name="_Ref199338865"/>
      <w:r>
        <w:br w:type="page"/>
      </w:r>
    </w:p>
    <w:p w14:paraId="1166AC13" w14:textId="3735DAB7" w:rsidR="002236D4" w:rsidRPr="002236D4" w:rsidRDefault="009340EC" w:rsidP="00667BB9">
      <w:pPr>
        <w:pStyle w:val="Caption"/>
        <w:keepNext/>
        <w:rPr>
          <w:noProof/>
        </w:rPr>
      </w:pPr>
      <w:r>
        <w:t xml:space="preserve">Table </w:t>
      </w:r>
      <w:r>
        <w:fldChar w:fldCharType="begin"/>
      </w:r>
      <w:r>
        <w:instrText xml:space="preserve"> SEQ Table \* ARABIC </w:instrText>
      </w:r>
      <w:r>
        <w:fldChar w:fldCharType="separate"/>
      </w:r>
      <w:r w:rsidR="004B0870">
        <w:rPr>
          <w:noProof/>
        </w:rPr>
        <w:t>10</w:t>
      </w:r>
      <w:r>
        <w:fldChar w:fldCharType="end"/>
      </w:r>
      <w:bookmarkEnd w:id="269"/>
      <w:r>
        <w:t xml:space="preserve"> – Thresholds </w:t>
      </w:r>
      <w:r>
        <w:rPr>
          <w:noProof/>
        </w:rPr>
        <w:t>for reporting on electricity generated onsite</w:t>
      </w:r>
      <w:r w:rsidR="002236D4">
        <w:rPr>
          <w:noProof/>
        </w:rPr>
        <w:t>.</w:t>
      </w:r>
    </w:p>
    <w:tbl>
      <w:tblPr>
        <w:tblStyle w:val="CERTable"/>
        <w:tblW w:w="9730" w:type="dxa"/>
        <w:tblLayout w:type="fixed"/>
        <w:tblLook w:val="04A0" w:firstRow="1" w:lastRow="0" w:firstColumn="1" w:lastColumn="0" w:noHBand="0" w:noVBand="1"/>
      </w:tblPr>
      <w:tblGrid>
        <w:gridCol w:w="1560"/>
        <w:gridCol w:w="1701"/>
        <w:gridCol w:w="1275"/>
        <w:gridCol w:w="2694"/>
        <w:gridCol w:w="2490"/>
        <w:gridCol w:w="10"/>
      </w:tblGrid>
      <w:tr w:rsidR="00145478" w:rsidRPr="00FF338C" w14:paraId="02BF0A7C" w14:textId="77777777" w:rsidTr="00B12FBA">
        <w:trPr>
          <w:gridAfter w:val="1"/>
          <w:cnfStyle w:val="100000000000" w:firstRow="1" w:lastRow="0" w:firstColumn="0" w:lastColumn="0" w:oddVBand="0" w:evenVBand="0" w:oddHBand="0" w:evenHBand="0" w:firstRowFirstColumn="0" w:firstRowLastColumn="0" w:lastRowFirstColumn="0" w:lastRowLastColumn="0"/>
          <w:wAfter w:w="10" w:type="dxa"/>
          <w:trHeight w:val="214"/>
          <w:tblHeader/>
        </w:trPr>
        <w:tc>
          <w:tcPr>
            <w:cnfStyle w:val="001000000000" w:firstRow="0" w:lastRow="0" w:firstColumn="1" w:lastColumn="0" w:oddVBand="0" w:evenVBand="0" w:oddHBand="0" w:evenHBand="0" w:firstRowFirstColumn="0" w:firstRowLastColumn="0" w:lastRowFirstColumn="0" w:lastRowLastColumn="0"/>
            <w:tcW w:w="1560" w:type="dxa"/>
          </w:tcPr>
          <w:p w14:paraId="7D730B8C" w14:textId="432180DC" w:rsidR="00A57A5C" w:rsidRPr="00FF338C" w:rsidRDefault="00F033E2">
            <w:pPr>
              <w:pStyle w:val="Body"/>
              <w:spacing w:before="37" w:after="75"/>
              <w:ind w:left="0"/>
              <w:rPr>
                <w:rFonts w:asciiTheme="minorHAnsi" w:hAnsiTheme="minorHAnsi"/>
                <w:sz w:val="22"/>
                <w:szCs w:val="22"/>
              </w:rPr>
            </w:pPr>
            <w:r>
              <w:rPr>
                <w:rFonts w:asciiTheme="minorHAnsi" w:hAnsiTheme="minorHAnsi"/>
                <w:sz w:val="22"/>
                <w:szCs w:val="22"/>
              </w:rPr>
              <w:t>Individual g</w:t>
            </w:r>
            <w:r w:rsidR="00A57A5C" w:rsidRPr="00FF338C">
              <w:rPr>
                <w:rFonts w:asciiTheme="minorHAnsi" w:hAnsiTheme="minorHAnsi"/>
                <w:sz w:val="22"/>
                <w:szCs w:val="22"/>
              </w:rPr>
              <w:t>enerating unit capacity</w:t>
            </w:r>
          </w:p>
        </w:tc>
        <w:tc>
          <w:tcPr>
            <w:tcW w:w="1701" w:type="dxa"/>
          </w:tcPr>
          <w:p w14:paraId="418EEE26" w14:textId="3E506492" w:rsidR="00A57A5C" w:rsidRPr="00FF338C" w:rsidRDefault="003279EB">
            <w:pPr>
              <w:pStyle w:val="Body"/>
              <w:spacing w:before="37" w:after="75"/>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Generation</w:t>
            </w:r>
            <w:r w:rsidR="00A57A5C" w:rsidRPr="00FF338C">
              <w:rPr>
                <w:rFonts w:asciiTheme="minorHAnsi" w:hAnsiTheme="minorHAnsi"/>
                <w:sz w:val="22"/>
                <w:szCs w:val="22"/>
              </w:rPr>
              <w:t xml:space="preserve"> by the unit</w:t>
            </w:r>
            <w:r>
              <w:rPr>
                <w:rFonts w:asciiTheme="minorHAnsi" w:hAnsiTheme="minorHAnsi"/>
                <w:sz w:val="22"/>
                <w:szCs w:val="22"/>
              </w:rPr>
              <w:t xml:space="preserve"> in the reporting period</w:t>
            </w:r>
          </w:p>
        </w:tc>
        <w:tc>
          <w:tcPr>
            <w:tcW w:w="1275" w:type="dxa"/>
          </w:tcPr>
          <w:p w14:paraId="2352FE0D" w14:textId="3CA9C160" w:rsidR="00A57A5C" w:rsidRPr="00FF338C" w:rsidRDefault="00A57A5C">
            <w:pPr>
              <w:pStyle w:val="Body"/>
              <w:spacing w:before="37" w:after="75"/>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vertAlign w:val="superscript"/>
              </w:rPr>
            </w:pPr>
            <w:r w:rsidRPr="00FF338C">
              <w:rPr>
                <w:rFonts w:asciiTheme="minorHAnsi" w:hAnsiTheme="minorHAnsi"/>
                <w:sz w:val="22"/>
                <w:szCs w:val="22"/>
              </w:rPr>
              <w:t xml:space="preserve">Electricity </w:t>
            </w:r>
            <w:r w:rsidR="00503DA1">
              <w:rPr>
                <w:rFonts w:asciiTheme="minorHAnsi" w:hAnsiTheme="minorHAnsi"/>
                <w:sz w:val="22"/>
                <w:szCs w:val="22"/>
              </w:rPr>
              <w:t xml:space="preserve">production </w:t>
            </w:r>
            <w:r w:rsidR="001F1B5E">
              <w:rPr>
                <w:rFonts w:asciiTheme="minorHAnsi" w:hAnsiTheme="minorHAnsi"/>
                <w:sz w:val="22"/>
                <w:szCs w:val="22"/>
              </w:rPr>
              <w:t>reporting</w:t>
            </w:r>
          </w:p>
        </w:tc>
        <w:tc>
          <w:tcPr>
            <w:tcW w:w="2694" w:type="dxa"/>
          </w:tcPr>
          <w:p w14:paraId="41E8EED2" w14:textId="3FC7FF88" w:rsidR="00A57A5C" w:rsidRPr="00FF338C" w:rsidRDefault="00A57A5C">
            <w:pPr>
              <w:pStyle w:val="Body"/>
              <w:spacing w:before="37" w:after="75"/>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FF338C">
              <w:rPr>
                <w:rFonts w:asciiTheme="minorHAnsi" w:hAnsiTheme="minorHAnsi"/>
                <w:sz w:val="22"/>
                <w:szCs w:val="22"/>
              </w:rPr>
              <w:t xml:space="preserve">Electricity consumption from </w:t>
            </w:r>
            <w:r w:rsidR="00503DA1">
              <w:rPr>
                <w:rFonts w:asciiTheme="minorHAnsi" w:hAnsiTheme="minorHAnsi"/>
                <w:sz w:val="22"/>
                <w:szCs w:val="22"/>
              </w:rPr>
              <w:t xml:space="preserve">onsite </w:t>
            </w:r>
            <w:r w:rsidRPr="00FF338C">
              <w:rPr>
                <w:rFonts w:asciiTheme="minorHAnsi" w:hAnsiTheme="minorHAnsi"/>
                <w:sz w:val="22"/>
                <w:szCs w:val="22"/>
              </w:rPr>
              <w:t xml:space="preserve">generation </w:t>
            </w:r>
          </w:p>
        </w:tc>
        <w:tc>
          <w:tcPr>
            <w:tcW w:w="2490" w:type="dxa"/>
          </w:tcPr>
          <w:p w14:paraId="201ECDAD" w14:textId="781D55AD" w:rsidR="00A57A5C" w:rsidRPr="00FF338C" w:rsidRDefault="009340EC">
            <w:pPr>
              <w:pStyle w:val="Body"/>
              <w:spacing w:before="37" w:after="75"/>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Consumed </w:t>
            </w:r>
            <w:r w:rsidR="002E154C">
              <w:rPr>
                <w:rFonts w:asciiTheme="minorHAnsi" w:hAnsiTheme="minorHAnsi"/>
                <w:sz w:val="22"/>
                <w:szCs w:val="22"/>
              </w:rPr>
              <w:t>fuel purpose as per Regulation 4.22</w:t>
            </w:r>
          </w:p>
        </w:tc>
      </w:tr>
      <w:tr w:rsidR="00BB6640" w:rsidRPr="00FF338C" w14:paraId="76872D4F" w14:textId="77777777" w:rsidTr="00BB664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560" w:type="dxa"/>
          </w:tcPr>
          <w:p w14:paraId="1DB9A7B2" w14:textId="22E7BBE5" w:rsidR="00A57A5C" w:rsidRPr="00FF338C" w:rsidRDefault="00A57A5C">
            <w:pPr>
              <w:pStyle w:val="Body"/>
              <w:spacing w:before="37" w:after="75"/>
              <w:ind w:left="0"/>
              <w:rPr>
                <w:rFonts w:asciiTheme="minorHAnsi" w:hAnsiTheme="minorHAnsi"/>
                <w:sz w:val="22"/>
                <w:szCs w:val="22"/>
              </w:rPr>
            </w:pPr>
            <w:r>
              <w:rPr>
                <w:rFonts w:asciiTheme="minorHAnsi" w:hAnsiTheme="minorHAnsi" w:cs="Arial"/>
                <w:sz w:val="22"/>
                <w:szCs w:val="22"/>
              </w:rPr>
              <w:t>&lt;</w:t>
            </w:r>
            <w:r w:rsidRPr="00FF338C">
              <w:rPr>
                <w:rFonts w:asciiTheme="minorHAnsi" w:hAnsiTheme="minorHAnsi"/>
                <w:sz w:val="22"/>
                <w:szCs w:val="22"/>
              </w:rPr>
              <w:t xml:space="preserve"> 0.5</w:t>
            </w:r>
            <w:r w:rsidR="002F5ED5">
              <w:rPr>
                <w:rFonts w:asciiTheme="minorHAnsi" w:hAnsiTheme="minorHAnsi"/>
                <w:sz w:val="22"/>
                <w:szCs w:val="22"/>
              </w:rPr>
              <w:t> </w:t>
            </w:r>
            <w:r w:rsidRPr="00FF338C">
              <w:rPr>
                <w:rFonts w:asciiTheme="minorHAnsi" w:hAnsiTheme="minorHAnsi"/>
                <w:sz w:val="22"/>
                <w:szCs w:val="22"/>
              </w:rPr>
              <w:t>MW</w:t>
            </w:r>
          </w:p>
        </w:tc>
        <w:tc>
          <w:tcPr>
            <w:tcW w:w="1701" w:type="dxa"/>
          </w:tcPr>
          <w:p w14:paraId="76631B3F" w14:textId="2904701B" w:rsidR="00A57A5C" w:rsidRPr="00FF338C" w:rsidRDefault="003279EB">
            <w:pPr>
              <w:pStyle w:val="Body"/>
              <w:spacing w:before="37" w:after="75"/>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highlight w:val="green"/>
              </w:rPr>
            </w:pPr>
            <w:r>
              <w:rPr>
                <w:rFonts w:asciiTheme="minorHAnsi" w:hAnsiTheme="minorHAnsi"/>
                <w:sz w:val="22"/>
                <w:szCs w:val="22"/>
              </w:rPr>
              <w:t>Any</w:t>
            </w:r>
          </w:p>
        </w:tc>
        <w:tc>
          <w:tcPr>
            <w:tcW w:w="1275" w:type="dxa"/>
          </w:tcPr>
          <w:p w14:paraId="531939F2" w14:textId="0C6E54E1" w:rsidR="00A57A5C" w:rsidRPr="00FF338C" w:rsidRDefault="001F1B5E">
            <w:pPr>
              <w:pStyle w:val="Body"/>
              <w:spacing w:before="37" w:after="75"/>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highlight w:val="green"/>
              </w:rPr>
            </w:pPr>
            <w:r>
              <w:rPr>
                <w:rFonts w:asciiTheme="minorHAnsi" w:hAnsiTheme="minorHAnsi"/>
                <w:sz w:val="22"/>
                <w:szCs w:val="22"/>
              </w:rPr>
              <w:t>Optional</w:t>
            </w:r>
          </w:p>
        </w:tc>
        <w:tc>
          <w:tcPr>
            <w:tcW w:w="2694" w:type="dxa"/>
          </w:tcPr>
          <w:p w14:paraId="09D0CEB6" w14:textId="36CB2843" w:rsidR="00A57A5C" w:rsidRPr="00FF338C" w:rsidRDefault="008A544E">
            <w:pPr>
              <w:pStyle w:val="Body"/>
              <w:spacing w:before="37" w:after="75"/>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cs="Arial"/>
                <w:sz w:val="22"/>
                <w:szCs w:val="22"/>
              </w:rPr>
              <w:t xml:space="preserve">Required </w:t>
            </w:r>
            <w:r w:rsidR="009340EC">
              <w:rPr>
                <w:rFonts w:asciiTheme="minorHAnsi" w:hAnsiTheme="minorHAnsi" w:cs="Arial"/>
                <w:sz w:val="22"/>
                <w:szCs w:val="22"/>
              </w:rPr>
              <w:t xml:space="preserve">(and automatic in EERS) </w:t>
            </w:r>
            <w:r>
              <w:rPr>
                <w:rFonts w:asciiTheme="minorHAnsi" w:hAnsiTheme="minorHAnsi" w:cs="Arial"/>
                <w:sz w:val="22"/>
                <w:szCs w:val="22"/>
              </w:rPr>
              <w:t>if electricity production is reported, otherwise not to be reported</w:t>
            </w:r>
          </w:p>
        </w:tc>
        <w:tc>
          <w:tcPr>
            <w:tcW w:w="2500" w:type="dxa"/>
            <w:gridSpan w:val="2"/>
          </w:tcPr>
          <w:p w14:paraId="2A96CEC5" w14:textId="6196D3FE" w:rsidR="00A57A5C" w:rsidRPr="00FF338C" w:rsidRDefault="00BB6640">
            <w:pPr>
              <w:pStyle w:val="Body"/>
              <w:spacing w:before="37" w:after="75"/>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Electricity generation if production and consumption is reported, otherwise stationary</w:t>
            </w:r>
          </w:p>
        </w:tc>
      </w:tr>
      <w:tr w:rsidR="00BB6640" w:rsidRPr="00FF338C" w14:paraId="59F45D75" w14:textId="77777777" w:rsidTr="00BB6640">
        <w:trPr>
          <w:cnfStyle w:val="000000010000" w:firstRow="0" w:lastRow="0" w:firstColumn="0" w:lastColumn="0" w:oddVBand="0" w:evenVBand="0" w:oddHBand="0" w:evenHBand="1"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560" w:type="dxa"/>
          </w:tcPr>
          <w:p w14:paraId="3AE2366C" w14:textId="446214DA" w:rsidR="00A57A5C" w:rsidRPr="00FF338C" w:rsidRDefault="00A57A5C">
            <w:pPr>
              <w:pStyle w:val="Body"/>
              <w:spacing w:before="37" w:after="75"/>
              <w:ind w:left="0"/>
              <w:rPr>
                <w:rFonts w:asciiTheme="minorHAnsi" w:hAnsiTheme="minorHAnsi" w:cs="Arial"/>
                <w:sz w:val="22"/>
                <w:szCs w:val="22"/>
              </w:rPr>
            </w:pPr>
            <w:r w:rsidRPr="00FF338C">
              <w:rPr>
                <w:rFonts w:asciiTheme="minorHAnsi" w:hAnsiTheme="minorHAnsi" w:cs="Arial"/>
                <w:sz w:val="22"/>
                <w:szCs w:val="22"/>
              </w:rPr>
              <w:t>≥</w:t>
            </w:r>
            <w:r w:rsidRPr="00FF338C">
              <w:rPr>
                <w:rFonts w:asciiTheme="minorHAnsi" w:hAnsiTheme="minorHAnsi"/>
                <w:sz w:val="22"/>
                <w:szCs w:val="22"/>
              </w:rPr>
              <w:t xml:space="preserve"> 0.5</w:t>
            </w:r>
            <w:r w:rsidR="002F5ED5">
              <w:rPr>
                <w:rFonts w:asciiTheme="minorHAnsi" w:hAnsiTheme="minorHAnsi"/>
                <w:sz w:val="22"/>
                <w:szCs w:val="22"/>
              </w:rPr>
              <w:t> </w:t>
            </w:r>
            <w:r w:rsidRPr="00FF338C">
              <w:rPr>
                <w:rFonts w:asciiTheme="minorHAnsi" w:hAnsiTheme="minorHAnsi"/>
                <w:sz w:val="22"/>
                <w:szCs w:val="22"/>
              </w:rPr>
              <w:t>MW</w:t>
            </w:r>
          </w:p>
        </w:tc>
        <w:tc>
          <w:tcPr>
            <w:tcW w:w="1701" w:type="dxa"/>
          </w:tcPr>
          <w:p w14:paraId="134E977E" w14:textId="182C15D3" w:rsidR="00A57A5C" w:rsidRPr="00FF338C" w:rsidRDefault="001F1B5E">
            <w:pPr>
              <w:pStyle w:val="Body"/>
              <w:spacing w:before="37" w:after="75"/>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Pr>
                <w:rFonts w:asciiTheme="minorHAnsi" w:hAnsiTheme="minorHAnsi" w:cs="Arial"/>
                <w:sz w:val="22"/>
                <w:szCs w:val="22"/>
              </w:rPr>
              <w:t>&gt;</w:t>
            </w:r>
            <w:r w:rsidR="00A57A5C" w:rsidRPr="00FF338C">
              <w:rPr>
                <w:rFonts w:asciiTheme="minorHAnsi" w:hAnsiTheme="minorHAnsi"/>
                <w:sz w:val="22"/>
                <w:szCs w:val="22"/>
              </w:rPr>
              <w:t xml:space="preserve"> 100,000</w:t>
            </w:r>
            <w:r w:rsidR="002F5ED5">
              <w:rPr>
                <w:rFonts w:asciiTheme="minorHAnsi" w:hAnsiTheme="minorHAnsi"/>
                <w:sz w:val="22"/>
                <w:szCs w:val="22"/>
              </w:rPr>
              <w:t> </w:t>
            </w:r>
            <w:r w:rsidR="00A57A5C" w:rsidRPr="00FF338C">
              <w:rPr>
                <w:rFonts w:asciiTheme="minorHAnsi" w:hAnsiTheme="minorHAnsi"/>
                <w:sz w:val="22"/>
                <w:szCs w:val="22"/>
              </w:rPr>
              <w:t xml:space="preserve">kWh </w:t>
            </w:r>
          </w:p>
        </w:tc>
        <w:tc>
          <w:tcPr>
            <w:tcW w:w="1275" w:type="dxa"/>
          </w:tcPr>
          <w:p w14:paraId="49167079" w14:textId="67EA0F26" w:rsidR="00A57A5C" w:rsidRPr="00FF338C" w:rsidRDefault="001F1B5E">
            <w:pPr>
              <w:pStyle w:val="Body"/>
              <w:spacing w:before="37" w:after="75"/>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Pr>
                <w:rFonts w:asciiTheme="minorHAnsi" w:hAnsiTheme="minorHAnsi" w:cs="Arial"/>
                <w:sz w:val="22"/>
                <w:szCs w:val="22"/>
              </w:rPr>
              <w:t>Optional</w:t>
            </w:r>
          </w:p>
        </w:tc>
        <w:tc>
          <w:tcPr>
            <w:tcW w:w="2694" w:type="dxa"/>
          </w:tcPr>
          <w:p w14:paraId="7CE5B888" w14:textId="5AEC1A2E" w:rsidR="00A57A5C" w:rsidRPr="00FF338C" w:rsidRDefault="008A544E">
            <w:pPr>
              <w:pStyle w:val="Body"/>
              <w:spacing w:before="37" w:after="75"/>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Pr>
                <w:rFonts w:asciiTheme="minorHAnsi" w:hAnsiTheme="minorHAnsi" w:cs="Arial"/>
                <w:sz w:val="22"/>
                <w:szCs w:val="22"/>
              </w:rPr>
              <w:t xml:space="preserve">Required </w:t>
            </w:r>
            <w:r w:rsidR="009340EC">
              <w:rPr>
                <w:rFonts w:asciiTheme="minorHAnsi" w:hAnsiTheme="minorHAnsi" w:cs="Arial"/>
                <w:sz w:val="22"/>
                <w:szCs w:val="22"/>
              </w:rPr>
              <w:t xml:space="preserve">(and automatic in EERS) </w:t>
            </w:r>
            <w:r>
              <w:rPr>
                <w:rFonts w:asciiTheme="minorHAnsi" w:hAnsiTheme="minorHAnsi" w:cs="Arial"/>
                <w:sz w:val="22"/>
                <w:szCs w:val="22"/>
              </w:rPr>
              <w:t>if electricity production is reported, otherwise not to be reported</w:t>
            </w:r>
          </w:p>
        </w:tc>
        <w:tc>
          <w:tcPr>
            <w:tcW w:w="2500" w:type="dxa"/>
            <w:gridSpan w:val="2"/>
          </w:tcPr>
          <w:p w14:paraId="13E52CCD" w14:textId="5927ACD2" w:rsidR="00A57A5C" w:rsidRPr="00FF338C" w:rsidRDefault="00BB6640">
            <w:pPr>
              <w:pStyle w:val="Body"/>
              <w:spacing w:before="37" w:after="75"/>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Pr>
                <w:rFonts w:asciiTheme="minorHAnsi" w:hAnsiTheme="minorHAnsi"/>
                <w:sz w:val="22"/>
                <w:szCs w:val="22"/>
              </w:rPr>
              <w:t>Electricity generation if production and consumption is reported, otherwise stationary</w:t>
            </w:r>
          </w:p>
        </w:tc>
      </w:tr>
      <w:tr w:rsidR="00BB6640" w:rsidRPr="00FF338C" w14:paraId="6E862EB5" w14:textId="77777777" w:rsidTr="00BB6640">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560" w:type="dxa"/>
          </w:tcPr>
          <w:p w14:paraId="5404EE4C" w14:textId="11C0207E" w:rsidR="003279EB" w:rsidRPr="00FF338C" w:rsidRDefault="001F1B5E">
            <w:pPr>
              <w:pStyle w:val="Body"/>
              <w:spacing w:before="37" w:after="75"/>
              <w:ind w:left="0"/>
              <w:rPr>
                <w:rFonts w:asciiTheme="minorHAnsi" w:hAnsiTheme="minorHAnsi" w:cs="Arial"/>
                <w:sz w:val="22"/>
                <w:szCs w:val="22"/>
              </w:rPr>
            </w:pPr>
            <w:r w:rsidRPr="00FF338C">
              <w:rPr>
                <w:rFonts w:asciiTheme="minorHAnsi" w:hAnsiTheme="minorHAnsi" w:cs="Arial"/>
                <w:sz w:val="22"/>
                <w:szCs w:val="22"/>
              </w:rPr>
              <w:t>≥</w:t>
            </w:r>
            <w:r w:rsidRPr="00FF338C">
              <w:rPr>
                <w:rFonts w:asciiTheme="minorHAnsi" w:hAnsiTheme="minorHAnsi"/>
                <w:sz w:val="22"/>
                <w:szCs w:val="22"/>
              </w:rPr>
              <w:t xml:space="preserve"> 0.5</w:t>
            </w:r>
            <w:r>
              <w:rPr>
                <w:rFonts w:asciiTheme="minorHAnsi" w:hAnsiTheme="minorHAnsi"/>
                <w:sz w:val="22"/>
                <w:szCs w:val="22"/>
              </w:rPr>
              <w:t> </w:t>
            </w:r>
            <w:r w:rsidRPr="00FF338C">
              <w:rPr>
                <w:rFonts w:asciiTheme="minorHAnsi" w:hAnsiTheme="minorHAnsi"/>
                <w:sz w:val="22"/>
                <w:szCs w:val="22"/>
              </w:rPr>
              <w:t>MW</w:t>
            </w:r>
          </w:p>
        </w:tc>
        <w:tc>
          <w:tcPr>
            <w:tcW w:w="1701" w:type="dxa"/>
          </w:tcPr>
          <w:p w14:paraId="5C36CAF9" w14:textId="6F0C9D6D" w:rsidR="003279EB" w:rsidRPr="00FF338C" w:rsidRDefault="001F1B5E">
            <w:pPr>
              <w:pStyle w:val="Body"/>
              <w:spacing w:before="37" w:after="75"/>
              <w:ind w:left="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Pr>
                <w:rFonts w:asciiTheme="minorHAnsi" w:hAnsiTheme="minorHAnsi" w:cs="Arial"/>
                <w:sz w:val="22"/>
                <w:szCs w:val="22"/>
              </w:rPr>
              <w:t>&gt; 100,000 kWh</w:t>
            </w:r>
          </w:p>
        </w:tc>
        <w:tc>
          <w:tcPr>
            <w:tcW w:w="1275" w:type="dxa"/>
          </w:tcPr>
          <w:p w14:paraId="3D15ABD7" w14:textId="469E43AC" w:rsidR="003279EB" w:rsidRPr="00FF338C" w:rsidRDefault="001F1B5E">
            <w:pPr>
              <w:pStyle w:val="Body"/>
              <w:spacing w:before="37" w:after="75"/>
              <w:ind w:left="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Pr>
                <w:rFonts w:asciiTheme="minorHAnsi" w:hAnsiTheme="minorHAnsi" w:cs="Arial"/>
                <w:sz w:val="22"/>
                <w:szCs w:val="22"/>
              </w:rPr>
              <w:t>Required</w:t>
            </w:r>
          </w:p>
        </w:tc>
        <w:tc>
          <w:tcPr>
            <w:tcW w:w="2694" w:type="dxa"/>
          </w:tcPr>
          <w:p w14:paraId="036E3AD7" w14:textId="244EF48F" w:rsidR="003279EB" w:rsidRPr="00FF338C" w:rsidRDefault="008A544E">
            <w:pPr>
              <w:pStyle w:val="Body"/>
              <w:spacing w:before="37" w:after="75"/>
              <w:ind w:left="0"/>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rPr>
            </w:pPr>
            <w:r>
              <w:rPr>
                <w:rFonts w:asciiTheme="minorHAnsi" w:hAnsiTheme="minorHAnsi" w:cs="Arial"/>
                <w:sz w:val="22"/>
                <w:szCs w:val="22"/>
              </w:rPr>
              <w:t>Required</w:t>
            </w:r>
            <w:r w:rsidR="009340EC">
              <w:rPr>
                <w:rFonts w:asciiTheme="minorHAnsi" w:hAnsiTheme="minorHAnsi" w:cs="Arial"/>
                <w:sz w:val="22"/>
                <w:szCs w:val="22"/>
              </w:rPr>
              <w:t xml:space="preserve"> (and automatic in EERS)</w:t>
            </w:r>
          </w:p>
        </w:tc>
        <w:tc>
          <w:tcPr>
            <w:tcW w:w="2500" w:type="dxa"/>
            <w:gridSpan w:val="2"/>
          </w:tcPr>
          <w:p w14:paraId="36D3F484" w14:textId="3EC8BE64" w:rsidR="003279EB" w:rsidRPr="00FF338C" w:rsidRDefault="00BB6640">
            <w:pPr>
              <w:pStyle w:val="Body"/>
              <w:spacing w:before="37" w:after="75"/>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Electricity generation</w:t>
            </w:r>
          </w:p>
        </w:tc>
      </w:tr>
    </w:tbl>
    <w:p w14:paraId="3081C373" w14:textId="77777777" w:rsidR="003134C6" w:rsidRDefault="003134C6" w:rsidP="00D2141E">
      <w:pPr>
        <w:spacing w:before="240"/>
      </w:pPr>
    </w:p>
    <w:p w14:paraId="600DFA1E" w14:textId="0AA178E8" w:rsidR="003B48E8" w:rsidRDefault="003B48E8" w:rsidP="00667BB9">
      <w:pPr>
        <w:pStyle w:val="Caption"/>
        <w:keepNext/>
      </w:pPr>
      <w:bookmarkStart w:id="270" w:name="_Ref199338869"/>
      <w:r>
        <w:t xml:space="preserve">Table </w:t>
      </w:r>
      <w:r>
        <w:fldChar w:fldCharType="begin"/>
      </w:r>
      <w:r>
        <w:instrText xml:space="preserve"> SEQ Table \* ARABIC </w:instrText>
      </w:r>
      <w:r>
        <w:fldChar w:fldCharType="separate"/>
      </w:r>
      <w:r w:rsidR="004B0870">
        <w:rPr>
          <w:noProof/>
        </w:rPr>
        <w:t>11</w:t>
      </w:r>
      <w:r>
        <w:fldChar w:fldCharType="end"/>
      </w:r>
      <w:bookmarkEnd w:id="270"/>
      <w:r>
        <w:t xml:space="preserve"> – </w:t>
      </w:r>
      <w:r w:rsidR="002236D4">
        <w:t>O</w:t>
      </w:r>
      <w:r>
        <w:t>ther electricity reporting</w:t>
      </w:r>
      <w:r w:rsidR="002236D4">
        <w:t xml:space="preserve"> thresholds.</w:t>
      </w:r>
    </w:p>
    <w:tbl>
      <w:tblPr>
        <w:tblStyle w:val="CERTable"/>
        <w:tblW w:w="0" w:type="auto"/>
        <w:tblLook w:val="04A0" w:firstRow="1" w:lastRow="0" w:firstColumn="1" w:lastColumn="0" w:noHBand="0" w:noVBand="1"/>
      </w:tblPr>
      <w:tblGrid>
        <w:gridCol w:w="2127"/>
        <w:gridCol w:w="3827"/>
        <w:gridCol w:w="3776"/>
      </w:tblGrid>
      <w:tr w:rsidR="009676F3" w14:paraId="1EDA4844" w14:textId="77777777" w:rsidTr="00B12F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27" w:type="dxa"/>
          </w:tcPr>
          <w:p w14:paraId="35FF11E5" w14:textId="7E1AD83C" w:rsidR="001E23E0" w:rsidRDefault="00701AA5" w:rsidP="00D2141E">
            <w:pPr>
              <w:spacing w:before="240"/>
            </w:pPr>
            <w:r>
              <w:t>Reporting type</w:t>
            </w:r>
          </w:p>
        </w:tc>
        <w:tc>
          <w:tcPr>
            <w:tcW w:w="3827" w:type="dxa"/>
          </w:tcPr>
          <w:p w14:paraId="155E42C1" w14:textId="5576AB3D" w:rsidR="001E23E0" w:rsidRDefault="00701AA5" w:rsidP="00D2141E">
            <w:pPr>
              <w:spacing w:before="240"/>
              <w:cnfStyle w:val="100000000000" w:firstRow="1" w:lastRow="0" w:firstColumn="0" w:lastColumn="0" w:oddVBand="0" w:evenVBand="0" w:oddHBand="0" w:evenHBand="0" w:firstRowFirstColumn="0" w:firstRowLastColumn="0" w:lastRowFirstColumn="0" w:lastRowLastColumn="0"/>
            </w:pPr>
            <w:r>
              <w:t>Threshold</w:t>
            </w:r>
            <w:r w:rsidR="0014205D">
              <w:t xml:space="preserve"> for the </w:t>
            </w:r>
            <w:r w:rsidR="003505A9">
              <w:t>facility</w:t>
            </w:r>
          </w:p>
        </w:tc>
        <w:tc>
          <w:tcPr>
            <w:tcW w:w="3776" w:type="dxa"/>
          </w:tcPr>
          <w:p w14:paraId="5C33A14E" w14:textId="6598402B" w:rsidR="001E23E0" w:rsidRDefault="00CE2221" w:rsidP="00D2141E">
            <w:pPr>
              <w:spacing w:before="240"/>
              <w:cnfStyle w:val="100000000000" w:firstRow="1" w:lastRow="0" w:firstColumn="0" w:lastColumn="0" w:oddVBand="0" w:evenVBand="0" w:oddHBand="0" w:evenHBand="0" w:firstRowFirstColumn="0" w:firstRowLastColumn="0" w:lastRowFirstColumn="0" w:lastRowLastColumn="0"/>
            </w:pPr>
            <w:r>
              <w:t>Reporting requirement</w:t>
            </w:r>
          </w:p>
        </w:tc>
      </w:tr>
      <w:tr w:rsidR="000E2CB7" w14:paraId="7AB2F54F" w14:textId="77777777" w:rsidTr="00E94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BBA3A2C" w14:textId="5AFF65DC" w:rsidR="001E23E0" w:rsidRDefault="00611E72" w:rsidP="00D2141E">
            <w:pPr>
              <w:spacing w:before="240"/>
            </w:pPr>
            <w:r>
              <w:t>Cogeneration</w:t>
            </w:r>
          </w:p>
        </w:tc>
        <w:tc>
          <w:tcPr>
            <w:tcW w:w="3827" w:type="dxa"/>
          </w:tcPr>
          <w:p w14:paraId="7256786E" w14:textId="761BF037" w:rsidR="001E23E0" w:rsidRDefault="00D60EB9" w:rsidP="00D2141E">
            <w:pPr>
              <w:spacing w:before="240"/>
              <w:cnfStyle w:val="000000100000" w:firstRow="0" w:lastRow="0" w:firstColumn="0" w:lastColumn="0" w:oddVBand="0" w:evenVBand="0" w:oddHBand="1" w:evenHBand="0" w:firstRowFirstColumn="0" w:firstRowLastColumn="0" w:lastRowFirstColumn="0" w:lastRowLastColumn="0"/>
            </w:pPr>
            <w:r>
              <w:t>The cogeneration process has a capacity of</w:t>
            </w:r>
            <w:r w:rsidR="0014205D">
              <w:t xml:space="preserve"> </w:t>
            </w:r>
            <w:r w:rsidR="003B48E8">
              <w:t>≥ 30 MW and production of &gt; 30 GWh</w:t>
            </w:r>
            <w:r w:rsidR="009A4BE3">
              <w:t xml:space="preserve"> in the reporting period</w:t>
            </w:r>
          </w:p>
        </w:tc>
        <w:tc>
          <w:tcPr>
            <w:tcW w:w="3776" w:type="dxa"/>
          </w:tcPr>
          <w:p w14:paraId="7A571AFA" w14:textId="716E8856" w:rsidR="001E23E0" w:rsidRDefault="00CE2221" w:rsidP="00D2141E">
            <w:pPr>
              <w:spacing w:before="240"/>
              <w:cnfStyle w:val="000000100000" w:firstRow="0" w:lastRow="0" w:firstColumn="0" w:lastColumn="0" w:oddVBand="0" w:evenVBand="0" w:oddHBand="1" w:evenHBand="0" w:firstRowFirstColumn="0" w:firstRowLastColumn="0" w:lastRowFirstColumn="0" w:lastRowLastColumn="0"/>
            </w:pPr>
            <w:r>
              <w:t xml:space="preserve">Must </w:t>
            </w:r>
            <w:r w:rsidR="00E75947">
              <w:t xml:space="preserve">be </w:t>
            </w:r>
            <w:r>
              <w:t>report</w:t>
            </w:r>
            <w:r w:rsidR="00E75947">
              <w:t>ed</w:t>
            </w:r>
            <w:r>
              <w:t xml:space="preserve"> under cogeneration provisions as described in </w:t>
            </w:r>
            <w:hyperlink w:anchor="_Cogeneration" w:history="1">
              <w:r w:rsidRPr="00CE2221">
                <w:rPr>
                  <w:rStyle w:val="Hyperlink"/>
                  <w:rFonts w:asciiTheme="minorHAnsi" w:hAnsiTheme="minorHAnsi"/>
                  <w:kern w:val="0"/>
                </w:rPr>
                <w:t>Chapter 7.3.3</w:t>
              </w:r>
            </w:hyperlink>
            <w:r>
              <w:t xml:space="preserve"> of this guid</w:t>
            </w:r>
            <w:r w:rsidR="00E943FA">
              <w:t>e</w:t>
            </w:r>
            <w:r>
              <w:t>line</w:t>
            </w:r>
          </w:p>
        </w:tc>
      </w:tr>
      <w:tr w:rsidR="00D22387" w14:paraId="52E6705A" w14:textId="77777777" w:rsidTr="00E943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E79C7B8" w14:textId="373DB7F2" w:rsidR="001E23E0" w:rsidRDefault="00611E72" w:rsidP="00D2141E">
            <w:pPr>
              <w:spacing w:before="240"/>
            </w:pPr>
            <w:r>
              <w:t>Location-based scope 2 emissions</w:t>
            </w:r>
          </w:p>
        </w:tc>
        <w:tc>
          <w:tcPr>
            <w:tcW w:w="3827" w:type="dxa"/>
          </w:tcPr>
          <w:p w14:paraId="60EFA699" w14:textId="69F5805F" w:rsidR="001E23E0" w:rsidRDefault="003505A9" w:rsidP="00D2141E">
            <w:pPr>
              <w:spacing w:before="240"/>
              <w:cnfStyle w:val="000000010000" w:firstRow="0" w:lastRow="0" w:firstColumn="0" w:lastColumn="0" w:oddVBand="0" w:evenVBand="0" w:oddHBand="0" w:evenHBand="1" w:firstRowFirstColumn="0" w:firstRowLastColumn="0" w:lastRowFirstColumn="0" w:lastRowLastColumn="0"/>
            </w:pPr>
            <w:r>
              <w:t>≥ 20,000 kWh purchased or acquired</w:t>
            </w:r>
            <w:r w:rsidR="009A4BE3">
              <w:t xml:space="preserve"> in the reporting period</w:t>
            </w:r>
          </w:p>
        </w:tc>
        <w:tc>
          <w:tcPr>
            <w:tcW w:w="3776" w:type="dxa"/>
          </w:tcPr>
          <w:p w14:paraId="64D723BB" w14:textId="7C6779F1" w:rsidR="001E23E0" w:rsidRDefault="00E75947" w:rsidP="00D2141E">
            <w:pPr>
              <w:spacing w:before="240"/>
              <w:cnfStyle w:val="000000010000" w:firstRow="0" w:lastRow="0" w:firstColumn="0" w:lastColumn="0" w:oddVBand="0" w:evenVBand="0" w:oddHBand="0" w:evenHBand="1" w:firstRowFirstColumn="0" w:firstRowLastColumn="0" w:lastRowFirstColumn="0" w:lastRowLastColumn="0"/>
            </w:pPr>
            <w:r>
              <w:t xml:space="preserve">Must be reported as described in </w:t>
            </w:r>
            <w:hyperlink w:anchor="_Toc74235127" w:history="1">
              <w:r w:rsidR="000B70C8" w:rsidRPr="000B70C8">
                <w:rPr>
                  <w:rStyle w:val="Hyperlink"/>
                  <w:rFonts w:asciiTheme="minorHAnsi" w:hAnsiTheme="minorHAnsi"/>
                  <w:kern w:val="0"/>
                </w:rPr>
                <w:t>Chapter 6</w:t>
              </w:r>
            </w:hyperlink>
            <w:r w:rsidR="000B70C8">
              <w:t xml:space="preserve"> of this guideline</w:t>
            </w:r>
            <w:r w:rsidR="00A1047C">
              <w:t>, even if market-based scope 2 emissions are also reported</w:t>
            </w:r>
          </w:p>
        </w:tc>
      </w:tr>
      <w:tr w:rsidR="000E2CB7" w14:paraId="2BEA051F" w14:textId="77777777" w:rsidTr="00E943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BA21BCA" w14:textId="0AEEC01A" w:rsidR="001E23E0" w:rsidRDefault="00611E72" w:rsidP="00D2141E">
            <w:pPr>
              <w:spacing w:before="240"/>
            </w:pPr>
            <w:r>
              <w:t>Market-based scope 2 emissions</w:t>
            </w:r>
          </w:p>
        </w:tc>
        <w:tc>
          <w:tcPr>
            <w:tcW w:w="3827" w:type="dxa"/>
          </w:tcPr>
          <w:p w14:paraId="0510DD71" w14:textId="32C54F80" w:rsidR="001E23E0" w:rsidRDefault="00E75947" w:rsidP="00D2141E">
            <w:pPr>
              <w:spacing w:before="240"/>
              <w:cnfStyle w:val="000000100000" w:firstRow="0" w:lastRow="0" w:firstColumn="0" w:lastColumn="0" w:oddVBand="0" w:evenVBand="0" w:oddHBand="1" w:evenHBand="0" w:firstRowFirstColumn="0" w:firstRowLastColumn="0" w:lastRowFirstColumn="0" w:lastRowLastColumn="0"/>
            </w:pPr>
            <w:r>
              <w:t>Any amount of purchased or acquired electricity</w:t>
            </w:r>
          </w:p>
        </w:tc>
        <w:tc>
          <w:tcPr>
            <w:tcW w:w="3776" w:type="dxa"/>
          </w:tcPr>
          <w:p w14:paraId="730BEF58" w14:textId="1ED8A747" w:rsidR="001E23E0" w:rsidRDefault="002236D4" w:rsidP="00D2141E">
            <w:pPr>
              <w:spacing w:before="240"/>
              <w:cnfStyle w:val="000000100000" w:firstRow="0" w:lastRow="0" w:firstColumn="0" w:lastColumn="0" w:oddVBand="0" w:evenVBand="0" w:oddHBand="1" w:evenHBand="0" w:firstRowFirstColumn="0" w:firstRowLastColumn="0" w:lastRowFirstColumn="0" w:lastRowLastColumn="0"/>
            </w:pPr>
            <w:r>
              <w:t>Optional to report, in addition to mandatory location-based scope 2 reporting</w:t>
            </w:r>
          </w:p>
        </w:tc>
      </w:tr>
    </w:tbl>
    <w:p w14:paraId="6643A8F9" w14:textId="66C5574C" w:rsidR="00A57A5C" w:rsidRDefault="00A57A5C" w:rsidP="00D2141E">
      <w:pPr>
        <w:spacing w:before="240"/>
      </w:pPr>
      <w:r w:rsidRPr="00D27F26">
        <w:t xml:space="preserve">Any fuel that is combusted to generate electricity is subject to reporting thresholds detailed in section 2.2 (solid fuels), section 2.18 (gaseous fuels) and section 2.39 (liquid fuels) of the </w:t>
      </w:r>
      <w:r>
        <w:t>NGER Measurement Determination</w:t>
      </w:r>
      <w:r w:rsidRPr="00D27F26">
        <w:t xml:space="preserve">. </w:t>
      </w:r>
    </w:p>
    <w:tbl>
      <w:tblPr>
        <w:tblStyle w:val="CERCallout"/>
        <w:tblW w:w="5000" w:type="pct"/>
        <w:tblLook w:val="04A0" w:firstRow="1" w:lastRow="0" w:firstColumn="1" w:lastColumn="0" w:noHBand="0" w:noVBand="1"/>
      </w:tblPr>
      <w:tblGrid>
        <w:gridCol w:w="9710"/>
      </w:tblGrid>
      <w:tr w:rsidR="00D67F2D" w:rsidRPr="00FF338C" w14:paraId="1C879FDF" w14:textId="77777777" w:rsidTr="00BE117F">
        <w:trPr>
          <w:cnfStyle w:val="100000000000" w:firstRow="1" w:lastRow="0" w:firstColumn="0" w:lastColumn="0" w:oddVBand="0" w:evenVBand="0" w:oddHBand="0" w:evenHBand="0" w:firstRowFirstColumn="0" w:firstRowLastColumn="0" w:lastRowFirstColumn="0" w:lastRowLastColumn="0"/>
        </w:trPr>
        <w:tc>
          <w:tcPr>
            <w:tcW w:w="5000" w:type="pct"/>
          </w:tcPr>
          <w:p w14:paraId="4CB63EF5" w14:textId="6A122318" w:rsidR="00A57A5C" w:rsidRPr="00FB5D2B" w:rsidRDefault="004B0870">
            <w:pPr>
              <w:pStyle w:val="Heading5"/>
              <w:spacing w:before="0"/>
              <w:ind w:left="0"/>
              <w:rPr>
                <w:b/>
                <w:bCs/>
              </w:rPr>
            </w:pPr>
            <w:bookmarkStart w:id="271" w:name="_Toc205461471"/>
            <w:r>
              <w:rPr>
                <w:rFonts w:ascii="ZWAdobeF" w:hAnsi="ZWAdobeF" w:cs="ZWAdobeF"/>
                <w:bCs/>
                <w:color w:val="auto"/>
                <w:sz w:val="2"/>
                <w:szCs w:val="2"/>
              </w:rPr>
              <w:t>6B</w:t>
            </w:r>
            <w:r w:rsidR="00A57A5C" w:rsidRPr="00FB5D2B">
              <w:rPr>
                <w:b/>
                <w:bCs/>
              </w:rPr>
              <w:t>Electricity threshold example</w:t>
            </w:r>
            <w:bookmarkEnd w:id="271"/>
          </w:p>
          <w:p w14:paraId="069A296E" w14:textId="5AC0E1D2" w:rsidR="00A57A5C" w:rsidRPr="00703446" w:rsidRDefault="00A57A5C">
            <w:pPr>
              <w:spacing w:before="37" w:after="25"/>
              <w:ind w:left="0"/>
              <w:rPr>
                <w:b w:val="0"/>
                <w:bCs/>
                <w:szCs w:val="20"/>
              </w:rPr>
            </w:pPr>
            <w:r w:rsidRPr="00703446">
              <w:rPr>
                <w:b w:val="0"/>
                <w:bCs/>
                <w:szCs w:val="20"/>
              </w:rPr>
              <w:t xml:space="preserve">A gas power plant has </w:t>
            </w:r>
            <w:r w:rsidR="001848D4" w:rsidRPr="00703446">
              <w:rPr>
                <w:b w:val="0"/>
                <w:bCs/>
                <w:szCs w:val="20"/>
              </w:rPr>
              <w:t>2</w:t>
            </w:r>
            <w:r w:rsidRPr="00703446">
              <w:rPr>
                <w:b w:val="0"/>
                <w:bCs/>
                <w:szCs w:val="20"/>
              </w:rPr>
              <w:t xml:space="preserve"> </w:t>
            </w:r>
            <w:r w:rsidR="00766FEE">
              <w:rPr>
                <w:b w:val="0"/>
                <w:bCs/>
                <w:szCs w:val="20"/>
              </w:rPr>
              <w:t xml:space="preserve">electricity </w:t>
            </w:r>
            <w:r w:rsidRPr="00703446">
              <w:rPr>
                <w:b w:val="0"/>
                <w:bCs/>
                <w:szCs w:val="20"/>
              </w:rPr>
              <w:t>generating units</w:t>
            </w:r>
            <w:r w:rsidR="0047788D">
              <w:rPr>
                <w:b w:val="0"/>
                <w:bCs/>
                <w:szCs w:val="20"/>
              </w:rPr>
              <w:t>,</w:t>
            </w:r>
            <w:r w:rsidRPr="00703446">
              <w:rPr>
                <w:b w:val="0"/>
                <w:bCs/>
                <w:szCs w:val="20"/>
              </w:rPr>
              <w:t xml:space="preserve"> although only one is predominantly used, with the following </w:t>
            </w:r>
            <w:r w:rsidR="00C25A22">
              <w:rPr>
                <w:b w:val="0"/>
                <w:bCs/>
                <w:szCs w:val="20"/>
              </w:rPr>
              <w:t xml:space="preserve">electricity </w:t>
            </w:r>
            <w:r w:rsidR="00A81E2A">
              <w:rPr>
                <w:b w:val="0"/>
                <w:bCs/>
                <w:szCs w:val="20"/>
              </w:rPr>
              <w:t>produced</w:t>
            </w:r>
            <w:r w:rsidR="009B7D45">
              <w:rPr>
                <w:b w:val="0"/>
                <w:bCs/>
                <w:szCs w:val="20"/>
              </w:rPr>
              <w:t xml:space="preserve"> in the reporting year</w:t>
            </w:r>
            <w:r w:rsidR="00143D73">
              <w:rPr>
                <w:b w:val="0"/>
                <w:bCs/>
                <w:szCs w:val="20"/>
              </w:rPr>
              <w:t>.</w:t>
            </w:r>
          </w:p>
          <w:p w14:paraId="2A429B6D" w14:textId="6587860C" w:rsidR="000772C0" w:rsidRPr="00667BB9" w:rsidRDefault="000772C0" w:rsidP="00667BB9">
            <w:pPr>
              <w:pStyle w:val="Caption"/>
              <w:keepNext/>
              <w:rPr>
                <w:b w:val="0"/>
                <w:bCs/>
              </w:rPr>
            </w:pPr>
            <w:r w:rsidRPr="001D3882">
              <w:t xml:space="preserve">Table </w:t>
            </w:r>
            <w:r w:rsidRPr="00667BB9">
              <w:fldChar w:fldCharType="begin"/>
            </w:r>
            <w:r w:rsidRPr="001D3882">
              <w:instrText xml:space="preserve"> SEQ Table \* ARABIC </w:instrText>
            </w:r>
            <w:r w:rsidRPr="00667BB9">
              <w:fldChar w:fldCharType="separate"/>
            </w:r>
            <w:r w:rsidR="004B0870">
              <w:rPr>
                <w:noProof/>
              </w:rPr>
              <w:t>12</w:t>
            </w:r>
            <w:r w:rsidRPr="00667BB9">
              <w:fldChar w:fldCharType="end"/>
            </w:r>
            <w:r w:rsidRPr="001D3882">
              <w:t xml:space="preserve"> – Two electricity generating units, capacity and production in the reporting year.</w:t>
            </w:r>
          </w:p>
          <w:tbl>
            <w:tblPr>
              <w:tblStyle w:val="CERTable"/>
              <w:tblW w:w="0" w:type="auto"/>
              <w:tblLook w:val="04A0" w:firstRow="1" w:lastRow="0" w:firstColumn="1" w:lastColumn="0" w:noHBand="0" w:noVBand="1"/>
            </w:tblPr>
            <w:tblGrid>
              <w:gridCol w:w="2785"/>
              <w:gridCol w:w="2785"/>
              <w:gridCol w:w="2786"/>
            </w:tblGrid>
            <w:tr w:rsidR="00503817" w:rsidRPr="00703446" w14:paraId="24AA8BD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5F0C895A" w14:textId="77777777" w:rsidR="00A57A5C" w:rsidRPr="00703446" w:rsidRDefault="00A57A5C">
                  <w:pPr>
                    <w:spacing w:before="37" w:after="37"/>
                    <w:rPr>
                      <w:szCs w:val="20"/>
                    </w:rPr>
                  </w:pPr>
                  <w:r w:rsidRPr="00703446">
                    <w:rPr>
                      <w:szCs w:val="20"/>
                    </w:rPr>
                    <w:t>Unit</w:t>
                  </w:r>
                </w:p>
              </w:tc>
              <w:tc>
                <w:tcPr>
                  <w:tcW w:w="2785" w:type="dxa"/>
                </w:tcPr>
                <w:p w14:paraId="7EFE201A" w14:textId="77777777" w:rsidR="00A57A5C" w:rsidRPr="00703446" w:rsidRDefault="00A57A5C">
                  <w:pPr>
                    <w:spacing w:before="37" w:after="37"/>
                    <w:cnfStyle w:val="100000000000" w:firstRow="1" w:lastRow="0" w:firstColumn="0" w:lastColumn="0" w:oddVBand="0" w:evenVBand="0" w:oddHBand="0" w:evenHBand="0" w:firstRowFirstColumn="0" w:firstRowLastColumn="0" w:lastRowFirstColumn="0" w:lastRowLastColumn="0"/>
                    <w:rPr>
                      <w:szCs w:val="20"/>
                    </w:rPr>
                  </w:pPr>
                  <w:r w:rsidRPr="00703446">
                    <w:rPr>
                      <w:szCs w:val="20"/>
                    </w:rPr>
                    <w:t>Capacity (MW)</w:t>
                  </w:r>
                </w:p>
              </w:tc>
              <w:tc>
                <w:tcPr>
                  <w:tcW w:w="2786" w:type="dxa"/>
                </w:tcPr>
                <w:p w14:paraId="7622808D" w14:textId="65E59CB9" w:rsidR="00A57A5C" w:rsidRPr="00703446" w:rsidRDefault="00A81E2A">
                  <w:pPr>
                    <w:spacing w:before="37" w:after="37"/>
                    <w:cnfStyle w:val="100000000000" w:firstRow="1" w:lastRow="0" w:firstColumn="0" w:lastColumn="0" w:oddVBand="0" w:evenVBand="0" w:oddHBand="0" w:evenHBand="0" w:firstRowFirstColumn="0" w:firstRowLastColumn="0" w:lastRowFirstColumn="0" w:lastRowLastColumn="0"/>
                    <w:rPr>
                      <w:szCs w:val="20"/>
                    </w:rPr>
                  </w:pPr>
                  <w:r>
                    <w:rPr>
                      <w:szCs w:val="20"/>
                    </w:rPr>
                    <w:t>Electricity production</w:t>
                  </w:r>
                  <w:r w:rsidR="00A57A5C" w:rsidRPr="00703446">
                    <w:rPr>
                      <w:szCs w:val="20"/>
                    </w:rPr>
                    <w:t xml:space="preserve"> </w:t>
                  </w:r>
                  <w:r w:rsidR="009B7D45">
                    <w:rPr>
                      <w:szCs w:val="20"/>
                    </w:rPr>
                    <w:t xml:space="preserve">in the reporting year </w:t>
                  </w:r>
                  <w:r w:rsidR="00A57A5C" w:rsidRPr="00703446">
                    <w:rPr>
                      <w:szCs w:val="20"/>
                    </w:rPr>
                    <w:t>(kWh)</w:t>
                  </w:r>
                </w:p>
              </w:tc>
            </w:tr>
            <w:tr w:rsidR="00A57A5C" w:rsidRPr="00703446" w14:paraId="610EF9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3DC3C997" w14:textId="77777777" w:rsidR="00A57A5C" w:rsidRPr="00703446" w:rsidRDefault="00A57A5C">
                  <w:pPr>
                    <w:spacing w:before="37" w:after="37"/>
                    <w:rPr>
                      <w:b w:val="0"/>
                      <w:bCs/>
                      <w:szCs w:val="20"/>
                    </w:rPr>
                  </w:pPr>
                  <w:r w:rsidRPr="00703446">
                    <w:rPr>
                      <w:b w:val="0"/>
                      <w:bCs/>
                      <w:szCs w:val="20"/>
                    </w:rPr>
                    <w:t>1</w:t>
                  </w:r>
                </w:p>
              </w:tc>
              <w:tc>
                <w:tcPr>
                  <w:tcW w:w="2785" w:type="dxa"/>
                </w:tcPr>
                <w:p w14:paraId="1B1983D1" w14:textId="77777777" w:rsidR="00A57A5C" w:rsidRPr="00703446" w:rsidRDefault="00A57A5C">
                  <w:pPr>
                    <w:spacing w:before="37" w:after="37"/>
                    <w:cnfStyle w:val="000000100000" w:firstRow="0" w:lastRow="0" w:firstColumn="0" w:lastColumn="0" w:oddVBand="0" w:evenVBand="0" w:oddHBand="1" w:evenHBand="0" w:firstRowFirstColumn="0" w:firstRowLastColumn="0" w:lastRowFirstColumn="0" w:lastRowLastColumn="0"/>
                    <w:rPr>
                      <w:bCs/>
                      <w:szCs w:val="20"/>
                    </w:rPr>
                  </w:pPr>
                  <w:r w:rsidRPr="00703446">
                    <w:rPr>
                      <w:bCs/>
                      <w:szCs w:val="20"/>
                    </w:rPr>
                    <w:t>20</w:t>
                  </w:r>
                </w:p>
              </w:tc>
              <w:tc>
                <w:tcPr>
                  <w:tcW w:w="2786" w:type="dxa"/>
                </w:tcPr>
                <w:p w14:paraId="3CE2BA39" w14:textId="77777777" w:rsidR="00A57A5C" w:rsidRPr="00703446" w:rsidRDefault="00A57A5C">
                  <w:pPr>
                    <w:spacing w:before="37" w:after="37"/>
                    <w:cnfStyle w:val="000000100000" w:firstRow="0" w:lastRow="0" w:firstColumn="0" w:lastColumn="0" w:oddVBand="0" w:evenVBand="0" w:oddHBand="1" w:evenHBand="0" w:firstRowFirstColumn="0" w:firstRowLastColumn="0" w:lastRowFirstColumn="0" w:lastRowLastColumn="0"/>
                    <w:rPr>
                      <w:bCs/>
                      <w:szCs w:val="20"/>
                    </w:rPr>
                  </w:pPr>
                  <w:r w:rsidRPr="00703446">
                    <w:rPr>
                      <w:bCs/>
                      <w:szCs w:val="20"/>
                    </w:rPr>
                    <w:t>10,000,000</w:t>
                  </w:r>
                </w:p>
              </w:tc>
            </w:tr>
            <w:tr w:rsidR="00A57A5C" w:rsidRPr="00703446" w14:paraId="2A00693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168B053B" w14:textId="77777777" w:rsidR="00A57A5C" w:rsidRPr="00703446" w:rsidRDefault="00A57A5C">
                  <w:pPr>
                    <w:spacing w:before="37" w:after="37"/>
                    <w:rPr>
                      <w:b w:val="0"/>
                      <w:bCs/>
                      <w:szCs w:val="20"/>
                    </w:rPr>
                  </w:pPr>
                  <w:r w:rsidRPr="00703446">
                    <w:rPr>
                      <w:b w:val="0"/>
                      <w:bCs/>
                      <w:szCs w:val="20"/>
                    </w:rPr>
                    <w:t>2</w:t>
                  </w:r>
                </w:p>
              </w:tc>
              <w:tc>
                <w:tcPr>
                  <w:tcW w:w="2785" w:type="dxa"/>
                </w:tcPr>
                <w:p w14:paraId="6E54724F" w14:textId="77777777" w:rsidR="00A57A5C" w:rsidRPr="00703446" w:rsidRDefault="00A57A5C">
                  <w:pPr>
                    <w:spacing w:before="37" w:after="37"/>
                    <w:cnfStyle w:val="000000010000" w:firstRow="0" w:lastRow="0" w:firstColumn="0" w:lastColumn="0" w:oddVBand="0" w:evenVBand="0" w:oddHBand="0" w:evenHBand="1" w:firstRowFirstColumn="0" w:firstRowLastColumn="0" w:lastRowFirstColumn="0" w:lastRowLastColumn="0"/>
                    <w:rPr>
                      <w:bCs/>
                      <w:szCs w:val="20"/>
                    </w:rPr>
                  </w:pPr>
                  <w:r w:rsidRPr="00703446">
                    <w:rPr>
                      <w:bCs/>
                      <w:szCs w:val="20"/>
                    </w:rPr>
                    <w:t>20</w:t>
                  </w:r>
                </w:p>
              </w:tc>
              <w:tc>
                <w:tcPr>
                  <w:tcW w:w="2786" w:type="dxa"/>
                </w:tcPr>
                <w:p w14:paraId="38B244A6" w14:textId="77777777" w:rsidR="00A57A5C" w:rsidRPr="00703446" w:rsidRDefault="00A57A5C">
                  <w:pPr>
                    <w:spacing w:before="37" w:after="37"/>
                    <w:cnfStyle w:val="000000010000" w:firstRow="0" w:lastRow="0" w:firstColumn="0" w:lastColumn="0" w:oddVBand="0" w:evenVBand="0" w:oddHBand="0" w:evenHBand="1" w:firstRowFirstColumn="0" w:firstRowLastColumn="0" w:lastRowFirstColumn="0" w:lastRowLastColumn="0"/>
                    <w:rPr>
                      <w:bCs/>
                      <w:szCs w:val="20"/>
                    </w:rPr>
                  </w:pPr>
                  <w:r w:rsidRPr="00703446">
                    <w:rPr>
                      <w:bCs/>
                      <w:szCs w:val="20"/>
                    </w:rPr>
                    <w:t>90,000</w:t>
                  </w:r>
                </w:p>
              </w:tc>
            </w:tr>
            <w:tr w:rsidR="00A57A5C" w:rsidRPr="00703446" w14:paraId="30AA776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Pr>
                <w:p w14:paraId="6CD09BA5" w14:textId="77777777" w:rsidR="00A57A5C" w:rsidRPr="00703446" w:rsidRDefault="00A57A5C">
                  <w:pPr>
                    <w:spacing w:before="37" w:after="37"/>
                    <w:rPr>
                      <w:b w:val="0"/>
                      <w:bCs/>
                      <w:szCs w:val="20"/>
                    </w:rPr>
                  </w:pPr>
                  <w:r w:rsidRPr="00703446">
                    <w:rPr>
                      <w:b w:val="0"/>
                      <w:bCs/>
                      <w:szCs w:val="20"/>
                    </w:rPr>
                    <w:t>Total</w:t>
                  </w:r>
                </w:p>
              </w:tc>
              <w:tc>
                <w:tcPr>
                  <w:tcW w:w="2785" w:type="dxa"/>
                </w:tcPr>
                <w:p w14:paraId="19F00C25" w14:textId="77777777" w:rsidR="00A57A5C" w:rsidRPr="00703446" w:rsidRDefault="00A57A5C">
                  <w:pPr>
                    <w:spacing w:before="37" w:after="37"/>
                    <w:cnfStyle w:val="000000100000" w:firstRow="0" w:lastRow="0" w:firstColumn="0" w:lastColumn="0" w:oddVBand="0" w:evenVBand="0" w:oddHBand="1" w:evenHBand="0" w:firstRowFirstColumn="0" w:firstRowLastColumn="0" w:lastRowFirstColumn="0" w:lastRowLastColumn="0"/>
                    <w:rPr>
                      <w:bCs/>
                      <w:szCs w:val="20"/>
                    </w:rPr>
                  </w:pPr>
                  <w:r w:rsidRPr="00703446">
                    <w:rPr>
                      <w:bCs/>
                      <w:szCs w:val="20"/>
                    </w:rPr>
                    <w:t>40</w:t>
                  </w:r>
                </w:p>
              </w:tc>
              <w:tc>
                <w:tcPr>
                  <w:tcW w:w="2786" w:type="dxa"/>
                </w:tcPr>
                <w:p w14:paraId="290E9D04" w14:textId="77777777" w:rsidR="00A57A5C" w:rsidRPr="00703446" w:rsidRDefault="00A57A5C">
                  <w:pPr>
                    <w:spacing w:before="37" w:after="37"/>
                    <w:cnfStyle w:val="000000100000" w:firstRow="0" w:lastRow="0" w:firstColumn="0" w:lastColumn="0" w:oddVBand="0" w:evenVBand="0" w:oddHBand="1" w:evenHBand="0" w:firstRowFirstColumn="0" w:firstRowLastColumn="0" w:lastRowFirstColumn="0" w:lastRowLastColumn="0"/>
                    <w:rPr>
                      <w:bCs/>
                      <w:szCs w:val="20"/>
                    </w:rPr>
                  </w:pPr>
                  <w:r w:rsidRPr="00703446">
                    <w:rPr>
                      <w:bCs/>
                      <w:szCs w:val="20"/>
                    </w:rPr>
                    <w:t>10,090,000</w:t>
                  </w:r>
                </w:p>
              </w:tc>
            </w:tr>
          </w:tbl>
          <w:p w14:paraId="16B44354" w14:textId="5C13C8BA" w:rsidR="00A57A5C" w:rsidRPr="00FF338C" w:rsidRDefault="00A57A5C" w:rsidP="00667BB9">
            <w:pPr>
              <w:ind w:left="0"/>
            </w:pPr>
            <w:r w:rsidRPr="00703446">
              <w:rPr>
                <w:b w:val="0"/>
                <w:bCs/>
              </w:rPr>
              <w:t xml:space="preserve">The gas power plant does not have to report electricity production for unit 2, since its generation </w:t>
            </w:r>
            <w:r w:rsidR="009B7D45">
              <w:rPr>
                <w:b w:val="0"/>
                <w:bCs/>
              </w:rPr>
              <w:t xml:space="preserve">in the reporting year </w:t>
            </w:r>
            <w:r w:rsidRPr="00703446">
              <w:rPr>
                <w:b w:val="0"/>
                <w:bCs/>
              </w:rPr>
              <w:t xml:space="preserve">did not meet the </w:t>
            </w:r>
            <w:proofErr w:type="gramStart"/>
            <w:r w:rsidRPr="00703446">
              <w:rPr>
                <w:b w:val="0"/>
                <w:bCs/>
              </w:rPr>
              <w:t>100,000</w:t>
            </w:r>
            <w:r w:rsidR="00027A15">
              <w:rPr>
                <w:b w:val="0"/>
                <w:bCs/>
              </w:rPr>
              <w:t> </w:t>
            </w:r>
            <w:r w:rsidRPr="00703446">
              <w:rPr>
                <w:b w:val="0"/>
                <w:bCs/>
              </w:rPr>
              <w:t>kWh</w:t>
            </w:r>
            <w:proofErr w:type="gramEnd"/>
            <w:r w:rsidRPr="00703446">
              <w:rPr>
                <w:b w:val="0"/>
                <w:bCs/>
              </w:rPr>
              <w:t xml:space="preserve"> threshold. If the following </w:t>
            </w:r>
            <w:r w:rsidR="000423A5">
              <w:rPr>
                <w:b w:val="0"/>
                <w:bCs/>
              </w:rPr>
              <w:t xml:space="preserve">reporting </w:t>
            </w:r>
            <w:r w:rsidRPr="00703446">
              <w:rPr>
                <w:b w:val="0"/>
                <w:bCs/>
              </w:rPr>
              <w:t>year, unit 2 generates greater than 100,000</w:t>
            </w:r>
            <w:r w:rsidR="00027A15">
              <w:rPr>
                <w:b w:val="0"/>
                <w:bCs/>
              </w:rPr>
              <w:t> </w:t>
            </w:r>
            <w:r w:rsidRPr="00703446">
              <w:rPr>
                <w:b w:val="0"/>
                <w:bCs/>
              </w:rPr>
              <w:t>kWh, its electricity production would have to be reported.</w:t>
            </w:r>
          </w:p>
        </w:tc>
      </w:tr>
    </w:tbl>
    <w:p w14:paraId="1A0CE3E3" w14:textId="575D0A8E" w:rsidR="00A57A5C" w:rsidRPr="00FF338C" w:rsidRDefault="00A57A5C" w:rsidP="00D2141E">
      <w:pPr>
        <w:spacing w:before="240"/>
      </w:pPr>
      <w:r w:rsidRPr="00FF338C">
        <w:t>A reporter may choose to report electricity production where the above thresholds</w:t>
      </w:r>
      <w:r w:rsidR="00230D6F">
        <w:t>,</w:t>
      </w:r>
      <w:r w:rsidRPr="00FF338C">
        <w:t xml:space="preserve"> in </w:t>
      </w:r>
      <w:r w:rsidR="00025F90">
        <w:t>accordance with</w:t>
      </w:r>
      <w:r w:rsidRPr="00FF338C">
        <w:t xml:space="preserve"> 4.19(2) of the NGER Regulations</w:t>
      </w:r>
      <w:r w:rsidR="00230D6F">
        <w:t>,</w:t>
      </w:r>
      <w:r w:rsidRPr="00FF338C">
        <w:t xml:space="preserve"> have not been met. Where this occurs, the corresponding onsite consumption from electricity </w:t>
      </w:r>
      <w:r w:rsidR="000521D4" w:rsidRPr="00FF338C">
        <w:t xml:space="preserve">produced </w:t>
      </w:r>
      <w:r w:rsidR="000521D4">
        <w:t>onsite</w:t>
      </w:r>
      <w:r w:rsidRPr="00FF338C">
        <w:t xml:space="preserve"> </w:t>
      </w:r>
      <w:r>
        <w:t>must</w:t>
      </w:r>
      <w:r w:rsidRPr="00FF338C">
        <w:t xml:space="preserve"> also be reported (produced for the purposes of the operation of the facility).</w:t>
      </w:r>
    </w:p>
    <w:p w14:paraId="7B8F45F1" w14:textId="77777777" w:rsidR="00A57A5C" w:rsidRPr="00FF338C" w:rsidRDefault="00A57A5C" w:rsidP="00B3330E">
      <w:pPr>
        <w:pStyle w:val="Heading3"/>
        <w:numPr>
          <w:ilvl w:val="2"/>
          <w:numId w:val="3"/>
        </w:numPr>
        <w:ind w:left="709" w:hanging="709"/>
        <w:rPr>
          <w:lang w:val="en-GB"/>
        </w:rPr>
      </w:pPr>
      <w:bookmarkStart w:id="272" w:name="_Quantifying_electricity_consumption"/>
      <w:bookmarkStart w:id="273" w:name="_Toc512010415"/>
      <w:bookmarkStart w:id="274" w:name="_Toc512339614"/>
      <w:bookmarkStart w:id="275" w:name="_Toc205461472"/>
      <w:bookmarkEnd w:id="272"/>
      <w:r w:rsidRPr="00FF338C">
        <w:rPr>
          <w:lang w:val="en-GB"/>
        </w:rPr>
        <w:t>Quantifying electricity consumption</w:t>
      </w:r>
      <w:bookmarkEnd w:id="273"/>
      <w:bookmarkEnd w:id="274"/>
      <w:bookmarkEnd w:id="275"/>
    </w:p>
    <w:p w14:paraId="6E6F246B" w14:textId="63407845" w:rsidR="0099640B" w:rsidRDefault="00A57A5C" w:rsidP="00A57A5C">
      <w:r>
        <w:t>Electricity consumption must be reported in accordance with 2.26 and 4.4.5 of the NGER Regulations, and</w:t>
      </w:r>
      <w:r w:rsidRPr="005513B8">
        <w:t xml:space="preserve"> </w:t>
      </w:r>
      <w:r>
        <w:t xml:space="preserve">Chapter 6 of the NGER Measurement Determination. </w:t>
      </w:r>
      <w:r w:rsidR="00377D43">
        <w:t xml:space="preserve">The following all </w:t>
      </w:r>
      <w:r w:rsidR="002E07FE">
        <w:t xml:space="preserve">give rise to </w:t>
      </w:r>
      <w:r w:rsidR="00377D43">
        <w:t>electricity consumption:</w:t>
      </w:r>
    </w:p>
    <w:p w14:paraId="465172FE" w14:textId="6600EBAF" w:rsidR="00377D43" w:rsidRDefault="00377D43" w:rsidP="00667BB9">
      <w:pPr>
        <w:pStyle w:val="CERbullets"/>
      </w:pPr>
      <w:r>
        <w:t>Electricity used in the operation of the facility</w:t>
      </w:r>
      <w:r w:rsidR="00511475">
        <w:t xml:space="preserve">, including </w:t>
      </w:r>
      <w:r w:rsidR="00EB00ED">
        <w:t xml:space="preserve">the </w:t>
      </w:r>
      <w:r w:rsidR="00511475">
        <w:t xml:space="preserve">charging </w:t>
      </w:r>
      <w:r w:rsidR="00EB00ED">
        <w:t xml:space="preserve">of any </w:t>
      </w:r>
      <w:r w:rsidR="00511475">
        <w:t>electric vehicles which belong to the facility</w:t>
      </w:r>
    </w:p>
    <w:p w14:paraId="3DB559A8" w14:textId="68D6C195" w:rsidR="00377D43" w:rsidRDefault="00377D43" w:rsidP="00667BB9">
      <w:pPr>
        <w:pStyle w:val="CERbullets"/>
      </w:pPr>
      <w:r>
        <w:t xml:space="preserve">Electricity </w:t>
      </w:r>
      <w:r w:rsidR="00511475">
        <w:t xml:space="preserve">lost in </w:t>
      </w:r>
      <w:r>
        <w:t>battery energy storage systems</w:t>
      </w:r>
    </w:p>
    <w:p w14:paraId="3D380D62" w14:textId="4A37CEA4" w:rsidR="00377D43" w:rsidRDefault="00511475" w:rsidP="00EE3EA4">
      <w:pPr>
        <w:pStyle w:val="CERbullets"/>
        <w:spacing w:after="200"/>
        <w:ind w:left="357" w:hanging="357"/>
      </w:pPr>
      <w:r>
        <w:t>T</w:t>
      </w:r>
      <w:r w:rsidR="00377D43">
        <w:t xml:space="preserve">ransmission </w:t>
      </w:r>
      <w:r w:rsidR="00377D43" w:rsidRPr="00FF338C">
        <w:t>losses and parasitic loads</w:t>
      </w:r>
    </w:p>
    <w:p w14:paraId="427B1D85" w14:textId="054F299B" w:rsidR="00A57A5C" w:rsidRPr="00FF338C" w:rsidRDefault="00A62BAF" w:rsidP="00A57A5C">
      <w:r>
        <w:t xml:space="preserve">Subject to the thresholds described in </w:t>
      </w:r>
      <w:r w:rsidR="000772C0">
        <w:fldChar w:fldCharType="begin" w:fldLock="1"/>
      </w:r>
      <w:r w:rsidR="000772C0">
        <w:instrText xml:space="preserve"> REF _Ref199338865 </w:instrText>
      </w:r>
      <w:r w:rsidR="000772C0">
        <w:fldChar w:fldCharType="separate"/>
      </w:r>
      <w:r w:rsidR="000772C0">
        <w:t xml:space="preserve">Table </w:t>
      </w:r>
      <w:r w:rsidR="000772C0">
        <w:rPr>
          <w:noProof/>
        </w:rPr>
        <w:t>10</w:t>
      </w:r>
      <w:r w:rsidR="000772C0">
        <w:fldChar w:fldCharType="end"/>
      </w:r>
      <w:r w:rsidR="000772C0">
        <w:t xml:space="preserve"> and </w:t>
      </w:r>
      <w:r w:rsidR="000772C0">
        <w:fldChar w:fldCharType="begin" w:fldLock="1"/>
      </w:r>
      <w:r w:rsidR="000772C0">
        <w:instrText xml:space="preserve"> REF _Ref199338869 </w:instrText>
      </w:r>
      <w:r w:rsidR="000772C0">
        <w:fldChar w:fldCharType="separate"/>
      </w:r>
      <w:r w:rsidR="000772C0">
        <w:t xml:space="preserve">Table </w:t>
      </w:r>
      <w:r w:rsidR="000772C0">
        <w:rPr>
          <w:noProof/>
        </w:rPr>
        <w:t>11</w:t>
      </w:r>
      <w:r w:rsidR="000772C0">
        <w:fldChar w:fldCharType="end"/>
      </w:r>
      <w:r>
        <w:t>, e</w:t>
      </w:r>
      <w:r w:rsidR="002A6B9A">
        <w:t xml:space="preserve">lectricity consumption </w:t>
      </w:r>
      <w:r>
        <w:t>must</w:t>
      </w:r>
      <w:r w:rsidR="00A31E8B">
        <w:t xml:space="preserve"> be reported in the following ways, depending on the origin of the electricity</w:t>
      </w:r>
      <w:r w:rsidR="00D7694E">
        <w:t xml:space="preserve">: </w:t>
      </w:r>
    </w:p>
    <w:p w14:paraId="7BF2ED32" w14:textId="5F2073F2" w:rsidR="006835F6" w:rsidRDefault="00494E2A" w:rsidP="00933DDC">
      <w:pPr>
        <w:numPr>
          <w:ilvl w:val="0"/>
          <w:numId w:val="1"/>
        </w:numPr>
        <w:spacing w:before="120" w:after="120"/>
      </w:pPr>
      <w:bookmarkStart w:id="276" w:name="_Hlk44059376"/>
      <w:r>
        <w:t>W</w:t>
      </w:r>
      <w:r w:rsidR="006835F6">
        <w:t xml:space="preserve">hen </w:t>
      </w:r>
      <w:r w:rsidR="006835F6" w:rsidDel="00547180">
        <w:t>electricity</w:t>
      </w:r>
      <w:r w:rsidR="006835F6" w:rsidRPr="00FF338C">
        <w:t xml:space="preserve"> </w:t>
      </w:r>
      <w:r w:rsidR="006835F6">
        <w:t xml:space="preserve">is </w:t>
      </w:r>
      <w:r w:rsidR="006835F6" w:rsidRPr="00FF338C">
        <w:t>drawn from an external source and consumed within the facility</w:t>
      </w:r>
      <w:r w:rsidR="00D74416">
        <w:t xml:space="preserve"> (</w:t>
      </w:r>
      <w:r w:rsidR="006835F6">
        <w:t>including line losses for electricity transmission and distribution facilities</w:t>
      </w:r>
      <w:r w:rsidR="00D74416">
        <w:t>)</w:t>
      </w:r>
      <w:r>
        <w:t>,</w:t>
      </w:r>
      <w:r w:rsidR="007D00CB">
        <w:t xml:space="preserve"> you must report</w:t>
      </w:r>
      <w:r>
        <w:t xml:space="preserve"> a scope 2 emissions activity</w:t>
      </w:r>
      <w:r w:rsidR="006835F6">
        <w:t xml:space="preserve">. See </w:t>
      </w:r>
      <w:hyperlink w:anchor="_Reporting_scope_2" w:history="1">
        <w:r w:rsidR="006835F6" w:rsidRPr="00933DDC">
          <w:rPr>
            <w:rStyle w:val="Hyperlink"/>
            <w:rFonts w:asciiTheme="minorHAnsi" w:hAnsiTheme="minorHAnsi"/>
          </w:rPr>
          <w:t>chapter 6</w:t>
        </w:r>
      </w:hyperlink>
      <w:r w:rsidR="006835F6">
        <w:t xml:space="preserve"> </w:t>
      </w:r>
      <w:r w:rsidR="009F6021">
        <w:t xml:space="preserve">of this guideline </w:t>
      </w:r>
      <w:r w:rsidR="006835F6">
        <w:t>for information on reporting these activities.</w:t>
      </w:r>
    </w:p>
    <w:p w14:paraId="561FF299" w14:textId="2F008B23" w:rsidR="00A57A5C" w:rsidRPr="00FF338C" w:rsidRDefault="00494E2A" w:rsidP="006835F6">
      <w:pPr>
        <w:numPr>
          <w:ilvl w:val="0"/>
          <w:numId w:val="1"/>
        </w:numPr>
        <w:spacing w:before="120" w:after="120"/>
      </w:pPr>
      <w:r>
        <w:t>W</w:t>
      </w:r>
      <w:r w:rsidR="003214A2">
        <w:t xml:space="preserve">hen </w:t>
      </w:r>
      <w:r w:rsidR="00A16A13">
        <w:t>e</w:t>
      </w:r>
      <w:r w:rsidR="00A57A5C">
        <w:t xml:space="preserve">lectricity </w:t>
      </w:r>
      <w:r w:rsidR="003214A2">
        <w:t xml:space="preserve">is </w:t>
      </w:r>
      <w:r w:rsidR="00331407">
        <w:t>produced</w:t>
      </w:r>
      <w:r w:rsidR="00A57A5C" w:rsidRPr="00FF338C">
        <w:t xml:space="preserve"> within the facility and consumed within the facility</w:t>
      </w:r>
      <w:r w:rsidR="003214A2">
        <w:t xml:space="preserve">, </w:t>
      </w:r>
      <w:r w:rsidR="007D00CB">
        <w:t xml:space="preserve">you must report </w:t>
      </w:r>
      <w:r w:rsidR="00B978A3">
        <w:t xml:space="preserve">an </w:t>
      </w:r>
      <w:r w:rsidR="003214A2">
        <w:t>energ</w:t>
      </w:r>
      <w:r w:rsidR="00B978A3">
        <w:t>y</w:t>
      </w:r>
      <w:r w:rsidR="003214A2">
        <w:t xml:space="preserve"> consumption</w:t>
      </w:r>
      <w:r w:rsidR="00B978A3">
        <w:t xml:space="preserve"> activity</w:t>
      </w:r>
      <w:r w:rsidR="003214A2">
        <w:t>.</w:t>
      </w:r>
    </w:p>
    <w:tbl>
      <w:tblPr>
        <w:tblStyle w:val="CERCallout"/>
        <w:tblW w:w="0" w:type="auto"/>
        <w:tblLook w:val="04A0" w:firstRow="1" w:lastRow="0" w:firstColumn="1" w:lastColumn="0" w:noHBand="0" w:noVBand="1"/>
      </w:tblPr>
      <w:tblGrid>
        <w:gridCol w:w="9710"/>
      </w:tblGrid>
      <w:tr w:rsidR="00D67F2D" w14:paraId="01AF6232" w14:textId="77777777" w:rsidTr="00BE117F">
        <w:trPr>
          <w:cnfStyle w:val="100000000000" w:firstRow="1" w:lastRow="0" w:firstColumn="0" w:lastColumn="0" w:oddVBand="0" w:evenVBand="0" w:oddHBand="0" w:evenHBand="0" w:firstRowFirstColumn="0" w:firstRowLastColumn="0" w:lastRowFirstColumn="0" w:lastRowLastColumn="0"/>
        </w:trPr>
        <w:tc>
          <w:tcPr>
            <w:tcW w:w="9710" w:type="dxa"/>
          </w:tcPr>
          <w:bookmarkEnd w:id="276"/>
          <w:p w14:paraId="13260AD9" w14:textId="48178865" w:rsidR="00205BC9" w:rsidRDefault="00205BC9" w:rsidP="00A57A5C">
            <w:r>
              <w:t>There are no associated scope 2 emissions from the consumption of electricity which has been produced within the same facility</w:t>
            </w:r>
            <w:r w:rsidR="003375D2">
              <w:t>.</w:t>
            </w:r>
          </w:p>
        </w:tc>
      </w:tr>
    </w:tbl>
    <w:p w14:paraId="0558D68F" w14:textId="77777777" w:rsidR="00FD64AC" w:rsidRDefault="00FD64AC" w:rsidP="00BE117F">
      <w:pPr>
        <w:pStyle w:val="BodyText1"/>
      </w:pPr>
    </w:p>
    <w:p w14:paraId="09E3C838" w14:textId="1D23E6C5" w:rsidR="00A57A5C" w:rsidRPr="00FF338C" w:rsidRDefault="00A57A5C" w:rsidP="00BE117F">
      <w:pPr>
        <w:pStyle w:val="BodyText1"/>
      </w:pPr>
      <w:r>
        <w:t>C</w:t>
      </w:r>
      <w:r w:rsidRPr="00FF338C">
        <w:t>onsumption</w:t>
      </w:r>
      <w:r>
        <w:t xml:space="preserve"> of electricity produced onsite</w:t>
      </w:r>
      <w:r w:rsidRPr="00FF338C">
        <w:t xml:space="preserve"> at a generation facility </w:t>
      </w:r>
      <w:r>
        <w:t>is</w:t>
      </w:r>
      <w:r w:rsidRPr="00FF338C">
        <w:t xml:space="preserve"> equal to the difference between the quantity of electricity produc</w:t>
      </w:r>
      <w:r w:rsidR="007C50CC">
        <w:t>tion as</w:t>
      </w:r>
      <w:r w:rsidRPr="00FF338C">
        <w:t xml:space="preserve"> </w:t>
      </w:r>
      <w:r w:rsidR="00E24404">
        <w:t>measured</w:t>
      </w:r>
      <w:r w:rsidRPr="00FF338C">
        <w:t xml:space="preserve"> at the terminals of the generating units, and the quantity of electricity delivered for use outside the facility </w:t>
      </w:r>
      <w:r w:rsidR="00C45330">
        <w:t>measured at the connection point</w:t>
      </w:r>
      <w:r w:rsidR="00B640BA">
        <w:t>. T</w:t>
      </w:r>
      <w:r>
        <w:t>hat is,</w:t>
      </w:r>
      <w:r w:rsidRPr="00FF338C">
        <w:t xml:space="preserve"> supplied to an electricity transmission or distribution network, or for other use outside the facility.</w:t>
      </w:r>
    </w:p>
    <w:p w14:paraId="0284C9DD" w14:textId="06B056D6" w:rsidR="00A57A5C" w:rsidRDefault="00A57A5C" w:rsidP="00A57A5C">
      <w:pPr>
        <w:pStyle w:val="Body"/>
        <w:ind w:left="0"/>
        <w:rPr>
          <w:rFonts w:asciiTheme="minorHAnsi" w:hAnsiTheme="minorHAnsi"/>
          <w:sz w:val="22"/>
        </w:rPr>
      </w:pPr>
      <w:r w:rsidRPr="00FF338C">
        <w:rPr>
          <w:rFonts w:asciiTheme="minorHAnsi" w:hAnsiTheme="minorHAnsi"/>
          <w:sz w:val="22"/>
        </w:rPr>
        <w:t xml:space="preserve">In accordance with section 6.5 of the </w:t>
      </w:r>
      <w:r>
        <w:rPr>
          <w:rFonts w:asciiTheme="minorHAnsi" w:hAnsiTheme="minorHAnsi"/>
          <w:sz w:val="22"/>
        </w:rPr>
        <w:t>NGER Measurement Determination</w:t>
      </w:r>
      <w:r w:rsidRPr="00FF338C">
        <w:rPr>
          <w:rFonts w:asciiTheme="minorHAnsi" w:hAnsiTheme="minorHAnsi"/>
          <w:sz w:val="22"/>
        </w:rPr>
        <w:t>, the amount of electricity consumed (</w:t>
      </w:r>
      <w:r w:rsidRPr="00FE31CC">
        <w:rPr>
          <w:rFonts w:asciiTheme="minorHAnsi" w:hAnsiTheme="minorHAnsi"/>
          <w:i/>
          <w:sz w:val="22"/>
        </w:rPr>
        <w:t>Q</w:t>
      </w:r>
      <w:r w:rsidRPr="00FF338C">
        <w:rPr>
          <w:rFonts w:asciiTheme="minorHAnsi" w:hAnsiTheme="minorHAnsi"/>
          <w:sz w:val="22"/>
        </w:rPr>
        <w:t xml:space="preserve">) </w:t>
      </w:r>
      <w:r w:rsidR="00336D21">
        <w:rPr>
          <w:rFonts w:asciiTheme="minorHAnsi" w:hAnsiTheme="minorHAnsi"/>
          <w:sz w:val="22"/>
        </w:rPr>
        <w:t>must</w:t>
      </w:r>
      <w:r w:rsidRPr="00FF338C">
        <w:rPr>
          <w:rFonts w:asciiTheme="minorHAnsi" w:hAnsiTheme="minorHAnsi"/>
          <w:sz w:val="22"/>
        </w:rPr>
        <w:t xml:space="preserve"> be evidenced by: </w:t>
      </w:r>
    </w:p>
    <w:p w14:paraId="3B40DBA2" w14:textId="51F7132E" w:rsidR="00A57A5C" w:rsidRPr="00B751DE" w:rsidRDefault="00A57A5C" w:rsidP="00D2141E">
      <w:pPr>
        <w:pStyle w:val="CERbullets"/>
      </w:pPr>
      <w:r w:rsidRPr="00B751DE">
        <w:t>invoices, contractual arrangements or industry metering records</w:t>
      </w:r>
    </w:p>
    <w:p w14:paraId="4236A01C" w14:textId="2016787C" w:rsidR="00A57A5C" w:rsidRPr="00B751DE" w:rsidRDefault="00A57A5C" w:rsidP="00D2141E">
      <w:pPr>
        <w:pStyle w:val="CERbullets"/>
      </w:pPr>
      <w:r w:rsidRPr="00B751DE">
        <w:t>records of estimates made in line with industry practice</w:t>
      </w:r>
      <w:r w:rsidR="009E3CB6">
        <w:t xml:space="preserve"> </w:t>
      </w:r>
      <w:r w:rsidR="009E3CB6" w:rsidRPr="00B751DE">
        <w:t>if such evidence is not available</w:t>
      </w:r>
      <w:r w:rsidRPr="00B751DE">
        <w:t>.</w:t>
      </w:r>
    </w:p>
    <w:tbl>
      <w:tblPr>
        <w:tblStyle w:val="CERCallout"/>
        <w:tblW w:w="5000" w:type="pct"/>
        <w:tblLook w:val="04A0" w:firstRow="1" w:lastRow="0" w:firstColumn="1" w:lastColumn="0" w:noHBand="0" w:noVBand="1"/>
      </w:tblPr>
      <w:tblGrid>
        <w:gridCol w:w="9710"/>
      </w:tblGrid>
      <w:tr w:rsidR="00D67F2D" w:rsidRPr="00FF338C" w14:paraId="774A2556" w14:textId="77777777" w:rsidTr="00BE117F">
        <w:trPr>
          <w:cnfStyle w:val="100000000000" w:firstRow="1" w:lastRow="0" w:firstColumn="0" w:lastColumn="0" w:oddVBand="0" w:evenVBand="0" w:oddHBand="0" w:evenHBand="0" w:firstRowFirstColumn="0" w:firstRowLastColumn="0" w:lastRowFirstColumn="0" w:lastRowLastColumn="0"/>
        </w:trPr>
        <w:tc>
          <w:tcPr>
            <w:tcW w:w="5000" w:type="pct"/>
          </w:tcPr>
          <w:p w14:paraId="44A91CE0" w14:textId="3FBA5315" w:rsidR="00A57A5C" w:rsidRPr="00FB5D2B" w:rsidRDefault="004B0870">
            <w:pPr>
              <w:pStyle w:val="Heading5"/>
              <w:ind w:left="0"/>
              <w:rPr>
                <w:b/>
                <w:bCs/>
              </w:rPr>
            </w:pPr>
            <w:bookmarkStart w:id="277" w:name="_Toc205461473"/>
            <w:r>
              <w:rPr>
                <w:rFonts w:ascii="ZWAdobeF" w:hAnsi="ZWAdobeF" w:cs="ZWAdobeF"/>
                <w:bCs/>
                <w:color w:val="auto"/>
                <w:sz w:val="2"/>
                <w:szCs w:val="2"/>
              </w:rPr>
              <w:t>7B</w:t>
            </w:r>
            <w:r w:rsidR="00A57A5C" w:rsidRPr="00FB5D2B">
              <w:rPr>
                <w:b/>
                <w:bCs/>
              </w:rPr>
              <w:t>Example – Quantifying electricity consumption at a hydro power plant</w:t>
            </w:r>
            <w:bookmarkEnd w:id="277"/>
          </w:p>
          <w:p w14:paraId="26C59AE3" w14:textId="7BA19598" w:rsidR="00A57A5C" w:rsidRPr="00FB5D2B" w:rsidRDefault="00A57A5C" w:rsidP="00703446">
            <w:pPr>
              <w:pStyle w:val="CERbullets"/>
              <w:numPr>
                <w:ilvl w:val="0"/>
                <w:numId w:val="0"/>
              </w:numPr>
              <w:rPr>
                <w:b w:val="0"/>
                <w:bCs/>
              </w:rPr>
            </w:pPr>
            <w:hyperlink w:anchor="_Case_example_2:" w:history="1">
              <w:r w:rsidRPr="00FB5D2B">
                <w:rPr>
                  <w:rStyle w:val="Hyperlink"/>
                  <w:rFonts w:asciiTheme="minorHAnsi" w:hAnsiTheme="minorHAnsi"/>
                  <w:b w:val="0"/>
                  <w:bCs/>
                </w:rPr>
                <w:t>Case example 2 in Appendix A</w:t>
              </w:r>
            </w:hyperlink>
            <w:r w:rsidRPr="00FB5D2B">
              <w:rPr>
                <w:b w:val="0"/>
                <w:bCs/>
              </w:rPr>
              <w:t xml:space="preserve"> illustrates how electricity consumption should be quantified.</w:t>
            </w:r>
          </w:p>
          <w:p w14:paraId="05D3C452" w14:textId="627B72B4" w:rsidR="00A57A5C" w:rsidRPr="00002F75" w:rsidRDefault="00A57A5C" w:rsidP="00B3330E">
            <w:pPr>
              <w:pStyle w:val="CERnumbering"/>
              <w:numPr>
                <w:ilvl w:val="0"/>
                <w:numId w:val="15"/>
              </w:numPr>
              <w:spacing w:beforeAutospacing="0"/>
              <w:rPr>
                <w:b w:val="0"/>
                <w:bCs/>
              </w:rPr>
            </w:pPr>
            <w:r w:rsidRPr="00FB5D2B">
              <w:rPr>
                <w:b w:val="0"/>
                <w:bCs/>
              </w:rPr>
              <w:t>Electricity is produced in the turbine and electricity production is measured using metering at the terminal</w:t>
            </w:r>
            <w:r w:rsidR="001B66FA">
              <w:rPr>
                <w:b w:val="0"/>
                <w:bCs/>
              </w:rPr>
              <w:t>s</w:t>
            </w:r>
            <w:r w:rsidRPr="00FB5D2B">
              <w:rPr>
                <w:b w:val="0"/>
                <w:bCs/>
              </w:rPr>
              <w:t xml:space="preserve"> (see number 4 </w:t>
            </w:r>
            <w:r w:rsidRPr="00002F75">
              <w:rPr>
                <w:b w:val="0"/>
                <w:bCs/>
              </w:rPr>
              <w:t>in</w:t>
            </w:r>
            <w:r w:rsidR="00002F75" w:rsidRPr="00002F75">
              <w:rPr>
                <w:b w:val="0"/>
                <w:bCs/>
              </w:rPr>
              <w:t xml:space="preserve"> </w:t>
            </w:r>
            <w:r w:rsidR="00002F75" w:rsidRPr="00002F75">
              <w:fldChar w:fldCharType="begin" w:fldLock="1"/>
            </w:r>
            <w:r w:rsidR="00002F75" w:rsidRPr="00002F75">
              <w:rPr>
                <w:bCs/>
              </w:rPr>
              <w:instrText xml:space="preserve"> </w:instrText>
            </w:r>
            <w:r w:rsidR="00002F75" w:rsidRPr="00002F75">
              <w:rPr>
                <w:b w:val="0"/>
                <w:bCs/>
              </w:rPr>
              <w:instrText xml:space="preserve">REF </w:instrText>
            </w:r>
            <w:r w:rsidR="00002F75" w:rsidRPr="00002F75">
              <w:rPr>
                <w:bCs/>
              </w:rPr>
              <w:instrText xml:space="preserve">_Ref199340118 </w:instrText>
            </w:r>
            <w:r w:rsidR="00002F75" w:rsidRPr="007D0A6E">
              <w:rPr>
                <w:bCs/>
              </w:rPr>
              <w:instrText xml:space="preserve"> \* MERGEFORMAT </w:instrText>
            </w:r>
            <w:r w:rsidR="00002F75" w:rsidRPr="00002F75">
              <w:fldChar w:fldCharType="separate"/>
            </w:r>
            <w:r w:rsidR="00002F75" w:rsidRPr="007D0A6E">
              <w:rPr>
                <w:bCs/>
              </w:rPr>
              <w:t xml:space="preserve">Figure </w:t>
            </w:r>
            <w:r w:rsidR="00002F75" w:rsidRPr="007D0A6E">
              <w:rPr>
                <w:bCs/>
                <w:noProof/>
              </w:rPr>
              <w:t>8</w:t>
            </w:r>
            <w:r w:rsidR="00002F75" w:rsidRPr="00002F75">
              <w:rPr>
                <w:bCs/>
              </w:rPr>
              <w:fldChar w:fldCharType="end"/>
            </w:r>
            <w:r w:rsidRPr="00002F75">
              <w:rPr>
                <w:b w:val="0"/>
                <w:bCs/>
              </w:rPr>
              <w:t>).</w:t>
            </w:r>
          </w:p>
          <w:p w14:paraId="281F26B4" w14:textId="276DEE3E" w:rsidR="00A57A5C" w:rsidRPr="00002F75" w:rsidRDefault="00A57A5C" w:rsidP="00B3330E">
            <w:pPr>
              <w:pStyle w:val="CERnumbering"/>
              <w:numPr>
                <w:ilvl w:val="0"/>
                <w:numId w:val="15"/>
              </w:numPr>
              <w:spacing w:beforeAutospacing="0"/>
              <w:rPr>
                <w:b w:val="0"/>
                <w:bCs/>
              </w:rPr>
            </w:pPr>
            <w:r w:rsidRPr="00002F75">
              <w:rPr>
                <w:b w:val="0"/>
                <w:bCs/>
              </w:rPr>
              <w:t>Electricity delivered to an electricity transmission network</w:t>
            </w:r>
            <w:r w:rsidRPr="00002F75">
              <w:rPr>
                <w:b w:val="0"/>
                <w:bCs/>
                <w:color w:val="FF0000"/>
              </w:rPr>
              <w:t xml:space="preserve"> </w:t>
            </w:r>
            <w:r w:rsidRPr="00002F75">
              <w:rPr>
                <w:b w:val="0"/>
                <w:bCs/>
              </w:rPr>
              <w:t xml:space="preserve">is metered at the network connection point (see number 7 in </w:t>
            </w:r>
            <w:r w:rsidR="00002F75" w:rsidRPr="00002F75">
              <w:fldChar w:fldCharType="begin" w:fldLock="1"/>
            </w:r>
            <w:r w:rsidR="00002F75" w:rsidRPr="00002F75">
              <w:rPr>
                <w:bCs/>
              </w:rPr>
              <w:instrText xml:space="preserve"> </w:instrText>
            </w:r>
            <w:r w:rsidR="00002F75" w:rsidRPr="00002F75">
              <w:rPr>
                <w:b w:val="0"/>
                <w:bCs/>
              </w:rPr>
              <w:instrText xml:space="preserve">REF </w:instrText>
            </w:r>
            <w:r w:rsidR="00002F75" w:rsidRPr="00002F75">
              <w:rPr>
                <w:bCs/>
              </w:rPr>
              <w:instrText xml:space="preserve">_Ref199340118 </w:instrText>
            </w:r>
            <w:r w:rsidR="00002F75" w:rsidRPr="007D0A6E">
              <w:rPr>
                <w:bCs/>
              </w:rPr>
              <w:instrText xml:space="preserve"> \* MERGEFORMAT </w:instrText>
            </w:r>
            <w:r w:rsidR="00002F75" w:rsidRPr="00002F75">
              <w:fldChar w:fldCharType="separate"/>
            </w:r>
            <w:r w:rsidR="00002F75" w:rsidRPr="007D0A6E">
              <w:rPr>
                <w:bCs/>
              </w:rPr>
              <w:t xml:space="preserve">Figure </w:t>
            </w:r>
            <w:r w:rsidR="00002F75" w:rsidRPr="007D0A6E">
              <w:rPr>
                <w:bCs/>
                <w:noProof/>
              </w:rPr>
              <w:t>8</w:t>
            </w:r>
            <w:r w:rsidR="00002F75" w:rsidRPr="00002F75">
              <w:rPr>
                <w:bCs/>
              </w:rPr>
              <w:fldChar w:fldCharType="end"/>
            </w:r>
            <w:r w:rsidRPr="00002F75">
              <w:rPr>
                <w:b w:val="0"/>
                <w:bCs/>
              </w:rPr>
              <w:t>).</w:t>
            </w:r>
          </w:p>
          <w:p w14:paraId="4E1C819C" w14:textId="751DD8FC" w:rsidR="00A57A5C" w:rsidRPr="00002F75" w:rsidRDefault="00A57A5C" w:rsidP="00B3330E">
            <w:pPr>
              <w:pStyle w:val="CERnumbering"/>
              <w:numPr>
                <w:ilvl w:val="0"/>
                <w:numId w:val="15"/>
              </w:numPr>
              <w:spacing w:beforeAutospacing="0"/>
              <w:rPr>
                <w:b w:val="0"/>
                <w:bCs/>
              </w:rPr>
            </w:pPr>
            <w:r w:rsidRPr="00002F75">
              <w:rPr>
                <w:b w:val="0"/>
                <w:bCs/>
              </w:rPr>
              <w:t xml:space="preserve">Reportable consumption of electricity </w:t>
            </w:r>
            <w:r w:rsidR="00DD57F2" w:rsidRPr="00002F75">
              <w:rPr>
                <w:b w:val="0"/>
                <w:bCs/>
              </w:rPr>
              <w:t xml:space="preserve">produced </w:t>
            </w:r>
            <w:r w:rsidR="00B64DC8" w:rsidRPr="00002F75">
              <w:rPr>
                <w:b w:val="0"/>
                <w:bCs/>
              </w:rPr>
              <w:t xml:space="preserve">for use </w:t>
            </w:r>
            <w:r w:rsidR="00C004CB" w:rsidRPr="00002F75">
              <w:rPr>
                <w:b w:val="0"/>
                <w:bCs/>
              </w:rPr>
              <w:t xml:space="preserve">in the operation of the </w:t>
            </w:r>
            <w:proofErr w:type="gramStart"/>
            <w:r w:rsidR="00C004CB" w:rsidRPr="00002F75">
              <w:rPr>
                <w:b w:val="0"/>
                <w:bCs/>
              </w:rPr>
              <w:t>facility (‘</w:t>
            </w:r>
            <w:proofErr w:type="gramEnd"/>
            <w:r w:rsidR="00C004CB" w:rsidRPr="00002F75">
              <w:rPr>
                <w:b w:val="0"/>
                <w:bCs/>
              </w:rPr>
              <w:t>for use onsite’)</w:t>
            </w:r>
            <w:r w:rsidR="00B64DC8" w:rsidRPr="00002F75">
              <w:rPr>
                <w:b w:val="0"/>
                <w:bCs/>
              </w:rPr>
              <w:t xml:space="preserve"> </w:t>
            </w:r>
            <w:r w:rsidRPr="00002F75">
              <w:rPr>
                <w:b w:val="0"/>
                <w:bCs/>
              </w:rPr>
              <w:t xml:space="preserve">is the difference between the two above </w:t>
            </w:r>
            <w:r w:rsidR="007A0B9C" w:rsidRPr="00002F75">
              <w:rPr>
                <w:b w:val="0"/>
                <w:bCs/>
              </w:rPr>
              <w:t>amounts</w:t>
            </w:r>
            <w:r w:rsidRPr="00002F75">
              <w:rPr>
                <w:b w:val="0"/>
                <w:bCs/>
              </w:rPr>
              <w:t xml:space="preserve">. </w:t>
            </w:r>
          </w:p>
          <w:p w14:paraId="36A51CAF" w14:textId="59DF68CA" w:rsidR="00A57A5C" w:rsidRPr="00FF338C" w:rsidRDefault="00A57A5C" w:rsidP="00703446">
            <w:pPr>
              <w:pStyle w:val="CERbullets"/>
              <w:numPr>
                <w:ilvl w:val="0"/>
                <w:numId w:val="0"/>
              </w:numPr>
            </w:pPr>
            <w:r w:rsidRPr="00002F75">
              <w:rPr>
                <w:b w:val="0"/>
                <w:bCs/>
              </w:rPr>
              <w:t xml:space="preserve">The </w:t>
            </w:r>
            <w:r w:rsidR="001253A8" w:rsidRPr="00002F75">
              <w:rPr>
                <w:b w:val="0"/>
                <w:bCs/>
              </w:rPr>
              <w:t xml:space="preserve">consumption </w:t>
            </w:r>
            <w:r w:rsidRPr="00002F75">
              <w:rPr>
                <w:b w:val="0"/>
                <w:bCs/>
              </w:rPr>
              <w:t xml:space="preserve">of electricity </w:t>
            </w:r>
            <w:r w:rsidR="001253A8" w:rsidRPr="00002F75">
              <w:rPr>
                <w:b w:val="0"/>
                <w:bCs/>
              </w:rPr>
              <w:t xml:space="preserve">produced </w:t>
            </w:r>
            <w:r w:rsidR="00C004CB" w:rsidRPr="00002F75">
              <w:rPr>
                <w:b w:val="0"/>
                <w:bCs/>
              </w:rPr>
              <w:t xml:space="preserve">for use </w:t>
            </w:r>
            <w:r w:rsidR="001253A8" w:rsidRPr="00002F75">
              <w:rPr>
                <w:b w:val="0"/>
                <w:bCs/>
              </w:rPr>
              <w:t>onsite</w:t>
            </w:r>
            <w:r w:rsidRPr="00002F75">
              <w:rPr>
                <w:b w:val="0"/>
                <w:bCs/>
              </w:rPr>
              <w:t xml:space="preserve"> comprises both electricity for use onsite (see number 5 in </w:t>
            </w:r>
            <w:r w:rsidR="00002F75" w:rsidRPr="00002F75">
              <w:fldChar w:fldCharType="begin" w:fldLock="1"/>
            </w:r>
            <w:r w:rsidR="00002F75" w:rsidRPr="00002F75">
              <w:rPr>
                <w:bCs/>
              </w:rPr>
              <w:instrText xml:space="preserve"> </w:instrText>
            </w:r>
            <w:r w:rsidR="00002F75" w:rsidRPr="00002F75">
              <w:rPr>
                <w:b w:val="0"/>
                <w:bCs/>
              </w:rPr>
              <w:instrText xml:space="preserve">REF </w:instrText>
            </w:r>
            <w:r w:rsidR="00002F75" w:rsidRPr="00002F75">
              <w:rPr>
                <w:bCs/>
              </w:rPr>
              <w:instrText xml:space="preserve">_Ref199340118 </w:instrText>
            </w:r>
            <w:r w:rsidR="00002F75" w:rsidRPr="007D0A6E">
              <w:rPr>
                <w:bCs/>
              </w:rPr>
              <w:instrText xml:space="preserve"> \* MERGEFORMAT </w:instrText>
            </w:r>
            <w:r w:rsidR="00002F75" w:rsidRPr="00002F75">
              <w:fldChar w:fldCharType="separate"/>
            </w:r>
            <w:r w:rsidR="00002F75" w:rsidRPr="007D0A6E">
              <w:rPr>
                <w:bCs/>
              </w:rPr>
              <w:t xml:space="preserve">Figure </w:t>
            </w:r>
            <w:r w:rsidR="00002F75" w:rsidRPr="007D0A6E">
              <w:rPr>
                <w:bCs/>
                <w:noProof/>
              </w:rPr>
              <w:t>8</w:t>
            </w:r>
            <w:r w:rsidR="00002F75" w:rsidRPr="00002F75">
              <w:rPr>
                <w:bCs/>
              </w:rPr>
              <w:fldChar w:fldCharType="end"/>
            </w:r>
            <w:r w:rsidRPr="00002F75">
              <w:rPr>
                <w:b w:val="0"/>
                <w:bCs/>
              </w:rPr>
              <w:t xml:space="preserve">) and losses of electricity in line between terminal and the network connection point (see number 6 in </w:t>
            </w:r>
            <w:r w:rsidR="00002F75" w:rsidRPr="00002F75">
              <w:fldChar w:fldCharType="begin" w:fldLock="1"/>
            </w:r>
            <w:r w:rsidR="00002F75" w:rsidRPr="00002F75">
              <w:rPr>
                <w:bCs/>
              </w:rPr>
              <w:instrText xml:space="preserve"> </w:instrText>
            </w:r>
            <w:r w:rsidR="00002F75" w:rsidRPr="00002F75">
              <w:rPr>
                <w:b w:val="0"/>
                <w:bCs/>
              </w:rPr>
              <w:instrText xml:space="preserve">REF </w:instrText>
            </w:r>
            <w:r w:rsidR="00002F75" w:rsidRPr="00002F75">
              <w:rPr>
                <w:bCs/>
              </w:rPr>
              <w:instrText xml:space="preserve">_Ref199340118 </w:instrText>
            </w:r>
            <w:r w:rsidR="00002F75" w:rsidRPr="007D0A6E">
              <w:rPr>
                <w:bCs/>
              </w:rPr>
              <w:instrText xml:space="preserve"> \* MERGEFORMAT </w:instrText>
            </w:r>
            <w:r w:rsidR="00002F75" w:rsidRPr="00002F75">
              <w:fldChar w:fldCharType="separate"/>
            </w:r>
            <w:r w:rsidR="00002F75" w:rsidRPr="007D0A6E">
              <w:rPr>
                <w:bCs/>
              </w:rPr>
              <w:t xml:space="preserve">Figure </w:t>
            </w:r>
            <w:r w:rsidR="00002F75" w:rsidRPr="007D0A6E">
              <w:rPr>
                <w:bCs/>
                <w:noProof/>
              </w:rPr>
              <w:t>8</w:t>
            </w:r>
            <w:r w:rsidR="00002F75" w:rsidRPr="00002F75">
              <w:rPr>
                <w:bCs/>
              </w:rPr>
              <w:fldChar w:fldCharType="end"/>
            </w:r>
            <w:r w:rsidRPr="00002F75">
              <w:rPr>
                <w:b w:val="0"/>
                <w:bCs/>
              </w:rPr>
              <w:t>)</w:t>
            </w:r>
            <w:r w:rsidRPr="00FB5D2B">
              <w:rPr>
                <w:b w:val="0"/>
                <w:bCs/>
              </w:rPr>
              <w:t>.</w:t>
            </w:r>
          </w:p>
        </w:tc>
      </w:tr>
    </w:tbl>
    <w:p w14:paraId="7287442F" w14:textId="77777777" w:rsidR="00A57A5C" w:rsidRPr="00FF338C" w:rsidRDefault="00A57A5C" w:rsidP="00B3330E">
      <w:pPr>
        <w:pStyle w:val="Heading3"/>
        <w:numPr>
          <w:ilvl w:val="2"/>
          <w:numId w:val="3"/>
        </w:numPr>
        <w:ind w:left="709" w:hanging="709"/>
        <w:rPr>
          <w:lang w:val="en-GB"/>
        </w:rPr>
      </w:pPr>
      <w:bookmarkStart w:id="278" w:name="_Toc205461474"/>
      <w:bookmarkStart w:id="279" w:name="_Toc512010416"/>
      <w:bookmarkStart w:id="280" w:name="_Toc512339615"/>
      <w:bookmarkStart w:id="281" w:name="_Ref515622623"/>
      <w:r w:rsidRPr="00FF338C">
        <w:rPr>
          <w:lang w:val="en-GB"/>
        </w:rPr>
        <w:t>Quantifying electricity production</w:t>
      </w:r>
      <w:bookmarkEnd w:id="278"/>
      <w:r w:rsidRPr="00FF338C">
        <w:rPr>
          <w:lang w:val="en-GB"/>
        </w:rPr>
        <w:t xml:space="preserve"> </w:t>
      </w:r>
    </w:p>
    <w:p w14:paraId="4A4FA74D" w14:textId="14427CEC" w:rsidR="00A57A5C" w:rsidRPr="00FF338C" w:rsidRDefault="00A57A5C" w:rsidP="00A57A5C">
      <w:pPr>
        <w:pStyle w:val="Body"/>
        <w:ind w:left="0"/>
        <w:rPr>
          <w:rFonts w:asciiTheme="minorHAnsi" w:eastAsia="Cambria" w:hAnsiTheme="minorHAnsi" w:cstheme="minorHAnsi"/>
          <w:sz w:val="22"/>
        </w:rPr>
      </w:pPr>
      <w:r w:rsidRPr="00FF338C">
        <w:rPr>
          <w:rFonts w:asciiTheme="minorHAnsi" w:eastAsia="Cambria" w:hAnsiTheme="minorHAnsi" w:cstheme="minorHAnsi"/>
          <w:sz w:val="22"/>
        </w:rPr>
        <w:t xml:space="preserve">4.20(2) </w:t>
      </w:r>
      <w:r w:rsidR="00A14539">
        <w:rPr>
          <w:rFonts w:asciiTheme="minorHAnsi" w:eastAsia="Cambria" w:hAnsiTheme="minorHAnsi" w:cstheme="minorHAnsi"/>
          <w:sz w:val="22"/>
        </w:rPr>
        <w:t xml:space="preserve">of the </w:t>
      </w:r>
      <w:r w:rsidRPr="00FF338C">
        <w:rPr>
          <w:rFonts w:asciiTheme="minorHAnsi" w:eastAsia="Cambria" w:hAnsiTheme="minorHAnsi" w:cstheme="minorHAnsi"/>
          <w:sz w:val="22"/>
        </w:rPr>
        <w:t xml:space="preserve">NGER </w:t>
      </w:r>
      <w:r w:rsidR="00A14539">
        <w:rPr>
          <w:rFonts w:asciiTheme="minorHAnsi" w:eastAsia="Cambria" w:hAnsiTheme="minorHAnsi" w:cstheme="minorHAnsi"/>
          <w:sz w:val="22"/>
        </w:rPr>
        <w:t>R</w:t>
      </w:r>
      <w:r w:rsidRPr="00FF338C">
        <w:rPr>
          <w:rFonts w:asciiTheme="minorHAnsi" w:eastAsia="Cambria" w:hAnsiTheme="minorHAnsi" w:cstheme="minorHAnsi"/>
          <w:sz w:val="22"/>
        </w:rPr>
        <w:t>egulation</w:t>
      </w:r>
      <w:r w:rsidR="00A14539">
        <w:rPr>
          <w:rFonts w:asciiTheme="minorHAnsi" w:eastAsia="Cambria" w:hAnsiTheme="minorHAnsi" w:cstheme="minorHAnsi"/>
          <w:sz w:val="22"/>
        </w:rPr>
        <w:t>s</w:t>
      </w:r>
      <w:r w:rsidRPr="00FF338C">
        <w:rPr>
          <w:rFonts w:asciiTheme="minorHAnsi" w:eastAsia="Cambria" w:hAnsiTheme="minorHAnsi" w:cstheme="minorHAnsi"/>
          <w:sz w:val="22"/>
        </w:rPr>
        <w:t xml:space="preserve"> describes </w:t>
      </w:r>
      <w:r w:rsidR="00BD5FD1">
        <w:rPr>
          <w:rFonts w:asciiTheme="minorHAnsi" w:eastAsia="Cambria" w:hAnsiTheme="minorHAnsi" w:cstheme="minorHAnsi"/>
          <w:sz w:val="22"/>
        </w:rPr>
        <w:t xml:space="preserve">the </w:t>
      </w:r>
      <w:r w:rsidR="00BC6141">
        <w:rPr>
          <w:rFonts w:asciiTheme="minorHAnsi" w:eastAsia="Cambria" w:hAnsiTheme="minorHAnsi" w:cstheme="minorHAnsi"/>
          <w:sz w:val="22"/>
        </w:rPr>
        <w:t xml:space="preserve">3 </w:t>
      </w:r>
      <w:r w:rsidR="008F453A">
        <w:rPr>
          <w:rFonts w:asciiTheme="minorHAnsi" w:eastAsia="Cambria" w:hAnsiTheme="minorHAnsi" w:cstheme="minorHAnsi"/>
          <w:sz w:val="22"/>
        </w:rPr>
        <w:t xml:space="preserve">reportable </w:t>
      </w:r>
      <w:r w:rsidRPr="00FF338C">
        <w:rPr>
          <w:rFonts w:asciiTheme="minorHAnsi" w:eastAsia="Cambria" w:hAnsiTheme="minorHAnsi" w:cstheme="minorHAnsi"/>
          <w:sz w:val="22"/>
        </w:rPr>
        <w:t xml:space="preserve">‘purposes’ for </w:t>
      </w:r>
      <w:r>
        <w:rPr>
          <w:rFonts w:asciiTheme="minorHAnsi" w:eastAsia="Cambria" w:hAnsiTheme="minorHAnsi" w:cstheme="minorHAnsi"/>
          <w:sz w:val="22"/>
        </w:rPr>
        <w:t xml:space="preserve">producing </w:t>
      </w:r>
      <w:r w:rsidRPr="00FF338C">
        <w:rPr>
          <w:rFonts w:asciiTheme="minorHAnsi" w:eastAsia="Cambria" w:hAnsiTheme="minorHAnsi" w:cstheme="minorHAnsi"/>
          <w:sz w:val="22"/>
        </w:rPr>
        <w:t>electricity:</w:t>
      </w:r>
    </w:p>
    <w:p w14:paraId="6CD201EC" w14:textId="30F86C86" w:rsidR="00A57A5C" w:rsidRPr="00D7453A" w:rsidRDefault="00A57A5C" w:rsidP="00B3330E">
      <w:pPr>
        <w:pStyle w:val="CERnumbering"/>
        <w:numPr>
          <w:ilvl w:val="0"/>
          <w:numId w:val="10"/>
        </w:numPr>
      </w:pPr>
      <w:r>
        <w:t>f</w:t>
      </w:r>
      <w:r w:rsidRPr="003F37EC">
        <w:t xml:space="preserve">or use </w:t>
      </w:r>
      <w:r w:rsidRPr="00EE0C1D">
        <w:t>in the operation of the facility (</w:t>
      </w:r>
      <w:r w:rsidR="007301D1">
        <w:t xml:space="preserve">that </w:t>
      </w:r>
      <w:proofErr w:type="gramStart"/>
      <w:r w:rsidR="007301D1">
        <w:t>is,</w:t>
      </w:r>
      <w:r w:rsidRPr="00EE0C1D">
        <w:t xml:space="preserve"> ‘</w:t>
      </w:r>
      <w:proofErr w:type="gramEnd"/>
      <w:r w:rsidRPr="00EE0C1D">
        <w:t>for use onsite’)</w:t>
      </w:r>
    </w:p>
    <w:p w14:paraId="4FA0A97A" w14:textId="77777777" w:rsidR="00A57A5C" w:rsidRPr="00D7453A" w:rsidRDefault="00A57A5C" w:rsidP="00B3330E">
      <w:pPr>
        <w:pStyle w:val="CERnumbering"/>
        <w:numPr>
          <w:ilvl w:val="0"/>
          <w:numId w:val="10"/>
        </w:numPr>
      </w:pPr>
      <w:r>
        <w:t>f</w:t>
      </w:r>
      <w:r w:rsidRPr="00D7453A">
        <w:t>or use outside the operation of the facility other than for supply to an electricity transmission or distribution network</w:t>
      </w:r>
      <w:r>
        <w:t xml:space="preserve">, that </w:t>
      </w:r>
      <w:proofErr w:type="gramStart"/>
      <w:r>
        <w:t>is,</w:t>
      </w:r>
      <w:r w:rsidRPr="00D7453A">
        <w:t xml:space="preserve"> ‘</w:t>
      </w:r>
      <w:proofErr w:type="gramEnd"/>
      <w:r w:rsidRPr="00D7453A">
        <w:t>for use offsite, not supplied to network’</w:t>
      </w:r>
    </w:p>
    <w:p w14:paraId="61929924" w14:textId="77777777" w:rsidR="00A57A5C" w:rsidRPr="00D7453A" w:rsidRDefault="00A57A5C" w:rsidP="00B3330E">
      <w:pPr>
        <w:pStyle w:val="CERnumbering"/>
        <w:numPr>
          <w:ilvl w:val="0"/>
          <w:numId w:val="2"/>
        </w:numPr>
      </w:pPr>
      <w:r>
        <w:t>f</w:t>
      </w:r>
      <w:r w:rsidRPr="00D7453A">
        <w:t>or use outside the operation of the facility for supply to an electricity transmission or distribution network</w:t>
      </w:r>
      <w:r>
        <w:t xml:space="preserve">, that </w:t>
      </w:r>
      <w:proofErr w:type="gramStart"/>
      <w:r>
        <w:t>is,</w:t>
      </w:r>
      <w:r w:rsidRPr="00D7453A">
        <w:t xml:space="preserve"> ‘</w:t>
      </w:r>
      <w:proofErr w:type="gramEnd"/>
      <w:r w:rsidRPr="00D7453A">
        <w:t>for use offsite, supplied to network’.</w:t>
      </w:r>
    </w:p>
    <w:p w14:paraId="5009E287" w14:textId="051D32FC" w:rsidR="00A57A5C" w:rsidRPr="00FF338C" w:rsidRDefault="00A57A5C" w:rsidP="00A57A5C">
      <w:r w:rsidRPr="00FF338C">
        <w:t xml:space="preserve">Electricity production </w:t>
      </w:r>
      <w:r w:rsidRPr="00FF338C" w:rsidDel="005053DC">
        <w:t xml:space="preserve">should </w:t>
      </w:r>
      <w:r w:rsidRPr="00FF338C">
        <w:t xml:space="preserve">be reported against these </w:t>
      </w:r>
      <w:r w:rsidR="001848D4">
        <w:t>3</w:t>
      </w:r>
      <w:r w:rsidRPr="00FF338C">
        <w:t xml:space="preserve"> purposes (where applicable) using the formula described in </w:t>
      </w:r>
      <w:hyperlink w:anchor="_Estimating_energy_production" w:history="1">
        <w:r w:rsidRPr="00A30145">
          <w:rPr>
            <w:rStyle w:val="Hyperlink"/>
            <w:rFonts w:asciiTheme="minorHAnsi" w:hAnsiTheme="minorHAnsi"/>
          </w:rPr>
          <w:t>chapter 7.2</w:t>
        </w:r>
      </w:hyperlink>
      <w:r>
        <w:t xml:space="preserve"> of this guideline</w:t>
      </w:r>
      <w:r w:rsidRPr="00FF338C">
        <w:t>.</w:t>
      </w:r>
    </w:p>
    <w:p w14:paraId="264436D4" w14:textId="0E865605" w:rsidR="00A57A5C" w:rsidRDefault="00A57A5C" w:rsidP="00A57A5C">
      <w:r>
        <w:t>Subsection</w:t>
      </w:r>
      <w:r w:rsidRPr="00FF338C">
        <w:t xml:space="preserve"> 6.2</w:t>
      </w:r>
      <w:r>
        <w:t>(1)</w:t>
      </w:r>
      <w:r w:rsidRPr="00FF338C">
        <w:t xml:space="preserve">(c) to (e) </w:t>
      </w:r>
      <w:r>
        <w:t xml:space="preserve">of the NGER Measurement Determination </w:t>
      </w:r>
      <w:r w:rsidRPr="00FF338C">
        <w:t xml:space="preserve">set out the requirements for quantifying the electricity for the </w:t>
      </w:r>
      <w:r w:rsidR="001848D4">
        <w:t xml:space="preserve">3 </w:t>
      </w:r>
      <w:r w:rsidRPr="00FF338C">
        <w:t xml:space="preserve">purposes, </w:t>
      </w:r>
      <w:r>
        <w:t xml:space="preserve">as </w:t>
      </w:r>
      <w:r w:rsidRPr="00FF338C">
        <w:t>outlined below</w:t>
      </w:r>
      <w:r>
        <w:t>.</w:t>
      </w:r>
    </w:p>
    <w:p w14:paraId="0E4C4E62" w14:textId="11F70C0C" w:rsidR="002236D4" w:rsidRDefault="002236D4" w:rsidP="00E9388B">
      <w:pPr>
        <w:pStyle w:val="Caption"/>
        <w:keepNext/>
      </w:pPr>
      <w:r>
        <w:t xml:space="preserve">Table </w:t>
      </w:r>
      <w:r>
        <w:fldChar w:fldCharType="begin"/>
      </w:r>
      <w:r>
        <w:instrText xml:space="preserve"> SEQ Table \* ARABIC </w:instrText>
      </w:r>
      <w:r>
        <w:fldChar w:fldCharType="separate"/>
      </w:r>
      <w:r w:rsidR="004B0870">
        <w:rPr>
          <w:noProof/>
        </w:rPr>
        <w:t>13</w:t>
      </w:r>
      <w:r>
        <w:fldChar w:fldCharType="end"/>
      </w:r>
      <w:r>
        <w:t xml:space="preserve"> – Measuring electricity production.</w:t>
      </w:r>
    </w:p>
    <w:tbl>
      <w:tblPr>
        <w:tblStyle w:val="CERTable"/>
        <w:tblW w:w="9634" w:type="dxa"/>
        <w:tblLook w:val="04A0" w:firstRow="1" w:lastRow="0" w:firstColumn="1" w:lastColumn="0" w:noHBand="0" w:noVBand="1"/>
      </w:tblPr>
      <w:tblGrid>
        <w:gridCol w:w="3969"/>
        <w:gridCol w:w="5665"/>
      </w:tblGrid>
      <w:tr w:rsidR="00A57A5C" w:rsidRPr="00FF338C" w14:paraId="08B4B053" w14:textId="77777777" w:rsidTr="001B5DDF">
        <w:trPr>
          <w:cnfStyle w:val="100000000000" w:firstRow="1" w:lastRow="0" w:firstColumn="0" w:lastColumn="0" w:oddVBand="0" w:evenVBand="0" w:oddHBand="0" w:evenHBand="0" w:firstRowFirstColumn="0" w:firstRowLastColumn="0" w:lastRowFirstColumn="0" w:lastRowLastColumn="0"/>
          <w:trHeight w:val="341"/>
          <w:tblHeader/>
        </w:trPr>
        <w:tc>
          <w:tcPr>
            <w:cnfStyle w:val="001000000000" w:firstRow="0" w:lastRow="0" w:firstColumn="1" w:lastColumn="0" w:oddVBand="0" w:evenVBand="0" w:oddHBand="0" w:evenHBand="0" w:firstRowFirstColumn="0" w:firstRowLastColumn="0" w:lastRowFirstColumn="0" w:lastRowLastColumn="0"/>
            <w:tcW w:w="3969" w:type="dxa"/>
          </w:tcPr>
          <w:p w14:paraId="45C00EBB" w14:textId="77777777" w:rsidR="00A57A5C" w:rsidRPr="00FF338C" w:rsidRDefault="00A57A5C">
            <w:pPr>
              <w:pStyle w:val="Body"/>
              <w:spacing w:line="240" w:lineRule="auto"/>
              <w:ind w:left="0"/>
              <w:rPr>
                <w:rFonts w:asciiTheme="minorHAnsi" w:hAnsiTheme="minorHAnsi"/>
                <w:sz w:val="22"/>
              </w:rPr>
            </w:pPr>
            <w:r w:rsidRPr="00FF338C">
              <w:rPr>
                <w:rFonts w:asciiTheme="minorHAnsi" w:hAnsiTheme="minorHAnsi"/>
                <w:sz w:val="22"/>
              </w:rPr>
              <w:t>Purpose of produced electricity</w:t>
            </w:r>
          </w:p>
        </w:tc>
        <w:tc>
          <w:tcPr>
            <w:tcW w:w="5665" w:type="dxa"/>
          </w:tcPr>
          <w:p w14:paraId="7401EB81" w14:textId="77777777" w:rsidR="00A57A5C" w:rsidRPr="00FF338C" w:rsidRDefault="00A57A5C">
            <w:pPr>
              <w:pStyle w:val="Body"/>
              <w:spacing w:line="240" w:lineRule="auto"/>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FF338C">
              <w:rPr>
                <w:rFonts w:asciiTheme="minorHAnsi" w:hAnsiTheme="minorHAnsi"/>
                <w:sz w:val="22"/>
              </w:rPr>
              <w:t>Measuring the quantity of electricity produced (Q)</w:t>
            </w:r>
          </w:p>
        </w:tc>
      </w:tr>
      <w:tr w:rsidR="00A57A5C" w:rsidRPr="00FF338C" w14:paraId="0299B2FB" w14:textId="77777777" w:rsidTr="00D2141E">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3969" w:type="dxa"/>
          </w:tcPr>
          <w:p w14:paraId="16DD0864" w14:textId="77777777" w:rsidR="00A57A5C" w:rsidRPr="00FF338C" w:rsidRDefault="00A57A5C">
            <w:pPr>
              <w:pStyle w:val="Body"/>
              <w:spacing w:line="240" w:lineRule="auto"/>
              <w:ind w:left="0"/>
              <w:rPr>
                <w:rFonts w:asciiTheme="minorHAnsi" w:hAnsiTheme="minorHAnsi"/>
                <w:sz w:val="22"/>
              </w:rPr>
            </w:pPr>
            <w:r w:rsidRPr="00FF338C">
              <w:rPr>
                <w:rFonts w:asciiTheme="minorHAnsi" w:hAnsiTheme="minorHAnsi"/>
                <w:sz w:val="22"/>
              </w:rPr>
              <w:t>For use onsite</w:t>
            </w:r>
          </w:p>
          <w:p w14:paraId="2DC3C7B0" w14:textId="63F5E03C" w:rsidR="00A57A5C" w:rsidRPr="00FF338C" w:rsidRDefault="00A57A5C" w:rsidP="00D2141E">
            <w:pPr>
              <w:spacing w:after="120"/>
              <w:rPr>
                <w:b w:val="0"/>
              </w:rPr>
            </w:pPr>
          </w:p>
        </w:tc>
        <w:tc>
          <w:tcPr>
            <w:tcW w:w="5665" w:type="dxa"/>
          </w:tcPr>
          <w:p w14:paraId="4AD06754" w14:textId="77777777" w:rsidR="00A57A5C" w:rsidRPr="00FE31CC" w:rsidRDefault="00A57A5C">
            <w:pPr>
              <w:pStyle w:val="Body"/>
              <w:spacing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E31CC">
              <w:rPr>
                <w:rFonts w:asciiTheme="minorHAnsi" w:hAnsiTheme="minorHAnsi"/>
                <w:sz w:val="22"/>
              </w:rPr>
              <w:t>Electricity production (Q) is equal to:</w:t>
            </w:r>
          </w:p>
          <w:p w14:paraId="3818EACA" w14:textId="77777777" w:rsidR="00A57A5C" w:rsidRPr="00FF338C" w:rsidRDefault="00A57A5C">
            <w:pPr>
              <w:pStyle w:val="Body"/>
              <w:spacing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F338C">
              <w:rPr>
                <w:rFonts w:asciiTheme="minorHAnsi" w:hAnsiTheme="minorHAnsi"/>
                <w:sz w:val="22"/>
              </w:rPr>
              <w:t>The electricity produced by the electricity generating unit(s) as measured at the terminals</w:t>
            </w:r>
          </w:p>
          <w:p w14:paraId="2EF42917" w14:textId="77777777" w:rsidR="00A57A5C" w:rsidRPr="002C7CAE" w:rsidRDefault="00A57A5C">
            <w:pPr>
              <w:pStyle w:val="Body"/>
              <w:spacing w:line="240" w:lineRule="auto"/>
              <w:ind w:left="720"/>
              <w:cnfStyle w:val="000000100000" w:firstRow="0" w:lastRow="0" w:firstColumn="0" w:lastColumn="0" w:oddVBand="0" w:evenVBand="0" w:oddHBand="1" w:evenHBand="0" w:firstRowFirstColumn="0" w:firstRowLastColumn="0" w:lastRowFirstColumn="0" w:lastRowLastColumn="0"/>
              <w:rPr>
                <w:rFonts w:asciiTheme="minorHAnsi" w:hAnsiTheme="minorHAnsi"/>
                <w:bCs/>
                <w:sz w:val="22"/>
              </w:rPr>
            </w:pPr>
            <w:r w:rsidRPr="00FE31CC">
              <w:rPr>
                <w:rFonts w:asciiTheme="minorHAnsi" w:hAnsiTheme="minorHAnsi"/>
                <w:sz w:val="22"/>
              </w:rPr>
              <w:t>minus</w:t>
            </w:r>
          </w:p>
          <w:p w14:paraId="67D92BCC" w14:textId="77777777" w:rsidR="00A57A5C" w:rsidRPr="00FF338C" w:rsidRDefault="00A57A5C">
            <w:pPr>
              <w:pStyle w:val="Body"/>
              <w:spacing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F338C">
              <w:rPr>
                <w:rFonts w:asciiTheme="minorHAnsi" w:hAnsiTheme="minorHAnsi"/>
                <w:sz w:val="22"/>
              </w:rPr>
              <w:t>Electricity supplied for use outside the operation of the facility that is not supplied to the network</w:t>
            </w:r>
          </w:p>
          <w:p w14:paraId="11722627" w14:textId="77777777" w:rsidR="00A57A5C" w:rsidRPr="002C7CAE" w:rsidRDefault="00A57A5C">
            <w:pPr>
              <w:pStyle w:val="Body"/>
              <w:spacing w:line="240" w:lineRule="auto"/>
              <w:ind w:left="720"/>
              <w:cnfStyle w:val="000000100000" w:firstRow="0" w:lastRow="0" w:firstColumn="0" w:lastColumn="0" w:oddVBand="0" w:evenVBand="0" w:oddHBand="1" w:evenHBand="0" w:firstRowFirstColumn="0" w:firstRowLastColumn="0" w:lastRowFirstColumn="0" w:lastRowLastColumn="0"/>
              <w:rPr>
                <w:rFonts w:asciiTheme="minorHAnsi" w:hAnsiTheme="minorHAnsi"/>
                <w:bCs/>
                <w:sz w:val="22"/>
              </w:rPr>
            </w:pPr>
            <w:r w:rsidRPr="00FE31CC">
              <w:rPr>
                <w:rFonts w:asciiTheme="minorHAnsi" w:hAnsiTheme="minorHAnsi"/>
                <w:sz w:val="22"/>
              </w:rPr>
              <w:t>minus</w:t>
            </w:r>
          </w:p>
          <w:p w14:paraId="632E4F01" w14:textId="77777777" w:rsidR="00A57A5C" w:rsidRPr="00FF338C" w:rsidRDefault="00A57A5C">
            <w:pPr>
              <w:pStyle w:val="Body"/>
              <w:spacing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F338C">
              <w:rPr>
                <w:rFonts w:asciiTheme="minorHAnsi" w:hAnsiTheme="minorHAnsi"/>
                <w:sz w:val="22"/>
              </w:rPr>
              <w:t xml:space="preserve">Electricity supplied to a transmission or distribution network measured at the network connection point. </w:t>
            </w:r>
          </w:p>
        </w:tc>
      </w:tr>
      <w:tr w:rsidR="00A57A5C" w:rsidRPr="00FF338C" w14:paraId="0BD73FDD" w14:textId="77777777" w:rsidTr="00D2141E">
        <w:trPr>
          <w:cnfStyle w:val="000000010000" w:firstRow="0" w:lastRow="0" w:firstColumn="0" w:lastColumn="0" w:oddVBand="0" w:evenVBand="0" w:oddHBand="0" w:evenHBand="1"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3969" w:type="dxa"/>
            <w:tcBorders>
              <w:bottom w:val="single" w:sz="8" w:space="0" w:color="E8E8E8" w:themeColor="background2"/>
            </w:tcBorders>
          </w:tcPr>
          <w:p w14:paraId="5D7403F3" w14:textId="77777777" w:rsidR="00A57A5C" w:rsidRPr="00FF338C" w:rsidRDefault="00A57A5C">
            <w:pPr>
              <w:pStyle w:val="Body"/>
              <w:spacing w:line="240" w:lineRule="auto"/>
              <w:ind w:left="0"/>
              <w:rPr>
                <w:rFonts w:asciiTheme="minorHAnsi" w:hAnsiTheme="minorHAnsi"/>
                <w:b w:val="0"/>
                <w:sz w:val="22"/>
              </w:rPr>
            </w:pPr>
            <w:r w:rsidRPr="00FF338C">
              <w:rPr>
                <w:rFonts w:asciiTheme="minorHAnsi" w:hAnsiTheme="minorHAnsi"/>
                <w:sz w:val="22"/>
              </w:rPr>
              <w:t>For use offsite, not supplied to network</w:t>
            </w:r>
          </w:p>
          <w:p w14:paraId="46C86708" w14:textId="73CA42F1" w:rsidR="00A57A5C" w:rsidRPr="00FF338C" w:rsidRDefault="00A57A5C">
            <w:pPr>
              <w:pStyle w:val="Body"/>
              <w:spacing w:line="240" w:lineRule="auto"/>
              <w:ind w:left="0"/>
              <w:rPr>
                <w:rFonts w:asciiTheme="minorHAnsi" w:hAnsiTheme="minorHAnsi"/>
                <w:b w:val="0"/>
                <w:sz w:val="22"/>
              </w:rPr>
            </w:pPr>
          </w:p>
        </w:tc>
        <w:tc>
          <w:tcPr>
            <w:tcW w:w="5665" w:type="dxa"/>
            <w:tcBorders>
              <w:bottom w:val="single" w:sz="8" w:space="0" w:color="E8E8E8" w:themeColor="background2"/>
            </w:tcBorders>
          </w:tcPr>
          <w:p w14:paraId="11258203" w14:textId="77777777" w:rsidR="00A57A5C" w:rsidRPr="00FE31CC" w:rsidRDefault="00A57A5C">
            <w:pPr>
              <w:pStyle w:val="Body"/>
              <w:spacing w:line="240" w:lineRule="auto"/>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r w:rsidRPr="00FE31CC">
              <w:rPr>
                <w:rFonts w:asciiTheme="minorHAnsi" w:hAnsiTheme="minorHAnsi"/>
                <w:sz w:val="22"/>
              </w:rPr>
              <w:t>Electricity production (Q) is equal to:</w:t>
            </w:r>
          </w:p>
          <w:p w14:paraId="66F97A57" w14:textId="20135CE6" w:rsidR="00A57A5C" w:rsidRPr="00FF338C" w:rsidRDefault="00A57A5C">
            <w:pPr>
              <w:pStyle w:val="Body"/>
              <w:spacing w:line="240" w:lineRule="auto"/>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r w:rsidRPr="00FF338C">
              <w:rPr>
                <w:rFonts w:asciiTheme="minorHAnsi" w:hAnsiTheme="minorHAnsi"/>
                <w:sz w:val="22"/>
              </w:rPr>
              <w:t>Electricity supplied for use outside the facility that is not supplied to the network</w:t>
            </w:r>
            <w:r w:rsidR="002C2A18">
              <w:rPr>
                <w:rFonts w:asciiTheme="minorHAnsi" w:hAnsiTheme="minorHAnsi"/>
                <w:sz w:val="22"/>
              </w:rPr>
              <w:t xml:space="preserve"> </w:t>
            </w:r>
            <w:r w:rsidR="00C827B9">
              <w:rPr>
                <w:rFonts w:asciiTheme="minorHAnsi" w:hAnsiTheme="minorHAnsi"/>
                <w:sz w:val="22"/>
              </w:rPr>
              <w:t xml:space="preserve">measured </w:t>
            </w:r>
            <w:r w:rsidR="002C2A18">
              <w:rPr>
                <w:rFonts w:asciiTheme="minorHAnsi" w:hAnsiTheme="minorHAnsi"/>
                <w:sz w:val="22"/>
              </w:rPr>
              <w:t xml:space="preserve">at the </w:t>
            </w:r>
            <w:r w:rsidR="000E5229">
              <w:rPr>
                <w:rFonts w:asciiTheme="minorHAnsi" w:hAnsiTheme="minorHAnsi"/>
                <w:sz w:val="22"/>
              </w:rPr>
              <w:t xml:space="preserve">agreed connection </w:t>
            </w:r>
            <w:r w:rsidR="00545981">
              <w:rPr>
                <w:rFonts w:asciiTheme="minorHAnsi" w:hAnsiTheme="minorHAnsi"/>
                <w:sz w:val="22"/>
              </w:rPr>
              <w:t>point</w:t>
            </w:r>
            <w:r w:rsidR="00C3616B">
              <w:rPr>
                <w:rFonts w:asciiTheme="minorHAnsi" w:hAnsiTheme="minorHAnsi"/>
                <w:sz w:val="22"/>
              </w:rPr>
              <w:t xml:space="preserve"> </w:t>
            </w:r>
            <w:r w:rsidR="00936457">
              <w:rPr>
                <w:rFonts w:asciiTheme="minorHAnsi" w:hAnsiTheme="minorHAnsi"/>
                <w:sz w:val="22"/>
              </w:rPr>
              <w:t xml:space="preserve">and evidenced by </w:t>
            </w:r>
            <w:r w:rsidR="00EA203A">
              <w:t>invoices, contractual arrangements or industry metering records</w:t>
            </w:r>
            <w:r>
              <w:t>.</w:t>
            </w:r>
          </w:p>
        </w:tc>
      </w:tr>
      <w:tr w:rsidR="00503817" w:rsidRPr="00FF338C" w14:paraId="73DD5B68" w14:textId="77777777" w:rsidTr="00D2141E">
        <w:trPr>
          <w:cnfStyle w:val="000000100000" w:firstRow="0" w:lastRow="0" w:firstColumn="0" w:lastColumn="0" w:oddVBand="0" w:evenVBand="0" w:oddHBand="1" w:evenHBand="0" w:firstRowFirstColumn="0" w:firstRowLastColumn="0" w:lastRowFirstColumn="0" w:lastRowLastColumn="0"/>
          <w:trHeight w:val="897"/>
        </w:trPr>
        <w:tc>
          <w:tcPr>
            <w:cnfStyle w:val="001000000000" w:firstRow="0" w:lastRow="0" w:firstColumn="1" w:lastColumn="0" w:oddVBand="0" w:evenVBand="0" w:oddHBand="0" w:evenHBand="0" w:firstRowFirstColumn="0" w:firstRowLastColumn="0" w:lastRowFirstColumn="0" w:lastRowLastColumn="0"/>
            <w:tcW w:w="3969" w:type="dxa"/>
            <w:tcBorders>
              <w:top w:val="single" w:sz="8" w:space="0" w:color="E8E8E8" w:themeColor="background2"/>
              <w:bottom w:val="single" w:sz="4" w:space="0" w:color="FCBA5C" w:themeColor="accent2"/>
            </w:tcBorders>
          </w:tcPr>
          <w:p w14:paraId="5BB9B61C" w14:textId="77777777" w:rsidR="00A57A5C" w:rsidRPr="00FF338C" w:rsidRDefault="00A57A5C">
            <w:pPr>
              <w:pStyle w:val="Body"/>
              <w:spacing w:line="240" w:lineRule="auto"/>
              <w:ind w:left="0"/>
              <w:rPr>
                <w:rFonts w:asciiTheme="minorHAnsi" w:hAnsiTheme="minorHAnsi"/>
                <w:sz w:val="22"/>
              </w:rPr>
            </w:pPr>
            <w:r w:rsidRPr="00FF338C">
              <w:rPr>
                <w:rFonts w:asciiTheme="minorHAnsi" w:hAnsiTheme="minorHAnsi"/>
                <w:sz w:val="22"/>
              </w:rPr>
              <w:t>For use offsite, supplied to network</w:t>
            </w:r>
          </w:p>
          <w:p w14:paraId="7E8C2C2E" w14:textId="6CC9367C" w:rsidR="00A57A5C" w:rsidRPr="00FF338C" w:rsidRDefault="00A57A5C">
            <w:pPr>
              <w:pStyle w:val="Body"/>
              <w:spacing w:line="240" w:lineRule="auto"/>
              <w:ind w:left="0"/>
              <w:rPr>
                <w:rFonts w:asciiTheme="minorHAnsi" w:hAnsiTheme="minorHAnsi"/>
                <w:b w:val="0"/>
                <w:sz w:val="22"/>
              </w:rPr>
            </w:pPr>
          </w:p>
        </w:tc>
        <w:tc>
          <w:tcPr>
            <w:tcW w:w="5665" w:type="dxa"/>
            <w:tcBorders>
              <w:top w:val="single" w:sz="8" w:space="0" w:color="E8E8E8" w:themeColor="background2"/>
              <w:bottom w:val="single" w:sz="4" w:space="0" w:color="FCBA5C" w:themeColor="accent2"/>
            </w:tcBorders>
          </w:tcPr>
          <w:p w14:paraId="6287E302" w14:textId="77777777" w:rsidR="00A57A5C" w:rsidRPr="00FE31CC" w:rsidRDefault="00A57A5C">
            <w:pPr>
              <w:pStyle w:val="Body"/>
              <w:spacing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E31CC">
              <w:rPr>
                <w:rFonts w:asciiTheme="minorHAnsi" w:hAnsiTheme="minorHAnsi"/>
                <w:sz w:val="22"/>
              </w:rPr>
              <w:t>Electricity production (Q) is equal to:</w:t>
            </w:r>
          </w:p>
          <w:p w14:paraId="121CBF23" w14:textId="77777777" w:rsidR="00A57A5C" w:rsidRPr="00FF338C" w:rsidRDefault="00A57A5C">
            <w:pPr>
              <w:pStyle w:val="Body"/>
              <w:spacing w:line="240" w:lineRule="auto"/>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F338C">
              <w:rPr>
                <w:rFonts w:asciiTheme="minorHAnsi" w:hAnsiTheme="minorHAnsi"/>
                <w:sz w:val="22"/>
              </w:rPr>
              <w:t>Electricity supplied to a transmission or distribution network measured at the network connection point.</w:t>
            </w:r>
          </w:p>
        </w:tc>
      </w:tr>
    </w:tbl>
    <w:p w14:paraId="0E089FBE" w14:textId="77777777" w:rsidR="00A57A5C" w:rsidRPr="00D2141E" w:rsidRDefault="00A57A5C" w:rsidP="00A57A5C">
      <w:pPr>
        <w:pStyle w:val="Heading4"/>
      </w:pPr>
      <w:bookmarkStart w:id="282" w:name="_Toc205461475"/>
      <w:r w:rsidRPr="00D2141E">
        <w:t>Reporting consumption and production of electricity for use onsite in EERS</w:t>
      </w:r>
      <w:bookmarkEnd w:id="282"/>
    </w:p>
    <w:p w14:paraId="7BE4F258" w14:textId="77777777" w:rsidR="00A57A5C" w:rsidRPr="00CD0EE3" w:rsidRDefault="00A57A5C" w:rsidP="00D2141E">
      <w:pPr>
        <w:pStyle w:val="Body"/>
        <w:ind w:left="0"/>
      </w:pPr>
      <w:r w:rsidRPr="00D2141E">
        <w:rPr>
          <w:rFonts w:asciiTheme="minorHAnsi" w:hAnsiTheme="minorHAnsi"/>
          <w:sz w:val="22"/>
        </w:rPr>
        <w:t xml:space="preserve">EERS was updated for the 2019–20 reporting year (and onwards) so that it automatically reports an amount of consumption of electricity produced ‘for use for the purposes of the facility (for use onsite)’, which is equal to the reported amount of electricity produced ‘for use for the purposes of the facility’. Where electricity produced ‘for use for the purposes of the facility (for use onsite)’ is inputted into EERS, consumption of that electricity must not be inputted separately. This is described in the example below. </w:t>
      </w:r>
    </w:p>
    <w:tbl>
      <w:tblPr>
        <w:tblStyle w:val="CERCallout"/>
        <w:tblW w:w="5000" w:type="pct"/>
        <w:tblLook w:val="04A0" w:firstRow="1" w:lastRow="0" w:firstColumn="1" w:lastColumn="0" w:noHBand="0" w:noVBand="1"/>
      </w:tblPr>
      <w:tblGrid>
        <w:gridCol w:w="9710"/>
      </w:tblGrid>
      <w:tr w:rsidR="00D67F2D" w:rsidRPr="00CD0EE3" w14:paraId="039D6E8C" w14:textId="77777777" w:rsidTr="00D66352">
        <w:trPr>
          <w:cnfStyle w:val="100000000000" w:firstRow="1" w:lastRow="0" w:firstColumn="0" w:lastColumn="0" w:oddVBand="0" w:evenVBand="0" w:oddHBand="0" w:evenHBand="0" w:firstRowFirstColumn="0" w:firstRowLastColumn="0" w:lastRowFirstColumn="0" w:lastRowLastColumn="0"/>
        </w:trPr>
        <w:tc>
          <w:tcPr>
            <w:tcW w:w="4708" w:type="pct"/>
          </w:tcPr>
          <w:p w14:paraId="19320E43" w14:textId="4FA9CA14" w:rsidR="00A57A5C" w:rsidRPr="00D05244" w:rsidRDefault="004B0870" w:rsidP="00D05244">
            <w:pPr>
              <w:pStyle w:val="Heading4"/>
              <w:ind w:left="0"/>
              <w:rPr>
                <w:b/>
              </w:rPr>
            </w:pPr>
            <w:bookmarkStart w:id="283" w:name="_Toc205461476"/>
            <w:r>
              <w:rPr>
                <w:rFonts w:ascii="ZWAdobeF" w:hAnsi="ZWAdobeF" w:cs="ZWAdobeF"/>
                <w:color w:val="auto"/>
                <w:sz w:val="2"/>
                <w:szCs w:val="2"/>
              </w:rPr>
              <w:t>2B</w:t>
            </w:r>
            <w:r w:rsidR="00A57A5C" w:rsidRPr="00D05244">
              <w:rPr>
                <w:b/>
              </w:rPr>
              <w:t xml:space="preserve">Example – Reporting consumption and production of electricity for use </w:t>
            </w:r>
            <w:r w:rsidR="00654C11">
              <w:rPr>
                <w:b/>
              </w:rPr>
              <w:t>onsite</w:t>
            </w:r>
            <w:r w:rsidR="00330F16">
              <w:rPr>
                <w:b/>
              </w:rPr>
              <w:t xml:space="preserve"> in EERS</w:t>
            </w:r>
            <w:bookmarkEnd w:id="283"/>
          </w:p>
          <w:p w14:paraId="3059D038" w14:textId="5A0548CE" w:rsidR="00A57A5C" w:rsidRPr="00D05244" w:rsidRDefault="00A57A5C">
            <w:pPr>
              <w:ind w:left="0" w:right="0"/>
              <w:rPr>
                <w:b w:val="0"/>
                <w:bCs/>
              </w:rPr>
            </w:pPr>
            <w:r w:rsidRPr="00D05244">
              <w:rPr>
                <w:b w:val="0"/>
                <w:bCs/>
              </w:rPr>
              <w:t>The electricity produced by a facility includes 100,000</w:t>
            </w:r>
            <w:r w:rsidR="00DA4CB3">
              <w:rPr>
                <w:b w:val="0"/>
                <w:bCs/>
              </w:rPr>
              <w:t> </w:t>
            </w:r>
            <w:r w:rsidRPr="00D05244">
              <w:rPr>
                <w:b w:val="0"/>
                <w:bCs/>
              </w:rPr>
              <w:t>kWh of electricity produced ‘for use for the purposes of the facility’. The reporter inputs 100,000</w:t>
            </w:r>
            <w:r w:rsidR="00DA4CB3">
              <w:rPr>
                <w:b w:val="0"/>
                <w:bCs/>
              </w:rPr>
              <w:t> </w:t>
            </w:r>
            <w:r w:rsidRPr="00D05244">
              <w:rPr>
                <w:b w:val="0"/>
                <w:bCs/>
              </w:rPr>
              <w:t>kWh into EERS as electricity produced ‘for use for the purposes of the facility’.</w:t>
            </w:r>
          </w:p>
          <w:p w14:paraId="0095D0CF" w14:textId="77777777" w:rsidR="00A57A5C" w:rsidRPr="00D05244" w:rsidRDefault="00A57A5C">
            <w:pPr>
              <w:ind w:left="0" w:right="0"/>
              <w:rPr>
                <w:b w:val="0"/>
                <w:bCs/>
              </w:rPr>
            </w:pPr>
            <w:r w:rsidRPr="00D05244">
              <w:rPr>
                <w:b w:val="0"/>
                <w:bCs/>
              </w:rPr>
              <w:t>EERS then records:</w:t>
            </w:r>
          </w:p>
          <w:p w14:paraId="0E784E39" w14:textId="0841BC48" w:rsidR="00A57A5C" w:rsidRPr="00D05244" w:rsidRDefault="00A57A5C" w:rsidP="00B3330E">
            <w:pPr>
              <w:pStyle w:val="CERbullets"/>
              <w:numPr>
                <w:ilvl w:val="0"/>
                <w:numId w:val="12"/>
              </w:numPr>
              <w:ind w:left="357" w:right="0" w:hanging="357"/>
              <w:rPr>
                <w:rFonts w:ascii="Calibri" w:hAnsi="Calibri" w:cs="Calibri"/>
                <w:b w:val="0"/>
                <w:bCs/>
                <w:color w:val="000000"/>
              </w:rPr>
            </w:pPr>
            <w:bookmarkStart w:id="284" w:name="_Hlk48050786"/>
            <w:r w:rsidRPr="00D05244">
              <w:rPr>
                <w:rFonts w:ascii="Calibri" w:hAnsi="Calibri" w:cs="Calibri"/>
                <w:b w:val="0"/>
                <w:bCs/>
                <w:color w:val="000000"/>
              </w:rPr>
              <w:t>100,000</w:t>
            </w:r>
            <w:r w:rsidR="00DA4CB3">
              <w:rPr>
                <w:rFonts w:ascii="Calibri" w:hAnsi="Calibri" w:cs="Calibri"/>
                <w:b w:val="0"/>
                <w:bCs/>
                <w:color w:val="000000"/>
              </w:rPr>
              <w:t> </w:t>
            </w:r>
            <w:r w:rsidRPr="00D05244">
              <w:rPr>
                <w:rFonts w:ascii="Calibri" w:hAnsi="Calibri" w:cs="Calibri"/>
                <w:b w:val="0"/>
                <w:bCs/>
                <w:color w:val="000000"/>
              </w:rPr>
              <w:t>kWh (360</w:t>
            </w:r>
            <w:r w:rsidR="00DA4CB3">
              <w:rPr>
                <w:rFonts w:ascii="Calibri" w:hAnsi="Calibri" w:cs="Calibri"/>
                <w:b w:val="0"/>
                <w:bCs/>
                <w:color w:val="000000"/>
              </w:rPr>
              <w:t> </w:t>
            </w:r>
            <w:r w:rsidRPr="00D05244">
              <w:rPr>
                <w:rFonts w:ascii="Calibri" w:hAnsi="Calibri" w:cs="Calibri"/>
                <w:b w:val="0"/>
                <w:bCs/>
                <w:color w:val="000000"/>
              </w:rPr>
              <w:t>GJ) of electricity produced ‘for use for the purposes of the facility’</w:t>
            </w:r>
          </w:p>
          <w:p w14:paraId="385D9CF4" w14:textId="7A3A3D41" w:rsidR="00A57A5C" w:rsidRPr="00D05244" w:rsidRDefault="00A57A5C" w:rsidP="00B3330E">
            <w:pPr>
              <w:pStyle w:val="CERbullets"/>
              <w:numPr>
                <w:ilvl w:val="0"/>
                <w:numId w:val="12"/>
              </w:numPr>
              <w:ind w:left="357" w:right="0" w:hanging="357"/>
              <w:rPr>
                <w:rFonts w:ascii="Calibri" w:hAnsi="Calibri" w:cs="Calibri"/>
                <w:b w:val="0"/>
                <w:bCs/>
                <w:color w:val="000000"/>
              </w:rPr>
            </w:pPr>
            <w:r w:rsidRPr="00D05244">
              <w:rPr>
                <w:rFonts w:ascii="Calibri" w:hAnsi="Calibri" w:cs="Calibri"/>
                <w:b w:val="0"/>
                <w:bCs/>
                <w:color w:val="000000"/>
              </w:rPr>
              <w:t>100,000</w:t>
            </w:r>
            <w:r w:rsidR="00DA4CB3">
              <w:rPr>
                <w:rFonts w:ascii="Calibri" w:hAnsi="Calibri" w:cs="Calibri"/>
                <w:b w:val="0"/>
                <w:bCs/>
                <w:color w:val="000000"/>
              </w:rPr>
              <w:t> </w:t>
            </w:r>
            <w:r w:rsidRPr="00D05244">
              <w:rPr>
                <w:rFonts w:ascii="Calibri" w:hAnsi="Calibri" w:cs="Calibri"/>
                <w:b w:val="0"/>
                <w:bCs/>
                <w:color w:val="000000"/>
              </w:rPr>
              <w:t>kWh (360</w:t>
            </w:r>
            <w:r w:rsidR="00DA4CB3">
              <w:rPr>
                <w:rFonts w:ascii="Calibri" w:hAnsi="Calibri" w:cs="Calibri"/>
                <w:b w:val="0"/>
                <w:bCs/>
                <w:color w:val="000000"/>
              </w:rPr>
              <w:t> </w:t>
            </w:r>
            <w:r w:rsidRPr="00D05244">
              <w:rPr>
                <w:rFonts w:ascii="Calibri" w:hAnsi="Calibri" w:cs="Calibri"/>
                <w:b w:val="0"/>
                <w:bCs/>
                <w:color w:val="000000"/>
              </w:rPr>
              <w:t>GJ) of consumption of electricity produced ‘for use for the purposes of the facility’.</w:t>
            </w:r>
          </w:p>
          <w:bookmarkEnd w:id="284"/>
          <w:p w14:paraId="7A5AFD1D" w14:textId="119E9D1C" w:rsidR="00A57A5C" w:rsidRPr="00D05244" w:rsidRDefault="00A57A5C">
            <w:pPr>
              <w:ind w:left="0" w:right="0"/>
              <w:rPr>
                <w:b w:val="0"/>
                <w:bCs/>
              </w:rPr>
            </w:pPr>
            <w:r w:rsidRPr="00D05244">
              <w:rPr>
                <w:b w:val="0"/>
                <w:bCs/>
              </w:rPr>
              <w:t>These values will be included in the NGER report generated by EERS</w:t>
            </w:r>
            <w:r w:rsidR="00CE637C">
              <w:rPr>
                <w:b w:val="0"/>
                <w:bCs/>
              </w:rPr>
              <w:t xml:space="preserve"> and should not be delet</w:t>
            </w:r>
            <w:r w:rsidR="00672F7F">
              <w:rPr>
                <w:b w:val="0"/>
                <w:bCs/>
              </w:rPr>
              <w:t>ed</w:t>
            </w:r>
            <w:r w:rsidRPr="00D05244">
              <w:rPr>
                <w:b w:val="0"/>
                <w:bCs/>
              </w:rPr>
              <w:t>.</w:t>
            </w:r>
          </w:p>
          <w:p w14:paraId="0FAD3A2C" w14:textId="0BE5B374" w:rsidR="00A57A5C" w:rsidRPr="00CD0EE3" w:rsidRDefault="00A57A5C">
            <w:pPr>
              <w:ind w:left="0" w:right="0"/>
            </w:pPr>
            <w:r w:rsidRPr="00D05244">
              <w:rPr>
                <w:b w:val="0"/>
                <w:bCs/>
              </w:rPr>
              <w:t xml:space="preserve">The reporter </w:t>
            </w:r>
            <w:r w:rsidR="00D16406">
              <w:rPr>
                <w:b w:val="0"/>
                <w:bCs/>
              </w:rPr>
              <w:t>is not required to</w:t>
            </w:r>
            <w:r w:rsidRPr="00D05244">
              <w:rPr>
                <w:b w:val="0"/>
                <w:bCs/>
              </w:rPr>
              <w:t xml:space="preserve"> manually input </w:t>
            </w:r>
            <w:r w:rsidRPr="00D05244">
              <w:rPr>
                <w:b w:val="0"/>
                <w:bCs/>
                <w:szCs w:val="22"/>
              </w:rPr>
              <w:t>consumption of electricity produced ‘for use for the purposes of the facility (for use onsite)’</w:t>
            </w:r>
            <w:r w:rsidRPr="00D05244">
              <w:rPr>
                <w:b w:val="0"/>
                <w:bCs/>
              </w:rPr>
              <w:t xml:space="preserve"> because it </w:t>
            </w:r>
            <w:r w:rsidR="00EB2FE0">
              <w:rPr>
                <w:b w:val="0"/>
                <w:bCs/>
              </w:rPr>
              <w:t>is</w:t>
            </w:r>
            <w:r w:rsidRPr="00D05244">
              <w:rPr>
                <w:b w:val="0"/>
                <w:bCs/>
              </w:rPr>
              <w:t xml:space="preserve"> automatically recorded by EERS</w:t>
            </w:r>
            <w:r w:rsidR="00592CD1">
              <w:t>.</w:t>
            </w:r>
            <w:r w:rsidRPr="00CD0EE3" w:rsidDel="00A81F49">
              <w:t xml:space="preserve"> </w:t>
            </w:r>
          </w:p>
        </w:tc>
      </w:tr>
    </w:tbl>
    <w:p w14:paraId="49A6AC0D" w14:textId="793A84EE" w:rsidR="00A57A5C" w:rsidRPr="00BF4AF9" w:rsidRDefault="00A57A5C" w:rsidP="00D2141E">
      <w:pPr>
        <w:spacing w:before="240"/>
      </w:pPr>
      <w:r>
        <w:t>S</w:t>
      </w:r>
      <w:r w:rsidRPr="00BF4AF9">
        <w:t xml:space="preserve">ee </w:t>
      </w:r>
      <w:r w:rsidR="00EF69A0">
        <w:t>‘</w:t>
      </w:r>
      <w:r w:rsidR="00AC1DDB" w:rsidRPr="00AC1DDB">
        <w:t>reporting consumption of electricity that was produced for use during the operation of the facility</w:t>
      </w:r>
      <w:r w:rsidR="00EF69A0" w:rsidRPr="00BF6B0B">
        <w:rPr>
          <w:color w:val="auto"/>
        </w:rPr>
        <w:t>’</w:t>
      </w:r>
      <w:r w:rsidR="00AC1DDB" w:rsidRPr="00BF6B0B">
        <w:rPr>
          <w:rStyle w:val="Hyperlink"/>
          <w:rFonts w:asciiTheme="minorHAnsi" w:hAnsiTheme="minorHAnsi"/>
          <w:color w:val="auto"/>
          <w:u w:val="none"/>
        </w:rPr>
        <w:t xml:space="preserve"> in the </w:t>
      </w:r>
      <w:hyperlink r:id="rId54" w:tooltip="A link to the Quick help topics guide on the Clean Energy Regulator website" w:history="1">
        <w:r w:rsidR="00AC1DDB" w:rsidRPr="00BF6B0B">
          <w:rPr>
            <w:rStyle w:val="Hyperlink"/>
            <w:rFonts w:asciiTheme="minorHAnsi" w:hAnsiTheme="minorHAnsi"/>
          </w:rPr>
          <w:t>NGER quick help topics</w:t>
        </w:r>
      </w:hyperlink>
      <w:r w:rsidR="004B0870">
        <w:rPr>
          <w:rFonts w:ascii="ZWAdobeF" w:hAnsi="ZWAdobeF" w:cs="ZWAdobeF"/>
          <w:color w:val="auto"/>
          <w:sz w:val="2"/>
          <w:szCs w:val="2"/>
        </w:rPr>
        <w:t>29F</w:t>
      </w:r>
      <w:r w:rsidRPr="00BF6B0B">
        <w:rPr>
          <w:rStyle w:val="FootnoteReference"/>
          <w:color w:val="auto"/>
        </w:rPr>
        <w:footnoteReference w:id="31"/>
      </w:r>
      <w:r w:rsidRPr="00BF6B0B">
        <w:rPr>
          <w:color w:val="auto"/>
        </w:rPr>
        <w:t xml:space="preserve"> </w:t>
      </w:r>
      <w:r w:rsidR="00AA1F2E">
        <w:t>f</w:t>
      </w:r>
      <w:r>
        <w:t>or more information and guidance for reporting in EERS</w:t>
      </w:r>
      <w:r w:rsidRPr="00BF4AF9">
        <w:t>.</w:t>
      </w:r>
    </w:p>
    <w:p w14:paraId="1A235B99" w14:textId="77777777" w:rsidR="00A57A5C" w:rsidRPr="00FF338C" w:rsidRDefault="00A57A5C" w:rsidP="00A57A5C">
      <w:pPr>
        <w:pStyle w:val="Heading4"/>
      </w:pPr>
      <w:bookmarkStart w:id="285" w:name="_Toc205461477"/>
      <w:r w:rsidRPr="00FF338C">
        <w:t>Measuring electricity production</w:t>
      </w:r>
      <w:bookmarkEnd w:id="285"/>
    </w:p>
    <w:p w14:paraId="597DAD22" w14:textId="550A8B55" w:rsidR="00A57A5C" w:rsidRPr="00FF338C" w:rsidRDefault="00A57A5C" w:rsidP="00A57A5C">
      <w:pPr>
        <w:pStyle w:val="Body"/>
        <w:ind w:left="0"/>
        <w:rPr>
          <w:rFonts w:asciiTheme="minorHAnsi" w:hAnsiTheme="minorHAnsi"/>
          <w:sz w:val="22"/>
        </w:rPr>
      </w:pPr>
      <w:r w:rsidRPr="00FF338C">
        <w:rPr>
          <w:rFonts w:asciiTheme="minorHAnsi" w:hAnsiTheme="minorHAnsi"/>
          <w:sz w:val="22"/>
        </w:rPr>
        <w:t xml:space="preserve">Produced electricity delivered to an electricity transmission or distribution network must be measured according to either Chapter 7 of the </w:t>
      </w:r>
      <w:hyperlink r:id="rId55" w:tooltip="A link to the National Electricty Rules page on the Australian Energy Market Commission website." w:history="1">
        <w:r w:rsidRPr="00AA5EE7">
          <w:rPr>
            <w:rStyle w:val="Hyperlink"/>
            <w:rFonts w:asciiTheme="minorHAnsi" w:hAnsiTheme="minorHAnsi"/>
          </w:rPr>
          <w:t>National Electricity Rules</w:t>
        </w:r>
      </w:hyperlink>
      <w:r w:rsidR="004B0870">
        <w:rPr>
          <w:rFonts w:ascii="ZWAdobeF" w:hAnsi="ZWAdobeF" w:cs="ZWAdobeF"/>
          <w:sz w:val="2"/>
          <w:szCs w:val="2"/>
        </w:rPr>
        <w:t>30F</w:t>
      </w:r>
      <w:r>
        <w:rPr>
          <w:rStyle w:val="FootnoteReference"/>
          <w:rFonts w:asciiTheme="minorHAnsi" w:hAnsiTheme="minorHAnsi"/>
          <w:sz w:val="22"/>
        </w:rPr>
        <w:footnoteReference w:id="32"/>
      </w:r>
      <w:r w:rsidRPr="00FF338C">
        <w:rPr>
          <w:rFonts w:asciiTheme="minorHAnsi" w:hAnsiTheme="minorHAnsi"/>
          <w:sz w:val="22"/>
        </w:rPr>
        <w:t xml:space="preserve"> </w:t>
      </w:r>
      <w:r>
        <w:rPr>
          <w:rFonts w:asciiTheme="minorHAnsi" w:hAnsiTheme="minorHAnsi"/>
          <w:sz w:val="22"/>
        </w:rPr>
        <w:t>per</w:t>
      </w:r>
      <w:r w:rsidRPr="00FF338C">
        <w:rPr>
          <w:rFonts w:asciiTheme="minorHAnsi" w:hAnsiTheme="minorHAnsi"/>
          <w:sz w:val="22"/>
        </w:rPr>
        <w:t xml:space="preserve"> the </w:t>
      </w:r>
      <w:r w:rsidRPr="00FF338C">
        <w:rPr>
          <w:rFonts w:asciiTheme="minorHAnsi" w:hAnsiTheme="minorHAnsi"/>
          <w:i/>
          <w:sz w:val="22"/>
        </w:rPr>
        <w:t>National Electricity (South Australia) Act 1996</w:t>
      </w:r>
      <w:r w:rsidRPr="00FF338C">
        <w:rPr>
          <w:rFonts w:asciiTheme="minorHAnsi" w:hAnsiTheme="minorHAnsi"/>
          <w:sz w:val="22"/>
        </w:rPr>
        <w:t xml:space="preserve"> </w:t>
      </w:r>
      <w:r w:rsidR="00C81DA7">
        <w:rPr>
          <w:rFonts w:asciiTheme="minorHAnsi" w:hAnsiTheme="minorHAnsi"/>
          <w:sz w:val="22"/>
        </w:rPr>
        <w:t xml:space="preserve">(SA) </w:t>
      </w:r>
      <w:r w:rsidRPr="00FF338C">
        <w:rPr>
          <w:rFonts w:asciiTheme="minorHAnsi" w:hAnsiTheme="minorHAnsi"/>
          <w:sz w:val="22"/>
        </w:rPr>
        <w:t>or the metering requirements applicable to the region in which the facility is located</w:t>
      </w:r>
      <w:r>
        <w:rPr>
          <w:rFonts w:asciiTheme="minorHAnsi" w:hAnsiTheme="minorHAnsi"/>
          <w:sz w:val="22"/>
        </w:rPr>
        <w:t xml:space="preserve"> (section 6.2 </w:t>
      </w:r>
      <w:r w:rsidRPr="00FF338C">
        <w:rPr>
          <w:rFonts w:asciiTheme="minorHAnsi" w:hAnsiTheme="minorHAnsi"/>
          <w:sz w:val="22"/>
        </w:rPr>
        <w:t xml:space="preserve">of the </w:t>
      </w:r>
      <w:r>
        <w:rPr>
          <w:rFonts w:asciiTheme="minorHAnsi" w:hAnsiTheme="minorHAnsi"/>
          <w:sz w:val="22"/>
        </w:rPr>
        <w:t>NGER Measurement Determination)</w:t>
      </w:r>
      <w:r w:rsidRPr="00FF338C">
        <w:rPr>
          <w:rFonts w:asciiTheme="minorHAnsi" w:hAnsiTheme="minorHAnsi"/>
          <w:sz w:val="22"/>
        </w:rPr>
        <w:t>.</w:t>
      </w:r>
    </w:p>
    <w:p w14:paraId="4567E62A" w14:textId="44890747" w:rsidR="00A57A5C" w:rsidRPr="00FF338C" w:rsidRDefault="00A57A5C" w:rsidP="00A57A5C">
      <w:pPr>
        <w:pStyle w:val="Body"/>
        <w:ind w:left="0"/>
        <w:rPr>
          <w:rFonts w:asciiTheme="minorHAnsi" w:hAnsiTheme="minorHAnsi"/>
          <w:b/>
          <w:i/>
          <w:sz w:val="22"/>
        </w:rPr>
      </w:pPr>
      <w:r w:rsidRPr="00FF338C">
        <w:rPr>
          <w:rFonts w:asciiTheme="minorHAnsi" w:hAnsiTheme="minorHAnsi"/>
          <w:sz w:val="22"/>
        </w:rPr>
        <w:t xml:space="preserve">For other electricity production, subsection 6.3(2) of the </w:t>
      </w:r>
      <w:r>
        <w:rPr>
          <w:rFonts w:asciiTheme="minorHAnsi" w:hAnsiTheme="minorHAnsi"/>
          <w:sz w:val="22"/>
        </w:rPr>
        <w:t>NGER Measurement Determination</w:t>
      </w:r>
      <w:r w:rsidRPr="00FF338C">
        <w:rPr>
          <w:rFonts w:asciiTheme="minorHAnsi" w:hAnsiTheme="minorHAnsi"/>
          <w:sz w:val="22"/>
        </w:rPr>
        <w:t xml:space="preserve"> clarifies that the amount of electricity produced from the operation of the facility during the </w:t>
      </w:r>
      <w:r w:rsidR="003F4F7C">
        <w:rPr>
          <w:rFonts w:asciiTheme="minorHAnsi" w:hAnsiTheme="minorHAnsi"/>
          <w:sz w:val="22"/>
        </w:rPr>
        <w:t xml:space="preserve">reporting </w:t>
      </w:r>
      <w:r w:rsidRPr="00FF338C">
        <w:rPr>
          <w:rFonts w:asciiTheme="minorHAnsi" w:hAnsiTheme="minorHAnsi"/>
          <w:sz w:val="22"/>
        </w:rPr>
        <w:t>year must be evidenced by invoices, contractual arrangements or industry metering records</w:t>
      </w:r>
      <w:r w:rsidRPr="00FF338C">
        <w:rPr>
          <w:rFonts w:asciiTheme="minorHAnsi" w:hAnsiTheme="minorHAnsi"/>
          <w:b/>
          <w:sz w:val="22"/>
        </w:rPr>
        <w:t>.</w:t>
      </w:r>
    </w:p>
    <w:p w14:paraId="3DF5B9EA" w14:textId="77777777" w:rsidR="00A57A5C" w:rsidRPr="00FF338C" w:rsidRDefault="00A57A5C" w:rsidP="00A57A5C">
      <w:pPr>
        <w:pStyle w:val="Body"/>
        <w:ind w:left="0"/>
        <w:rPr>
          <w:rFonts w:asciiTheme="minorHAnsi" w:hAnsiTheme="minorHAnsi"/>
          <w:sz w:val="22"/>
        </w:rPr>
      </w:pPr>
      <w:r w:rsidRPr="00FF338C">
        <w:rPr>
          <w:rFonts w:asciiTheme="minorHAnsi" w:hAnsiTheme="minorHAnsi"/>
          <w:sz w:val="22"/>
        </w:rPr>
        <w:t>In practice:</w:t>
      </w:r>
    </w:p>
    <w:p w14:paraId="16EA2BFD" w14:textId="1BFF9C21" w:rsidR="00A57A5C" w:rsidRPr="00FF338C" w:rsidRDefault="001E3524" w:rsidP="00B3330E">
      <w:pPr>
        <w:numPr>
          <w:ilvl w:val="0"/>
          <w:numId w:val="1"/>
        </w:numPr>
        <w:spacing w:before="120" w:after="120"/>
      </w:pPr>
      <w:r>
        <w:t>t</w:t>
      </w:r>
      <w:r w:rsidR="00A57A5C">
        <w:t>he</w:t>
      </w:r>
      <w:r w:rsidR="00A57A5C" w:rsidRPr="00FF338C">
        <w:t xml:space="preserve"> </w:t>
      </w:r>
      <w:r w:rsidR="00A57A5C" w:rsidRPr="79B44BC7">
        <w:rPr>
          <w:rFonts w:ascii="Calibri" w:hAnsi="Calibri"/>
        </w:rPr>
        <w:t>electricity</w:t>
      </w:r>
      <w:r w:rsidR="00A57A5C" w:rsidRPr="00FF338C">
        <w:t xml:space="preserve"> produced at the terminals </w:t>
      </w:r>
      <w:r w:rsidR="00D92B8E">
        <w:t>of the generating unit</w:t>
      </w:r>
      <w:r w:rsidR="00A57A5C">
        <w:t xml:space="preserve"> </w:t>
      </w:r>
      <w:r w:rsidR="00A57A5C" w:rsidRPr="00FF338C">
        <w:t>should be measured and evidenced using metering per industry standard</w:t>
      </w:r>
    </w:p>
    <w:p w14:paraId="30A6448E" w14:textId="013E0C34" w:rsidR="00A57A5C" w:rsidRPr="00FF338C" w:rsidRDefault="001E3524" w:rsidP="00B3330E">
      <w:pPr>
        <w:numPr>
          <w:ilvl w:val="0"/>
          <w:numId w:val="1"/>
        </w:numPr>
        <w:spacing w:before="120" w:after="120"/>
      </w:pPr>
      <w:r>
        <w:t>f</w:t>
      </w:r>
      <w:r w:rsidR="00A57A5C">
        <w:t>or</w:t>
      </w:r>
      <w:r w:rsidR="00A57A5C" w:rsidRPr="00FF338C">
        <w:t xml:space="preserve"> electricity delivered for use at another facility, the delivered electricity must be evidenced using invoices, contractual arrangements or industry metering records.</w:t>
      </w:r>
    </w:p>
    <w:tbl>
      <w:tblPr>
        <w:tblStyle w:val="CERCallout"/>
        <w:tblW w:w="0" w:type="auto"/>
        <w:tblLook w:val="04A0" w:firstRow="1" w:lastRow="0" w:firstColumn="1" w:lastColumn="0" w:noHBand="0" w:noVBand="1"/>
      </w:tblPr>
      <w:tblGrid>
        <w:gridCol w:w="9710"/>
      </w:tblGrid>
      <w:tr w:rsidR="00D67F2D" w:rsidRPr="00FF338C" w14:paraId="1030D1AB" w14:textId="77777777">
        <w:trPr>
          <w:cnfStyle w:val="100000000000" w:firstRow="1" w:lastRow="0" w:firstColumn="0" w:lastColumn="0" w:oddVBand="0" w:evenVBand="0" w:oddHBand="0" w:evenHBand="0" w:firstRowFirstColumn="0" w:firstRowLastColumn="0" w:lastRowFirstColumn="0" w:lastRowLastColumn="0"/>
        </w:trPr>
        <w:tc>
          <w:tcPr>
            <w:tcW w:w="9730" w:type="dxa"/>
          </w:tcPr>
          <w:p w14:paraId="75A0C58A" w14:textId="2F7C53DB" w:rsidR="00A57A5C" w:rsidRPr="00FB5D2B" w:rsidRDefault="004B0870">
            <w:pPr>
              <w:pStyle w:val="Heading5"/>
              <w:spacing w:before="0"/>
              <w:ind w:left="0"/>
              <w:rPr>
                <w:b/>
                <w:bCs/>
              </w:rPr>
            </w:pPr>
            <w:bookmarkStart w:id="286" w:name="_Toc205461478"/>
            <w:r>
              <w:rPr>
                <w:rFonts w:ascii="ZWAdobeF" w:hAnsi="ZWAdobeF" w:cs="ZWAdobeF"/>
                <w:bCs/>
                <w:color w:val="auto"/>
                <w:sz w:val="2"/>
                <w:szCs w:val="2"/>
              </w:rPr>
              <w:t>8B</w:t>
            </w:r>
            <w:r w:rsidR="00A57A5C" w:rsidRPr="00FB5D2B">
              <w:rPr>
                <w:b/>
                <w:bCs/>
              </w:rPr>
              <w:t>Example – Quantifying electricity production at a gas</w:t>
            </w:r>
            <w:r w:rsidR="00C17C47">
              <w:rPr>
                <w:b/>
                <w:bCs/>
              </w:rPr>
              <w:t>-</w:t>
            </w:r>
            <w:r w:rsidR="00A57A5C" w:rsidRPr="00FB5D2B">
              <w:rPr>
                <w:b/>
                <w:bCs/>
              </w:rPr>
              <w:t>fired power plant</w:t>
            </w:r>
            <w:bookmarkEnd w:id="286"/>
          </w:p>
          <w:p w14:paraId="33C723B0" w14:textId="77777777" w:rsidR="00A57A5C" w:rsidRPr="00FB5D2B" w:rsidRDefault="00A57A5C" w:rsidP="006971C9">
            <w:pPr>
              <w:pStyle w:val="CERbullets"/>
              <w:numPr>
                <w:ilvl w:val="0"/>
                <w:numId w:val="0"/>
              </w:numPr>
              <w:ind w:left="357" w:hanging="357"/>
              <w:rPr>
                <w:b w:val="0"/>
                <w:bCs/>
              </w:rPr>
            </w:pPr>
            <w:hyperlink w:anchor="_Case_example_1:" w:history="1">
              <w:r w:rsidRPr="00FB5D2B">
                <w:rPr>
                  <w:rStyle w:val="Hyperlink"/>
                  <w:rFonts w:asciiTheme="minorHAnsi" w:hAnsiTheme="minorHAnsi"/>
                  <w:b w:val="0"/>
                  <w:bCs/>
                </w:rPr>
                <w:t>Case example 1 in Appendix A</w:t>
              </w:r>
            </w:hyperlink>
            <w:r w:rsidRPr="00FB5D2B">
              <w:rPr>
                <w:b w:val="0"/>
                <w:bCs/>
              </w:rPr>
              <w:t xml:space="preserve"> illustrates how electricity production should be quantified.</w:t>
            </w:r>
          </w:p>
          <w:p w14:paraId="79B0E7C8" w14:textId="0466F1C7" w:rsidR="00A57A5C" w:rsidRPr="00FB5D2B" w:rsidRDefault="00A57A5C" w:rsidP="00B3330E">
            <w:pPr>
              <w:pStyle w:val="CERnumbering"/>
              <w:numPr>
                <w:ilvl w:val="0"/>
                <w:numId w:val="16"/>
              </w:numPr>
              <w:spacing w:beforeAutospacing="0"/>
              <w:rPr>
                <w:b w:val="0"/>
                <w:bCs/>
              </w:rPr>
            </w:pPr>
            <w:r w:rsidRPr="00FB5D2B">
              <w:rPr>
                <w:b w:val="0"/>
                <w:bCs/>
              </w:rPr>
              <w:t xml:space="preserve">Electricity is produced in the turbine and electricity production is measured using metering at the terminal (see number 4 in </w:t>
            </w:r>
            <w:r w:rsidR="0016706E" w:rsidRPr="00974C94">
              <w:rPr>
                <w:rFonts w:eastAsiaTheme="minorEastAsia"/>
                <w:bCs/>
              </w:rPr>
              <w:fldChar w:fldCharType="begin" w:fldLock="1"/>
            </w:r>
            <w:r w:rsidR="0016706E" w:rsidRPr="00C44F0B">
              <w:rPr>
                <w:rFonts w:eastAsiaTheme="minorEastAsia"/>
                <w:b w:val="0"/>
                <w:bCs/>
              </w:rPr>
              <w:instrText xml:space="preserve"> </w:instrText>
            </w:r>
            <w:r w:rsidR="0016706E" w:rsidRPr="00974C94">
              <w:rPr>
                <w:rFonts w:eastAsiaTheme="minorEastAsia"/>
                <w:b w:val="0"/>
                <w:bCs/>
              </w:rPr>
              <w:instrText xml:space="preserve">REF </w:instrText>
            </w:r>
            <w:r w:rsidR="0016706E" w:rsidRPr="00C44F0B">
              <w:rPr>
                <w:rFonts w:eastAsiaTheme="minorEastAsia"/>
                <w:b w:val="0"/>
                <w:bCs/>
              </w:rPr>
              <w:instrText xml:space="preserve">_Ref199339978 </w:instrText>
            </w:r>
            <w:r w:rsidR="0016706E" w:rsidRPr="00974C94">
              <w:rPr>
                <w:rFonts w:eastAsiaTheme="minorEastAsia"/>
                <w:b w:val="0"/>
                <w:bCs/>
              </w:rPr>
              <w:instrText xml:space="preserve"> \* MERGEFORMAT </w:instrText>
            </w:r>
            <w:r w:rsidR="0016706E" w:rsidRPr="00974C94">
              <w:rPr>
                <w:rFonts w:eastAsiaTheme="minorEastAsia"/>
                <w:bCs/>
              </w:rPr>
              <w:fldChar w:fldCharType="separate"/>
            </w:r>
            <w:r w:rsidR="0016706E" w:rsidRPr="00974C94">
              <w:rPr>
                <w:b w:val="0"/>
                <w:bCs/>
              </w:rPr>
              <w:t xml:space="preserve">Figure </w:t>
            </w:r>
            <w:r w:rsidR="0016706E" w:rsidRPr="00974C94">
              <w:rPr>
                <w:b w:val="0"/>
                <w:bCs/>
                <w:noProof/>
              </w:rPr>
              <w:t>7</w:t>
            </w:r>
            <w:r w:rsidR="0016706E" w:rsidRPr="00974C94">
              <w:rPr>
                <w:rFonts w:eastAsiaTheme="minorEastAsia"/>
                <w:bCs/>
              </w:rPr>
              <w:fldChar w:fldCharType="end"/>
            </w:r>
            <w:r w:rsidRPr="00FB5D2B">
              <w:rPr>
                <w:b w:val="0"/>
                <w:bCs/>
              </w:rPr>
              <w:t>).</w:t>
            </w:r>
          </w:p>
          <w:p w14:paraId="12B8E37D" w14:textId="39903531" w:rsidR="00A57A5C" w:rsidRPr="00FB5D2B" w:rsidRDefault="00A57A5C" w:rsidP="00B3330E">
            <w:pPr>
              <w:pStyle w:val="CERnumbering"/>
              <w:numPr>
                <w:ilvl w:val="0"/>
                <w:numId w:val="16"/>
              </w:numPr>
              <w:spacing w:beforeAutospacing="0"/>
              <w:rPr>
                <w:b w:val="0"/>
                <w:bCs/>
              </w:rPr>
            </w:pPr>
            <w:r w:rsidRPr="00FB5D2B">
              <w:rPr>
                <w:b w:val="0"/>
                <w:bCs/>
              </w:rPr>
              <w:t>Electricity delivered to an electricity transmission network</w:t>
            </w:r>
            <w:r w:rsidRPr="00FB5D2B">
              <w:rPr>
                <w:b w:val="0"/>
                <w:bCs/>
                <w:color w:val="FF0000"/>
              </w:rPr>
              <w:t xml:space="preserve"> </w:t>
            </w:r>
            <w:r w:rsidRPr="00FB5D2B">
              <w:rPr>
                <w:b w:val="0"/>
                <w:bCs/>
              </w:rPr>
              <w:t xml:space="preserve">is metered at the network connection point (see number 7 in </w:t>
            </w:r>
            <w:r w:rsidR="0016706E" w:rsidRPr="00974C94">
              <w:rPr>
                <w:rFonts w:eastAsiaTheme="minorEastAsia"/>
                <w:bCs/>
              </w:rPr>
              <w:fldChar w:fldCharType="begin" w:fldLock="1"/>
            </w:r>
            <w:r w:rsidR="0016706E" w:rsidRPr="00C44F0B">
              <w:rPr>
                <w:rFonts w:eastAsiaTheme="minorEastAsia"/>
                <w:b w:val="0"/>
                <w:bCs/>
              </w:rPr>
              <w:instrText xml:space="preserve"> </w:instrText>
            </w:r>
            <w:r w:rsidR="0016706E" w:rsidRPr="00974C94">
              <w:rPr>
                <w:rFonts w:eastAsiaTheme="minorEastAsia"/>
                <w:b w:val="0"/>
                <w:bCs/>
              </w:rPr>
              <w:instrText xml:space="preserve">REF </w:instrText>
            </w:r>
            <w:r w:rsidR="0016706E" w:rsidRPr="00C44F0B">
              <w:rPr>
                <w:rFonts w:eastAsiaTheme="minorEastAsia"/>
                <w:b w:val="0"/>
                <w:bCs/>
              </w:rPr>
              <w:instrText xml:space="preserve">_Ref199339978 </w:instrText>
            </w:r>
            <w:r w:rsidR="0016706E" w:rsidRPr="00974C94">
              <w:rPr>
                <w:rFonts w:eastAsiaTheme="minorEastAsia"/>
                <w:b w:val="0"/>
                <w:bCs/>
              </w:rPr>
              <w:instrText xml:space="preserve"> \* MERGEFORMAT </w:instrText>
            </w:r>
            <w:r w:rsidR="0016706E" w:rsidRPr="00974C94">
              <w:rPr>
                <w:rFonts w:eastAsiaTheme="minorEastAsia"/>
                <w:bCs/>
              </w:rPr>
              <w:fldChar w:fldCharType="separate"/>
            </w:r>
            <w:r w:rsidR="0016706E" w:rsidRPr="00974C94">
              <w:rPr>
                <w:b w:val="0"/>
                <w:bCs/>
              </w:rPr>
              <w:t xml:space="preserve">Figure </w:t>
            </w:r>
            <w:r w:rsidR="0016706E" w:rsidRPr="00974C94">
              <w:rPr>
                <w:b w:val="0"/>
                <w:bCs/>
                <w:noProof/>
              </w:rPr>
              <w:t>7</w:t>
            </w:r>
            <w:r w:rsidR="0016706E" w:rsidRPr="00974C94">
              <w:rPr>
                <w:rFonts w:eastAsiaTheme="minorEastAsia"/>
                <w:bCs/>
              </w:rPr>
              <w:fldChar w:fldCharType="end"/>
            </w:r>
            <w:r w:rsidRPr="00FB5D2B">
              <w:rPr>
                <w:b w:val="0"/>
                <w:bCs/>
              </w:rPr>
              <w:t>). This meter determines the amount of reportable electricity produced for the purpose of delivering to the network.</w:t>
            </w:r>
          </w:p>
          <w:p w14:paraId="59FBE164" w14:textId="184238C6" w:rsidR="00A57A5C" w:rsidRPr="00FB5D2B" w:rsidRDefault="00A57A5C" w:rsidP="00B3330E">
            <w:pPr>
              <w:pStyle w:val="CERnumbering"/>
              <w:numPr>
                <w:ilvl w:val="0"/>
                <w:numId w:val="16"/>
              </w:numPr>
              <w:spacing w:beforeAutospacing="0"/>
              <w:rPr>
                <w:b w:val="0"/>
                <w:bCs/>
              </w:rPr>
            </w:pPr>
            <w:r w:rsidRPr="00FB5D2B">
              <w:rPr>
                <w:b w:val="0"/>
                <w:bCs/>
              </w:rPr>
              <w:t xml:space="preserve">Electricity delivered directly to a </w:t>
            </w:r>
            <w:r w:rsidRPr="00D2141E">
              <w:rPr>
                <w:lang w:val="en-AU"/>
              </w:rPr>
              <w:t>neighbouring</w:t>
            </w:r>
            <w:r w:rsidRPr="00FB5D2B">
              <w:rPr>
                <w:b w:val="0"/>
                <w:bCs/>
              </w:rPr>
              <w:t xml:space="preserve"> facility is metered </w:t>
            </w:r>
            <w:r w:rsidR="00E952B8">
              <w:rPr>
                <w:b w:val="0"/>
                <w:bCs/>
              </w:rPr>
              <w:t xml:space="preserve">at </w:t>
            </w:r>
            <w:r w:rsidR="00111DB1">
              <w:rPr>
                <w:b w:val="0"/>
                <w:bCs/>
              </w:rPr>
              <w:t xml:space="preserve">an </w:t>
            </w:r>
            <w:r w:rsidR="00E952B8">
              <w:rPr>
                <w:b w:val="0"/>
                <w:bCs/>
              </w:rPr>
              <w:t>agreed connection point</w:t>
            </w:r>
            <w:r w:rsidRPr="00FB5D2B">
              <w:rPr>
                <w:b w:val="0"/>
                <w:bCs/>
              </w:rPr>
              <w:t xml:space="preserve"> (see number 6 in the diagram), per commercial transaction. This meter determines the amount of reportable electricity produced for the purpose of being used at another facility (and not delivered to the network).</w:t>
            </w:r>
          </w:p>
          <w:p w14:paraId="2F028EE6" w14:textId="7962EB00" w:rsidR="00A57A5C" w:rsidRPr="00FF338C" w:rsidRDefault="00A57A5C" w:rsidP="00B3330E">
            <w:pPr>
              <w:pStyle w:val="CERnumbering"/>
              <w:numPr>
                <w:ilvl w:val="0"/>
                <w:numId w:val="16"/>
              </w:numPr>
              <w:spacing w:beforeAutospacing="0"/>
            </w:pPr>
            <w:r w:rsidRPr="00FB5D2B">
              <w:rPr>
                <w:b w:val="0"/>
                <w:bCs/>
              </w:rPr>
              <w:t xml:space="preserve">The electricity produced for use onsite (see number 5 in </w:t>
            </w:r>
            <w:r w:rsidR="0016706E" w:rsidRPr="00974C94">
              <w:rPr>
                <w:rFonts w:eastAsiaTheme="minorEastAsia"/>
                <w:bCs/>
              </w:rPr>
              <w:fldChar w:fldCharType="begin" w:fldLock="1"/>
            </w:r>
            <w:r w:rsidR="0016706E" w:rsidRPr="00C44F0B">
              <w:rPr>
                <w:rFonts w:eastAsiaTheme="minorEastAsia"/>
                <w:b w:val="0"/>
                <w:bCs/>
              </w:rPr>
              <w:instrText xml:space="preserve"> </w:instrText>
            </w:r>
            <w:r w:rsidR="0016706E" w:rsidRPr="00974C94">
              <w:rPr>
                <w:rFonts w:eastAsiaTheme="minorEastAsia"/>
                <w:b w:val="0"/>
                <w:bCs/>
              </w:rPr>
              <w:instrText xml:space="preserve">REF </w:instrText>
            </w:r>
            <w:r w:rsidR="0016706E" w:rsidRPr="00C44F0B">
              <w:rPr>
                <w:rFonts w:eastAsiaTheme="minorEastAsia"/>
                <w:b w:val="0"/>
                <w:bCs/>
              </w:rPr>
              <w:instrText xml:space="preserve">_Ref199339978 </w:instrText>
            </w:r>
            <w:r w:rsidR="0016706E" w:rsidRPr="00974C94">
              <w:rPr>
                <w:rFonts w:eastAsiaTheme="minorEastAsia"/>
                <w:b w:val="0"/>
                <w:bCs/>
              </w:rPr>
              <w:instrText xml:space="preserve"> \* MERGEFORMAT </w:instrText>
            </w:r>
            <w:r w:rsidR="0016706E" w:rsidRPr="00974C94">
              <w:rPr>
                <w:rFonts w:eastAsiaTheme="minorEastAsia"/>
                <w:bCs/>
              </w:rPr>
              <w:fldChar w:fldCharType="separate"/>
            </w:r>
            <w:r w:rsidR="0016706E" w:rsidRPr="00974C94">
              <w:rPr>
                <w:b w:val="0"/>
                <w:bCs/>
              </w:rPr>
              <w:t xml:space="preserve">Figure </w:t>
            </w:r>
            <w:r w:rsidR="0016706E" w:rsidRPr="00974C94">
              <w:rPr>
                <w:b w:val="0"/>
                <w:bCs/>
                <w:noProof/>
              </w:rPr>
              <w:t>7</w:t>
            </w:r>
            <w:r w:rsidR="0016706E" w:rsidRPr="00974C94">
              <w:rPr>
                <w:rFonts w:eastAsiaTheme="minorEastAsia"/>
                <w:bCs/>
              </w:rPr>
              <w:fldChar w:fldCharType="end"/>
            </w:r>
            <w:r w:rsidRPr="00FB5D2B">
              <w:rPr>
                <w:b w:val="0"/>
                <w:bCs/>
              </w:rPr>
              <w:t>) is determined as electricity at number 4 minus (electricity at number 6 + electricity at number 7).</w:t>
            </w:r>
          </w:p>
        </w:tc>
      </w:tr>
    </w:tbl>
    <w:p w14:paraId="3BE844DE" w14:textId="77777777" w:rsidR="00A57A5C" w:rsidRPr="00FF338C" w:rsidRDefault="00A57A5C" w:rsidP="00B3330E">
      <w:pPr>
        <w:pStyle w:val="Heading3"/>
        <w:numPr>
          <w:ilvl w:val="2"/>
          <w:numId w:val="3"/>
        </w:numPr>
        <w:ind w:left="709" w:hanging="709"/>
        <w:rPr>
          <w:szCs w:val="25"/>
          <w:lang w:val="en-GB"/>
        </w:rPr>
      </w:pPr>
      <w:bookmarkStart w:id="287" w:name="_Cogeneration"/>
      <w:bookmarkStart w:id="288" w:name="_Ref199337594"/>
      <w:bookmarkStart w:id="289" w:name="_Toc205461479"/>
      <w:bookmarkEnd w:id="287"/>
      <w:r w:rsidRPr="00FF338C">
        <w:rPr>
          <w:lang w:val="en-GB"/>
        </w:rPr>
        <w:t>Cogeneration</w:t>
      </w:r>
      <w:bookmarkEnd w:id="279"/>
      <w:bookmarkEnd w:id="280"/>
      <w:bookmarkEnd w:id="281"/>
      <w:bookmarkEnd w:id="288"/>
      <w:bookmarkEnd w:id="289"/>
    </w:p>
    <w:p w14:paraId="58A6D7E2" w14:textId="6C411945" w:rsidR="00A57A5C" w:rsidRPr="00FF338C" w:rsidRDefault="00A57A5C" w:rsidP="00A57A5C">
      <w:r w:rsidRPr="00FF338C">
        <w:t xml:space="preserve">Cogeneration is defined in </w:t>
      </w:r>
      <w:r w:rsidR="00A14539">
        <w:t xml:space="preserve">1.03 of the </w:t>
      </w:r>
      <w:r w:rsidRPr="00FF338C">
        <w:t>NGER Regulation</w:t>
      </w:r>
      <w:r w:rsidR="00A14539">
        <w:t>s</w:t>
      </w:r>
      <w:r w:rsidRPr="00FF338C">
        <w:t xml:space="preserve"> as a process that combines the generation of heat and power to produce electricity and another product within one integrated production process.</w:t>
      </w:r>
    </w:p>
    <w:p w14:paraId="13B4CDC6" w14:textId="55D2A934" w:rsidR="00A57A5C" w:rsidRPr="00FF338C" w:rsidRDefault="00A57A5C" w:rsidP="00A57A5C">
      <w:r w:rsidRPr="00FF338C">
        <w:t>In practice, cogeneration occurs when energy (other than electricity) is consumed and results in the production of electricity and another product</w:t>
      </w:r>
      <w:r>
        <w:t xml:space="preserve">, </w:t>
      </w:r>
      <w:r w:rsidRPr="00FF338C">
        <w:t xml:space="preserve">for example, heat or steam. When this occurs, assuming that the appropriate thresholds (see </w:t>
      </w:r>
      <w:r w:rsidR="000772C0">
        <w:fldChar w:fldCharType="begin" w:fldLock="1"/>
      </w:r>
      <w:r w:rsidR="000772C0">
        <w:instrText xml:space="preserve"> REF _Ref199338865 </w:instrText>
      </w:r>
      <w:r w:rsidR="000772C0">
        <w:fldChar w:fldCharType="separate"/>
      </w:r>
      <w:r w:rsidR="000772C0">
        <w:t xml:space="preserve">Table </w:t>
      </w:r>
      <w:r w:rsidR="000772C0">
        <w:rPr>
          <w:noProof/>
        </w:rPr>
        <w:t>10</w:t>
      </w:r>
      <w:r w:rsidR="000772C0">
        <w:fldChar w:fldCharType="end"/>
      </w:r>
      <w:r w:rsidR="000772C0">
        <w:t xml:space="preserve"> and </w:t>
      </w:r>
      <w:r w:rsidR="000772C0">
        <w:fldChar w:fldCharType="begin" w:fldLock="1"/>
      </w:r>
      <w:r w:rsidR="000772C0">
        <w:instrText xml:space="preserve"> REF _Ref199338869 </w:instrText>
      </w:r>
      <w:r w:rsidR="000772C0">
        <w:fldChar w:fldCharType="separate"/>
      </w:r>
      <w:r w:rsidR="000772C0">
        <w:t xml:space="preserve">Table </w:t>
      </w:r>
      <w:r w:rsidR="000772C0">
        <w:rPr>
          <w:noProof/>
        </w:rPr>
        <w:t>11</w:t>
      </w:r>
      <w:r w:rsidR="000772C0">
        <w:fldChar w:fldCharType="end"/>
      </w:r>
      <w:r w:rsidRPr="00FF338C">
        <w:t xml:space="preserve">) have been met, the report for the facility must identify the amount and energy content of the energy type consumed to produce the electricity and the other product during the </w:t>
      </w:r>
      <w:r w:rsidR="003F4F7C">
        <w:t xml:space="preserve">reporting </w:t>
      </w:r>
      <w:r w:rsidRPr="00FF338C">
        <w:t>year.</w:t>
      </w:r>
    </w:p>
    <w:p w14:paraId="1A46E226" w14:textId="77777777" w:rsidR="00A57A5C" w:rsidRPr="00FF338C" w:rsidRDefault="00A57A5C" w:rsidP="00A57A5C">
      <w:r w:rsidRPr="00FF338C">
        <w:t xml:space="preserve">The amount of electricity </w:t>
      </w:r>
      <w:r w:rsidRPr="00FE31CC">
        <w:t>produced</w:t>
      </w:r>
      <w:r w:rsidRPr="00FF338C">
        <w:t xml:space="preserve"> </w:t>
      </w:r>
      <w:proofErr w:type="gramStart"/>
      <w:r w:rsidRPr="00FF338C">
        <w:t>as a result of</w:t>
      </w:r>
      <w:proofErr w:type="gramEnd"/>
      <w:r w:rsidRPr="00FF338C">
        <w:t xml:space="preserve"> the cogeneration process is also required to be reported. However, it is not necessary to report the production of the other product if that product is heat.</w:t>
      </w:r>
    </w:p>
    <w:p w14:paraId="2C5E8EA4" w14:textId="77777777" w:rsidR="00A57A5C" w:rsidRPr="00FF338C" w:rsidRDefault="00A57A5C" w:rsidP="00A57A5C">
      <w:r w:rsidRPr="00FF338C">
        <w:t xml:space="preserve">The methods available for determining the amount and energy content of the energy type consumed to produce the electricity and the other product are specified in section 2.70 of the </w:t>
      </w:r>
      <w:r>
        <w:t>NGER Measurement Determination</w:t>
      </w:r>
      <w:r w:rsidRPr="00FF338C">
        <w:t xml:space="preserve"> as:</w:t>
      </w:r>
    </w:p>
    <w:p w14:paraId="42930451" w14:textId="0F7273EA" w:rsidR="00A57A5C" w:rsidRPr="00FF338C" w:rsidRDefault="00F0098C" w:rsidP="00B3330E">
      <w:pPr>
        <w:numPr>
          <w:ilvl w:val="0"/>
          <w:numId w:val="1"/>
        </w:numPr>
        <w:spacing w:before="120" w:after="120"/>
      </w:pPr>
      <w:r>
        <w:t>t</w:t>
      </w:r>
      <w:r w:rsidR="00A57A5C">
        <w:t xml:space="preserve">he </w:t>
      </w:r>
      <w:r w:rsidR="00F71AF4">
        <w:t>‘</w:t>
      </w:r>
      <w:r w:rsidR="00A57A5C" w:rsidRPr="00FE31CC">
        <w:t xml:space="preserve">efficiency </w:t>
      </w:r>
      <w:r w:rsidR="00A57A5C">
        <w:t>method</w:t>
      </w:r>
      <w:r w:rsidR="00F71AF4">
        <w:t>’</w:t>
      </w:r>
      <w:r w:rsidR="00A57A5C" w:rsidRPr="00FF338C">
        <w:t>,</w:t>
      </w:r>
      <w:r w:rsidR="00A57A5C">
        <w:t xml:space="preserve"> which is stipulated for cogeneration processes</w:t>
      </w:r>
    </w:p>
    <w:p w14:paraId="1D196FFE" w14:textId="0230CA6F" w:rsidR="00A57A5C" w:rsidRPr="00FF338C" w:rsidRDefault="00F0098C" w:rsidP="00B3330E">
      <w:pPr>
        <w:numPr>
          <w:ilvl w:val="0"/>
          <w:numId w:val="1"/>
        </w:numPr>
        <w:spacing w:before="120" w:after="120"/>
      </w:pPr>
      <w:r>
        <w:t>t</w:t>
      </w:r>
      <w:r w:rsidR="00A57A5C" w:rsidRPr="00FF338C">
        <w:t xml:space="preserve">he </w:t>
      </w:r>
      <w:r w:rsidR="00F71AF4">
        <w:t>‘</w:t>
      </w:r>
      <w:r w:rsidR="00A57A5C" w:rsidRPr="00FE31CC">
        <w:t>work potential method</w:t>
      </w:r>
      <w:r w:rsidR="00F71AF4">
        <w:t>’</w:t>
      </w:r>
      <w:r w:rsidR="00A57A5C" w:rsidRPr="00D7453A">
        <w:rPr>
          <w:bCs/>
        </w:rPr>
        <w:t xml:space="preserve">, which may be used where heat is to be used mainly for producing mechanical work. </w:t>
      </w:r>
      <w:r w:rsidR="00A57A5C" w:rsidRPr="00FF338C">
        <w:t xml:space="preserve">These methods are described in the </w:t>
      </w:r>
      <w:hyperlink r:id="rId56" w:tooltip="A link to the Allocation of GHG Emissions from a Combined Heat and Power Plant document on the Greenhouse Gas Protocol website" w:history="1">
        <w:r w:rsidR="00A57A5C" w:rsidRPr="00872A70">
          <w:rPr>
            <w:rStyle w:val="Hyperlink"/>
            <w:rFonts w:asciiTheme="minorHAnsi" w:hAnsiTheme="minorHAnsi"/>
            <w:iCs/>
          </w:rPr>
          <w:t>Allocation of GHG Emissions from a Combined Heat and Power (CHP) Plant</w:t>
        </w:r>
      </w:hyperlink>
      <w:r w:rsidR="004B0870">
        <w:rPr>
          <w:rFonts w:ascii="ZWAdobeF" w:hAnsi="ZWAdobeF" w:cs="ZWAdobeF"/>
          <w:color w:val="auto"/>
          <w:sz w:val="2"/>
          <w:szCs w:val="2"/>
        </w:rPr>
        <w:t>31F</w:t>
      </w:r>
      <w:r w:rsidR="00A57A5C">
        <w:rPr>
          <w:rStyle w:val="FootnoteReference"/>
          <w:iCs/>
        </w:rPr>
        <w:footnoteReference w:id="33"/>
      </w:r>
      <w:r w:rsidR="00A57A5C" w:rsidRPr="00872A70">
        <w:rPr>
          <w:iCs/>
        </w:rPr>
        <w:t xml:space="preserve"> </w:t>
      </w:r>
      <w:r w:rsidR="00A57A5C" w:rsidRPr="00D7453A">
        <w:rPr>
          <w:iCs/>
        </w:rPr>
        <w:t>g</w:t>
      </w:r>
      <w:r w:rsidR="00A57A5C" w:rsidRPr="00872A70">
        <w:rPr>
          <w:iCs/>
        </w:rPr>
        <w:t>uide</w:t>
      </w:r>
      <w:r w:rsidR="00A57A5C" w:rsidRPr="00D7453A">
        <w:rPr>
          <w:iCs/>
        </w:rPr>
        <w:t xml:space="preserve">, </w:t>
      </w:r>
      <w:r w:rsidR="00A57A5C" w:rsidRPr="00FF338C">
        <w:t xml:space="preserve">issued by </w:t>
      </w:r>
      <w:bookmarkStart w:id="290" w:name="_Hlk48033840"/>
      <w:r w:rsidR="00A57A5C" w:rsidRPr="00FF338C">
        <w:t>the World Resource Institute and World Business Council for Sustainable Development</w:t>
      </w:r>
      <w:bookmarkEnd w:id="290"/>
      <w:r w:rsidR="00A57A5C" w:rsidRPr="00FF338C">
        <w:t xml:space="preserve">. </w:t>
      </w:r>
      <w:r w:rsidR="00A57A5C">
        <w:t>See</w:t>
      </w:r>
      <w:r w:rsidR="00A57A5C" w:rsidRPr="00FF338C">
        <w:t xml:space="preserve"> GHG Protocol</w:t>
      </w:r>
      <w:r w:rsidR="00A57A5C">
        <w:t>’s</w:t>
      </w:r>
      <w:r w:rsidR="00A57A5C" w:rsidRPr="00FF338C">
        <w:t xml:space="preserve"> </w:t>
      </w:r>
      <w:hyperlink r:id="rId57" w:tooltip="A link to the calculation tools page on the Greenhouse Gas Protocol website" w:history="1">
        <w:r w:rsidR="00A57A5C" w:rsidRPr="79B44BC7">
          <w:rPr>
            <w:rStyle w:val="Hyperlink"/>
            <w:rFonts w:asciiTheme="minorHAnsi" w:hAnsiTheme="minorHAnsi"/>
          </w:rPr>
          <w:t>calculation tools</w:t>
        </w:r>
      </w:hyperlink>
      <w:r w:rsidR="004B0870">
        <w:rPr>
          <w:rFonts w:ascii="ZWAdobeF" w:hAnsi="ZWAdobeF" w:cs="ZWAdobeF"/>
          <w:color w:val="auto"/>
          <w:sz w:val="2"/>
          <w:szCs w:val="2"/>
        </w:rPr>
        <w:t>32F</w:t>
      </w:r>
      <w:r w:rsidR="00A57A5C">
        <w:rPr>
          <w:rStyle w:val="FootnoteReference"/>
        </w:rPr>
        <w:footnoteReference w:id="34"/>
      </w:r>
      <w:r w:rsidR="00A57A5C" w:rsidRPr="00FF338C">
        <w:t xml:space="preserve"> </w:t>
      </w:r>
      <w:r w:rsidR="00A57A5C">
        <w:t>for more information on these methods,</w:t>
      </w:r>
      <w:r w:rsidR="00A57A5C" w:rsidRPr="00FF338C">
        <w:t xml:space="preserve"> includ</w:t>
      </w:r>
      <w:r w:rsidR="00A57A5C">
        <w:t>ing</w:t>
      </w:r>
      <w:r w:rsidR="00A57A5C" w:rsidRPr="00FF338C">
        <w:t xml:space="preserve"> a calculator that can be used when applying the efficiency method.</w:t>
      </w:r>
    </w:p>
    <w:p w14:paraId="73EA3192" w14:textId="77777777" w:rsidR="00A57A5C" w:rsidRPr="000C225C" w:rsidRDefault="00A57A5C" w:rsidP="00DB4B56">
      <w:pPr>
        <w:pStyle w:val="Heading2"/>
        <w:numPr>
          <w:ilvl w:val="1"/>
          <w:numId w:val="3"/>
        </w:numPr>
        <w:ind w:left="426" w:hanging="426"/>
      </w:pPr>
      <w:bookmarkStart w:id="291" w:name="_Renewable_energy_commodity"/>
      <w:bookmarkStart w:id="292" w:name="_Toc512010417"/>
      <w:bookmarkStart w:id="293" w:name="_Ref512249247"/>
      <w:bookmarkStart w:id="294" w:name="_Ref512252998"/>
      <w:bookmarkStart w:id="295" w:name="_Toc512339616"/>
      <w:bookmarkStart w:id="296" w:name="_Toc106705770"/>
      <w:bookmarkStart w:id="297" w:name="_Toc205461480"/>
      <w:bookmarkEnd w:id="291"/>
      <w:r w:rsidRPr="000C225C">
        <w:t>Renewable energy commodity production and consumption</w:t>
      </w:r>
      <w:bookmarkEnd w:id="292"/>
      <w:bookmarkEnd w:id="293"/>
      <w:bookmarkEnd w:id="294"/>
      <w:bookmarkEnd w:id="295"/>
      <w:bookmarkEnd w:id="296"/>
      <w:bookmarkEnd w:id="297"/>
    </w:p>
    <w:p w14:paraId="7A7CA71F" w14:textId="309531EC" w:rsidR="00A57A5C" w:rsidRPr="000C225C" w:rsidRDefault="001848D4" w:rsidP="00A57A5C">
      <w:r>
        <w:t xml:space="preserve">Four </w:t>
      </w:r>
      <w:r w:rsidR="00A57A5C" w:rsidRPr="000C225C">
        <w:t xml:space="preserve">renewable energy commodities </w:t>
      </w:r>
      <w:r w:rsidR="00A57A5C">
        <w:t xml:space="preserve">are </w:t>
      </w:r>
      <w:r w:rsidR="00A57A5C" w:rsidRPr="000C225C">
        <w:t>listed in Schedule 1 of the NGER Regulations</w:t>
      </w:r>
      <w:r w:rsidR="00A57A5C">
        <w:t xml:space="preserve"> for electricity generation</w:t>
      </w:r>
      <w:r w:rsidR="00A57A5C" w:rsidRPr="000C225C">
        <w:t>: solar</w:t>
      </w:r>
      <w:r w:rsidR="00A57A5C">
        <w:t xml:space="preserve">, </w:t>
      </w:r>
      <w:r w:rsidR="00A57A5C" w:rsidRPr="000C225C">
        <w:t>wind</w:t>
      </w:r>
      <w:r w:rsidR="00A57A5C">
        <w:t>,</w:t>
      </w:r>
      <w:r w:rsidR="00A57A5C" w:rsidRPr="000C225C">
        <w:t xml:space="preserve"> water, and</w:t>
      </w:r>
      <w:r w:rsidR="00A57A5C">
        <w:t xml:space="preserve"> </w:t>
      </w:r>
      <w:r w:rsidR="00A57A5C" w:rsidRPr="000C225C">
        <w:t>geothermal</w:t>
      </w:r>
      <w:r w:rsidR="00A57A5C">
        <w:t xml:space="preserve">. </w:t>
      </w:r>
      <w:r w:rsidR="00A57A5C" w:rsidRPr="000C225C">
        <w:t xml:space="preserve">Production of these energy commodities is </w:t>
      </w:r>
      <w:r w:rsidR="00A57A5C" w:rsidRPr="00FE31CC">
        <w:t>not required</w:t>
      </w:r>
      <w:r w:rsidR="00A57A5C" w:rsidRPr="000C225C">
        <w:t xml:space="preserve"> to be reported. </w:t>
      </w:r>
    </w:p>
    <w:p w14:paraId="1B243E7C" w14:textId="3CB6E957" w:rsidR="00A57A5C" w:rsidRPr="000C225C" w:rsidRDefault="00A57A5C" w:rsidP="00A57A5C">
      <w:pPr>
        <w:rPr>
          <w:szCs w:val="20"/>
        </w:rPr>
      </w:pPr>
      <w:r w:rsidRPr="000C225C">
        <w:t xml:space="preserve">Consumption of these energy commodities is only required to be reported </w:t>
      </w:r>
      <w:r w:rsidRPr="000C225C">
        <w:rPr>
          <w:szCs w:val="20"/>
        </w:rPr>
        <w:t>where they are used to generate reportable electricity production</w:t>
      </w:r>
      <w:r>
        <w:rPr>
          <w:szCs w:val="20"/>
        </w:rPr>
        <w:t>, that is,</w:t>
      </w:r>
      <w:r w:rsidRPr="000C225C">
        <w:rPr>
          <w:szCs w:val="20"/>
        </w:rPr>
        <w:t xml:space="preserve"> in a generating unit exceeding the reporting threshold</w:t>
      </w:r>
      <w:r>
        <w:rPr>
          <w:szCs w:val="20"/>
        </w:rPr>
        <w:t xml:space="preserve"> (see</w:t>
      </w:r>
      <w:r w:rsidRPr="000C225C">
        <w:rPr>
          <w:szCs w:val="20"/>
        </w:rPr>
        <w:t xml:space="preserve"> </w:t>
      </w:r>
      <w:r w:rsidR="000772C0">
        <w:fldChar w:fldCharType="begin" w:fldLock="1"/>
      </w:r>
      <w:r w:rsidR="000772C0">
        <w:instrText xml:space="preserve"> REF _Ref199338865 </w:instrText>
      </w:r>
      <w:r w:rsidR="000772C0">
        <w:fldChar w:fldCharType="separate"/>
      </w:r>
      <w:r w:rsidR="000772C0">
        <w:t xml:space="preserve">Table </w:t>
      </w:r>
      <w:r w:rsidR="000772C0">
        <w:rPr>
          <w:noProof/>
        </w:rPr>
        <w:t>10</w:t>
      </w:r>
      <w:r w:rsidR="000772C0">
        <w:fldChar w:fldCharType="end"/>
      </w:r>
      <w:r>
        <w:rPr>
          <w:szCs w:val="20"/>
        </w:rPr>
        <w:t>)</w:t>
      </w:r>
      <w:r w:rsidRPr="000C225C">
        <w:rPr>
          <w:szCs w:val="20"/>
        </w:rPr>
        <w:t>.</w:t>
      </w:r>
    </w:p>
    <w:p w14:paraId="587DD604" w14:textId="5521C4B6" w:rsidR="00A57A5C" w:rsidRPr="000C225C" w:rsidRDefault="00A57A5C" w:rsidP="00A57A5C">
      <w:r w:rsidRPr="000C225C">
        <w:rPr>
          <w:szCs w:val="20"/>
        </w:rPr>
        <w:t>A</w:t>
      </w:r>
      <w:r w:rsidRPr="000C225C">
        <w:t xml:space="preserve"> 100</w:t>
      </w:r>
      <w:r>
        <w:t>%</w:t>
      </w:r>
      <w:r w:rsidRPr="000C225C">
        <w:t xml:space="preserve"> conversion efficiency is assumed between the renewable energy commodity consumed and the electricity produced</w:t>
      </w:r>
      <w:r w:rsidR="001D59A9">
        <w:t xml:space="preserve"> -</w:t>
      </w:r>
      <w:r>
        <w:t xml:space="preserve"> t</w:t>
      </w:r>
      <w:r w:rsidRPr="000C225C">
        <w:t>hey are of equal magnitude. For example, if a wind farm generates 1,000,000</w:t>
      </w:r>
      <w:r w:rsidR="00CB1F3A">
        <w:t> </w:t>
      </w:r>
      <w:r w:rsidRPr="000C225C">
        <w:t>GJ of electricity it is assumed to have consumed 1,000,000</w:t>
      </w:r>
      <w:r w:rsidR="00CB1F3A">
        <w:t> </w:t>
      </w:r>
      <w:r w:rsidRPr="000C225C">
        <w:t xml:space="preserve">GJ of the renewable energy commodity ‘wind energy for electricity generation’. </w:t>
      </w:r>
    </w:p>
    <w:p w14:paraId="6E882F6B" w14:textId="77777777" w:rsidR="00A57A5C" w:rsidRPr="000C225C" w:rsidRDefault="00A57A5C" w:rsidP="00A57A5C">
      <w:r w:rsidRPr="000C225C">
        <w:t xml:space="preserve">Reporting of electricity production and consumption from renewable sources follows the electricity reporting thresholds set out in </w:t>
      </w:r>
      <w:hyperlink w:anchor="_Electricity_production_and" w:history="1">
        <w:r w:rsidRPr="00A30145">
          <w:rPr>
            <w:rStyle w:val="Hyperlink"/>
            <w:rFonts w:asciiTheme="minorHAnsi" w:hAnsiTheme="minorHAnsi"/>
          </w:rPr>
          <w:t>chapter 7.3</w:t>
        </w:r>
      </w:hyperlink>
      <w:r>
        <w:t xml:space="preserve"> </w:t>
      </w:r>
      <w:r w:rsidRPr="000C225C">
        <w:t>of this guideline.</w:t>
      </w:r>
    </w:p>
    <w:p w14:paraId="798FFF26" w14:textId="404E62A8" w:rsidR="00A57A5C" w:rsidRPr="000C225C" w:rsidRDefault="00A57A5C" w:rsidP="00A57A5C">
      <w:r w:rsidRPr="00FE31CC">
        <w:t>Note</w:t>
      </w:r>
      <w:r w:rsidRPr="000C225C">
        <w:t xml:space="preserve">: Reporting electricity production even when below the threshold is allowed, </w:t>
      </w:r>
      <w:r w:rsidR="006B6510">
        <w:t xml:space="preserve">as </w:t>
      </w:r>
      <w:r w:rsidRPr="000C225C">
        <w:t>per 4.19(2)</w:t>
      </w:r>
      <w:r>
        <w:t xml:space="preserve"> </w:t>
      </w:r>
      <w:r w:rsidR="006B6510">
        <w:t xml:space="preserve">of the </w:t>
      </w:r>
      <w:r w:rsidRPr="000C225C">
        <w:t>NGER Regulation</w:t>
      </w:r>
      <w:r w:rsidR="006B6510">
        <w:t>s</w:t>
      </w:r>
      <w:r>
        <w:t xml:space="preserve"> </w:t>
      </w:r>
      <w:r w:rsidR="002D44DF">
        <w:t>–</w:t>
      </w:r>
      <w:r>
        <w:t xml:space="preserve"> see</w:t>
      </w:r>
      <w:r w:rsidRPr="000C225C">
        <w:t xml:space="preserve"> </w:t>
      </w:r>
      <w:hyperlink w:anchor="_Electricity_production_and" w:history="1">
        <w:r w:rsidRPr="00A30145">
          <w:rPr>
            <w:rStyle w:val="Hyperlink"/>
            <w:rFonts w:asciiTheme="minorHAnsi" w:hAnsiTheme="minorHAnsi"/>
          </w:rPr>
          <w:t>chapter 7.3</w:t>
        </w:r>
      </w:hyperlink>
      <w:r w:rsidRPr="000C225C">
        <w:t xml:space="preserve"> of this guideline</w:t>
      </w:r>
      <w:r>
        <w:t xml:space="preserve"> for more information</w:t>
      </w:r>
      <w:r w:rsidRPr="000C225C">
        <w:t xml:space="preserve">. Where a renewable generator chooses to do this, the corresponding consumption of renewable energy commodity </w:t>
      </w:r>
      <w:r>
        <w:t>must</w:t>
      </w:r>
      <w:r w:rsidRPr="000C225C">
        <w:t xml:space="preserve"> also be reported.</w:t>
      </w:r>
    </w:p>
    <w:tbl>
      <w:tblPr>
        <w:tblStyle w:val="CERCallout"/>
        <w:tblW w:w="5000" w:type="pct"/>
        <w:tblLook w:val="04A0" w:firstRow="1" w:lastRow="0" w:firstColumn="1" w:lastColumn="0" w:noHBand="0" w:noVBand="1"/>
      </w:tblPr>
      <w:tblGrid>
        <w:gridCol w:w="9710"/>
      </w:tblGrid>
      <w:tr w:rsidR="00D67F2D" w:rsidRPr="00FF338C" w14:paraId="040A2C49" w14:textId="77777777" w:rsidTr="00BE117F">
        <w:trPr>
          <w:cnfStyle w:val="100000000000" w:firstRow="1" w:lastRow="0" w:firstColumn="0" w:lastColumn="0" w:oddVBand="0" w:evenVBand="0" w:oddHBand="0" w:evenHBand="0" w:firstRowFirstColumn="0" w:firstRowLastColumn="0" w:lastRowFirstColumn="0" w:lastRowLastColumn="0"/>
        </w:trPr>
        <w:tc>
          <w:tcPr>
            <w:tcW w:w="5000" w:type="pct"/>
          </w:tcPr>
          <w:p w14:paraId="243C4892" w14:textId="0E3557F7" w:rsidR="00A57A5C" w:rsidRPr="00DB4B56" w:rsidRDefault="004B0870" w:rsidP="00DB4B56">
            <w:pPr>
              <w:pStyle w:val="Heading3"/>
              <w:ind w:left="0"/>
              <w:rPr>
                <w:b/>
                <w:bCs w:val="0"/>
              </w:rPr>
            </w:pPr>
            <w:bookmarkStart w:id="298" w:name="_Toc526867725"/>
            <w:bookmarkStart w:id="299" w:name="_Toc526869767"/>
            <w:bookmarkStart w:id="300" w:name="_Toc205461481"/>
            <w:r>
              <w:rPr>
                <w:rFonts w:ascii="ZWAdobeF" w:hAnsi="ZWAdobeF" w:cs="ZWAdobeF"/>
                <w:bCs w:val="0"/>
                <w:color w:val="auto"/>
                <w:sz w:val="2"/>
                <w:szCs w:val="2"/>
              </w:rPr>
              <w:t>0B</w:t>
            </w:r>
            <w:r w:rsidR="00A57A5C" w:rsidRPr="00DB4B56">
              <w:rPr>
                <w:b/>
                <w:bCs w:val="0"/>
              </w:rPr>
              <w:t>Example – Consumption of a renewable energy commodity</w:t>
            </w:r>
            <w:bookmarkEnd w:id="298"/>
            <w:bookmarkEnd w:id="299"/>
            <w:bookmarkEnd w:id="300"/>
          </w:p>
          <w:p w14:paraId="37B8D4F1" w14:textId="7BEAA2DC" w:rsidR="00A57A5C" w:rsidRPr="00621859" w:rsidRDefault="00A57A5C" w:rsidP="00621859">
            <w:pPr>
              <w:pStyle w:val="CERbullets"/>
              <w:numPr>
                <w:ilvl w:val="0"/>
                <w:numId w:val="0"/>
              </w:numPr>
              <w:rPr>
                <w:b w:val="0"/>
                <w:bCs/>
              </w:rPr>
            </w:pPr>
            <w:hyperlink w:anchor="_Case_example_2:" w:history="1">
              <w:r w:rsidRPr="00621859">
                <w:rPr>
                  <w:rStyle w:val="Hyperlink"/>
                  <w:rFonts w:asciiTheme="minorHAnsi" w:hAnsiTheme="minorHAnsi"/>
                  <w:b w:val="0"/>
                  <w:bCs/>
                </w:rPr>
                <w:t>Case example 2 in Appendix A</w:t>
              </w:r>
            </w:hyperlink>
            <w:r w:rsidRPr="00621859">
              <w:rPr>
                <w:b w:val="0"/>
                <w:bCs/>
              </w:rPr>
              <w:t>, water energy is consumed for electricity production (see number 3 in</w:t>
            </w:r>
            <w:r w:rsidR="006E2F91">
              <w:rPr>
                <w:b w:val="0"/>
                <w:bCs/>
              </w:rPr>
              <w:t xml:space="preserve"> </w:t>
            </w:r>
            <w:r w:rsidR="006E2F91" w:rsidRPr="006E2F91">
              <w:fldChar w:fldCharType="begin" w:fldLock="1"/>
            </w:r>
            <w:r w:rsidR="006E2F91" w:rsidRPr="007D0A6E">
              <w:instrText xml:space="preserve"> </w:instrText>
            </w:r>
            <w:r w:rsidR="006E2F91" w:rsidRPr="006E2F91">
              <w:rPr>
                <w:b w:val="0"/>
              </w:rPr>
              <w:instrText xml:space="preserve">REF </w:instrText>
            </w:r>
            <w:r w:rsidR="006E2F91" w:rsidRPr="007D0A6E">
              <w:instrText xml:space="preserve">_Ref199340118 </w:instrText>
            </w:r>
            <w:r w:rsidR="006E2F91">
              <w:rPr>
                <w:b w:val="0"/>
              </w:rPr>
              <w:instrText xml:space="preserve"> \* MERGEFORMAT </w:instrText>
            </w:r>
            <w:r w:rsidR="006E2F91" w:rsidRPr="006E2F91">
              <w:fldChar w:fldCharType="separate"/>
            </w:r>
            <w:r w:rsidR="006E2F91" w:rsidRPr="006E2F91">
              <w:t xml:space="preserve">Figure </w:t>
            </w:r>
            <w:r w:rsidR="006E2F91" w:rsidRPr="006E2F91">
              <w:rPr>
                <w:noProof/>
              </w:rPr>
              <w:t>8</w:t>
            </w:r>
            <w:r w:rsidR="006E2F91" w:rsidRPr="006E2F91">
              <w:fldChar w:fldCharType="end"/>
            </w:r>
            <w:r w:rsidRPr="00621859">
              <w:rPr>
                <w:b w:val="0"/>
                <w:bCs/>
              </w:rPr>
              <w:t xml:space="preserve">). </w:t>
            </w:r>
          </w:p>
          <w:p w14:paraId="48CDFB77" w14:textId="2DF67F06" w:rsidR="00A57A5C" w:rsidRPr="00621859" w:rsidRDefault="00A57A5C" w:rsidP="00621859">
            <w:pPr>
              <w:pStyle w:val="CERbullets"/>
              <w:numPr>
                <w:ilvl w:val="0"/>
                <w:numId w:val="0"/>
              </w:numPr>
              <w:rPr>
                <w:b w:val="0"/>
                <w:bCs/>
              </w:rPr>
            </w:pPr>
            <w:r w:rsidRPr="00621859">
              <w:rPr>
                <w:b w:val="0"/>
                <w:bCs/>
              </w:rPr>
              <w:t>In this case, the quantity of water energy consumed is equal to the amount of electricity produced as measured in the terminals of the generating unit and converted to GJ.</w:t>
            </w:r>
          </w:p>
          <w:p w14:paraId="2134DCDF" w14:textId="496D8749" w:rsidR="00A57A5C" w:rsidRPr="00FF338C" w:rsidRDefault="00A57A5C" w:rsidP="00621859">
            <w:pPr>
              <w:pStyle w:val="CERbullets"/>
              <w:numPr>
                <w:ilvl w:val="0"/>
                <w:numId w:val="0"/>
              </w:numPr>
            </w:pPr>
            <w:r w:rsidRPr="00621859">
              <w:rPr>
                <w:b w:val="0"/>
                <w:bCs/>
              </w:rPr>
              <w:t xml:space="preserve">The storing of water at elevation behind a dam (see number 1 in </w:t>
            </w:r>
            <w:r w:rsidR="006E2F91" w:rsidRPr="006E2F91">
              <w:fldChar w:fldCharType="begin" w:fldLock="1"/>
            </w:r>
            <w:r w:rsidR="006E2F91" w:rsidRPr="00974C94">
              <w:rPr>
                <w:b w:val="0"/>
              </w:rPr>
              <w:instrText xml:space="preserve"> </w:instrText>
            </w:r>
            <w:r w:rsidR="006E2F91" w:rsidRPr="006E2F91">
              <w:rPr>
                <w:b w:val="0"/>
              </w:rPr>
              <w:instrText xml:space="preserve">REF </w:instrText>
            </w:r>
            <w:r w:rsidR="006E2F91" w:rsidRPr="00974C94">
              <w:rPr>
                <w:b w:val="0"/>
              </w:rPr>
              <w:instrText xml:space="preserve">_Ref199340118 </w:instrText>
            </w:r>
            <w:r w:rsidR="006E2F91">
              <w:rPr>
                <w:b w:val="0"/>
              </w:rPr>
              <w:instrText xml:space="preserve"> \* MERGEFORMAT </w:instrText>
            </w:r>
            <w:r w:rsidR="006E2F91" w:rsidRPr="006E2F91">
              <w:fldChar w:fldCharType="separate"/>
            </w:r>
            <w:r w:rsidR="006E2F91" w:rsidRPr="00974C94">
              <w:rPr>
                <w:b w:val="0"/>
              </w:rPr>
              <w:t xml:space="preserve">Figure </w:t>
            </w:r>
            <w:r w:rsidR="006E2F91" w:rsidRPr="00974C94">
              <w:rPr>
                <w:b w:val="0"/>
                <w:noProof/>
              </w:rPr>
              <w:t>8</w:t>
            </w:r>
            <w:r w:rsidR="006E2F91" w:rsidRPr="006E2F91">
              <w:fldChar w:fldCharType="end"/>
            </w:r>
            <w:r w:rsidRPr="00621859">
              <w:rPr>
                <w:b w:val="0"/>
                <w:bCs/>
              </w:rPr>
              <w:t>) contains the potential energy to generate electricity. The ‘production’ of this potential energy is not reportable under NGER.</w:t>
            </w:r>
          </w:p>
        </w:tc>
      </w:tr>
    </w:tbl>
    <w:p w14:paraId="6C1B046F" w14:textId="77777777" w:rsidR="00E428E1" w:rsidRDefault="00E428E1" w:rsidP="00A57A5C">
      <w:pPr>
        <w:spacing w:after="0"/>
      </w:pPr>
      <w:bookmarkStart w:id="301" w:name="_Hlk44013014"/>
      <w:bookmarkStart w:id="302" w:name="_Toc512010418"/>
      <w:bookmarkStart w:id="303" w:name="_Toc512339617"/>
    </w:p>
    <w:p w14:paraId="155194C2" w14:textId="1403AD46" w:rsidR="00A57A5C" w:rsidRDefault="00A57A5C" w:rsidP="00A57A5C">
      <w:pPr>
        <w:spacing w:after="0"/>
      </w:pPr>
      <w:r w:rsidRPr="00FE31CC">
        <w:t>Note</w:t>
      </w:r>
      <w:r w:rsidRPr="002C7CAE">
        <w:rPr>
          <w:bCs/>
        </w:rPr>
        <w:t>:</w:t>
      </w:r>
      <w:r>
        <w:t xml:space="preserve"> EERS was updated for the 2019–20 reporting year (and onwards) to automatically report consumption of the relevant energy commodity, which is equal to the reported amount of electricity production from solar, wind, </w:t>
      </w:r>
      <w:r w:rsidR="00621859">
        <w:t>water,</w:t>
      </w:r>
      <w:r>
        <w:t xml:space="preserve"> or geothermal energy. Where electricity production from solar, wind, water or geothermal energy is inputted into EERS, the consumption of solar, wind, water or geothermal energy must not be inputted separately. </w:t>
      </w:r>
      <w:r w:rsidRPr="001362CE">
        <w:t>This is</w:t>
      </w:r>
      <w:r>
        <w:t xml:space="preserve"> described </w:t>
      </w:r>
      <w:r w:rsidRPr="001362CE">
        <w:t>in</w:t>
      </w:r>
      <w:r>
        <w:t xml:space="preserve"> the example below</w:t>
      </w:r>
      <w:r w:rsidRPr="001362CE">
        <w:t>.</w:t>
      </w:r>
      <w:r>
        <w:t xml:space="preserve"> </w:t>
      </w:r>
    </w:p>
    <w:tbl>
      <w:tblPr>
        <w:tblStyle w:val="CERCallout"/>
        <w:tblW w:w="5000" w:type="pct"/>
        <w:tblLook w:val="04A0" w:firstRow="1" w:lastRow="0" w:firstColumn="1" w:lastColumn="0" w:noHBand="0" w:noVBand="1"/>
      </w:tblPr>
      <w:tblGrid>
        <w:gridCol w:w="9710"/>
      </w:tblGrid>
      <w:tr w:rsidR="00D67F2D" w:rsidRPr="007C21EA" w14:paraId="37FE2907" w14:textId="77777777" w:rsidTr="00D66352">
        <w:trPr>
          <w:cnfStyle w:val="100000000000" w:firstRow="1" w:lastRow="0" w:firstColumn="0" w:lastColumn="0" w:oddVBand="0" w:evenVBand="0" w:oddHBand="0" w:evenHBand="0" w:firstRowFirstColumn="0" w:firstRowLastColumn="0" w:lastRowFirstColumn="0" w:lastRowLastColumn="0"/>
        </w:trPr>
        <w:tc>
          <w:tcPr>
            <w:tcW w:w="4708" w:type="pct"/>
          </w:tcPr>
          <w:p w14:paraId="75C49EB4" w14:textId="7DC1C87D" w:rsidR="00A57A5C" w:rsidRPr="00DB4B56" w:rsidRDefault="004B0870" w:rsidP="00DB4B56">
            <w:pPr>
              <w:pStyle w:val="Heading3"/>
              <w:ind w:left="0"/>
              <w:rPr>
                <w:b/>
                <w:bCs w:val="0"/>
              </w:rPr>
            </w:pPr>
            <w:bookmarkStart w:id="304" w:name="_Toc205461482"/>
            <w:bookmarkEnd w:id="301"/>
            <w:r>
              <w:rPr>
                <w:rFonts w:ascii="ZWAdobeF" w:hAnsi="ZWAdobeF" w:cs="ZWAdobeF"/>
                <w:bCs w:val="0"/>
                <w:color w:val="auto"/>
                <w:sz w:val="2"/>
                <w:szCs w:val="2"/>
              </w:rPr>
              <w:t>1B</w:t>
            </w:r>
            <w:r w:rsidR="00A57A5C" w:rsidRPr="00DB4B56">
              <w:rPr>
                <w:b/>
                <w:bCs w:val="0"/>
              </w:rPr>
              <w:t>Example – Reporting production of electricity from a renewable energy commodity</w:t>
            </w:r>
            <w:bookmarkEnd w:id="304"/>
          </w:p>
          <w:p w14:paraId="1309637E" w14:textId="04B9266C" w:rsidR="00A57A5C" w:rsidRPr="00621859" w:rsidRDefault="00A57A5C">
            <w:pPr>
              <w:ind w:left="0"/>
              <w:rPr>
                <w:b w:val="0"/>
                <w:bCs/>
              </w:rPr>
            </w:pPr>
            <w:r w:rsidRPr="00621859">
              <w:rPr>
                <w:b w:val="0"/>
                <w:bCs/>
              </w:rPr>
              <w:t xml:space="preserve">A wind farm generates </w:t>
            </w:r>
            <w:bookmarkStart w:id="305" w:name="OLE_LINK1"/>
            <w:r w:rsidRPr="00621859">
              <w:rPr>
                <w:b w:val="0"/>
                <w:bCs/>
              </w:rPr>
              <w:t>1,000,000</w:t>
            </w:r>
            <w:bookmarkEnd w:id="305"/>
            <w:r w:rsidR="00A453C4">
              <w:rPr>
                <w:b w:val="0"/>
                <w:bCs/>
              </w:rPr>
              <w:t> </w:t>
            </w:r>
            <w:r w:rsidRPr="00621859">
              <w:rPr>
                <w:b w:val="0"/>
                <w:bCs/>
              </w:rPr>
              <w:t>kWh of electricity. The reporter inputs 1,000,000</w:t>
            </w:r>
            <w:r w:rsidR="00A453C4">
              <w:rPr>
                <w:b w:val="0"/>
                <w:bCs/>
              </w:rPr>
              <w:t> </w:t>
            </w:r>
            <w:r w:rsidRPr="00621859">
              <w:rPr>
                <w:b w:val="0"/>
                <w:bCs/>
              </w:rPr>
              <w:t>kWh into EERS as electricity produced using wind generation:</w:t>
            </w:r>
          </w:p>
          <w:p w14:paraId="6A3A953D" w14:textId="77777777" w:rsidR="00A57A5C" w:rsidRPr="00621859" w:rsidRDefault="00A57A5C">
            <w:pPr>
              <w:ind w:left="0"/>
              <w:rPr>
                <w:b w:val="0"/>
                <w:bCs/>
              </w:rPr>
            </w:pPr>
            <w:r w:rsidRPr="00621859">
              <w:rPr>
                <w:b w:val="0"/>
                <w:bCs/>
              </w:rPr>
              <w:t>EERS then records:</w:t>
            </w:r>
          </w:p>
          <w:p w14:paraId="647C3567" w14:textId="64B000AE" w:rsidR="00A57A5C" w:rsidRPr="00621859" w:rsidRDefault="00A57A5C" w:rsidP="00B3330E">
            <w:pPr>
              <w:pStyle w:val="CERbullets"/>
              <w:numPr>
                <w:ilvl w:val="0"/>
                <w:numId w:val="12"/>
              </w:numPr>
              <w:spacing w:beforeAutospacing="0"/>
              <w:rPr>
                <w:b w:val="0"/>
                <w:bCs/>
                <w:szCs w:val="22"/>
              </w:rPr>
            </w:pPr>
            <w:bookmarkStart w:id="306" w:name="_Hlk48051633"/>
            <w:r w:rsidRPr="00621859">
              <w:rPr>
                <w:b w:val="0"/>
                <w:bCs/>
                <w:szCs w:val="22"/>
              </w:rPr>
              <w:t>1,000,000</w:t>
            </w:r>
            <w:r w:rsidR="00A453C4">
              <w:rPr>
                <w:b w:val="0"/>
                <w:bCs/>
                <w:szCs w:val="22"/>
              </w:rPr>
              <w:t> </w:t>
            </w:r>
            <w:r w:rsidRPr="00621859">
              <w:rPr>
                <w:b w:val="0"/>
                <w:bCs/>
                <w:szCs w:val="22"/>
              </w:rPr>
              <w:t>kWh (</w:t>
            </w:r>
            <w:r w:rsidRPr="00621859">
              <w:rPr>
                <w:b w:val="0"/>
                <w:bCs/>
                <w:color w:val="000000"/>
                <w:szCs w:val="22"/>
                <w:lang w:val="en-US"/>
              </w:rPr>
              <w:t>3600</w:t>
            </w:r>
            <w:r w:rsidR="00A453C4">
              <w:rPr>
                <w:b w:val="0"/>
                <w:bCs/>
                <w:color w:val="000000"/>
                <w:szCs w:val="22"/>
                <w:lang w:val="en-US"/>
              </w:rPr>
              <w:t> </w:t>
            </w:r>
            <w:r w:rsidRPr="00621859">
              <w:rPr>
                <w:b w:val="0"/>
                <w:bCs/>
                <w:color w:val="000000"/>
                <w:szCs w:val="22"/>
                <w:lang w:val="en-US"/>
              </w:rPr>
              <w:t>GJ</w:t>
            </w:r>
            <w:r w:rsidRPr="00621859">
              <w:rPr>
                <w:b w:val="0"/>
                <w:bCs/>
                <w:szCs w:val="22"/>
              </w:rPr>
              <w:t>)</w:t>
            </w:r>
            <w:r w:rsidRPr="00621859">
              <w:rPr>
                <w:b w:val="0"/>
                <w:bCs/>
                <w:color w:val="000000"/>
                <w:szCs w:val="22"/>
                <w:lang w:val="en-US"/>
              </w:rPr>
              <w:t xml:space="preserve"> of electricity produced</w:t>
            </w:r>
            <w:r w:rsidRPr="00621859">
              <w:rPr>
                <w:b w:val="0"/>
                <w:bCs/>
                <w:szCs w:val="22"/>
              </w:rPr>
              <w:t xml:space="preserve"> using </w:t>
            </w:r>
            <w:r w:rsidRPr="00621859">
              <w:rPr>
                <w:b w:val="0"/>
                <w:bCs/>
                <w:color w:val="000000"/>
                <w:szCs w:val="22"/>
                <w:lang w:val="en-US"/>
              </w:rPr>
              <w:t>wind</w:t>
            </w:r>
            <w:r w:rsidRPr="00621859">
              <w:rPr>
                <w:b w:val="0"/>
                <w:bCs/>
                <w:szCs w:val="22"/>
              </w:rPr>
              <w:t xml:space="preserve"> generation</w:t>
            </w:r>
          </w:p>
          <w:p w14:paraId="0C198E02" w14:textId="567484EB" w:rsidR="00A57A5C" w:rsidRPr="00621859" w:rsidRDefault="00A57A5C" w:rsidP="00B3330E">
            <w:pPr>
              <w:pStyle w:val="CERbullets"/>
              <w:numPr>
                <w:ilvl w:val="0"/>
                <w:numId w:val="12"/>
              </w:numPr>
              <w:spacing w:beforeAutospacing="0"/>
              <w:rPr>
                <w:b w:val="0"/>
                <w:bCs/>
                <w:szCs w:val="22"/>
              </w:rPr>
            </w:pPr>
            <w:r w:rsidRPr="00621859">
              <w:rPr>
                <w:b w:val="0"/>
                <w:bCs/>
                <w:color w:val="000000"/>
                <w:szCs w:val="22"/>
                <w:lang w:val="en-US"/>
              </w:rPr>
              <w:t>3,600</w:t>
            </w:r>
            <w:r w:rsidR="00A453C4">
              <w:rPr>
                <w:b w:val="0"/>
                <w:bCs/>
                <w:color w:val="000000"/>
                <w:szCs w:val="22"/>
                <w:lang w:val="en-US"/>
              </w:rPr>
              <w:t> </w:t>
            </w:r>
            <w:r w:rsidRPr="00621859">
              <w:rPr>
                <w:b w:val="0"/>
                <w:bCs/>
                <w:color w:val="000000"/>
                <w:szCs w:val="22"/>
                <w:lang w:val="en-US"/>
              </w:rPr>
              <w:t>GJ of consumption of the primary energy commodity ‘wind energy for electricity generation’.</w:t>
            </w:r>
          </w:p>
          <w:bookmarkEnd w:id="306"/>
          <w:p w14:paraId="4B69912F" w14:textId="2AD017F4" w:rsidR="00A57A5C" w:rsidRPr="00621859" w:rsidRDefault="00A57A5C">
            <w:pPr>
              <w:ind w:left="0"/>
              <w:rPr>
                <w:b w:val="0"/>
                <w:bCs/>
              </w:rPr>
            </w:pPr>
            <w:r w:rsidRPr="00621859">
              <w:rPr>
                <w:b w:val="0"/>
                <w:bCs/>
              </w:rPr>
              <w:t xml:space="preserve">These values will be </w:t>
            </w:r>
            <w:r w:rsidR="00382782">
              <w:rPr>
                <w:b w:val="0"/>
                <w:bCs/>
              </w:rPr>
              <w:t>automatically</w:t>
            </w:r>
            <w:r w:rsidRPr="00621859">
              <w:rPr>
                <w:b w:val="0"/>
                <w:bCs/>
              </w:rPr>
              <w:t xml:space="preserve"> included in the NGER report generated by EERS</w:t>
            </w:r>
            <w:r w:rsidR="006F7D07">
              <w:rPr>
                <w:b w:val="0"/>
                <w:bCs/>
              </w:rPr>
              <w:t xml:space="preserve"> and should not be deleted</w:t>
            </w:r>
            <w:r w:rsidRPr="00621859">
              <w:rPr>
                <w:b w:val="0"/>
                <w:bCs/>
              </w:rPr>
              <w:t>.</w:t>
            </w:r>
          </w:p>
          <w:p w14:paraId="2BF3833B" w14:textId="5F0254F9" w:rsidR="00A57A5C" w:rsidRPr="00222962" w:rsidRDefault="00A57A5C">
            <w:pPr>
              <w:ind w:left="0"/>
            </w:pPr>
            <w:r w:rsidRPr="00621859">
              <w:rPr>
                <w:b w:val="0"/>
                <w:bCs/>
              </w:rPr>
              <w:t xml:space="preserve">The reporter </w:t>
            </w:r>
            <w:r w:rsidR="00E96D5F">
              <w:rPr>
                <w:b w:val="0"/>
                <w:bCs/>
              </w:rPr>
              <w:t>is not required to</w:t>
            </w:r>
            <w:r w:rsidRPr="00621859">
              <w:rPr>
                <w:b w:val="0"/>
                <w:bCs/>
              </w:rPr>
              <w:t xml:space="preserve"> manually report consumption of ‘wind energy for electricity generation’, because it </w:t>
            </w:r>
            <w:r w:rsidR="00E96D5F">
              <w:rPr>
                <w:b w:val="0"/>
                <w:bCs/>
              </w:rPr>
              <w:t>is</w:t>
            </w:r>
            <w:r w:rsidRPr="00621859">
              <w:rPr>
                <w:b w:val="0"/>
                <w:bCs/>
              </w:rPr>
              <w:t xml:space="preserve"> automatically recorded by EERS</w:t>
            </w:r>
            <w:r w:rsidR="008D4C59">
              <w:rPr>
                <w:b w:val="0"/>
                <w:bCs/>
              </w:rPr>
              <w:t xml:space="preserve"> when </w:t>
            </w:r>
            <w:r w:rsidR="00D34649">
              <w:rPr>
                <w:b w:val="0"/>
                <w:bCs/>
              </w:rPr>
              <w:t>the</w:t>
            </w:r>
            <w:r w:rsidR="008D4C59">
              <w:rPr>
                <w:b w:val="0"/>
                <w:bCs/>
              </w:rPr>
              <w:t xml:space="preserve"> value of </w:t>
            </w:r>
            <w:r w:rsidR="00A10673">
              <w:rPr>
                <w:b w:val="0"/>
                <w:bCs/>
              </w:rPr>
              <w:t xml:space="preserve">electricity production is </w:t>
            </w:r>
            <w:r w:rsidR="00D0528F">
              <w:rPr>
                <w:b w:val="0"/>
                <w:bCs/>
              </w:rPr>
              <w:t>reported</w:t>
            </w:r>
            <w:r w:rsidRPr="00621859">
              <w:rPr>
                <w:b w:val="0"/>
                <w:bCs/>
              </w:rPr>
              <w:t>.</w:t>
            </w:r>
          </w:p>
        </w:tc>
      </w:tr>
    </w:tbl>
    <w:p w14:paraId="2C78CD08" w14:textId="24D2BA80" w:rsidR="00A57A5C" w:rsidRPr="00B07C42" w:rsidRDefault="00A57A5C" w:rsidP="00D2141E">
      <w:pPr>
        <w:spacing w:before="240"/>
      </w:pPr>
      <w:r>
        <w:t>See</w:t>
      </w:r>
      <w:r w:rsidR="008D2087">
        <w:t xml:space="preserve"> </w:t>
      </w:r>
      <w:r w:rsidR="008D2087" w:rsidRPr="008D2087">
        <w:t>'Report consumption of renewable energy commodities for electricity generation'</w:t>
      </w:r>
      <w:r w:rsidR="008D2087">
        <w:t xml:space="preserve"> in the</w:t>
      </w:r>
      <w:r>
        <w:t xml:space="preserve"> </w:t>
      </w:r>
      <w:hyperlink r:id="rId58" w:tooltip="A link to the Quick help topics guide on the Clean Energy Regulator website" w:history="1">
        <w:r w:rsidR="008D2087">
          <w:rPr>
            <w:rStyle w:val="Hyperlink"/>
            <w:rFonts w:asciiTheme="minorHAnsi" w:hAnsiTheme="minorHAnsi"/>
            <w:szCs w:val="22"/>
          </w:rPr>
          <w:t>NGER quick help topics</w:t>
        </w:r>
      </w:hyperlink>
      <w:r w:rsidR="004B0870">
        <w:rPr>
          <w:rFonts w:ascii="ZWAdobeF" w:hAnsi="ZWAdobeF" w:cs="ZWAdobeF"/>
          <w:color w:val="auto"/>
          <w:sz w:val="2"/>
          <w:szCs w:val="2"/>
        </w:rPr>
        <w:t>33F</w:t>
      </w:r>
      <w:r>
        <w:rPr>
          <w:rStyle w:val="FootnoteReference"/>
        </w:rPr>
        <w:footnoteReference w:id="35"/>
      </w:r>
      <w:r w:rsidRPr="00872A70">
        <w:t xml:space="preserve"> </w:t>
      </w:r>
      <w:r w:rsidR="002973A0">
        <w:t>f</w:t>
      </w:r>
      <w:r w:rsidRPr="00872A70">
        <w:t xml:space="preserve">or more information </w:t>
      </w:r>
      <w:r w:rsidR="006B38F8">
        <w:t>on</w:t>
      </w:r>
      <w:r>
        <w:t xml:space="preserve"> reporting </w:t>
      </w:r>
      <w:r w:rsidRPr="008F2D8A">
        <w:rPr>
          <w:color w:val="000000"/>
          <w:szCs w:val="22"/>
        </w:rPr>
        <w:t>solar, wind, water and geothermal energy commodities</w:t>
      </w:r>
      <w:r>
        <w:rPr>
          <w:color w:val="000000"/>
          <w:szCs w:val="22"/>
        </w:rPr>
        <w:t xml:space="preserve"> in EERS</w:t>
      </w:r>
      <w:r w:rsidRPr="00872A70">
        <w:t>.</w:t>
      </w:r>
    </w:p>
    <w:p w14:paraId="315E7D6E" w14:textId="77777777" w:rsidR="00A57A5C" w:rsidRPr="00834FAF" w:rsidRDefault="00A57A5C" w:rsidP="00B3330E">
      <w:pPr>
        <w:pStyle w:val="Heading3"/>
        <w:numPr>
          <w:ilvl w:val="2"/>
          <w:numId w:val="3"/>
        </w:numPr>
        <w:ind w:left="709" w:hanging="709"/>
        <w:rPr>
          <w:szCs w:val="25"/>
          <w:lang w:val="en-GB"/>
        </w:rPr>
      </w:pPr>
      <w:bookmarkStart w:id="307" w:name="_Toc205461483"/>
      <w:r w:rsidRPr="00834FAF">
        <w:rPr>
          <w:lang w:val="en-GB"/>
        </w:rPr>
        <w:t>Reporting of NGER data alongside RET data</w:t>
      </w:r>
      <w:bookmarkEnd w:id="302"/>
      <w:bookmarkEnd w:id="303"/>
      <w:bookmarkEnd w:id="307"/>
    </w:p>
    <w:p w14:paraId="10FEB06B" w14:textId="6CA04C12" w:rsidR="00A57A5C" w:rsidRPr="00834FAF" w:rsidRDefault="00A57A5C" w:rsidP="00A57A5C">
      <w:r w:rsidRPr="00834FAF">
        <w:t>Under the Renewable Energy Target (RET), liable entities are classified as an individual or company who is the first person to acquire electricity on a network that has an installed capacity of 100</w:t>
      </w:r>
      <w:r w:rsidR="00A453C4">
        <w:t> </w:t>
      </w:r>
      <w:r>
        <w:t>MW</w:t>
      </w:r>
      <w:r w:rsidRPr="00834FAF">
        <w:t xml:space="preserve"> or more. Liable entities are required to lodge an energy acquisition statement each year, which includes reporting the amount of liable electricity acquired. </w:t>
      </w:r>
    </w:p>
    <w:p w14:paraId="15C2A8FA" w14:textId="29781C28" w:rsidR="00A57A5C" w:rsidRDefault="4FAA8C0D" w:rsidP="00A57A5C">
      <w:r>
        <w:t>CER</w:t>
      </w:r>
      <w:r w:rsidR="00A57A5C" w:rsidRPr="00834FAF">
        <w:t xml:space="preserve"> expects</w:t>
      </w:r>
      <w:r w:rsidR="00A57A5C">
        <w:t xml:space="preserve"> that </w:t>
      </w:r>
      <w:r w:rsidR="00A57A5C" w:rsidRPr="00834FAF">
        <w:t>where electricity acquired from a network is reported under both the NGER and RET schemes, RET liable entities and corresponding NGER facilities have consistent reporting.</w:t>
      </w:r>
    </w:p>
    <w:p w14:paraId="67D949D2" w14:textId="603C31C4" w:rsidR="00A57A5C" w:rsidRPr="00FF338C" w:rsidRDefault="00A57A5C" w:rsidP="00DB4B56">
      <w:pPr>
        <w:pStyle w:val="Heading2"/>
        <w:numPr>
          <w:ilvl w:val="1"/>
          <w:numId w:val="3"/>
        </w:numPr>
        <w:ind w:left="426" w:hanging="426"/>
      </w:pPr>
      <w:bookmarkStart w:id="308" w:name="_Toc106705771"/>
      <w:bookmarkStart w:id="309" w:name="_Toc205461484"/>
      <w:r w:rsidRPr="00FF338C">
        <w:t>Energy consumption from fuel use</w:t>
      </w:r>
      <w:bookmarkEnd w:id="308"/>
      <w:bookmarkEnd w:id="309"/>
    </w:p>
    <w:p w14:paraId="15F1F6AD" w14:textId="77777777" w:rsidR="00A57A5C" w:rsidRPr="00FF338C" w:rsidRDefault="00A57A5C" w:rsidP="00A57A5C">
      <w:pPr>
        <w:pStyle w:val="Body"/>
        <w:ind w:left="0"/>
        <w:rPr>
          <w:rFonts w:asciiTheme="minorHAnsi" w:eastAsia="Cambria" w:hAnsiTheme="minorHAnsi" w:cstheme="minorHAnsi"/>
          <w:color w:val="000000" w:themeColor="text1"/>
          <w:sz w:val="22"/>
          <w:szCs w:val="20"/>
        </w:rPr>
      </w:pPr>
      <w:r w:rsidRPr="00FF338C">
        <w:rPr>
          <w:rFonts w:asciiTheme="minorHAnsi" w:eastAsia="Cambria" w:hAnsiTheme="minorHAnsi" w:cstheme="minorHAnsi"/>
          <w:color w:val="000000" w:themeColor="text1"/>
          <w:sz w:val="22"/>
          <w:szCs w:val="20"/>
        </w:rPr>
        <w:t xml:space="preserve">Consumption of fuels must be reported if </w:t>
      </w:r>
      <w:r w:rsidRPr="00FF338C">
        <w:rPr>
          <w:rFonts w:asciiTheme="minorHAnsi" w:eastAsia="Cambria" w:hAnsiTheme="minorHAnsi"/>
          <w:sz w:val="22"/>
          <w:szCs w:val="22"/>
        </w:rPr>
        <w:t xml:space="preserve">the </w:t>
      </w:r>
      <w:r w:rsidRPr="00FF338C">
        <w:rPr>
          <w:rFonts w:asciiTheme="minorHAnsi" w:eastAsia="Cambria" w:hAnsiTheme="minorHAnsi" w:cstheme="minorHAnsi"/>
          <w:color w:val="000000" w:themeColor="text1"/>
          <w:sz w:val="22"/>
          <w:szCs w:val="20"/>
        </w:rPr>
        <w:t xml:space="preserve">quantity exceeds the thresholds listed </w:t>
      </w:r>
      <w:r>
        <w:rPr>
          <w:rFonts w:asciiTheme="minorHAnsi" w:eastAsia="Cambria" w:hAnsiTheme="minorHAnsi" w:cstheme="minorHAnsi"/>
          <w:color w:val="000000" w:themeColor="text1"/>
          <w:sz w:val="22"/>
          <w:szCs w:val="20"/>
        </w:rPr>
        <w:t>below</w:t>
      </w:r>
      <w:r w:rsidRPr="00FF338C">
        <w:rPr>
          <w:rFonts w:asciiTheme="minorHAnsi" w:eastAsia="Cambria" w:hAnsiTheme="minorHAnsi" w:cstheme="minorHAnsi"/>
          <w:color w:val="000000" w:themeColor="text1"/>
          <w:sz w:val="22"/>
          <w:szCs w:val="20"/>
        </w:rPr>
        <w:t xml:space="preserve">. Fuel use in electricity generation would typically be the largest source, but minor instances of fuel use </w:t>
      </w:r>
      <w:r w:rsidRPr="00FF338C" w:rsidDel="00E22CA3">
        <w:rPr>
          <w:rFonts w:asciiTheme="minorHAnsi" w:eastAsia="Cambria" w:hAnsiTheme="minorHAnsi" w:cstheme="minorHAnsi"/>
          <w:color w:val="000000" w:themeColor="text1"/>
          <w:sz w:val="22"/>
          <w:szCs w:val="20"/>
        </w:rPr>
        <w:t xml:space="preserve">should </w:t>
      </w:r>
      <w:r w:rsidRPr="00FF338C">
        <w:rPr>
          <w:rFonts w:asciiTheme="minorHAnsi" w:eastAsia="Cambria" w:hAnsiTheme="minorHAnsi" w:cstheme="minorHAnsi"/>
          <w:color w:val="000000" w:themeColor="text1"/>
          <w:sz w:val="22"/>
          <w:szCs w:val="20"/>
        </w:rPr>
        <w:t xml:space="preserve">also be considered. </w:t>
      </w:r>
    </w:p>
    <w:p w14:paraId="7E910836" w14:textId="77777777" w:rsidR="00A57A5C" w:rsidRDefault="00A57A5C" w:rsidP="00A57A5C">
      <w:pPr>
        <w:spacing w:after="0"/>
        <w:rPr>
          <w:i/>
          <w:iCs/>
          <w:color w:val="454743" w:themeColor="text2"/>
          <w:sz w:val="18"/>
          <w:szCs w:val="18"/>
        </w:rPr>
      </w:pPr>
      <w:bookmarkStart w:id="310" w:name="_Ref511913094"/>
      <w:bookmarkStart w:id="311" w:name="_Toc506798161"/>
      <w:r>
        <w:br w:type="page"/>
      </w:r>
    </w:p>
    <w:bookmarkEnd w:id="310"/>
    <w:bookmarkEnd w:id="311"/>
    <w:p w14:paraId="084C06CB" w14:textId="5821CECC" w:rsidR="002236D4" w:rsidRDefault="002236D4" w:rsidP="00E9388B">
      <w:pPr>
        <w:pStyle w:val="Caption"/>
        <w:keepNext/>
      </w:pPr>
      <w:r>
        <w:t xml:space="preserve">Table </w:t>
      </w:r>
      <w:r>
        <w:fldChar w:fldCharType="begin"/>
      </w:r>
      <w:r>
        <w:instrText xml:space="preserve"> SEQ Table \* ARABIC </w:instrText>
      </w:r>
      <w:r>
        <w:fldChar w:fldCharType="separate"/>
      </w:r>
      <w:r w:rsidR="004B0870">
        <w:rPr>
          <w:noProof/>
        </w:rPr>
        <w:t>14</w:t>
      </w:r>
      <w:r>
        <w:fldChar w:fldCharType="end"/>
      </w:r>
      <w:r>
        <w:t xml:space="preserve"> –</w:t>
      </w:r>
      <w:r>
        <w:rPr>
          <w:noProof/>
        </w:rPr>
        <w:t xml:space="preserve"> Thresholds for energy reporting from fuel use.</w:t>
      </w:r>
    </w:p>
    <w:tbl>
      <w:tblPr>
        <w:tblStyle w:val="CERTable"/>
        <w:tblW w:w="5000" w:type="pct"/>
        <w:tblLook w:val="04A0" w:firstRow="1" w:lastRow="0" w:firstColumn="1" w:lastColumn="0" w:noHBand="0" w:noVBand="1"/>
      </w:tblPr>
      <w:tblGrid>
        <w:gridCol w:w="2213"/>
        <w:gridCol w:w="7527"/>
      </w:tblGrid>
      <w:tr w:rsidR="00A57A5C" w:rsidRPr="00FF338C" w14:paraId="4F1F3BA4" w14:textId="77777777" w:rsidTr="00D11113">
        <w:trPr>
          <w:cnfStyle w:val="100000000000" w:firstRow="1" w:lastRow="0" w:firstColumn="0" w:lastColumn="0" w:oddVBand="0" w:evenVBand="0" w:oddHBand="0" w:evenHBand="0" w:firstRowFirstColumn="0" w:firstRowLastColumn="0" w:lastRowFirstColumn="0" w:lastRowLastColumn="0"/>
          <w:trHeight w:val="259"/>
          <w:tblHeader/>
        </w:trPr>
        <w:tc>
          <w:tcPr>
            <w:cnfStyle w:val="001000000000" w:firstRow="0" w:lastRow="0" w:firstColumn="1" w:lastColumn="0" w:oddVBand="0" w:evenVBand="0" w:oddHBand="0" w:evenHBand="0" w:firstRowFirstColumn="0" w:firstRowLastColumn="0" w:lastRowFirstColumn="0" w:lastRowLastColumn="0"/>
            <w:tcW w:w="1136" w:type="pct"/>
          </w:tcPr>
          <w:p w14:paraId="7CAB1CC1" w14:textId="272BF8B4" w:rsidR="00A57A5C" w:rsidRPr="00FF338C" w:rsidRDefault="00A57A5C">
            <w:pPr>
              <w:pStyle w:val="Body"/>
              <w:spacing w:before="37" w:after="75"/>
              <w:ind w:left="0"/>
              <w:rPr>
                <w:rFonts w:asciiTheme="minorHAnsi" w:hAnsiTheme="minorHAnsi"/>
                <w:sz w:val="22"/>
              </w:rPr>
            </w:pPr>
            <w:r w:rsidRPr="00FF338C">
              <w:rPr>
                <w:rFonts w:asciiTheme="minorHAnsi" w:hAnsiTheme="minorHAnsi"/>
                <w:sz w:val="22"/>
              </w:rPr>
              <w:t>Energy type</w:t>
            </w:r>
          </w:p>
        </w:tc>
        <w:tc>
          <w:tcPr>
            <w:tcW w:w="3864" w:type="pct"/>
          </w:tcPr>
          <w:p w14:paraId="4B7B25BA" w14:textId="3545E162" w:rsidR="00A57A5C" w:rsidRPr="00FF338C" w:rsidRDefault="00A57A5C">
            <w:pPr>
              <w:pStyle w:val="Body"/>
              <w:spacing w:before="37" w:after="75"/>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rPr>
            </w:pPr>
            <w:r w:rsidRPr="00FF338C">
              <w:rPr>
                <w:rFonts w:asciiTheme="minorHAnsi" w:hAnsiTheme="minorHAnsi"/>
                <w:sz w:val="22"/>
              </w:rPr>
              <w:t xml:space="preserve">Consumption by combustion </w:t>
            </w:r>
            <w:r w:rsidR="00624776">
              <w:rPr>
                <w:rFonts w:asciiTheme="minorHAnsi" w:hAnsiTheme="minorHAnsi"/>
                <w:sz w:val="22"/>
              </w:rPr>
              <w:br/>
            </w:r>
            <w:r w:rsidRPr="00FF338C">
              <w:rPr>
                <w:rFonts w:asciiTheme="minorHAnsi" w:hAnsiTheme="minorHAnsi"/>
                <w:sz w:val="22"/>
              </w:rPr>
              <w:t>(apply to each instance of the combustion source)</w:t>
            </w:r>
          </w:p>
        </w:tc>
      </w:tr>
      <w:tr w:rsidR="00A57A5C" w:rsidRPr="00FF338C" w14:paraId="5CFE199D" w14:textId="77777777" w:rsidTr="00BE117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36" w:type="pct"/>
          </w:tcPr>
          <w:p w14:paraId="7C3FE541" w14:textId="77777777" w:rsidR="00A57A5C" w:rsidRPr="00FF338C" w:rsidRDefault="00A57A5C">
            <w:pPr>
              <w:pStyle w:val="Body"/>
              <w:spacing w:before="37" w:after="75"/>
              <w:ind w:left="0"/>
              <w:rPr>
                <w:rFonts w:asciiTheme="minorHAnsi" w:hAnsiTheme="minorHAnsi"/>
                <w:sz w:val="22"/>
              </w:rPr>
            </w:pPr>
            <w:r w:rsidRPr="00FF338C">
              <w:rPr>
                <w:rFonts w:asciiTheme="minorHAnsi" w:hAnsiTheme="minorHAnsi"/>
                <w:sz w:val="22"/>
              </w:rPr>
              <w:t>Solid fuel</w:t>
            </w:r>
          </w:p>
        </w:tc>
        <w:tc>
          <w:tcPr>
            <w:tcW w:w="3864" w:type="pct"/>
          </w:tcPr>
          <w:p w14:paraId="3A4AF748" w14:textId="06FD1305" w:rsidR="00A57A5C" w:rsidRPr="00FF338C" w:rsidRDefault="00624776">
            <w:pPr>
              <w:pStyle w:val="Body"/>
              <w:spacing w:before="37" w:after="75"/>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F338C">
              <w:rPr>
                <w:rFonts w:asciiTheme="minorHAnsi" w:hAnsiTheme="minorHAnsi"/>
                <w:sz w:val="22"/>
              </w:rPr>
              <w:t>1</w:t>
            </w:r>
            <w:r>
              <w:rPr>
                <w:rFonts w:asciiTheme="minorHAnsi" w:hAnsiTheme="minorHAnsi"/>
                <w:sz w:val="22"/>
              </w:rPr>
              <w:t> </w:t>
            </w:r>
            <w:r w:rsidRPr="00FF338C">
              <w:rPr>
                <w:rFonts w:asciiTheme="minorHAnsi" w:hAnsiTheme="minorHAnsi"/>
                <w:sz w:val="22"/>
              </w:rPr>
              <w:t>t</w:t>
            </w:r>
          </w:p>
        </w:tc>
      </w:tr>
      <w:tr w:rsidR="00A57A5C" w:rsidRPr="00FF338C" w14:paraId="31EBFC1C" w14:textId="77777777" w:rsidTr="00BE117F">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36" w:type="pct"/>
            <w:tcBorders>
              <w:bottom w:val="single" w:sz="8" w:space="0" w:color="E8E8E8" w:themeColor="background2"/>
            </w:tcBorders>
          </w:tcPr>
          <w:p w14:paraId="1B299499" w14:textId="77777777" w:rsidR="00A57A5C" w:rsidRPr="00FF338C" w:rsidRDefault="00A57A5C">
            <w:pPr>
              <w:pStyle w:val="Body"/>
              <w:spacing w:before="37" w:after="75"/>
              <w:ind w:left="0"/>
              <w:rPr>
                <w:rFonts w:asciiTheme="minorHAnsi" w:hAnsiTheme="minorHAnsi"/>
                <w:sz w:val="22"/>
              </w:rPr>
            </w:pPr>
            <w:r w:rsidRPr="00FF338C">
              <w:rPr>
                <w:rFonts w:asciiTheme="minorHAnsi" w:hAnsiTheme="minorHAnsi"/>
                <w:sz w:val="22"/>
              </w:rPr>
              <w:t xml:space="preserve">Liquid fuel </w:t>
            </w:r>
          </w:p>
        </w:tc>
        <w:tc>
          <w:tcPr>
            <w:tcW w:w="3864" w:type="pct"/>
            <w:tcBorders>
              <w:bottom w:val="single" w:sz="8" w:space="0" w:color="E8E8E8" w:themeColor="background2"/>
            </w:tcBorders>
          </w:tcPr>
          <w:p w14:paraId="25366F06" w14:textId="6277265C" w:rsidR="00A57A5C" w:rsidRPr="00FF338C" w:rsidRDefault="00A57A5C">
            <w:pPr>
              <w:pStyle w:val="Body"/>
              <w:spacing w:before="37" w:after="75"/>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rPr>
            </w:pPr>
            <w:r w:rsidRPr="00FF338C">
              <w:rPr>
                <w:rFonts w:asciiTheme="minorHAnsi" w:hAnsiTheme="minorHAnsi"/>
                <w:sz w:val="22"/>
              </w:rPr>
              <w:t>1</w:t>
            </w:r>
            <w:r w:rsidR="00624776">
              <w:rPr>
                <w:rFonts w:asciiTheme="minorHAnsi" w:hAnsiTheme="minorHAnsi"/>
                <w:sz w:val="22"/>
              </w:rPr>
              <w:t> </w:t>
            </w:r>
            <w:proofErr w:type="spellStart"/>
            <w:r w:rsidR="00624776">
              <w:rPr>
                <w:rFonts w:asciiTheme="minorHAnsi" w:hAnsiTheme="minorHAnsi"/>
                <w:sz w:val="22"/>
              </w:rPr>
              <w:t>kL</w:t>
            </w:r>
            <w:proofErr w:type="spellEnd"/>
            <w:r w:rsidRPr="00FF338C">
              <w:rPr>
                <w:rFonts w:asciiTheme="minorHAnsi" w:hAnsiTheme="minorHAnsi"/>
                <w:sz w:val="22"/>
              </w:rPr>
              <w:t xml:space="preserve"> or</w:t>
            </w:r>
            <w:r>
              <w:rPr>
                <w:rFonts w:asciiTheme="minorHAnsi" w:hAnsiTheme="minorHAnsi"/>
                <w:sz w:val="22"/>
              </w:rPr>
              <w:t xml:space="preserve"> </w:t>
            </w:r>
            <w:r w:rsidRPr="00FF338C">
              <w:rPr>
                <w:rFonts w:asciiTheme="minorHAnsi" w:hAnsiTheme="minorHAnsi"/>
                <w:sz w:val="22"/>
              </w:rPr>
              <w:t>5</w:t>
            </w:r>
            <w:r w:rsidR="00624776">
              <w:rPr>
                <w:rFonts w:asciiTheme="minorHAnsi" w:hAnsiTheme="minorHAnsi"/>
                <w:sz w:val="22"/>
              </w:rPr>
              <w:t> </w:t>
            </w:r>
            <w:proofErr w:type="spellStart"/>
            <w:r w:rsidR="00624776">
              <w:rPr>
                <w:rFonts w:asciiTheme="minorHAnsi" w:hAnsiTheme="minorHAnsi"/>
                <w:sz w:val="22"/>
              </w:rPr>
              <w:t>kL</w:t>
            </w:r>
            <w:proofErr w:type="spellEnd"/>
            <w:r w:rsidRPr="00FF338C">
              <w:rPr>
                <w:rFonts w:asciiTheme="minorHAnsi" w:hAnsiTheme="minorHAnsi"/>
                <w:sz w:val="22"/>
              </w:rPr>
              <w:t xml:space="preserve"> for petroleum</w:t>
            </w:r>
            <w:r>
              <w:rPr>
                <w:rFonts w:asciiTheme="minorHAnsi" w:hAnsiTheme="minorHAnsi"/>
                <w:sz w:val="22"/>
              </w:rPr>
              <w:t>-based</w:t>
            </w:r>
            <w:r w:rsidRPr="00FF338C">
              <w:rPr>
                <w:rFonts w:asciiTheme="minorHAnsi" w:hAnsiTheme="minorHAnsi"/>
                <w:sz w:val="22"/>
              </w:rPr>
              <w:t xml:space="preserve"> oils (other than petroleum-based oils used as fuels) and petroleum-based greases</w:t>
            </w:r>
          </w:p>
        </w:tc>
      </w:tr>
      <w:tr w:rsidR="00503817" w:rsidRPr="00FF338C" w14:paraId="66D1EB40" w14:textId="77777777" w:rsidTr="00BE117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136" w:type="pct"/>
            <w:tcBorders>
              <w:top w:val="single" w:sz="8" w:space="0" w:color="E8E8E8" w:themeColor="background2"/>
              <w:bottom w:val="single" w:sz="4" w:space="0" w:color="FCBA5C" w:themeColor="accent2"/>
            </w:tcBorders>
          </w:tcPr>
          <w:p w14:paraId="453397DC" w14:textId="77777777" w:rsidR="00A57A5C" w:rsidRPr="00FF338C" w:rsidRDefault="00A57A5C">
            <w:pPr>
              <w:pStyle w:val="Body"/>
              <w:spacing w:before="37" w:after="75"/>
              <w:ind w:left="0"/>
              <w:rPr>
                <w:rFonts w:asciiTheme="minorHAnsi" w:hAnsiTheme="minorHAnsi"/>
                <w:sz w:val="22"/>
              </w:rPr>
            </w:pPr>
            <w:r w:rsidRPr="00FF338C">
              <w:rPr>
                <w:rFonts w:asciiTheme="minorHAnsi" w:hAnsiTheme="minorHAnsi"/>
                <w:sz w:val="22"/>
              </w:rPr>
              <w:t>Gaseous fuel</w:t>
            </w:r>
          </w:p>
        </w:tc>
        <w:tc>
          <w:tcPr>
            <w:tcW w:w="3864" w:type="pct"/>
            <w:tcBorders>
              <w:top w:val="single" w:sz="8" w:space="0" w:color="E8E8E8" w:themeColor="background2"/>
              <w:bottom w:val="single" w:sz="4" w:space="0" w:color="FCBA5C" w:themeColor="accent2"/>
            </w:tcBorders>
          </w:tcPr>
          <w:p w14:paraId="6755BD05" w14:textId="62A8CEA4" w:rsidR="00A57A5C" w:rsidRPr="00FF338C" w:rsidRDefault="00624776">
            <w:pPr>
              <w:pStyle w:val="Body"/>
              <w:spacing w:before="37" w:after="75"/>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rPr>
            </w:pPr>
            <w:r w:rsidRPr="00FF338C">
              <w:rPr>
                <w:rFonts w:asciiTheme="minorHAnsi" w:hAnsiTheme="minorHAnsi"/>
                <w:sz w:val="22"/>
              </w:rPr>
              <w:t>1,000</w:t>
            </w:r>
            <w:r>
              <w:rPr>
                <w:rFonts w:asciiTheme="minorHAnsi" w:hAnsiTheme="minorHAnsi"/>
                <w:sz w:val="22"/>
              </w:rPr>
              <w:t> m</w:t>
            </w:r>
            <w:r>
              <w:rPr>
                <w:rFonts w:asciiTheme="minorHAnsi" w:hAnsiTheme="minorHAnsi"/>
                <w:sz w:val="22"/>
                <w:vertAlign w:val="superscript"/>
              </w:rPr>
              <w:t>3</w:t>
            </w:r>
          </w:p>
        </w:tc>
      </w:tr>
    </w:tbl>
    <w:p w14:paraId="1E3AEF69" w14:textId="77777777" w:rsidR="00A57A5C" w:rsidRDefault="00A57A5C" w:rsidP="00A57A5C">
      <w:pPr>
        <w:pStyle w:val="Body"/>
        <w:ind w:left="0"/>
        <w:rPr>
          <w:rFonts w:asciiTheme="minorHAnsi" w:hAnsiTheme="minorHAnsi"/>
          <w:sz w:val="22"/>
        </w:rPr>
      </w:pPr>
      <w:bookmarkStart w:id="312" w:name="_Toc506446756"/>
      <w:bookmarkStart w:id="313" w:name="_Toc506470702"/>
      <w:bookmarkStart w:id="314" w:name="_Toc506537346"/>
      <w:bookmarkStart w:id="315" w:name="_Toc506798120"/>
      <w:bookmarkStart w:id="316" w:name="_Toc506446757"/>
      <w:bookmarkStart w:id="317" w:name="_Toc506470703"/>
      <w:bookmarkStart w:id="318" w:name="_Toc506537347"/>
      <w:bookmarkStart w:id="319" w:name="_Toc506798121"/>
      <w:bookmarkStart w:id="320" w:name="_Toc506446760"/>
      <w:bookmarkStart w:id="321" w:name="_Toc506470706"/>
      <w:bookmarkStart w:id="322" w:name="_Toc506537350"/>
      <w:bookmarkStart w:id="323" w:name="_Toc506798124"/>
      <w:bookmarkStart w:id="324" w:name="_Toc506446764"/>
      <w:bookmarkStart w:id="325" w:name="_Toc506470710"/>
      <w:bookmarkStart w:id="326" w:name="_Toc506537354"/>
      <w:bookmarkStart w:id="327" w:name="_Toc506798128"/>
      <w:bookmarkStart w:id="328" w:name="_Toc506446765"/>
      <w:bookmarkStart w:id="329" w:name="_Toc506470711"/>
      <w:bookmarkStart w:id="330" w:name="_Toc506537355"/>
      <w:bookmarkStart w:id="331" w:name="_Toc506798129"/>
      <w:bookmarkStart w:id="332" w:name="_Toc506299036"/>
      <w:bookmarkStart w:id="333" w:name="_Toc506301067"/>
      <w:bookmarkStart w:id="334" w:name="_Toc506378571"/>
      <w:bookmarkStart w:id="335" w:name="_Toc506446766"/>
      <w:bookmarkStart w:id="336" w:name="_Toc506470712"/>
      <w:bookmarkStart w:id="337" w:name="_Toc506537356"/>
      <w:bookmarkStart w:id="338" w:name="_Toc506798130"/>
      <w:bookmarkStart w:id="339" w:name="_Toc506299039"/>
      <w:bookmarkStart w:id="340" w:name="_Toc506301070"/>
      <w:bookmarkStart w:id="341" w:name="_Toc506378574"/>
      <w:bookmarkStart w:id="342" w:name="_Toc506446769"/>
      <w:bookmarkStart w:id="343" w:name="_Toc506470715"/>
      <w:bookmarkStart w:id="344" w:name="_Toc506537359"/>
      <w:bookmarkStart w:id="345" w:name="_Toc506798133"/>
      <w:bookmarkStart w:id="346" w:name="_Toc506301073"/>
      <w:bookmarkStart w:id="347" w:name="_Toc506378577"/>
      <w:bookmarkStart w:id="348" w:name="_Toc506446772"/>
      <w:bookmarkStart w:id="349" w:name="_Toc506470718"/>
      <w:bookmarkStart w:id="350" w:name="_Toc506537362"/>
      <w:bookmarkStart w:id="351" w:name="_Toc506798136"/>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p w14:paraId="55FF5DF8" w14:textId="3B25383A" w:rsidR="00A57A5C" w:rsidRPr="00FF338C" w:rsidRDefault="00A57A5C" w:rsidP="00A57A5C">
      <w:pPr>
        <w:pStyle w:val="Body"/>
        <w:ind w:left="0"/>
        <w:rPr>
          <w:rFonts w:asciiTheme="minorHAnsi" w:hAnsiTheme="minorHAnsi"/>
          <w:sz w:val="22"/>
        </w:rPr>
      </w:pPr>
      <w:r w:rsidRPr="00FF338C">
        <w:rPr>
          <w:rFonts w:asciiTheme="minorHAnsi" w:hAnsiTheme="minorHAnsi"/>
          <w:sz w:val="22"/>
        </w:rPr>
        <w:t xml:space="preserve">Measurement of fuel quantities is </w:t>
      </w:r>
      <w:r>
        <w:rPr>
          <w:rFonts w:asciiTheme="minorHAnsi" w:hAnsiTheme="minorHAnsi"/>
          <w:sz w:val="22"/>
        </w:rPr>
        <w:t>covered</w:t>
      </w:r>
      <w:r w:rsidRPr="00FF338C">
        <w:rPr>
          <w:rFonts w:asciiTheme="minorHAnsi" w:hAnsiTheme="minorHAnsi"/>
          <w:sz w:val="22"/>
        </w:rPr>
        <w:t xml:space="preserve"> in detail in </w:t>
      </w:r>
      <w:hyperlink w:anchor="_Measurement_requirements" w:history="1">
        <w:r w:rsidR="001746C9">
          <w:rPr>
            <w:rStyle w:val="Hyperlink"/>
            <w:rFonts w:asciiTheme="minorHAnsi" w:hAnsiTheme="minorHAnsi"/>
          </w:rPr>
          <w:t>Chapter 8</w:t>
        </w:r>
      </w:hyperlink>
      <w:r>
        <w:rPr>
          <w:rFonts w:asciiTheme="minorHAnsi" w:hAnsiTheme="minorHAnsi"/>
          <w:sz w:val="22"/>
        </w:rPr>
        <w:t xml:space="preserve"> of this guideline</w:t>
      </w:r>
      <w:r w:rsidRPr="00FF338C">
        <w:rPr>
          <w:rFonts w:asciiTheme="minorHAnsi" w:hAnsiTheme="minorHAnsi"/>
          <w:sz w:val="22"/>
        </w:rPr>
        <w:t xml:space="preserve">. </w:t>
      </w:r>
      <w:r w:rsidR="00377D8E">
        <w:rPr>
          <w:rFonts w:asciiTheme="minorHAnsi" w:hAnsiTheme="minorHAnsi"/>
          <w:sz w:val="22"/>
        </w:rPr>
        <w:t>‘Instance of a source’ is</w:t>
      </w:r>
      <w:r w:rsidR="00DF3F36">
        <w:rPr>
          <w:rFonts w:asciiTheme="minorHAnsi" w:hAnsiTheme="minorHAnsi"/>
          <w:sz w:val="22"/>
        </w:rPr>
        <w:t xml:space="preserve"> defined in </w:t>
      </w:r>
      <w:hyperlink w:anchor="_Thresholds_for_estimating" w:history="1">
        <w:r w:rsidR="00DF3F36" w:rsidRPr="00DF3F36">
          <w:rPr>
            <w:rStyle w:val="Hyperlink"/>
            <w:rFonts w:asciiTheme="minorHAnsi" w:hAnsiTheme="minorHAnsi"/>
          </w:rPr>
          <w:t>section 3.3</w:t>
        </w:r>
      </w:hyperlink>
      <w:r>
        <w:rPr>
          <w:rFonts w:asciiTheme="minorHAnsi" w:hAnsiTheme="minorHAnsi"/>
          <w:sz w:val="22"/>
        </w:rPr>
        <w:t xml:space="preserve"> of this guideline</w:t>
      </w:r>
      <w:r w:rsidRPr="00FF338C">
        <w:rPr>
          <w:rFonts w:asciiTheme="minorHAnsi" w:hAnsiTheme="minorHAnsi"/>
          <w:sz w:val="22"/>
        </w:rPr>
        <w:t xml:space="preserve">. </w:t>
      </w:r>
    </w:p>
    <w:p w14:paraId="40C4D03B" w14:textId="019FE953" w:rsidR="00A57A5C" w:rsidRPr="00FF338C" w:rsidRDefault="00A57A5C" w:rsidP="00A57A5C">
      <w:pPr>
        <w:pStyle w:val="Body"/>
        <w:ind w:left="0"/>
        <w:rPr>
          <w:rFonts w:asciiTheme="minorHAnsi" w:hAnsiTheme="minorHAnsi"/>
          <w:sz w:val="22"/>
          <w:szCs w:val="22"/>
        </w:rPr>
      </w:pPr>
      <w:r w:rsidRPr="00FF338C">
        <w:rPr>
          <w:rFonts w:asciiTheme="minorHAnsi" w:hAnsiTheme="minorHAnsi"/>
          <w:sz w:val="22"/>
          <w:szCs w:val="22"/>
        </w:rPr>
        <w:t xml:space="preserve">Energy content factors can either be selected from default values listed in Schedule 1 of the </w:t>
      </w:r>
      <w:r>
        <w:rPr>
          <w:rFonts w:asciiTheme="minorHAnsi" w:hAnsiTheme="minorHAnsi"/>
          <w:sz w:val="22"/>
          <w:szCs w:val="22"/>
        </w:rPr>
        <w:t>NGER Measurement Determination</w:t>
      </w:r>
      <w:r w:rsidRPr="00FF338C">
        <w:rPr>
          <w:rFonts w:asciiTheme="minorHAnsi" w:hAnsiTheme="minorHAnsi"/>
          <w:sz w:val="22"/>
          <w:szCs w:val="22"/>
        </w:rPr>
        <w:t xml:space="preserve"> or derived from sampling and analysis of a fuel. A summary of the location of the specified sampling and analysis requirements within the </w:t>
      </w:r>
      <w:r>
        <w:rPr>
          <w:rFonts w:asciiTheme="minorHAnsi" w:hAnsiTheme="minorHAnsi"/>
          <w:sz w:val="22"/>
          <w:szCs w:val="22"/>
        </w:rPr>
        <w:t>NGER Measurement Determination</w:t>
      </w:r>
      <w:r w:rsidRPr="00FF338C">
        <w:rPr>
          <w:rFonts w:asciiTheme="minorHAnsi" w:hAnsiTheme="minorHAnsi"/>
          <w:sz w:val="22"/>
          <w:szCs w:val="22"/>
        </w:rPr>
        <w:t xml:space="preserve"> is described in </w:t>
      </w:r>
      <w:r w:rsidR="00B60AED">
        <w:rPr>
          <w:rFonts w:asciiTheme="minorHAnsi" w:hAnsiTheme="minorHAnsi"/>
          <w:sz w:val="22"/>
          <w:szCs w:val="22"/>
        </w:rPr>
        <w:fldChar w:fldCharType="begin" w:fldLock="1"/>
      </w:r>
      <w:r w:rsidR="00B60AED">
        <w:rPr>
          <w:rFonts w:asciiTheme="minorHAnsi" w:hAnsiTheme="minorHAnsi"/>
          <w:sz w:val="22"/>
          <w:szCs w:val="22"/>
        </w:rPr>
        <w:instrText xml:space="preserve"> REF _Ref199338979 </w:instrText>
      </w:r>
      <w:r w:rsidR="00B60AED">
        <w:rPr>
          <w:rFonts w:asciiTheme="minorHAnsi" w:hAnsiTheme="minorHAnsi"/>
          <w:sz w:val="22"/>
          <w:szCs w:val="22"/>
        </w:rPr>
        <w:fldChar w:fldCharType="separate"/>
      </w:r>
      <w:r w:rsidR="00B60AED">
        <w:t xml:space="preserve">Table </w:t>
      </w:r>
      <w:r w:rsidR="00B60AED">
        <w:rPr>
          <w:noProof/>
        </w:rPr>
        <w:t>15</w:t>
      </w:r>
      <w:r w:rsidR="00B60AED">
        <w:rPr>
          <w:rFonts w:asciiTheme="minorHAnsi" w:hAnsiTheme="minorHAnsi"/>
          <w:sz w:val="22"/>
          <w:szCs w:val="22"/>
        </w:rPr>
        <w:fldChar w:fldCharType="end"/>
      </w:r>
      <w:r w:rsidR="00B60AED">
        <w:rPr>
          <w:rFonts w:asciiTheme="minorHAnsi" w:hAnsiTheme="minorHAnsi"/>
          <w:sz w:val="22"/>
          <w:szCs w:val="22"/>
        </w:rPr>
        <w:t xml:space="preserve"> </w:t>
      </w:r>
      <w:r w:rsidRPr="00FF338C">
        <w:rPr>
          <w:rFonts w:asciiTheme="minorHAnsi" w:hAnsiTheme="minorHAnsi"/>
          <w:sz w:val="22"/>
          <w:szCs w:val="22"/>
        </w:rPr>
        <w:t>below. Energy consumption from the combustion of fuel is calculated automatically when emissions from the fuel combustion are entered in EERS.</w:t>
      </w:r>
    </w:p>
    <w:p w14:paraId="48883930" w14:textId="73B4B4DD" w:rsidR="002236D4" w:rsidRDefault="002236D4" w:rsidP="00E9388B">
      <w:pPr>
        <w:pStyle w:val="Caption"/>
        <w:keepNext/>
      </w:pPr>
      <w:bookmarkStart w:id="352" w:name="_Ref199338979"/>
      <w:r>
        <w:t xml:space="preserve">Table </w:t>
      </w:r>
      <w:r>
        <w:fldChar w:fldCharType="begin"/>
      </w:r>
      <w:r>
        <w:instrText xml:space="preserve"> SEQ Table \* ARABIC </w:instrText>
      </w:r>
      <w:r>
        <w:fldChar w:fldCharType="separate"/>
      </w:r>
      <w:r w:rsidR="004B0870">
        <w:rPr>
          <w:noProof/>
        </w:rPr>
        <w:t>15</w:t>
      </w:r>
      <w:r>
        <w:fldChar w:fldCharType="end"/>
      </w:r>
      <w:bookmarkEnd w:id="352"/>
      <w:r>
        <w:t xml:space="preserve"> – Energy content factors by fuel type as prescribed in the NGER Measurement Determination.</w:t>
      </w:r>
    </w:p>
    <w:tbl>
      <w:tblPr>
        <w:tblStyle w:val="CERTable"/>
        <w:tblW w:w="5000" w:type="pct"/>
        <w:tblLook w:val="04A0" w:firstRow="1" w:lastRow="0" w:firstColumn="1" w:lastColumn="0" w:noHBand="0" w:noVBand="1"/>
      </w:tblPr>
      <w:tblGrid>
        <w:gridCol w:w="1619"/>
        <w:gridCol w:w="4430"/>
        <w:gridCol w:w="3691"/>
      </w:tblGrid>
      <w:tr w:rsidR="00503817" w:rsidRPr="00C64711" w14:paraId="4512BDA7" w14:textId="77777777" w:rsidTr="00D11113">
        <w:trPr>
          <w:cnfStyle w:val="100000000000" w:firstRow="1" w:lastRow="0" w:firstColumn="0" w:lastColumn="0" w:oddVBand="0" w:evenVBand="0" w:oddHBand="0" w:evenHBand="0" w:firstRowFirstColumn="0" w:firstRowLastColumn="0" w:lastRowFirstColumn="0" w:lastRowLastColumn="0"/>
          <w:trHeight w:val="248"/>
          <w:tblHeader/>
        </w:trPr>
        <w:tc>
          <w:tcPr>
            <w:cnfStyle w:val="001000000000" w:firstRow="0" w:lastRow="0" w:firstColumn="1" w:lastColumn="0" w:oddVBand="0" w:evenVBand="0" w:oddHBand="0" w:evenHBand="0" w:firstRowFirstColumn="0" w:firstRowLastColumn="0" w:lastRowFirstColumn="0" w:lastRowLastColumn="0"/>
            <w:tcW w:w="831" w:type="pct"/>
          </w:tcPr>
          <w:p w14:paraId="01111AB8" w14:textId="77777777" w:rsidR="00A57A5C" w:rsidRPr="00872A70" w:rsidRDefault="00A57A5C">
            <w:pPr>
              <w:pStyle w:val="Body"/>
              <w:ind w:left="0"/>
              <w:rPr>
                <w:rFonts w:asciiTheme="minorHAnsi" w:hAnsiTheme="minorHAnsi"/>
                <w:sz w:val="22"/>
                <w:szCs w:val="22"/>
              </w:rPr>
            </w:pPr>
            <w:r w:rsidRPr="00872A70">
              <w:rPr>
                <w:rFonts w:asciiTheme="minorHAnsi" w:hAnsiTheme="minorHAnsi"/>
                <w:sz w:val="22"/>
                <w:szCs w:val="22"/>
              </w:rPr>
              <w:t>Fuel category</w:t>
            </w:r>
          </w:p>
        </w:tc>
        <w:tc>
          <w:tcPr>
            <w:tcW w:w="2274" w:type="pct"/>
          </w:tcPr>
          <w:p w14:paraId="083ABD32" w14:textId="77777777" w:rsidR="00A57A5C" w:rsidRPr="00872A70" w:rsidRDefault="00A57A5C">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 xml:space="preserve">Predetermined value </w:t>
            </w:r>
          </w:p>
        </w:tc>
        <w:tc>
          <w:tcPr>
            <w:tcW w:w="1895" w:type="pct"/>
          </w:tcPr>
          <w:p w14:paraId="5078CB0E" w14:textId="77777777" w:rsidR="00A57A5C" w:rsidRPr="00872A70" w:rsidRDefault="00A57A5C">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Estimation technique</w:t>
            </w:r>
          </w:p>
        </w:tc>
      </w:tr>
      <w:tr w:rsidR="00A57A5C" w:rsidRPr="00C64711" w14:paraId="41FE4D34" w14:textId="77777777" w:rsidTr="00BE117F">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831" w:type="pct"/>
          </w:tcPr>
          <w:p w14:paraId="7B027E7D" w14:textId="77777777" w:rsidR="00A57A5C" w:rsidRPr="00872A70" w:rsidRDefault="00A57A5C">
            <w:pPr>
              <w:pStyle w:val="Body"/>
              <w:ind w:left="0"/>
              <w:rPr>
                <w:rFonts w:asciiTheme="minorHAnsi" w:hAnsiTheme="minorHAnsi"/>
                <w:sz w:val="22"/>
                <w:szCs w:val="22"/>
              </w:rPr>
            </w:pPr>
            <w:r w:rsidRPr="00872A70">
              <w:rPr>
                <w:rFonts w:asciiTheme="minorHAnsi" w:hAnsiTheme="minorHAnsi"/>
                <w:sz w:val="22"/>
                <w:szCs w:val="22"/>
              </w:rPr>
              <w:t>Solid fuels</w:t>
            </w:r>
          </w:p>
        </w:tc>
        <w:tc>
          <w:tcPr>
            <w:tcW w:w="2274" w:type="pct"/>
          </w:tcPr>
          <w:p w14:paraId="29BB84E9" w14:textId="77777777" w:rsidR="00A57A5C" w:rsidRPr="00872A70"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Refer to Part 1 of Schedule 1</w:t>
            </w:r>
          </w:p>
        </w:tc>
        <w:tc>
          <w:tcPr>
            <w:tcW w:w="1895" w:type="pct"/>
          </w:tcPr>
          <w:p w14:paraId="19E6B018" w14:textId="77777777" w:rsidR="00A57A5C" w:rsidRPr="00872A70"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Refer to standards indicated in Schedule 2 (or equivalent standards)</w:t>
            </w:r>
          </w:p>
        </w:tc>
      </w:tr>
      <w:tr w:rsidR="00A57A5C" w:rsidRPr="00C64711" w14:paraId="7AFA8A47" w14:textId="77777777" w:rsidTr="00BE117F">
        <w:trPr>
          <w:cnfStyle w:val="000000010000" w:firstRow="0" w:lastRow="0" w:firstColumn="0" w:lastColumn="0" w:oddVBand="0" w:evenVBand="0" w:oddHBand="0" w:evenHBand="1" w:firstRowFirstColumn="0" w:firstRowLastColumn="0" w:lastRowFirstColumn="0" w:lastRowLastColumn="0"/>
          <w:trHeight w:val="1019"/>
        </w:trPr>
        <w:tc>
          <w:tcPr>
            <w:cnfStyle w:val="001000000000" w:firstRow="0" w:lastRow="0" w:firstColumn="1" w:lastColumn="0" w:oddVBand="0" w:evenVBand="0" w:oddHBand="0" w:evenHBand="0" w:firstRowFirstColumn="0" w:firstRowLastColumn="0" w:lastRowFirstColumn="0" w:lastRowLastColumn="0"/>
            <w:tcW w:w="831" w:type="pct"/>
            <w:tcBorders>
              <w:bottom w:val="single" w:sz="8" w:space="0" w:color="E8E8E8" w:themeColor="background2"/>
            </w:tcBorders>
          </w:tcPr>
          <w:p w14:paraId="53E49E7A" w14:textId="77777777" w:rsidR="00A57A5C" w:rsidRPr="00872A70" w:rsidRDefault="00A57A5C">
            <w:pPr>
              <w:pStyle w:val="Body"/>
              <w:ind w:left="0"/>
              <w:rPr>
                <w:rFonts w:asciiTheme="minorHAnsi" w:hAnsiTheme="minorHAnsi"/>
                <w:sz w:val="22"/>
                <w:szCs w:val="22"/>
              </w:rPr>
            </w:pPr>
            <w:r w:rsidRPr="00872A70">
              <w:rPr>
                <w:rFonts w:asciiTheme="minorHAnsi" w:hAnsiTheme="minorHAnsi"/>
                <w:sz w:val="22"/>
                <w:szCs w:val="22"/>
              </w:rPr>
              <w:t>Gaseous fuels (in GJ per m</w:t>
            </w:r>
            <w:r w:rsidRPr="00872A70">
              <w:rPr>
                <w:rFonts w:asciiTheme="minorHAnsi" w:hAnsiTheme="minorHAnsi"/>
                <w:sz w:val="22"/>
                <w:szCs w:val="22"/>
                <w:vertAlign w:val="superscript"/>
              </w:rPr>
              <w:t>3</w:t>
            </w:r>
            <w:r w:rsidRPr="00872A70">
              <w:rPr>
                <w:rFonts w:asciiTheme="minorHAnsi" w:hAnsiTheme="minorHAnsi"/>
                <w:sz w:val="22"/>
                <w:szCs w:val="22"/>
              </w:rPr>
              <w:t>)</w:t>
            </w:r>
          </w:p>
        </w:tc>
        <w:tc>
          <w:tcPr>
            <w:tcW w:w="2274" w:type="pct"/>
            <w:tcBorders>
              <w:bottom w:val="single" w:sz="8" w:space="0" w:color="E8E8E8" w:themeColor="background2"/>
            </w:tcBorders>
          </w:tcPr>
          <w:p w14:paraId="04A09F51" w14:textId="77777777" w:rsidR="00A57A5C" w:rsidRPr="00872A70" w:rsidRDefault="00A57A5C">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Refer to Part 2 of Schedule 1</w:t>
            </w:r>
          </w:p>
        </w:tc>
        <w:tc>
          <w:tcPr>
            <w:tcW w:w="1895" w:type="pct"/>
            <w:tcBorders>
              <w:bottom w:val="single" w:sz="8" w:space="0" w:color="E8E8E8" w:themeColor="background2"/>
            </w:tcBorders>
          </w:tcPr>
          <w:p w14:paraId="210C969B" w14:textId="77777777" w:rsidR="00A57A5C" w:rsidRPr="00872A70" w:rsidRDefault="00A57A5C">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 xml:space="preserve">Refer to the requirements of Subdivision 2.3.3.2, also described in </w:t>
            </w:r>
            <w:hyperlink w:anchor="_Sampling_and_analysis" w:history="1">
              <w:r w:rsidRPr="00A30145">
                <w:rPr>
                  <w:rStyle w:val="Hyperlink"/>
                  <w:rFonts w:asciiTheme="minorHAnsi" w:hAnsiTheme="minorHAnsi"/>
                  <w:szCs w:val="22"/>
                </w:rPr>
                <w:t>chapter 4.4.1</w:t>
              </w:r>
            </w:hyperlink>
            <w:r>
              <w:rPr>
                <w:rFonts w:asciiTheme="minorHAnsi" w:hAnsiTheme="minorHAnsi"/>
                <w:sz w:val="22"/>
                <w:szCs w:val="22"/>
              </w:rPr>
              <w:t xml:space="preserve"> </w:t>
            </w:r>
            <w:r w:rsidRPr="00872A70">
              <w:rPr>
                <w:rFonts w:asciiTheme="minorHAnsi" w:hAnsiTheme="minorHAnsi"/>
                <w:sz w:val="22"/>
                <w:szCs w:val="22"/>
              </w:rPr>
              <w:t>of this guideline</w:t>
            </w:r>
          </w:p>
        </w:tc>
      </w:tr>
      <w:tr w:rsidR="00503817" w:rsidRPr="00C64711" w14:paraId="762152F8" w14:textId="77777777" w:rsidTr="00BE117F">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831" w:type="pct"/>
            <w:tcBorders>
              <w:top w:val="single" w:sz="8" w:space="0" w:color="E8E8E8" w:themeColor="background2"/>
              <w:bottom w:val="single" w:sz="4" w:space="0" w:color="FCBA5C" w:themeColor="accent2"/>
            </w:tcBorders>
          </w:tcPr>
          <w:p w14:paraId="7897BB0D" w14:textId="77777777" w:rsidR="00A57A5C" w:rsidRPr="00872A70" w:rsidRDefault="00A57A5C">
            <w:pPr>
              <w:pStyle w:val="Body"/>
              <w:ind w:left="0"/>
              <w:rPr>
                <w:rFonts w:asciiTheme="minorHAnsi" w:hAnsiTheme="minorHAnsi"/>
                <w:sz w:val="22"/>
                <w:szCs w:val="22"/>
              </w:rPr>
            </w:pPr>
            <w:r w:rsidRPr="00872A70">
              <w:rPr>
                <w:rFonts w:asciiTheme="minorHAnsi" w:hAnsiTheme="minorHAnsi"/>
                <w:sz w:val="22"/>
                <w:szCs w:val="22"/>
              </w:rPr>
              <w:t>Liquid fuels</w:t>
            </w:r>
          </w:p>
        </w:tc>
        <w:tc>
          <w:tcPr>
            <w:tcW w:w="2274" w:type="pct"/>
            <w:tcBorders>
              <w:top w:val="single" w:sz="8" w:space="0" w:color="E8E8E8" w:themeColor="background2"/>
              <w:bottom w:val="single" w:sz="4" w:space="0" w:color="FCBA5C" w:themeColor="accent2"/>
            </w:tcBorders>
          </w:tcPr>
          <w:p w14:paraId="6247C0FF" w14:textId="14BDD92B" w:rsidR="00A57A5C" w:rsidRPr="00872A70" w:rsidRDefault="001B30D0">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Refer</w:t>
            </w:r>
            <w:r w:rsidR="00A57A5C" w:rsidRPr="00872A70">
              <w:rPr>
                <w:rFonts w:asciiTheme="minorHAnsi" w:hAnsiTheme="minorHAnsi"/>
                <w:sz w:val="22"/>
                <w:szCs w:val="22"/>
              </w:rPr>
              <w:t xml:space="preserve"> to Part 3 of Schedule 1</w:t>
            </w:r>
          </w:p>
        </w:tc>
        <w:tc>
          <w:tcPr>
            <w:tcW w:w="1895" w:type="pct"/>
            <w:tcBorders>
              <w:top w:val="single" w:sz="8" w:space="0" w:color="E8E8E8" w:themeColor="background2"/>
              <w:bottom w:val="single" w:sz="4" w:space="0" w:color="FCBA5C" w:themeColor="accent2"/>
            </w:tcBorders>
          </w:tcPr>
          <w:p w14:paraId="75C3DDCF" w14:textId="5CF0D859" w:rsidR="00A57A5C" w:rsidRPr="00872A70"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 xml:space="preserve">Refer to Subdivision 2.4.3.2, also described in </w:t>
            </w:r>
            <w:hyperlink w:anchor="_Sampling_and_analysis_1" w:history="1">
              <w:r w:rsidRPr="00A30145">
                <w:rPr>
                  <w:rStyle w:val="Hyperlink"/>
                  <w:rFonts w:asciiTheme="minorHAnsi" w:hAnsiTheme="minorHAnsi"/>
                  <w:szCs w:val="22"/>
                </w:rPr>
                <w:t>chapter 4.5.1</w:t>
              </w:r>
            </w:hyperlink>
            <w:r>
              <w:rPr>
                <w:rFonts w:asciiTheme="minorHAnsi" w:hAnsiTheme="minorHAnsi"/>
                <w:sz w:val="22"/>
                <w:szCs w:val="22"/>
              </w:rPr>
              <w:t xml:space="preserve"> </w:t>
            </w:r>
            <w:r w:rsidRPr="00872A70">
              <w:rPr>
                <w:rFonts w:asciiTheme="minorHAnsi" w:hAnsiTheme="minorHAnsi"/>
                <w:sz w:val="22"/>
                <w:szCs w:val="22"/>
              </w:rPr>
              <w:t xml:space="preserve">of this </w:t>
            </w:r>
            <w:r>
              <w:rPr>
                <w:rFonts w:asciiTheme="minorHAnsi" w:hAnsiTheme="minorHAnsi"/>
                <w:sz w:val="22"/>
                <w:szCs w:val="22"/>
              </w:rPr>
              <w:t>guideline</w:t>
            </w:r>
          </w:p>
        </w:tc>
      </w:tr>
    </w:tbl>
    <w:p w14:paraId="7778EF33" w14:textId="77777777" w:rsidR="00A57A5C" w:rsidRPr="00FF338C" w:rsidRDefault="00A57A5C" w:rsidP="00B3330E">
      <w:pPr>
        <w:pStyle w:val="Heading3"/>
        <w:numPr>
          <w:ilvl w:val="2"/>
          <w:numId w:val="3"/>
        </w:numPr>
        <w:ind w:left="709" w:hanging="709"/>
        <w:rPr>
          <w:lang w:val="en-GB"/>
        </w:rPr>
      </w:pPr>
      <w:bookmarkStart w:id="353" w:name="_Toc512010420"/>
      <w:bookmarkStart w:id="354" w:name="_Toc512339619"/>
      <w:bookmarkStart w:id="355" w:name="_Toc205461485"/>
      <w:r w:rsidRPr="00FF338C">
        <w:rPr>
          <w:lang w:val="en-GB"/>
        </w:rPr>
        <w:t>Blended fuels and other fuel mixes</w:t>
      </w:r>
      <w:bookmarkEnd w:id="353"/>
      <w:bookmarkEnd w:id="354"/>
      <w:bookmarkEnd w:id="355"/>
    </w:p>
    <w:p w14:paraId="757D6226" w14:textId="1CD5C5F0" w:rsidR="00A57A5C" w:rsidRDefault="00A57A5C" w:rsidP="00A57A5C">
      <w:r>
        <w:t xml:space="preserve">Energy production and consumption must be reported using fuel types listed within Schedule 1 of the NGER Regulations. Many of the fuels listed in Schedule 1 of the NGER Regulations are defined within 1.03 of the NGER Regulations and section 1.8 of the NGER Measurement Determination. Common usage and dictionary definition should be used when not otherwise defined within the NGER legislation. </w:t>
      </w:r>
    </w:p>
    <w:p w14:paraId="662B37ED" w14:textId="77777777" w:rsidR="00A57A5C" w:rsidRPr="00FF338C" w:rsidRDefault="00A57A5C" w:rsidP="00A57A5C">
      <w:pPr>
        <w:pStyle w:val="Body"/>
        <w:ind w:left="0"/>
        <w:rPr>
          <w:rFonts w:asciiTheme="minorHAnsi" w:hAnsiTheme="minorHAnsi"/>
          <w:sz w:val="22"/>
        </w:rPr>
      </w:pPr>
      <w:r w:rsidRPr="00FF338C">
        <w:rPr>
          <w:rFonts w:asciiTheme="minorHAnsi" w:hAnsiTheme="minorHAnsi"/>
          <w:sz w:val="22"/>
        </w:rPr>
        <w:t>The requirements for reporting blended fuels and fuels mixes will depend on the fuels in the blend or mix, the product created by the blending or mixing, and the end use of the blended fuel or fuel mix.</w:t>
      </w:r>
    </w:p>
    <w:p w14:paraId="230D5D22" w14:textId="4349807E" w:rsidR="00A57A5C" w:rsidRDefault="00A57A5C" w:rsidP="00A57A5C">
      <w:pPr>
        <w:pStyle w:val="Body"/>
        <w:ind w:left="0"/>
        <w:rPr>
          <w:rFonts w:asciiTheme="minorHAnsi" w:hAnsiTheme="minorHAnsi"/>
          <w:sz w:val="22"/>
        </w:rPr>
      </w:pPr>
      <w:r>
        <w:rPr>
          <w:rFonts w:asciiTheme="minorHAnsi" w:hAnsiTheme="minorHAnsi"/>
          <w:sz w:val="22"/>
        </w:rPr>
        <w:t>See</w:t>
      </w:r>
      <w:r w:rsidRPr="00FF338C">
        <w:rPr>
          <w:rFonts w:asciiTheme="minorHAnsi" w:hAnsiTheme="minorHAnsi"/>
          <w:sz w:val="22"/>
        </w:rPr>
        <w:t xml:space="preserve"> the </w:t>
      </w:r>
      <w:hyperlink r:id="rId59" w:tooltip="A link to the Reporting blended fuels, other fuel mixes, bitumen and explosives guide on the Clean Energy Regulator website" w:history="1">
        <w:r w:rsidRPr="00FE31CC">
          <w:rPr>
            <w:rStyle w:val="Hyperlink"/>
            <w:rFonts w:asciiTheme="minorHAnsi" w:hAnsiTheme="minorHAnsi"/>
            <w:iCs/>
          </w:rPr>
          <w:t>Reporting blended fuels</w:t>
        </w:r>
        <w:r w:rsidR="008A7340">
          <w:rPr>
            <w:rStyle w:val="Hyperlink"/>
            <w:rFonts w:asciiTheme="minorHAnsi" w:hAnsiTheme="minorHAnsi"/>
            <w:iCs/>
          </w:rPr>
          <w:t>,</w:t>
        </w:r>
        <w:r w:rsidRPr="00FE31CC">
          <w:rPr>
            <w:rStyle w:val="Hyperlink"/>
            <w:rFonts w:asciiTheme="minorHAnsi" w:hAnsiTheme="minorHAnsi"/>
            <w:iCs/>
          </w:rPr>
          <w:t xml:space="preserve"> other fuel mixes</w:t>
        </w:r>
        <w:r w:rsidR="008A7340">
          <w:rPr>
            <w:rStyle w:val="Hyperlink"/>
            <w:rFonts w:asciiTheme="minorHAnsi" w:hAnsiTheme="minorHAnsi"/>
            <w:iCs/>
          </w:rPr>
          <w:t>, bitumen and explosives</w:t>
        </w:r>
        <w:r w:rsidRPr="00FE31CC">
          <w:rPr>
            <w:rStyle w:val="Hyperlink"/>
            <w:rFonts w:asciiTheme="minorHAnsi" w:hAnsiTheme="minorHAnsi"/>
          </w:rPr>
          <w:t xml:space="preserve"> guideline</w:t>
        </w:r>
        <w:r w:rsidR="004B0870">
          <w:rPr>
            <w:rStyle w:val="Hyperlink"/>
            <w:rFonts w:ascii="ZWAdobeF" w:hAnsi="ZWAdobeF" w:cs="ZWAdobeF"/>
            <w:color w:val="auto"/>
            <w:sz w:val="2"/>
            <w:szCs w:val="2"/>
            <w:u w:val="none"/>
          </w:rPr>
          <w:t>34F</w:t>
        </w:r>
        <w:r w:rsidRPr="00FE31CC">
          <w:rPr>
            <w:rStyle w:val="Hyperlink"/>
            <w:rFonts w:asciiTheme="minorHAnsi" w:hAnsiTheme="minorHAnsi"/>
            <w:vertAlign w:val="superscript"/>
          </w:rPr>
          <w:footnoteReference w:id="36"/>
        </w:r>
      </w:hyperlink>
      <w:r>
        <w:rPr>
          <w:rFonts w:asciiTheme="minorHAnsi" w:hAnsiTheme="minorHAnsi"/>
          <w:sz w:val="22"/>
        </w:rPr>
        <w:t xml:space="preserve"> for more information on </w:t>
      </w:r>
      <w:r w:rsidRPr="00FF338C">
        <w:rPr>
          <w:rFonts w:asciiTheme="minorHAnsi" w:hAnsiTheme="minorHAnsi"/>
          <w:sz w:val="22"/>
        </w:rPr>
        <w:t>reporting requirements and calculation methodologies.</w:t>
      </w:r>
    </w:p>
    <w:p w14:paraId="52BAB99E" w14:textId="502FE44B" w:rsidR="00A57A5C" w:rsidRDefault="00A57A5C" w:rsidP="00DB4B56">
      <w:pPr>
        <w:pStyle w:val="Heading2"/>
        <w:numPr>
          <w:ilvl w:val="1"/>
          <w:numId w:val="3"/>
        </w:numPr>
        <w:ind w:left="426" w:hanging="426"/>
      </w:pPr>
      <w:bookmarkStart w:id="356" w:name="_Toc74235152"/>
      <w:bookmarkStart w:id="357" w:name="_Toc75334349"/>
      <w:bookmarkStart w:id="358" w:name="_Toc75438207"/>
      <w:bookmarkStart w:id="359" w:name="_Toc74235153"/>
      <w:bookmarkStart w:id="360" w:name="_Toc75334350"/>
      <w:bookmarkStart w:id="361" w:name="_Toc75438208"/>
      <w:bookmarkStart w:id="362" w:name="_Toc74235154"/>
      <w:bookmarkStart w:id="363" w:name="_Toc75334351"/>
      <w:bookmarkStart w:id="364" w:name="_Toc75438209"/>
      <w:bookmarkStart w:id="365" w:name="_Toc74235155"/>
      <w:bookmarkStart w:id="366" w:name="_Toc75334352"/>
      <w:bookmarkStart w:id="367" w:name="_Toc75438210"/>
      <w:bookmarkStart w:id="368" w:name="_Toc74235156"/>
      <w:bookmarkStart w:id="369" w:name="_Toc75334353"/>
      <w:bookmarkStart w:id="370" w:name="_Toc75438211"/>
      <w:bookmarkStart w:id="371" w:name="_Toc74235157"/>
      <w:bookmarkStart w:id="372" w:name="_Toc75334354"/>
      <w:bookmarkStart w:id="373" w:name="_Toc75438212"/>
      <w:bookmarkStart w:id="374" w:name="_Toc74235159"/>
      <w:bookmarkStart w:id="375" w:name="_Toc75334356"/>
      <w:bookmarkStart w:id="376" w:name="_Toc75438214"/>
      <w:bookmarkStart w:id="377" w:name="_Toc74235160"/>
      <w:bookmarkStart w:id="378" w:name="_Toc75334357"/>
      <w:bookmarkStart w:id="379" w:name="_Toc75438215"/>
      <w:bookmarkStart w:id="380" w:name="_Toc74235161"/>
      <w:bookmarkStart w:id="381" w:name="_Toc75334358"/>
      <w:bookmarkStart w:id="382" w:name="_Toc75438216"/>
      <w:bookmarkStart w:id="383" w:name="_Toc74235163"/>
      <w:bookmarkStart w:id="384" w:name="_Toc75334360"/>
      <w:bookmarkStart w:id="385" w:name="_Toc75438218"/>
      <w:bookmarkStart w:id="386" w:name="_Toc74235164"/>
      <w:bookmarkStart w:id="387" w:name="_Toc75334361"/>
      <w:bookmarkStart w:id="388" w:name="_Toc75438219"/>
      <w:bookmarkStart w:id="389" w:name="_Toc74235165"/>
      <w:bookmarkStart w:id="390" w:name="_Toc75334362"/>
      <w:bookmarkStart w:id="391" w:name="_Toc75438220"/>
      <w:bookmarkStart w:id="392" w:name="_Toc74235167"/>
      <w:bookmarkStart w:id="393" w:name="_Toc75334364"/>
      <w:bookmarkStart w:id="394" w:name="_Toc75438222"/>
      <w:bookmarkStart w:id="395" w:name="_Toc74235168"/>
      <w:bookmarkStart w:id="396" w:name="_Toc75334365"/>
      <w:bookmarkStart w:id="397" w:name="_Toc75438223"/>
      <w:bookmarkStart w:id="398" w:name="_Toc74235169"/>
      <w:bookmarkStart w:id="399" w:name="_Toc75334366"/>
      <w:bookmarkStart w:id="400" w:name="_Toc75438224"/>
      <w:bookmarkStart w:id="401" w:name="_Toc74235170"/>
      <w:bookmarkStart w:id="402" w:name="_Toc75334367"/>
      <w:bookmarkStart w:id="403" w:name="_Toc75438225"/>
      <w:bookmarkStart w:id="404" w:name="_Toc74235171"/>
      <w:bookmarkStart w:id="405" w:name="_Toc75334368"/>
      <w:bookmarkStart w:id="406" w:name="_Toc75438226"/>
      <w:bookmarkStart w:id="407" w:name="_Toc74235172"/>
      <w:bookmarkStart w:id="408" w:name="_Toc75334369"/>
      <w:bookmarkStart w:id="409" w:name="_Toc75438227"/>
      <w:bookmarkStart w:id="410" w:name="_Toc74235173"/>
      <w:bookmarkStart w:id="411" w:name="_Toc75334370"/>
      <w:bookmarkStart w:id="412" w:name="_Toc75438228"/>
      <w:bookmarkStart w:id="413" w:name="_Toc74235175"/>
      <w:bookmarkStart w:id="414" w:name="_Toc75334372"/>
      <w:bookmarkStart w:id="415" w:name="_Toc75438230"/>
      <w:bookmarkStart w:id="416" w:name="_Toc74235176"/>
      <w:bookmarkStart w:id="417" w:name="_Toc75334373"/>
      <w:bookmarkStart w:id="418" w:name="_Toc75438231"/>
      <w:bookmarkStart w:id="419" w:name="_Toc74235177"/>
      <w:bookmarkStart w:id="420" w:name="_Toc75334374"/>
      <w:bookmarkStart w:id="421" w:name="_Toc75438232"/>
      <w:bookmarkStart w:id="422" w:name="_Toc74235179"/>
      <w:bookmarkStart w:id="423" w:name="_Toc75334376"/>
      <w:bookmarkStart w:id="424" w:name="_Toc75438234"/>
      <w:bookmarkStart w:id="425" w:name="_Toc74235180"/>
      <w:bookmarkStart w:id="426" w:name="_Toc75334377"/>
      <w:bookmarkStart w:id="427" w:name="_Toc75438235"/>
      <w:bookmarkStart w:id="428" w:name="_Net_Energy_Consumption"/>
      <w:bookmarkStart w:id="429" w:name="_Ref71280486"/>
      <w:bookmarkStart w:id="430" w:name="_Toc106705772"/>
      <w:bookmarkStart w:id="431" w:name="_Toc205461486"/>
      <w:bookmarkStart w:id="432" w:name="_Toc511376936"/>
      <w:bookmarkStart w:id="433" w:name="_Ref511377796"/>
      <w:bookmarkStart w:id="434" w:name="_Toc511388533"/>
      <w:bookmarkStart w:id="435" w:name="_Toc511389455"/>
      <w:bookmarkStart w:id="436" w:name="_Toc511392964"/>
      <w:bookmarkStart w:id="437" w:name="_Ref511662859"/>
      <w:bookmarkStart w:id="438" w:name="_Toc511732496"/>
      <w:bookmarkStart w:id="439" w:name="_Ref511989169"/>
      <w:bookmarkStart w:id="440" w:name="_Toc512010421"/>
      <w:bookmarkStart w:id="441" w:name="_Toc512339620"/>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t xml:space="preserve">Reporting of battery </w:t>
      </w:r>
      <w:r w:rsidR="00EA0490">
        <w:t>energy stor</w:t>
      </w:r>
      <w:r w:rsidR="006166B0">
        <w:t>a</w:t>
      </w:r>
      <w:r w:rsidR="00EA0490">
        <w:t>ge system (BESS)</w:t>
      </w:r>
      <w:r w:rsidR="00D81B2A">
        <w:t xml:space="preserve"> </w:t>
      </w:r>
      <w:r>
        <w:t>activities</w:t>
      </w:r>
      <w:bookmarkEnd w:id="429"/>
      <w:bookmarkEnd w:id="430"/>
      <w:bookmarkEnd w:id="431"/>
    </w:p>
    <w:p w14:paraId="12111F10" w14:textId="5882890E" w:rsidR="00584C17" w:rsidRPr="009A6F76" w:rsidRDefault="000920D7" w:rsidP="00B327D8">
      <w:pPr>
        <w:pStyle w:val="NormalWeb"/>
        <w:shd w:val="clear" w:color="auto" w:fill="FFFFFF"/>
        <w:rPr>
          <w:rFonts w:eastAsia="Times New Roman" w:cstheme="minorBidi"/>
          <w:color w:val="000000"/>
          <w:lang w:eastAsia="en-AU"/>
        </w:rPr>
      </w:pPr>
      <w:r>
        <w:rPr>
          <w:rFonts w:cstheme="minorHAnsi"/>
          <w:color w:val="000000"/>
          <w:sz w:val="22"/>
          <w:szCs w:val="22"/>
          <w:shd w:val="clear" w:color="auto" w:fill="FFFFFF"/>
        </w:rPr>
        <w:t xml:space="preserve">A battery energy storage system (BESS) converts </w:t>
      </w:r>
      <w:r w:rsidR="000016DC">
        <w:rPr>
          <w:rFonts w:cstheme="minorHAnsi"/>
          <w:color w:val="000000"/>
          <w:sz w:val="22"/>
          <w:szCs w:val="22"/>
          <w:shd w:val="clear" w:color="auto" w:fill="FFFFFF"/>
        </w:rPr>
        <w:t>electrical energy to chemical potential energy for storage</w:t>
      </w:r>
      <w:r w:rsidR="007E75DC">
        <w:rPr>
          <w:rFonts w:cstheme="minorHAnsi"/>
          <w:color w:val="000000"/>
          <w:sz w:val="22"/>
          <w:szCs w:val="22"/>
          <w:shd w:val="clear" w:color="auto" w:fill="FFFFFF"/>
        </w:rPr>
        <w:t xml:space="preserve"> in batteries</w:t>
      </w:r>
      <w:r w:rsidR="000016DC">
        <w:rPr>
          <w:rFonts w:cstheme="minorHAnsi"/>
          <w:color w:val="000000"/>
          <w:sz w:val="22"/>
          <w:szCs w:val="22"/>
          <w:shd w:val="clear" w:color="auto" w:fill="FFFFFF"/>
        </w:rPr>
        <w:t xml:space="preserve"> and convert</w:t>
      </w:r>
      <w:r w:rsidR="00157358">
        <w:rPr>
          <w:rFonts w:cstheme="minorHAnsi"/>
          <w:color w:val="000000"/>
          <w:sz w:val="22"/>
          <w:szCs w:val="22"/>
          <w:shd w:val="clear" w:color="auto" w:fill="FFFFFF"/>
        </w:rPr>
        <w:t>s</w:t>
      </w:r>
      <w:r w:rsidR="00584C17" w:rsidRPr="005D23FA">
        <w:rPr>
          <w:rFonts w:cstheme="minorHAnsi"/>
          <w:color w:val="000000"/>
          <w:sz w:val="22"/>
          <w:szCs w:val="22"/>
          <w:shd w:val="clear" w:color="auto" w:fill="FFFFFF"/>
        </w:rPr>
        <w:t xml:space="preserve"> that </w:t>
      </w:r>
      <w:r w:rsidR="000016DC">
        <w:rPr>
          <w:rFonts w:cstheme="minorHAnsi"/>
          <w:color w:val="000000"/>
          <w:sz w:val="22"/>
          <w:szCs w:val="22"/>
          <w:shd w:val="clear" w:color="auto" w:fill="FFFFFF"/>
        </w:rPr>
        <w:t xml:space="preserve">stored energy back to electricity for </w:t>
      </w:r>
      <w:r w:rsidR="00584C17" w:rsidRPr="005D23FA">
        <w:rPr>
          <w:rFonts w:cstheme="minorHAnsi"/>
          <w:color w:val="000000"/>
          <w:sz w:val="22"/>
          <w:szCs w:val="22"/>
          <w:shd w:val="clear" w:color="auto" w:fill="FFFFFF"/>
        </w:rPr>
        <w:t>use on demand</w:t>
      </w:r>
      <w:r w:rsidR="000016DC">
        <w:rPr>
          <w:rFonts w:cstheme="minorHAnsi"/>
          <w:color w:val="000000"/>
          <w:sz w:val="22"/>
          <w:szCs w:val="22"/>
          <w:shd w:val="clear" w:color="auto" w:fill="FFFFFF"/>
        </w:rPr>
        <w:t xml:space="preserve">. </w:t>
      </w:r>
      <w:r w:rsidR="00584C17" w:rsidRPr="005D23FA">
        <w:rPr>
          <w:rFonts w:cstheme="minorHAnsi"/>
          <w:color w:val="000000"/>
          <w:sz w:val="22"/>
          <w:szCs w:val="22"/>
          <w:shd w:val="clear" w:color="auto" w:fill="FFFFFF"/>
        </w:rPr>
        <w:t xml:space="preserve"> </w:t>
      </w:r>
    </w:p>
    <w:p w14:paraId="7EFCC39C" w14:textId="27C6A4FA" w:rsidR="00741144" w:rsidRDefault="00741144" w:rsidP="00741144">
      <w:pPr>
        <w:pStyle w:val="Heading3"/>
        <w:numPr>
          <w:ilvl w:val="2"/>
          <w:numId w:val="3"/>
        </w:numPr>
        <w:ind w:left="709" w:hanging="709"/>
      </w:pPr>
      <w:bookmarkStart w:id="442" w:name="_Toc142059170"/>
      <w:bookmarkStart w:id="443" w:name="_Toc142059171"/>
      <w:bookmarkStart w:id="444" w:name="_Toc142059172"/>
      <w:bookmarkStart w:id="445" w:name="_Toc142059173"/>
      <w:bookmarkStart w:id="446" w:name="_Toc142059174"/>
      <w:bookmarkStart w:id="447" w:name="_Toc142059175"/>
      <w:bookmarkStart w:id="448" w:name="_Toc142059176"/>
      <w:bookmarkStart w:id="449" w:name="_Toc142059177"/>
      <w:bookmarkStart w:id="450" w:name="_Toc142059178"/>
      <w:bookmarkStart w:id="451" w:name="_Toc142059179"/>
      <w:bookmarkStart w:id="452" w:name="_Toc142059180"/>
      <w:bookmarkStart w:id="453" w:name="_Toc142059181"/>
      <w:bookmarkStart w:id="454" w:name="_Toc142059182"/>
      <w:bookmarkStart w:id="455" w:name="_Toc142059183"/>
      <w:bookmarkStart w:id="456" w:name="_Toc142059184"/>
      <w:bookmarkStart w:id="457" w:name="_Toc142059185"/>
      <w:bookmarkStart w:id="458" w:name="_Toc142059186"/>
      <w:bookmarkStart w:id="459" w:name="_Toc142059187"/>
      <w:bookmarkStart w:id="460" w:name="_Toc142059188"/>
      <w:bookmarkStart w:id="461" w:name="_Toc142059189"/>
      <w:bookmarkStart w:id="462" w:name="_Toc142059190"/>
      <w:bookmarkStart w:id="463" w:name="_Toc147852505"/>
      <w:bookmarkStart w:id="464" w:name="_Toc147852506"/>
      <w:bookmarkStart w:id="465" w:name="_Toc147852507"/>
      <w:bookmarkStart w:id="466" w:name="_Toc147852508"/>
      <w:bookmarkStart w:id="467" w:name="_Toc147852509"/>
      <w:bookmarkStart w:id="468" w:name="_Toc147852510"/>
      <w:bookmarkStart w:id="469" w:name="_Toc147852511"/>
      <w:bookmarkStart w:id="470" w:name="_Toc147852512"/>
      <w:bookmarkStart w:id="471" w:name="_Toc147852513"/>
      <w:bookmarkStart w:id="472" w:name="_Toc147852514"/>
      <w:bookmarkStart w:id="473" w:name="_Toc147852515"/>
      <w:bookmarkStart w:id="474" w:name="_Toc147852516"/>
      <w:bookmarkStart w:id="475" w:name="_Toc147852517"/>
      <w:bookmarkStart w:id="476" w:name="_Toc147852518"/>
      <w:bookmarkStart w:id="477" w:name="_Toc147852519"/>
      <w:bookmarkStart w:id="478" w:name="_Toc147852520"/>
      <w:bookmarkStart w:id="479" w:name="_Toc147852521"/>
      <w:bookmarkStart w:id="480" w:name="_Toc147852522"/>
      <w:bookmarkStart w:id="481" w:name="_Toc147852523"/>
      <w:bookmarkStart w:id="482" w:name="_Toc147852524"/>
      <w:bookmarkStart w:id="483" w:name="_Toc205461487"/>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r>
        <w:t>Principles of BESS reporting</w:t>
      </w:r>
      <w:bookmarkEnd w:id="483"/>
    </w:p>
    <w:p w14:paraId="597BFCF7" w14:textId="54D69087" w:rsidR="00734C5E" w:rsidRDefault="00741144" w:rsidP="00734C5E">
      <w:pPr>
        <w:pStyle w:val="BodyText1"/>
        <w:rPr>
          <w:color w:val="000000"/>
          <w:szCs w:val="22"/>
          <w:shd w:val="clear" w:color="auto" w:fill="FFFFFF"/>
        </w:rPr>
      </w:pPr>
      <w:r w:rsidRPr="157C9DCF" w:rsidDel="00885F02">
        <w:rPr>
          <w:rFonts w:ascii="Calibri" w:eastAsia="Times New Roman" w:hAnsi="Calibri" w:cs="Calibri"/>
          <w:lang w:eastAsia="en-AU"/>
        </w:rPr>
        <w:t>A</w:t>
      </w:r>
      <w:r w:rsidR="00734C5E">
        <w:rPr>
          <w:rFonts w:ascii="Calibri" w:eastAsia="Times New Roman" w:hAnsi="Calibri" w:cs="Calibri"/>
          <w:lang w:eastAsia="en-AU"/>
        </w:rPr>
        <w:t xml:space="preserve"> </w:t>
      </w:r>
      <w:r w:rsidR="00734C5E" w:rsidRPr="00D2141E">
        <w:rPr>
          <w:color w:val="000000"/>
          <w:szCs w:val="22"/>
          <w:shd w:val="clear" w:color="auto" w:fill="FFFFFF"/>
        </w:rPr>
        <w:t xml:space="preserve">key principle of </w:t>
      </w:r>
      <w:r w:rsidR="00EB6B25">
        <w:rPr>
          <w:color w:val="000000"/>
          <w:szCs w:val="22"/>
          <w:shd w:val="clear" w:color="auto" w:fill="FFFFFF"/>
        </w:rPr>
        <w:t xml:space="preserve">NGER </w:t>
      </w:r>
      <w:r w:rsidR="00734C5E" w:rsidRPr="00D2141E">
        <w:rPr>
          <w:color w:val="000000"/>
          <w:szCs w:val="22"/>
          <w:shd w:val="clear" w:color="auto" w:fill="FFFFFF"/>
        </w:rPr>
        <w:t xml:space="preserve">reporting </w:t>
      </w:r>
      <w:r w:rsidR="003F3E3D">
        <w:rPr>
          <w:color w:val="000000"/>
          <w:szCs w:val="22"/>
          <w:shd w:val="clear" w:color="auto" w:fill="FFFFFF"/>
        </w:rPr>
        <w:t xml:space="preserve">for </w:t>
      </w:r>
      <w:r w:rsidR="00734C5E" w:rsidRPr="00D2141E">
        <w:rPr>
          <w:color w:val="000000"/>
          <w:szCs w:val="22"/>
          <w:shd w:val="clear" w:color="auto" w:fill="FFFFFF"/>
        </w:rPr>
        <w:t xml:space="preserve">the operation of a </w:t>
      </w:r>
      <w:r w:rsidR="003626D1">
        <w:rPr>
          <w:color w:val="000000"/>
          <w:szCs w:val="22"/>
          <w:shd w:val="clear" w:color="auto" w:fill="FFFFFF"/>
        </w:rPr>
        <w:t>BESS</w:t>
      </w:r>
      <w:r w:rsidR="00734C5E" w:rsidRPr="00D2141E">
        <w:rPr>
          <w:color w:val="000000"/>
          <w:szCs w:val="22"/>
          <w:shd w:val="clear" w:color="auto" w:fill="FFFFFF"/>
        </w:rPr>
        <w:t xml:space="preserve"> at a</w:t>
      </w:r>
      <w:r w:rsidR="00332B62">
        <w:rPr>
          <w:color w:val="000000"/>
          <w:szCs w:val="22"/>
          <w:shd w:val="clear" w:color="auto" w:fill="FFFFFF"/>
        </w:rPr>
        <w:t>n NGER</w:t>
      </w:r>
      <w:r w:rsidR="00734C5E" w:rsidRPr="00D2141E">
        <w:rPr>
          <w:color w:val="000000"/>
          <w:szCs w:val="22"/>
          <w:shd w:val="clear" w:color="auto" w:fill="FFFFFF"/>
        </w:rPr>
        <w:t xml:space="preserve"> facility is that they are not considered to generate or produce electricity. Instead, they are considered to only consume electricity due to </w:t>
      </w:r>
      <w:r w:rsidR="00734C5E" w:rsidRPr="005813B1">
        <w:rPr>
          <w:color w:val="000000"/>
          <w:szCs w:val="22"/>
          <w:shd w:val="clear" w:color="auto" w:fill="FFFFFF"/>
        </w:rPr>
        <w:t xml:space="preserve">electricity </w:t>
      </w:r>
      <w:r w:rsidR="00734C5E" w:rsidRPr="00D2141E">
        <w:rPr>
          <w:color w:val="000000"/>
          <w:szCs w:val="22"/>
          <w:shd w:val="clear" w:color="auto" w:fill="FFFFFF"/>
        </w:rPr>
        <w:t>conversion and storage losses</w:t>
      </w:r>
      <w:r w:rsidR="00734C5E">
        <w:rPr>
          <w:color w:val="000000"/>
          <w:szCs w:val="22"/>
          <w:shd w:val="clear" w:color="auto" w:fill="FFFFFF"/>
        </w:rPr>
        <w:t>,</w:t>
      </w:r>
      <w:r w:rsidR="00734C5E" w:rsidRPr="00D2141E">
        <w:rPr>
          <w:color w:val="000000"/>
          <w:szCs w:val="22"/>
          <w:shd w:val="clear" w:color="auto" w:fill="FFFFFF"/>
        </w:rPr>
        <w:t xml:space="preserve"> and auxiliary system power consumption</w:t>
      </w:r>
      <w:r w:rsidR="00734C5E">
        <w:rPr>
          <w:color w:val="000000"/>
          <w:szCs w:val="22"/>
          <w:shd w:val="clear" w:color="auto" w:fill="FFFFFF"/>
        </w:rPr>
        <w:t xml:space="preserve">. It is not necessary to consider the </w:t>
      </w:r>
      <w:r w:rsidR="00982721">
        <w:rPr>
          <w:color w:val="000000"/>
          <w:szCs w:val="22"/>
          <w:shd w:val="clear" w:color="auto" w:fill="FFFFFF"/>
        </w:rPr>
        <w:t>quantity of energy stored in</w:t>
      </w:r>
      <w:r w:rsidR="00734C5E">
        <w:rPr>
          <w:color w:val="000000"/>
          <w:szCs w:val="22"/>
          <w:shd w:val="clear" w:color="auto" w:fill="FFFFFF"/>
        </w:rPr>
        <w:t xml:space="preserve"> the </w:t>
      </w:r>
      <w:r w:rsidR="00B0150D">
        <w:rPr>
          <w:color w:val="000000"/>
          <w:szCs w:val="22"/>
          <w:shd w:val="clear" w:color="auto" w:fill="FFFFFF"/>
        </w:rPr>
        <w:t>BESS</w:t>
      </w:r>
      <w:r w:rsidR="00734C5E">
        <w:rPr>
          <w:color w:val="000000"/>
          <w:szCs w:val="22"/>
          <w:shd w:val="clear" w:color="auto" w:fill="FFFFFF"/>
        </w:rPr>
        <w:t xml:space="preserve"> at any time.</w:t>
      </w:r>
    </w:p>
    <w:p w14:paraId="04A4818D" w14:textId="48338889" w:rsidR="00734C5E" w:rsidRDefault="003948F3" w:rsidP="00734C5E">
      <w:pPr>
        <w:pStyle w:val="BodyText1"/>
      </w:pPr>
      <w:r>
        <w:t>A</w:t>
      </w:r>
      <w:r w:rsidR="00734C5E">
        <w:t xml:space="preserve"> BESS may </w:t>
      </w:r>
      <w:r>
        <w:t xml:space="preserve">be </w:t>
      </w:r>
      <w:r w:rsidR="000C13E7">
        <w:t xml:space="preserve">set up to be </w:t>
      </w:r>
      <w:r w:rsidR="00734C5E">
        <w:t>charge</w:t>
      </w:r>
      <w:r>
        <w:t>d</w:t>
      </w:r>
      <w:r w:rsidR="00734C5E">
        <w:t xml:space="preserve"> from a single source of electricity</w:t>
      </w:r>
      <w:r w:rsidR="00DE2247">
        <w:t>:</w:t>
      </w:r>
      <w:r w:rsidR="00734C5E">
        <w:t xml:space="preserve"> </w:t>
      </w:r>
      <w:r w:rsidR="008D30D4">
        <w:t>that is</w:t>
      </w:r>
      <w:r w:rsidR="00DE2247">
        <w:t>,</w:t>
      </w:r>
      <w:r w:rsidR="00734C5E">
        <w:t xml:space="preserve"> from the main grid, from onsite generation, or from another source outside the facility. </w:t>
      </w:r>
      <w:r w:rsidR="00143570">
        <w:t>For single-source charging</w:t>
      </w:r>
      <w:r w:rsidR="00734C5E">
        <w:t xml:space="preserve">, electricity consumption from the BESS should be reported as associated with </w:t>
      </w:r>
      <w:r w:rsidR="00734C5E" w:rsidRPr="00D32C01">
        <w:rPr>
          <w:i/>
          <w:iCs/>
        </w:rPr>
        <w:t>that</w:t>
      </w:r>
      <w:r w:rsidR="00734C5E">
        <w:t xml:space="preserve"> source of electricity. If the electricity comes from the main grid or another offsite source, it should be reported as a scope 2 emissions activity with the appropriate emission factor. If the electricity came from onsite generation, </w:t>
      </w:r>
      <w:r w:rsidR="00730C14">
        <w:t>the conversion and storage losses</w:t>
      </w:r>
      <w:r w:rsidR="00734C5E">
        <w:t xml:space="preserve"> should be </w:t>
      </w:r>
      <w:r w:rsidR="00730C14">
        <w:t>included in</w:t>
      </w:r>
      <w:r w:rsidR="00AD6EF8">
        <w:t xml:space="preserve"> the</w:t>
      </w:r>
      <w:r w:rsidR="00153889">
        <w:t xml:space="preserve"> </w:t>
      </w:r>
      <w:r w:rsidR="00734C5E">
        <w:t>energy consumption</w:t>
      </w:r>
      <w:r w:rsidR="00AD6EF8">
        <w:t xml:space="preserve"> activity</w:t>
      </w:r>
      <w:r w:rsidR="00734C5E">
        <w:t xml:space="preserve"> </w:t>
      </w:r>
      <w:r w:rsidR="002A2FF6">
        <w:t>and incorporated into the quantity of electricity produced onsit</w:t>
      </w:r>
      <w:r w:rsidR="00092325">
        <w:t xml:space="preserve">e for use </w:t>
      </w:r>
      <w:r w:rsidR="00A763F3">
        <w:t>onsite.</w:t>
      </w:r>
    </w:p>
    <w:p w14:paraId="360AAE54" w14:textId="18118CC2" w:rsidR="00734C5E" w:rsidRDefault="00734C5E" w:rsidP="00734C5E">
      <w:pPr>
        <w:pStyle w:val="BodyText1"/>
      </w:pPr>
      <w:r>
        <w:t>If you</w:t>
      </w:r>
      <w:r w:rsidR="00F37178">
        <w:t>r</w:t>
      </w:r>
      <w:r>
        <w:t xml:space="preserve"> BESS charges from more than one source (such as charging from the grid as well as onsite generation or another offsite source), you will need to </w:t>
      </w:r>
      <w:r w:rsidR="00DA5AB5">
        <w:t>allocate</w:t>
      </w:r>
      <w:r>
        <w:t xml:space="preserve"> the BESS’s electricity consumption </w:t>
      </w:r>
      <w:r w:rsidR="00BB67CF">
        <w:t>to</w:t>
      </w:r>
      <w:r>
        <w:t xml:space="preserve"> each of the</w:t>
      </w:r>
      <w:r w:rsidR="00A41296">
        <w:t xml:space="preserve"> applicable</w:t>
      </w:r>
      <w:r>
        <w:t xml:space="preserve"> sources. You may estimate the BESS’s electricity consumption for each source by apportioning the BESS’s </w:t>
      </w:r>
      <w:r w:rsidR="00641979">
        <w:t>energy</w:t>
      </w:r>
      <w:r>
        <w:t xml:space="preserve"> consumption </w:t>
      </w:r>
      <w:r w:rsidR="00F240A9">
        <w:t xml:space="preserve">according to </w:t>
      </w:r>
      <w:r>
        <w:t>the amount of electricity entering the facility from each source.</w:t>
      </w:r>
    </w:p>
    <w:p w14:paraId="6B047F94" w14:textId="72198151" w:rsidR="00975B82" w:rsidRDefault="00975B82" w:rsidP="00975B82">
      <w:pPr>
        <w:rPr>
          <w:color w:val="000000"/>
          <w:szCs w:val="22"/>
          <w:shd w:val="clear" w:color="auto" w:fill="FFFFFF"/>
        </w:rPr>
      </w:pPr>
      <w:r w:rsidRPr="00D2141E">
        <w:rPr>
          <w:color w:val="000000"/>
          <w:szCs w:val="22"/>
          <w:shd w:val="clear" w:color="auto" w:fill="FFFFFF"/>
        </w:rPr>
        <w:t>Please contact us</w:t>
      </w:r>
      <w:r w:rsidRPr="005813B1">
        <w:rPr>
          <w:color w:val="000000"/>
          <w:szCs w:val="22"/>
          <w:shd w:val="clear" w:color="auto" w:fill="FFFFFF"/>
        </w:rPr>
        <w:t xml:space="preserve"> at </w:t>
      </w:r>
      <w:hyperlink r:id="rId60" w:history="1">
        <w:r w:rsidRPr="00B1543E">
          <w:rPr>
            <w:rStyle w:val="Hyperlink"/>
            <w:rFonts w:asciiTheme="minorHAnsi" w:hAnsiTheme="minorHAnsi"/>
            <w:szCs w:val="22"/>
            <w:shd w:val="clear" w:color="auto" w:fill="FFFFFF"/>
          </w:rPr>
          <w:t>cer-nger-reporting@cer.gov.au</w:t>
        </w:r>
      </w:hyperlink>
      <w:r>
        <w:rPr>
          <w:color w:val="000000"/>
          <w:szCs w:val="22"/>
          <w:shd w:val="clear" w:color="auto" w:fill="FFFFFF"/>
        </w:rPr>
        <w:t xml:space="preserve"> </w:t>
      </w:r>
      <w:r w:rsidRPr="00D2141E">
        <w:rPr>
          <w:color w:val="000000"/>
          <w:szCs w:val="22"/>
          <w:shd w:val="clear" w:color="auto" w:fill="FFFFFF"/>
        </w:rPr>
        <w:t>for further guidance</w:t>
      </w:r>
      <w:r w:rsidRPr="005813B1">
        <w:rPr>
          <w:color w:val="000000"/>
          <w:szCs w:val="22"/>
          <w:shd w:val="clear" w:color="auto" w:fill="FFFFFF"/>
        </w:rPr>
        <w:t xml:space="preserve">. Please </w:t>
      </w:r>
      <w:r w:rsidRPr="00D2141E">
        <w:rPr>
          <w:color w:val="000000"/>
          <w:szCs w:val="22"/>
          <w:shd w:val="clear" w:color="auto" w:fill="FFFFFF"/>
        </w:rPr>
        <w:t>includ</w:t>
      </w:r>
      <w:r w:rsidRPr="005813B1">
        <w:rPr>
          <w:color w:val="000000"/>
          <w:szCs w:val="22"/>
          <w:shd w:val="clear" w:color="auto" w:fill="FFFFFF"/>
        </w:rPr>
        <w:t>e</w:t>
      </w:r>
      <w:r w:rsidRPr="00D2141E">
        <w:rPr>
          <w:color w:val="000000"/>
          <w:szCs w:val="22"/>
          <w:shd w:val="clear" w:color="auto" w:fill="FFFFFF"/>
        </w:rPr>
        <w:t xml:space="preserve"> information about your facility-specific system configuration and metered data when you contact us.</w:t>
      </w:r>
    </w:p>
    <w:p w14:paraId="623052F3" w14:textId="56578245" w:rsidR="00147FDC" w:rsidRDefault="00147FDC" w:rsidP="00147FDC">
      <w:pPr>
        <w:pStyle w:val="Heading3"/>
        <w:numPr>
          <w:ilvl w:val="2"/>
          <w:numId w:val="3"/>
        </w:numPr>
        <w:ind w:left="709" w:hanging="709"/>
      </w:pPr>
      <w:bookmarkStart w:id="484" w:name="_Toc205461488"/>
      <w:r>
        <w:t>Reporting VPP activities</w:t>
      </w:r>
      <w:r w:rsidR="00526EA0">
        <w:t xml:space="preserve"> (a </w:t>
      </w:r>
      <w:r w:rsidR="00914EDD">
        <w:t>‘</w:t>
      </w:r>
      <w:r w:rsidR="00526EA0">
        <w:t>BESS network</w:t>
      </w:r>
      <w:r w:rsidR="00914EDD">
        <w:t>’)</w:t>
      </w:r>
      <w:bookmarkEnd w:id="484"/>
    </w:p>
    <w:p w14:paraId="72EB202C" w14:textId="3BA0370A" w:rsidR="00147FDC" w:rsidRPr="003E0875" w:rsidRDefault="00147FDC" w:rsidP="00147FDC">
      <w:pPr>
        <w:pStyle w:val="BodyText1"/>
      </w:pPr>
      <w:r w:rsidRPr="003E0875">
        <w:t xml:space="preserve">A Virtual Power Plant (VPP) is a network of distributed solar panel </w:t>
      </w:r>
      <w:r w:rsidR="00D71E34">
        <w:t xml:space="preserve">and battery energy storage </w:t>
      </w:r>
      <w:r w:rsidRPr="003E0875">
        <w:t xml:space="preserve">systems </w:t>
      </w:r>
      <w:r w:rsidR="00127000">
        <w:t xml:space="preserve">where the </w:t>
      </w:r>
      <w:r w:rsidR="0022740D">
        <w:t>BESS</w:t>
      </w:r>
      <w:r w:rsidR="00127000">
        <w:t xml:space="preserve"> may </w:t>
      </w:r>
      <w:r w:rsidR="00BF1B61">
        <w:t>be</w:t>
      </w:r>
      <w:r w:rsidR="00127000">
        <w:t xml:space="preserve"> charge</w:t>
      </w:r>
      <w:r w:rsidR="00BF1B61">
        <w:t>d</w:t>
      </w:r>
      <w:r w:rsidR="00127000">
        <w:t xml:space="preserve"> from the co</w:t>
      </w:r>
      <w:r w:rsidR="00532373">
        <w:t>-</w:t>
      </w:r>
      <w:r w:rsidR="00127000">
        <w:t xml:space="preserve">located solar panels or from </w:t>
      </w:r>
      <w:r w:rsidR="001B2D26">
        <w:t>the associated grid</w:t>
      </w:r>
      <w:r w:rsidRPr="003E0875">
        <w:t xml:space="preserve">. A VPP is considered a </w:t>
      </w:r>
      <w:r w:rsidR="0034780C">
        <w:t>‘</w:t>
      </w:r>
      <w:r>
        <w:t xml:space="preserve">designated </w:t>
      </w:r>
      <w:r w:rsidRPr="003E0875">
        <w:t>generation facility</w:t>
      </w:r>
      <w:r w:rsidR="0034780C">
        <w:t>’</w:t>
      </w:r>
      <w:r w:rsidRPr="003E0875">
        <w:t xml:space="preserve"> for the purposes of NGER reporting. </w:t>
      </w:r>
      <w:r w:rsidR="009720A3">
        <w:t>Electricity losses from</w:t>
      </w:r>
      <w:r w:rsidR="0022740D">
        <w:t xml:space="preserve"> a</w:t>
      </w:r>
      <w:r w:rsidR="009720A3">
        <w:t xml:space="preserve"> </w:t>
      </w:r>
      <w:r w:rsidR="0022740D">
        <w:t>BESS</w:t>
      </w:r>
      <w:r w:rsidR="009720A3">
        <w:t xml:space="preserve"> are likely </w:t>
      </w:r>
      <w:r w:rsidR="0063079F">
        <w:t xml:space="preserve">be the main activities reported at </w:t>
      </w:r>
      <w:r w:rsidR="009720A3">
        <w:t xml:space="preserve">a VPP facility. </w:t>
      </w:r>
      <w:r w:rsidR="00326B88">
        <w:t xml:space="preserve">The threshold for reporting consumption of electricity </w:t>
      </w:r>
      <w:r w:rsidR="008F7370">
        <w:t>from</w:t>
      </w:r>
      <w:r w:rsidR="00B017FC">
        <w:t xml:space="preserve"> outside the facility is 20,000 kWh</w:t>
      </w:r>
      <w:r w:rsidR="002C1876">
        <w:t xml:space="preserve">, as described in </w:t>
      </w:r>
      <w:r>
        <w:fldChar w:fldCharType="begin" w:fldLock="1"/>
      </w:r>
      <w:r>
        <w:instrText xml:space="preserve"> REF _Ref199338865 </w:instrText>
      </w:r>
      <w:r>
        <w:fldChar w:fldCharType="separate"/>
      </w:r>
      <w:r>
        <w:t xml:space="preserve">Table </w:t>
      </w:r>
      <w:r>
        <w:rPr>
          <w:noProof/>
        </w:rPr>
        <w:t>10</w:t>
      </w:r>
      <w:r>
        <w:fldChar w:fldCharType="end"/>
      </w:r>
      <w:r>
        <w:t xml:space="preserve"> and </w:t>
      </w:r>
      <w:r>
        <w:fldChar w:fldCharType="begin" w:fldLock="1"/>
      </w:r>
      <w:r>
        <w:instrText xml:space="preserve"> REF _Ref199338869 </w:instrText>
      </w:r>
      <w:r>
        <w:fldChar w:fldCharType="separate"/>
      </w:r>
      <w:r>
        <w:t xml:space="preserve">Table </w:t>
      </w:r>
      <w:r>
        <w:rPr>
          <w:noProof/>
        </w:rPr>
        <w:t>11</w:t>
      </w:r>
      <w:r>
        <w:fldChar w:fldCharType="end"/>
      </w:r>
      <w:r w:rsidRPr="003E0875">
        <w:t>.</w:t>
      </w:r>
    </w:p>
    <w:p w14:paraId="476D1437" w14:textId="0C6C590C" w:rsidR="00147FDC" w:rsidRPr="00FA15FF" w:rsidRDefault="00147FDC" w:rsidP="00FA15FF">
      <w:pPr>
        <w:pStyle w:val="BodyText1"/>
      </w:pPr>
      <w:r w:rsidRPr="003E0875">
        <w:t>As a decentralised facility, the facility boundar</w:t>
      </w:r>
      <w:r w:rsidR="00632632">
        <w:t>y</w:t>
      </w:r>
      <w:r w:rsidRPr="003E0875">
        <w:t xml:space="preserve"> of a VPP may </w:t>
      </w:r>
      <w:r w:rsidR="00E01196">
        <w:t xml:space="preserve">be </w:t>
      </w:r>
      <w:r w:rsidRPr="003E0875">
        <w:t>defined by contractual or operational factors rather than geographic proximity. The head office, or the location from which the VPP is controlled, is usually an appropriate address for the facility.</w:t>
      </w:r>
    </w:p>
    <w:p w14:paraId="11F6D4F0" w14:textId="77777777" w:rsidR="00A57A5C" w:rsidRPr="00FF338C" w:rsidRDefault="00A57A5C" w:rsidP="00DB4B56">
      <w:pPr>
        <w:pStyle w:val="Heading2"/>
        <w:numPr>
          <w:ilvl w:val="1"/>
          <w:numId w:val="3"/>
        </w:numPr>
        <w:ind w:left="426" w:hanging="426"/>
      </w:pPr>
      <w:bookmarkStart w:id="485" w:name="_Toc74235182"/>
      <w:bookmarkStart w:id="486" w:name="_Toc74235183"/>
      <w:bookmarkStart w:id="487" w:name="_Toc74235184"/>
      <w:bookmarkStart w:id="488" w:name="_Toc74235185"/>
      <w:bookmarkStart w:id="489" w:name="_Toc74235186"/>
      <w:bookmarkStart w:id="490" w:name="_Toc106705773"/>
      <w:bookmarkStart w:id="491" w:name="_Toc205461489"/>
      <w:bookmarkEnd w:id="485"/>
      <w:bookmarkEnd w:id="486"/>
      <w:bookmarkEnd w:id="487"/>
      <w:bookmarkEnd w:id="488"/>
      <w:bookmarkEnd w:id="489"/>
      <w:r w:rsidRPr="00FF338C">
        <w:t>Net Energy Consumption</w:t>
      </w:r>
      <w:bookmarkEnd w:id="432"/>
      <w:bookmarkEnd w:id="433"/>
      <w:bookmarkEnd w:id="434"/>
      <w:bookmarkEnd w:id="435"/>
      <w:bookmarkEnd w:id="436"/>
      <w:bookmarkEnd w:id="437"/>
      <w:bookmarkEnd w:id="438"/>
      <w:bookmarkEnd w:id="439"/>
      <w:bookmarkEnd w:id="440"/>
      <w:bookmarkEnd w:id="441"/>
      <w:bookmarkEnd w:id="490"/>
      <w:bookmarkEnd w:id="491"/>
    </w:p>
    <w:p w14:paraId="4553BC3A" w14:textId="684F2DEC" w:rsidR="00A57A5C" w:rsidRPr="00FF338C" w:rsidRDefault="590AA72E" w:rsidP="00A57A5C">
      <w:pPr>
        <w:rPr>
          <w:color w:val="auto"/>
        </w:rPr>
      </w:pPr>
      <w:r w:rsidRPr="50093466">
        <w:rPr>
          <w:color w:val="auto"/>
        </w:rPr>
        <w:t>CER</w:t>
      </w:r>
      <w:r w:rsidR="00A57A5C" w:rsidRPr="00FF338C">
        <w:rPr>
          <w:color w:val="auto"/>
        </w:rPr>
        <w:t xml:space="preserve"> is required to publish information on the net energy consumption of corporations registered under the NGER scheme by 28 February each year. The accuracy of this information is dependent on the quality of information provided in corporate NGER reports.</w:t>
      </w:r>
    </w:p>
    <w:p w14:paraId="3868CA06" w14:textId="77777777" w:rsidR="00A57A5C" w:rsidRPr="00FF338C" w:rsidRDefault="00A57A5C" w:rsidP="00A57A5C">
      <w:pPr>
        <w:pStyle w:val="Heading4"/>
      </w:pPr>
      <w:bookmarkStart w:id="492" w:name="_Toc526867730"/>
      <w:bookmarkStart w:id="493" w:name="_Toc526869772"/>
      <w:bookmarkStart w:id="494" w:name="_Toc205461490"/>
      <w:r w:rsidRPr="00FF338C">
        <w:t>Defining primary and secondary energy commodities</w:t>
      </w:r>
      <w:bookmarkEnd w:id="492"/>
      <w:bookmarkEnd w:id="493"/>
      <w:bookmarkEnd w:id="494"/>
    </w:p>
    <w:p w14:paraId="271B1090" w14:textId="419809E6" w:rsidR="00A57A5C" w:rsidRPr="00FF338C" w:rsidRDefault="00A57A5C" w:rsidP="00A57A5C">
      <w:pPr>
        <w:rPr>
          <w:color w:val="auto"/>
        </w:rPr>
      </w:pPr>
      <w:r w:rsidRPr="00FF338C">
        <w:rPr>
          <w:color w:val="auto"/>
        </w:rPr>
        <w:t xml:space="preserve">The calculation of net energy consumption is determined in part by the classification of each energy commodity defined in schedule 1 of the NGER Regulations as either </w:t>
      </w:r>
      <w:r w:rsidRPr="00872A70">
        <w:rPr>
          <w:iCs/>
          <w:color w:val="auto"/>
        </w:rPr>
        <w:t>primary</w:t>
      </w:r>
      <w:r w:rsidRPr="00FF338C">
        <w:rPr>
          <w:color w:val="auto"/>
        </w:rPr>
        <w:t xml:space="preserve"> or </w:t>
      </w:r>
      <w:r w:rsidRPr="00872A70">
        <w:rPr>
          <w:iCs/>
          <w:color w:val="auto"/>
        </w:rPr>
        <w:t>secondary</w:t>
      </w:r>
      <w:r w:rsidRPr="00FF338C">
        <w:rPr>
          <w:color w:val="auto"/>
        </w:rPr>
        <w:t xml:space="preserve"> energy. These designations are defined as follows in </w:t>
      </w:r>
      <w:r w:rsidR="00F25553">
        <w:rPr>
          <w:color w:val="auto"/>
        </w:rPr>
        <w:t xml:space="preserve">1.03 of the </w:t>
      </w:r>
      <w:r w:rsidRPr="00FF338C">
        <w:rPr>
          <w:color w:val="auto"/>
        </w:rPr>
        <w:t>NGER Regulation</w:t>
      </w:r>
      <w:r w:rsidR="00F25553">
        <w:rPr>
          <w:color w:val="auto"/>
        </w:rPr>
        <w:t>s</w:t>
      </w:r>
      <w:r w:rsidRPr="00FF338C">
        <w:rPr>
          <w:color w:val="auto"/>
        </w:rPr>
        <w:t>:</w:t>
      </w:r>
    </w:p>
    <w:p w14:paraId="5457299F" w14:textId="252CEC6F" w:rsidR="00A57A5C" w:rsidRPr="00FF338C" w:rsidRDefault="006D26ED" w:rsidP="00B3330E">
      <w:pPr>
        <w:pStyle w:val="CERnumbering"/>
        <w:numPr>
          <w:ilvl w:val="0"/>
          <w:numId w:val="8"/>
        </w:numPr>
      </w:pPr>
      <w:proofErr w:type="gramStart"/>
      <w:r>
        <w:rPr>
          <w:szCs w:val="22"/>
        </w:rPr>
        <w:t>p</w:t>
      </w:r>
      <w:r w:rsidR="00A57A5C" w:rsidRPr="00FE31CC">
        <w:rPr>
          <w:szCs w:val="22"/>
        </w:rPr>
        <w:t>rimary</w:t>
      </w:r>
      <w:proofErr w:type="gramEnd"/>
      <w:r w:rsidR="00A57A5C" w:rsidRPr="00FE31CC">
        <w:rPr>
          <w:szCs w:val="22"/>
        </w:rPr>
        <w:t xml:space="preserve"> fuel or energy commodity</w:t>
      </w:r>
      <w:r w:rsidR="00A57A5C" w:rsidRPr="00FF338C">
        <w:rPr>
          <w:b/>
          <w:bCs/>
          <w:i/>
          <w:iCs/>
          <w:szCs w:val="22"/>
        </w:rPr>
        <w:t xml:space="preserve"> </w:t>
      </w:r>
      <w:r w:rsidR="00A57A5C" w:rsidRPr="00FF338C">
        <w:rPr>
          <w:szCs w:val="22"/>
        </w:rPr>
        <w:t xml:space="preserve">means a fuel or energy </w:t>
      </w:r>
      <w:r w:rsidR="00A57A5C" w:rsidRPr="00FF338C">
        <w:t>commodity</w:t>
      </w:r>
      <w:r w:rsidR="00A57A5C" w:rsidRPr="00FF338C">
        <w:rPr>
          <w:szCs w:val="22"/>
        </w:rPr>
        <w:t xml:space="preserve"> extracted or captured from natural sources with minimal processing</w:t>
      </w:r>
    </w:p>
    <w:p w14:paraId="2EE49347" w14:textId="3DE3256F" w:rsidR="00A57A5C" w:rsidRPr="00FF338C" w:rsidRDefault="006D26ED" w:rsidP="00B3330E">
      <w:pPr>
        <w:pStyle w:val="CERnumbering"/>
        <w:numPr>
          <w:ilvl w:val="0"/>
          <w:numId w:val="8"/>
        </w:numPr>
      </w:pPr>
      <w:proofErr w:type="gramStart"/>
      <w:r>
        <w:rPr>
          <w:szCs w:val="22"/>
        </w:rPr>
        <w:t>s</w:t>
      </w:r>
      <w:r w:rsidR="00A57A5C" w:rsidRPr="00FE31CC">
        <w:rPr>
          <w:szCs w:val="22"/>
        </w:rPr>
        <w:t>econdary</w:t>
      </w:r>
      <w:proofErr w:type="gramEnd"/>
      <w:r w:rsidR="00A57A5C" w:rsidRPr="00FE31CC">
        <w:rPr>
          <w:szCs w:val="22"/>
        </w:rPr>
        <w:t xml:space="preserve"> fuel or energy commodity</w:t>
      </w:r>
      <w:r w:rsidR="00A57A5C" w:rsidRPr="00FF338C">
        <w:rPr>
          <w:b/>
          <w:bCs/>
          <w:i/>
          <w:iCs/>
          <w:szCs w:val="22"/>
        </w:rPr>
        <w:t xml:space="preserve"> </w:t>
      </w:r>
      <w:r w:rsidR="00A57A5C" w:rsidRPr="00FF338C">
        <w:rPr>
          <w:szCs w:val="22"/>
        </w:rPr>
        <w:t xml:space="preserve">means a fuel or </w:t>
      </w:r>
      <w:r w:rsidR="00A57A5C" w:rsidRPr="00FF338C">
        <w:t>energy</w:t>
      </w:r>
      <w:r w:rsidR="00A57A5C" w:rsidRPr="00FF338C">
        <w:rPr>
          <w:szCs w:val="22"/>
        </w:rPr>
        <w:t xml:space="preserve"> commodity produced by converting energy from one form to another form for consumption.</w:t>
      </w:r>
    </w:p>
    <w:p w14:paraId="11F2CE75" w14:textId="77777777" w:rsidR="00A57A5C" w:rsidRPr="00FF338C" w:rsidRDefault="00A57A5C" w:rsidP="00A57A5C">
      <w:pPr>
        <w:rPr>
          <w:color w:val="auto"/>
        </w:rPr>
      </w:pPr>
      <w:r w:rsidRPr="00FF338C">
        <w:rPr>
          <w:color w:val="auto"/>
        </w:rPr>
        <w:t>In the electricity generation sector, primary energy commodities are typically fuels and renewable energy commodities consumed by generating facilities. Electricity is a secondary energy commodity under NGER.</w:t>
      </w:r>
    </w:p>
    <w:p w14:paraId="2AE712CE" w14:textId="77777777" w:rsidR="00A57A5C" w:rsidRPr="00FF338C" w:rsidRDefault="00A57A5C" w:rsidP="00A57A5C">
      <w:pPr>
        <w:pStyle w:val="Heading4"/>
      </w:pPr>
      <w:bookmarkStart w:id="495" w:name="_Toc526867731"/>
      <w:bookmarkStart w:id="496" w:name="_Toc526869773"/>
      <w:bookmarkStart w:id="497" w:name="_Toc205461491"/>
      <w:r w:rsidRPr="00FF338C">
        <w:t>Calculating net energy consumption</w:t>
      </w:r>
      <w:bookmarkEnd w:id="495"/>
      <w:bookmarkEnd w:id="496"/>
      <w:bookmarkEnd w:id="497"/>
    </w:p>
    <w:p w14:paraId="7DC93A6E" w14:textId="27449794" w:rsidR="00A57A5C" w:rsidRPr="00FF338C" w:rsidRDefault="00F25553" w:rsidP="00A57A5C">
      <w:pPr>
        <w:rPr>
          <w:color w:val="auto"/>
        </w:rPr>
      </w:pPr>
      <w:r>
        <w:rPr>
          <w:color w:val="auto"/>
        </w:rPr>
        <w:t xml:space="preserve">5.03 of the </w:t>
      </w:r>
      <w:r w:rsidR="00A57A5C" w:rsidRPr="00FF338C">
        <w:rPr>
          <w:color w:val="auto"/>
        </w:rPr>
        <w:t>NGER Regulation</w:t>
      </w:r>
      <w:r>
        <w:rPr>
          <w:color w:val="auto"/>
        </w:rPr>
        <w:t>s</w:t>
      </w:r>
      <w:r w:rsidR="00A57A5C" w:rsidRPr="00FF338C">
        <w:rPr>
          <w:color w:val="auto"/>
        </w:rPr>
        <w:t xml:space="preserve"> </w:t>
      </w:r>
      <w:r w:rsidR="00A57A5C">
        <w:rPr>
          <w:color w:val="auto"/>
        </w:rPr>
        <w:t xml:space="preserve">defines the calculation for net energy consumption </w:t>
      </w:r>
      <w:r w:rsidR="00A57A5C" w:rsidRPr="00FF338C">
        <w:rPr>
          <w:color w:val="auto"/>
        </w:rPr>
        <w:t>as follow</w:t>
      </w:r>
      <w:r w:rsidR="00A57A5C">
        <w:rPr>
          <w:color w:val="auto"/>
        </w:rPr>
        <w:t>s</w:t>
      </w:r>
      <w:r w:rsidR="00A57A5C" w:rsidRPr="00FF338C">
        <w:rPr>
          <w:color w:val="auto"/>
        </w:rPr>
        <w:t xml:space="preserve">: </w:t>
      </w:r>
    </w:p>
    <w:p w14:paraId="2BD386BF" w14:textId="77777777" w:rsidR="00A57A5C" w:rsidRPr="00FF338C" w:rsidRDefault="00A57A5C" w:rsidP="00B3330E">
      <w:pPr>
        <w:pStyle w:val="CERnumbering"/>
        <w:numPr>
          <w:ilvl w:val="0"/>
          <w:numId w:val="8"/>
        </w:numPr>
      </w:pPr>
      <w:r w:rsidRPr="00FE31CC">
        <w:t>Step 1:</w:t>
      </w:r>
      <w:r w:rsidRPr="00FF338C">
        <w:t xml:space="preserve"> For each facility of the </w:t>
      </w:r>
      <w:r w:rsidRPr="00FF338C">
        <w:rPr>
          <w:szCs w:val="22"/>
        </w:rPr>
        <w:t>corporation’s</w:t>
      </w:r>
      <w:r w:rsidRPr="00FF338C">
        <w:t xml:space="preserve"> group, adjust the facility’s energy consumption by deducting the energy content of the secondary fuels and energy commodities produced from the operation of the facility from the total energy consumed by the operation of the facility.</w:t>
      </w:r>
    </w:p>
    <w:p w14:paraId="6CE51FBB" w14:textId="77777777" w:rsidR="00A57A5C" w:rsidRPr="00FF338C" w:rsidRDefault="00A57A5C" w:rsidP="00B3330E">
      <w:pPr>
        <w:pStyle w:val="CERnumbering"/>
        <w:numPr>
          <w:ilvl w:val="0"/>
          <w:numId w:val="8"/>
        </w:numPr>
      </w:pPr>
      <w:r w:rsidRPr="00FE31CC">
        <w:t>Step 2:</w:t>
      </w:r>
      <w:r w:rsidRPr="00FF338C">
        <w:t xml:space="preserve"> </w:t>
      </w:r>
      <w:proofErr w:type="gramStart"/>
      <w:r w:rsidRPr="00FF338C">
        <w:t>Add together</w:t>
      </w:r>
      <w:proofErr w:type="gramEnd"/>
      <w:r w:rsidRPr="00FF338C">
        <w:t xml:space="preserve"> each result in step 1.</w:t>
      </w:r>
    </w:p>
    <w:p w14:paraId="2CFF3AAD" w14:textId="77777777" w:rsidR="00A57A5C" w:rsidRPr="00FF338C" w:rsidRDefault="00A57A5C" w:rsidP="00A57A5C">
      <w:pPr>
        <w:ind w:firstLine="360"/>
        <w:rPr>
          <w:color w:val="auto"/>
        </w:rPr>
      </w:pPr>
      <w:r w:rsidRPr="00FF338C">
        <w:rPr>
          <w:color w:val="auto"/>
        </w:rPr>
        <w:t>This can be represented by the following equation:</w:t>
      </w:r>
    </w:p>
    <w:p w14:paraId="567ACE7F" w14:textId="77777777" w:rsidR="00A57A5C" w:rsidRPr="00FF338C" w:rsidRDefault="00A57A5C" w:rsidP="00A57A5C">
      <m:oMathPara>
        <m:oMathParaPr>
          <m:jc m:val="center"/>
        </m:oMathParaPr>
        <m:oMath>
          <m:r>
            <w:rPr>
              <w:rFonts w:ascii="Cambria Math" w:hAnsi="Cambria Math"/>
            </w:rPr>
            <m:t>Net Energy Consumption=</m:t>
          </m:r>
          <m:nary>
            <m:naryPr>
              <m:chr m:val="∑"/>
              <m:subHide m:val="1"/>
              <m:supHide m:val="1"/>
              <m:ctrlPr>
                <w:rPr>
                  <w:rFonts w:ascii="Cambria Math" w:hAnsi="Cambria Math"/>
                  <w:i/>
                </w:rPr>
              </m:ctrlPr>
            </m:naryPr>
            <m:sub/>
            <m:sup/>
            <m:e>
              <m:r>
                <w:rPr>
                  <w:rFonts w:ascii="Cambria Math" w:hAnsi="Cambria Math"/>
                </w:rPr>
                <m:t>Energy Consumption</m:t>
              </m:r>
            </m:e>
          </m:nary>
          <m:r>
            <w:rPr>
              <w:rFonts w:ascii="Cambria Math" w:hAnsi="Cambria Math"/>
            </w:rPr>
            <m:t xml:space="preserve">- </m:t>
          </m:r>
          <m:nary>
            <m:naryPr>
              <m:chr m:val="∑"/>
              <m:subHide m:val="1"/>
              <m:supHide m:val="1"/>
              <m:ctrlPr>
                <w:rPr>
                  <w:rFonts w:ascii="Cambria Math" w:hAnsi="Cambria Math"/>
                  <w:i/>
                </w:rPr>
              </m:ctrlPr>
            </m:naryPr>
            <m:sub/>
            <m:sup/>
            <m:e>
              <m:r>
                <w:rPr>
                  <w:rFonts w:ascii="Cambria Math" w:hAnsi="Cambria Math"/>
                </w:rPr>
                <m:t>Secondary Energy Production</m:t>
              </m:r>
            </m:e>
          </m:nary>
        </m:oMath>
      </m:oMathPara>
    </w:p>
    <w:p w14:paraId="18625B77" w14:textId="0B84837A" w:rsidR="00A57A5C" w:rsidRPr="00FF338C" w:rsidRDefault="00A57A5C" w:rsidP="00A57A5C">
      <w:pPr>
        <w:spacing w:after="0"/>
      </w:pPr>
      <w:r w:rsidRPr="00FF338C">
        <w:t>Given EERS automates this calculation, the allocation of individual energy commodities as either primary or secondary is critical to ensuring the net energy consumption is appropriately calculated.</w:t>
      </w:r>
      <w:r w:rsidRPr="00FF338C">
        <w:br w:type="page"/>
      </w:r>
    </w:p>
    <w:p w14:paraId="105B9C35" w14:textId="77777777" w:rsidR="00A57A5C" w:rsidRPr="00FF338C" w:rsidRDefault="00A57A5C" w:rsidP="00B3330E">
      <w:pPr>
        <w:pStyle w:val="Heading1"/>
        <w:numPr>
          <w:ilvl w:val="0"/>
          <w:numId w:val="3"/>
        </w:numPr>
        <w:rPr>
          <w:lang w:val="en-GB"/>
        </w:rPr>
      </w:pPr>
      <w:bookmarkStart w:id="498" w:name="_Measurement_requirements"/>
      <w:bookmarkStart w:id="499" w:name="_Ref511816645"/>
      <w:bookmarkStart w:id="500" w:name="_Toc512010422"/>
      <w:bookmarkStart w:id="501" w:name="_Toc512339621"/>
      <w:bookmarkStart w:id="502" w:name="_Toc106705774"/>
      <w:bookmarkStart w:id="503" w:name="_Toc205461492"/>
      <w:bookmarkEnd w:id="498"/>
      <w:r w:rsidRPr="00FF338C">
        <w:rPr>
          <w:lang w:val="en-GB"/>
        </w:rPr>
        <w:t>Measurement requirements</w:t>
      </w:r>
      <w:bookmarkEnd w:id="499"/>
      <w:bookmarkEnd w:id="500"/>
      <w:bookmarkEnd w:id="501"/>
      <w:bookmarkEnd w:id="502"/>
      <w:bookmarkEnd w:id="503"/>
    </w:p>
    <w:p w14:paraId="258444AB" w14:textId="77777777" w:rsidR="00A57A5C" w:rsidRPr="00FF338C" w:rsidRDefault="00A57A5C" w:rsidP="00A57A5C">
      <w:bookmarkStart w:id="504" w:name="_Ref511374324"/>
      <w:bookmarkStart w:id="505" w:name="_Toc511376921"/>
      <w:r w:rsidRPr="00FF338C">
        <w:t xml:space="preserve">To estimate emissions and report energy data accurately and completely, appropriate measurements of activity or source data </w:t>
      </w:r>
      <w:r w:rsidRPr="00FF338C" w:rsidDel="001140EE">
        <w:t xml:space="preserve">should </w:t>
      </w:r>
      <w:r w:rsidRPr="00FF338C">
        <w:t>be performed. Along with the quantity of electricity produced, measurement of the quantity of fuel combusted for generation comprises the key activity data to measure for NGER purposes.</w:t>
      </w:r>
    </w:p>
    <w:p w14:paraId="5E4B1C6D" w14:textId="77777777" w:rsidR="00A57A5C" w:rsidRPr="00FF338C" w:rsidRDefault="00A57A5C" w:rsidP="00A57A5C">
      <w:r w:rsidRPr="00FF338C">
        <w:t xml:space="preserve">This </w:t>
      </w:r>
      <w:r>
        <w:t>chapter</w:t>
      </w:r>
      <w:r w:rsidRPr="00FF338C">
        <w:t xml:space="preserve"> provides a summary of the measurement requirements.</w:t>
      </w:r>
    </w:p>
    <w:p w14:paraId="028E664E" w14:textId="77777777" w:rsidR="00A57A5C" w:rsidRPr="00FF338C" w:rsidRDefault="00A57A5C" w:rsidP="00DB4B56">
      <w:pPr>
        <w:pStyle w:val="Heading2"/>
        <w:numPr>
          <w:ilvl w:val="1"/>
          <w:numId w:val="3"/>
        </w:numPr>
        <w:ind w:left="426" w:hanging="426"/>
      </w:pPr>
      <w:bookmarkStart w:id="506" w:name="_Measurement_Criteria"/>
      <w:bookmarkStart w:id="507" w:name="_Toc512010423"/>
      <w:bookmarkStart w:id="508" w:name="_Toc512339622"/>
      <w:bookmarkStart w:id="509" w:name="_Toc106705775"/>
      <w:bookmarkStart w:id="510" w:name="_Toc205461493"/>
      <w:bookmarkEnd w:id="504"/>
      <w:bookmarkEnd w:id="505"/>
      <w:bookmarkEnd w:id="506"/>
      <w:r w:rsidRPr="00FF338C">
        <w:t>Measurement Criteria</w:t>
      </w:r>
      <w:bookmarkEnd w:id="507"/>
      <w:bookmarkEnd w:id="508"/>
      <w:bookmarkEnd w:id="509"/>
      <w:bookmarkEnd w:id="510"/>
    </w:p>
    <w:p w14:paraId="2BF7769C" w14:textId="77777777" w:rsidR="00A57A5C" w:rsidRPr="00FF338C" w:rsidRDefault="00A57A5C" w:rsidP="00A57A5C">
      <w:r w:rsidRPr="00FF338C">
        <w:t xml:space="preserve">The measurement requirements for measuring quantities of solid, gaseous, and liquid fuels are set out in Divisions 2.2.5, 2.3.6 and 2.4.6 respectively of the </w:t>
      </w:r>
      <w:r>
        <w:t>NGER Measurement Determination</w:t>
      </w:r>
      <w:r w:rsidRPr="00FF338C">
        <w:t>.</w:t>
      </w:r>
    </w:p>
    <w:p w14:paraId="4F8E01F6" w14:textId="597B999F" w:rsidR="00A57A5C" w:rsidRPr="00FF338C" w:rsidRDefault="00B60AED" w:rsidP="00A57A5C">
      <w:r>
        <w:fldChar w:fldCharType="begin" w:fldLock="1"/>
      </w:r>
      <w:r>
        <w:instrText xml:space="preserve"> REF _Ref199339013 </w:instrText>
      </w:r>
      <w:r>
        <w:fldChar w:fldCharType="separate"/>
      </w:r>
      <w:r>
        <w:t xml:space="preserve">Table </w:t>
      </w:r>
      <w:r>
        <w:rPr>
          <w:noProof/>
        </w:rPr>
        <w:t>16</w:t>
      </w:r>
      <w:r>
        <w:fldChar w:fldCharType="end"/>
      </w:r>
      <w:r>
        <w:t xml:space="preserve"> </w:t>
      </w:r>
      <w:r w:rsidR="00A57A5C" w:rsidRPr="00FF338C">
        <w:t>provides the general measurement requirements available in NGER for measurement of fuel quantities.</w:t>
      </w:r>
    </w:p>
    <w:p w14:paraId="7F60C76E" w14:textId="0047F6F6" w:rsidR="00A96F78" w:rsidRDefault="00A96F78" w:rsidP="0088399B">
      <w:pPr>
        <w:pStyle w:val="Caption"/>
        <w:keepNext/>
      </w:pPr>
      <w:bookmarkStart w:id="511" w:name="_Ref199339013"/>
      <w:r>
        <w:t xml:space="preserve">Table </w:t>
      </w:r>
      <w:r>
        <w:fldChar w:fldCharType="begin"/>
      </w:r>
      <w:r>
        <w:instrText xml:space="preserve"> SEQ Table \* ARABIC </w:instrText>
      </w:r>
      <w:r>
        <w:fldChar w:fldCharType="separate"/>
      </w:r>
      <w:r w:rsidR="004B0870">
        <w:rPr>
          <w:noProof/>
        </w:rPr>
        <w:t>16</w:t>
      </w:r>
      <w:r>
        <w:fldChar w:fldCharType="end"/>
      </w:r>
      <w:bookmarkEnd w:id="511"/>
      <w:r>
        <w:t xml:space="preserve"> – Measurement requirements generally available in NGER.</w:t>
      </w:r>
    </w:p>
    <w:tbl>
      <w:tblPr>
        <w:tblStyle w:val="CERTable"/>
        <w:tblW w:w="9415" w:type="dxa"/>
        <w:tblLook w:val="04A0" w:firstRow="1" w:lastRow="0" w:firstColumn="1" w:lastColumn="0" w:noHBand="0" w:noVBand="1"/>
      </w:tblPr>
      <w:tblGrid>
        <w:gridCol w:w="1398"/>
        <w:gridCol w:w="2226"/>
        <w:gridCol w:w="2046"/>
        <w:gridCol w:w="1841"/>
        <w:gridCol w:w="1904"/>
      </w:tblGrid>
      <w:tr w:rsidR="009B58BD" w:rsidRPr="00C64711" w14:paraId="509D4987" w14:textId="77777777" w:rsidTr="00D111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8" w:type="dxa"/>
          </w:tcPr>
          <w:p w14:paraId="0E3ADAA7" w14:textId="7BE23170" w:rsidR="00576B80" w:rsidRPr="00872A70" w:rsidRDefault="00576B80">
            <w:pPr>
              <w:pStyle w:val="Body"/>
              <w:ind w:left="0"/>
              <w:rPr>
                <w:rFonts w:asciiTheme="minorHAnsi" w:hAnsiTheme="minorHAnsi"/>
                <w:sz w:val="22"/>
                <w:szCs w:val="22"/>
              </w:rPr>
            </w:pPr>
            <w:r>
              <w:rPr>
                <w:rFonts w:asciiTheme="minorHAnsi" w:hAnsiTheme="minorHAnsi"/>
                <w:sz w:val="22"/>
                <w:szCs w:val="22"/>
              </w:rPr>
              <w:t>Criterion</w:t>
            </w:r>
          </w:p>
        </w:tc>
        <w:tc>
          <w:tcPr>
            <w:tcW w:w="2226" w:type="dxa"/>
          </w:tcPr>
          <w:p w14:paraId="67E379EF" w14:textId="0943EF2A" w:rsidR="00576B80" w:rsidRPr="00872A70" w:rsidRDefault="00576B80">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Criterion AAA</w:t>
            </w:r>
          </w:p>
        </w:tc>
        <w:tc>
          <w:tcPr>
            <w:tcW w:w="2046" w:type="dxa"/>
          </w:tcPr>
          <w:p w14:paraId="1CC9BD90" w14:textId="77777777" w:rsidR="00576B80" w:rsidRPr="00872A70" w:rsidRDefault="00576B80">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Criterion AA</w:t>
            </w:r>
          </w:p>
        </w:tc>
        <w:tc>
          <w:tcPr>
            <w:tcW w:w="1841" w:type="dxa"/>
          </w:tcPr>
          <w:p w14:paraId="0279FAD5" w14:textId="77777777" w:rsidR="00576B80" w:rsidRPr="00872A70" w:rsidRDefault="00576B80">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Criterion A</w:t>
            </w:r>
          </w:p>
        </w:tc>
        <w:tc>
          <w:tcPr>
            <w:tcW w:w="1904" w:type="dxa"/>
          </w:tcPr>
          <w:p w14:paraId="1C9875BA" w14:textId="77777777" w:rsidR="00576B80" w:rsidRPr="00872A70" w:rsidRDefault="00576B80">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Criterion BBB</w:t>
            </w:r>
          </w:p>
        </w:tc>
      </w:tr>
      <w:tr w:rsidR="00507BE7" w:rsidRPr="00C64711" w14:paraId="2B560DF5" w14:textId="77777777" w:rsidTr="00835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8" w:type="dxa"/>
          </w:tcPr>
          <w:p w14:paraId="33006119" w14:textId="2BB8B343" w:rsidR="00576B80" w:rsidRPr="0088399B" w:rsidRDefault="00A924C7">
            <w:pPr>
              <w:pStyle w:val="Body"/>
              <w:ind w:left="0"/>
              <w:rPr>
                <w:rFonts w:asciiTheme="minorHAnsi" w:hAnsiTheme="minorHAnsi"/>
                <w:sz w:val="22"/>
                <w:szCs w:val="22"/>
              </w:rPr>
            </w:pPr>
            <w:r w:rsidRPr="007D0A6E">
              <w:rPr>
                <w:rFonts w:asciiTheme="minorHAnsi" w:hAnsiTheme="minorHAnsi"/>
                <w:sz w:val="22"/>
                <w:szCs w:val="22"/>
              </w:rPr>
              <w:t>Description</w:t>
            </w:r>
          </w:p>
        </w:tc>
        <w:tc>
          <w:tcPr>
            <w:tcW w:w="2226" w:type="dxa"/>
          </w:tcPr>
          <w:p w14:paraId="4F1CD1B8" w14:textId="479B7C67" w:rsidR="00576B80" w:rsidRPr="0088399B" w:rsidRDefault="00576B80">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576B80">
              <w:rPr>
                <w:rFonts w:asciiTheme="minorHAnsi" w:hAnsiTheme="minorHAnsi"/>
                <w:sz w:val="22"/>
                <w:szCs w:val="22"/>
              </w:rPr>
              <w:t>Quantity measured at point of sale or consumption</w:t>
            </w:r>
          </w:p>
        </w:tc>
        <w:tc>
          <w:tcPr>
            <w:tcW w:w="2046" w:type="dxa"/>
          </w:tcPr>
          <w:p w14:paraId="1FA65D5B" w14:textId="77777777" w:rsidR="00576B80" w:rsidRPr="00872A70" w:rsidRDefault="00576B80">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Quantity verified by stockpile change estimation and invoices</w:t>
            </w:r>
          </w:p>
        </w:tc>
        <w:tc>
          <w:tcPr>
            <w:tcW w:w="1841" w:type="dxa"/>
          </w:tcPr>
          <w:p w14:paraId="4C5839E9" w14:textId="77777777" w:rsidR="00576B80" w:rsidRPr="00872A70" w:rsidRDefault="00576B80">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Quantity verified by invoices</w:t>
            </w:r>
          </w:p>
        </w:tc>
        <w:tc>
          <w:tcPr>
            <w:tcW w:w="1904" w:type="dxa"/>
          </w:tcPr>
          <w:p w14:paraId="6FB26EEB" w14:textId="77777777" w:rsidR="00576B80" w:rsidRPr="00872A70" w:rsidRDefault="00576B80">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Quantity measured or estimated in line with industry practice</w:t>
            </w:r>
          </w:p>
        </w:tc>
      </w:tr>
      <w:tr w:rsidR="00A027A0" w:rsidRPr="00C64711" w14:paraId="4094A718" w14:textId="77777777" w:rsidTr="008355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8" w:type="dxa"/>
            <w:tcBorders>
              <w:bottom w:val="nil"/>
            </w:tcBorders>
          </w:tcPr>
          <w:p w14:paraId="31B5FADB" w14:textId="58A00142" w:rsidR="00576B80" w:rsidRPr="0088399B" w:rsidRDefault="00A924C7">
            <w:pPr>
              <w:pStyle w:val="Body"/>
              <w:ind w:left="0"/>
              <w:rPr>
                <w:rFonts w:asciiTheme="minorHAnsi" w:hAnsiTheme="minorHAnsi"/>
                <w:sz w:val="22"/>
                <w:szCs w:val="22"/>
              </w:rPr>
            </w:pPr>
            <w:r>
              <w:rPr>
                <w:rFonts w:asciiTheme="minorHAnsi" w:hAnsiTheme="minorHAnsi"/>
                <w:sz w:val="22"/>
                <w:szCs w:val="22"/>
              </w:rPr>
              <w:t>Example</w:t>
            </w:r>
          </w:p>
        </w:tc>
        <w:tc>
          <w:tcPr>
            <w:tcW w:w="2226" w:type="dxa"/>
            <w:tcBorders>
              <w:bottom w:val="nil"/>
            </w:tcBorders>
          </w:tcPr>
          <w:p w14:paraId="1F6228BA" w14:textId="371B7878" w:rsidR="00576B80" w:rsidRPr="0088399B" w:rsidRDefault="00A924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Pr>
                <w:rFonts w:asciiTheme="minorHAnsi" w:hAnsiTheme="minorHAnsi"/>
                <w:sz w:val="22"/>
                <w:szCs w:val="22"/>
              </w:rPr>
              <w:t>M</w:t>
            </w:r>
            <w:r w:rsidR="00576B80" w:rsidRPr="00576B80">
              <w:rPr>
                <w:rFonts w:asciiTheme="minorHAnsi" w:hAnsiTheme="minorHAnsi"/>
                <w:sz w:val="22"/>
                <w:szCs w:val="22"/>
              </w:rPr>
              <w:t>ass measurement of solid fuel quantities at point of combustion using equipment calibrated to the measurement requirement</w:t>
            </w:r>
          </w:p>
        </w:tc>
        <w:tc>
          <w:tcPr>
            <w:tcW w:w="2046" w:type="dxa"/>
            <w:tcBorders>
              <w:bottom w:val="nil"/>
            </w:tcBorders>
          </w:tcPr>
          <w:p w14:paraId="13C12E4E" w14:textId="5C11553B" w:rsidR="00576B80" w:rsidRPr="00872A70" w:rsidRDefault="00A924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Pr>
                <w:rFonts w:asciiTheme="minorHAnsi" w:hAnsiTheme="minorHAnsi"/>
                <w:sz w:val="22"/>
                <w:szCs w:val="22"/>
              </w:rPr>
              <w:t>E</w:t>
            </w:r>
            <w:r w:rsidR="00576B80" w:rsidRPr="00872A70">
              <w:rPr>
                <w:rFonts w:asciiTheme="minorHAnsi" w:hAnsiTheme="minorHAnsi"/>
                <w:sz w:val="22"/>
                <w:szCs w:val="22"/>
              </w:rPr>
              <w:t>stimating the change in the quantity of the stockpile of gaseous fuel as evidenced by invoices from a fuel vendor</w:t>
            </w:r>
          </w:p>
        </w:tc>
        <w:tc>
          <w:tcPr>
            <w:tcW w:w="1841" w:type="dxa"/>
            <w:tcBorders>
              <w:bottom w:val="nil"/>
            </w:tcBorders>
          </w:tcPr>
          <w:p w14:paraId="751A2BCB" w14:textId="7709C4DE" w:rsidR="00576B80" w:rsidRPr="00872A70" w:rsidRDefault="00A924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Pr>
                <w:rFonts w:asciiTheme="minorHAnsi" w:hAnsiTheme="minorHAnsi"/>
                <w:sz w:val="22"/>
                <w:szCs w:val="22"/>
              </w:rPr>
              <w:t>U</w:t>
            </w:r>
            <w:r w:rsidR="00576B80" w:rsidRPr="00872A70">
              <w:rPr>
                <w:rFonts w:asciiTheme="minorHAnsi" w:hAnsiTheme="minorHAnsi"/>
                <w:sz w:val="22"/>
                <w:szCs w:val="22"/>
              </w:rPr>
              <w:t>sing vendor invoices as evidence of quantity of gaseous fuel purchased</w:t>
            </w:r>
          </w:p>
        </w:tc>
        <w:tc>
          <w:tcPr>
            <w:tcW w:w="1904" w:type="dxa"/>
            <w:tcBorders>
              <w:bottom w:val="nil"/>
            </w:tcBorders>
          </w:tcPr>
          <w:p w14:paraId="080EF333" w14:textId="3A288F49" w:rsidR="00576B80" w:rsidRPr="00872A70" w:rsidRDefault="00A924C7">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Pr>
                <w:rFonts w:asciiTheme="minorHAnsi" w:hAnsiTheme="minorHAnsi"/>
                <w:sz w:val="22"/>
                <w:szCs w:val="22"/>
              </w:rPr>
              <w:t>C</w:t>
            </w:r>
            <w:r w:rsidR="00576B80" w:rsidRPr="00872A70">
              <w:rPr>
                <w:rFonts w:asciiTheme="minorHAnsi" w:hAnsiTheme="minorHAnsi"/>
                <w:sz w:val="22"/>
                <w:szCs w:val="22"/>
              </w:rPr>
              <w:t>alculation based on metering which does not meet AAA requirements</w:t>
            </w:r>
          </w:p>
        </w:tc>
      </w:tr>
      <w:tr w:rsidR="00A027A0" w:rsidRPr="00C64711" w14:paraId="6A1E615D" w14:textId="77777777" w:rsidTr="008355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8" w:type="dxa"/>
            <w:tcBorders>
              <w:bottom w:val="single" w:sz="4" w:space="0" w:color="FCBA5C" w:themeColor="accent2"/>
            </w:tcBorders>
          </w:tcPr>
          <w:p w14:paraId="105C9CFE" w14:textId="5ADF664D" w:rsidR="00576B80" w:rsidRPr="0088399B" w:rsidRDefault="00A924C7" w:rsidP="00A96F78">
            <w:pPr>
              <w:pStyle w:val="Body"/>
              <w:ind w:left="0"/>
              <w:rPr>
                <w:rFonts w:asciiTheme="minorHAnsi" w:hAnsiTheme="minorHAnsi"/>
                <w:sz w:val="22"/>
                <w:szCs w:val="22"/>
              </w:rPr>
            </w:pPr>
            <w:r>
              <w:rPr>
                <w:rFonts w:asciiTheme="minorHAnsi" w:hAnsiTheme="minorHAnsi"/>
                <w:sz w:val="22"/>
                <w:szCs w:val="22"/>
              </w:rPr>
              <w:t>Restrictions</w:t>
            </w:r>
          </w:p>
        </w:tc>
        <w:tc>
          <w:tcPr>
            <w:tcW w:w="2226" w:type="dxa"/>
            <w:tcBorders>
              <w:bottom w:val="single" w:sz="4" w:space="0" w:color="FCBA5C" w:themeColor="accent2"/>
            </w:tcBorders>
          </w:tcPr>
          <w:p w14:paraId="21DB2D12" w14:textId="0A8038C8" w:rsidR="00576B80" w:rsidRPr="0088399B" w:rsidRDefault="00576B80" w:rsidP="00A96F78">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576B80">
              <w:rPr>
                <w:rFonts w:asciiTheme="minorHAnsi" w:hAnsiTheme="minorHAnsi"/>
                <w:sz w:val="22"/>
                <w:szCs w:val="22"/>
              </w:rPr>
              <w:t xml:space="preserve">Available </w:t>
            </w:r>
            <w:proofErr w:type="gramStart"/>
            <w:r w:rsidR="00A924C7">
              <w:rPr>
                <w:rFonts w:asciiTheme="minorHAnsi" w:hAnsiTheme="minorHAnsi"/>
                <w:sz w:val="22"/>
                <w:szCs w:val="22"/>
              </w:rPr>
              <w:t>whether or not</w:t>
            </w:r>
            <w:proofErr w:type="gramEnd"/>
            <w:r w:rsidR="00A924C7">
              <w:rPr>
                <w:rFonts w:asciiTheme="minorHAnsi" w:hAnsiTheme="minorHAnsi"/>
                <w:sz w:val="22"/>
                <w:szCs w:val="22"/>
              </w:rPr>
              <w:t xml:space="preserve"> </w:t>
            </w:r>
            <w:r w:rsidRPr="00576B80">
              <w:rPr>
                <w:rFonts w:asciiTheme="minorHAnsi" w:hAnsiTheme="minorHAnsi"/>
                <w:sz w:val="22"/>
                <w:szCs w:val="22"/>
              </w:rPr>
              <w:t>acquisition of fuel involve</w:t>
            </w:r>
            <w:r w:rsidR="00A924C7">
              <w:rPr>
                <w:rFonts w:asciiTheme="minorHAnsi" w:hAnsiTheme="minorHAnsi"/>
                <w:sz w:val="22"/>
                <w:szCs w:val="22"/>
              </w:rPr>
              <w:t>s</w:t>
            </w:r>
            <w:r w:rsidRPr="00576B80">
              <w:rPr>
                <w:rFonts w:asciiTheme="minorHAnsi" w:hAnsiTheme="minorHAnsi"/>
                <w:sz w:val="22"/>
                <w:szCs w:val="22"/>
              </w:rPr>
              <w:t xml:space="preserve"> a commercial transaction</w:t>
            </w:r>
          </w:p>
        </w:tc>
        <w:tc>
          <w:tcPr>
            <w:tcW w:w="2046" w:type="dxa"/>
            <w:tcBorders>
              <w:bottom w:val="single" w:sz="4" w:space="0" w:color="FCBA5C" w:themeColor="accent2"/>
            </w:tcBorders>
          </w:tcPr>
          <w:p w14:paraId="752B77A7" w14:textId="77777777" w:rsidR="00576B80" w:rsidRPr="00872A70" w:rsidRDefault="00576B80" w:rsidP="00A96F78">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Only available where acquisition of fuel involves a commercial transaction</w:t>
            </w:r>
          </w:p>
        </w:tc>
        <w:tc>
          <w:tcPr>
            <w:tcW w:w="1841" w:type="dxa"/>
            <w:tcBorders>
              <w:bottom w:val="single" w:sz="4" w:space="0" w:color="FCBA5C" w:themeColor="accent2"/>
            </w:tcBorders>
          </w:tcPr>
          <w:p w14:paraId="705CCDD9" w14:textId="3D4BCE56" w:rsidR="00576B80" w:rsidRPr="00872A70" w:rsidRDefault="00576B80" w:rsidP="00A96F78">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Only available where acquisition of fuel involves a commercial transaction</w:t>
            </w:r>
          </w:p>
        </w:tc>
        <w:tc>
          <w:tcPr>
            <w:tcW w:w="1904" w:type="dxa"/>
            <w:tcBorders>
              <w:bottom w:val="single" w:sz="4" w:space="0" w:color="FCBA5C" w:themeColor="accent2"/>
            </w:tcBorders>
          </w:tcPr>
          <w:p w14:paraId="3351F485" w14:textId="77777777" w:rsidR="00576B80" w:rsidRPr="00872A70" w:rsidRDefault="00576B80" w:rsidP="00A96F78">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872A70">
              <w:rPr>
                <w:rFonts w:asciiTheme="minorHAnsi" w:hAnsiTheme="minorHAnsi"/>
                <w:sz w:val="22"/>
                <w:szCs w:val="22"/>
              </w:rPr>
              <w:t>Not available where acquisition of fuel involves a commercial transaction</w:t>
            </w:r>
          </w:p>
        </w:tc>
      </w:tr>
    </w:tbl>
    <w:p w14:paraId="2A8A1ED4" w14:textId="77777777" w:rsidR="00A57A5C" w:rsidRPr="00FF338C" w:rsidRDefault="00A57A5C" w:rsidP="00A57A5C">
      <w:pPr>
        <w:rPr>
          <w:color w:val="auto"/>
        </w:rPr>
      </w:pPr>
    </w:p>
    <w:p w14:paraId="0FCD7007" w14:textId="77777777" w:rsidR="00A57A5C" w:rsidRPr="00FF338C" w:rsidRDefault="00A57A5C" w:rsidP="00A57A5C">
      <w:r w:rsidRPr="00FF338C">
        <w:t>The availability of individual measurement criteria for a given source is dependent on:</w:t>
      </w:r>
    </w:p>
    <w:p w14:paraId="574F7B2F" w14:textId="77777777" w:rsidR="00A57A5C" w:rsidRPr="00FF338C" w:rsidRDefault="00A57A5C" w:rsidP="00B3330E">
      <w:pPr>
        <w:pStyle w:val="CERnumbering"/>
        <w:numPr>
          <w:ilvl w:val="0"/>
          <w:numId w:val="8"/>
        </w:numPr>
      </w:pPr>
      <w:r w:rsidRPr="00FF338C">
        <w:t>whether or not a commercial transaction took place for the fuel</w:t>
      </w:r>
    </w:p>
    <w:p w14:paraId="1F358E39" w14:textId="77777777" w:rsidR="00A57A5C" w:rsidRPr="00FF338C" w:rsidRDefault="00A57A5C" w:rsidP="00B3330E">
      <w:pPr>
        <w:pStyle w:val="CERnumbering"/>
        <w:numPr>
          <w:ilvl w:val="0"/>
          <w:numId w:val="8"/>
        </w:numPr>
      </w:pPr>
      <w:r w:rsidRPr="00FF338C">
        <w:t>the measurement criterion selected for that source in preceding reporting years.</w:t>
      </w:r>
    </w:p>
    <w:p w14:paraId="649DD382" w14:textId="77777777" w:rsidR="00A57A5C" w:rsidRPr="00FF338C" w:rsidRDefault="00A57A5C" w:rsidP="00A57A5C">
      <w:r w:rsidRPr="00FF338C">
        <w:t xml:space="preserve">In general, </w:t>
      </w:r>
      <w:r>
        <w:t>when</w:t>
      </w:r>
      <w:r w:rsidRPr="00FF338C">
        <w:t xml:space="preserve"> the fuel </w:t>
      </w:r>
      <w:r>
        <w:t>is</w:t>
      </w:r>
      <w:r w:rsidRPr="00FF338C">
        <w:t xml:space="preserve"> acquired via a commercial transaction, measurement criteria A, AA and AAA are permitted. This represent</w:t>
      </w:r>
      <w:r>
        <w:t>s</w:t>
      </w:r>
      <w:r w:rsidRPr="00FF338C">
        <w:t xml:space="preserve"> </w:t>
      </w:r>
      <w:r>
        <w:t xml:space="preserve">most </w:t>
      </w:r>
      <w:r w:rsidRPr="00FF338C">
        <w:t xml:space="preserve">situations in the electricity industry for fuels combusted for generation purposes. </w:t>
      </w:r>
    </w:p>
    <w:p w14:paraId="15C801EA" w14:textId="77777777" w:rsidR="00A57A5C" w:rsidRPr="00FF338C" w:rsidRDefault="00A57A5C" w:rsidP="00A57A5C">
      <w:r>
        <w:t xml:space="preserve">Note: </w:t>
      </w:r>
      <w:r w:rsidRPr="00FF338C">
        <w:t xml:space="preserve">Once criteria AA or AAA (measured at point of consumption) have been used for a fuel acquired by commercial transaction for a given reporting year, the same criteria must be used in subsequent years. </w:t>
      </w:r>
    </w:p>
    <w:p w14:paraId="34FE1FC3" w14:textId="77777777" w:rsidR="00A57A5C" w:rsidRPr="00FF338C" w:rsidRDefault="00A57A5C" w:rsidP="00A57A5C">
      <w:r>
        <w:t>I</w:t>
      </w:r>
      <w:r w:rsidRPr="00FF338C">
        <w:t xml:space="preserve">ndustry practice required for BBB is not defined in the NGER legislation. Industry practice </w:t>
      </w:r>
      <w:r>
        <w:t>is taken to mean</w:t>
      </w:r>
      <w:r w:rsidRPr="00FF338C">
        <w:t xml:space="preserve"> </w:t>
      </w:r>
      <w:r>
        <w:t>that which</w:t>
      </w:r>
      <w:r w:rsidRPr="00FF338C">
        <w:t xml:space="preserve"> would reasonably be expected to occur at a competent, similar facility type of a similar size and age. The following may be used as a guide when establishing the standards to be used for making estimations using industry practice:</w:t>
      </w:r>
    </w:p>
    <w:p w14:paraId="141546B2" w14:textId="2CEB4B57" w:rsidR="00A57A5C" w:rsidRPr="00FF338C" w:rsidRDefault="007977A6" w:rsidP="00B3330E">
      <w:pPr>
        <w:pStyle w:val="CERnumbering"/>
        <w:numPr>
          <w:ilvl w:val="0"/>
          <w:numId w:val="8"/>
        </w:numPr>
      </w:pPr>
      <w:r>
        <w:t>e</w:t>
      </w:r>
      <w:r w:rsidR="00A57A5C" w:rsidRPr="00FF338C">
        <w:t>quipment used is maintained in good working order</w:t>
      </w:r>
    </w:p>
    <w:p w14:paraId="0F45DFC0" w14:textId="0059BD23" w:rsidR="00A57A5C" w:rsidRPr="00FF338C" w:rsidRDefault="007977A6" w:rsidP="00B3330E">
      <w:pPr>
        <w:pStyle w:val="CERnumbering"/>
        <w:numPr>
          <w:ilvl w:val="0"/>
          <w:numId w:val="8"/>
        </w:numPr>
      </w:pPr>
      <w:r>
        <w:t>e</w:t>
      </w:r>
      <w:r w:rsidR="00A57A5C" w:rsidRPr="00FF338C">
        <w:t>quipment used is calibrated in accordance with and at the frequency stipulated by the manufacturer</w:t>
      </w:r>
    </w:p>
    <w:p w14:paraId="06A58E5D" w14:textId="5ACDB256" w:rsidR="00A57A5C" w:rsidRPr="00FF338C" w:rsidRDefault="007977A6" w:rsidP="00B3330E">
      <w:pPr>
        <w:pStyle w:val="CERnumbering"/>
        <w:numPr>
          <w:ilvl w:val="0"/>
          <w:numId w:val="8"/>
        </w:numPr>
      </w:pPr>
      <w:r>
        <w:t>f</w:t>
      </w:r>
      <w:r w:rsidR="00A57A5C" w:rsidRPr="00FF338C">
        <w:t xml:space="preserve">aulty equipment </w:t>
      </w:r>
      <w:proofErr w:type="gramStart"/>
      <w:r w:rsidR="00A57A5C" w:rsidRPr="00FF338C">
        <w:t>is</w:t>
      </w:r>
      <w:proofErr w:type="gramEnd"/>
      <w:r w:rsidR="00A57A5C" w:rsidRPr="00FF338C">
        <w:t xml:space="preserve"> replaced</w:t>
      </w:r>
    </w:p>
    <w:p w14:paraId="18532F73" w14:textId="33408D5B" w:rsidR="00A57A5C" w:rsidRPr="00FF338C" w:rsidRDefault="007977A6" w:rsidP="00B3330E">
      <w:pPr>
        <w:pStyle w:val="CERnumbering"/>
        <w:numPr>
          <w:ilvl w:val="0"/>
          <w:numId w:val="8"/>
        </w:numPr>
      </w:pPr>
      <w:proofErr w:type="gramStart"/>
      <w:r>
        <w:t>a</w:t>
      </w:r>
      <w:r w:rsidR="00A57A5C" w:rsidRPr="00FF338C">
        <w:t>ppropriate</w:t>
      </w:r>
      <w:proofErr w:type="gramEnd"/>
      <w:r w:rsidR="00A57A5C" w:rsidRPr="00FF338C">
        <w:t xml:space="preserve"> corrections for temperature and pressure are made where required, and assumptions, inherent or applied to the measurement equipment are clarified</w:t>
      </w:r>
      <w:r w:rsidR="00A57A5C">
        <w:t>. F</w:t>
      </w:r>
      <w:r w:rsidR="00A57A5C" w:rsidRPr="00FF338C">
        <w:t>or example, set densities or gas composition are updated at a frequency that ensures that these assumptions are representative of the commodity being measured during the reporting period</w:t>
      </w:r>
    </w:p>
    <w:p w14:paraId="4A5001F4" w14:textId="73BBE0B8" w:rsidR="00A57A5C" w:rsidRPr="00FF338C" w:rsidRDefault="007977A6" w:rsidP="00B3330E">
      <w:pPr>
        <w:pStyle w:val="CERnumbering"/>
        <w:numPr>
          <w:ilvl w:val="0"/>
          <w:numId w:val="8"/>
        </w:numPr>
      </w:pPr>
      <w:r>
        <w:t>r</w:t>
      </w:r>
      <w:r w:rsidR="00A57A5C" w:rsidRPr="00FF338C">
        <w:t xml:space="preserve">eporters </w:t>
      </w:r>
      <w:r w:rsidR="00A57A5C" w:rsidRPr="00FF338C" w:rsidDel="00137359">
        <w:t xml:space="preserve">should </w:t>
      </w:r>
      <w:r w:rsidR="00A57A5C" w:rsidRPr="00FF338C">
        <w:t xml:space="preserve">document their assessment of how their application of criterion BBB meets industry practice in the </w:t>
      </w:r>
      <w:proofErr w:type="spellStart"/>
      <w:r w:rsidR="00A57A5C" w:rsidRPr="00FF338C">
        <w:t>BoP</w:t>
      </w:r>
      <w:proofErr w:type="spellEnd"/>
      <w:r w:rsidR="00A57A5C" w:rsidRPr="00FF338C">
        <w:t>. When applying criterion BBB, reporters are required to consider the principles in section 1.13 of the NGER Measurement Determination</w:t>
      </w:r>
    </w:p>
    <w:p w14:paraId="7A67C9CD" w14:textId="75D330E5" w:rsidR="00A57A5C" w:rsidRPr="00FF338C" w:rsidRDefault="00A57A5C" w:rsidP="00A57A5C">
      <w:pPr>
        <w:pStyle w:val="CERnumbering"/>
        <w:ind w:left="360" w:hanging="360"/>
      </w:pPr>
      <w:r>
        <w:t>See t</w:t>
      </w:r>
      <w:r w:rsidRPr="00FF338C">
        <w:t xml:space="preserve">he </w:t>
      </w:r>
      <w:hyperlink r:id="rId61" w:tooltip="A link to the Measurement Criteria Guideline on the Clean Energy Regulator website" w:history="1">
        <w:r w:rsidRPr="00C84028">
          <w:rPr>
            <w:rStyle w:val="Hyperlink"/>
            <w:rFonts w:asciiTheme="minorHAnsi" w:hAnsiTheme="minorHAnsi"/>
          </w:rPr>
          <w:t>Measurement Criteria Guideline</w:t>
        </w:r>
      </w:hyperlink>
      <w:r w:rsidR="004B0870">
        <w:rPr>
          <w:rFonts w:ascii="ZWAdobeF" w:hAnsi="ZWAdobeF" w:cs="ZWAdobeF"/>
          <w:sz w:val="2"/>
          <w:szCs w:val="2"/>
        </w:rPr>
        <w:t>35F</w:t>
      </w:r>
      <w:r w:rsidRPr="00FF338C">
        <w:rPr>
          <w:rStyle w:val="FootnoteReference"/>
        </w:rPr>
        <w:footnoteReference w:id="37"/>
      </w:r>
      <w:r w:rsidRPr="00FF338C">
        <w:t xml:space="preserve"> for </w:t>
      </w:r>
      <w:r>
        <w:t>more information</w:t>
      </w:r>
      <w:r w:rsidRPr="00FF338C">
        <w:t xml:space="preserve">. </w:t>
      </w:r>
    </w:p>
    <w:p w14:paraId="7AB5A758" w14:textId="77777777" w:rsidR="00A57A5C" w:rsidRPr="00FF338C" w:rsidRDefault="00A57A5C" w:rsidP="00A57A5C">
      <w:pPr>
        <w:pStyle w:val="Heading4"/>
      </w:pPr>
      <w:bookmarkStart w:id="512" w:name="_Toc526867734"/>
      <w:bookmarkStart w:id="513" w:name="_Toc526869776"/>
      <w:bookmarkStart w:id="514" w:name="_Toc205461494"/>
      <w:r w:rsidRPr="00FF338C">
        <w:t>Specific notes regarding measurement criteria per fuel states</w:t>
      </w:r>
      <w:bookmarkEnd w:id="512"/>
      <w:bookmarkEnd w:id="513"/>
      <w:bookmarkEnd w:id="514"/>
    </w:p>
    <w:p w14:paraId="25E1CE23" w14:textId="77777777" w:rsidR="00A57A5C" w:rsidRPr="00FF338C" w:rsidRDefault="00A57A5C" w:rsidP="00A57A5C">
      <w:r w:rsidRPr="00FF338C">
        <w:t xml:space="preserve">The </w:t>
      </w:r>
      <w:r>
        <w:t>NGER Measurement Determination</w:t>
      </w:r>
      <w:r w:rsidRPr="00FF338C">
        <w:t xml:space="preserve"> also contain</w:t>
      </w:r>
      <w:r>
        <w:t xml:space="preserve">s </w:t>
      </w:r>
      <w:r w:rsidRPr="00FF338C">
        <w:t xml:space="preserve">requirements of individual measurement criteria specific to the physical phase of the fuel in question. </w:t>
      </w:r>
    </w:p>
    <w:p w14:paraId="62ADCF3B" w14:textId="6D5AF6B6" w:rsidR="00A57A5C" w:rsidRPr="00FF338C" w:rsidRDefault="00A57A5C" w:rsidP="00B3330E">
      <w:pPr>
        <w:pStyle w:val="CERnumbering"/>
        <w:numPr>
          <w:ilvl w:val="0"/>
          <w:numId w:val="8"/>
        </w:numPr>
      </w:pPr>
      <w:r w:rsidRPr="00FE31CC">
        <w:t>AA for solid fuels</w:t>
      </w:r>
      <w:r w:rsidRPr="00FF338C">
        <w:t xml:space="preserve"> </w:t>
      </w:r>
      <w:r>
        <w:t>–</w:t>
      </w:r>
      <w:r w:rsidRPr="00FF338C">
        <w:t xml:space="preserve"> </w:t>
      </w:r>
      <w:r>
        <w:t>where</w:t>
      </w:r>
      <w:r w:rsidRPr="00FF338C">
        <w:t xml:space="preserve"> measurement criterion AA </w:t>
      </w:r>
      <w:r>
        <w:t>is</w:t>
      </w:r>
      <w:r w:rsidRPr="00FF338C">
        <w:t xml:space="preserve"> used in a given reporting year, the specific approach to estimating the change in stockpile quantity </w:t>
      </w:r>
      <w:r w:rsidRPr="00FF338C" w:rsidDel="00137359">
        <w:t xml:space="preserve">should </w:t>
      </w:r>
      <w:r w:rsidRPr="00FF338C">
        <w:t xml:space="preserve">remain consistent </w:t>
      </w:r>
      <w:r>
        <w:t xml:space="preserve">throughout the entire reporting period </w:t>
      </w:r>
      <w:r w:rsidRPr="00FF338C">
        <w:t xml:space="preserve">unless there is a significant change which would result in the approach becoming less accurate. </w:t>
      </w:r>
    </w:p>
    <w:p w14:paraId="40F40551" w14:textId="366BAEF9" w:rsidR="00A57A5C" w:rsidRPr="00FF338C" w:rsidRDefault="00A57A5C" w:rsidP="00B3330E">
      <w:pPr>
        <w:pStyle w:val="CERnumbering"/>
        <w:numPr>
          <w:ilvl w:val="0"/>
          <w:numId w:val="8"/>
        </w:numPr>
      </w:pPr>
      <w:r w:rsidRPr="00FE31CC">
        <w:t>AAA for gaseous fuels</w:t>
      </w:r>
      <w:r w:rsidRPr="00FF338C">
        <w:t xml:space="preserve"> – sections 2.31–2.37 of the </w:t>
      </w:r>
      <w:r>
        <w:t>NGER Measurement Determination</w:t>
      </w:r>
      <w:r w:rsidRPr="00FF338C">
        <w:t xml:space="preserve"> prescribe detailed requirements </w:t>
      </w:r>
      <w:r>
        <w:t xml:space="preserve">for </w:t>
      </w:r>
      <w:r w:rsidRPr="00FF338C">
        <w:t xml:space="preserve">the application of criterion AAA. This includes measuring gas on a dry basis, corrected to the standard conditions defined in subsection 2.32(7) of the </w:t>
      </w:r>
      <w:r>
        <w:t>NGER Measurement Determination</w:t>
      </w:r>
      <w:r w:rsidRPr="00FF338C">
        <w:t>.</w:t>
      </w:r>
    </w:p>
    <w:p w14:paraId="6C7CCA11" w14:textId="77777777" w:rsidR="00A57A5C" w:rsidRPr="00FF338C" w:rsidRDefault="00A57A5C" w:rsidP="00A57A5C">
      <w:pPr>
        <w:pStyle w:val="CERnumbering"/>
        <w:ind w:left="360"/>
      </w:pPr>
      <w:r w:rsidRPr="00FF338C">
        <w:t xml:space="preserve">Measurement equipment </w:t>
      </w:r>
      <w:r>
        <w:t>must</w:t>
      </w:r>
      <w:r w:rsidRPr="00FF338C">
        <w:t xml:space="preserve"> meet specific operational requirements depending on equipment type, the amount of gas combusted per day, and whether the gas is super-compressed.</w:t>
      </w:r>
    </w:p>
    <w:p w14:paraId="0A60DF9F" w14:textId="77777777" w:rsidR="00A57A5C" w:rsidRPr="00FF338C" w:rsidRDefault="00A57A5C" w:rsidP="00A57A5C">
      <w:pPr>
        <w:pStyle w:val="CERnumbering"/>
        <w:ind w:left="360"/>
      </w:pPr>
      <w:r w:rsidRPr="00FF338C">
        <w:t xml:space="preserve">Reporters </w:t>
      </w:r>
      <w:r w:rsidRPr="00FF338C" w:rsidDel="00B555D5">
        <w:t xml:space="preserve">should </w:t>
      </w:r>
      <w:r w:rsidRPr="00FF338C">
        <w:t xml:space="preserve">satisfy themselves that the measurement equipment used in preparation of NGER </w:t>
      </w:r>
      <w:r>
        <w:t>reports</w:t>
      </w:r>
      <w:r w:rsidRPr="00FF338C">
        <w:t xml:space="preserve"> has been operated and maintained in accordance with the requirements stipulated. In cases where reporters rely on measurements provided by vendors or by third parties, reporters </w:t>
      </w:r>
      <w:r w:rsidRPr="00FF338C" w:rsidDel="00B555D5">
        <w:t xml:space="preserve">should </w:t>
      </w:r>
      <w:r w:rsidRPr="00FF338C">
        <w:t xml:space="preserve">make sufficient enquiries </w:t>
      </w:r>
      <w:proofErr w:type="gramStart"/>
      <w:r w:rsidRPr="00FF338C">
        <w:t>of</w:t>
      </w:r>
      <w:proofErr w:type="gramEnd"/>
      <w:r w:rsidRPr="00FF338C">
        <w:t xml:space="preserve"> the providers of these </w:t>
      </w:r>
      <w:proofErr w:type="gramStart"/>
      <w:r w:rsidRPr="00FF338C">
        <w:t>measurements</w:t>
      </w:r>
      <w:proofErr w:type="gramEnd"/>
      <w:r w:rsidRPr="00FF338C">
        <w:t xml:space="preserve"> to enable them to have confidence that the requirements of the </w:t>
      </w:r>
      <w:r>
        <w:t>NGER Measurement Determination</w:t>
      </w:r>
      <w:r w:rsidRPr="00FF338C">
        <w:t xml:space="preserve"> are being complied with. </w:t>
      </w:r>
    </w:p>
    <w:p w14:paraId="416F8A8A" w14:textId="77777777" w:rsidR="00A57A5C" w:rsidRPr="00FF338C" w:rsidRDefault="00A57A5C" w:rsidP="00B3330E">
      <w:pPr>
        <w:pStyle w:val="CERnumbering"/>
        <w:numPr>
          <w:ilvl w:val="0"/>
          <w:numId w:val="8"/>
        </w:numPr>
      </w:pPr>
      <w:r w:rsidRPr="00FE31CC">
        <w:t>AAA for liquid fuels</w:t>
      </w:r>
      <w:r w:rsidRPr="00FF338C">
        <w:t xml:space="preserve"> – should criterion AAA be selected</w:t>
      </w:r>
      <w:r>
        <w:t>,</w:t>
      </w:r>
      <w:r w:rsidRPr="00FF338C">
        <w:t xml:space="preserve"> fuel volumes </w:t>
      </w:r>
      <w:r>
        <w:t>must</w:t>
      </w:r>
      <w:r w:rsidRPr="00FF338C">
        <w:t xml:space="preserve"> be corrected to standard temperature of 15°C. </w:t>
      </w:r>
    </w:p>
    <w:p w14:paraId="6F229750" w14:textId="77777777" w:rsidR="00A57A5C" w:rsidRPr="00FF338C" w:rsidRDefault="00A57A5C" w:rsidP="00DB4B56">
      <w:pPr>
        <w:pStyle w:val="Heading2"/>
        <w:numPr>
          <w:ilvl w:val="1"/>
          <w:numId w:val="3"/>
        </w:numPr>
        <w:ind w:left="426" w:hanging="426"/>
      </w:pPr>
      <w:bookmarkStart w:id="515" w:name="_Metering_considerations"/>
      <w:bookmarkStart w:id="516" w:name="_Ref511919117"/>
      <w:bookmarkStart w:id="517" w:name="_Toc512010424"/>
      <w:bookmarkStart w:id="518" w:name="_Toc512339623"/>
      <w:bookmarkStart w:id="519" w:name="_Toc106705776"/>
      <w:bookmarkStart w:id="520" w:name="_Toc205461495"/>
      <w:bookmarkEnd w:id="515"/>
      <w:r w:rsidRPr="00FF338C">
        <w:t>Metering considerations</w:t>
      </w:r>
      <w:bookmarkEnd w:id="516"/>
      <w:bookmarkEnd w:id="517"/>
      <w:bookmarkEnd w:id="518"/>
      <w:bookmarkEnd w:id="519"/>
      <w:bookmarkEnd w:id="520"/>
    </w:p>
    <w:p w14:paraId="1D13C755" w14:textId="2BAEC7B7" w:rsidR="00A57A5C" w:rsidRPr="00FF338C" w:rsidRDefault="00D62F16" w:rsidP="00A57A5C">
      <w:pPr>
        <w:rPr>
          <w:color w:val="auto"/>
        </w:rPr>
      </w:pPr>
      <w:r>
        <w:rPr>
          <w:color w:val="auto"/>
        </w:rPr>
        <w:fldChar w:fldCharType="begin" w:fldLock="1"/>
      </w:r>
      <w:r>
        <w:rPr>
          <w:color w:val="auto"/>
        </w:rPr>
        <w:instrText xml:space="preserve"> REF _Ref199339030 </w:instrText>
      </w:r>
      <w:r>
        <w:rPr>
          <w:color w:val="auto"/>
        </w:rPr>
        <w:fldChar w:fldCharType="separate"/>
      </w:r>
      <w:r>
        <w:t xml:space="preserve">Table </w:t>
      </w:r>
      <w:r>
        <w:rPr>
          <w:noProof/>
        </w:rPr>
        <w:t>17</w:t>
      </w:r>
      <w:r>
        <w:rPr>
          <w:color w:val="auto"/>
        </w:rPr>
        <w:fldChar w:fldCharType="end"/>
      </w:r>
      <w:r>
        <w:rPr>
          <w:color w:val="auto"/>
        </w:rPr>
        <w:t xml:space="preserve"> </w:t>
      </w:r>
      <w:r w:rsidR="00A57A5C" w:rsidRPr="00FF338C">
        <w:rPr>
          <w:color w:val="auto"/>
        </w:rPr>
        <w:t xml:space="preserve">shows summary metering and calibration requirements from the </w:t>
      </w:r>
      <w:r w:rsidR="00A57A5C">
        <w:rPr>
          <w:color w:val="auto"/>
        </w:rPr>
        <w:t>NGER Measurement Determination</w:t>
      </w:r>
      <w:r w:rsidR="00A57A5C" w:rsidRPr="00FF338C">
        <w:rPr>
          <w:color w:val="auto"/>
        </w:rPr>
        <w:t xml:space="preserve">. </w:t>
      </w:r>
      <w:r w:rsidR="00A57A5C">
        <w:rPr>
          <w:color w:val="auto"/>
        </w:rPr>
        <w:t xml:space="preserve">The </w:t>
      </w:r>
      <w:r w:rsidR="00A57A5C" w:rsidRPr="00FF338C">
        <w:rPr>
          <w:color w:val="auto"/>
        </w:rPr>
        <w:t xml:space="preserve">most accurate meters available (such as regulated meters at the network connection points) </w:t>
      </w:r>
      <w:r w:rsidR="00A57A5C" w:rsidRPr="00FF338C" w:rsidDel="00B24BDD">
        <w:rPr>
          <w:color w:val="auto"/>
        </w:rPr>
        <w:t xml:space="preserve">should </w:t>
      </w:r>
      <w:r w:rsidR="00A57A5C" w:rsidRPr="00FF338C">
        <w:rPr>
          <w:color w:val="auto"/>
        </w:rPr>
        <w:t>be used preferentially for NGER measurements and as a basis for any mass or energy balance calculations</w:t>
      </w:r>
      <w:r w:rsidR="00A57A5C">
        <w:rPr>
          <w:color w:val="auto"/>
        </w:rPr>
        <w:t>, in accordance with the general principles listed in section 1.13 of the NGER Measurement Determination</w:t>
      </w:r>
      <w:r w:rsidR="00A57A5C" w:rsidRPr="00FF338C">
        <w:rPr>
          <w:color w:val="auto"/>
        </w:rPr>
        <w:t>.</w:t>
      </w:r>
    </w:p>
    <w:p w14:paraId="1724EDE5" w14:textId="7660C271" w:rsidR="00E04FAA" w:rsidRDefault="00E04FAA" w:rsidP="00E9388B">
      <w:pPr>
        <w:pStyle w:val="Caption"/>
        <w:keepNext/>
      </w:pPr>
      <w:bookmarkStart w:id="521" w:name="_Ref199339030"/>
      <w:r>
        <w:t xml:space="preserve">Table </w:t>
      </w:r>
      <w:r>
        <w:fldChar w:fldCharType="begin"/>
      </w:r>
      <w:r>
        <w:instrText xml:space="preserve"> SEQ Table \* ARABIC </w:instrText>
      </w:r>
      <w:r>
        <w:fldChar w:fldCharType="separate"/>
      </w:r>
      <w:r w:rsidR="004B0870">
        <w:rPr>
          <w:noProof/>
        </w:rPr>
        <w:t>17</w:t>
      </w:r>
      <w:r>
        <w:fldChar w:fldCharType="end"/>
      </w:r>
      <w:bookmarkEnd w:id="521"/>
      <w:r>
        <w:t xml:space="preserve"> – Metering and calibration requirements.</w:t>
      </w:r>
    </w:p>
    <w:tbl>
      <w:tblPr>
        <w:tblStyle w:val="CERTable"/>
        <w:tblW w:w="9634" w:type="dxa"/>
        <w:tblLook w:val="04A0" w:firstRow="1" w:lastRow="0" w:firstColumn="1" w:lastColumn="0" w:noHBand="0" w:noVBand="1"/>
      </w:tblPr>
      <w:tblGrid>
        <w:gridCol w:w="2691"/>
        <w:gridCol w:w="2692"/>
        <w:gridCol w:w="4251"/>
      </w:tblGrid>
      <w:tr w:rsidR="00A027A0" w:rsidRPr="00C64711" w14:paraId="0D596907" w14:textId="77777777" w:rsidTr="000D59FA">
        <w:trPr>
          <w:cnfStyle w:val="100000000000" w:firstRow="1" w:lastRow="0" w:firstColumn="0" w:lastColumn="0" w:oddVBand="0" w:evenVBand="0" w:oddHBand="0" w:evenHBand="0" w:firstRowFirstColumn="0" w:firstRowLastColumn="0" w:lastRowFirstColumn="0" w:lastRowLastColumn="0"/>
          <w:trHeight w:val="462"/>
          <w:tblHeader/>
        </w:trPr>
        <w:tc>
          <w:tcPr>
            <w:cnfStyle w:val="001000000000" w:firstRow="0" w:lastRow="0" w:firstColumn="1" w:lastColumn="0" w:oddVBand="0" w:evenVBand="0" w:oddHBand="0" w:evenHBand="0" w:firstRowFirstColumn="0" w:firstRowLastColumn="0" w:lastRowFirstColumn="0" w:lastRowLastColumn="0"/>
            <w:tcW w:w="0" w:type="dxa"/>
          </w:tcPr>
          <w:p w14:paraId="13184F5E" w14:textId="77777777" w:rsidR="00835507" w:rsidRPr="009C0388" w:rsidRDefault="00835507">
            <w:pPr>
              <w:pStyle w:val="Body"/>
              <w:ind w:left="0"/>
              <w:rPr>
                <w:rFonts w:asciiTheme="minorHAnsi" w:hAnsiTheme="minorHAnsi"/>
                <w:b w:val="0"/>
                <w:sz w:val="22"/>
                <w:szCs w:val="22"/>
              </w:rPr>
            </w:pPr>
            <w:r w:rsidRPr="009C0388">
              <w:rPr>
                <w:rFonts w:asciiTheme="minorHAnsi" w:hAnsiTheme="minorHAnsi"/>
                <w:sz w:val="22"/>
                <w:szCs w:val="22"/>
              </w:rPr>
              <w:t>Metering Purpose</w:t>
            </w:r>
          </w:p>
        </w:tc>
        <w:tc>
          <w:tcPr>
            <w:tcW w:w="2692" w:type="dxa"/>
          </w:tcPr>
          <w:p w14:paraId="25A8F2D9" w14:textId="1F92D21D" w:rsidR="00835507" w:rsidRPr="009C0388" w:rsidRDefault="00835507">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Pr>
                <w:rFonts w:asciiTheme="minorHAnsi" w:hAnsiTheme="minorHAnsi"/>
                <w:sz w:val="22"/>
                <w:szCs w:val="22"/>
              </w:rPr>
              <w:t>Application</w:t>
            </w:r>
          </w:p>
        </w:tc>
        <w:tc>
          <w:tcPr>
            <w:tcW w:w="4251" w:type="dxa"/>
          </w:tcPr>
          <w:p w14:paraId="5D7930FE" w14:textId="77777777" w:rsidR="00835507" w:rsidRPr="009C0388" w:rsidRDefault="00835507">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Requirements (references are to the NGER Measurement Determination where not stated)</w:t>
            </w:r>
          </w:p>
        </w:tc>
      </w:tr>
      <w:tr w:rsidR="00A57A5C" w:rsidRPr="00C64711" w14:paraId="2CF6C3D1" w14:textId="77777777" w:rsidTr="0088399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1" w:type="dxa"/>
            <w:vMerge w:val="restart"/>
          </w:tcPr>
          <w:p w14:paraId="3A1EE279" w14:textId="77777777" w:rsidR="00A57A5C" w:rsidRPr="00F61C7D" w:rsidRDefault="00A57A5C">
            <w:pPr>
              <w:pStyle w:val="Body"/>
              <w:ind w:left="0"/>
              <w:rPr>
                <w:rFonts w:asciiTheme="minorHAnsi" w:hAnsiTheme="minorHAnsi"/>
                <w:sz w:val="22"/>
                <w:szCs w:val="22"/>
              </w:rPr>
            </w:pPr>
            <w:r w:rsidRPr="004B02E0">
              <w:rPr>
                <w:rFonts w:asciiTheme="minorHAnsi" w:hAnsiTheme="minorHAnsi"/>
                <w:sz w:val="22"/>
                <w:szCs w:val="22"/>
              </w:rPr>
              <w:t>Fuel Quantity</w:t>
            </w:r>
          </w:p>
          <w:p w14:paraId="4DE306E3" w14:textId="77777777" w:rsidR="00A57A5C" w:rsidRPr="009C0388" w:rsidRDefault="00A57A5C">
            <w:pPr>
              <w:pStyle w:val="Body"/>
              <w:ind w:left="0"/>
              <w:rPr>
                <w:rFonts w:asciiTheme="minorHAnsi" w:hAnsiTheme="minorHAnsi"/>
                <w:sz w:val="22"/>
                <w:szCs w:val="22"/>
              </w:rPr>
            </w:pPr>
          </w:p>
        </w:tc>
        <w:tc>
          <w:tcPr>
            <w:tcW w:w="2692" w:type="dxa"/>
            <w:vMerge w:val="restart"/>
          </w:tcPr>
          <w:p w14:paraId="198BFE85" w14:textId="77777777" w:rsidR="00A57A5C" w:rsidRPr="009C0388"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Solid fuels (in tonnes)</w:t>
            </w:r>
          </w:p>
        </w:tc>
        <w:tc>
          <w:tcPr>
            <w:tcW w:w="4251" w:type="dxa"/>
          </w:tcPr>
          <w:p w14:paraId="2AAFF5CE" w14:textId="77777777" w:rsidR="00A57A5C"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E31CC">
              <w:rPr>
                <w:rFonts w:asciiTheme="minorHAnsi" w:hAnsiTheme="minorHAnsi"/>
                <w:sz w:val="22"/>
                <w:szCs w:val="22"/>
              </w:rPr>
              <w:t>Criterion AAA:</w:t>
            </w:r>
            <w:r w:rsidRPr="009C0388">
              <w:rPr>
                <w:rFonts w:asciiTheme="minorHAnsi" w:hAnsiTheme="minorHAnsi"/>
                <w:sz w:val="22"/>
                <w:szCs w:val="22"/>
              </w:rPr>
              <w:t xml:space="preserve"> </w:t>
            </w:r>
            <w:r>
              <w:rPr>
                <w:rFonts w:asciiTheme="minorHAnsi" w:hAnsiTheme="minorHAnsi"/>
                <w:sz w:val="22"/>
                <w:szCs w:val="22"/>
              </w:rPr>
              <w:t>m</w:t>
            </w:r>
            <w:r w:rsidRPr="009C0388">
              <w:rPr>
                <w:rFonts w:asciiTheme="minorHAnsi" w:hAnsiTheme="minorHAnsi"/>
                <w:sz w:val="22"/>
                <w:szCs w:val="22"/>
              </w:rPr>
              <w:t xml:space="preserve">etering equipment </w:t>
            </w:r>
            <w:r>
              <w:rPr>
                <w:rFonts w:asciiTheme="minorHAnsi" w:hAnsiTheme="minorHAnsi"/>
                <w:sz w:val="22"/>
                <w:szCs w:val="22"/>
              </w:rPr>
              <w:t>must</w:t>
            </w:r>
            <w:r w:rsidRPr="009C0388">
              <w:rPr>
                <w:rFonts w:asciiTheme="minorHAnsi" w:hAnsiTheme="minorHAnsi"/>
                <w:sz w:val="22"/>
                <w:szCs w:val="22"/>
              </w:rPr>
              <w:t xml:space="preserve"> follow the requirements set out in section 2.16. Equipment </w:t>
            </w:r>
            <w:r>
              <w:rPr>
                <w:rFonts w:asciiTheme="minorHAnsi" w:hAnsiTheme="minorHAnsi"/>
                <w:sz w:val="22"/>
                <w:szCs w:val="22"/>
              </w:rPr>
              <w:t>must</w:t>
            </w:r>
            <w:r w:rsidRPr="009C0388">
              <w:rPr>
                <w:rFonts w:asciiTheme="minorHAnsi" w:hAnsiTheme="minorHAnsi"/>
                <w:sz w:val="22"/>
                <w:szCs w:val="22"/>
              </w:rPr>
              <w:t xml:space="preserve"> be calibrated to a ‘measurement requirement’, which in this case means the standards required for measurement to support all commercial transactions covered by the </w:t>
            </w:r>
            <w:r w:rsidRPr="009C0388">
              <w:rPr>
                <w:rFonts w:asciiTheme="minorHAnsi" w:hAnsiTheme="minorHAnsi"/>
                <w:i/>
                <w:sz w:val="22"/>
                <w:szCs w:val="22"/>
              </w:rPr>
              <w:t>National Measurement Act 1960</w:t>
            </w:r>
            <w:r w:rsidRPr="009C0388">
              <w:rPr>
                <w:rFonts w:asciiTheme="minorHAnsi" w:hAnsiTheme="minorHAnsi"/>
                <w:sz w:val="22"/>
                <w:szCs w:val="22"/>
              </w:rPr>
              <w:t xml:space="preserve"> and associated instruments. </w:t>
            </w:r>
          </w:p>
          <w:p w14:paraId="3B75B03C" w14:textId="77777777" w:rsidR="00A57A5C" w:rsidRPr="009C0388"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9C0388">
              <w:rPr>
                <w:rFonts w:asciiTheme="minorHAnsi" w:hAnsiTheme="minorHAnsi"/>
                <w:sz w:val="22"/>
                <w:szCs w:val="22"/>
              </w:rPr>
              <w:t>These requirements are summarised in section 2.16 of the NGER Technical Guidelines.</w:t>
            </w:r>
          </w:p>
        </w:tc>
      </w:tr>
      <w:tr w:rsidR="00A57A5C" w:rsidRPr="00C64711" w14:paraId="5BF4F807" w14:textId="77777777" w:rsidTr="0088399B">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1" w:type="dxa"/>
            <w:vMerge/>
          </w:tcPr>
          <w:p w14:paraId="11C2F07C" w14:textId="77777777" w:rsidR="00A57A5C" w:rsidRPr="009C0388" w:rsidRDefault="00A57A5C">
            <w:pPr>
              <w:pStyle w:val="Body"/>
              <w:ind w:left="0"/>
              <w:rPr>
                <w:rFonts w:asciiTheme="minorHAnsi" w:hAnsiTheme="minorHAnsi"/>
                <w:sz w:val="22"/>
                <w:szCs w:val="22"/>
              </w:rPr>
            </w:pPr>
          </w:p>
        </w:tc>
        <w:tc>
          <w:tcPr>
            <w:tcW w:w="2692" w:type="dxa"/>
            <w:vMerge/>
          </w:tcPr>
          <w:p w14:paraId="7E908A6D" w14:textId="77777777" w:rsidR="00A57A5C" w:rsidRPr="009C0388" w:rsidRDefault="00A57A5C">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4251" w:type="dxa"/>
          </w:tcPr>
          <w:p w14:paraId="0A1B7F72" w14:textId="77777777" w:rsidR="00A57A5C" w:rsidRPr="009C0388" w:rsidRDefault="00A57A5C">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b/>
                <w:sz w:val="22"/>
                <w:szCs w:val="22"/>
              </w:rPr>
            </w:pPr>
            <w:r w:rsidRPr="00FE31CC">
              <w:rPr>
                <w:rFonts w:asciiTheme="minorHAnsi" w:hAnsiTheme="minorHAnsi"/>
                <w:sz w:val="22"/>
                <w:szCs w:val="22"/>
              </w:rPr>
              <w:t>Criterion BBB:</w:t>
            </w:r>
            <w:r w:rsidRPr="00C64711">
              <w:rPr>
                <w:rFonts w:asciiTheme="minorHAnsi" w:hAnsiTheme="minorHAnsi"/>
                <w:sz w:val="22"/>
                <w:szCs w:val="22"/>
              </w:rPr>
              <w:t xml:space="preserve"> </w:t>
            </w:r>
            <w:r>
              <w:rPr>
                <w:rFonts w:asciiTheme="minorHAnsi" w:hAnsiTheme="minorHAnsi"/>
                <w:sz w:val="22"/>
                <w:szCs w:val="22"/>
              </w:rPr>
              <w:t>m</w:t>
            </w:r>
            <w:r w:rsidRPr="009C0388">
              <w:rPr>
                <w:rFonts w:asciiTheme="minorHAnsi" w:hAnsiTheme="minorHAnsi"/>
                <w:sz w:val="22"/>
                <w:szCs w:val="22"/>
              </w:rPr>
              <w:t xml:space="preserve">etering equipment </w:t>
            </w:r>
            <w:r>
              <w:rPr>
                <w:rFonts w:asciiTheme="minorHAnsi" w:hAnsiTheme="minorHAnsi"/>
                <w:sz w:val="22"/>
                <w:szCs w:val="22"/>
              </w:rPr>
              <w:t>must</w:t>
            </w:r>
            <w:r w:rsidRPr="009C0388">
              <w:rPr>
                <w:rFonts w:asciiTheme="minorHAnsi" w:hAnsiTheme="minorHAnsi"/>
                <w:sz w:val="22"/>
                <w:szCs w:val="22"/>
              </w:rPr>
              <w:t xml:space="preserve"> follow the requirements set out in section 2.17 of the NGER Measurement Determination, which refer to industry practice.</w:t>
            </w:r>
          </w:p>
        </w:tc>
      </w:tr>
      <w:tr w:rsidR="00A57A5C" w:rsidRPr="00C64711" w14:paraId="3E79E99E" w14:textId="77777777" w:rsidTr="0088399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1" w:type="dxa"/>
            <w:vMerge/>
          </w:tcPr>
          <w:p w14:paraId="5FDC068C" w14:textId="77777777" w:rsidR="00A57A5C" w:rsidRPr="009C0388" w:rsidRDefault="00A57A5C">
            <w:pPr>
              <w:pStyle w:val="Body"/>
              <w:ind w:left="0"/>
              <w:rPr>
                <w:rFonts w:asciiTheme="minorHAnsi" w:hAnsiTheme="minorHAnsi"/>
                <w:sz w:val="22"/>
                <w:szCs w:val="22"/>
              </w:rPr>
            </w:pPr>
          </w:p>
        </w:tc>
        <w:tc>
          <w:tcPr>
            <w:tcW w:w="2692" w:type="dxa"/>
            <w:vMerge w:val="restart"/>
          </w:tcPr>
          <w:p w14:paraId="16F4192E" w14:textId="77777777" w:rsidR="00A57A5C" w:rsidRPr="009C0388"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Gaseous fuels (in cubic metres)</w:t>
            </w:r>
          </w:p>
        </w:tc>
        <w:tc>
          <w:tcPr>
            <w:tcW w:w="4251" w:type="dxa"/>
          </w:tcPr>
          <w:p w14:paraId="2D76B7E7" w14:textId="6E18A6B5" w:rsidR="00A57A5C" w:rsidRPr="009C0388"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FE31CC">
              <w:rPr>
                <w:rFonts w:asciiTheme="minorHAnsi" w:hAnsiTheme="minorHAnsi"/>
                <w:sz w:val="22"/>
                <w:szCs w:val="22"/>
              </w:rPr>
              <w:t>Criterion AAA:</w:t>
            </w:r>
            <w:r w:rsidRPr="009C0388">
              <w:rPr>
                <w:rFonts w:asciiTheme="minorHAnsi" w:hAnsiTheme="minorHAnsi"/>
                <w:sz w:val="22"/>
                <w:szCs w:val="22"/>
              </w:rPr>
              <w:t xml:space="preserve"> </w:t>
            </w:r>
            <w:r>
              <w:rPr>
                <w:rFonts w:asciiTheme="minorHAnsi" w:hAnsiTheme="minorHAnsi"/>
                <w:sz w:val="22"/>
                <w:szCs w:val="22"/>
              </w:rPr>
              <w:t>m</w:t>
            </w:r>
            <w:r w:rsidRPr="009C0388">
              <w:rPr>
                <w:rFonts w:asciiTheme="minorHAnsi" w:hAnsiTheme="minorHAnsi"/>
                <w:sz w:val="22"/>
                <w:szCs w:val="22"/>
              </w:rPr>
              <w:t xml:space="preserve">easurement equipment </w:t>
            </w:r>
            <w:r>
              <w:rPr>
                <w:rFonts w:asciiTheme="minorHAnsi" w:hAnsiTheme="minorHAnsi"/>
                <w:sz w:val="22"/>
                <w:szCs w:val="22"/>
              </w:rPr>
              <w:t>must</w:t>
            </w:r>
            <w:r w:rsidRPr="009C0388">
              <w:rPr>
                <w:rFonts w:asciiTheme="minorHAnsi" w:hAnsiTheme="minorHAnsi"/>
                <w:sz w:val="22"/>
                <w:szCs w:val="22"/>
              </w:rPr>
              <w:t xml:space="preserve"> be calibrated to requirements set out in sections 2.31–2.37 of the NGER Measurement Determination. Specific requirements depend on equipment type, the amount of gas consumed per day, and whether the gas is super-compressed.</w:t>
            </w:r>
          </w:p>
        </w:tc>
      </w:tr>
      <w:tr w:rsidR="00A57A5C" w:rsidRPr="00C64711" w14:paraId="7328EA0F" w14:textId="77777777" w:rsidTr="0088399B">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1" w:type="dxa"/>
            <w:vMerge/>
          </w:tcPr>
          <w:p w14:paraId="66041DED" w14:textId="77777777" w:rsidR="00A57A5C" w:rsidRPr="009C0388" w:rsidRDefault="00A57A5C">
            <w:pPr>
              <w:pStyle w:val="Body"/>
              <w:ind w:left="0"/>
              <w:rPr>
                <w:rFonts w:asciiTheme="minorHAnsi" w:hAnsiTheme="minorHAnsi"/>
                <w:sz w:val="22"/>
                <w:szCs w:val="22"/>
              </w:rPr>
            </w:pPr>
          </w:p>
        </w:tc>
        <w:tc>
          <w:tcPr>
            <w:tcW w:w="2692" w:type="dxa"/>
            <w:vMerge/>
          </w:tcPr>
          <w:p w14:paraId="46FCEA88" w14:textId="77777777" w:rsidR="00A57A5C" w:rsidRPr="009C0388" w:rsidRDefault="00A57A5C">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4251" w:type="dxa"/>
          </w:tcPr>
          <w:p w14:paraId="6FBE50A6" w14:textId="77777777" w:rsidR="00A57A5C" w:rsidRPr="009C0388" w:rsidRDefault="00A57A5C">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b/>
                <w:sz w:val="22"/>
                <w:szCs w:val="22"/>
              </w:rPr>
            </w:pPr>
            <w:r w:rsidRPr="00FE31CC">
              <w:rPr>
                <w:rFonts w:asciiTheme="minorHAnsi" w:hAnsiTheme="minorHAnsi"/>
                <w:sz w:val="22"/>
                <w:szCs w:val="22"/>
              </w:rPr>
              <w:t>Criterion BBB:</w:t>
            </w:r>
            <w:r w:rsidRPr="00C64711">
              <w:rPr>
                <w:rFonts w:asciiTheme="minorHAnsi" w:hAnsiTheme="minorHAnsi"/>
                <w:sz w:val="22"/>
                <w:szCs w:val="22"/>
              </w:rPr>
              <w:t xml:space="preserve"> </w:t>
            </w:r>
            <w:r>
              <w:rPr>
                <w:rFonts w:asciiTheme="minorHAnsi" w:hAnsiTheme="minorHAnsi"/>
                <w:sz w:val="22"/>
                <w:szCs w:val="22"/>
              </w:rPr>
              <w:t>m</w:t>
            </w:r>
            <w:r w:rsidRPr="009C0388">
              <w:rPr>
                <w:rFonts w:asciiTheme="minorHAnsi" w:hAnsiTheme="minorHAnsi"/>
                <w:sz w:val="22"/>
                <w:szCs w:val="22"/>
              </w:rPr>
              <w:t xml:space="preserve">etering equipment </w:t>
            </w:r>
            <w:r>
              <w:rPr>
                <w:rFonts w:asciiTheme="minorHAnsi" w:hAnsiTheme="minorHAnsi"/>
                <w:sz w:val="22"/>
                <w:szCs w:val="22"/>
              </w:rPr>
              <w:t>must</w:t>
            </w:r>
            <w:r w:rsidRPr="009C0388">
              <w:rPr>
                <w:rFonts w:asciiTheme="minorHAnsi" w:hAnsiTheme="minorHAnsi"/>
                <w:sz w:val="22"/>
                <w:szCs w:val="22"/>
              </w:rPr>
              <w:t xml:space="preserve"> follow the requirements set out in section 2.38 of the NGER Measurement Determination, which refer to industry practice.</w:t>
            </w:r>
          </w:p>
        </w:tc>
      </w:tr>
      <w:tr w:rsidR="00A57A5C" w:rsidRPr="00C64711" w14:paraId="3CD0C2F9" w14:textId="77777777" w:rsidTr="0088399B">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1" w:type="dxa"/>
            <w:vMerge/>
          </w:tcPr>
          <w:p w14:paraId="03A84819" w14:textId="77777777" w:rsidR="00A57A5C" w:rsidRPr="009C0388" w:rsidRDefault="00A57A5C">
            <w:pPr>
              <w:pStyle w:val="Body"/>
              <w:ind w:left="0"/>
              <w:rPr>
                <w:rFonts w:asciiTheme="minorHAnsi" w:hAnsiTheme="minorHAnsi"/>
                <w:sz w:val="22"/>
                <w:szCs w:val="22"/>
              </w:rPr>
            </w:pPr>
          </w:p>
        </w:tc>
        <w:tc>
          <w:tcPr>
            <w:tcW w:w="2692" w:type="dxa"/>
            <w:vMerge w:val="restart"/>
          </w:tcPr>
          <w:p w14:paraId="69E2AA4A" w14:textId="77777777" w:rsidR="00A57A5C" w:rsidRPr="009C0388"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vertAlign w:val="superscript"/>
              </w:rPr>
            </w:pPr>
            <w:r w:rsidRPr="009C0388">
              <w:rPr>
                <w:rFonts w:asciiTheme="minorHAnsi" w:hAnsiTheme="minorHAnsi"/>
                <w:sz w:val="22"/>
                <w:szCs w:val="22"/>
              </w:rPr>
              <w:t>Liquid fuels (in kilolitres)</w:t>
            </w:r>
          </w:p>
          <w:p w14:paraId="37ABD677" w14:textId="77777777" w:rsidR="00A57A5C" w:rsidRPr="009C0388"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vertAlign w:val="superscript"/>
              </w:rPr>
            </w:pPr>
          </w:p>
        </w:tc>
        <w:tc>
          <w:tcPr>
            <w:tcW w:w="4251" w:type="dxa"/>
          </w:tcPr>
          <w:p w14:paraId="564F5730" w14:textId="77777777" w:rsidR="00A57A5C" w:rsidRPr="009C0388"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E31CC">
              <w:rPr>
                <w:rFonts w:asciiTheme="minorHAnsi" w:hAnsiTheme="minorHAnsi"/>
                <w:sz w:val="22"/>
                <w:szCs w:val="22"/>
              </w:rPr>
              <w:t>Criterion AAA:</w:t>
            </w:r>
            <w:r w:rsidRPr="009C0388">
              <w:rPr>
                <w:rFonts w:asciiTheme="minorHAnsi" w:hAnsiTheme="minorHAnsi"/>
                <w:sz w:val="22"/>
                <w:szCs w:val="22"/>
              </w:rPr>
              <w:t xml:space="preserve"> </w:t>
            </w:r>
            <w:r>
              <w:rPr>
                <w:rFonts w:asciiTheme="minorHAnsi" w:hAnsiTheme="minorHAnsi"/>
                <w:sz w:val="22"/>
                <w:szCs w:val="22"/>
              </w:rPr>
              <w:t>m</w:t>
            </w:r>
            <w:r w:rsidRPr="009C0388">
              <w:rPr>
                <w:rFonts w:asciiTheme="minorHAnsi" w:hAnsiTheme="minorHAnsi"/>
                <w:sz w:val="22"/>
                <w:szCs w:val="22"/>
              </w:rPr>
              <w:t xml:space="preserve">etering equipment </w:t>
            </w:r>
            <w:r>
              <w:rPr>
                <w:rFonts w:asciiTheme="minorHAnsi" w:hAnsiTheme="minorHAnsi"/>
                <w:sz w:val="22"/>
                <w:szCs w:val="22"/>
              </w:rPr>
              <w:t>must</w:t>
            </w:r>
            <w:r w:rsidRPr="009C0388">
              <w:rPr>
                <w:rFonts w:asciiTheme="minorHAnsi" w:hAnsiTheme="minorHAnsi"/>
                <w:sz w:val="22"/>
                <w:szCs w:val="22"/>
              </w:rPr>
              <w:t xml:space="preserve"> follow the requirements set out in section 2.52 of the NGER Measurement Determination. Equipment </w:t>
            </w:r>
            <w:r>
              <w:rPr>
                <w:rFonts w:asciiTheme="minorHAnsi" w:hAnsiTheme="minorHAnsi"/>
                <w:sz w:val="22"/>
                <w:szCs w:val="22"/>
              </w:rPr>
              <w:t>must</w:t>
            </w:r>
            <w:r w:rsidRPr="009C0388">
              <w:rPr>
                <w:rFonts w:asciiTheme="minorHAnsi" w:hAnsiTheme="minorHAnsi"/>
                <w:sz w:val="22"/>
                <w:szCs w:val="22"/>
              </w:rPr>
              <w:t xml:space="preserve"> be calibrated to a ‘measurement requirement’. </w:t>
            </w:r>
            <w:r>
              <w:rPr>
                <w:rFonts w:asciiTheme="minorHAnsi" w:hAnsiTheme="minorHAnsi"/>
                <w:sz w:val="22"/>
                <w:szCs w:val="22"/>
              </w:rPr>
              <w:t>T</w:t>
            </w:r>
            <w:r w:rsidRPr="009C0388">
              <w:rPr>
                <w:rFonts w:asciiTheme="minorHAnsi" w:hAnsiTheme="minorHAnsi"/>
                <w:sz w:val="22"/>
                <w:szCs w:val="22"/>
              </w:rPr>
              <w:t xml:space="preserve">his refers to the standards required for measurement to support excise taxation arrangements. </w:t>
            </w:r>
          </w:p>
        </w:tc>
      </w:tr>
      <w:tr w:rsidR="00A57A5C" w:rsidRPr="00C64711" w14:paraId="3894D5FD" w14:textId="77777777" w:rsidTr="0088399B">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1" w:type="dxa"/>
            <w:vMerge/>
          </w:tcPr>
          <w:p w14:paraId="2FD4B1EF" w14:textId="77777777" w:rsidR="00A57A5C" w:rsidRPr="009C0388" w:rsidRDefault="00A57A5C">
            <w:pPr>
              <w:pStyle w:val="Body"/>
              <w:ind w:left="0"/>
              <w:rPr>
                <w:rFonts w:asciiTheme="minorHAnsi" w:hAnsiTheme="minorHAnsi"/>
                <w:sz w:val="22"/>
                <w:szCs w:val="22"/>
              </w:rPr>
            </w:pPr>
          </w:p>
        </w:tc>
        <w:tc>
          <w:tcPr>
            <w:tcW w:w="2692" w:type="dxa"/>
            <w:vMerge/>
          </w:tcPr>
          <w:p w14:paraId="0DBAF1BF" w14:textId="77777777" w:rsidR="00A57A5C" w:rsidRPr="009C0388" w:rsidRDefault="00A57A5C">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4251" w:type="dxa"/>
          </w:tcPr>
          <w:p w14:paraId="57D8F0A5" w14:textId="77777777" w:rsidR="00A57A5C" w:rsidRPr="009C0388" w:rsidRDefault="00A57A5C">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b/>
                <w:sz w:val="22"/>
                <w:szCs w:val="22"/>
              </w:rPr>
            </w:pPr>
            <w:r w:rsidRPr="00FE31CC">
              <w:rPr>
                <w:rFonts w:asciiTheme="minorHAnsi" w:hAnsiTheme="minorHAnsi"/>
                <w:sz w:val="22"/>
                <w:szCs w:val="22"/>
              </w:rPr>
              <w:t>Criterion BBB:</w:t>
            </w:r>
            <w:r w:rsidRPr="009C0388">
              <w:rPr>
                <w:rFonts w:asciiTheme="minorHAnsi" w:hAnsiTheme="minorHAnsi"/>
                <w:b/>
                <w:sz w:val="22"/>
                <w:szCs w:val="22"/>
              </w:rPr>
              <w:t xml:space="preserve"> </w:t>
            </w:r>
            <w:r>
              <w:rPr>
                <w:rFonts w:asciiTheme="minorHAnsi" w:hAnsiTheme="minorHAnsi"/>
                <w:sz w:val="22"/>
                <w:szCs w:val="22"/>
              </w:rPr>
              <w:t>m</w:t>
            </w:r>
            <w:r w:rsidRPr="009C0388">
              <w:rPr>
                <w:rFonts w:asciiTheme="minorHAnsi" w:hAnsiTheme="minorHAnsi"/>
                <w:sz w:val="22"/>
                <w:szCs w:val="22"/>
              </w:rPr>
              <w:t xml:space="preserve">etering equipment </w:t>
            </w:r>
            <w:r>
              <w:rPr>
                <w:rFonts w:asciiTheme="minorHAnsi" w:hAnsiTheme="minorHAnsi"/>
                <w:sz w:val="22"/>
                <w:szCs w:val="22"/>
              </w:rPr>
              <w:t>must</w:t>
            </w:r>
            <w:r w:rsidRPr="009C0388">
              <w:rPr>
                <w:rFonts w:asciiTheme="minorHAnsi" w:hAnsiTheme="minorHAnsi"/>
                <w:sz w:val="22"/>
                <w:szCs w:val="22"/>
              </w:rPr>
              <w:t xml:space="preserve"> follow the requirements set out in section 2.53 of the NGER Measurement Determination, which refer to industry practice.</w:t>
            </w:r>
          </w:p>
        </w:tc>
      </w:tr>
      <w:tr w:rsidR="0069532A" w:rsidRPr="00C64711" w14:paraId="12701921" w14:textId="77777777" w:rsidTr="00E04FAA">
        <w:trPr>
          <w:cnfStyle w:val="000000100000" w:firstRow="0" w:lastRow="0" w:firstColumn="0" w:lastColumn="0" w:oddVBand="0" w:evenVBand="0" w:oddHBand="1" w:evenHBand="0" w:firstRowFirstColumn="0" w:firstRowLastColumn="0" w:lastRowFirstColumn="0" w:lastRowLastColumn="0"/>
          <w:trHeight w:val="2060"/>
        </w:trPr>
        <w:tc>
          <w:tcPr>
            <w:cnfStyle w:val="001000000000" w:firstRow="0" w:lastRow="0" w:firstColumn="1" w:lastColumn="0" w:oddVBand="0" w:evenVBand="0" w:oddHBand="0" w:evenHBand="0" w:firstRowFirstColumn="0" w:firstRowLastColumn="0" w:lastRowFirstColumn="0" w:lastRowLastColumn="0"/>
            <w:tcW w:w="2691" w:type="dxa"/>
            <w:tcBorders>
              <w:bottom w:val="single" w:sz="8" w:space="0" w:color="E8E8E8" w:themeColor="background2"/>
            </w:tcBorders>
          </w:tcPr>
          <w:p w14:paraId="40E221E7" w14:textId="6BC117DC" w:rsidR="00A57A5C" w:rsidRPr="00F61C7D" w:rsidRDefault="00A57A5C">
            <w:pPr>
              <w:pStyle w:val="Body"/>
              <w:ind w:left="0"/>
              <w:rPr>
                <w:rFonts w:asciiTheme="minorHAnsi" w:hAnsiTheme="minorHAnsi"/>
                <w:b w:val="0"/>
                <w:bCs/>
                <w:sz w:val="22"/>
                <w:szCs w:val="22"/>
                <w:highlight w:val="yellow"/>
              </w:rPr>
            </w:pPr>
            <w:r w:rsidRPr="004B02E0">
              <w:rPr>
                <w:rFonts w:asciiTheme="minorHAnsi" w:hAnsiTheme="minorHAnsi"/>
                <w:sz w:val="22"/>
                <w:szCs w:val="22"/>
              </w:rPr>
              <w:t xml:space="preserve">Sampling and </w:t>
            </w:r>
            <w:r w:rsidR="003B6C91">
              <w:rPr>
                <w:rFonts w:asciiTheme="minorHAnsi" w:hAnsiTheme="minorHAnsi"/>
                <w:sz w:val="22"/>
                <w:szCs w:val="22"/>
              </w:rPr>
              <w:t>a</w:t>
            </w:r>
            <w:r w:rsidRPr="004B02E0">
              <w:rPr>
                <w:rFonts w:asciiTheme="minorHAnsi" w:hAnsiTheme="minorHAnsi"/>
                <w:sz w:val="22"/>
                <w:szCs w:val="22"/>
              </w:rPr>
              <w:t>nalysis (</w:t>
            </w:r>
            <w:r w:rsidRPr="006046BA">
              <w:rPr>
                <w:rFonts w:asciiTheme="minorHAnsi" w:hAnsiTheme="minorHAnsi"/>
                <w:sz w:val="22"/>
                <w:szCs w:val="22"/>
              </w:rPr>
              <w:t>for example,</w:t>
            </w:r>
            <w:r w:rsidRPr="00533405">
              <w:rPr>
                <w:rFonts w:asciiTheme="minorHAnsi" w:hAnsiTheme="minorHAnsi"/>
                <w:sz w:val="22"/>
                <w:szCs w:val="22"/>
              </w:rPr>
              <w:t xml:space="preserve"> where </w:t>
            </w:r>
            <w:r w:rsidR="2B22388B" w:rsidRPr="1553680F">
              <w:rPr>
                <w:rFonts w:asciiTheme="minorHAnsi" w:hAnsiTheme="minorHAnsi"/>
                <w:sz w:val="22"/>
                <w:szCs w:val="22"/>
              </w:rPr>
              <w:t>M</w:t>
            </w:r>
            <w:r w:rsidRPr="00533405">
              <w:rPr>
                <w:rFonts w:asciiTheme="minorHAnsi" w:hAnsiTheme="minorHAnsi"/>
                <w:sz w:val="22"/>
                <w:szCs w:val="22"/>
              </w:rPr>
              <w:t>ethod 2 or 3 is applied to estimate emissions)</w:t>
            </w:r>
          </w:p>
        </w:tc>
        <w:tc>
          <w:tcPr>
            <w:tcW w:w="2692" w:type="dxa"/>
            <w:tcBorders>
              <w:bottom w:val="single" w:sz="8" w:space="0" w:color="E8E8E8" w:themeColor="background2"/>
            </w:tcBorders>
          </w:tcPr>
          <w:p w14:paraId="3E3B7056" w14:textId="77777777" w:rsidR="00A57A5C" w:rsidRPr="009C0388"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Solid fuels</w:t>
            </w:r>
          </w:p>
          <w:p w14:paraId="09516FC8" w14:textId="77777777" w:rsidR="00A57A5C" w:rsidRPr="009C0388"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Gaseous fuels</w:t>
            </w:r>
          </w:p>
          <w:p w14:paraId="143A0BA6" w14:textId="77777777" w:rsidR="00A57A5C" w:rsidRPr="009C0388"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highlight w:val="yellow"/>
              </w:rPr>
            </w:pPr>
            <w:r w:rsidRPr="009C0388">
              <w:rPr>
                <w:rFonts w:asciiTheme="minorHAnsi" w:hAnsiTheme="minorHAnsi"/>
                <w:sz w:val="22"/>
                <w:szCs w:val="22"/>
              </w:rPr>
              <w:t>Liquid fuels</w:t>
            </w:r>
          </w:p>
        </w:tc>
        <w:tc>
          <w:tcPr>
            <w:tcW w:w="4251" w:type="dxa"/>
            <w:tcBorders>
              <w:bottom w:val="single" w:sz="8" w:space="0" w:color="E8E8E8" w:themeColor="background2"/>
            </w:tcBorders>
          </w:tcPr>
          <w:p w14:paraId="11DD976E" w14:textId="676D247F" w:rsidR="00A57A5C" w:rsidRPr="009C0388"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Sampling and analysis </w:t>
            </w:r>
            <w:r>
              <w:rPr>
                <w:rFonts w:asciiTheme="minorHAnsi" w:hAnsiTheme="minorHAnsi"/>
                <w:sz w:val="22"/>
                <w:szCs w:val="22"/>
              </w:rPr>
              <w:t>must</w:t>
            </w:r>
            <w:r w:rsidRPr="009C0388">
              <w:rPr>
                <w:rFonts w:asciiTheme="minorHAnsi" w:hAnsiTheme="minorHAnsi"/>
                <w:sz w:val="22"/>
                <w:szCs w:val="22"/>
              </w:rPr>
              <w:t xml:space="preserve"> be undertaken using metering and calibration procedure specified in a relevant standard (refer sections </w:t>
            </w:r>
            <w:r w:rsidRPr="009C0388">
              <w:rPr>
                <w:rFonts w:asciiTheme="minorHAnsi" w:hAnsiTheme="minorHAnsi"/>
                <w:sz w:val="22"/>
                <w:szCs w:val="22"/>
              </w:rPr>
              <w:fldChar w:fldCharType="begin" w:fldLock="1"/>
            </w:r>
            <w:r w:rsidRPr="009C0388">
              <w:rPr>
                <w:rFonts w:asciiTheme="minorHAnsi" w:hAnsiTheme="minorHAnsi"/>
                <w:sz w:val="22"/>
                <w:szCs w:val="22"/>
              </w:rPr>
              <w:instrText xml:space="preserve"> REF _Ref511917503 \r \h </w:instrText>
            </w:r>
            <w:r>
              <w:rPr>
                <w:rFonts w:asciiTheme="minorHAnsi" w:hAnsiTheme="minorHAnsi"/>
                <w:sz w:val="22"/>
                <w:szCs w:val="22"/>
              </w:rPr>
              <w:instrText xml:space="preserve"> \* MERGEFORMAT </w:instrText>
            </w:r>
            <w:r w:rsidRPr="009C0388">
              <w:rPr>
                <w:rFonts w:asciiTheme="minorHAnsi" w:hAnsiTheme="minorHAnsi"/>
                <w:sz w:val="22"/>
                <w:szCs w:val="22"/>
              </w:rPr>
            </w:r>
            <w:r w:rsidRPr="009C0388">
              <w:rPr>
                <w:rFonts w:asciiTheme="minorHAnsi" w:hAnsiTheme="minorHAnsi"/>
                <w:sz w:val="22"/>
                <w:szCs w:val="22"/>
              </w:rPr>
              <w:fldChar w:fldCharType="separate"/>
            </w:r>
            <w:r>
              <w:rPr>
                <w:rFonts w:asciiTheme="minorHAnsi" w:hAnsiTheme="minorHAnsi"/>
                <w:sz w:val="22"/>
                <w:szCs w:val="22"/>
              </w:rPr>
              <w:t>4.3.1</w:t>
            </w:r>
            <w:r w:rsidRPr="009C0388">
              <w:rPr>
                <w:rFonts w:asciiTheme="minorHAnsi" w:hAnsiTheme="minorHAnsi"/>
                <w:sz w:val="22"/>
                <w:szCs w:val="22"/>
              </w:rPr>
              <w:fldChar w:fldCharType="end"/>
            </w:r>
            <w:r w:rsidRPr="009C0388">
              <w:rPr>
                <w:rFonts w:asciiTheme="minorHAnsi" w:hAnsiTheme="minorHAnsi"/>
                <w:sz w:val="22"/>
                <w:szCs w:val="22"/>
              </w:rPr>
              <w:t xml:space="preserve">, </w:t>
            </w:r>
            <w:r w:rsidRPr="009C0388">
              <w:rPr>
                <w:rFonts w:asciiTheme="minorHAnsi" w:hAnsiTheme="minorHAnsi"/>
                <w:sz w:val="22"/>
                <w:szCs w:val="22"/>
              </w:rPr>
              <w:fldChar w:fldCharType="begin" w:fldLock="1"/>
            </w:r>
            <w:r w:rsidRPr="009C0388">
              <w:rPr>
                <w:rFonts w:asciiTheme="minorHAnsi" w:hAnsiTheme="minorHAnsi"/>
                <w:sz w:val="22"/>
                <w:szCs w:val="22"/>
              </w:rPr>
              <w:instrText xml:space="preserve"> REF _Ref511917520 \r \h </w:instrText>
            </w:r>
            <w:r>
              <w:rPr>
                <w:rFonts w:asciiTheme="minorHAnsi" w:hAnsiTheme="minorHAnsi"/>
                <w:sz w:val="22"/>
                <w:szCs w:val="22"/>
              </w:rPr>
              <w:instrText xml:space="preserve"> \* MERGEFORMAT </w:instrText>
            </w:r>
            <w:r w:rsidRPr="009C0388">
              <w:rPr>
                <w:rFonts w:asciiTheme="minorHAnsi" w:hAnsiTheme="minorHAnsi"/>
                <w:sz w:val="22"/>
                <w:szCs w:val="22"/>
              </w:rPr>
            </w:r>
            <w:r w:rsidRPr="009C0388">
              <w:rPr>
                <w:rFonts w:asciiTheme="minorHAnsi" w:hAnsiTheme="minorHAnsi"/>
                <w:sz w:val="22"/>
                <w:szCs w:val="22"/>
              </w:rPr>
              <w:fldChar w:fldCharType="separate"/>
            </w:r>
            <w:r>
              <w:rPr>
                <w:rFonts w:asciiTheme="minorHAnsi" w:hAnsiTheme="minorHAnsi"/>
                <w:sz w:val="22"/>
                <w:szCs w:val="22"/>
              </w:rPr>
              <w:t>4.4.1</w:t>
            </w:r>
            <w:r w:rsidRPr="009C0388">
              <w:rPr>
                <w:rFonts w:asciiTheme="minorHAnsi" w:hAnsiTheme="minorHAnsi"/>
                <w:sz w:val="22"/>
                <w:szCs w:val="22"/>
              </w:rPr>
              <w:fldChar w:fldCharType="end"/>
            </w:r>
            <w:r w:rsidRPr="009C0388">
              <w:rPr>
                <w:rFonts w:asciiTheme="minorHAnsi" w:hAnsiTheme="minorHAnsi"/>
                <w:sz w:val="22"/>
                <w:szCs w:val="22"/>
              </w:rPr>
              <w:t xml:space="preserve">, and </w:t>
            </w:r>
            <w:r w:rsidRPr="009C0388">
              <w:rPr>
                <w:rFonts w:asciiTheme="minorHAnsi" w:hAnsiTheme="minorHAnsi"/>
                <w:sz w:val="22"/>
                <w:szCs w:val="22"/>
              </w:rPr>
              <w:fldChar w:fldCharType="begin" w:fldLock="1"/>
            </w:r>
            <w:r w:rsidRPr="009C0388">
              <w:rPr>
                <w:rFonts w:asciiTheme="minorHAnsi" w:hAnsiTheme="minorHAnsi"/>
                <w:sz w:val="22"/>
                <w:szCs w:val="22"/>
              </w:rPr>
              <w:instrText xml:space="preserve"> REF _Ref511917530 \r \h </w:instrText>
            </w:r>
            <w:r>
              <w:rPr>
                <w:rFonts w:asciiTheme="minorHAnsi" w:hAnsiTheme="minorHAnsi"/>
                <w:sz w:val="22"/>
                <w:szCs w:val="22"/>
              </w:rPr>
              <w:instrText xml:space="preserve"> \* MERGEFORMAT </w:instrText>
            </w:r>
            <w:r w:rsidRPr="009C0388">
              <w:rPr>
                <w:rFonts w:asciiTheme="minorHAnsi" w:hAnsiTheme="minorHAnsi"/>
                <w:sz w:val="22"/>
                <w:szCs w:val="22"/>
              </w:rPr>
            </w:r>
            <w:r w:rsidRPr="009C0388">
              <w:rPr>
                <w:rFonts w:asciiTheme="minorHAnsi" w:hAnsiTheme="minorHAnsi"/>
                <w:sz w:val="22"/>
                <w:szCs w:val="22"/>
              </w:rPr>
              <w:fldChar w:fldCharType="separate"/>
            </w:r>
            <w:r>
              <w:rPr>
                <w:rFonts w:asciiTheme="minorHAnsi" w:hAnsiTheme="minorHAnsi"/>
                <w:sz w:val="22"/>
                <w:szCs w:val="22"/>
              </w:rPr>
              <w:t>4.5.1</w:t>
            </w:r>
            <w:r w:rsidRPr="009C0388">
              <w:rPr>
                <w:rFonts w:asciiTheme="minorHAnsi" w:hAnsiTheme="minorHAnsi"/>
                <w:sz w:val="22"/>
                <w:szCs w:val="22"/>
              </w:rPr>
              <w:fldChar w:fldCharType="end"/>
            </w:r>
            <w:r w:rsidRPr="009C0388">
              <w:rPr>
                <w:rFonts w:asciiTheme="minorHAnsi" w:hAnsiTheme="minorHAnsi"/>
                <w:sz w:val="22"/>
                <w:szCs w:val="22"/>
              </w:rPr>
              <w:t xml:space="preserve"> of this guideline).</w:t>
            </w:r>
          </w:p>
          <w:p w14:paraId="7D070C4E" w14:textId="77777777" w:rsidR="00A57A5C" w:rsidRPr="009C0388"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highlight w:val="yellow"/>
              </w:rPr>
            </w:pPr>
            <w:r w:rsidRPr="009C0388">
              <w:rPr>
                <w:rFonts w:asciiTheme="minorHAnsi" w:hAnsiTheme="minorHAnsi"/>
                <w:sz w:val="22"/>
                <w:szCs w:val="22"/>
              </w:rPr>
              <w:t>This is typically the responsibility of the party completing the sampling and analysis</w:t>
            </w:r>
            <w:r>
              <w:rPr>
                <w:rFonts w:asciiTheme="minorHAnsi" w:hAnsiTheme="minorHAnsi"/>
                <w:sz w:val="22"/>
                <w:szCs w:val="22"/>
              </w:rPr>
              <w:t xml:space="preserve">, </w:t>
            </w:r>
            <w:r w:rsidRPr="009C0388">
              <w:rPr>
                <w:rFonts w:asciiTheme="minorHAnsi" w:hAnsiTheme="minorHAnsi"/>
                <w:sz w:val="22"/>
                <w:szCs w:val="22"/>
              </w:rPr>
              <w:t>either the reporting company or a contractor. However, NGER reporters remain accountable for ensuring that sampling and analysis is performed and documented according to the requirements – this responsibility cannot be delegated to a contractor, with the NGER reporter expected to have ready access to the documentation for compliant sampling and analysis.</w:t>
            </w:r>
          </w:p>
        </w:tc>
      </w:tr>
      <w:tr w:rsidR="0069532A" w:rsidRPr="00C64711" w14:paraId="1DEC04E8" w14:textId="77777777" w:rsidTr="00E04FAA">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1" w:type="dxa"/>
            <w:vMerge w:val="restart"/>
            <w:tcBorders>
              <w:top w:val="single" w:sz="8" w:space="0" w:color="E8E8E8" w:themeColor="background2"/>
              <w:bottom w:val="single" w:sz="8" w:space="0" w:color="E8E8E8" w:themeColor="background2"/>
            </w:tcBorders>
          </w:tcPr>
          <w:p w14:paraId="7180C626" w14:textId="2D0C46DD" w:rsidR="00A57A5C" w:rsidRPr="00F61C7D" w:rsidRDefault="00A57A5C">
            <w:pPr>
              <w:pStyle w:val="Body"/>
              <w:ind w:left="0"/>
              <w:rPr>
                <w:rFonts w:asciiTheme="minorHAnsi" w:hAnsiTheme="minorHAnsi"/>
                <w:sz w:val="22"/>
                <w:szCs w:val="22"/>
              </w:rPr>
            </w:pPr>
            <w:r w:rsidRPr="004B02E0">
              <w:rPr>
                <w:rFonts w:asciiTheme="minorHAnsi" w:hAnsiTheme="minorHAnsi"/>
                <w:sz w:val="22"/>
                <w:szCs w:val="22"/>
              </w:rPr>
              <w:t>Direct measurement of emissions (</w:t>
            </w:r>
            <w:r w:rsidRPr="006046BA">
              <w:rPr>
                <w:rFonts w:asciiTheme="minorHAnsi" w:hAnsiTheme="minorHAnsi"/>
                <w:sz w:val="22"/>
                <w:szCs w:val="22"/>
              </w:rPr>
              <w:t xml:space="preserve">for example, where </w:t>
            </w:r>
            <w:r w:rsidR="0C728FC4" w:rsidRPr="1553680F">
              <w:rPr>
                <w:rFonts w:asciiTheme="minorHAnsi" w:hAnsiTheme="minorHAnsi"/>
                <w:sz w:val="22"/>
                <w:szCs w:val="22"/>
              </w:rPr>
              <w:t>M</w:t>
            </w:r>
            <w:r w:rsidRPr="006046BA">
              <w:rPr>
                <w:rFonts w:asciiTheme="minorHAnsi" w:hAnsiTheme="minorHAnsi"/>
                <w:sz w:val="22"/>
                <w:szCs w:val="22"/>
              </w:rPr>
              <w:t>ethod 4 is applied to estimate emissions)</w:t>
            </w:r>
          </w:p>
          <w:p w14:paraId="743EA4BA" w14:textId="77777777" w:rsidR="00A57A5C" w:rsidRPr="009C0388" w:rsidRDefault="00A57A5C">
            <w:pPr>
              <w:pStyle w:val="Body"/>
              <w:ind w:left="0"/>
              <w:rPr>
                <w:rFonts w:asciiTheme="minorHAnsi" w:hAnsiTheme="minorHAnsi"/>
                <w:sz w:val="22"/>
                <w:szCs w:val="22"/>
              </w:rPr>
            </w:pPr>
          </w:p>
        </w:tc>
        <w:tc>
          <w:tcPr>
            <w:tcW w:w="2692" w:type="dxa"/>
            <w:tcBorders>
              <w:top w:val="single" w:sz="8" w:space="0" w:color="E8E8E8" w:themeColor="background2"/>
              <w:bottom w:val="single" w:sz="8" w:space="0" w:color="E8E8E8" w:themeColor="background2"/>
            </w:tcBorders>
          </w:tcPr>
          <w:p w14:paraId="22425667" w14:textId="77777777" w:rsidR="00A57A5C" w:rsidRPr="009C0388" w:rsidRDefault="00A57A5C">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CEM</w:t>
            </w:r>
          </w:p>
        </w:tc>
        <w:tc>
          <w:tcPr>
            <w:tcW w:w="4251" w:type="dxa"/>
            <w:tcBorders>
              <w:top w:val="single" w:sz="8" w:space="0" w:color="E8E8E8" w:themeColor="background2"/>
              <w:bottom w:val="single" w:sz="8" w:space="0" w:color="E8E8E8" w:themeColor="background2"/>
            </w:tcBorders>
          </w:tcPr>
          <w:p w14:paraId="65F9775F" w14:textId="58487A53" w:rsidR="00A57A5C" w:rsidRPr="009C0388" w:rsidRDefault="00A57A5C">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E31CC">
              <w:rPr>
                <w:rFonts w:asciiTheme="minorHAnsi" w:hAnsiTheme="minorHAnsi"/>
                <w:sz w:val="22"/>
                <w:szCs w:val="22"/>
              </w:rPr>
              <w:t>Measurement of flow rates:</w:t>
            </w:r>
            <w:r w:rsidRPr="009C0388">
              <w:rPr>
                <w:rFonts w:asciiTheme="minorHAnsi" w:hAnsiTheme="minorHAnsi"/>
                <w:sz w:val="22"/>
                <w:szCs w:val="22"/>
              </w:rPr>
              <w:t xml:space="preserve"> </w:t>
            </w:r>
            <w:r>
              <w:rPr>
                <w:rFonts w:asciiTheme="minorHAnsi" w:hAnsiTheme="minorHAnsi"/>
                <w:sz w:val="22"/>
                <w:szCs w:val="22"/>
              </w:rPr>
              <w:t>a</w:t>
            </w:r>
            <w:r w:rsidRPr="009C0388">
              <w:rPr>
                <w:rFonts w:asciiTheme="minorHAnsi" w:hAnsiTheme="minorHAnsi"/>
                <w:sz w:val="22"/>
                <w:szCs w:val="22"/>
              </w:rPr>
              <w:t>n appropriate standard should be chosen and followed as set out in section 1.24</w:t>
            </w:r>
            <w:r w:rsidR="00F51142">
              <w:rPr>
                <w:rFonts w:asciiTheme="minorHAnsi" w:hAnsiTheme="minorHAnsi"/>
                <w:sz w:val="22"/>
                <w:szCs w:val="22"/>
              </w:rPr>
              <w:t xml:space="preserve"> of the NGER Measurement Determination</w:t>
            </w:r>
            <w:r w:rsidRPr="009C0388">
              <w:rPr>
                <w:rFonts w:asciiTheme="minorHAnsi" w:hAnsiTheme="minorHAnsi"/>
                <w:sz w:val="22"/>
                <w:szCs w:val="22"/>
              </w:rPr>
              <w:t>.</w:t>
            </w:r>
          </w:p>
          <w:p w14:paraId="2E655C11" w14:textId="7CC290B3" w:rsidR="00A57A5C" w:rsidRPr="009C0388" w:rsidRDefault="00A57A5C">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E31CC">
              <w:rPr>
                <w:rFonts w:asciiTheme="minorHAnsi" w:hAnsiTheme="minorHAnsi"/>
                <w:sz w:val="22"/>
                <w:szCs w:val="22"/>
              </w:rPr>
              <w:t>Measurement of gas concentrations:</w:t>
            </w:r>
            <w:r w:rsidRPr="009C0388">
              <w:rPr>
                <w:rFonts w:asciiTheme="minorHAnsi" w:hAnsiTheme="minorHAnsi"/>
                <w:sz w:val="22"/>
                <w:szCs w:val="22"/>
              </w:rPr>
              <w:t xml:space="preserve"> </w:t>
            </w:r>
            <w:r>
              <w:rPr>
                <w:rFonts w:asciiTheme="minorHAnsi" w:hAnsiTheme="minorHAnsi"/>
                <w:sz w:val="22"/>
                <w:szCs w:val="22"/>
              </w:rPr>
              <w:t>a</w:t>
            </w:r>
            <w:r w:rsidRPr="009C0388">
              <w:rPr>
                <w:rFonts w:asciiTheme="minorHAnsi" w:hAnsiTheme="minorHAnsi"/>
                <w:sz w:val="22"/>
                <w:szCs w:val="22"/>
              </w:rPr>
              <w:t>n appropriate standard should be chosen and followed as set out in section 1.25</w:t>
            </w:r>
            <w:r w:rsidR="00F51142">
              <w:rPr>
                <w:rFonts w:asciiTheme="minorHAnsi" w:hAnsiTheme="minorHAnsi"/>
                <w:sz w:val="22"/>
                <w:szCs w:val="22"/>
              </w:rPr>
              <w:t xml:space="preserve"> of the NGER Measurement Determination</w:t>
            </w:r>
            <w:r w:rsidRPr="009C0388">
              <w:rPr>
                <w:rFonts w:asciiTheme="minorHAnsi" w:hAnsiTheme="minorHAnsi"/>
                <w:sz w:val="22"/>
                <w:szCs w:val="22"/>
              </w:rPr>
              <w:t>.</w:t>
            </w:r>
          </w:p>
          <w:p w14:paraId="0189C8E1" w14:textId="12CD5E20" w:rsidR="00A57A5C" w:rsidRPr="009C0388" w:rsidRDefault="00A57A5C">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FE31CC">
              <w:rPr>
                <w:rFonts w:asciiTheme="minorHAnsi" w:hAnsiTheme="minorHAnsi"/>
                <w:sz w:val="22"/>
                <w:szCs w:val="22"/>
              </w:rPr>
              <w:t>Performance characteristics:</w:t>
            </w:r>
            <w:r w:rsidRPr="009C0388">
              <w:rPr>
                <w:rFonts w:asciiTheme="minorHAnsi" w:hAnsiTheme="minorHAnsi"/>
                <w:b/>
                <w:sz w:val="22"/>
                <w:szCs w:val="22"/>
              </w:rPr>
              <w:t xml:space="preserve"> </w:t>
            </w:r>
            <w:r>
              <w:rPr>
                <w:rFonts w:asciiTheme="minorHAnsi" w:hAnsiTheme="minorHAnsi"/>
                <w:sz w:val="22"/>
                <w:szCs w:val="22"/>
              </w:rPr>
              <w:t>t</w:t>
            </w:r>
            <w:r w:rsidRPr="009C0388">
              <w:rPr>
                <w:rFonts w:asciiTheme="minorHAnsi" w:hAnsiTheme="minorHAnsi"/>
                <w:sz w:val="22"/>
                <w:szCs w:val="22"/>
              </w:rPr>
              <w:t>he performance characteristics of CEM equipment should be measured in accordance with section 1.34</w:t>
            </w:r>
            <w:r w:rsidR="00F51142">
              <w:rPr>
                <w:rFonts w:asciiTheme="minorHAnsi" w:hAnsiTheme="minorHAnsi"/>
                <w:sz w:val="22"/>
                <w:szCs w:val="22"/>
              </w:rPr>
              <w:t xml:space="preserve"> of the NGER Measurement Determination</w:t>
            </w:r>
            <w:r w:rsidRPr="009C0388">
              <w:rPr>
                <w:rFonts w:asciiTheme="minorHAnsi" w:hAnsiTheme="minorHAnsi"/>
                <w:sz w:val="22"/>
                <w:szCs w:val="22"/>
              </w:rPr>
              <w:t>.</w:t>
            </w:r>
          </w:p>
        </w:tc>
      </w:tr>
      <w:tr w:rsidR="00864289" w:rsidRPr="00C64711" w14:paraId="635425BE" w14:textId="77777777" w:rsidTr="00E04FAA">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2691" w:type="dxa"/>
            <w:vMerge/>
          </w:tcPr>
          <w:p w14:paraId="0284EF5C" w14:textId="77777777" w:rsidR="00A57A5C" w:rsidRPr="009C0388" w:rsidRDefault="00A57A5C">
            <w:pPr>
              <w:pStyle w:val="Body"/>
              <w:ind w:left="0"/>
              <w:rPr>
                <w:rFonts w:asciiTheme="minorHAnsi" w:hAnsiTheme="minorHAnsi"/>
                <w:sz w:val="22"/>
                <w:szCs w:val="22"/>
              </w:rPr>
            </w:pPr>
          </w:p>
        </w:tc>
        <w:tc>
          <w:tcPr>
            <w:tcW w:w="2692" w:type="dxa"/>
            <w:tcBorders>
              <w:top w:val="single" w:sz="8" w:space="0" w:color="E8E8E8" w:themeColor="background2"/>
              <w:bottom w:val="single" w:sz="4" w:space="0" w:color="FCBA5C" w:themeColor="accent2"/>
            </w:tcBorders>
          </w:tcPr>
          <w:p w14:paraId="40DF4871" w14:textId="77777777" w:rsidR="00A57A5C" w:rsidRPr="009C0388"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PEM</w:t>
            </w:r>
          </w:p>
        </w:tc>
        <w:tc>
          <w:tcPr>
            <w:tcW w:w="4251" w:type="dxa"/>
            <w:tcBorders>
              <w:top w:val="single" w:sz="8" w:space="0" w:color="E8E8E8" w:themeColor="background2"/>
              <w:bottom w:val="single" w:sz="4" w:space="0" w:color="FCBA5C" w:themeColor="accent2"/>
            </w:tcBorders>
          </w:tcPr>
          <w:p w14:paraId="50EAF919" w14:textId="20EC1823" w:rsidR="00A57A5C" w:rsidRPr="009C0388"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E31CC">
              <w:rPr>
                <w:rFonts w:asciiTheme="minorHAnsi" w:hAnsiTheme="minorHAnsi"/>
                <w:sz w:val="22"/>
                <w:szCs w:val="22"/>
              </w:rPr>
              <w:t>Measurement of flow rates:</w:t>
            </w:r>
            <w:r w:rsidRPr="009C0388">
              <w:rPr>
                <w:rFonts w:asciiTheme="minorHAnsi" w:hAnsiTheme="minorHAnsi"/>
                <w:sz w:val="22"/>
                <w:szCs w:val="22"/>
              </w:rPr>
              <w:t xml:space="preserve"> </w:t>
            </w:r>
            <w:r>
              <w:rPr>
                <w:rFonts w:asciiTheme="minorHAnsi" w:hAnsiTheme="minorHAnsi"/>
                <w:sz w:val="22"/>
                <w:szCs w:val="22"/>
              </w:rPr>
              <w:t>a</w:t>
            </w:r>
            <w:r w:rsidRPr="009C0388">
              <w:rPr>
                <w:rFonts w:asciiTheme="minorHAnsi" w:hAnsiTheme="minorHAnsi"/>
                <w:sz w:val="22"/>
                <w:szCs w:val="22"/>
              </w:rPr>
              <w:t>n appropriate standard should be chosen and followed as set out in section 1.31</w:t>
            </w:r>
            <w:r w:rsidR="00F51142">
              <w:rPr>
                <w:rFonts w:asciiTheme="minorHAnsi" w:hAnsiTheme="minorHAnsi"/>
                <w:sz w:val="22"/>
                <w:szCs w:val="22"/>
              </w:rPr>
              <w:t xml:space="preserve"> of the NGER Measurement Determination</w:t>
            </w:r>
            <w:r w:rsidRPr="009C0388">
              <w:rPr>
                <w:rFonts w:asciiTheme="minorHAnsi" w:hAnsiTheme="minorHAnsi"/>
                <w:sz w:val="22"/>
                <w:szCs w:val="22"/>
              </w:rPr>
              <w:t>.</w:t>
            </w:r>
          </w:p>
          <w:p w14:paraId="6163054D" w14:textId="098616ED" w:rsidR="00A57A5C" w:rsidRPr="009C0388"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FE31CC">
              <w:rPr>
                <w:rFonts w:asciiTheme="minorHAnsi" w:hAnsiTheme="minorHAnsi"/>
                <w:sz w:val="22"/>
                <w:szCs w:val="22"/>
              </w:rPr>
              <w:t>Measurement of gas concentrations:</w:t>
            </w:r>
            <w:r w:rsidRPr="009C0388">
              <w:rPr>
                <w:rFonts w:asciiTheme="minorHAnsi" w:hAnsiTheme="minorHAnsi"/>
                <w:sz w:val="22"/>
                <w:szCs w:val="22"/>
              </w:rPr>
              <w:t xml:space="preserve"> </w:t>
            </w:r>
            <w:r>
              <w:rPr>
                <w:rFonts w:asciiTheme="minorHAnsi" w:hAnsiTheme="minorHAnsi"/>
                <w:sz w:val="22"/>
                <w:szCs w:val="22"/>
              </w:rPr>
              <w:t>a</w:t>
            </w:r>
            <w:r w:rsidRPr="009C0388">
              <w:rPr>
                <w:rFonts w:asciiTheme="minorHAnsi" w:hAnsiTheme="minorHAnsi"/>
                <w:sz w:val="22"/>
                <w:szCs w:val="22"/>
              </w:rPr>
              <w:t>n appropriate standard should be chosen and followed as set out in section 1.32</w:t>
            </w:r>
            <w:r w:rsidR="00F51142">
              <w:rPr>
                <w:rFonts w:asciiTheme="minorHAnsi" w:hAnsiTheme="minorHAnsi"/>
                <w:sz w:val="22"/>
                <w:szCs w:val="22"/>
              </w:rPr>
              <w:t xml:space="preserve"> of the NGER Measurement Determination</w:t>
            </w:r>
            <w:r w:rsidRPr="009C0388">
              <w:rPr>
                <w:rFonts w:asciiTheme="minorHAnsi" w:hAnsiTheme="minorHAnsi"/>
                <w:sz w:val="22"/>
                <w:szCs w:val="22"/>
              </w:rPr>
              <w:t>.</w:t>
            </w:r>
          </w:p>
          <w:p w14:paraId="2ECF5748" w14:textId="775584F4" w:rsidR="00A57A5C" w:rsidRPr="009C0388" w:rsidRDefault="00A57A5C">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b/>
                <w:sz w:val="22"/>
                <w:szCs w:val="22"/>
              </w:rPr>
            </w:pPr>
            <w:r w:rsidRPr="00FE31CC">
              <w:rPr>
                <w:rFonts w:asciiTheme="minorHAnsi" w:hAnsiTheme="minorHAnsi"/>
                <w:sz w:val="22"/>
                <w:szCs w:val="22"/>
              </w:rPr>
              <w:t>Performance characteristics:</w:t>
            </w:r>
            <w:r w:rsidRPr="009C0388">
              <w:rPr>
                <w:rFonts w:asciiTheme="minorHAnsi" w:hAnsiTheme="minorHAnsi"/>
                <w:b/>
                <w:sz w:val="22"/>
                <w:szCs w:val="22"/>
              </w:rPr>
              <w:t xml:space="preserve"> </w:t>
            </w:r>
            <w:r>
              <w:rPr>
                <w:rFonts w:asciiTheme="minorHAnsi" w:hAnsiTheme="minorHAnsi"/>
                <w:sz w:val="22"/>
                <w:szCs w:val="22"/>
              </w:rPr>
              <w:t>t</w:t>
            </w:r>
            <w:r w:rsidRPr="009C0388">
              <w:rPr>
                <w:rFonts w:asciiTheme="minorHAnsi" w:hAnsiTheme="minorHAnsi"/>
                <w:sz w:val="22"/>
                <w:szCs w:val="22"/>
              </w:rPr>
              <w:t>he performance characteristics of PEM equipment should be measured in accordance with section 1.34</w:t>
            </w:r>
            <w:r w:rsidR="00F51142">
              <w:rPr>
                <w:rFonts w:asciiTheme="minorHAnsi" w:hAnsiTheme="minorHAnsi"/>
                <w:sz w:val="22"/>
                <w:szCs w:val="22"/>
              </w:rPr>
              <w:t xml:space="preserve"> of the NGER Measurement Determination</w:t>
            </w:r>
            <w:r w:rsidRPr="009C0388">
              <w:rPr>
                <w:rFonts w:asciiTheme="minorHAnsi" w:hAnsiTheme="minorHAnsi"/>
                <w:sz w:val="22"/>
                <w:szCs w:val="22"/>
              </w:rPr>
              <w:t>.</w:t>
            </w:r>
          </w:p>
        </w:tc>
      </w:tr>
    </w:tbl>
    <w:p w14:paraId="2E38D9E5" w14:textId="77777777" w:rsidR="00A57A5C" w:rsidRPr="00FF338C" w:rsidRDefault="00A57A5C" w:rsidP="00DB4B56">
      <w:pPr>
        <w:pStyle w:val="Heading2"/>
        <w:numPr>
          <w:ilvl w:val="1"/>
          <w:numId w:val="3"/>
        </w:numPr>
        <w:ind w:left="426" w:hanging="426"/>
      </w:pPr>
      <w:bookmarkStart w:id="522" w:name="_Toc511376927"/>
      <w:bookmarkStart w:id="523" w:name="_Toc511388524"/>
      <w:bookmarkStart w:id="524" w:name="_Toc511389446"/>
      <w:bookmarkStart w:id="525" w:name="_Toc511392955"/>
      <w:bookmarkStart w:id="526" w:name="_Ref511659535"/>
      <w:bookmarkStart w:id="527" w:name="_Toc511732485"/>
      <w:bookmarkStart w:id="528" w:name="_Toc513555292"/>
      <w:bookmarkStart w:id="529" w:name="_Toc106705777"/>
      <w:bookmarkStart w:id="530" w:name="_Toc205461496"/>
      <w:r w:rsidRPr="00FF338C">
        <w:t>Industry practice</w:t>
      </w:r>
      <w:bookmarkEnd w:id="522"/>
      <w:bookmarkEnd w:id="523"/>
      <w:bookmarkEnd w:id="524"/>
      <w:bookmarkEnd w:id="525"/>
      <w:bookmarkEnd w:id="526"/>
      <w:bookmarkEnd w:id="527"/>
      <w:r w:rsidRPr="00FF338C">
        <w:t xml:space="preserve"> (measurement criterion BBB)</w:t>
      </w:r>
      <w:bookmarkEnd w:id="528"/>
      <w:bookmarkEnd w:id="529"/>
      <w:bookmarkEnd w:id="530"/>
    </w:p>
    <w:p w14:paraId="560BE0EF" w14:textId="3BE5D15A" w:rsidR="00A57A5C" w:rsidRPr="00FF338C" w:rsidRDefault="00A57A5C" w:rsidP="00A57A5C">
      <w:pPr>
        <w:rPr>
          <w:color w:val="auto"/>
        </w:rPr>
      </w:pPr>
      <w:r>
        <w:rPr>
          <w:color w:val="auto"/>
        </w:rPr>
        <w:t>Measurement criterion BBB in the NGER Measurement Determination provides for use of industry practice for measurement of quantities of fuels</w:t>
      </w:r>
      <w:r w:rsidRPr="00FF338C">
        <w:rPr>
          <w:color w:val="auto"/>
        </w:rPr>
        <w:t xml:space="preserve"> when measurement equipment does not meet the requirements of criterion AAA. The use of industry practice is also permitted for the estimation of the amount of </w:t>
      </w:r>
      <w:r w:rsidR="000631CF">
        <w:rPr>
          <w:color w:val="auto"/>
        </w:rPr>
        <w:t>fuel</w:t>
      </w:r>
      <w:r w:rsidRPr="00FF338C">
        <w:rPr>
          <w:color w:val="auto"/>
        </w:rPr>
        <w:t xml:space="preserve"> consumed from the operation of a facility in certain circumstances. </w:t>
      </w:r>
    </w:p>
    <w:p w14:paraId="20C11A40" w14:textId="43563A8E" w:rsidR="00A57A5C" w:rsidRPr="00FF338C" w:rsidRDefault="00A57A5C" w:rsidP="00A57A5C">
      <w:pPr>
        <w:rPr>
          <w:color w:val="auto"/>
        </w:rPr>
      </w:pPr>
      <w:r w:rsidRPr="00FF338C">
        <w:rPr>
          <w:color w:val="auto"/>
        </w:rPr>
        <w:t>Industry practice is not defined in the NGER legislation.</w:t>
      </w:r>
      <w:r w:rsidR="00494FFC">
        <w:rPr>
          <w:color w:val="auto"/>
        </w:rPr>
        <w:t xml:space="preserve"> The</w:t>
      </w:r>
      <w:r>
        <w:rPr>
          <w:color w:val="auto"/>
        </w:rPr>
        <w:t xml:space="preserve"> </w:t>
      </w:r>
      <w:r w:rsidR="4DBD2BCD" w:rsidRPr="50093466">
        <w:rPr>
          <w:color w:val="auto"/>
        </w:rPr>
        <w:t>CER</w:t>
      </w:r>
      <w:r>
        <w:rPr>
          <w:color w:val="auto"/>
        </w:rPr>
        <w:t xml:space="preserve"> requires that use of industry practice and measurement criterion BBB</w:t>
      </w:r>
      <w:r w:rsidRPr="00FF338C">
        <w:rPr>
          <w:color w:val="auto"/>
        </w:rPr>
        <w:t xml:space="preserve"> </w:t>
      </w:r>
      <w:r>
        <w:rPr>
          <w:color w:val="auto"/>
        </w:rPr>
        <w:t xml:space="preserve">includes </w:t>
      </w:r>
      <w:r>
        <w:t>application</w:t>
      </w:r>
      <w:r w:rsidRPr="00FF338C">
        <w:t xml:space="preserve"> of the general principles in section 1.13 of the </w:t>
      </w:r>
      <w:r>
        <w:t>NGER Measurement Determination - that is,</w:t>
      </w:r>
      <w:r w:rsidRPr="00FF338C">
        <w:t xml:space="preserve"> transparency, comparability, accuracy and completeness </w:t>
      </w:r>
      <w:r w:rsidRPr="00FF338C">
        <w:rPr>
          <w:color w:val="auto"/>
        </w:rPr>
        <w:t xml:space="preserve">when making estimates </w:t>
      </w:r>
      <w:r>
        <w:rPr>
          <w:color w:val="auto"/>
        </w:rPr>
        <w:t>of quantities of fuel</w:t>
      </w:r>
      <w:r w:rsidRPr="00FF338C">
        <w:rPr>
          <w:color w:val="auto"/>
        </w:rPr>
        <w:t>. For example, this may include:</w:t>
      </w:r>
    </w:p>
    <w:p w14:paraId="2B18D288" w14:textId="77777777" w:rsidR="00A57A5C" w:rsidRPr="00FF338C" w:rsidRDefault="00A57A5C" w:rsidP="00B3330E">
      <w:pPr>
        <w:numPr>
          <w:ilvl w:val="0"/>
          <w:numId w:val="1"/>
        </w:numPr>
        <w:spacing w:before="120" w:after="120"/>
      </w:pPr>
      <w:r w:rsidRPr="00FF338C">
        <w:t>where meters are used</w:t>
      </w:r>
      <w:r>
        <w:t xml:space="preserve"> and</w:t>
      </w:r>
      <w:r w:rsidRPr="00FF338C">
        <w:t>:</w:t>
      </w:r>
    </w:p>
    <w:p w14:paraId="7251779B" w14:textId="7E3CE487" w:rsidR="00A57A5C" w:rsidRPr="00FF338C" w:rsidRDefault="00A57A5C" w:rsidP="00BE117F">
      <w:pPr>
        <w:pStyle w:val="CERbullets"/>
        <w:numPr>
          <w:ilvl w:val="1"/>
          <w:numId w:val="1"/>
        </w:numPr>
      </w:pPr>
      <w:r>
        <w:t>m</w:t>
      </w:r>
      <w:r w:rsidRPr="00FF338C">
        <w:t>anufacturer’s standards are available, meters are calibrated at the standard stipulated by the manufacturer</w:t>
      </w:r>
    </w:p>
    <w:p w14:paraId="3A666B19" w14:textId="5FE24660" w:rsidR="00A57A5C" w:rsidRPr="00FF338C" w:rsidRDefault="00A57A5C" w:rsidP="00BE117F">
      <w:pPr>
        <w:pStyle w:val="CERbullets"/>
        <w:numPr>
          <w:ilvl w:val="1"/>
          <w:numId w:val="1"/>
        </w:numPr>
      </w:pPr>
      <w:r>
        <w:t>m</w:t>
      </w:r>
      <w:r w:rsidRPr="00FF338C">
        <w:t xml:space="preserve">anufacturer’s standards are </w:t>
      </w:r>
      <w:proofErr w:type="gramStart"/>
      <w:r w:rsidRPr="00FF338C">
        <w:t>unavailable,</w:t>
      </w:r>
      <w:proofErr w:type="gramEnd"/>
      <w:r w:rsidRPr="00FF338C">
        <w:t xml:space="preserve"> a risk assessment</w:t>
      </w:r>
      <w:r>
        <w:t xml:space="preserve"> must be undertaken </w:t>
      </w:r>
      <w:r w:rsidRPr="00FF338C">
        <w:t>and documented</w:t>
      </w:r>
      <w:r>
        <w:t xml:space="preserve"> to demonstrate that measurement uncertainty has been minimised or would not significantly affect the measured amount</w:t>
      </w:r>
    </w:p>
    <w:p w14:paraId="0627663E" w14:textId="0F36E49F" w:rsidR="00A57A5C" w:rsidRPr="00FF338C" w:rsidRDefault="00A57A5C" w:rsidP="00B3330E">
      <w:pPr>
        <w:numPr>
          <w:ilvl w:val="0"/>
          <w:numId w:val="1"/>
        </w:numPr>
        <w:spacing w:before="120" w:after="120"/>
      </w:pPr>
      <w:r w:rsidRPr="00FF338C">
        <w:t>appropriate corrections for temperature and pressure where required</w:t>
      </w:r>
    </w:p>
    <w:p w14:paraId="308A08EE" w14:textId="77777777" w:rsidR="00A57A5C" w:rsidRPr="00FF338C" w:rsidRDefault="00A57A5C" w:rsidP="00B3330E">
      <w:pPr>
        <w:numPr>
          <w:ilvl w:val="0"/>
          <w:numId w:val="1"/>
        </w:numPr>
        <w:spacing w:before="120" w:after="120"/>
      </w:pPr>
      <w:r w:rsidRPr="00FF338C">
        <w:t>assumptions inherent or applied to the measured data are clarified and documented – for example, set densities or gas composition, are updated at a frequency which ensures that these assumptions are representative of the fuel being measured during the reporting period.</w:t>
      </w:r>
    </w:p>
    <w:p w14:paraId="3A8552FA" w14:textId="1AF60695" w:rsidR="00A57A5C" w:rsidRPr="00FF338C" w:rsidRDefault="4710B882" w:rsidP="00A57A5C">
      <w:pPr>
        <w:spacing w:before="120" w:after="120"/>
        <w:ind w:left="357" w:hanging="357"/>
        <w:rPr>
          <w:color w:val="auto"/>
        </w:rPr>
      </w:pPr>
      <w:r w:rsidRPr="3D3026D2">
        <w:rPr>
          <w:color w:val="auto"/>
        </w:rPr>
        <w:t>CER</w:t>
      </w:r>
      <w:r w:rsidR="00A57A5C" w:rsidRPr="00FF338C">
        <w:rPr>
          <w:color w:val="auto"/>
        </w:rPr>
        <w:t xml:space="preserve"> does not consider industry practice to include:</w:t>
      </w:r>
    </w:p>
    <w:p w14:paraId="27CD035C" w14:textId="77777777" w:rsidR="00A57A5C" w:rsidRPr="00FF338C" w:rsidRDefault="00A57A5C" w:rsidP="00B3330E">
      <w:pPr>
        <w:numPr>
          <w:ilvl w:val="0"/>
          <w:numId w:val="1"/>
        </w:numPr>
        <w:spacing w:before="120" w:after="120"/>
      </w:pPr>
      <w:r w:rsidRPr="00FF338C">
        <w:t>estimates of quantities based on unrepresentative historic facility data</w:t>
      </w:r>
    </w:p>
    <w:p w14:paraId="7F069F48" w14:textId="77777777" w:rsidR="00A57A5C" w:rsidRPr="00FF338C" w:rsidRDefault="00A57A5C" w:rsidP="00B3330E">
      <w:pPr>
        <w:numPr>
          <w:ilvl w:val="0"/>
          <w:numId w:val="1"/>
        </w:numPr>
        <w:spacing w:before="120" w:after="120"/>
      </w:pPr>
      <w:r w:rsidRPr="00FF338C">
        <w:t>estimates of quantities based on unrepresentative industry data.</w:t>
      </w:r>
    </w:p>
    <w:p w14:paraId="3C199C92" w14:textId="77777777" w:rsidR="00A57A5C" w:rsidRPr="00FF338C" w:rsidRDefault="00A57A5C" w:rsidP="00A57A5C">
      <w:pPr>
        <w:pStyle w:val="Heading4"/>
        <w:rPr>
          <w:rFonts w:eastAsiaTheme="majorEastAsia"/>
        </w:rPr>
      </w:pPr>
      <w:bookmarkStart w:id="531" w:name="_Toc526867737"/>
      <w:bookmarkStart w:id="532" w:name="_Toc526869779"/>
      <w:bookmarkStart w:id="533" w:name="_Toc205461497"/>
      <w:r w:rsidRPr="00FF338C">
        <w:rPr>
          <w:rFonts w:eastAsiaTheme="majorEastAsia"/>
        </w:rPr>
        <w:t>Measuring fuel consumption based on electricity production</w:t>
      </w:r>
      <w:bookmarkEnd w:id="531"/>
      <w:bookmarkEnd w:id="532"/>
      <w:bookmarkEnd w:id="533"/>
    </w:p>
    <w:p w14:paraId="3D9859FE" w14:textId="77777777" w:rsidR="00A57A5C" w:rsidRPr="00FF338C" w:rsidRDefault="00A57A5C" w:rsidP="00A57A5C">
      <w:pPr>
        <w:spacing w:before="120" w:after="120"/>
        <w:rPr>
          <w:color w:val="auto"/>
        </w:rPr>
      </w:pPr>
      <w:r w:rsidRPr="00FF338C">
        <w:rPr>
          <w:color w:val="auto"/>
        </w:rPr>
        <w:t>If fuel combusted to produce electricity is acquired without a commercial transaction, and no reliable metering of the fuel combusted exists, a back-calculation methodology based on measured electricity production is acceptable.</w:t>
      </w:r>
    </w:p>
    <w:p w14:paraId="18C12DA8" w14:textId="77777777" w:rsidR="00A57A5C" w:rsidRPr="00FF338C" w:rsidRDefault="00A57A5C" w:rsidP="00A57A5C">
      <w:pPr>
        <w:spacing w:before="120" w:after="120"/>
        <w:rPr>
          <w:color w:val="auto"/>
        </w:rPr>
      </w:pPr>
      <w:r w:rsidRPr="00FF338C">
        <w:rPr>
          <w:color w:val="auto"/>
        </w:rPr>
        <w:t xml:space="preserve">For example, if natural gas is combusted to generate electricity, the amount of gas combusted may be </w:t>
      </w:r>
      <w:proofErr w:type="gramStart"/>
      <w:r w:rsidRPr="00FF338C">
        <w:rPr>
          <w:color w:val="auto"/>
        </w:rPr>
        <w:t>back-calculated</w:t>
      </w:r>
      <w:proofErr w:type="gramEnd"/>
      <w:r w:rsidRPr="00FF338C">
        <w:rPr>
          <w:color w:val="auto"/>
        </w:rPr>
        <w:t xml:space="preserve"> using the amount of electricity produced, an engine electricity efficiency (for example, manufacturer’s specification) and the energy content of the natural gas.</w:t>
      </w:r>
    </w:p>
    <w:p w14:paraId="46014B57" w14:textId="77777777" w:rsidR="00A57A5C" w:rsidRPr="00FF338C" w:rsidRDefault="00A57A5C" w:rsidP="00DB4B56">
      <w:pPr>
        <w:pStyle w:val="Heading2"/>
        <w:numPr>
          <w:ilvl w:val="1"/>
          <w:numId w:val="3"/>
        </w:numPr>
        <w:ind w:left="426" w:hanging="426"/>
      </w:pPr>
      <w:bookmarkStart w:id="534" w:name="_Toc512010426"/>
      <w:bookmarkStart w:id="535" w:name="_Toc512339626"/>
      <w:bookmarkStart w:id="536" w:name="_Toc106705778"/>
      <w:bookmarkStart w:id="537" w:name="_Toc205461498"/>
      <w:r w:rsidRPr="00FF338C">
        <w:t>Temporarily unavailability</w:t>
      </w:r>
      <w:bookmarkEnd w:id="534"/>
      <w:bookmarkEnd w:id="535"/>
      <w:r w:rsidRPr="00FF338C">
        <w:t xml:space="preserve"> of a method of estimating emissions</w:t>
      </w:r>
      <w:bookmarkEnd w:id="536"/>
      <w:bookmarkEnd w:id="537"/>
    </w:p>
    <w:p w14:paraId="3AB4231F" w14:textId="77777777" w:rsidR="00A57A5C" w:rsidRPr="00FF338C" w:rsidRDefault="00A57A5C" w:rsidP="00A57A5C">
      <w:r w:rsidRPr="00FF338C">
        <w:t>Reporters</w:t>
      </w:r>
      <w:r w:rsidRPr="00FF338C" w:rsidDel="008B66D1">
        <w:t xml:space="preserve"> </w:t>
      </w:r>
      <w:r>
        <w:t>must</w:t>
      </w:r>
      <w:r w:rsidRPr="00FF338C">
        <w:t xml:space="preserve"> observe the requirements in section 1.19 of the </w:t>
      </w:r>
      <w:r>
        <w:t>NGER Measurement Determination</w:t>
      </w:r>
      <w:r w:rsidRPr="00FF338C">
        <w:t xml:space="preserve"> with respect to down time of equipment to monitor fuels and emissions:</w:t>
      </w:r>
    </w:p>
    <w:p w14:paraId="2BB41FEC" w14:textId="20698416" w:rsidR="00A57A5C" w:rsidRPr="00FF338C" w:rsidRDefault="00895ACC" w:rsidP="00B3330E">
      <w:pPr>
        <w:numPr>
          <w:ilvl w:val="0"/>
          <w:numId w:val="1"/>
        </w:numPr>
        <w:spacing w:before="120" w:after="120"/>
      </w:pPr>
      <w:r>
        <w:t>i</w:t>
      </w:r>
      <w:r w:rsidR="00A57A5C">
        <w:t>f</w:t>
      </w:r>
      <w:r w:rsidR="00A57A5C" w:rsidRPr="00FF338C">
        <w:t xml:space="preserve"> the down time in a </w:t>
      </w:r>
      <w:r w:rsidR="000639AD">
        <w:t xml:space="preserve">reporting </w:t>
      </w:r>
      <w:r w:rsidR="00A57A5C" w:rsidRPr="00FF338C">
        <w:t xml:space="preserve">year is </w:t>
      </w:r>
      <w:r w:rsidR="00B44434">
        <w:t>6</w:t>
      </w:r>
      <w:r w:rsidR="00A57A5C" w:rsidRPr="00FF338C">
        <w:t xml:space="preserve"> weeks (42 days) or less, each day of the down time can be estimated consistent with the principles of section 1.13 of the </w:t>
      </w:r>
      <w:r w:rsidR="00A57A5C">
        <w:t>NGER Measurement Determination</w:t>
      </w:r>
      <w:r w:rsidR="00A57A5C" w:rsidRPr="00FF338C">
        <w:t xml:space="preserve"> </w:t>
      </w:r>
    </w:p>
    <w:p w14:paraId="38397B66" w14:textId="3DAD816F" w:rsidR="00A57A5C" w:rsidRPr="00FF338C" w:rsidRDefault="00895ACC" w:rsidP="00B3330E">
      <w:pPr>
        <w:numPr>
          <w:ilvl w:val="0"/>
          <w:numId w:val="1"/>
        </w:numPr>
        <w:spacing w:before="120" w:after="120"/>
      </w:pPr>
      <w:r>
        <w:t>i</w:t>
      </w:r>
      <w:r w:rsidR="00A57A5C">
        <w:t xml:space="preserve">f the down time exceeds </w:t>
      </w:r>
      <w:r w:rsidR="00B44434">
        <w:t>6</w:t>
      </w:r>
      <w:r w:rsidR="00A57A5C">
        <w:t xml:space="preserve"> weeks in a </w:t>
      </w:r>
      <w:r w:rsidR="007B6B6C">
        <w:t xml:space="preserve">reporting </w:t>
      </w:r>
      <w:r w:rsidR="00A57A5C">
        <w:t xml:space="preserve">year, and within </w:t>
      </w:r>
      <w:r w:rsidR="00B44434">
        <w:t>6</w:t>
      </w:r>
      <w:r w:rsidR="00A57A5C">
        <w:t xml:space="preserve"> weeks after the day when down time exceeds </w:t>
      </w:r>
      <w:r w:rsidR="00B44434">
        <w:t>6</w:t>
      </w:r>
      <w:r w:rsidR="00A57A5C">
        <w:t xml:space="preserve"> weeks, the registered controlling corporation or responsible emitter must inform</w:t>
      </w:r>
      <w:r w:rsidR="00494FFC">
        <w:t xml:space="preserve"> the</w:t>
      </w:r>
      <w:r w:rsidR="00A57A5C">
        <w:t xml:space="preserve"> </w:t>
      </w:r>
      <w:r w:rsidR="77458C21">
        <w:t>CER</w:t>
      </w:r>
      <w:r w:rsidR="00A57A5C">
        <w:t xml:space="preserve"> in writing of the following: </w:t>
      </w:r>
    </w:p>
    <w:p w14:paraId="103FC9A8" w14:textId="1C6A7E06" w:rsidR="00A57A5C" w:rsidRPr="00FF338C" w:rsidRDefault="00A57A5C" w:rsidP="00B3330E">
      <w:pPr>
        <w:pStyle w:val="CERbullets"/>
        <w:numPr>
          <w:ilvl w:val="1"/>
          <w:numId w:val="1"/>
        </w:numPr>
      </w:pPr>
      <w:r w:rsidRPr="00FF338C">
        <w:t xml:space="preserve">the reason why down time is more than </w:t>
      </w:r>
      <w:r w:rsidR="00B44434">
        <w:t>6</w:t>
      </w:r>
      <w:r w:rsidRPr="00FF338C">
        <w:t xml:space="preserve"> weeks</w:t>
      </w:r>
    </w:p>
    <w:p w14:paraId="7A27DE16" w14:textId="50B9C2C9" w:rsidR="00A57A5C" w:rsidRPr="00FF338C" w:rsidRDefault="00A57A5C" w:rsidP="00B3330E">
      <w:pPr>
        <w:pStyle w:val="CERbullets"/>
        <w:numPr>
          <w:ilvl w:val="1"/>
          <w:numId w:val="1"/>
        </w:numPr>
      </w:pPr>
      <w:r w:rsidRPr="00FF338C">
        <w:t>how the corporation or entity plans to minimise down time</w:t>
      </w:r>
    </w:p>
    <w:p w14:paraId="667FEAB3" w14:textId="5AC8B8E0" w:rsidR="00A57A5C" w:rsidRPr="00FF338C" w:rsidRDefault="00A57A5C" w:rsidP="00B3330E">
      <w:pPr>
        <w:pStyle w:val="CERbullets"/>
        <w:numPr>
          <w:ilvl w:val="1"/>
          <w:numId w:val="1"/>
        </w:numPr>
      </w:pPr>
      <w:r w:rsidRPr="00FF338C">
        <w:t>how emissions have been estimated during the down time.</w:t>
      </w:r>
    </w:p>
    <w:p w14:paraId="545BC6D8" w14:textId="43D2AC58" w:rsidR="00A57A5C" w:rsidRPr="00FF338C" w:rsidRDefault="00A57A5C" w:rsidP="00D2141E">
      <w:pPr>
        <w:spacing w:before="240"/>
      </w:pPr>
      <w:r w:rsidRPr="00FF338C">
        <w:t xml:space="preserve">This ‘down time’ requirement is applicable to all emissions sources. It is of </w:t>
      </w:r>
      <w:r w:rsidR="00F8685D" w:rsidRPr="00FF338C">
        <w:t>relevance</w:t>
      </w:r>
      <w:r w:rsidRPr="00FF338C">
        <w:t xml:space="preserve"> to thermal power stations conducting continuous monitoring of fuel quantities (for example, flow meters or </w:t>
      </w:r>
      <w:proofErr w:type="spellStart"/>
      <w:r w:rsidRPr="00FF338C">
        <w:t>weightometers</w:t>
      </w:r>
      <w:proofErr w:type="spellEnd"/>
      <w:r w:rsidRPr="00FF338C">
        <w:t xml:space="preserve"> under </w:t>
      </w:r>
      <w:r w:rsidR="7D6289E0">
        <w:t>M</w:t>
      </w:r>
      <w:r w:rsidRPr="00FF338C">
        <w:t xml:space="preserve">ethods 1, 2 and 3) and composition under </w:t>
      </w:r>
      <w:r w:rsidR="5123FCAC">
        <w:t>M</w:t>
      </w:r>
      <w:r w:rsidRPr="00FF338C">
        <w:t>ethod 2 or 3.</w:t>
      </w:r>
    </w:p>
    <w:p w14:paraId="5FE822EF" w14:textId="57B4A7E7" w:rsidR="00A57A5C" w:rsidRPr="00FF338C" w:rsidRDefault="00706556" w:rsidP="00A57A5C">
      <w:r>
        <w:t>T</w:t>
      </w:r>
      <w:r w:rsidR="00A57A5C" w:rsidRPr="00FF338C">
        <w:t xml:space="preserve">his is also relevant to the use of CEM and PEM under NGER </w:t>
      </w:r>
      <w:r w:rsidR="6DAAD879">
        <w:t>M</w:t>
      </w:r>
      <w:r w:rsidR="00A57A5C" w:rsidRPr="00FF338C">
        <w:t xml:space="preserve">ethod 4. Note that for this to be applicable to CEM, the down time cannot exceed </w:t>
      </w:r>
      <w:r w:rsidR="00A57A5C">
        <w:t>10%</w:t>
      </w:r>
      <w:r w:rsidR="00A57A5C" w:rsidRPr="00FF338C">
        <w:t xml:space="preserve"> of the </w:t>
      </w:r>
      <w:r w:rsidR="00C81A92">
        <w:t xml:space="preserve">reporting </w:t>
      </w:r>
      <w:r w:rsidR="00A57A5C" w:rsidRPr="00FF338C">
        <w:t xml:space="preserve">year (36.5 or 36.6 days) – </w:t>
      </w:r>
      <w:r w:rsidR="00A57A5C">
        <w:t>for example,</w:t>
      </w:r>
      <w:r w:rsidR="00A57A5C" w:rsidRPr="00FF338C">
        <w:t xml:space="preserve"> maximum </w:t>
      </w:r>
      <w:r w:rsidR="001848D4">
        <w:t>5</w:t>
      </w:r>
      <w:r w:rsidR="00A57A5C" w:rsidRPr="00FF338C">
        <w:t xml:space="preserve"> weeks and one day (excluding down time for calibration), per subsection 1.26(4). For PEM, if monthly emissions monitoring is applied, only one measurement period can be missed. </w:t>
      </w:r>
    </w:p>
    <w:p w14:paraId="67911C30" w14:textId="77777777" w:rsidR="00A57A5C" w:rsidRPr="00FF338C" w:rsidRDefault="00A57A5C" w:rsidP="00A57A5C"/>
    <w:p w14:paraId="44F356D2" w14:textId="7C632EC8" w:rsidR="00A57A5C" w:rsidRPr="00FF338C" w:rsidRDefault="00A57A5C" w:rsidP="00A57A5C">
      <w:pPr>
        <w:spacing w:after="0"/>
        <w:rPr>
          <w:rFonts w:eastAsia="Times New Roman"/>
          <w:b/>
          <w:bCs/>
          <w:color w:val="005874"/>
          <w:sz w:val="30"/>
          <w:szCs w:val="26"/>
        </w:rPr>
      </w:pPr>
    </w:p>
    <w:p w14:paraId="705553C3" w14:textId="77777777" w:rsidR="00C81A92" w:rsidRDefault="00C81A92">
      <w:pPr>
        <w:spacing w:after="0"/>
        <w:rPr>
          <w:rFonts w:ascii="Calibri" w:eastAsia="Times New Roman" w:hAnsi="Calibri" w:cs="Calibri"/>
          <w:b/>
          <w:bCs/>
          <w:kern w:val="32"/>
          <w:sz w:val="40"/>
          <w:lang w:val="en-GB"/>
        </w:rPr>
      </w:pPr>
      <w:bookmarkStart w:id="538" w:name="_Toc511115545"/>
      <w:bookmarkStart w:id="539" w:name="_Toc506277360"/>
      <w:bookmarkStart w:id="540" w:name="_Toc512010427"/>
      <w:bookmarkStart w:id="541" w:name="_Toc512339627"/>
      <w:bookmarkStart w:id="542" w:name="_Toc106705779"/>
      <w:r>
        <w:rPr>
          <w:lang w:val="en-GB"/>
        </w:rPr>
        <w:br w:type="page"/>
      </w:r>
    </w:p>
    <w:p w14:paraId="46569A05" w14:textId="77777777" w:rsidR="00A57A5C" w:rsidRPr="00FF338C" w:rsidRDefault="00A57A5C" w:rsidP="00B3330E">
      <w:pPr>
        <w:pStyle w:val="Heading1"/>
        <w:numPr>
          <w:ilvl w:val="0"/>
          <w:numId w:val="3"/>
        </w:numPr>
        <w:rPr>
          <w:lang w:val="en-GB"/>
        </w:rPr>
      </w:pPr>
      <w:bookmarkStart w:id="543" w:name="_Toc205461499"/>
      <w:r>
        <w:rPr>
          <w:lang w:val="en-GB"/>
        </w:rPr>
        <w:t>More</w:t>
      </w:r>
      <w:r w:rsidRPr="00FF338C">
        <w:rPr>
          <w:lang w:val="en-GB"/>
        </w:rPr>
        <w:t xml:space="preserve"> information</w:t>
      </w:r>
      <w:bookmarkEnd w:id="538"/>
      <w:r w:rsidRPr="00FF338C">
        <w:rPr>
          <w:lang w:val="en-GB"/>
        </w:rPr>
        <w:t xml:space="preserve"> </w:t>
      </w:r>
      <w:bookmarkEnd w:id="539"/>
      <w:r w:rsidRPr="00FF338C">
        <w:rPr>
          <w:lang w:val="en-GB"/>
        </w:rPr>
        <w:t>and references</w:t>
      </w:r>
      <w:bookmarkEnd w:id="540"/>
      <w:bookmarkEnd w:id="541"/>
      <w:bookmarkEnd w:id="542"/>
      <w:bookmarkEnd w:id="543"/>
    </w:p>
    <w:p w14:paraId="035F8298" w14:textId="2335FA4A" w:rsidR="00A57A5C" w:rsidRPr="00FF338C" w:rsidRDefault="3A5FD932" w:rsidP="00A57A5C">
      <w:r>
        <w:t>CER</w:t>
      </w:r>
      <w:r w:rsidR="00A57A5C" w:rsidRPr="00FF338C">
        <w:t xml:space="preserve"> has developed this guideline for use by the electricity sector to assist in the consistent accounting and reporting of greenhouse gas emissions, energy consumption and energy production in accordance with the NGER legislation.</w:t>
      </w:r>
    </w:p>
    <w:p w14:paraId="0221AD5B" w14:textId="77777777" w:rsidR="00A57A5C" w:rsidRPr="00FF338C" w:rsidRDefault="00A57A5C" w:rsidP="00A57A5C">
      <w:pPr>
        <w:pStyle w:val="Heading2"/>
      </w:pPr>
      <w:bookmarkStart w:id="544" w:name="_Toc511266302"/>
      <w:bookmarkStart w:id="545" w:name="_Toc510679827"/>
      <w:bookmarkStart w:id="546" w:name="_Toc511376952"/>
      <w:bookmarkStart w:id="547" w:name="_Toc511388549"/>
      <w:bookmarkStart w:id="548" w:name="_Toc511389471"/>
      <w:bookmarkStart w:id="549" w:name="_Toc511392979"/>
      <w:bookmarkStart w:id="550" w:name="_Toc526869782"/>
      <w:bookmarkStart w:id="551" w:name="_Toc106705780"/>
      <w:bookmarkStart w:id="552" w:name="_Toc205461500"/>
      <w:r>
        <w:t>More</w:t>
      </w:r>
      <w:r w:rsidRPr="00FF338C">
        <w:t xml:space="preserve"> information</w:t>
      </w:r>
      <w:bookmarkEnd w:id="544"/>
      <w:bookmarkEnd w:id="545"/>
      <w:bookmarkEnd w:id="546"/>
      <w:bookmarkEnd w:id="547"/>
      <w:bookmarkEnd w:id="548"/>
      <w:bookmarkEnd w:id="549"/>
      <w:bookmarkEnd w:id="550"/>
      <w:bookmarkEnd w:id="551"/>
      <w:bookmarkEnd w:id="552"/>
    </w:p>
    <w:p w14:paraId="61042F02" w14:textId="6DF70089" w:rsidR="00A57A5C" w:rsidRPr="00FF338C" w:rsidRDefault="00A57A5C" w:rsidP="00A57A5C">
      <w:r w:rsidRPr="00FF338C">
        <w:t xml:space="preserve">For more information, please contact </w:t>
      </w:r>
      <w:r w:rsidR="24670199">
        <w:t>CER</w:t>
      </w:r>
      <w:r>
        <w:t>:</w:t>
      </w:r>
    </w:p>
    <w:p w14:paraId="788C4D59" w14:textId="499244A1" w:rsidR="00A57A5C" w:rsidRPr="00FF338C" w:rsidRDefault="00A57A5C" w:rsidP="00A57A5C">
      <w:r w:rsidRPr="00FF338C">
        <w:t>Email:</w:t>
      </w:r>
      <w:r>
        <w:t xml:space="preserve"> </w:t>
      </w:r>
      <w:hyperlink r:id="rId62" w:history="1">
        <w:r w:rsidR="0055066F" w:rsidRPr="00B1543E">
          <w:rPr>
            <w:rStyle w:val="Hyperlink"/>
            <w:rFonts w:asciiTheme="minorHAnsi" w:hAnsiTheme="minorHAnsi"/>
          </w:rPr>
          <w:t>cer-nger-reporting@cer.gov.au</w:t>
        </w:r>
      </w:hyperlink>
      <w:r w:rsidR="0055066F">
        <w:t xml:space="preserve"> </w:t>
      </w:r>
    </w:p>
    <w:p w14:paraId="39803636" w14:textId="77777777" w:rsidR="00A57A5C" w:rsidRPr="00FF338C" w:rsidRDefault="00A57A5C" w:rsidP="00A57A5C">
      <w:r w:rsidRPr="00FF338C">
        <w:t>Phone:</w:t>
      </w:r>
      <w:r w:rsidRPr="003F37EC">
        <w:rPr>
          <w:bCs/>
        </w:rPr>
        <w:t xml:space="preserve"> </w:t>
      </w:r>
      <w:r w:rsidRPr="009C0388">
        <w:rPr>
          <w:bCs/>
        </w:rPr>
        <w:t>1300 553 542</w:t>
      </w:r>
      <w:r w:rsidRPr="00FF338C">
        <w:rPr>
          <w:b/>
        </w:rPr>
        <w:t xml:space="preserve"> </w:t>
      </w:r>
      <w:r w:rsidRPr="00FF338C">
        <w:t xml:space="preserve">within Australia </w:t>
      </w:r>
    </w:p>
    <w:p w14:paraId="06AC783B" w14:textId="5E8FFD36" w:rsidR="00A57A5C" w:rsidRPr="00FF338C" w:rsidRDefault="00A57A5C" w:rsidP="00A57A5C">
      <w:r w:rsidRPr="00FF338C">
        <w:t>Web</w:t>
      </w:r>
      <w:r>
        <w:t>site</w:t>
      </w:r>
      <w:r w:rsidRPr="00FF338C">
        <w:t>:</w:t>
      </w:r>
      <w:r>
        <w:t xml:space="preserve"> </w:t>
      </w:r>
      <w:hyperlink r:id="rId63" w:history="1">
        <w:r w:rsidR="007C4816">
          <w:rPr>
            <w:rStyle w:val="Hyperlink"/>
          </w:rPr>
          <w:t>www.cer.gov.au</w:t>
        </w:r>
      </w:hyperlink>
    </w:p>
    <w:p w14:paraId="218D3545" w14:textId="77777777" w:rsidR="00A57A5C" w:rsidRPr="00FF338C" w:rsidRDefault="00A57A5C" w:rsidP="00A57A5C">
      <w:pPr>
        <w:pStyle w:val="Heading2"/>
      </w:pPr>
      <w:bookmarkStart w:id="553" w:name="_Toc511266303"/>
      <w:bookmarkStart w:id="554" w:name="_Toc510679828"/>
      <w:bookmarkStart w:id="555" w:name="_Toc511376953"/>
      <w:bookmarkStart w:id="556" w:name="_Toc511388550"/>
      <w:bookmarkStart w:id="557" w:name="_Toc511389472"/>
      <w:bookmarkStart w:id="558" w:name="_Toc511392980"/>
      <w:bookmarkStart w:id="559" w:name="_Toc526869783"/>
      <w:bookmarkStart w:id="560" w:name="_Toc106705781"/>
      <w:bookmarkStart w:id="561" w:name="_Toc205461501"/>
      <w:r w:rsidRPr="00FF338C">
        <w:t>References</w:t>
      </w:r>
      <w:bookmarkEnd w:id="553"/>
      <w:bookmarkEnd w:id="554"/>
      <w:bookmarkEnd w:id="555"/>
      <w:bookmarkEnd w:id="556"/>
      <w:bookmarkEnd w:id="557"/>
      <w:bookmarkEnd w:id="558"/>
      <w:bookmarkEnd w:id="559"/>
      <w:bookmarkEnd w:id="560"/>
      <w:bookmarkEnd w:id="561"/>
    </w:p>
    <w:p w14:paraId="4F27AB53" w14:textId="4207BA33" w:rsidR="00A57A5C" w:rsidRPr="00FF338C" w:rsidRDefault="00A57A5C" w:rsidP="00A57A5C">
      <w:pPr>
        <w:spacing w:before="120" w:after="120"/>
        <w:rPr>
          <w:color w:val="auto"/>
        </w:rPr>
      </w:pPr>
      <w:r>
        <w:rPr>
          <w:color w:val="auto"/>
        </w:rPr>
        <w:t xml:space="preserve">See </w:t>
      </w:r>
      <w:hyperlink r:id="rId64" w:tooltip="A link to the NGER reporting guides page on the Clean Energy Regulator website" w:history="1">
        <w:r w:rsidR="007D0FF4">
          <w:rPr>
            <w:rStyle w:val="Hyperlink"/>
            <w:rFonts w:asciiTheme="minorHAnsi" w:hAnsiTheme="minorHAnsi"/>
          </w:rPr>
          <w:t>NGER reporting g</w:t>
        </w:r>
        <w:r>
          <w:rPr>
            <w:rStyle w:val="Hyperlink"/>
            <w:rFonts w:asciiTheme="minorHAnsi" w:hAnsiTheme="minorHAnsi"/>
          </w:rPr>
          <w:t>uide</w:t>
        </w:r>
        <w:r w:rsidR="007D0FF4">
          <w:rPr>
            <w:rStyle w:val="Hyperlink"/>
            <w:rFonts w:asciiTheme="minorHAnsi" w:hAnsiTheme="minorHAnsi"/>
          </w:rPr>
          <w:t>s</w:t>
        </w:r>
      </w:hyperlink>
      <w:r w:rsidR="004B0870">
        <w:rPr>
          <w:rFonts w:ascii="ZWAdobeF" w:hAnsi="ZWAdobeF" w:cs="ZWAdobeF"/>
          <w:color w:val="auto"/>
          <w:sz w:val="2"/>
          <w:szCs w:val="2"/>
        </w:rPr>
        <w:t>36F</w:t>
      </w:r>
      <w:r>
        <w:rPr>
          <w:rStyle w:val="FootnoteReference"/>
          <w:color w:val="auto"/>
        </w:rPr>
        <w:footnoteReference w:id="38"/>
      </w:r>
      <w:r w:rsidRPr="00FF338C">
        <w:rPr>
          <w:color w:val="auto"/>
        </w:rPr>
        <w:t xml:space="preserve"> </w:t>
      </w:r>
      <w:r>
        <w:rPr>
          <w:color w:val="auto"/>
        </w:rPr>
        <w:t>for guidance</w:t>
      </w:r>
      <w:r w:rsidRPr="00FF338C">
        <w:rPr>
          <w:color w:val="auto"/>
        </w:rPr>
        <w:t xml:space="preserve"> on:</w:t>
      </w:r>
    </w:p>
    <w:p w14:paraId="3FE481CB" w14:textId="77777777" w:rsidR="00A57A5C" w:rsidRPr="00FF338C" w:rsidRDefault="00A57A5C" w:rsidP="00B3330E">
      <w:pPr>
        <w:numPr>
          <w:ilvl w:val="0"/>
          <w:numId w:val="1"/>
        </w:numPr>
        <w:spacing w:before="120" w:after="120"/>
      </w:pPr>
      <w:r>
        <w:t>d</w:t>
      </w:r>
      <w:r w:rsidRPr="00FF338C">
        <w:t>efining a facility</w:t>
      </w:r>
    </w:p>
    <w:p w14:paraId="3C541F24" w14:textId="77777777" w:rsidR="00A57A5C" w:rsidRPr="00FF338C" w:rsidRDefault="00A57A5C" w:rsidP="00B3330E">
      <w:pPr>
        <w:numPr>
          <w:ilvl w:val="0"/>
          <w:numId w:val="1"/>
        </w:numPr>
        <w:spacing w:before="120" w:after="120"/>
      </w:pPr>
      <w:r>
        <w:t>o</w:t>
      </w:r>
      <w:r w:rsidRPr="00FF338C">
        <w:t>perational control</w:t>
      </w:r>
    </w:p>
    <w:p w14:paraId="023B6C1E" w14:textId="77777777" w:rsidR="00A57A5C" w:rsidRPr="00FF338C" w:rsidRDefault="00A57A5C" w:rsidP="00B3330E">
      <w:pPr>
        <w:numPr>
          <w:ilvl w:val="0"/>
          <w:numId w:val="1"/>
        </w:numPr>
        <w:spacing w:before="120" w:after="120"/>
      </w:pPr>
      <w:r>
        <w:t>m</w:t>
      </w:r>
      <w:r w:rsidRPr="00FF338C">
        <w:t>easurement criteria</w:t>
      </w:r>
    </w:p>
    <w:p w14:paraId="3CAF6BAD" w14:textId="09BFE0C8" w:rsidR="00A57A5C" w:rsidRPr="00FF338C" w:rsidRDefault="00A57A5C" w:rsidP="00B3330E">
      <w:pPr>
        <w:numPr>
          <w:ilvl w:val="0"/>
          <w:numId w:val="1"/>
        </w:numPr>
        <w:spacing w:before="120" w:after="120"/>
      </w:pPr>
      <w:r>
        <w:t>r</w:t>
      </w:r>
      <w:r w:rsidRPr="00FF338C">
        <w:t>eporting energy production and consumption</w:t>
      </w:r>
    </w:p>
    <w:p w14:paraId="30C2AF35" w14:textId="3854C6BC" w:rsidR="00A57A5C" w:rsidRPr="00FF338C" w:rsidRDefault="00A57A5C" w:rsidP="00B3330E">
      <w:pPr>
        <w:numPr>
          <w:ilvl w:val="0"/>
          <w:numId w:val="1"/>
        </w:numPr>
        <w:spacing w:before="120" w:after="120"/>
      </w:pPr>
      <w:r>
        <w:t xml:space="preserve">reporting </w:t>
      </w:r>
      <w:r w:rsidR="00CA1CB0">
        <w:t>fuel combus</w:t>
      </w:r>
      <w:r w:rsidR="000A2FF3">
        <w:t>tion</w:t>
      </w:r>
    </w:p>
    <w:p w14:paraId="37C84930" w14:textId="77777777" w:rsidR="00A57A5C" w:rsidRPr="00FF338C" w:rsidRDefault="00A57A5C" w:rsidP="00B3330E">
      <w:pPr>
        <w:numPr>
          <w:ilvl w:val="0"/>
          <w:numId w:val="1"/>
        </w:numPr>
        <w:spacing w:before="120" w:after="120"/>
      </w:pPr>
      <w:r>
        <w:t>r</w:t>
      </w:r>
      <w:r w:rsidRPr="00FF338C">
        <w:t>eporting hydrofluorocarbons and sulphur hexafluoride gases</w:t>
      </w:r>
    </w:p>
    <w:p w14:paraId="19AC947A" w14:textId="2C7CBD67" w:rsidR="00A57A5C" w:rsidRPr="00FF338C" w:rsidRDefault="000A2FF3" w:rsidP="00B3330E">
      <w:pPr>
        <w:numPr>
          <w:ilvl w:val="0"/>
          <w:numId w:val="1"/>
        </w:numPr>
        <w:spacing w:before="120" w:after="120"/>
      </w:pPr>
      <w:r>
        <w:t xml:space="preserve">reporting </w:t>
      </w:r>
      <w:r w:rsidR="00A57A5C">
        <w:t>p</w:t>
      </w:r>
      <w:r w:rsidR="00A57A5C" w:rsidRPr="00FF338C">
        <w:t>etroleum-based oils and greases</w:t>
      </w:r>
    </w:p>
    <w:p w14:paraId="0CC8BE3A" w14:textId="47967B1A" w:rsidR="00A57A5C" w:rsidRPr="00FF338C" w:rsidRDefault="00A57A5C" w:rsidP="00B3330E">
      <w:pPr>
        <w:numPr>
          <w:ilvl w:val="0"/>
          <w:numId w:val="1"/>
        </w:numPr>
        <w:spacing w:before="120" w:after="120"/>
      </w:pPr>
      <w:r>
        <w:t>r</w:t>
      </w:r>
      <w:r w:rsidRPr="00FF338C">
        <w:t>eporting blended fuels</w:t>
      </w:r>
      <w:r w:rsidR="009B09B8">
        <w:t xml:space="preserve">, </w:t>
      </w:r>
      <w:r w:rsidRPr="00FF338C">
        <w:t>other fuel mixes</w:t>
      </w:r>
      <w:r w:rsidR="009B09B8">
        <w:t>, bitumen and explosives</w:t>
      </w:r>
    </w:p>
    <w:p w14:paraId="0C366980" w14:textId="00076AB7" w:rsidR="00A57A5C" w:rsidRPr="00AB3D99" w:rsidRDefault="00A57A5C" w:rsidP="00B3330E">
      <w:pPr>
        <w:numPr>
          <w:ilvl w:val="0"/>
          <w:numId w:val="1"/>
        </w:numPr>
        <w:spacing w:before="120" w:after="120"/>
      </w:pPr>
      <w:r>
        <w:t>r</w:t>
      </w:r>
      <w:r w:rsidRPr="00FF338C">
        <w:t>eporting uncertainty</w:t>
      </w:r>
    </w:p>
    <w:p w14:paraId="2A9701FB" w14:textId="672035A3" w:rsidR="00DE6532" w:rsidRPr="00AB3D99" w:rsidRDefault="007D0FF4" w:rsidP="00B3330E">
      <w:pPr>
        <w:numPr>
          <w:ilvl w:val="0"/>
          <w:numId w:val="1"/>
        </w:numPr>
        <w:spacing w:before="120" w:after="120"/>
      </w:pPr>
      <w:r>
        <w:t>v</w:t>
      </w:r>
      <w:r w:rsidR="00C324EA">
        <w:t>olun</w:t>
      </w:r>
      <w:r w:rsidR="00CF6FC3">
        <w:t>tary market-based scope 2 emissions</w:t>
      </w:r>
    </w:p>
    <w:p w14:paraId="1E7A1058" w14:textId="77777777" w:rsidR="00A57A5C" w:rsidRPr="00FF338C" w:rsidRDefault="00A57A5C" w:rsidP="00A57A5C">
      <w:pPr>
        <w:pStyle w:val="Heading1"/>
      </w:pPr>
      <w:r w:rsidRPr="00FF338C">
        <w:br w:type="column"/>
      </w:r>
      <w:bookmarkStart w:id="562" w:name="_Toc511376954"/>
      <w:bookmarkStart w:id="563" w:name="_Toc511388551"/>
      <w:bookmarkStart w:id="564" w:name="_Toc511389473"/>
      <w:bookmarkStart w:id="565" w:name="_Toc511392981"/>
      <w:bookmarkStart w:id="566" w:name="_Toc511732506"/>
      <w:bookmarkStart w:id="567" w:name="_Toc512010428"/>
      <w:bookmarkStart w:id="568" w:name="_Toc512339628"/>
      <w:bookmarkStart w:id="569" w:name="_Toc106705782"/>
      <w:bookmarkStart w:id="570" w:name="_Toc205461502"/>
      <w:r w:rsidRPr="00FF338C">
        <w:t>Appendices</w:t>
      </w:r>
      <w:bookmarkStart w:id="571" w:name="_Toc512010429"/>
      <w:bookmarkStart w:id="572" w:name="_Toc512339629"/>
      <w:bookmarkEnd w:id="562"/>
      <w:bookmarkEnd w:id="563"/>
      <w:bookmarkEnd w:id="564"/>
      <w:bookmarkEnd w:id="565"/>
      <w:bookmarkEnd w:id="566"/>
      <w:bookmarkEnd w:id="567"/>
      <w:bookmarkEnd w:id="568"/>
      <w:bookmarkEnd w:id="569"/>
      <w:bookmarkEnd w:id="570"/>
    </w:p>
    <w:p w14:paraId="4BD1C653" w14:textId="77777777" w:rsidR="00A57A5C" w:rsidRPr="00FF338C" w:rsidRDefault="00A57A5C" w:rsidP="00A57A5C">
      <w:pPr>
        <w:pStyle w:val="Heading2"/>
      </w:pPr>
      <w:bookmarkStart w:id="573" w:name="_Appendix_A_–"/>
      <w:bookmarkStart w:id="574" w:name="_Toc106705783"/>
      <w:bookmarkStart w:id="575" w:name="_Toc205461503"/>
      <w:bookmarkEnd w:id="573"/>
      <w:r w:rsidRPr="00FF338C">
        <w:t>Appendix A – Case examples for electricity sector facilities</w:t>
      </w:r>
      <w:bookmarkEnd w:id="571"/>
      <w:bookmarkEnd w:id="572"/>
      <w:bookmarkEnd w:id="574"/>
      <w:bookmarkEnd w:id="575"/>
    </w:p>
    <w:p w14:paraId="49B24D7F" w14:textId="77777777" w:rsidR="00A57A5C" w:rsidRPr="00FF338C" w:rsidRDefault="00A57A5C" w:rsidP="00A57A5C">
      <w:pPr>
        <w:pStyle w:val="Heading3"/>
        <w:rPr>
          <w:lang w:val="en-GB"/>
        </w:rPr>
      </w:pPr>
      <w:bookmarkStart w:id="576" w:name="_Case_example_1:"/>
      <w:bookmarkStart w:id="577" w:name="_Toc511115547"/>
      <w:bookmarkStart w:id="578" w:name="_Toc512010430"/>
      <w:bookmarkStart w:id="579" w:name="_Toc512339630"/>
      <w:bookmarkStart w:id="580" w:name="_Toc205461504"/>
      <w:bookmarkEnd w:id="576"/>
      <w:r w:rsidRPr="00FF338C">
        <w:rPr>
          <w:lang w:val="en-GB"/>
        </w:rPr>
        <w:t>Case example 1: Gas-fired power plant</w:t>
      </w:r>
      <w:bookmarkEnd w:id="577"/>
      <w:bookmarkEnd w:id="578"/>
      <w:bookmarkEnd w:id="579"/>
      <w:bookmarkEnd w:id="580"/>
    </w:p>
    <w:p w14:paraId="238BBFED" w14:textId="64373E8D" w:rsidR="00A57A5C" w:rsidRPr="00FF338C" w:rsidRDefault="0016706E" w:rsidP="00A57A5C">
      <w:r w:rsidRPr="00974C94">
        <w:rPr>
          <w:rFonts w:eastAsiaTheme="minorEastAsia"/>
          <w:bCs/>
        </w:rPr>
        <w:fldChar w:fldCharType="begin" w:fldLock="1"/>
      </w:r>
      <w:r w:rsidRPr="00C44F0B">
        <w:rPr>
          <w:rFonts w:eastAsiaTheme="minorEastAsia"/>
          <w:bCs/>
        </w:rPr>
        <w:instrText xml:space="preserve"> </w:instrText>
      </w:r>
      <w:r w:rsidRPr="00974C94">
        <w:rPr>
          <w:rFonts w:eastAsiaTheme="minorEastAsia"/>
          <w:bCs/>
        </w:rPr>
        <w:instrText xml:space="preserve">REF </w:instrText>
      </w:r>
      <w:r w:rsidRPr="00C44F0B">
        <w:rPr>
          <w:rFonts w:eastAsiaTheme="minorEastAsia"/>
          <w:bCs/>
        </w:rPr>
        <w:instrText xml:space="preserve">_Ref199339978 </w:instrText>
      </w:r>
      <w:r w:rsidRPr="00974C94">
        <w:rPr>
          <w:rFonts w:eastAsiaTheme="minorEastAsia"/>
          <w:bCs/>
        </w:rPr>
        <w:instrText xml:space="preserve"> \* MERGEFORMAT </w:instrText>
      </w:r>
      <w:r w:rsidRPr="00974C94">
        <w:rPr>
          <w:rFonts w:eastAsiaTheme="minorEastAsia"/>
          <w:bCs/>
        </w:rPr>
        <w:fldChar w:fldCharType="separate"/>
      </w:r>
      <w:r w:rsidRPr="00974C94">
        <w:rPr>
          <w:bCs/>
        </w:rPr>
        <w:t xml:space="preserve">Figure </w:t>
      </w:r>
      <w:r w:rsidRPr="00974C94">
        <w:rPr>
          <w:bCs/>
          <w:noProof/>
        </w:rPr>
        <w:t>7</w:t>
      </w:r>
      <w:r w:rsidRPr="00974C94">
        <w:rPr>
          <w:rFonts w:eastAsiaTheme="minorEastAsia"/>
          <w:bCs/>
        </w:rPr>
        <w:fldChar w:fldCharType="end"/>
      </w:r>
      <w:r>
        <w:rPr>
          <w:rFonts w:eastAsiaTheme="minorEastAsia"/>
          <w:bCs/>
        </w:rPr>
        <w:t xml:space="preserve"> </w:t>
      </w:r>
      <w:r w:rsidR="00A57A5C" w:rsidRPr="00FF338C">
        <w:t xml:space="preserve">shows an overview of the main types of energy production and consumption processes at a gas-fired power plant. Each circled number on the diagram relates to a main process point. </w:t>
      </w:r>
      <w:r w:rsidR="00D62F16">
        <w:fldChar w:fldCharType="begin" w:fldLock="1"/>
      </w:r>
      <w:r w:rsidR="00D62F16">
        <w:instrText xml:space="preserve"> REF _Ref199339063 </w:instrText>
      </w:r>
      <w:r w:rsidR="00D62F16">
        <w:fldChar w:fldCharType="separate"/>
      </w:r>
      <w:r w:rsidR="00D62F16">
        <w:t xml:space="preserve">Table </w:t>
      </w:r>
      <w:r w:rsidR="00D62F16">
        <w:rPr>
          <w:noProof/>
        </w:rPr>
        <w:t>18</w:t>
      </w:r>
      <w:r w:rsidR="00D62F16">
        <w:fldChar w:fldCharType="end"/>
      </w:r>
      <w:r w:rsidR="00D62F16">
        <w:t xml:space="preserve"> </w:t>
      </w:r>
      <w:r w:rsidR="00A57A5C" w:rsidRPr="00FF338C">
        <w:t>shows the emissions, energy consumption, energy production reporting requirements associated with each of these process points.</w:t>
      </w:r>
    </w:p>
    <w:p w14:paraId="434EADC1" w14:textId="77777777" w:rsidR="00A57A5C" w:rsidRPr="00FF338C" w:rsidRDefault="00A57A5C" w:rsidP="00A57A5C">
      <w:pPr>
        <w:pStyle w:val="Heading4"/>
      </w:pPr>
      <w:bookmarkStart w:id="581" w:name="_Toc205461505"/>
      <w:r w:rsidRPr="00FF338C">
        <w:t>NGER activities and industry sector</w:t>
      </w:r>
      <w:bookmarkEnd w:id="581"/>
    </w:p>
    <w:p w14:paraId="3C6CA9F8" w14:textId="59DC81B9" w:rsidR="00A57A5C" w:rsidRPr="00FF338C" w:rsidRDefault="00A57A5C" w:rsidP="00A57A5C">
      <w:pPr>
        <w:pStyle w:val="Body"/>
        <w:ind w:left="0"/>
        <w:rPr>
          <w:rFonts w:asciiTheme="minorHAnsi" w:hAnsiTheme="minorHAnsi"/>
          <w:sz w:val="22"/>
          <w:szCs w:val="22"/>
        </w:rPr>
      </w:pPr>
      <w:r w:rsidRPr="00FF338C">
        <w:rPr>
          <w:rFonts w:asciiTheme="minorHAnsi" w:hAnsiTheme="minorHAnsi"/>
          <w:sz w:val="22"/>
          <w:szCs w:val="22"/>
        </w:rPr>
        <w:t>The gas</w:t>
      </w:r>
      <w:r w:rsidR="00212B1B">
        <w:rPr>
          <w:rFonts w:asciiTheme="minorHAnsi" w:hAnsiTheme="minorHAnsi"/>
          <w:sz w:val="22"/>
          <w:szCs w:val="22"/>
        </w:rPr>
        <w:t>-fired</w:t>
      </w:r>
      <w:r w:rsidRPr="00FF338C">
        <w:rPr>
          <w:rFonts w:asciiTheme="minorHAnsi" w:hAnsiTheme="minorHAnsi"/>
          <w:sz w:val="22"/>
          <w:szCs w:val="22"/>
        </w:rPr>
        <w:t xml:space="preserve"> power plant has been classified as a single facility for NGER reporting purposes. The correct </w:t>
      </w:r>
      <w:r w:rsidRPr="00EE187E">
        <w:rPr>
          <w:rFonts w:asciiTheme="minorHAnsi" w:hAnsiTheme="minorHAnsi"/>
          <w:sz w:val="22"/>
          <w:szCs w:val="22"/>
        </w:rPr>
        <w:t xml:space="preserve">Australian and New Zealand Standard Industrial Classification </w:t>
      </w:r>
      <w:r>
        <w:rPr>
          <w:rFonts w:asciiTheme="minorHAnsi" w:hAnsiTheme="minorHAnsi"/>
          <w:sz w:val="22"/>
          <w:szCs w:val="22"/>
        </w:rPr>
        <w:t>(</w:t>
      </w:r>
      <w:r w:rsidRPr="00FF338C">
        <w:rPr>
          <w:rFonts w:asciiTheme="minorHAnsi" w:hAnsiTheme="minorHAnsi"/>
          <w:sz w:val="22"/>
          <w:szCs w:val="22"/>
        </w:rPr>
        <w:t>ANZSIC</w:t>
      </w:r>
      <w:r>
        <w:rPr>
          <w:rFonts w:asciiTheme="minorHAnsi" w:hAnsiTheme="minorHAnsi"/>
          <w:sz w:val="22"/>
          <w:szCs w:val="22"/>
        </w:rPr>
        <w:t>)</w:t>
      </w:r>
      <w:r w:rsidRPr="00FF338C">
        <w:rPr>
          <w:rFonts w:asciiTheme="minorHAnsi" w:hAnsiTheme="minorHAnsi"/>
          <w:sz w:val="22"/>
          <w:szCs w:val="22"/>
        </w:rPr>
        <w:t xml:space="preserve"> code is ‘261 Electricity generation’. It includes the following reportable activities</w:t>
      </w:r>
      <w:r w:rsidR="00376C5B">
        <w:rPr>
          <w:rFonts w:asciiTheme="minorHAnsi" w:hAnsiTheme="minorHAnsi"/>
          <w:sz w:val="22"/>
          <w:szCs w:val="22"/>
        </w:rPr>
        <w:t>.</w:t>
      </w:r>
    </w:p>
    <w:p w14:paraId="2FC1554E" w14:textId="0BEA777A" w:rsidR="00A57A5C" w:rsidRDefault="00A57A5C" w:rsidP="00D2141E">
      <w:pPr>
        <w:spacing w:before="120" w:after="120"/>
        <w:rPr>
          <w:szCs w:val="22"/>
        </w:rPr>
      </w:pPr>
      <w:r w:rsidRPr="79B44BC7">
        <w:rPr>
          <w:b/>
        </w:rPr>
        <w:t>Fuel combustion emissions from combustion of gaseous fuel</w:t>
      </w:r>
    </w:p>
    <w:p w14:paraId="26F24C62" w14:textId="3D7F1DDB" w:rsidR="00A57A5C" w:rsidRDefault="00A2530D" w:rsidP="00D2141E">
      <w:pPr>
        <w:pStyle w:val="CERbullets"/>
      </w:pPr>
      <w:r>
        <w:t>‘</w:t>
      </w:r>
      <w:r w:rsidR="006C6DCF">
        <w:t>N</w:t>
      </w:r>
      <w:r w:rsidR="006C6DCF" w:rsidRPr="002F756A">
        <w:t>atural</w:t>
      </w:r>
      <w:r w:rsidR="00A57A5C" w:rsidRPr="002F756A">
        <w:t xml:space="preserve"> gas transmitted or distributed in a pipeline</w:t>
      </w:r>
      <w:r w:rsidR="00A57A5C">
        <w:t>’</w:t>
      </w:r>
      <w:r w:rsidR="004B0870">
        <w:rPr>
          <w:rFonts w:ascii="ZWAdobeF" w:hAnsi="ZWAdobeF" w:cs="ZWAdobeF"/>
          <w:sz w:val="2"/>
          <w:szCs w:val="2"/>
        </w:rPr>
        <w:t>37F</w:t>
      </w:r>
      <w:r w:rsidR="00F33A8B">
        <w:rPr>
          <w:rStyle w:val="FootnoteReference"/>
        </w:rPr>
        <w:footnoteReference w:id="39"/>
      </w:r>
      <w:r w:rsidR="00A57A5C">
        <w:t xml:space="preserve"> </w:t>
      </w:r>
      <w:r w:rsidR="00A57A5C" w:rsidRPr="00FF338C">
        <w:t>enters the power plant through a pipeline which is outside the facility boundary (</w:t>
      </w:r>
      <w:r w:rsidR="00A57A5C">
        <w:t xml:space="preserve">number </w:t>
      </w:r>
      <w:r w:rsidR="00A57A5C" w:rsidRPr="00FF338C">
        <w:t xml:space="preserve">1). </w:t>
      </w:r>
    </w:p>
    <w:p w14:paraId="3869042C" w14:textId="6990049C" w:rsidR="00A57A5C" w:rsidRDefault="00A57A5C" w:rsidP="00D2141E">
      <w:pPr>
        <w:pStyle w:val="CERbullets"/>
      </w:pPr>
      <w:r w:rsidRPr="00FF338C">
        <w:t>The gas is combusted (</w:t>
      </w:r>
      <w:r>
        <w:t xml:space="preserve">number </w:t>
      </w:r>
      <w:r w:rsidRPr="00FF338C">
        <w:t xml:space="preserve">2) to generate electricity. </w:t>
      </w:r>
    </w:p>
    <w:p w14:paraId="2FD1EB25" w14:textId="4B68BF02" w:rsidR="00A57A5C" w:rsidRPr="00FF338C" w:rsidRDefault="00A57A5C" w:rsidP="00D2141E">
      <w:pPr>
        <w:pStyle w:val="CERbullets"/>
      </w:pPr>
      <w:r w:rsidRPr="00FF338C">
        <w:t>This results in emissions through the chimney of by-product gases (</w:t>
      </w:r>
      <w:r>
        <w:t xml:space="preserve">number </w:t>
      </w:r>
      <w:r w:rsidRPr="00FF338C">
        <w:t>3), including greenhouse gases carbon dioxide (CO</w:t>
      </w:r>
      <w:r w:rsidRPr="00FF338C">
        <w:rPr>
          <w:vertAlign w:val="subscript"/>
        </w:rPr>
        <w:t>2</w:t>
      </w:r>
      <w:r w:rsidRPr="00FF338C">
        <w:t>), methane (CH</w:t>
      </w:r>
      <w:r w:rsidRPr="00FF338C">
        <w:rPr>
          <w:vertAlign w:val="subscript"/>
        </w:rPr>
        <w:t>4</w:t>
      </w:r>
      <w:r w:rsidRPr="00FF338C">
        <w:t>) and nitrous oxide (N</w:t>
      </w:r>
      <w:r w:rsidRPr="00FF338C">
        <w:rPr>
          <w:vertAlign w:val="subscript"/>
        </w:rPr>
        <w:t>2</w:t>
      </w:r>
      <w:r w:rsidRPr="00FF338C">
        <w:t xml:space="preserve">O). </w:t>
      </w:r>
    </w:p>
    <w:p w14:paraId="2336B825" w14:textId="44F9CF7E" w:rsidR="00A57A5C" w:rsidRPr="00FF338C" w:rsidRDefault="00A57A5C" w:rsidP="00A57A5C">
      <w:pPr>
        <w:spacing w:before="120" w:after="120"/>
        <w:rPr>
          <w:szCs w:val="22"/>
        </w:rPr>
      </w:pPr>
      <w:r>
        <w:rPr>
          <w:szCs w:val="22"/>
        </w:rPr>
        <w:t xml:space="preserve">See </w:t>
      </w:r>
      <w:hyperlink w:anchor="_Estimating_emissions_from" w:history="1">
        <w:r w:rsidR="007E244E">
          <w:rPr>
            <w:rStyle w:val="Hyperlink"/>
            <w:rFonts w:asciiTheme="minorHAnsi" w:hAnsiTheme="minorHAnsi"/>
            <w:szCs w:val="22"/>
          </w:rPr>
          <w:t>Chapter 4</w:t>
        </w:r>
      </w:hyperlink>
      <w:r w:rsidRPr="00FF338C">
        <w:rPr>
          <w:szCs w:val="22"/>
        </w:rPr>
        <w:t xml:space="preserve"> of this guideline for estimating scope 1 emissions from fuel combustion (assuming more than 1,000</w:t>
      </w:r>
      <w:r w:rsidR="00E34768">
        <w:rPr>
          <w:szCs w:val="22"/>
        </w:rPr>
        <w:t> </w:t>
      </w:r>
      <w:r w:rsidRPr="00FF338C">
        <w:rPr>
          <w:szCs w:val="22"/>
        </w:rPr>
        <w:t>cubic</w:t>
      </w:r>
      <w:r w:rsidR="00E34768">
        <w:rPr>
          <w:szCs w:val="22"/>
        </w:rPr>
        <w:t> </w:t>
      </w:r>
      <w:r w:rsidRPr="00FF338C">
        <w:rPr>
          <w:szCs w:val="22"/>
        </w:rPr>
        <w:t>metres</w:t>
      </w:r>
      <w:r w:rsidR="00E34768">
        <w:rPr>
          <w:szCs w:val="22"/>
        </w:rPr>
        <w:t> </w:t>
      </w:r>
      <w:r w:rsidRPr="00FF338C">
        <w:rPr>
          <w:szCs w:val="22"/>
        </w:rPr>
        <w:t>of gas is combusted).</w:t>
      </w:r>
    </w:p>
    <w:p w14:paraId="054324C8" w14:textId="24FC18AA" w:rsidR="00A57A5C" w:rsidRPr="00FF338C" w:rsidRDefault="00A57A5C" w:rsidP="00A57A5C">
      <w:pPr>
        <w:spacing w:before="120" w:after="120"/>
        <w:rPr>
          <w:szCs w:val="22"/>
        </w:rPr>
      </w:pPr>
      <w:r>
        <w:rPr>
          <w:szCs w:val="22"/>
        </w:rPr>
        <w:t xml:space="preserve">See </w:t>
      </w:r>
      <w:hyperlink w:anchor="_Energy_production_and" w:history="1">
        <w:r w:rsidR="007E244E">
          <w:rPr>
            <w:rStyle w:val="Hyperlink"/>
            <w:rFonts w:asciiTheme="minorHAnsi" w:hAnsiTheme="minorHAnsi"/>
            <w:szCs w:val="22"/>
          </w:rPr>
          <w:t>Chapter 7</w:t>
        </w:r>
      </w:hyperlink>
      <w:r w:rsidRPr="00FF338C">
        <w:rPr>
          <w:szCs w:val="22"/>
        </w:rPr>
        <w:t xml:space="preserve"> of this guideline for reporting fuel consumption.</w:t>
      </w:r>
    </w:p>
    <w:p w14:paraId="7BE6CF1D" w14:textId="3EBDC774" w:rsidR="00A57A5C" w:rsidRDefault="00A57A5C" w:rsidP="00D2141E">
      <w:pPr>
        <w:spacing w:before="120" w:after="120"/>
        <w:rPr>
          <w:szCs w:val="22"/>
        </w:rPr>
      </w:pPr>
      <w:r w:rsidRPr="79B44BC7">
        <w:rPr>
          <w:b/>
        </w:rPr>
        <w:t>Energy reporting for electricity produced</w:t>
      </w:r>
    </w:p>
    <w:p w14:paraId="60A49028" w14:textId="2CFC7D60" w:rsidR="00A57A5C" w:rsidRDefault="00A57A5C" w:rsidP="00D2141E">
      <w:pPr>
        <w:pStyle w:val="CERbullets"/>
      </w:pPr>
      <w:r w:rsidRPr="00FF338C">
        <w:t>Electricity is produced in a turbine (</w:t>
      </w:r>
      <w:r>
        <w:t xml:space="preserve">number </w:t>
      </w:r>
      <w:r w:rsidRPr="00FF338C">
        <w:t xml:space="preserve">4). </w:t>
      </w:r>
    </w:p>
    <w:p w14:paraId="243B3BDB" w14:textId="59368F55" w:rsidR="00A57A5C" w:rsidRDefault="00A57A5C" w:rsidP="00D2141E">
      <w:pPr>
        <w:pStyle w:val="CERbullets"/>
      </w:pPr>
      <w:r w:rsidRPr="00FF338C">
        <w:t>A portion of the electricity generated is fed back into the facility for plant operations (</w:t>
      </w:r>
      <w:r>
        <w:t xml:space="preserve">number </w:t>
      </w:r>
      <w:r w:rsidRPr="00FF338C">
        <w:t xml:space="preserve">5). </w:t>
      </w:r>
    </w:p>
    <w:p w14:paraId="0F73F490" w14:textId="5EE6A740" w:rsidR="00A57A5C" w:rsidRDefault="00A57A5C" w:rsidP="00D2141E">
      <w:pPr>
        <w:pStyle w:val="CERbullets"/>
      </w:pPr>
      <w:r w:rsidRPr="00FF338C">
        <w:t>Another portion is delivered directly to a nearby manufacturing facility (</w:t>
      </w:r>
      <w:r>
        <w:t xml:space="preserve">number </w:t>
      </w:r>
      <w:r w:rsidRPr="00FF338C">
        <w:t xml:space="preserve">6), which is a separate facility to the gas-fired power station. </w:t>
      </w:r>
    </w:p>
    <w:p w14:paraId="6E79EE09" w14:textId="2924101E" w:rsidR="00A57A5C" w:rsidRPr="00FF338C" w:rsidRDefault="00A57A5C" w:rsidP="00D2141E">
      <w:pPr>
        <w:pStyle w:val="CERbullets"/>
      </w:pPr>
      <w:r w:rsidRPr="00FF338C">
        <w:t>The remaining electricity generated is transferred to an electricity network (</w:t>
      </w:r>
      <w:r>
        <w:t xml:space="preserve">number </w:t>
      </w:r>
      <w:r w:rsidRPr="00FF338C">
        <w:t xml:space="preserve">7). </w:t>
      </w:r>
    </w:p>
    <w:p w14:paraId="56ADB22C" w14:textId="5E4E7247" w:rsidR="00A57A5C" w:rsidRPr="00FF338C" w:rsidRDefault="00A57A5C" w:rsidP="00A57A5C">
      <w:pPr>
        <w:spacing w:before="120" w:after="120"/>
        <w:rPr>
          <w:szCs w:val="22"/>
        </w:rPr>
      </w:pPr>
      <w:r>
        <w:rPr>
          <w:szCs w:val="22"/>
        </w:rPr>
        <w:t xml:space="preserve">See </w:t>
      </w:r>
      <w:hyperlink w:anchor="_Energy_production_and" w:history="1">
        <w:r w:rsidR="007E244E">
          <w:rPr>
            <w:rStyle w:val="Hyperlink"/>
            <w:rFonts w:asciiTheme="minorHAnsi" w:hAnsiTheme="minorHAnsi"/>
            <w:szCs w:val="22"/>
          </w:rPr>
          <w:t>Chapter 7</w:t>
        </w:r>
      </w:hyperlink>
      <w:r w:rsidRPr="00FF338C">
        <w:rPr>
          <w:szCs w:val="22"/>
        </w:rPr>
        <w:t xml:space="preserve"> of this guideline for reporting of electricity production and for electricity produced for use onsite.</w:t>
      </w:r>
    </w:p>
    <w:p w14:paraId="60993932" w14:textId="77777777" w:rsidR="00A57A5C" w:rsidRPr="00FF338C" w:rsidRDefault="00A57A5C" w:rsidP="00A57A5C">
      <w:pPr>
        <w:pStyle w:val="Body"/>
        <w:ind w:left="0"/>
        <w:rPr>
          <w:rFonts w:asciiTheme="minorHAnsi" w:hAnsiTheme="minorHAnsi"/>
          <w:sz w:val="22"/>
          <w:szCs w:val="22"/>
        </w:rPr>
      </w:pPr>
      <w:r w:rsidRPr="00FF338C">
        <w:rPr>
          <w:rFonts w:asciiTheme="minorHAnsi" w:hAnsiTheme="minorHAnsi"/>
          <w:sz w:val="22"/>
          <w:szCs w:val="22"/>
        </w:rPr>
        <w:t>Other reportable NGER activities not included in the example are likely to occur, including:</w:t>
      </w:r>
    </w:p>
    <w:p w14:paraId="71340CA0" w14:textId="3508B1B0" w:rsidR="00A57A5C" w:rsidRPr="00FF338C" w:rsidRDefault="00050BFE" w:rsidP="00B3330E">
      <w:pPr>
        <w:pStyle w:val="CERbullets"/>
        <w:numPr>
          <w:ilvl w:val="0"/>
          <w:numId w:val="7"/>
        </w:numPr>
      </w:pPr>
      <w:r>
        <w:t>s</w:t>
      </w:r>
      <w:r w:rsidR="00A57A5C" w:rsidRPr="00FF338C">
        <w:t>cope 1 fuel combustion emissions from transport, stationary energy purposes (other than electricity generation) – for example, liquid fuel combustion in light vehicles</w:t>
      </w:r>
    </w:p>
    <w:p w14:paraId="74D551AE" w14:textId="50A9208A" w:rsidR="00A57A5C" w:rsidRPr="00FF338C" w:rsidRDefault="00050BFE" w:rsidP="00A57A5C">
      <w:pPr>
        <w:pStyle w:val="CERbullets"/>
      </w:pPr>
      <w:r>
        <w:t>t</w:t>
      </w:r>
      <w:r w:rsidR="00A57A5C">
        <w:t>he consumption of PBOGs.</w:t>
      </w:r>
      <w:r w:rsidR="003869C2">
        <w:t xml:space="preserve"> Read the </w:t>
      </w:r>
      <w:hyperlink r:id="rId65" w:tooltip="A link to the Petroleum-based oils and greases guide on the Clean Energy Regulator website" w:history="1">
        <w:r w:rsidR="003869C2">
          <w:rPr>
            <w:rStyle w:val="Hyperlink"/>
            <w:rFonts w:asciiTheme="minorHAnsi" w:hAnsiTheme="minorHAnsi"/>
          </w:rPr>
          <w:t>P</w:t>
        </w:r>
        <w:r w:rsidR="003869C2" w:rsidRPr="003262E1">
          <w:rPr>
            <w:rStyle w:val="Hyperlink"/>
            <w:rFonts w:asciiTheme="minorHAnsi" w:hAnsiTheme="minorHAnsi"/>
          </w:rPr>
          <w:t>etroleum-based oils and grease</w:t>
        </w:r>
        <w:r w:rsidR="003869C2">
          <w:rPr>
            <w:rStyle w:val="Hyperlink"/>
            <w:rFonts w:asciiTheme="minorHAnsi" w:hAnsiTheme="minorHAnsi"/>
          </w:rPr>
          <w:t>s guideline</w:t>
        </w:r>
      </w:hyperlink>
      <w:r w:rsidR="003869C2">
        <w:t xml:space="preserve"> </w:t>
      </w:r>
      <w:r w:rsidR="004B0870">
        <w:rPr>
          <w:rFonts w:ascii="ZWAdobeF" w:hAnsi="ZWAdobeF" w:cs="ZWAdobeF"/>
          <w:sz w:val="2"/>
          <w:szCs w:val="2"/>
        </w:rPr>
        <w:t>38F</w:t>
      </w:r>
      <w:r w:rsidR="003869C2">
        <w:rPr>
          <w:rStyle w:val="FootnoteReference"/>
        </w:rPr>
        <w:footnoteReference w:id="40"/>
      </w:r>
      <w:r w:rsidR="003869C2">
        <w:t>.</w:t>
      </w:r>
    </w:p>
    <w:p w14:paraId="36AB6E48" w14:textId="059461F0" w:rsidR="00A57A5C" w:rsidRPr="00FF338C" w:rsidRDefault="00050BFE" w:rsidP="00B3330E">
      <w:pPr>
        <w:pStyle w:val="CERbullets"/>
        <w:numPr>
          <w:ilvl w:val="0"/>
          <w:numId w:val="7"/>
        </w:numPr>
      </w:pPr>
      <w:r>
        <w:t>c</w:t>
      </w:r>
      <w:r w:rsidR="00A57A5C" w:rsidRPr="00FF338C">
        <w:t>ontractor energy and emissions data if part of the facility’s production process (likely to include fuel combustion emissions and consumption, if occurring).</w:t>
      </w:r>
      <w:r w:rsidR="003869C2">
        <w:t xml:space="preserve"> Read </w:t>
      </w:r>
      <w:hyperlink r:id="rId66" w:tooltip="A link to the 'Defining a facility for National Greenhouse and Energy Reporting' guide on the Clean Energy Regulator website" w:history="1">
        <w:r w:rsidR="00072799">
          <w:rPr>
            <w:rStyle w:val="Hyperlink"/>
            <w:rFonts w:asciiTheme="minorHAnsi" w:hAnsiTheme="minorHAnsi"/>
          </w:rPr>
          <w:t>Defining a facility for National Greenhouse and Energy Reporting</w:t>
        </w:r>
      </w:hyperlink>
      <w:r w:rsidR="004B0870">
        <w:rPr>
          <w:rFonts w:ascii="ZWAdobeF" w:hAnsi="ZWAdobeF" w:cs="ZWAdobeF"/>
          <w:sz w:val="2"/>
          <w:szCs w:val="2"/>
        </w:rPr>
        <w:t>39F</w:t>
      </w:r>
      <w:r w:rsidR="003869C2">
        <w:rPr>
          <w:rStyle w:val="FootnoteReference"/>
        </w:rPr>
        <w:footnoteReference w:id="41"/>
      </w:r>
      <w:r w:rsidR="00072799">
        <w:t xml:space="preserve"> </w:t>
      </w:r>
      <w:r w:rsidR="00CD3F17">
        <w:t xml:space="preserve">and the </w:t>
      </w:r>
      <w:hyperlink r:id="rId67" w:tooltip="A link to the Contracts and leasing guide on the Clean Energy Regulator website" w:history="1">
        <w:r w:rsidR="00CD3F17" w:rsidRPr="00795D8A">
          <w:rPr>
            <w:rStyle w:val="Hyperlink"/>
            <w:rFonts w:asciiTheme="minorHAnsi" w:hAnsiTheme="minorHAnsi"/>
          </w:rPr>
          <w:t>Contracts and leasing guideline</w:t>
        </w:r>
      </w:hyperlink>
      <w:r w:rsidR="004B0870">
        <w:rPr>
          <w:rFonts w:ascii="ZWAdobeF" w:hAnsi="ZWAdobeF" w:cs="ZWAdobeF"/>
          <w:sz w:val="2"/>
          <w:szCs w:val="2"/>
        </w:rPr>
        <w:t>40F</w:t>
      </w:r>
      <w:r w:rsidR="00795D8A">
        <w:rPr>
          <w:rStyle w:val="FootnoteReference"/>
        </w:rPr>
        <w:footnoteReference w:id="42"/>
      </w:r>
      <w:r w:rsidR="00CD3F17">
        <w:t xml:space="preserve"> </w:t>
      </w:r>
      <w:r w:rsidR="00072799">
        <w:t>for more information</w:t>
      </w:r>
      <w:r w:rsidR="003869C2">
        <w:t>.</w:t>
      </w:r>
    </w:p>
    <w:p w14:paraId="69B2938D" w14:textId="78A251DD" w:rsidR="00A57A5C" w:rsidRPr="00FF338C" w:rsidRDefault="00050BFE" w:rsidP="00B3330E">
      <w:pPr>
        <w:pStyle w:val="CERbullets"/>
        <w:numPr>
          <w:ilvl w:val="0"/>
          <w:numId w:val="7"/>
        </w:numPr>
      </w:pPr>
      <w:r>
        <w:t>u</w:t>
      </w:r>
      <w:r w:rsidR="00A57A5C" w:rsidRPr="00FF338C">
        <w:t>ncertainty assessment for occurrences of scope 1 emissions exceeding 25,000</w:t>
      </w:r>
      <w:r w:rsidR="00E34768">
        <w:t> </w:t>
      </w:r>
      <w:r w:rsidR="00A57A5C" w:rsidRPr="00FF338C">
        <w:t>kt</w:t>
      </w:r>
      <w:r w:rsidR="00E34768">
        <w:t> </w:t>
      </w:r>
      <w:r w:rsidR="00A57A5C" w:rsidRPr="00FF338C">
        <w:t>CO</w:t>
      </w:r>
      <w:r w:rsidR="00A57A5C" w:rsidRPr="00FF338C">
        <w:rPr>
          <w:vertAlign w:val="subscript"/>
        </w:rPr>
        <w:t>2</w:t>
      </w:r>
      <w:r w:rsidR="00A57A5C" w:rsidRPr="00FF338C">
        <w:t>-e.</w:t>
      </w:r>
    </w:p>
    <w:p w14:paraId="2C4B9316" w14:textId="32469D34" w:rsidR="001B624B" w:rsidRDefault="001B624B" w:rsidP="00235142">
      <w:pPr>
        <w:spacing w:after="0"/>
      </w:pPr>
    </w:p>
    <w:p w14:paraId="5A099201" w14:textId="3C332075" w:rsidR="00A57A5C" w:rsidRDefault="00A57A5C" w:rsidP="00235142">
      <w:pPr>
        <w:spacing w:after="0"/>
      </w:pPr>
    </w:p>
    <w:p w14:paraId="1070F828" w14:textId="58ECCD3A" w:rsidR="00A57A5C" w:rsidRDefault="00A57A5C" w:rsidP="00235142">
      <w:pPr>
        <w:spacing w:after="0"/>
      </w:pPr>
    </w:p>
    <w:p w14:paraId="3616365C" w14:textId="77777777" w:rsidR="00A57A5C" w:rsidRDefault="00A57A5C" w:rsidP="00235142">
      <w:pPr>
        <w:spacing w:after="0"/>
        <w:sectPr w:rsidR="00A57A5C" w:rsidSect="00E349EF">
          <w:headerReference w:type="default" r:id="rId68"/>
          <w:footerReference w:type="even" r:id="rId69"/>
          <w:footerReference w:type="default" r:id="rId70"/>
          <w:headerReference w:type="first" r:id="rId71"/>
          <w:footerReference w:type="first" r:id="rId72"/>
          <w:pgSz w:w="11900" w:h="16840" w:code="9"/>
          <w:pgMar w:top="1447" w:right="1080" w:bottom="993" w:left="1080" w:header="227" w:footer="232" w:gutter="0"/>
          <w:cols w:space="708"/>
          <w:titlePg/>
          <w:docGrid w:linePitch="326"/>
        </w:sectPr>
      </w:pPr>
    </w:p>
    <w:p w14:paraId="0B2231DD" w14:textId="2CA5D9C2" w:rsidR="00913E4B" w:rsidRPr="00FF338C" w:rsidRDefault="00913E4B" w:rsidP="00537D7B">
      <w:pPr>
        <w:pStyle w:val="Caption"/>
        <w:rPr>
          <w:rFonts w:asciiTheme="minorHAnsi" w:hAnsiTheme="minorHAnsi"/>
        </w:rPr>
      </w:pPr>
      <w:bookmarkStart w:id="582" w:name="_Ref142312973"/>
      <w:bookmarkStart w:id="583" w:name="_Ref199339978"/>
      <w:r w:rsidRPr="00FF338C">
        <w:t xml:space="preserve">Figure </w:t>
      </w:r>
      <w:bookmarkEnd w:id="582"/>
      <w:r w:rsidR="00011733">
        <w:fldChar w:fldCharType="begin"/>
      </w:r>
      <w:r w:rsidR="00011733">
        <w:instrText xml:space="preserve"> SEQ Figure \* ARABIC </w:instrText>
      </w:r>
      <w:r w:rsidR="00011733">
        <w:fldChar w:fldCharType="separate"/>
      </w:r>
      <w:r w:rsidR="004B0870">
        <w:rPr>
          <w:noProof/>
        </w:rPr>
        <w:t>7</w:t>
      </w:r>
      <w:r w:rsidR="00011733">
        <w:fldChar w:fldCharType="end"/>
      </w:r>
      <w:bookmarkEnd w:id="583"/>
      <w:r w:rsidR="00537D7B">
        <w:t xml:space="preserve"> </w:t>
      </w:r>
      <w:r w:rsidR="0016706E">
        <w:t xml:space="preserve">– </w:t>
      </w:r>
      <w:r w:rsidRPr="00FF338C">
        <w:t>Gas-fired power plant diagra</w:t>
      </w:r>
      <w:r w:rsidR="0016706E">
        <w:t>m.</w:t>
      </w:r>
      <w:r w:rsidRPr="00FF338C">
        <w:rPr>
          <w:rFonts w:asciiTheme="minorHAnsi" w:hAnsiTheme="minorHAnsi"/>
          <w:noProof/>
          <w:lang w:eastAsia="en-AU"/>
        </w:rPr>
        <w:drawing>
          <wp:inline distT="0" distB="0" distL="0" distR="0" wp14:anchorId="45CFC558" wp14:editId="3A9CAB93">
            <wp:extent cx="9498330" cy="3789680"/>
            <wp:effectExtent l="0" t="0" r="7620" b="1270"/>
            <wp:docPr id="13" name="Picture 13" descr="P11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1174#yIS1"/>
                    <pic:cNvPicPr/>
                  </pic:nvPicPr>
                  <pic:blipFill>
                    <a:blip r:embed="rId73">
                      <a:extLst>
                        <a:ext uri="{28A0092B-C50C-407E-A947-70E740481C1C}">
                          <a14:useLocalDpi xmlns:a14="http://schemas.microsoft.com/office/drawing/2010/main" val="0"/>
                        </a:ext>
                      </a:extLst>
                    </a:blip>
                    <a:stretch>
                      <a:fillRect/>
                    </a:stretch>
                  </pic:blipFill>
                  <pic:spPr>
                    <a:xfrm>
                      <a:off x="0" y="0"/>
                      <a:ext cx="9498330" cy="3789680"/>
                    </a:xfrm>
                    <a:prstGeom prst="rect">
                      <a:avLst/>
                    </a:prstGeom>
                  </pic:spPr>
                </pic:pic>
              </a:graphicData>
            </a:graphic>
          </wp:inline>
        </w:drawing>
      </w:r>
    </w:p>
    <w:p w14:paraId="39DFAD73" w14:textId="77777777" w:rsidR="00913E4B" w:rsidRPr="00FF338C" w:rsidRDefault="00913E4B" w:rsidP="00913E4B">
      <w:pPr>
        <w:spacing w:after="0"/>
        <w:rPr>
          <w:i/>
          <w:iCs/>
          <w:color w:val="454743" w:themeColor="text2"/>
          <w:sz w:val="18"/>
          <w:szCs w:val="18"/>
        </w:rPr>
      </w:pPr>
      <w:bookmarkStart w:id="584" w:name="_Ref509471909"/>
      <w:r w:rsidRPr="00FF338C">
        <w:br w:type="page"/>
      </w:r>
    </w:p>
    <w:p w14:paraId="2D2D2568" w14:textId="2D93FC62" w:rsidR="00B47E5E" w:rsidRDefault="00B47E5E" w:rsidP="00E9388B">
      <w:pPr>
        <w:pStyle w:val="Caption"/>
        <w:keepNext/>
      </w:pPr>
      <w:bookmarkStart w:id="585" w:name="_Ref199339063"/>
      <w:bookmarkEnd w:id="584"/>
      <w:r>
        <w:t xml:space="preserve">Table </w:t>
      </w:r>
      <w:r>
        <w:fldChar w:fldCharType="begin"/>
      </w:r>
      <w:r>
        <w:instrText xml:space="preserve"> SEQ Table \* ARABIC </w:instrText>
      </w:r>
      <w:r>
        <w:fldChar w:fldCharType="separate"/>
      </w:r>
      <w:r w:rsidR="004B0870">
        <w:rPr>
          <w:noProof/>
        </w:rPr>
        <w:t>18</w:t>
      </w:r>
      <w:r>
        <w:fldChar w:fldCharType="end"/>
      </w:r>
      <w:bookmarkEnd w:id="585"/>
      <w:r>
        <w:t xml:space="preserve"> – Summary of emissions and energy from the gas power plant.</w:t>
      </w:r>
    </w:p>
    <w:tbl>
      <w:tblPr>
        <w:tblStyle w:val="CERTable"/>
        <w:tblW w:w="5000" w:type="pct"/>
        <w:tblLook w:val="04A0" w:firstRow="1" w:lastRow="0" w:firstColumn="1" w:lastColumn="0" w:noHBand="0" w:noVBand="1"/>
      </w:tblPr>
      <w:tblGrid>
        <w:gridCol w:w="467"/>
        <w:gridCol w:w="1732"/>
        <w:gridCol w:w="3150"/>
        <w:gridCol w:w="3150"/>
        <w:gridCol w:w="3309"/>
        <w:gridCol w:w="3150"/>
      </w:tblGrid>
      <w:tr w:rsidR="00145478" w:rsidRPr="00FF338C" w14:paraId="0114CF7B" w14:textId="77777777" w:rsidTr="00BE117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735" w:type="pct"/>
            <w:gridSpan w:val="2"/>
          </w:tcPr>
          <w:p w14:paraId="6DCA4538" w14:textId="77777777" w:rsidR="00913E4B" w:rsidRPr="009C0388" w:rsidRDefault="00913E4B">
            <w:pPr>
              <w:pStyle w:val="Body"/>
              <w:ind w:left="0"/>
              <w:rPr>
                <w:rFonts w:asciiTheme="minorHAnsi" w:hAnsiTheme="minorHAnsi"/>
                <w:sz w:val="22"/>
                <w:szCs w:val="22"/>
              </w:rPr>
            </w:pPr>
            <w:r w:rsidRPr="009C0388">
              <w:rPr>
                <w:rFonts w:asciiTheme="minorHAnsi" w:hAnsiTheme="minorHAnsi"/>
                <w:sz w:val="22"/>
                <w:szCs w:val="22"/>
              </w:rPr>
              <w:t>Process Point</w:t>
            </w:r>
          </w:p>
        </w:tc>
        <w:tc>
          <w:tcPr>
            <w:tcW w:w="1053" w:type="pct"/>
          </w:tcPr>
          <w:p w14:paraId="03CE5D33" w14:textId="77777777" w:rsidR="00913E4B" w:rsidRPr="009C0388" w:rsidRDefault="00913E4B">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Reportable emissions</w:t>
            </w:r>
          </w:p>
        </w:tc>
        <w:tc>
          <w:tcPr>
            <w:tcW w:w="1053" w:type="pct"/>
          </w:tcPr>
          <w:p w14:paraId="1EDA17B7" w14:textId="77777777" w:rsidR="00913E4B" w:rsidRPr="009C0388" w:rsidRDefault="00913E4B">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Reportable energy production</w:t>
            </w:r>
          </w:p>
        </w:tc>
        <w:tc>
          <w:tcPr>
            <w:tcW w:w="1106" w:type="pct"/>
          </w:tcPr>
          <w:p w14:paraId="2FCC8513" w14:textId="77777777" w:rsidR="00913E4B" w:rsidRPr="009C0388" w:rsidRDefault="00913E4B">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Reportable energy consumption</w:t>
            </w:r>
          </w:p>
        </w:tc>
        <w:tc>
          <w:tcPr>
            <w:tcW w:w="1053" w:type="pct"/>
          </w:tcPr>
          <w:p w14:paraId="5419E937" w14:textId="77777777" w:rsidR="00913E4B" w:rsidRPr="009C0388" w:rsidRDefault="00913E4B">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Notes</w:t>
            </w:r>
          </w:p>
        </w:tc>
      </w:tr>
      <w:tr w:rsidR="00503817" w:rsidRPr="00FF338C" w14:paraId="1F3F0132" w14:textId="77777777" w:rsidTr="00BE117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 w:type="pct"/>
          </w:tcPr>
          <w:p w14:paraId="166855C3" w14:textId="77777777" w:rsidR="00913E4B" w:rsidRPr="009C0388" w:rsidRDefault="00913E4B">
            <w:pPr>
              <w:pStyle w:val="Body"/>
              <w:ind w:left="0"/>
              <w:rPr>
                <w:rFonts w:asciiTheme="minorHAnsi" w:hAnsiTheme="minorHAnsi"/>
                <w:sz w:val="22"/>
                <w:szCs w:val="22"/>
              </w:rPr>
            </w:pPr>
            <w:r w:rsidRPr="009C0388">
              <w:rPr>
                <w:rFonts w:asciiTheme="minorHAnsi" w:hAnsiTheme="minorHAnsi"/>
                <w:sz w:val="22"/>
                <w:szCs w:val="22"/>
              </w:rPr>
              <w:t>1</w:t>
            </w:r>
          </w:p>
        </w:tc>
        <w:tc>
          <w:tcPr>
            <w:tcW w:w="579" w:type="pct"/>
            <w:shd w:val="clear" w:color="auto" w:fill="F2F2F2" w:themeFill="background1" w:themeFillShade="F2"/>
          </w:tcPr>
          <w:p w14:paraId="3BAED689" w14:textId="6094277F" w:rsidR="00913E4B" w:rsidRPr="009C0388" w:rsidRDefault="00913E4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‘Natural gas </w:t>
            </w:r>
            <w:r w:rsidRPr="00FC1336">
              <w:rPr>
                <w:rFonts w:asciiTheme="minorHAnsi" w:hAnsiTheme="minorHAnsi"/>
                <w:sz w:val="22"/>
                <w:szCs w:val="22"/>
              </w:rPr>
              <w:t>transmitted or distributed in a pipeline</w:t>
            </w:r>
            <w:r w:rsidR="00C83255">
              <w:rPr>
                <w:rFonts w:asciiTheme="minorHAnsi" w:hAnsiTheme="minorHAnsi"/>
                <w:sz w:val="22"/>
                <w:szCs w:val="22"/>
              </w:rPr>
              <w:t>’</w:t>
            </w:r>
            <w:r>
              <w:rPr>
                <w:rFonts w:asciiTheme="minorHAnsi" w:hAnsiTheme="minorHAnsi"/>
                <w:sz w:val="22"/>
                <w:szCs w:val="22"/>
              </w:rPr>
              <w:t xml:space="preserve"> </w:t>
            </w:r>
            <w:r w:rsidRPr="009C0388">
              <w:rPr>
                <w:rFonts w:asciiTheme="minorHAnsi" w:hAnsiTheme="minorHAnsi"/>
                <w:sz w:val="22"/>
                <w:szCs w:val="22"/>
              </w:rPr>
              <w:t>enters plant</w:t>
            </w:r>
          </w:p>
        </w:tc>
        <w:tc>
          <w:tcPr>
            <w:tcW w:w="1053" w:type="pct"/>
          </w:tcPr>
          <w:p w14:paraId="3D6909B1" w14:textId="77777777" w:rsidR="00913E4B" w:rsidRPr="009C0388" w:rsidRDefault="00913E4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tc>
        <w:tc>
          <w:tcPr>
            <w:tcW w:w="1053" w:type="pct"/>
          </w:tcPr>
          <w:p w14:paraId="01A5AB37" w14:textId="77777777" w:rsidR="00913E4B" w:rsidRPr="009C0388" w:rsidRDefault="00913E4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tc>
        <w:tc>
          <w:tcPr>
            <w:tcW w:w="1106" w:type="pct"/>
          </w:tcPr>
          <w:p w14:paraId="4BA5FD46" w14:textId="77777777" w:rsidR="00913E4B" w:rsidRPr="009C0388" w:rsidRDefault="00913E4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tc>
        <w:tc>
          <w:tcPr>
            <w:tcW w:w="1053" w:type="pct"/>
          </w:tcPr>
          <w:p w14:paraId="39F24B49" w14:textId="1D1B254E" w:rsidR="00913E4B" w:rsidRPr="009C0388" w:rsidRDefault="00913E4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Gas supply pipeline is outside of the facility boundary and hence leaks from the pipeline do not need to be reported</w:t>
            </w:r>
            <w:r w:rsidR="000E5AAD">
              <w:rPr>
                <w:rFonts w:asciiTheme="minorHAnsi" w:hAnsiTheme="minorHAnsi"/>
                <w:sz w:val="22"/>
                <w:szCs w:val="22"/>
              </w:rPr>
              <w:t>.</w:t>
            </w:r>
          </w:p>
        </w:tc>
      </w:tr>
      <w:tr w:rsidR="00503817" w:rsidRPr="00FF338C" w14:paraId="457CD9FD" w14:textId="77777777" w:rsidTr="00BE117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 w:type="pct"/>
          </w:tcPr>
          <w:p w14:paraId="4F1D8E31" w14:textId="77777777" w:rsidR="00913E4B" w:rsidRPr="009C0388" w:rsidRDefault="00913E4B">
            <w:pPr>
              <w:pStyle w:val="Body"/>
              <w:ind w:left="0"/>
              <w:rPr>
                <w:rFonts w:asciiTheme="minorHAnsi" w:hAnsiTheme="minorHAnsi"/>
                <w:sz w:val="22"/>
                <w:szCs w:val="22"/>
              </w:rPr>
            </w:pPr>
            <w:r w:rsidRPr="009C0388">
              <w:rPr>
                <w:rFonts w:asciiTheme="minorHAnsi" w:hAnsiTheme="minorHAnsi"/>
                <w:sz w:val="22"/>
                <w:szCs w:val="22"/>
              </w:rPr>
              <w:t>2</w:t>
            </w:r>
          </w:p>
        </w:tc>
        <w:tc>
          <w:tcPr>
            <w:tcW w:w="579" w:type="pct"/>
            <w:shd w:val="clear" w:color="auto" w:fill="F2F2F2" w:themeFill="background1" w:themeFillShade="F2"/>
          </w:tcPr>
          <w:p w14:paraId="3BE4BC07" w14:textId="0FEC6FCB" w:rsidR="00913E4B" w:rsidRPr="009C0388" w:rsidRDefault="00913E4B">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Gas combustion</w:t>
            </w:r>
          </w:p>
        </w:tc>
        <w:tc>
          <w:tcPr>
            <w:tcW w:w="1053" w:type="pct"/>
          </w:tcPr>
          <w:p w14:paraId="510E244B" w14:textId="206D11A4" w:rsidR="00913E4B" w:rsidRDefault="00913E4B">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If generation unit &lt; 30</w:t>
            </w:r>
            <w:r w:rsidR="00E34768">
              <w:rPr>
                <w:rFonts w:asciiTheme="minorHAnsi" w:hAnsiTheme="minorHAnsi"/>
                <w:sz w:val="22"/>
                <w:szCs w:val="22"/>
              </w:rPr>
              <w:t> </w:t>
            </w:r>
            <w:r w:rsidRPr="009C0388">
              <w:rPr>
                <w:rFonts w:asciiTheme="minorHAnsi" w:hAnsiTheme="minorHAnsi"/>
                <w:sz w:val="22"/>
                <w:szCs w:val="22"/>
              </w:rPr>
              <w:t>MW or production &lt; 50,000</w:t>
            </w:r>
            <w:r w:rsidR="00E34768">
              <w:rPr>
                <w:rFonts w:asciiTheme="minorHAnsi" w:hAnsiTheme="minorHAnsi"/>
                <w:sz w:val="22"/>
                <w:szCs w:val="22"/>
              </w:rPr>
              <w:t> </w:t>
            </w:r>
            <w:r w:rsidRPr="009C0388">
              <w:rPr>
                <w:rFonts w:asciiTheme="minorHAnsi" w:hAnsiTheme="minorHAnsi"/>
                <w:sz w:val="22"/>
                <w:szCs w:val="22"/>
              </w:rPr>
              <w:t xml:space="preserve">MWh in the reporting year, emissions estimation can be made using default emission factors under </w:t>
            </w:r>
            <w:r w:rsidR="236BC3CB" w:rsidRPr="4ECD8E61">
              <w:rPr>
                <w:rFonts w:asciiTheme="minorHAnsi" w:hAnsiTheme="minorHAnsi"/>
                <w:sz w:val="22"/>
                <w:szCs w:val="22"/>
              </w:rPr>
              <w:t>M</w:t>
            </w:r>
            <w:r w:rsidRPr="009C0388">
              <w:rPr>
                <w:rFonts w:asciiTheme="minorHAnsi" w:hAnsiTheme="minorHAnsi"/>
                <w:sz w:val="22"/>
                <w:szCs w:val="22"/>
              </w:rPr>
              <w:t>ethod 1</w:t>
            </w:r>
            <w:r w:rsidR="0071637D">
              <w:rPr>
                <w:rFonts w:asciiTheme="minorHAnsi" w:hAnsiTheme="minorHAnsi"/>
                <w:sz w:val="22"/>
                <w:szCs w:val="22"/>
              </w:rPr>
              <w:t>.</w:t>
            </w:r>
          </w:p>
          <w:p w14:paraId="26934397" w14:textId="5F405BCD" w:rsidR="00913E4B" w:rsidRPr="009C0388" w:rsidRDefault="00913E4B">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Otherwise</w:t>
            </w:r>
            <w:r w:rsidR="000E5AAD">
              <w:rPr>
                <w:rFonts w:asciiTheme="minorHAnsi" w:hAnsiTheme="minorHAnsi"/>
                <w:sz w:val="22"/>
                <w:szCs w:val="22"/>
              </w:rPr>
              <w:t>,</w:t>
            </w:r>
            <w:r w:rsidRPr="009C0388">
              <w:rPr>
                <w:rFonts w:asciiTheme="minorHAnsi" w:hAnsiTheme="minorHAnsi"/>
                <w:sz w:val="22"/>
                <w:szCs w:val="22"/>
              </w:rPr>
              <w:t xml:space="preserve"> minimum </w:t>
            </w:r>
            <w:r w:rsidR="541039FB" w:rsidRPr="4ECD8E61">
              <w:rPr>
                <w:rFonts w:asciiTheme="minorHAnsi" w:hAnsiTheme="minorHAnsi"/>
                <w:sz w:val="22"/>
                <w:szCs w:val="22"/>
              </w:rPr>
              <w:t>M</w:t>
            </w:r>
            <w:r w:rsidRPr="009C0388">
              <w:rPr>
                <w:rFonts w:asciiTheme="minorHAnsi" w:hAnsiTheme="minorHAnsi"/>
                <w:sz w:val="22"/>
                <w:szCs w:val="22"/>
              </w:rPr>
              <w:t xml:space="preserve">ethod 2, and </w:t>
            </w:r>
            <w:r w:rsidR="2CDF1702" w:rsidRPr="4ECD8E61">
              <w:rPr>
                <w:rFonts w:asciiTheme="minorHAnsi" w:hAnsiTheme="minorHAnsi"/>
                <w:sz w:val="22"/>
                <w:szCs w:val="22"/>
              </w:rPr>
              <w:t>M</w:t>
            </w:r>
            <w:r w:rsidRPr="4ECD8E61">
              <w:rPr>
                <w:rFonts w:asciiTheme="minorHAnsi" w:hAnsiTheme="minorHAnsi"/>
                <w:sz w:val="22"/>
                <w:szCs w:val="22"/>
              </w:rPr>
              <w:t>ethod</w:t>
            </w:r>
            <w:r w:rsidRPr="009C0388">
              <w:rPr>
                <w:rFonts w:asciiTheme="minorHAnsi" w:hAnsiTheme="minorHAnsi"/>
                <w:sz w:val="22"/>
                <w:szCs w:val="22"/>
              </w:rPr>
              <w:t xml:space="preserve"> 3 also available</w:t>
            </w:r>
            <w:r w:rsidR="0071637D">
              <w:rPr>
                <w:rFonts w:asciiTheme="minorHAnsi" w:hAnsiTheme="minorHAnsi"/>
                <w:sz w:val="22"/>
                <w:szCs w:val="22"/>
              </w:rPr>
              <w:t>.</w:t>
            </w:r>
          </w:p>
          <w:p w14:paraId="7A94B25F" w14:textId="77777777" w:rsidR="00913E4B" w:rsidRPr="009C0388" w:rsidRDefault="00913E4B">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Fuel combustion emissions</w:t>
            </w:r>
          </w:p>
        </w:tc>
        <w:tc>
          <w:tcPr>
            <w:tcW w:w="1053" w:type="pct"/>
            <w:vMerge w:val="restart"/>
          </w:tcPr>
          <w:p w14:paraId="358BE165" w14:textId="77777777" w:rsidR="00913E4B" w:rsidRPr="009C0388" w:rsidRDefault="00913E4B">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p w14:paraId="5252B555" w14:textId="567F1FF6" w:rsidR="00913E4B" w:rsidRPr="009C0388" w:rsidRDefault="00913E4B">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Electricity is not produced at this process point – these are produced at </w:t>
            </w:r>
            <w:r>
              <w:rPr>
                <w:rFonts w:asciiTheme="minorHAnsi" w:hAnsiTheme="minorHAnsi"/>
                <w:sz w:val="22"/>
                <w:szCs w:val="22"/>
              </w:rPr>
              <w:t xml:space="preserve">number </w:t>
            </w:r>
            <w:r w:rsidRPr="009C0388">
              <w:rPr>
                <w:rFonts w:asciiTheme="minorHAnsi" w:hAnsiTheme="minorHAnsi"/>
                <w:sz w:val="22"/>
                <w:szCs w:val="22"/>
              </w:rPr>
              <w:t>4</w:t>
            </w:r>
            <w:r w:rsidR="000E5AAD">
              <w:rPr>
                <w:rFonts w:asciiTheme="minorHAnsi" w:hAnsiTheme="minorHAnsi"/>
                <w:sz w:val="22"/>
                <w:szCs w:val="22"/>
              </w:rPr>
              <w:t>.</w:t>
            </w:r>
          </w:p>
          <w:p w14:paraId="4A036F52" w14:textId="77777777" w:rsidR="00913E4B" w:rsidRPr="009C0388" w:rsidRDefault="00913E4B">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p>
        </w:tc>
        <w:tc>
          <w:tcPr>
            <w:tcW w:w="1106" w:type="pct"/>
          </w:tcPr>
          <w:p w14:paraId="00D276C8" w14:textId="04FBA76A" w:rsidR="00913E4B" w:rsidRPr="009C0388" w:rsidRDefault="00913E4B">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‘Natural gas </w:t>
            </w:r>
            <w:r w:rsidRPr="00B142E1">
              <w:rPr>
                <w:rFonts w:asciiTheme="minorHAnsi" w:hAnsiTheme="minorHAnsi"/>
                <w:sz w:val="22"/>
                <w:szCs w:val="22"/>
              </w:rPr>
              <w:t>transmitted or distributed in a pipeline</w:t>
            </w:r>
            <w:r>
              <w:rPr>
                <w:rFonts w:asciiTheme="minorHAnsi" w:hAnsiTheme="minorHAnsi"/>
                <w:sz w:val="22"/>
                <w:szCs w:val="22"/>
              </w:rPr>
              <w:t xml:space="preserve">’ </w:t>
            </w:r>
            <w:r w:rsidRPr="009C0388">
              <w:rPr>
                <w:rFonts w:asciiTheme="minorHAnsi" w:hAnsiTheme="minorHAnsi"/>
                <w:sz w:val="22"/>
                <w:szCs w:val="22"/>
              </w:rPr>
              <w:t>is consumed through combustion for the purpose of producing electricity</w:t>
            </w:r>
            <w:r w:rsidR="000E5AAD">
              <w:rPr>
                <w:rFonts w:asciiTheme="minorHAnsi" w:hAnsiTheme="minorHAnsi"/>
                <w:sz w:val="22"/>
                <w:szCs w:val="22"/>
              </w:rPr>
              <w:t>.</w:t>
            </w:r>
          </w:p>
        </w:tc>
        <w:tc>
          <w:tcPr>
            <w:tcW w:w="1053" w:type="pct"/>
            <w:vMerge w:val="restart"/>
          </w:tcPr>
          <w:p w14:paraId="25238FE7" w14:textId="45310FC0" w:rsidR="00913E4B" w:rsidRPr="009C0388" w:rsidRDefault="00913E4B">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Pr>
                <w:rFonts w:asciiTheme="minorHAnsi" w:hAnsiTheme="minorHAnsi"/>
                <w:sz w:val="22"/>
                <w:szCs w:val="22"/>
              </w:rPr>
              <w:t xml:space="preserve">See </w:t>
            </w:r>
            <w:hyperlink w:anchor="_Estimating_emissions_from" w:history="1">
              <w:r w:rsidRPr="0077628F">
                <w:rPr>
                  <w:rStyle w:val="Hyperlink"/>
                  <w:rFonts w:asciiTheme="minorHAnsi" w:hAnsiTheme="minorHAnsi"/>
                  <w:szCs w:val="22"/>
                </w:rPr>
                <w:t>chapter 4</w:t>
              </w:r>
            </w:hyperlink>
            <w:r w:rsidRPr="009C0388">
              <w:rPr>
                <w:rFonts w:asciiTheme="minorHAnsi" w:hAnsiTheme="minorHAnsi"/>
                <w:sz w:val="22"/>
                <w:szCs w:val="22"/>
              </w:rPr>
              <w:t xml:space="preserve"> of this guideline for estimating emissions from fuel combustion</w:t>
            </w:r>
            <w:r w:rsidR="000E5AAD">
              <w:rPr>
                <w:rFonts w:asciiTheme="minorHAnsi" w:hAnsiTheme="minorHAnsi"/>
                <w:sz w:val="22"/>
                <w:szCs w:val="22"/>
              </w:rPr>
              <w:t>.</w:t>
            </w:r>
          </w:p>
          <w:p w14:paraId="60546211" w14:textId="687AFDD9" w:rsidR="00913E4B" w:rsidRPr="009C0388" w:rsidRDefault="00913E4B">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Only one method for estimating emissions should be used for the single occurrence of the source in the case example</w:t>
            </w:r>
            <w:r w:rsidR="000E5AAD">
              <w:rPr>
                <w:rFonts w:asciiTheme="minorHAnsi" w:hAnsiTheme="minorHAnsi"/>
                <w:sz w:val="22"/>
                <w:szCs w:val="22"/>
              </w:rPr>
              <w:t>.</w:t>
            </w:r>
          </w:p>
          <w:p w14:paraId="204300A7" w14:textId="46596806" w:rsidR="00913E4B" w:rsidRPr="009C0388" w:rsidRDefault="00913E4B">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In selecting an appropriate method, reporters </w:t>
            </w:r>
            <w:r>
              <w:rPr>
                <w:rFonts w:asciiTheme="minorHAnsi" w:hAnsiTheme="minorHAnsi"/>
                <w:sz w:val="22"/>
                <w:szCs w:val="22"/>
              </w:rPr>
              <w:t>must</w:t>
            </w:r>
            <w:r w:rsidRPr="009C0388">
              <w:rPr>
                <w:rFonts w:asciiTheme="minorHAnsi" w:hAnsiTheme="minorHAnsi"/>
                <w:sz w:val="22"/>
                <w:szCs w:val="22"/>
              </w:rPr>
              <w:t xml:space="preserve"> observe the restrictions for using a lower method from previous year in section 1.18 of the NGER Measurement Determination</w:t>
            </w:r>
            <w:r w:rsidR="000E5AAD">
              <w:rPr>
                <w:rFonts w:asciiTheme="minorHAnsi" w:hAnsiTheme="minorHAnsi"/>
                <w:sz w:val="22"/>
                <w:szCs w:val="22"/>
              </w:rPr>
              <w:t>.</w:t>
            </w:r>
          </w:p>
        </w:tc>
      </w:tr>
      <w:tr w:rsidR="00503817" w:rsidRPr="00FF338C" w14:paraId="0AC8A6CC" w14:textId="77777777" w:rsidTr="00BE117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 w:type="pct"/>
          </w:tcPr>
          <w:p w14:paraId="61C39826" w14:textId="77777777" w:rsidR="00913E4B" w:rsidRPr="009C0388" w:rsidRDefault="00913E4B">
            <w:pPr>
              <w:pStyle w:val="Body"/>
              <w:ind w:left="0"/>
              <w:rPr>
                <w:rFonts w:asciiTheme="minorHAnsi" w:hAnsiTheme="minorHAnsi"/>
                <w:sz w:val="22"/>
                <w:szCs w:val="22"/>
              </w:rPr>
            </w:pPr>
            <w:r w:rsidRPr="009C0388">
              <w:rPr>
                <w:rFonts w:asciiTheme="minorHAnsi" w:hAnsiTheme="minorHAnsi"/>
                <w:sz w:val="22"/>
                <w:szCs w:val="22"/>
              </w:rPr>
              <w:t>3</w:t>
            </w:r>
          </w:p>
        </w:tc>
        <w:tc>
          <w:tcPr>
            <w:tcW w:w="579" w:type="pct"/>
            <w:shd w:val="clear" w:color="auto" w:fill="F2F2F2" w:themeFill="background1" w:themeFillShade="F2"/>
          </w:tcPr>
          <w:p w14:paraId="27B0D075" w14:textId="1FF644CC" w:rsidR="00913E4B" w:rsidRPr="009C0388" w:rsidRDefault="00913E4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Direct measurement of carbon dioxide emissions (if using </w:t>
            </w:r>
            <w:r w:rsidR="580B5457" w:rsidRPr="4ECD8E61">
              <w:rPr>
                <w:rFonts w:asciiTheme="minorHAnsi" w:hAnsiTheme="minorHAnsi"/>
                <w:sz w:val="22"/>
                <w:szCs w:val="22"/>
              </w:rPr>
              <w:t>M</w:t>
            </w:r>
            <w:r w:rsidRPr="009C0388">
              <w:rPr>
                <w:rFonts w:asciiTheme="minorHAnsi" w:hAnsiTheme="minorHAnsi"/>
                <w:sz w:val="22"/>
                <w:szCs w:val="22"/>
              </w:rPr>
              <w:t>ethod 4)</w:t>
            </w:r>
          </w:p>
        </w:tc>
        <w:tc>
          <w:tcPr>
            <w:tcW w:w="1053" w:type="pct"/>
          </w:tcPr>
          <w:p w14:paraId="4539EC80" w14:textId="7D00A8A9" w:rsidR="00913E4B" w:rsidRPr="009C0388" w:rsidRDefault="00913E4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If direct measurement of emissions using </w:t>
            </w:r>
            <w:r w:rsidR="59549B40" w:rsidRPr="4ECD8E61">
              <w:rPr>
                <w:rFonts w:asciiTheme="minorHAnsi" w:hAnsiTheme="minorHAnsi"/>
                <w:sz w:val="22"/>
                <w:szCs w:val="22"/>
              </w:rPr>
              <w:t>M</w:t>
            </w:r>
            <w:r w:rsidRPr="009C0388">
              <w:rPr>
                <w:rFonts w:asciiTheme="minorHAnsi" w:hAnsiTheme="minorHAnsi"/>
                <w:sz w:val="22"/>
                <w:szCs w:val="22"/>
              </w:rPr>
              <w:t>ethod 4:</w:t>
            </w:r>
          </w:p>
          <w:p w14:paraId="5A32B5BA" w14:textId="6D21C832" w:rsidR="00913E4B" w:rsidRPr="009C0388" w:rsidRDefault="00913E4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Fuel combustion emissions</w:t>
            </w:r>
            <w:r w:rsidR="000E5AAD">
              <w:rPr>
                <w:rFonts w:asciiTheme="minorHAnsi" w:hAnsiTheme="minorHAnsi"/>
                <w:sz w:val="22"/>
                <w:szCs w:val="22"/>
              </w:rPr>
              <w:t>.</w:t>
            </w:r>
          </w:p>
        </w:tc>
        <w:tc>
          <w:tcPr>
            <w:tcW w:w="1053" w:type="pct"/>
            <w:vMerge/>
          </w:tcPr>
          <w:p w14:paraId="6672887E" w14:textId="77777777" w:rsidR="00913E4B" w:rsidRPr="009C0388" w:rsidRDefault="00913E4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tcW w:w="1106" w:type="pct"/>
          </w:tcPr>
          <w:p w14:paraId="52EB4781" w14:textId="77777777" w:rsidR="00913E4B" w:rsidRPr="009C0388" w:rsidRDefault="00913E4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p w14:paraId="2722F1C3" w14:textId="67AABB1D" w:rsidR="00913E4B" w:rsidRPr="009C0388" w:rsidRDefault="00913E4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Energy consumption is reported at</w:t>
            </w:r>
            <w:r>
              <w:rPr>
                <w:rFonts w:asciiTheme="minorHAnsi" w:hAnsiTheme="minorHAnsi"/>
                <w:sz w:val="22"/>
                <w:szCs w:val="22"/>
              </w:rPr>
              <w:t xml:space="preserve"> number </w:t>
            </w:r>
            <w:r w:rsidRPr="009C0388">
              <w:rPr>
                <w:rFonts w:asciiTheme="minorHAnsi" w:hAnsiTheme="minorHAnsi"/>
                <w:sz w:val="22"/>
                <w:szCs w:val="22"/>
              </w:rPr>
              <w:t>2</w:t>
            </w:r>
            <w:r w:rsidR="000E5AAD">
              <w:rPr>
                <w:rFonts w:asciiTheme="minorHAnsi" w:hAnsiTheme="minorHAnsi"/>
                <w:sz w:val="22"/>
                <w:szCs w:val="22"/>
              </w:rPr>
              <w:t>.</w:t>
            </w:r>
          </w:p>
        </w:tc>
        <w:tc>
          <w:tcPr>
            <w:tcW w:w="1053" w:type="pct"/>
            <w:vMerge/>
          </w:tcPr>
          <w:p w14:paraId="02A18DC6" w14:textId="77777777" w:rsidR="00913E4B" w:rsidRPr="009C0388" w:rsidRDefault="00913E4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r>
      <w:tr w:rsidR="00503817" w:rsidRPr="00FF338C" w14:paraId="1FF83553" w14:textId="77777777" w:rsidTr="00BE117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 w:type="pct"/>
          </w:tcPr>
          <w:p w14:paraId="4EB386A0" w14:textId="77777777" w:rsidR="00913E4B" w:rsidRPr="009C0388" w:rsidRDefault="00913E4B">
            <w:pPr>
              <w:pStyle w:val="Body"/>
              <w:ind w:left="0"/>
              <w:rPr>
                <w:rFonts w:asciiTheme="minorHAnsi" w:hAnsiTheme="minorHAnsi"/>
                <w:sz w:val="22"/>
                <w:szCs w:val="22"/>
              </w:rPr>
            </w:pPr>
            <w:r w:rsidRPr="009C0388">
              <w:rPr>
                <w:rFonts w:asciiTheme="minorHAnsi" w:hAnsiTheme="minorHAnsi"/>
                <w:sz w:val="22"/>
                <w:szCs w:val="22"/>
              </w:rPr>
              <w:t>4</w:t>
            </w:r>
          </w:p>
        </w:tc>
        <w:tc>
          <w:tcPr>
            <w:tcW w:w="579" w:type="pct"/>
            <w:shd w:val="clear" w:color="auto" w:fill="F2F2F2" w:themeFill="background1" w:themeFillShade="F2"/>
          </w:tcPr>
          <w:p w14:paraId="58408088" w14:textId="77777777" w:rsidR="00913E4B" w:rsidRPr="009C0388" w:rsidRDefault="00913E4B">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Electricity generation at turbine</w:t>
            </w:r>
          </w:p>
        </w:tc>
        <w:tc>
          <w:tcPr>
            <w:tcW w:w="1053" w:type="pct"/>
          </w:tcPr>
          <w:p w14:paraId="3D8FB8D9" w14:textId="77777777" w:rsidR="00913E4B" w:rsidRPr="009C0388" w:rsidRDefault="00913E4B">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tc>
        <w:tc>
          <w:tcPr>
            <w:tcW w:w="1053" w:type="pct"/>
          </w:tcPr>
          <w:p w14:paraId="4DB335B2" w14:textId="77777777" w:rsidR="00913E4B" w:rsidRPr="009C0388" w:rsidRDefault="00913E4B">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p w14:paraId="6F1FD7D6" w14:textId="5356AB75" w:rsidR="00913E4B" w:rsidRPr="009C0388" w:rsidRDefault="00913E4B">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‘Electricity’ is produced from the turbine and generator but is reported at </w:t>
            </w:r>
            <w:r>
              <w:rPr>
                <w:rFonts w:asciiTheme="minorHAnsi" w:hAnsiTheme="minorHAnsi"/>
                <w:sz w:val="22"/>
                <w:szCs w:val="22"/>
              </w:rPr>
              <w:t xml:space="preserve">numbers </w:t>
            </w:r>
            <w:r w:rsidRPr="009C0388">
              <w:rPr>
                <w:rFonts w:asciiTheme="minorHAnsi" w:hAnsiTheme="minorHAnsi"/>
                <w:sz w:val="22"/>
                <w:szCs w:val="22"/>
              </w:rPr>
              <w:t>5</w:t>
            </w:r>
            <w:r>
              <w:rPr>
                <w:rFonts w:asciiTheme="minorHAnsi" w:hAnsiTheme="minorHAnsi"/>
                <w:sz w:val="22"/>
                <w:szCs w:val="22"/>
              </w:rPr>
              <w:t xml:space="preserve"> to </w:t>
            </w:r>
            <w:r w:rsidRPr="009C0388">
              <w:rPr>
                <w:rFonts w:asciiTheme="minorHAnsi" w:hAnsiTheme="minorHAnsi"/>
                <w:sz w:val="22"/>
                <w:szCs w:val="22"/>
              </w:rPr>
              <w:t>7</w:t>
            </w:r>
            <w:r w:rsidR="006A5E05">
              <w:rPr>
                <w:rFonts w:asciiTheme="minorHAnsi" w:hAnsiTheme="minorHAnsi"/>
                <w:sz w:val="22"/>
                <w:szCs w:val="22"/>
              </w:rPr>
              <w:t>.</w:t>
            </w:r>
          </w:p>
        </w:tc>
        <w:tc>
          <w:tcPr>
            <w:tcW w:w="1106" w:type="pct"/>
          </w:tcPr>
          <w:p w14:paraId="33A81558" w14:textId="77777777" w:rsidR="00913E4B" w:rsidRPr="009C0388" w:rsidRDefault="00913E4B">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tc>
        <w:tc>
          <w:tcPr>
            <w:tcW w:w="1053" w:type="pct"/>
          </w:tcPr>
          <w:p w14:paraId="52479A53" w14:textId="2AEDA81F" w:rsidR="00913E4B" w:rsidRPr="009C0388" w:rsidRDefault="00913E4B">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Electricity produced </w:t>
            </w:r>
            <w:r>
              <w:rPr>
                <w:rFonts w:asciiTheme="minorHAnsi" w:hAnsiTheme="minorHAnsi"/>
                <w:sz w:val="22"/>
                <w:szCs w:val="22"/>
              </w:rPr>
              <w:t>must</w:t>
            </w:r>
            <w:r w:rsidRPr="009C0388">
              <w:rPr>
                <w:rFonts w:asciiTheme="minorHAnsi" w:hAnsiTheme="minorHAnsi"/>
                <w:sz w:val="22"/>
                <w:szCs w:val="22"/>
              </w:rPr>
              <w:t xml:space="preserve"> be metered at the terminal directly after the turbine</w:t>
            </w:r>
            <w:r>
              <w:rPr>
                <w:rFonts w:asciiTheme="minorHAnsi" w:hAnsiTheme="minorHAnsi"/>
                <w:sz w:val="22"/>
                <w:szCs w:val="22"/>
              </w:rPr>
              <w:t xml:space="preserve"> - see</w:t>
            </w:r>
            <w:r w:rsidRPr="009C0388">
              <w:rPr>
                <w:rFonts w:asciiTheme="minorHAnsi" w:hAnsiTheme="minorHAnsi"/>
                <w:sz w:val="22"/>
                <w:szCs w:val="22"/>
              </w:rPr>
              <w:t xml:space="preserve"> </w:t>
            </w:r>
            <w:hyperlink w:anchor="_Quantifying_electricity_consumption" w:history="1">
              <w:r w:rsidRPr="0077628F">
                <w:rPr>
                  <w:rStyle w:val="Hyperlink"/>
                  <w:rFonts w:asciiTheme="minorHAnsi" w:hAnsiTheme="minorHAnsi"/>
                  <w:szCs w:val="22"/>
                </w:rPr>
                <w:t>chapter 7.3.1</w:t>
              </w:r>
            </w:hyperlink>
            <w:r w:rsidRPr="009C0388">
              <w:rPr>
                <w:rFonts w:asciiTheme="minorHAnsi" w:hAnsiTheme="minorHAnsi"/>
                <w:sz w:val="22"/>
                <w:szCs w:val="22"/>
              </w:rPr>
              <w:t xml:space="preserve"> of this guideline</w:t>
            </w:r>
            <w:r w:rsidR="006A5E05">
              <w:rPr>
                <w:rFonts w:asciiTheme="minorHAnsi" w:hAnsiTheme="minorHAnsi"/>
                <w:sz w:val="22"/>
                <w:szCs w:val="22"/>
              </w:rPr>
              <w:t>.</w:t>
            </w:r>
          </w:p>
        </w:tc>
      </w:tr>
      <w:tr w:rsidR="00503817" w:rsidRPr="00FF338C" w14:paraId="56F25963" w14:textId="77777777" w:rsidTr="00BE117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 w:type="pct"/>
          </w:tcPr>
          <w:p w14:paraId="10227C75" w14:textId="77777777" w:rsidR="00913E4B" w:rsidRPr="009C0388" w:rsidRDefault="00913E4B">
            <w:pPr>
              <w:pStyle w:val="Body"/>
              <w:ind w:left="0"/>
              <w:rPr>
                <w:rFonts w:asciiTheme="minorHAnsi" w:hAnsiTheme="minorHAnsi"/>
                <w:sz w:val="22"/>
                <w:szCs w:val="22"/>
              </w:rPr>
            </w:pPr>
            <w:r w:rsidRPr="009C0388">
              <w:rPr>
                <w:rFonts w:asciiTheme="minorHAnsi" w:hAnsiTheme="minorHAnsi"/>
                <w:sz w:val="22"/>
                <w:szCs w:val="22"/>
              </w:rPr>
              <w:t>5</w:t>
            </w:r>
          </w:p>
        </w:tc>
        <w:tc>
          <w:tcPr>
            <w:tcW w:w="579" w:type="pct"/>
            <w:shd w:val="clear" w:color="auto" w:fill="F2F2F2" w:themeFill="background1" w:themeFillShade="F2"/>
          </w:tcPr>
          <w:p w14:paraId="160D5D0A" w14:textId="77777777" w:rsidR="00913E4B" w:rsidRPr="009C0388" w:rsidRDefault="00913E4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Own produced electricity consumed by facility</w:t>
            </w:r>
          </w:p>
        </w:tc>
        <w:tc>
          <w:tcPr>
            <w:tcW w:w="1053" w:type="pct"/>
          </w:tcPr>
          <w:p w14:paraId="19B6F584" w14:textId="77777777" w:rsidR="00913E4B" w:rsidRPr="009C0388" w:rsidRDefault="00913E4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p w14:paraId="1AF59B3A" w14:textId="15F35831" w:rsidR="00913E4B" w:rsidRPr="009C0388" w:rsidRDefault="00913E4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This is not a scope 2 emission, because direct emissions caused by facility discharged at (</w:t>
            </w:r>
            <w:r>
              <w:rPr>
                <w:rFonts w:asciiTheme="minorHAnsi" w:hAnsiTheme="minorHAnsi"/>
                <w:sz w:val="22"/>
                <w:szCs w:val="22"/>
              </w:rPr>
              <w:t xml:space="preserve">number </w:t>
            </w:r>
            <w:r w:rsidRPr="009C0388">
              <w:rPr>
                <w:rFonts w:asciiTheme="minorHAnsi" w:hAnsiTheme="minorHAnsi"/>
                <w:sz w:val="22"/>
                <w:szCs w:val="22"/>
              </w:rPr>
              <w:t>3)</w:t>
            </w:r>
            <w:r w:rsidR="006A5E05">
              <w:rPr>
                <w:rFonts w:asciiTheme="minorHAnsi" w:hAnsiTheme="minorHAnsi"/>
                <w:sz w:val="22"/>
                <w:szCs w:val="22"/>
              </w:rPr>
              <w:t>.</w:t>
            </w:r>
          </w:p>
        </w:tc>
        <w:tc>
          <w:tcPr>
            <w:tcW w:w="1053" w:type="pct"/>
          </w:tcPr>
          <w:p w14:paraId="5B50C47A" w14:textId="38BBCA5E" w:rsidR="00913E4B" w:rsidRPr="009C0388" w:rsidRDefault="00913E4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Electricity produced ‘for use for the purpose of the operation of the facility’</w:t>
            </w:r>
            <w:r>
              <w:rPr>
                <w:rFonts w:asciiTheme="minorHAnsi" w:hAnsiTheme="minorHAnsi"/>
                <w:sz w:val="22"/>
                <w:szCs w:val="22"/>
              </w:rPr>
              <w:t xml:space="preserve"> - that is,</w:t>
            </w:r>
            <w:r w:rsidRPr="009C0388">
              <w:rPr>
                <w:rFonts w:asciiTheme="minorHAnsi" w:hAnsiTheme="minorHAnsi"/>
                <w:sz w:val="22"/>
                <w:szCs w:val="22"/>
              </w:rPr>
              <w:t xml:space="preserve"> for ‘for use onsite’</w:t>
            </w:r>
            <w:r w:rsidR="00844365">
              <w:rPr>
                <w:rFonts w:asciiTheme="minorHAnsi" w:hAnsiTheme="minorHAnsi"/>
                <w:sz w:val="22"/>
                <w:szCs w:val="22"/>
              </w:rPr>
              <w:t>.</w:t>
            </w:r>
          </w:p>
          <w:p w14:paraId="448E764E" w14:textId="77777777" w:rsidR="00913E4B" w:rsidRPr="009C0388" w:rsidRDefault="00913E4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Calculated as residual amount of </w:t>
            </w:r>
            <w:r>
              <w:rPr>
                <w:rFonts w:asciiTheme="minorHAnsi" w:hAnsiTheme="minorHAnsi"/>
                <w:sz w:val="22"/>
                <w:szCs w:val="22"/>
              </w:rPr>
              <w:t xml:space="preserve">number </w:t>
            </w:r>
            <w:r w:rsidRPr="009C0388">
              <w:rPr>
                <w:rFonts w:asciiTheme="minorHAnsi" w:hAnsiTheme="minorHAnsi"/>
                <w:sz w:val="22"/>
                <w:szCs w:val="22"/>
              </w:rPr>
              <w:t xml:space="preserve">4 not delivered at </w:t>
            </w:r>
            <w:r>
              <w:rPr>
                <w:rFonts w:asciiTheme="minorHAnsi" w:hAnsiTheme="minorHAnsi"/>
                <w:sz w:val="22"/>
                <w:szCs w:val="22"/>
              </w:rPr>
              <w:t xml:space="preserve">number </w:t>
            </w:r>
            <w:r w:rsidRPr="009C0388">
              <w:rPr>
                <w:rFonts w:asciiTheme="minorHAnsi" w:hAnsiTheme="minorHAnsi"/>
                <w:sz w:val="22"/>
                <w:szCs w:val="22"/>
              </w:rPr>
              <w:t>6 or 7.</w:t>
            </w:r>
          </w:p>
        </w:tc>
        <w:tc>
          <w:tcPr>
            <w:tcW w:w="1106" w:type="pct"/>
          </w:tcPr>
          <w:p w14:paraId="285D5D16" w14:textId="0923F47A" w:rsidR="00913E4B" w:rsidRPr="009C0388" w:rsidRDefault="00913E4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‘Own produced electricity’ is consumed for use in own facility</w:t>
            </w:r>
            <w:r w:rsidR="006A5E05">
              <w:rPr>
                <w:rFonts w:asciiTheme="minorHAnsi" w:hAnsiTheme="minorHAnsi"/>
                <w:sz w:val="22"/>
                <w:szCs w:val="22"/>
              </w:rPr>
              <w:t>.</w:t>
            </w:r>
          </w:p>
        </w:tc>
        <w:tc>
          <w:tcPr>
            <w:tcW w:w="1053" w:type="pct"/>
          </w:tcPr>
          <w:p w14:paraId="20C8EB29" w14:textId="5120B4B5" w:rsidR="00913E4B" w:rsidRPr="009C0388" w:rsidRDefault="00913E4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Electricity consumed by the plant </w:t>
            </w:r>
            <w:r>
              <w:rPr>
                <w:rFonts w:asciiTheme="minorHAnsi" w:hAnsiTheme="minorHAnsi"/>
                <w:sz w:val="22"/>
                <w:szCs w:val="22"/>
              </w:rPr>
              <w:t>must</w:t>
            </w:r>
            <w:r w:rsidRPr="009C0388">
              <w:rPr>
                <w:rFonts w:asciiTheme="minorHAnsi" w:hAnsiTheme="minorHAnsi"/>
                <w:sz w:val="22"/>
                <w:szCs w:val="22"/>
              </w:rPr>
              <w:t xml:space="preserve"> be calculated as per </w:t>
            </w:r>
            <w:hyperlink w:anchor="_Quantifying_electricity_consumption" w:history="1">
              <w:r w:rsidRPr="0077628F">
                <w:rPr>
                  <w:rStyle w:val="Hyperlink"/>
                  <w:rFonts w:asciiTheme="minorHAnsi" w:hAnsiTheme="minorHAnsi"/>
                  <w:szCs w:val="22"/>
                </w:rPr>
                <w:t>chapter 7.3.1</w:t>
              </w:r>
            </w:hyperlink>
            <w:r w:rsidRPr="009C0388">
              <w:rPr>
                <w:rFonts w:asciiTheme="minorHAnsi" w:hAnsiTheme="minorHAnsi"/>
                <w:sz w:val="22"/>
                <w:szCs w:val="22"/>
              </w:rPr>
              <w:t xml:space="preserve"> of this guideline</w:t>
            </w:r>
            <w:r w:rsidR="006A5E05">
              <w:rPr>
                <w:rFonts w:asciiTheme="minorHAnsi" w:hAnsiTheme="minorHAnsi"/>
                <w:sz w:val="22"/>
                <w:szCs w:val="22"/>
              </w:rPr>
              <w:t>.</w:t>
            </w:r>
          </w:p>
        </w:tc>
      </w:tr>
      <w:tr w:rsidR="00E8658A" w:rsidRPr="00FF338C" w14:paraId="1A6565E7" w14:textId="77777777" w:rsidTr="00BE117F">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 w:type="pct"/>
            <w:tcBorders>
              <w:bottom w:val="single" w:sz="8" w:space="0" w:color="E8E8E8" w:themeColor="background2"/>
            </w:tcBorders>
          </w:tcPr>
          <w:p w14:paraId="2A5C0E79" w14:textId="77777777" w:rsidR="00913E4B" w:rsidRPr="009C0388" w:rsidRDefault="00913E4B">
            <w:pPr>
              <w:pStyle w:val="Body"/>
              <w:ind w:left="0"/>
              <w:rPr>
                <w:rFonts w:asciiTheme="minorHAnsi" w:hAnsiTheme="minorHAnsi"/>
                <w:sz w:val="22"/>
                <w:szCs w:val="22"/>
              </w:rPr>
            </w:pPr>
            <w:r w:rsidRPr="009C0388">
              <w:rPr>
                <w:rFonts w:asciiTheme="minorHAnsi" w:hAnsiTheme="minorHAnsi"/>
                <w:sz w:val="22"/>
                <w:szCs w:val="22"/>
              </w:rPr>
              <w:t>6</w:t>
            </w:r>
          </w:p>
        </w:tc>
        <w:tc>
          <w:tcPr>
            <w:tcW w:w="579" w:type="pct"/>
            <w:tcBorders>
              <w:bottom w:val="single" w:sz="8" w:space="0" w:color="E8E8E8" w:themeColor="background2"/>
            </w:tcBorders>
            <w:shd w:val="clear" w:color="auto" w:fill="F2F2F2" w:themeFill="background1" w:themeFillShade="F2"/>
          </w:tcPr>
          <w:p w14:paraId="28A3F3D4" w14:textId="77777777" w:rsidR="00913E4B" w:rsidRPr="009C0388" w:rsidRDefault="00913E4B">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Produced electricity delivered directly to nearby facility</w:t>
            </w:r>
          </w:p>
        </w:tc>
        <w:tc>
          <w:tcPr>
            <w:tcW w:w="1053" w:type="pct"/>
            <w:tcBorders>
              <w:bottom w:val="single" w:sz="8" w:space="0" w:color="E8E8E8" w:themeColor="background2"/>
            </w:tcBorders>
          </w:tcPr>
          <w:p w14:paraId="34CDC483" w14:textId="77777777" w:rsidR="00913E4B" w:rsidRPr="009C0388" w:rsidRDefault="00913E4B">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tc>
        <w:tc>
          <w:tcPr>
            <w:tcW w:w="1053" w:type="pct"/>
            <w:tcBorders>
              <w:bottom w:val="single" w:sz="8" w:space="0" w:color="E8E8E8" w:themeColor="background2"/>
            </w:tcBorders>
          </w:tcPr>
          <w:p w14:paraId="54F8ADC8" w14:textId="3FC0F1EA" w:rsidR="00913E4B" w:rsidRPr="009C0388" w:rsidRDefault="00913E4B">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Electricity produced ‘for use outside the operation of the facility other than for the supply to an electricity transmission or distribution network’</w:t>
            </w:r>
            <w:r>
              <w:rPr>
                <w:rFonts w:asciiTheme="minorHAnsi" w:hAnsiTheme="minorHAnsi"/>
                <w:sz w:val="22"/>
                <w:szCs w:val="22"/>
              </w:rPr>
              <w:t xml:space="preserve"> - that is,</w:t>
            </w:r>
            <w:r w:rsidRPr="009C0388">
              <w:rPr>
                <w:rFonts w:asciiTheme="minorHAnsi" w:hAnsiTheme="minorHAnsi"/>
                <w:sz w:val="22"/>
                <w:szCs w:val="22"/>
              </w:rPr>
              <w:t xml:space="preserve"> for ‘use offsite, not supplied to network’</w:t>
            </w:r>
            <w:r w:rsidR="006A5E05">
              <w:rPr>
                <w:rFonts w:asciiTheme="minorHAnsi" w:hAnsiTheme="minorHAnsi"/>
                <w:sz w:val="22"/>
                <w:szCs w:val="22"/>
              </w:rPr>
              <w:t>.</w:t>
            </w:r>
          </w:p>
        </w:tc>
        <w:tc>
          <w:tcPr>
            <w:tcW w:w="1106" w:type="pct"/>
            <w:tcBorders>
              <w:bottom w:val="single" w:sz="8" w:space="0" w:color="E8E8E8" w:themeColor="background2"/>
            </w:tcBorders>
          </w:tcPr>
          <w:p w14:paraId="632FA37A" w14:textId="77777777" w:rsidR="00913E4B" w:rsidRPr="009C0388" w:rsidRDefault="00913E4B">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tc>
        <w:tc>
          <w:tcPr>
            <w:tcW w:w="1053" w:type="pct"/>
            <w:tcBorders>
              <w:bottom w:val="single" w:sz="8" w:space="0" w:color="E8E8E8" w:themeColor="background2"/>
            </w:tcBorders>
          </w:tcPr>
          <w:p w14:paraId="359F66A6" w14:textId="67C56DDA" w:rsidR="00913E4B" w:rsidRPr="009C0388" w:rsidRDefault="00913E4B">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The amount of electricity </w:t>
            </w:r>
            <w:r w:rsidRPr="009C0388" w:rsidDel="00EC08C0">
              <w:rPr>
                <w:rFonts w:asciiTheme="minorHAnsi" w:hAnsiTheme="minorHAnsi"/>
                <w:sz w:val="22"/>
                <w:szCs w:val="22"/>
              </w:rPr>
              <w:t xml:space="preserve">should </w:t>
            </w:r>
            <w:r w:rsidRPr="009C0388">
              <w:rPr>
                <w:rFonts w:asciiTheme="minorHAnsi" w:hAnsiTheme="minorHAnsi"/>
                <w:sz w:val="22"/>
                <w:szCs w:val="22"/>
              </w:rPr>
              <w:t>be measured as delivered (as close to boundary as possible)</w:t>
            </w:r>
            <w:r w:rsidR="006A5E05">
              <w:rPr>
                <w:rFonts w:asciiTheme="minorHAnsi" w:hAnsiTheme="minorHAnsi"/>
                <w:sz w:val="22"/>
                <w:szCs w:val="22"/>
              </w:rPr>
              <w:t>.</w:t>
            </w:r>
          </w:p>
          <w:p w14:paraId="3F31B44A" w14:textId="1FF3D071" w:rsidR="00913E4B" w:rsidRDefault="00913E4B">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That other facility </w:t>
            </w:r>
            <w:r w:rsidRPr="009C0388" w:rsidDel="00EC08C0">
              <w:rPr>
                <w:rFonts w:asciiTheme="minorHAnsi" w:hAnsiTheme="minorHAnsi"/>
                <w:sz w:val="22"/>
                <w:szCs w:val="22"/>
              </w:rPr>
              <w:t xml:space="preserve">should </w:t>
            </w:r>
            <w:r w:rsidRPr="009C0388">
              <w:rPr>
                <w:rFonts w:asciiTheme="minorHAnsi" w:hAnsiTheme="minorHAnsi"/>
                <w:sz w:val="22"/>
                <w:szCs w:val="22"/>
              </w:rPr>
              <w:t>report this electricity use as scope 2 emission (provided it is acquired through a commercial transaction)</w:t>
            </w:r>
            <w:r w:rsidR="006A5E05">
              <w:rPr>
                <w:rFonts w:asciiTheme="minorHAnsi" w:hAnsiTheme="minorHAnsi"/>
                <w:sz w:val="22"/>
                <w:szCs w:val="22"/>
              </w:rPr>
              <w:t>.</w:t>
            </w:r>
          </w:p>
          <w:p w14:paraId="70DE4762" w14:textId="341E1F6F" w:rsidR="00913E4B" w:rsidRPr="009C0388" w:rsidRDefault="00913E4B">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The gas-fired power station should preferably provide the other facility with the emissions factor for the produced electricity</w:t>
            </w:r>
            <w:r w:rsidR="006A5E05">
              <w:rPr>
                <w:rFonts w:asciiTheme="minorHAnsi" w:hAnsiTheme="minorHAnsi"/>
                <w:sz w:val="22"/>
                <w:szCs w:val="22"/>
              </w:rPr>
              <w:t>.</w:t>
            </w:r>
          </w:p>
        </w:tc>
      </w:tr>
      <w:tr w:rsidR="00864289" w:rsidRPr="00FF338C" w14:paraId="6F5FACF5" w14:textId="77777777" w:rsidTr="00BE117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56" w:type="pct"/>
            <w:tcBorders>
              <w:top w:val="single" w:sz="8" w:space="0" w:color="E8E8E8" w:themeColor="background2"/>
              <w:bottom w:val="single" w:sz="4" w:space="0" w:color="FCBA5C" w:themeColor="accent2"/>
            </w:tcBorders>
          </w:tcPr>
          <w:p w14:paraId="3F030697" w14:textId="77777777" w:rsidR="00913E4B" w:rsidRPr="009C0388" w:rsidRDefault="00913E4B">
            <w:pPr>
              <w:pStyle w:val="Body"/>
              <w:ind w:left="0"/>
              <w:rPr>
                <w:rFonts w:asciiTheme="minorHAnsi" w:hAnsiTheme="minorHAnsi"/>
                <w:sz w:val="22"/>
                <w:szCs w:val="22"/>
              </w:rPr>
            </w:pPr>
            <w:r w:rsidRPr="009C0388">
              <w:rPr>
                <w:rFonts w:asciiTheme="minorHAnsi" w:hAnsiTheme="minorHAnsi"/>
                <w:sz w:val="22"/>
                <w:szCs w:val="22"/>
              </w:rPr>
              <w:t>7</w:t>
            </w:r>
          </w:p>
        </w:tc>
        <w:tc>
          <w:tcPr>
            <w:tcW w:w="579" w:type="pct"/>
            <w:tcBorders>
              <w:top w:val="single" w:sz="8" w:space="0" w:color="E8E8E8" w:themeColor="background2"/>
              <w:bottom w:val="single" w:sz="4" w:space="0" w:color="FCBA5C" w:themeColor="accent2"/>
            </w:tcBorders>
            <w:shd w:val="clear" w:color="auto" w:fill="F2F2F2" w:themeFill="background1" w:themeFillShade="F2"/>
          </w:tcPr>
          <w:p w14:paraId="7220A71E" w14:textId="77777777" w:rsidR="00913E4B" w:rsidRPr="009C0388" w:rsidRDefault="00913E4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Electricity transferred to an electricity network</w:t>
            </w:r>
          </w:p>
        </w:tc>
        <w:tc>
          <w:tcPr>
            <w:tcW w:w="1053" w:type="pct"/>
            <w:tcBorders>
              <w:top w:val="single" w:sz="8" w:space="0" w:color="E8E8E8" w:themeColor="background2"/>
              <w:bottom w:val="single" w:sz="4" w:space="0" w:color="FCBA5C" w:themeColor="accent2"/>
            </w:tcBorders>
          </w:tcPr>
          <w:p w14:paraId="69B8290D" w14:textId="77777777" w:rsidR="00913E4B" w:rsidRPr="009C0388" w:rsidRDefault="00913E4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tc>
        <w:tc>
          <w:tcPr>
            <w:tcW w:w="1053" w:type="pct"/>
            <w:tcBorders>
              <w:top w:val="single" w:sz="8" w:space="0" w:color="E8E8E8" w:themeColor="background2"/>
              <w:bottom w:val="single" w:sz="4" w:space="0" w:color="FCBA5C" w:themeColor="accent2"/>
            </w:tcBorders>
          </w:tcPr>
          <w:p w14:paraId="590BBB00" w14:textId="351B25F8" w:rsidR="00913E4B" w:rsidRPr="009C0388" w:rsidRDefault="00913E4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Electricity produced ‘for use outside the operation of the facility for supply to an electricity transmission or distribution network’ – </w:t>
            </w:r>
            <w:r>
              <w:rPr>
                <w:rFonts w:asciiTheme="minorHAnsi" w:hAnsiTheme="minorHAnsi"/>
                <w:sz w:val="22"/>
                <w:szCs w:val="22"/>
              </w:rPr>
              <w:t xml:space="preserve">that is, </w:t>
            </w:r>
            <w:r w:rsidRPr="009C0388">
              <w:rPr>
                <w:rFonts w:asciiTheme="minorHAnsi" w:hAnsiTheme="minorHAnsi"/>
                <w:sz w:val="22"/>
                <w:szCs w:val="22"/>
              </w:rPr>
              <w:t>‘for use offsite, supplied to network’</w:t>
            </w:r>
            <w:r w:rsidR="006A5E05">
              <w:rPr>
                <w:rFonts w:asciiTheme="minorHAnsi" w:hAnsiTheme="minorHAnsi"/>
                <w:sz w:val="22"/>
                <w:szCs w:val="22"/>
              </w:rPr>
              <w:t>.</w:t>
            </w:r>
          </w:p>
        </w:tc>
        <w:tc>
          <w:tcPr>
            <w:tcW w:w="1106" w:type="pct"/>
            <w:tcBorders>
              <w:top w:val="single" w:sz="8" w:space="0" w:color="E8E8E8" w:themeColor="background2"/>
              <w:bottom w:val="single" w:sz="4" w:space="0" w:color="FCBA5C" w:themeColor="accent2"/>
            </w:tcBorders>
          </w:tcPr>
          <w:p w14:paraId="3211E2B1" w14:textId="77777777" w:rsidR="00913E4B" w:rsidRPr="009C0388" w:rsidRDefault="00913E4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None</w:t>
            </w:r>
          </w:p>
        </w:tc>
        <w:tc>
          <w:tcPr>
            <w:tcW w:w="1053" w:type="pct"/>
            <w:tcBorders>
              <w:top w:val="single" w:sz="8" w:space="0" w:color="E8E8E8" w:themeColor="background2"/>
              <w:bottom w:val="single" w:sz="4" w:space="0" w:color="FCBA5C" w:themeColor="accent2"/>
            </w:tcBorders>
          </w:tcPr>
          <w:p w14:paraId="73326528" w14:textId="0F7FB7F9" w:rsidR="00913E4B" w:rsidRPr="009C0388" w:rsidRDefault="00913E4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9C0388">
              <w:rPr>
                <w:rFonts w:asciiTheme="minorHAnsi" w:hAnsiTheme="minorHAnsi"/>
                <w:sz w:val="22"/>
                <w:szCs w:val="22"/>
              </w:rPr>
              <w:t xml:space="preserve">Electricity transferred to the electricity network </w:t>
            </w:r>
            <w:r>
              <w:rPr>
                <w:rFonts w:asciiTheme="minorHAnsi" w:hAnsiTheme="minorHAnsi"/>
                <w:sz w:val="22"/>
                <w:szCs w:val="22"/>
              </w:rPr>
              <w:t>must</w:t>
            </w:r>
            <w:r w:rsidRPr="009C0388">
              <w:rPr>
                <w:rFonts w:asciiTheme="minorHAnsi" w:hAnsiTheme="minorHAnsi"/>
                <w:sz w:val="22"/>
                <w:szCs w:val="22"/>
              </w:rPr>
              <w:t xml:space="preserve"> be metered at the network connection point by the distributor</w:t>
            </w:r>
            <w:r>
              <w:rPr>
                <w:rFonts w:asciiTheme="minorHAnsi" w:hAnsiTheme="minorHAnsi"/>
                <w:sz w:val="22"/>
                <w:szCs w:val="22"/>
              </w:rPr>
              <w:t xml:space="preserve"> - see </w:t>
            </w:r>
            <w:hyperlink w:anchor="_Quantifying_electricity_consumption" w:history="1">
              <w:r w:rsidRPr="0077628F">
                <w:rPr>
                  <w:rStyle w:val="Hyperlink"/>
                  <w:rFonts w:asciiTheme="minorHAnsi" w:hAnsiTheme="minorHAnsi"/>
                  <w:szCs w:val="22"/>
                </w:rPr>
                <w:t>chapter 7.3.1</w:t>
              </w:r>
            </w:hyperlink>
            <w:r w:rsidRPr="009C0388">
              <w:rPr>
                <w:rFonts w:asciiTheme="minorHAnsi" w:hAnsiTheme="minorHAnsi"/>
                <w:sz w:val="22"/>
                <w:szCs w:val="22"/>
              </w:rPr>
              <w:t xml:space="preserve"> of this guideline</w:t>
            </w:r>
            <w:r w:rsidR="006A5E05">
              <w:rPr>
                <w:rFonts w:asciiTheme="minorHAnsi" w:hAnsiTheme="minorHAnsi"/>
                <w:sz w:val="22"/>
                <w:szCs w:val="22"/>
              </w:rPr>
              <w:t>.</w:t>
            </w:r>
          </w:p>
        </w:tc>
      </w:tr>
    </w:tbl>
    <w:p w14:paraId="1ECF1108" w14:textId="77777777" w:rsidR="00913E4B" w:rsidRDefault="00913E4B" w:rsidP="00913E4B">
      <w:pPr>
        <w:spacing w:after="0"/>
        <w:sectPr w:rsidR="00913E4B">
          <w:headerReference w:type="default" r:id="rId74"/>
          <w:headerReference w:type="first" r:id="rId75"/>
          <w:pgSz w:w="16840" w:h="11900" w:orient="landscape" w:code="9"/>
          <w:pgMar w:top="1080" w:right="889" w:bottom="1080" w:left="993" w:header="397" w:footer="113" w:gutter="0"/>
          <w:cols w:space="708"/>
          <w:titlePg/>
          <w:docGrid w:linePitch="326"/>
        </w:sectPr>
      </w:pPr>
    </w:p>
    <w:p w14:paraId="768EA6DC" w14:textId="77777777" w:rsidR="004B02E8" w:rsidRPr="00FF338C" w:rsidRDefault="004B02E8" w:rsidP="004B02E8">
      <w:pPr>
        <w:pStyle w:val="Heading3"/>
        <w:rPr>
          <w:lang w:val="en-GB"/>
        </w:rPr>
      </w:pPr>
      <w:bookmarkStart w:id="586" w:name="_Toc512010431"/>
      <w:bookmarkStart w:id="587" w:name="_Toc512339631"/>
      <w:bookmarkStart w:id="588" w:name="_Ref138678767"/>
      <w:bookmarkStart w:id="589" w:name="_Toc205461506"/>
      <w:r w:rsidRPr="00FF338C">
        <w:rPr>
          <w:lang w:val="en-GB"/>
        </w:rPr>
        <w:t>Case example 2: Hydro power plant</w:t>
      </w:r>
      <w:bookmarkEnd w:id="586"/>
      <w:bookmarkEnd w:id="587"/>
      <w:bookmarkEnd w:id="588"/>
      <w:bookmarkEnd w:id="589"/>
    </w:p>
    <w:p w14:paraId="59A43CD5" w14:textId="28C3386A" w:rsidR="004B02E8" w:rsidRPr="00FF338C" w:rsidRDefault="006E2F91" w:rsidP="004B02E8">
      <w:pPr>
        <w:pStyle w:val="Body"/>
        <w:ind w:left="0"/>
        <w:rPr>
          <w:rFonts w:asciiTheme="minorHAnsi" w:hAnsiTheme="minorHAnsi"/>
          <w:sz w:val="22"/>
          <w:szCs w:val="20"/>
        </w:rPr>
      </w:pPr>
      <w:r w:rsidRPr="008C101E">
        <w:rPr>
          <w:bCs/>
        </w:rPr>
        <w:fldChar w:fldCharType="begin" w:fldLock="1"/>
      </w:r>
      <w:r w:rsidRPr="008C101E">
        <w:rPr>
          <w:bCs/>
        </w:rPr>
        <w:instrText xml:space="preserve"> REF _Ref199340118  \* MERGEFORMAT </w:instrText>
      </w:r>
      <w:r w:rsidRPr="008C101E">
        <w:rPr>
          <w:bCs/>
        </w:rPr>
        <w:fldChar w:fldCharType="separate"/>
      </w:r>
      <w:r w:rsidRPr="008C101E">
        <w:rPr>
          <w:bCs/>
        </w:rPr>
        <w:t xml:space="preserve">Figure </w:t>
      </w:r>
      <w:r w:rsidRPr="008C101E">
        <w:rPr>
          <w:bCs/>
          <w:noProof/>
        </w:rPr>
        <w:t>8</w:t>
      </w:r>
      <w:r w:rsidRPr="008C101E">
        <w:rPr>
          <w:bCs/>
        </w:rPr>
        <w:fldChar w:fldCharType="end"/>
      </w:r>
      <w:r w:rsidRPr="008C101E">
        <w:rPr>
          <w:bCs/>
        </w:rPr>
        <w:t xml:space="preserve"> </w:t>
      </w:r>
      <w:r w:rsidR="004B02E8" w:rsidRPr="00FF338C">
        <w:rPr>
          <w:rFonts w:asciiTheme="minorHAnsi" w:hAnsiTheme="minorHAnsi"/>
          <w:sz w:val="22"/>
          <w:szCs w:val="20"/>
        </w:rPr>
        <w:t>shows an overview of the main types of energy production and consumption processes at a hydro power plant. Each circled number on the diagram relates to a main process point.</w:t>
      </w:r>
    </w:p>
    <w:p w14:paraId="0CBE9B69" w14:textId="055730F5" w:rsidR="004B02E8" w:rsidRPr="00FF338C" w:rsidRDefault="001A3AC2" w:rsidP="00D2141E">
      <w:r>
        <w:rPr>
          <w:szCs w:val="22"/>
        </w:rPr>
        <w:fldChar w:fldCharType="begin" w:fldLock="1"/>
      </w:r>
      <w:r>
        <w:rPr>
          <w:szCs w:val="22"/>
        </w:rPr>
        <w:instrText xml:space="preserve"> REF _Ref199339087 </w:instrText>
      </w:r>
      <w:r>
        <w:rPr>
          <w:szCs w:val="22"/>
        </w:rPr>
        <w:fldChar w:fldCharType="separate"/>
      </w:r>
      <w:r>
        <w:t xml:space="preserve">Table </w:t>
      </w:r>
      <w:r>
        <w:rPr>
          <w:noProof/>
        </w:rPr>
        <w:t>19</w:t>
      </w:r>
      <w:r>
        <w:rPr>
          <w:szCs w:val="22"/>
        </w:rPr>
        <w:fldChar w:fldCharType="end"/>
      </w:r>
      <w:r>
        <w:rPr>
          <w:szCs w:val="22"/>
        </w:rPr>
        <w:t xml:space="preserve"> </w:t>
      </w:r>
      <w:r w:rsidR="004B02E8" w:rsidRPr="00FF338C">
        <w:t>shows the emissions, energy consumption, energy production, and additional reporting requirements associated with each of these process points.</w:t>
      </w:r>
    </w:p>
    <w:p w14:paraId="075CD16E" w14:textId="77777777" w:rsidR="004B02E8" w:rsidRPr="00FF338C" w:rsidRDefault="004B02E8" w:rsidP="004B02E8">
      <w:pPr>
        <w:pStyle w:val="Heading4"/>
      </w:pPr>
      <w:bookmarkStart w:id="590" w:name="_Toc205461507"/>
      <w:r w:rsidRPr="00FF338C">
        <w:t>NGER activities and industry sector</w:t>
      </w:r>
      <w:bookmarkEnd w:id="590"/>
    </w:p>
    <w:p w14:paraId="0EDB2AFA" w14:textId="38AD5D09" w:rsidR="004B02E8" w:rsidRPr="00FF338C" w:rsidRDefault="004B02E8" w:rsidP="004B02E8">
      <w:pPr>
        <w:pStyle w:val="Body"/>
        <w:ind w:left="0"/>
        <w:rPr>
          <w:rFonts w:asciiTheme="minorHAnsi" w:hAnsiTheme="minorHAnsi"/>
          <w:sz w:val="22"/>
          <w:szCs w:val="22"/>
        </w:rPr>
      </w:pPr>
      <w:r w:rsidRPr="00FF338C">
        <w:rPr>
          <w:rFonts w:asciiTheme="minorHAnsi" w:hAnsiTheme="minorHAnsi"/>
          <w:sz w:val="22"/>
          <w:szCs w:val="22"/>
        </w:rPr>
        <w:t>The hydro power plant has been classified as a single facility for NGER reporting purposes. The correct ANZSIC code is ‘261 Electricity generation’. It includes the following reportable activities</w:t>
      </w:r>
      <w:r w:rsidR="00A955D9">
        <w:rPr>
          <w:rFonts w:asciiTheme="minorHAnsi" w:hAnsiTheme="minorHAnsi"/>
          <w:sz w:val="22"/>
          <w:szCs w:val="22"/>
        </w:rPr>
        <w:t>.</w:t>
      </w:r>
    </w:p>
    <w:p w14:paraId="090C6D46" w14:textId="344B51AE" w:rsidR="004B02E8" w:rsidRDefault="004B02E8" w:rsidP="00D2141E">
      <w:pPr>
        <w:spacing w:before="120" w:after="120"/>
        <w:rPr>
          <w:szCs w:val="22"/>
        </w:rPr>
      </w:pPr>
      <w:r w:rsidRPr="79B44BC7">
        <w:rPr>
          <w:b/>
        </w:rPr>
        <w:t>Energy reporting for electricity produced</w:t>
      </w:r>
    </w:p>
    <w:p w14:paraId="3CC8CF9A" w14:textId="4329378B" w:rsidR="004B02E8" w:rsidRDefault="004B02E8" w:rsidP="00D2141E">
      <w:pPr>
        <w:pStyle w:val="CERbullets"/>
      </w:pPr>
      <w:r w:rsidRPr="00FF338C">
        <w:t>Electricity is produced in a turbine (</w:t>
      </w:r>
      <w:r>
        <w:t xml:space="preserve">number </w:t>
      </w:r>
      <w:r w:rsidRPr="00FF338C">
        <w:t xml:space="preserve">3 as metered at </w:t>
      </w:r>
      <w:r>
        <w:t xml:space="preserve">number </w:t>
      </w:r>
      <w:r w:rsidRPr="00FF338C">
        <w:t xml:space="preserve">4). </w:t>
      </w:r>
    </w:p>
    <w:p w14:paraId="7ED1111F" w14:textId="23F3F2E6" w:rsidR="004B02E8" w:rsidRDefault="00A955D9" w:rsidP="00D2141E">
      <w:pPr>
        <w:pStyle w:val="CERbullets"/>
      </w:pPr>
      <w:r>
        <w:t xml:space="preserve"> </w:t>
      </w:r>
      <w:r w:rsidR="004B02E8" w:rsidRPr="00FF338C">
        <w:t>A portion of the electricity generated is fed back into the facility for plant operations (</w:t>
      </w:r>
      <w:r w:rsidR="004B02E8">
        <w:t xml:space="preserve">number </w:t>
      </w:r>
      <w:r w:rsidR="004B02E8" w:rsidRPr="00FF338C">
        <w:t>5), and some is lost in a 50</w:t>
      </w:r>
      <w:r w:rsidR="003103D0">
        <w:t> </w:t>
      </w:r>
      <w:r w:rsidR="004B02E8" w:rsidRPr="00FF338C">
        <w:t>km transmission line to the delivery point to the electricity network (</w:t>
      </w:r>
      <w:r w:rsidR="004B02E8">
        <w:t xml:space="preserve">number </w:t>
      </w:r>
      <w:r w:rsidR="004B02E8" w:rsidRPr="00FF338C">
        <w:t xml:space="preserve">6). </w:t>
      </w:r>
    </w:p>
    <w:p w14:paraId="358ACBB9" w14:textId="58200843" w:rsidR="004B02E8" w:rsidRPr="00FF338C" w:rsidRDefault="004B02E8" w:rsidP="00D2141E">
      <w:pPr>
        <w:pStyle w:val="CERbullets"/>
      </w:pPr>
      <w:r w:rsidRPr="00FF338C">
        <w:t>The remaining electricity generated is transferred to an electricity network (</w:t>
      </w:r>
      <w:r>
        <w:t xml:space="preserve">number </w:t>
      </w:r>
      <w:r w:rsidRPr="00FF338C">
        <w:t xml:space="preserve">7). </w:t>
      </w:r>
    </w:p>
    <w:p w14:paraId="28B63C9E" w14:textId="77777777" w:rsidR="004B02E8" w:rsidRPr="00FF338C" w:rsidRDefault="004B02E8" w:rsidP="004B02E8">
      <w:pPr>
        <w:spacing w:before="120" w:after="120"/>
        <w:rPr>
          <w:szCs w:val="22"/>
        </w:rPr>
      </w:pPr>
      <w:r>
        <w:rPr>
          <w:szCs w:val="22"/>
        </w:rPr>
        <w:t xml:space="preserve">See </w:t>
      </w:r>
      <w:hyperlink w:anchor="_Energy_production_and" w:history="1">
        <w:r w:rsidRPr="0077628F">
          <w:rPr>
            <w:rStyle w:val="Hyperlink"/>
            <w:rFonts w:asciiTheme="minorHAnsi" w:hAnsiTheme="minorHAnsi"/>
            <w:szCs w:val="22"/>
          </w:rPr>
          <w:t>chapter 7</w:t>
        </w:r>
      </w:hyperlink>
      <w:r>
        <w:rPr>
          <w:szCs w:val="22"/>
        </w:rPr>
        <w:t xml:space="preserve"> </w:t>
      </w:r>
      <w:r w:rsidRPr="00FF338C">
        <w:rPr>
          <w:szCs w:val="22"/>
        </w:rPr>
        <w:t>of this guideline for reporting of electricity production and for electricity produced for use onsite.</w:t>
      </w:r>
    </w:p>
    <w:p w14:paraId="72404D04" w14:textId="77777777" w:rsidR="004B02E8" w:rsidRPr="00FF338C" w:rsidRDefault="004B02E8" w:rsidP="004B02E8">
      <w:pPr>
        <w:pStyle w:val="Body"/>
        <w:ind w:left="0"/>
        <w:rPr>
          <w:rFonts w:asciiTheme="minorHAnsi" w:hAnsiTheme="minorHAnsi"/>
          <w:sz w:val="22"/>
          <w:szCs w:val="22"/>
        </w:rPr>
      </w:pPr>
      <w:r w:rsidRPr="00FF338C">
        <w:rPr>
          <w:rFonts w:asciiTheme="minorHAnsi" w:hAnsiTheme="minorHAnsi"/>
          <w:sz w:val="22"/>
          <w:szCs w:val="22"/>
        </w:rPr>
        <w:t>Other reportable NGER activities not included in the example are likely to occur, including:</w:t>
      </w:r>
    </w:p>
    <w:p w14:paraId="27D78791" w14:textId="2B26230D" w:rsidR="004B02E8" w:rsidRPr="00FF338C" w:rsidRDefault="00D42687" w:rsidP="00B3330E">
      <w:pPr>
        <w:pStyle w:val="CERbullets"/>
        <w:numPr>
          <w:ilvl w:val="0"/>
          <w:numId w:val="7"/>
        </w:numPr>
      </w:pPr>
      <w:r>
        <w:t>s</w:t>
      </w:r>
      <w:r w:rsidR="004B02E8" w:rsidRPr="00FF338C">
        <w:t>cope 1 fuel combustion emissions from transport, stationary energy purposes (other than electricity generation) – for example, liquid fuel combustion in light vehicles</w:t>
      </w:r>
    </w:p>
    <w:p w14:paraId="12789BEC" w14:textId="287DEBDD" w:rsidR="004B02E8" w:rsidRPr="00FF338C" w:rsidRDefault="00D42687" w:rsidP="00B3330E">
      <w:pPr>
        <w:pStyle w:val="ListParagraph"/>
        <w:numPr>
          <w:ilvl w:val="0"/>
          <w:numId w:val="7"/>
        </w:numPr>
      </w:pPr>
      <w:r>
        <w:t>t</w:t>
      </w:r>
      <w:r w:rsidR="004B02E8" w:rsidRPr="00FF338C">
        <w:t xml:space="preserve">he consumption of </w:t>
      </w:r>
      <w:r w:rsidR="004B02E8" w:rsidRPr="00FD22FB">
        <w:t>PBOGs</w:t>
      </w:r>
      <w:r w:rsidR="004B02E8" w:rsidRPr="00FF338C">
        <w:t>.</w:t>
      </w:r>
      <w:r w:rsidR="002E07E5">
        <w:t xml:space="preserve"> </w:t>
      </w:r>
      <w:r w:rsidR="003262E1">
        <w:t xml:space="preserve">Read the </w:t>
      </w:r>
      <w:hyperlink r:id="rId76" w:tooltip="A link to the Petroleum-based oils and greases guide on the Clean Energy Regulator website" w:history="1">
        <w:r w:rsidR="003262E1">
          <w:rPr>
            <w:rStyle w:val="Hyperlink"/>
            <w:rFonts w:asciiTheme="minorHAnsi" w:hAnsiTheme="minorHAnsi"/>
          </w:rPr>
          <w:t>P</w:t>
        </w:r>
        <w:r w:rsidR="00F8769F" w:rsidRPr="003262E1">
          <w:rPr>
            <w:rStyle w:val="Hyperlink"/>
            <w:rFonts w:asciiTheme="minorHAnsi" w:hAnsiTheme="minorHAnsi"/>
          </w:rPr>
          <w:t xml:space="preserve">etroleum-based oils and </w:t>
        </w:r>
        <w:r w:rsidR="00D95248" w:rsidRPr="003262E1">
          <w:rPr>
            <w:rStyle w:val="Hyperlink"/>
            <w:rFonts w:asciiTheme="minorHAnsi" w:hAnsiTheme="minorHAnsi"/>
          </w:rPr>
          <w:t>grease</w:t>
        </w:r>
        <w:r w:rsidR="003262E1">
          <w:rPr>
            <w:rStyle w:val="Hyperlink"/>
            <w:rFonts w:asciiTheme="minorHAnsi" w:hAnsiTheme="minorHAnsi"/>
          </w:rPr>
          <w:t>s guideline</w:t>
        </w:r>
      </w:hyperlink>
      <w:r w:rsidR="003262E1">
        <w:t xml:space="preserve"> </w:t>
      </w:r>
      <w:r w:rsidR="004B0870">
        <w:rPr>
          <w:rFonts w:ascii="ZWAdobeF" w:hAnsi="ZWAdobeF" w:cs="ZWAdobeF"/>
          <w:color w:val="auto"/>
          <w:sz w:val="2"/>
          <w:szCs w:val="2"/>
        </w:rPr>
        <w:t>41F</w:t>
      </w:r>
      <w:r w:rsidR="00001129">
        <w:rPr>
          <w:rStyle w:val="FootnoteReference"/>
        </w:rPr>
        <w:footnoteReference w:id="43"/>
      </w:r>
      <w:r w:rsidR="003262E1">
        <w:t xml:space="preserve">. </w:t>
      </w:r>
    </w:p>
    <w:p w14:paraId="380262D5" w14:textId="6167398C" w:rsidR="004B02E8" w:rsidRPr="00FF338C" w:rsidRDefault="00D42687" w:rsidP="00B3330E">
      <w:pPr>
        <w:pStyle w:val="CERbullets"/>
        <w:numPr>
          <w:ilvl w:val="0"/>
          <w:numId w:val="7"/>
        </w:numPr>
      </w:pPr>
      <w:r>
        <w:t>c</w:t>
      </w:r>
      <w:r w:rsidR="004B02E8" w:rsidRPr="00FF338C">
        <w:t>ontractor energy and emissions data if part of the facility’s production process under the operational control of the facility (likely to include fuel combustion emissions and consumption, if occurring).</w:t>
      </w:r>
      <w:r w:rsidR="00E423B4">
        <w:t xml:space="preserve"> </w:t>
      </w:r>
      <w:r w:rsidR="003262E1">
        <w:t>Read</w:t>
      </w:r>
      <w:r w:rsidR="00E63864">
        <w:t xml:space="preserve"> </w:t>
      </w:r>
      <w:r w:rsidR="00FD658A">
        <w:t>the Guideline</w:t>
      </w:r>
      <w:r w:rsidR="00400C53">
        <w:t xml:space="preserve"> NGER definin</w:t>
      </w:r>
      <w:r w:rsidR="00507F50">
        <w:t>g facilities</w:t>
      </w:r>
      <w:r w:rsidR="004B0870">
        <w:rPr>
          <w:rFonts w:ascii="ZWAdobeF" w:hAnsi="ZWAdobeF" w:cs="ZWAdobeF"/>
          <w:sz w:val="2"/>
          <w:szCs w:val="2"/>
        </w:rPr>
        <w:t>42F</w:t>
      </w:r>
      <w:r w:rsidR="00507F50">
        <w:rPr>
          <w:rStyle w:val="FootnoteReference"/>
        </w:rPr>
        <w:footnoteReference w:id="44"/>
      </w:r>
      <w:r w:rsidR="0017740A">
        <w:t xml:space="preserve"> and the </w:t>
      </w:r>
      <w:hyperlink r:id="rId77" w:tooltip="A link to the Contracts and leasing guide on the Clean Energy Regulator website" w:history="1">
        <w:r w:rsidR="0017740A" w:rsidRPr="00D924C3">
          <w:rPr>
            <w:rStyle w:val="Hyperlink"/>
            <w:rFonts w:asciiTheme="minorHAnsi" w:hAnsiTheme="minorHAnsi"/>
          </w:rPr>
          <w:t>Contracts and leasing guideline</w:t>
        </w:r>
      </w:hyperlink>
      <w:r w:rsidR="004B0870">
        <w:rPr>
          <w:rFonts w:ascii="ZWAdobeF" w:hAnsi="ZWAdobeF" w:cs="ZWAdobeF"/>
          <w:sz w:val="2"/>
          <w:szCs w:val="2"/>
        </w:rPr>
        <w:t>43F</w:t>
      </w:r>
      <w:r w:rsidR="00D924C3">
        <w:rPr>
          <w:rStyle w:val="FootnoteReference"/>
        </w:rPr>
        <w:footnoteReference w:id="45"/>
      </w:r>
      <w:r>
        <w:t>.</w:t>
      </w:r>
    </w:p>
    <w:p w14:paraId="447B35E7" w14:textId="4DD27B3F" w:rsidR="00913E4B" w:rsidRPr="00FF338C" w:rsidRDefault="00913E4B" w:rsidP="00913E4B">
      <w:pPr>
        <w:spacing w:after="0"/>
        <w:sectPr w:rsidR="00913E4B" w:rsidRPr="00FF338C" w:rsidSect="001A4441">
          <w:pgSz w:w="11900" w:h="16840" w:code="9"/>
          <w:pgMar w:top="889" w:right="1080" w:bottom="993" w:left="1080" w:header="397" w:footer="113" w:gutter="0"/>
          <w:cols w:space="708"/>
          <w:titlePg/>
          <w:docGrid w:linePitch="326"/>
        </w:sectPr>
      </w:pPr>
    </w:p>
    <w:p w14:paraId="12558296" w14:textId="0044CDC3" w:rsidR="001E6E16" w:rsidRPr="00FF338C" w:rsidRDefault="00C44F0B" w:rsidP="001E6E16">
      <w:pPr>
        <w:pStyle w:val="Caption"/>
        <w:sectPr w:rsidR="001E6E16" w:rsidRPr="00FF338C">
          <w:headerReference w:type="first" r:id="rId78"/>
          <w:pgSz w:w="16840" w:h="11900" w:orient="landscape" w:code="9"/>
          <w:pgMar w:top="1080" w:right="889" w:bottom="1080" w:left="993" w:header="397" w:footer="113" w:gutter="0"/>
          <w:cols w:space="708"/>
          <w:titlePg/>
          <w:docGrid w:linePitch="326"/>
        </w:sectPr>
      </w:pPr>
      <w:bookmarkStart w:id="591" w:name="_Ref71290455"/>
      <w:bookmarkStart w:id="592" w:name="_Ref142313190"/>
      <w:r>
        <w:rPr>
          <w:noProof/>
        </w:rPr>
        <mc:AlternateContent>
          <mc:Choice Requires="wps">
            <w:drawing>
              <wp:anchor distT="0" distB="0" distL="114300" distR="114300" simplePos="0" relativeHeight="251658253" behindDoc="0" locked="0" layoutInCell="1" allowOverlap="1" wp14:anchorId="46876D09" wp14:editId="4AB87301">
                <wp:simplePos x="0" y="0"/>
                <wp:positionH relativeFrom="column">
                  <wp:posOffset>0</wp:posOffset>
                </wp:positionH>
                <wp:positionV relativeFrom="paragraph">
                  <wp:posOffset>0</wp:posOffset>
                </wp:positionV>
                <wp:extent cx="9498330" cy="457200"/>
                <wp:effectExtent l="0" t="0" r="7620" b="0"/>
                <wp:wrapTopAndBottom/>
                <wp:docPr id="1873170308" name="Text Box 1" descr="P1261TB14#y1"/>
                <wp:cNvGraphicFramePr/>
                <a:graphic xmlns:a="http://schemas.openxmlformats.org/drawingml/2006/main">
                  <a:graphicData uri="http://schemas.microsoft.com/office/word/2010/wordprocessingShape">
                    <wps:wsp>
                      <wps:cNvSpPr txBox="1"/>
                      <wps:spPr>
                        <a:xfrm>
                          <a:off x="0" y="0"/>
                          <a:ext cx="9498330" cy="457200"/>
                        </a:xfrm>
                        <a:prstGeom prst="rect">
                          <a:avLst/>
                        </a:prstGeom>
                        <a:solidFill>
                          <a:prstClr val="white"/>
                        </a:solidFill>
                        <a:ln>
                          <a:noFill/>
                        </a:ln>
                      </wps:spPr>
                      <wps:txbx>
                        <w:txbxContent>
                          <w:p w14:paraId="47A317E4" w14:textId="11887C66" w:rsidR="00C44F0B" w:rsidRPr="00FA45BF" w:rsidRDefault="00C44F0B" w:rsidP="00C44F0B">
                            <w:pPr>
                              <w:pStyle w:val="Caption"/>
                              <w:rPr>
                                <w:noProof/>
                              </w:rPr>
                            </w:pPr>
                            <w:bookmarkStart w:id="593" w:name="_Ref199340118"/>
                            <w:r>
                              <w:t xml:space="preserve">Figure </w:t>
                            </w:r>
                            <w:r>
                              <w:fldChar w:fldCharType="begin"/>
                            </w:r>
                            <w:r>
                              <w:instrText xml:space="preserve"> SEQ Figure \* ARABIC </w:instrText>
                            </w:r>
                            <w:r>
                              <w:fldChar w:fldCharType="separate"/>
                            </w:r>
                            <w:r w:rsidR="004B0870">
                              <w:rPr>
                                <w:noProof/>
                              </w:rPr>
                              <w:t>8</w:t>
                            </w:r>
                            <w:r>
                              <w:fldChar w:fldCharType="end"/>
                            </w:r>
                            <w:bookmarkEnd w:id="593"/>
                            <w:r>
                              <w:t xml:space="preserve"> – Hydro power plant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6876D09" id="Text Box 1" o:spid="_x0000_s1030" type="#_x0000_t202" alt="P1261TB14#y1" style="position:absolute;margin-left:0;margin-top:0;width:747.9pt;height:36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" stroked="f">
                <v:textbox inset="0,0,0,0">
                  <w:txbxContent>
                    <w:p w14:paraId="47A317E4" w14:textId="11887C66" w:rsidR="00C44F0B" w:rsidRPr="00FA45BF" w:rsidRDefault="00C44F0B" w:rsidP="00C44F0B">
                      <w:pPr>
                        <w:pStyle w:val="Caption"/>
                        <w:rPr>
                          <w:noProof/>
                        </w:rPr>
                      </w:pPr>
                      <w:bookmarkStart w:id="594" w:name="_Ref199340118"/>
                      <w:r>
                        <w:t xml:space="preserve">Figure </w:t>
                      </w:r>
                      <w:r>
                        <w:fldChar w:fldCharType="begin"/>
                      </w:r>
                      <w:r>
                        <w:instrText xml:space="preserve"> SEQ Figure \* ARABIC </w:instrText>
                      </w:r>
                      <w:r>
                        <w:fldChar w:fldCharType="separate"/>
                      </w:r>
                      <w:r w:rsidR="004B0870">
                        <w:rPr>
                          <w:noProof/>
                        </w:rPr>
                        <w:t>8</w:t>
                      </w:r>
                      <w:r>
                        <w:fldChar w:fldCharType="end"/>
                      </w:r>
                      <w:bookmarkEnd w:id="594"/>
                      <w:r>
                        <w:t xml:space="preserve"> – Hydro power plant diagram</w:t>
                      </w:r>
                    </w:p>
                  </w:txbxContent>
                </v:textbox>
                <w10:wrap type="topAndBottom"/>
              </v:shape>
            </w:pict>
          </mc:Fallback>
        </mc:AlternateContent>
      </w:r>
      <w:r w:rsidR="001E6E16" w:rsidRPr="00FF338C">
        <w:rPr>
          <w:noProof/>
          <w:lang w:eastAsia="en-AU"/>
        </w:rPr>
        <w:drawing>
          <wp:anchor distT="0" distB="0" distL="114300" distR="114300" simplePos="0" relativeHeight="251658254" behindDoc="0" locked="0" layoutInCell="1" allowOverlap="1" wp14:anchorId="5F766359" wp14:editId="09DF6F86">
            <wp:simplePos x="0" y="0"/>
            <wp:positionH relativeFrom="margin">
              <wp:align>left</wp:align>
            </wp:positionH>
            <wp:positionV relativeFrom="paragraph">
              <wp:posOffset>367665</wp:posOffset>
            </wp:positionV>
            <wp:extent cx="9498330" cy="3211830"/>
            <wp:effectExtent l="0" t="0" r="7620" b="7620"/>
            <wp:wrapTopAndBottom/>
            <wp:docPr id="1" name="Picture 1" descr="P1261#y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1261#y1">
                      <a:extLst>
                        <a:ext uri="{C183D7F6-B498-43B3-948B-1728B52AA6E4}">
                          <adec:decorative xmlns:adec="http://schemas.microsoft.com/office/drawing/2017/decorative" val="0"/>
                        </a:ext>
                      </a:extLst>
                    </pic:cNvPr>
                    <pic:cNvPicPr/>
                  </pic:nvPicPr>
                  <pic:blipFill>
                    <a:blip r:embed="rId79">
                      <a:extLst>
                        <a:ext uri="{28A0092B-C50C-407E-A947-70E740481C1C}">
                          <a14:useLocalDpi xmlns:a14="http://schemas.microsoft.com/office/drawing/2010/main" val="0"/>
                        </a:ext>
                      </a:extLst>
                    </a:blip>
                    <a:stretch>
                      <a:fillRect/>
                    </a:stretch>
                  </pic:blipFill>
                  <pic:spPr>
                    <a:xfrm>
                      <a:off x="0" y="0"/>
                      <a:ext cx="9498330" cy="3211830"/>
                    </a:xfrm>
                    <a:prstGeom prst="rect">
                      <a:avLst/>
                    </a:prstGeom>
                  </pic:spPr>
                </pic:pic>
              </a:graphicData>
            </a:graphic>
            <wp14:sizeRelH relativeFrom="page">
              <wp14:pctWidth>0</wp14:pctWidth>
            </wp14:sizeRelH>
            <wp14:sizeRelV relativeFrom="page">
              <wp14:pctHeight>0</wp14:pctHeight>
            </wp14:sizeRelV>
          </wp:anchor>
        </w:drawing>
      </w:r>
      <w:bookmarkEnd w:id="591"/>
      <w:bookmarkEnd w:id="592"/>
      <w:r w:rsidR="00A41C35">
        <w:t>.</w:t>
      </w:r>
    </w:p>
    <w:p w14:paraId="7F2260A8" w14:textId="5A00EABF" w:rsidR="00D26885" w:rsidRDefault="00D26885" w:rsidP="00E9388B">
      <w:pPr>
        <w:pStyle w:val="Caption"/>
        <w:keepNext/>
      </w:pPr>
      <w:bookmarkStart w:id="595" w:name="_Ref199339087"/>
      <w:r>
        <w:t xml:space="preserve">Table </w:t>
      </w:r>
      <w:r>
        <w:fldChar w:fldCharType="begin"/>
      </w:r>
      <w:r>
        <w:instrText xml:space="preserve"> SEQ Table \* ARABIC </w:instrText>
      </w:r>
      <w:r>
        <w:fldChar w:fldCharType="separate"/>
      </w:r>
      <w:r w:rsidR="004B0870">
        <w:rPr>
          <w:noProof/>
        </w:rPr>
        <w:t>19</w:t>
      </w:r>
      <w:r>
        <w:fldChar w:fldCharType="end"/>
      </w:r>
      <w:bookmarkEnd w:id="595"/>
      <w:r>
        <w:t xml:space="preserve"> – Energy summary for hydro power plant.</w:t>
      </w:r>
    </w:p>
    <w:tbl>
      <w:tblPr>
        <w:tblStyle w:val="CERTable"/>
        <w:tblW w:w="5000" w:type="pct"/>
        <w:tblLook w:val="04A0" w:firstRow="1" w:lastRow="0" w:firstColumn="1" w:lastColumn="0" w:noHBand="0" w:noVBand="1"/>
      </w:tblPr>
      <w:tblGrid>
        <w:gridCol w:w="318"/>
        <w:gridCol w:w="1265"/>
        <w:gridCol w:w="2011"/>
        <w:gridCol w:w="1895"/>
        <w:gridCol w:w="4251"/>
      </w:tblGrid>
      <w:tr w:rsidR="00E04C2C" w:rsidRPr="00C64711" w14:paraId="1D0A491B" w14:textId="77777777" w:rsidTr="00497855">
        <w:trPr>
          <w:cnfStyle w:val="100000000000" w:firstRow="1" w:lastRow="0" w:firstColumn="0" w:lastColumn="0" w:oddVBand="0" w:evenVBand="0" w:oddHBand="0" w:evenHBand="0" w:firstRowFirstColumn="0" w:firstRowLastColumn="0" w:lastRowFirstColumn="0" w:lastRowLastColumn="0"/>
          <w:trHeight w:val="599"/>
          <w:tblHeader/>
        </w:trPr>
        <w:tc>
          <w:tcPr>
            <w:cnfStyle w:val="001000000000" w:firstRow="0" w:lastRow="0" w:firstColumn="1" w:lastColumn="0" w:oddVBand="0" w:evenVBand="0" w:oddHBand="0" w:evenHBand="0" w:firstRowFirstColumn="0" w:firstRowLastColumn="0" w:lastRowFirstColumn="0" w:lastRowLastColumn="0"/>
            <w:tcW w:w="812" w:type="pct"/>
            <w:gridSpan w:val="2"/>
          </w:tcPr>
          <w:p w14:paraId="124FF072" w14:textId="3D2B4B49" w:rsidR="001E6E16" w:rsidRPr="00AC0A81" w:rsidRDefault="001E6E16">
            <w:pPr>
              <w:pStyle w:val="Body"/>
              <w:ind w:left="0"/>
              <w:rPr>
                <w:rFonts w:asciiTheme="minorHAnsi" w:hAnsiTheme="minorHAnsi"/>
                <w:szCs w:val="20"/>
              </w:rPr>
            </w:pPr>
            <w:r w:rsidRPr="00AC0A81">
              <w:rPr>
                <w:rFonts w:asciiTheme="minorHAnsi" w:hAnsiTheme="minorHAnsi"/>
                <w:szCs w:val="20"/>
              </w:rPr>
              <w:t>Process point</w:t>
            </w:r>
          </w:p>
        </w:tc>
        <w:tc>
          <w:tcPr>
            <w:tcW w:w="1033" w:type="pct"/>
          </w:tcPr>
          <w:p w14:paraId="1FC8051B" w14:textId="6A7AD62C" w:rsidR="001E6E16" w:rsidRPr="00AC0A81" w:rsidRDefault="001E6E16">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AC0A81">
              <w:rPr>
                <w:rFonts w:asciiTheme="minorHAnsi" w:hAnsiTheme="minorHAnsi"/>
                <w:szCs w:val="20"/>
              </w:rPr>
              <w:t>Reportable energy production</w:t>
            </w:r>
          </w:p>
        </w:tc>
        <w:tc>
          <w:tcPr>
            <w:tcW w:w="973" w:type="pct"/>
          </w:tcPr>
          <w:p w14:paraId="57789F6B" w14:textId="4DE1C4BB" w:rsidR="001E6E16" w:rsidRPr="00AC0A81" w:rsidRDefault="001E6E16">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AC0A81">
              <w:rPr>
                <w:rFonts w:asciiTheme="minorHAnsi" w:hAnsiTheme="minorHAnsi"/>
                <w:szCs w:val="20"/>
              </w:rPr>
              <w:t>Reportable energy consumption</w:t>
            </w:r>
          </w:p>
        </w:tc>
        <w:tc>
          <w:tcPr>
            <w:tcW w:w="2182" w:type="pct"/>
          </w:tcPr>
          <w:p w14:paraId="4988B811" w14:textId="1A0EA4DD" w:rsidR="001E6E16" w:rsidRPr="00AC0A81" w:rsidRDefault="001E6E16">
            <w:pPr>
              <w:pStyle w:val="Body"/>
              <w:ind w:left="0"/>
              <w:cnfStyle w:val="100000000000" w:firstRow="1" w:lastRow="0" w:firstColumn="0" w:lastColumn="0" w:oddVBand="0" w:evenVBand="0" w:oddHBand="0" w:evenHBand="0" w:firstRowFirstColumn="0" w:firstRowLastColumn="0" w:lastRowFirstColumn="0" w:lastRowLastColumn="0"/>
              <w:rPr>
                <w:rFonts w:asciiTheme="minorHAnsi" w:hAnsiTheme="minorHAnsi"/>
                <w:szCs w:val="20"/>
              </w:rPr>
            </w:pPr>
            <w:r w:rsidRPr="00AC0A81">
              <w:rPr>
                <w:rFonts w:asciiTheme="minorHAnsi" w:hAnsiTheme="minorHAnsi"/>
                <w:szCs w:val="20"/>
              </w:rPr>
              <w:t>Notes</w:t>
            </w:r>
          </w:p>
        </w:tc>
      </w:tr>
      <w:tr w:rsidR="00E04C2C" w:rsidRPr="00C64711" w14:paraId="5374D2CD" w14:textId="77777777" w:rsidTr="00497855">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63" w:type="pct"/>
          </w:tcPr>
          <w:p w14:paraId="2EA35DFC" w14:textId="3B2C6E9C" w:rsidR="001E6E16" w:rsidRPr="00F4306D" w:rsidRDefault="001E6E16">
            <w:pPr>
              <w:pStyle w:val="Body"/>
              <w:ind w:left="0"/>
              <w:rPr>
                <w:rFonts w:asciiTheme="minorHAnsi" w:hAnsiTheme="minorHAnsi"/>
                <w:szCs w:val="20"/>
              </w:rPr>
            </w:pPr>
            <w:r w:rsidRPr="00F4306D">
              <w:rPr>
                <w:rFonts w:asciiTheme="minorHAnsi" w:hAnsiTheme="minorHAnsi"/>
                <w:szCs w:val="20"/>
              </w:rPr>
              <w:t>1</w:t>
            </w:r>
          </w:p>
        </w:tc>
        <w:tc>
          <w:tcPr>
            <w:tcW w:w="649" w:type="pct"/>
            <w:shd w:val="clear" w:color="auto" w:fill="F2F2F2" w:themeFill="background1" w:themeFillShade="F2"/>
          </w:tcPr>
          <w:p w14:paraId="4C5969D5" w14:textId="2B575646" w:rsidR="001E6E16" w:rsidRPr="00F4306D" w:rsidRDefault="001E6E16">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F4306D">
              <w:rPr>
                <w:rFonts w:asciiTheme="minorHAnsi" w:hAnsiTheme="minorHAnsi"/>
                <w:szCs w:val="20"/>
              </w:rPr>
              <w:t>Water retained by dam</w:t>
            </w:r>
          </w:p>
        </w:tc>
        <w:tc>
          <w:tcPr>
            <w:tcW w:w="1033" w:type="pct"/>
          </w:tcPr>
          <w:p w14:paraId="1D3DEFB1" w14:textId="0FAD9790" w:rsidR="001E6E16" w:rsidRPr="00F4306D" w:rsidRDefault="001E6E16">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F4306D">
              <w:rPr>
                <w:rFonts w:asciiTheme="minorHAnsi" w:hAnsiTheme="minorHAnsi"/>
                <w:szCs w:val="20"/>
              </w:rPr>
              <w:t>None</w:t>
            </w:r>
          </w:p>
        </w:tc>
        <w:tc>
          <w:tcPr>
            <w:tcW w:w="973" w:type="pct"/>
          </w:tcPr>
          <w:p w14:paraId="6C210E93" w14:textId="14E6A70A" w:rsidR="001E6E16" w:rsidRPr="00F4306D" w:rsidRDefault="001E6E16">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F4306D">
              <w:rPr>
                <w:rFonts w:asciiTheme="minorHAnsi" w:hAnsiTheme="minorHAnsi"/>
                <w:szCs w:val="20"/>
              </w:rPr>
              <w:t>None</w:t>
            </w:r>
          </w:p>
        </w:tc>
        <w:tc>
          <w:tcPr>
            <w:tcW w:w="2182" w:type="pct"/>
          </w:tcPr>
          <w:p w14:paraId="70003818" w14:textId="6165226B" w:rsidR="001E6E16" w:rsidRPr="00F4306D" w:rsidRDefault="003B5A01">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Pr>
                <w:rFonts w:asciiTheme="minorHAnsi" w:hAnsiTheme="minorHAnsi"/>
                <w:szCs w:val="20"/>
              </w:rPr>
              <w:t xml:space="preserve">Water storage </w:t>
            </w:r>
            <w:r w:rsidR="009E5E72">
              <w:rPr>
                <w:rFonts w:asciiTheme="minorHAnsi" w:hAnsiTheme="minorHAnsi"/>
                <w:szCs w:val="20"/>
              </w:rPr>
              <w:t xml:space="preserve">is not a reportable activity under the NGER Scheme. </w:t>
            </w:r>
          </w:p>
        </w:tc>
      </w:tr>
      <w:tr w:rsidR="00E04C2C" w:rsidRPr="00C64711" w14:paraId="126AD41C" w14:textId="77777777" w:rsidTr="00497855">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63" w:type="pct"/>
          </w:tcPr>
          <w:p w14:paraId="43C7D378" w14:textId="6EF61150" w:rsidR="001E6E16" w:rsidRPr="00F4306D" w:rsidRDefault="001E6E16">
            <w:pPr>
              <w:pStyle w:val="Body"/>
              <w:ind w:left="0"/>
              <w:rPr>
                <w:rFonts w:asciiTheme="minorHAnsi" w:hAnsiTheme="minorHAnsi"/>
                <w:szCs w:val="20"/>
              </w:rPr>
            </w:pPr>
            <w:r w:rsidRPr="00F4306D">
              <w:rPr>
                <w:rFonts w:asciiTheme="minorHAnsi" w:hAnsiTheme="minorHAnsi"/>
                <w:szCs w:val="20"/>
              </w:rPr>
              <w:t>2</w:t>
            </w:r>
          </w:p>
        </w:tc>
        <w:tc>
          <w:tcPr>
            <w:tcW w:w="649" w:type="pct"/>
            <w:shd w:val="clear" w:color="auto" w:fill="F2F2F2" w:themeFill="background1" w:themeFillShade="F2"/>
          </w:tcPr>
          <w:p w14:paraId="640889FE" w14:textId="1EA4E50B" w:rsidR="001E6E16" w:rsidRPr="00F4306D" w:rsidRDefault="001E6E16">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Cs w:val="20"/>
              </w:rPr>
            </w:pPr>
            <w:r w:rsidRPr="00F4306D">
              <w:rPr>
                <w:rFonts w:asciiTheme="minorHAnsi" w:hAnsiTheme="minorHAnsi"/>
                <w:szCs w:val="20"/>
              </w:rPr>
              <w:t>Water transferred through dam</w:t>
            </w:r>
          </w:p>
        </w:tc>
        <w:tc>
          <w:tcPr>
            <w:tcW w:w="1033" w:type="pct"/>
          </w:tcPr>
          <w:p w14:paraId="36A2C897" w14:textId="0E178A57" w:rsidR="001E6E16" w:rsidRPr="00F4306D" w:rsidRDefault="00F2627F">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Cs w:val="20"/>
              </w:rPr>
            </w:pPr>
            <w:r>
              <w:rPr>
                <w:rFonts w:asciiTheme="minorHAnsi" w:hAnsiTheme="minorHAnsi"/>
                <w:szCs w:val="20"/>
              </w:rPr>
              <w:t>None</w:t>
            </w:r>
          </w:p>
        </w:tc>
        <w:tc>
          <w:tcPr>
            <w:tcW w:w="973" w:type="pct"/>
          </w:tcPr>
          <w:p w14:paraId="1DF6113D" w14:textId="0AD1AE2A" w:rsidR="001E6E16" w:rsidRPr="00F4306D" w:rsidRDefault="00F2627F">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Cs w:val="20"/>
              </w:rPr>
            </w:pPr>
            <w:r>
              <w:rPr>
                <w:rFonts w:asciiTheme="minorHAnsi" w:hAnsiTheme="minorHAnsi"/>
                <w:szCs w:val="20"/>
              </w:rPr>
              <w:t>None</w:t>
            </w:r>
          </w:p>
        </w:tc>
        <w:tc>
          <w:tcPr>
            <w:tcW w:w="2182" w:type="pct"/>
          </w:tcPr>
          <w:p w14:paraId="04001679" w14:textId="47A79472" w:rsidR="001E6E16" w:rsidRPr="00F4306D" w:rsidRDefault="009E5E72">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Cs w:val="20"/>
              </w:rPr>
            </w:pPr>
            <w:r>
              <w:rPr>
                <w:rFonts w:asciiTheme="minorHAnsi" w:hAnsiTheme="minorHAnsi"/>
                <w:szCs w:val="20"/>
              </w:rPr>
              <w:t xml:space="preserve">Water transfer is not a reportable activity under the NGER Scheme. </w:t>
            </w:r>
          </w:p>
        </w:tc>
      </w:tr>
      <w:tr w:rsidR="00E04C2C" w:rsidRPr="00C64711" w14:paraId="52B8095E" w14:textId="77777777" w:rsidTr="00497855">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63" w:type="pct"/>
          </w:tcPr>
          <w:p w14:paraId="2757F9D5" w14:textId="7F4A6B6B" w:rsidR="001E6E16" w:rsidRPr="00F4306D" w:rsidRDefault="001E6E16">
            <w:pPr>
              <w:pStyle w:val="Body"/>
              <w:ind w:left="0"/>
              <w:rPr>
                <w:rFonts w:asciiTheme="minorHAnsi" w:hAnsiTheme="minorHAnsi"/>
                <w:szCs w:val="20"/>
              </w:rPr>
            </w:pPr>
            <w:r w:rsidRPr="00F4306D">
              <w:rPr>
                <w:rFonts w:asciiTheme="minorHAnsi" w:hAnsiTheme="minorHAnsi"/>
                <w:szCs w:val="20"/>
              </w:rPr>
              <w:t>3</w:t>
            </w:r>
          </w:p>
        </w:tc>
        <w:tc>
          <w:tcPr>
            <w:tcW w:w="649" w:type="pct"/>
            <w:shd w:val="clear" w:color="auto" w:fill="F2F2F2" w:themeFill="background1" w:themeFillShade="F2"/>
          </w:tcPr>
          <w:p w14:paraId="75183B0A" w14:textId="7CBDA2DE" w:rsidR="001E6E16" w:rsidRPr="00F4306D" w:rsidRDefault="001E6E16">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F4306D">
              <w:rPr>
                <w:rFonts w:asciiTheme="minorHAnsi" w:hAnsiTheme="minorHAnsi"/>
                <w:szCs w:val="20"/>
              </w:rPr>
              <w:t>Water turning turbine</w:t>
            </w:r>
          </w:p>
        </w:tc>
        <w:tc>
          <w:tcPr>
            <w:tcW w:w="1033" w:type="pct"/>
          </w:tcPr>
          <w:p w14:paraId="3D9DE698" w14:textId="28F13E9A" w:rsidR="001E6E16" w:rsidRPr="00F4306D" w:rsidRDefault="001E6E16">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F4306D">
              <w:rPr>
                <w:rFonts w:asciiTheme="minorHAnsi" w:hAnsiTheme="minorHAnsi"/>
                <w:szCs w:val="20"/>
              </w:rPr>
              <w:t>None</w:t>
            </w:r>
          </w:p>
        </w:tc>
        <w:tc>
          <w:tcPr>
            <w:tcW w:w="973" w:type="pct"/>
          </w:tcPr>
          <w:p w14:paraId="6DA427B6" w14:textId="6273DB5F" w:rsidR="001E6E16" w:rsidRPr="00F4306D" w:rsidRDefault="001E6E16">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F4306D">
              <w:rPr>
                <w:rFonts w:asciiTheme="minorHAnsi" w:hAnsiTheme="minorHAnsi"/>
                <w:szCs w:val="20"/>
              </w:rPr>
              <w:t>‘Water energy for electricity generation’ is consumed through non-combustion</w:t>
            </w:r>
            <w:r w:rsidR="00E74135">
              <w:rPr>
                <w:rFonts w:asciiTheme="minorHAnsi" w:hAnsiTheme="minorHAnsi"/>
                <w:szCs w:val="20"/>
              </w:rPr>
              <w:t xml:space="preserve"> when water turns a turbine to create electricity. </w:t>
            </w:r>
          </w:p>
        </w:tc>
        <w:tc>
          <w:tcPr>
            <w:tcW w:w="2182" w:type="pct"/>
          </w:tcPr>
          <w:p w14:paraId="4D9470CB" w14:textId="2B4C12BD" w:rsidR="001E6E16" w:rsidRPr="00F4306D" w:rsidRDefault="00A4662F">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Pr>
                <w:rFonts w:asciiTheme="minorHAnsi" w:hAnsiTheme="minorHAnsi"/>
                <w:szCs w:val="20"/>
              </w:rPr>
              <w:t>Th</w:t>
            </w:r>
            <w:r w:rsidR="00303909">
              <w:rPr>
                <w:rFonts w:asciiTheme="minorHAnsi" w:hAnsiTheme="minorHAnsi"/>
                <w:szCs w:val="20"/>
              </w:rPr>
              <w:t>e energy consumption</w:t>
            </w:r>
            <w:r>
              <w:rPr>
                <w:rFonts w:asciiTheme="minorHAnsi" w:hAnsiTheme="minorHAnsi"/>
                <w:szCs w:val="20"/>
              </w:rPr>
              <w:t xml:space="preserve"> activity is automatically generated by EERS whe</w:t>
            </w:r>
            <w:r w:rsidR="00C03D18">
              <w:rPr>
                <w:rFonts w:asciiTheme="minorHAnsi" w:hAnsiTheme="minorHAnsi"/>
                <w:szCs w:val="20"/>
              </w:rPr>
              <w:t xml:space="preserve">n you report </w:t>
            </w:r>
            <w:r w:rsidR="005A0059">
              <w:rPr>
                <w:rFonts w:asciiTheme="minorHAnsi" w:hAnsiTheme="minorHAnsi"/>
                <w:szCs w:val="20"/>
              </w:rPr>
              <w:t>the</w:t>
            </w:r>
            <w:r w:rsidR="00C03D18">
              <w:rPr>
                <w:rFonts w:asciiTheme="minorHAnsi" w:hAnsiTheme="minorHAnsi"/>
                <w:szCs w:val="20"/>
              </w:rPr>
              <w:t xml:space="preserve"> activity for </w:t>
            </w:r>
            <w:r w:rsidR="006D2D6C">
              <w:rPr>
                <w:rFonts w:asciiTheme="minorHAnsi" w:hAnsiTheme="minorHAnsi"/>
                <w:szCs w:val="20"/>
              </w:rPr>
              <w:t>generation of electricity from water</w:t>
            </w:r>
            <w:r w:rsidR="005A0059">
              <w:rPr>
                <w:rFonts w:asciiTheme="minorHAnsi" w:hAnsiTheme="minorHAnsi"/>
                <w:szCs w:val="20"/>
              </w:rPr>
              <w:t xml:space="preserve"> (</w:t>
            </w:r>
            <w:r w:rsidR="002A429A">
              <w:rPr>
                <w:rFonts w:asciiTheme="minorHAnsi" w:hAnsiTheme="minorHAnsi"/>
                <w:szCs w:val="20"/>
              </w:rPr>
              <w:t>process point</w:t>
            </w:r>
            <w:r w:rsidR="005A0059">
              <w:rPr>
                <w:rFonts w:asciiTheme="minorHAnsi" w:hAnsiTheme="minorHAnsi"/>
                <w:szCs w:val="20"/>
              </w:rPr>
              <w:t xml:space="preserve"> 4 below). </w:t>
            </w:r>
            <w:r>
              <w:rPr>
                <w:rFonts w:asciiTheme="minorHAnsi" w:hAnsiTheme="minorHAnsi"/>
                <w:szCs w:val="20"/>
              </w:rPr>
              <w:br/>
            </w:r>
            <w:r w:rsidR="006D2D6C">
              <w:rPr>
                <w:rFonts w:asciiTheme="minorHAnsi" w:hAnsiTheme="minorHAnsi"/>
                <w:szCs w:val="20"/>
              </w:rPr>
              <w:t>S</w:t>
            </w:r>
            <w:r w:rsidR="00D971FE" w:rsidRPr="00F4306D">
              <w:rPr>
                <w:rFonts w:asciiTheme="minorHAnsi" w:hAnsiTheme="minorHAnsi"/>
                <w:szCs w:val="20"/>
              </w:rPr>
              <w:t xml:space="preserve">ee </w:t>
            </w:r>
            <w:hyperlink w:anchor="_Renewable_energy_commodity" w:history="1">
              <w:r w:rsidR="00D971FE">
                <w:rPr>
                  <w:rStyle w:val="Hyperlink"/>
                  <w:rFonts w:asciiTheme="minorHAnsi" w:hAnsiTheme="minorHAnsi"/>
                  <w:sz w:val="20"/>
                  <w:szCs w:val="20"/>
                </w:rPr>
                <w:t>Chapter 7.4</w:t>
              </w:r>
            </w:hyperlink>
            <w:r w:rsidR="00D971FE" w:rsidRPr="00F4306D">
              <w:rPr>
                <w:rFonts w:asciiTheme="minorHAnsi" w:hAnsiTheme="minorHAnsi"/>
                <w:szCs w:val="20"/>
              </w:rPr>
              <w:t xml:space="preserve"> of this guideline</w:t>
            </w:r>
            <w:r w:rsidR="006D2D6C">
              <w:rPr>
                <w:rFonts w:asciiTheme="minorHAnsi" w:hAnsiTheme="minorHAnsi"/>
                <w:szCs w:val="20"/>
              </w:rPr>
              <w:t xml:space="preserve"> for more information</w:t>
            </w:r>
            <w:r w:rsidR="00D971FE">
              <w:rPr>
                <w:rFonts w:asciiTheme="minorHAnsi" w:hAnsiTheme="minorHAnsi"/>
                <w:szCs w:val="20"/>
              </w:rPr>
              <w:t>.</w:t>
            </w:r>
          </w:p>
        </w:tc>
      </w:tr>
      <w:tr w:rsidR="00E04C2C" w:rsidRPr="00C64711" w14:paraId="2AE817FC" w14:textId="77777777" w:rsidTr="00497855">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63" w:type="pct"/>
          </w:tcPr>
          <w:p w14:paraId="794C2B05" w14:textId="00C7BADC" w:rsidR="001E6E16" w:rsidRPr="00F4306D" w:rsidRDefault="001E6E16">
            <w:pPr>
              <w:pStyle w:val="Body"/>
              <w:ind w:left="0"/>
              <w:rPr>
                <w:rFonts w:asciiTheme="minorHAnsi" w:hAnsiTheme="minorHAnsi"/>
                <w:szCs w:val="20"/>
              </w:rPr>
            </w:pPr>
            <w:r w:rsidRPr="00F4306D">
              <w:rPr>
                <w:rFonts w:asciiTheme="minorHAnsi" w:hAnsiTheme="minorHAnsi"/>
                <w:szCs w:val="20"/>
              </w:rPr>
              <w:t>4</w:t>
            </w:r>
          </w:p>
        </w:tc>
        <w:tc>
          <w:tcPr>
            <w:tcW w:w="649" w:type="pct"/>
            <w:shd w:val="clear" w:color="auto" w:fill="F2F2F2" w:themeFill="background1" w:themeFillShade="F2"/>
          </w:tcPr>
          <w:p w14:paraId="7A1B50C7" w14:textId="17555975" w:rsidR="001E6E16" w:rsidRPr="00F4306D" w:rsidRDefault="001E6E16">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Cs w:val="20"/>
              </w:rPr>
            </w:pPr>
            <w:r w:rsidRPr="00F4306D">
              <w:rPr>
                <w:rFonts w:asciiTheme="minorHAnsi" w:hAnsiTheme="minorHAnsi"/>
                <w:szCs w:val="20"/>
              </w:rPr>
              <w:t>Electricity generated</w:t>
            </w:r>
          </w:p>
        </w:tc>
        <w:tc>
          <w:tcPr>
            <w:tcW w:w="1033" w:type="pct"/>
          </w:tcPr>
          <w:p w14:paraId="04F6ED24" w14:textId="2F94B8AD" w:rsidR="001E6E16" w:rsidRPr="00F4306D" w:rsidRDefault="001E6E16">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Cs w:val="20"/>
              </w:rPr>
            </w:pPr>
            <w:r w:rsidRPr="00F4306D">
              <w:rPr>
                <w:rFonts w:asciiTheme="minorHAnsi" w:hAnsiTheme="minorHAnsi"/>
                <w:szCs w:val="20"/>
              </w:rPr>
              <w:t>None</w:t>
            </w:r>
          </w:p>
          <w:p w14:paraId="0FF42186" w14:textId="7BFE2647" w:rsidR="001E6E16" w:rsidRPr="00F4306D" w:rsidRDefault="001E6E16">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Cs w:val="20"/>
              </w:rPr>
            </w:pPr>
            <w:r w:rsidRPr="00F4306D">
              <w:rPr>
                <w:rFonts w:asciiTheme="minorHAnsi" w:hAnsiTheme="minorHAnsi"/>
                <w:szCs w:val="20"/>
              </w:rPr>
              <w:t xml:space="preserve">Electricity is produced from the turbine and generator but is reported in </w:t>
            </w:r>
            <w:r w:rsidR="00DE7521">
              <w:rPr>
                <w:rFonts w:asciiTheme="minorHAnsi" w:hAnsiTheme="minorHAnsi"/>
                <w:szCs w:val="20"/>
              </w:rPr>
              <w:t>process points</w:t>
            </w:r>
            <w:r w:rsidRPr="00F4306D">
              <w:rPr>
                <w:rFonts w:asciiTheme="minorHAnsi" w:hAnsiTheme="minorHAnsi"/>
                <w:szCs w:val="20"/>
              </w:rPr>
              <w:t xml:space="preserve"> 5 to 7.</w:t>
            </w:r>
          </w:p>
        </w:tc>
        <w:tc>
          <w:tcPr>
            <w:tcW w:w="973" w:type="pct"/>
          </w:tcPr>
          <w:p w14:paraId="23B6C1F0" w14:textId="2FBDD99B" w:rsidR="001E6E16" w:rsidRPr="00F4306D" w:rsidRDefault="001E6E16">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Cs w:val="20"/>
              </w:rPr>
            </w:pPr>
            <w:r w:rsidRPr="00F4306D">
              <w:rPr>
                <w:rFonts w:asciiTheme="minorHAnsi" w:hAnsiTheme="minorHAnsi"/>
                <w:szCs w:val="20"/>
              </w:rPr>
              <w:t>None</w:t>
            </w:r>
          </w:p>
        </w:tc>
        <w:tc>
          <w:tcPr>
            <w:tcW w:w="2182" w:type="pct"/>
          </w:tcPr>
          <w:p w14:paraId="353AC6C4" w14:textId="4C6AF373" w:rsidR="001E6E16" w:rsidRPr="00F4306D" w:rsidRDefault="001E6E16">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Cs w:val="20"/>
              </w:rPr>
            </w:pPr>
            <w:r w:rsidRPr="00F4306D">
              <w:rPr>
                <w:rFonts w:asciiTheme="minorHAnsi" w:hAnsiTheme="minorHAnsi"/>
                <w:szCs w:val="20"/>
              </w:rPr>
              <w:t xml:space="preserve">Electricity produced </w:t>
            </w:r>
            <w:r w:rsidRPr="00F4306D" w:rsidDel="005535FB">
              <w:rPr>
                <w:rFonts w:asciiTheme="minorHAnsi" w:hAnsiTheme="minorHAnsi"/>
                <w:szCs w:val="20"/>
              </w:rPr>
              <w:t xml:space="preserve">should </w:t>
            </w:r>
            <w:r w:rsidRPr="00F4306D">
              <w:rPr>
                <w:rFonts w:asciiTheme="minorHAnsi" w:hAnsiTheme="minorHAnsi"/>
                <w:szCs w:val="20"/>
              </w:rPr>
              <w:t xml:space="preserve">be metered at the terminal directly after the turbine - see </w:t>
            </w:r>
            <w:hyperlink w:anchor="_Quantifying_electricity_consumption" w:history="1">
              <w:r w:rsidR="0084437B">
                <w:rPr>
                  <w:rStyle w:val="Hyperlink"/>
                  <w:rFonts w:asciiTheme="minorHAnsi" w:hAnsiTheme="minorHAnsi"/>
                  <w:sz w:val="20"/>
                  <w:szCs w:val="20"/>
                </w:rPr>
                <w:t>Chapter</w:t>
              </w:r>
              <w:r>
                <w:rPr>
                  <w:rStyle w:val="Hyperlink"/>
                  <w:rFonts w:asciiTheme="minorHAnsi" w:hAnsiTheme="minorHAnsi"/>
                  <w:sz w:val="20"/>
                  <w:szCs w:val="20"/>
                </w:rPr>
                <w:t xml:space="preserve"> 7.3.1</w:t>
              </w:r>
            </w:hyperlink>
            <w:r w:rsidRPr="00F4306D">
              <w:rPr>
                <w:rFonts w:asciiTheme="minorHAnsi" w:hAnsiTheme="minorHAnsi"/>
                <w:szCs w:val="20"/>
              </w:rPr>
              <w:t xml:space="preserve"> of this guideline</w:t>
            </w:r>
            <w:r w:rsidR="003227EB">
              <w:rPr>
                <w:rFonts w:asciiTheme="minorHAnsi" w:hAnsiTheme="minorHAnsi"/>
                <w:szCs w:val="20"/>
              </w:rPr>
              <w:t>.</w:t>
            </w:r>
          </w:p>
        </w:tc>
      </w:tr>
      <w:tr w:rsidR="00E04C2C" w:rsidRPr="00C64711" w14:paraId="39CD617D" w14:textId="77777777" w:rsidTr="00497855">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63" w:type="pct"/>
          </w:tcPr>
          <w:p w14:paraId="24ECDCAA" w14:textId="74B37801" w:rsidR="001E6E16" w:rsidRPr="00F4306D" w:rsidRDefault="001E6E16">
            <w:pPr>
              <w:pStyle w:val="Body"/>
              <w:ind w:left="0"/>
              <w:rPr>
                <w:rFonts w:asciiTheme="minorHAnsi" w:hAnsiTheme="minorHAnsi"/>
                <w:szCs w:val="20"/>
              </w:rPr>
            </w:pPr>
            <w:r w:rsidRPr="00F4306D">
              <w:rPr>
                <w:rFonts w:asciiTheme="minorHAnsi" w:hAnsiTheme="minorHAnsi"/>
                <w:szCs w:val="20"/>
              </w:rPr>
              <w:t>5</w:t>
            </w:r>
          </w:p>
        </w:tc>
        <w:tc>
          <w:tcPr>
            <w:tcW w:w="649" w:type="pct"/>
            <w:shd w:val="clear" w:color="auto" w:fill="F2F2F2" w:themeFill="background1" w:themeFillShade="F2"/>
          </w:tcPr>
          <w:p w14:paraId="2DDA2F7D" w14:textId="08A1AE5C" w:rsidR="001E6E16" w:rsidRPr="00F4306D" w:rsidRDefault="001E6E16">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F4306D">
              <w:rPr>
                <w:rFonts w:asciiTheme="minorHAnsi" w:hAnsiTheme="minorHAnsi"/>
                <w:szCs w:val="20"/>
              </w:rPr>
              <w:t>Electricity consumed by plant</w:t>
            </w:r>
          </w:p>
        </w:tc>
        <w:tc>
          <w:tcPr>
            <w:tcW w:w="1033" w:type="pct"/>
            <w:vMerge w:val="restart"/>
          </w:tcPr>
          <w:p w14:paraId="265C9E10" w14:textId="54DAC9B8" w:rsidR="001E6E16" w:rsidRPr="00F4306D" w:rsidRDefault="001E6E16">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F4306D">
              <w:rPr>
                <w:rFonts w:asciiTheme="minorHAnsi" w:hAnsiTheme="minorHAnsi"/>
                <w:szCs w:val="20"/>
              </w:rPr>
              <w:t>Electricity produced ‘for use for the purpose of the operation of the facility’</w:t>
            </w:r>
            <w:r w:rsidR="00764D06">
              <w:rPr>
                <w:rFonts w:asciiTheme="minorHAnsi" w:hAnsiTheme="minorHAnsi"/>
                <w:szCs w:val="20"/>
              </w:rPr>
              <w:t>.</w:t>
            </w:r>
          </w:p>
          <w:p w14:paraId="4A288283" w14:textId="63878020" w:rsidR="001E6E16" w:rsidRPr="00F4306D" w:rsidRDefault="001E6E16">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973" w:type="pct"/>
            <w:vMerge w:val="restart"/>
          </w:tcPr>
          <w:p w14:paraId="714428FD" w14:textId="6B44AA10" w:rsidR="00E31070" w:rsidRPr="00F4306D" w:rsidRDefault="00CD3ABB" w:rsidP="00CD3ABB">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D43A6D">
              <w:rPr>
                <w:rFonts w:asciiTheme="minorHAnsi" w:hAnsiTheme="minorHAnsi"/>
                <w:szCs w:val="20"/>
              </w:rPr>
              <w:t>Consumption of the e</w:t>
            </w:r>
            <w:r w:rsidR="001E6E16" w:rsidRPr="00BD2610">
              <w:rPr>
                <w:rFonts w:asciiTheme="minorHAnsi" w:hAnsiTheme="minorHAnsi"/>
                <w:szCs w:val="20"/>
              </w:rPr>
              <w:t>lectricity produc</w:t>
            </w:r>
            <w:r w:rsidR="00813651" w:rsidRPr="00D43A6D">
              <w:rPr>
                <w:rFonts w:asciiTheme="minorHAnsi" w:hAnsiTheme="minorHAnsi"/>
                <w:szCs w:val="20"/>
              </w:rPr>
              <w:t>ed</w:t>
            </w:r>
            <w:r w:rsidR="001E6E16" w:rsidRPr="00BD2610">
              <w:rPr>
                <w:rFonts w:asciiTheme="minorHAnsi" w:hAnsiTheme="minorHAnsi"/>
                <w:szCs w:val="20"/>
              </w:rPr>
              <w:t xml:space="preserve"> </w:t>
            </w:r>
            <w:r w:rsidR="00813651" w:rsidRPr="00EF69A0">
              <w:rPr>
                <w:rFonts w:asciiTheme="minorHAnsi" w:hAnsiTheme="minorHAnsi"/>
                <w:szCs w:val="20"/>
              </w:rPr>
              <w:t>‘</w:t>
            </w:r>
            <w:r w:rsidR="001E6E16" w:rsidRPr="00BD2610">
              <w:rPr>
                <w:rFonts w:asciiTheme="minorHAnsi" w:hAnsiTheme="minorHAnsi"/>
                <w:szCs w:val="20"/>
              </w:rPr>
              <w:t>for use onsite</w:t>
            </w:r>
            <w:r w:rsidR="002846EA" w:rsidRPr="00BD2610">
              <w:rPr>
                <w:rFonts w:asciiTheme="minorHAnsi" w:hAnsiTheme="minorHAnsi"/>
                <w:szCs w:val="20"/>
              </w:rPr>
              <w:t>’</w:t>
            </w:r>
            <w:r w:rsidR="001E3DC6" w:rsidRPr="00BD2610">
              <w:rPr>
                <w:rFonts w:asciiTheme="minorHAnsi" w:hAnsiTheme="minorHAnsi"/>
                <w:szCs w:val="20"/>
              </w:rPr>
              <w:t>.</w:t>
            </w:r>
          </w:p>
          <w:p w14:paraId="65A3E946" w14:textId="52A9219E" w:rsidR="001E6E16" w:rsidRPr="00F4306D" w:rsidRDefault="001E6E16">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p>
        </w:tc>
        <w:tc>
          <w:tcPr>
            <w:tcW w:w="2182" w:type="pct"/>
            <w:vMerge w:val="restart"/>
          </w:tcPr>
          <w:p w14:paraId="0947B801" w14:textId="68021C46" w:rsidR="008F1D1A" w:rsidRDefault="001E6E16">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F4306D">
              <w:rPr>
                <w:rFonts w:asciiTheme="minorHAnsi" w:hAnsiTheme="minorHAnsi"/>
                <w:szCs w:val="20"/>
              </w:rPr>
              <w:t xml:space="preserve">Own produced electricity consumed by own facility should be calculated as per </w:t>
            </w:r>
            <w:hyperlink w:anchor="_Quantifying_electricity_consumption" w:history="1">
              <w:r w:rsidR="0084437B">
                <w:rPr>
                  <w:rStyle w:val="Hyperlink"/>
                  <w:rFonts w:asciiTheme="minorHAnsi" w:hAnsiTheme="minorHAnsi"/>
                  <w:sz w:val="20"/>
                  <w:szCs w:val="20"/>
                </w:rPr>
                <w:t>Chapter 7.3.1</w:t>
              </w:r>
            </w:hyperlink>
            <w:r w:rsidRPr="00F4306D">
              <w:rPr>
                <w:rFonts w:asciiTheme="minorHAnsi" w:hAnsiTheme="minorHAnsi"/>
                <w:szCs w:val="20"/>
              </w:rPr>
              <w:t xml:space="preserve"> of this guideline</w:t>
            </w:r>
            <w:r w:rsidR="003227EB">
              <w:rPr>
                <w:rFonts w:asciiTheme="minorHAnsi" w:hAnsiTheme="minorHAnsi"/>
                <w:szCs w:val="20"/>
              </w:rPr>
              <w:t>.</w:t>
            </w:r>
          </w:p>
          <w:p w14:paraId="29BF0D08" w14:textId="0312484B" w:rsidR="001E6E16" w:rsidRDefault="001E6E16">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F4306D">
              <w:rPr>
                <w:rFonts w:asciiTheme="minorHAnsi" w:hAnsiTheme="minorHAnsi"/>
                <w:szCs w:val="20"/>
              </w:rPr>
              <w:t xml:space="preserve">All produced electricity that is consumed or lost between production at the terminals </w:t>
            </w:r>
            <w:r w:rsidR="00EF4CB5">
              <w:rPr>
                <w:rFonts w:asciiTheme="minorHAnsi" w:hAnsiTheme="minorHAnsi"/>
                <w:szCs w:val="20"/>
              </w:rPr>
              <w:t xml:space="preserve">(number 4) </w:t>
            </w:r>
            <w:r w:rsidRPr="00F4306D">
              <w:rPr>
                <w:rFonts w:asciiTheme="minorHAnsi" w:hAnsiTheme="minorHAnsi"/>
                <w:szCs w:val="20"/>
              </w:rPr>
              <w:t xml:space="preserve">and delivered to network </w:t>
            </w:r>
            <w:r w:rsidR="00EF4CB5">
              <w:rPr>
                <w:rFonts w:asciiTheme="minorHAnsi" w:hAnsiTheme="minorHAnsi"/>
                <w:szCs w:val="20"/>
              </w:rPr>
              <w:t xml:space="preserve">(number 7) </w:t>
            </w:r>
            <w:r w:rsidRPr="00F4306D" w:rsidDel="005D1712">
              <w:rPr>
                <w:rFonts w:asciiTheme="minorHAnsi" w:hAnsiTheme="minorHAnsi"/>
                <w:szCs w:val="20"/>
              </w:rPr>
              <w:t xml:space="preserve">should </w:t>
            </w:r>
            <w:r w:rsidRPr="00F4306D">
              <w:rPr>
                <w:rFonts w:asciiTheme="minorHAnsi" w:hAnsiTheme="minorHAnsi"/>
                <w:szCs w:val="20"/>
              </w:rPr>
              <w:t xml:space="preserve">be reported as </w:t>
            </w:r>
            <w:r w:rsidR="00EF4CB5">
              <w:rPr>
                <w:rFonts w:asciiTheme="minorHAnsi" w:hAnsiTheme="minorHAnsi"/>
                <w:szCs w:val="20"/>
              </w:rPr>
              <w:t xml:space="preserve">electricity </w:t>
            </w:r>
            <w:r w:rsidR="00ED25E5">
              <w:rPr>
                <w:rFonts w:asciiTheme="minorHAnsi" w:hAnsiTheme="minorHAnsi"/>
                <w:szCs w:val="20"/>
              </w:rPr>
              <w:t>(water generation)</w:t>
            </w:r>
            <w:r w:rsidR="00EF4CB5">
              <w:rPr>
                <w:rFonts w:asciiTheme="minorHAnsi" w:hAnsiTheme="minorHAnsi"/>
                <w:szCs w:val="20"/>
              </w:rPr>
              <w:t xml:space="preserve"> ‘for use onsite’. </w:t>
            </w:r>
          </w:p>
          <w:p w14:paraId="11DF2CFB" w14:textId="1EB0FED5" w:rsidR="001E6E16" w:rsidRPr="00F4306D" w:rsidRDefault="008F1D1A">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Pr>
                <w:rFonts w:asciiTheme="minorHAnsi" w:hAnsiTheme="minorHAnsi"/>
                <w:szCs w:val="20"/>
              </w:rPr>
              <w:t>The</w:t>
            </w:r>
            <w:r w:rsidR="009716B0">
              <w:rPr>
                <w:rFonts w:asciiTheme="minorHAnsi" w:hAnsiTheme="minorHAnsi"/>
                <w:szCs w:val="20"/>
              </w:rPr>
              <w:t xml:space="preserve"> associated</w:t>
            </w:r>
            <w:r>
              <w:rPr>
                <w:rFonts w:asciiTheme="minorHAnsi" w:hAnsiTheme="minorHAnsi"/>
                <w:szCs w:val="20"/>
              </w:rPr>
              <w:t xml:space="preserve"> energy consumption activity is automatically generated</w:t>
            </w:r>
            <w:r w:rsidR="001E6E16">
              <w:rPr>
                <w:rFonts w:asciiTheme="minorHAnsi" w:hAnsiTheme="minorHAnsi"/>
                <w:szCs w:val="20"/>
              </w:rPr>
              <w:t xml:space="preserve"> by </w:t>
            </w:r>
            <w:r>
              <w:rPr>
                <w:rFonts w:asciiTheme="minorHAnsi" w:hAnsiTheme="minorHAnsi"/>
                <w:szCs w:val="20"/>
              </w:rPr>
              <w:t xml:space="preserve">EERS when you report the activity for generation of electricity </w:t>
            </w:r>
            <w:r w:rsidR="00ED25E5">
              <w:rPr>
                <w:rFonts w:asciiTheme="minorHAnsi" w:hAnsiTheme="minorHAnsi"/>
                <w:szCs w:val="20"/>
              </w:rPr>
              <w:t>(water generation)</w:t>
            </w:r>
            <w:r>
              <w:rPr>
                <w:rFonts w:asciiTheme="minorHAnsi" w:hAnsiTheme="minorHAnsi"/>
                <w:szCs w:val="20"/>
              </w:rPr>
              <w:t xml:space="preserve"> ‘for use onsite’.</w:t>
            </w:r>
          </w:p>
        </w:tc>
      </w:tr>
      <w:tr w:rsidR="00E04C2C" w:rsidRPr="00C64711" w14:paraId="477E7FB0" w14:textId="77777777" w:rsidTr="00497855">
        <w:trPr>
          <w:cnfStyle w:val="000000010000" w:firstRow="0" w:lastRow="0" w:firstColumn="0" w:lastColumn="0" w:oddVBand="0" w:evenVBand="0" w:oddHBand="0" w:evenHBand="1"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63" w:type="pct"/>
            <w:tcBorders>
              <w:bottom w:val="single" w:sz="8" w:space="0" w:color="E8E8E8" w:themeColor="background2"/>
            </w:tcBorders>
          </w:tcPr>
          <w:p w14:paraId="1721DD1E" w14:textId="2A25F69A" w:rsidR="001E6E16" w:rsidRPr="00F4306D" w:rsidRDefault="001E6E16">
            <w:pPr>
              <w:pStyle w:val="Body"/>
              <w:ind w:left="0"/>
              <w:rPr>
                <w:rFonts w:asciiTheme="minorHAnsi" w:hAnsiTheme="minorHAnsi"/>
                <w:szCs w:val="20"/>
              </w:rPr>
            </w:pPr>
            <w:r w:rsidRPr="00F4306D">
              <w:rPr>
                <w:rFonts w:asciiTheme="minorHAnsi" w:hAnsiTheme="minorHAnsi"/>
                <w:szCs w:val="20"/>
              </w:rPr>
              <w:t>6</w:t>
            </w:r>
          </w:p>
        </w:tc>
        <w:tc>
          <w:tcPr>
            <w:tcW w:w="649" w:type="pct"/>
            <w:tcBorders>
              <w:bottom w:val="single" w:sz="8" w:space="0" w:color="E8E8E8" w:themeColor="background2"/>
            </w:tcBorders>
            <w:shd w:val="clear" w:color="auto" w:fill="F2F2F2" w:themeFill="background1" w:themeFillShade="F2"/>
          </w:tcPr>
          <w:p w14:paraId="092C802C" w14:textId="6FF8678F" w:rsidR="001E6E16" w:rsidRPr="00F4306D" w:rsidRDefault="001E6E16">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Cs w:val="20"/>
              </w:rPr>
            </w:pPr>
            <w:r w:rsidRPr="00F4306D">
              <w:rPr>
                <w:rFonts w:asciiTheme="minorHAnsi" w:hAnsiTheme="minorHAnsi"/>
                <w:szCs w:val="20"/>
              </w:rPr>
              <w:t>Transmission line losses</w:t>
            </w:r>
          </w:p>
        </w:tc>
        <w:tc>
          <w:tcPr>
            <w:tcW w:w="1033" w:type="pct"/>
            <w:vMerge/>
            <w:tcBorders>
              <w:bottom w:val="single" w:sz="8" w:space="0" w:color="E8E8E8" w:themeColor="background2"/>
            </w:tcBorders>
          </w:tcPr>
          <w:p w14:paraId="0B3DDB46" w14:textId="27A9C1ED" w:rsidR="001E6E16" w:rsidRPr="00F4306D" w:rsidRDefault="001E6E16">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Cs w:val="20"/>
              </w:rPr>
            </w:pPr>
          </w:p>
        </w:tc>
        <w:tc>
          <w:tcPr>
            <w:tcW w:w="973" w:type="pct"/>
            <w:vMerge/>
            <w:tcBorders>
              <w:bottom w:val="single" w:sz="8" w:space="0" w:color="E8E8E8" w:themeColor="background2"/>
            </w:tcBorders>
          </w:tcPr>
          <w:p w14:paraId="5F11C440" w14:textId="36816702" w:rsidR="001E6E16" w:rsidRPr="00F4306D" w:rsidRDefault="001E6E16">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Cs w:val="20"/>
              </w:rPr>
            </w:pPr>
          </w:p>
        </w:tc>
        <w:tc>
          <w:tcPr>
            <w:tcW w:w="2182" w:type="pct"/>
            <w:vMerge/>
            <w:tcBorders>
              <w:bottom w:val="single" w:sz="8" w:space="0" w:color="E8E8E8" w:themeColor="background2"/>
            </w:tcBorders>
          </w:tcPr>
          <w:p w14:paraId="47A2B174" w14:textId="1D597D43" w:rsidR="001E6E16" w:rsidRPr="00F4306D" w:rsidRDefault="001E6E16">
            <w:pPr>
              <w:pStyle w:val="Body"/>
              <w:ind w:left="0"/>
              <w:cnfStyle w:val="000000010000" w:firstRow="0" w:lastRow="0" w:firstColumn="0" w:lastColumn="0" w:oddVBand="0" w:evenVBand="0" w:oddHBand="0" w:evenHBand="1" w:firstRowFirstColumn="0" w:firstRowLastColumn="0" w:lastRowFirstColumn="0" w:lastRowLastColumn="0"/>
              <w:rPr>
                <w:rFonts w:asciiTheme="minorHAnsi" w:hAnsiTheme="minorHAnsi"/>
                <w:szCs w:val="20"/>
              </w:rPr>
            </w:pPr>
          </w:p>
        </w:tc>
      </w:tr>
      <w:tr w:rsidR="00E04C2C" w:rsidRPr="00C64711" w14:paraId="63396470" w14:textId="77777777" w:rsidTr="00497855">
        <w:trPr>
          <w:cnfStyle w:val="000000100000" w:firstRow="0" w:lastRow="0" w:firstColumn="0" w:lastColumn="0" w:oddVBand="0" w:evenVBand="0" w:oddHBand="1" w:evenHBand="0" w:firstRowFirstColumn="0" w:firstRowLastColumn="0" w:lastRowFirstColumn="0" w:lastRowLastColumn="0"/>
          <w:trHeight w:val="18"/>
        </w:trPr>
        <w:tc>
          <w:tcPr>
            <w:cnfStyle w:val="001000000000" w:firstRow="0" w:lastRow="0" w:firstColumn="1" w:lastColumn="0" w:oddVBand="0" w:evenVBand="0" w:oddHBand="0" w:evenHBand="0" w:firstRowFirstColumn="0" w:firstRowLastColumn="0" w:lastRowFirstColumn="0" w:lastRowLastColumn="0"/>
            <w:tcW w:w="163" w:type="pct"/>
            <w:tcBorders>
              <w:top w:val="single" w:sz="8" w:space="0" w:color="E8E8E8" w:themeColor="background2"/>
              <w:bottom w:val="single" w:sz="4" w:space="0" w:color="FCBA5C" w:themeColor="accent2"/>
            </w:tcBorders>
          </w:tcPr>
          <w:p w14:paraId="5AF566E4" w14:textId="2B60747C" w:rsidR="001E6E16" w:rsidRPr="008565C3" w:rsidRDefault="001E6E16">
            <w:pPr>
              <w:pStyle w:val="Body"/>
              <w:ind w:left="0"/>
              <w:rPr>
                <w:rFonts w:asciiTheme="minorHAnsi" w:hAnsiTheme="minorHAnsi"/>
                <w:szCs w:val="20"/>
              </w:rPr>
            </w:pPr>
            <w:r w:rsidRPr="008565C3">
              <w:rPr>
                <w:rFonts w:asciiTheme="minorHAnsi" w:hAnsiTheme="minorHAnsi"/>
                <w:szCs w:val="20"/>
              </w:rPr>
              <w:t>7</w:t>
            </w:r>
          </w:p>
        </w:tc>
        <w:tc>
          <w:tcPr>
            <w:tcW w:w="649" w:type="pct"/>
            <w:tcBorders>
              <w:top w:val="single" w:sz="8" w:space="0" w:color="E8E8E8" w:themeColor="background2"/>
              <w:bottom w:val="single" w:sz="4" w:space="0" w:color="FCBA5C" w:themeColor="accent2"/>
            </w:tcBorders>
            <w:shd w:val="clear" w:color="auto" w:fill="F2F2F2" w:themeFill="background1" w:themeFillShade="F2"/>
          </w:tcPr>
          <w:p w14:paraId="13791E82" w14:textId="6D7B6098" w:rsidR="001E6E16" w:rsidRPr="008565C3" w:rsidRDefault="001E6E16">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8565C3">
              <w:rPr>
                <w:rFonts w:asciiTheme="minorHAnsi" w:hAnsiTheme="minorHAnsi"/>
                <w:szCs w:val="20"/>
              </w:rPr>
              <w:t>Electricity transferred to an electricity network</w:t>
            </w:r>
          </w:p>
        </w:tc>
        <w:tc>
          <w:tcPr>
            <w:tcW w:w="1033" w:type="pct"/>
            <w:tcBorders>
              <w:top w:val="single" w:sz="8" w:space="0" w:color="E8E8E8" w:themeColor="background2"/>
              <w:bottom w:val="single" w:sz="4" w:space="0" w:color="FCBA5C" w:themeColor="accent2"/>
            </w:tcBorders>
          </w:tcPr>
          <w:p w14:paraId="2894275C" w14:textId="210993A0" w:rsidR="00497855" w:rsidRPr="008565C3" w:rsidRDefault="001E6E16">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8565C3">
              <w:rPr>
                <w:rFonts w:asciiTheme="minorHAnsi" w:hAnsiTheme="minorHAnsi"/>
                <w:szCs w:val="20"/>
              </w:rPr>
              <w:t>Electricity produced ‘for use outside the operation of the facility for supply to an electricity transmission or distribution network’</w:t>
            </w:r>
            <w:r w:rsidR="003227EB">
              <w:rPr>
                <w:rFonts w:asciiTheme="minorHAnsi" w:hAnsiTheme="minorHAnsi"/>
                <w:szCs w:val="20"/>
              </w:rPr>
              <w:t>.</w:t>
            </w:r>
          </w:p>
        </w:tc>
        <w:tc>
          <w:tcPr>
            <w:tcW w:w="973" w:type="pct"/>
            <w:tcBorders>
              <w:top w:val="single" w:sz="8" w:space="0" w:color="E8E8E8" w:themeColor="background2"/>
              <w:bottom w:val="single" w:sz="4" w:space="0" w:color="FCBA5C" w:themeColor="accent2"/>
            </w:tcBorders>
          </w:tcPr>
          <w:p w14:paraId="56B6CEDC" w14:textId="07E7C9CC" w:rsidR="001E6E16" w:rsidRPr="008565C3" w:rsidRDefault="001E6E16">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8565C3">
              <w:rPr>
                <w:rFonts w:asciiTheme="minorHAnsi" w:hAnsiTheme="minorHAnsi"/>
                <w:szCs w:val="20"/>
              </w:rPr>
              <w:t>None</w:t>
            </w:r>
          </w:p>
        </w:tc>
        <w:tc>
          <w:tcPr>
            <w:tcW w:w="2182" w:type="pct"/>
            <w:tcBorders>
              <w:top w:val="single" w:sz="8" w:space="0" w:color="E8E8E8" w:themeColor="background2"/>
              <w:bottom w:val="single" w:sz="4" w:space="0" w:color="FCBA5C" w:themeColor="accent2"/>
            </w:tcBorders>
          </w:tcPr>
          <w:p w14:paraId="3E2AB0FA" w14:textId="59C5777F" w:rsidR="001E6E16" w:rsidRPr="00D2141E" w:rsidRDefault="001E6E16">
            <w:pPr>
              <w:pStyle w:val="Body"/>
              <w:ind w:left="0"/>
              <w:cnfStyle w:val="000000100000" w:firstRow="0" w:lastRow="0" w:firstColumn="0" w:lastColumn="0" w:oddVBand="0" w:evenVBand="0" w:oddHBand="1" w:evenHBand="0" w:firstRowFirstColumn="0" w:firstRowLastColumn="0" w:lastRowFirstColumn="0" w:lastRowLastColumn="0"/>
              <w:rPr>
                <w:rFonts w:asciiTheme="minorHAnsi" w:hAnsiTheme="minorHAnsi"/>
                <w:szCs w:val="20"/>
              </w:rPr>
            </w:pPr>
            <w:r w:rsidRPr="008565C3">
              <w:rPr>
                <w:rFonts w:asciiTheme="minorHAnsi" w:hAnsiTheme="minorHAnsi"/>
                <w:szCs w:val="20"/>
              </w:rPr>
              <w:t xml:space="preserve">Electricity transferred to the electricity network must be metered at the network connection point by the distributor - see </w:t>
            </w:r>
            <w:hyperlink w:anchor="_Quantifying_electricity_consumption" w:history="1">
              <w:r w:rsidR="0084437B">
                <w:rPr>
                  <w:rStyle w:val="Hyperlink"/>
                  <w:rFonts w:asciiTheme="minorHAnsi" w:hAnsiTheme="minorHAnsi"/>
                  <w:sz w:val="20"/>
                  <w:szCs w:val="20"/>
                </w:rPr>
                <w:t>Chapter 7.3.1</w:t>
              </w:r>
            </w:hyperlink>
            <w:r w:rsidRPr="00D2141E">
              <w:rPr>
                <w:rFonts w:asciiTheme="minorHAnsi" w:hAnsiTheme="minorHAnsi"/>
                <w:szCs w:val="20"/>
              </w:rPr>
              <w:t xml:space="preserve"> of this guideline</w:t>
            </w:r>
            <w:r w:rsidR="003227EB">
              <w:rPr>
                <w:rFonts w:asciiTheme="minorHAnsi" w:hAnsiTheme="minorHAnsi"/>
                <w:szCs w:val="20"/>
              </w:rPr>
              <w:t>.</w:t>
            </w:r>
          </w:p>
        </w:tc>
      </w:tr>
    </w:tbl>
    <w:p w14:paraId="34C3E82A" w14:textId="408F7ACF" w:rsidR="00A57A5C" w:rsidRDefault="00A57A5C" w:rsidP="0086263A">
      <w:pPr>
        <w:tabs>
          <w:tab w:val="left" w:pos="2495"/>
        </w:tabs>
      </w:pPr>
    </w:p>
    <w:sectPr w:rsidR="00A57A5C" w:rsidSect="00D2141E">
      <w:headerReference w:type="default" r:id="rId80"/>
      <w:headerReference w:type="first" r:id="rId81"/>
      <w:pgSz w:w="11900" w:h="16840" w:code="9"/>
      <w:pgMar w:top="889" w:right="1080" w:bottom="993" w:left="1080" w:header="397" w:footer="113"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3D3FA7" w14:textId="77777777" w:rsidR="00A04E32" w:rsidRDefault="00A04E32" w:rsidP="00176C28">
      <w:r>
        <w:separator/>
      </w:r>
    </w:p>
    <w:p w14:paraId="5ABFBF3C" w14:textId="77777777" w:rsidR="00A04E32" w:rsidRDefault="00A04E32"/>
  </w:endnote>
  <w:endnote w:type="continuationSeparator" w:id="0">
    <w:p w14:paraId="040C742E" w14:textId="77777777" w:rsidR="00A04E32" w:rsidRDefault="00A04E32" w:rsidP="00176C28">
      <w:r>
        <w:continuationSeparator/>
      </w:r>
    </w:p>
    <w:p w14:paraId="6CD1C194" w14:textId="77777777" w:rsidR="00A04E32" w:rsidRDefault="00A04E32"/>
  </w:endnote>
  <w:endnote w:type="continuationNotice" w:id="1">
    <w:p w14:paraId="7A0E86D6" w14:textId="77777777" w:rsidR="00A04E32" w:rsidRDefault="00A04E3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Body)">
    <w:altName w:val="Calibri"/>
    <w:panose1 w:val="00000000000000000000"/>
    <w:charset w:val="00"/>
    <w:family w:val="roman"/>
    <w:notTrueType/>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gLiU_HKSCS-ExtB">
    <w:charset w:val="88"/>
    <w:family w:val="roman"/>
    <w:pitch w:val="variable"/>
    <w:sig w:usb0="8000002F" w:usb1="0A080008" w:usb2="00000010" w:usb3="00000000" w:csb0="00100001" w:csb1="00000000"/>
  </w:font>
  <w:font w:name="Consolas">
    <w:panose1 w:val="020B0609020204030204"/>
    <w:charset w:val="00"/>
    <w:family w:val="roman"/>
    <w:notTrueType/>
    <w:pitch w:val="default"/>
  </w:font>
  <w:font w:name="ZWAdobeF">
    <w:panose1 w:val="00000000000000000000"/>
    <w:charset w:val="00"/>
    <w:family w:val="auto"/>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A1920" w14:textId="040D060B" w:rsidR="009633DE" w:rsidRDefault="009633D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02A7BEB" w14:textId="105A5E38" w:rsidR="00977234" w:rsidRDefault="00977234" w:rsidP="009633DE">
    <w:pPr>
      <w:pStyle w:val="Footer"/>
      <w:ind w:right="360"/>
      <w:rPr>
        <w:rStyle w:val="PageNumber"/>
      </w:rPr>
    </w:pPr>
  </w:p>
  <w:p w14:paraId="302821B3" w14:textId="77777777" w:rsidR="00977234" w:rsidRDefault="00977234" w:rsidP="009633DE">
    <w:pPr>
      <w:pStyle w:val="Footer"/>
    </w:pPr>
  </w:p>
  <w:p w14:paraId="4C431A8C" w14:textId="77777777" w:rsidR="006C58B9" w:rsidRDefault="006C58B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0A98D" w14:textId="24FEF91C" w:rsidR="006E3CA9" w:rsidRPr="00E613C9" w:rsidRDefault="004B7C7E" w:rsidP="00C73199">
    <w:pPr>
      <w:pStyle w:val="Footer"/>
      <w:tabs>
        <w:tab w:val="clear" w:pos="2694"/>
        <w:tab w:val="clear" w:pos="3969"/>
        <w:tab w:val="clear" w:pos="6946"/>
        <w:tab w:val="clear" w:pos="9498"/>
        <w:tab w:val="center" w:pos="9639"/>
      </w:tabs>
      <w:spacing w:before="360" w:after="0"/>
      <w:ind w:left="0"/>
      <w:rPr>
        <w:rStyle w:val="Protectivemarker"/>
        <w:b w:val="0"/>
        <w:color w:val="000000" w:themeColor="text1"/>
        <w:sz w:val="18"/>
        <w:szCs w:val="18"/>
      </w:rPr>
    </w:pPr>
    <w:r w:rsidRPr="002D18F3">
      <w:rPr>
        <w:b/>
        <w:bCs/>
      </w:rPr>
      <w:t>W:</w:t>
    </w:r>
    <w:r w:rsidRPr="002D18F3">
      <w:t xml:space="preserve"> www.c</w:t>
    </w:r>
    <w:r>
      <w:t>e</w:t>
    </w:r>
    <w:r w:rsidRPr="002D18F3">
      <w:t>r.gov.au</w:t>
    </w:r>
    <w:r w:rsidRPr="002D18F3">
      <w:rPr>
        <w:rStyle w:val="PageNumber"/>
      </w:rPr>
      <w:t xml:space="preserve"> | </w:t>
    </w:r>
    <w:r w:rsidRPr="002D18F3">
      <w:rPr>
        <w:rStyle w:val="PageNumber"/>
        <w:b/>
        <w:bCs/>
      </w:rPr>
      <w:t>T:</w:t>
    </w:r>
    <w:r w:rsidRPr="002D18F3">
      <w:rPr>
        <w:rStyle w:val="PageNumber"/>
      </w:rPr>
      <w:t xml:space="preserve"> 1300 553 542 | </w:t>
    </w:r>
    <w:r w:rsidRPr="002D18F3">
      <w:rPr>
        <w:rStyle w:val="PageNumber"/>
        <w:b/>
        <w:bCs/>
      </w:rPr>
      <w:t>E:</w:t>
    </w:r>
    <w:r w:rsidRPr="002D18F3">
      <w:rPr>
        <w:rStyle w:val="PageNumber"/>
      </w:rPr>
      <w:t xml:space="preserve"> enquiries@c</w:t>
    </w:r>
    <w:r>
      <w:rPr>
        <w:rStyle w:val="PageNumber"/>
      </w:rPr>
      <w:t>e</w:t>
    </w:r>
    <w:r w:rsidRPr="002D18F3">
      <w:rPr>
        <w:rStyle w:val="PageNumber"/>
      </w:rPr>
      <w:t>r.gov.au</w:t>
    </w:r>
    <w:r>
      <w:rPr>
        <w:rStyle w:val="PageNumber"/>
      </w:rPr>
      <w:tab/>
    </w:r>
    <w:sdt>
      <w:sdtPr>
        <w:rPr>
          <w:rStyle w:val="PageNumber"/>
        </w:rPr>
        <w:id w:val="1532384742"/>
        <w:docPartObj>
          <w:docPartGallery w:val="Page Numbers (Bottom of Page)"/>
          <w:docPartUnique/>
        </w:docPartObj>
      </w:sdtPr>
      <w:sdtEndPr>
        <w:rPr>
          <w:rStyle w:val="PageNumber"/>
          <w:sz w:val="20"/>
          <w:szCs w:val="20"/>
        </w:rPr>
      </w:sdtEndPr>
      <w:sdtContent>
        <w:r w:rsidR="006E3CA9" w:rsidRPr="00E349EF">
          <w:rPr>
            <w:rStyle w:val="PageNumber"/>
            <w:sz w:val="20"/>
            <w:szCs w:val="20"/>
          </w:rPr>
          <w:fldChar w:fldCharType="begin"/>
        </w:r>
        <w:r w:rsidR="006E3CA9" w:rsidRPr="00E349EF">
          <w:rPr>
            <w:rStyle w:val="PageNumber"/>
            <w:sz w:val="20"/>
            <w:szCs w:val="20"/>
          </w:rPr>
          <w:instrText xml:space="preserve"> PAGE </w:instrText>
        </w:r>
        <w:r w:rsidR="006E3CA9" w:rsidRPr="00E349EF">
          <w:rPr>
            <w:rStyle w:val="PageNumber"/>
            <w:sz w:val="20"/>
            <w:szCs w:val="20"/>
          </w:rPr>
          <w:fldChar w:fldCharType="separate"/>
        </w:r>
        <w:r>
          <w:rPr>
            <w:rStyle w:val="PageNumber"/>
            <w:sz w:val="20"/>
            <w:szCs w:val="20"/>
          </w:rPr>
          <w:t>2</w:t>
        </w:r>
        <w:r w:rsidR="006E3CA9" w:rsidRPr="00E349EF">
          <w:rPr>
            <w:rStyle w:val="PageNumber"/>
            <w:sz w:val="20"/>
            <w:szCs w:val="20"/>
          </w:rPr>
          <w:fldChar w:fldCharType="end"/>
        </w:r>
      </w:sdtContent>
    </w:sdt>
  </w:p>
  <w:p w14:paraId="788087B7" w14:textId="65C7F1D2" w:rsidR="00F76419" w:rsidRPr="009633DE" w:rsidRDefault="004B7C7E" w:rsidP="004B7C7E">
    <w:pPr>
      <w:pStyle w:val="Footer"/>
      <w:spacing w:before="60"/>
      <w:ind w:left="0"/>
      <w:jc w:val="center"/>
      <w:rPr>
        <w:rStyle w:val="Protectivemarker"/>
      </w:rPr>
    </w:pPr>
    <w:r w:rsidRPr="004B7C7E">
      <w:rPr>
        <w:rStyle w:val="Protectivemarker"/>
        <w:bCs/>
        <w:sz w:val="28"/>
        <w:szCs w:val="28"/>
      </w:rPr>
      <w:t>OFFICIAL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D8CCF" w14:textId="7839AB4F" w:rsidR="0065750A" w:rsidRPr="009C30B4" w:rsidRDefault="00862D08" w:rsidP="00AA2792">
    <w:pPr>
      <w:tabs>
        <w:tab w:val="left" w:pos="2694"/>
        <w:tab w:val="left" w:pos="3969"/>
        <w:tab w:val="left" w:pos="6946"/>
        <w:tab w:val="right" w:pos="9498"/>
      </w:tabs>
      <w:spacing w:after="720"/>
      <w:ind w:right="242"/>
      <w:rPr>
        <w:color w:val="005874"/>
        <w:sz w:val="16"/>
        <w:szCs w:val="16"/>
      </w:rPr>
    </w:pPr>
    <w:r w:rsidRPr="00862D08">
      <w:t xml:space="preserve"> </w:t>
    </w:r>
    <w:r>
      <w:rPr>
        <w:noProof/>
      </w:rPr>
      <w:drawing>
        <wp:inline distT="0" distB="0" distL="0" distR="0" wp14:anchorId="24F8CBCA" wp14:editId="1428B1CC">
          <wp:extent cx="2097679" cy="6381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8425" cy="65357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931616" w14:textId="77777777" w:rsidR="00A04E32" w:rsidRDefault="00A04E32" w:rsidP="00176C28">
      <w:r>
        <w:separator/>
      </w:r>
    </w:p>
    <w:p w14:paraId="2AC32FBF" w14:textId="77777777" w:rsidR="00A04E32" w:rsidRDefault="00A04E32"/>
  </w:footnote>
  <w:footnote w:type="continuationSeparator" w:id="0">
    <w:p w14:paraId="5D26B4BA" w14:textId="77777777" w:rsidR="00A04E32" w:rsidRDefault="00A04E32" w:rsidP="00176C28">
      <w:r>
        <w:continuationSeparator/>
      </w:r>
    </w:p>
    <w:p w14:paraId="30F02700" w14:textId="77777777" w:rsidR="00A04E32" w:rsidRDefault="00A04E32"/>
  </w:footnote>
  <w:footnote w:type="continuationNotice" w:id="1">
    <w:p w14:paraId="299E1B52" w14:textId="77777777" w:rsidR="00A04E32" w:rsidRDefault="00A04E32">
      <w:pPr>
        <w:spacing w:after="0"/>
      </w:pPr>
    </w:p>
  </w:footnote>
  <w:footnote w:id="2">
    <w:p w14:paraId="7BB953D1" w14:textId="36E07A39" w:rsidR="007D6FEC" w:rsidRPr="00D2141E" w:rsidRDefault="007D6FEC">
      <w:pPr>
        <w:pStyle w:val="FootnoteText"/>
        <w:rPr>
          <w:lang w:val="en-AU"/>
        </w:rPr>
      </w:pPr>
      <w:r>
        <w:rPr>
          <w:rStyle w:val="FootnoteReference"/>
        </w:rPr>
        <w:footnoteRef/>
      </w:r>
      <w:r>
        <w:t xml:space="preserve"> </w:t>
      </w:r>
      <w:r w:rsidR="007C6102" w:rsidRPr="00E9388B">
        <w:t>https://cer.gov.au/schemes/safeguard-mechanism</w:t>
      </w:r>
      <w:r>
        <w:t xml:space="preserve"> </w:t>
      </w:r>
    </w:p>
  </w:footnote>
  <w:footnote w:id="3">
    <w:p w14:paraId="405B7CF6" w14:textId="1A9202EA" w:rsidR="001B624B" w:rsidRPr="001166CF" w:rsidRDefault="001B624B" w:rsidP="001B624B">
      <w:pPr>
        <w:pStyle w:val="FootnoteText"/>
        <w:rPr>
          <w:lang w:val="en-AU"/>
        </w:rPr>
      </w:pPr>
      <w:r w:rsidRPr="009037E6">
        <w:rPr>
          <w:rStyle w:val="FootnoteReference"/>
        </w:rPr>
        <w:footnoteRef/>
      </w:r>
      <w:r w:rsidRPr="00DE2AFF">
        <w:t xml:space="preserve"> </w:t>
      </w:r>
      <w:r w:rsidR="001E18CB" w:rsidRPr="00E9388B">
        <w:t>https://www.legislation.gov.au/Series/C2007A00175</w:t>
      </w:r>
      <w:r w:rsidRPr="00DE2AFF">
        <w:t xml:space="preserve"> </w:t>
      </w:r>
    </w:p>
  </w:footnote>
  <w:footnote w:id="4">
    <w:p w14:paraId="10D5C9A7" w14:textId="7F346E74" w:rsidR="001B624B" w:rsidRPr="00DE2AFF" w:rsidRDefault="001B624B" w:rsidP="001B624B">
      <w:pPr>
        <w:pStyle w:val="FootnoteText"/>
        <w:rPr>
          <w:lang w:val="en-AU"/>
        </w:rPr>
      </w:pPr>
      <w:r w:rsidRPr="00DE2AFF">
        <w:rPr>
          <w:rStyle w:val="FootnoteReference"/>
        </w:rPr>
        <w:footnoteRef/>
      </w:r>
      <w:r w:rsidRPr="00DE2AFF">
        <w:t xml:space="preserve"> </w:t>
      </w:r>
      <w:r w:rsidR="00D969FD" w:rsidRPr="00E9388B">
        <w:t>https://www.legislation.gov.au/Series/F2008L0223</w:t>
      </w:r>
    </w:p>
  </w:footnote>
  <w:footnote w:id="5">
    <w:p w14:paraId="74A5CECD" w14:textId="12040BA4" w:rsidR="001B624B" w:rsidRPr="001166CF" w:rsidRDefault="001B624B" w:rsidP="001B624B">
      <w:pPr>
        <w:pStyle w:val="FootnoteText"/>
        <w:rPr>
          <w:lang w:val="en-AU"/>
        </w:rPr>
      </w:pPr>
      <w:r w:rsidRPr="00DE2AFF">
        <w:rPr>
          <w:rStyle w:val="FootnoteReference"/>
        </w:rPr>
        <w:footnoteRef/>
      </w:r>
      <w:r w:rsidRPr="00DE2AFF">
        <w:t xml:space="preserve"> </w:t>
      </w:r>
      <w:r w:rsidR="00D969FD" w:rsidRPr="00E9388B">
        <w:t>https://www.legislation.gov.au/Series/F2008L02309</w:t>
      </w:r>
      <w:r w:rsidRPr="00DE2AFF">
        <w:t xml:space="preserve"> </w:t>
      </w:r>
    </w:p>
  </w:footnote>
  <w:footnote w:id="6">
    <w:p w14:paraId="17FB8516" w14:textId="5F0B89BC" w:rsidR="001B624B" w:rsidRPr="00740092" w:rsidRDefault="001B624B" w:rsidP="001B624B">
      <w:pPr>
        <w:pStyle w:val="FootnoteText"/>
        <w:rPr>
          <w:lang w:val="en-AU"/>
        </w:rPr>
      </w:pPr>
      <w:r w:rsidRPr="00DE2AFF">
        <w:rPr>
          <w:rStyle w:val="FootnoteReference"/>
        </w:rPr>
        <w:footnoteRef/>
      </w:r>
      <w:r w:rsidRPr="00DE2AFF">
        <w:t xml:space="preserve"> </w:t>
      </w:r>
      <w:r w:rsidR="00D969FD" w:rsidRPr="00E9388B">
        <w:t>https://cer.gov.au/schemes/national-greenhouse-and-energy-reporting-scheme</w:t>
      </w:r>
    </w:p>
  </w:footnote>
  <w:footnote w:id="7">
    <w:p w14:paraId="52D1877F" w14:textId="50A69ED7" w:rsidR="004672B4" w:rsidRPr="00D2141E" w:rsidRDefault="004672B4">
      <w:pPr>
        <w:pStyle w:val="FootnoteText"/>
        <w:rPr>
          <w:lang w:val="en-AU"/>
        </w:rPr>
      </w:pPr>
      <w:r>
        <w:rPr>
          <w:rStyle w:val="FootnoteReference"/>
        </w:rPr>
        <w:footnoteRef/>
      </w:r>
      <w:r>
        <w:t xml:space="preserve"> </w:t>
      </w:r>
      <w:r w:rsidR="003422CF" w:rsidRPr="00E9388B">
        <w:t>https://cer.gov.au/schemes/national-greenhouse-and-energy-reporting-scheme/report-emissions-and-energy/amendments</w:t>
      </w:r>
      <w:r>
        <w:t xml:space="preserve"> </w:t>
      </w:r>
    </w:p>
  </w:footnote>
  <w:footnote w:id="8">
    <w:p w14:paraId="043FAEB4" w14:textId="37CA0D93" w:rsidR="004A2E03" w:rsidRPr="00E84BDE" w:rsidRDefault="004A2E03" w:rsidP="004A2E03">
      <w:pPr>
        <w:pStyle w:val="FootnoteText"/>
        <w:rPr>
          <w:lang w:val="en-AU"/>
        </w:rPr>
      </w:pPr>
      <w:r>
        <w:rPr>
          <w:rStyle w:val="FootnoteReference"/>
        </w:rPr>
        <w:footnoteRef/>
      </w:r>
      <w:r>
        <w:t xml:space="preserve"> </w:t>
      </w:r>
      <w:r w:rsidR="00F1557E" w:rsidRPr="00E9388B">
        <w:t>https://www.legislation.gov.au/Series/F2015L01637</w:t>
      </w:r>
      <w:r>
        <w:t xml:space="preserve"> </w:t>
      </w:r>
    </w:p>
  </w:footnote>
  <w:footnote w:id="9">
    <w:p w14:paraId="1A1DF4ED" w14:textId="001EA915" w:rsidR="004A2E03" w:rsidRPr="00E84BDE" w:rsidRDefault="004A2E03" w:rsidP="004A2E03">
      <w:pPr>
        <w:pStyle w:val="FootnoteText"/>
        <w:rPr>
          <w:lang w:val="en-AU"/>
        </w:rPr>
      </w:pPr>
      <w:r>
        <w:rPr>
          <w:rStyle w:val="FootnoteReference"/>
        </w:rPr>
        <w:footnoteRef/>
      </w:r>
      <w:r>
        <w:t xml:space="preserve"> </w:t>
      </w:r>
      <w:r w:rsidR="00724896" w:rsidRPr="00E9388B">
        <w:t>https://cer.gov.au/document_page/reporting-hydrofluorocarbons-and-sulphur-hexafluoride-gases-guideline</w:t>
      </w:r>
      <w:r>
        <w:t xml:space="preserve"> </w:t>
      </w:r>
    </w:p>
  </w:footnote>
  <w:footnote w:id="10">
    <w:p w14:paraId="2AB3DD18" w14:textId="7C176C43" w:rsidR="001876A4" w:rsidRPr="00D2141E" w:rsidRDefault="001876A4">
      <w:pPr>
        <w:pStyle w:val="FootnoteText"/>
        <w:rPr>
          <w:lang w:val="en-AU"/>
        </w:rPr>
      </w:pPr>
      <w:r>
        <w:rPr>
          <w:rStyle w:val="FootnoteReference"/>
        </w:rPr>
        <w:footnoteRef/>
      </w:r>
      <w:r>
        <w:t xml:space="preserve"> </w:t>
      </w:r>
      <w:r w:rsidR="00724896" w:rsidRPr="00E9388B">
        <w:t>https://cer.gov.au/document_page/voluntary-market-based-scope-2-emissions-guideline</w:t>
      </w:r>
      <w:r>
        <w:t xml:space="preserve"> </w:t>
      </w:r>
    </w:p>
  </w:footnote>
  <w:footnote w:id="11">
    <w:p w14:paraId="0A49F128" w14:textId="3F49D6BE" w:rsidR="004A2E03" w:rsidRPr="00A54316" w:rsidRDefault="004A2E03" w:rsidP="004A2E03">
      <w:pPr>
        <w:pStyle w:val="FootnoteText"/>
        <w:rPr>
          <w:lang w:val="en-AU"/>
        </w:rPr>
      </w:pPr>
      <w:r>
        <w:rPr>
          <w:rStyle w:val="FootnoteReference"/>
        </w:rPr>
        <w:footnoteRef/>
      </w:r>
      <w:r>
        <w:t xml:space="preserve"> </w:t>
      </w:r>
      <w:r w:rsidR="00724896" w:rsidRPr="00E9388B">
        <w:t>https://cer.gov.au/schemes/national-greenhouse-and-energy-reporting-scheme/report-emissions-and-energy/nger-reporting-guides</w:t>
      </w:r>
      <w:r w:rsidR="00B41CDE">
        <w:t xml:space="preserve"> </w:t>
      </w:r>
    </w:p>
  </w:footnote>
  <w:footnote w:id="12">
    <w:p w14:paraId="558A7296" w14:textId="482C6902" w:rsidR="0010394F" w:rsidRPr="00084932" w:rsidRDefault="0010394F">
      <w:pPr>
        <w:pStyle w:val="FootnoteText"/>
        <w:rPr>
          <w:lang w:val="en-AU"/>
        </w:rPr>
      </w:pPr>
      <w:r>
        <w:rPr>
          <w:rStyle w:val="FootnoteReference"/>
        </w:rPr>
        <w:footnoteRef/>
      </w:r>
      <w:r>
        <w:t xml:space="preserve"> </w:t>
      </w:r>
      <w:r w:rsidR="009A0C68" w:rsidRPr="009A0C68">
        <w:t>https://cer.gov.au/document_page/nger-quick-help-topics</w:t>
      </w:r>
    </w:p>
  </w:footnote>
  <w:footnote w:id="13">
    <w:p w14:paraId="51B542D4" w14:textId="5234B2E2" w:rsidR="004A2E03" w:rsidRPr="00E84BDE" w:rsidRDefault="004A2E03" w:rsidP="004A2E03">
      <w:pPr>
        <w:pStyle w:val="FootnoteText"/>
        <w:rPr>
          <w:lang w:val="en-AU"/>
        </w:rPr>
      </w:pPr>
      <w:r>
        <w:rPr>
          <w:rStyle w:val="FootnoteReference"/>
        </w:rPr>
        <w:footnoteRef/>
      </w:r>
      <w:r>
        <w:t xml:space="preserve"> </w:t>
      </w:r>
      <w:r w:rsidR="0000408D" w:rsidRPr="00E9388B">
        <w:t>https://cer.gov.au/document_page/reporting-hydrofluorocarbons-and-sulphur-hexafluoride-gases-guideline</w:t>
      </w:r>
      <w:r>
        <w:t xml:space="preserve"> </w:t>
      </w:r>
    </w:p>
  </w:footnote>
  <w:footnote w:id="14">
    <w:p w14:paraId="31D19ACE" w14:textId="77777777" w:rsidR="004A2E03" w:rsidRPr="005160D3" w:rsidRDefault="004A2E03" w:rsidP="004A2E03">
      <w:pPr>
        <w:pStyle w:val="FootnoteText"/>
        <w:rPr>
          <w:lang w:val="en-US"/>
        </w:rPr>
      </w:pPr>
      <w:r>
        <w:rPr>
          <w:rStyle w:val="FootnoteReference"/>
        </w:rPr>
        <w:footnoteRef/>
      </w:r>
      <w:r>
        <w:t xml:space="preserve"> This requirement applies to the combustion of solid and gaseous fuels. </w:t>
      </w:r>
      <w:r>
        <w:rPr>
          <w:lang w:val="en-US"/>
        </w:rPr>
        <w:t>See section 2.3(3) and section 2.19(3) of the NGER Measurement Determination relating to the combustion of solid and gaseous fuels.</w:t>
      </w:r>
    </w:p>
  </w:footnote>
  <w:footnote w:id="15">
    <w:p w14:paraId="7F759541" w14:textId="21F57CA2" w:rsidR="00F603A0" w:rsidRPr="00D2141E" w:rsidRDefault="00F603A0">
      <w:pPr>
        <w:pStyle w:val="FootnoteText"/>
        <w:rPr>
          <w:lang w:val="en-AU"/>
        </w:rPr>
      </w:pPr>
      <w:r>
        <w:rPr>
          <w:rStyle w:val="FootnoteReference"/>
        </w:rPr>
        <w:footnoteRef/>
      </w:r>
      <w:r>
        <w:t xml:space="preserve"> </w:t>
      </w:r>
      <w:r w:rsidR="00BE4206" w:rsidRPr="00E9388B">
        <w:t>https://cer.gov.au/document_page/guidance-aggregated-facility-reporting-percentage-estimates-and-incidental-emissions-and-energy</w:t>
      </w:r>
      <w:r w:rsidR="00636CD1">
        <w:t xml:space="preserve"> </w:t>
      </w:r>
    </w:p>
  </w:footnote>
  <w:footnote w:id="16">
    <w:p w14:paraId="512C97DE" w14:textId="0A701B29" w:rsidR="004A2E03" w:rsidRDefault="004A2E03" w:rsidP="004A2E03">
      <w:pPr>
        <w:pStyle w:val="FootnoteText"/>
      </w:pPr>
      <w:r>
        <w:rPr>
          <w:rStyle w:val="FootnoteReference"/>
        </w:rPr>
        <w:footnoteRef/>
      </w:r>
      <w:r>
        <w:t xml:space="preserve"> </w:t>
      </w:r>
      <w:r w:rsidR="00BE4206" w:rsidRPr="00E9388B">
        <w:t>https://cer.gov.au/document_page/reporting-uncertainty-guideline</w:t>
      </w:r>
      <w:r>
        <w:t xml:space="preserve"> </w:t>
      </w:r>
    </w:p>
  </w:footnote>
  <w:footnote w:id="17">
    <w:p w14:paraId="36CB00FB" w14:textId="77777777" w:rsidR="004A2E03" w:rsidRPr="00E84BDE" w:rsidRDefault="004A2E03" w:rsidP="004A2E03">
      <w:pPr>
        <w:pStyle w:val="FootnoteText"/>
        <w:rPr>
          <w:b/>
          <w:bCs/>
        </w:rPr>
      </w:pPr>
      <w:r>
        <w:rPr>
          <w:rStyle w:val="FootnoteReference"/>
        </w:rPr>
        <w:footnoteRef/>
      </w:r>
      <w:r>
        <w:t xml:space="preserve"> Schedule 2 of the NGER Regulations provides the meaning of industry sector under the NGER legislation, including an ANZSIC code (261) for ‘Electricity generation’. Subsections 2.3(3)(a) for solid fuels and 2.19(3)(a) for gaseous fuels of the NGER Measurement Determination only apply to the ANZSIC Class code (2611) for ‘Fossil Fuel Electricity Generation’ which is within the ANZSIC Group 261. Facilities classed as 2611 for ‘Fossil Fuel Electricity Generation’ must not use method 1 to estimate emissions from their main fuel combusted to operate the facility.</w:t>
      </w:r>
    </w:p>
  </w:footnote>
  <w:footnote w:id="18">
    <w:p w14:paraId="06DDC77B" w14:textId="77777777" w:rsidR="00A57A5C" w:rsidRPr="00BF49F3" w:rsidRDefault="00A57A5C" w:rsidP="00A57A5C">
      <w:pPr>
        <w:pStyle w:val="FootnoteText"/>
        <w:rPr>
          <w:lang w:val="en-AU"/>
        </w:rPr>
      </w:pPr>
      <w:r>
        <w:rPr>
          <w:rStyle w:val="FootnoteReference"/>
        </w:rPr>
        <w:footnoteRef/>
      </w:r>
      <w:r>
        <w:t xml:space="preserve"> Generator Efficiency Standards program was released in December 2006 by the former Australian Greenhouse Office, Department of Environment and Heritage</w:t>
      </w:r>
    </w:p>
  </w:footnote>
  <w:footnote w:id="19">
    <w:p w14:paraId="053A5D0E" w14:textId="7CB5CE94" w:rsidR="00A57A5C" w:rsidRPr="009C0388" w:rsidRDefault="00A57A5C" w:rsidP="00A57A5C">
      <w:pPr>
        <w:pStyle w:val="FootnoteText"/>
        <w:rPr>
          <w:lang w:val="en-AU"/>
        </w:rPr>
      </w:pPr>
      <w:r>
        <w:rPr>
          <w:rStyle w:val="FootnoteReference"/>
        </w:rPr>
        <w:footnoteRef/>
      </w:r>
      <w:r>
        <w:t xml:space="preserve"> </w:t>
      </w:r>
      <w:r w:rsidR="00767D06" w:rsidRPr="00E9388B">
        <w:t>https://cer.gov.au/about-us/contact-us</w:t>
      </w:r>
      <w:r>
        <w:t xml:space="preserve"> </w:t>
      </w:r>
    </w:p>
  </w:footnote>
  <w:footnote w:id="20">
    <w:p w14:paraId="30CE80A9" w14:textId="6DE6ABF3" w:rsidR="001F0D25" w:rsidRPr="00D2141E" w:rsidRDefault="001F0D25">
      <w:pPr>
        <w:pStyle w:val="FootnoteText"/>
        <w:rPr>
          <w:lang w:val="en-AU"/>
        </w:rPr>
      </w:pPr>
      <w:r>
        <w:rPr>
          <w:rStyle w:val="FootnoteReference"/>
        </w:rPr>
        <w:footnoteRef/>
      </w:r>
      <w:r>
        <w:t xml:space="preserve"> </w:t>
      </w:r>
      <w:r w:rsidR="00F17414" w:rsidRPr="00E9388B">
        <w:t>https://cer.gov.au/document_page/estimating-emissions-and-energy-fuel-combustion-guideline</w:t>
      </w:r>
      <w:r>
        <w:t xml:space="preserve"> </w:t>
      </w:r>
    </w:p>
  </w:footnote>
  <w:footnote w:id="21">
    <w:p w14:paraId="2B108B5F" w14:textId="10B3774A" w:rsidR="00A57A5C" w:rsidRDefault="00A57A5C" w:rsidP="00A57A5C">
      <w:pPr>
        <w:pStyle w:val="FootnoteText"/>
      </w:pPr>
      <w:r>
        <w:rPr>
          <w:rStyle w:val="FootnoteReference"/>
        </w:rPr>
        <w:footnoteRef/>
      </w:r>
      <w:r>
        <w:t xml:space="preserve"> </w:t>
      </w:r>
      <w:r w:rsidR="00F17414" w:rsidRPr="00E9388B">
        <w:t>https://cer.gov.au/document_page/petroleum-based-oils-and-greases-guideline</w:t>
      </w:r>
      <w:r>
        <w:t xml:space="preserve"> </w:t>
      </w:r>
    </w:p>
  </w:footnote>
  <w:footnote w:id="22">
    <w:p w14:paraId="34BF9893" w14:textId="0BF1A6BC" w:rsidR="00A57A5C" w:rsidRDefault="00A57A5C" w:rsidP="00A57A5C">
      <w:pPr>
        <w:pStyle w:val="FootnoteText"/>
      </w:pPr>
      <w:r>
        <w:rPr>
          <w:rStyle w:val="FootnoteReference"/>
        </w:rPr>
        <w:footnoteRef/>
      </w:r>
      <w:r>
        <w:t xml:space="preserve"> </w:t>
      </w:r>
      <w:r w:rsidR="0029554B" w:rsidRPr="00E9388B">
        <w:t>https://cer.gov.au/document_page/reporting-hydrofluorocarbons-and-sulphur-hexafluoride-gases-guideline</w:t>
      </w:r>
      <w:r>
        <w:t xml:space="preserve"> </w:t>
      </w:r>
    </w:p>
  </w:footnote>
  <w:footnote w:id="23">
    <w:p w14:paraId="2E62788D" w14:textId="6D016B62" w:rsidR="0024665C" w:rsidRDefault="0024665C" w:rsidP="0024665C">
      <w:pPr>
        <w:pStyle w:val="FootnoteText"/>
      </w:pPr>
      <w:r>
        <w:rPr>
          <w:rStyle w:val="FootnoteReference"/>
        </w:rPr>
        <w:footnoteRef/>
      </w:r>
      <w:r>
        <w:t xml:space="preserve"> </w:t>
      </w:r>
      <w:r w:rsidR="0029554B" w:rsidRPr="00E9388B">
        <w:t>https://cer.gov.au/schemes/national-greenhouse-and-energy-reporting-scheme/about-emissions-and-energy-data/emissions#types-of-emissions</w:t>
      </w:r>
      <w:r>
        <w:t xml:space="preserve"> </w:t>
      </w:r>
    </w:p>
  </w:footnote>
  <w:footnote w:id="24">
    <w:p w14:paraId="12B78A73" w14:textId="6A8175B3" w:rsidR="0024665C" w:rsidRDefault="0024665C" w:rsidP="0024665C">
      <w:pPr>
        <w:pStyle w:val="FootnoteText"/>
      </w:pPr>
      <w:r>
        <w:rPr>
          <w:rStyle w:val="FootnoteReference"/>
        </w:rPr>
        <w:footnoteRef/>
      </w:r>
      <w:r>
        <w:t xml:space="preserve"> </w:t>
      </w:r>
      <w:r w:rsidR="00833760" w:rsidRPr="00E9388B">
        <w:t>https://energy-rules.aemc.gov.au/ner/594</w:t>
      </w:r>
      <w:r>
        <w:t xml:space="preserve"> </w:t>
      </w:r>
    </w:p>
  </w:footnote>
  <w:footnote w:id="25">
    <w:p w14:paraId="26470D5C" w14:textId="3E4BC4FE" w:rsidR="0024665C" w:rsidRDefault="0024665C" w:rsidP="0024665C">
      <w:pPr>
        <w:pStyle w:val="FootnoteText"/>
      </w:pPr>
      <w:r>
        <w:rPr>
          <w:rStyle w:val="FootnoteReference"/>
        </w:rPr>
        <w:footnoteRef/>
      </w:r>
      <w:r>
        <w:t xml:space="preserve"> </w:t>
      </w:r>
      <w:r w:rsidR="00833760" w:rsidRPr="00E9388B">
        <w:t>https://aemo.com.au/-/media/files/electricity/nem/5ms/program-information/2020/global-settlement-fact-sheet-updated-july2020.pdf</w:t>
      </w:r>
    </w:p>
  </w:footnote>
  <w:footnote w:id="26">
    <w:p w14:paraId="0ED84303" w14:textId="4D261766" w:rsidR="0024665C" w:rsidRDefault="0024665C" w:rsidP="0024665C">
      <w:pPr>
        <w:pStyle w:val="FootnoteText"/>
      </w:pPr>
      <w:r>
        <w:rPr>
          <w:rStyle w:val="FootnoteReference"/>
        </w:rPr>
        <w:footnoteRef/>
      </w:r>
      <w:r>
        <w:t xml:space="preserve"> </w:t>
      </w:r>
      <w:r w:rsidR="009D20E7" w:rsidRPr="00E9388B">
        <w:t>https://cer.gov.au/schemes/national-greenhouse-and-energy-reporting-scheme/assess-your-obligations</w:t>
      </w:r>
      <w:r>
        <w:t xml:space="preserve"> </w:t>
      </w:r>
    </w:p>
  </w:footnote>
  <w:footnote w:id="27">
    <w:p w14:paraId="198F9399" w14:textId="495C8DEE" w:rsidR="0024665C" w:rsidRDefault="0024665C" w:rsidP="0024665C">
      <w:pPr>
        <w:pStyle w:val="FootnoteText"/>
      </w:pPr>
      <w:r>
        <w:rPr>
          <w:rStyle w:val="FootnoteReference"/>
        </w:rPr>
        <w:footnoteRef/>
      </w:r>
      <w:r>
        <w:t xml:space="preserve"> </w:t>
      </w:r>
      <w:r w:rsidR="009D20E7" w:rsidRPr="00E9388B">
        <w:t>https://cer.gov.au/schemes/national-greenhouse-and-energy-reporting-scheme/assess-your-obligations#nger-thresholds</w:t>
      </w:r>
      <w:r>
        <w:t xml:space="preserve"> </w:t>
      </w:r>
    </w:p>
  </w:footnote>
  <w:footnote w:id="28">
    <w:p w14:paraId="2BBFB684" w14:textId="1F6176C9" w:rsidR="00B12FBA" w:rsidRPr="00B12FBA" w:rsidRDefault="00B12FBA">
      <w:pPr>
        <w:pStyle w:val="FootnoteText"/>
        <w:rPr>
          <w:lang w:val="en-AU"/>
        </w:rPr>
      </w:pPr>
      <w:r>
        <w:rPr>
          <w:rStyle w:val="FootnoteReference"/>
        </w:rPr>
        <w:footnoteRef/>
      </w:r>
      <w:r>
        <w:t xml:space="preserve"> </w:t>
      </w:r>
      <w:r w:rsidRPr="00B12FBA">
        <w:t>https://cer.gov.au/schemes/national-greenhouse-and-energy-reporting-scheme/report-emissions-and-energy/amendments-to-national-greenhouse-and-energy-reporting-legislation</w:t>
      </w:r>
    </w:p>
  </w:footnote>
  <w:footnote w:id="29">
    <w:p w14:paraId="341E0F54" w14:textId="0E96B773" w:rsidR="0024665C" w:rsidRPr="00D01A38" w:rsidRDefault="0024665C" w:rsidP="0024665C">
      <w:pPr>
        <w:pStyle w:val="FootnoteText"/>
        <w:rPr>
          <w:lang w:val="en-AU"/>
        </w:rPr>
      </w:pPr>
      <w:r>
        <w:rPr>
          <w:rStyle w:val="FootnoteReference"/>
        </w:rPr>
        <w:footnoteRef/>
      </w:r>
      <w:r>
        <w:t xml:space="preserve"> </w:t>
      </w:r>
      <w:r w:rsidR="005674AE" w:rsidRPr="00E9388B">
        <w:t>https://cer.gov.au/document_page/voluntary-market-based-scope-2-emissions-guideline</w:t>
      </w:r>
      <w:r w:rsidR="00AC0B2F">
        <w:t xml:space="preserve"> </w:t>
      </w:r>
    </w:p>
  </w:footnote>
  <w:footnote w:id="30">
    <w:p w14:paraId="0D5AD67B" w14:textId="7652ABBF" w:rsidR="00015C1D" w:rsidRPr="00D01A38" w:rsidRDefault="00015C1D" w:rsidP="00015C1D">
      <w:pPr>
        <w:pStyle w:val="FootnoteText"/>
        <w:rPr>
          <w:lang w:val="en-AU"/>
        </w:rPr>
      </w:pPr>
      <w:r>
        <w:rPr>
          <w:rStyle w:val="FootnoteReference"/>
        </w:rPr>
        <w:footnoteRef/>
      </w:r>
      <w:r>
        <w:t xml:space="preserve"> </w:t>
      </w:r>
      <w:r w:rsidRPr="00B12FBA">
        <w:t>https://cer.gov.au/document_page/voluntary-market-based-scope-2-emissions-guideline</w:t>
      </w:r>
      <w:r>
        <w:t xml:space="preserve"> </w:t>
      </w:r>
    </w:p>
  </w:footnote>
  <w:footnote w:id="31">
    <w:p w14:paraId="6998EF13" w14:textId="664FAC0F" w:rsidR="00A57A5C" w:rsidRPr="009C0388" w:rsidRDefault="00A57A5C" w:rsidP="00A57A5C">
      <w:pPr>
        <w:pStyle w:val="FootnoteText"/>
        <w:rPr>
          <w:lang w:val="en-AU"/>
        </w:rPr>
      </w:pPr>
      <w:r>
        <w:rPr>
          <w:rStyle w:val="FootnoteReference"/>
        </w:rPr>
        <w:footnoteRef/>
      </w:r>
      <w:r>
        <w:t xml:space="preserve"> </w:t>
      </w:r>
      <w:r w:rsidR="006B6CA3" w:rsidRPr="006B6CA3">
        <w:t>https://cer.gov.au/document_page/nger-quick-help-topics</w:t>
      </w:r>
    </w:p>
  </w:footnote>
  <w:footnote w:id="32">
    <w:p w14:paraId="2B18A00B" w14:textId="2A03CF16" w:rsidR="00A57A5C" w:rsidRPr="009C0388" w:rsidRDefault="00A57A5C" w:rsidP="00A57A5C">
      <w:pPr>
        <w:pStyle w:val="FootnoteText"/>
        <w:rPr>
          <w:lang w:val="en-AU"/>
        </w:rPr>
      </w:pPr>
      <w:r>
        <w:rPr>
          <w:rStyle w:val="FootnoteReference"/>
        </w:rPr>
        <w:footnoteRef/>
      </w:r>
      <w:r>
        <w:t xml:space="preserve"> </w:t>
      </w:r>
      <w:r w:rsidR="00E642EE" w:rsidRPr="00E9388B">
        <w:t>https://www.aemc.gov.au/regulation/energy-rules/national-electricity-rules/current</w:t>
      </w:r>
      <w:r>
        <w:t xml:space="preserve"> </w:t>
      </w:r>
    </w:p>
  </w:footnote>
  <w:footnote w:id="33">
    <w:p w14:paraId="6AC08E4D" w14:textId="3BB62B21" w:rsidR="00A57A5C" w:rsidRPr="009C0388" w:rsidRDefault="00A57A5C" w:rsidP="00A57A5C">
      <w:pPr>
        <w:pStyle w:val="FootnoteText"/>
        <w:rPr>
          <w:lang w:val="en-AU"/>
        </w:rPr>
      </w:pPr>
      <w:r>
        <w:rPr>
          <w:rStyle w:val="FootnoteReference"/>
        </w:rPr>
        <w:footnoteRef/>
      </w:r>
      <w:r>
        <w:t xml:space="preserve"> </w:t>
      </w:r>
      <w:r w:rsidR="007F15F6" w:rsidRPr="00E9388B">
        <w:t>https://www.ghgprotocol.org/sites/default/files/ghgp/CHP_guidance_v1.0.pdf</w:t>
      </w:r>
      <w:r>
        <w:t xml:space="preserve"> </w:t>
      </w:r>
    </w:p>
  </w:footnote>
  <w:footnote w:id="34">
    <w:p w14:paraId="782004AC" w14:textId="24E8184A" w:rsidR="00A57A5C" w:rsidRPr="009C0388" w:rsidRDefault="00A57A5C" w:rsidP="00A57A5C">
      <w:pPr>
        <w:pStyle w:val="FootnoteText"/>
        <w:rPr>
          <w:lang w:val="en-AU"/>
        </w:rPr>
      </w:pPr>
      <w:r>
        <w:rPr>
          <w:rStyle w:val="FootnoteReference"/>
        </w:rPr>
        <w:footnoteRef/>
      </w:r>
      <w:r>
        <w:t xml:space="preserve"> </w:t>
      </w:r>
      <w:r w:rsidR="00FF730D" w:rsidRPr="00E9388B">
        <w:t>https://ghgprotocol.org/calculation-tools-and-guidance</w:t>
      </w:r>
      <w:r>
        <w:t xml:space="preserve"> </w:t>
      </w:r>
    </w:p>
  </w:footnote>
  <w:footnote w:id="35">
    <w:p w14:paraId="7F603F7B" w14:textId="026FDCA4" w:rsidR="00A57A5C" w:rsidRPr="009C0388" w:rsidRDefault="00A57A5C" w:rsidP="00A57A5C">
      <w:pPr>
        <w:pStyle w:val="FootnoteText"/>
        <w:rPr>
          <w:lang w:val="en-AU"/>
        </w:rPr>
      </w:pPr>
      <w:r>
        <w:rPr>
          <w:rStyle w:val="FootnoteReference"/>
        </w:rPr>
        <w:footnoteRef/>
      </w:r>
      <w:r>
        <w:t xml:space="preserve"> </w:t>
      </w:r>
      <w:r w:rsidR="00D11113" w:rsidRPr="00D11113">
        <w:t>https://cer.gov.au/document_page/nger-quick-help-topics</w:t>
      </w:r>
    </w:p>
  </w:footnote>
  <w:footnote w:id="36">
    <w:p w14:paraId="2A703B69" w14:textId="60671588" w:rsidR="00A57A5C" w:rsidRDefault="00A57A5C" w:rsidP="00A57A5C">
      <w:pPr>
        <w:pStyle w:val="FootnoteText"/>
      </w:pPr>
      <w:r>
        <w:rPr>
          <w:rStyle w:val="FootnoteReference"/>
        </w:rPr>
        <w:footnoteRef/>
      </w:r>
      <w:r>
        <w:t xml:space="preserve"> </w:t>
      </w:r>
      <w:r w:rsidR="008E59AE" w:rsidRPr="00E9388B">
        <w:t>https://cer.gov.au/document_page/reporting-blended-fuels-other-fuel-mixes-bitumen-and-explosives-guideline</w:t>
      </w:r>
      <w:r>
        <w:t xml:space="preserve">  </w:t>
      </w:r>
      <w:r w:rsidRPr="00C84028" w:rsidDel="00C84028">
        <w:t xml:space="preserve"> </w:t>
      </w:r>
      <w:r>
        <w:t xml:space="preserve"> </w:t>
      </w:r>
    </w:p>
  </w:footnote>
  <w:footnote w:id="37">
    <w:p w14:paraId="2EA3EA03" w14:textId="266014FC" w:rsidR="00A57A5C" w:rsidRDefault="00A57A5C" w:rsidP="00A57A5C">
      <w:pPr>
        <w:pStyle w:val="FootnoteText"/>
        <w:rPr>
          <w:lang w:val="en-US"/>
        </w:rPr>
      </w:pPr>
      <w:r>
        <w:rPr>
          <w:rStyle w:val="FootnoteReference"/>
        </w:rPr>
        <w:footnoteRef/>
      </w:r>
      <w:r>
        <w:t xml:space="preserve"> </w:t>
      </w:r>
      <w:r w:rsidR="00EE549A" w:rsidRPr="00E9388B">
        <w:t>https://cer.gov.au/document_page/methods-and-measurement-criteria-guideline</w:t>
      </w:r>
      <w:r>
        <w:t xml:space="preserve"> </w:t>
      </w:r>
    </w:p>
    <w:p w14:paraId="615537C6" w14:textId="77777777" w:rsidR="00A57A5C" w:rsidRPr="00AF1FB2" w:rsidRDefault="00A57A5C" w:rsidP="00A57A5C">
      <w:pPr>
        <w:pStyle w:val="FootnoteText"/>
        <w:rPr>
          <w:lang w:val="en-US"/>
        </w:rPr>
      </w:pPr>
    </w:p>
  </w:footnote>
  <w:footnote w:id="38">
    <w:p w14:paraId="0E578BFC" w14:textId="508546F5" w:rsidR="00A57A5C" w:rsidRPr="009C0388" w:rsidRDefault="00A57A5C" w:rsidP="00A57A5C">
      <w:pPr>
        <w:pStyle w:val="FootnoteText"/>
        <w:rPr>
          <w:lang w:val="en-AU"/>
        </w:rPr>
      </w:pPr>
      <w:r>
        <w:rPr>
          <w:rStyle w:val="FootnoteReference"/>
        </w:rPr>
        <w:footnoteRef/>
      </w:r>
      <w:r>
        <w:t xml:space="preserve"> </w:t>
      </w:r>
      <w:r w:rsidR="00866D47" w:rsidRPr="00E9388B">
        <w:t>https://cer.gov.au/schemes/national-greenhouse-and-energy-reporting-scheme/report-emissions-and-energy/nger-reporting-guides</w:t>
      </w:r>
      <w:r w:rsidR="00E50FAD">
        <w:t xml:space="preserve"> </w:t>
      </w:r>
      <w:r w:rsidR="008E68E9">
        <w:t xml:space="preserve"> </w:t>
      </w:r>
    </w:p>
  </w:footnote>
  <w:footnote w:id="39">
    <w:p w14:paraId="0CE6E841" w14:textId="07B135EB" w:rsidR="00F33A8B" w:rsidRPr="00D2141E" w:rsidRDefault="00F33A8B">
      <w:pPr>
        <w:pStyle w:val="FootnoteText"/>
        <w:rPr>
          <w:lang w:val="en-AU"/>
        </w:rPr>
      </w:pPr>
      <w:r>
        <w:rPr>
          <w:rStyle w:val="FootnoteReference"/>
        </w:rPr>
        <w:footnoteRef/>
      </w:r>
      <w:r>
        <w:t xml:space="preserve"> </w:t>
      </w:r>
      <w:r>
        <w:rPr>
          <w:lang w:val="en-AU"/>
        </w:rPr>
        <w:t xml:space="preserve">As defined in 1.03 of the NGER Regulations </w:t>
      </w:r>
    </w:p>
  </w:footnote>
  <w:footnote w:id="40">
    <w:p w14:paraId="790326D4" w14:textId="21F536B9" w:rsidR="003869C2" w:rsidRPr="00D47AB2" w:rsidRDefault="003869C2" w:rsidP="003869C2">
      <w:pPr>
        <w:pStyle w:val="FootnoteText"/>
        <w:rPr>
          <w:lang w:val="en-AU"/>
        </w:rPr>
      </w:pPr>
      <w:r>
        <w:rPr>
          <w:rStyle w:val="FootnoteReference"/>
        </w:rPr>
        <w:footnoteRef/>
      </w:r>
      <w:r>
        <w:t xml:space="preserve"> </w:t>
      </w:r>
      <w:r w:rsidR="00866D47" w:rsidRPr="00E9388B">
        <w:t>https://cer.gov.au/document_page/petroleum-based-oils-and-greases-guideline</w:t>
      </w:r>
      <w:r>
        <w:rPr>
          <w:sz w:val="22"/>
          <w:szCs w:val="24"/>
          <w:lang w:val="en-AU"/>
        </w:rPr>
        <w:t xml:space="preserve"> </w:t>
      </w:r>
    </w:p>
  </w:footnote>
  <w:footnote w:id="41">
    <w:p w14:paraId="139A6E74" w14:textId="4F23467C" w:rsidR="003869C2" w:rsidRPr="00D47AB2" w:rsidRDefault="003869C2" w:rsidP="003869C2">
      <w:pPr>
        <w:pStyle w:val="FootnoteText"/>
        <w:rPr>
          <w:lang w:val="en-AU"/>
        </w:rPr>
      </w:pPr>
      <w:r>
        <w:rPr>
          <w:rStyle w:val="FootnoteReference"/>
        </w:rPr>
        <w:footnoteRef/>
      </w:r>
      <w:r>
        <w:t xml:space="preserve"> </w:t>
      </w:r>
      <w:r w:rsidR="00F52002" w:rsidRPr="00E9388B">
        <w:t>https://cer.gov.au/document_page/defining-facility-national-greenhouse-and-energy-reporting</w:t>
      </w:r>
      <w:r>
        <w:rPr>
          <w:sz w:val="22"/>
          <w:szCs w:val="24"/>
          <w:lang w:val="en-AU"/>
        </w:rPr>
        <w:t xml:space="preserve"> </w:t>
      </w:r>
    </w:p>
  </w:footnote>
  <w:footnote w:id="42">
    <w:p w14:paraId="48F0D2EC" w14:textId="334BD26E" w:rsidR="00795D8A" w:rsidRPr="00084932" w:rsidRDefault="00795D8A">
      <w:pPr>
        <w:pStyle w:val="FootnoteText"/>
        <w:rPr>
          <w:lang w:val="en-AU"/>
        </w:rPr>
      </w:pPr>
      <w:r>
        <w:rPr>
          <w:rStyle w:val="FootnoteReference"/>
        </w:rPr>
        <w:footnoteRef/>
      </w:r>
      <w:r>
        <w:t xml:space="preserve"> </w:t>
      </w:r>
      <w:r w:rsidR="00F52002" w:rsidRPr="00E9388B">
        <w:t>https://cer.gov.au/document_page/contracts-and-leasing-guideline</w:t>
      </w:r>
      <w:r>
        <w:t xml:space="preserve"> </w:t>
      </w:r>
    </w:p>
  </w:footnote>
  <w:footnote w:id="43">
    <w:p w14:paraId="29E3D076" w14:textId="474EEFF3" w:rsidR="00001129" w:rsidRPr="00D2141E" w:rsidRDefault="00001129">
      <w:pPr>
        <w:pStyle w:val="FootnoteText"/>
        <w:rPr>
          <w:lang w:val="en-AU"/>
        </w:rPr>
      </w:pPr>
      <w:r>
        <w:rPr>
          <w:rStyle w:val="FootnoteReference"/>
        </w:rPr>
        <w:footnoteRef/>
      </w:r>
      <w:r>
        <w:t xml:space="preserve"> </w:t>
      </w:r>
      <w:r w:rsidR="00686A05" w:rsidRPr="00E9388B">
        <w:t>https://cer.gov.au/document_page/petroleum-based-oils-and-greases-guideline</w:t>
      </w:r>
      <w:r w:rsidR="007707B3">
        <w:rPr>
          <w:sz w:val="22"/>
          <w:szCs w:val="24"/>
          <w:lang w:val="en-AU"/>
        </w:rPr>
        <w:t xml:space="preserve"> </w:t>
      </w:r>
    </w:p>
  </w:footnote>
  <w:footnote w:id="44">
    <w:p w14:paraId="7DB13CAF" w14:textId="4B688CC9" w:rsidR="00507F50" w:rsidRPr="00D2141E" w:rsidRDefault="00507F50">
      <w:pPr>
        <w:pStyle w:val="FootnoteText"/>
        <w:rPr>
          <w:lang w:val="en-AU"/>
        </w:rPr>
      </w:pPr>
    </w:p>
  </w:footnote>
  <w:footnote w:id="45">
    <w:p w14:paraId="554961A8" w14:textId="1AD053C2" w:rsidR="00D924C3" w:rsidRPr="001E631E" w:rsidRDefault="00D924C3">
      <w:pPr>
        <w:pStyle w:val="FootnoteText"/>
        <w:rPr>
          <w:lang w:val="en-AU"/>
        </w:rPr>
      </w:pPr>
      <w:r>
        <w:rPr>
          <w:rStyle w:val="FootnoteReference"/>
        </w:rPr>
        <w:footnoteRef/>
      </w:r>
      <w:r>
        <w:t xml:space="preserve"> </w:t>
      </w:r>
      <w:r w:rsidR="00072104" w:rsidRPr="00E9388B">
        <w:t>https://cer.gov.au/document_page/contracts-and-leasing-guideline</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0FC55" w14:textId="714774E1" w:rsidR="004B7C7E" w:rsidRDefault="004B7C7E" w:rsidP="004B7C7E">
    <w:pPr>
      <w:pStyle w:val="Heading5"/>
      <w:tabs>
        <w:tab w:val="center" w:pos="4870"/>
        <w:tab w:val="left" w:pos="8745"/>
      </w:tabs>
      <w:spacing w:before="200" w:after="60"/>
      <w:jc w:val="center"/>
    </w:pPr>
    <w:r w:rsidRPr="004B7C7E">
      <w:rPr>
        <w:rStyle w:val="Protectivemarker"/>
        <w:b/>
        <w:sz w:val="28"/>
        <w:szCs w:val="28"/>
      </w:rPr>
      <w:t>OFFICIAL</w:t>
    </w:r>
  </w:p>
  <w:p w14:paraId="1657C533" w14:textId="626102C1" w:rsidR="00D81782" w:rsidRPr="00BE0DA3" w:rsidRDefault="004B7C7E" w:rsidP="00E349EF">
    <w:pPr>
      <w:pStyle w:val="LegislativesecrecyACT"/>
    </w:pPr>
    <w:r>
      <w:rPr>
        <w:noProof/>
      </w:rPr>
      <w:drawing>
        <wp:anchor distT="0" distB="0" distL="114300" distR="114300" simplePos="0" relativeHeight="251658241" behindDoc="0" locked="0" layoutInCell="1" allowOverlap="1" wp14:anchorId="7855CF2E" wp14:editId="0EFA0B54">
          <wp:simplePos x="0" y="0"/>
          <wp:positionH relativeFrom="column">
            <wp:posOffset>4721420</wp:posOffset>
          </wp:positionH>
          <wp:positionV relativeFrom="paragraph">
            <wp:posOffset>-190500</wp:posOffset>
          </wp:positionV>
          <wp:extent cx="1424451" cy="469454"/>
          <wp:effectExtent l="0" t="0" r="0" b="63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424451" cy="4694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E3326" w14:textId="33E264B4" w:rsidR="00CA2954" w:rsidRDefault="008352D1" w:rsidP="00E349EF">
    <w:pPr>
      <w:pStyle w:val="Header"/>
      <w:spacing w:before="600"/>
    </w:pPr>
    <w:r>
      <w:rPr>
        <w:noProof/>
      </w:rPr>
      <w:t xml:space="preserve">  </w:t>
    </w:r>
    <w:r w:rsidR="00CA2954">
      <w:rPr>
        <w:noProof/>
      </w:rPr>
      <w:drawing>
        <wp:inline distT="0" distB="0" distL="0" distR="0" wp14:anchorId="5D91E6F5" wp14:editId="0F3E109B">
          <wp:extent cx="2628000" cy="617737"/>
          <wp:effectExtent l="0" t="0" r="1270" b="5080"/>
          <wp:docPr id="4" name="Picture 4" descr="Australian Government Crest - Clean Energy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Crest - Clean Energy Regulator"/>
                  <pic:cNvPicPr/>
                </pic:nvPicPr>
                <pic:blipFill>
                  <a:blip r:embed="rId1"/>
                  <a:stretch>
                    <a:fillRect/>
                  </a:stretch>
                </pic:blipFill>
                <pic:spPr>
                  <a:xfrm>
                    <a:off x="0" y="0"/>
                    <a:ext cx="2628000" cy="61773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754D4" w14:textId="77777777" w:rsidR="00913E4B" w:rsidRDefault="00913E4B" w:rsidP="00176C28">
    <w:pPr>
      <w:pStyle w:val="Header"/>
    </w:pPr>
    <w:r w:rsidRPr="00B325DC">
      <w:rPr>
        <w:noProof/>
        <w:lang w:eastAsia="en-AU"/>
      </w:rPr>
      <w:drawing>
        <wp:anchor distT="0" distB="0" distL="114300" distR="114300" simplePos="0" relativeHeight="251658240" behindDoc="0" locked="0" layoutInCell="1" allowOverlap="1" wp14:anchorId="2113E977" wp14:editId="13F0399F">
          <wp:simplePos x="0" y="0"/>
          <wp:positionH relativeFrom="margin">
            <wp:posOffset>-809625</wp:posOffset>
          </wp:positionH>
          <wp:positionV relativeFrom="paragraph">
            <wp:posOffset>-2620645</wp:posOffset>
          </wp:positionV>
          <wp:extent cx="10674985" cy="914400"/>
          <wp:effectExtent l="0" t="0" r="0" b="0"/>
          <wp:wrapSquare wrapText="bothSides"/>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3475_CER_Word-Doc-Ext-Portrait-Follower.png"/>
                  <pic:cNvPicPr>
                    <a:picLocks noChangeAspect="1" noChangeArrowheads="1"/>
                  </pic:cNvPicPr>
                </pic:nvPicPr>
                <pic:blipFill rotWithShape="1">
                  <a:blip r:embed="rId1">
                    <a:extLst>
                      <a:ext uri="{28A0092B-C50C-407E-A947-70E740481C1C}">
                        <a14:useLocalDpi xmlns:a14="http://schemas.microsoft.com/office/drawing/2010/main" val="0"/>
                      </a:ext>
                    </a:extLst>
                  </a:blip>
                  <a:srcRect b="9152"/>
                  <a:stretch/>
                </pic:blipFill>
                <pic:spPr bwMode="auto">
                  <a:xfrm>
                    <a:off x="0" y="0"/>
                    <a:ext cx="10674985"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D8913" w14:textId="23F80EE9" w:rsidR="00913E4B" w:rsidRDefault="00913E4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89E07" w14:textId="0A0EC94D" w:rsidR="001E6E16" w:rsidRDefault="001E6E1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A455F" w14:textId="2D076FC1" w:rsidR="000D1A50" w:rsidRDefault="009519EC" w:rsidP="00176C28">
    <w:pPr>
      <w:pStyle w:val="Header"/>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72D8E" w14:textId="36CC370E" w:rsidR="000D1A50" w:rsidRDefault="000D1A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AAA056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DFA89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5AEF5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169B0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5FC3BB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C42614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58C8A1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10723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518B58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3C0403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0F6C6C"/>
    <w:multiLevelType w:val="multilevel"/>
    <w:tmpl w:val="64CEBB0E"/>
    <w:lvl w:ilvl="0">
      <w:start w:val="1"/>
      <w:numFmt w:val="upperLetter"/>
      <w:lvlText w:val="%1."/>
      <w:lvlJc w:val="left"/>
      <w:pPr>
        <w:ind w:left="360" w:hanging="360"/>
      </w:pPr>
      <w:rPr>
        <w:rFonts w:hint="default"/>
        <w:color w:val="006C93" w:themeColor="accent3"/>
      </w:rPr>
    </w:lvl>
    <w:lvl w:ilvl="1">
      <w:start w:val="1"/>
      <w:numFmt w:val="bullet"/>
      <w:lvlText w:val="»"/>
      <w:lvlJc w:val="left"/>
      <w:pPr>
        <w:ind w:left="720" w:hanging="360"/>
      </w:pPr>
      <w:rPr>
        <w:rFonts w:ascii="Arial" w:hAnsi="Arial" w:hint="default"/>
        <w:color w:val="006C93" w:themeColor="accent3"/>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7020492"/>
    <w:multiLevelType w:val="hybridMultilevel"/>
    <w:tmpl w:val="7CD43BE6"/>
    <w:lvl w:ilvl="0" w:tplc="32D0A1EA">
      <w:start w:val="1"/>
      <w:numFmt w:val="bullet"/>
      <w:lvlText w:val=""/>
      <w:lvlJc w:val="left"/>
      <w:pPr>
        <w:ind w:left="360" w:hanging="360"/>
      </w:pPr>
      <w:rPr>
        <w:rFonts w:ascii="Symbol" w:hAnsi="Symbol" w:hint="default"/>
        <w:color w:val="006EA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7254ADB"/>
    <w:multiLevelType w:val="hybridMultilevel"/>
    <w:tmpl w:val="71EE4F1E"/>
    <w:lvl w:ilvl="0" w:tplc="BDF603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2F0B5A"/>
    <w:multiLevelType w:val="hybridMultilevel"/>
    <w:tmpl w:val="783040E2"/>
    <w:lvl w:ilvl="0" w:tplc="3DE26FD4">
      <w:start w:val="1"/>
      <w:numFmt w:val="bullet"/>
      <w:lvlText w:val="»"/>
      <w:lvlJc w:val="left"/>
      <w:pPr>
        <w:ind w:left="720" w:hanging="360"/>
      </w:pPr>
      <w:rPr>
        <w:rFonts w:ascii="Calibri" w:hAnsi="Calibri" w:hint="default"/>
        <w:color w:val="006EA6"/>
      </w:rPr>
    </w:lvl>
    <w:lvl w:ilvl="1" w:tplc="FFFFFFFF">
      <w:numFmt w:val="bullet"/>
      <w:lvlText w:val="-"/>
      <w:lvlJc w:val="left"/>
      <w:pPr>
        <w:ind w:left="1440" w:hanging="360"/>
      </w:pPr>
      <w:rPr>
        <w:rFonts w:ascii="Calibri" w:eastAsia="Cambria"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3846C51"/>
    <w:multiLevelType w:val="multilevel"/>
    <w:tmpl w:val="4F062ADC"/>
    <w:lvl w:ilvl="0">
      <w:start w:val="1"/>
      <w:numFmt w:val="bullet"/>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2C63DBB"/>
    <w:multiLevelType w:val="multilevel"/>
    <w:tmpl w:val="4F062ADC"/>
    <w:lvl w:ilvl="0">
      <w:start w:val="1"/>
      <w:numFmt w:val="bullet"/>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9706B91"/>
    <w:multiLevelType w:val="multilevel"/>
    <w:tmpl w:val="F3BAC700"/>
    <w:name w:val="CERBullets22"/>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E9556E5"/>
    <w:multiLevelType w:val="hybridMultilevel"/>
    <w:tmpl w:val="12B057AC"/>
    <w:lvl w:ilvl="0" w:tplc="90209EEC">
      <w:start w:val="1"/>
      <w:numFmt w:val="bullet"/>
      <w:pStyle w:val="Bullet2"/>
      <w:lvlText w:val="–"/>
      <w:lvlJc w:val="left"/>
      <w:pPr>
        <w:tabs>
          <w:tab w:val="num" w:pos="1134"/>
        </w:tabs>
        <w:ind w:left="1361" w:hanging="227"/>
      </w:pPr>
      <w:rPr>
        <w:rFonts w:ascii="Arial" w:hAnsi="Arial" w:cs="Aria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223EE0"/>
    <w:multiLevelType w:val="hybridMultilevel"/>
    <w:tmpl w:val="C262CF9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1B40351"/>
    <w:multiLevelType w:val="hybridMultilevel"/>
    <w:tmpl w:val="E3B4FD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6C200A7"/>
    <w:multiLevelType w:val="multilevel"/>
    <w:tmpl w:val="116CD9DE"/>
    <w:styleLink w:val="CERbulletlist"/>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95B118A"/>
    <w:multiLevelType w:val="hybridMultilevel"/>
    <w:tmpl w:val="150259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F5A1BD5"/>
    <w:multiLevelType w:val="hybridMultilevel"/>
    <w:tmpl w:val="EB304E1A"/>
    <w:name w:val="CERBullets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E75AA2"/>
    <w:multiLevelType w:val="hybridMultilevel"/>
    <w:tmpl w:val="7886329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C5352BE"/>
    <w:multiLevelType w:val="hybridMultilevel"/>
    <w:tmpl w:val="00D8C46A"/>
    <w:lvl w:ilvl="0" w:tplc="32D0A1EA">
      <w:start w:val="1"/>
      <w:numFmt w:val="bullet"/>
      <w:lvlText w:val=""/>
      <w:lvlJc w:val="left"/>
      <w:pPr>
        <w:ind w:left="720" w:hanging="360"/>
      </w:pPr>
      <w:rPr>
        <w:rFonts w:ascii="Symbol" w:hAnsi="Symbol" w:hint="default"/>
        <w:color w:val="006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5A5609"/>
    <w:multiLevelType w:val="hybridMultilevel"/>
    <w:tmpl w:val="9DCC2A04"/>
    <w:lvl w:ilvl="0" w:tplc="32D0A1EA">
      <w:start w:val="1"/>
      <w:numFmt w:val="bullet"/>
      <w:lvlText w:val=""/>
      <w:lvlJc w:val="left"/>
      <w:pPr>
        <w:ind w:left="720" w:hanging="360"/>
      </w:pPr>
      <w:rPr>
        <w:rFonts w:ascii="Symbol" w:hAnsi="Symbol" w:hint="default"/>
        <w:color w:val="006E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EA0C97"/>
    <w:multiLevelType w:val="multilevel"/>
    <w:tmpl w:val="5ECE68B6"/>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92E086C"/>
    <w:multiLevelType w:val="hybridMultilevel"/>
    <w:tmpl w:val="8FF4F144"/>
    <w:lvl w:ilvl="0" w:tplc="A37C67F6">
      <w:start w:val="1"/>
      <w:numFmt w:val="lowerRoman"/>
      <w:lvlText w:val="(%1)"/>
      <w:lvlJc w:val="left"/>
      <w:pPr>
        <w:ind w:left="100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8" w15:restartNumberingAfterBreak="0">
    <w:nsid w:val="5CFD18CA"/>
    <w:multiLevelType w:val="multilevel"/>
    <w:tmpl w:val="D5A239B8"/>
    <w:lvl w:ilvl="0">
      <w:start w:val="1"/>
      <w:numFmt w:val="decimal"/>
      <w:lvlText w:val="%1."/>
      <w:lvlJc w:val="left"/>
      <w:pPr>
        <w:ind w:left="360" w:hanging="360"/>
      </w:pPr>
      <w:rPr>
        <w:rFonts w:hint="default"/>
        <w:color w:val="006C93" w:themeColor="accent3"/>
      </w:rPr>
    </w:lvl>
    <w:lvl w:ilvl="1">
      <w:start w:val="1"/>
      <w:numFmt w:val="bullet"/>
      <w:lvlText w:val="»"/>
      <w:lvlJc w:val="left"/>
      <w:pPr>
        <w:ind w:left="720" w:hanging="360"/>
      </w:pPr>
      <w:rPr>
        <w:rFonts w:ascii="Arial" w:hAnsi="Arial" w:hint="default"/>
        <w:color w:val="005874"/>
      </w:rPr>
    </w:lvl>
    <w:lvl w:ilvl="2">
      <w:start w:val="1"/>
      <w:numFmt w:val="bullet"/>
      <w:lvlText w:val="›"/>
      <w:lvlJc w:val="left"/>
      <w:pPr>
        <w:ind w:left="1080" w:hanging="360"/>
      </w:pPr>
      <w:rPr>
        <w:rFonts w:ascii="Arial" w:hAnsi="Arial" w:hint="default"/>
        <w:color w:val="00587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F9804FA"/>
    <w:multiLevelType w:val="hybridMultilevel"/>
    <w:tmpl w:val="0FBAB82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33712A8"/>
    <w:multiLevelType w:val="hybridMultilevel"/>
    <w:tmpl w:val="4CB05110"/>
    <w:lvl w:ilvl="0" w:tplc="3DE26FD4">
      <w:start w:val="1"/>
      <w:numFmt w:val="bullet"/>
      <w:lvlText w:val="»"/>
      <w:lvlJc w:val="left"/>
      <w:pPr>
        <w:ind w:left="720" w:hanging="360"/>
      </w:pPr>
      <w:rPr>
        <w:rFonts w:ascii="Calibri" w:hAnsi="Calibri" w:hint="default"/>
        <w:color w:val="006EA6"/>
      </w:rPr>
    </w:lvl>
    <w:lvl w:ilvl="1" w:tplc="B380B9E2">
      <w:numFmt w:val="bullet"/>
      <w:lvlText w:val="-"/>
      <w:lvlJc w:val="left"/>
      <w:pPr>
        <w:ind w:left="1440" w:hanging="360"/>
      </w:pPr>
      <w:rPr>
        <w:rFonts w:ascii="Calibri" w:eastAsia="Cambria"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956C20"/>
    <w:multiLevelType w:val="multilevel"/>
    <w:tmpl w:val="116CD9DE"/>
    <w:lvl w:ilvl="0">
      <w:start w:val="1"/>
      <w:numFmt w:val="bullet"/>
      <w:lvlText w:val=""/>
      <w:lvlJc w:val="left"/>
      <w:pPr>
        <w:ind w:left="360" w:hanging="360"/>
      </w:pPr>
      <w:rPr>
        <w:rFonts w:ascii="Symbol" w:hAnsi="Symbol" w:hint="default"/>
        <w:color w:val="006EA6"/>
      </w:rPr>
    </w:lvl>
    <w:lvl w:ilvl="1">
      <w:start w:val="1"/>
      <w:numFmt w:val="bullet"/>
      <w:lvlText w:val="»"/>
      <w:lvlJc w:val="left"/>
      <w:pPr>
        <w:ind w:left="720" w:hanging="360"/>
      </w:pPr>
      <w:rPr>
        <w:rFonts w:ascii="Arial" w:hAnsi="Arial" w:hint="default"/>
        <w:color w:val="006EA6"/>
      </w:rPr>
    </w:lvl>
    <w:lvl w:ilvl="2">
      <w:start w:val="1"/>
      <w:numFmt w:val="bullet"/>
      <w:lvlText w:val="›"/>
      <w:lvlJc w:val="left"/>
      <w:pPr>
        <w:ind w:left="1080" w:hanging="360"/>
      </w:pPr>
      <w:rPr>
        <w:rFonts w:ascii="Arial" w:hAnsi="Arial" w:hint="default"/>
        <w:color w:val="006EA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1605312"/>
    <w:multiLevelType w:val="hybridMultilevel"/>
    <w:tmpl w:val="058C3F8C"/>
    <w:lvl w:ilvl="0" w:tplc="6ABE5874">
      <w:start w:val="1"/>
      <w:numFmt w:val="bullet"/>
      <w:lvlText w:val=""/>
      <w:lvlJc w:val="left"/>
      <w:pPr>
        <w:ind w:left="360" w:hanging="360"/>
      </w:pPr>
      <w:rPr>
        <w:rFonts w:ascii="Symbol" w:hAnsi="Symbol" w:hint="default"/>
        <w:color w:val="006EA6"/>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79DB23C0"/>
    <w:multiLevelType w:val="multilevel"/>
    <w:tmpl w:val="462C80E8"/>
    <w:lvl w:ilvl="0">
      <w:start w:val="1"/>
      <w:numFmt w:val="bullet"/>
      <w:pStyle w:val="CERbullets"/>
      <w:lvlText w:val=""/>
      <w:lvlJc w:val="left"/>
      <w:pPr>
        <w:ind w:left="360" w:hanging="360"/>
      </w:pPr>
      <w:rPr>
        <w:rFonts w:ascii="Symbol" w:hAnsi="Symbol" w:hint="default"/>
        <w:color w:val="006C93" w:themeColor="accent3"/>
      </w:rPr>
    </w:lvl>
    <w:lvl w:ilvl="1">
      <w:start w:val="1"/>
      <w:numFmt w:val="bullet"/>
      <w:lvlText w:val="»"/>
      <w:lvlJc w:val="left"/>
      <w:pPr>
        <w:ind w:left="720" w:hanging="360"/>
      </w:pPr>
      <w:rPr>
        <w:rFonts w:ascii="Calibri" w:hAnsi="Calibri" w:hint="default"/>
        <w:color w:val="006EA6"/>
      </w:rPr>
    </w:lvl>
    <w:lvl w:ilvl="2">
      <w:start w:val="1"/>
      <w:numFmt w:val="bullet"/>
      <w:lvlText w:val="›"/>
      <w:lvlJc w:val="left"/>
      <w:pPr>
        <w:ind w:left="1080" w:hanging="360"/>
      </w:pPr>
      <w:rPr>
        <w:rFonts w:ascii="Arial" w:hAnsi="Arial" w:hint="default"/>
        <w:color w:val="006C93"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E096033"/>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014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16896475">
    <w:abstractNumId w:val="33"/>
  </w:num>
  <w:num w:numId="2" w16cid:durableId="1716151732">
    <w:abstractNumId w:val="28"/>
  </w:num>
  <w:num w:numId="3" w16cid:durableId="1734280859">
    <w:abstractNumId w:val="34"/>
  </w:num>
  <w:num w:numId="4" w16cid:durableId="561984527">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11733602">
    <w:abstractNumId w:val="17"/>
  </w:num>
  <w:num w:numId="6" w16cid:durableId="519439705">
    <w:abstractNumId w:val="11"/>
  </w:num>
  <w:num w:numId="7" w16cid:durableId="226846549">
    <w:abstractNumId w:val="32"/>
  </w:num>
  <w:num w:numId="8" w16cid:durableId="1202281538">
    <w:abstractNumId w:val="26"/>
  </w:num>
  <w:num w:numId="9" w16cid:durableId="418719345">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3869435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16628838">
    <w:abstractNumId w:val="20"/>
  </w:num>
  <w:num w:numId="12" w16cid:durableId="136849915">
    <w:abstractNumId w:val="31"/>
    <w:lvlOverride w:ilvl="0">
      <w:lvl w:ilvl="0">
        <w:start w:val="1"/>
        <w:numFmt w:val="bullet"/>
        <w:lvlText w:val=""/>
        <w:lvlJc w:val="left"/>
        <w:pPr>
          <w:ind w:left="360" w:hanging="360"/>
        </w:pPr>
        <w:rPr>
          <w:rFonts w:ascii="Symbol" w:hAnsi="Symbol" w:hint="default"/>
          <w:color w:val="005874"/>
        </w:rPr>
      </w:lvl>
    </w:lvlOverride>
    <w:lvlOverride w:ilvl="1">
      <w:lvl w:ilvl="1">
        <w:start w:val="1"/>
        <w:numFmt w:val="bullet"/>
        <w:lvlText w:val="»"/>
        <w:lvlJc w:val="left"/>
        <w:pPr>
          <w:ind w:left="720" w:hanging="360"/>
        </w:pPr>
        <w:rPr>
          <w:rFonts w:ascii="Arial" w:hAnsi="Arial" w:hint="default"/>
          <w:color w:val="005874"/>
        </w:rPr>
      </w:lvl>
    </w:lvlOverride>
    <w:lvlOverride w:ilvl="2">
      <w:lvl w:ilvl="2">
        <w:start w:val="1"/>
        <w:numFmt w:val="bullet"/>
        <w:lvlText w:val="›"/>
        <w:lvlJc w:val="left"/>
        <w:pPr>
          <w:ind w:left="1080" w:hanging="360"/>
        </w:pPr>
        <w:rPr>
          <w:rFonts w:ascii="Arial" w:hAnsi="Arial" w:hint="default"/>
          <w:color w:val="005874"/>
        </w:rPr>
      </w:lvl>
    </w:lvlOverride>
  </w:num>
  <w:num w:numId="13" w16cid:durableId="1083180467">
    <w:abstractNumId w:val="24"/>
  </w:num>
  <w:num w:numId="14" w16cid:durableId="1997494569">
    <w:abstractNumId w:val="25"/>
  </w:num>
  <w:num w:numId="15" w16cid:durableId="797456441">
    <w:abstractNumId w:val="14"/>
  </w:num>
  <w:num w:numId="16" w16cid:durableId="945037382">
    <w:abstractNumId w:val="15"/>
  </w:num>
  <w:num w:numId="17" w16cid:durableId="1438256204">
    <w:abstractNumId w:val="22"/>
  </w:num>
  <w:num w:numId="18" w16cid:durableId="511728547">
    <w:abstractNumId w:val="30"/>
  </w:num>
  <w:num w:numId="19" w16cid:durableId="1493913243">
    <w:abstractNumId w:val="29"/>
  </w:num>
  <w:num w:numId="20" w16cid:durableId="580870268">
    <w:abstractNumId w:val="13"/>
  </w:num>
  <w:num w:numId="21" w16cid:durableId="327053287">
    <w:abstractNumId w:val="21"/>
  </w:num>
  <w:num w:numId="22" w16cid:durableId="1637446027">
    <w:abstractNumId w:val="23"/>
  </w:num>
  <w:num w:numId="23" w16cid:durableId="2113552108">
    <w:abstractNumId w:val="19"/>
  </w:num>
  <w:num w:numId="24" w16cid:durableId="931089741">
    <w:abstractNumId w:val="27"/>
  </w:num>
  <w:num w:numId="25" w16cid:durableId="354696046">
    <w:abstractNumId w:val="18"/>
  </w:num>
  <w:num w:numId="26" w16cid:durableId="167062484">
    <w:abstractNumId w:val="12"/>
  </w:num>
  <w:num w:numId="27" w16cid:durableId="683363584">
    <w:abstractNumId w:val="10"/>
  </w:num>
  <w:num w:numId="28" w16cid:durableId="1102190795">
    <w:abstractNumId w:val="9"/>
  </w:num>
  <w:num w:numId="29" w16cid:durableId="1904753897">
    <w:abstractNumId w:val="7"/>
  </w:num>
  <w:num w:numId="30" w16cid:durableId="339160444">
    <w:abstractNumId w:val="6"/>
  </w:num>
  <w:num w:numId="31" w16cid:durableId="1009412666">
    <w:abstractNumId w:val="5"/>
  </w:num>
  <w:num w:numId="32" w16cid:durableId="2008090541">
    <w:abstractNumId w:val="4"/>
  </w:num>
  <w:num w:numId="33" w16cid:durableId="1847750712">
    <w:abstractNumId w:val="8"/>
  </w:num>
  <w:num w:numId="34" w16cid:durableId="883756398">
    <w:abstractNumId w:val="3"/>
  </w:num>
  <w:num w:numId="35" w16cid:durableId="1615861357">
    <w:abstractNumId w:val="2"/>
  </w:num>
  <w:num w:numId="36" w16cid:durableId="656037379">
    <w:abstractNumId w:val="1"/>
  </w:num>
  <w:num w:numId="37" w16cid:durableId="1933705947">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1" w:spinCount="100000" w:hashValue="seAlGpsFkp2N/sNt+QJZH1l3kSxNi+mzHtLc4YwEVgY=" w:saltValue="o/qO0BpXFcSxXc8V8fp6WA==" w:algorithmName="SHA-256"/>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DFF374A-0934-4A71-A184-665D65176B3A}"/>
    <w:docVar w:name="dgnword-eventsink" w:val="2702178462176"/>
  </w:docVars>
  <w:rsids>
    <w:rsidRoot w:val="002D30B2"/>
    <w:rsid w:val="000000BC"/>
    <w:rsid w:val="00000165"/>
    <w:rsid w:val="00000179"/>
    <w:rsid w:val="000003FC"/>
    <w:rsid w:val="0000062F"/>
    <w:rsid w:val="000007C8"/>
    <w:rsid w:val="00000A1F"/>
    <w:rsid w:val="00000E43"/>
    <w:rsid w:val="00000FF9"/>
    <w:rsid w:val="00001024"/>
    <w:rsid w:val="0000104F"/>
    <w:rsid w:val="00001129"/>
    <w:rsid w:val="00001398"/>
    <w:rsid w:val="000016DC"/>
    <w:rsid w:val="00001A8A"/>
    <w:rsid w:val="00001BD5"/>
    <w:rsid w:val="00001C06"/>
    <w:rsid w:val="00001CDA"/>
    <w:rsid w:val="00002215"/>
    <w:rsid w:val="0000243C"/>
    <w:rsid w:val="000024EC"/>
    <w:rsid w:val="000028D3"/>
    <w:rsid w:val="00002B1E"/>
    <w:rsid w:val="00002BC1"/>
    <w:rsid w:val="00002C8B"/>
    <w:rsid w:val="00002CF0"/>
    <w:rsid w:val="00002F75"/>
    <w:rsid w:val="00003171"/>
    <w:rsid w:val="00003571"/>
    <w:rsid w:val="000037A4"/>
    <w:rsid w:val="000037AD"/>
    <w:rsid w:val="00003AFC"/>
    <w:rsid w:val="00003E5E"/>
    <w:rsid w:val="00003FCB"/>
    <w:rsid w:val="0000408D"/>
    <w:rsid w:val="00004218"/>
    <w:rsid w:val="0000472A"/>
    <w:rsid w:val="00004C16"/>
    <w:rsid w:val="00004DA7"/>
    <w:rsid w:val="00005011"/>
    <w:rsid w:val="00005734"/>
    <w:rsid w:val="000059C4"/>
    <w:rsid w:val="00005A30"/>
    <w:rsid w:val="00005E04"/>
    <w:rsid w:val="00005FC9"/>
    <w:rsid w:val="0000650C"/>
    <w:rsid w:val="00006798"/>
    <w:rsid w:val="000069BC"/>
    <w:rsid w:val="000069C6"/>
    <w:rsid w:val="00006F8D"/>
    <w:rsid w:val="00007186"/>
    <w:rsid w:val="00007317"/>
    <w:rsid w:val="00007760"/>
    <w:rsid w:val="00007926"/>
    <w:rsid w:val="00007A97"/>
    <w:rsid w:val="00007CC0"/>
    <w:rsid w:val="00010435"/>
    <w:rsid w:val="000106B1"/>
    <w:rsid w:val="000107B9"/>
    <w:rsid w:val="00010B5F"/>
    <w:rsid w:val="00010E20"/>
    <w:rsid w:val="000110A5"/>
    <w:rsid w:val="000115EC"/>
    <w:rsid w:val="00011733"/>
    <w:rsid w:val="00011CB5"/>
    <w:rsid w:val="00012109"/>
    <w:rsid w:val="0001217C"/>
    <w:rsid w:val="00012396"/>
    <w:rsid w:val="0001239C"/>
    <w:rsid w:val="000123B1"/>
    <w:rsid w:val="000124CE"/>
    <w:rsid w:val="00012537"/>
    <w:rsid w:val="000125E3"/>
    <w:rsid w:val="00012908"/>
    <w:rsid w:val="00012D23"/>
    <w:rsid w:val="00013135"/>
    <w:rsid w:val="000132B6"/>
    <w:rsid w:val="000132D8"/>
    <w:rsid w:val="00013787"/>
    <w:rsid w:val="000138D5"/>
    <w:rsid w:val="00013A0E"/>
    <w:rsid w:val="00013C67"/>
    <w:rsid w:val="00013C82"/>
    <w:rsid w:val="00013E50"/>
    <w:rsid w:val="00014492"/>
    <w:rsid w:val="00014498"/>
    <w:rsid w:val="000144F7"/>
    <w:rsid w:val="000145E2"/>
    <w:rsid w:val="00014B0B"/>
    <w:rsid w:val="00014C47"/>
    <w:rsid w:val="00014DB3"/>
    <w:rsid w:val="00015032"/>
    <w:rsid w:val="000151D4"/>
    <w:rsid w:val="00015357"/>
    <w:rsid w:val="000159BF"/>
    <w:rsid w:val="00015B97"/>
    <w:rsid w:val="00015C1D"/>
    <w:rsid w:val="00016018"/>
    <w:rsid w:val="0001607B"/>
    <w:rsid w:val="00016165"/>
    <w:rsid w:val="0001677C"/>
    <w:rsid w:val="000167D6"/>
    <w:rsid w:val="0001680D"/>
    <w:rsid w:val="00016F94"/>
    <w:rsid w:val="000172A7"/>
    <w:rsid w:val="00017423"/>
    <w:rsid w:val="00017466"/>
    <w:rsid w:val="0001760D"/>
    <w:rsid w:val="00017C64"/>
    <w:rsid w:val="00017D20"/>
    <w:rsid w:val="00017FAC"/>
    <w:rsid w:val="00020069"/>
    <w:rsid w:val="000202AF"/>
    <w:rsid w:val="000204C3"/>
    <w:rsid w:val="000205C3"/>
    <w:rsid w:val="000208C1"/>
    <w:rsid w:val="00020A07"/>
    <w:rsid w:val="00021179"/>
    <w:rsid w:val="00021676"/>
    <w:rsid w:val="00021768"/>
    <w:rsid w:val="00021969"/>
    <w:rsid w:val="00021B32"/>
    <w:rsid w:val="00021B35"/>
    <w:rsid w:val="00021B8E"/>
    <w:rsid w:val="00021E8D"/>
    <w:rsid w:val="00021EF8"/>
    <w:rsid w:val="000223E9"/>
    <w:rsid w:val="000224EC"/>
    <w:rsid w:val="000225AC"/>
    <w:rsid w:val="000226A3"/>
    <w:rsid w:val="00022C2A"/>
    <w:rsid w:val="00022E18"/>
    <w:rsid w:val="00022E60"/>
    <w:rsid w:val="000232B8"/>
    <w:rsid w:val="00023B95"/>
    <w:rsid w:val="00023B9B"/>
    <w:rsid w:val="00023CBB"/>
    <w:rsid w:val="00023D4F"/>
    <w:rsid w:val="00023F4A"/>
    <w:rsid w:val="00024314"/>
    <w:rsid w:val="0002445C"/>
    <w:rsid w:val="000244E8"/>
    <w:rsid w:val="0002468B"/>
    <w:rsid w:val="00024D51"/>
    <w:rsid w:val="00024EB6"/>
    <w:rsid w:val="000250F3"/>
    <w:rsid w:val="00025305"/>
    <w:rsid w:val="00025335"/>
    <w:rsid w:val="00025536"/>
    <w:rsid w:val="0002554F"/>
    <w:rsid w:val="00025588"/>
    <w:rsid w:val="000256B9"/>
    <w:rsid w:val="000257A5"/>
    <w:rsid w:val="0002588A"/>
    <w:rsid w:val="00025A90"/>
    <w:rsid w:val="00025D1B"/>
    <w:rsid w:val="00025F90"/>
    <w:rsid w:val="00026409"/>
    <w:rsid w:val="0002691B"/>
    <w:rsid w:val="000269B0"/>
    <w:rsid w:val="000270C1"/>
    <w:rsid w:val="000273DB"/>
    <w:rsid w:val="000274CF"/>
    <w:rsid w:val="00027642"/>
    <w:rsid w:val="000276B9"/>
    <w:rsid w:val="000276C5"/>
    <w:rsid w:val="00027727"/>
    <w:rsid w:val="00027817"/>
    <w:rsid w:val="00027A15"/>
    <w:rsid w:val="00027C90"/>
    <w:rsid w:val="00027D3B"/>
    <w:rsid w:val="000303E1"/>
    <w:rsid w:val="000308D3"/>
    <w:rsid w:val="00030B15"/>
    <w:rsid w:val="00030CAC"/>
    <w:rsid w:val="00030ECC"/>
    <w:rsid w:val="00031016"/>
    <w:rsid w:val="00031027"/>
    <w:rsid w:val="00031090"/>
    <w:rsid w:val="00031091"/>
    <w:rsid w:val="00031214"/>
    <w:rsid w:val="0003137B"/>
    <w:rsid w:val="000314A0"/>
    <w:rsid w:val="000314F6"/>
    <w:rsid w:val="000315DF"/>
    <w:rsid w:val="00031B20"/>
    <w:rsid w:val="00031D40"/>
    <w:rsid w:val="00031FF9"/>
    <w:rsid w:val="00032E4A"/>
    <w:rsid w:val="000330F2"/>
    <w:rsid w:val="00033276"/>
    <w:rsid w:val="0003335A"/>
    <w:rsid w:val="00033427"/>
    <w:rsid w:val="00033456"/>
    <w:rsid w:val="000335F7"/>
    <w:rsid w:val="00033640"/>
    <w:rsid w:val="00033BB0"/>
    <w:rsid w:val="00033CCC"/>
    <w:rsid w:val="00033F1A"/>
    <w:rsid w:val="00033F7D"/>
    <w:rsid w:val="00034228"/>
    <w:rsid w:val="00034363"/>
    <w:rsid w:val="000343CA"/>
    <w:rsid w:val="00034820"/>
    <w:rsid w:val="00034CDD"/>
    <w:rsid w:val="00034ECB"/>
    <w:rsid w:val="00034F75"/>
    <w:rsid w:val="00035203"/>
    <w:rsid w:val="000352C6"/>
    <w:rsid w:val="00035321"/>
    <w:rsid w:val="0003582F"/>
    <w:rsid w:val="00036517"/>
    <w:rsid w:val="00036709"/>
    <w:rsid w:val="0003732A"/>
    <w:rsid w:val="0003778C"/>
    <w:rsid w:val="000378B6"/>
    <w:rsid w:val="0003791D"/>
    <w:rsid w:val="000379D5"/>
    <w:rsid w:val="00037EF6"/>
    <w:rsid w:val="00040240"/>
    <w:rsid w:val="00040514"/>
    <w:rsid w:val="00040872"/>
    <w:rsid w:val="00040889"/>
    <w:rsid w:val="000408B9"/>
    <w:rsid w:val="000409D1"/>
    <w:rsid w:val="00040A41"/>
    <w:rsid w:val="00040A76"/>
    <w:rsid w:val="00040E45"/>
    <w:rsid w:val="000413A6"/>
    <w:rsid w:val="000413BC"/>
    <w:rsid w:val="0004152B"/>
    <w:rsid w:val="0004157E"/>
    <w:rsid w:val="0004164C"/>
    <w:rsid w:val="00041676"/>
    <w:rsid w:val="000417BE"/>
    <w:rsid w:val="00041E02"/>
    <w:rsid w:val="00041EEE"/>
    <w:rsid w:val="00041F08"/>
    <w:rsid w:val="000420FE"/>
    <w:rsid w:val="000421A6"/>
    <w:rsid w:val="000423A5"/>
    <w:rsid w:val="000424C0"/>
    <w:rsid w:val="0004264E"/>
    <w:rsid w:val="00042706"/>
    <w:rsid w:val="00042710"/>
    <w:rsid w:val="000427C4"/>
    <w:rsid w:val="0004283B"/>
    <w:rsid w:val="00042845"/>
    <w:rsid w:val="00042AC0"/>
    <w:rsid w:val="00042B2C"/>
    <w:rsid w:val="00042B31"/>
    <w:rsid w:val="00042EBE"/>
    <w:rsid w:val="000438E0"/>
    <w:rsid w:val="000439D9"/>
    <w:rsid w:val="00043C24"/>
    <w:rsid w:val="000440ED"/>
    <w:rsid w:val="00044158"/>
    <w:rsid w:val="000442A4"/>
    <w:rsid w:val="000442F7"/>
    <w:rsid w:val="0004457E"/>
    <w:rsid w:val="000447B1"/>
    <w:rsid w:val="0004487F"/>
    <w:rsid w:val="00044CA5"/>
    <w:rsid w:val="00044E1D"/>
    <w:rsid w:val="00045573"/>
    <w:rsid w:val="000457C7"/>
    <w:rsid w:val="00045F52"/>
    <w:rsid w:val="00046267"/>
    <w:rsid w:val="00046734"/>
    <w:rsid w:val="00046F7C"/>
    <w:rsid w:val="00047196"/>
    <w:rsid w:val="00047278"/>
    <w:rsid w:val="0004747B"/>
    <w:rsid w:val="00047BB8"/>
    <w:rsid w:val="00047E8D"/>
    <w:rsid w:val="00050022"/>
    <w:rsid w:val="00050351"/>
    <w:rsid w:val="00050735"/>
    <w:rsid w:val="0005093C"/>
    <w:rsid w:val="00050BFE"/>
    <w:rsid w:val="00051300"/>
    <w:rsid w:val="000514C3"/>
    <w:rsid w:val="0005159F"/>
    <w:rsid w:val="000521D4"/>
    <w:rsid w:val="000521EE"/>
    <w:rsid w:val="0005245B"/>
    <w:rsid w:val="000526CB"/>
    <w:rsid w:val="00052F16"/>
    <w:rsid w:val="00053123"/>
    <w:rsid w:val="00053327"/>
    <w:rsid w:val="000536A4"/>
    <w:rsid w:val="000539A0"/>
    <w:rsid w:val="00053E3C"/>
    <w:rsid w:val="0005403B"/>
    <w:rsid w:val="00054081"/>
    <w:rsid w:val="000543DC"/>
    <w:rsid w:val="00054D14"/>
    <w:rsid w:val="00054DC7"/>
    <w:rsid w:val="00054EEA"/>
    <w:rsid w:val="00055369"/>
    <w:rsid w:val="0005562C"/>
    <w:rsid w:val="000559CB"/>
    <w:rsid w:val="00055B1D"/>
    <w:rsid w:val="00055D3B"/>
    <w:rsid w:val="00055E8A"/>
    <w:rsid w:val="000561FA"/>
    <w:rsid w:val="00056386"/>
    <w:rsid w:val="0005674B"/>
    <w:rsid w:val="00056841"/>
    <w:rsid w:val="00056F0C"/>
    <w:rsid w:val="00056FF0"/>
    <w:rsid w:val="00057350"/>
    <w:rsid w:val="00057448"/>
    <w:rsid w:val="00057554"/>
    <w:rsid w:val="0005758F"/>
    <w:rsid w:val="000576B9"/>
    <w:rsid w:val="00057A3D"/>
    <w:rsid w:val="00057BD3"/>
    <w:rsid w:val="00057EC0"/>
    <w:rsid w:val="00057FB7"/>
    <w:rsid w:val="00060345"/>
    <w:rsid w:val="00060633"/>
    <w:rsid w:val="00060A66"/>
    <w:rsid w:val="00060CCF"/>
    <w:rsid w:val="00060EAE"/>
    <w:rsid w:val="00060FAD"/>
    <w:rsid w:val="00060FE3"/>
    <w:rsid w:val="000610A7"/>
    <w:rsid w:val="000610F5"/>
    <w:rsid w:val="00061853"/>
    <w:rsid w:val="00061A55"/>
    <w:rsid w:val="00061AA7"/>
    <w:rsid w:val="00061E04"/>
    <w:rsid w:val="0006255E"/>
    <w:rsid w:val="000627C0"/>
    <w:rsid w:val="00062915"/>
    <w:rsid w:val="00062D69"/>
    <w:rsid w:val="00062E0E"/>
    <w:rsid w:val="00063054"/>
    <w:rsid w:val="000631CF"/>
    <w:rsid w:val="00063552"/>
    <w:rsid w:val="000639AD"/>
    <w:rsid w:val="00063A77"/>
    <w:rsid w:val="00063B38"/>
    <w:rsid w:val="00063C34"/>
    <w:rsid w:val="000640E2"/>
    <w:rsid w:val="00064384"/>
    <w:rsid w:val="0006438D"/>
    <w:rsid w:val="00064572"/>
    <w:rsid w:val="00064A74"/>
    <w:rsid w:val="00064B2C"/>
    <w:rsid w:val="00064BE1"/>
    <w:rsid w:val="000653FC"/>
    <w:rsid w:val="00065802"/>
    <w:rsid w:val="00065E3A"/>
    <w:rsid w:val="000664F2"/>
    <w:rsid w:val="00066CEA"/>
    <w:rsid w:val="00067181"/>
    <w:rsid w:val="000672EC"/>
    <w:rsid w:val="000673B0"/>
    <w:rsid w:val="00067517"/>
    <w:rsid w:val="00067544"/>
    <w:rsid w:val="000678AA"/>
    <w:rsid w:val="000678ED"/>
    <w:rsid w:val="00067B90"/>
    <w:rsid w:val="0007022D"/>
    <w:rsid w:val="0007039F"/>
    <w:rsid w:val="00070685"/>
    <w:rsid w:val="00070751"/>
    <w:rsid w:val="0007086A"/>
    <w:rsid w:val="00070E5C"/>
    <w:rsid w:val="00070F58"/>
    <w:rsid w:val="0007128E"/>
    <w:rsid w:val="0007144E"/>
    <w:rsid w:val="000715AA"/>
    <w:rsid w:val="00071645"/>
    <w:rsid w:val="0007167A"/>
    <w:rsid w:val="00071948"/>
    <w:rsid w:val="0007194C"/>
    <w:rsid w:val="000719EE"/>
    <w:rsid w:val="00071A00"/>
    <w:rsid w:val="00071A65"/>
    <w:rsid w:val="00071ABD"/>
    <w:rsid w:val="0007205E"/>
    <w:rsid w:val="000720B7"/>
    <w:rsid w:val="00072104"/>
    <w:rsid w:val="00072145"/>
    <w:rsid w:val="00072193"/>
    <w:rsid w:val="000725F1"/>
    <w:rsid w:val="00072799"/>
    <w:rsid w:val="00072BA2"/>
    <w:rsid w:val="00072E1C"/>
    <w:rsid w:val="00072ED3"/>
    <w:rsid w:val="00072F6D"/>
    <w:rsid w:val="0007399A"/>
    <w:rsid w:val="00073B2A"/>
    <w:rsid w:val="00073BB3"/>
    <w:rsid w:val="00073C0A"/>
    <w:rsid w:val="00073D59"/>
    <w:rsid w:val="00074128"/>
    <w:rsid w:val="000745A6"/>
    <w:rsid w:val="0007473C"/>
    <w:rsid w:val="0007480A"/>
    <w:rsid w:val="00074EC9"/>
    <w:rsid w:val="0007502A"/>
    <w:rsid w:val="0007552E"/>
    <w:rsid w:val="000759BC"/>
    <w:rsid w:val="00075AF8"/>
    <w:rsid w:val="00075BDC"/>
    <w:rsid w:val="00075EA6"/>
    <w:rsid w:val="00075F8F"/>
    <w:rsid w:val="00076239"/>
    <w:rsid w:val="0007641F"/>
    <w:rsid w:val="00076650"/>
    <w:rsid w:val="0007715F"/>
    <w:rsid w:val="000772C0"/>
    <w:rsid w:val="000772DB"/>
    <w:rsid w:val="0007771F"/>
    <w:rsid w:val="00077A15"/>
    <w:rsid w:val="00077B86"/>
    <w:rsid w:val="00077BA4"/>
    <w:rsid w:val="00077D7E"/>
    <w:rsid w:val="000807AB"/>
    <w:rsid w:val="00082022"/>
    <w:rsid w:val="00082811"/>
    <w:rsid w:val="00082948"/>
    <w:rsid w:val="000829A5"/>
    <w:rsid w:val="00082EE1"/>
    <w:rsid w:val="00082F57"/>
    <w:rsid w:val="000831D1"/>
    <w:rsid w:val="00083327"/>
    <w:rsid w:val="0008338C"/>
    <w:rsid w:val="00083BEE"/>
    <w:rsid w:val="00083D03"/>
    <w:rsid w:val="00083FFC"/>
    <w:rsid w:val="00084015"/>
    <w:rsid w:val="00084295"/>
    <w:rsid w:val="000842B5"/>
    <w:rsid w:val="0008463D"/>
    <w:rsid w:val="0008485B"/>
    <w:rsid w:val="00084932"/>
    <w:rsid w:val="00084C87"/>
    <w:rsid w:val="00084DD5"/>
    <w:rsid w:val="00084E49"/>
    <w:rsid w:val="00084E58"/>
    <w:rsid w:val="00085082"/>
    <w:rsid w:val="00085575"/>
    <w:rsid w:val="00085726"/>
    <w:rsid w:val="00085864"/>
    <w:rsid w:val="00085961"/>
    <w:rsid w:val="000859F6"/>
    <w:rsid w:val="00085DB3"/>
    <w:rsid w:val="00085E66"/>
    <w:rsid w:val="000866C7"/>
    <w:rsid w:val="0008698B"/>
    <w:rsid w:val="00086BC7"/>
    <w:rsid w:val="000871D9"/>
    <w:rsid w:val="000871F4"/>
    <w:rsid w:val="00087247"/>
    <w:rsid w:val="000873E6"/>
    <w:rsid w:val="0008770B"/>
    <w:rsid w:val="00090360"/>
    <w:rsid w:val="000905B7"/>
    <w:rsid w:val="000906DE"/>
    <w:rsid w:val="0009090C"/>
    <w:rsid w:val="00090B6E"/>
    <w:rsid w:val="00090FA9"/>
    <w:rsid w:val="00091090"/>
    <w:rsid w:val="00091422"/>
    <w:rsid w:val="0009152E"/>
    <w:rsid w:val="0009175B"/>
    <w:rsid w:val="00091B34"/>
    <w:rsid w:val="000920D7"/>
    <w:rsid w:val="00092325"/>
    <w:rsid w:val="00092435"/>
    <w:rsid w:val="000926CB"/>
    <w:rsid w:val="0009288C"/>
    <w:rsid w:val="00093192"/>
    <w:rsid w:val="000932B7"/>
    <w:rsid w:val="000934B8"/>
    <w:rsid w:val="000934F7"/>
    <w:rsid w:val="000935F7"/>
    <w:rsid w:val="00093702"/>
    <w:rsid w:val="0009392A"/>
    <w:rsid w:val="000939F8"/>
    <w:rsid w:val="00093E25"/>
    <w:rsid w:val="00093EA7"/>
    <w:rsid w:val="00094554"/>
    <w:rsid w:val="0009464B"/>
    <w:rsid w:val="00094C21"/>
    <w:rsid w:val="00094EC3"/>
    <w:rsid w:val="00094F27"/>
    <w:rsid w:val="000958B0"/>
    <w:rsid w:val="00095A9F"/>
    <w:rsid w:val="00095ADB"/>
    <w:rsid w:val="000963AC"/>
    <w:rsid w:val="000963CE"/>
    <w:rsid w:val="00096878"/>
    <w:rsid w:val="00096E00"/>
    <w:rsid w:val="00096E44"/>
    <w:rsid w:val="0009705C"/>
    <w:rsid w:val="000978E4"/>
    <w:rsid w:val="00097ACB"/>
    <w:rsid w:val="00097EF4"/>
    <w:rsid w:val="000A008E"/>
    <w:rsid w:val="000A015A"/>
    <w:rsid w:val="000A01A6"/>
    <w:rsid w:val="000A031C"/>
    <w:rsid w:val="000A0409"/>
    <w:rsid w:val="000A047F"/>
    <w:rsid w:val="000A04B4"/>
    <w:rsid w:val="000A0529"/>
    <w:rsid w:val="000A07E0"/>
    <w:rsid w:val="000A08DD"/>
    <w:rsid w:val="000A0DD5"/>
    <w:rsid w:val="000A0E4D"/>
    <w:rsid w:val="000A1127"/>
    <w:rsid w:val="000A14F8"/>
    <w:rsid w:val="000A18D8"/>
    <w:rsid w:val="000A1F80"/>
    <w:rsid w:val="000A1F81"/>
    <w:rsid w:val="000A1FEC"/>
    <w:rsid w:val="000A223B"/>
    <w:rsid w:val="000A252B"/>
    <w:rsid w:val="000A2BF0"/>
    <w:rsid w:val="000A2DA5"/>
    <w:rsid w:val="000A2FF3"/>
    <w:rsid w:val="000A3671"/>
    <w:rsid w:val="000A3BC0"/>
    <w:rsid w:val="000A3C13"/>
    <w:rsid w:val="000A3FF0"/>
    <w:rsid w:val="000A40A9"/>
    <w:rsid w:val="000A40D2"/>
    <w:rsid w:val="000A412F"/>
    <w:rsid w:val="000A4147"/>
    <w:rsid w:val="000A4322"/>
    <w:rsid w:val="000A4594"/>
    <w:rsid w:val="000A4967"/>
    <w:rsid w:val="000A4EE9"/>
    <w:rsid w:val="000A4FAC"/>
    <w:rsid w:val="000A55E6"/>
    <w:rsid w:val="000A5623"/>
    <w:rsid w:val="000A56ED"/>
    <w:rsid w:val="000A57E2"/>
    <w:rsid w:val="000A58C9"/>
    <w:rsid w:val="000A5947"/>
    <w:rsid w:val="000A5AB6"/>
    <w:rsid w:val="000A5D50"/>
    <w:rsid w:val="000A6410"/>
    <w:rsid w:val="000A6650"/>
    <w:rsid w:val="000A6683"/>
    <w:rsid w:val="000A682B"/>
    <w:rsid w:val="000A6AC8"/>
    <w:rsid w:val="000A717D"/>
    <w:rsid w:val="000A7185"/>
    <w:rsid w:val="000A7255"/>
    <w:rsid w:val="000A785B"/>
    <w:rsid w:val="000A7AFF"/>
    <w:rsid w:val="000A7C84"/>
    <w:rsid w:val="000A7D9E"/>
    <w:rsid w:val="000B02B4"/>
    <w:rsid w:val="000B0366"/>
    <w:rsid w:val="000B0821"/>
    <w:rsid w:val="000B089D"/>
    <w:rsid w:val="000B093F"/>
    <w:rsid w:val="000B0A77"/>
    <w:rsid w:val="000B0B20"/>
    <w:rsid w:val="000B0BAE"/>
    <w:rsid w:val="000B0EFD"/>
    <w:rsid w:val="000B1096"/>
    <w:rsid w:val="000B1189"/>
    <w:rsid w:val="000B158C"/>
    <w:rsid w:val="000B1845"/>
    <w:rsid w:val="000B1A92"/>
    <w:rsid w:val="000B1B7D"/>
    <w:rsid w:val="000B1B99"/>
    <w:rsid w:val="000B1ED2"/>
    <w:rsid w:val="000B2225"/>
    <w:rsid w:val="000B23AC"/>
    <w:rsid w:val="000B244F"/>
    <w:rsid w:val="000B2583"/>
    <w:rsid w:val="000B287B"/>
    <w:rsid w:val="000B2B0D"/>
    <w:rsid w:val="000B301F"/>
    <w:rsid w:val="000B3521"/>
    <w:rsid w:val="000B3835"/>
    <w:rsid w:val="000B383C"/>
    <w:rsid w:val="000B3928"/>
    <w:rsid w:val="000B3977"/>
    <w:rsid w:val="000B3A98"/>
    <w:rsid w:val="000B3AA6"/>
    <w:rsid w:val="000B3B6A"/>
    <w:rsid w:val="000B3B87"/>
    <w:rsid w:val="000B3E8F"/>
    <w:rsid w:val="000B4256"/>
    <w:rsid w:val="000B4494"/>
    <w:rsid w:val="000B4629"/>
    <w:rsid w:val="000B46D0"/>
    <w:rsid w:val="000B4B35"/>
    <w:rsid w:val="000B4E16"/>
    <w:rsid w:val="000B4F38"/>
    <w:rsid w:val="000B5107"/>
    <w:rsid w:val="000B5255"/>
    <w:rsid w:val="000B5348"/>
    <w:rsid w:val="000B58B1"/>
    <w:rsid w:val="000B5B5D"/>
    <w:rsid w:val="000B5CB1"/>
    <w:rsid w:val="000B5FC4"/>
    <w:rsid w:val="000B6055"/>
    <w:rsid w:val="000B6238"/>
    <w:rsid w:val="000B6262"/>
    <w:rsid w:val="000B627E"/>
    <w:rsid w:val="000B6C5F"/>
    <w:rsid w:val="000B6D15"/>
    <w:rsid w:val="000B70C8"/>
    <w:rsid w:val="000B7381"/>
    <w:rsid w:val="000B761D"/>
    <w:rsid w:val="000B7D0A"/>
    <w:rsid w:val="000C001F"/>
    <w:rsid w:val="000C0848"/>
    <w:rsid w:val="000C0A1E"/>
    <w:rsid w:val="000C0AFD"/>
    <w:rsid w:val="000C0D35"/>
    <w:rsid w:val="000C1073"/>
    <w:rsid w:val="000C115B"/>
    <w:rsid w:val="000C137E"/>
    <w:rsid w:val="000C13E7"/>
    <w:rsid w:val="000C1BDE"/>
    <w:rsid w:val="000C29B8"/>
    <w:rsid w:val="000C2AB5"/>
    <w:rsid w:val="000C2ACB"/>
    <w:rsid w:val="000C2D69"/>
    <w:rsid w:val="000C317A"/>
    <w:rsid w:val="000C3654"/>
    <w:rsid w:val="000C3826"/>
    <w:rsid w:val="000C3925"/>
    <w:rsid w:val="000C3A4B"/>
    <w:rsid w:val="000C3AA8"/>
    <w:rsid w:val="000C3B04"/>
    <w:rsid w:val="000C3C32"/>
    <w:rsid w:val="000C3CA9"/>
    <w:rsid w:val="000C3CE8"/>
    <w:rsid w:val="000C403D"/>
    <w:rsid w:val="000C44B5"/>
    <w:rsid w:val="000C44C2"/>
    <w:rsid w:val="000C4C7D"/>
    <w:rsid w:val="000C4CDB"/>
    <w:rsid w:val="000C4EF4"/>
    <w:rsid w:val="000C56DB"/>
    <w:rsid w:val="000C5C4D"/>
    <w:rsid w:val="000C5F8D"/>
    <w:rsid w:val="000C6349"/>
    <w:rsid w:val="000C6486"/>
    <w:rsid w:val="000C67D9"/>
    <w:rsid w:val="000C6D39"/>
    <w:rsid w:val="000C75DB"/>
    <w:rsid w:val="000C7BF5"/>
    <w:rsid w:val="000C7DB2"/>
    <w:rsid w:val="000C7E36"/>
    <w:rsid w:val="000C7E44"/>
    <w:rsid w:val="000D000E"/>
    <w:rsid w:val="000D02F5"/>
    <w:rsid w:val="000D0776"/>
    <w:rsid w:val="000D0A0F"/>
    <w:rsid w:val="000D0BD1"/>
    <w:rsid w:val="000D0C3D"/>
    <w:rsid w:val="000D13C7"/>
    <w:rsid w:val="000D1A50"/>
    <w:rsid w:val="000D1C5C"/>
    <w:rsid w:val="000D1DCD"/>
    <w:rsid w:val="000D1F2C"/>
    <w:rsid w:val="000D2173"/>
    <w:rsid w:val="000D21B1"/>
    <w:rsid w:val="000D23D8"/>
    <w:rsid w:val="000D24C3"/>
    <w:rsid w:val="000D2C03"/>
    <w:rsid w:val="000D2EFD"/>
    <w:rsid w:val="000D2F0A"/>
    <w:rsid w:val="000D3327"/>
    <w:rsid w:val="000D33B7"/>
    <w:rsid w:val="000D34A1"/>
    <w:rsid w:val="000D3980"/>
    <w:rsid w:val="000D3B0B"/>
    <w:rsid w:val="000D3D6D"/>
    <w:rsid w:val="000D40BB"/>
    <w:rsid w:val="000D4249"/>
    <w:rsid w:val="000D42CB"/>
    <w:rsid w:val="000D43FC"/>
    <w:rsid w:val="000D45F4"/>
    <w:rsid w:val="000D4B74"/>
    <w:rsid w:val="000D4C6F"/>
    <w:rsid w:val="000D4CA1"/>
    <w:rsid w:val="000D4DC9"/>
    <w:rsid w:val="000D4EB7"/>
    <w:rsid w:val="000D5389"/>
    <w:rsid w:val="000D5423"/>
    <w:rsid w:val="000D57F1"/>
    <w:rsid w:val="000D58E6"/>
    <w:rsid w:val="000D59FA"/>
    <w:rsid w:val="000D5A7F"/>
    <w:rsid w:val="000D5A92"/>
    <w:rsid w:val="000D621C"/>
    <w:rsid w:val="000D671D"/>
    <w:rsid w:val="000D6B6B"/>
    <w:rsid w:val="000D6D20"/>
    <w:rsid w:val="000D6F7A"/>
    <w:rsid w:val="000D7916"/>
    <w:rsid w:val="000D7C23"/>
    <w:rsid w:val="000D7D21"/>
    <w:rsid w:val="000E00FD"/>
    <w:rsid w:val="000E0355"/>
    <w:rsid w:val="000E03BD"/>
    <w:rsid w:val="000E0456"/>
    <w:rsid w:val="000E0836"/>
    <w:rsid w:val="000E0B6C"/>
    <w:rsid w:val="000E167F"/>
    <w:rsid w:val="000E1A10"/>
    <w:rsid w:val="000E1AB3"/>
    <w:rsid w:val="000E1CB9"/>
    <w:rsid w:val="000E209D"/>
    <w:rsid w:val="000E20C5"/>
    <w:rsid w:val="000E21FD"/>
    <w:rsid w:val="000E2200"/>
    <w:rsid w:val="000E22BD"/>
    <w:rsid w:val="000E23E7"/>
    <w:rsid w:val="000E2BA4"/>
    <w:rsid w:val="000E2BDA"/>
    <w:rsid w:val="000E2CB7"/>
    <w:rsid w:val="000E31F5"/>
    <w:rsid w:val="000E35E7"/>
    <w:rsid w:val="000E35EE"/>
    <w:rsid w:val="000E374F"/>
    <w:rsid w:val="000E3757"/>
    <w:rsid w:val="000E3979"/>
    <w:rsid w:val="000E3A22"/>
    <w:rsid w:val="000E40D9"/>
    <w:rsid w:val="000E4113"/>
    <w:rsid w:val="000E42A3"/>
    <w:rsid w:val="000E441A"/>
    <w:rsid w:val="000E4601"/>
    <w:rsid w:val="000E4747"/>
    <w:rsid w:val="000E4798"/>
    <w:rsid w:val="000E48A1"/>
    <w:rsid w:val="000E49CF"/>
    <w:rsid w:val="000E4A96"/>
    <w:rsid w:val="000E4AD1"/>
    <w:rsid w:val="000E4FA6"/>
    <w:rsid w:val="000E51F5"/>
    <w:rsid w:val="000E5229"/>
    <w:rsid w:val="000E5A13"/>
    <w:rsid w:val="000E5AAD"/>
    <w:rsid w:val="000E5BF2"/>
    <w:rsid w:val="000E5E19"/>
    <w:rsid w:val="000E5F1B"/>
    <w:rsid w:val="000E5FED"/>
    <w:rsid w:val="000E63AC"/>
    <w:rsid w:val="000E6803"/>
    <w:rsid w:val="000E691F"/>
    <w:rsid w:val="000E6B70"/>
    <w:rsid w:val="000E7445"/>
    <w:rsid w:val="000E7843"/>
    <w:rsid w:val="000E7970"/>
    <w:rsid w:val="000E7AFD"/>
    <w:rsid w:val="000E7FBB"/>
    <w:rsid w:val="000F03FD"/>
    <w:rsid w:val="000F07F8"/>
    <w:rsid w:val="000F0AD2"/>
    <w:rsid w:val="000F0E4D"/>
    <w:rsid w:val="000F10F6"/>
    <w:rsid w:val="000F1113"/>
    <w:rsid w:val="000F13D6"/>
    <w:rsid w:val="000F1440"/>
    <w:rsid w:val="000F163D"/>
    <w:rsid w:val="000F1C45"/>
    <w:rsid w:val="000F2022"/>
    <w:rsid w:val="000F2031"/>
    <w:rsid w:val="000F237D"/>
    <w:rsid w:val="000F2494"/>
    <w:rsid w:val="000F2AC8"/>
    <w:rsid w:val="000F2D2C"/>
    <w:rsid w:val="000F2E01"/>
    <w:rsid w:val="000F31EA"/>
    <w:rsid w:val="000F332F"/>
    <w:rsid w:val="000F35F7"/>
    <w:rsid w:val="000F39AC"/>
    <w:rsid w:val="000F3D96"/>
    <w:rsid w:val="000F40EF"/>
    <w:rsid w:val="000F4C88"/>
    <w:rsid w:val="000F618F"/>
    <w:rsid w:val="000F641C"/>
    <w:rsid w:val="000F6506"/>
    <w:rsid w:val="000F6730"/>
    <w:rsid w:val="000F697D"/>
    <w:rsid w:val="000F6B44"/>
    <w:rsid w:val="000F6C2A"/>
    <w:rsid w:val="000F6D85"/>
    <w:rsid w:val="000F7109"/>
    <w:rsid w:val="000F7186"/>
    <w:rsid w:val="000F7503"/>
    <w:rsid w:val="000F7722"/>
    <w:rsid w:val="000F7797"/>
    <w:rsid w:val="000F7AFA"/>
    <w:rsid w:val="000F7C49"/>
    <w:rsid w:val="0010013C"/>
    <w:rsid w:val="001002CD"/>
    <w:rsid w:val="00100797"/>
    <w:rsid w:val="001008E7"/>
    <w:rsid w:val="0010099A"/>
    <w:rsid w:val="0010119B"/>
    <w:rsid w:val="00102053"/>
    <w:rsid w:val="001026F1"/>
    <w:rsid w:val="00102774"/>
    <w:rsid w:val="00102AEB"/>
    <w:rsid w:val="00102C32"/>
    <w:rsid w:val="00103192"/>
    <w:rsid w:val="001032F1"/>
    <w:rsid w:val="00103671"/>
    <w:rsid w:val="001037A8"/>
    <w:rsid w:val="0010394F"/>
    <w:rsid w:val="00103DC1"/>
    <w:rsid w:val="00104597"/>
    <w:rsid w:val="00104739"/>
    <w:rsid w:val="00104D1A"/>
    <w:rsid w:val="00105AB2"/>
    <w:rsid w:val="00105B1B"/>
    <w:rsid w:val="00106216"/>
    <w:rsid w:val="0010621A"/>
    <w:rsid w:val="00106302"/>
    <w:rsid w:val="0010657D"/>
    <w:rsid w:val="00106938"/>
    <w:rsid w:val="0010702D"/>
    <w:rsid w:val="00107366"/>
    <w:rsid w:val="001073B4"/>
    <w:rsid w:val="001076FD"/>
    <w:rsid w:val="00107AD1"/>
    <w:rsid w:val="00107CF7"/>
    <w:rsid w:val="00107DBF"/>
    <w:rsid w:val="00107EEE"/>
    <w:rsid w:val="00107F14"/>
    <w:rsid w:val="001102CA"/>
    <w:rsid w:val="0011036C"/>
    <w:rsid w:val="0011070E"/>
    <w:rsid w:val="00110B54"/>
    <w:rsid w:val="00110CF9"/>
    <w:rsid w:val="00110E0A"/>
    <w:rsid w:val="0011122A"/>
    <w:rsid w:val="00111436"/>
    <w:rsid w:val="001115C2"/>
    <w:rsid w:val="00111813"/>
    <w:rsid w:val="00111CE5"/>
    <w:rsid w:val="00111DB1"/>
    <w:rsid w:val="00111DF9"/>
    <w:rsid w:val="00112005"/>
    <w:rsid w:val="0011209E"/>
    <w:rsid w:val="001124DF"/>
    <w:rsid w:val="00112559"/>
    <w:rsid w:val="00112813"/>
    <w:rsid w:val="001128F8"/>
    <w:rsid w:val="0011295B"/>
    <w:rsid w:val="00112E16"/>
    <w:rsid w:val="00112E29"/>
    <w:rsid w:val="00112F55"/>
    <w:rsid w:val="0011308D"/>
    <w:rsid w:val="0011323D"/>
    <w:rsid w:val="001132DF"/>
    <w:rsid w:val="00113414"/>
    <w:rsid w:val="00113500"/>
    <w:rsid w:val="00113903"/>
    <w:rsid w:val="00113CC6"/>
    <w:rsid w:val="00114122"/>
    <w:rsid w:val="00114633"/>
    <w:rsid w:val="00114D7F"/>
    <w:rsid w:val="00114F91"/>
    <w:rsid w:val="001154BA"/>
    <w:rsid w:val="001154EE"/>
    <w:rsid w:val="00115558"/>
    <w:rsid w:val="001159EB"/>
    <w:rsid w:val="00115F2F"/>
    <w:rsid w:val="00115F7C"/>
    <w:rsid w:val="0011609E"/>
    <w:rsid w:val="0011623F"/>
    <w:rsid w:val="001162B4"/>
    <w:rsid w:val="0011640F"/>
    <w:rsid w:val="001165CF"/>
    <w:rsid w:val="00116787"/>
    <w:rsid w:val="00116802"/>
    <w:rsid w:val="00116A2E"/>
    <w:rsid w:val="00116BBE"/>
    <w:rsid w:val="00116D78"/>
    <w:rsid w:val="00116E15"/>
    <w:rsid w:val="00116E89"/>
    <w:rsid w:val="001171F0"/>
    <w:rsid w:val="00117247"/>
    <w:rsid w:val="00117500"/>
    <w:rsid w:val="0011752C"/>
    <w:rsid w:val="00117985"/>
    <w:rsid w:val="00117C60"/>
    <w:rsid w:val="00117D00"/>
    <w:rsid w:val="00120324"/>
    <w:rsid w:val="001204D2"/>
    <w:rsid w:val="001206E0"/>
    <w:rsid w:val="0012079F"/>
    <w:rsid w:val="001208E9"/>
    <w:rsid w:val="0012097B"/>
    <w:rsid w:val="00121151"/>
    <w:rsid w:val="00121A21"/>
    <w:rsid w:val="00121B08"/>
    <w:rsid w:val="00121F0B"/>
    <w:rsid w:val="00121FF7"/>
    <w:rsid w:val="00122225"/>
    <w:rsid w:val="0012250C"/>
    <w:rsid w:val="0012263C"/>
    <w:rsid w:val="00122843"/>
    <w:rsid w:val="00122B20"/>
    <w:rsid w:val="00123773"/>
    <w:rsid w:val="0012381E"/>
    <w:rsid w:val="00123827"/>
    <w:rsid w:val="00124053"/>
    <w:rsid w:val="001241F6"/>
    <w:rsid w:val="00124433"/>
    <w:rsid w:val="0012447A"/>
    <w:rsid w:val="00124E7E"/>
    <w:rsid w:val="0012522C"/>
    <w:rsid w:val="0012525C"/>
    <w:rsid w:val="001253A8"/>
    <w:rsid w:val="001258F5"/>
    <w:rsid w:val="00125C76"/>
    <w:rsid w:val="00125F58"/>
    <w:rsid w:val="00126304"/>
    <w:rsid w:val="00126465"/>
    <w:rsid w:val="00126963"/>
    <w:rsid w:val="00126E33"/>
    <w:rsid w:val="00126E47"/>
    <w:rsid w:val="00127000"/>
    <w:rsid w:val="001271C9"/>
    <w:rsid w:val="001274E6"/>
    <w:rsid w:val="001274F0"/>
    <w:rsid w:val="001276AA"/>
    <w:rsid w:val="0012786D"/>
    <w:rsid w:val="00130014"/>
    <w:rsid w:val="001304EB"/>
    <w:rsid w:val="0013057C"/>
    <w:rsid w:val="00130EC5"/>
    <w:rsid w:val="0013115C"/>
    <w:rsid w:val="00131265"/>
    <w:rsid w:val="0013141B"/>
    <w:rsid w:val="0013146D"/>
    <w:rsid w:val="001314DF"/>
    <w:rsid w:val="00132403"/>
    <w:rsid w:val="00132788"/>
    <w:rsid w:val="00132A18"/>
    <w:rsid w:val="00132E88"/>
    <w:rsid w:val="001330C5"/>
    <w:rsid w:val="001332C1"/>
    <w:rsid w:val="00133324"/>
    <w:rsid w:val="00133503"/>
    <w:rsid w:val="0013376A"/>
    <w:rsid w:val="0013385C"/>
    <w:rsid w:val="00133FC7"/>
    <w:rsid w:val="00134413"/>
    <w:rsid w:val="001344D3"/>
    <w:rsid w:val="001346E7"/>
    <w:rsid w:val="0013473D"/>
    <w:rsid w:val="0013481A"/>
    <w:rsid w:val="001348DA"/>
    <w:rsid w:val="00134BC5"/>
    <w:rsid w:val="00134C49"/>
    <w:rsid w:val="001350FD"/>
    <w:rsid w:val="001356FC"/>
    <w:rsid w:val="001360E8"/>
    <w:rsid w:val="00136749"/>
    <w:rsid w:val="00136769"/>
    <w:rsid w:val="00136787"/>
    <w:rsid w:val="00136792"/>
    <w:rsid w:val="00136B38"/>
    <w:rsid w:val="00136F2D"/>
    <w:rsid w:val="001373CF"/>
    <w:rsid w:val="00137474"/>
    <w:rsid w:val="0013751F"/>
    <w:rsid w:val="00137685"/>
    <w:rsid w:val="0013779B"/>
    <w:rsid w:val="00140234"/>
    <w:rsid w:val="001402B8"/>
    <w:rsid w:val="0014063B"/>
    <w:rsid w:val="00140889"/>
    <w:rsid w:val="0014092A"/>
    <w:rsid w:val="00140939"/>
    <w:rsid w:val="00140B57"/>
    <w:rsid w:val="00140C0A"/>
    <w:rsid w:val="00140FD9"/>
    <w:rsid w:val="001411A9"/>
    <w:rsid w:val="00141494"/>
    <w:rsid w:val="00141DA4"/>
    <w:rsid w:val="00141F88"/>
    <w:rsid w:val="0014205D"/>
    <w:rsid w:val="00142AD4"/>
    <w:rsid w:val="00142AE0"/>
    <w:rsid w:val="00142B25"/>
    <w:rsid w:val="00142BC2"/>
    <w:rsid w:val="0014310F"/>
    <w:rsid w:val="00143366"/>
    <w:rsid w:val="0014352B"/>
    <w:rsid w:val="00143570"/>
    <w:rsid w:val="00143961"/>
    <w:rsid w:val="00143AA1"/>
    <w:rsid w:val="00143B44"/>
    <w:rsid w:val="00143D73"/>
    <w:rsid w:val="001443AE"/>
    <w:rsid w:val="001443BE"/>
    <w:rsid w:val="0014442D"/>
    <w:rsid w:val="00144474"/>
    <w:rsid w:val="001444CB"/>
    <w:rsid w:val="00144502"/>
    <w:rsid w:val="00144668"/>
    <w:rsid w:val="001448F4"/>
    <w:rsid w:val="00144E12"/>
    <w:rsid w:val="001452A5"/>
    <w:rsid w:val="00145478"/>
    <w:rsid w:val="00145672"/>
    <w:rsid w:val="00145749"/>
    <w:rsid w:val="00145DAF"/>
    <w:rsid w:val="00146199"/>
    <w:rsid w:val="00146348"/>
    <w:rsid w:val="0014664D"/>
    <w:rsid w:val="001466B8"/>
    <w:rsid w:val="00146BE1"/>
    <w:rsid w:val="00146C46"/>
    <w:rsid w:val="00146DD5"/>
    <w:rsid w:val="00146FC8"/>
    <w:rsid w:val="0014705B"/>
    <w:rsid w:val="0014747A"/>
    <w:rsid w:val="00147696"/>
    <w:rsid w:val="001479EE"/>
    <w:rsid w:val="00147B31"/>
    <w:rsid w:val="00147C6B"/>
    <w:rsid w:val="00147F07"/>
    <w:rsid w:val="00147F94"/>
    <w:rsid w:val="00147FDC"/>
    <w:rsid w:val="00150311"/>
    <w:rsid w:val="0015056E"/>
    <w:rsid w:val="00150767"/>
    <w:rsid w:val="0015088A"/>
    <w:rsid w:val="00150ABD"/>
    <w:rsid w:val="00150B58"/>
    <w:rsid w:val="001511C3"/>
    <w:rsid w:val="001512C0"/>
    <w:rsid w:val="00152015"/>
    <w:rsid w:val="00152138"/>
    <w:rsid w:val="00152745"/>
    <w:rsid w:val="00153011"/>
    <w:rsid w:val="00153638"/>
    <w:rsid w:val="00153889"/>
    <w:rsid w:val="0015396E"/>
    <w:rsid w:val="001539D4"/>
    <w:rsid w:val="00153ADB"/>
    <w:rsid w:val="00154131"/>
    <w:rsid w:val="001542F8"/>
    <w:rsid w:val="001542FC"/>
    <w:rsid w:val="00154C63"/>
    <w:rsid w:val="00155445"/>
    <w:rsid w:val="0015558B"/>
    <w:rsid w:val="00155808"/>
    <w:rsid w:val="001559B5"/>
    <w:rsid w:val="00155AD3"/>
    <w:rsid w:val="00155DBA"/>
    <w:rsid w:val="00155DF2"/>
    <w:rsid w:val="001564B4"/>
    <w:rsid w:val="00156620"/>
    <w:rsid w:val="001568E5"/>
    <w:rsid w:val="00156D76"/>
    <w:rsid w:val="001570A3"/>
    <w:rsid w:val="00157175"/>
    <w:rsid w:val="001572B7"/>
    <w:rsid w:val="00157358"/>
    <w:rsid w:val="00157B1D"/>
    <w:rsid w:val="00157C2C"/>
    <w:rsid w:val="00157FDE"/>
    <w:rsid w:val="00160221"/>
    <w:rsid w:val="00160313"/>
    <w:rsid w:val="00160375"/>
    <w:rsid w:val="001603A3"/>
    <w:rsid w:val="00160407"/>
    <w:rsid w:val="0016051A"/>
    <w:rsid w:val="0016062A"/>
    <w:rsid w:val="001606F3"/>
    <w:rsid w:val="00160AF5"/>
    <w:rsid w:val="00160C8E"/>
    <w:rsid w:val="00160F13"/>
    <w:rsid w:val="001612B0"/>
    <w:rsid w:val="00161CB7"/>
    <w:rsid w:val="00161ED5"/>
    <w:rsid w:val="00162297"/>
    <w:rsid w:val="00162744"/>
    <w:rsid w:val="00162759"/>
    <w:rsid w:val="001630E4"/>
    <w:rsid w:val="0016321A"/>
    <w:rsid w:val="0016324C"/>
    <w:rsid w:val="0016338A"/>
    <w:rsid w:val="0016344F"/>
    <w:rsid w:val="0016347E"/>
    <w:rsid w:val="0016396D"/>
    <w:rsid w:val="0016399B"/>
    <w:rsid w:val="00163B25"/>
    <w:rsid w:val="00163C02"/>
    <w:rsid w:val="001643EE"/>
    <w:rsid w:val="00164413"/>
    <w:rsid w:val="00164528"/>
    <w:rsid w:val="0016462D"/>
    <w:rsid w:val="00164703"/>
    <w:rsid w:val="0016497B"/>
    <w:rsid w:val="00164AC7"/>
    <w:rsid w:val="001650FA"/>
    <w:rsid w:val="001651F7"/>
    <w:rsid w:val="001653BC"/>
    <w:rsid w:val="00165687"/>
    <w:rsid w:val="00165828"/>
    <w:rsid w:val="0016586A"/>
    <w:rsid w:val="0016589D"/>
    <w:rsid w:val="001658EF"/>
    <w:rsid w:val="00165B14"/>
    <w:rsid w:val="00165DE9"/>
    <w:rsid w:val="00165E6A"/>
    <w:rsid w:val="00166819"/>
    <w:rsid w:val="00166F8B"/>
    <w:rsid w:val="00166FC1"/>
    <w:rsid w:val="00167055"/>
    <w:rsid w:val="0016706A"/>
    <w:rsid w:val="0016706E"/>
    <w:rsid w:val="0016716B"/>
    <w:rsid w:val="00167191"/>
    <w:rsid w:val="0016722B"/>
    <w:rsid w:val="001674CA"/>
    <w:rsid w:val="00167550"/>
    <w:rsid w:val="00167573"/>
    <w:rsid w:val="001703A3"/>
    <w:rsid w:val="001704BC"/>
    <w:rsid w:val="00170C4F"/>
    <w:rsid w:val="00170D7A"/>
    <w:rsid w:val="00170DAF"/>
    <w:rsid w:val="00170DD2"/>
    <w:rsid w:val="0017118C"/>
    <w:rsid w:val="00171756"/>
    <w:rsid w:val="0017190E"/>
    <w:rsid w:val="00171BC6"/>
    <w:rsid w:val="00171C30"/>
    <w:rsid w:val="00171F2F"/>
    <w:rsid w:val="00172C82"/>
    <w:rsid w:val="00172E12"/>
    <w:rsid w:val="00172F37"/>
    <w:rsid w:val="001734E6"/>
    <w:rsid w:val="00173516"/>
    <w:rsid w:val="00173A8D"/>
    <w:rsid w:val="00173EAA"/>
    <w:rsid w:val="00173FBC"/>
    <w:rsid w:val="00174245"/>
    <w:rsid w:val="001746C9"/>
    <w:rsid w:val="001749B1"/>
    <w:rsid w:val="00175547"/>
    <w:rsid w:val="00175F0F"/>
    <w:rsid w:val="001767DD"/>
    <w:rsid w:val="00176871"/>
    <w:rsid w:val="00176999"/>
    <w:rsid w:val="00176C28"/>
    <w:rsid w:val="00177103"/>
    <w:rsid w:val="001771FF"/>
    <w:rsid w:val="0017740A"/>
    <w:rsid w:val="001775CD"/>
    <w:rsid w:val="001777FA"/>
    <w:rsid w:val="00177F00"/>
    <w:rsid w:val="00177FA9"/>
    <w:rsid w:val="0018073C"/>
    <w:rsid w:val="00180986"/>
    <w:rsid w:val="001809F8"/>
    <w:rsid w:val="00180BBC"/>
    <w:rsid w:val="00180CDD"/>
    <w:rsid w:val="00180DAF"/>
    <w:rsid w:val="00180E8F"/>
    <w:rsid w:val="00181049"/>
    <w:rsid w:val="001813DE"/>
    <w:rsid w:val="00181A2D"/>
    <w:rsid w:val="00181B0A"/>
    <w:rsid w:val="00181DD8"/>
    <w:rsid w:val="00181E4E"/>
    <w:rsid w:val="001825A3"/>
    <w:rsid w:val="00182B23"/>
    <w:rsid w:val="00182E37"/>
    <w:rsid w:val="001831B9"/>
    <w:rsid w:val="0018342B"/>
    <w:rsid w:val="001834AF"/>
    <w:rsid w:val="00183611"/>
    <w:rsid w:val="001838EB"/>
    <w:rsid w:val="00183A50"/>
    <w:rsid w:val="00183BDB"/>
    <w:rsid w:val="00183C65"/>
    <w:rsid w:val="00183DC8"/>
    <w:rsid w:val="00184014"/>
    <w:rsid w:val="001840CE"/>
    <w:rsid w:val="001842F7"/>
    <w:rsid w:val="00184528"/>
    <w:rsid w:val="001848D4"/>
    <w:rsid w:val="0018495B"/>
    <w:rsid w:val="00184BEF"/>
    <w:rsid w:val="00185150"/>
    <w:rsid w:val="00185284"/>
    <w:rsid w:val="001858D6"/>
    <w:rsid w:val="00185A5A"/>
    <w:rsid w:val="00185CA7"/>
    <w:rsid w:val="00185CC2"/>
    <w:rsid w:val="00186655"/>
    <w:rsid w:val="00186845"/>
    <w:rsid w:val="00186CBB"/>
    <w:rsid w:val="0018712D"/>
    <w:rsid w:val="00187596"/>
    <w:rsid w:val="001876A4"/>
    <w:rsid w:val="001877C3"/>
    <w:rsid w:val="00187B8B"/>
    <w:rsid w:val="00187BCD"/>
    <w:rsid w:val="0019000D"/>
    <w:rsid w:val="00190545"/>
    <w:rsid w:val="00190808"/>
    <w:rsid w:val="00190A09"/>
    <w:rsid w:val="00190B9D"/>
    <w:rsid w:val="00190CE9"/>
    <w:rsid w:val="00190D8F"/>
    <w:rsid w:val="0019105D"/>
    <w:rsid w:val="00191222"/>
    <w:rsid w:val="0019191C"/>
    <w:rsid w:val="00191DA1"/>
    <w:rsid w:val="00191DCE"/>
    <w:rsid w:val="00192286"/>
    <w:rsid w:val="00192395"/>
    <w:rsid w:val="001923B7"/>
    <w:rsid w:val="001924EE"/>
    <w:rsid w:val="001928D1"/>
    <w:rsid w:val="00192CC3"/>
    <w:rsid w:val="00192DCC"/>
    <w:rsid w:val="001932BE"/>
    <w:rsid w:val="0019372E"/>
    <w:rsid w:val="00193A6C"/>
    <w:rsid w:val="00193FB8"/>
    <w:rsid w:val="0019408D"/>
    <w:rsid w:val="001941F9"/>
    <w:rsid w:val="001943CC"/>
    <w:rsid w:val="0019459B"/>
    <w:rsid w:val="00194692"/>
    <w:rsid w:val="00194BB0"/>
    <w:rsid w:val="001951B9"/>
    <w:rsid w:val="0019557A"/>
    <w:rsid w:val="0019593B"/>
    <w:rsid w:val="00196087"/>
    <w:rsid w:val="0019648C"/>
    <w:rsid w:val="00196526"/>
    <w:rsid w:val="001967DF"/>
    <w:rsid w:val="001969BF"/>
    <w:rsid w:val="00196AB7"/>
    <w:rsid w:val="00196C04"/>
    <w:rsid w:val="00196E0B"/>
    <w:rsid w:val="00197461"/>
    <w:rsid w:val="00197741"/>
    <w:rsid w:val="0019796F"/>
    <w:rsid w:val="00197F43"/>
    <w:rsid w:val="001A0624"/>
    <w:rsid w:val="001A06AC"/>
    <w:rsid w:val="001A0908"/>
    <w:rsid w:val="001A0C70"/>
    <w:rsid w:val="001A0D4A"/>
    <w:rsid w:val="001A0E85"/>
    <w:rsid w:val="001A0F09"/>
    <w:rsid w:val="001A10DA"/>
    <w:rsid w:val="001A16A3"/>
    <w:rsid w:val="001A19A4"/>
    <w:rsid w:val="001A1B23"/>
    <w:rsid w:val="001A1D2D"/>
    <w:rsid w:val="001A25E2"/>
    <w:rsid w:val="001A280C"/>
    <w:rsid w:val="001A285B"/>
    <w:rsid w:val="001A2C6A"/>
    <w:rsid w:val="001A2EE6"/>
    <w:rsid w:val="001A2FA3"/>
    <w:rsid w:val="001A3048"/>
    <w:rsid w:val="001A30A4"/>
    <w:rsid w:val="001A3733"/>
    <w:rsid w:val="001A3AC2"/>
    <w:rsid w:val="001A3BFD"/>
    <w:rsid w:val="001A417D"/>
    <w:rsid w:val="001A435A"/>
    <w:rsid w:val="001A4441"/>
    <w:rsid w:val="001A46A8"/>
    <w:rsid w:val="001A4C24"/>
    <w:rsid w:val="001A5029"/>
    <w:rsid w:val="001A5187"/>
    <w:rsid w:val="001A5372"/>
    <w:rsid w:val="001A5513"/>
    <w:rsid w:val="001A5930"/>
    <w:rsid w:val="001A5CA9"/>
    <w:rsid w:val="001A5D0B"/>
    <w:rsid w:val="001A64B0"/>
    <w:rsid w:val="001A6661"/>
    <w:rsid w:val="001A677D"/>
    <w:rsid w:val="001A694B"/>
    <w:rsid w:val="001A6A03"/>
    <w:rsid w:val="001A6EB9"/>
    <w:rsid w:val="001A7179"/>
    <w:rsid w:val="001A7274"/>
    <w:rsid w:val="001A7283"/>
    <w:rsid w:val="001A72BE"/>
    <w:rsid w:val="001A763D"/>
    <w:rsid w:val="001A7A3A"/>
    <w:rsid w:val="001A7F59"/>
    <w:rsid w:val="001B02A2"/>
    <w:rsid w:val="001B077C"/>
    <w:rsid w:val="001B07CA"/>
    <w:rsid w:val="001B0F56"/>
    <w:rsid w:val="001B1254"/>
    <w:rsid w:val="001B12B4"/>
    <w:rsid w:val="001B133D"/>
    <w:rsid w:val="001B1F59"/>
    <w:rsid w:val="001B27DD"/>
    <w:rsid w:val="001B2821"/>
    <w:rsid w:val="001B2D26"/>
    <w:rsid w:val="001B2F77"/>
    <w:rsid w:val="001B30D0"/>
    <w:rsid w:val="001B403B"/>
    <w:rsid w:val="001B415D"/>
    <w:rsid w:val="001B4339"/>
    <w:rsid w:val="001B46CE"/>
    <w:rsid w:val="001B4704"/>
    <w:rsid w:val="001B48A9"/>
    <w:rsid w:val="001B49F5"/>
    <w:rsid w:val="001B4A08"/>
    <w:rsid w:val="001B5214"/>
    <w:rsid w:val="001B5394"/>
    <w:rsid w:val="001B53B6"/>
    <w:rsid w:val="001B560A"/>
    <w:rsid w:val="001B59A6"/>
    <w:rsid w:val="001B5C71"/>
    <w:rsid w:val="001B5DDF"/>
    <w:rsid w:val="001B5F04"/>
    <w:rsid w:val="001B624B"/>
    <w:rsid w:val="001B64A9"/>
    <w:rsid w:val="001B66AA"/>
    <w:rsid w:val="001B66FA"/>
    <w:rsid w:val="001B701A"/>
    <w:rsid w:val="001B7109"/>
    <w:rsid w:val="001B71AD"/>
    <w:rsid w:val="001B75A6"/>
    <w:rsid w:val="001B7940"/>
    <w:rsid w:val="001B7C8B"/>
    <w:rsid w:val="001B7D8C"/>
    <w:rsid w:val="001B7DFD"/>
    <w:rsid w:val="001B7E60"/>
    <w:rsid w:val="001B7FE4"/>
    <w:rsid w:val="001C04DB"/>
    <w:rsid w:val="001C0C63"/>
    <w:rsid w:val="001C0D2A"/>
    <w:rsid w:val="001C12F5"/>
    <w:rsid w:val="001C1307"/>
    <w:rsid w:val="001C15D2"/>
    <w:rsid w:val="001C191F"/>
    <w:rsid w:val="001C1990"/>
    <w:rsid w:val="001C1B3E"/>
    <w:rsid w:val="001C1E78"/>
    <w:rsid w:val="001C1EC2"/>
    <w:rsid w:val="001C1EFA"/>
    <w:rsid w:val="001C1F80"/>
    <w:rsid w:val="001C205F"/>
    <w:rsid w:val="001C2605"/>
    <w:rsid w:val="001C291C"/>
    <w:rsid w:val="001C293B"/>
    <w:rsid w:val="001C295D"/>
    <w:rsid w:val="001C2A15"/>
    <w:rsid w:val="001C3466"/>
    <w:rsid w:val="001C361B"/>
    <w:rsid w:val="001C3A2F"/>
    <w:rsid w:val="001C3AC5"/>
    <w:rsid w:val="001C3E10"/>
    <w:rsid w:val="001C3EE7"/>
    <w:rsid w:val="001C40AD"/>
    <w:rsid w:val="001C43F3"/>
    <w:rsid w:val="001C48E7"/>
    <w:rsid w:val="001C4D95"/>
    <w:rsid w:val="001C52C9"/>
    <w:rsid w:val="001C5374"/>
    <w:rsid w:val="001C5C3E"/>
    <w:rsid w:val="001C60B4"/>
    <w:rsid w:val="001C64BC"/>
    <w:rsid w:val="001C6506"/>
    <w:rsid w:val="001C6900"/>
    <w:rsid w:val="001C6E80"/>
    <w:rsid w:val="001C7309"/>
    <w:rsid w:val="001C7510"/>
    <w:rsid w:val="001C7CC5"/>
    <w:rsid w:val="001C7D13"/>
    <w:rsid w:val="001C7F9D"/>
    <w:rsid w:val="001C7FF2"/>
    <w:rsid w:val="001D035F"/>
    <w:rsid w:val="001D06DD"/>
    <w:rsid w:val="001D0776"/>
    <w:rsid w:val="001D07EA"/>
    <w:rsid w:val="001D0B70"/>
    <w:rsid w:val="001D0E86"/>
    <w:rsid w:val="001D1611"/>
    <w:rsid w:val="001D165C"/>
    <w:rsid w:val="001D168B"/>
    <w:rsid w:val="001D239B"/>
    <w:rsid w:val="001D2A7D"/>
    <w:rsid w:val="001D2DB3"/>
    <w:rsid w:val="001D387B"/>
    <w:rsid w:val="001D3882"/>
    <w:rsid w:val="001D39A8"/>
    <w:rsid w:val="001D3D87"/>
    <w:rsid w:val="001D3EDB"/>
    <w:rsid w:val="001D471D"/>
    <w:rsid w:val="001D478B"/>
    <w:rsid w:val="001D4894"/>
    <w:rsid w:val="001D4996"/>
    <w:rsid w:val="001D49D2"/>
    <w:rsid w:val="001D4C9C"/>
    <w:rsid w:val="001D4F9C"/>
    <w:rsid w:val="001D50AA"/>
    <w:rsid w:val="001D54D3"/>
    <w:rsid w:val="001D5751"/>
    <w:rsid w:val="001D58FD"/>
    <w:rsid w:val="001D59A9"/>
    <w:rsid w:val="001D5B52"/>
    <w:rsid w:val="001D5E01"/>
    <w:rsid w:val="001D6203"/>
    <w:rsid w:val="001D6610"/>
    <w:rsid w:val="001D6651"/>
    <w:rsid w:val="001D679D"/>
    <w:rsid w:val="001D68D0"/>
    <w:rsid w:val="001D6C62"/>
    <w:rsid w:val="001D7070"/>
    <w:rsid w:val="001D7107"/>
    <w:rsid w:val="001D7569"/>
    <w:rsid w:val="001D7A61"/>
    <w:rsid w:val="001D7C47"/>
    <w:rsid w:val="001D7D28"/>
    <w:rsid w:val="001D7EFE"/>
    <w:rsid w:val="001E0032"/>
    <w:rsid w:val="001E004F"/>
    <w:rsid w:val="001E0702"/>
    <w:rsid w:val="001E09CC"/>
    <w:rsid w:val="001E0F8C"/>
    <w:rsid w:val="001E1047"/>
    <w:rsid w:val="001E1185"/>
    <w:rsid w:val="001E11E4"/>
    <w:rsid w:val="001E140C"/>
    <w:rsid w:val="001E1479"/>
    <w:rsid w:val="001E15ED"/>
    <w:rsid w:val="001E18CB"/>
    <w:rsid w:val="001E18E8"/>
    <w:rsid w:val="001E1989"/>
    <w:rsid w:val="001E1A48"/>
    <w:rsid w:val="001E1B8C"/>
    <w:rsid w:val="001E20CA"/>
    <w:rsid w:val="001E23E0"/>
    <w:rsid w:val="001E2C1C"/>
    <w:rsid w:val="001E2D26"/>
    <w:rsid w:val="001E2E07"/>
    <w:rsid w:val="001E2E91"/>
    <w:rsid w:val="001E32F9"/>
    <w:rsid w:val="001E3524"/>
    <w:rsid w:val="001E3680"/>
    <w:rsid w:val="001E3CE4"/>
    <w:rsid w:val="001E3DC6"/>
    <w:rsid w:val="001E476C"/>
    <w:rsid w:val="001E4A25"/>
    <w:rsid w:val="001E4E4C"/>
    <w:rsid w:val="001E54BA"/>
    <w:rsid w:val="001E5519"/>
    <w:rsid w:val="001E571F"/>
    <w:rsid w:val="001E58CC"/>
    <w:rsid w:val="001E5BAB"/>
    <w:rsid w:val="001E5D85"/>
    <w:rsid w:val="001E603A"/>
    <w:rsid w:val="001E6138"/>
    <w:rsid w:val="001E631E"/>
    <w:rsid w:val="001E6532"/>
    <w:rsid w:val="001E6B8A"/>
    <w:rsid w:val="001E6C82"/>
    <w:rsid w:val="001E6E16"/>
    <w:rsid w:val="001E70C6"/>
    <w:rsid w:val="001E712D"/>
    <w:rsid w:val="001E74BA"/>
    <w:rsid w:val="001E7BBB"/>
    <w:rsid w:val="001E7E81"/>
    <w:rsid w:val="001E7ED4"/>
    <w:rsid w:val="001F01DF"/>
    <w:rsid w:val="001F0346"/>
    <w:rsid w:val="001F06C4"/>
    <w:rsid w:val="001F06DE"/>
    <w:rsid w:val="001F0703"/>
    <w:rsid w:val="001F0740"/>
    <w:rsid w:val="001F0881"/>
    <w:rsid w:val="001F08AB"/>
    <w:rsid w:val="001F0900"/>
    <w:rsid w:val="001F0B9D"/>
    <w:rsid w:val="001F0D25"/>
    <w:rsid w:val="001F0DF0"/>
    <w:rsid w:val="001F0ECC"/>
    <w:rsid w:val="001F1436"/>
    <w:rsid w:val="001F1853"/>
    <w:rsid w:val="001F1B5E"/>
    <w:rsid w:val="001F1DB6"/>
    <w:rsid w:val="001F27ED"/>
    <w:rsid w:val="001F2950"/>
    <w:rsid w:val="001F2CAC"/>
    <w:rsid w:val="001F2E08"/>
    <w:rsid w:val="001F2E20"/>
    <w:rsid w:val="001F3150"/>
    <w:rsid w:val="001F3520"/>
    <w:rsid w:val="001F41A3"/>
    <w:rsid w:val="001F421F"/>
    <w:rsid w:val="001F463C"/>
    <w:rsid w:val="001F48DF"/>
    <w:rsid w:val="001F4B7D"/>
    <w:rsid w:val="001F5099"/>
    <w:rsid w:val="001F50AA"/>
    <w:rsid w:val="001F5391"/>
    <w:rsid w:val="001F5F98"/>
    <w:rsid w:val="001F6031"/>
    <w:rsid w:val="001F6139"/>
    <w:rsid w:val="001F6491"/>
    <w:rsid w:val="001F68CF"/>
    <w:rsid w:val="001F6978"/>
    <w:rsid w:val="001F6A96"/>
    <w:rsid w:val="001F6B3A"/>
    <w:rsid w:val="001F6C45"/>
    <w:rsid w:val="001F76BB"/>
    <w:rsid w:val="001F77A7"/>
    <w:rsid w:val="001F77C9"/>
    <w:rsid w:val="001F7EDF"/>
    <w:rsid w:val="00200166"/>
    <w:rsid w:val="002003D1"/>
    <w:rsid w:val="002004CD"/>
    <w:rsid w:val="002006D9"/>
    <w:rsid w:val="00200C75"/>
    <w:rsid w:val="00200DF4"/>
    <w:rsid w:val="00200E71"/>
    <w:rsid w:val="00200EE2"/>
    <w:rsid w:val="002018FB"/>
    <w:rsid w:val="00201A70"/>
    <w:rsid w:val="00201A81"/>
    <w:rsid w:val="00201AE0"/>
    <w:rsid w:val="00201B2C"/>
    <w:rsid w:val="00201C43"/>
    <w:rsid w:val="00201EEF"/>
    <w:rsid w:val="00202021"/>
    <w:rsid w:val="0020291E"/>
    <w:rsid w:val="00202922"/>
    <w:rsid w:val="00202AFB"/>
    <w:rsid w:val="00202E31"/>
    <w:rsid w:val="00203014"/>
    <w:rsid w:val="002036C3"/>
    <w:rsid w:val="00203982"/>
    <w:rsid w:val="00203AF5"/>
    <w:rsid w:val="00203BB5"/>
    <w:rsid w:val="0020401B"/>
    <w:rsid w:val="00204808"/>
    <w:rsid w:val="00204A89"/>
    <w:rsid w:val="00204AA8"/>
    <w:rsid w:val="00204E10"/>
    <w:rsid w:val="00205243"/>
    <w:rsid w:val="002052FB"/>
    <w:rsid w:val="002055E8"/>
    <w:rsid w:val="0020587B"/>
    <w:rsid w:val="0020595D"/>
    <w:rsid w:val="00205BC9"/>
    <w:rsid w:val="00205E23"/>
    <w:rsid w:val="00205E36"/>
    <w:rsid w:val="002063AD"/>
    <w:rsid w:val="002065BB"/>
    <w:rsid w:val="00206AD5"/>
    <w:rsid w:val="00206D0C"/>
    <w:rsid w:val="00206F9C"/>
    <w:rsid w:val="002074C6"/>
    <w:rsid w:val="00207AD5"/>
    <w:rsid w:val="00207CB2"/>
    <w:rsid w:val="00207D0D"/>
    <w:rsid w:val="00207ECE"/>
    <w:rsid w:val="00207FEB"/>
    <w:rsid w:val="00210275"/>
    <w:rsid w:val="0021027E"/>
    <w:rsid w:val="00210620"/>
    <w:rsid w:val="00210697"/>
    <w:rsid w:val="00211092"/>
    <w:rsid w:val="0021120A"/>
    <w:rsid w:val="00211211"/>
    <w:rsid w:val="002116CE"/>
    <w:rsid w:val="002118E5"/>
    <w:rsid w:val="00211A02"/>
    <w:rsid w:val="00211E4A"/>
    <w:rsid w:val="00211F50"/>
    <w:rsid w:val="002123B8"/>
    <w:rsid w:val="00212868"/>
    <w:rsid w:val="00212907"/>
    <w:rsid w:val="00212B1B"/>
    <w:rsid w:val="00212B6D"/>
    <w:rsid w:val="00212FCC"/>
    <w:rsid w:val="0021387F"/>
    <w:rsid w:val="00213C01"/>
    <w:rsid w:val="00213DC4"/>
    <w:rsid w:val="002141AD"/>
    <w:rsid w:val="002143EC"/>
    <w:rsid w:val="00214706"/>
    <w:rsid w:val="00214868"/>
    <w:rsid w:val="00214DCD"/>
    <w:rsid w:val="00215826"/>
    <w:rsid w:val="00215BEE"/>
    <w:rsid w:val="00215ED7"/>
    <w:rsid w:val="00215F70"/>
    <w:rsid w:val="00216446"/>
    <w:rsid w:val="00216644"/>
    <w:rsid w:val="0021672A"/>
    <w:rsid w:val="00216737"/>
    <w:rsid w:val="0021687D"/>
    <w:rsid w:val="0021694D"/>
    <w:rsid w:val="00216C15"/>
    <w:rsid w:val="00216E5D"/>
    <w:rsid w:val="0021739D"/>
    <w:rsid w:val="00217484"/>
    <w:rsid w:val="0021762D"/>
    <w:rsid w:val="0021782A"/>
    <w:rsid w:val="00217834"/>
    <w:rsid w:val="00217AA8"/>
    <w:rsid w:val="00217D4A"/>
    <w:rsid w:val="00217F59"/>
    <w:rsid w:val="0022041D"/>
    <w:rsid w:val="00220AF6"/>
    <w:rsid w:val="00220BF5"/>
    <w:rsid w:val="00220F29"/>
    <w:rsid w:val="00221920"/>
    <w:rsid w:val="00221A55"/>
    <w:rsid w:val="00221DA1"/>
    <w:rsid w:val="00221E71"/>
    <w:rsid w:val="002221D4"/>
    <w:rsid w:val="00222591"/>
    <w:rsid w:val="002226EA"/>
    <w:rsid w:val="00222A16"/>
    <w:rsid w:val="00222AF7"/>
    <w:rsid w:val="0022301B"/>
    <w:rsid w:val="0022312D"/>
    <w:rsid w:val="00223353"/>
    <w:rsid w:val="0022354E"/>
    <w:rsid w:val="00223676"/>
    <w:rsid w:val="002236D4"/>
    <w:rsid w:val="00223957"/>
    <w:rsid w:val="00223C4F"/>
    <w:rsid w:val="00224262"/>
    <w:rsid w:val="00224273"/>
    <w:rsid w:val="002245B9"/>
    <w:rsid w:val="00224773"/>
    <w:rsid w:val="00224AD9"/>
    <w:rsid w:val="00224D86"/>
    <w:rsid w:val="00224E91"/>
    <w:rsid w:val="0022539B"/>
    <w:rsid w:val="00225404"/>
    <w:rsid w:val="0022544D"/>
    <w:rsid w:val="0022591D"/>
    <w:rsid w:val="00225ADA"/>
    <w:rsid w:val="00225CB6"/>
    <w:rsid w:val="00225D12"/>
    <w:rsid w:val="00226309"/>
    <w:rsid w:val="002265D3"/>
    <w:rsid w:val="00226B42"/>
    <w:rsid w:val="00226E10"/>
    <w:rsid w:val="00226F4D"/>
    <w:rsid w:val="00226F6E"/>
    <w:rsid w:val="00227240"/>
    <w:rsid w:val="002273B9"/>
    <w:rsid w:val="002273E7"/>
    <w:rsid w:val="0022740D"/>
    <w:rsid w:val="00227707"/>
    <w:rsid w:val="00227959"/>
    <w:rsid w:val="00227F7D"/>
    <w:rsid w:val="002303A9"/>
    <w:rsid w:val="002304E3"/>
    <w:rsid w:val="002306CF"/>
    <w:rsid w:val="002307AC"/>
    <w:rsid w:val="00230981"/>
    <w:rsid w:val="0023098D"/>
    <w:rsid w:val="00230BA6"/>
    <w:rsid w:val="00230C33"/>
    <w:rsid w:val="00230C70"/>
    <w:rsid w:val="00230D6F"/>
    <w:rsid w:val="00231348"/>
    <w:rsid w:val="0023187E"/>
    <w:rsid w:val="002318C1"/>
    <w:rsid w:val="00231AD8"/>
    <w:rsid w:val="00231F02"/>
    <w:rsid w:val="00232194"/>
    <w:rsid w:val="0023259D"/>
    <w:rsid w:val="00232AA6"/>
    <w:rsid w:val="00232DC4"/>
    <w:rsid w:val="00232DD2"/>
    <w:rsid w:val="002330A4"/>
    <w:rsid w:val="0023364E"/>
    <w:rsid w:val="00233958"/>
    <w:rsid w:val="00233A5F"/>
    <w:rsid w:val="00233BFB"/>
    <w:rsid w:val="00233C24"/>
    <w:rsid w:val="00233C8E"/>
    <w:rsid w:val="00233CB9"/>
    <w:rsid w:val="00233CEE"/>
    <w:rsid w:val="00233E13"/>
    <w:rsid w:val="002341EA"/>
    <w:rsid w:val="0023461A"/>
    <w:rsid w:val="00234C3D"/>
    <w:rsid w:val="00234C7A"/>
    <w:rsid w:val="00235142"/>
    <w:rsid w:val="00235189"/>
    <w:rsid w:val="0023541A"/>
    <w:rsid w:val="00235629"/>
    <w:rsid w:val="00235AF2"/>
    <w:rsid w:val="00235B98"/>
    <w:rsid w:val="00235BB4"/>
    <w:rsid w:val="002364B1"/>
    <w:rsid w:val="002364E6"/>
    <w:rsid w:val="0023650F"/>
    <w:rsid w:val="00236790"/>
    <w:rsid w:val="00236E13"/>
    <w:rsid w:val="00236EBC"/>
    <w:rsid w:val="0023703A"/>
    <w:rsid w:val="0023709E"/>
    <w:rsid w:val="002370E2"/>
    <w:rsid w:val="002375A5"/>
    <w:rsid w:val="002375BC"/>
    <w:rsid w:val="002376F3"/>
    <w:rsid w:val="00237A2A"/>
    <w:rsid w:val="00237D21"/>
    <w:rsid w:val="00237F09"/>
    <w:rsid w:val="00237F1F"/>
    <w:rsid w:val="00237FD9"/>
    <w:rsid w:val="00240677"/>
    <w:rsid w:val="002408E0"/>
    <w:rsid w:val="00240977"/>
    <w:rsid w:val="00240AE2"/>
    <w:rsid w:val="00240E34"/>
    <w:rsid w:val="00241156"/>
    <w:rsid w:val="002415BD"/>
    <w:rsid w:val="00241B5F"/>
    <w:rsid w:val="00241BBC"/>
    <w:rsid w:val="002420D3"/>
    <w:rsid w:val="0024214B"/>
    <w:rsid w:val="00242504"/>
    <w:rsid w:val="00242633"/>
    <w:rsid w:val="00242690"/>
    <w:rsid w:val="0024276A"/>
    <w:rsid w:val="002427F9"/>
    <w:rsid w:val="002433C7"/>
    <w:rsid w:val="0024377F"/>
    <w:rsid w:val="002438DB"/>
    <w:rsid w:val="002439A1"/>
    <w:rsid w:val="00243EA4"/>
    <w:rsid w:val="0024406C"/>
    <w:rsid w:val="00244392"/>
    <w:rsid w:val="002443D2"/>
    <w:rsid w:val="0024456E"/>
    <w:rsid w:val="0024474D"/>
    <w:rsid w:val="00244EBA"/>
    <w:rsid w:val="00244EFB"/>
    <w:rsid w:val="00245042"/>
    <w:rsid w:val="002454D1"/>
    <w:rsid w:val="002455E3"/>
    <w:rsid w:val="00245CC8"/>
    <w:rsid w:val="00245FB2"/>
    <w:rsid w:val="00245FB6"/>
    <w:rsid w:val="00246120"/>
    <w:rsid w:val="0024661D"/>
    <w:rsid w:val="00246640"/>
    <w:rsid w:val="0024665C"/>
    <w:rsid w:val="002472B6"/>
    <w:rsid w:val="00247542"/>
    <w:rsid w:val="0024787E"/>
    <w:rsid w:val="00247934"/>
    <w:rsid w:val="0024B7E1"/>
    <w:rsid w:val="002505E5"/>
    <w:rsid w:val="0025064C"/>
    <w:rsid w:val="0025091C"/>
    <w:rsid w:val="00250A79"/>
    <w:rsid w:val="00250E78"/>
    <w:rsid w:val="00250E83"/>
    <w:rsid w:val="00250E8B"/>
    <w:rsid w:val="00251551"/>
    <w:rsid w:val="00251871"/>
    <w:rsid w:val="00251AC7"/>
    <w:rsid w:val="00252129"/>
    <w:rsid w:val="0025229A"/>
    <w:rsid w:val="002524D8"/>
    <w:rsid w:val="00252573"/>
    <w:rsid w:val="002525BB"/>
    <w:rsid w:val="00252C26"/>
    <w:rsid w:val="00252C3B"/>
    <w:rsid w:val="00252DD3"/>
    <w:rsid w:val="002530B2"/>
    <w:rsid w:val="0025320A"/>
    <w:rsid w:val="002537CF"/>
    <w:rsid w:val="0025380E"/>
    <w:rsid w:val="00253AA7"/>
    <w:rsid w:val="00253C2E"/>
    <w:rsid w:val="00253D72"/>
    <w:rsid w:val="00253EC4"/>
    <w:rsid w:val="00253FFC"/>
    <w:rsid w:val="00254144"/>
    <w:rsid w:val="00254619"/>
    <w:rsid w:val="0025461D"/>
    <w:rsid w:val="0025464D"/>
    <w:rsid w:val="0025489C"/>
    <w:rsid w:val="00254F06"/>
    <w:rsid w:val="00255584"/>
    <w:rsid w:val="0025575B"/>
    <w:rsid w:val="00255904"/>
    <w:rsid w:val="00255F27"/>
    <w:rsid w:val="00256026"/>
    <w:rsid w:val="00256197"/>
    <w:rsid w:val="0025650F"/>
    <w:rsid w:val="00256516"/>
    <w:rsid w:val="00256638"/>
    <w:rsid w:val="00256727"/>
    <w:rsid w:val="0025688C"/>
    <w:rsid w:val="00256BFD"/>
    <w:rsid w:val="00256C5F"/>
    <w:rsid w:val="00256D2E"/>
    <w:rsid w:val="00256D6F"/>
    <w:rsid w:val="00256DB0"/>
    <w:rsid w:val="0025704D"/>
    <w:rsid w:val="0025714F"/>
    <w:rsid w:val="00257279"/>
    <w:rsid w:val="0025759A"/>
    <w:rsid w:val="00257858"/>
    <w:rsid w:val="00257894"/>
    <w:rsid w:val="00257ACF"/>
    <w:rsid w:val="00257D3A"/>
    <w:rsid w:val="00260226"/>
    <w:rsid w:val="002602A2"/>
    <w:rsid w:val="0026081B"/>
    <w:rsid w:val="00261279"/>
    <w:rsid w:val="00261BB3"/>
    <w:rsid w:val="00262238"/>
    <w:rsid w:val="00262270"/>
    <w:rsid w:val="002622B5"/>
    <w:rsid w:val="002622E9"/>
    <w:rsid w:val="002622F1"/>
    <w:rsid w:val="00262303"/>
    <w:rsid w:val="00262337"/>
    <w:rsid w:val="00262840"/>
    <w:rsid w:val="0026286F"/>
    <w:rsid w:val="00262B27"/>
    <w:rsid w:val="0026318E"/>
    <w:rsid w:val="00263315"/>
    <w:rsid w:val="002635C6"/>
    <w:rsid w:val="0026399D"/>
    <w:rsid w:val="002641AD"/>
    <w:rsid w:val="00264432"/>
    <w:rsid w:val="00264627"/>
    <w:rsid w:val="00264DBF"/>
    <w:rsid w:val="00265201"/>
    <w:rsid w:val="0026554C"/>
    <w:rsid w:val="002657E2"/>
    <w:rsid w:val="00265801"/>
    <w:rsid w:val="00265E5D"/>
    <w:rsid w:val="002660A8"/>
    <w:rsid w:val="0026672F"/>
    <w:rsid w:val="00266888"/>
    <w:rsid w:val="00266BFB"/>
    <w:rsid w:val="00266E8B"/>
    <w:rsid w:val="00266FB9"/>
    <w:rsid w:val="00267155"/>
    <w:rsid w:val="002671F4"/>
    <w:rsid w:val="0026797F"/>
    <w:rsid w:val="00267CEA"/>
    <w:rsid w:val="00267F15"/>
    <w:rsid w:val="002700D6"/>
    <w:rsid w:val="00270302"/>
    <w:rsid w:val="0027035C"/>
    <w:rsid w:val="00270902"/>
    <w:rsid w:val="00270BCD"/>
    <w:rsid w:val="00270CF9"/>
    <w:rsid w:val="00270DCC"/>
    <w:rsid w:val="00270FA3"/>
    <w:rsid w:val="00271043"/>
    <w:rsid w:val="0027156F"/>
    <w:rsid w:val="00271A64"/>
    <w:rsid w:val="00271B45"/>
    <w:rsid w:val="00271EE9"/>
    <w:rsid w:val="002720D2"/>
    <w:rsid w:val="0027211A"/>
    <w:rsid w:val="00272308"/>
    <w:rsid w:val="002723A6"/>
    <w:rsid w:val="0027243F"/>
    <w:rsid w:val="002725C6"/>
    <w:rsid w:val="0027299E"/>
    <w:rsid w:val="00272AB2"/>
    <w:rsid w:val="00272F6A"/>
    <w:rsid w:val="002733BD"/>
    <w:rsid w:val="0027356E"/>
    <w:rsid w:val="002736E3"/>
    <w:rsid w:val="00273B71"/>
    <w:rsid w:val="00273C3A"/>
    <w:rsid w:val="00273D24"/>
    <w:rsid w:val="00273D31"/>
    <w:rsid w:val="00273F3F"/>
    <w:rsid w:val="00274477"/>
    <w:rsid w:val="00274694"/>
    <w:rsid w:val="00274959"/>
    <w:rsid w:val="00274981"/>
    <w:rsid w:val="002749B5"/>
    <w:rsid w:val="00274A3B"/>
    <w:rsid w:val="00275010"/>
    <w:rsid w:val="002751B9"/>
    <w:rsid w:val="00275339"/>
    <w:rsid w:val="00275495"/>
    <w:rsid w:val="00275553"/>
    <w:rsid w:val="00275C1B"/>
    <w:rsid w:val="00275E58"/>
    <w:rsid w:val="00276299"/>
    <w:rsid w:val="0027642F"/>
    <w:rsid w:val="0027673C"/>
    <w:rsid w:val="002767D9"/>
    <w:rsid w:val="002769A1"/>
    <w:rsid w:val="00276AC4"/>
    <w:rsid w:val="00276B93"/>
    <w:rsid w:val="00276EB2"/>
    <w:rsid w:val="00276F3B"/>
    <w:rsid w:val="00276F61"/>
    <w:rsid w:val="002775CB"/>
    <w:rsid w:val="002778AD"/>
    <w:rsid w:val="0027794F"/>
    <w:rsid w:val="00277C28"/>
    <w:rsid w:val="00277C42"/>
    <w:rsid w:val="00277DF3"/>
    <w:rsid w:val="00277F6E"/>
    <w:rsid w:val="00277FE1"/>
    <w:rsid w:val="002806BD"/>
    <w:rsid w:val="002808F4"/>
    <w:rsid w:val="00280A8B"/>
    <w:rsid w:val="00280B75"/>
    <w:rsid w:val="00280C1F"/>
    <w:rsid w:val="00280E6D"/>
    <w:rsid w:val="002811D4"/>
    <w:rsid w:val="0028126B"/>
    <w:rsid w:val="0028126E"/>
    <w:rsid w:val="0028155D"/>
    <w:rsid w:val="002818E4"/>
    <w:rsid w:val="0028194B"/>
    <w:rsid w:val="00281AC2"/>
    <w:rsid w:val="00281E83"/>
    <w:rsid w:val="00282623"/>
    <w:rsid w:val="002829BA"/>
    <w:rsid w:val="00282BDF"/>
    <w:rsid w:val="00282C92"/>
    <w:rsid w:val="00282DE1"/>
    <w:rsid w:val="00282F8F"/>
    <w:rsid w:val="00283181"/>
    <w:rsid w:val="0028335A"/>
    <w:rsid w:val="002833F5"/>
    <w:rsid w:val="002835FB"/>
    <w:rsid w:val="00283B30"/>
    <w:rsid w:val="00284463"/>
    <w:rsid w:val="002846EA"/>
    <w:rsid w:val="00284AA4"/>
    <w:rsid w:val="00284CBB"/>
    <w:rsid w:val="00284E0A"/>
    <w:rsid w:val="0028508A"/>
    <w:rsid w:val="0028510E"/>
    <w:rsid w:val="00285154"/>
    <w:rsid w:val="002852B1"/>
    <w:rsid w:val="0028535F"/>
    <w:rsid w:val="00285429"/>
    <w:rsid w:val="002858E5"/>
    <w:rsid w:val="00285AA9"/>
    <w:rsid w:val="00285AFA"/>
    <w:rsid w:val="00285BC5"/>
    <w:rsid w:val="00285C77"/>
    <w:rsid w:val="00285D93"/>
    <w:rsid w:val="00285E73"/>
    <w:rsid w:val="002860A3"/>
    <w:rsid w:val="00286237"/>
    <w:rsid w:val="00286495"/>
    <w:rsid w:val="00286D23"/>
    <w:rsid w:val="00286D86"/>
    <w:rsid w:val="00286E75"/>
    <w:rsid w:val="00286F1E"/>
    <w:rsid w:val="00287126"/>
    <w:rsid w:val="0028716A"/>
    <w:rsid w:val="002872D5"/>
    <w:rsid w:val="002872E3"/>
    <w:rsid w:val="0028758C"/>
    <w:rsid w:val="0028781C"/>
    <w:rsid w:val="0029029A"/>
    <w:rsid w:val="00290BF8"/>
    <w:rsid w:val="00290DA6"/>
    <w:rsid w:val="00290E3D"/>
    <w:rsid w:val="00290ECC"/>
    <w:rsid w:val="00291341"/>
    <w:rsid w:val="00291550"/>
    <w:rsid w:val="002915CB"/>
    <w:rsid w:val="00291614"/>
    <w:rsid w:val="002916A1"/>
    <w:rsid w:val="00291791"/>
    <w:rsid w:val="00291AAD"/>
    <w:rsid w:val="00291CF4"/>
    <w:rsid w:val="00291F1E"/>
    <w:rsid w:val="00291F44"/>
    <w:rsid w:val="002923F1"/>
    <w:rsid w:val="002923F7"/>
    <w:rsid w:val="002924AE"/>
    <w:rsid w:val="0029262D"/>
    <w:rsid w:val="002926EC"/>
    <w:rsid w:val="002927DA"/>
    <w:rsid w:val="00292E5A"/>
    <w:rsid w:val="00292F44"/>
    <w:rsid w:val="00293107"/>
    <w:rsid w:val="00293250"/>
    <w:rsid w:val="00293701"/>
    <w:rsid w:val="00293968"/>
    <w:rsid w:val="00293AB1"/>
    <w:rsid w:val="00293D79"/>
    <w:rsid w:val="00294116"/>
    <w:rsid w:val="00294443"/>
    <w:rsid w:val="0029488A"/>
    <w:rsid w:val="002949FC"/>
    <w:rsid w:val="00294ADC"/>
    <w:rsid w:val="0029514E"/>
    <w:rsid w:val="00295200"/>
    <w:rsid w:val="0029525B"/>
    <w:rsid w:val="0029554B"/>
    <w:rsid w:val="002957DC"/>
    <w:rsid w:val="00295812"/>
    <w:rsid w:val="00295AFD"/>
    <w:rsid w:val="00295B6B"/>
    <w:rsid w:val="00296172"/>
    <w:rsid w:val="00296259"/>
    <w:rsid w:val="002964DD"/>
    <w:rsid w:val="00296A1F"/>
    <w:rsid w:val="00296A50"/>
    <w:rsid w:val="00296FAB"/>
    <w:rsid w:val="00297002"/>
    <w:rsid w:val="00297107"/>
    <w:rsid w:val="002973A0"/>
    <w:rsid w:val="002976E2"/>
    <w:rsid w:val="002979D4"/>
    <w:rsid w:val="00297DC9"/>
    <w:rsid w:val="00297E61"/>
    <w:rsid w:val="00297EA9"/>
    <w:rsid w:val="002A0048"/>
    <w:rsid w:val="002A00F2"/>
    <w:rsid w:val="002A01F0"/>
    <w:rsid w:val="002A053F"/>
    <w:rsid w:val="002A05CA"/>
    <w:rsid w:val="002A0717"/>
    <w:rsid w:val="002A0944"/>
    <w:rsid w:val="002A1077"/>
    <w:rsid w:val="002A11BE"/>
    <w:rsid w:val="002A1212"/>
    <w:rsid w:val="002A1371"/>
    <w:rsid w:val="002A1744"/>
    <w:rsid w:val="002A1B3C"/>
    <w:rsid w:val="002A271B"/>
    <w:rsid w:val="002A295D"/>
    <w:rsid w:val="002A2A44"/>
    <w:rsid w:val="002A2AD3"/>
    <w:rsid w:val="002A2E16"/>
    <w:rsid w:val="002A2FF6"/>
    <w:rsid w:val="002A30A2"/>
    <w:rsid w:val="002A3109"/>
    <w:rsid w:val="002A3429"/>
    <w:rsid w:val="002A34B8"/>
    <w:rsid w:val="002A3BC4"/>
    <w:rsid w:val="002A3DBF"/>
    <w:rsid w:val="002A3EFA"/>
    <w:rsid w:val="002A3F4B"/>
    <w:rsid w:val="002A429A"/>
    <w:rsid w:val="002A43E4"/>
    <w:rsid w:val="002A46F5"/>
    <w:rsid w:val="002A4782"/>
    <w:rsid w:val="002A4A95"/>
    <w:rsid w:val="002A4B1F"/>
    <w:rsid w:val="002A4E02"/>
    <w:rsid w:val="002A4FAF"/>
    <w:rsid w:val="002A5051"/>
    <w:rsid w:val="002A50DC"/>
    <w:rsid w:val="002A54A2"/>
    <w:rsid w:val="002A5538"/>
    <w:rsid w:val="002A56DE"/>
    <w:rsid w:val="002A5B9B"/>
    <w:rsid w:val="002A5D54"/>
    <w:rsid w:val="002A5DAB"/>
    <w:rsid w:val="002A5E13"/>
    <w:rsid w:val="002A5E15"/>
    <w:rsid w:val="002A5F88"/>
    <w:rsid w:val="002A60B5"/>
    <w:rsid w:val="002A6291"/>
    <w:rsid w:val="002A6474"/>
    <w:rsid w:val="002A6551"/>
    <w:rsid w:val="002A665B"/>
    <w:rsid w:val="002A6738"/>
    <w:rsid w:val="002A6A56"/>
    <w:rsid w:val="002A6B9A"/>
    <w:rsid w:val="002A6D85"/>
    <w:rsid w:val="002A6E15"/>
    <w:rsid w:val="002A71B3"/>
    <w:rsid w:val="002A75B1"/>
    <w:rsid w:val="002A7BFB"/>
    <w:rsid w:val="002A7C28"/>
    <w:rsid w:val="002A7EA6"/>
    <w:rsid w:val="002A7FD6"/>
    <w:rsid w:val="002B007B"/>
    <w:rsid w:val="002B0770"/>
    <w:rsid w:val="002B0919"/>
    <w:rsid w:val="002B0BDB"/>
    <w:rsid w:val="002B0E86"/>
    <w:rsid w:val="002B0F22"/>
    <w:rsid w:val="002B110D"/>
    <w:rsid w:val="002B1588"/>
    <w:rsid w:val="002B1B2F"/>
    <w:rsid w:val="002B1D03"/>
    <w:rsid w:val="002B1F82"/>
    <w:rsid w:val="002B236C"/>
    <w:rsid w:val="002B24A0"/>
    <w:rsid w:val="002B2676"/>
    <w:rsid w:val="002B2828"/>
    <w:rsid w:val="002B2CFD"/>
    <w:rsid w:val="002B2D7F"/>
    <w:rsid w:val="002B2D86"/>
    <w:rsid w:val="002B2DE9"/>
    <w:rsid w:val="002B2E02"/>
    <w:rsid w:val="002B2EEA"/>
    <w:rsid w:val="002B2FB7"/>
    <w:rsid w:val="002B3456"/>
    <w:rsid w:val="002B35FF"/>
    <w:rsid w:val="002B373D"/>
    <w:rsid w:val="002B38F3"/>
    <w:rsid w:val="002B3BD0"/>
    <w:rsid w:val="002B41C1"/>
    <w:rsid w:val="002B43FF"/>
    <w:rsid w:val="002B44D1"/>
    <w:rsid w:val="002B4789"/>
    <w:rsid w:val="002B4966"/>
    <w:rsid w:val="002B49B4"/>
    <w:rsid w:val="002B4AA1"/>
    <w:rsid w:val="002B4C6C"/>
    <w:rsid w:val="002B4DC0"/>
    <w:rsid w:val="002B511C"/>
    <w:rsid w:val="002B5482"/>
    <w:rsid w:val="002B55BA"/>
    <w:rsid w:val="002B5BBC"/>
    <w:rsid w:val="002B6199"/>
    <w:rsid w:val="002B63C5"/>
    <w:rsid w:val="002B657E"/>
    <w:rsid w:val="002B67F7"/>
    <w:rsid w:val="002B6CE4"/>
    <w:rsid w:val="002B6F6D"/>
    <w:rsid w:val="002B7083"/>
    <w:rsid w:val="002B70B7"/>
    <w:rsid w:val="002B74FB"/>
    <w:rsid w:val="002B7753"/>
    <w:rsid w:val="002B7897"/>
    <w:rsid w:val="002B78C2"/>
    <w:rsid w:val="002B7BA3"/>
    <w:rsid w:val="002B7CE0"/>
    <w:rsid w:val="002B7DA4"/>
    <w:rsid w:val="002B7E18"/>
    <w:rsid w:val="002B7E77"/>
    <w:rsid w:val="002B7E88"/>
    <w:rsid w:val="002B7EA6"/>
    <w:rsid w:val="002B7EAB"/>
    <w:rsid w:val="002C0354"/>
    <w:rsid w:val="002C0521"/>
    <w:rsid w:val="002C0564"/>
    <w:rsid w:val="002C0B93"/>
    <w:rsid w:val="002C0D0D"/>
    <w:rsid w:val="002C0D8B"/>
    <w:rsid w:val="002C0D90"/>
    <w:rsid w:val="002C0FEC"/>
    <w:rsid w:val="002C10D2"/>
    <w:rsid w:val="002C1576"/>
    <w:rsid w:val="002C177A"/>
    <w:rsid w:val="002C1787"/>
    <w:rsid w:val="002C17D9"/>
    <w:rsid w:val="002C17E6"/>
    <w:rsid w:val="002C1829"/>
    <w:rsid w:val="002C1876"/>
    <w:rsid w:val="002C188F"/>
    <w:rsid w:val="002C19F9"/>
    <w:rsid w:val="002C1CB5"/>
    <w:rsid w:val="002C1CFA"/>
    <w:rsid w:val="002C1EA5"/>
    <w:rsid w:val="002C1FDE"/>
    <w:rsid w:val="002C2616"/>
    <w:rsid w:val="002C2781"/>
    <w:rsid w:val="002C293C"/>
    <w:rsid w:val="002C2A18"/>
    <w:rsid w:val="002C2CAF"/>
    <w:rsid w:val="002C33C5"/>
    <w:rsid w:val="002C34F9"/>
    <w:rsid w:val="002C37F8"/>
    <w:rsid w:val="002C3875"/>
    <w:rsid w:val="002C3AFC"/>
    <w:rsid w:val="002C3B4A"/>
    <w:rsid w:val="002C3B90"/>
    <w:rsid w:val="002C3BAC"/>
    <w:rsid w:val="002C427B"/>
    <w:rsid w:val="002C4496"/>
    <w:rsid w:val="002C454A"/>
    <w:rsid w:val="002C5558"/>
    <w:rsid w:val="002C55EF"/>
    <w:rsid w:val="002C5826"/>
    <w:rsid w:val="002C58C2"/>
    <w:rsid w:val="002C5CF7"/>
    <w:rsid w:val="002C640D"/>
    <w:rsid w:val="002C6508"/>
    <w:rsid w:val="002C653E"/>
    <w:rsid w:val="002C6681"/>
    <w:rsid w:val="002C6BD9"/>
    <w:rsid w:val="002C6CAB"/>
    <w:rsid w:val="002C6E9E"/>
    <w:rsid w:val="002C6EE9"/>
    <w:rsid w:val="002C6FA2"/>
    <w:rsid w:val="002C702A"/>
    <w:rsid w:val="002C754F"/>
    <w:rsid w:val="002C7825"/>
    <w:rsid w:val="002C7971"/>
    <w:rsid w:val="002C79E9"/>
    <w:rsid w:val="002C7FBF"/>
    <w:rsid w:val="002D0082"/>
    <w:rsid w:val="002D01DC"/>
    <w:rsid w:val="002D03DF"/>
    <w:rsid w:val="002D08E1"/>
    <w:rsid w:val="002D0DAF"/>
    <w:rsid w:val="002D0E11"/>
    <w:rsid w:val="002D0E97"/>
    <w:rsid w:val="002D0F90"/>
    <w:rsid w:val="002D1012"/>
    <w:rsid w:val="002D118B"/>
    <w:rsid w:val="002D129B"/>
    <w:rsid w:val="002D18F3"/>
    <w:rsid w:val="002D1A07"/>
    <w:rsid w:val="002D1A26"/>
    <w:rsid w:val="002D1A8D"/>
    <w:rsid w:val="002D1A96"/>
    <w:rsid w:val="002D1ABF"/>
    <w:rsid w:val="002D1BC9"/>
    <w:rsid w:val="002D1C11"/>
    <w:rsid w:val="002D1C84"/>
    <w:rsid w:val="002D1EAA"/>
    <w:rsid w:val="002D2910"/>
    <w:rsid w:val="002D2BB3"/>
    <w:rsid w:val="002D2DA1"/>
    <w:rsid w:val="002D2DC1"/>
    <w:rsid w:val="002D304B"/>
    <w:rsid w:val="002D3084"/>
    <w:rsid w:val="002D30B2"/>
    <w:rsid w:val="002D315E"/>
    <w:rsid w:val="002D33DA"/>
    <w:rsid w:val="002D39A0"/>
    <w:rsid w:val="002D39CA"/>
    <w:rsid w:val="002D4093"/>
    <w:rsid w:val="002D4170"/>
    <w:rsid w:val="002D4314"/>
    <w:rsid w:val="002D44DF"/>
    <w:rsid w:val="002D4749"/>
    <w:rsid w:val="002D4A1C"/>
    <w:rsid w:val="002D5205"/>
    <w:rsid w:val="002D58A6"/>
    <w:rsid w:val="002D5AEC"/>
    <w:rsid w:val="002D5CD0"/>
    <w:rsid w:val="002D6011"/>
    <w:rsid w:val="002D612A"/>
    <w:rsid w:val="002D647A"/>
    <w:rsid w:val="002D66D5"/>
    <w:rsid w:val="002D67FC"/>
    <w:rsid w:val="002D6F2D"/>
    <w:rsid w:val="002D71C4"/>
    <w:rsid w:val="002D778D"/>
    <w:rsid w:val="002D7A01"/>
    <w:rsid w:val="002D7C68"/>
    <w:rsid w:val="002D7C7C"/>
    <w:rsid w:val="002D7F4F"/>
    <w:rsid w:val="002E03A1"/>
    <w:rsid w:val="002E07A5"/>
    <w:rsid w:val="002E07E5"/>
    <w:rsid w:val="002E07FE"/>
    <w:rsid w:val="002E0985"/>
    <w:rsid w:val="002E0DCE"/>
    <w:rsid w:val="002E11A0"/>
    <w:rsid w:val="002E1210"/>
    <w:rsid w:val="002E1298"/>
    <w:rsid w:val="002E12A4"/>
    <w:rsid w:val="002E13F8"/>
    <w:rsid w:val="002E154C"/>
    <w:rsid w:val="002E1634"/>
    <w:rsid w:val="002E17B4"/>
    <w:rsid w:val="002E2353"/>
    <w:rsid w:val="002E2F4D"/>
    <w:rsid w:val="002E3449"/>
    <w:rsid w:val="002E3458"/>
    <w:rsid w:val="002E3588"/>
    <w:rsid w:val="002E3F06"/>
    <w:rsid w:val="002E4319"/>
    <w:rsid w:val="002E4329"/>
    <w:rsid w:val="002E4471"/>
    <w:rsid w:val="002E46A7"/>
    <w:rsid w:val="002E4C1C"/>
    <w:rsid w:val="002E4C5A"/>
    <w:rsid w:val="002E4CC2"/>
    <w:rsid w:val="002E4E4C"/>
    <w:rsid w:val="002E4EE8"/>
    <w:rsid w:val="002E4F15"/>
    <w:rsid w:val="002E5068"/>
    <w:rsid w:val="002E516B"/>
    <w:rsid w:val="002E543B"/>
    <w:rsid w:val="002E54ED"/>
    <w:rsid w:val="002E5A21"/>
    <w:rsid w:val="002E5C81"/>
    <w:rsid w:val="002E5E3E"/>
    <w:rsid w:val="002E5E8A"/>
    <w:rsid w:val="002E6390"/>
    <w:rsid w:val="002E6509"/>
    <w:rsid w:val="002E6542"/>
    <w:rsid w:val="002E66CA"/>
    <w:rsid w:val="002E6B11"/>
    <w:rsid w:val="002E7702"/>
    <w:rsid w:val="002E7EB0"/>
    <w:rsid w:val="002F013A"/>
    <w:rsid w:val="002F016C"/>
    <w:rsid w:val="002F02D0"/>
    <w:rsid w:val="002F076B"/>
    <w:rsid w:val="002F07A9"/>
    <w:rsid w:val="002F0B4A"/>
    <w:rsid w:val="002F0DF5"/>
    <w:rsid w:val="002F0E6C"/>
    <w:rsid w:val="002F0E99"/>
    <w:rsid w:val="002F0EA9"/>
    <w:rsid w:val="002F140C"/>
    <w:rsid w:val="002F16DF"/>
    <w:rsid w:val="002F1834"/>
    <w:rsid w:val="002F1986"/>
    <w:rsid w:val="002F1B1B"/>
    <w:rsid w:val="002F1BA2"/>
    <w:rsid w:val="002F1BBB"/>
    <w:rsid w:val="002F1D8E"/>
    <w:rsid w:val="002F1E7E"/>
    <w:rsid w:val="002F1FF6"/>
    <w:rsid w:val="002F23DA"/>
    <w:rsid w:val="002F267C"/>
    <w:rsid w:val="002F2752"/>
    <w:rsid w:val="002F2977"/>
    <w:rsid w:val="002F29DD"/>
    <w:rsid w:val="002F2F74"/>
    <w:rsid w:val="002F3438"/>
    <w:rsid w:val="002F35FC"/>
    <w:rsid w:val="002F3A7A"/>
    <w:rsid w:val="002F3C0C"/>
    <w:rsid w:val="002F3C2B"/>
    <w:rsid w:val="002F3C7D"/>
    <w:rsid w:val="002F3DCA"/>
    <w:rsid w:val="002F438C"/>
    <w:rsid w:val="002F43F9"/>
    <w:rsid w:val="002F4A64"/>
    <w:rsid w:val="002F4BEC"/>
    <w:rsid w:val="002F4DD0"/>
    <w:rsid w:val="002F4DDB"/>
    <w:rsid w:val="002F4FB9"/>
    <w:rsid w:val="002F52D8"/>
    <w:rsid w:val="002F5570"/>
    <w:rsid w:val="002F5C34"/>
    <w:rsid w:val="002F5ED5"/>
    <w:rsid w:val="002F619F"/>
    <w:rsid w:val="002F6200"/>
    <w:rsid w:val="002F64B5"/>
    <w:rsid w:val="002F66C4"/>
    <w:rsid w:val="002F68D1"/>
    <w:rsid w:val="002F6A28"/>
    <w:rsid w:val="002F6EA0"/>
    <w:rsid w:val="002F7F60"/>
    <w:rsid w:val="003003FB"/>
    <w:rsid w:val="00300EB7"/>
    <w:rsid w:val="0030169B"/>
    <w:rsid w:val="00301733"/>
    <w:rsid w:val="00301799"/>
    <w:rsid w:val="00301ADB"/>
    <w:rsid w:val="00301BEB"/>
    <w:rsid w:val="00301E6B"/>
    <w:rsid w:val="003020AB"/>
    <w:rsid w:val="00302ACF"/>
    <w:rsid w:val="00302C66"/>
    <w:rsid w:val="00302DDA"/>
    <w:rsid w:val="00302E97"/>
    <w:rsid w:val="0030302B"/>
    <w:rsid w:val="00303156"/>
    <w:rsid w:val="00303251"/>
    <w:rsid w:val="00303548"/>
    <w:rsid w:val="003036A9"/>
    <w:rsid w:val="0030388A"/>
    <w:rsid w:val="00303909"/>
    <w:rsid w:val="00303CF8"/>
    <w:rsid w:val="0030423D"/>
    <w:rsid w:val="00304583"/>
    <w:rsid w:val="0030464C"/>
    <w:rsid w:val="0030496F"/>
    <w:rsid w:val="00304C99"/>
    <w:rsid w:val="00304EFE"/>
    <w:rsid w:val="00305821"/>
    <w:rsid w:val="0030598D"/>
    <w:rsid w:val="00305ADD"/>
    <w:rsid w:val="00305E1A"/>
    <w:rsid w:val="00305E5B"/>
    <w:rsid w:val="00306087"/>
    <w:rsid w:val="00306397"/>
    <w:rsid w:val="00306402"/>
    <w:rsid w:val="0030674C"/>
    <w:rsid w:val="00306862"/>
    <w:rsid w:val="00306BA6"/>
    <w:rsid w:val="00306E02"/>
    <w:rsid w:val="00307040"/>
    <w:rsid w:val="00307259"/>
    <w:rsid w:val="00307308"/>
    <w:rsid w:val="0030738C"/>
    <w:rsid w:val="003076CD"/>
    <w:rsid w:val="003079F4"/>
    <w:rsid w:val="00307E64"/>
    <w:rsid w:val="00310256"/>
    <w:rsid w:val="003103D0"/>
    <w:rsid w:val="00310650"/>
    <w:rsid w:val="003106A4"/>
    <w:rsid w:val="003108AD"/>
    <w:rsid w:val="00310A2D"/>
    <w:rsid w:val="003111EF"/>
    <w:rsid w:val="00311AAD"/>
    <w:rsid w:val="00311E0C"/>
    <w:rsid w:val="00312182"/>
    <w:rsid w:val="0031236D"/>
    <w:rsid w:val="003123FE"/>
    <w:rsid w:val="003125A9"/>
    <w:rsid w:val="0031281E"/>
    <w:rsid w:val="00312E0B"/>
    <w:rsid w:val="00312F20"/>
    <w:rsid w:val="0031322B"/>
    <w:rsid w:val="003134C6"/>
    <w:rsid w:val="0031352A"/>
    <w:rsid w:val="00313D42"/>
    <w:rsid w:val="003141A2"/>
    <w:rsid w:val="003144AF"/>
    <w:rsid w:val="0031476B"/>
    <w:rsid w:val="00314ABB"/>
    <w:rsid w:val="00314E64"/>
    <w:rsid w:val="00315087"/>
    <w:rsid w:val="0031524D"/>
    <w:rsid w:val="00315B4D"/>
    <w:rsid w:val="00315ED9"/>
    <w:rsid w:val="00316568"/>
    <w:rsid w:val="00316A3F"/>
    <w:rsid w:val="00316ACB"/>
    <w:rsid w:val="00316BEA"/>
    <w:rsid w:val="00316C5F"/>
    <w:rsid w:val="003171EB"/>
    <w:rsid w:val="00317536"/>
    <w:rsid w:val="0031760D"/>
    <w:rsid w:val="00317632"/>
    <w:rsid w:val="00317817"/>
    <w:rsid w:val="00317D0D"/>
    <w:rsid w:val="00317E39"/>
    <w:rsid w:val="003203CE"/>
    <w:rsid w:val="00320509"/>
    <w:rsid w:val="003205CB"/>
    <w:rsid w:val="003206F2"/>
    <w:rsid w:val="003207F1"/>
    <w:rsid w:val="00320988"/>
    <w:rsid w:val="00320CB7"/>
    <w:rsid w:val="00321032"/>
    <w:rsid w:val="003212FE"/>
    <w:rsid w:val="003214A2"/>
    <w:rsid w:val="00321546"/>
    <w:rsid w:val="00321556"/>
    <w:rsid w:val="0032156A"/>
    <w:rsid w:val="003215B0"/>
    <w:rsid w:val="00321C26"/>
    <w:rsid w:val="00321F81"/>
    <w:rsid w:val="00322195"/>
    <w:rsid w:val="003224AE"/>
    <w:rsid w:val="003225FA"/>
    <w:rsid w:val="003227EB"/>
    <w:rsid w:val="00322819"/>
    <w:rsid w:val="00322AD0"/>
    <w:rsid w:val="00323287"/>
    <w:rsid w:val="003235EC"/>
    <w:rsid w:val="003238AF"/>
    <w:rsid w:val="00323CBA"/>
    <w:rsid w:val="00323FC4"/>
    <w:rsid w:val="003242EE"/>
    <w:rsid w:val="003246C0"/>
    <w:rsid w:val="003246FD"/>
    <w:rsid w:val="00324733"/>
    <w:rsid w:val="00324830"/>
    <w:rsid w:val="00324D92"/>
    <w:rsid w:val="00324DCD"/>
    <w:rsid w:val="00324DE3"/>
    <w:rsid w:val="00325916"/>
    <w:rsid w:val="0032601C"/>
    <w:rsid w:val="003261FF"/>
    <w:rsid w:val="003262BE"/>
    <w:rsid w:val="003262E1"/>
    <w:rsid w:val="0032655B"/>
    <w:rsid w:val="00326727"/>
    <w:rsid w:val="00326837"/>
    <w:rsid w:val="00326968"/>
    <w:rsid w:val="00326A08"/>
    <w:rsid w:val="00326B88"/>
    <w:rsid w:val="003271A8"/>
    <w:rsid w:val="00327453"/>
    <w:rsid w:val="00327528"/>
    <w:rsid w:val="00327560"/>
    <w:rsid w:val="003276D8"/>
    <w:rsid w:val="00327827"/>
    <w:rsid w:val="00327866"/>
    <w:rsid w:val="00327943"/>
    <w:rsid w:val="003279EB"/>
    <w:rsid w:val="00327B04"/>
    <w:rsid w:val="00327FB9"/>
    <w:rsid w:val="0033016D"/>
    <w:rsid w:val="00330909"/>
    <w:rsid w:val="00330A0C"/>
    <w:rsid w:val="00330B59"/>
    <w:rsid w:val="00330F16"/>
    <w:rsid w:val="003310E6"/>
    <w:rsid w:val="00331304"/>
    <w:rsid w:val="00331407"/>
    <w:rsid w:val="0033172A"/>
    <w:rsid w:val="0033199C"/>
    <w:rsid w:val="00331DEB"/>
    <w:rsid w:val="00331E67"/>
    <w:rsid w:val="0033255F"/>
    <w:rsid w:val="003325D8"/>
    <w:rsid w:val="00332B62"/>
    <w:rsid w:val="00332B74"/>
    <w:rsid w:val="00332E8C"/>
    <w:rsid w:val="00332FC6"/>
    <w:rsid w:val="003333A5"/>
    <w:rsid w:val="003335CC"/>
    <w:rsid w:val="00333989"/>
    <w:rsid w:val="00333ABA"/>
    <w:rsid w:val="00333B56"/>
    <w:rsid w:val="00333D2A"/>
    <w:rsid w:val="00333D37"/>
    <w:rsid w:val="00333DC1"/>
    <w:rsid w:val="00333F81"/>
    <w:rsid w:val="00334387"/>
    <w:rsid w:val="00334A6D"/>
    <w:rsid w:val="00334FF8"/>
    <w:rsid w:val="003352A9"/>
    <w:rsid w:val="0033540D"/>
    <w:rsid w:val="0033569D"/>
    <w:rsid w:val="0033574B"/>
    <w:rsid w:val="00335A0B"/>
    <w:rsid w:val="00335A74"/>
    <w:rsid w:val="00335F70"/>
    <w:rsid w:val="00335FA0"/>
    <w:rsid w:val="0033600C"/>
    <w:rsid w:val="003368C7"/>
    <w:rsid w:val="00336D21"/>
    <w:rsid w:val="00337363"/>
    <w:rsid w:val="003375D2"/>
    <w:rsid w:val="00337605"/>
    <w:rsid w:val="0033785A"/>
    <w:rsid w:val="00337BA0"/>
    <w:rsid w:val="00337CCB"/>
    <w:rsid w:val="00337F20"/>
    <w:rsid w:val="0034018A"/>
    <w:rsid w:val="003404A5"/>
    <w:rsid w:val="003405EF"/>
    <w:rsid w:val="00340AE4"/>
    <w:rsid w:val="00340DAB"/>
    <w:rsid w:val="00340EAE"/>
    <w:rsid w:val="00341721"/>
    <w:rsid w:val="003419D0"/>
    <w:rsid w:val="00341B50"/>
    <w:rsid w:val="00341C57"/>
    <w:rsid w:val="00341CA7"/>
    <w:rsid w:val="00341D5B"/>
    <w:rsid w:val="00341E5C"/>
    <w:rsid w:val="00342101"/>
    <w:rsid w:val="003422CF"/>
    <w:rsid w:val="00342318"/>
    <w:rsid w:val="00342726"/>
    <w:rsid w:val="0034275A"/>
    <w:rsid w:val="003427BC"/>
    <w:rsid w:val="003428F6"/>
    <w:rsid w:val="00342A2D"/>
    <w:rsid w:val="00342AFF"/>
    <w:rsid w:val="00342D41"/>
    <w:rsid w:val="003430B6"/>
    <w:rsid w:val="003432FF"/>
    <w:rsid w:val="0034395E"/>
    <w:rsid w:val="00344172"/>
    <w:rsid w:val="0034443A"/>
    <w:rsid w:val="00344840"/>
    <w:rsid w:val="003448B0"/>
    <w:rsid w:val="00344D7D"/>
    <w:rsid w:val="00344DBF"/>
    <w:rsid w:val="00344FB8"/>
    <w:rsid w:val="00345126"/>
    <w:rsid w:val="00345306"/>
    <w:rsid w:val="00345447"/>
    <w:rsid w:val="00345603"/>
    <w:rsid w:val="00345675"/>
    <w:rsid w:val="003456B2"/>
    <w:rsid w:val="00346437"/>
    <w:rsid w:val="00346540"/>
    <w:rsid w:val="00346635"/>
    <w:rsid w:val="003466D0"/>
    <w:rsid w:val="00346AEF"/>
    <w:rsid w:val="00347092"/>
    <w:rsid w:val="0034712E"/>
    <w:rsid w:val="003472C9"/>
    <w:rsid w:val="0034780C"/>
    <w:rsid w:val="0035035A"/>
    <w:rsid w:val="0035044B"/>
    <w:rsid w:val="003505A9"/>
    <w:rsid w:val="00350701"/>
    <w:rsid w:val="003509F0"/>
    <w:rsid w:val="00350C03"/>
    <w:rsid w:val="00351000"/>
    <w:rsid w:val="003510E7"/>
    <w:rsid w:val="0035144F"/>
    <w:rsid w:val="0035167A"/>
    <w:rsid w:val="0035176A"/>
    <w:rsid w:val="0035193B"/>
    <w:rsid w:val="00351EAB"/>
    <w:rsid w:val="00351EFB"/>
    <w:rsid w:val="003520C3"/>
    <w:rsid w:val="00352839"/>
    <w:rsid w:val="0035297A"/>
    <w:rsid w:val="00352AE2"/>
    <w:rsid w:val="00352C35"/>
    <w:rsid w:val="00353324"/>
    <w:rsid w:val="00353D59"/>
    <w:rsid w:val="00353F5F"/>
    <w:rsid w:val="00353FC2"/>
    <w:rsid w:val="003540C2"/>
    <w:rsid w:val="00354214"/>
    <w:rsid w:val="0035425F"/>
    <w:rsid w:val="00354265"/>
    <w:rsid w:val="0035428D"/>
    <w:rsid w:val="003544BA"/>
    <w:rsid w:val="00354655"/>
    <w:rsid w:val="00354A02"/>
    <w:rsid w:val="00354C14"/>
    <w:rsid w:val="00355133"/>
    <w:rsid w:val="003554EE"/>
    <w:rsid w:val="003557C7"/>
    <w:rsid w:val="0035585A"/>
    <w:rsid w:val="003559A5"/>
    <w:rsid w:val="00356458"/>
    <w:rsid w:val="0035649C"/>
    <w:rsid w:val="00356559"/>
    <w:rsid w:val="003565D5"/>
    <w:rsid w:val="00356727"/>
    <w:rsid w:val="00356796"/>
    <w:rsid w:val="00356851"/>
    <w:rsid w:val="00356BC6"/>
    <w:rsid w:val="00356C6B"/>
    <w:rsid w:val="00356DA5"/>
    <w:rsid w:val="00357047"/>
    <w:rsid w:val="00357187"/>
    <w:rsid w:val="003571F1"/>
    <w:rsid w:val="00357299"/>
    <w:rsid w:val="00357374"/>
    <w:rsid w:val="003573C1"/>
    <w:rsid w:val="00357587"/>
    <w:rsid w:val="003576BB"/>
    <w:rsid w:val="003578F4"/>
    <w:rsid w:val="00357901"/>
    <w:rsid w:val="00357C0E"/>
    <w:rsid w:val="00357CDE"/>
    <w:rsid w:val="00357EF8"/>
    <w:rsid w:val="00360467"/>
    <w:rsid w:val="00360815"/>
    <w:rsid w:val="003608EF"/>
    <w:rsid w:val="0036096A"/>
    <w:rsid w:val="00360B73"/>
    <w:rsid w:val="00360B78"/>
    <w:rsid w:val="00360BCA"/>
    <w:rsid w:val="00360DD2"/>
    <w:rsid w:val="00361171"/>
    <w:rsid w:val="003617CF"/>
    <w:rsid w:val="00361D17"/>
    <w:rsid w:val="00361EE9"/>
    <w:rsid w:val="00361FDE"/>
    <w:rsid w:val="003620F6"/>
    <w:rsid w:val="00362637"/>
    <w:rsid w:val="003626D1"/>
    <w:rsid w:val="003628E9"/>
    <w:rsid w:val="00362B8B"/>
    <w:rsid w:val="00362CF0"/>
    <w:rsid w:val="0036304A"/>
    <w:rsid w:val="003630AC"/>
    <w:rsid w:val="00363220"/>
    <w:rsid w:val="0036325E"/>
    <w:rsid w:val="00363734"/>
    <w:rsid w:val="003638F0"/>
    <w:rsid w:val="00363D2F"/>
    <w:rsid w:val="00364129"/>
    <w:rsid w:val="00364213"/>
    <w:rsid w:val="00364271"/>
    <w:rsid w:val="003642E8"/>
    <w:rsid w:val="00364391"/>
    <w:rsid w:val="003644A2"/>
    <w:rsid w:val="003646FD"/>
    <w:rsid w:val="00364A61"/>
    <w:rsid w:val="00364F10"/>
    <w:rsid w:val="00365446"/>
    <w:rsid w:val="00365514"/>
    <w:rsid w:val="003656D0"/>
    <w:rsid w:val="00365896"/>
    <w:rsid w:val="00365CD3"/>
    <w:rsid w:val="00365D91"/>
    <w:rsid w:val="00365FC3"/>
    <w:rsid w:val="0036604C"/>
    <w:rsid w:val="003660D1"/>
    <w:rsid w:val="0036630A"/>
    <w:rsid w:val="00366571"/>
    <w:rsid w:val="0036670D"/>
    <w:rsid w:val="003668E1"/>
    <w:rsid w:val="0036698B"/>
    <w:rsid w:val="003669E2"/>
    <w:rsid w:val="00366ADF"/>
    <w:rsid w:val="00367622"/>
    <w:rsid w:val="00367673"/>
    <w:rsid w:val="00367928"/>
    <w:rsid w:val="00367AA1"/>
    <w:rsid w:val="00367FCE"/>
    <w:rsid w:val="0037031A"/>
    <w:rsid w:val="00370340"/>
    <w:rsid w:val="00370385"/>
    <w:rsid w:val="00370652"/>
    <w:rsid w:val="003707CF"/>
    <w:rsid w:val="00370CE8"/>
    <w:rsid w:val="00370DC6"/>
    <w:rsid w:val="00371059"/>
    <w:rsid w:val="003710CF"/>
    <w:rsid w:val="0037150E"/>
    <w:rsid w:val="00371950"/>
    <w:rsid w:val="00371D9B"/>
    <w:rsid w:val="00371DF1"/>
    <w:rsid w:val="00371E99"/>
    <w:rsid w:val="00372365"/>
    <w:rsid w:val="003728CE"/>
    <w:rsid w:val="0037292C"/>
    <w:rsid w:val="00372942"/>
    <w:rsid w:val="00372FCA"/>
    <w:rsid w:val="00373402"/>
    <w:rsid w:val="003736A3"/>
    <w:rsid w:val="0037381E"/>
    <w:rsid w:val="00373B00"/>
    <w:rsid w:val="00373E66"/>
    <w:rsid w:val="00374858"/>
    <w:rsid w:val="003748CD"/>
    <w:rsid w:val="00374944"/>
    <w:rsid w:val="00374D41"/>
    <w:rsid w:val="00374D8C"/>
    <w:rsid w:val="00375464"/>
    <w:rsid w:val="0037548A"/>
    <w:rsid w:val="00375552"/>
    <w:rsid w:val="00375575"/>
    <w:rsid w:val="00375891"/>
    <w:rsid w:val="00375937"/>
    <w:rsid w:val="003768AE"/>
    <w:rsid w:val="003768E6"/>
    <w:rsid w:val="00376A00"/>
    <w:rsid w:val="00376C5B"/>
    <w:rsid w:val="00376C9F"/>
    <w:rsid w:val="00376EC3"/>
    <w:rsid w:val="00377069"/>
    <w:rsid w:val="0037709E"/>
    <w:rsid w:val="003770AA"/>
    <w:rsid w:val="00377116"/>
    <w:rsid w:val="00377377"/>
    <w:rsid w:val="00377484"/>
    <w:rsid w:val="0037769E"/>
    <w:rsid w:val="00377876"/>
    <w:rsid w:val="00377888"/>
    <w:rsid w:val="00377BD5"/>
    <w:rsid w:val="00377D43"/>
    <w:rsid w:val="00377D8E"/>
    <w:rsid w:val="003800C7"/>
    <w:rsid w:val="00380116"/>
    <w:rsid w:val="0038030A"/>
    <w:rsid w:val="0038079D"/>
    <w:rsid w:val="003809A1"/>
    <w:rsid w:val="00380CCD"/>
    <w:rsid w:val="00380F77"/>
    <w:rsid w:val="00380F8B"/>
    <w:rsid w:val="00381A95"/>
    <w:rsid w:val="00381BC1"/>
    <w:rsid w:val="003826C0"/>
    <w:rsid w:val="00382750"/>
    <w:rsid w:val="00382782"/>
    <w:rsid w:val="0038298F"/>
    <w:rsid w:val="003829A2"/>
    <w:rsid w:val="00382A10"/>
    <w:rsid w:val="00382B70"/>
    <w:rsid w:val="00382CA9"/>
    <w:rsid w:val="003832E4"/>
    <w:rsid w:val="003835B1"/>
    <w:rsid w:val="00383931"/>
    <w:rsid w:val="00383A6E"/>
    <w:rsid w:val="00384186"/>
    <w:rsid w:val="00384257"/>
    <w:rsid w:val="00384300"/>
    <w:rsid w:val="00384785"/>
    <w:rsid w:val="003848B0"/>
    <w:rsid w:val="0038496A"/>
    <w:rsid w:val="00384F43"/>
    <w:rsid w:val="0038537A"/>
    <w:rsid w:val="0038568A"/>
    <w:rsid w:val="0038570E"/>
    <w:rsid w:val="003857FC"/>
    <w:rsid w:val="003858F6"/>
    <w:rsid w:val="00385C43"/>
    <w:rsid w:val="00385C52"/>
    <w:rsid w:val="003860E9"/>
    <w:rsid w:val="00386164"/>
    <w:rsid w:val="0038624E"/>
    <w:rsid w:val="0038675F"/>
    <w:rsid w:val="00386902"/>
    <w:rsid w:val="003869C2"/>
    <w:rsid w:val="00386CD3"/>
    <w:rsid w:val="00386F72"/>
    <w:rsid w:val="003871CC"/>
    <w:rsid w:val="003872A1"/>
    <w:rsid w:val="003873A6"/>
    <w:rsid w:val="00387B7F"/>
    <w:rsid w:val="00387B8B"/>
    <w:rsid w:val="00387C69"/>
    <w:rsid w:val="003906E8"/>
    <w:rsid w:val="00390B22"/>
    <w:rsid w:val="00391112"/>
    <w:rsid w:val="00391310"/>
    <w:rsid w:val="00391327"/>
    <w:rsid w:val="003916E1"/>
    <w:rsid w:val="003918A1"/>
    <w:rsid w:val="00391E15"/>
    <w:rsid w:val="00391E1B"/>
    <w:rsid w:val="00391E22"/>
    <w:rsid w:val="003920FE"/>
    <w:rsid w:val="00392116"/>
    <w:rsid w:val="00392873"/>
    <w:rsid w:val="0039289F"/>
    <w:rsid w:val="00392DD2"/>
    <w:rsid w:val="00393289"/>
    <w:rsid w:val="003933A9"/>
    <w:rsid w:val="0039341F"/>
    <w:rsid w:val="003937A6"/>
    <w:rsid w:val="00393838"/>
    <w:rsid w:val="00393A22"/>
    <w:rsid w:val="00393C94"/>
    <w:rsid w:val="003940F7"/>
    <w:rsid w:val="0039468C"/>
    <w:rsid w:val="003948ED"/>
    <w:rsid w:val="003948F3"/>
    <w:rsid w:val="00394982"/>
    <w:rsid w:val="00394FB0"/>
    <w:rsid w:val="00395336"/>
    <w:rsid w:val="0039551A"/>
    <w:rsid w:val="00395544"/>
    <w:rsid w:val="00395605"/>
    <w:rsid w:val="003956A6"/>
    <w:rsid w:val="003956CA"/>
    <w:rsid w:val="003956E1"/>
    <w:rsid w:val="003959AB"/>
    <w:rsid w:val="00395D69"/>
    <w:rsid w:val="00395D81"/>
    <w:rsid w:val="00395DE9"/>
    <w:rsid w:val="003961FE"/>
    <w:rsid w:val="003963FA"/>
    <w:rsid w:val="00396579"/>
    <w:rsid w:val="00396894"/>
    <w:rsid w:val="00396B21"/>
    <w:rsid w:val="00396D40"/>
    <w:rsid w:val="00396E89"/>
    <w:rsid w:val="00396EA5"/>
    <w:rsid w:val="00397046"/>
    <w:rsid w:val="0039740F"/>
    <w:rsid w:val="0039756C"/>
    <w:rsid w:val="00397621"/>
    <w:rsid w:val="00397797"/>
    <w:rsid w:val="00397868"/>
    <w:rsid w:val="00397E5C"/>
    <w:rsid w:val="003A0679"/>
    <w:rsid w:val="003A0B9E"/>
    <w:rsid w:val="003A0D22"/>
    <w:rsid w:val="003A0E80"/>
    <w:rsid w:val="003A0EFD"/>
    <w:rsid w:val="003A11DF"/>
    <w:rsid w:val="003A14AA"/>
    <w:rsid w:val="003A1560"/>
    <w:rsid w:val="003A185B"/>
    <w:rsid w:val="003A1A61"/>
    <w:rsid w:val="003A1B0D"/>
    <w:rsid w:val="003A1CAE"/>
    <w:rsid w:val="003A1DB1"/>
    <w:rsid w:val="003A1E62"/>
    <w:rsid w:val="003A2297"/>
    <w:rsid w:val="003A23A5"/>
    <w:rsid w:val="003A275D"/>
    <w:rsid w:val="003A27C4"/>
    <w:rsid w:val="003A28DC"/>
    <w:rsid w:val="003A2B19"/>
    <w:rsid w:val="003A2B49"/>
    <w:rsid w:val="003A2BAD"/>
    <w:rsid w:val="003A2CD6"/>
    <w:rsid w:val="003A2E4C"/>
    <w:rsid w:val="003A3433"/>
    <w:rsid w:val="003A3723"/>
    <w:rsid w:val="003A3C25"/>
    <w:rsid w:val="003A3D54"/>
    <w:rsid w:val="003A3E1F"/>
    <w:rsid w:val="003A434D"/>
    <w:rsid w:val="003A4736"/>
    <w:rsid w:val="003A4D44"/>
    <w:rsid w:val="003A4F59"/>
    <w:rsid w:val="003A4F5A"/>
    <w:rsid w:val="003A53B1"/>
    <w:rsid w:val="003A5436"/>
    <w:rsid w:val="003A543A"/>
    <w:rsid w:val="003A5739"/>
    <w:rsid w:val="003A5A21"/>
    <w:rsid w:val="003A5B05"/>
    <w:rsid w:val="003A5EA8"/>
    <w:rsid w:val="003A6981"/>
    <w:rsid w:val="003A69C0"/>
    <w:rsid w:val="003A6A0B"/>
    <w:rsid w:val="003A6EAF"/>
    <w:rsid w:val="003A7377"/>
    <w:rsid w:val="003A747F"/>
    <w:rsid w:val="003A760B"/>
    <w:rsid w:val="003A778C"/>
    <w:rsid w:val="003A7AD3"/>
    <w:rsid w:val="003A7AF8"/>
    <w:rsid w:val="003A7B04"/>
    <w:rsid w:val="003A7B44"/>
    <w:rsid w:val="003A7C28"/>
    <w:rsid w:val="003B079E"/>
    <w:rsid w:val="003B0826"/>
    <w:rsid w:val="003B08F2"/>
    <w:rsid w:val="003B0FE3"/>
    <w:rsid w:val="003B10D2"/>
    <w:rsid w:val="003B1115"/>
    <w:rsid w:val="003B13DF"/>
    <w:rsid w:val="003B1556"/>
    <w:rsid w:val="003B1932"/>
    <w:rsid w:val="003B21EE"/>
    <w:rsid w:val="003B2817"/>
    <w:rsid w:val="003B2CB9"/>
    <w:rsid w:val="003B2F81"/>
    <w:rsid w:val="003B30A8"/>
    <w:rsid w:val="003B31C9"/>
    <w:rsid w:val="003B3214"/>
    <w:rsid w:val="003B3A2B"/>
    <w:rsid w:val="003B3C79"/>
    <w:rsid w:val="003B3E01"/>
    <w:rsid w:val="003B4517"/>
    <w:rsid w:val="003B45E5"/>
    <w:rsid w:val="003B466F"/>
    <w:rsid w:val="003B47A8"/>
    <w:rsid w:val="003B47E8"/>
    <w:rsid w:val="003B48E8"/>
    <w:rsid w:val="003B4919"/>
    <w:rsid w:val="003B4E9F"/>
    <w:rsid w:val="003B4F47"/>
    <w:rsid w:val="003B54AD"/>
    <w:rsid w:val="003B5505"/>
    <w:rsid w:val="003B5A01"/>
    <w:rsid w:val="003B5ACB"/>
    <w:rsid w:val="003B5B67"/>
    <w:rsid w:val="003B5C71"/>
    <w:rsid w:val="003B5D68"/>
    <w:rsid w:val="003B625E"/>
    <w:rsid w:val="003B62A8"/>
    <w:rsid w:val="003B6460"/>
    <w:rsid w:val="003B651F"/>
    <w:rsid w:val="003B652B"/>
    <w:rsid w:val="003B659E"/>
    <w:rsid w:val="003B6703"/>
    <w:rsid w:val="003B67CA"/>
    <w:rsid w:val="003B6838"/>
    <w:rsid w:val="003B6B5E"/>
    <w:rsid w:val="003B6BAE"/>
    <w:rsid w:val="003B6C91"/>
    <w:rsid w:val="003B6E85"/>
    <w:rsid w:val="003B6F45"/>
    <w:rsid w:val="003B7011"/>
    <w:rsid w:val="003B727E"/>
    <w:rsid w:val="003B733C"/>
    <w:rsid w:val="003B75B6"/>
    <w:rsid w:val="003B7996"/>
    <w:rsid w:val="003B7B79"/>
    <w:rsid w:val="003B7D30"/>
    <w:rsid w:val="003B7D41"/>
    <w:rsid w:val="003B7DE4"/>
    <w:rsid w:val="003B7EE3"/>
    <w:rsid w:val="003B7EE9"/>
    <w:rsid w:val="003B7FD3"/>
    <w:rsid w:val="003C0144"/>
    <w:rsid w:val="003C02B6"/>
    <w:rsid w:val="003C02BF"/>
    <w:rsid w:val="003C0A3C"/>
    <w:rsid w:val="003C0B3D"/>
    <w:rsid w:val="003C0DDF"/>
    <w:rsid w:val="003C11AF"/>
    <w:rsid w:val="003C127D"/>
    <w:rsid w:val="003C1373"/>
    <w:rsid w:val="003C2029"/>
    <w:rsid w:val="003C2121"/>
    <w:rsid w:val="003C23F9"/>
    <w:rsid w:val="003C252C"/>
    <w:rsid w:val="003C27D1"/>
    <w:rsid w:val="003C2852"/>
    <w:rsid w:val="003C28EA"/>
    <w:rsid w:val="003C2AF7"/>
    <w:rsid w:val="003C2C42"/>
    <w:rsid w:val="003C2C4C"/>
    <w:rsid w:val="003C2F70"/>
    <w:rsid w:val="003C2F84"/>
    <w:rsid w:val="003C31D1"/>
    <w:rsid w:val="003C32C7"/>
    <w:rsid w:val="003C3580"/>
    <w:rsid w:val="003C3670"/>
    <w:rsid w:val="003C3701"/>
    <w:rsid w:val="003C3FF8"/>
    <w:rsid w:val="003C46F0"/>
    <w:rsid w:val="003C4745"/>
    <w:rsid w:val="003C47A3"/>
    <w:rsid w:val="003C4F79"/>
    <w:rsid w:val="003C505C"/>
    <w:rsid w:val="003C539F"/>
    <w:rsid w:val="003C5412"/>
    <w:rsid w:val="003C547E"/>
    <w:rsid w:val="003C5543"/>
    <w:rsid w:val="003C57DC"/>
    <w:rsid w:val="003C585B"/>
    <w:rsid w:val="003C588C"/>
    <w:rsid w:val="003C5B8E"/>
    <w:rsid w:val="003C5E9F"/>
    <w:rsid w:val="003C5F48"/>
    <w:rsid w:val="003C60E2"/>
    <w:rsid w:val="003C6112"/>
    <w:rsid w:val="003C62C9"/>
    <w:rsid w:val="003C63F8"/>
    <w:rsid w:val="003C662B"/>
    <w:rsid w:val="003C6891"/>
    <w:rsid w:val="003C6930"/>
    <w:rsid w:val="003C6CE9"/>
    <w:rsid w:val="003C6F87"/>
    <w:rsid w:val="003C735F"/>
    <w:rsid w:val="003C743F"/>
    <w:rsid w:val="003C79C2"/>
    <w:rsid w:val="003C7D35"/>
    <w:rsid w:val="003D0805"/>
    <w:rsid w:val="003D089C"/>
    <w:rsid w:val="003D09A1"/>
    <w:rsid w:val="003D0B29"/>
    <w:rsid w:val="003D0BF3"/>
    <w:rsid w:val="003D12C4"/>
    <w:rsid w:val="003D1712"/>
    <w:rsid w:val="003D17B2"/>
    <w:rsid w:val="003D25B9"/>
    <w:rsid w:val="003D2747"/>
    <w:rsid w:val="003D2D57"/>
    <w:rsid w:val="003D2FD0"/>
    <w:rsid w:val="003D3174"/>
    <w:rsid w:val="003D3215"/>
    <w:rsid w:val="003D3A6D"/>
    <w:rsid w:val="003D3A80"/>
    <w:rsid w:val="003D3A98"/>
    <w:rsid w:val="003D3B3A"/>
    <w:rsid w:val="003D3CD8"/>
    <w:rsid w:val="003D4133"/>
    <w:rsid w:val="003D413F"/>
    <w:rsid w:val="003D423D"/>
    <w:rsid w:val="003D4504"/>
    <w:rsid w:val="003D462E"/>
    <w:rsid w:val="003D49A1"/>
    <w:rsid w:val="003D4AE3"/>
    <w:rsid w:val="003D4DEE"/>
    <w:rsid w:val="003D50DA"/>
    <w:rsid w:val="003D540A"/>
    <w:rsid w:val="003D5765"/>
    <w:rsid w:val="003D5C96"/>
    <w:rsid w:val="003D61FA"/>
    <w:rsid w:val="003D697A"/>
    <w:rsid w:val="003D6AAF"/>
    <w:rsid w:val="003D6B95"/>
    <w:rsid w:val="003D6C92"/>
    <w:rsid w:val="003D6E26"/>
    <w:rsid w:val="003D7159"/>
    <w:rsid w:val="003D7D40"/>
    <w:rsid w:val="003E0297"/>
    <w:rsid w:val="003E0445"/>
    <w:rsid w:val="003E055E"/>
    <w:rsid w:val="003E0875"/>
    <w:rsid w:val="003E0B3B"/>
    <w:rsid w:val="003E0FD1"/>
    <w:rsid w:val="003E15AB"/>
    <w:rsid w:val="003E17A8"/>
    <w:rsid w:val="003E1803"/>
    <w:rsid w:val="003E19C1"/>
    <w:rsid w:val="003E1C12"/>
    <w:rsid w:val="003E1D26"/>
    <w:rsid w:val="003E1D9D"/>
    <w:rsid w:val="003E1DC5"/>
    <w:rsid w:val="003E2215"/>
    <w:rsid w:val="003E256C"/>
    <w:rsid w:val="003E26A6"/>
    <w:rsid w:val="003E2A4A"/>
    <w:rsid w:val="003E2FF9"/>
    <w:rsid w:val="003E3038"/>
    <w:rsid w:val="003E3602"/>
    <w:rsid w:val="003E36CE"/>
    <w:rsid w:val="003E38DD"/>
    <w:rsid w:val="003E3C58"/>
    <w:rsid w:val="003E3EC4"/>
    <w:rsid w:val="003E4A03"/>
    <w:rsid w:val="003E4AA6"/>
    <w:rsid w:val="003E4E5D"/>
    <w:rsid w:val="003E4E98"/>
    <w:rsid w:val="003E4EAD"/>
    <w:rsid w:val="003E50E6"/>
    <w:rsid w:val="003E5623"/>
    <w:rsid w:val="003E566D"/>
    <w:rsid w:val="003E6000"/>
    <w:rsid w:val="003E612E"/>
    <w:rsid w:val="003E6261"/>
    <w:rsid w:val="003E6730"/>
    <w:rsid w:val="003E69A3"/>
    <w:rsid w:val="003E72D9"/>
    <w:rsid w:val="003E75D1"/>
    <w:rsid w:val="003E75D7"/>
    <w:rsid w:val="003E7C38"/>
    <w:rsid w:val="003F01D4"/>
    <w:rsid w:val="003F03D5"/>
    <w:rsid w:val="003F0DB4"/>
    <w:rsid w:val="003F0F09"/>
    <w:rsid w:val="003F0FAF"/>
    <w:rsid w:val="003F1454"/>
    <w:rsid w:val="003F1695"/>
    <w:rsid w:val="003F18E3"/>
    <w:rsid w:val="003F1DB6"/>
    <w:rsid w:val="003F23EF"/>
    <w:rsid w:val="003F26C1"/>
    <w:rsid w:val="003F2C7C"/>
    <w:rsid w:val="003F2FF8"/>
    <w:rsid w:val="003F33AC"/>
    <w:rsid w:val="003F3D09"/>
    <w:rsid w:val="003F3D63"/>
    <w:rsid w:val="003F3E3D"/>
    <w:rsid w:val="003F417F"/>
    <w:rsid w:val="003F43C2"/>
    <w:rsid w:val="003F44F0"/>
    <w:rsid w:val="003F4620"/>
    <w:rsid w:val="003F4711"/>
    <w:rsid w:val="003F49F9"/>
    <w:rsid w:val="003F4A22"/>
    <w:rsid w:val="003F4CC0"/>
    <w:rsid w:val="003F4F7C"/>
    <w:rsid w:val="003F521B"/>
    <w:rsid w:val="003F52F6"/>
    <w:rsid w:val="003F5544"/>
    <w:rsid w:val="003F56A8"/>
    <w:rsid w:val="003F575E"/>
    <w:rsid w:val="003F57DA"/>
    <w:rsid w:val="003F59AE"/>
    <w:rsid w:val="003F5F0A"/>
    <w:rsid w:val="003F6019"/>
    <w:rsid w:val="003F6102"/>
    <w:rsid w:val="003F6111"/>
    <w:rsid w:val="003F62D1"/>
    <w:rsid w:val="003F64A2"/>
    <w:rsid w:val="003F68ED"/>
    <w:rsid w:val="003F695D"/>
    <w:rsid w:val="003F69E9"/>
    <w:rsid w:val="003F6B2E"/>
    <w:rsid w:val="003F6C87"/>
    <w:rsid w:val="003F7133"/>
    <w:rsid w:val="003F77D4"/>
    <w:rsid w:val="003F7ACF"/>
    <w:rsid w:val="003F7C49"/>
    <w:rsid w:val="003F7CDF"/>
    <w:rsid w:val="003F7D94"/>
    <w:rsid w:val="003F7E6B"/>
    <w:rsid w:val="003F7FE2"/>
    <w:rsid w:val="0040076A"/>
    <w:rsid w:val="004009F7"/>
    <w:rsid w:val="00400A06"/>
    <w:rsid w:val="00400BA0"/>
    <w:rsid w:val="00400C53"/>
    <w:rsid w:val="00400C75"/>
    <w:rsid w:val="00400D4D"/>
    <w:rsid w:val="00401101"/>
    <w:rsid w:val="004012DC"/>
    <w:rsid w:val="0040148F"/>
    <w:rsid w:val="0040156E"/>
    <w:rsid w:val="00401971"/>
    <w:rsid w:val="00401BDA"/>
    <w:rsid w:val="00402499"/>
    <w:rsid w:val="00402612"/>
    <w:rsid w:val="00402FF4"/>
    <w:rsid w:val="004031D3"/>
    <w:rsid w:val="004034DB"/>
    <w:rsid w:val="004035E4"/>
    <w:rsid w:val="00403B20"/>
    <w:rsid w:val="00403DF4"/>
    <w:rsid w:val="0040406D"/>
    <w:rsid w:val="00404940"/>
    <w:rsid w:val="00404B4F"/>
    <w:rsid w:val="00404BA6"/>
    <w:rsid w:val="00404E29"/>
    <w:rsid w:val="00404F12"/>
    <w:rsid w:val="00404FED"/>
    <w:rsid w:val="00405416"/>
    <w:rsid w:val="00405443"/>
    <w:rsid w:val="00405629"/>
    <w:rsid w:val="0040571A"/>
    <w:rsid w:val="00405B5D"/>
    <w:rsid w:val="00405CFE"/>
    <w:rsid w:val="004060A0"/>
    <w:rsid w:val="004066D4"/>
    <w:rsid w:val="0040679D"/>
    <w:rsid w:val="00406A01"/>
    <w:rsid w:val="00406F7D"/>
    <w:rsid w:val="0040732E"/>
    <w:rsid w:val="004075CC"/>
    <w:rsid w:val="004078BE"/>
    <w:rsid w:val="00407A97"/>
    <w:rsid w:val="00407B37"/>
    <w:rsid w:val="00407DA8"/>
    <w:rsid w:val="00407DBA"/>
    <w:rsid w:val="00407E5C"/>
    <w:rsid w:val="00410061"/>
    <w:rsid w:val="004102B0"/>
    <w:rsid w:val="004108C1"/>
    <w:rsid w:val="0041094C"/>
    <w:rsid w:val="00410B35"/>
    <w:rsid w:val="00410D5A"/>
    <w:rsid w:val="00410F4B"/>
    <w:rsid w:val="00411086"/>
    <w:rsid w:val="00411435"/>
    <w:rsid w:val="00411595"/>
    <w:rsid w:val="0041180D"/>
    <w:rsid w:val="00411C6E"/>
    <w:rsid w:val="00411E1B"/>
    <w:rsid w:val="00411FDA"/>
    <w:rsid w:val="004120F1"/>
    <w:rsid w:val="00412379"/>
    <w:rsid w:val="004123E4"/>
    <w:rsid w:val="004129B6"/>
    <w:rsid w:val="00412A62"/>
    <w:rsid w:val="004131EB"/>
    <w:rsid w:val="0041337F"/>
    <w:rsid w:val="004133B6"/>
    <w:rsid w:val="00413586"/>
    <w:rsid w:val="00413B3E"/>
    <w:rsid w:val="00413D2F"/>
    <w:rsid w:val="004145A7"/>
    <w:rsid w:val="004146C2"/>
    <w:rsid w:val="00414CBD"/>
    <w:rsid w:val="004154FC"/>
    <w:rsid w:val="00415578"/>
    <w:rsid w:val="0041566E"/>
    <w:rsid w:val="00415AF2"/>
    <w:rsid w:val="00415AFA"/>
    <w:rsid w:val="00415B59"/>
    <w:rsid w:val="00415F8F"/>
    <w:rsid w:val="00415FBC"/>
    <w:rsid w:val="004160F7"/>
    <w:rsid w:val="00416520"/>
    <w:rsid w:val="004167DA"/>
    <w:rsid w:val="004168C9"/>
    <w:rsid w:val="00416958"/>
    <w:rsid w:val="00416965"/>
    <w:rsid w:val="00416E9F"/>
    <w:rsid w:val="004177EC"/>
    <w:rsid w:val="0041788D"/>
    <w:rsid w:val="004179E6"/>
    <w:rsid w:val="00417AE1"/>
    <w:rsid w:val="004200AC"/>
    <w:rsid w:val="004200D8"/>
    <w:rsid w:val="004201C4"/>
    <w:rsid w:val="004202B1"/>
    <w:rsid w:val="00420339"/>
    <w:rsid w:val="00420572"/>
    <w:rsid w:val="00420648"/>
    <w:rsid w:val="004207DC"/>
    <w:rsid w:val="00420BC9"/>
    <w:rsid w:val="00420BF6"/>
    <w:rsid w:val="004211DA"/>
    <w:rsid w:val="004214B6"/>
    <w:rsid w:val="004214CB"/>
    <w:rsid w:val="00421E3A"/>
    <w:rsid w:val="00422535"/>
    <w:rsid w:val="00422715"/>
    <w:rsid w:val="00422A70"/>
    <w:rsid w:val="00422CDC"/>
    <w:rsid w:val="00422DD2"/>
    <w:rsid w:val="00423414"/>
    <w:rsid w:val="0042343D"/>
    <w:rsid w:val="004236BC"/>
    <w:rsid w:val="00423887"/>
    <w:rsid w:val="004239CA"/>
    <w:rsid w:val="00423DE5"/>
    <w:rsid w:val="00423E02"/>
    <w:rsid w:val="00423FBC"/>
    <w:rsid w:val="00424170"/>
    <w:rsid w:val="0042424D"/>
    <w:rsid w:val="004246AB"/>
    <w:rsid w:val="004246E4"/>
    <w:rsid w:val="004246F2"/>
    <w:rsid w:val="00424AFE"/>
    <w:rsid w:val="00424CC6"/>
    <w:rsid w:val="00424E4F"/>
    <w:rsid w:val="00424E69"/>
    <w:rsid w:val="00424F10"/>
    <w:rsid w:val="00424F51"/>
    <w:rsid w:val="00425015"/>
    <w:rsid w:val="00425263"/>
    <w:rsid w:val="00425A99"/>
    <w:rsid w:val="00425B07"/>
    <w:rsid w:val="00425ED6"/>
    <w:rsid w:val="00425F55"/>
    <w:rsid w:val="004261DF"/>
    <w:rsid w:val="00426275"/>
    <w:rsid w:val="004267B4"/>
    <w:rsid w:val="004269CC"/>
    <w:rsid w:val="004274F0"/>
    <w:rsid w:val="00427506"/>
    <w:rsid w:val="0042779F"/>
    <w:rsid w:val="004277E4"/>
    <w:rsid w:val="00427C30"/>
    <w:rsid w:val="00427CE9"/>
    <w:rsid w:val="00427D6F"/>
    <w:rsid w:val="00430499"/>
    <w:rsid w:val="00430592"/>
    <w:rsid w:val="00430B33"/>
    <w:rsid w:val="004314FF"/>
    <w:rsid w:val="00431827"/>
    <w:rsid w:val="0043187E"/>
    <w:rsid w:val="0043192E"/>
    <w:rsid w:val="004319DD"/>
    <w:rsid w:val="00432013"/>
    <w:rsid w:val="0043238C"/>
    <w:rsid w:val="0043272A"/>
    <w:rsid w:val="004328EC"/>
    <w:rsid w:val="00432ABD"/>
    <w:rsid w:val="00433047"/>
    <w:rsid w:val="00433200"/>
    <w:rsid w:val="004337B1"/>
    <w:rsid w:val="00433C47"/>
    <w:rsid w:val="00433D5E"/>
    <w:rsid w:val="00433E03"/>
    <w:rsid w:val="00433E36"/>
    <w:rsid w:val="00433FBA"/>
    <w:rsid w:val="004345A4"/>
    <w:rsid w:val="00434635"/>
    <w:rsid w:val="004348F2"/>
    <w:rsid w:val="00434AB1"/>
    <w:rsid w:val="00434F6D"/>
    <w:rsid w:val="00435180"/>
    <w:rsid w:val="00435182"/>
    <w:rsid w:val="004351F5"/>
    <w:rsid w:val="00435717"/>
    <w:rsid w:val="00435A98"/>
    <w:rsid w:val="00436335"/>
    <w:rsid w:val="004364E2"/>
    <w:rsid w:val="004367A0"/>
    <w:rsid w:val="004368C6"/>
    <w:rsid w:val="00436B26"/>
    <w:rsid w:val="00437705"/>
    <w:rsid w:val="0043773A"/>
    <w:rsid w:val="0043791C"/>
    <w:rsid w:val="00437CF5"/>
    <w:rsid w:val="00437F8A"/>
    <w:rsid w:val="00437FDB"/>
    <w:rsid w:val="00440263"/>
    <w:rsid w:val="00440376"/>
    <w:rsid w:val="00440584"/>
    <w:rsid w:val="00440636"/>
    <w:rsid w:val="0044097D"/>
    <w:rsid w:val="004409EC"/>
    <w:rsid w:val="00440CB8"/>
    <w:rsid w:val="00440D76"/>
    <w:rsid w:val="00440DA6"/>
    <w:rsid w:val="00440DCF"/>
    <w:rsid w:val="00440DEE"/>
    <w:rsid w:val="004411A5"/>
    <w:rsid w:val="00441244"/>
    <w:rsid w:val="00441386"/>
    <w:rsid w:val="00441869"/>
    <w:rsid w:val="00441902"/>
    <w:rsid w:val="00441949"/>
    <w:rsid w:val="00441D5C"/>
    <w:rsid w:val="004421FD"/>
    <w:rsid w:val="00442690"/>
    <w:rsid w:val="00442BBC"/>
    <w:rsid w:val="00442D1F"/>
    <w:rsid w:val="00442DC8"/>
    <w:rsid w:val="00442EF8"/>
    <w:rsid w:val="00442FB7"/>
    <w:rsid w:val="004431BD"/>
    <w:rsid w:val="00443E30"/>
    <w:rsid w:val="00443E56"/>
    <w:rsid w:val="004443CE"/>
    <w:rsid w:val="004445AA"/>
    <w:rsid w:val="0044479F"/>
    <w:rsid w:val="004447CF"/>
    <w:rsid w:val="004448B1"/>
    <w:rsid w:val="0044491C"/>
    <w:rsid w:val="004449B1"/>
    <w:rsid w:val="00444B19"/>
    <w:rsid w:val="00444B65"/>
    <w:rsid w:val="004450FC"/>
    <w:rsid w:val="004452B8"/>
    <w:rsid w:val="00445325"/>
    <w:rsid w:val="004453B3"/>
    <w:rsid w:val="004457A2"/>
    <w:rsid w:val="004457F3"/>
    <w:rsid w:val="004458B4"/>
    <w:rsid w:val="00445BD3"/>
    <w:rsid w:val="00445F48"/>
    <w:rsid w:val="004460A1"/>
    <w:rsid w:val="00446347"/>
    <w:rsid w:val="0044677B"/>
    <w:rsid w:val="00446B21"/>
    <w:rsid w:val="004470EE"/>
    <w:rsid w:val="004473C2"/>
    <w:rsid w:val="00447697"/>
    <w:rsid w:val="00447797"/>
    <w:rsid w:val="0044779F"/>
    <w:rsid w:val="0044792C"/>
    <w:rsid w:val="0044797C"/>
    <w:rsid w:val="00447C85"/>
    <w:rsid w:val="00450117"/>
    <w:rsid w:val="00450152"/>
    <w:rsid w:val="00450F19"/>
    <w:rsid w:val="004510A9"/>
    <w:rsid w:val="00451103"/>
    <w:rsid w:val="004511CF"/>
    <w:rsid w:val="0045125C"/>
    <w:rsid w:val="00451280"/>
    <w:rsid w:val="0045172B"/>
    <w:rsid w:val="00451FF1"/>
    <w:rsid w:val="00452090"/>
    <w:rsid w:val="004523F8"/>
    <w:rsid w:val="00452522"/>
    <w:rsid w:val="0045265D"/>
    <w:rsid w:val="004530DF"/>
    <w:rsid w:val="0045327F"/>
    <w:rsid w:val="0045358D"/>
    <w:rsid w:val="004537C9"/>
    <w:rsid w:val="004539D1"/>
    <w:rsid w:val="00453ABA"/>
    <w:rsid w:val="00453BCF"/>
    <w:rsid w:val="004546A6"/>
    <w:rsid w:val="00454A65"/>
    <w:rsid w:val="00454AD9"/>
    <w:rsid w:val="00454B80"/>
    <w:rsid w:val="0045501A"/>
    <w:rsid w:val="004551C5"/>
    <w:rsid w:val="004551EA"/>
    <w:rsid w:val="0045524A"/>
    <w:rsid w:val="00455455"/>
    <w:rsid w:val="00455677"/>
    <w:rsid w:val="00455904"/>
    <w:rsid w:val="004559EF"/>
    <w:rsid w:val="00455B5A"/>
    <w:rsid w:val="00455D4A"/>
    <w:rsid w:val="00455DF2"/>
    <w:rsid w:val="00455E43"/>
    <w:rsid w:val="0045606A"/>
    <w:rsid w:val="00456C5D"/>
    <w:rsid w:val="00456CF7"/>
    <w:rsid w:val="00456D9C"/>
    <w:rsid w:val="00456DC2"/>
    <w:rsid w:val="004572EA"/>
    <w:rsid w:val="00457762"/>
    <w:rsid w:val="00457F2C"/>
    <w:rsid w:val="00460018"/>
    <w:rsid w:val="004601B5"/>
    <w:rsid w:val="0046024C"/>
    <w:rsid w:val="00460311"/>
    <w:rsid w:val="004603CF"/>
    <w:rsid w:val="0046053E"/>
    <w:rsid w:val="004605C0"/>
    <w:rsid w:val="004608C2"/>
    <w:rsid w:val="00460E6A"/>
    <w:rsid w:val="00460E9A"/>
    <w:rsid w:val="004610DA"/>
    <w:rsid w:val="0046111E"/>
    <w:rsid w:val="004612DC"/>
    <w:rsid w:val="004615EE"/>
    <w:rsid w:val="00461C9D"/>
    <w:rsid w:val="004624E5"/>
    <w:rsid w:val="00462585"/>
    <w:rsid w:val="004625FF"/>
    <w:rsid w:val="004628F2"/>
    <w:rsid w:val="00462952"/>
    <w:rsid w:val="0046349F"/>
    <w:rsid w:val="00463617"/>
    <w:rsid w:val="004637BE"/>
    <w:rsid w:val="00463985"/>
    <w:rsid w:val="00463BD8"/>
    <w:rsid w:val="00463BEF"/>
    <w:rsid w:val="004642FE"/>
    <w:rsid w:val="00464454"/>
    <w:rsid w:val="00464A4D"/>
    <w:rsid w:val="0046519B"/>
    <w:rsid w:val="004651BE"/>
    <w:rsid w:val="00465287"/>
    <w:rsid w:val="0046568D"/>
    <w:rsid w:val="004657F0"/>
    <w:rsid w:val="00465B7F"/>
    <w:rsid w:val="00465CC6"/>
    <w:rsid w:val="00465ED4"/>
    <w:rsid w:val="00466010"/>
    <w:rsid w:val="004665F0"/>
    <w:rsid w:val="00466713"/>
    <w:rsid w:val="00466B0F"/>
    <w:rsid w:val="00467139"/>
    <w:rsid w:val="0046718E"/>
    <w:rsid w:val="004672B4"/>
    <w:rsid w:val="00467739"/>
    <w:rsid w:val="00467A36"/>
    <w:rsid w:val="00467A86"/>
    <w:rsid w:val="00470115"/>
    <w:rsid w:val="004703A9"/>
    <w:rsid w:val="00470C75"/>
    <w:rsid w:val="00470EA1"/>
    <w:rsid w:val="00471021"/>
    <w:rsid w:val="00471251"/>
    <w:rsid w:val="00471290"/>
    <w:rsid w:val="004715B6"/>
    <w:rsid w:val="00471682"/>
    <w:rsid w:val="0047184E"/>
    <w:rsid w:val="00471B8D"/>
    <w:rsid w:val="00471E33"/>
    <w:rsid w:val="00471FB5"/>
    <w:rsid w:val="004720AF"/>
    <w:rsid w:val="00472212"/>
    <w:rsid w:val="0047250A"/>
    <w:rsid w:val="0047333D"/>
    <w:rsid w:val="0047346F"/>
    <w:rsid w:val="0047397D"/>
    <w:rsid w:val="00474048"/>
    <w:rsid w:val="0047460F"/>
    <w:rsid w:val="004748EB"/>
    <w:rsid w:val="00474B76"/>
    <w:rsid w:val="00474FBA"/>
    <w:rsid w:val="00475888"/>
    <w:rsid w:val="00475AE9"/>
    <w:rsid w:val="00475FB8"/>
    <w:rsid w:val="00476620"/>
    <w:rsid w:val="00476965"/>
    <w:rsid w:val="00476B30"/>
    <w:rsid w:val="00476C91"/>
    <w:rsid w:val="00476E17"/>
    <w:rsid w:val="00476E93"/>
    <w:rsid w:val="00477619"/>
    <w:rsid w:val="0047788D"/>
    <w:rsid w:val="00477E15"/>
    <w:rsid w:val="00480154"/>
    <w:rsid w:val="004801B9"/>
    <w:rsid w:val="004802BF"/>
    <w:rsid w:val="00480849"/>
    <w:rsid w:val="0048085B"/>
    <w:rsid w:val="00480D71"/>
    <w:rsid w:val="00480E4B"/>
    <w:rsid w:val="00480FAF"/>
    <w:rsid w:val="0048151F"/>
    <w:rsid w:val="0048175A"/>
    <w:rsid w:val="0048178F"/>
    <w:rsid w:val="00481943"/>
    <w:rsid w:val="00481E2B"/>
    <w:rsid w:val="0048209A"/>
    <w:rsid w:val="0048214F"/>
    <w:rsid w:val="00482160"/>
    <w:rsid w:val="0048274A"/>
    <w:rsid w:val="0048282B"/>
    <w:rsid w:val="004829FF"/>
    <w:rsid w:val="00482C72"/>
    <w:rsid w:val="0048332C"/>
    <w:rsid w:val="004839DC"/>
    <w:rsid w:val="00483B8C"/>
    <w:rsid w:val="00483C0C"/>
    <w:rsid w:val="004841CB"/>
    <w:rsid w:val="0048433F"/>
    <w:rsid w:val="00484759"/>
    <w:rsid w:val="00484B22"/>
    <w:rsid w:val="004850CE"/>
    <w:rsid w:val="00485BF7"/>
    <w:rsid w:val="00485C4A"/>
    <w:rsid w:val="00485F2A"/>
    <w:rsid w:val="004862E4"/>
    <w:rsid w:val="00486573"/>
    <w:rsid w:val="00486821"/>
    <w:rsid w:val="00486B30"/>
    <w:rsid w:val="00486C80"/>
    <w:rsid w:val="00486D1E"/>
    <w:rsid w:val="00486D4A"/>
    <w:rsid w:val="00486DB5"/>
    <w:rsid w:val="00486DD1"/>
    <w:rsid w:val="00486FC4"/>
    <w:rsid w:val="0048714D"/>
    <w:rsid w:val="004874A6"/>
    <w:rsid w:val="004876EE"/>
    <w:rsid w:val="004876F6"/>
    <w:rsid w:val="00487BC6"/>
    <w:rsid w:val="00487D7C"/>
    <w:rsid w:val="00487F92"/>
    <w:rsid w:val="004905C6"/>
    <w:rsid w:val="004907A7"/>
    <w:rsid w:val="00490AB3"/>
    <w:rsid w:val="00491670"/>
    <w:rsid w:val="00491934"/>
    <w:rsid w:val="00491A79"/>
    <w:rsid w:val="00491B0D"/>
    <w:rsid w:val="00491EA2"/>
    <w:rsid w:val="0049201B"/>
    <w:rsid w:val="0049218C"/>
    <w:rsid w:val="004928BA"/>
    <w:rsid w:val="004928EE"/>
    <w:rsid w:val="00492A12"/>
    <w:rsid w:val="00492AB9"/>
    <w:rsid w:val="00492ABF"/>
    <w:rsid w:val="00492C00"/>
    <w:rsid w:val="00493000"/>
    <w:rsid w:val="004930A3"/>
    <w:rsid w:val="00493267"/>
    <w:rsid w:val="0049356D"/>
    <w:rsid w:val="00493616"/>
    <w:rsid w:val="004937C8"/>
    <w:rsid w:val="004938A3"/>
    <w:rsid w:val="0049394F"/>
    <w:rsid w:val="00493FC2"/>
    <w:rsid w:val="00494656"/>
    <w:rsid w:val="0049498F"/>
    <w:rsid w:val="00494A06"/>
    <w:rsid w:val="00494AD8"/>
    <w:rsid w:val="00494C7F"/>
    <w:rsid w:val="00494CE9"/>
    <w:rsid w:val="00494E2A"/>
    <w:rsid w:val="00494F07"/>
    <w:rsid w:val="00494F2F"/>
    <w:rsid w:val="00494FFC"/>
    <w:rsid w:val="004950A6"/>
    <w:rsid w:val="004951F9"/>
    <w:rsid w:val="004953A4"/>
    <w:rsid w:val="00495479"/>
    <w:rsid w:val="004954F8"/>
    <w:rsid w:val="00495699"/>
    <w:rsid w:val="004956B4"/>
    <w:rsid w:val="004958EB"/>
    <w:rsid w:val="00495A63"/>
    <w:rsid w:val="00495ADF"/>
    <w:rsid w:val="00495BEA"/>
    <w:rsid w:val="00495C4F"/>
    <w:rsid w:val="0049610B"/>
    <w:rsid w:val="00496149"/>
    <w:rsid w:val="00496348"/>
    <w:rsid w:val="0049638D"/>
    <w:rsid w:val="004964AF"/>
    <w:rsid w:val="00496560"/>
    <w:rsid w:val="00496A89"/>
    <w:rsid w:val="00496D0F"/>
    <w:rsid w:val="0049705E"/>
    <w:rsid w:val="0049767A"/>
    <w:rsid w:val="00497855"/>
    <w:rsid w:val="00497AF4"/>
    <w:rsid w:val="00497CCF"/>
    <w:rsid w:val="00497DF2"/>
    <w:rsid w:val="00497E05"/>
    <w:rsid w:val="004A088F"/>
    <w:rsid w:val="004A0ADC"/>
    <w:rsid w:val="004A0AE8"/>
    <w:rsid w:val="004A0B0D"/>
    <w:rsid w:val="004A0D4C"/>
    <w:rsid w:val="004A1074"/>
    <w:rsid w:val="004A18C6"/>
    <w:rsid w:val="004A1B52"/>
    <w:rsid w:val="004A1C08"/>
    <w:rsid w:val="004A235A"/>
    <w:rsid w:val="004A2569"/>
    <w:rsid w:val="004A2771"/>
    <w:rsid w:val="004A2883"/>
    <w:rsid w:val="004A2C0A"/>
    <w:rsid w:val="004A2CE5"/>
    <w:rsid w:val="004A2CFF"/>
    <w:rsid w:val="004A2DE3"/>
    <w:rsid w:val="004A2E03"/>
    <w:rsid w:val="004A323C"/>
    <w:rsid w:val="004A3BA3"/>
    <w:rsid w:val="004A3C70"/>
    <w:rsid w:val="004A3D87"/>
    <w:rsid w:val="004A45FB"/>
    <w:rsid w:val="004A475E"/>
    <w:rsid w:val="004A47F2"/>
    <w:rsid w:val="004A4BB3"/>
    <w:rsid w:val="004A4C17"/>
    <w:rsid w:val="004A4D89"/>
    <w:rsid w:val="004A4F98"/>
    <w:rsid w:val="004A557C"/>
    <w:rsid w:val="004A581F"/>
    <w:rsid w:val="004A5F95"/>
    <w:rsid w:val="004A67DE"/>
    <w:rsid w:val="004A6C5E"/>
    <w:rsid w:val="004A6E8B"/>
    <w:rsid w:val="004A6F59"/>
    <w:rsid w:val="004A704F"/>
    <w:rsid w:val="004A78BB"/>
    <w:rsid w:val="004A78E9"/>
    <w:rsid w:val="004A7FB7"/>
    <w:rsid w:val="004B0248"/>
    <w:rsid w:val="004B028D"/>
    <w:rsid w:val="004B028F"/>
    <w:rsid w:val="004B02E8"/>
    <w:rsid w:val="004B0638"/>
    <w:rsid w:val="004B0870"/>
    <w:rsid w:val="004B0937"/>
    <w:rsid w:val="004B0A53"/>
    <w:rsid w:val="004B0B3F"/>
    <w:rsid w:val="004B0D7E"/>
    <w:rsid w:val="004B0F7F"/>
    <w:rsid w:val="004B1134"/>
    <w:rsid w:val="004B1215"/>
    <w:rsid w:val="004B1242"/>
    <w:rsid w:val="004B12C5"/>
    <w:rsid w:val="004B1C17"/>
    <w:rsid w:val="004B1C56"/>
    <w:rsid w:val="004B1D75"/>
    <w:rsid w:val="004B1E91"/>
    <w:rsid w:val="004B21BF"/>
    <w:rsid w:val="004B2334"/>
    <w:rsid w:val="004B241E"/>
    <w:rsid w:val="004B270F"/>
    <w:rsid w:val="004B2828"/>
    <w:rsid w:val="004B2B55"/>
    <w:rsid w:val="004B2CCD"/>
    <w:rsid w:val="004B2EF4"/>
    <w:rsid w:val="004B304F"/>
    <w:rsid w:val="004B30B9"/>
    <w:rsid w:val="004B321D"/>
    <w:rsid w:val="004B3656"/>
    <w:rsid w:val="004B3785"/>
    <w:rsid w:val="004B3A74"/>
    <w:rsid w:val="004B3B2E"/>
    <w:rsid w:val="004B3B57"/>
    <w:rsid w:val="004B3EF1"/>
    <w:rsid w:val="004B423D"/>
    <w:rsid w:val="004B43E1"/>
    <w:rsid w:val="004B4529"/>
    <w:rsid w:val="004B4734"/>
    <w:rsid w:val="004B4772"/>
    <w:rsid w:val="004B49E7"/>
    <w:rsid w:val="004B4F11"/>
    <w:rsid w:val="004B51B7"/>
    <w:rsid w:val="004B5217"/>
    <w:rsid w:val="004B5476"/>
    <w:rsid w:val="004B5A05"/>
    <w:rsid w:val="004B5B58"/>
    <w:rsid w:val="004B5EB8"/>
    <w:rsid w:val="004B60EB"/>
    <w:rsid w:val="004B6A8B"/>
    <w:rsid w:val="004B6AF5"/>
    <w:rsid w:val="004B6C17"/>
    <w:rsid w:val="004B6C1B"/>
    <w:rsid w:val="004B6D2C"/>
    <w:rsid w:val="004B78A8"/>
    <w:rsid w:val="004B7A7D"/>
    <w:rsid w:val="004B7A82"/>
    <w:rsid w:val="004B7C7E"/>
    <w:rsid w:val="004C002E"/>
    <w:rsid w:val="004C0306"/>
    <w:rsid w:val="004C03C3"/>
    <w:rsid w:val="004C0495"/>
    <w:rsid w:val="004C07D1"/>
    <w:rsid w:val="004C104C"/>
    <w:rsid w:val="004C1A2B"/>
    <w:rsid w:val="004C1F53"/>
    <w:rsid w:val="004C2083"/>
    <w:rsid w:val="004C2282"/>
    <w:rsid w:val="004C22EB"/>
    <w:rsid w:val="004C2318"/>
    <w:rsid w:val="004C2589"/>
    <w:rsid w:val="004C272A"/>
    <w:rsid w:val="004C279E"/>
    <w:rsid w:val="004C2AA2"/>
    <w:rsid w:val="004C2B7B"/>
    <w:rsid w:val="004C2E73"/>
    <w:rsid w:val="004C3049"/>
    <w:rsid w:val="004C304D"/>
    <w:rsid w:val="004C31AC"/>
    <w:rsid w:val="004C330D"/>
    <w:rsid w:val="004C360C"/>
    <w:rsid w:val="004C37FE"/>
    <w:rsid w:val="004C3A21"/>
    <w:rsid w:val="004C3A74"/>
    <w:rsid w:val="004C3B4B"/>
    <w:rsid w:val="004C3D7E"/>
    <w:rsid w:val="004C3EFF"/>
    <w:rsid w:val="004C3F96"/>
    <w:rsid w:val="004C40C5"/>
    <w:rsid w:val="004C42C3"/>
    <w:rsid w:val="004C4606"/>
    <w:rsid w:val="004C4D52"/>
    <w:rsid w:val="004C4E72"/>
    <w:rsid w:val="004C5031"/>
    <w:rsid w:val="004C5681"/>
    <w:rsid w:val="004C5989"/>
    <w:rsid w:val="004C6302"/>
    <w:rsid w:val="004C654A"/>
    <w:rsid w:val="004C6676"/>
    <w:rsid w:val="004C698B"/>
    <w:rsid w:val="004C6B2E"/>
    <w:rsid w:val="004C6DF4"/>
    <w:rsid w:val="004C6FA9"/>
    <w:rsid w:val="004C70A3"/>
    <w:rsid w:val="004C70C3"/>
    <w:rsid w:val="004C74A8"/>
    <w:rsid w:val="004C7711"/>
    <w:rsid w:val="004C793D"/>
    <w:rsid w:val="004C79C3"/>
    <w:rsid w:val="004C7BFB"/>
    <w:rsid w:val="004C7D99"/>
    <w:rsid w:val="004C7EB1"/>
    <w:rsid w:val="004D0162"/>
    <w:rsid w:val="004D06CA"/>
    <w:rsid w:val="004D0761"/>
    <w:rsid w:val="004D107D"/>
    <w:rsid w:val="004D152F"/>
    <w:rsid w:val="004D1547"/>
    <w:rsid w:val="004D1883"/>
    <w:rsid w:val="004D1A97"/>
    <w:rsid w:val="004D1B37"/>
    <w:rsid w:val="004D1C9C"/>
    <w:rsid w:val="004D1E37"/>
    <w:rsid w:val="004D1F2B"/>
    <w:rsid w:val="004D1F78"/>
    <w:rsid w:val="004D2185"/>
    <w:rsid w:val="004D2316"/>
    <w:rsid w:val="004D250B"/>
    <w:rsid w:val="004D268D"/>
    <w:rsid w:val="004D29AC"/>
    <w:rsid w:val="004D2C84"/>
    <w:rsid w:val="004D2D83"/>
    <w:rsid w:val="004D3150"/>
    <w:rsid w:val="004D3287"/>
    <w:rsid w:val="004D3296"/>
    <w:rsid w:val="004D3381"/>
    <w:rsid w:val="004D3562"/>
    <w:rsid w:val="004D377A"/>
    <w:rsid w:val="004D3B54"/>
    <w:rsid w:val="004D3BFF"/>
    <w:rsid w:val="004D3D4E"/>
    <w:rsid w:val="004D3E2E"/>
    <w:rsid w:val="004D3F65"/>
    <w:rsid w:val="004D3F8A"/>
    <w:rsid w:val="004D3F8B"/>
    <w:rsid w:val="004D440A"/>
    <w:rsid w:val="004D4772"/>
    <w:rsid w:val="004D47FA"/>
    <w:rsid w:val="004D483C"/>
    <w:rsid w:val="004D490D"/>
    <w:rsid w:val="004D4FF5"/>
    <w:rsid w:val="004D66F5"/>
    <w:rsid w:val="004D6935"/>
    <w:rsid w:val="004D69E3"/>
    <w:rsid w:val="004D6B00"/>
    <w:rsid w:val="004D6B8E"/>
    <w:rsid w:val="004D6B94"/>
    <w:rsid w:val="004D702A"/>
    <w:rsid w:val="004D705B"/>
    <w:rsid w:val="004D70CF"/>
    <w:rsid w:val="004D7894"/>
    <w:rsid w:val="004D7ACC"/>
    <w:rsid w:val="004D7D4D"/>
    <w:rsid w:val="004D7E15"/>
    <w:rsid w:val="004D7E53"/>
    <w:rsid w:val="004D7E8B"/>
    <w:rsid w:val="004D7FD7"/>
    <w:rsid w:val="004E009B"/>
    <w:rsid w:val="004E0604"/>
    <w:rsid w:val="004E0A94"/>
    <w:rsid w:val="004E0B60"/>
    <w:rsid w:val="004E107C"/>
    <w:rsid w:val="004E11F6"/>
    <w:rsid w:val="004E1385"/>
    <w:rsid w:val="004E1895"/>
    <w:rsid w:val="004E1AE3"/>
    <w:rsid w:val="004E1B8A"/>
    <w:rsid w:val="004E1BF6"/>
    <w:rsid w:val="004E1C07"/>
    <w:rsid w:val="004E1C48"/>
    <w:rsid w:val="004E1E67"/>
    <w:rsid w:val="004E1F64"/>
    <w:rsid w:val="004E2253"/>
    <w:rsid w:val="004E238A"/>
    <w:rsid w:val="004E24FA"/>
    <w:rsid w:val="004E269D"/>
    <w:rsid w:val="004E272F"/>
    <w:rsid w:val="004E27D9"/>
    <w:rsid w:val="004E3264"/>
    <w:rsid w:val="004E3461"/>
    <w:rsid w:val="004E3494"/>
    <w:rsid w:val="004E384C"/>
    <w:rsid w:val="004E3B6B"/>
    <w:rsid w:val="004E3BBD"/>
    <w:rsid w:val="004E3F44"/>
    <w:rsid w:val="004E4002"/>
    <w:rsid w:val="004E409A"/>
    <w:rsid w:val="004E4121"/>
    <w:rsid w:val="004E4198"/>
    <w:rsid w:val="004E4598"/>
    <w:rsid w:val="004E54E6"/>
    <w:rsid w:val="004E5826"/>
    <w:rsid w:val="004E58F6"/>
    <w:rsid w:val="004E5AD4"/>
    <w:rsid w:val="004E5B7C"/>
    <w:rsid w:val="004E5BC4"/>
    <w:rsid w:val="004E5CD6"/>
    <w:rsid w:val="004E5DB4"/>
    <w:rsid w:val="004E61AA"/>
    <w:rsid w:val="004E66ED"/>
    <w:rsid w:val="004E6873"/>
    <w:rsid w:val="004E68F6"/>
    <w:rsid w:val="004E7114"/>
    <w:rsid w:val="004E7274"/>
    <w:rsid w:val="004E731E"/>
    <w:rsid w:val="004E7496"/>
    <w:rsid w:val="004E7554"/>
    <w:rsid w:val="004E7968"/>
    <w:rsid w:val="004E797F"/>
    <w:rsid w:val="004F032D"/>
    <w:rsid w:val="004F0753"/>
    <w:rsid w:val="004F0ADE"/>
    <w:rsid w:val="004F1181"/>
    <w:rsid w:val="004F11BB"/>
    <w:rsid w:val="004F1537"/>
    <w:rsid w:val="004F160A"/>
    <w:rsid w:val="004F182D"/>
    <w:rsid w:val="004F1CE3"/>
    <w:rsid w:val="004F1EC3"/>
    <w:rsid w:val="004F1F69"/>
    <w:rsid w:val="004F1FE0"/>
    <w:rsid w:val="004F256F"/>
    <w:rsid w:val="004F282C"/>
    <w:rsid w:val="004F2CE1"/>
    <w:rsid w:val="004F2CF5"/>
    <w:rsid w:val="004F2D5F"/>
    <w:rsid w:val="004F2E01"/>
    <w:rsid w:val="004F3015"/>
    <w:rsid w:val="004F30C6"/>
    <w:rsid w:val="004F31F4"/>
    <w:rsid w:val="004F323B"/>
    <w:rsid w:val="004F35A3"/>
    <w:rsid w:val="004F36E7"/>
    <w:rsid w:val="004F3E1F"/>
    <w:rsid w:val="004F412C"/>
    <w:rsid w:val="004F4148"/>
    <w:rsid w:val="004F41CF"/>
    <w:rsid w:val="004F439B"/>
    <w:rsid w:val="004F44B7"/>
    <w:rsid w:val="004F4669"/>
    <w:rsid w:val="004F46B3"/>
    <w:rsid w:val="004F475C"/>
    <w:rsid w:val="004F479D"/>
    <w:rsid w:val="004F4947"/>
    <w:rsid w:val="004F4C9F"/>
    <w:rsid w:val="004F4D71"/>
    <w:rsid w:val="004F5C6E"/>
    <w:rsid w:val="004F5D44"/>
    <w:rsid w:val="004F6489"/>
    <w:rsid w:val="004F657B"/>
    <w:rsid w:val="004F6B64"/>
    <w:rsid w:val="004F6DA3"/>
    <w:rsid w:val="004F6EA9"/>
    <w:rsid w:val="004F6FC4"/>
    <w:rsid w:val="004F798C"/>
    <w:rsid w:val="004F7F48"/>
    <w:rsid w:val="005000B9"/>
    <w:rsid w:val="005001C2"/>
    <w:rsid w:val="005001EC"/>
    <w:rsid w:val="0050046B"/>
    <w:rsid w:val="0050087B"/>
    <w:rsid w:val="005009F1"/>
    <w:rsid w:val="00500B7C"/>
    <w:rsid w:val="00500B8F"/>
    <w:rsid w:val="00500E56"/>
    <w:rsid w:val="00500F4F"/>
    <w:rsid w:val="00501726"/>
    <w:rsid w:val="00501AD0"/>
    <w:rsid w:val="00501E47"/>
    <w:rsid w:val="005020DE"/>
    <w:rsid w:val="00502686"/>
    <w:rsid w:val="005027DA"/>
    <w:rsid w:val="00502805"/>
    <w:rsid w:val="00502B1C"/>
    <w:rsid w:val="00502B94"/>
    <w:rsid w:val="00503030"/>
    <w:rsid w:val="00503066"/>
    <w:rsid w:val="005033BE"/>
    <w:rsid w:val="00503817"/>
    <w:rsid w:val="005039A1"/>
    <w:rsid w:val="00503C65"/>
    <w:rsid w:val="00503D59"/>
    <w:rsid w:val="00503D68"/>
    <w:rsid w:val="00503DA1"/>
    <w:rsid w:val="00503F09"/>
    <w:rsid w:val="0050456F"/>
    <w:rsid w:val="005045D3"/>
    <w:rsid w:val="0050473A"/>
    <w:rsid w:val="00504FB1"/>
    <w:rsid w:val="005050F8"/>
    <w:rsid w:val="00505471"/>
    <w:rsid w:val="0050550E"/>
    <w:rsid w:val="005055B3"/>
    <w:rsid w:val="00505878"/>
    <w:rsid w:val="00505B80"/>
    <w:rsid w:val="00505E8F"/>
    <w:rsid w:val="00506072"/>
    <w:rsid w:val="00506241"/>
    <w:rsid w:val="005062BA"/>
    <w:rsid w:val="005067F6"/>
    <w:rsid w:val="00506B1D"/>
    <w:rsid w:val="00506B4B"/>
    <w:rsid w:val="00506D9F"/>
    <w:rsid w:val="00507124"/>
    <w:rsid w:val="00507422"/>
    <w:rsid w:val="0050744F"/>
    <w:rsid w:val="005075C6"/>
    <w:rsid w:val="005077AB"/>
    <w:rsid w:val="00507BE7"/>
    <w:rsid w:val="00507CCD"/>
    <w:rsid w:val="00507DBA"/>
    <w:rsid w:val="00507F50"/>
    <w:rsid w:val="005100FF"/>
    <w:rsid w:val="005102C5"/>
    <w:rsid w:val="005107F0"/>
    <w:rsid w:val="00510C41"/>
    <w:rsid w:val="00510CE0"/>
    <w:rsid w:val="00510FD9"/>
    <w:rsid w:val="00511370"/>
    <w:rsid w:val="00511475"/>
    <w:rsid w:val="00511BE7"/>
    <w:rsid w:val="00511ED5"/>
    <w:rsid w:val="00512183"/>
    <w:rsid w:val="00512282"/>
    <w:rsid w:val="00512544"/>
    <w:rsid w:val="00512CCA"/>
    <w:rsid w:val="00512E1F"/>
    <w:rsid w:val="0051353B"/>
    <w:rsid w:val="00513620"/>
    <w:rsid w:val="00513C61"/>
    <w:rsid w:val="00513EC6"/>
    <w:rsid w:val="005140A7"/>
    <w:rsid w:val="005147B7"/>
    <w:rsid w:val="00514A2A"/>
    <w:rsid w:val="00514CCE"/>
    <w:rsid w:val="00514DB7"/>
    <w:rsid w:val="005150FA"/>
    <w:rsid w:val="005152C8"/>
    <w:rsid w:val="00515D03"/>
    <w:rsid w:val="00515E0C"/>
    <w:rsid w:val="00515F42"/>
    <w:rsid w:val="00516089"/>
    <w:rsid w:val="005161D7"/>
    <w:rsid w:val="0051694C"/>
    <w:rsid w:val="00516B7D"/>
    <w:rsid w:val="00516EC4"/>
    <w:rsid w:val="00517387"/>
    <w:rsid w:val="00517913"/>
    <w:rsid w:val="00517B6A"/>
    <w:rsid w:val="00517C5C"/>
    <w:rsid w:val="00517D31"/>
    <w:rsid w:val="00520027"/>
    <w:rsid w:val="00520061"/>
    <w:rsid w:val="00520165"/>
    <w:rsid w:val="005202EA"/>
    <w:rsid w:val="00520523"/>
    <w:rsid w:val="00520573"/>
    <w:rsid w:val="00520932"/>
    <w:rsid w:val="00520BE3"/>
    <w:rsid w:val="00520C65"/>
    <w:rsid w:val="00520D45"/>
    <w:rsid w:val="00520E22"/>
    <w:rsid w:val="00520ED4"/>
    <w:rsid w:val="00521016"/>
    <w:rsid w:val="00521276"/>
    <w:rsid w:val="00521B8C"/>
    <w:rsid w:val="00521FDC"/>
    <w:rsid w:val="005220BF"/>
    <w:rsid w:val="00522477"/>
    <w:rsid w:val="00522667"/>
    <w:rsid w:val="00522970"/>
    <w:rsid w:val="00522CF6"/>
    <w:rsid w:val="005230BD"/>
    <w:rsid w:val="00523572"/>
    <w:rsid w:val="005236AB"/>
    <w:rsid w:val="00523EB1"/>
    <w:rsid w:val="00523F14"/>
    <w:rsid w:val="00523F3D"/>
    <w:rsid w:val="00524170"/>
    <w:rsid w:val="0052457E"/>
    <w:rsid w:val="005246E9"/>
    <w:rsid w:val="00525195"/>
    <w:rsid w:val="005252B3"/>
    <w:rsid w:val="005252C8"/>
    <w:rsid w:val="005253C6"/>
    <w:rsid w:val="00525436"/>
    <w:rsid w:val="00525874"/>
    <w:rsid w:val="005259D3"/>
    <w:rsid w:val="00525AB9"/>
    <w:rsid w:val="00525C75"/>
    <w:rsid w:val="00525E24"/>
    <w:rsid w:val="00525FA2"/>
    <w:rsid w:val="00526007"/>
    <w:rsid w:val="0052619A"/>
    <w:rsid w:val="005268A6"/>
    <w:rsid w:val="00526DEC"/>
    <w:rsid w:val="00526EA0"/>
    <w:rsid w:val="00527019"/>
    <w:rsid w:val="00527486"/>
    <w:rsid w:val="00527690"/>
    <w:rsid w:val="005276E2"/>
    <w:rsid w:val="00527C25"/>
    <w:rsid w:val="00527C5B"/>
    <w:rsid w:val="00527EBF"/>
    <w:rsid w:val="00530034"/>
    <w:rsid w:val="00530208"/>
    <w:rsid w:val="005302B6"/>
    <w:rsid w:val="0053064A"/>
    <w:rsid w:val="0053078F"/>
    <w:rsid w:val="00530954"/>
    <w:rsid w:val="00530A59"/>
    <w:rsid w:val="00530C47"/>
    <w:rsid w:val="00530DF4"/>
    <w:rsid w:val="00530F7F"/>
    <w:rsid w:val="00531183"/>
    <w:rsid w:val="00531186"/>
    <w:rsid w:val="00531BA7"/>
    <w:rsid w:val="00531F3B"/>
    <w:rsid w:val="00532373"/>
    <w:rsid w:val="00532772"/>
    <w:rsid w:val="00532908"/>
    <w:rsid w:val="00532BBC"/>
    <w:rsid w:val="00532CDD"/>
    <w:rsid w:val="00532E06"/>
    <w:rsid w:val="005338C6"/>
    <w:rsid w:val="00533B6C"/>
    <w:rsid w:val="00533B95"/>
    <w:rsid w:val="00533BC5"/>
    <w:rsid w:val="00533E76"/>
    <w:rsid w:val="00534127"/>
    <w:rsid w:val="0053416F"/>
    <w:rsid w:val="005348A3"/>
    <w:rsid w:val="00534B90"/>
    <w:rsid w:val="00534D39"/>
    <w:rsid w:val="00534FDF"/>
    <w:rsid w:val="00535129"/>
    <w:rsid w:val="005354CE"/>
    <w:rsid w:val="005357F3"/>
    <w:rsid w:val="00535A7E"/>
    <w:rsid w:val="00536047"/>
    <w:rsid w:val="00536435"/>
    <w:rsid w:val="0053643E"/>
    <w:rsid w:val="00536C53"/>
    <w:rsid w:val="00536DB9"/>
    <w:rsid w:val="00536E4E"/>
    <w:rsid w:val="00536FCC"/>
    <w:rsid w:val="005371F3"/>
    <w:rsid w:val="005374EC"/>
    <w:rsid w:val="00537811"/>
    <w:rsid w:val="00537998"/>
    <w:rsid w:val="00537A69"/>
    <w:rsid w:val="00537D7B"/>
    <w:rsid w:val="00537F11"/>
    <w:rsid w:val="005400CC"/>
    <w:rsid w:val="00540220"/>
    <w:rsid w:val="005406A6"/>
    <w:rsid w:val="00540A1B"/>
    <w:rsid w:val="00540EB0"/>
    <w:rsid w:val="0054132D"/>
    <w:rsid w:val="0054199F"/>
    <w:rsid w:val="00541A0E"/>
    <w:rsid w:val="00541A18"/>
    <w:rsid w:val="0054223F"/>
    <w:rsid w:val="005423C5"/>
    <w:rsid w:val="005427A6"/>
    <w:rsid w:val="005428ED"/>
    <w:rsid w:val="005429FD"/>
    <w:rsid w:val="00542E21"/>
    <w:rsid w:val="00542EBA"/>
    <w:rsid w:val="005430A4"/>
    <w:rsid w:val="00543366"/>
    <w:rsid w:val="005436BA"/>
    <w:rsid w:val="005437BD"/>
    <w:rsid w:val="005439FE"/>
    <w:rsid w:val="00543B0B"/>
    <w:rsid w:val="0054412E"/>
    <w:rsid w:val="0054420D"/>
    <w:rsid w:val="00544453"/>
    <w:rsid w:val="005444B5"/>
    <w:rsid w:val="0054460A"/>
    <w:rsid w:val="005446DC"/>
    <w:rsid w:val="0054495C"/>
    <w:rsid w:val="00544D11"/>
    <w:rsid w:val="00544EA4"/>
    <w:rsid w:val="005453B4"/>
    <w:rsid w:val="005456C7"/>
    <w:rsid w:val="00545918"/>
    <w:rsid w:val="00545981"/>
    <w:rsid w:val="00545D55"/>
    <w:rsid w:val="00545D9C"/>
    <w:rsid w:val="0054645E"/>
    <w:rsid w:val="005464B7"/>
    <w:rsid w:val="00546583"/>
    <w:rsid w:val="00546879"/>
    <w:rsid w:val="005469B0"/>
    <w:rsid w:val="00546B3F"/>
    <w:rsid w:val="00546D66"/>
    <w:rsid w:val="00546F24"/>
    <w:rsid w:val="005470F1"/>
    <w:rsid w:val="00547180"/>
    <w:rsid w:val="005472E9"/>
    <w:rsid w:val="005474EE"/>
    <w:rsid w:val="005475C8"/>
    <w:rsid w:val="0054775F"/>
    <w:rsid w:val="005478AB"/>
    <w:rsid w:val="00550005"/>
    <w:rsid w:val="00550339"/>
    <w:rsid w:val="005504C6"/>
    <w:rsid w:val="0055066F"/>
    <w:rsid w:val="00550891"/>
    <w:rsid w:val="00550D34"/>
    <w:rsid w:val="00550F34"/>
    <w:rsid w:val="00551F65"/>
    <w:rsid w:val="00551FB6"/>
    <w:rsid w:val="0055219F"/>
    <w:rsid w:val="00552258"/>
    <w:rsid w:val="0055238C"/>
    <w:rsid w:val="0055254E"/>
    <w:rsid w:val="00552B20"/>
    <w:rsid w:val="00552E19"/>
    <w:rsid w:val="0055320A"/>
    <w:rsid w:val="00553422"/>
    <w:rsid w:val="005535D5"/>
    <w:rsid w:val="00553954"/>
    <w:rsid w:val="00553CEE"/>
    <w:rsid w:val="00554468"/>
    <w:rsid w:val="005544CD"/>
    <w:rsid w:val="00554B1C"/>
    <w:rsid w:val="00554FE5"/>
    <w:rsid w:val="005550D3"/>
    <w:rsid w:val="005551C9"/>
    <w:rsid w:val="005556B1"/>
    <w:rsid w:val="0055571B"/>
    <w:rsid w:val="00555983"/>
    <w:rsid w:val="005559C6"/>
    <w:rsid w:val="00555DEB"/>
    <w:rsid w:val="00555E95"/>
    <w:rsid w:val="00555EFF"/>
    <w:rsid w:val="00556879"/>
    <w:rsid w:val="0055689B"/>
    <w:rsid w:val="00556B26"/>
    <w:rsid w:val="00556CAC"/>
    <w:rsid w:val="00556D46"/>
    <w:rsid w:val="005577FC"/>
    <w:rsid w:val="00557AFA"/>
    <w:rsid w:val="00557BFD"/>
    <w:rsid w:val="00557CF7"/>
    <w:rsid w:val="00557F2C"/>
    <w:rsid w:val="005602D3"/>
    <w:rsid w:val="00560A9F"/>
    <w:rsid w:val="00560BCE"/>
    <w:rsid w:val="00560E52"/>
    <w:rsid w:val="00561162"/>
    <w:rsid w:val="005611EA"/>
    <w:rsid w:val="00561507"/>
    <w:rsid w:val="005615B8"/>
    <w:rsid w:val="005615EF"/>
    <w:rsid w:val="00561617"/>
    <w:rsid w:val="00561719"/>
    <w:rsid w:val="0056179D"/>
    <w:rsid w:val="005618E3"/>
    <w:rsid w:val="00561924"/>
    <w:rsid w:val="00561A5E"/>
    <w:rsid w:val="00561BBA"/>
    <w:rsid w:val="00561C5E"/>
    <w:rsid w:val="00561CCA"/>
    <w:rsid w:val="00561EC4"/>
    <w:rsid w:val="00561F67"/>
    <w:rsid w:val="005624ED"/>
    <w:rsid w:val="0056277F"/>
    <w:rsid w:val="00562AD0"/>
    <w:rsid w:val="00562AFB"/>
    <w:rsid w:val="00562E32"/>
    <w:rsid w:val="0056308E"/>
    <w:rsid w:val="0056309C"/>
    <w:rsid w:val="0056338A"/>
    <w:rsid w:val="00563408"/>
    <w:rsid w:val="005637CE"/>
    <w:rsid w:val="00563BA8"/>
    <w:rsid w:val="00563F20"/>
    <w:rsid w:val="00564173"/>
    <w:rsid w:val="0056442F"/>
    <w:rsid w:val="00564651"/>
    <w:rsid w:val="005647B0"/>
    <w:rsid w:val="00564909"/>
    <w:rsid w:val="00564A7D"/>
    <w:rsid w:val="00564AF5"/>
    <w:rsid w:val="00564EC3"/>
    <w:rsid w:val="005652D0"/>
    <w:rsid w:val="00565531"/>
    <w:rsid w:val="00565710"/>
    <w:rsid w:val="00565787"/>
    <w:rsid w:val="00565F1F"/>
    <w:rsid w:val="0056641F"/>
    <w:rsid w:val="005666C5"/>
    <w:rsid w:val="005666EB"/>
    <w:rsid w:val="005666F3"/>
    <w:rsid w:val="00566854"/>
    <w:rsid w:val="00566B04"/>
    <w:rsid w:val="00566C88"/>
    <w:rsid w:val="00567154"/>
    <w:rsid w:val="005674AE"/>
    <w:rsid w:val="0056773B"/>
    <w:rsid w:val="00567DE3"/>
    <w:rsid w:val="00570126"/>
    <w:rsid w:val="005701AA"/>
    <w:rsid w:val="005704BB"/>
    <w:rsid w:val="0057083F"/>
    <w:rsid w:val="005709F8"/>
    <w:rsid w:val="00570B1E"/>
    <w:rsid w:val="00570F98"/>
    <w:rsid w:val="00571562"/>
    <w:rsid w:val="0057179E"/>
    <w:rsid w:val="00571C71"/>
    <w:rsid w:val="005720FB"/>
    <w:rsid w:val="0057213F"/>
    <w:rsid w:val="00572799"/>
    <w:rsid w:val="005729E1"/>
    <w:rsid w:val="00572DD1"/>
    <w:rsid w:val="00572DEA"/>
    <w:rsid w:val="005735D9"/>
    <w:rsid w:val="00573A98"/>
    <w:rsid w:val="00573EC4"/>
    <w:rsid w:val="00573F2E"/>
    <w:rsid w:val="0057403F"/>
    <w:rsid w:val="00574120"/>
    <w:rsid w:val="005741E8"/>
    <w:rsid w:val="005742C6"/>
    <w:rsid w:val="00574591"/>
    <w:rsid w:val="00574647"/>
    <w:rsid w:val="00574715"/>
    <w:rsid w:val="00574AC6"/>
    <w:rsid w:val="005750C4"/>
    <w:rsid w:val="005750DD"/>
    <w:rsid w:val="005750FE"/>
    <w:rsid w:val="00575252"/>
    <w:rsid w:val="005752A6"/>
    <w:rsid w:val="00575470"/>
    <w:rsid w:val="005754C7"/>
    <w:rsid w:val="00575D30"/>
    <w:rsid w:val="00576085"/>
    <w:rsid w:val="005760D0"/>
    <w:rsid w:val="005768A7"/>
    <w:rsid w:val="0057690D"/>
    <w:rsid w:val="00576B80"/>
    <w:rsid w:val="00576D89"/>
    <w:rsid w:val="00576EA5"/>
    <w:rsid w:val="00576F92"/>
    <w:rsid w:val="005773FF"/>
    <w:rsid w:val="00577511"/>
    <w:rsid w:val="005775DA"/>
    <w:rsid w:val="005777D3"/>
    <w:rsid w:val="0057785D"/>
    <w:rsid w:val="00577ED4"/>
    <w:rsid w:val="005800E5"/>
    <w:rsid w:val="00580395"/>
    <w:rsid w:val="0058049F"/>
    <w:rsid w:val="0058061B"/>
    <w:rsid w:val="00580682"/>
    <w:rsid w:val="00580694"/>
    <w:rsid w:val="00580935"/>
    <w:rsid w:val="00580A88"/>
    <w:rsid w:val="00580C38"/>
    <w:rsid w:val="00580F5C"/>
    <w:rsid w:val="005813B1"/>
    <w:rsid w:val="0058143A"/>
    <w:rsid w:val="00581451"/>
    <w:rsid w:val="00581516"/>
    <w:rsid w:val="0058175C"/>
    <w:rsid w:val="00581A43"/>
    <w:rsid w:val="00582116"/>
    <w:rsid w:val="00582186"/>
    <w:rsid w:val="005821A4"/>
    <w:rsid w:val="0058237E"/>
    <w:rsid w:val="00583144"/>
    <w:rsid w:val="0058329B"/>
    <w:rsid w:val="005838E4"/>
    <w:rsid w:val="00583CE5"/>
    <w:rsid w:val="005843DB"/>
    <w:rsid w:val="005846BF"/>
    <w:rsid w:val="00584C17"/>
    <w:rsid w:val="00584CE3"/>
    <w:rsid w:val="00584DC7"/>
    <w:rsid w:val="005851C4"/>
    <w:rsid w:val="005852B8"/>
    <w:rsid w:val="00585302"/>
    <w:rsid w:val="005854CD"/>
    <w:rsid w:val="005859D9"/>
    <w:rsid w:val="005859FC"/>
    <w:rsid w:val="00585C7D"/>
    <w:rsid w:val="00585CF1"/>
    <w:rsid w:val="00585D42"/>
    <w:rsid w:val="00585E2B"/>
    <w:rsid w:val="0058603E"/>
    <w:rsid w:val="005860B4"/>
    <w:rsid w:val="0058626B"/>
    <w:rsid w:val="005862B8"/>
    <w:rsid w:val="0058630A"/>
    <w:rsid w:val="0058646E"/>
    <w:rsid w:val="00586978"/>
    <w:rsid w:val="005869AB"/>
    <w:rsid w:val="00586BC9"/>
    <w:rsid w:val="00586E31"/>
    <w:rsid w:val="005875B7"/>
    <w:rsid w:val="00587757"/>
    <w:rsid w:val="00587AC7"/>
    <w:rsid w:val="00587D90"/>
    <w:rsid w:val="00587DB8"/>
    <w:rsid w:val="00587E61"/>
    <w:rsid w:val="00587F34"/>
    <w:rsid w:val="00587F4F"/>
    <w:rsid w:val="0059048F"/>
    <w:rsid w:val="00590657"/>
    <w:rsid w:val="0059093E"/>
    <w:rsid w:val="0059098F"/>
    <w:rsid w:val="005909EF"/>
    <w:rsid w:val="00590CA2"/>
    <w:rsid w:val="00590EDB"/>
    <w:rsid w:val="00590F3E"/>
    <w:rsid w:val="00590F6A"/>
    <w:rsid w:val="005914AA"/>
    <w:rsid w:val="00591516"/>
    <w:rsid w:val="00591573"/>
    <w:rsid w:val="00591603"/>
    <w:rsid w:val="00591646"/>
    <w:rsid w:val="00591743"/>
    <w:rsid w:val="00591C7B"/>
    <w:rsid w:val="00591CD4"/>
    <w:rsid w:val="00591F3E"/>
    <w:rsid w:val="00592028"/>
    <w:rsid w:val="00592202"/>
    <w:rsid w:val="005924C2"/>
    <w:rsid w:val="005924DC"/>
    <w:rsid w:val="00592629"/>
    <w:rsid w:val="00592677"/>
    <w:rsid w:val="00592847"/>
    <w:rsid w:val="00592A00"/>
    <w:rsid w:val="00592CD1"/>
    <w:rsid w:val="00592F8E"/>
    <w:rsid w:val="005930D5"/>
    <w:rsid w:val="005935A2"/>
    <w:rsid w:val="00593711"/>
    <w:rsid w:val="00593B88"/>
    <w:rsid w:val="00594385"/>
    <w:rsid w:val="0059457D"/>
    <w:rsid w:val="0059463E"/>
    <w:rsid w:val="00594850"/>
    <w:rsid w:val="00594C1F"/>
    <w:rsid w:val="00595131"/>
    <w:rsid w:val="005951BF"/>
    <w:rsid w:val="00595714"/>
    <w:rsid w:val="00595B96"/>
    <w:rsid w:val="00595C4F"/>
    <w:rsid w:val="00595E82"/>
    <w:rsid w:val="00596187"/>
    <w:rsid w:val="005965A6"/>
    <w:rsid w:val="00596A01"/>
    <w:rsid w:val="00597C00"/>
    <w:rsid w:val="00597D3B"/>
    <w:rsid w:val="00597E6D"/>
    <w:rsid w:val="00597F98"/>
    <w:rsid w:val="005A0020"/>
    <w:rsid w:val="005A0059"/>
    <w:rsid w:val="005A03E8"/>
    <w:rsid w:val="005A06E9"/>
    <w:rsid w:val="005A0D5E"/>
    <w:rsid w:val="005A0FDF"/>
    <w:rsid w:val="005A1356"/>
    <w:rsid w:val="005A1395"/>
    <w:rsid w:val="005A13C8"/>
    <w:rsid w:val="005A1B8A"/>
    <w:rsid w:val="005A1C75"/>
    <w:rsid w:val="005A25FD"/>
    <w:rsid w:val="005A266D"/>
    <w:rsid w:val="005A2709"/>
    <w:rsid w:val="005A2833"/>
    <w:rsid w:val="005A29CD"/>
    <w:rsid w:val="005A2AF0"/>
    <w:rsid w:val="005A2E07"/>
    <w:rsid w:val="005A315F"/>
    <w:rsid w:val="005A3222"/>
    <w:rsid w:val="005A3385"/>
    <w:rsid w:val="005A33BF"/>
    <w:rsid w:val="005A3608"/>
    <w:rsid w:val="005A361A"/>
    <w:rsid w:val="005A3E1B"/>
    <w:rsid w:val="005A3F93"/>
    <w:rsid w:val="005A415A"/>
    <w:rsid w:val="005A431A"/>
    <w:rsid w:val="005A440C"/>
    <w:rsid w:val="005A49DD"/>
    <w:rsid w:val="005A4A96"/>
    <w:rsid w:val="005A4AD8"/>
    <w:rsid w:val="005A4CFA"/>
    <w:rsid w:val="005A4DAC"/>
    <w:rsid w:val="005A52F6"/>
    <w:rsid w:val="005A5319"/>
    <w:rsid w:val="005A5536"/>
    <w:rsid w:val="005A5BC5"/>
    <w:rsid w:val="005A61AC"/>
    <w:rsid w:val="005A63CD"/>
    <w:rsid w:val="005A6465"/>
    <w:rsid w:val="005A656A"/>
    <w:rsid w:val="005A681B"/>
    <w:rsid w:val="005A68F2"/>
    <w:rsid w:val="005A6BD7"/>
    <w:rsid w:val="005A6BFF"/>
    <w:rsid w:val="005A6D35"/>
    <w:rsid w:val="005A7099"/>
    <w:rsid w:val="005A70C7"/>
    <w:rsid w:val="005A79FE"/>
    <w:rsid w:val="005A7DD6"/>
    <w:rsid w:val="005A7EE9"/>
    <w:rsid w:val="005A7FA1"/>
    <w:rsid w:val="005B00DE"/>
    <w:rsid w:val="005B025C"/>
    <w:rsid w:val="005B06CA"/>
    <w:rsid w:val="005B080A"/>
    <w:rsid w:val="005B0931"/>
    <w:rsid w:val="005B0C69"/>
    <w:rsid w:val="005B0E31"/>
    <w:rsid w:val="005B13A6"/>
    <w:rsid w:val="005B14AD"/>
    <w:rsid w:val="005B14B5"/>
    <w:rsid w:val="005B16E4"/>
    <w:rsid w:val="005B196E"/>
    <w:rsid w:val="005B1AAF"/>
    <w:rsid w:val="005B241C"/>
    <w:rsid w:val="005B2609"/>
    <w:rsid w:val="005B2D37"/>
    <w:rsid w:val="005B2D79"/>
    <w:rsid w:val="005B2DDE"/>
    <w:rsid w:val="005B2F6B"/>
    <w:rsid w:val="005B3147"/>
    <w:rsid w:val="005B3394"/>
    <w:rsid w:val="005B3660"/>
    <w:rsid w:val="005B371C"/>
    <w:rsid w:val="005B3954"/>
    <w:rsid w:val="005B3B39"/>
    <w:rsid w:val="005B40E7"/>
    <w:rsid w:val="005B416D"/>
    <w:rsid w:val="005B42DC"/>
    <w:rsid w:val="005B435A"/>
    <w:rsid w:val="005B436B"/>
    <w:rsid w:val="005B44A4"/>
    <w:rsid w:val="005B44F5"/>
    <w:rsid w:val="005B4F96"/>
    <w:rsid w:val="005B518C"/>
    <w:rsid w:val="005B5579"/>
    <w:rsid w:val="005B563D"/>
    <w:rsid w:val="005B56CB"/>
    <w:rsid w:val="005B59ED"/>
    <w:rsid w:val="005B5B4F"/>
    <w:rsid w:val="005B5D16"/>
    <w:rsid w:val="005B64A8"/>
    <w:rsid w:val="005B64E1"/>
    <w:rsid w:val="005B6C4E"/>
    <w:rsid w:val="005B6C61"/>
    <w:rsid w:val="005B6D8C"/>
    <w:rsid w:val="005B6F1F"/>
    <w:rsid w:val="005B732A"/>
    <w:rsid w:val="005B7501"/>
    <w:rsid w:val="005B7646"/>
    <w:rsid w:val="005B7867"/>
    <w:rsid w:val="005B7AA6"/>
    <w:rsid w:val="005B7D47"/>
    <w:rsid w:val="005B7F6B"/>
    <w:rsid w:val="005B7FCC"/>
    <w:rsid w:val="005C0129"/>
    <w:rsid w:val="005C06DB"/>
    <w:rsid w:val="005C07E4"/>
    <w:rsid w:val="005C099C"/>
    <w:rsid w:val="005C099D"/>
    <w:rsid w:val="005C0A78"/>
    <w:rsid w:val="005C0A94"/>
    <w:rsid w:val="005C0FA3"/>
    <w:rsid w:val="005C1130"/>
    <w:rsid w:val="005C1410"/>
    <w:rsid w:val="005C1784"/>
    <w:rsid w:val="005C1879"/>
    <w:rsid w:val="005C1AE6"/>
    <w:rsid w:val="005C1EE6"/>
    <w:rsid w:val="005C1F34"/>
    <w:rsid w:val="005C20BC"/>
    <w:rsid w:val="005C218B"/>
    <w:rsid w:val="005C236E"/>
    <w:rsid w:val="005C2391"/>
    <w:rsid w:val="005C23E3"/>
    <w:rsid w:val="005C2575"/>
    <w:rsid w:val="005C298F"/>
    <w:rsid w:val="005C30F3"/>
    <w:rsid w:val="005C311C"/>
    <w:rsid w:val="005C377B"/>
    <w:rsid w:val="005C39E7"/>
    <w:rsid w:val="005C3AA7"/>
    <w:rsid w:val="005C3CB5"/>
    <w:rsid w:val="005C403B"/>
    <w:rsid w:val="005C4813"/>
    <w:rsid w:val="005C4A77"/>
    <w:rsid w:val="005C4CCF"/>
    <w:rsid w:val="005C5014"/>
    <w:rsid w:val="005C531F"/>
    <w:rsid w:val="005C57AD"/>
    <w:rsid w:val="005C5F43"/>
    <w:rsid w:val="005C605A"/>
    <w:rsid w:val="005C6138"/>
    <w:rsid w:val="005C6710"/>
    <w:rsid w:val="005C6A8D"/>
    <w:rsid w:val="005C6AF9"/>
    <w:rsid w:val="005C6CD5"/>
    <w:rsid w:val="005C6FCE"/>
    <w:rsid w:val="005C7132"/>
    <w:rsid w:val="005C7336"/>
    <w:rsid w:val="005C7368"/>
    <w:rsid w:val="005C73B9"/>
    <w:rsid w:val="005C7612"/>
    <w:rsid w:val="005C7726"/>
    <w:rsid w:val="005C773E"/>
    <w:rsid w:val="005C789C"/>
    <w:rsid w:val="005C78AF"/>
    <w:rsid w:val="005D0097"/>
    <w:rsid w:val="005D061D"/>
    <w:rsid w:val="005D07E8"/>
    <w:rsid w:val="005D090A"/>
    <w:rsid w:val="005D093A"/>
    <w:rsid w:val="005D0A42"/>
    <w:rsid w:val="005D14EE"/>
    <w:rsid w:val="005D1AD6"/>
    <w:rsid w:val="005D1AE8"/>
    <w:rsid w:val="005D1B2B"/>
    <w:rsid w:val="005D23FA"/>
    <w:rsid w:val="005D24B5"/>
    <w:rsid w:val="005D27DB"/>
    <w:rsid w:val="005D2A18"/>
    <w:rsid w:val="005D2CC0"/>
    <w:rsid w:val="005D2D08"/>
    <w:rsid w:val="005D2FB8"/>
    <w:rsid w:val="005D3170"/>
    <w:rsid w:val="005D31F1"/>
    <w:rsid w:val="005D35F8"/>
    <w:rsid w:val="005D3625"/>
    <w:rsid w:val="005D39F7"/>
    <w:rsid w:val="005D3A51"/>
    <w:rsid w:val="005D3AA9"/>
    <w:rsid w:val="005D3C50"/>
    <w:rsid w:val="005D3C61"/>
    <w:rsid w:val="005D4062"/>
    <w:rsid w:val="005D417B"/>
    <w:rsid w:val="005D4235"/>
    <w:rsid w:val="005D4388"/>
    <w:rsid w:val="005D44B0"/>
    <w:rsid w:val="005D4D1B"/>
    <w:rsid w:val="005D4D95"/>
    <w:rsid w:val="005D4E2A"/>
    <w:rsid w:val="005D58D4"/>
    <w:rsid w:val="005D5A27"/>
    <w:rsid w:val="005D5C19"/>
    <w:rsid w:val="005D5D1B"/>
    <w:rsid w:val="005D6AF2"/>
    <w:rsid w:val="005D7472"/>
    <w:rsid w:val="005D769F"/>
    <w:rsid w:val="005D79B1"/>
    <w:rsid w:val="005D79D8"/>
    <w:rsid w:val="005D7A11"/>
    <w:rsid w:val="005D7BDE"/>
    <w:rsid w:val="005D7C72"/>
    <w:rsid w:val="005D7EF1"/>
    <w:rsid w:val="005D7EF5"/>
    <w:rsid w:val="005D7FCD"/>
    <w:rsid w:val="005E01C9"/>
    <w:rsid w:val="005E01E2"/>
    <w:rsid w:val="005E01FF"/>
    <w:rsid w:val="005E0611"/>
    <w:rsid w:val="005E0760"/>
    <w:rsid w:val="005E0D22"/>
    <w:rsid w:val="005E0DB8"/>
    <w:rsid w:val="005E0DF4"/>
    <w:rsid w:val="005E0FC6"/>
    <w:rsid w:val="005E12A2"/>
    <w:rsid w:val="005E13DB"/>
    <w:rsid w:val="005E14A9"/>
    <w:rsid w:val="005E15C5"/>
    <w:rsid w:val="005E18D0"/>
    <w:rsid w:val="005E1BA2"/>
    <w:rsid w:val="005E1C58"/>
    <w:rsid w:val="005E1E65"/>
    <w:rsid w:val="005E21EF"/>
    <w:rsid w:val="005E2B7C"/>
    <w:rsid w:val="005E2BCF"/>
    <w:rsid w:val="005E33C6"/>
    <w:rsid w:val="005E33CC"/>
    <w:rsid w:val="005E3568"/>
    <w:rsid w:val="005E3B11"/>
    <w:rsid w:val="005E3F12"/>
    <w:rsid w:val="005E3FBF"/>
    <w:rsid w:val="005E42F1"/>
    <w:rsid w:val="005E45AE"/>
    <w:rsid w:val="005E45DC"/>
    <w:rsid w:val="005E4634"/>
    <w:rsid w:val="005E4A2A"/>
    <w:rsid w:val="005E4DFF"/>
    <w:rsid w:val="005E53A0"/>
    <w:rsid w:val="005E60D1"/>
    <w:rsid w:val="005E68C0"/>
    <w:rsid w:val="005E6B8F"/>
    <w:rsid w:val="005E6C31"/>
    <w:rsid w:val="005E6DD6"/>
    <w:rsid w:val="005E7131"/>
    <w:rsid w:val="005E75CC"/>
    <w:rsid w:val="005E7946"/>
    <w:rsid w:val="005E79C2"/>
    <w:rsid w:val="005E7AAA"/>
    <w:rsid w:val="005E7B8B"/>
    <w:rsid w:val="005E7BA7"/>
    <w:rsid w:val="005E7E2F"/>
    <w:rsid w:val="005F04EB"/>
    <w:rsid w:val="005F0569"/>
    <w:rsid w:val="005F0B40"/>
    <w:rsid w:val="005F0D9D"/>
    <w:rsid w:val="005F0EC3"/>
    <w:rsid w:val="005F1259"/>
    <w:rsid w:val="005F139E"/>
    <w:rsid w:val="005F15E0"/>
    <w:rsid w:val="005F191E"/>
    <w:rsid w:val="005F1A71"/>
    <w:rsid w:val="005F2D75"/>
    <w:rsid w:val="005F2E81"/>
    <w:rsid w:val="005F313B"/>
    <w:rsid w:val="005F31DE"/>
    <w:rsid w:val="005F3216"/>
    <w:rsid w:val="005F3314"/>
    <w:rsid w:val="005F36B6"/>
    <w:rsid w:val="005F36B8"/>
    <w:rsid w:val="005F394C"/>
    <w:rsid w:val="005F397F"/>
    <w:rsid w:val="005F3E1B"/>
    <w:rsid w:val="005F3EBA"/>
    <w:rsid w:val="005F3F48"/>
    <w:rsid w:val="005F3F89"/>
    <w:rsid w:val="005F3FD9"/>
    <w:rsid w:val="005F4139"/>
    <w:rsid w:val="005F44E3"/>
    <w:rsid w:val="005F462F"/>
    <w:rsid w:val="005F4979"/>
    <w:rsid w:val="005F4BE4"/>
    <w:rsid w:val="005F51C9"/>
    <w:rsid w:val="005F520B"/>
    <w:rsid w:val="005F54DE"/>
    <w:rsid w:val="005F5A37"/>
    <w:rsid w:val="005F5AC4"/>
    <w:rsid w:val="005F629C"/>
    <w:rsid w:val="005F6D4A"/>
    <w:rsid w:val="005F73D9"/>
    <w:rsid w:val="005F73EB"/>
    <w:rsid w:val="005F74AB"/>
    <w:rsid w:val="005F77CA"/>
    <w:rsid w:val="005F7881"/>
    <w:rsid w:val="005F7A3A"/>
    <w:rsid w:val="005F7BF6"/>
    <w:rsid w:val="005F7C9F"/>
    <w:rsid w:val="005F7DCF"/>
    <w:rsid w:val="006003C8"/>
    <w:rsid w:val="00600523"/>
    <w:rsid w:val="00600587"/>
    <w:rsid w:val="00601270"/>
    <w:rsid w:val="00601398"/>
    <w:rsid w:val="00601630"/>
    <w:rsid w:val="0060185E"/>
    <w:rsid w:val="00601D73"/>
    <w:rsid w:val="00601E3B"/>
    <w:rsid w:val="006022AA"/>
    <w:rsid w:val="0060237C"/>
    <w:rsid w:val="006025C6"/>
    <w:rsid w:val="0060261F"/>
    <w:rsid w:val="0060290C"/>
    <w:rsid w:val="00602AE8"/>
    <w:rsid w:val="00602C37"/>
    <w:rsid w:val="00602D98"/>
    <w:rsid w:val="00602E93"/>
    <w:rsid w:val="00603067"/>
    <w:rsid w:val="0060334E"/>
    <w:rsid w:val="00603466"/>
    <w:rsid w:val="006034AE"/>
    <w:rsid w:val="00603686"/>
    <w:rsid w:val="00603B51"/>
    <w:rsid w:val="00603BB2"/>
    <w:rsid w:val="00603BF2"/>
    <w:rsid w:val="00603E03"/>
    <w:rsid w:val="00604174"/>
    <w:rsid w:val="00604552"/>
    <w:rsid w:val="00604751"/>
    <w:rsid w:val="00604A58"/>
    <w:rsid w:val="00604B1A"/>
    <w:rsid w:val="00604B32"/>
    <w:rsid w:val="00604F9A"/>
    <w:rsid w:val="00605228"/>
    <w:rsid w:val="006055BF"/>
    <w:rsid w:val="00605922"/>
    <w:rsid w:val="00605B3D"/>
    <w:rsid w:val="00605C3A"/>
    <w:rsid w:val="00605D20"/>
    <w:rsid w:val="00605F76"/>
    <w:rsid w:val="00606138"/>
    <w:rsid w:val="006061A8"/>
    <w:rsid w:val="006063C2"/>
    <w:rsid w:val="00606672"/>
    <w:rsid w:val="00606806"/>
    <w:rsid w:val="00606829"/>
    <w:rsid w:val="00606A91"/>
    <w:rsid w:val="00606E41"/>
    <w:rsid w:val="00607117"/>
    <w:rsid w:val="006073EC"/>
    <w:rsid w:val="0060781C"/>
    <w:rsid w:val="00607BD0"/>
    <w:rsid w:val="00607E77"/>
    <w:rsid w:val="0061010A"/>
    <w:rsid w:val="006108CE"/>
    <w:rsid w:val="006109E0"/>
    <w:rsid w:val="00610A62"/>
    <w:rsid w:val="00610B9F"/>
    <w:rsid w:val="00611732"/>
    <w:rsid w:val="006117DB"/>
    <w:rsid w:val="00611987"/>
    <w:rsid w:val="006119FD"/>
    <w:rsid w:val="00611A7D"/>
    <w:rsid w:val="00611E72"/>
    <w:rsid w:val="00611F30"/>
    <w:rsid w:val="006122E3"/>
    <w:rsid w:val="006123C0"/>
    <w:rsid w:val="00612583"/>
    <w:rsid w:val="0061264D"/>
    <w:rsid w:val="00612A78"/>
    <w:rsid w:val="006133E1"/>
    <w:rsid w:val="0061354B"/>
    <w:rsid w:val="00613654"/>
    <w:rsid w:val="00613691"/>
    <w:rsid w:val="00613CE6"/>
    <w:rsid w:val="00613DA9"/>
    <w:rsid w:val="006142D4"/>
    <w:rsid w:val="00614BD5"/>
    <w:rsid w:val="00615371"/>
    <w:rsid w:val="00615535"/>
    <w:rsid w:val="00615D98"/>
    <w:rsid w:val="00615F28"/>
    <w:rsid w:val="00616109"/>
    <w:rsid w:val="006162A4"/>
    <w:rsid w:val="0061646F"/>
    <w:rsid w:val="0061660B"/>
    <w:rsid w:val="006166B0"/>
    <w:rsid w:val="0061751B"/>
    <w:rsid w:val="00617898"/>
    <w:rsid w:val="00617B66"/>
    <w:rsid w:val="00617C88"/>
    <w:rsid w:val="00617F16"/>
    <w:rsid w:val="0061F1AD"/>
    <w:rsid w:val="0062053B"/>
    <w:rsid w:val="0062080A"/>
    <w:rsid w:val="00620979"/>
    <w:rsid w:val="00620C7A"/>
    <w:rsid w:val="00620E39"/>
    <w:rsid w:val="00620F12"/>
    <w:rsid w:val="00620F68"/>
    <w:rsid w:val="00620FAE"/>
    <w:rsid w:val="006213C4"/>
    <w:rsid w:val="00621699"/>
    <w:rsid w:val="00621859"/>
    <w:rsid w:val="006218C7"/>
    <w:rsid w:val="00621C35"/>
    <w:rsid w:val="00621C5D"/>
    <w:rsid w:val="00621EFE"/>
    <w:rsid w:val="00621FCD"/>
    <w:rsid w:val="00622085"/>
    <w:rsid w:val="006221ED"/>
    <w:rsid w:val="00622320"/>
    <w:rsid w:val="00622625"/>
    <w:rsid w:val="00622DA5"/>
    <w:rsid w:val="00622EA4"/>
    <w:rsid w:val="00622F73"/>
    <w:rsid w:val="006234B2"/>
    <w:rsid w:val="00623FA1"/>
    <w:rsid w:val="0062424C"/>
    <w:rsid w:val="0062448A"/>
    <w:rsid w:val="006244C3"/>
    <w:rsid w:val="00624666"/>
    <w:rsid w:val="00624776"/>
    <w:rsid w:val="00624B8F"/>
    <w:rsid w:val="00624CB8"/>
    <w:rsid w:val="00624D5E"/>
    <w:rsid w:val="00624DE4"/>
    <w:rsid w:val="00624E86"/>
    <w:rsid w:val="006252E8"/>
    <w:rsid w:val="00625327"/>
    <w:rsid w:val="006253A1"/>
    <w:rsid w:val="006253FE"/>
    <w:rsid w:val="00625481"/>
    <w:rsid w:val="00625552"/>
    <w:rsid w:val="006255A4"/>
    <w:rsid w:val="00625CEA"/>
    <w:rsid w:val="00625D66"/>
    <w:rsid w:val="00625D9D"/>
    <w:rsid w:val="00625EC5"/>
    <w:rsid w:val="006261A1"/>
    <w:rsid w:val="00626253"/>
    <w:rsid w:val="0062637C"/>
    <w:rsid w:val="00626567"/>
    <w:rsid w:val="0062683B"/>
    <w:rsid w:val="006272D3"/>
    <w:rsid w:val="00627400"/>
    <w:rsid w:val="00627689"/>
    <w:rsid w:val="00627922"/>
    <w:rsid w:val="006279A3"/>
    <w:rsid w:val="00627FE7"/>
    <w:rsid w:val="00630047"/>
    <w:rsid w:val="0063010C"/>
    <w:rsid w:val="0063017D"/>
    <w:rsid w:val="0063026A"/>
    <w:rsid w:val="006302D1"/>
    <w:rsid w:val="00630395"/>
    <w:rsid w:val="00630399"/>
    <w:rsid w:val="00630547"/>
    <w:rsid w:val="0063079F"/>
    <w:rsid w:val="00630991"/>
    <w:rsid w:val="00630AD4"/>
    <w:rsid w:val="006310B7"/>
    <w:rsid w:val="00631263"/>
    <w:rsid w:val="00631FA2"/>
    <w:rsid w:val="006323F2"/>
    <w:rsid w:val="006323FD"/>
    <w:rsid w:val="00632515"/>
    <w:rsid w:val="00632632"/>
    <w:rsid w:val="006329B3"/>
    <w:rsid w:val="00632B73"/>
    <w:rsid w:val="00632BED"/>
    <w:rsid w:val="00632DD6"/>
    <w:rsid w:val="00632E89"/>
    <w:rsid w:val="00632F44"/>
    <w:rsid w:val="0063307E"/>
    <w:rsid w:val="00633478"/>
    <w:rsid w:val="00633520"/>
    <w:rsid w:val="00633F25"/>
    <w:rsid w:val="0063421A"/>
    <w:rsid w:val="006343A3"/>
    <w:rsid w:val="006344FE"/>
    <w:rsid w:val="00634945"/>
    <w:rsid w:val="00634AAE"/>
    <w:rsid w:val="00634AC2"/>
    <w:rsid w:val="00634EA3"/>
    <w:rsid w:val="00635362"/>
    <w:rsid w:val="00635527"/>
    <w:rsid w:val="00635F6B"/>
    <w:rsid w:val="006360EE"/>
    <w:rsid w:val="006363E6"/>
    <w:rsid w:val="00636CD1"/>
    <w:rsid w:val="00636F35"/>
    <w:rsid w:val="00636FDD"/>
    <w:rsid w:val="0063705A"/>
    <w:rsid w:val="0063715A"/>
    <w:rsid w:val="00637334"/>
    <w:rsid w:val="006378AC"/>
    <w:rsid w:val="00640062"/>
    <w:rsid w:val="006400DC"/>
    <w:rsid w:val="00640179"/>
    <w:rsid w:val="0064056A"/>
    <w:rsid w:val="00640772"/>
    <w:rsid w:val="00640BED"/>
    <w:rsid w:val="00640C77"/>
    <w:rsid w:val="00641185"/>
    <w:rsid w:val="0064123B"/>
    <w:rsid w:val="00641370"/>
    <w:rsid w:val="0064143A"/>
    <w:rsid w:val="00641543"/>
    <w:rsid w:val="0064170B"/>
    <w:rsid w:val="00641979"/>
    <w:rsid w:val="00641D63"/>
    <w:rsid w:val="00641E33"/>
    <w:rsid w:val="006423B8"/>
    <w:rsid w:val="006423DF"/>
    <w:rsid w:val="00642427"/>
    <w:rsid w:val="00642457"/>
    <w:rsid w:val="006426EA"/>
    <w:rsid w:val="006429C3"/>
    <w:rsid w:val="00642A71"/>
    <w:rsid w:val="00642AF0"/>
    <w:rsid w:val="00642E4A"/>
    <w:rsid w:val="00642F47"/>
    <w:rsid w:val="00642FFC"/>
    <w:rsid w:val="00643111"/>
    <w:rsid w:val="0064311C"/>
    <w:rsid w:val="0064318D"/>
    <w:rsid w:val="006432BF"/>
    <w:rsid w:val="00643339"/>
    <w:rsid w:val="0064334B"/>
    <w:rsid w:val="00643391"/>
    <w:rsid w:val="0064388E"/>
    <w:rsid w:val="00643952"/>
    <w:rsid w:val="00643A5E"/>
    <w:rsid w:val="00643BF9"/>
    <w:rsid w:val="00643E52"/>
    <w:rsid w:val="00644029"/>
    <w:rsid w:val="0064429C"/>
    <w:rsid w:val="00644538"/>
    <w:rsid w:val="006447B7"/>
    <w:rsid w:val="006448D3"/>
    <w:rsid w:val="00644E2F"/>
    <w:rsid w:val="0064539A"/>
    <w:rsid w:val="006457D9"/>
    <w:rsid w:val="00645B11"/>
    <w:rsid w:val="00645CE9"/>
    <w:rsid w:val="00645DAF"/>
    <w:rsid w:val="00645E25"/>
    <w:rsid w:val="00646121"/>
    <w:rsid w:val="006468FF"/>
    <w:rsid w:val="00646A30"/>
    <w:rsid w:val="006477E4"/>
    <w:rsid w:val="00650289"/>
    <w:rsid w:val="0065049D"/>
    <w:rsid w:val="006507E5"/>
    <w:rsid w:val="006507F9"/>
    <w:rsid w:val="00650CED"/>
    <w:rsid w:val="00650EE8"/>
    <w:rsid w:val="006517F9"/>
    <w:rsid w:val="00651905"/>
    <w:rsid w:val="00651FCD"/>
    <w:rsid w:val="0065235C"/>
    <w:rsid w:val="00652576"/>
    <w:rsid w:val="00652A61"/>
    <w:rsid w:val="00652B18"/>
    <w:rsid w:val="00652D62"/>
    <w:rsid w:val="00652E41"/>
    <w:rsid w:val="006530B0"/>
    <w:rsid w:val="0065311E"/>
    <w:rsid w:val="006531AA"/>
    <w:rsid w:val="0065326D"/>
    <w:rsid w:val="0065342C"/>
    <w:rsid w:val="0065345C"/>
    <w:rsid w:val="00653787"/>
    <w:rsid w:val="00653BA2"/>
    <w:rsid w:val="00653CC3"/>
    <w:rsid w:val="00653CD3"/>
    <w:rsid w:val="00654670"/>
    <w:rsid w:val="00654A30"/>
    <w:rsid w:val="00654BA1"/>
    <w:rsid w:val="00654C11"/>
    <w:rsid w:val="00654C18"/>
    <w:rsid w:val="00654CF1"/>
    <w:rsid w:val="00654EC0"/>
    <w:rsid w:val="00655175"/>
    <w:rsid w:val="00655AA5"/>
    <w:rsid w:val="00655B55"/>
    <w:rsid w:val="00656140"/>
    <w:rsid w:val="006562F8"/>
    <w:rsid w:val="00656408"/>
    <w:rsid w:val="00656E12"/>
    <w:rsid w:val="00656F5D"/>
    <w:rsid w:val="00656F7F"/>
    <w:rsid w:val="00656FF5"/>
    <w:rsid w:val="00657267"/>
    <w:rsid w:val="0065749A"/>
    <w:rsid w:val="0065750A"/>
    <w:rsid w:val="006575DD"/>
    <w:rsid w:val="0065760E"/>
    <w:rsid w:val="0065772E"/>
    <w:rsid w:val="00660249"/>
    <w:rsid w:val="0066030C"/>
    <w:rsid w:val="00660685"/>
    <w:rsid w:val="006608DD"/>
    <w:rsid w:val="00660931"/>
    <w:rsid w:val="00660BDB"/>
    <w:rsid w:val="00660DF3"/>
    <w:rsid w:val="00660EBE"/>
    <w:rsid w:val="00660EE9"/>
    <w:rsid w:val="00660F7F"/>
    <w:rsid w:val="0066104D"/>
    <w:rsid w:val="0066186A"/>
    <w:rsid w:val="00661A8E"/>
    <w:rsid w:val="006624FE"/>
    <w:rsid w:val="00662705"/>
    <w:rsid w:val="00662791"/>
    <w:rsid w:val="00662D10"/>
    <w:rsid w:val="00662ED8"/>
    <w:rsid w:val="006631FC"/>
    <w:rsid w:val="00663CCD"/>
    <w:rsid w:val="00663D7C"/>
    <w:rsid w:val="00663E72"/>
    <w:rsid w:val="00663FE1"/>
    <w:rsid w:val="006642CE"/>
    <w:rsid w:val="00664440"/>
    <w:rsid w:val="0066448C"/>
    <w:rsid w:val="00664646"/>
    <w:rsid w:val="00664968"/>
    <w:rsid w:val="0066578D"/>
    <w:rsid w:val="0066612D"/>
    <w:rsid w:val="00666286"/>
    <w:rsid w:val="0066635E"/>
    <w:rsid w:val="00666478"/>
    <w:rsid w:val="00666536"/>
    <w:rsid w:val="006666D9"/>
    <w:rsid w:val="0066684B"/>
    <w:rsid w:val="006668C2"/>
    <w:rsid w:val="006668C4"/>
    <w:rsid w:val="00666A28"/>
    <w:rsid w:val="00666D22"/>
    <w:rsid w:val="00666E2C"/>
    <w:rsid w:val="00666FE7"/>
    <w:rsid w:val="00667031"/>
    <w:rsid w:val="00667231"/>
    <w:rsid w:val="0066768D"/>
    <w:rsid w:val="0066785D"/>
    <w:rsid w:val="006679F6"/>
    <w:rsid w:val="00667BB9"/>
    <w:rsid w:val="00667CF2"/>
    <w:rsid w:val="00670305"/>
    <w:rsid w:val="00670A56"/>
    <w:rsid w:val="00670F27"/>
    <w:rsid w:val="006711B8"/>
    <w:rsid w:val="006718B0"/>
    <w:rsid w:val="00671A37"/>
    <w:rsid w:val="00671BA3"/>
    <w:rsid w:val="00671DA8"/>
    <w:rsid w:val="00671FC4"/>
    <w:rsid w:val="006724C1"/>
    <w:rsid w:val="00672692"/>
    <w:rsid w:val="00672DE7"/>
    <w:rsid w:val="00672F7F"/>
    <w:rsid w:val="006734E1"/>
    <w:rsid w:val="006736E4"/>
    <w:rsid w:val="00673D10"/>
    <w:rsid w:val="00673EA2"/>
    <w:rsid w:val="006740C7"/>
    <w:rsid w:val="006742BA"/>
    <w:rsid w:val="006745E9"/>
    <w:rsid w:val="00674932"/>
    <w:rsid w:val="00674BA2"/>
    <w:rsid w:val="00674EAD"/>
    <w:rsid w:val="00675794"/>
    <w:rsid w:val="00675A6B"/>
    <w:rsid w:val="00676902"/>
    <w:rsid w:val="00676BBC"/>
    <w:rsid w:val="00676FEA"/>
    <w:rsid w:val="0067730C"/>
    <w:rsid w:val="00677430"/>
    <w:rsid w:val="0067773C"/>
    <w:rsid w:val="006777E5"/>
    <w:rsid w:val="00677A44"/>
    <w:rsid w:val="00677A5E"/>
    <w:rsid w:val="00677CAD"/>
    <w:rsid w:val="00677EC0"/>
    <w:rsid w:val="006801B8"/>
    <w:rsid w:val="00680221"/>
    <w:rsid w:val="006802AB"/>
    <w:rsid w:val="00680B5A"/>
    <w:rsid w:val="00680E66"/>
    <w:rsid w:val="0068105D"/>
    <w:rsid w:val="00681314"/>
    <w:rsid w:val="0068142E"/>
    <w:rsid w:val="0068168C"/>
    <w:rsid w:val="00681842"/>
    <w:rsid w:val="00681AD9"/>
    <w:rsid w:val="00681CA5"/>
    <w:rsid w:val="00681DC3"/>
    <w:rsid w:val="00681F7A"/>
    <w:rsid w:val="006821BC"/>
    <w:rsid w:val="0068240E"/>
    <w:rsid w:val="006828A5"/>
    <w:rsid w:val="00682B0C"/>
    <w:rsid w:val="006835F6"/>
    <w:rsid w:val="0068369C"/>
    <w:rsid w:val="006837A6"/>
    <w:rsid w:val="00683B6E"/>
    <w:rsid w:val="00683EAF"/>
    <w:rsid w:val="00683F5D"/>
    <w:rsid w:val="006840AE"/>
    <w:rsid w:val="00684344"/>
    <w:rsid w:val="00684786"/>
    <w:rsid w:val="006847A8"/>
    <w:rsid w:val="0068486A"/>
    <w:rsid w:val="00684A64"/>
    <w:rsid w:val="00684C26"/>
    <w:rsid w:val="00684F0E"/>
    <w:rsid w:val="00685495"/>
    <w:rsid w:val="00685502"/>
    <w:rsid w:val="00685580"/>
    <w:rsid w:val="006855AA"/>
    <w:rsid w:val="00685987"/>
    <w:rsid w:val="00685E71"/>
    <w:rsid w:val="006861C5"/>
    <w:rsid w:val="00686513"/>
    <w:rsid w:val="00686980"/>
    <w:rsid w:val="00686A05"/>
    <w:rsid w:val="00686AE0"/>
    <w:rsid w:val="00686CEB"/>
    <w:rsid w:val="00686EE2"/>
    <w:rsid w:val="00686F40"/>
    <w:rsid w:val="006870FB"/>
    <w:rsid w:val="0068720D"/>
    <w:rsid w:val="006872AB"/>
    <w:rsid w:val="0068760F"/>
    <w:rsid w:val="00687657"/>
    <w:rsid w:val="00687A7E"/>
    <w:rsid w:val="00687C14"/>
    <w:rsid w:val="0069063F"/>
    <w:rsid w:val="00690895"/>
    <w:rsid w:val="00690A2D"/>
    <w:rsid w:val="00690D16"/>
    <w:rsid w:val="006911EB"/>
    <w:rsid w:val="00691478"/>
    <w:rsid w:val="006915D0"/>
    <w:rsid w:val="00691765"/>
    <w:rsid w:val="00691F08"/>
    <w:rsid w:val="006922AD"/>
    <w:rsid w:val="0069235E"/>
    <w:rsid w:val="0069241C"/>
    <w:rsid w:val="006929F8"/>
    <w:rsid w:val="00692A60"/>
    <w:rsid w:val="00692A6D"/>
    <w:rsid w:val="00692C90"/>
    <w:rsid w:val="00692CC6"/>
    <w:rsid w:val="00692D08"/>
    <w:rsid w:val="006937E2"/>
    <w:rsid w:val="00693844"/>
    <w:rsid w:val="00693864"/>
    <w:rsid w:val="00693D01"/>
    <w:rsid w:val="0069416F"/>
    <w:rsid w:val="0069484D"/>
    <w:rsid w:val="00694B9C"/>
    <w:rsid w:val="00694CFE"/>
    <w:rsid w:val="00694D49"/>
    <w:rsid w:val="0069532A"/>
    <w:rsid w:val="0069538D"/>
    <w:rsid w:val="0069540C"/>
    <w:rsid w:val="00695773"/>
    <w:rsid w:val="00695DBE"/>
    <w:rsid w:val="00695E83"/>
    <w:rsid w:val="00695EC0"/>
    <w:rsid w:val="00695ED6"/>
    <w:rsid w:val="00696212"/>
    <w:rsid w:val="0069649E"/>
    <w:rsid w:val="006969F7"/>
    <w:rsid w:val="00696A6F"/>
    <w:rsid w:val="00696D39"/>
    <w:rsid w:val="006971C9"/>
    <w:rsid w:val="00697364"/>
    <w:rsid w:val="00697834"/>
    <w:rsid w:val="006A0421"/>
    <w:rsid w:val="006A08D7"/>
    <w:rsid w:val="006A0B04"/>
    <w:rsid w:val="006A0F61"/>
    <w:rsid w:val="006A12AC"/>
    <w:rsid w:val="006A132A"/>
    <w:rsid w:val="006A152E"/>
    <w:rsid w:val="006A17ED"/>
    <w:rsid w:val="006A1906"/>
    <w:rsid w:val="006A1E89"/>
    <w:rsid w:val="006A2159"/>
    <w:rsid w:val="006A217C"/>
    <w:rsid w:val="006A29D6"/>
    <w:rsid w:val="006A2FEE"/>
    <w:rsid w:val="006A32F7"/>
    <w:rsid w:val="006A37D7"/>
    <w:rsid w:val="006A3A64"/>
    <w:rsid w:val="006A3E00"/>
    <w:rsid w:val="006A420E"/>
    <w:rsid w:val="006A48D8"/>
    <w:rsid w:val="006A497C"/>
    <w:rsid w:val="006A5508"/>
    <w:rsid w:val="006A57B2"/>
    <w:rsid w:val="006A58A5"/>
    <w:rsid w:val="006A5C3C"/>
    <w:rsid w:val="006A5C44"/>
    <w:rsid w:val="006A5E05"/>
    <w:rsid w:val="006A6003"/>
    <w:rsid w:val="006A6A1E"/>
    <w:rsid w:val="006A6A69"/>
    <w:rsid w:val="006A71FC"/>
    <w:rsid w:val="006A73D5"/>
    <w:rsid w:val="006A79C2"/>
    <w:rsid w:val="006A7A4E"/>
    <w:rsid w:val="006A7AAC"/>
    <w:rsid w:val="006A7B57"/>
    <w:rsid w:val="006A7D56"/>
    <w:rsid w:val="006A7E51"/>
    <w:rsid w:val="006B003F"/>
    <w:rsid w:val="006B0483"/>
    <w:rsid w:val="006B0591"/>
    <w:rsid w:val="006B0DD2"/>
    <w:rsid w:val="006B0FD9"/>
    <w:rsid w:val="006B1141"/>
    <w:rsid w:val="006B1294"/>
    <w:rsid w:val="006B14CE"/>
    <w:rsid w:val="006B1784"/>
    <w:rsid w:val="006B1972"/>
    <w:rsid w:val="006B1FD6"/>
    <w:rsid w:val="006B214B"/>
    <w:rsid w:val="006B3077"/>
    <w:rsid w:val="006B3130"/>
    <w:rsid w:val="006B34C2"/>
    <w:rsid w:val="006B35E5"/>
    <w:rsid w:val="006B363E"/>
    <w:rsid w:val="006B36C5"/>
    <w:rsid w:val="006B37A9"/>
    <w:rsid w:val="006B38F8"/>
    <w:rsid w:val="006B3C0B"/>
    <w:rsid w:val="006B3C92"/>
    <w:rsid w:val="006B3EAF"/>
    <w:rsid w:val="006B3F66"/>
    <w:rsid w:val="006B460D"/>
    <w:rsid w:val="006B4992"/>
    <w:rsid w:val="006B4A28"/>
    <w:rsid w:val="006B4BE2"/>
    <w:rsid w:val="006B4CFA"/>
    <w:rsid w:val="006B4D93"/>
    <w:rsid w:val="006B51D4"/>
    <w:rsid w:val="006B5492"/>
    <w:rsid w:val="006B556F"/>
    <w:rsid w:val="006B55F5"/>
    <w:rsid w:val="006B5782"/>
    <w:rsid w:val="006B595D"/>
    <w:rsid w:val="006B5B8C"/>
    <w:rsid w:val="006B5E3B"/>
    <w:rsid w:val="006B624C"/>
    <w:rsid w:val="006B62C7"/>
    <w:rsid w:val="006B6510"/>
    <w:rsid w:val="006B689E"/>
    <w:rsid w:val="006B68F6"/>
    <w:rsid w:val="006B6CA3"/>
    <w:rsid w:val="006B752E"/>
    <w:rsid w:val="006B759A"/>
    <w:rsid w:val="006B7B7C"/>
    <w:rsid w:val="006C0080"/>
    <w:rsid w:val="006C024E"/>
    <w:rsid w:val="006C0988"/>
    <w:rsid w:val="006C0A1E"/>
    <w:rsid w:val="006C0B48"/>
    <w:rsid w:val="006C100E"/>
    <w:rsid w:val="006C121A"/>
    <w:rsid w:val="006C1607"/>
    <w:rsid w:val="006C182A"/>
    <w:rsid w:val="006C19D5"/>
    <w:rsid w:val="006C1CE1"/>
    <w:rsid w:val="006C2115"/>
    <w:rsid w:val="006C2136"/>
    <w:rsid w:val="006C22C7"/>
    <w:rsid w:val="006C24C4"/>
    <w:rsid w:val="006C2CDC"/>
    <w:rsid w:val="006C2D21"/>
    <w:rsid w:val="006C302E"/>
    <w:rsid w:val="006C32D5"/>
    <w:rsid w:val="006C3334"/>
    <w:rsid w:val="006C34AE"/>
    <w:rsid w:val="006C36D7"/>
    <w:rsid w:val="006C39F4"/>
    <w:rsid w:val="006C3C35"/>
    <w:rsid w:val="006C3D9D"/>
    <w:rsid w:val="006C411E"/>
    <w:rsid w:val="006C41EF"/>
    <w:rsid w:val="006C436C"/>
    <w:rsid w:val="006C4444"/>
    <w:rsid w:val="006C452C"/>
    <w:rsid w:val="006C47C0"/>
    <w:rsid w:val="006C495E"/>
    <w:rsid w:val="006C49BD"/>
    <w:rsid w:val="006C4B1B"/>
    <w:rsid w:val="006C4FB5"/>
    <w:rsid w:val="006C50A5"/>
    <w:rsid w:val="006C51BD"/>
    <w:rsid w:val="006C539F"/>
    <w:rsid w:val="006C5883"/>
    <w:rsid w:val="006C58B9"/>
    <w:rsid w:val="006C595F"/>
    <w:rsid w:val="006C5CAA"/>
    <w:rsid w:val="006C6441"/>
    <w:rsid w:val="006C6515"/>
    <w:rsid w:val="006C673D"/>
    <w:rsid w:val="006C6835"/>
    <w:rsid w:val="006C6A50"/>
    <w:rsid w:val="006C6DCF"/>
    <w:rsid w:val="006C6E1C"/>
    <w:rsid w:val="006C6E84"/>
    <w:rsid w:val="006C7014"/>
    <w:rsid w:val="006C7095"/>
    <w:rsid w:val="006C71A1"/>
    <w:rsid w:val="006C7530"/>
    <w:rsid w:val="006C75DB"/>
    <w:rsid w:val="006C799F"/>
    <w:rsid w:val="006C79D8"/>
    <w:rsid w:val="006C7B9A"/>
    <w:rsid w:val="006C7BBC"/>
    <w:rsid w:val="006C7C55"/>
    <w:rsid w:val="006C7F68"/>
    <w:rsid w:val="006D019B"/>
    <w:rsid w:val="006D0448"/>
    <w:rsid w:val="006D04BA"/>
    <w:rsid w:val="006D0885"/>
    <w:rsid w:val="006D0B2A"/>
    <w:rsid w:val="006D108C"/>
    <w:rsid w:val="006D16E5"/>
    <w:rsid w:val="006D23A0"/>
    <w:rsid w:val="006D25AE"/>
    <w:rsid w:val="006D26CF"/>
    <w:rsid w:val="006D26ED"/>
    <w:rsid w:val="006D275A"/>
    <w:rsid w:val="006D2814"/>
    <w:rsid w:val="006D2854"/>
    <w:rsid w:val="006D2998"/>
    <w:rsid w:val="006D29CE"/>
    <w:rsid w:val="006D2B3B"/>
    <w:rsid w:val="006D2D6C"/>
    <w:rsid w:val="006D2E71"/>
    <w:rsid w:val="006D365E"/>
    <w:rsid w:val="006D367D"/>
    <w:rsid w:val="006D37F2"/>
    <w:rsid w:val="006D3833"/>
    <w:rsid w:val="006D3C85"/>
    <w:rsid w:val="006D3FBF"/>
    <w:rsid w:val="006D42A6"/>
    <w:rsid w:val="006D4721"/>
    <w:rsid w:val="006D47BF"/>
    <w:rsid w:val="006D484A"/>
    <w:rsid w:val="006D4C4F"/>
    <w:rsid w:val="006D510F"/>
    <w:rsid w:val="006D5140"/>
    <w:rsid w:val="006D534D"/>
    <w:rsid w:val="006D55C8"/>
    <w:rsid w:val="006D572A"/>
    <w:rsid w:val="006D5A56"/>
    <w:rsid w:val="006D5A5E"/>
    <w:rsid w:val="006D61E6"/>
    <w:rsid w:val="006D6311"/>
    <w:rsid w:val="006D6800"/>
    <w:rsid w:val="006D6DA1"/>
    <w:rsid w:val="006D6DAE"/>
    <w:rsid w:val="006D6E49"/>
    <w:rsid w:val="006D709D"/>
    <w:rsid w:val="006D723C"/>
    <w:rsid w:val="006D72D5"/>
    <w:rsid w:val="006D731F"/>
    <w:rsid w:val="006D74F5"/>
    <w:rsid w:val="006D7686"/>
    <w:rsid w:val="006D7865"/>
    <w:rsid w:val="006D7FC6"/>
    <w:rsid w:val="006E00C1"/>
    <w:rsid w:val="006E02F9"/>
    <w:rsid w:val="006E0498"/>
    <w:rsid w:val="006E052B"/>
    <w:rsid w:val="006E07E7"/>
    <w:rsid w:val="006E0840"/>
    <w:rsid w:val="006E0AAB"/>
    <w:rsid w:val="006E0DD7"/>
    <w:rsid w:val="006E0ECB"/>
    <w:rsid w:val="006E109D"/>
    <w:rsid w:val="006E1188"/>
    <w:rsid w:val="006E1288"/>
    <w:rsid w:val="006E1373"/>
    <w:rsid w:val="006E1895"/>
    <w:rsid w:val="006E1984"/>
    <w:rsid w:val="006E1DD0"/>
    <w:rsid w:val="006E20EA"/>
    <w:rsid w:val="006E247D"/>
    <w:rsid w:val="006E2747"/>
    <w:rsid w:val="006E2A66"/>
    <w:rsid w:val="006E2C33"/>
    <w:rsid w:val="006E2F91"/>
    <w:rsid w:val="006E31B6"/>
    <w:rsid w:val="006E3244"/>
    <w:rsid w:val="006E3797"/>
    <w:rsid w:val="006E3B5F"/>
    <w:rsid w:val="006E3CA9"/>
    <w:rsid w:val="006E3F0C"/>
    <w:rsid w:val="006E4259"/>
    <w:rsid w:val="006E450C"/>
    <w:rsid w:val="006E4789"/>
    <w:rsid w:val="006E4E94"/>
    <w:rsid w:val="006E4F24"/>
    <w:rsid w:val="006E503E"/>
    <w:rsid w:val="006E51EE"/>
    <w:rsid w:val="006E5348"/>
    <w:rsid w:val="006E5CA9"/>
    <w:rsid w:val="006E5CC4"/>
    <w:rsid w:val="006E5DF7"/>
    <w:rsid w:val="006E6404"/>
    <w:rsid w:val="006E645D"/>
    <w:rsid w:val="006E66B4"/>
    <w:rsid w:val="006E68A0"/>
    <w:rsid w:val="006E6B96"/>
    <w:rsid w:val="006E6C28"/>
    <w:rsid w:val="006E6C2E"/>
    <w:rsid w:val="006E6DC3"/>
    <w:rsid w:val="006E70B1"/>
    <w:rsid w:val="006E71C1"/>
    <w:rsid w:val="006E737C"/>
    <w:rsid w:val="006E7B03"/>
    <w:rsid w:val="006E7B5C"/>
    <w:rsid w:val="006E7C2F"/>
    <w:rsid w:val="006F0097"/>
    <w:rsid w:val="006F01B2"/>
    <w:rsid w:val="006F05EE"/>
    <w:rsid w:val="006F0967"/>
    <w:rsid w:val="006F16A4"/>
    <w:rsid w:val="006F174E"/>
    <w:rsid w:val="006F1B08"/>
    <w:rsid w:val="006F1E51"/>
    <w:rsid w:val="006F2371"/>
    <w:rsid w:val="006F289D"/>
    <w:rsid w:val="006F2B70"/>
    <w:rsid w:val="006F2C01"/>
    <w:rsid w:val="006F2CAE"/>
    <w:rsid w:val="006F2EAC"/>
    <w:rsid w:val="006F32AD"/>
    <w:rsid w:val="006F32E3"/>
    <w:rsid w:val="006F33D7"/>
    <w:rsid w:val="006F34F8"/>
    <w:rsid w:val="006F35B3"/>
    <w:rsid w:val="006F3779"/>
    <w:rsid w:val="006F3985"/>
    <w:rsid w:val="006F3BAA"/>
    <w:rsid w:val="006F3E1E"/>
    <w:rsid w:val="006F3F5D"/>
    <w:rsid w:val="006F43A3"/>
    <w:rsid w:val="006F45D1"/>
    <w:rsid w:val="006F4978"/>
    <w:rsid w:val="006F4B50"/>
    <w:rsid w:val="006F4BD2"/>
    <w:rsid w:val="006F5055"/>
    <w:rsid w:val="006F51B1"/>
    <w:rsid w:val="006F578C"/>
    <w:rsid w:val="006F59AD"/>
    <w:rsid w:val="006F5EB1"/>
    <w:rsid w:val="006F5F3A"/>
    <w:rsid w:val="006F60C9"/>
    <w:rsid w:val="006F6CB9"/>
    <w:rsid w:val="006F6CD3"/>
    <w:rsid w:val="006F6D44"/>
    <w:rsid w:val="006F6DBD"/>
    <w:rsid w:val="006F7081"/>
    <w:rsid w:val="006F7284"/>
    <w:rsid w:val="006F7A66"/>
    <w:rsid w:val="006F7C76"/>
    <w:rsid w:val="006F7D07"/>
    <w:rsid w:val="00700798"/>
    <w:rsid w:val="00700D2A"/>
    <w:rsid w:val="0070116A"/>
    <w:rsid w:val="0070128D"/>
    <w:rsid w:val="007013E0"/>
    <w:rsid w:val="0070141C"/>
    <w:rsid w:val="00701A8F"/>
    <w:rsid w:val="00701AA5"/>
    <w:rsid w:val="00701D2B"/>
    <w:rsid w:val="007025F9"/>
    <w:rsid w:val="00702861"/>
    <w:rsid w:val="00702A23"/>
    <w:rsid w:val="00702C0A"/>
    <w:rsid w:val="00702C86"/>
    <w:rsid w:val="00702CDE"/>
    <w:rsid w:val="00702D68"/>
    <w:rsid w:val="00703446"/>
    <w:rsid w:val="00703559"/>
    <w:rsid w:val="00703672"/>
    <w:rsid w:val="00703B07"/>
    <w:rsid w:val="007041EB"/>
    <w:rsid w:val="007043F6"/>
    <w:rsid w:val="007044E0"/>
    <w:rsid w:val="00704561"/>
    <w:rsid w:val="0070460E"/>
    <w:rsid w:val="007048E7"/>
    <w:rsid w:val="00704B55"/>
    <w:rsid w:val="00705406"/>
    <w:rsid w:val="007055CD"/>
    <w:rsid w:val="0070589C"/>
    <w:rsid w:val="00705998"/>
    <w:rsid w:val="00705BA1"/>
    <w:rsid w:val="00705E96"/>
    <w:rsid w:val="00705F8D"/>
    <w:rsid w:val="0070610D"/>
    <w:rsid w:val="00706156"/>
    <w:rsid w:val="0070618F"/>
    <w:rsid w:val="00706556"/>
    <w:rsid w:val="007067D7"/>
    <w:rsid w:val="00706C6D"/>
    <w:rsid w:val="00707388"/>
    <w:rsid w:val="007074FA"/>
    <w:rsid w:val="00707527"/>
    <w:rsid w:val="00707663"/>
    <w:rsid w:val="0070796C"/>
    <w:rsid w:val="007105CD"/>
    <w:rsid w:val="00710A2E"/>
    <w:rsid w:val="007110FC"/>
    <w:rsid w:val="00711114"/>
    <w:rsid w:val="0071193D"/>
    <w:rsid w:val="007119C0"/>
    <w:rsid w:val="00711F49"/>
    <w:rsid w:val="0071242E"/>
    <w:rsid w:val="00712569"/>
    <w:rsid w:val="007126D2"/>
    <w:rsid w:val="0071290E"/>
    <w:rsid w:val="00712CD0"/>
    <w:rsid w:val="00712D25"/>
    <w:rsid w:val="00712E27"/>
    <w:rsid w:val="00712F7F"/>
    <w:rsid w:val="007132B9"/>
    <w:rsid w:val="0071354D"/>
    <w:rsid w:val="007135FC"/>
    <w:rsid w:val="0071370F"/>
    <w:rsid w:val="0071380B"/>
    <w:rsid w:val="00713948"/>
    <w:rsid w:val="0071434A"/>
    <w:rsid w:val="00714429"/>
    <w:rsid w:val="00714856"/>
    <w:rsid w:val="00715231"/>
    <w:rsid w:val="00715344"/>
    <w:rsid w:val="007155E5"/>
    <w:rsid w:val="0071637D"/>
    <w:rsid w:val="007165CB"/>
    <w:rsid w:val="007166AB"/>
    <w:rsid w:val="00716852"/>
    <w:rsid w:val="00716977"/>
    <w:rsid w:val="00716D45"/>
    <w:rsid w:val="00717369"/>
    <w:rsid w:val="007176BB"/>
    <w:rsid w:val="007177C5"/>
    <w:rsid w:val="00717A5C"/>
    <w:rsid w:val="00717EBD"/>
    <w:rsid w:val="00717F5E"/>
    <w:rsid w:val="0072016A"/>
    <w:rsid w:val="0072027E"/>
    <w:rsid w:val="007202E5"/>
    <w:rsid w:val="007203F9"/>
    <w:rsid w:val="007208B9"/>
    <w:rsid w:val="00720A91"/>
    <w:rsid w:val="00720DCD"/>
    <w:rsid w:val="00720DD4"/>
    <w:rsid w:val="0072117E"/>
    <w:rsid w:val="007216DC"/>
    <w:rsid w:val="00721ABF"/>
    <w:rsid w:val="00721C40"/>
    <w:rsid w:val="00721D43"/>
    <w:rsid w:val="00721D8A"/>
    <w:rsid w:val="00721F49"/>
    <w:rsid w:val="00721FF0"/>
    <w:rsid w:val="0072248E"/>
    <w:rsid w:val="00722B15"/>
    <w:rsid w:val="00722C34"/>
    <w:rsid w:val="00722D2D"/>
    <w:rsid w:val="00722EEC"/>
    <w:rsid w:val="00723171"/>
    <w:rsid w:val="007232C0"/>
    <w:rsid w:val="0072337C"/>
    <w:rsid w:val="0072350D"/>
    <w:rsid w:val="00723895"/>
    <w:rsid w:val="00723BA6"/>
    <w:rsid w:val="00723BB9"/>
    <w:rsid w:val="00723EC0"/>
    <w:rsid w:val="007242FF"/>
    <w:rsid w:val="00724856"/>
    <w:rsid w:val="00724896"/>
    <w:rsid w:val="00724B10"/>
    <w:rsid w:val="00724B90"/>
    <w:rsid w:val="00724ED6"/>
    <w:rsid w:val="00725170"/>
    <w:rsid w:val="00725784"/>
    <w:rsid w:val="00725ACC"/>
    <w:rsid w:val="00725CB8"/>
    <w:rsid w:val="00725D5A"/>
    <w:rsid w:val="00725EF9"/>
    <w:rsid w:val="00725F05"/>
    <w:rsid w:val="007262C3"/>
    <w:rsid w:val="00726B0F"/>
    <w:rsid w:val="00726E2E"/>
    <w:rsid w:val="007270A5"/>
    <w:rsid w:val="00727617"/>
    <w:rsid w:val="007279FD"/>
    <w:rsid w:val="00727A8C"/>
    <w:rsid w:val="007301D1"/>
    <w:rsid w:val="00730206"/>
    <w:rsid w:val="0073094A"/>
    <w:rsid w:val="00730C14"/>
    <w:rsid w:val="00730D4F"/>
    <w:rsid w:val="00731B10"/>
    <w:rsid w:val="00731D5D"/>
    <w:rsid w:val="007320D1"/>
    <w:rsid w:val="00732331"/>
    <w:rsid w:val="007323D9"/>
    <w:rsid w:val="00732B19"/>
    <w:rsid w:val="00732D44"/>
    <w:rsid w:val="00732FD5"/>
    <w:rsid w:val="00732FFC"/>
    <w:rsid w:val="007335CB"/>
    <w:rsid w:val="00733645"/>
    <w:rsid w:val="00733777"/>
    <w:rsid w:val="00733C45"/>
    <w:rsid w:val="00733D92"/>
    <w:rsid w:val="00733F6A"/>
    <w:rsid w:val="00733FB2"/>
    <w:rsid w:val="0073413E"/>
    <w:rsid w:val="007341B6"/>
    <w:rsid w:val="00734228"/>
    <w:rsid w:val="00734346"/>
    <w:rsid w:val="00734580"/>
    <w:rsid w:val="007345CF"/>
    <w:rsid w:val="00734681"/>
    <w:rsid w:val="00734C5E"/>
    <w:rsid w:val="0073570D"/>
    <w:rsid w:val="007357CD"/>
    <w:rsid w:val="007358B4"/>
    <w:rsid w:val="007359E0"/>
    <w:rsid w:val="00735B3A"/>
    <w:rsid w:val="00735C5B"/>
    <w:rsid w:val="00735E75"/>
    <w:rsid w:val="00735EC2"/>
    <w:rsid w:val="00736207"/>
    <w:rsid w:val="0073620B"/>
    <w:rsid w:val="00736221"/>
    <w:rsid w:val="00736481"/>
    <w:rsid w:val="007366DA"/>
    <w:rsid w:val="00736E56"/>
    <w:rsid w:val="007370E7"/>
    <w:rsid w:val="0073740A"/>
    <w:rsid w:val="007375CF"/>
    <w:rsid w:val="007378B9"/>
    <w:rsid w:val="007379A2"/>
    <w:rsid w:val="00737A9E"/>
    <w:rsid w:val="00740060"/>
    <w:rsid w:val="00740253"/>
    <w:rsid w:val="007402B7"/>
    <w:rsid w:val="007402C7"/>
    <w:rsid w:val="007405CD"/>
    <w:rsid w:val="007409E9"/>
    <w:rsid w:val="00740F26"/>
    <w:rsid w:val="00740FBE"/>
    <w:rsid w:val="00741015"/>
    <w:rsid w:val="00741144"/>
    <w:rsid w:val="007412EC"/>
    <w:rsid w:val="0074139C"/>
    <w:rsid w:val="007414D4"/>
    <w:rsid w:val="0074170B"/>
    <w:rsid w:val="00741A61"/>
    <w:rsid w:val="007421D3"/>
    <w:rsid w:val="00742511"/>
    <w:rsid w:val="00742A6A"/>
    <w:rsid w:val="00743255"/>
    <w:rsid w:val="0074360B"/>
    <w:rsid w:val="007436AF"/>
    <w:rsid w:val="00743DDE"/>
    <w:rsid w:val="0074459D"/>
    <w:rsid w:val="007445C3"/>
    <w:rsid w:val="00744B85"/>
    <w:rsid w:val="00744F0E"/>
    <w:rsid w:val="00744FD6"/>
    <w:rsid w:val="00745107"/>
    <w:rsid w:val="007451E2"/>
    <w:rsid w:val="00745272"/>
    <w:rsid w:val="00745371"/>
    <w:rsid w:val="007453BE"/>
    <w:rsid w:val="007457BF"/>
    <w:rsid w:val="007458F3"/>
    <w:rsid w:val="00745925"/>
    <w:rsid w:val="00745F09"/>
    <w:rsid w:val="007462E7"/>
    <w:rsid w:val="0074635C"/>
    <w:rsid w:val="007469BA"/>
    <w:rsid w:val="00746C6D"/>
    <w:rsid w:val="00746EF9"/>
    <w:rsid w:val="007470DA"/>
    <w:rsid w:val="00747572"/>
    <w:rsid w:val="00747D1F"/>
    <w:rsid w:val="00747F3A"/>
    <w:rsid w:val="00750018"/>
    <w:rsid w:val="007502BE"/>
    <w:rsid w:val="00750557"/>
    <w:rsid w:val="00750885"/>
    <w:rsid w:val="00750A2C"/>
    <w:rsid w:val="00750FC9"/>
    <w:rsid w:val="00751346"/>
    <w:rsid w:val="00751467"/>
    <w:rsid w:val="00751C63"/>
    <w:rsid w:val="00752134"/>
    <w:rsid w:val="007524A7"/>
    <w:rsid w:val="00752768"/>
    <w:rsid w:val="007527A3"/>
    <w:rsid w:val="00752A2F"/>
    <w:rsid w:val="00752C8D"/>
    <w:rsid w:val="00752D27"/>
    <w:rsid w:val="00752E05"/>
    <w:rsid w:val="00752E2B"/>
    <w:rsid w:val="00752FB3"/>
    <w:rsid w:val="0075336E"/>
    <w:rsid w:val="007535EC"/>
    <w:rsid w:val="00753747"/>
    <w:rsid w:val="0075375E"/>
    <w:rsid w:val="007539A0"/>
    <w:rsid w:val="00753DAC"/>
    <w:rsid w:val="007541D9"/>
    <w:rsid w:val="007542E6"/>
    <w:rsid w:val="00754E0C"/>
    <w:rsid w:val="00754EAB"/>
    <w:rsid w:val="00754FD8"/>
    <w:rsid w:val="007550A1"/>
    <w:rsid w:val="00755294"/>
    <w:rsid w:val="00755BEC"/>
    <w:rsid w:val="00755DD8"/>
    <w:rsid w:val="00756301"/>
    <w:rsid w:val="007564D4"/>
    <w:rsid w:val="007565CA"/>
    <w:rsid w:val="00756897"/>
    <w:rsid w:val="007568F9"/>
    <w:rsid w:val="00756A88"/>
    <w:rsid w:val="00756A91"/>
    <w:rsid w:val="00756B69"/>
    <w:rsid w:val="00756CCA"/>
    <w:rsid w:val="00756DCD"/>
    <w:rsid w:val="007571C2"/>
    <w:rsid w:val="0075737B"/>
    <w:rsid w:val="00760079"/>
    <w:rsid w:val="0076007D"/>
    <w:rsid w:val="00760673"/>
    <w:rsid w:val="00760A02"/>
    <w:rsid w:val="00760BEB"/>
    <w:rsid w:val="00760CEC"/>
    <w:rsid w:val="00760CF4"/>
    <w:rsid w:val="00761521"/>
    <w:rsid w:val="007619F8"/>
    <w:rsid w:val="00761D4C"/>
    <w:rsid w:val="00761E1D"/>
    <w:rsid w:val="00762147"/>
    <w:rsid w:val="0076242D"/>
    <w:rsid w:val="0076245A"/>
    <w:rsid w:val="0076257C"/>
    <w:rsid w:val="007629B4"/>
    <w:rsid w:val="00762A03"/>
    <w:rsid w:val="00762D41"/>
    <w:rsid w:val="00762EBC"/>
    <w:rsid w:val="00762F66"/>
    <w:rsid w:val="007631B0"/>
    <w:rsid w:val="00763353"/>
    <w:rsid w:val="007637E0"/>
    <w:rsid w:val="007638B2"/>
    <w:rsid w:val="0076397A"/>
    <w:rsid w:val="00763AA6"/>
    <w:rsid w:val="0076452F"/>
    <w:rsid w:val="00764A0C"/>
    <w:rsid w:val="00764BA9"/>
    <w:rsid w:val="00764D06"/>
    <w:rsid w:val="00765163"/>
    <w:rsid w:val="00765933"/>
    <w:rsid w:val="00765AB7"/>
    <w:rsid w:val="00765B36"/>
    <w:rsid w:val="00765BA5"/>
    <w:rsid w:val="00765CF7"/>
    <w:rsid w:val="00765FA7"/>
    <w:rsid w:val="0076611F"/>
    <w:rsid w:val="007662A0"/>
    <w:rsid w:val="00766333"/>
    <w:rsid w:val="00766386"/>
    <w:rsid w:val="007663E9"/>
    <w:rsid w:val="007665E2"/>
    <w:rsid w:val="007669A3"/>
    <w:rsid w:val="00766A90"/>
    <w:rsid w:val="00766F08"/>
    <w:rsid w:val="00766FEE"/>
    <w:rsid w:val="007670BF"/>
    <w:rsid w:val="007671EF"/>
    <w:rsid w:val="0076748F"/>
    <w:rsid w:val="007677D7"/>
    <w:rsid w:val="007678A0"/>
    <w:rsid w:val="0076790B"/>
    <w:rsid w:val="00767A48"/>
    <w:rsid w:val="00767D06"/>
    <w:rsid w:val="00767E6C"/>
    <w:rsid w:val="00767FAB"/>
    <w:rsid w:val="00770100"/>
    <w:rsid w:val="007703E0"/>
    <w:rsid w:val="007707B3"/>
    <w:rsid w:val="0077082D"/>
    <w:rsid w:val="00771027"/>
    <w:rsid w:val="00771A1F"/>
    <w:rsid w:val="00771B1D"/>
    <w:rsid w:val="00771D9D"/>
    <w:rsid w:val="00771E64"/>
    <w:rsid w:val="0077202A"/>
    <w:rsid w:val="007721AC"/>
    <w:rsid w:val="0077221C"/>
    <w:rsid w:val="00772337"/>
    <w:rsid w:val="007723AE"/>
    <w:rsid w:val="00772C2C"/>
    <w:rsid w:val="007735CF"/>
    <w:rsid w:val="00773705"/>
    <w:rsid w:val="0077375F"/>
    <w:rsid w:val="00773AB2"/>
    <w:rsid w:val="00773B25"/>
    <w:rsid w:val="00773BBD"/>
    <w:rsid w:val="00773D3F"/>
    <w:rsid w:val="00773E4B"/>
    <w:rsid w:val="00773E61"/>
    <w:rsid w:val="0077401A"/>
    <w:rsid w:val="007741D4"/>
    <w:rsid w:val="007741F3"/>
    <w:rsid w:val="00774333"/>
    <w:rsid w:val="00774723"/>
    <w:rsid w:val="007749BF"/>
    <w:rsid w:val="007749FE"/>
    <w:rsid w:val="00774C82"/>
    <w:rsid w:val="00774F48"/>
    <w:rsid w:val="00774FB3"/>
    <w:rsid w:val="00775026"/>
    <w:rsid w:val="007755B1"/>
    <w:rsid w:val="007756DE"/>
    <w:rsid w:val="00775FC7"/>
    <w:rsid w:val="0077698C"/>
    <w:rsid w:val="00776CC5"/>
    <w:rsid w:val="00776F85"/>
    <w:rsid w:val="00777295"/>
    <w:rsid w:val="00777360"/>
    <w:rsid w:val="007773D1"/>
    <w:rsid w:val="007774C2"/>
    <w:rsid w:val="007774FA"/>
    <w:rsid w:val="0077792B"/>
    <w:rsid w:val="0077794B"/>
    <w:rsid w:val="00777FBD"/>
    <w:rsid w:val="007804F5"/>
    <w:rsid w:val="00780622"/>
    <w:rsid w:val="00780645"/>
    <w:rsid w:val="007809D2"/>
    <w:rsid w:val="00780E3F"/>
    <w:rsid w:val="0078115E"/>
    <w:rsid w:val="007813EC"/>
    <w:rsid w:val="0078199C"/>
    <w:rsid w:val="007819CF"/>
    <w:rsid w:val="00781A9E"/>
    <w:rsid w:val="00781B24"/>
    <w:rsid w:val="00781D8C"/>
    <w:rsid w:val="00782828"/>
    <w:rsid w:val="007829D9"/>
    <w:rsid w:val="00782A03"/>
    <w:rsid w:val="00782A35"/>
    <w:rsid w:val="00782EB3"/>
    <w:rsid w:val="00783342"/>
    <w:rsid w:val="00783519"/>
    <w:rsid w:val="007837F5"/>
    <w:rsid w:val="0078387D"/>
    <w:rsid w:val="0078398A"/>
    <w:rsid w:val="007839FF"/>
    <w:rsid w:val="00783CEE"/>
    <w:rsid w:val="00783D87"/>
    <w:rsid w:val="00784044"/>
    <w:rsid w:val="00784294"/>
    <w:rsid w:val="00784570"/>
    <w:rsid w:val="00784720"/>
    <w:rsid w:val="00784895"/>
    <w:rsid w:val="0078489F"/>
    <w:rsid w:val="0078494F"/>
    <w:rsid w:val="00784A6A"/>
    <w:rsid w:val="00784BB5"/>
    <w:rsid w:val="00784D32"/>
    <w:rsid w:val="00784EDD"/>
    <w:rsid w:val="007854CF"/>
    <w:rsid w:val="00785965"/>
    <w:rsid w:val="00785D2B"/>
    <w:rsid w:val="00786239"/>
    <w:rsid w:val="00786A21"/>
    <w:rsid w:val="00786BD4"/>
    <w:rsid w:val="00786C4C"/>
    <w:rsid w:val="00786C72"/>
    <w:rsid w:val="00786E16"/>
    <w:rsid w:val="007872E6"/>
    <w:rsid w:val="0078775B"/>
    <w:rsid w:val="0078786A"/>
    <w:rsid w:val="00787A4D"/>
    <w:rsid w:val="00787A9C"/>
    <w:rsid w:val="00790879"/>
    <w:rsid w:val="007908E5"/>
    <w:rsid w:val="00790BF4"/>
    <w:rsid w:val="00790D55"/>
    <w:rsid w:val="00790E79"/>
    <w:rsid w:val="007911CF"/>
    <w:rsid w:val="007912ED"/>
    <w:rsid w:val="007913B3"/>
    <w:rsid w:val="007914A8"/>
    <w:rsid w:val="007916C9"/>
    <w:rsid w:val="007917C9"/>
    <w:rsid w:val="00791857"/>
    <w:rsid w:val="00791A5E"/>
    <w:rsid w:val="00791BD6"/>
    <w:rsid w:val="00791C3A"/>
    <w:rsid w:val="007920CB"/>
    <w:rsid w:val="0079220C"/>
    <w:rsid w:val="00792245"/>
    <w:rsid w:val="0079269D"/>
    <w:rsid w:val="00792A3C"/>
    <w:rsid w:val="00792A7F"/>
    <w:rsid w:val="00792BC4"/>
    <w:rsid w:val="007933C5"/>
    <w:rsid w:val="00793A5D"/>
    <w:rsid w:val="007943A8"/>
    <w:rsid w:val="00795CA8"/>
    <w:rsid w:val="00795D8A"/>
    <w:rsid w:val="00796009"/>
    <w:rsid w:val="00796435"/>
    <w:rsid w:val="00796868"/>
    <w:rsid w:val="007969A5"/>
    <w:rsid w:val="00796AF8"/>
    <w:rsid w:val="00796B3B"/>
    <w:rsid w:val="00796BB7"/>
    <w:rsid w:val="00796CBD"/>
    <w:rsid w:val="0079714F"/>
    <w:rsid w:val="007971D0"/>
    <w:rsid w:val="0079724E"/>
    <w:rsid w:val="0079746A"/>
    <w:rsid w:val="00797473"/>
    <w:rsid w:val="007977A6"/>
    <w:rsid w:val="00797E03"/>
    <w:rsid w:val="00797E4B"/>
    <w:rsid w:val="007A00D2"/>
    <w:rsid w:val="007A0698"/>
    <w:rsid w:val="007A085E"/>
    <w:rsid w:val="007A0B9C"/>
    <w:rsid w:val="007A0CE9"/>
    <w:rsid w:val="007A1193"/>
    <w:rsid w:val="007A19CB"/>
    <w:rsid w:val="007A1C06"/>
    <w:rsid w:val="007A24AD"/>
    <w:rsid w:val="007A26EA"/>
    <w:rsid w:val="007A2AE4"/>
    <w:rsid w:val="007A303B"/>
    <w:rsid w:val="007A3215"/>
    <w:rsid w:val="007A363A"/>
    <w:rsid w:val="007A381D"/>
    <w:rsid w:val="007A3ACF"/>
    <w:rsid w:val="007A3B85"/>
    <w:rsid w:val="007A3C3C"/>
    <w:rsid w:val="007A3D1E"/>
    <w:rsid w:val="007A3E73"/>
    <w:rsid w:val="007A3EE9"/>
    <w:rsid w:val="007A3EFA"/>
    <w:rsid w:val="007A427F"/>
    <w:rsid w:val="007A4518"/>
    <w:rsid w:val="007A47B7"/>
    <w:rsid w:val="007A484B"/>
    <w:rsid w:val="007A49DF"/>
    <w:rsid w:val="007A4E4E"/>
    <w:rsid w:val="007A502B"/>
    <w:rsid w:val="007A5051"/>
    <w:rsid w:val="007A55B0"/>
    <w:rsid w:val="007A5BFC"/>
    <w:rsid w:val="007A5CF8"/>
    <w:rsid w:val="007A5D13"/>
    <w:rsid w:val="007A5E58"/>
    <w:rsid w:val="007A5F67"/>
    <w:rsid w:val="007A69F4"/>
    <w:rsid w:val="007A6C2B"/>
    <w:rsid w:val="007A6CE0"/>
    <w:rsid w:val="007A6F3C"/>
    <w:rsid w:val="007A6FCF"/>
    <w:rsid w:val="007A71FD"/>
    <w:rsid w:val="007A7758"/>
    <w:rsid w:val="007A7BF5"/>
    <w:rsid w:val="007A7EE5"/>
    <w:rsid w:val="007B01C2"/>
    <w:rsid w:val="007B0215"/>
    <w:rsid w:val="007B038C"/>
    <w:rsid w:val="007B07F7"/>
    <w:rsid w:val="007B095D"/>
    <w:rsid w:val="007B0AB6"/>
    <w:rsid w:val="007B0DCA"/>
    <w:rsid w:val="007B0E0D"/>
    <w:rsid w:val="007B121D"/>
    <w:rsid w:val="007B1418"/>
    <w:rsid w:val="007B1AC0"/>
    <w:rsid w:val="007B1CA7"/>
    <w:rsid w:val="007B1D80"/>
    <w:rsid w:val="007B2039"/>
    <w:rsid w:val="007B2080"/>
    <w:rsid w:val="007B20CB"/>
    <w:rsid w:val="007B2652"/>
    <w:rsid w:val="007B2686"/>
    <w:rsid w:val="007B27BD"/>
    <w:rsid w:val="007B29DE"/>
    <w:rsid w:val="007B2B05"/>
    <w:rsid w:val="007B2CF6"/>
    <w:rsid w:val="007B2F1E"/>
    <w:rsid w:val="007B31E7"/>
    <w:rsid w:val="007B3304"/>
    <w:rsid w:val="007B3434"/>
    <w:rsid w:val="007B37A9"/>
    <w:rsid w:val="007B3AC4"/>
    <w:rsid w:val="007B3C49"/>
    <w:rsid w:val="007B424B"/>
    <w:rsid w:val="007B4270"/>
    <w:rsid w:val="007B453D"/>
    <w:rsid w:val="007B4988"/>
    <w:rsid w:val="007B4B50"/>
    <w:rsid w:val="007B4CAB"/>
    <w:rsid w:val="007B4CC2"/>
    <w:rsid w:val="007B4E07"/>
    <w:rsid w:val="007B5355"/>
    <w:rsid w:val="007B53B9"/>
    <w:rsid w:val="007B5795"/>
    <w:rsid w:val="007B5B55"/>
    <w:rsid w:val="007B5CF8"/>
    <w:rsid w:val="007B61CB"/>
    <w:rsid w:val="007B61EF"/>
    <w:rsid w:val="007B6363"/>
    <w:rsid w:val="007B6505"/>
    <w:rsid w:val="007B6743"/>
    <w:rsid w:val="007B6A39"/>
    <w:rsid w:val="007B6B6C"/>
    <w:rsid w:val="007B6EED"/>
    <w:rsid w:val="007B7277"/>
    <w:rsid w:val="007B7397"/>
    <w:rsid w:val="007B788C"/>
    <w:rsid w:val="007B7BCB"/>
    <w:rsid w:val="007B7ED2"/>
    <w:rsid w:val="007C03AE"/>
    <w:rsid w:val="007C0BD5"/>
    <w:rsid w:val="007C0C27"/>
    <w:rsid w:val="007C149C"/>
    <w:rsid w:val="007C14F7"/>
    <w:rsid w:val="007C1518"/>
    <w:rsid w:val="007C1698"/>
    <w:rsid w:val="007C16D9"/>
    <w:rsid w:val="007C175C"/>
    <w:rsid w:val="007C17CB"/>
    <w:rsid w:val="007C1868"/>
    <w:rsid w:val="007C195C"/>
    <w:rsid w:val="007C1CAA"/>
    <w:rsid w:val="007C23C2"/>
    <w:rsid w:val="007C24D7"/>
    <w:rsid w:val="007C271F"/>
    <w:rsid w:val="007C2846"/>
    <w:rsid w:val="007C28C3"/>
    <w:rsid w:val="007C2C2C"/>
    <w:rsid w:val="007C2EAC"/>
    <w:rsid w:val="007C3059"/>
    <w:rsid w:val="007C310C"/>
    <w:rsid w:val="007C3345"/>
    <w:rsid w:val="007C3554"/>
    <w:rsid w:val="007C3588"/>
    <w:rsid w:val="007C39A7"/>
    <w:rsid w:val="007C39EE"/>
    <w:rsid w:val="007C3AB6"/>
    <w:rsid w:val="007C3B06"/>
    <w:rsid w:val="007C3B0F"/>
    <w:rsid w:val="007C3B36"/>
    <w:rsid w:val="007C3BA5"/>
    <w:rsid w:val="007C3BC4"/>
    <w:rsid w:val="007C3D1D"/>
    <w:rsid w:val="007C3EF6"/>
    <w:rsid w:val="007C42BE"/>
    <w:rsid w:val="007C43AB"/>
    <w:rsid w:val="007C4469"/>
    <w:rsid w:val="007C4816"/>
    <w:rsid w:val="007C4BCB"/>
    <w:rsid w:val="007C4DC8"/>
    <w:rsid w:val="007C4E5E"/>
    <w:rsid w:val="007C4E61"/>
    <w:rsid w:val="007C4E62"/>
    <w:rsid w:val="007C50CC"/>
    <w:rsid w:val="007C54F8"/>
    <w:rsid w:val="007C555B"/>
    <w:rsid w:val="007C57C5"/>
    <w:rsid w:val="007C5BC2"/>
    <w:rsid w:val="007C5DB5"/>
    <w:rsid w:val="007C6064"/>
    <w:rsid w:val="007C6102"/>
    <w:rsid w:val="007C6700"/>
    <w:rsid w:val="007C6788"/>
    <w:rsid w:val="007C6807"/>
    <w:rsid w:val="007C68D0"/>
    <w:rsid w:val="007C7046"/>
    <w:rsid w:val="007C7185"/>
    <w:rsid w:val="007C71D4"/>
    <w:rsid w:val="007C740D"/>
    <w:rsid w:val="007C7699"/>
    <w:rsid w:val="007C7F49"/>
    <w:rsid w:val="007D00CB"/>
    <w:rsid w:val="007D0143"/>
    <w:rsid w:val="007D04BD"/>
    <w:rsid w:val="007D04D7"/>
    <w:rsid w:val="007D0892"/>
    <w:rsid w:val="007D0A6E"/>
    <w:rsid w:val="007D0FF4"/>
    <w:rsid w:val="007D1463"/>
    <w:rsid w:val="007D1AB5"/>
    <w:rsid w:val="007D1B3A"/>
    <w:rsid w:val="007D1ECD"/>
    <w:rsid w:val="007D1F1B"/>
    <w:rsid w:val="007D2000"/>
    <w:rsid w:val="007D2281"/>
    <w:rsid w:val="007D2F0E"/>
    <w:rsid w:val="007D2FB0"/>
    <w:rsid w:val="007D33A6"/>
    <w:rsid w:val="007D33EE"/>
    <w:rsid w:val="007D3452"/>
    <w:rsid w:val="007D35B3"/>
    <w:rsid w:val="007D3678"/>
    <w:rsid w:val="007D3978"/>
    <w:rsid w:val="007D39B8"/>
    <w:rsid w:val="007D3A2C"/>
    <w:rsid w:val="007D3AAF"/>
    <w:rsid w:val="007D3B20"/>
    <w:rsid w:val="007D3FF9"/>
    <w:rsid w:val="007D40F4"/>
    <w:rsid w:val="007D45AC"/>
    <w:rsid w:val="007D45E6"/>
    <w:rsid w:val="007D48D9"/>
    <w:rsid w:val="007D4BF8"/>
    <w:rsid w:val="007D4DB7"/>
    <w:rsid w:val="007D4FDF"/>
    <w:rsid w:val="007D552A"/>
    <w:rsid w:val="007D5622"/>
    <w:rsid w:val="007D5651"/>
    <w:rsid w:val="007D56F1"/>
    <w:rsid w:val="007D5DE9"/>
    <w:rsid w:val="007D60DE"/>
    <w:rsid w:val="007D60EB"/>
    <w:rsid w:val="007D61B4"/>
    <w:rsid w:val="007D64B8"/>
    <w:rsid w:val="007D6FDB"/>
    <w:rsid w:val="007D6FEC"/>
    <w:rsid w:val="007D7058"/>
    <w:rsid w:val="007D71E1"/>
    <w:rsid w:val="007D726A"/>
    <w:rsid w:val="007D72A5"/>
    <w:rsid w:val="007D7D02"/>
    <w:rsid w:val="007E09C9"/>
    <w:rsid w:val="007E0E89"/>
    <w:rsid w:val="007E102C"/>
    <w:rsid w:val="007E1283"/>
    <w:rsid w:val="007E12AC"/>
    <w:rsid w:val="007E15DE"/>
    <w:rsid w:val="007E1614"/>
    <w:rsid w:val="007E193F"/>
    <w:rsid w:val="007E244E"/>
    <w:rsid w:val="007E259F"/>
    <w:rsid w:val="007E26ED"/>
    <w:rsid w:val="007E271D"/>
    <w:rsid w:val="007E28B9"/>
    <w:rsid w:val="007E2B12"/>
    <w:rsid w:val="007E2C15"/>
    <w:rsid w:val="007E2EBF"/>
    <w:rsid w:val="007E31C3"/>
    <w:rsid w:val="007E39C7"/>
    <w:rsid w:val="007E40E4"/>
    <w:rsid w:val="007E42A6"/>
    <w:rsid w:val="007E463C"/>
    <w:rsid w:val="007E5095"/>
    <w:rsid w:val="007E53AA"/>
    <w:rsid w:val="007E578C"/>
    <w:rsid w:val="007E57A9"/>
    <w:rsid w:val="007E58AC"/>
    <w:rsid w:val="007E596D"/>
    <w:rsid w:val="007E5B20"/>
    <w:rsid w:val="007E5C9A"/>
    <w:rsid w:val="007E5DFD"/>
    <w:rsid w:val="007E6524"/>
    <w:rsid w:val="007E65AB"/>
    <w:rsid w:val="007E6645"/>
    <w:rsid w:val="007E680D"/>
    <w:rsid w:val="007E6871"/>
    <w:rsid w:val="007E68BD"/>
    <w:rsid w:val="007E68C7"/>
    <w:rsid w:val="007E6A08"/>
    <w:rsid w:val="007E6AEA"/>
    <w:rsid w:val="007E6CC8"/>
    <w:rsid w:val="007E6D75"/>
    <w:rsid w:val="007E6F32"/>
    <w:rsid w:val="007E7342"/>
    <w:rsid w:val="007E7362"/>
    <w:rsid w:val="007E75DC"/>
    <w:rsid w:val="007E76B3"/>
    <w:rsid w:val="007E798E"/>
    <w:rsid w:val="007E7E57"/>
    <w:rsid w:val="007E7E60"/>
    <w:rsid w:val="007E7EBD"/>
    <w:rsid w:val="007F0380"/>
    <w:rsid w:val="007F040D"/>
    <w:rsid w:val="007F0927"/>
    <w:rsid w:val="007F0BBA"/>
    <w:rsid w:val="007F0C6F"/>
    <w:rsid w:val="007F0E33"/>
    <w:rsid w:val="007F1017"/>
    <w:rsid w:val="007F1168"/>
    <w:rsid w:val="007F11B2"/>
    <w:rsid w:val="007F13C6"/>
    <w:rsid w:val="007F13E3"/>
    <w:rsid w:val="007F140A"/>
    <w:rsid w:val="007F15F6"/>
    <w:rsid w:val="007F17E3"/>
    <w:rsid w:val="007F1C26"/>
    <w:rsid w:val="007F25FF"/>
    <w:rsid w:val="007F275D"/>
    <w:rsid w:val="007F27E7"/>
    <w:rsid w:val="007F2C9E"/>
    <w:rsid w:val="007F301B"/>
    <w:rsid w:val="007F305C"/>
    <w:rsid w:val="007F312E"/>
    <w:rsid w:val="007F324F"/>
    <w:rsid w:val="007F3275"/>
    <w:rsid w:val="007F3442"/>
    <w:rsid w:val="007F371B"/>
    <w:rsid w:val="007F3836"/>
    <w:rsid w:val="007F3839"/>
    <w:rsid w:val="007F3928"/>
    <w:rsid w:val="007F3AB2"/>
    <w:rsid w:val="007F3CE2"/>
    <w:rsid w:val="007F3CEB"/>
    <w:rsid w:val="007F42B7"/>
    <w:rsid w:val="007F4651"/>
    <w:rsid w:val="007F4655"/>
    <w:rsid w:val="007F4AB8"/>
    <w:rsid w:val="007F4AE2"/>
    <w:rsid w:val="007F5233"/>
    <w:rsid w:val="007F5459"/>
    <w:rsid w:val="007F54B0"/>
    <w:rsid w:val="007F55CB"/>
    <w:rsid w:val="007F590E"/>
    <w:rsid w:val="007F5979"/>
    <w:rsid w:val="007F5A38"/>
    <w:rsid w:val="007F5A42"/>
    <w:rsid w:val="007F5BD2"/>
    <w:rsid w:val="007F60E3"/>
    <w:rsid w:val="007F6A0F"/>
    <w:rsid w:val="007F6A1D"/>
    <w:rsid w:val="007F6E02"/>
    <w:rsid w:val="007F6E7B"/>
    <w:rsid w:val="007F6EBA"/>
    <w:rsid w:val="007F7242"/>
    <w:rsid w:val="007F773D"/>
    <w:rsid w:val="007F779D"/>
    <w:rsid w:val="007F7807"/>
    <w:rsid w:val="007F7B6D"/>
    <w:rsid w:val="007F7B79"/>
    <w:rsid w:val="0080019A"/>
    <w:rsid w:val="008003B1"/>
    <w:rsid w:val="0080075F"/>
    <w:rsid w:val="00800A41"/>
    <w:rsid w:val="00800BC3"/>
    <w:rsid w:val="00800E96"/>
    <w:rsid w:val="008013A5"/>
    <w:rsid w:val="00801624"/>
    <w:rsid w:val="00801943"/>
    <w:rsid w:val="008019CC"/>
    <w:rsid w:val="00801DE2"/>
    <w:rsid w:val="00801EDE"/>
    <w:rsid w:val="00802364"/>
    <w:rsid w:val="008026BC"/>
    <w:rsid w:val="00802D80"/>
    <w:rsid w:val="00802E19"/>
    <w:rsid w:val="00802F5B"/>
    <w:rsid w:val="008030D1"/>
    <w:rsid w:val="008034C8"/>
    <w:rsid w:val="008037C5"/>
    <w:rsid w:val="00803896"/>
    <w:rsid w:val="00803C2E"/>
    <w:rsid w:val="00803CE1"/>
    <w:rsid w:val="00803E2D"/>
    <w:rsid w:val="00803F47"/>
    <w:rsid w:val="00803FA8"/>
    <w:rsid w:val="00803FB0"/>
    <w:rsid w:val="0080418D"/>
    <w:rsid w:val="008044DB"/>
    <w:rsid w:val="008044DD"/>
    <w:rsid w:val="008045BE"/>
    <w:rsid w:val="00804DAF"/>
    <w:rsid w:val="00805584"/>
    <w:rsid w:val="00805810"/>
    <w:rsid w:val="00805956"/>
    <w:rsid w:val="00805957"/>
    <w:rsid w:val="008059EB"/>
    <w:rsid w:val="00805C5F"/>
    <w:rsid w:val="00805CC8"/>
    <w:rsid w:val="00805D62"/>
    <w:rsid w:val="00805DA0"/>
    <w:rsid w:val="0080635E"/>
    <w:rsid w:val="00806363"/>
    <w:rsid w:val="008067D1"/>
    <w:rsid w:val="00807104"/>
    <w:rsid w:val="008073F6"/>
    <w:rsid w:val="0080743B"/>
    <w:rsid w:val="00807442"/>
    <w:rsid w:val="008077EB"/>
    <w:rsid w:val="00807F58"/>
    <w:rsid w:val="0081006D"/>
    <w:rsid w:val="00810077"/>
    <w:rsid w:val="008100F4"/>
    <w:rsid w:val="0081021D"/>
    <w:rsid w:val="008104A5"/>
    <w:rsid w:val="00810535"/>
    <w:rsid w:val="00810586"/>
    <w:rsid w:val="00810690"/>
    <w:rsid w:val="0081077D"/>
    <w:rsid w:val="00810A21"/>
    <w:rsid w:val="00810A91"/>
    <w:rsid w:val="00810B15"/>
    <w:rsid w:val="00810F78"/>
    <w:rsid w:val="008110DF"/>
    <w:rsid w:val="0081130B"/>
    <w:rsid w:val="0081135B"/>
    <w:rsid w:val="00811695"/>
    <w:rsid w:val="008117DB"/>
    <w:rsid w:val="00811D82"/>
    <w:rsid w:val="00812719"/>
    <w:rsid w:val="008127EA"/>
    <w:rsid w:val="00812AC3"/>
    <w:rsid w:val="00812B69"/>
    <w:rsid w:val="00812B8B"/>
    <w:rsid w:val="00812DC0"/>
    <w:rsid w:val="00813308"/>
    <w:rsid w:val="00813651"/>
    <w:rsid w:val="008136A4"/>
    <w:rsid w:val="00813FE8"/>
    <w:rsid w:val="008141CC"/>
    <w:rsid w:val="008142E2"/>
    <w:rsid w:val="008144A7"/>
    <w:rsid w:val="0081470F"/>
    <w:rsid w:val="00814713"/>
    <w:rsid w:val="00814B05"/>
    <w:rsid w:val="00814D2D"/>
    <w:rsid w:val="00814DA7"/>
    <w:rsid w:val="00814DD0"/>
    <w:rsid w:val="00815493"/>
    <w:rsid w:val="00815AFC"/>
    <w:rsid w:val="00815C1F"/>
    <w:rsid w:val="00815CF5"/>
    <w:rsid w:val="0081600F"/>
    <w:rsid w:val="00816124"/>
    <w:rsid w:val="008161A2"/>
    <w:rsid w:val="008163B1"/>
    <w:rsid w:val="008164E3"/>
    <w:rsid w:val="00816641"/>
    <w:rsid w:val="008167FC"/>
    <w:rsid w:val="00816B01"/>
    <w:rsid w:val="00816B57"/>
    <w:rsid w:val="00816C04"/>
    <w:rsid w:val="00816D8B"/>
    <w:rsid w:val="00816DCA"/>
    <w:rsid w:val="00816DEF"/>
    <w:rsid w:val="00817095"/>
    <w:rsid w:val="00817448"/>
    <w:rsid w:val="00817479"/>
    <w:rsid w:val="00817606"/>
    <w:rsid w:val="00817934"/>
    <w:rsid w:val="008179EC"/>
    <w:rsid w:val="00817AB8"/>
    <w:rsid w:val="00817C66"/>
    <w:rsid w:val="0082042C"/>
    <w:rsid w:val="00820957"/>
    <w:rsid w:val="0082157B"/>
    <w:rsid w:val="008216A7"/>
    <w:rsid w:val="00821778"/>
    <w:rsid w:val="00821D3C"/>
    <w:rsid w:val="00822046"/>
    <w:rsid w:val="00822097"/>
    <w:rsid w:val="008221B7"/>
    <w:rsid w:val="00822203"/>
    <w:rsid w:val="008222AA"/>
    <w:rsid w:val="0082243C"/>
    <w:rsid w:val="0082273E"/>
    <w:rsid w:val="008228B3"/>
    <w:rsid w:val="00822DFE"/>
    <w:rsid w:val="00822FB8"/>
    <w:rsid w:val="008232AA"/>
    <w:rsid w:val="0082359B"/>
    <w:rsid w:val="00823BC2"/>
    <w:rsid w:val="00823F95"/>
    <w:rsid w:val="008241ED"/>
    <w:rsid w:val="00824792"/>
    <w:rsid w:val="008251EA"/>
    <w:rsid w:val="008253DE"/>
    <w:rsid w:val="0082589D"/>
    <w:rsid w:val="008258B0"/>
    <w:rsid w:val="00825A78"/>
    <w:rsid w:val="00825A91"/>
    <w:rsid w:val="00825C83"/>
    <w:rsid w:val="00825E52"/>
    <w:rsid w:val="00825FDE"/>
    <w:rsid w:val="0082604A"/>
    <w:rsid w:val="0082617E"/>
    <w:rsid w:val="008262E4"/>
    <w:rsid w:val="008263CB"/>
    <w:rsid w:val="008265F8"/>
    <w:rsid w:val="00826778"/>
    <w:rsid w:val="008267E0"/>
    <w:rsid w:val="00826A84"/>
    <w:rsid w:val="00826B49"/>
    <w:rsid w:val="00826E67"/>
    <w:rsid w:val="00826ED1"/>
    <w:rsid w:val="00826F32"/>
    <w:rsid w:val="00827357"/>
    <w:rsid w:val="00827738"/>
    <w:rsid w:val="0082789C"/>
    <w:rsid w:val="0082791D"/>
    <w:rsid w:val="00827C5E"/>
    <w:rsid w:val="00827C62"/>
    <w:rsid w:val="0083011E"/>
    <w:rsid w:val="00830503"/>
    <w:rsid w:val="0083068F"/>
    <w:rsid w:val="008307D7"/>
    <w:rsid w:val="00830A45"/>
    <w:rsid w:val="0083118A"/>
    <w:rsid w:val="008311B6"/>
    <w:rsid w:val="008315B2"/>
    <w:rsid w:val="00831AC6"/>
    <w:rsid w:val="00831D50"/>
    <w:rsid w:val="008320F6"/>
    <w:rsid w:val="00832890"/>
    <w:rsid w:val="00832A07"/>
    <w:rsid w:val="00832D6F"/>
    <w:rsid w:val="00833006"/>
    <w:rsid w:val="00833102"/>
    <w:rsid w:val="0083325B"/>
    <w:rsid w:val="008334E1"/>
    <w:rsid w:val="00833760"/>
    <w:rsid w:val="00833935"/>
    <w:rsid w:val="00833B11"/>
    <w:rsid w:val="00833F08"/>
    <w:rsid w:val="008344D2"/>
    <w:rsid w:val="008347F9"/>
    <w:rsid w:val="00834948"/>
    <w:rsid w:val="008349CF"/>
    <w:rsid w:val="00834CB8"/>
    <w:rsid w:val="00834D31"/>
    <w:rsid w:val="008350B3"/>
    <w:rsid w:val="008351BF"/>
    <w:rsid w:val="008351C0"/>
    <w:rsid w:val="008352D1"/>
    <w:rsid w:val="00835507"/>
    <w:rsid w:val="00835578"/>
    <w:rsid w:val="008355E9"/>
    <w:rsid w:val="0083562E"/>
    <w:rsid w:val="00835885"/>
    <w:rsid w:val="00835D60"/>
    <w:rsid w:val="00835E47"/>
    <w:rsid w:val="00835F7E"/>
    <w:rsid w:val="008362C6"/>
    <w:rsid w:val="00836724"/>
    <w:rsid w:val="00836B2E"/>
    <w:rsid w:val="0083715B"/>
    <w:rsid w:val="00837426"/>
    <w:rsid w:val="00837638"/>
    <w:rsid w:val="0083779E"/>
    <w:rsid w:val="0083796D"/>
    <w:rsid w:val="00837A9B"/>
    <w:rsid w:val="00837C17"/>
    <w:rsid w:val="0084029C"/>
    <w:rsid w:val="00840532"/>
    <w:rsid w:val="00840C6E"/>
    <w:rsid w:val="00840F95"/>
    <w:rsid w:val="00841058"/>
    <w:rsid w:val="00841160"/>
    <w:rsid w:val="00841833"/>
    <w:rsid w:val="008419B7"/>
    <w:rsid w:val="00841D17"/>
    <w:rsid w:val="00841EAE"/>
    <w:rsid w:val="00842207"/>
    <w:rsid w:val="00842211"/>
    <w:rsid w:val="00842932"/>
    <w:rsid w:val="00842C35"/>
    <w:rsid w:val="00842E81"/>
    <w:rsid w:val="00842FE3"/>
    <w:rsid w:val="008431F0"/>
    <w:rsid w:val="00843295"/>
    <w:rsid w:val="008432AF"/>
    <w:rsid w:val="008435D0"/>
    <w:rsid w:val="00843BE7"/>
    <w:rsid w:val="0084429D"/>
    <w:rsid w:val="00844365"/>
    <w:rsid w:val="0084437B"/>
    <w:rsid w:val="00844450"/>
    <w:rsid w:val="008444A8"/>
    <w:rsid w:val="0084479B"/>
    <w:rsid w:val="00844912"/>
    <w:rsid w:val="00844DDD"/>
    <w:rsid w:val="00845160"/>
    <w:rsid w:val="00845462"/>
    <w:rsid w:val="008455CA"/>
    <w:rsid w:val="008456F1"/>
    <w:rsid w:val="0084573E"/>
    <w:rsid w:val="00845815"/>
    <w:rsid w:val="008459E7"/>
    <w:rsid w:val="00845A59"/>
    <w:rsid w:val="00845B66"/>
    <w:rsid w:val="00845DF7"/>
    <w:rsid w:val="00846284"/>
    <w:rsid w:val="008462C9"/>
    <w:rsid w:val="00846BAB"/>
    <w:rsid w:val="0084704E"/>
    <w:rsid w:val="0084733F"/>
    <w:rsid w:val="008474C9"/>
    <w:rsid w:val="008474CA"/>
    <w:rsid w:val="00847719"/>
    <w:rsid w:val="00847798"/>
    <w:rsid w:val="00847B53"/>
    <w:rsid w:val="00847C17"/>
    <w:rsid w:val="00847EFE"/>
    <w:rsid w:val="00847FE0"/>
    <w:rsid w:val="008507EA"/>
    <w:rsid w:val="008509BF"/>
    <w:rsid w:val="00850F6E"/>
    <w:rsid w:val="008510D7"/>
    <w:rsid w:val="00851330"/>
    <w:rsid w:val="00851364"/>
    <w:rsid w:val="008516FA"/>
    <w:rsid w:val="00851A05"/>
    <w:rsid w:val="00851B20"/>
    <w:rsid w:val="00851C56"/>
    <w:rsid w:val="00851EFD"/>
    <w:rsid w:val="00851F1C"/>
    <w:rsid w:val="00851F5B"/>
    <w:rsid w:val="008521DD"/>
    <w:rsid w:val="0085244D"/>
    <w:rsid w:val="0085257C"/>
    <w:rsid w:val="00852926"/>
    <w:rsid w:val="00852A5C"/>
    <w:rsid w:val="00852AC6"/>
    <w:rsid w:val="00853466"/>
    <w:rsid w:val="008537BB"/>
    <w:rsid w:val="008537FD"/>
    <w:rsid w:val="00853969"/>
    <w:rsid w:val="00853D77"/>
    <w:rsid w:val="00853DA4"/>
    <w:rsid w:val="00853FF3"/>
    <w:rsid w:val="008544D4"/>
    <w:rsid w:val="008549C8"/>
    <w:rsid w:val="00854A1E"/>
    <w:rsid w:val="00854DFE"/>
    <w:rsid w:val="00855208"/>
    <w:rsid w:val="00855400"/>
    <w:rsid w:val="008554CE"/>
    <w:rsid w:val="0085591F"/>
    <w:rsid w:val="00856164"/>
    <w:rsid w:val="0085645F"/>
    <w:rsid w:val="008565C3"/>
    <w:rsid w:val="00856A14"/>
    <w:rsid w:val="00856A79"/>
    <w:rsid w:val="00856F26"/>
    <w:rsid w:val="00856F64"/>
    <w:rsid w:val="00857182"/>
    <w:rsid w:val="00857206"/>
    <w:rsid w:val="008575DE"/>
    <w:rsid w:val="008576A1"/>
    <w:rsid w:val="00857986"/>
    <w:rsid w:val="00857A8C"/>
    <w:rsid w:val="00857AD1"/>
    <w:rsid w:val="00857D09"/>
    <w:rsid w:val="00857FE0"/>
    <w:rsid w:val="0086033C"/>
    <w:rsid w:val="00860602"/>
    <w:rsid w:val="008608C2"/>
    <w:rsid w:val="00860BB6"/>
    <w:rsid w:val="00860CE3"/>
    <w:rsid w:val="0086170B"/>
    <w:rsid w:val="00861E0B"/>
    <w:rsid w:val="00862000"/>
    <w:rsid w:val="00862060"/>
    <w:rsid w:val="0086212A"/>
    <w:rsid w:val="008621A0"/>
    <w:rsid w:val="00862437"/>
    <w:rsid w:val="00862556"/>
    <w:rsid w:val="0086263A"/>
    <w:rsid w:val="008626DB"/>
    <w:rsid w:val="008628E8"/>
    <w:rsid w:val="00862D08"/>
    <w:rsid w:val="00863080"/>
    <w:rsid w:val="008632B7"/>
    <w:rsid w:val="008634DB"/>
    <w:rsid w:val="00863572"/>
    <w:rsid w:val="00863776"/>
    <w:rsid w:val="00863AB2"/>
    <w:rsid w:val="00863CD5"/>
    <w:rsid w:val="00863ED1"/>
    <w:rsid w:val="008640FC"/>
    <w:rsid w:val="00864289"/>
    <w:rsid w:val="00864467"/>
    <w:rsid w:val="008646E8"/>
    <w:rsid w:val="00864A2F"/>
    <w:rsid w:val="00864BDA"/>
    <w:rsid w:val="00864E74"/>
    <w:rsid w:val="00865171"/>
    <w:rsid w:val="00865258"/>
    <w:rsid w:val="008652D2"/>
    <w:rsid w:val="00865628"/>
    <w:rsid w:val="00865B29"/>
    <w:rsid w:val="008664BB"/>
    <w:rsid w:val="008664D6"/>
    <w:rsid w:val="0086663C"/>
    <w:rsid w:val="008668A1"/>
    <w:rsid w:val="00866926"/>
    <w:rsid w:val="00866A57"/>
    <w:rsid w:val="00866D47"/>
    <w:rsid w:val="00866E40"/>
    <w:rsid w:val="00866E86"/>
    <w:rsid w:val="00866F0A"/>
    <w:rsid w:val="00867028"/>
    <w:rsid w:val="00867114"/>
    <w:rsid w:val="00867964"/>
    <w:rsid w:val="0086798E"/>
    <w:rsid w:val="00867B54"/>
    <w:rsid w:val="008706BD"/>
    <w:rsid w:val="008706EE"/>
    <w:rsid w:val="00870854"/>
    <w:rsid w:val="00870D75"/>
    <w:rsid w:val="00871576"/>
    <w:rsid w:val="008716B5"/>
    <w:rsid w:val="00871740"/>
    <w:rsid w:val="00871783"/>
    <w:rsid w:val="00871992"/>
    <w:rsid w:val="00871B3D"/>
    <w:rsid w:val="00871CEB"/>
    <w:rsid w:val="008721C2"/>
    <w:rsid w:val="00872336"/>
    <w:rsid w:val="008725B6"/>
    <w:rsid w:val="008725FF"/>
    <w:rsid w:val="008728C5"/>
    <w:rsid w:val="00873306"/>
    <w:rsid w:val="0087349D"/>
    <w:rsid w:val="0087351A"/>
    <w:rsid w:val="0087355E"/>
    <w:rsid w:val="00873A7D"/>
    <w:rsid w:val="00873CEB"/>
    <w:rsid w:val="00874099"/>
    <w:rsid w:val="00874C36"/>
    <w:rsid w:val="00874CBF"/>
    <w:rsid w:val="00874CE2"/>
    <w:rsid w:val="00874D0D"/>
    <w:rsid w:val="00875095"/>
    <w:rsid w:val="00875096"/>
    <w:rsid w:val="008752FD"/>
    <w:rsid w:val="0087538C"/>
    <w:rsid w:val="008753A3"/>
    <w:rsid w:val="00875F16"/>
    <w:rsid w:val="00876833"/>
    <w:rsid w:val="00876CEC"/>
    <w:rsid w:val="00876F82"/>
    <w:rsid w:val="00876FBB"/>
    <w:rsid w:val="008770B7"/>
    <w:rsid w:val="008771F8"/>
    <w:rsid w:val="008772DF"/>
    <w:rsid w:val="008775AC"/>
    <w:rsid w:val="008779BC"/>
    <w:rsid w:val="00877C17"/>
    <w:rsid w:val="00877F03"/>
    <w:rsid w:val="00880174"/>
    <w:rsid w:val="008801E1"/>
    <w:rsid w:val="00880652"/>
    <w:rsid w:val="008806B8"/>
    <w:rsid w:val="00880A93"/>
    <w:rsid w:val="00880DB2"/>
    <w:rsid w:val="00880DB8"/>
    <w:rsid w:val="008810C2"/>
    <w:rsid w:val="008812DF"/>
    <w:rsid w:val="00881488"/>
    <w:rsid w:val="00881CC4"/>
    <w:rsid w:val="00882515"/>
    <w:rsid w:val="00882644"/>
    <w:rsid w:val="00882F42"/>
    <w:rsid w:val="00882F4A"/>
    <w:rsid w:val="0088312F"/>
    <w:rsid w:val="008831B3"/>
    <w:rsid w:val="008833B1"/>
    <w:rsid w:val="008833FF"/>
    <w:rsid w:val="00883505"/>
    <w:rsid w:val="0088399B"/>
    <w:rsid w:val="00883C70"/>
    <w:rsid w:val="00884536"/>
    <w:rsid w:val="0088465F"/>
    <w:rsid w:val="00884BFC"/>
    <w:rsid w:val="00884CFB"/>
    <w:rsid w:val="008851B3"/>
    <w:rsid w:val="00885257"/>
    <w:rsid w:val="008854C7"/>
    <w:rsid w:val="008856C8"/>
    <w:rsid w:val="00885AB6"/>
    <w:rsid w:val="00885C04"/>
    <w:rsid w:val="00885C29"/>
    <w:rsid w:val="00885C2E"/>
    <w:rsid w:val="00885C75"/>
    <w:rsid w:val="00885F02"/>
    <w:rsid w:val="00886537"/>
    <w:rsid w:val="0088653B"/>
    <w:rsid w:val="0088667A"/>
    <w:rsid w:val="008869FA"/>
    <w:rsid w:val="00886A22"/>
    <w:rsid w:val="00886FD5"/>
    <w:rsid w:val="00887331"/>
    <w:rsid w:val="00887615"/>
    <w:rsid w:val="008876E8"/>
    <w:rsid w:val="00887833"/>
    <w:rsid w:val="00887932"/>
    <w:rsid w:val="00887A89"/>
    <w:rsid w:val="00887B11"/>
    <w:rsid w:val="00887F25"/>
    <w:rsid w:val="0089031A"/>
    <w:rsid w:val="00890472"/>
    <w:rsid w:val="00890497"/>
    <w:rsid w:val="008904AD"/>
    <w:rsid w:val="0089066B"/>
    <w:rsid w:val="0089075B"/>
    <w:rsid w:val="00890770"/>
    <w:rsid w:val="008907C8"/>
    <w:rsid w:val="0089081F"/>
    <w:rsid w:val="00891023"/>
    <w:rsid w:val="008910B4"/>
    <w:rsid w:val="00891659"/>
    <w:rsid w:val="00891B1D"/>
    <w:rsid w:val="00891F07"/>
    <w:rsid w:val="00891FB3"/>
    <w:rsid w:val="00892461"/>
    <w:rsid w:val="008924CD"/>
    <w:rsid w:val="00892F58"/>
    <w:rsid w:val="00892F84"/>
    <w:rsid w:val="0089323D"/>
    <w:rsid w:val="008932ED"/>
    <w:rsid w:val="00893314"/>
    <w:rsid w:val="008933B4"/>
    <w:rsid w:val="008933EE"/>
    <w:rsid w:val="008934AD"/>
    <w:rsid w:val="008939BB"/>
    <w:rsid w:val="008939CF"/>
    <w:rsid w:val="00893B5E"/>
    <w:rsid w:val="00893DD5"/>
    <w:rsid w:val="00894051"/>
    <w:rsid w:val="00894103"/>
    <w:rsid w:val="00894442"/>
    <w:rsid w:val="00894697"/>
    <w:rsid w:val="008946AA"/>
    <w:rsid w:val="00895103"/>
    <w:rsid w:val="00895A04"/>
    <w:rsid w:val="00895ACC"/>
    <w:rsid w:val="0089606A"/>
    <w:rsid w:val="008960A4"/>
    <w:rsid w:val="008963C2"/>
    <w:rsid w:val="008964E0"/>
    <w:rsid w:val="00896534"/>
    <w:rsid w:val="00897245"/>
    <w:rsid w:val="00897539"/>
    <w:rsid w:val="00897788"/>
    <w:rsid w:val="008978BB"/>
    <w:rsid w:val="0089793D"/>
    <w:rsid w:val="00897A3B"/>
    <w:rsid w:val="00897CA2"/>
    <w:rsid w:val="008A00A4"/>
    <w:rsid w:val="008A01B5"/>
    <w:rsid w:val="008A0424"/>
    <w:rsid w:val="008A07A7"/>
    <w:rsid w:val="008A0844"/>
    <w:rsid w:val="008A084C"/>
    <w:rsid w:val="008A0B59"/>
    <w:rsid w:val="008A0B62"/>
    <w:rsid w:val="008A0DAB"/>
    <w:rsid w:val="008A0F46"/>
    <w:rsid w:val="008A10DA"/>
    <w:rsid w:val="008A1184"/>
    <w:rsid w:val="008A1670"/>
    <w:rsid w:val="008A1871"/>
    <w:rsid w:val="008A196B"/>
    <w:rsid w:val="008A19B7"/>
    <w:rsid w:val="008A1A9F"/>
    <w:rsid w:val="008A1B04"/>
    <w:rsid w:val="008A21BE"/>
    <w:rsid w:val="008A26F3"/>
    <w:rsid w:val="008A2A2F"/>
    <w:rsid w:val="008A2A69"/>
    <w:rsid w:val="008A2CA2"/>
    <w:rsid w:val="008A2DD0"/>
    <w:rsid w:val="008A2E4F"/>
    <w:rsid w:val="008A2F74"/>
    <w:rsid w:val="008A3007"/>
    <w:rsid w:val="008A31DA"/>
    <w:rsid w:val="008A3224"/>
    <w:rsid w:val="008A32F5"/>
    <w:rsid w:val="008A34F2"/>
    <w:rsid w:val="008A36BC"/>
    <w:rsid w:val="008A3862"/>
    <w:rsid w:val="008A3B6F"/>
    <w:rsid w:val="008A3C00"/>
    <w:rsid w:val="008A4338"/>
    <w:rsid w:val="008A439E"/>
    <w:rsid w:val="008A44BB"/>
    <w:rsid w:val="008A4654"/>
    <w:rsid w:val="008A4A07"/>
    <w:rsid w:val="008A4B1B"/>
    <w:rsid w:val="008A4F2A"/>
    <w:rsid w:val="008A5037"/>
    <w:rsid w:val="008A50B0"/>
    <w:rsid w:val="008A521C"/>
    <w:rsid w:val="008A5324"/>
    <w:rsid w:val="008A544E"/>
    <w:rsid w:val="008A5B6A"/>
    <w:rsid w:val="008A5BA7"/>
    <w:rsid w:val="008A5C1D"/>
    <w:rsid w:val="008A5CB4"/>
    <w:rsid w:val="008A6586"/>
    <w:rsid w:val="008A66B0"/>
    <w:rsid w:val="008A6ED6"/>
    <w:rsid w:val="008A7340"/>
    <w:rsid w:val="008A76E6"/>
    <w:rsid w:val="008A7DF6"/>
    <w:rsid w:val="008B013B"/>
    <w:rsid w:val="008B01CC"/>
    <w:rsid w:val="008B026B"/>
    <w:rsid w:val="008B06B5"/>
    <w:rsid w:val="008B0D79"/>
    <w:rsid w:val="008B1008"/>
    <w:rsid w:val="008B1051"/>
    <w:rsid w:val="008B153D"/>
    <w:rsid w:val="008B1719"/>
    <w:rsid w:val="008B1DB8"/>
    <w:rsid w:val="008B2490"/>
    <w:rsid w:val="008B29E4"/>
    <w:rsid w:val="008B29F4"/>
    <w:rsid w:val="008B2B09"/>
    <w:rsid w:val="008B2E4E"/>
    <w:rsid w:val="008B3301"/>
    <w:rsid w:val="008B3CDA"/>
    <w:rsid w:val="008B3FD6"/>
    <w:rsid w:val="008B41E3"/>
    <w:rsid w:val="008B434A"/>
    <w:rsid w:val="008B4379"/>
    <w:rsid w:val="008B47EC"/>
    <w:rsid w:val="008B48DE"/>
    <w:rsid w:val="008B4C15"/>
    <w:rsid w:val="008B4C29"/>
    <w:rsid w:val="008B4C39"/>
    <w:rsid w:val="008B4CE7"/>
    <w:rsid w:val="008B4FA2"/>
    <w:rsid w:val="008B561B"/>
    <w:rsid w:val="008B575E"/>
    <w:rsid w:val="008B598B"/>
    <w:rsid w:val="008B5E35"/>
    <w:rsid w:val="008B63BE"/>
    <w:rsid w:val="008B654F"/>
    <w:rsid w:val="008B6667"/>
    <w:rsid w:val="008B66F1"/>
    <w:rsid w:val="008B687E"/>
    <w:rsid w:val="008B6A31"/>
    <w:rsid w:val="008B6BC0"/>
    <w:rsid w:val="008B6BD1"/>
    <w:rsid w:val="008B6D7F"/>
    <w:rsid w:val="008B6EF2"/>
    <w:rsid w:val="008B6FA7"/>
    <w:rsid w:val="008B6FC7"/>
    <w:rsid w:val="008B71AF"/>
    <w:rsid w:val="008B71B0"/>
    <w:rsid w:val="008B74C4"/>
    <w:rsid w:val="008B74C6"/>
    <w:rsid w:val="008B7796"/>
    <w:rsid w:val="008B787B"/>
    <w:rsid w:val="008B7FB3"/>
    <w:rsid w:val="008C0215"/>
    <w:rsid w:val="008C03BC"/>
    <w:rsid w:val="008C0458"/>
    <w:rsid w:val="008C04CF"/>
    <w:rsid w:val="008C056F"/>
    <w:rsid w:val="008C05E4"/>
    <w:rsid w:val="008C0638"/>
    <w:rsid w:val="008C0670"/>
    <w:rsid w:val="008C07A1"/>
    <w:rsid w:val="008C08DB"/>
    <w:rsid w:val="008C08F7"/>
    <w:rsid w:val="008C0ABD"/>
    <w:rsid w:val="008C0C32"/>
    <w:rsid w:val="008C0E29"/>
    <w:rsid w:val="008C101E"/>
    <w:rsid w:val="008C13B0"/>
    <w:rsid w:val="008C15FD"/>
    <w:rsid w:val="008C1803"/>
    <w:rsid w:val="008C1858"/>
    <w:rsid w:val="008C1C34"/>
    <w:rsid w:val="008C1D22"/>
    <w:rsid w:val="008C1D4F"/>
    <w:rsid w:val="008C2112"/>
    <w:rsid w:val="008C22A1"/>
    <w:rsid w:val="008C254C"/>
    <w:rsid w:val="008C275B"/>
    <w:rsid w:val="008C29E6"/>
    <w:rsid w:val="008C2C79"/>
    <w:rsid w:val="008C2D6F"/>
    <w:rsid w:val="008C3002"/>
    <w:rsid w:val="008C3086"/>
    <w:rsid w:val="008C31AD"/>
    <w:rsid w:val="008C3348"/>
    <w:rsid w:val="008C3643"/>
    <w:rsid w:val="008C3A65"/>
    <w:rsid w:val="008C3F98"/>
    <w:rsid w:val="008C43A6"/>
    <w:rsid w:val="008C443C"/>
    <w:rsid w:val="008C4A6A"/>
    <w:rsid w:val="008C4B09"/>
    <w:rsid w:val="008C4E6D"/>
    <w:rsid w:val="008C4F3F"/>
    <w:rsid w:val="008C5460"/>
    <w:rsid w:val="008C5938"/>
    <w:rsid w:val="008C5DC5"/>
    <w:rsid w:val="008C63A1"/>
    <w:rsid w:val="008C6B8F"/>
    <w:rsid w:val="008C6D12"/>
    <w:rsid w:val="008C6DBE"/>
    <w:rsid w:val="008C73CA"/>
    <w:rsid w:val="008C7460"/>
    <w:rsid w:val="008C7974"/>
    <w:rsid w:val="008C7A4C"/>
    <w:rsid w:val="008C7DA8"/>
    <w:rsid w:val="008D016C"/>
    <w:rsid w:val="008D05EB"/>
    <w:rsid w:val="008D067C"/>
    <w:rsid w:val="008D08F5"/>
    <w:rsid w:val="008D0CE6"/>
    <w:rsid w:val="008D0D3C"/>
    <w:rsid w:val="008D1DD1"/>
    <w:rsid w:val="008D2087"/>
    <w:rsid w:val="008D20C0"/>
    <w:rsid w:val="008D285F"/>
    <w:rsid w:val="008D3017"/>
    <w:rsid w:val="008D30D4"/>
    <w:rsid w:val="008D3204"/>
    <w:rsid w:val="008D34A8"/>
    <w:rsid w:val="008D3818"/>
    <w:rsid w:val="008D3F93"/>
    <w:rsid w:val="008D41A6"/>
    <w:rsid w:val="008D4C59"/>
    <w:rsid w:val="008D4EE2"/>
    <w:rsid w:val="008D5050"/>
    <w:rsid w:val="008D5791"/>
    <w:rsid w:val="008D59A6"/>
    <w:rsid w:val="008D5C60"/>
    <w:rsid w:val="008D5DE2"/>
    <w:rsid w:val="008D5E68"/>
    <w:rsid w:val="008D5EFD"/>
    <w:rsid w:val="008D5FA2"/>
    <w:rsid w:val="008D630B"/>
    <w:rsid w:val="008D666D"/>
    <w:rsid w:val="008D66A5"/>
    <w:rsid w:val="008D6ED6"/>
    <w:rsid w:val="008D7149"/>
    <w:rsid w:val="008D77CB"/>
    <w:rsid w:val="008D783C"/>
    <w:rsid w:val="008D78CC"/>
    <w:rsid w:val="008D7B2D"/>
    <w:rsid w:val="008D7CDD"/>
    <w:rsid w:val="008D7EC0"/>
    <w:rsid w:val="008E003C"/>
    <w:rsid w:val="008E044F"/>
    <w:rsid w:val="008E058D"/>
    <w:rsid w:val="008E0733"/>
    <w:rsid w:val="008E076B"/>
    <w:rsid w:val="008E08B7"/>
    <w:rsid w:val="008E0AE7"/>
    <w:rsid w:val="008E0BB5"/>
    <w:rsid w:val="008E0E0F"/>
    <w:rsid w:val="008E12CA"/>
    <w:rsid w:val="008E1367"/>
    <w:rsid w:val="008E15DF"/>
    <w:rsid w:val="008E1633"/>
    <w:rsid w:val="008E18C3"/>
    <w:rsid w:val="008E1BD2"/>
    <w:rsid w:val="008E1C9F"/>
    <w:rsid w:val="008E1DC8"/>
    <w:rsid w:val="008E2129"/>
    <w:rsid w:val="008E2195"/>
    <w:rsid w:val="008E255E"/>
    <w:rsid w:val="008E2CD1"/>
    <w:rsid w:val="008E2DA5"/>
    <w:rsid w:val="008E325B"/>
    <w:rsid w:val="008E328E"/>
    <w:rsid w:val="008E329E"/>
    <w:rsid w:val="008E33C9"/>
    <w:rsid w:val="008E37A8"/>
    <w:rsid w:val="008E38F5"/>
    <w:rsid w:val="008E3975"/>
    <w:rsid w:val="008E39E5"/>
    <w:rsid w:val="008E3AED"/>
    <w:rsid w:val="008E3DD3"/>
    <w:rsid w:val="008E4233"/>
    <w:rsid w:val="008E4317"/>
    <w:rsid w:val="008E48BA"/>
    <w:rsid w:val="008E4B37"/>
    <w:rsid w:val="008E4B97"/>
    <w:rsid w:val="008E4F68"/>
    <w:rsid w:val="008E53B0"/>
    <w:rsid w:val="008E5615"/>
    <w:rsid w:val="008E561F"/>
    <w:rsid w:val="008E59AE"/>
    <w:rsid w:val="008E5A0F"/>
    <w:rsid w:val="008E5CB5"/>
    <w:rsid w:val="008E5F8F"/>
    <w:rsid w:val="008E63B8"/>
    <w:rsid w:val="008E68E9"/>
    <w:rsid w:val="008E6B32"/>
    <w:rsid w:val="008E6CD8"/>
    <w:rsid w:val="008E6CE0"/>
    <w:rsid w:val="008E6D2D"/>
    <w:rsid w:val="008E705F"/>
    <w:rsid w:val="008E7244"/>
    <w:rsid w:val="008E7599"/>
    <w:rsid w:val="008E797E"/>
    <w:rsid w:val="008E79F3"/>
    <w:rsid w:val="008E7C7B"/>
    <w:rsid w:val="008E7C85"/>
    <w:rsid w:val="008E7EC8"/>
    <w:rsid w:val="008F03C1"/>
    <w:rsid w:val="008F06F9"/>
    <w:rsid w:val="008F0A58"/>
    <w:rsid w:val="008F14CD"/>
    <w:rsid w:val="008F17BF"/>
    <w:rsid w:val="008F17E2"/>
    <w:rsid w:val="008F17F0"/>
    <w:rsid w:val="008F1D1A"/>
    <w:rsid w:val="008F1D5A"/>
    <w:rsid w:val="008F1D67"/>
    <w:rsid w:val="008F1D71"/>
    <w:rsid w:val="008F1F1D"/>
    <w:rsid w:val="008F20D2"/>
    <w:rsid w:val="008F24EF"/>
    <w:rsid w:val="008F277C"/>
    <w:rsid w:val="008F28AC"/>
    <w:rsid w:val="008F293F"/>
    <w:rsid w:val="008F2AB7"/>
    <w:rsid w:val="008F3293"/>
    <w:rsid w:val="008F3613"/>
    <w:rsid w:val="008F364D"/>
    <w:rsid w:val="008F3D38"/>
    <w:rsid w:val="008F3E9E"/>
    <w:rsid w:val="008F43D2"/>
    <w:rsid w:val="008F442E"/>
    <w:rsid w:val="008F453A"/>
    <w:rsid w:val="008F47C7"/>
    <w:rsid w:val="008F492C"/>
    <w:rsid w:val="008F49CB"/>
    <w:rsid w:val="008F4D37"/>
    <w:rsid w:val="008F4E15"/>
    <w:rsid w:val="008F4F6B"/>
    <w:rsid w:val="008F5154"/>
    <w:rsid w:val="008F5472"/>
    <w:rsid w:val="008F548E"/>
    <w:rsid w:val="008F55A5"/>
    <w:rsid w:val="008F5602"/>
    <w:rsid w:val="008F5666"/>
    <w:rsid w:val="008F58F6"/>
    <w:rsid w:val="008F5928"/>
    <w:rsid w:val="008F59EB"/>
    <w:rsid w:val="008F5C01"/>
    <w:rsid w:val="008F5D12"/>
    <w:rsid w:val="008F5FB6"/>
    <w:rsid w:val="008F5FF2"/>
    <w:rsid w:val="008F606D"/>
    <w:rsid w:val="008F6571"/>
    <w:rsid w:val="008F66E0"/>
    <w:rsid w:val="008F6797"/>
    <w:rsid w:val="008F67E4"/>
    <w:rsid w:val="008F6BA7"/>
    <w:rsid w:val="008F6C31"/>
    <w:rsid w:val="008F7370"/>
    <w:rsid w:val="008F74EE"/>
    <w:rsid w:val="008F771A"/>
    <w:rsid w:val="008F7761"/>
    <w:rsid w:val="008F7BE9"/>
    <w:rsid w:val="008F7DC9"/>
    <w:rsid w:val="008F7DEC"/>
    <w:rsid w:val="008F7DFC"/>
    <w:rsid w:val="00900214"/>
    <w:rsid w:val="00900284"/>
    <w:rsid w:val="0090046E"/>
    <w:rsid w:val="00900528"/>
    <w:rsid w:val="00900561"/>
    <w:rsid w:val="009007ED"/>
    <w:rsid w:val="00901507"/>
    <w:rsid w:val="009017F4"/>
    <w:rsid w:val="00901953"/>
    <w:rsid w:val="00901A1B"/>
    <w:rsid w:val="00901A89"/>
    <w:rsid w:val="00901BC5"/>
    <w:rsid w:val="00901DF2"/>
    <w:rsid w:val="00902602"/>
    <w:rsid w:val="00902747"/>
    <w:rsid w:val="00902CB0"/>
    <w:rsid w:val="00902FA1"/>
    <w:rsid w:val="0090323D"/>
    <w:rsid w:val="009032C8"/>
    <w:rsid w:val="00903436"/>
    <w:rsid w:val="0090368F"/>
    <w:rsid w:val="009037CC"/>
    <w:rsid w:val="00903D71"/>
    <w:rsid w:val="009041BB"/>
    <w:rsid w:val="00904813"/>
    <w:rsid w:val="00904DD7"/>
    <w:rsid w:val="00904F5E"/>
    <w:rsid w:val="00905003"/>
    <w:rsid w:val="009053DD"/>
    <w:rsid w:val="009054C2"/>
    <w:rsid w:val="009055B8"/>
    <w:rsid w:val="00905927"/>
    <w:rsid w:val="00905A9F"/>
    <w:rsid w:val="00905DD0"/>
    <w:rsid w:val="0090633D"/>
    <w:rsid w:val="009068BA"/>
    <w:rsid w:val="00906984"/>
    <w:rsid w:val="00906B13"/>
    <w:rsid w:val="00906D76"/>
    <w:rsid w:val="00906DED"/>
    <w:rsid w:val="00907063"/>
    <w:rsid w:val="00907128"/>
    <w:rsid w:val="00907352"/>
    <w:rsid w:val="0090752B"/>
    <w:rsid w:val="00907B81"/>
    <w:rsid w:val="00907F2D"/>
    <w:rsid w:val="00907F99"/>
    <w:rsid w:val="00910C86"/>
    <w:rsid w:val="00910E66"/>
    <w:rsid w:val="009110F6"/>
    <w:rsid w:val="009117E3"/>
    <w:rsid w:val="00911880"/>
    <w:rsid w:val="009118A6"/>
    <w:rsid w:val="00911D78"/>
    <w:rsid w:val="0091219F"/>
    <w:rsid w:val="00912217"/>
    <w:rsid w:val="00912656"/>
    <w:rsid w:val="00912D3A"/>
    <w:rsid w:val="00913774"/>
    <w:rsid w:val="00913C5F"/>
    <w:rsid w:val="00913D0B"/>
    <w:rsid w:val="00913D3D"/>
    <w:rsid w:val="00913E47"/>
    <w:rsid w:val="00913E4B"/>
    <w:rsid w:val="00913E92"/>
    <w:rsid w:val="00913F9A"/>
    <w:rsid w:val="0091410F"/>
    <w:rsid w:val="00914176"/>
    <w:rsid w:val="00914900"/>
    <w:rsid w:val="00914D0A"/>
    <w:rsid w:val="00914DA6"/>
    <w:rsid w:val="00914EDD"/>
    <w:rsid w:val="00914F4A"/>
    <w:rsid w:val="00914F57"/>
    <w:rsid w:val="0091523C"/>
    <w:rsid w:val="009152C1"/>
    <w:rsid w:val="00915970"/>
    <w:rsid w:val="00915A63"/>
    <w:rsid w:val="00915BA8"/>
    <w:rsid w:val="00915CDA"/>
    <w:rsid w:val="00915DAA"/>
    <w:rsid w:val="00915F22"/>
    <w:rsid w:val="0091611E"/>
    <w:rsid w:val="009161BF"/>
    <w:rsid w:val="00916230"/>
    <w:rsid w:val="009164E2"/>
    <w:rsid w:val="00916671"/>
    <w:rsid w:val="009167AB"/>
    <w:rsid w:val="00916892"/>
    <w:rsid w:val="00916BD3"/>
    <w:rsid w:val="00916C26"/>
    <w:rsid w:val="00916F18"/>
    <w:rsid w:val="00916FA8"/>
    <w:rsid w:val="00917820"/>
    <w:rsid w:val="00917890"/>
    <w:rsid w:val="00917E41"/>
    <w:rsid w:val="00917FDE"/>
    <w:rsid w:val="009202B6"/>
    <w:rsid w:val="00920687"/>
    <w:rsid w:val="00920764"/>
    <w:rsid w:val="00920879"/>
    <w:rsid w:val="00920DD7"/>
    <w:rsid w:val="00920E25"/>
    <w:rsid w:val="00920EE6"/>
    <w:rsid w:val="00921158"/>
    <w:rsid w:val="00921857"/>
    <w:rsid w:val="00921A33"/>
    <w:rsid w:val="00921AB1"/>
    <w:rsid w:val="00921D6A"/>
    <w:rsid w:val="00921ECC"/>
    <w:rsid w:val="00921ECF"/>
    <w:rsid w:val="0092203F"/>
    <w:rsid w:val="0092280D"/>
    <w:rsid w:val="00922BE1"/>
    <w:rsid w:val="00922D63"/>
    <w:rsid w:val="00922FAE"/>
    <w:rsid w:val="009238AF"/>
    <w:rsid w:val="00923E77"/>
    <w:rsid w:val="00924552"/>
    <w:rsid w:val="00924CFC"/>
    <w:rsid w:val="00924FFA"/>
    <w:rsid w:val="0092502A"/>
    <w:rsid w:val="0092529E"/>
    <w:rsid w:val="0092568B"/>
    <w:rsid w:val="0092581D"/>
    <w:rsid w:val="00925960"/>
    <w:rsid w:val="009259C4"/>
    <w:rsid w:val="00925AF5"/>
    <w:rsid w:val="00925F2C"/>
    <w:rsid w:val="009263AB"/>
    <w:rsid w:val="009267A5"/>
    <w:rsid w:val="0092691C"/>
    <w:rsid w:val="00926A62"/>
    <w:rsid w:val="00926B3B"/>
    <w:rsid w:val="00926BBE"/>
    <w:rsid w:val="00926D34"/>
    <w:rsid w:val="00926E22"/>
    <w:rsid w:val="00926F8A"/>
    <w:rsid w:val="009273A1"/>
    <w:rsid w:val="009273ED"/>
    <w:rsid w:val="009276A4"/>
    <w:rsid w:val="009276BC"/>
    <w:rsid w:val="0092773E"/>
    <w:rsid w:val="0092789E"/>
    <w:rsid w:val="009279D9"/>
    <w:rsid w:val="00927C38"/>
    <w:rsid w:val="0093010C"/>
    <w:rsid w:val="009303C4"/>
    <w:rsid w:val="009307A1"/>
    <w:rsid w:val="00930ADF"/>
    <w:rsid w:val="00930D2E"/>
    <w:rsid w:val="00930F0B"/>
    <w:rsid w:val="0093128F"/>
    <w:rsid w:val="00931BC5"/>
    <w:rsid w:val="00931BF3"/>
    <w:rsid w:val="0093215E"/>
    <w:rsid w:val="0093226C"/>
    <w:rsid w:val="009323E5"/>
    <w:rsid w:val="0093243A"/>
    <w:rsid w:val="00932829"/>
    <w:rsid w:val="00932B1B"/>
    <w:rsid w:val="00932C8E"/>
    <w:rsid w:val="00932CBF"/>
    <w:rsid w:val="00932EA1"/>
    <w:rsid w:val="00932EBC"/>
    <w:rsid w:val="00933223"/>
    <w:rsid w:val="00933637"/>
    <w:rsid w:val="0093385A"/>
    <w:rsid w:val="00933A65"/>
    <w:rsid w:val="00933B5F"/>
    <w:rsid w:val="00933BFC"/>
    <w:rsid w:val="00933C65"/>
    <w:rsid w:val="00933CBC"/>
    <w:rsid w:val="00933DDC"/>
    <w:rsid w:val="00933E30"/>
    <w:rsid w:val="00933F20"/>
    <w:rsid w:val="00933F3F"/>
    <w:rsid w:val="00933FBF"/>
    <w:rsid w:val="009340EC"/>
    <w:rsid w:val="00934496"/>
    <w:rsid w:val="0093476E"/>
    <w:rsid w:val="0093491C"/>
    <w:rsid w:val="0093506B"/>
    <w:rsid w:val="00935171"/>
    <w:rsid w:val="0093527E"/>
    <w:rsid w:val="009353CC"/>
    <w:rsid w:val="009355CF"/>
    <w:rsid w:val="00935678"/>
    <w:rsid w:val="009357B3"/>
    <w:rsid w:val="00935EFE"/>
    <w:rsid w:val="009360F2"/>
    <w:rsid w:val="00936457"/>
    <w:rsid w:val="0093651E"/>
    <w:rsid w:val="00936669"/>
    <w:rsid w:val="00936868"/>
    <w:rsid w:val="009368D8"/>
    <w:rsid w:val="00936948"/>
    <w:rsid w:val="00936D05"/>
    <w:rsid w:val="00936DF2"/>
    <w:rsid w:val="00936EB4"/>
    <w:rsid w:val="0093742F"/>
    <w:rsid w:val="00937A84"/>
    <w:rsid w:val="00937C83"/>
    <w:rsid w:val="00937E52"/>
    <w:rsid w:val="00937EB9"/>
    <w:rsid w:val="00940103"/>
    <w:rsid w:val="00940248"/>
    <w:rsid w:val="00940773"/>
    <w:rsid w:val="00940945"/>
    <w:rsid w:val="00940AD2"/>
    <w:rsid w:val="00940C99"/>
    <w:rsid w:val="00941075"/>
    <w:rsid w:val="0094122E"/>
    <w:rsid w:val="00941281"/>
    <w:rsid w:val="0094135C"/>
    <w:rsid w:val="0094143C"/>
    <w:rsid w:val="009414CB"/>
    <w:rsid w:val="00941549"/>
    <w:rsid w:val="0094154C"/>
    <w:rsid w:val="00941586"/>
    <w:rsid w:val="009416C3"/>
    <w:rsid w:val="009417B1"/>
    <w:rsid w:val="009419B9"/>
    <w:rsid w:val="00941C5B"/>
    <w:rsid w:val="009423C0"/>
    <w:rsid w:val="00942D86"/>
    <w:rsid w:val="00942E5E"/>
    <w:rsid w:val="00942F35"/>
    <w:rsid w:val="009431FA"/>
    <w:rsid w:val="00943364"/>
    <w:rsid w:val="009438CB"/>
    <w:rsid w:val="0094394E"/>
    <w:rsid w:val="009439F3"/>
    <w:rsid w:val="00943AC3"/>
    <w:rsid w:val="00943D4D"/>
    <w:rsid w:val="00943E56"/>
    <w:rsid w:val="00943EFE"/>
    <w:rsid w:val="00943F3E"/>
    <w:rsid w:val="009442E9"/>
    <w:rsid w:val="00944398"/>
    <w:rsid w:val="00944807"/>
    <w:rsid w:val="00944AA2"/>
    <w:rsid w:val="00944ACB"/>
    <w:rsid w:val="00944DAC"/>
    <w:rsid w:val="0094551B"/>
    <w:rsid w:val="009455EC"/>
    <w:rsid w:val="009456F2"/>
    <w:rsid w:val="009459FF"/>
    <w:rsid w:val="00945A14"/>
    <w:rsid w:val="00945C59"/>
    <w:rsid w:val="00945EE9"/>
    <w:rsid w:val="009461A0"/>
    <w:rsid w:val="00946303"/>
    <w:rsid w:val="009464C4"/>
    <w:rsid w:val="00946DE2"/>
    <w:rsid w:val="009475DE"/>
    <w:rsid w:val="00947778"/>
    <w:rsid w:val="009477B7"/>
    <w:rsid w:val="00947C14"/>
    <w:rsid w:val="009501BE"/>
    <w:rsid w:val="00950306"/>
    <w:rsid w:val="00950790"/>
    <w:rsid w:val="009507A7"/>
    <w:rsid w:val="009507F3"/>
    <w:rsid w:val="00950AD1"/>
    <w:rsid w:val="00950C33"/>
    <w:rsid w:val="0095110E"/>
    <w:rsid w:val="00951285"/>
    <w:rsid w:val="00951406"/>
    <w:rsid w:val="009514E1"/>
    <w:rsid w:val="009515DF"/>
    <w:rsid w:val="009519EC"/>
    <w:rsid w:val="00951A91"/>
    <w:rsid w:val="00951F2B"/>
    <w:rsid w:val="00952100"/>
    <w:rsid w:val="0095222C"/>
    <w:rsid w:val="00952296"/>
    <w:rsid w:val="00952717"/>
    <w:rsid w:val="0095335A"/>
    <w:rsid w:val="009533F8"/>
    <w:rsid w:val="0095347D"/>
    <w:rsid w:val="009538E4"/>
    <w:rsid w:val="00953AF3"/>
    <w:rsid w:val="00953FAE"/>
    <w:rsid w:val="009546D7"/>
    <w:rsid w:val="009547B3"/>
    <w:rsid w:val="00954860"/>
    <w:rsid w:val="00954A2F"/>
    <w:rsid w:val="00954F90"/>
    <w:rsid w:val="009551D6"/>
    <w:rsid w:val="00955740"/>
    <w:rsid w:val="00955741"/>
    <w:rsid w:val="0095587D"/>
    <w:rsid w:val="009559F8"/>
    <w:rsid w:val="00955A39"/>
    <w:rsid w:val="00955D49"/>
    <w:rsid w:val="00955F2F"/>
    <w:rsid w:val="0095625D"/>
    <w:rsid w:val="00957039"/>
    <w:rsid w:val="00957188"/>
    <w:rsid w:val="0095736B"/>
    <w:rsid w:val="0095753B"/>
    <w:rsid w:val="0095755E"/>
    <w:rsid w:val="009575A8"/>
    <w:rsid w:val="0095767F"/>
    <w:rsid w:val="009576A6"/>
    <w:rsid w:val="00957737"/>
    <w:rsid w:val="00957863"/>
    <w:rsid w:val="009579B8"/>
    <w:rsid w:val="00957E60"/>
    <w:rsid w:val="00957F79"/>
    <w:rsid w:val="0096011B"/>
    <w:rsid w:val="009601D8"/>
    <w:rsid w:val="0096021F"/>
    <w:rsid w:val="009608FB"/>
    <w:rsid w:val="00960903"/>
    <w:rsid w:val="00960970"/>
    <w:rsid w:val="00960E2F"/>
    <w:rsid w:val="00960EAD"/>
    <w:rsid w:val="00961178"/>
    <w:rsid w:val="009617FD"/>
    <w:rsid w:val="00961FA9"/>
    <w:rsid w:val="009622E7"/>
    <w:rsid w:val="0096242C"/>
    <w:rsid w:val="00962518"/>
    <w:rsid w:val="009625D9"/>
    <w:rsid w:val="009626D2"/>
    <w:rsid w:val="00962864"/>
    <w:rsid w:val="00962B8C"/>
    <w:rsid w:val="00962BB6"/>
    <w:rsid w:val="00962C30"/>
    <w:rsid w:val="00962C48"/>
    <w:rsid w:val="00962CC3"/>
    <w:rsid w:val="00962EC4"/>
    <w:rsid w:val="009630D4"/>
    <w:rsid w:val="009630DA"/>
    <w:rsid w:val="0096314F"/>
    <w:rsid w:val="009631D5"/>
    <w:rsid w:val="009633DE"/>
    <w:rsid w:val="009636B0"/>
    <w:rsid w:val="00963CE4"/>
    <w:rsid w:val="00963F08"/>
    <w:rsid w:val="00964566"/>
    <w:rsid w:val="00964571"/>
    <w:rsid w:val="009645B1"/>
    <w:rsid w:val="00964881"/>
    <w:rsid w:val="00964993"/>
    <w:rsid w:val="00964B8B"/>
    <w:rsid w:val="00964BBD"/>
    <w:rsid w:val="0096500B"/>
    <w:rsid w:val="009652F7"/>
    <w:rsid w:val="009653C9"/>
    <w:rsid w:val="009654A9"/>
    <w:rsid w:val="0096550D"/>
    <w:rsid w:val="00965686"/>
    <w:rsid w:val="009657E0"/>
    <w:rsid w:val="00965852"/>
    <w:rsid w:val="009659F7"/>
    <w:rsid w:val="00965D97"/>
    <w:rsid w:val="00965EFE"/>
    <w:rsid w:val="009661D9"/>
    <w:rsid w:val="00966956"/>
    <w:rsid w:val="00966BF9"/>
    <w:rsid w:val="00966CC8"/>
    <w:rsid w:val="00966D06"/>
    <w:rsid w:val="00966E3A"/>
    <w:rsid w:val="00966E96"/>
    <w:rsid w:val="0096747F"/>
    <w:rsid w:val="00967590"/>
    <w:rsid w:val="009676F3"/>
    <w:rsid w:val="00967E4B"/>
    <w:rsid w:val="009705B9"/>
    <w:rsid w:val="009707A2"/>
    <w:rsid w:val="009707DD"/>
    <w:rsid w:val="00971028"/>
    <w:rsid w:val="009713FD"/>
    <w:rsid w:val="009714F9"/>
    <w:rsid w:val="009716B0"/>
    <w:rsid w:val="009716C5"/>
    <w:rsid w:val="00971B7E"/>
    <w:rsid w:val="00971DA4"/>
    <w:rsid w:val="009720A3"/>
    <w:rsid w:val="00972374"/>
    <w:rsid w:val="009724C1"/>
    <w:rsid w:val="00972537"/>
    <w:rsid w:val="00972C84"/>
    <w:rsid w:val="00972ED3"/>
    <w:rsid w:val="00972F47"/>
    <w:rsid w:val="00973110"/>
    <w:rsid w:val="00973417"/>
    <w:rsid w:val="009735A4"/>
    <w:rsid w:val="00973835"/>
    <w:rsid w:val="00973D30"/>
    <w:rsid w:val="0097470B"/>
    <w:rsid w:val="00974731"/>
    <w:rsid w:val="00974B82"/>
    <w:rsid w:val="00974C7C"/>
    <w:rsid w:val="00974CC6"/>
    <w:rsid w:val="0097553B"/>
    <w:rsid w:val="0097576F"/>
    <w:rsid w:val="009757EB"/>
    <w:rsid w:val="00975893"/>
    <w:rsid w:val="009758C6"/>
    <w:rsid w:val="009759E2"/>
    <w:rsid w:val="00975B82"/>
    <w:rsid w:val="00975EA3"/>
    <w:rsid w:val="009763BB"/>
    <w:rsid w:val="00976B7C"/>
    <w:rsid w:val="00976C4A"/>
    <w:rsid w:val="009771B7"/>
    <w:rsid w:val="00977234"/>
    <w:rsid w:val="00977431"/>
    <w:rsid w:val="0097789F"/>
    <w:rsid w:val="009779BB"/>
    <w:rsid w:val="00977ED2"/>
    <w:rsid w:val="0098011A"/>
    <w:rsid w:val="009801DC"/>
    <w:rsid w:val="009801E4"/>
    <w:rsid w:val="0098041B"/>
    <w:rsid w:val="00980445"/>
    <w:rsid w:val="009804DD"/>
    <w:rsid w:val="009807D1"/>
    <w:rsid w:val="00980841"/>
    <w:rsid w:val="00981450"/>
    <w:rsid w:val="00981AB6"/>
    <w:rsid w:val="00981B9E"/>
    <w:rsid w:val="00981CA9"/>
    <w:rsid w:val="00981DDC"/>
    <w:rsid w:val="00981EA4"/>
    <w:rsid w:val="00981F88"/>
    <w:rsid w:val="00982045"/>
    <w:rsid w:val="00982100"/>
    <w:rsid w:val="0098226E"/>
    <w:rsid w:val="00982656"/>
    <w:rsid w:val="00982721"/>
    <w:rsid w:val="00982AD6"/>
    <w:rsid w:val="00982FBA"/>
    <w:rsid w:val="00983582"/>
    <w:rsid w:val="00983826"/>
    <w:rsid w:val="009838AA"/>
    <w:rsid w:val="009844CC"/>
    <w:rsid w:val="00984AB5"/>
    <w:rsid w:val="00984D11"/>
    <w:rsid w:val="00984FF9"/>
    <w:rsid w:val="009852B0"/>
    <w:rsid w:val="009855C0"/>
    <w:rsid w:val="00985842"/>
    <w:rsid w:val="00985D7A"/>
    <w:rsid w:val="0098616A"/>
    <w:rsid w:val="009863F2"/>
    <w:rsid w:val="009866AE"/>
    <w:rsid w:val="00986B17"/>
    <w:rsid w:val="00986DF1"/>
    <w:rsid w:val="0098701C"/>
    <w:rsid w:val="00987741"/>
    <w:rsid w:val="009879FC"/>
    <w:rsid w:val="00987ABF"/>
    <w:rsid w:val="00990712"/>
    <w:rsid w:val="00990748"/>
    <w:rsid w:val="0099083F"/>
    <w:rsid w:val="00990846"/>
    <w:rsid w:val="009908CF"/>
    <w:rsid w:val="00990902"/>
    <w:rsid w:val="00990A3D"/>
    <w:rsid w:val="00990C52"/>
    <w:rsid w:val="00990FAA"/>
    <w:rsid w:val="00990FBB"/>
    <w:rsid w:val="009914CC"/>
    <w:rsid w:val="00991BD3"/>
    <w:rsid w:val="00991E07"/>
    <w:rsid w:val="00992544"/>
    <w:rsid w:val="0099292E"/>
    <w:rsid w:val="009932B8"/>
    <w:rsid w:val="009932DC"/>
    <w:rsid w:val="0099359C"/>
    <w:rsid w:val="009935E0"/>
    <w:rsid w:val="009937A7"/>
    <w:rsid w:val="009939A1"/>
    <w:rsid w:val="00993B7C"/>
    <w:rsid w:val="00993C29"/>
    <w:rsid w:val="00994015"/>
    <w:rsid w:val="0099403C"/>
    <w:rsid w:val="00994091"/>
    <w:rsid w:val="00994223"/>
    <w:rsid w:val="009947E4"/>
    <w:rsid w:val="00994886"/>
    <w:rsid w:val="00994C89"/>
    <w:rsid w:val="00995095"/>
    <w:rsid w:val="009950B2"/>
    <w:rsid w:val="00995510"/>
    <w:rsid w:val="00995E31"/>
    <w:rsid w:val="00995FE5"/>
    <w:rsid w:val="00996141"/>
    <w:rsid w:val="00996296"/>
    <w:rsid w:val="0099640B"/>
    <w:rsid w:val="00996A77"/>
    <w:rsid w:val="00996E25"/>
    <w:rsid w:val="00996F23"/>
    <w:rsid w:val="00996F2E"/>
    <w:rsid w:val="009970DD"/>
    <w:rsid w:val="0099766F"/>
    <w:rsid w:val="0099783A"/>
    <w:rsid w:val="009A04A6"/>
    <w:rsid w:val="009A0574"/>
    <w:rsid w:val="009A05A9"/>
    <w:rsid w:val="009A0C68"/>
    <w:rsid w:val="009A0F87"/>
    <w:rsid w:val="009A108A"/>
    <w:rsid w:val="009A10C3"/>
    <w:rsid w:val="009A13DE"/>
    <w:rsid w:val="009A17F5"/>
    <w:rsid w:val="009A183C"/>
    <w:rsid w:val="009A20B4"/>
    <w:rsid w:val="009A20E0"/>
    <w:rsid w:val="009A20EE"/>
    <w:rsid w:val="009A2199"/>
    <w:rsid w:val="009A23DA"/>
    <w:rsid w:val="009A24C0"/>
    <w:rsid w:val="009A29C9"/>
    <w:rsid w:val="009A2AA6"/>
    <w:rsid w:val="009A2BB2"/>
    <w:rsid w:val="009A2E13"/>
    <w:rsid w:val="009A2E7F"/>
    <w:rsid w:val="009A3460"/>
    <w:rsid w:val="009A36A2"/>
    <w:rsid w:val="009A36B1"/>
    <w:rsid w:val="009A3945"/>
    <w:rsid w:val="009A3F14"/>
    <w:rsid w:val="009A4270"/>
    <w:rsid w:val="009A48E1"/>
    <w:rsid w:val="009A4AA5"/>
    <w:rsid w:val="009A4BE3"/>
    <w:rsid w:val="009A4EE4"/>
    <w:rsid w:val="009A53DE"/>
    <w:rsid w:val="009A5452"/>
    <w:rsid w:val="009A54E9"/>
    <w:rsid w:val="009A56A5"/>
    <w:rsid w:val="009A57B0"/>
    <w:rsid w:val="009A62F1"/>
    <w:rsid w:val="009A655A"/>
    <w:rsid w:val="009A67ED"/>
    <w:rsid w:val="009A697B"/>
    <w:rsid w:val="009A6F76"/>
    <w:rsid w:val="009A7106"/>
    <w:rsid w:val="009A72EC"/>
    <w:rsid w:val="009A7471"/>
    <w:rsid w:val="009A786B"/>
    <w:rsid w:val="009A7B62"/>
    <w:rsid w:val="009A7B78"/>
    <w:rsid w:val="009A7E14"/>
    <w:rsid w:val="009B004A"/>
    <w:rsid w:val="009B0154"/>
    <w:rsid w:val="009B0514"/>
    <w:rsid w:val="009B06B5"/>
    <w:rsid w:val="009B07CC"/>
    <w:rsid w:val="009B09A3"/>
    <w:rsid w:val="009B09B8"/>
    <w:rsid w:val="009B0F07"/>
    <w:rsid w:val="009B147D"/>
    <w:rsid w:val="009B176F"/>
    <w:rsid w:val="009B224F"/>
    <w:rsid w:val="009B280A"/>
    <w:rsid w:val="009B2850"/>
    <w:rsid w:val="009B2A7E"/>
    <w:rsid w:val="009B3048"/>
    <w:rsid w:val="009B3273"/>
    <w:rsid w:val="009B32AE"/>
    <w:rsid w:val="009B3482"/>
    <w:rsid w:val="009B3591"/>
    <w:rsid w:val="009B3AF0"/>
    <w:rsid w:val="009B3C06"/>
    <w:rsid w:val="009B3DD2"/>
    <w:rsid w:val="009B3F38"/>
    <w:rsid w:val="009B47CC"/>
    <w:rsid w:val="009B48C1"/>
    <w:rsid w:val="009B4A54"/>
    <w:rsid w:val="009B4B03"/>
    <w:rsid w:val="009B4CAB"/>
    <w:rsid w:val="009B536A"/>
    <w:rsid w:val="009B588A"/>
    <w:rsid w:val="009B58BD"/>
    <w:rsid w:val="009B5924"/>
    <w:rsid w:val="009B5BEE"/>
    <w:rsid w:val="009B64F9"/>
    <w:rsid w:val="009B67C7"/>
    <w:rsid w:val="009B6858"/>
    <w:rsid w:val="009B6A8A"/>
    <w:rsid w:val="009B6AF6"/>
    <w:rsid w:val="009B6D25"/>
    <w:rsid w:val="009B70BA"/>
    <w:rsid w:val="009B713A"/>
    <w:rsid w:val="009B7B8C"/>
    <w:rsid w:val="009B7D45"/>
    <w:rsid w:val="009C000E"/>
    <w:rsid w:val="009C04C6"/>
    <w:rsid w:val="009C074E"/>
    <w:rsid w:val="009C07C3"/>
    <w:rsid w:val="009C094A"/>
    <w:rsid w:val="009C0E66"/>
    <w:rsid w:val="009C0EEE"/>
    <w:rsid w:val="009C0F02"/>
    <w:rsid w:val="009C171D"/>
    <w:rsid w:val="009C179E"/>
    <w:rsid w:val="009C17CA"/>
    <w:rsid w:val="009C1826"/>
    <w:rsid w:val="009C1BA2"/>
    <w:rsid w:val="009C1CC6"/>
    <w:rsid w:val="009C1D07"/>
    <w:rsid w:val="009C2004"/>
    <w:rsid w:val="009C2105"/>
    <w:rsid w:val="009C2474"/>
    <w:rsid w:val="009C29FB"/>
    <w:rsid w:val="009C2CF3"/>
    <w:rsid w:val="009C2ED3"/>
    <w:rsid w:val="009C2F0C"/>
    <w:rsid w:val="009C2F79"/>
    <w:rsid w:val="009C30B4"/>
    <w:rsid w:val="009C30C9"/>
    <w:rsid w:val="009C30FC"/>
    <w:rsid w:val="009C31F9"/>
    <w:rsid w:val="009C373F"/>
    <w:rsid w:val="009C37A6"/>
    <w:rsid w:val="009C38CB"/>
    <w:rsid w:val="009C3902"/>
    <w:rsid w:val="009C3935"/>
    <w:rsid w:val="009C411C"/>
    <w:rsid w:val="009C4320"/>
    <w:rsid w:val="009C4496"/>
    <w:rsid w:val="009C45E3"/>
    <w:rsid w:val="009C4D6B"/>
    <w:rsid w:val="009C4E79"/>
    <w:rsid w:val="009C5035"/>
    <w:rsid w:val="009C5168"/>
    <w:rsid w:val="009C53C1"/>
    <w:rsid w:val="009C5496"/>
    <w:rsid w:val="009C5792"/>
    <w:rsid w:val="009C5BC9"/>
    <w:rsid w:val="009C5F3F"/>
    <w:rsid w:val="009C60C9"/>
    <w:rsid w:val="009C625E"/>
    <w:rsid w:val="009C6800"/>
    <w:rsid w:val="009C6930"/>
    <w:rsid w:val="009C6C12"/>
    <w:rsid w:val="009C6C3F"/>
    <w:rsid w:val="009C6CA4"/>
    <w:rsid w:val="009C6FE6"/>
    <w:rsid w:val="009C7256"/>
    <w:rsid w:val="009C72B0"/>
    <w:rsid w:val="009C78FA"/>
    <w:rsid w:val="009C7927"/>
    <w:rsid w:val="009C7D2C"/>
    <w:rsid w:val="009D01EB"/>
    <w:rsid w:val="009D03F9"/>
    <w:rsid w:val="009D0A18"/>
    <w:rsid w:val="009D1A0C"/>
    <w:rsid w:val="009D1A90"/>
    <w:rsid w:val="009D1A93"/>
    <w:rsid w:val="009D1BA8"/>
    <w:rsid w:val="009D1BC1"/>
    <w:rsid w:val="009D1D35"/>
    <w:rsid w:val="009D1D76"/>
    <w:rsid w:val="009D1EA0"/>
    <w:rsid w:val="009D204C"/>
    <w:rsid w:val="009D20CB"/>
    <w:rsid w:val="009D20E7"/>
    <w:rsid w:val="009D2216"/>
    <w:rsid w:val="009D2552"/>
    <w:rsid w:val="009D25CF"/>
    <w:rsid w:val="009D292F"/>
    <w:rsid w:val="009D2B3A"/>
    <w:rsid w:val="009D2BBB"/>
    <w:rsid w:val="009D2CBF"/>
    <w:rsid w:val="009D3168"/>
    <w:rsid w:val="009D3431"/>
    <w:rsid w:val="009D36E5"/>
    <w:rsid w:val="009D37DB"/>
    <w:rsid w:val="009D391F"/>
    <w:rsid w:val="009D3B88"/>
    <w:rsid w:val="009D3F80"/>
    <w:rsid w:val="009D434F"/>
    <w:rsid w:val="009D4402"/>
    <w:rsid w:val="009D442A"/>
    <w:rsid w:val="009D4430"/>
    <w:rsid w:val="009D4561"/>
    <w:rsid w:val="009D46AB"/>
    <w:rsid w:val="009D4931"/>
    <w:rsid w:val="009D4A31"/>
    <w:rsid w:val="009D4BA6"/>
    <w:rsid w:val="009D4D75"/>
    <w:rsid w:val="009D4FEA"/>
    <w:rsid w:val="009D5455"/>
    <w:rsid w:val="009D558A"/>
    <w:rsid w:val="009D5696"/>
    <w:rsid w:val="009D577E"/>
    <w:rsid w:val="009D5810"/>
    <w:rsid w:val="009D5BE5"/>
    <w:rsid w:val="009D5C97"/>
    <w:rsid w:val="009D5DF3"/>
    <w:rsid w:val="009D5E82"/>
    <w:rsid w:val="009D5F3D"/>
    <w:rsid w:val="009D6082"/>
    <w:rsid w:val="009D63A9"/>
    <w:rsid w:val="009D6964"/>
    <w:rsid w:val="009D6C11"/>
    <w:rsid w:val="009D6EA7"/>
    <w:rsid w:val="009D6EF4"/>
    <w:rsid w:val="009D70BA"/>
    <w:rsid w:val="009D7AF2"/>
    <w:rsid w:val="009D7D17"/>
    <w:rsid w:val="009D7E53"/>
    <w:rsid w:val="009E04AB"/>
    <w:rsid w:val="009E0FF4"/>
    <w:rsid w:val="009E11C1"/>
    <w:rsid w:val="009E1A53"/>
    <w:rsid w:val="009E1A9E"/>
    <w:rsid w:val="009E290F"/>
    <w:rsid w:val="009E2970"/>
    <w:rsid w:val="009E2D89"/>
    <w:rsid w:val="009E3256"/>
    <w:rsid w:val="009E3481"/>
    <w:rsid w:val="009E3605"/>
    <w:rsid w:val="009E360B"/>
    <w:rsid w:val="009E3CB6"/>
    <w:rsid w:val="009E3F45"/>
    <w:rsid w:val="009E4095"/>
    <w:rsid w:val="009E450E"/>
    <w:rsid w:val="009E4671"/>
    <w:rsid w:val="009E5140"/>
    <w:rsid w:val="009E5219"/>
    <w:rsid w:val="009E58BB"/>
    <w:rsid w:val="009E5D73"/>
    <w:rsid w:val="009E5E72"/>
    <w:rsid w:val="009E5F94"/>
    <w:rsid w:val="009E6148"/>
    <w:rsid w:val="009E6207"/>
    <w:rsid w:val="009E6511"/>
    <w:rsid w:val="009E69D8"/>
    <w:rsid w:val="009E6D4E"/>
    <w:rsid w:val="009E7230"/>
    <w:rsid w:val="009E7799"/>
    <w:rsid w:val="009E78B6"/>
    <w:rsid w:val="009E7B98"/>
    <w:rsid w:val="009E7D0C"/>
    <w:rsid w:val="009E7F24"/>
    <w:rsid w:val="009F053D"/>
    <w:rsid w:val="009F0810"/>
    <w:rsid w:val="009F095C"/>
    <w:rsid w:val="009F09CE"/>
    <w:rsid w:val="009F0A32"/>
    <w:rsid w:val="009F0CFB"/>
    <w:rsid w:val="009F0D6D"/>
    <w:rsid w:val="009F0E4B"/>
    <w:rsid w:val="009F0E90"/>
    <w:rsid w:val="009F0ED5"/>
    <w:rsid w:val="009F1143"/>
    <w:rsid w:val="009F11A2"/>
    <w:rsid w:val="009F133A"/>
    <w:rsid w:val="009F1414"/>
    <w:rsid w:val="009F14B8"/>
    <w:rsid w:val="009F16DD"/>
    <w:rsid w:val="009F18F2"/>
    <w:rsid w:val="009F1CF7"/>
    <w:rsid w:val="009F1D31"/>
    <w:rsid w:val="009F1D52"/>
    <w:rsid w:val="009F1F8F"/>
    <w:rsid w:val="009F223E"/>
    <w:rsid w:val="009F2277"/>
    <w:rsid w:val="009F265D"/>
    <w:rsid w:val="009F271F"/>
    <w:rsid w:val="009F27DA"/>
    <w:rsid w:val="009F2A5F"/>
    <w:rsid w:val="009F2DC7"/>
    <w:rsid w:val="009F3010"/>
    <w:rsid w:val="009F3115"/>
    <w:rsid w:val="009F3403"/>
    <w:rsid w:val="009F39A8"/>
    <w:rsid w:val="009F39D5"/>
    <w:rsid w:val="009F3A10"/>
    <w:rsid w:val="009F3A66"/>
    <w:rsid w:val="009F3BD3"/>
    <w:rsid w:val="009F3DB4"/>
    <w:rsid w:val="009F3E8B"/>
    <w:rsid w:val="009F4011"/>
    <w:rsid w:val="009F4359"/>
    <w:rsid w:val="009F4789"/>
    <w:rsid w:val="009F4938"/>
    <w:rsid w:val="009F4AB1"/>
    <w:rsid w:val="009F4C27"/>
    <w:rsid w:val="009F4FCF"/>
    <w:rsid w:val="009F52C0"/>
    <w:rsid w:val="009F54C0"/>
    <w:rsid w:val="009F557E"/>
    <w:rsid w:val="009F588A"/>
    <w:rsid w:val="009F58AE"/>
    <w:rsid w:val="009F5B7E"/>
    <w:rsid w:val="009F5C8A"/>
    <w:rsid w:val="009F5D47"/>
    <w:rsid w:val="009F6021"/>
    <w:rsid w:val="009F6184"/>
    <w:rsid w:val="009F6418"/>
    <w:rsid w:val="009F6422"/>
    <w:rsid w:val="009F642D"/>
    <w:rsid w:val="009F648C"/>
    <w:rsid w:val="009F6A1F"/>
    <w:rsid w:val="009F6AB4"/>
    <w:rsid w:val="009F6E5D"/>
    <w:rsid w:val="009F74F7"/>
    <w:rsid w:val="009F753A"/>
    <w:rsid w:val="009F7785"/>
    <w:rsid w:val="009F77F4"/>
    <w:rsid w:val="009F79F6"/>
    <w:rsid w:val="009F7C66"/>
    <w:rsid w:val="009F7E01"/>
    <w:rsid w:val="009F7EA4"/>
    <w:rsid w:val="009F7ED0"/>
    <w:rsid w:val="00A00831"/>
    <w:rsid w:val="00A00854"/>
    <w:rsid w:val="00A00A65"/>
    <w:rsid w:val="00A00B2B"/>
    <w:rsid w:val="00A01282"/>
    <w:rsid w:val="00A01635"/>
    <w:rsid w:val="00A01A10"/>
    <w:rsid w:val="00A01AB1"/>
    <w:rsid w:val="00A01E79"/>
    <w:rsid w:val="00A020D5"/>
    <w:rsid w:val="00A020E3"/>
    <w:rsid w:val="00A02246"/>
    <w:rsid w:val="00A024A8"/>
    <w:rsid w:val="00A024BF"/>
    <w:rsid w:val="00A025FF"/>
    <w:rsid w:val="00A027A0"/>
    <w:rsid w:val="00A028C1"/>
    <w:rsid w:val="00A02DEA"/>
    <w:rsid w:val="00A02EAC"/>
    <w:rsid w:val="00A02F64"/>
    <w:rsid w:val="00A034AA"/>
    <w:rsid w:val="00A03752"/>
    <w:rsid w:val="00A03920"/>
    <w:rsid w:val="00A039C9"/>
    <w:rsid w:val="00A03DB9"/>
    <w:rsid w:val="00A03E2C"/>
    <w:rsid w:val="00A040D3"/>
    <w:rsid w:val="00A043CC"/>
    <w:rsid w:val="00A04A51"/>
    <w:rsid w:val="00A04C48"/>
    <w:rsid w:val="00A04E32"/>
    <w:rsid w:val="00A04E9D"/>
    <w:rsid w:val="00A04F87"/>
    <w:rsid w:val="00A050F6"/>
    <w:rsid w:val="00A05266"/>
    <w:rsid w:val="00A05383"/>
    <w:rsid w:val="00A0543F"/>
    <w:rsid w:val="00A0578D"/>
    <w:rsid w:val="00A057DE"/>
    <w:rsid w:val="00A059ED"/>
    <w:rsid w:val="00A05A86"/>
    <w:rsid w:val="00A05AFA"/>
    <w:rsid w:val="00A0627E"/>
    <w:rsid w:val="00A06947"/>
    <w:rsid w:val="00A06A1A"/>
    <w:rsid w:val="00A06B7C"/>
    <w:rsid w:val="00A06C05"/>
    <w:rsid w:val="00A070D4"/>
    <w:rsid w:val="00A07326"/>
    <w:rsid w:val="00A07595"/>
    <w:rsid w:val="00A07606"/>
    <w:rsid w:val="00A077E2"/>
    <w:rsid w:val="00A07D6F"/>
    <w:rsid w:val="00A1035C"/>
    <w:rsid w:val="00A1047C"/>
    <w:rsid w:val="00A104D3"/>
    <w:rsid w:val="00A10520"/>
    <w:rsid w:val="00A10673"/>
    <w:rsid w:val="00A10A0B"/>
    <w:rsid w:val="00A1133B"/>
    <w:rsid w:val="00A114F2"/>
    <w:rsid w:val="00A11583"/>
    <w:rsid w:val="00A1189E"/>
    <w:rsid w:val="00A118E1"/>
    <w:rsid w:val="00A1190E"/>
    <w:rsid w:val="00A11E0F"/>
    <w:rsid w:val="00A11E7E"/>
    <w:rsid w:val="00A11F4A"/>
    <w:rsid w:val="00A11F4D"/>
    <w:rsid w:val="00A12012"/>
    <w:rsid w:val="00A120A3"/>
    <w:rsid w:val="00A1223F"/>
    <w:rsid w:val="00A123E5"/>
    <w:rsid w:val="00A128F7"/>
    <w:rsid w:val="00A12C97"/>
    <w:rsid w:val="00A12EAC"/>
    <w:rsid w:val="00A12F72"/>
    <w:rsid w:val="00A132E3"/>
    <w:rsid w:val="00A13D6C"/>
    <w:rsid w:val="00A13EE8"/>
    <w:rsid w:val="00A14539"/>
    <w:rsid w:val="00A149F1"/>
    <w:rsid w:val="00A14ECF"/>
    <w:rsid w:val="00A1525B"/>
    <w:rsid w:val="00A15359"/>
    <w:rsid w:val="00A153B3"/>
    <w:rsid w:val="00A1554B"/>
    <w:rsid w:val="00A15D10"/>
    <w:rsid w:val="00A15ECA"/>
    <w:rsid w:val="00A16552"/>
    <w:rsid w:val="00A1683A"/>
    <w:rsid w:val="00A1694A"/>
    <w:rsid w:val="00A16A13"/>
    <w:rsid w:val="00A170EF"/>
    <w:rsid w:val="00A172E7"/>
    <w:rsid w:val="00A174EA"/>
    <w:rsid w:val="00A1764A"/>
    <w:rsid w:val="00A17960"/>
    <w:rsid w:val="00A17A3C"/>
    <w:rsid w:val="00A17C54"/>
    <w:rsid w:val="00A17D59"/>
    <w:rsid w:val="00A17E51"/>
    <w:rsid w:val="00A17FAB"/>
    <w:rsid w:val="00A17FEB"/>
    <w:rsid w:val="00A20196"/>
    <w:rsid w:val="00A201E8"/>
    <w:rsid w:val="00A2063E"/>
    <w:rsid w:val="00A20766"/>
    <w:rsid w:val="00A20F9B"/>
    <w:rsid w:val="00A20FCD"/>
    <w:rsid w:val="00A20FEC"/>
    <w:rsid w:val="00A21238"/>
    <w:rsid w:val="00A21378"/>
    <w:rsid w:val="00A219C1"/>
    <w:rsid w:val="00A21D49"/>
    <w:rsid w:val="00A21F79"/>
    <w:rsid w:val="00A21FE0"/>
    <w:rsid w:val="00A220C9"/>
    <w:rsid w:val="00A22243"/>
    <w:rsid w:val="00A224B9"/>
    <w:rsid w:val="00A2254D"/>
    <w:rsid w:val="00A22780"/>
    <w:rsid w:val="00A228FB"/>
    <w:rsid w:val="00A22A99"/>
    <w:rsid w:val="00A22B86"/>
    <w:rsid w:val="00A22D4B"/>
    <w:rsid w:val="00A22D85"/>
    <w:rsid w:val="00A22DB6"/>
    <w:rsid w:val="00A2326C"/>
    <w:rsid w:val="00A23487"/>
    <w:rsid w:val="00A2386C"/>
    <w:rsid w:val="00A23919"/>
    <w:rsid w:val="00A23C1D"/>
    <w:rsid w:val="00A23E34"/>
    <w:rsid w:val="00A23FAE"/>
    <w:rsid w:val="00A24250"/>
    <w:rsid w:val="00A2465A"/>
    <w:rsid w:val="00A249B0"/>
    <w:rsid w:val="00A249EB"/>
    <w:rsid w:val="00A24A19"/>
    <w:rsid w:val="00A24B9A"/>
    <w:rsid w:val="00A24EEE"/>
    <w:rsid w:val="00A2530D"/>
    <w:rsid w:val="00A253F5"/>
    <w:rsid w:val="00A2555B"/>
    <w:rsid w:val="00A25864"/>
    <w:rsid w:val="00A25881"/>
    <w:rsid w:val="00A25965"/>
    <w:rsid w:val="00A25AA2"/>
    <w:rsid w:val="00A25E14"/>
    <w:rsid w:val="00A25EA4"/>
    <w:rsid w:val="00A26190"/>
    <w:rsid w:val="00A26483"/>
    <w:rsid w:val="00A26951"/>
    <w:rsid w:val="00A26D01"/>
    <w:rsid w:val="00A27504"/>
    <w:rsid w:val="00A2776B"/>
    <w:rsid w:val="00A27793"/>
    <w:rsid w:val="00A27C02"/>
    <w:rsid w:val="00A303D3"/>
    <w:rsid w:val="00A3055B"/>
    <w:rsid w:val="00A30888"/>
    <w:rsid w:val="00A30BAF"/>
    <w:rsid w:val="00A30D12"/>
    <w:rsid w:val="00A30D4C"/>
    <w:rsid w:val="00A31316"/>
    <w:rsid w:val="00A314FA"/>
    <w:rsid w:val="00A31561"/>
    <w:rsid w:val="00A317B4"/>
    <w:rsid w:val="00A31908"/>
    <w:rsid w:val="00A31980"/>
    <w:rsid w:val="00A31E7C"/>
    <w:rsid w:val="00A31E8B"/>
    <w:rsid w:val="00A32A05"/>
    <w:rsid w:val="00A32A3B"/>
    <w:rsid w:val="00A32FCC"/>
    <w:rsid w:val="00A330B5"/>
    <w:rsid w:val="00A33D1D"/>
    <w:rsid w:val="00A34205"/>
    <w:rsid w:val="00A34211"/>
    <w:rsid w:val="00A3435F"/>
    <w:rsid w:val="00A34673"/>
    <w:rsid w:val="00A34AFF"/>
    <w:rsid w:val="00A35105"/>
    <w:rsid w:val="00A3511A"/>
    <w:rsid w:val="00A35306"/>
    <w:rsid w:val="00A35460"/>
    <w:rsid w:val="00A3547F"/>
    <w:rsid w:val="00A35567"/>
    <w:rsid w:val="00A35674"/>
    <w:rsid w:val="00A359FB"/>
    <w:rsid w:val="00A361A7"/>
    <w:rsid w:val="00A36718"/>
    <w:rsid w:val="00A3696B"/>
    <w:rsid w:val="00A36B12"/>
    <w:rsid w:val="00A36D5D"/>
    <w:rsid w:val="00A377AC"/>
    <w:rsid w:val="00A4011B"/>
    <w:rsid w:val="00A40277"/>
    <w:rsid w:val="00A402CF"/>
    <w:rsid w:val="00A4031D"/>
    <w:rsid w:val="00A4086C"/>
    <w:rsid w:val="00A408D8"/>
    <w:rsid w:val="00A40BA3"/>
    <w:rsid w:val="00A40E7E"/>
    <w:rsid w:val="00A41291"/>
    <w:rsid w:val="00A41296"/>
    <w:rsid w:val="00A414E6"/>
    <w:rsid w:val="00A4161E"/>
    <w:rsid w:val="00A418C6"/>
    <w:rsid w:val="00A419CD"/>
    <w:rsid w:val="00A41A11"/>
    <w:rsid w:val="00A41C35"/>
    <w:rsid w:val="00A41D55"/>
    <w:rsid w:val="00A42334"/>
    <w:rsid w:val="00A423D6"/>
    <w:rsid w:val="00A42655"/>
    <w:rsid w:val="00A429C2"/>
    <w:rsid w:val="00A42BA0"/>
    <w:rsid w:val="00A42DEB"/>
    <w:rsid w:val="00A43103"/>
    <w:rsid w:val="00A4321F"/>
    <w:rsid w:val="00A4338E"/>
    <w:rsid w:val="00A43393"/>
    <w:rsid w:val="00A43767"/>
    <w:rsid w:val="00A437BC"/>
    <w:rsid w:val="00A43A11"/>
    <w:rsid w:val="00A43C7A"/>
    <w:rsid w:val="00A44117"/>
    <w:rsid w:val="00A4416D"/>
    <w:rsid w:val="00A4419C"/>
    <w:rsid w:val="00A4492D"/>
    <w:rsid w:val="00A449E7"/>
    <w:rsid w:val="00A44BB3"/>
    <w:rsid w:val="00A44C0C"/>
    <w:rsid w:val="00A453C4"/>
    <w:rsid w:val="00A45524"/>
    <w:rsid w:val="00A45621"/>
    <w:rsid w:val="00A45692"/>
    <w:rsid w:val="00A45803"/>
    <w:rsid w:val="00A45850"/>
    <w:rsid w:val="00A46541"/>
    <w:rsid w:val="00A4662F"/>
    <w:rsid w:val="00A46C15"/>
    <w:rsid w:val="00A46DA4"/>
    <w:rsid w:val="00A46DDB"/>
    <w:rsid w:val="00A47062"/>
    <w:rsid w:val="00A47147"/>
    <w:rsid w:val="00A47480"/>
    <w:rsid w:val="00A474C3"/>
    <w:rsid w:val="00A478F8"/>
    <w:rsid w:val="00A47D8E"/>
    <w:rsid w:val="00A50576"/>
    <w:rsid w:val="00A50638"/>
    <w:rsid w:val="00A507E8"/>
    <w:rsid w:val="00A50875"/>
    <w:rsid w:val="00A50A7B"/>
    <w:rsid w:val="00A50A8B"/>
    <w:rsid w:val="00A50A9D"/>
    <w:rsid w:val="00A50AAF"/>
    <w:rsid w:val="00A50BC9"/>
    <w:rsid w:val="00A50D63"/>
    <w:rsid w:val="00A51BF8"/>
    <w:rsid w:val="00A521E0"/>
    <w:rsid w:val="00A521E1"/>
    <w:rsid w:val="00A52458"/>
    <w:rsid w:val="00A530A3"/>
    <w:rsid w:val="00A53220"/>
    <w:rsid w:val="00A533F6"/>
    <w:rsid w:val="00A5378D"/>
    <w:rsid w:val="00A53B28"/>
    <w:rsid w:val="00A53CA9"/>
    <w:rsid w:val="00A53E6F"/>
    <w:rsid w:val="00A53ED1"/>
    <w:rsid w:val="00A542E8"/>
    <w:rsid w:val="00A5434D"/>
    <w:rsid w:val="00A544FD"/>
    <w:rsid w:val="00A545A7"/>
    <w:rsid w:val="00A54862"/>
    <w:rsid w:val="00A54A0A"/>
    <w:rsid w:val="00A54A68"/>
    <w:rsid w:val="00A54B2F"/>
    <w:rsid w:val="00A54D44"/>
    <w:rsid w:val="00A54E23"/>
    <w:rsid w:val="00A5503F"/>
    <w:rsid w:val="00A55140"/>
    <w:rsid w:val="00A553A9"/>
    <w:rsid w:val="00A5599B"/>
    <w:rsid w:val="00A55B39"/>
    <w:rsid w:val="00A55D72"/>
    <w:rsid w:val="00A56446"/>
    <w:rsid w:val="00A564EE"/>
    <w:rsid w:val="00A5654C"/>
    <w:rsid w:val="00A5672F"/>
    <w:rsid w:val="00A56784"/>
    <w:rsid w:val="00A56941"/>
    <w:rsid w:val="00A56A66"/>
    <w:rsid w:val="00A56A7B"/>
    <w:rsid w:val="00A56C57"/>
    <w:rsid w:val="00A56E80"/>
    <w:rsid w:val="00A572B7"/>
    <w:rsid w:val="00A57748"/>
    <w:rsid w:val="00A57A5C"/>
    <w:rsid w:val="00A57B2F"/>
    <w:rsid w:val="00A60628"/>
    <w:rsid w:val="00A60F47"/>
    <w:rsid w:val="00A6199D"/>
    <w:rsid w:val="00A61A96"/>
    <w:rsid w:val="00A61CEC"/>
    <w:rsid w:val="00A61E08"/>
    <w:rsid w:val="00A623E3"/>
    <w:rsid w:val="00A623F7"/>
    <w:rsid w:val="00A62A06"/>
    <w:rsid w:val="00A62BAF"/>
    <w:rsid w:val="00A62F09"/>
    <w:rsid w:val="00A6361F"/>
    <w:rsid w:val="00A6387F"/>
    <w:rsid w:val="00A63B71"/>
    <w:rsid w:val="00A63C72"/>
    <w:rsid w:val="00A63D68"/>
    <w:rsid w:val="00A64093"/>
    <w:rsid w:val="00A64181"/>
    <w:rsid w:val="00A644DB"/>
    <w:rsid w:val="00A64DD2"/>
    <w:rsid w:val="00A651E3"/>
    <w:rsid w:val="00A654A9"/>
    <w:rsid w:val="00A65CD8"/>
    <w:rsid w:val="00A65D5F"/>
    <w:rsid w:val="00A65DC8"/>
    <w:rsid w:val="00A6618E"/>
    <w:rsid w:val="00A661C6"/>
    <w:rsid w:val="00A6641B"/>
    <w:rsid w:val="00A66E4F"/>
    <w:rsid w:val="00A66FE1"/>
    <w:rsid w:val="00A67121"/>
    <w:rsid w:val="00A6756D"/>
    <w:rsid w:val="00A67B59"/>
    <w:rsid w:val="00A67CDA"/>
    <w:rsid w:val="00A70197"/>
    <w:rsid w:val="00A702EB"/>
    <w:rsid w:val="00A70481"/>
    <w:rsid w:val="00A70572"/>
    <w:rsid w:val="00A70B60"/>
    <w:rsid w:val="00A70BDD"/>
    <w:rsid w:val="00A70C53"/>
    <w:rsid w:val="00A70D09"/>
    <w:rsid w:val="00A70D94"/>
    <w:rsid w:val="00A7111E"/>
    <w:rsid w:val="00A71148"/>
    <w:rsid w:val="00A71D1E"/>
    <w:rsid w:val="00A7221B"/>
    <w:rsid w:val="00A722F4"/>
    <w:rsid w:val="00A7250D"/>
    <w:rsid w:val="00A7275C"/>
    <w:rsid w:val="00A728E8"/>
    <w:rsid w:val="00A72967"/>
    <w:rsid w:val="00A72CC8"/>
    <w:rsid w:val="00A733B1"/>
    <w:rsid w:val="00A737A7"/>
    <w:rsid w:val="00A73A0A"/>
    <w:rsid w:val="00A7414B"/>
    <w:rsid w:val="00A744D4"/>
    <w:rsid w:val="00A74538"/>
    <w:rsid w:val="00A74DDE"/>
    <w:rsid w:val="00A7514E"/>
    <w:rsid w:val="00A75909"/>
    <w:rsid w:val="00A75930"/>
    <w:rsid w:val="00A75C16"/>
    <w:rsid w:val="00A75D6D"/>
    <w:rsid w:val="00A7633B"/>
    <w:rsid w:val="00A763F3"/>
    <w:rsid w:val="00A76765"/>
    <w:rsid w:val="00A76F0A"/>
    <w:rsid w:val="00A770A2"/>
    <w:rsid w:val="00A7755E"/>
    <w:rsid w:val="00A775C3"/>
    <w:rsid w:val="00A77708"/>
    <w:rsid w:val="00A77BC9"/>
    <w:rsid w:val="00A77E77"/>
    <w:rsid w:val="00A77FC1"/>
    <w:rsid w:val="00A80342"/>
    <w:rsid w:val="00A8041C"/>
    <w:rsid w:val="00A808B8"/>
    <w:rsid w:val="00A808EF"/>
    <w:rsid w:val="00A80B67"/>
    <w:rsid w:val="00A80DD6"/>
    <w:rsid w:val="00A80E20"/>
    <w:rsid w:val="00A81189"/>
    <w:rsid w:val="00A81581"/>
    <w:rsid w:val="00A815F8"/>
    <w:rsid w:val="00A81806"/>
    <w:rsid w:val="00A81881"/>
    <w:rsid w:val="00A81A84"/>
    <w:rsid w:val="00A81D31"/>
    <w:rsid w:val="00A81E2A"/>
    <w:rsid w:val="00A82090"/>
    <w:rsid w:val="00A821EE"/>
    <w:rsid w:val="00A82585"/>
    <w:rsid w:val="00A828A0"/>
    <w:rsid w:val="00A82B50"/>
    <w:rsid w:val="00A83011"/>
    <w:rsid w:val="00A83060"/>
    <w:rsid w:val="00A83432"/>
    <w:rsid w:val="00A83865"/>
    <w:rsid w:val="00A83DBD"/>
    <w:rsid w:val="00A83E70"/>
    <w:rsid w:val="00A8417E"/>
    <w:rsid w:val="00A842D5"/>
    <w:rsid w:val="00A8433E"/>
    <w:rsid w:val="00A8440A"/>
    <w:rsid w:val="00A8445D"/>
    <w:rsid w:val="00A84479"/>
    <w:rsid w:val="00A8458F"/>
    <w:rsid w:val="00A845A5"/>
    <w:rsid w:val="00A84D50"/>
    <w:rsid w:val="00A8576D"/>
    <w:rsid w:val="00A85787"/>
    <w:rsid w:val="00A85B10"/>
    <w:rsid w:val="00A85D21"/>
    <w:rsid w:val="00A85EF3"/>
    <w:rsid w:val="00A86170"/>
    <w:rsid w:val="00A8637D"/>
    <w:rsid w:val="00A8675F"/>
    <w:rsid w:val="00A867C9"/>
    <w:rsid w:val="00A86840"/>
    <w:rsid w:val="00A86B65"/>
    <w:rsid w:val="00A86C77"/>
    <w:rsid w:val="00A86E89"/>
    <w:rsid w:val="00A8702F"/>
    <w:rsid w:val="00A8713C"/>
    <w:rsid w:val="00A87197"/>
    <w:rsid w:val="00A872B4"/>
    <w:rsid w:val="00A873C4"/>
    <w:rsid w:val="00A876D3"/>
    <w:rsid w:val="00A8793B"/>
    <w:rsid w:val="00A87DDE"/>
    <w:rsid w:val="00A87E51"/>
    <w:rsid w:val="00A87F5E"/>
    <w:rsid w:val="00A90041"/>
    <w:rsid w:val="00A90390"/>
    <w:rsid w:val="00A90464"/>
    <w:rsid w:val="00A90854"/>
    <w:rsid w:val="00A90F3C"/>
    <w:rsid w:val="00A91253"/>
    <w:rsid w:val="00A91711"/>
    <w:rsid w:val="00A91A89"/>
    <w:rsid w:val="00A91CC8"/>
    <w:rsid w:val="00A921DB"/>
    <w:rsid w:val="00A92463"/>
    <w:rsid w:val="00A924C7"/>
    <w:rsid w:val="00A925C9"/>
    <w:rsid w:val="00A929D3"/>
    <w:rsid w:val="00A92B6A"/>
    <w:rsid w:val="00A9359F"/>
    <w:rsid w:val="00A93708"/>
    <w:rsid w:val="00A9398C"/>
    <w:rsid w:val="00A93A5B"/>
    <w:rsid w:val="00A94326"/>
    <w:rsid w:val="00A9485E"/>
    <w:rsid w:val="00A9496D"/>
    <w:rsid w:val="00A94DC0"/>
    <w:rsid w:val="00A94F4D"/>
    <w:rsid w:val="00A950B1"/>
    <w:rsid w:val="00A95362"/>
    <w:rsid w:val="00A954BE"/>
    <w:rsid w:val="00A9553D"/>
    <w:rsid w:val="00A9557E"/>
    <w:rsid w:val="00A955D9"/>
    <w:rsid w:val="00A95A4D"/>
    <w:rsid w:val="00A95D26"/>
    <w:rsid w:val="00A95D8B"/>
    <w:rsid w:val="00A96771"/>
    <w:rsid w:val="00A9687D"/>
    <w:rsid w:val="00A96C20"/>
    <w:rsid w:val="00A96F78"/>
    <w:rsid w:val="00A97050"/>
    <w:rsid w:val="00A9774F"/>
    <w:rsid w:val="00A977DB"/>
    <w:rsid w:val="00A97AD8"/>
    <w:rsid w:val="00A97B08"/>
    <w:rsid w:val="00AA01DA"/>
    <w:rsid w:val="00AA01E4"/>
    <w:rsid w:val="00AA03C6"/>
    <w:rsid w:val="00AA04D7"/>
    <w:rsid w:val="00AA054F"/>
    <w:rsid w:val="00AA0815"/>
    <w:rsid w:val="00AA0901"/>
    <w:rsid w:val="00AA0A92"/>
    <w:rsid w:val="00AA1CBF"/>
    <w:rsid w:val="00AA1E8D"/>
    <w:rsid w:val="00AA1F2E"/>
    <w:rsid w:val="00AA2675"/>
    <w:rsid w:val="00AA2792"/>
    <w:rsid w:val="00AA29BB"/>
    <w:rsid w:val="00AA2A3B"/>
    <w:rsid w:val="00AA2D06"/>
    <w:rsid w:val="00AA2DD4"/>
    <w:rsid w:val="00AA32D6"/>
    <w:rsid w:val="00AA34BB"/>
    <w:rsid w:val="00AA3A03"/>
    <w:rsid w:val="00AA3C09"/>
    <w:rsid w:val="00AA3DE6"/>
    <w:rsid w:val="00AA3F10"/>
    <w:rsid w:val="00AA40EE"/>
    <w:rsid w:val="00AA4253"/>
    <w:rsid w:val="00AA437E"/>
    <w:rsid w:val="00AA4912"/>
    <w:rsid w:val="00AA4DB5"/>
    <w:rsid w:val="00AA4E1E"/>
    <w:rsid w:val="00AA4E63"/>
    <w:rsid w:val="00AA5320"/>
    <w:rsid w:val="00AA5349"/>
    <w:rsid w:val="00AA55F1"/>
    <w:rsid w:val="00AA574B"/>
    <w:rsid w:val="00AA5857"/>
    <w:rsid w:val="00AA5EE6"/>
    <w:rsid w:val="00AA61C1"/>
    <w:rsid w:val="00AA6875"/>
    <w:rsid w:val="00AA6A6C"/>
    <w:rsid w:val="00AA6BDD"/>
    <w:rsid w:val="00AA6C95"/>
    <w:rsid w:val="00AA6D53"/>
    <w:rsid w:val="00AA7004"/>
    <w:rsid w:val="00AA705A"/>
    <w:rsid w:val="00AA70EC"/>
    <w:rsid w:val="00AA76EF"/>
    <w:rsid w:val="00AA77EA"/>
    <w:rsid w:val="00AA79B1"/>
    <w:rsid w:val="00AA7AB4"/>
    <w:rsid w:val="00AA7E91"/>
    <w:rsid w:val="00AB04A4"/>
    <w:rsid w:val="00AB0EB8"/>
    <w:rsid w:val="00AB1916"/>
    <w:rsid w:val="00AB1C6E"/>
    <w:rsid w:val="00AB1D66"/>
    <w:rsid w:val="00AB226B"/>
    <w:rsid w:val="00AB2819"/>
    <w:rsid w:val="00AB2943"/>
    <w:rsid w:val="00AB2A52"/>
    <w:rsid w:val="00AB2B58"/>
    <w:rsid w:val="00AB2C5C"/>
    <w:rsid w:val="00AB2DEC"/>
    <w:rsid w:val="00AB3782"/>
    <w:rsid w:val="00AB4158"/>
    <w:rsid w:val="00AB42C2"/>
    <w:rsid w:val="00AB437F"/>
    <w:rsid w:val="00AB4442"/>
    <w:rsid w:val="00AB45B4"/>
    <w:rsid w:val="00AB466A"/>
    <w:rsid w:val="00AB4914"/>
    <w:rsid w:val="00AB4B28"/>
    <w:rsid w:val="00AB4C52"/>
    <w:rsid w:val="00AB4D1F"/>
    <w:rsid w:val="00AB4F9A"/>
    <w:rsid w:val="00AB5008"/>
    <w:rsid w:val="00AB52F4"/>
    <w:rsid w:val="00AB5393"/>
    <w:rsid w:val="00AB5C09"/>
    <w:rsid w:val="00AB5F4D"/>
    <w:rsid w:val="00AB5FAB"/>
    <w:rsid w:val="00AB68BF"/>
    <w:rsid w:val="00AB7434"/>
    <w:rsid w:val="00AC07C7"/>
    <w:rsid w:val="00AC0A81"/>
    <w:rsid w:val="00AC0B2F"/>
    <w:rsid w:val="00AC13EE"/>
    <w:rsid w:val="00AC14DC"/>
    <w:rsid w:val="00AC1791"/>
    <w:rsid w:val="00AC180F"/>
    <w:rsid w:val="00AC1A92"/>
    <w:rsid w:val="00AC1DDB"/>
    <w:rsid w:val="00AC1EE6"/>
    <w:rsid w:val="00AC2164"/>
    <w:rsid w:val="00AC2446"/>
    <w:rsid w:val="00AC26C6"/>
    <w:rsid w:val="00AC284B"/>
    <w:rsid w:val="00AC2B79"/>
    <w:rsid w:val="00AC2F10"/>
    <w:rsid w:val="00AC3051"/>
    <w:rsid w:val="00AC3297"/>
    <w:rsid w:val="00AC368D"/>
    <w:rsid w:val="00AC3777"/>
    <w:rsid w:val="00AC3D2B"/>
    <w:rsid w:val="00AC3DAE"/>
    <w:rsid w:val="00AC455C"/>
    <w:rsid w:val="00AC470E"/>
    <w:rsid w:val="00AC4CFD"/>
    <w:rsid w:val="00AC4D07"/>
    <w:rsid w:val="00AC50F6"/>
    <w:rsid w:val="00AC516E"/>
    <w:rsid w:val="00AC5350"/>
    <w:rsid w:val="00AC55F6"/>
    <w:rsid w:val="00AC56DD"/>
    <w:rsid w:val="00AC5732"/>
    <w:rsid w:val="00AC5A08"/>
    <w:rsid w:val="00AC5D36"/>
    <w:rsid w:val="00AC5DEB"/>
    <w:rsid w:val="00AC5FA1"/>
    <w:rsid w:val="00AC66B2"/>
    <w:rsid w:val="00AC6CAF"/>
    <w:rsid w:val="00AC6F81"/>
    <w:rsid w:val="00AC73B6"/>
    <w:rsid w:val="00AC7453"/>
    <w:rsid w:val="00AC7596"/>
    <w:rsid w:val="00AC75DB"/>
    <w:rsid w:val="00AC794C"/>
    <w:rsid w:val="00AC7B36"/>
    <w:rsid w:val="00AC7EBC"/>
    <w:rsid w:val="00AC7F3E"/>
    <w:rsid w:val="00AD00ED"/>
    <w:rsid w:val="00AD0380"/>
    <w:rsid w:val="00AD0390"/>
    <w:rsid w:val="00AD03D8"/>
    <w:rsid w:val="00AD062E"/>
    <w:rsid w:val="00AD0837"/>
    <w:rsid w:val="00AD1537"/>
    <w:rsid w:val="00AD1541"/>
    <w:rsid w:val="00AD1FFA"/>
    <w:rsid w:val="00AD2413"/>
    <w:rsid w:val="00AD24F1"/>
    <w:rsid w:val="00AD2506"/>
    <w:rsid w:val="00AD25C7"/>
    <w:rsid w:val="00AD2630"/>
    <w:rsid w:val="00AD27E2"/>
    <w:rsid w:val="00AD29CF"/>
    <w:rsid w:val="00AD31C4"/>
    <w:rsid w:val="00AD327E"/>
    <w:rsid w:val="00AD3336"/>
    <w:rsid w:val="00AD3393"/>
    <w:rsid w:val="00AD3421"/>
    <w:rsid w:val="00AD37D6"/>
    <w:rsid w:val="00AD3999"/>
    <w:rsid w:val="00AD3F23"/>
    <w:rsid w:val="00AD3FE5"/>
    <w:rsid w:val="00AD403B"/>
    <w:rsid w:val="00AD40FA"/>
    <w:rsid w:val="00AD42BC"/>
    <w:rsid w:val="00AD4770"/>
    <w:rsid w:val="00AD49F9"/>
    <w:rsid w:val="00AD4F9B"/>
    <w:rsid w:val="00AD51F6"/>
    <w:rsid w:val="00AD52E7"/>
    <w:rsid w:val="00AD5313"/>
    <w:rsid w:val="00AD5527"/>
    <w:rsid w:val="00AD5658"/>
    <w:rsid w:val="00AD56ED"/>
    <w:rsid w:val="00AD572E"/>
    <w:rsid w:val="00AD579E"/>
    <w:rsid w:val="00AD586A"/>
    <w:rsid w:val="00AD5879"/>
    <w:rsid w:val="00AD59B7"/>
    <w:rsid w:val="00AD5A00"/>
    <w:rsid w:val="00AD5A60"/>
    <w:rsid w:val="00AD5CD3"/>
    <w:rsid w:val="00AD60B4"/>
    <w:rsid w:val="00AD60DC"/>
    <w:rsid w:val="00AD6227"/>
    <w:rsid w:val="00AD62CD"/>
    <w:rsid w:val="00AD643A"/>
    <w:rsid w:val="00AD6441"/>
    <w:rsid w:val="00AD649E"/>
    <w:rsid w:val="00AD64C9"/>
    <w:rsid w:val="00AD650D"/>
    <w:rsid w:val="00AD6612"/>
    <w:rsid w:val="00AD6687"/>
    <w:rsid w:val="00AD6801"/>
    <w:rsid w:val="00AD6855"/>
    <w:rsid w:val="00AD68DE"/>
    <w:rsid w:val="00AD6EF8"/>
    <w:rsid w:val="00AD7045"/>
    <w:rsid w:val="00AD7325"/>
    <w:rsid w:val="00AD744C"/>
    <w:rsid w:val="00AD7463"/>
    <w:rsid w:val="00AD7559"/>
    <w:rsid w:val="00AD7983"/>
    <w:rsid w:val="00AD7E48"/>
    <w:rsid w:val="00AD7F2C"/>
    <w:rsid w:val="00AE049E"/>
    <w:rsid w:val="00AE04D6"/>
    <w:rsid w:val="00AE0552"/>
    <w:rsid w:val="00AE077F"/>
    <w:rsid w:val="00AE0829"/>
    <w:rsid w:val="00AE0BF0"/>
    <w:rsid w:val="00AE1338"/>
    <w:rsid w:val="00AE15D4"/>
    <w:rsid w:val="00AE183A"/>
    <w:rsid w:val="00AE19C3"/>
    <w:rsid w:val="00AE1C65"/>
    <w:rsid w:val="00AE1E7E"/>
    <w:rsid w:val="00AE2062"/>
    <w:rsid w:val="00AE230C"/>
    <w:rsid w:val="00AE248A"/>
    <w:rsid w:val="00AE254A"/>
    <w:rsid w:val="00AE29FB"/>
    <w:rsid w:val="00AE2B41"/>
    <w:rsid w:val="00AE2E78"/>
    <w:rsid w:val="00AE2E89"/>
    <w:rsid w:val="00AE32EF"/>
    <w:rsid w:val="00AE3375"/>
    <w:rsid w:val="00AE3866"/>
    <w:rsid w:val="00AE3AB9"/>
    <w:rsid w:val="00AE3F1B"/>
    <w:rsid w:val="00AE44DB"/>
    <w:rsid w:val="00AE4CBF"/>
    <w:rsid w:val="00AE4CD4"/>
    <w:rsid w:val="00AE515F"/>
    <w:rsid w:val="00AE5204"/>
    <w:rsid w:val="00AE5468"/>
    <w:rsid w:val="00AE5497"/>
    <w:rsid w:val="00AE5F1C"/>
    <w:rsid w:val="00AE5FFD"/>
    <w:rsid w:val="00AE6000"/>
    <w:rsid w:val="00AE606F"/>
    <w:rsid w:val="00AE60B6"/>
    <w:rsid w:val="00AE6242"/>
    <w:rsid w:val="00AE6296"/>
    <w:rsid w:val="00AE6671"/>
    <w:rsid w:val="00AE6869"/>
    <w:rsid w:val="00AE6BE1"/>
    <w:rsid w:val="00AE72E2"/>
    <w:rsid w:val="00AE74A0"/>
    <w:rsid w:val="00AE76DF"/>
    <w:rsid w:val="00AE798C"/>
    <w:rsid w:val="00AE7A1D"/>
    <w:rsid w:val="00AE7A7F"/>
    <w:rsid w:val="00AF012A"/>
    <w:rsid w:val="00AF0273"/>
    <w:rsid w:val="00AF061C"/>
    <w:rsid w:val="00AF0B5A"/>
    <w:rsid w:val="00AF0B68"/>
    <w:rsid w:val="00AF10FE"/>
    <w:rsid w:val="00AF129C"/>
    <w:rsid w:val="00AF12B4"/>
    <w:rsid w:val="00AF1401"/>
    <w:rsid w:val="00AF1ADF"/>
    <w:rsid w:val="00AF1BD1"/>
    <w:rsid w:val="00AF298E"/>
    <w:rsid w:val="00AF29C1"/>
    <w:rsid w:val="00AF2D8B"/>
    <w:rsid w:val="00AF3005"/>
    <w:rsid w:val="00AF3287"/>
    <w:rsid w:val="00AF328E"/>
    <w:rsid w:val="00AF3AF7"/>
    <w:rsid w:val="00AF3D7F"/>
    <w:rsid w:val="00AF41D2"/>
    <w:rsid w:val="00AF44CE"/>
    <w:rsid w:val="00AF4851"/>
    <w:rsid w:val="00AF4E58"/>
    <w:rsid w:val="00AF4FD0"/>
    <w:rsid w:val="00AF53D1"/>
    <w:rsid w:val="00AF54D1"/>
    <w:rsid w:val="00AF5551"/>
    <w:rsid w:val="00AF5B63"/>
    <w:rsid w:val="00AF5F77"/>
    <w:rsid w:val="00AF6070"/>
    <w:rsid w:val="00AF6573"/>
    <w:rsid w:val="00AF66F7"/>
    <w:rsid w:val="00AF6F39"/>
    <w:rsid w:val="00AF75E3"/>
    <w:rsid w:val="00AF75F8"/>
    <w:rsid w:val="00AF76BA"/>
    <w:rsid w:val="00AF7772"/>
    <w:rsid w:val="00AF7B05"/>
    <w:rsid w:val="00AF7B4B"/>
    <w:rsid w:val="00AF7BBE"/>
    <w:rsid w:val="00AF7D12"/>
    <w:rsid w:val="00AF7D5F"/>
    <w:rsid w:val="00AF7DEF"/>
    <w:rsid w:val="00B0038D"/>
    <w:rsid w:val="00B00537"/>
    <w:rsid w:val="00B00580"/>
    <w:rsid w:val="00B0150D"/>
    <w:rsid w:val="00B017FC"/>
    <w:rsid w:val="00B01BE4"/>
    <w:rsid w:val="00B01D97"/>
    <w:rsid w:val="00B01FA4"/>
    <w:rsid w:val="00B02ADA"/>
    <w:rsid w:val="00B02BE5"/>
    <w:rsid w:val="00B035BE"/>
    <w:rsid w:val="00B038D5"/>
    <w:rsid w:val="00B03B01"/>
    <w:rsid w:val="00B03B38"/>
    <w:rsid w:val="00B03EC1"/>
    <w:rsid w:val="00B0420B"/>
    <w:rsid w:val="00B0464C"/>
    <w:rsid w:val="00B04BBF"/>
    <w:rsid w:val="00B04F10"/>
    <w:rsid w:val="00B05128"/>
    <w:rsid w:val="00B051D5"/>
    <w:rsid w:val="00B0525D"/>
    <w:rsid w:val="00B05697"/>
    <w:rsid w:val="00B0577B"/>
    <w:rsid w:val="00B058C7"/>
    <w:rsid w:val="00B05B47"/>
    <w:rsid w:val="00B05EDF"/>
    <w:rsid w:val="00B05F1D"/>
    <w:rsid w:val="00B063FE"/>
    <w:rsid w:val="00B06A37"/>
    <w:rsid w:val="00B06A72"/>
    <w:rsid w:val="00B0721F"/>
    <w:rsid w:val="00B0737B"/>
    <w:rsid w:val="00B0775E"/>
    <w:rsid w:val="00B07762"/>
    <w:rsid w:val="00B07F03"/>
    <w:rsid w:val="00B07F04"/>
    <w:rsid w:val="00B10075"/>
    <w:rsid w:val="00B102D8"/>
    <w:rsid w:val="00B107BC"/>
    <w:rsid w:val="00B10A6C"/>
    <w:rsid w:val="00B10B74"/>
    <w:rsid w:val="00B10FA0"/>
    <w:rsid w:val="00B111F5"/>
    <w:rsid w:val="00B113A4"/>
    <w:rsid w:val="00B11580"/>
    <w:rsid w:val="00B11918"/>
    <w:rsid w:val="00B11942"/>
    <w:rsid w:val="00B11AAA"/>
    <w:rsid w:val="00B11B29"/>
    <w:rsid w:val="00B1207F"/>
    <w:rsid w:val="00B12081"/>
    <w:rsid w:val="00B121F6"/>
    <w:rsid w:val="00B122BC"/>
    <w:rsid w:val="00B125E3"/>
    <w:rsid w:val="00B129A2"/>
    <w:rsid w:val="00B12CF8"/>
    <w:rsid w:val="00B12DE5"/>
    <w:rsid w:val="00B12E5E"/>
    <w:rsid w:val="00B12F13"/>
    <w:rsid w:val="00B12FBA"/>
    <w:rsid w:val="00B131A7"/>
    <w:rsid w:val="00B134F0"/>
    <w:rsid w:val="00B13500"/>
    <w:rsid w:val="00B13C6C"/>
    <w:rsid w:val="00B13EDB"/>
    <w:rsid w:val="00B13F6B"/>
    <w:rsid w:val="00B13FE8"/>
    <w:rsid w:val="00B14438"/>
    <w:rsid w:val="00B14752"/>
    <w:rsid w:val="00B147CD"/>
    <w:rsid w:val="00B148ED"/>
    <w:rsid w:val="00B14BE6"/>
    <w:rsid w:val="00B14C81"/>
    <w:rsid w:val="00B14D6B"/>
    <w:rsid w:val="00B14FF3"/>
    <w:rsid w:val="00B151BA"/>
    <w:rsid w:val="00B15260"/>
    <w:rsid w:val="00B152CF"/>
    <w:rsid w:val="00B15421"/>
    <w:rsid w:val="00B1554E"/>
    <w:rsid w:val="00B15C00"/>
    <w:rsid w:val="00B15C24"/>
    <w:rsid w:val="00B166DB"/>
    <w:rsid w:val="00B1674F"/>
    <w:rsid w:val="00B1690B"/>
    <w:rsid w:val="00B16C43"/>
    <w:rsid w:val="00B16D30"/>
    <w:rsid w:val="00B16FB1"/>
    <w:rsid w:val="00B1730F"/>
    <w:rsid w:val="00B17429"/>
    <w:rsid w:val="00B174F5"/>
    <w:rsid w:val="00B178AD"/>
    <w:rsid w:val="00B179B3"/>
    <w:rsid w:val="00B17D35"/>
    <w:rsid w:val="00B20246"/>
    <w:rsid w:val="00B20284"/>
    <w:rsid w:val="00B20294"/>
    <w:rsid w:val="00B20297"/>
    <w:rsid w:val="00B20A81"/>
    <w:rsid w:val="00B20A8A"/>
    <w:rsid w:val="00B20FEA"/>
    <w:rsid w:val="00B21589"/>
    <w:rsid w:val="00B218C7"/>
    <w:rsid w:val="00B21CC5"/>
    <w:rsid w:val="00B21E3E"/>
    <w:rsid w:val="00B21F85"/>
    <w:rsid w:val="00B21FA5"/>
    <w:rsid w:val="00B22542"/>
    <w:rsid w:val="00B226E1"/>
    <w:rsid w:val="00B2272E"/>
    <w:rsid w:val="00B227B0"/>
    <w:rsid w:val="00B22A04"/>
    <w:rsid w:val="00B22CB0"/>
    <w:rsid w:val="00B22ED9"/>
    <w:rsid w:val="00B230AF"/>
    <w:rsid w:val="00B23336"/>
    <w:rsid w:val="00B2363A"/>
    <w:rsid w:val="00B23A47"/>
    <w:rsid w:val="00B23A75"/>
    <w:rsid w:val="00B23DD9"/>
    <w:rsid w:val="00B24092"/>
    <w:rsid w:val="00B244DE"/>
    <w:rsid w:val="00B245FC"/>
    <w:rsid w:val="00B24753"/>
    <w:rsid w:val="00B25250"/>
    <w:rsid w:val="00B253C6"/>
    <w:rsid w:val="00B253DE"/>
    <w:rsid w:val="00B259F1"/>
    <w:rsid w:val="00B25A27"/>
    <w:rsid w:val="00B25C15"/>
    <w:rsid w:val="00B25CBD"/>
    <w:rsid w:val="00B25D4C"/>
    <w:rsid w:val="00B25FAB"/>
    <w:rsid w:val="00B265DA"/>
    <w:rsid w:val="00B26631"/>
    <w:rsid w:val="00B269EA"/>
    <w:rsid w:val="00B26B52"/>
    <w:rsid w:val="00B26B64"/>
    <w:rsid w:val="00B26BA8"/>
    <w:rsid w:val="00B27124"/>
    <w:rsid w:val="00B2749F"/>
    <w:rsid w:val="00B27664"/>
    <w:rsid w:val="00B27818"/>
    <w:rsid w:val="00B279BC"/>
    <w:rsid w:val="00B27C53"/>
    <w:rsid w:val="00B27E58"/>
    <w:rsid w:val="00B300BE"/>
    <w:rsid w:val="00B30764"/>
    <w:rsid w:val="00B307E9"/>
    <w:rsid w:val="00B308DF"/>
    <w:rsid w:val="00B30C4C"/>
    <w:rsid w:val="00B30ECD"/>
    <w:rsid w:val="00B3123F"/>
    <w:rsid w:val="00B316BA"/>
    <w:rsid w:val="00B318AC"/>
    <w:rsid w:val="00B31E2A"/>
    <w:rsid w:val="00B32132"/>
    <w:rsid w:val="00B32730"/>
    <w:rsid w:val="00B327D8"/>
    <w:rsid w:val="00B32A45"/>
    <w:rsid w:val="00B32BE3"/>
    <w:rsid w:val="00B32F76"/>
    <w:rsid w:val="00B3330E"/>
    <w:rsid w:val="00B3331F"/>
    <w:rsid w:val="00B33611"/>
    <w:rsid w:val="00B338B9"/>
    <w:rsid w:val="00B33A2C"/>
    <w:rsid w:val="00B33C4C"/>
    <w:rsid w:val="00B340E0"/>
    <w:rsid w:val="00B341CE"/>
    <w:rsid w:val="00B34200"/>
    <w:rsid w:val="00B3442E"/>
    <w:rsid w:val="00B344D1"/>
    <w:rsid w:val="00B34613"/>
    <w:rsid w:val="00B34759"/>
    <w:rsid w:val="00B34843"/>
    <w:rsid w:val="00B34B03"/>
    <w:rsid w:val="00B3528C"/>
    <w:rsid w:val="00B35297"/>
    <w:rsid w:val="00B3599C"/>
    <w:rsid w:val="00B35B4F"/>
    <w:rsid w:val="00B35B65"/>
    <w:rsid w:val="00B35C03"/>
    <w:rsid w:val="00B36471"/>
    <w:rsid w:val="00B3672C"/>
    <w:rsid w:val="00B36772"/>
    <w:rsid w:val="00B36796"/>
    <w:rsid w:val="00B36C77"/>
    <w:rsid w:val="00B37252"/>
    <w:rsid w:val="00B3737A"/>
    <w:rsid w:val="00B3750D"/>
    <w:rsid w:val="00B376BC"/>
    <w:rsid w:val="00B37B62"/>
    <w:rsid w:val="00B37DCD"/>
    <w:rsid w:val="00B401A4"/>
    <w:rsid w:val="00B4052B"/>
    <w:rsid w:val="00B40553"/>
    <w:rsid w:val="00B4069A"/>
    <w:rsid w:val="00B41338"/>
    <w:rsid w:val="00B41495"/>
    <w:rsid w:val="00B416AE"/>
    <w:rsid w:val="00B41704"/>
    <w:rsid w:val="00B41821"/>
    <w:rsid w:val="00B418B8"/>
    <w:rsid w:val="00B41933"/>
    <w:rsid w:val="00B41CDE"/>
    <w:rsid w:val="00B41D1A"/>
    <w:rsid w:val="00B41D55"/>
    <w:rsid w:val="00B421D1"/>
    <w:rsid w:val="00B42716"/>
    <w:rsid w:val="00B42777"/>
    <w:rsid w:val="00B429B1"/>
    <w:rsid w:val="00B42C3E"/>
    <w:rsid w:val="00B42DD4"/>
    <w:rsid w:val="00B4302B"/>
    <w:rsid w:val="00B43057"/>
    <w:rsid w:val="00B438DB"/>
    <w:rsid w:val="00B439FF"/>
    <w:rsid w:val="00B43B34"/>
    <w:rsid w:val="00B43C0A"/>
    <w:rsid w:val="00B43E5D"/>
    <w:rsid w:val="00B43EEC"/>
    <w:rsid w:val="00B442DF"/>
    <w:rsid w:val="00B44434"/>
    <w:rsid w:val="00B44479"/>
    <w:rsid w:val="00B44702"/>
    <w:rsid w:val="00B44709"/>
    <w:rsid w:val="00B44741"/>
    <w:rsid w:val="00B449BC"/>
    <w:rsid w:val="00B44A09"/>
    <w:rsid w:val="00B44B29"/>
    <w:rsid w:val="00B44D73"/>
    <w:rsid w:val="00B44D83"/>
    <w:rsid w:val="00B44DD0"/>
    <w:rsid w:val="00B45153"/>
    <w:rsid w:val="00B455CB"/>
    <w:rsid w:val="00B456C3"/>
    <w:rsid w:val="00B456D1"/>
    <w:rsid w:val="00B457C0"/>
    <w:rsid w:val="00B458B4"/>
    <w:rsid w:val="00B45921"/>
    <w:rsid w:val="00B45C74"/>
    <w:rsid w:val="00B45E18"/>
    <w:rsid w:val="00B464E9"/>
    <w:rsid w:val="00B4676D"/>
    <w:rsid w:val="00B4693A"/>
    <w:rsid w:val="00B46987"/>
    <w:rsid w:val="00B469D2"/>
    <w:rsid w:val="00B469D4"/>
    <w:rsid w:val="00B47113"/>
    <w:rsid w:val="00B471AE"/>
    <w:rsid w:val="00B47E5E"/>
    <w:rsid w:val="00B47F88"/>
    <w:rsid w:val="00B50309"/>
    <w:rsid w:val="00B5044C"/>
    <w:rsid w:val="00B5051E"/>
    <w:rsid w:val="00B5059F"/>
    <w:rsid w:val="00B508B0"/>
    <w:rsid w:val="00B50B20"/>
    <w:rsid w:val="00B50E4A"/>
    <w:rsid w:val="00B511E9"/>
    <w:rsid w:val="00B5126A"/>
    <w:rsid w:val="00B517AE"/>
    <w:rsid w:val="00B51914"/>
    <w:rsid w:val="00B51B84"/>
    <w:rsid w:val="00B51F6A"/>
    <w:rsid w:val="00B521C6"/>
    <w:rsid w:val="00B522D1"/>
    <w:rsid w:val="00B52341"/>
    <w:rsid w:val="00B524FD"/>
    <w:rsid w:val="00B5254E"/>
    <w:rsid w:val="00B52752"/>
    <w:rsid w:val="00B527A7"/>
    <w:rsid w:val="00B52B0F"/>
    <w:rsid w:val="00B53082"/>
    <w:rsid w:val="00B531D4"/>
    <w:rsid w:val="00B534A1"/>
    <w:rsid w:val="00B5356D"/>
    <w:rsid w:val="00B536C2"/>
    <w:rsid w:val="00B537EB"/>
    <w:rsid w:val="00B5480C"/>
    <w:rsid w:val="00B5506D"/>
    <w:rsid w:val="00B55109"/>
    <w:rsid w:val="00B55BF2"/>
    <w:rsid w:val="00B55D02"/>
    <w:rsid w:val="00B55E02"/>
    <w:rsid w:val="00B55E98"/>
    <w:rsid w:val="00B5605A"/>
    <w:rsid w:val="00B5611B"/>
    <w:rsid w:val="00B56470"/>
    <w:rsid w:val="00B565E0"/>
    <w:rsid w:val="00B565EB"/>
    <w:rsid w:val="00B567F4"/>
    <w:rsid w:val="00B56876"/>
    <w:rsid w:val="00B56E2F"/>
    <w:rsid w:val="00B574B2"/>
    <w:rsid w:val="00B57621"/>
    <w:rsid w:val="00B576DC"/>
    <w:rsid w:val="00B57A69"/>
    <w:rsid w:val="00B57C0C"/>
    <w:rsid w:val="00B57C87"/>
    <w:rsid w:val="00B57D78"/>
    <w:rsid w:val="00B57DFD"/>
    <w:rsid w:val="00B57EB3"/>
    <w:rsid w:val="00B60043"/>
    <w:rsid w:val="00B60263"/>
    <w:rsid w:val="00B605ED"/>
    <w:rsid w:val="00B609B6"/>
    <w:rsid w:val="00B60A89"/>
    <w:rsid w:val="00B60AED"/>
    <w:rsid w:val="00B61511"/>
    <w:rsid w:val="00B616B6"/>
    <w:rsid w:val="00B624A7"/>
    <w:rsid w:val="00B62773"/>
    <w:rsid w:val="00B627F4"/>
    <w:rsid w:val="00B62A04"/>
    <w:rsid w:val="00B62B90"/>
    <w:rsid w:val="00B630DF"/>
    <w:rsid w:val="00B63CAD"/>
    <w:rsid w:val="00B63CF3"/>
    <w:rsid w:val="00B63E85"/>
    <w:rsid w:val="00B63ED4"/>
    <w:rsid w:val="00B640BA"/>
    <w:rsid w:val="00B64247"/>
    <w:rsid w:val="00B64421"/>
    <w:rsid w:val="00B64775"/>
    <w:rsid w:val="00B6499A"/>
    <w:rsid w:val="00B64DC8"/>
    <w:rsid w:val="00B64DF4"/>
    <w:rsid w:val="00B64EA7"/>
    <w:rsid w:val="00B65302"/>
    <w:rsid w:val="00B653FC"/>
    <w:rsid w:val="00B6562C"/>
    <w:rsid w:val="00B6569B"/>
    <w:rsid w:val="00B65803"/>
    <w:rsid w:val="00B65BE5"/>
    <w:rsid w:val="00B65C2E"/>
    <w:rsid w:val="00B66179"/>
    <w:rsid w:val="00B662CE"/>
    <w:rsid w:val="00B665B5"/>
    <w:rsid w:val="00B66A77"/>
    <w:rsid w:val="00B66E48"/>
    <w:rsid w:val="00B66F1B"/>
    <w:rsid w:val="00B67378"/>
    <w:rsid w:val="00B677B5"/>
    <w:rsid w:val="00B67894"/>
    <w:rsid w:val="00B67DFC"/>
    <w:rsid w:val="00B7024B"/>
    <w:rsid w:val="00B70318"/>
    <w:rsid w:val="00B703EE"/>
    <w:rsid w:val="00B70738"/>
    <w:rsid w:val="00B70B67"/>
    <w:rsid w:val="00B70B9E"/>
    <w:rsid w:val="00B70D3E"/>
    <w:rsid w:val="00B7109F"/>
    <w:rsid w:val="00B7114F"/>
    <w:rsid w:val="00B712A5"/>
    <w:rsid w:val="00B7133E"/>
    <w:rsid w:val="00B71A11"/>
    <w:rsid w:val="00B71E36"/>
    <w:rsid w:val="00B71F99"/>
    <w:rsid w:val="00B724AA"/>
    <w:rsid w:val="00B724DF"/>
    <w:rsid w:val="00B72955"/>
    <w:rsid w:val="00B73402"/>
    <w:rsid w:val="00B734AB"/>
    <w:rsid w:val="00B737C7"/>
    <w:rsid w:val="00B739B4"/>
    <w:rsid w:val="00B73C79"/>
    <w:rsid w:val="00B73CBB"/>
    <w:rsid w:val="00B74598"/>
    <w:rsid w:val="00B74786"/>
    <w:rsid w:val="00B7520B"/>
    <w:rsid w:val="00B75964"/>
    <w:rsid w:val="00B75AF2"/>
    <w:rsid w:val="00B75F2F"/>
    <w:rsid w:val="00B7614F"/>
    <w:rsid w:val="00B76812"/>
    <w:rsid w:val="00B7681B"/>
    <w:rsid w:val="00B7685F"/>
    <w:rsid w:val="00B76A1A"/>
    <w:rsid w:val="00B76BFC"/>
    <w:rsid w:val="00B76E66"/>
    <w:rsid w:val="00B771F1"/>
    <w:rsid w:val="00B7749E"/>
    <w:rsid w:val="00B77663"/>
    <w:rsid w:val="00B77AEB"/>
    <w:rsid w:val="00B77B2C"/>
    <w:rsid w:val="00B77CE3"/>
    <w:rsid w:val="00B77E96"/>
    <w:rsid w:val="00B80703"/>
    <w:rsid w:val="00B808E5"/>
    <w:rsid w:val="00B80C26"/>
    <w:rsid w:val="00B80D23"/>
    <w:rsid w:val="00B80D2C"/>
    <w:rsid w:val="00B80DB7"/>
    <w:rsid w:val="00B80FAD"/>
    <w:rsid w:val="00B81176"/>
    <w:rsid w:val="00B81264"/>
    <w:rsid w:val="00B814CC"/>
    <w:rsid w:val="00B81834"/>
    <w:rsid w:val="00B81897"/>
    <w:rsid w:val="00B81B70"/>
    <w:rsid w:val="00B81C8B"/>
    <w:rsid w:val="00B82395"/>
    <w:rsid w:val="00B823E0"/>
    <w:rsid w:val="00B8246D"/>
    <w:rsid w:val="00B82637"/>
    <w:rsid w:val="00B826DC"/>
    <w:rsid w:val="00B82747"/>
    <w:rsid w:val="00B827CE"/>
    <w:rsid w:val="00B827F7"/>
    <w:rsid w:val="00B82AB9"/>
    <w:rsid w:val="00B82D99"/>
    <w:rsid w:val="00B82FC7"/>
    <w:rsid w:val="00B82FD3"/>
    <w:rsid w:val="00B832A4"/>
    <w:rsid w:val="00B83328"/>
    <w:rsid w:val="00B838FA"/>
    <w:rsid w:val="00B83900"/>
    <w:rsid w:val="00B8395C"/>
    <w:rsid w:val="00B83D58"/>
    <w:rsid w:val="00B83ED5"/>
    <w:rsid w:val="00B83EF1"/>
    <w:rsid w:val="00B84036"/>
    <w:rsid w:val="00B84121"/>
    <w:rsid w:val="00B843D7"/>
    <w:rsid w:val="00B8509E"/>
    <w:rsid w:val="00B853EA"/>
    <w:rsid w:val="00B85497"/>
    <w:rsid w:val="00B85562"/>
    <w:rsid w:val="00B8579A"/>
    <w:rsid w:val="00B85954"/>
    <w:rsid w:val="00B85EAF"/>
    <w:rsid w:val="00B85F27"/>
    <w:rsid w:val="00B85FBC"/>
    <w:rsid w:val="00B86195"/>
    <w:rsid w:val="00B8643E"/>
    <w:rsid w:val="00B86978"/>
    <w:rsid w:val="00B86F24"/>
    <w:rsid w:val="00B8700A"/>
    <w:rsid w:val="00B871F0"/>
    <w:rsid w:val="00B87373"/>
    <w:rsid w:val="00B87723"/>
    <w:rsid w:val="00B87816"/>
    <w:rsid w:val="00B8792B"/>
    <w:rsid w:val="00B87945"/>
    <w:rsid w:val="00B87A56"/>
    <w:rsid w:val="00B90785"/>
    <w:rsid w:val="00B9095A"/>
    <w:rsid w:val="00B90ADB"/>
    <w:rsid w:val="00B90C12"/>
    <w:rsid w:val="00B90E3E"/>
    <w:rsid w:val="00B9163E"/>
    <w:rsid w:val="00B91719"/>
    <w:rsid w:val="00B91738"/>
    <w:rsid w:val="00B91739"/>
    <w:rsid w:val="00B91928"/>
    <w:rsid w:val="00B919A7"/>
    <w:rsid w:val="00B91E30"/>
    <w:rsid w:val="00B9206B"/>
    <w:rsid w:val="00B92441"/>
    <w:rsid w:val="00B924E8"/>
    <w:rsid w:val="00B9271A"/>
    <w:rsid w:val="00B9295E"/>
    <w:rsid w:val="00B92F07"/>
    <w:rsid w:val="00B92FFF"/>
    <w:rsid w:val="00B930E3"/>
    <w:rsid w:val="00B9315C"/>
    <w:rsid w:val="00B931DB"/>
    <w:rsid w:val="00B93330"/>
    <w:rsid w:val="00B93B88"/>
    <w:rsid w:val="00B93D8E"/>
    <w:rsid w:val="00B93F35"/>
    <w:rsid w:val="00B94059"/>
    <w:rsid w:val="00B940DC"/>
    <w:rsid w:val="00B944DD"/>
    <w:rsid w:val="00B94621"/>
    <w:rsid w:val="00B94622"/>
    <w:rsid w:val="00B94BAF"/>
    <w:rsid w:val="00B95055"/>
    <w:rsid w:val="00B9553E"/>
    <w:rsid w:val="00B95589"/>
    <w:rsid w:val="00B955F0"/>
    <w:rsid w:val="00B95777"/>
    <w:rsid w:val="00B95D13"/>
    <w:rsid w:val="00B96041"/>
    <w:rsid w:val="00B962FA"/>
    <w:rsid w:val="00B963AB"/>
    <w:rsid w:val="00B96A11"/>
    <w:rsid w:val="00B96AAD"/>
    <w:rsid w:val="00B96B72"/>
    <w:rsid w:val="00B96C79"/>
    <w:rsid w:val="00B96DA2"/>
    <w:rsid w:val="00B96EC4"/>
    <w:rsid w:val="00B9721B"/>
    <w:rsid w:val="00B978A3"/>
    <w:rsid w:val="00B978C8"/>
    <w:rsid w:val="00B979B5"/>
    <w:rsid w:val="00B979C0"/>
    <w:rsid w:val="00B97F27"/>
    <w:rsid w:val="00B97FC0"/>
    <w:rsid w:val="00BA00E4"/>
    <w:rsid w:val="00BA0681"/>
    <w:rsid w:val="00BA06CC"/>
    <w:rsid w:val="00BA0802"/>
    <w:rsid w:val="00BA097F"/>
    <w:rsid w:val="00BA0AD1"/>
    <w:rsid w:val="00BA0C82"/>
    <w:rsid w:val="00BA0E8C"/>
    <w:rsid w:val="00BA0F88"/>
    <w:rsid w:val="00BA12D4"/>
    <w:rsid w:val="00BA1347"/>
    <w:rsid w:val="00BA17ED"/>
    <w:rsid w:val="00BA1873"/>
    <w:rsid w:val="00BA1C37"/>
    <w:rsid w:val="00BA1CEC"/>
    <w:rsid w:val="00BA1F31"/>
    <w:rsid w:val="00BA2197"/>
    <w:rsid w:val="00BA2582"/>
    <w:rsid w:val="00BA2BEE"/>
    <w:rsid w:val="00BA2CB8"/>
    <w:rsid w:val="00BA2CC4"/>
    <w:rsid w:val="00BA2D84"/>
    <w:rsid w:val="00BA2E5F"/>
    <w:rsid w:val="00BA3418"/>
    <w:rsid w:val="00BA35E8"/>
    <w:rsid w:val="00BA365A"/>
    <w:rsid w:val="00BA3867"/>
    <w:rsid w:val="00BA3D0B"/>
    <w:rsid w:val="00BA3D6B"/>
    <w:rsid w:val="00BA4103"/>
    <w:rsid w:val="00BA4132"/>
    <w:rsid w:val="00BA443D"/>
    <w:rsid w:val="00BA4CE7"/>
    <w:rsid w:val="00BA4E84"/>
    <w:rsid w:val="00BA50F7"/>
    <w:rsid w:val="00BA52FC"/>
    <w:rsid w:val="00BA54B0"/>
    <w:rsid w:val="00BA5A84"/>
    <w:rsid w:val="00BA5A9A"/>
    <w:rsid w:val="00BA5C9E"/>
    <w:rsid w:val="00BA650C"/>
    <w:rsid w:val="00BA65E7"/>
    <w:rsid w:val="00BA6B1F"/>
    <w:rsid w:val="00BA6B80"/>
    <w:rsid w:val="00BA70B8"/>
    <w:rsid w:val="00BA7376"/>
    <w:rsid w:val="00BA74A7"/>
    <w:rsid w:val="00BA74E9"/>
    <w:rsid w:val="00BA786F"/>
    <w:rsid w:val="00BA78CD"/>
    <w:rsid w:val="00BA7E91"/>
    <w:rsid w:val="00BA7F60"/>
    <w:rsid w:val="00BB00F9"/>
    <w:rsid w:val="00BB017E"/>
    <w:rsid w:val="00BB06A6"/>
    <w:rsid w:val="00BB06E0"/>
    <w:rsid w:val="00BB08DA"/>
    <w:rsid w:val="00BB09D6"/>
    <w:rsid w:val="00BB0CBD"/>
    <w:rsid w:val="00BB0D3F"/>
    <w:rsid w:val="00BB0F41"/>
    <w:rsid w:val="00BB0F92"/>
    <w:rsid w:val="00BB0F96"/>
    <w:rsid w:val="00BB1139"/>
    <w:rsid w:val="00BB1440"/>
    <w:rsid w:val="00BB160D"/>
    <w:rsid w:val="00BB1CF4"/>
    <w:rsid w:val="00BB1D90"/>
    <w:rsid w:val="00BB1EB8"/>
    <w:rsid w:val="00BB1F79"/>
    <w:rsid w:val="00BB2014"/>
    <w:rsid w:val="00BB27A7"/>
    <w:rsid w:val="00BB29AF"/>
    <w:rsid w:val="00BB2AA8"/>
    <w:rsid w:val="00BB2F12"/>
    <w:rsid w:val="00BB37B6"/>
    <w:rsid w:val="00BB3A7A"/>
    <w:rsid w:val="00BB3E80"/>
    <w:rsid w:val="00BB4064"/>
    <w:rsid w:val="00BB4281"/>
    <w:rsid w:val="00BB42C1"/>
    <w:rsid w:val="00BB454E"/>
    <w:rsid w:val="00BB49C0"/>
    <w:rsid w:val="00BB4E41"/>
    <w:rsid w:val="00BB5202"/>
    <w:rsid w:val="00BB5478"/>
    <w:rsid w:val="00BB5641"/>
    <w:rsid w:val="00BB5818"/>
    <w:rsid w:val="00BB5DB8"/>
    <w:rsid w:val="00BB5E8D"/>
    <w:rsid w:val="00BB648D"/>
    <w:rsid w:val="00BB6640"/>
    <w:rsid w:val="00BB67CF"/>
    <w:rsid w:val="00BB6A1F"/>
    <w:rsid w:val="00BB7221"/>
    <w:rsid w:val="00BB79C6"/>
    <w:rsid w:val="00BB7AC3"/>
    <w:rsid w:val="00BB7EAC"/>
    <w:rsid w:val="00BC0073"/>
    <w:rsid w:val="00BC0141"/>
    <w:rsid w:val="00BC0322"/>
    <w:rsid w:val="00BC0FDD"/>
    <w:rsid w:val="00BC1213"/>
    <w:rsid w:val="00BC1A51"/>
    <w:rsid w:val="00BC1F96"/>
    <w:rsid w:val="00BC21FA"/>
    <w:rsid w:val="00BC2B85"/>
    <w:rsid w:val="00BC2B8F"/>
    <w:rsid w:val="00BC2CB1"/>
    <w:rsid w:val="00BC31D5"/>
    <w:rsid w:val="00BC33A2"/>
    <w:rsid w:val="00BC3625"/>
    <w:rsid w:val="00BC366E"/>
    <w:rsid w:val="00BC36F1"/>
    <w:rsid w:val="00BC3714"/>
    <w:rsid w:val="00BC3793"/>
    <w:rsid w:val="00BC3878"/>
    <w:rsid w:val="00BC392A"/>
    <w:rsid w:val="00BC3D02"/>
    <w:rsid w:val="00BC3EEA"/>
    <w:rsid w:val="00BC3FE1"/>
    <w:rsid w:val="00BC4388"/>
    <w:rsid w:val="00BC4E64"/>
    <w:rsid w:val="00BC5402"/>
    <w:rsid w:val="00BC5B32"/>
    <w:rsid w:val="00BC5D23"/>
    <w:rsid w:val="00BC5D28"/>
    <w:rsid w:val="00BC5F2C"/>
    <w:rsid w:val="00BC5F68"/>
    <w:rsid w:val="00BC5FB5"/>
    <w:rsid w:val="00BC6141"/>
    <w:rsid w:val="00BC6257"/>
    <w:rsid w:val="00BC67E6"/>
    <w:rsid w:val="00BC68BF"/>
    <w:rsid w:val="00BC6ADC"/>
    <w:rsid w:val="00BC6B23"/>
    <w:rsid w:val="00BC6B40"/>
    <w:rsid w:val="00BC6DF0"/>
    <w:rsid w:val="00BC6EB1"/>
    <w:rsid w:val="00BC7343"/>
    <w:rsid w:val="00BC7953"/>
    <w:rsid w:val="00BC7A59"/>
    <w:rsid w:val="00BC7DB6"/>
    <w:rsid w:val="00BD005E"/>
    <w:rsid w:val="00BD010C"/>
    <w:rsid w:val="00BD05B8"/>
    <w:rsid w:val="00BD082B"/>
    <w:rsid w:val="00BD084F"/>
    <w:rsid w:val="00BD0A1A"/>
    <w:rsid w:val="00BD0EC8"/>
    <w:rsid w:val="00BD1111"/>
    <w:rsid w:val="00BD1117"/>
    <w:rsid w:val="00BD1672"/>
    <w:rsid w:val="00BD16EB"/>
    <w:rsid w:val="00BD1AEE"/>
    <w:rsid w:val="00BD1AF3"/>
    <w:rsid w:val="00BD1B65"/>
    <w:rsid w:val="00BD1BAA"/>
    <w:rsid w:val="00BD21F2"/>
    <w:rsid w:val="00BD230D"/>
    <w:rsid w:val="00BD24D1"/>
    <w:rsid w:val="00BD2610"/>
    <w:rsid w:val="00BD281A"/>
    <w:rsid w:val="00BD2B10"/>
    <w:rsid w:val="00BD2E51"/>
    <w:rsid w:val="00BD3047"/>
    <w:rsid w:val="00BD30F4"/>
    <w:rsid w:val="00BD3525"/>
    <w:rsid w:val="00BD3557"/>
    <w:rsid w:val="00BD3661"/>
    <w:rsid w:val="00BD39BF"/>
    <w:rsid w:val="00BD3D62"/>
    <w:rsid w:val="00BD416E"/>
    <w:rsid w:val="00BD43BE"/>
    <w:rsid w:val="00BD4970"/>
    <w:rsid w:val="00BD4A6D"/>
    <w:rsid w:val="00BD4AB8"/>
    <w:rsid w:val="00BD4D23"/>
    <w:rsid w:val="00BD4E17"/>
    <w:rsid w:val="00BD502F"/>
    <w:rsid w:val="00BD50EB"/>
    <w:rsid w:val="00BD542F"/>
    <w:rsid w:val="00BD5600"/>
    <w:rsid w:val="00BD57B3"/>
    <w:rsid w:val="00BD5B0F"/>
    <w:rsid w:val="00BD5C5E"/>
    <w:rsid w:val="00BD5ED5"/>
    <w:rsid w:val="00BD5FD1"/>
    <w:rsid w:val="00BD63C3"/>
    <w:rsid w:val="00BD6568"/>
    <w:rsid w:val="00BD66C7"/>
    <w:rsid w:val="00BD6804"/>
    <w:rsid w:val="00BD6814"/>
    <w:rsid w:val="00BD6A9A"/>
    <w:rsid w:val="00BD6EA9"/>
    <w:rsid w:val="00BD6F23"/>
    <w:rsid w:val="00BD7020"/>
    <w:rsid w:val="00BD7199"/>
    <w:rsid w:val="00BD73DD"/>
    <w:rsid w:val="00BD7799"/>
    <w:rsid w:val="00BD7801"/>
    <w:rsid w:val="00BD7933"/>
    <w:rsid w:val="00BD7BA6"/>
    <w:rsid w:val="00BD7E84"/>
    <w:rsid w:val="00BD7F8C"/>
    <w:rsid w:val="00BE0540"/>
    <w:rsid w:val="00BE070B"/>
    <w:rsid w:val="00BE117F"/>
    <w:rsid w:val="00BE11AB"/>
    <w:rsid w:val="00BE15F6"/>
    <w:rsid w:val="00BE16B2"/>
    <w:rsid w:val="00BE1CAE"/>
    <w:rsid w:val="00BE1DA9"/>
    <w:rsid w:val="00BE1F8D"/>
    <w:rsid w:val="00BE232C"/>
    <w:rsid w:val="00BE25FB"/>
    <w:rsid w:val="00BE2727"/>
    <w:rsid w:val="00BE2A8B"/>
    <w:rsid w:val="00BE2C7A"/>
    <w:rsid w:val="00BE3239"/>
    <w:rsid w:val="00BE33AE"/>
    <w:rsid w:val="00BE3636"/>
    <w:rsid w:val="00BE396F"/>
    <w:rsid w:val="00BE3EA3"/>
    <w:rsid w:val="00BE3EAE"/>
    <w:rsid w:val="00BE4206"/>
    <w:rsid w:val="00BE4303"/>
    <w:rsid w:val="00BE432B"/>
    <w:rsid w:val="00BE4FE4"/>
    <w:rsid w:val="00BE509A"/>
    <w:rsid w:val="00BE52AE"/>
    <w:rsid w:val="00BE5373"/>
    <w:rsid w:val="00BE59CD"/>
    <w:rsid w:val="00BE5BB1"/>
    <w:rsid w:val="00BE5FFC"/>
    <w:rsid w:val="00BE69AA"/>
    <w:rsid w:val="00BE6C19"/>
    <w:rsid w:val="00BE6CEE"/>
    <w:rsid w:val="00BE6D19"/>
    <w:rsid w:val="00BE7565"/>
    <w:rsid w:val="00BE7A5B"/>
    <w:rsid w:val="00BE7F97"/>
    <w:rsid w:val="00BF0417"/>
    <w:rsid w:val="00BF0464"/>
    <w:rsid w:val="00BF0545"/>
    <w:rsid w:val="00BF0F4A"/>
    <w:rsid w:val="00BF108B"/>
    <w:rsid w:val="00BF1091"/>
    <w:rsid w:val="00BF11D8"/>
    <w:rsid w:val="00BF1642"/>
    <w:rsid w:val="00BF18FA"/>
    <w:rsid w:val="00BF1AA4"/>
    <w:rsid w:val="00BF1B61"/>
    <w:rsid w:val="00BF1C28"/>
    <w:rsid w:val="00BF1F53"/>
    <w:rsid w:val="00BF1FC3"/>
    <w:rsid w:val="00BF2173"/>
    <w:rsid w:val="00BF2565"/>
    <w:rsid w:val="00BF28E0"/>
    <w:rsid w:val="00BF30F8"/>
    <w:rsid w:val="00BF3665"/>
    <w:rsid w:val="00BF39FE"/>
    <w:rsid w:val="00BF3A03"/>
    <w:rsid w:val="00BF3DC7"/>
    <w:rsid w:val="00BF4017"/>
    <w:rsid w:val="00BF418A"/>
    <w:rsid w:val="00BF46EA"/>
    <w:rsid w:val="00BF4B2C"/>
    <w:rsid w:val="00BF4D3C"/>
    <w:rsid w:val="00BF52C0"/>
    <w:rsid w:val="00BF5551"/>
    <w:rsid w:val="00BF5708"/>
    <w:rsid w:val="00BF5B2D"/>
    <w:rsid w:val="00BF5C3A"/>
    <w:rsid w:val="00BF5C98"/>
    <w:rsid w:val="00BF6011"/>
    <w:rsid w:val="00BF6054"/>
    <w:rsid w:val="00BF632F"/>
    <w:rsid w:val="00BF650F"/>
    <w:rsid w:val="00BF672B"/>
    <w:rsid w:val="00BF690C"/>
    <w:rsid w:val="00BF6B0B"/>
    <w:rsid w:val="00BF6B6F"/>
    <w:rsid w:val="00BF6DC5"/>
    <w:rsid w:val="00BF6E3B"/>
    <w:rsid w:val="00BF6E8B"/>
    <w:rsid w:val="00BF6ECE"/>
    <w:rsid w:val="00BF72F7"/>
    <w:rsid w:val="00BF736A"/>
    <w:rsid w:val="00BF7BAA"/>
    <w:rsid w:val="00C004CB"/>
    <w:rsid w:val="00C0109F"/>
    <w:rsid w:val="00C01216"/>
    <w:rsid w:val="00C013BC"/>
    <w:rsid w:val="00C0186F"/>
    <w:rsid w:val="00C01909"/>
    <w:rsid w:val="00C01D08"/>
    <w:rsid w:val="00C01D75"/>
    <w:rsid w:val="00C0209D"/>
    <w:rsid w:val="00C02577"/>
    <w:rsid w:val="00C02C53"/>
    <w:rsid w:val="00C033D8"/>
    <w:rsid w:val="00C033E4"/>
    <w:rsid w:val="00C03446"/>
    <w:rsid w:val="00C038A1"/>
    <w:rsid w:val="00C039DD"/>
    <w:rsid w:val="00C03BA3"/>
    <w:rsid w:val="00C03CB5"/>
    <w:rsid w:val="00C03D18"/>
    <w:rsid w:val="00C040FB"/>
    <w:rsid w:val="00C043C0"/>
    <w:rsid w:val="00C047C3"/>
    <w:rsid w:val="00C04967"/>
    <w:rsid w:val="00C04B0A"/>
    <w:rsid w:val="00C04ED5"/>
    <w:rsid w:val="00C04EF8"/>
    <w:rsid w:val="00C050F7"/>
    <w:rsid w:val="00C05117"/>
    <w:rsid w:val="00C0524D"/>
    <w:rsid w:val="00C052F3"/>
    <w:rsid w:val="00C05317"/>
    <w:rsid w:val="00C05466"/>
    <w:rsid w:val="00C055A3"/>
    <w:rsid w:val="00C056AF"/>
    <w:rsid w:val="00C056DF"/>
    <w:rsid w:val="00C05BA4"/>
    <w:rsid w:val="00C05C31"/>
    <w:rsid w:val="00C05CCF"/>
    <w:rsid w:val="00C05D81"/>
    <w:rsid w:val="00C05D8B"/>
    <w:rsid w:val="00C06192"/>
    <w:rsid w:val="00C063B6"/>
    <w:rsid w:val="00C067A3"/>
    <w:rsid w:val="00C06AD9"/>
    <w:rsid w:val="00C06C3E"/>
    <w:rsid w:val="00C06F1D"/>
    <w:rsid w:val="00C06F2F"/>
    <w:rsid w:val="00C06FDE"/>
    <w:rsid w:val="00C07001"/>
    <w:rsid w:val="00C0728D"/>
    <w:rsid w:val="00C07981"/>
    <w:rsid w:val="00C079E7"/>
    <w:rsid w:val="00C07AB4"/>
    <w:rsid w:val="00C07CE2"/>
    <w:rsid w:val="00C07D1E"/>
    <w:rsid w:val="00C07D24"/>
    <w:rsid w:val="00C07D71"/>
    <w:rsid w:val="00C07F4C"/>
    <w:rsid w:val="00C07F82"/>
    <w:rsid w:val="00C10077"/>
    <w:rsid w:val="00C1019F"/>
    <w:rsid w:val="00C106B9"/>
    <w:rsid w:val="00C10753"/>
    <w:rsid w:val="00C1091C"/>
    <w:rsid w:val="00C10F75"/>
    <w:rsid w:val="00C111B0"/>
    <w:rsid w:val="00C1135E"/>
    <w:rsid w:val="00C11737"/>
    <w:rsid w:val="00C11772"/>
    <w:rsid w:val="00C11822"/>
    <w:rsid w:val="00C11B5C"/>
    <w:rsid w:val="00C11BA1"/>
    <w:rsid w:val="00C11BB5"/>
    <w:rsid w:val="00C11C90"/>
    <w:rsid w:val="00C125C6"/>
    <w:rsid w:val="00C12CB5"/>
    <w:rsid w:val="00C12E87"/>
    <w:rsid w:val="00C12FFC"/>
    <w:rsid w:val="00C13571"/>
    <w:rsid w:val="00C13627"/>
    <w:rsid w:val="00C1364E"/>
    <w:rsid w:val="00C13A44"/>
    <w:rsid w:val="00C13AF3"/>
    <w:rsid w:val="00C13F7C"/>
    <w:rsid w:val="00C14A84"/>
    <w:rsid w:val="00C14B22"/>
    <w:rsid w:val="00C14F19"/>
    <w:rsid w:val="00C15156"/>
    <w:rsid w:val="00C15520"/>
    <w:rsid w:val="00C15A10"/>
    <w:rsid w:val="00C15A1B"/>
    <w:rsid w:val="00C15A1D"/>
    <w:rsid w:val="00C15AE0"/>
    <w:rsid w:val="00C15BFA"/>
    <w:rsid w:val="00C15DAD"/>
    <w:rsid w:val="00C15F02"/>
    <w:rsid w:val="00C15FA3"/>
    <w:rsid w:val="00C161D0"/>
    <w:rsid w:val="00C1622F"/>
    <w:rsid w:val="00C165FF"/>
    <w:rsid w:val="00C16DA4"/>
    <w:rsid w:val="00C17414"/>
    <w:rsid w:val="00C17437"/>
    <w:rsid w:val="00C1756D"/>
    <w:rsid w:val="00C176EC"/>
    <w:rsid w:val="00C177E7"/>
    <w:rsid w:val="00C179AC"/>
    <w:rsid w:val="00C17BA8"/>
    <w:rsid w:val="00C17BE2"/>
    <w:rsid w:val="00C17C29"/>
    <w:rsid w:val="00C17C47"/>
    <w:rsid w:val="00C17E5E"/>
    <w:rsid w:val="00C17EAF"/>
    <w:rsid w:val="00C208F0"/>
    <w:rsid w:val="00C20B80"/>
    <w:rsid w:val="00C20D22"/>
    <w:rsid w:val="00C20FA5"/>
    <w:rsid w:val="00C21377"/>
    <w:rsid w:val="00C21523"/>
    <w:rsid w:val="00C21917"/>
    <w:rsid w:val="00C2195D"/>
    <w:rsid w:val="00C21989"/>
    <w:rsid w:val="00C21D97"/>
    <w:rsid w:val="00C21DE1"/>
    <w:rsid w:val="00C21E5A"/>
    <w:rsid w:val="00C21F0C"/>
    <w:rsid w:val="00C2200E"/>
    <w:rsid w:val="00C22039"/>
    <w:rsid w:val="00C22065"/>
    <w:rsid w:val="00C220AC"/>
    <w:rsid w:val="00C223A4"/>
    <w:rsid w:val="00C22651"/>
    <w:rsid w:val="00C228E5"/>
    <w:rsid w:val="00C22A87"/>
    <w:rsid w:val="00C22B77"/>
    <w:rsid w:val="00C22C2A"/>
    <w:rsid w:val="00C22C4F"/>
    <w:rsid w:val="00C22F6C"/>
    <w:rsid w:val="00C22F87"/>
    <w:rsid w:val="00C230D9"/>
    <w:rsid w:val="00C233DE"/>
    <w:rsid w:val="00C23668"/>
    <w:rsid w:val="00C23E7D"/>
    <w:rsid w:val="00C242EA"/>
    <w:rsid w:val="00C24322"/>
    <w:rsid w:val="00C246C3"/>
    <w:rsid w:val="00C24753"/>
    <w:rsid w:val="00C24835"/>
    <w:rsid w:val="00C24A76"/>
    <w:rsid w:val="00C24AC9"/>
    <w:rsid w:val="00C24C82"/>
    <w:rsid w:val="00C255AD"/>
    <w:rsid w:val="00C258FE"/>
    <w:rsid w:val="00C25A22"/>
    <w:rsid w:val="00C25CDB"/>
    <w:rsid w:val="00C25D41"/>
    <w:rsid w:val="00C25F63"/>
    <w:rsid w:val="00C25FAA"/>
    <w:rsid w:val="00C2601A"/>
    <w:rsid w:val="00C260C7"/>
    <w:rsid w:val="00C2614A"/>
    <w:rsid w:val="00C264D9"/>
    <w:rsid w:val="00C26590"/>
    <w:rsid w:val="00C267B7"/>
    <w:rsid w:val="00C26D58"/>
    <w:rsid w:val="00C26E69"/>
    <w:rsid w:val="00C27057"/>
    <w:rsid w:val="00C27341"/>
    <w:rsid w:val="00C27433"/>
    <w:rsid w:val="00C27642"/>
    <w:rsid w:val="00C27643"/>
    <w:rsid w:val="00C27854"/>
    <w:rsid w:val="00C27D17"/>
    <w:rsid w:val="00C27E18"/>
    <w:rsid w:val="00C27EC5"/>
    <w:rsid w:val="00C27F3D"/>
    <w:rsid w:val="00C30684"/>
    <w:rsid w:val="00C306FD"/>
    <w:rsid w:val="00C3078B"/>
    <w:rsid w:val="00C30958"/>
    <w:rsid w:val="00C30EA8"/>
    <w:rsid w:val="00C30F6D"/>
    <w:rsid w:val="00C30F73"/>
    <w:rsid w:val="00C31073"/>
    <w:rsid w:val="00C3122E"/>
    <w:rsid w:val="00C3183C"/>
    <w:rsid w:val="00C31C2C"/>
    <w:rsid w:val="00C31D1C"/>
    <w:rsid w:val="00C31D50"/>
    <w:rsid w:val="00C32007"/>
    <w:rsid w:val="00C321FD"/>
    <w:rsid w:val="00C324EA"/>
    <w:rsid w:val="00C3256B"/>
    <w:rsid w:val="00C32F1F"/>
    <w:rsid w:val="00C32F6A"/>
    <w:rsid w:val="00C33420"/>
    <w:rsid w:val="00C3356C"/>
    <w:rsid w:val="00C339FD"/>
    <w:rsid w:val="00C33BC9"/>
    <w:rsid w:val="00C340C9"/>
    <w:rsid w:val="00C3474E"/>
    <w:rsid w:val="00C34C63"/>
    <w:rsid w:val="00C351A4"/>
    <w:rsid w:val="00C352A1"/>
    <w:rsid w:val="00C35408"/>
    <w:rsid w:val="00C356CD"/>
    <w:rsid w:val="00C35A0B"/>
    <w:rsid w:val="00C35D76"/>
    <w:rsid w:val="00C35EA2"/>
    <w:rsid w:val="00C35EB5"/>
    <w:rsid w:val="00C3609B"/>
    <w:rsid w:val="00C3616B"/>
    <w:rsid w:val="00C364FF"/>
    <w:rsid w:val="00C366C0"/>
    <w:rsid w:val="00C3681A"/>
    <w:rsid w:val="00C36C07"/>
    <w:rsid w:val="00C36E00"/>
    <w:rsid w:val="00C371E3"/>
    <w:rsid w:val="00C3745F"/>
    <w:rsid w:val="00C3752D"/>
    <w:rsid w:val="00C37712"/>
    <w:rsid w:val="00C37870"/>
    <w:rsid w:val="00C3794A"/>
    <w:rsid w:val="00C37A02"/>
    <w:rsid w:val="00C37AC9"/>
    <w:rsid w:val="00C401EE"/>
    <w:rsid w:val="00C406F3"/>
    <w:rsid w:val="00C4099C"/>
    <w:rsid w:val="00C40BC3"/>
    <w:rsid w:val="00C40BD7"/>
    <w:rsid w:val="00C40CF0"/>
    <w:rsid w:val="00C40D00"/>
    <w:rsid w:val="00C40E0D"/>
    <w:rsid w:val="00C40E17"/>
    <w:rsid w:val="00C40E66"/>
    <w:rsid w:val="00C41826"/>
    <w:rsid w:val="00C41CAE"/>
    <w:rsid w:val="00C41CF3"/>
    <w:rsid w:val="00C41F0E"/>
    <w:rsid w:val="00C4243F"/>
    <w:rsid w:val="00C425BA"/>
    <w:rsid w:val="00C428B4"/>
    <w:rsid w:val="00C42908"/>
    <w:rsid w:val="00C42AD7"/>
    <w:rsid w:val="00C42E15"/>
    <w:rsid w:val="00C432CC"/>
    <w:rsid w:val="00C437E4"/>
    <w:rsid w:val="00C43B57"/>
    <w:rsid w:val="00C43DD6"/>
    <w:rsid w:val="00C43E7D"/>
    <w:rsid w:val="00C43FE4"/>
    <w:rsid w:val="00C449A5"/>
    <w:rsid w:val="00C449D8"/>
    <w:rsid w:val="00C44CE0"/>
    <w:rsid w:val="00C44F09"/>
    <w:rsid w:val="00C44F0B"/>
    <w:rsid w:val="00C44F61"/>
    <w:rsid w:val="00C45330"/>
    <w:rsid w:val="00C4585B"/>
    <w:rsid w:val="00C45894"/>
    <w:rsid w:val="00C45F9F"/>
    <w:rsid w:val="00C45FCB"/>
    <w:rsid w:val="00C463FB"/>
    <w:rsid w:val="00C46417"/>
    <w:rsid w:val="00C46808"/>
    <w:rsid w:val="00C468DF"/>
    <w:rsid w:val="00C46B31"/>
    <w:rsid w:val="00C46EF8"/>
    <w:rsid w:val="00C470E4"/>
    <w:rsid w:val="00C472E2"/>
    <w:rsid w:val="00C47609"/>
    <w:rsid w:val="00C47765"/>
    <w:rsid w:val="00C47789"/>
    <w:rsid w:val="00C4795B"/>
    <w:rsid w:val="00C47C0A"/>
    <w:rsid w:val="00C47E87"/>
    <w:rsid w:val="00C47EF8"/>
    <w:rsid w:val="00C47FE0"/>
    <w:rsid w:val="00C5004B"/>
    <w:rsid w:val="00C5062C"/>
    <w:rsid w:val="00C50E38"/>
    <w:rsid w:val="00C51104"/>
    <w:rsid w:val="00C515D6"/>
    <w:rsid w:val="00C51832"/>
    <w:rsid w:val="00C51882"/>
    <w:rsid w:val="00C51AA9"/>
    <w:rsid w:val="00C51AF8"/>
    <w:rsid w:val="00C5246B"/>
    <w:rsid w:val="00C525C6"/>
    <w:rsid w:val="00C525E6"/>
    <w:rsid w:val="00C5293B"/>
    <w:rsid w:val="00C5349D"/>
    <w:rsid w:val="00C53573"/>
    <w:rsid w:val="00C53731"/>
    <w:rsid w:val="00C53799"/>
    <w:rsid w:val="00C53829"/>
    <w:rsid w:val="00C53B4C"/>
    <w:rsid w:val="00C5402D"/>
    <w:rsid w:val="00C544A5"/>
    <w:rsid w:val="00C548A3"/>
    <w:rsid w:val="00C548A4"/>
    <w:rsid w:val="00C54CE4"/>
    <w:rsid w:val="00C54E30"/>
    <w:rsid w:val="00C5517B"/>
    <w:rsid w:val="00C551A3"/>
    <w:rsid w:val="00C556CF"/>
    <w:rsid w:val="00C5570F"/>
    <w:rsid w:val="00C55D44"/>
    <w:rsid w:val="00C565E1"/>
    <w:rsid w:val="00C568BE"/>
    <w:rsid w:val="00C5692B"/>
    <w:rsid w:val="00C56A8A"/>
    <w:rsid w:val="00C56CE9"/>
    <w:rsid w:val="00C56DC5"/>
    <w:rsid w:val="00C56E67"/>
    <w:rsid w:val="00C56F68"/>
    <w:rsid w:val="00C56FFB"/>
    <w:rsid w:val="00C5729D"/>
    <w:rsid w:val="00C57ED2"/>
    <w:rsid w:val="00C602B7"/>
    <w:rsid w:val="00C607F6"/>
    <w:rsid w:val="00C60E3D"/>
    <w:rsid w:val="00C61848"/>
    <w:rsid w:val="00C6186B"/>
    <w:rsid w:val="00C61AF1"/>
    <w:rsid w:val="00C61D68"/>
    <w:rsid w:val="00C61F22"/>
    <w:rsid w:val="00C61FFD"/>
    <w:rsid w:val="00C6217D"/>
    <w:rsid w:val="00C623A0"/>
    <w:rsid w:val="00C6257C"/>
    <w:rsid w:val="00C62DCF"/>
    <w:rsid w:val="00C62DE9"/>
    <w:rsid w:val="00C63064"/>
    <w:rsid w:val="00C631D1"/>
    <w:rsid w:val="00C63240"/>
    <w:rsid w:val="00C63274"/>
    <w:rsid w:val="00C6327B"/>
    <w:rsid w:val="00C63318"/>
    <w:rsid w:val="00C63492"/>
    <w:rsid w:val="00C6349A"/>
    <w:rsid w:val="00C63577"/>
    <w:rsid w:val="00C63622"/>
    <w:rsid w:val="00C636A6"/>
    <w:rsid w:val="00C63730"/>
    <w:rsid w:val="00C63B58"/>
    <w:rsid w:val="00C63DEF"/>
    <w:rsid w:val="00C63EC8"/>
    <w:rsid w:val="00C6443A"/>
    <w:rsid w:val="00C64A5F"/>
    <w:rsid w:val="00C64F2C"/>
    <w:rsid w:val="00C651D4"/>
    <w:rsid w:val="00C652E1"/>
    <w:rsid w:val="00C653EF"/>
    <w:rsid w:val="00C65443"/>
    <w:rsid w:val="00C657E6"/>
    <w:rsid w:val="00C65C5D"/>
    <w:rsid w:val="00C661B5"/>
    <w:rsid w:val="00C661FD"/>
    <w:rsid w:val="00C664EA"/>
    <w:rsid w:val="00C66629"/>
    <w:rsid w:val="00C66786"/>
    <w:rsid w:val="00C668DD"/>
    <w:rsid w:val="00C66D0A"/>
    <w:rsid w:val="00C66F22"/>
    <w:rsid w:val="00C674A5"/>
    <w:rsid w:val="00C6759A"/>
    <w:rsid w:val="00C67700"/>
    <w:rsid w:val="00C67710"/>
    <w:rsid w:val="00C677ED"/>
    <w:rsid w:val="00C70622"/>
    <w:rsid w:val="00C70631"/>
    <w:rsid w:val="00C70B39"/>
    <w:rsid w:val="00C70BDA"/>
    <w:rsid w:val="00C70CAD"/>
    <w:rsid w:val="00C70F98"/>
    <w:rsid w:val="00C713BE"/>
    <w:rsid w:val="00C7151E"/>
    <w:rsid w:val="00C7179F"/>
    <w:rsid w:val="00C71B9B"/>
    <w:rsid w:val="00C72241"/>
    <w:rsid w:val="00C7270A"/>
    <w:rsid w:val="00C727A6"/>
    <w:rsid w:val="00C72ACE"/>
    <w:rsid w:val="00C72AE7"/>
    <w:rsid w:val="00C730EC"/>
    <w:rsid w:val="00C73112"/>
    <w:rsid w:val="00C73199"/>
    <w:rsid w:val="00C7328F"/>
    <w:rsid w:val="00C73594"/>
    <w:rsid w:val="00C7361D"/>
    <w:rsid w:val="00C73A82"/>
    <w:rsid w:val="00C73A94"/>
    <w:rsid w:val="00C73D83"/>
    <w:rsid w:val="00C73F2B"/>
    <w:rsid w:val="00C73F95"/>
    <w:rsid w:val="00C745D5"/>
    <w:rsid w:val="00C747D8"/>
    <w:rsid w:val="00C749F9"/>
    <w:rsid w:val="00C74C44"/>
    <w:rsid w:val="00C74DFF"/>
    <w:rsid w:val="00C74FC7"/>
    <w:rsid w:val="00C74FFE"/>
    <w:rsid w:val="00C75083"/>
    <w:rsid w:val="00C75428"/>
    <w:rsid w:val="00C755E9"/>
    <w:rsid w:val="00C75772"/>
    <w:rsid w:val="00C758C5"/>
    <w:rsid w:val="00C759BB"/>
    <w:rsid w:val="00C75CB4"/>
    <w:rsid w:val="00C75CC5"/>
    <w:rsid w:val="00C75CD2"/>
    <w:rsid w:val="00C76109"/>
    <w:rsid w:val="00C7677C"/>
    <w:rsid w:val="00C770AF"/>
    <w:rsid w:val="00C77C02"/>
    <w:rsid w:val="00C802A2"/>
    <w:rsid w:val="00C80592"/>
    <w:rsid w:val="00C806B9"/>
    <w:rsid w:val="00C80729"/>
    <w:rsid w:val="00C808AC"/>
    <w:rsid w:val="00C80C77"/>
    <w:rsid w:val="00C80D37"/>
    <w:rsid w:val="00C80FB0"/>
    <w:rsid w:val="00C814CC"/>
    <w:rsid w:val="00C8155A"/>
    <w:rsid w:val="00C815BB"/>
    <w:rsid w:val="00C817F8"/>
    <w:rsid w:val="00C81A5B"/>
    <w:rsid w:val="00C81A92"/>
    <w:rsid w:val="00C81B98"/>
    <w:rsid w:val="00C81DA7"/>
    <w:rsid w:val="00C8206A"/>
    <w:rsid w:val="00C820BA"/>
    <w:rsid w:val="00C822E2"/>
    <w:rsid w:val="00C827B9"/>
    <w:rsid w:val="00C82EF6"/>
    <w:rsid w:val="00C8308B"/>
    <w:rsid w:val="00C83255"/>
    <w:rsid w:val="00C8360B"/>
    <w:rsid w:val="00C837FA"/>
    <w:rsid w:val="00C83906"/>
    <w:rsid w:val="00C83C0C"/>
    <w:rsid w:val="00C83DE9"/>
    <w:rsid w:val="00C84191"/>
    <w:rsid w:val="00C842F2"/>
    <w:rsid w:val="00C8443E"/>
    <w:rsid w:val="00C848BF"/>
    <w:rsid w:val="00C84A43"/>
    <w:rsid w:val="00C84B08"/>
    <w:rsid w:val="00C84D8D"/>
    <w:rsid w:val="00C855CF"/>
    <w:rsid w:val="00C858F7"/>
    <w:rsid w:val="00C8594B"/>
    <w:rsid w:val="00C85975"/>
    <w:rsid w:val="00C85C17"/>
    <w:rsid w:val="00C86118"/>
    <w:rsid w:val="00C869D5"/>
    <w:rsid w:val="00C86B48"/>
    <w:rsid w:val="00C86CD5"/>
    <w:rsid w:val="00C87004"/>
    <w:rsid w:val="00C8744A"/>
    <w:rsid w:val="00C875ED"/>
    <w:rsid w:val="00C87622"/>
    <w:rsid w:val="00C8777D"/>
    <w:rsid w:val="00C87911"/>
    <w:rsid w:val="00C87A5C"/>
    <w:rsid w:val="00C87B8A"/>
    <w:rsid w:val="00C87DC8"/>
    <w:rsid w:val="00C87E4A"/>
    <w:rsid w:val="00C90028"/>
    <w:rsid w:val="00C90903"/>
    <w:rsid w:val="00C9099D"/>
    <w:rsid w:val="00C909A1"/>
    <w:rsid w:val="00C91774"/>
    <w:rsid w:val="00C9190F"/>
    <w:rsid w:val="00C919BB"/>
    <w:rsid w:val="00C91C2B"/>
    <w:rsid w:val="00C91C3E"/>
    <w:rsid w:val="00C92259"/>
    <w:rsid w:val="00C92400"/>
    <w:rsid w:val="00C92A2B"/>
    <w:rsid w:val="00C92B0F"/>
    <w:rsid w:val="00C92DD7"/>
    <w:rsid w:val="00C93544"/>
    <w:rsid w:val="00C938ED"/>
    <w:rsid w:val="00C93CAF"/>
    <w:rsid w:val="00C944A5"/>
    <w:rsid w:val="00C94642"/>
    <w:rsid w:val="00C94735"/>
    <w:rsid w:val="00C95031"/>
    <w:rsid w:val="00C95082"/>
    <w:rsid w:val="00C95490"/>
    <w:rsid w:val="00C9575F"/>
    <w:rsid w:val="00C9576C"/>
    <w:rsid w:val="00C959AB"/>
    <w:rsid w:val="00C95A51"/>
    <w:rsid w:val="00C95B8E"/>
    <w:rsid w:val="00C95CAA"/>
    <w:rsid w:val="00C95D8C"/>
    <w:rsid w:val="00C961EE"/>
    <w:rsid w:val="00C9689E"/>
    <w:rsid w:val="00C96914"/>
    <w:rsid w:val="00C96978"/>
    <w:rsid w:val="00C9721C"/>
    <w:rsid w:val="00C9758E"/>
    <w:rsid w:val="00C97635"/>
    <w:rsid w:val="00C977AA"/>
    <w:rsid w:val="00C977F8"/>
    <w:rsid w:val="00C9788A"/>
    <w:rsid w:val="00C978C7"/>
    <w:rsid w:val="00C97919"/>
    <w:rsid w:val="00CA0176"/>
    <w:rsid w:val="00CA0315"/>
    <w:rsid w:val="00CA07CE"/>
    <w:rsid w:val="00CA08D5"/>
    <w:rsid w:val="00CA0DBF"/>
    <w:rsid w:val="00CA0FB1"/>
    <w:rsid w:val="00CA134E"/>
    <w:rsid w:val="00CA14C1"/>
    <w:rsid w:val="00CA1AC9"/>
    <w:rsid w:val="00CA1CB0"/>
    <w:rsid w:val="00CA1EF4"/>
    <w:rsid w:val="00CA2954"/>
    <w:rsid w:val="00CA29F9"/>
    <w:rsid w:val="00CA2A97"/>
    <w:rsid w:val="00CA3427"/>
    <w:rsid w:val="00CA3773"/>
    <w:rsid w:val="00CA3A20"/>
    <w:rsid w:val="00CA3A49"/>
    <w:rsid w:val="00CA3CC7"/>
    <w:rsid w:val="00CA3DBC"/>
    <w:rsid w:val="00CA3E27"/>
    <w:rsid w:val="00CA3FBB"/>
    <w:rsid w:val="00CA44B6"/>
    <w:rsid w:val="00CA452A"/>
    <w:rsid w:val="00CA4640"/>
    <w:rsid w:val="00CA4A6C"/>
    <w:rsid w:val="00CA4AF8"/>
    <w:rsid w:val="00CA4D2C"/>
    <w:rsid w:val="00CA4EB7"/>
    <w:rsid w:val="00CA4F4A"/>
    <w:rsid w:val="00CA4FCB"/>
    <w:rsid w:val="00CA5042"/>
    <w:rsid w:val="00CA5129"/>
    <w:rsid w:val="00CA51A9"/>
    <w:rsid w:val="00CA52B2"/>
    <w:rsid w:val="00CA543A"/>
    <w:rsid w:val="00CA593A"/>
    <w:rsid w:val="00CA5A2B"/>
    <w:rsid w:val="00CA5CA3"/>
    <w:rsid w:val="00CA5D27"/>
    <w:rsid w:val="00CA5E85"/>
    <w:rsid w:val="00CA6090"/>
    <w:rsid w:val="00CA6189"/>
    <w:rsid w:val="00CA6315"/>
    <w:rsid w:val="00CA63D2"/>
    <w:rsid w:val="00CA64B0"/>
    <w:rsid w:val="00CA6A33"/>
    <w:rsid w:val="00CA6D85"/>
    <w:rsid w:val="00CA6D8D"/>
    <w:rsid w:val="00CA72AC"/>
    <w:rsid w:val="00CA7607"/>
    <w:rsid w:val="00CA7633"/>
    <w:rsid w:val="00CA7D89"/>
    <w:rsid w:val="00CA7EF2"/>
    <w:rsid w:val="00CA7F29"/>
    <w:rsid w:val="00CB00B2"/>
    <w:rsid w:val="00CB035A"/>
    <w:rsid w:val="00CB0505"/>
    <w:rsid w:val="00CB0F79"/>
    <w:rsid w:val="00CB0FCA"/>
    <w:rsid w:val="00CB12C1"/>
    <w:rsid w:val="00CB134F"/>
    <w:rsid w:val="00CB1683"/>
    <w:rsid w:val="00CB17EF"/>
    <w:rsid w:val="00CB1854"/>
    <w:rsid w:val="00CB19B2"/>
    <w:rsid w:val="00CB1A04"/>
    <w:rsid w:val="00CB1DE8"/>
    <w:rsid w:val="00CB1F16"/>
    <w:rsid w:val="00CB1F3A"/>
    <w:rsid w:val="00CB2045"/>
    <w:rsid w:val="00CB20D2"/>
    <w:rsid w:val="00CB23F2"/>
    <w:rsid w:val="00CB2510"/>
    <w:rsid w:val="00CB269A"/>
    <w:rsid w:val="00CB2B0B"/>
    <w:rsid w:val="00CB2DBD"/>
    <w:rsid w:val="00CB3777"/>
    <w:rsid w:val="00CB3F01"/>
    <w:rsid w:val="00CB4259"/>
    <w:rsid w:val="00CB4346"/>
    <w:rsid w:val="00CB43D8"/>
    <w:rsid w:val="00CB4406"/>
    <w:rsid w:val="00CB461A"/>
    <w:rsid w:val="00CB4824"/>
    <w:rsid w:val="00CB4936"/>
    <w:rsid w:val="00CB4FF7"/>
    <w:rsid w:val="00CB501B"/>
    <w:rsid w:val="00CB534E"/>
    <w:rsid w:val="00CB5732"/>
    <w:rsid w:val="00CB57A8"/>
    <w:rsid w:val="00CB5A71"/>
    <w:rsid w:val="00CB5BFA"/>
    <w:rsid w:val="00CB6B1F"/>
    <w:rsid w:val="00CB6EEA"/>
    <w:rsid w:val="00CB71D7"/>
    <w:rsid w:val="00CB7331"/>
    <w:rsid w:val="00CB7615"/>
    <w:rsid w:val="00CB7961"/>
    <w:rsid w:val="00CB7A27"/>
    <w:rsid w:val="00CB7DCB"/>
    <w:rsid w:val="00CB7ED6"/>
    <w:rsid w:val="00CC04AF"/>
    <w:rsid w:val="00CC057B"/>
    <w:rsid w:val="00CC0720"/>
    <w:rsid w:val="00CC08A2"/>
    <w:rsid w:val="00CC08C3"/>
    <w:rsid w:val="00CC0A90"/>
    <w:rsid w:val="00CC0BBC"/>
    <w:rsid w:val="00CC0D32"/>
    <w:rsid w:val="00CC0D95"/>
    <w:rsid w:val="00CC1273"/>
    <w:rsid w:val="00CC136A"/>
    <w:rsid w:val="00CC14A0"/>
    <w:rsid w:val="00CC153E"/>
    <w:rsid w:val="00CC1655"/>
    <w:rsid w:val="00CC195A"/>
    <w:rsid w:val="00CC1B3E"/>
    <w:rsid w:val="00CC1B78"/>
    <w:rsid w:val="00CC1CF8"/>
    <w:rsid w:val="00CC1E3F"/>
    <w:rsid w:val="00CC1F2B"/>
    <w:rsid w:val="00CC232A"/>
    <w:rsid w:val="00CC294E"/>
    <w:rsid w:val="00CC2A55"/>
    <w:rsid w:val="00CC2B3E"/>
    <w:rsid w:val="00CC2B51"/>
    <w:rsid w:val="00CC33B1"/>
    <w:rsid w:val="00CC3720"/>
    <w:rsid w:val="00CC375A"/>
    <w:rsid w:val="00CC3761"/>
    <w:rsid w:val="00CC3880"/>
    <w:rsid w:val="00CC3C5A"/>
    <w:rsid w:val="00CC3CF5"/>
    <w:rsid w:val="00CC3E9A"/>
    <w:rsid w:val="00CC432A"/>
    <w:rsid w:val="00CC476B"/>
    <w:rsid w:val="00CC4CCE"/>
    <w:rsid w:val="00CC5237"/>
    <w:rsid w:val="00CC526F"/>
    <w:rsid w:val="00CC5360"/>
    <w:rsid w:val="00CC5419"/>
    <w:rsid w:val="00CC5607"/>
    <w:rsid w:val="00CC56CE"/>
    <w:rsid w:val="00CC573E"/>
    <w:rsid w:val="00CC5A88"/>
    <w:rsid w:val="00CC5D70"/>
    <w:rsid w:val="00CC5F17"/>
    <w:rsid w:val="00CC6423"/>
    <w:rsid w:val="00CC64EC"/>
    <w:rsid w:val="00CC6818"/>
    <w:rsid w:val="00CC6FB5"/>
    <w:rsid w:val="00CC717D"/>
    <w:rsid w:val="00CC7396"/>
    <w:rsid w:val="00CC79AE"/>
    <w:rsid w:val="00CC7CD7"/>
    <w:rsid w:val="00CD006A"/>
    <w:rsid w:val="00CD03C0"/>
    <w:rsid w:val="00CD04C8"/>
    <w:rsid w:val="00CD0A1D"/>
    <w:rsid w:val="00CD0E07"/>
    <w:rsid w:val="00CD1043"/>
    <w:rsid w:val="00CD1198"/>
    <w:rsid w:val="00CD16A7"/>
    <w:rsid w:val="00CD1782"/>
    <w:rsid w:val="00CD1A07"/>
    <w:rsid w:val="00CD1D48"/>
    <w:rsid w:val="00CD1FFA"/>
    <w:rsid w:val="00CD2293"/>
    <w:rsid w:val="00CD24F3"/>
    <w:rsid w:val="00CD25DF"/>
    <w:rsid w:val="00CD2753"/>
    <w:rsid w:val="00CD2AC6"/>
    <w:rsid w:val="00CD2C2F"/>
    <w:rsid w:val="00CD2EB9"/>
    <w:rsid w:val="00CD3566"/>
    <w:rsid w:val="00CD3ABB"/>
    <w:rsid w:val="00CD3DEA"/>
    <w:rsid w:val="00CD3ECA"/>
    <w:rsid w:val="00CD3F17"/>
    <w:rsid w:val="00CD429A"/>
    <w:rsid w:val="00CD42B3"/>
    <w:rsid w:val="00CD430E"/>
    <w:rsid w:val="00CD485C"/>
    <w:rsid w:val="00CD4862"/>
    <w:rsid w:val="00CD4868"/>
    <w:rsid w:val="00CD4A7C"/>
    <w:rsid w:val="00CD4B43"/>
    <w:rsid w:val="00CD4FC2"/>
    <w:rsid w:val="00CD551C"/>
    <w:rsid w:val="00CD630F"/>
    <w:rsid w:val="00CD6635"/>
    <w:rsid w:val="00CD6942"/>
    <w:rsid w:val="00CD6D7D"/>
    <w:rsid w:val="00CD6E01"/>
    <w:rsid w:val="00CD70F5"/>
    <w:rsid w:val="00CD7BAD"/>
    <w:rsid w:val="00CD7E0E"/>
    <w:rsid w:val="00CE0019"/>
    <w:rsid w:val="00CE0267"/>
    <w:rsid w:val="00CE02D7"/>
    <w:rsid w:val="00CE0493"/>
    <w:rsid w:val="00CE0531"/>
    <w:rsid w:val="00CE0682"/>
    <w:rsid w:val="00CE09DA"/>
    <w:rsid w:val="00CE0E2C"/>
    <w:rsid w:val="00CE0E53"/>
    <w:rsid w:val="00CE10D9"/>
    <w:rsid w:val="00CE155A"/>
    <w:rsid w:val="00CE16C1"/>
    <w:rsid w:val="00CE1878"/>
    <w:rsid w:val="00CE1DCB"/>
    <w:rsid w:val="00CE1E30"/>
    <w:rsid w:val="00CE2221"/>
    <w:rsid w:val="00CE22E5"/>
    <w:rsid w:val="00CE2674"/>
    <w:rsid w:val="00CE2AAF"/>
    <w:rsid w:val="00CE2FA1"/>
    <w:rsid w:val="00CE3190"/>
    <w:rsid w:val="00CE338A"/>
    <w:rsid w:val="00CE373E"/>
    <w:rsid w:val="00CE3813"/>
    <w:rsid w:val="00CE3E30"/>
    <w:rsid w:val="00CE4193"/>
    <w:rsid w:val="00CE4478"/>
    <w:rsid w:val="00CE464A"/>
    <w:rsid w:val="00CE48EB"/>
    <w:rsid w:val="00CE4BFF"/>
    <w:rsid w:val="00CE4EED"/>
    <w:rsid w:val="00CE4F40"/>
    <w:rsid w:val="00CE5314"/>
    <w:rsid w:val="00CE5689"/>
    <w:rsid w:val="00CE5B62"/>
    <w:rsid w:val="00CE5BA5"/>
    <w:rsid w:val="00CE5FDB"/>
    <w:rsid w:val="00CE5FE3"/>
    <w:rsid w:val="00CE6131"/>
    <w:rsid w:val="00CE6291"/>
    <w:rsid w:val="00CE62F2"/>
    <w:rsid w:val="00CE637C"/>
    <w:rsid w:val="00CE6A3F"/>
    <w:rsid w:val="00CE6F4C"/>
    <w:rsid w:val="00CE6FF4"/>
    <w:rsid w:val="00CE7006"/>
    <w:rsid w:val="00CE77A3"/>
    <w:rsid w:val="00CE785E"/>
    <w:rsid w:val="00CE7AE9"/>
    <w:rsid w:val="00CE7BD0"/>
    <w:rsid w:val="00CE7D0D"/>
    <w:rsid w:val="00CF0118"/>
    <w:rsid w:val="00CF033B"/>
    <w:rsid w:val="00CF03B5"/>
    <w:rsid w:val="00CF03E3"/>
    <w:rsid w:val="00CF0989"/>
    <w:rsid w:val="00CF0A42"/>
    <w:rsid w:val="00CF0BAC"/>
    <w:rsid w:val="00CF0FB1"/>
    <w:rsid w:val="00CF1513"/>
    <w:rsid w:val="00CF152C"/>
    <w:rsid w:val="00CF1568"/>
    <w:rsid w:val="00CF15A5"/>
    <w:rsid w:val="00CF18F4"/>
    <w:rsid w:val="00CF1DE3"/>
    <w:rsid w:val="00CF1E87"/>
    <w:rsid w:val="00CF2049"/>
    <w:rsid w:val="00CF22E9"/>
    <w:rsid w:val="00CF2634"/>
    <w:rsid w:val="00CF2649"/>
    <w:rsid w:val="00CF2DA2"/>
    <w:rsid w:val="00CF2DFC"/>
    <w:rsid w:val="00CF2E62"/>
    <w:rsid w:val="00CF3293"/>
    <w:rsid w:val="00CF3698"/>
    <w:rsid w:val="00CF36CA"/>
    <w:rsid w:val="00CF3947"/>
    <w:rsid w:val="00CF3B23"/>
    <w:rsid w:val="00CF4034"/>
    <w:rsid w:val="00CF41BA"/>
    <w:rsid w:val="00CF4448"/>
    <w:rsid w:val="00CF48A3"/>
    <w:rsid w:val="00CF4B3A"/>
    <w:rsid w:val="00CF4B81"/>
    <w:rsid w:val="00CF4DA6"/>
    <w:rsid w:val="00CF4E45"/>
    <w:rsid w:val="00CF50E4"/>
    <w:rsid w:val="00CF5153"/>
    <w:rsid w:val="00CF52F5"/>
    <w:rsid w:val="00CF55C2"/>
    <w:rsid w:val="00CF56B1"/>
    <w:rsid w:val="00CF573E"/>
    <w:rsid w:val="00CF5B29"/>
    <w:rsid w:val="00CF5CC8"/>
    <w:rsid w:val="00CF618B"/>
    <w:rsid w:val="00CF6B83"/>
    <w:rsid w:val="00CF6F13"/>
    <w:rsid w:val="00CF6FC3"/>
    <w:rsid w:val="00CF74B0"/>
    <w:rsid w:val="00CF793A"/>
    <w:rsid w:val="00CF7FF9"/>
    <w:rsid w:val="00D00190"/>
    <w:rsid w:val="00D00340"/>
    <w:rsid w:val="00D00437"/>
    <w:rsid w:val="00D005D2"/>
    <w:rsid w:val="00D00667"/>
    <w:rsid w:val="00D0094B"/>
    <w:rsid w:val="00D00B07"/>
    <w:rsid w:val="00D00B13"/>
    <w:rsid w:val="00D00D40"/>
    <w:rsid w:val="00D00F97"/>
    <w:rsid w:val="00D0146C"/>
    <w:rsid w:val="00D0152E"/>
    <w:rsid w:val="00D016F7"/>
    <w:rsid w:val="00D019A4"/>
    <w:rsid w:val="00D01BF2"/>
    <w:rsid w:val="00D01C55"/>
    <w:rsid w:val="00D01E3A"/>
    <w:rsid w:val="00D02086"/>
    <w:rsid w:val="00D02457"/>
    <w:rsid w:val="00D026D4"/>
    <w:rsid w:val="00D02986"/>
    <w:rsid w:val="00D031DF"/>
    <w:rsid w:val="00D0366A"/>
    <w:rsid w:val="00D03AFF"/>
    <w:rsid w:val="00D03FBC"/>
    <w:rsid w:val="00D043A4"/>
    <w:rsid w:val="00D04446"/>
    <w:rsid w:val="00D04495"/>
    <w:rsid w:val="00D044C6"/>
    <w:rsid w:val="00D0484C"/>
    <w:rsid w:val="00D04877"/>
    <w:rsid w:val="00D04E69"/>
    <w:rsid w:val="00D04F6C"/>
    <w:rsid w:val="00D04FF4"/>
    <w:rsid w:val="00D0511F"/>
    <w:rsid w:val="00D051FB"/>
    <w:rsid w:val="00D05244"/>
    <w:rsid w:val="00D05268"/>
    <w:rsid w:val="00D0528F"/>
    <w:rsid w:val="00D052B2"/>
    <w:rsid w:val="00D054A2"/>
    <w:rsid w:val="00D0550B"/>
    <w:rsid w:val="00D059F9"/>
    <w:rsid w:val="00D05A87"/>
    <w:rsid w:val="00D05B52"/>
    <w:rsid w:val="00D05BFA"/>
    <w:rsid w:val="00D05E7C"/>
    <w:rsid w:val="00D06001"/>
    <w:rsid w:val="00D068C2"/>
    <w:rsid w:val="00D06D94"/>
    <w:rsid w:val="00D070BB"/>
    <w:rsid w:val="00D0783E"/>
    <w:rsid w:val="00D0783F"/>
    <w:rsid w:val="00D07934"/>
    <w:rsid w:val="00D07937"/>
    <w:rsid w:val="00D07AB9"/>
    <w:rsid w:val="00D07BA7"/>
    <w:rsid w:val="00D1014B"/>
    <w:rsid w:val="00D102B4"/>
    <w:rsid w:val="00D102D0"/>
    <w:rsid w:val="00D106F6"/>
    <w:rsid w:val="00D10A5C"/>
    <w:rsid w:val="00D10CAE"/>
    <w:rsid w:val="00D10FD8"/>
    <w:rsid w:val="00D11113"/>
    <w:rsid w:val="00D1165D"/>
    <w:rsid w:val="00D11B05"/>
    <w:rsid w:val="00D11E5A"/>
    <w:rsid w:val="00D1202E"/>
    <w:rsid w:val="00D12436"/>
    <w:rsid w:val="00D129C1"/>
    <w:rsid w:val="00D12DD9"/>
    <w:rsid w:val="00D12E6D"/>
    <w:rsid w:val="00D12FF6"/>
    <w:rsid w:val="00D135B7"/>
    <w:rsid w:val="00D13871"/>
    <w:rsid w:val="00D13925"/>
    <w:rsid w:val="00D139B5"/>
    <w:rsid w:val="00D13C76"/>
    <w:rsid w:val="00D14917"/>
    <w:rsid w:val="00D14B60"/>
    <w:rsid w:val="00D14BBB"/>
    <w:rsid w:val="00D14D71"/>
    <w:rsid w:val="00D14F3C"/>
    <w:rsid w:val="00D1509A"/>
    <w:rsid w:val="00D1520C"/>
    <w:rsid w:val="00D15286"/>
    <w:rsid w:val="00D15616"/>
    <w:rsid w:val="00D15886"/>
    <w:rsid w:val="00D15C80"/>
    <w:rsid w:val="00D15DA3"/>
    <w:rsid w:val="00D15F43"/>
    <w:rsid w:val="00D1619D"/>
    <w:rsid w:val="00D16406"/>
    <w:rsid w:val="00D16445"/>
    <w:rsid w:val="00D165B0"/>
    <w:rsid w:val="00D165C8"/>
    <w:rsid w:val="00D16817"/>
    <w:rsid w:val="00D1682B"/>
    <w:rsid w:val="00D16867"/>
    <w:rsid w:val="00D16A2C"/>
    <w:rsid w:val="00D16C42"/>
    <w:rsid w:val="00D177CD"/>
    <w:rsid w:val="00D178F0"/>
    <w:rsid w:val="00D17B5A"/>
    <w:rsid w:val="00D17DA1"/>
    <w:rsid w:val="00D200C9"/>
    <w:rsid w:val="00D200EF"/>
    <w:rsid w:val="00D2061E"/>
    <w:rsid w:val="00D2080F"/>
    <w:rsid w:val="00D20863"/>
    <w:rsid w:val="00D20942"/>
    <w:rsid w:val="00D20DA7"/>
    <w:rsid w:val="00D20E8B"/>
    <w:rsid w:val="00D20E95"/>
    <w:rsid w:val="00D20F5D"/>
    <w:rsid w:val="00D21024"/>
    <w:rsid w:val="00D21085"/>
    <w:rsid w:val="00D2114F"/>
    <w:rsid w:val="00D211DD"/>
    <w:rsid w:val="00D2141E"/>
    <w:rsid w:val="00D21461"/>
    <w:rsid w:val="00D21523"/>
    <w:rsid w:val="00D21629"/>
    <w:rsid w:val="00D21A9A"/>
    <w:rsid w:val="00D21AE5"/>
    <w:rsid w:val="00D21E52"/>
    <w:rsid w:val="00D22220"/>
    <w:rsid w:val="00D22387"/>
    <w:rsid w:val="00D22713"/>
    <w:rsid w:val="00D22850"/>
    <w:rsid w:val="00D22C04"/>
    <w:rsid w:val="00D22F5B"/>
    <w:rsid w:val="00D23183"/>
    <w:rsid w:val="00D23320"/>
    <w:rsid w:val="00D235AC"/>
    <w:rsid w:val="00D2369E"/>
    <w:rsid w:val="00D23E90"/>
    <w:rsid w:val="00D241A0"/>
    <w:rsid w:val="00D24B5B"/>
    <w:rsid w:val="00D251AD"/>
    <w:rsid w:val="00D2529A"/>
    <w:rsid w:val="00D2536C"/>
    <w:rsid w:val="00D253F4"/>
    <w:rsid w:val="00D25A7F"/>
    <w:rsid w:val="00D25AEC"/>
    <w:rsid w:val="00D25DFF"/>
    <w:rsid w:val="00D25EAD"/>
    <w:rsid w:val="00D2624E"/>
    <w:rsid w:val="00D263E3"/>
    <w:rsid w:val="00D26773"/>
    <w:rsid w:val="00D26885"/>
    <w:rsid w:val="00D269E6"/>
    <w:rsid w:val="00D26E68"/>
    <w:rsid w:val="00D27246"/>
    <w:rsid w:val="00D2727D"/>
    <w:rsid w:val="00D27582"/>
    <w:rsid w:val="00D276F2"/>
    <w:rsid w:val="00D27D8F"/>
    <w:rsid w:val="00D27EEA"/>
    <w:rsid w:val="00D303E2"/>
    <w:rsid w:val="00D304F9"/>
    <w:rsid w:val="00D306FE"/>
    <w:rsid w:val="00D309AD"/>
    <w:rsid w:val="00D30E05"/>
    <w:rsid w:val="00D30E92"/>
    <w:rsid w:val="00D31136"/>
    <w:rsid w:val="00D31218"/>
    <w:rsid w:val="00D314E3"/>
    <w:rsid w:val="00D316A1"/>
    <w:rsid w:val="00D31A07"/>
    <w:rsid w:val="00D31A1B"/>
    <w:rsid w:val="00D31E53"/>
    <w:rsid w:val="00D31E91"/>
    <w:rsid w:val="00D32106"/>
    <w:rsid w:val="00D321CD"/>
    <w:rsid w:val="00D32216"/>
    <w:rsid w:val="00D32736"/>
    <w:rsid w:val="00D32999"/>
    <w:rsid w:val="00D32C01"/>
    <w:rsid w:val="00D32D2D"/>
    <w:rsid w:val="00D32EB7"/>
    <w:rsid w:val="00D33376"/>
    <w:rsid w:val="00D33713"/>
    <w:rsid w:val="00D33801"/>
    <w:rsid w:val="00D34068"/>
    <w:rsid w:val="00D34073"/>
    <w:rsid w:val="00D340B6"/>
    <w:rsid w:val="00D34649"/>
    <w:rsid w:val="00D34BD2"/>
    <w:rsid w:val="00D34E11"/>
    <w:rsid w:val="00D351FA"/>
    <w:rsid w:val="00D352B7"/>
    <w:rsid w:val="00D35356"/>
    <w:rsid w:val="00D3558D"/>
    <w:rsid w:val="00D355E6"/>
    <w:rsid w:val="00D3590F"/>
    <w:rsid w:val="00D35911"/>
    <w:rsid w:val="00D35CBB"/>
    <w:rsid w:val="00D35D6B"/>
    <w:rsid w:val="00D363DC"/>
    <w:rsid w:val="00D3650D"/>
    <w:rsid w:val="00D36B6F"/>
    <w:rsid w:val="00D3769C"/>
    <w:rsid w:val="00D378B7"/>
    <w:rsid w:val="00D379D5"/>
    <w:rsid w:val="00D37FB5"/>
    <w:rsid w:val="00D406F6"/>
    <w:rsid w:val="00D407E1"/>
    <w:rsid w:val="00D40830"/>
    <w:rsid w:val="00D40936"/>
    <w:rsid w:val="00D409A3"/>
    <w:rsid w:val="00D40C02"/>
    <w:rsid w:val="00D40CC8"/>
    <w:rsid w:val="00D40E3A"/>
    <w:rsid w:val="00D4128E"/>
    <w:rsid w:val="00D413B7"/>
    <w:rsid w:val="00D41B94"/>
    <w:rsid w:val="00D41BA1"/>
    <w:rsid w:val="00D42128"/>
    <w:rsid w:val="00D42202"/>
    <w:rsid w:val="00D42687"/>
    <w:rsid w:val="00D426EC"/>
    <w:rsid w:val="00D4297B"/>
    <w:rsid w:val="00D42CA3"/>
    <w:rsid w:val="00D42DC8"/>
    <w:rsid w:val="00D42E9D"/>
    <w:rsid w:val="00D43045"/>
    <w:rsid w:val="00D4315C"/>
    <w:rsid w:val="00D435BB"/>
    <w:rsid w:val="00D436F7"/>
    <w:rsid w:val="00D43A6D"/>
    <w:rsid w:val="00D441F5"/>
    <w:rsid w:val="00D44834"/>
    <w:rsid w:val="00D44A15"/>
    <w:rsid w:val="00D45245"/>
    <w:rsid w:val="00D45607"/>
    <w:rsid w:val="00D4570A"/>
    <w:rsid w:val="00D458AF"/>
    <w:rsid w:val="00D45A8A"/>
    <w:rsid w:val="00D45C14"/>
    <w:rsid w:val="00D45C8F"/>
    <w:rsid w:val="00D45DE4"/>
    <w:rsid w:val="00D4615B"/>
    <w:rsid w:val="00D4615D"/>
    <w:rsid w:val="00D463D1"/>
    <w:rsid w:val="00D4649F"/>
    <w:rsid w:val="00D46A08"/>
    <w:rsid w:val="00D46A53"/>
    <w:rsid w:val="00D46DA0"/>
    <w:rsid w:val="00D47632"/>
    <w:rsid w:val="00D477FC"/>
    <w:rsid w:val="00D47DD6"/>
    <w:rsid w:val="00D50016"/>
    <w:rsid w:val="00D50020"/>
    <w:rsid w:val="00D50ECD"/>
    <w:rsid w:val="00D5130D"/>
    <w:rsid w:val="00D515D4"/>
    <w:rsid w:val="00D51DF0"/>
    <w:rsid w:val="00D51DF2"/>
    <w:rsid w:val="00D51EC3"/>
    <w:rsid w:val="00D52338"/>
    <w:rsid w:val="00D5298A"/>
    <w:rsid w:val="00D52A3F"/>
    <w:rsid w:val="00D52E43"/>
    <w:rsid w:val="00D52F81"/>
    <w:rsid w:val="00D53364"/>
    <w:rsid w:val="00D538F1"/>
    <w:rsid w:val="00D53ACD"/>
    <w:rsid w:val="00D53FA3"/>
    <w:rsid w:val="00D540BD"/>
    <w:rsid w:val="00D540C4"/>
    <w:rsid w:val="00D54146"/>
    <w:rsid w:val="00D54279"/>
    <w:rsid w:val="00D543BA"/>
    <w:rsid w:val="00D54690"/>
    <w:rsid w:val="00D54AA0"/>
    <w:rsid w:val="00D54B41"/>
    <w:rsid w:val="00D54D9D"/>
    <w:rsid w:val="00D54FA8"/>
    <w:rsid w:val="00D550B1"/>
    <w:rsid w:val="00D554E5"/>
    <w:rsid w:val="00D55E9A"/>
    <w:rsid w:val="00D55EBF"/>
    <w:rsid w:val="00D564F9"/>
    <w:rsid w:val="00D56FBA"/>
    <w:rsid w:val="00D57018"/>
    <w:rsid w:val="00D5707D"/>
    <w:rsid w:val="00D5711A"/>
    <w:rsid w:val="00D571F8"/>
    <w:rsid w:val="00D573D8"/>
    <w:rsid w:val="00D575C6"/>
    <w:rsid w:val="00D5773F"/>
    <w:rsid w:val="00D57761"/>
    <w:rsid w:val="00D577AD"/>
    <w:rsid w:val="00D578B2"/>
    <w:rsid w:val="00D57B6B"/>
    <w:rsid w:val="00D60591"/>
    <w:rsid w:val="00D60971"/>
    <w:rsid w:val="00D60C4A"/>
    <w:rsid w:val="00D60E00"/>
    <w:rsid w:val="00D60EB9"/>
    <w:rsid w:val="00D6119F"/>
    <w:rsid w:val="00D61812"/>
    <w:rsid w:val="00D61934"/>
    <w:rsid w:val="00D61A1A"/>
    <w:rsid w:val="00D61C17"/>
    <w:rsid w:val="00D61D45"/>
    <w:rsid w:val="00D61FF0"/>
    <w:rsid w:val="00D62144"/>
    <w:rsid w:val="00D623C2"/>
    <w:rsid w:val="00D625AF"/>
    <w:rsid w:val="00D62A62"/>
    <w:rsid w:val="00D62DA0"/>
    <w:rsid w:val="00D62F16"/>
    <w:rsid w:val="00D6307B"/>
    <w:rsid w:val="00D6344C"/>
    <w:rsid w:val="00D634C4"/>
    <w:rsid w:val="00D63662"/>
    <w:rsid w:val="00D63B9F"/>
    <w:rsid w:val="00D63FC7"/>
    <w:rsid w:val="00D640D9"/>
    <w:rsid w:val="00D64444"/>
    <w:rsid w:val="00D64499"/>
    <w:rsid w:val="00D6450E"/>
    <w:rsid w:val="00D6461A"/>
    <w:rsid w:val="00D646AD"/>
    <w:rsid w:val="00D64F58"/>
    <w:rsid w:val="00D6521E"/>
    <w:rsid w:val="00D6559C"/>
    <w:rsid w:val="00D655B8"/>
    <w:rsid w:val="00D65C2C"/>
    <w:rsid w:val="00D66114"/>
    <w:rsid w:val="00D66201"/>
    <w:rsid w:val="00D66352"/>
    <w:rsid w:val="00D66891"/>
    <w:rsid w:val="00D668DD"/>
    <w:rsid w:val="00D66A76"/>
    <w:rsid w:val="00D66FC8"/>
    <w:rsid w:val="00D6727C"/>
    <w:rsid w:val="00D677E8"/>
    <w:rsid w:val="00D67882"/>
    <w:rsid w:val="00D67F2D"/>
    <w:rsid w:val="00D70305"/>
    <w:rsid w:val="00D70348"/>
    <w:rsid w:val="00D70798"/>
    <w:rsid w:val="00D70951"/>
    <w:rsid w:val="00D7095F"/>
    <w:rsid w:val="00D71DE8"/>
    <w:rsid w:val="00D71E34"/>
    <w:rsid w:val="00D71F3F"/>
    <w:rsid w:val="00D722FC"/>
    <w:rsid w:val="00D723C6"/>
    <w:rsid w:val="00D723F7"/>
    <w:rsid w:val="00D72545"/>
    <w:rsid w:val="00D7290F"/>
    <w:rsid w:val="00D72A58"/>
    <w:rsid w:val="00D72E6C"/>
    <w:rsid w:val="00D7349B"/>
    <w:rsid w:val="00D73550"/>
    <w:rsid w:val="00D73560"/>
    <w:rsid w:val="00D73590"/>
    <w:rsid w:val="00D738DF"/>
    <w:rsid w:val="00D74189"/>
    <w:rsid w:val="00D743EA"/>
    <w:rsid w:val="00D74416"/>
    <w:rsid w:val="00D74517"/>
    <w:rsid w:val="00D747FD"/>
    <w:rsid w:val="00D74B84"/>
    <w:rsid w:val="00D74CC0"/>
    <w:rsid w:val="00D74D30"/>
    <w:rsid w:val="00D74FDF"/>
    <w:rsid w:val="00D75F6F"/>
    <w:rsid w:val="00D75FA8"/>
    <w:rsid w:val="00D760D1"/>
    <w:rsid w:val="00D76193"/>
    <w:rsid w:val="00D76375"/>
    <w:rsid w:val="00D76423"/>
    <w:rsid w:val="00D764E6"/>
    <w:rsid w:val="00D76858"/>
    <w:rsid w:val="00D7694E"/>
    <w:rsid w:val="00D77263"/>
    <w:rsid w:val="00D77BD1"/>
    <w:rsid w:val="00D800D3"/>
    <w:rsid w:val="00D805AB"/>
    <w:rsid w:val="00D80665"/>
    <w:rsid w:val="00D80675"/>
    <w:rsid w:val="00D80868"/>
    <w:rsid w:val="00D80972"/>
    <w:rsid w:val="00D809C3"/>
    <w:rsid w:val="00D80B64"/>
    <w:rsid w:val="00D80C68"/>
    <w:rsid w:val="00D80E85"/>
    <w:rsid w:val="00D8136D"/>
    <w:rsid w:val="00D81430"/>
    <w:rsid w:val="00D8163A"/>
    <w:rsid w:val="00D81782"/>
    <w:rsid w:val="00D8197D"/>
    <w:rsid w:val="00D81A2B"/>
    <w:rsid w:val="00D81B2A"/>
    <w:rsid w:val="00D81C52"/>
    <w:rsid w:val="00D81E9E"/>
    <w:rsid w:val="00D823E8"/>
    <w:rsid w:val="00D824AE"/>
    <w:rsid w:val="00D826AB"/>
    <w:rsid w:val="00D8293D"/>
    <w:rsid w:val="00D82B2E"/>
    <w:rsid w:val="00D82DEA"/>
    <w:rsid w:val="00D82EED"/>
    <w:rsid w:val="00D82EF4"/>
    <w:rsid w:val="00D82FDC"/>
    <w:rsid w:val="00D833F6"/>
    <w:rsid w:val="00D83AC2"/>
    <w:rsid w:val="00D83D83"/>
    <w:rsid w:val="00D83F98"/>
    <w:rsid w:val="00D84046"/>
    <w:rsid w:val="00D84656"/>
    <w:rsid w:val="00D849ED"/>
    <w:rsid w:val="00D84CD5"/>
    <w:rsid w:val="00D84F39"/>
    <w:rsid w:val="00D85439"/>
    <w:rsid w:val="00D855F9"/>
    <w:rsid w:val="00D8574A"/>
    <w:rsid w:val="00D858AB"/>
    <w:rsid w:val="00D859CE"/>
    <w:rsid w:val="00D85C9A"/>
    <w:rsid w:val="00D85FE8"/>
    <w:rsid w:val="00D86182"/>
    <w:rsid w:val="00D86467"/>
    <w:rsid w:val="00D864AB"/>
    <w:rsid w:val="00D86520"/>
    <w:rsid w:val="00D86A1C"/>
    <w:rsid w:val="00D86A79"/>
    <w:rsid w:val="00D86CD9"/>
    <w:rsid w:val="00D86F14"/>
    <w:rsid w:val="00D870BB"/>
    <w:rsid w:val="00D87233"/>
    <w:rsid w:val="00D8744C"/>
    <w:rsid w:val="00D87941"/>
    <w:rsid w:val="00D879D4"/>
    <w:rsid w:val="00D90199"/>
    <w:rsid w:val="00D901C7"/>
    <w:rsid w:val="00D90477"/>
    <w:rsid w:val="00D904C1"/>
    <w:rsid w:val="00D907CF"/>
    <w:rsid w:val="00D90D7F"/>
    <w:rsid w:val="00D90E84"/>
    <w:rsid w:val="00D90F63"/>
    <w:rsid w:val="00D91011"/>
    <w:rsid w:val="00D912CA"/>
    <w:rsid w:val="00D91301"/>
    <w:rsid w:val="00D9141A"/>
    <w:rsid w:val="00D9178C"/>
    <w:rsid w:val="00D919E1"/>
    <w:rsid w:val="00D919F4"/>
    <w:rsid w:val="00D91A70"/>
    <w:rsid w:val="00D91C7F"/>
    <w:rsid w:val="00D91D6B"/>
    <w:rsid w:val="00D91E01"/>
    <w:rsid w:val="00D91F83"/>
    <w:rsid w:val="00D91FF5"/>
    <w:rsid w:val="00D92008"/>
    <w:rsid w:val="00D92416"/>
    <w:rsid w:val="00D924C3"/>
    <w:rsid w:val="00D926A4"/>
    <w:rsid w:val="00D92B8E"/>
    <w:rsid w:val="00D92C5A"/>
    <w:rsid w:val="00D92C93"/>
    <w:rsid w:val="00D92D58"/>
    <w:rsid w:val="00D9312F"/>
    <w:rsid w:val="00D93263"/>
    <w:rsid w:val="00D932B2"/>
    <w:rsid w:val="00D932DA"/>
    <w:rsid w:val="00D937D6"/>
    <w:rsid w:val="00D939FB"/>
    <w:rsid w:val="00D93BD9"/>
    <w:rsid w:val="00D9468A"/>
    <w:rsid w:val="00D94794"/>
    <w:rsid w:val="00D94C57"/>
    <w:rsid w:val="00D94C9B"/>
    <w:rsid w:val="00D94EA9"/>
    <w:rsid w:val="00D94F28"/>
    <w:rsid w:val="00D95248"/>
    <w:rsid w:val="00D95281"/>
    <w:rsid w:val="00D95581"/>
    <w:rsid w:val="00D9560D"/>
    <w:rsid w:val="00D9587F"/>
    <w:rsid w:val="00D958A7"/>
    <w:rsid w:val="00D959A4"/>
    <w:rsid w:val="00D95B37"/>
    <w:rsid w:val="00D96109"/>
    <w:rsid w:val="00D9610E"/>
    <w:rsid w:val="00D9671D"/>
    <w:rsid w:val="00D969FD"/>
    <w:rsid w:val="00D97089"/>
    <w:rsid w:val="00D971FE"/>
    <w:rsid w:val="00D9725F"/>
    <w:rsid w:val="00D9765F"/>
    <w:rsid w:val="00D97764"/>
    <w:rsid w:val="00D97E5B"/>
    <w:rsid w:val="00DA0086"/>
    <w:rsid w:val="00DA03B8"/>
    <w:rsid w:val="00DA05DF"/>
    <w:rsid w:val="00DA0F2D"/>
    <w:rsid w:val="00DA0F30"/>
    <w:rsid w:val="00DA0F5F"/>
    <w:rsid w:val="00DA1154"/>
    <w:rsid w:val="00DA1863"/>
    <w:rsid w:val="00DA1A89"/>
    <w:rsid w:val="00DA1AA0"/>
    <w:rsid w:val="00DA1FB5"/>
    <w:rsid w:val="00DA2320"/>
    <w:rsid w:val="00DA29EE"/>
    <w:rsid w:val="00DA2B01"/>
    <w:rsid w:val="00DA38AE"/>
    <w:rsid w:val="00DA3AF1"/>
    <w:rsid w:val="00DA3D0E"/>
    <w:rsid w:val="00DA3DDC"/>
    <w:rsid w:val="00DA45A0"/>
    <w:rsid w:val="00DA4688"/>
    <w:rsid w:val="00DA4BC2"/>
    <w:rsid w:val="00DA4CB3"/>
    <w:rsid w:val="00DA4D39"/>
    <w:rsid w:val="00DA4DA6"/>
    <w:rsid w:val="00DA5230"/>
    <w:rsid w:val="00DA5483"/>
    <w:rsid w:val="00DA56BD"/>
    <w:rsid w:val="00DA578C"/>
    <w:rsid w:val="00DA5862"/>
    <w:rsid w:val="00DA5AB5"/>
    <w:rsid w:val="00DA5ABD"/>
    <w:rsid w:val="00DA5E01"/>
    <w:rsid w:val="00DA5EB8"/>
    <w:rsid w:val="00DA609D"/>
    <w:rsid w:val="00DA63C2"/>
    <w:rsid w:val="00DA63D5"/>
    <w:rsid w:val="00DA68E6"/>
    <w:rsid w:val="00DA696D"/>
    <w:rsid w:val="00DA69E0"/>
    <w:rsid w:val="00DA6A04"/>
    <w:rsid w:val="00DA6A42"/>
    <w:rsid w:val="00DA6C45"/>
    <w:rsid w:val="00DA6CDB"/>
    <w:rsid w:val="00DA6EFC"/>
    <w:rsid w:val="00DA6F7E"/>
    <w:rsid w:val="00DA7161"/>
    <w:rsid w:val="00DA71B5"/>
    <w:rsid w:val="00DA73CA"/>
    <w:rsid w:val="00DA76AD"/>
    <w:rsid w:val="00DA7716"/>
    <w:rsid w:val="00DA7725"/>
    <w:rsid w:val="00DA7732"/>
    <w:rsid w:val="00DA7738"/>
    <w:rsid w:val="00DB00CE"/>
    <w:rsid w:val="00DB060B"/>
    <w:rsid w:val="00DB070A"/>
    <w:rsid w:val="00DB0C18"/>
    <w:rsid w:val="00DB0D11"/>
    <w:rsid w:val="00DB1341"/>
    <w:rsid w:val="00DB149E"/>
    <w:rsid w:val="00DB16FB"/>
    <w:rsid w:val="00DB1D64"/>
    <w:rsid w:val="00DB1D8C"/>
    <w:rsid w:val="00DB228E"/>
    <w:rsid w:val="00DB2547"/>
    <w:rsid w:val="00DB29E0"/>
    <w:rsid w:val="00DB29E2"/>
    <w:rsid w:val="00DB2C96"/>
    <w:rsid w:val="00DB2D9F"/>
    <w:rsid w:val="00DB2ECD"/>
    <w:rsid w:val="00DB33CD"/>
    <w:rsid w:val="00DB33E5"/>
    <w:rsid w:val="00DB3469"/>
    <w:rsid w:val="00DB3F63"/>
    <w:rsid w:val="00DB42F8"/>
    <w:rsid w:val="00DB4749"/>
    <w:rsid w:val="00DB47B1"/>
    <w:rsid w:val="00DB4B56"/>
    <w:rsid w:val="00DB4E8A"/>
    <w:rsid w:val="00DB4F9F"/>
    <w:rsid w:val="00DB53F0"/>
    <w:rsid w:val="00DB5838"/>
    <w:rsid w:val="00DB5E50"/>
    <w:rsid w:val="00DB64B7"/>
    <w:rsid w:val="00DB64C4"/>
    <w:rsid w:val="00DB677F"/>
    <w:rsid w:val="00DB69DA"/>
    <w:rsid w:val="00DB6DE0"/>
    <w:rsid w:val="00DB7295"/>
    <w:rsid w:val="00DB73F2"/>
    <w:rsid w:val="00DB74CB"/>
    <w:rsid w:val="00DB764F"/>
    <w:rsid w:val="00DB7777"/>
    <w:rsid w:val="00DB797E"/>
    <w:rsid w:val="00DB7AD5"/>
    <w:rsid w:val="00DB7AD8"/>
    <w:rsid w:val="00DB7C8B"/>
    <w:rsid w:val="00DB7E0E"/>
    <w:rsid w:val="00DC005D"/>
    <w:rsid w:val="00DC02F5"/>
    <w:rsid w:val="00DC0A79"/>
    <w:rsid w:val="00DC0D43"/>
    <w:rsid w:val="00DC0E91"/>
    <w:rsid w:val="00DC15FD"/>
    <w:rsid w:val="00DC1688"/>
    <w:rsid w:val="00DC1AAC"/>
    <w:rsid w:val="00DC1AD1"/>
    <w:rsid w:val="00DC1C31"/>
    <w:rsid w:val="00DC1C8B"/>
    <w:rsid w:val="00DC250A"/>
    <w:rsid w:val="00DC2552"/>
    <w:rsid w:val="00DC2A15"/>
    <w:rsid w:val="00DC2C19"/>
    <w:rsid w:val="00DC2C98"/>
    <w:rsid w:val="00DC312B"/>
    <w:rsid w:val="00DC33B3"/>
    <w:rsid w:val="00DC3566"/>
    <w:rsid w:val="00DC37AF"/>
    <w:rsid w:val="00DC3A30"/>
    <w:rsid w:val="00DC3E05"/>
    <w:rsid w:val="00DC4256"/>
    <w:rsid w:val="00DC42CA"/>
    <w:rsid w:val="00DC4417"/>
    <w:rsid w:val="00DC4BA2"/>
    <w:rsid w:val="00DC4CD3"/>
    <w:rsid w:val="00DC4FF4"/>
    <w:rsid w:val="00DC504A"/>
    <w:rsid w:val="00DC530F"/>
    <w:rsid w:val="00DC5F23"/>
    <w:rsid w:val="00DC6052"/>
    <w:rsid w:val="00DC65D3"/>
    <w:rsid w:val="00DC7027"/>
    <w:rsid w:val="00DD0468"/>
    <w:rsid w:val="00DD06E4"/>
    <w:rsid w:val="00DD0701"/>
    <w:rsid w:val="00DD07B7"/>
    <w:rsid w:val="00DD08DB"/>
    <w:rsid w:val="00DD093E"/>
    <w:rsid w:val="00DD09C3"/>
    <w:rsid w:val="00DD0B08"/>
    <w:rsid w:val="00DD0F92"/>
    <w:rsid w:val="00DD11AF"/>
    <w:rsid w:val="00DD1347"/>
    <w:rsid w:val="00DD13DE"/>
    <w:rsid w:val="00DD142E"/>
    <w:rsid w:val="00DD170B"/>
    <w:rsid w:val="00DD19E9"/>
    <w:rsid w:val="00DD2222"/>
    <w:rsid w:val="00DD2356"/>
    <w:rsid w:val="00DD276C"/>
    <w:rsid w:val="00DD2933"/>
    <w:rsid w:val="00DD2C29"/>
    <w:rsid w:val="00DD3085"/>
    <w:rsid w:val="00DD3327"/>
    <w:rsid w:val="00DD3871"/>
    <w:rsid w:val="00DD3E7C"/>
    <w:rsid w:val="00DD40E5"/>
    <w:rsid w:val="00DD4238"/>
    <w:rsid w:val="00DD4384"/>
    <w:rsid w:val="00DD442F"/>
    <w:rsid w:val="00DD4616"/>
    <w:rsid w:val="00DD4745"/>
    <w:rsid w:val="00DD4922"/>
    <w:rsid w:val="00DD4C04"/>
    <w:rsid w:val="00DD4E67"/>
    <w:rsid w:val="00DD5198"/>
    <w:rsid w:val="00DD5768"/>
    <w:rsid w:val="00DD57F2"/>
    <w:rsid w:val="00DD5903"/>
    <w:rsid w:val="00DD5EB0"/>
    <w:rsid w:val="00DD5F2E"/>
    <w:rsid w:val="00DD613A"/>
    <w:rsid w:val="00DD61F7"/>
    <w:rsid w:val="00DD6ACA"/>
    <w:rsid w:val="00DD6C88"/>
    <w:rsid w:val="00DD6E0B"/>
    <w:rsid w:val="00DD76C8"/>
    <w:rsid w:val="00DD7AB1"/>
    <w:rsid w:val="00DD7B1B"/>
    <w:rsid w:val="00DD7DB1"/>
    <w:rsid w:val="00DE002E"/>
    <w:rsid w:val="00DE009A"/>
    <w:rsid w:val="00DE049D"/>
    <w:rsid w:val="00DE07DB"/>
    <w:rsid w:val="00DE0839"/>
    <w:rsid w:val="00DE096B"/>
    <w:rsid w:val="00DE0DCE"/>
    <w:rsid w:val="00DE1514"/>
    <w:rsid w:val="00DE164E"/>
    <w:rsid w:val="00DE17B0"/>
    <w:rsid w:val="00DE1EB0"/>
    <w:rsid w:val="00DE21F4"/>
    <w:rsid w:val="00DE2247"/>
    <w:rsid w:val="00DE2524"/>
    <w:rsid w:val="00DE275C"/>
    <w:rsid w:val="00DE2983"/>
    <w:rsid w:val="00DE2AD3"/>
    <w:rsid w:val="00DE2B6E"/>
    <w:rsid w:val="00DE2BB7"/>
    <w:rsid w:val="00DE2FA7"/>
    <w:rsid w:val="00DE3318"/>
    <w:rsid w:val="00DE3484"/>
    <w:rsid w:val="00DE3509"/>
    <w:rsid w:val="00DE3D29"/>
    <w:rsid w:val="00DE3DBF"/>
    <w:rsid w:val="00DE3ED2"/>
    <w:rsid w:val="00DE455A"/>
    <w:rsid w:val="00DE45CF"/>
    <w:rsid w:val="00DE46A9"/>
    <w:rsid w:val="00DE479E"/>
    <w:rsid w:val="00DE4953"/>
    <w:rsid w:val="00DE4BA9"/>
    <w:rsid w:val="00DE4D13"/>
    <w:rsid w:val="00DE4D1D"/>
    <w:rsid w:val="00DE4F50"/>
    <w:rsid w:val="00DE50D7"/>
    <w:rsid w:val="00DE50F2"/>
    <w:rsid w:val="00DE5265"/>
    <w:rsid w:val="00DE5299"/>
    <w:rsid w:val="00DE5959"/>
    <w:rsid w:val="00DE63A5"/>
    <w:rsid w:val="00DE63E1"/>
    <w:rsid w:val="00DE6532"/>
    <w:rsid w:val="00DE6B55"/>
    <w:rsid w:val="00DE6B6C"/>
    <w:rsid w:val="00DE7031"/>
    <w:rsid w:val="00DE7097"/>
    <w:rsid w:val="00DE7227"/>
    <w:rsid w:val="00DE7231"/>
    <w:rsid w:val="00DE7521"/>
    <w:rsid w:val="00DE7A73"/>
    <w:rsid w:val="00DE7C4A"/>
    <w:rsid w:val="00DE7D1D"/>
    <w:rsid w:val="00DE7D49"/>
    <w:rsid w:val="00DE7D5F"/>
    <w:rsid w:val="00DE7F35"/>
    <w:rsid w:val="00DF02EC"/>
    <w:rsid w:val="00DF07C7"/>
    <w:rsid w:val="00DF0C42"/>
    <w:rsid w:val="00DF0F4C"/>
    <w:rsid w:val="00DF1A35"/>
    <w:rsid w:val="00DF1E7A"/>
    <w:rsid w:val="00DF1E9D"/>
    <w:rsid w:val="00DF222C"/>
    <w:rsid w:val="00DF248A"/>
    <w:rsid w:val="00DF26D1"/>
    <w:rsid w:val="00DF2CE8"/>
    <w:rsid w:val="00DF2DED"/>
    <w:rsid w:val="00DF2EBF"/>
    <w:rsid w:val="00DF33AF"/>
    <w:rsid w:val="00DF38C8"/>
    <w:rsid w:val="00DF3B00"/>
    <w:rsid w:val="00DF3BE0"/>
    <w:rsid w:val="00DF3C46"/>
    <w:rsid w:val="00DF3F36"/>
    <w:rsid w:val="00DF3F69"/>
    <w:rsid w:val="00DF3FC6"/>
    <w:rsid w:val="00DF4814"/>
    <w:rsid w:val="00DF4851"/>
    <w:rsid w:val="00DF4A92"/>
    <w:rsid w:val="00DF4D43"/>
    <w:rsid w:val="00DF515C"/>
    <w:rsid w:val="00DF5403"/>
    <w:rsid w:val="00DF55D4"/>
    <w:rsid w:val="00DF5875"/>
    <w:rsid w:val="00DF5BCE"/>
    <w:rsid w:val="00DF5FCC"/>
    <w:rsid w:val="00DF630F"/>
    <w:rsid w:val="00DF6383"/>
    <w:rsid w:val="00DF6652"/>
    <w:rsid w:val="00DF66D2"/>
    <w:rsid w:val="00DF6987"/>
    <w:rsid w:val="00DF6CC0"/>
    <w:rsid w:val="00DF747A"/>
    <w:rsid w:val="00DF7A60"/>
    <w:rsid w:val="00DF7D2B"/>
    <w:rsid w:val="00DF7FF1"/>
    <w:rsid w:val="00E00021"/>
    <w:rsid w:val="00E00052"/>
    <w:rsid w:val="00E002DF"/>
    <w:rsid w:val="00E003D1"/>
    <w:rsid w:val="00E00D00"/>
    <w:rsid w:val="00E00D09"/>
    <w:rsid w:val="00E01077"/>
    <w:rsid w:val="00E010F5"/>
    <w:rsid w:val="00E01196"/>
    <w:rsid w:val="00E016F8"/>
    <w:rsid w:val="00E0185E"/>
    <w:rsid w:val="00E018A7"/>
    <w:rsid w:val="00E01D9C"/>
    <w:rsid w:val="00E01DEE"/>
    <w:rsid w:val="00E02434"/>
    <w:rsid w:val="00E02CB5"/>
    <w:rsid w:val="00E02FD7"/>
    <w:rsid w:val="00E03836"/>
    <w:rsid w:val="00E03938"/>
    <w:rsid w:val="00E03F0C"/>
    <w:rsid w:val="00E03F29"/>
    <w:rsid w:val="00E03F77"/>
    <w:rsid w:val="00E0445F"/>
    <w:rsid w:val="00E048B4"/>
    <w:rsid w:val="00E04C2C"/>
    <w:rsid w:val="00E04FAA"/>
    <w:rsid w:val="00E05019"/>
    <w:rsid w:val="00E0527F"/>
    <w:rsid w:val="00E052FE"/>
    <w:rsid w:val="00E056DD"/>
    <w:rsid w:val="00E0573F"/>
    <w:rsid w:val="00E057E2"/>
    <w:rsid w:val="00E05A22"/>
    <w:rsid w:val="00E05DEA"/>
    <w:rsid w:val="00E05E4E"/>
    <w:rsid w:val="00E0616F"/>
    <w:rsid w:val="00E061AC"/>
    <w:rsid w:val="00E066CF"/>
    <w:rsid w:val="00E067E6"/>
    <w:rsid w:val="00E06901"/>
    <w:rsid w:val="00E06F5F"/>
    <w:rsid w:val="00E076AB"/>
    <w:rsid w:val="00E07ACA"/>
    <w:rsid w:val="00E07B41"/>
    <w:rsid w:val="00E07C13"/>
    <w:rsid w:val="00E1000B"/>
    <w:rsid w:val="00E1040D"/>
    <w:rsid w:val="00E10597"/>
    <w:rsid w:val="00E108E5"/>
    <w:rsid w:val="00E109C0"/>
    <w:rsid w:val="00E10B8F"/>
    <w:rsid w:val="00E10BF2"/>
    <w:rsid w:val="00E10CD0"/>
    <w:rsid w:val="00E10F86"/>
    <w:rsid w:val="00E1143D"/>
    <w:rsid w:val="00E116BD"/>
    <w:rsid w:val="00E11841"/>
    <w:rsid w:val="00E12286"/>
    <w:rsid w:val="00E1232C"/>
    <w:rsid w:val="00E127E9"/>
    <w:rsid w:val="00E12C63"/>
    <w:rsid w:val="00E12C83"/>
    <w:rsid w:val="00E12DBA"/>
    <w:rsid w:val="00E1352D"/>
    <w:rsid w:val="00E13557"/>
    <w:rsid w:val="00E13569"/>
    <w:rsid w:val="00E136C1"/>
    <w:rsid w:val="00E136F6"/>
    <w:rsid w:val="00E137CE"/>
    <w:rsid w:val="00E1421A"/>
    <w:rsid w:val="00E14498"/>
    <w:rsid w:val="00E1476D"/>
    <w:rsid w:val="00E1485C"/>
    <w:rsid w:val="00E14E80"/>
    <w:rsid w:val="00E14FEE"/>
    <w:rsid w:val="00E15526"/>
    <w:rsid w:val="00E15586"/>
    <w:rsid w:val="00E156D4"/>
    <w:rsid w:val="00E15932"/>
    <w:rsid w:val="00E15A57"/>
    <w:rsid w:val="00E15AD6"/>
    <w:rsid w:val="00E15F47"/>
    <w:rsid w:val="00E16555"/>
    <w:rsid w:val="00E16E3B"/>
    <w:rsid w:val="00E17007"/>
    <w:rsid w:val="00E1712E"/>
    <w:rsid w:val="00E175C6"/>
    <w:rsid w:val="00E17A35"/>
    <w:rsid w:val="00E17C5B"/>
    <w:rsid w:val="00E17F20"/>
    <w:rsid w:val="00E2012B"/>
    <w:rsid w:val="00E20285"/>
    <w:rsid w:val="00E202DF"/>
    <w:rsid w:val="00E2048C"/>
    <w:rsid w:val="00E2075A"/>
    <w:rsid w:val="00E208F9"/>
    <w:rsid w:val="00E20BB7"/>
    <w:rsid w:val="00E20C6D"/>
    <w:rsid w:val="00E20CAC"/>
    <w:rsid w:val="00E20E73"/>
    <w:rsid w:val="00E20F13"/>
    <w:rsid w:val="00E21158"/>
    <w:rsid w:val="00E2163B"/>
    <w:rsid w:val="00E218B7"/>
    <w:rsid w:val="00E21A61"/>
    <w:rsid w:val="00E2229D"/>
    <w:rsid w:val="00E2247E"/>
    <w:rsid w:val="00E22F4B"/>
    <w:rsid w:val="00E23277"/>
    <w:rsid w:val="00E23566"/>
    <w:rsid w:val="00E238F5"/>
    <w:rsid w:val="00E23A59"/>
    <w:rsid w:val="00E23A5C"/>
    <w:rsid w:val="00E23C11"/>
    <w:rsid w:val="00E24090"/>
    <w:rsid w:val="00E2410F"/>
    <w:rsid w:val="00E24175"/>
    <w:rsid w:val="00E242DD"/>
    <w:rsid w:val="00E242E0"/>
    <w:rsid w:val="00E24404"/>
    <w:rsid w:val="00E24A6E"/>
    <w:rsid w:val="00E24B84"/>
    <w:rsid w:val="00E24D57"/>
    <w:rsid w:val="00E2540D"/>
    <w:rsid w:val="00E25467"/>
    <w:rsid w:val="00E25599"/>
    <w:rsid w:val="00E257C0"/>
    <w:rsid w:val="00E259A4"/>
    <w:rsid w:val="00E259CF"/>
    <w:rsid w:val="00E25C29"/>
    <w:rsid w:val="00E260AA"/>
    <w:rsid w:val="00E26346"/>
    <w:rsid w:val="00E26BF6"/>
    <w:rsid w:val="00E27178"/>
    <w:rsid w:val="00E277E4"/>
    <w:rsid w:val="00E27C38"/>
    <w:rsid w:val="00E27DE9"/>
    <w:rsid w:val="00E27FE1"/>
    <w:rsid w:val="00E303B2"/>
    <w:rsid w:val="00E30873"/>
    <w:rsid w:val="00E308EA"/>
    <w:rsid w:val="00E30A32"/>
    <w:rsid w:val="00E31070"/>
    <w:rsid w:val="00E3117F"/>
    <w:rsid w:val="00E314A6"/>
    <w:rsid w:val="00E31683"/>
    <w:rsid w:val="00E31A57"/>
    <w:rsid w:val="00E31B16"/>
    <w:rsid w:val="00E31EED"/>
    <w:rsid w:val="00E3232B"/>
    <w:rsid w:val="00E32912"/>
    <w:rsid w:val="00E32C03"/>
    <w:rsid w:val="00E32EBE"/>
    <w:rsid w:val="00E330D7"/>
    <w:rsid w:val="00E33126"/>
    <w:rsid w:val="00E334EB"/>
    <w:rsid w:val="00E33585"/>
    <w:rsid w:val="00E335BA"/>
    <w:rsid w:val="00E33F48"/>
    <w:rsid w:val="00E3432A"/>
    <w:rsid w:val="00E34768"/>
    <w:rsid w:val="00E349EF"/>
    <w:rsid w:val="00E34AC9"/>
    <w:rsid w:val="00E34D85"/>
    <w:rsid w:val="00E34D87"/>
    <w:rsid w:val="00E3505F"/>
    <w:rsid w:val="00E352AB"/>
    <w:rsid w:val="00E35AB1"/>
    <w:rsid w:val="00E35D84"/>
    <w:rsid w:val="00E360F8"/>
    <w:rsid w:val="00E36437"/>
    <w:rsid w:val="00E36533"/>
    <w:rsid w:val="00E36534"/>
    <w:rsid w:val="00E36758"/>
    <w:rsid w:val="00E36E7F"/>
    <w:rsid w:val="00E37251"/>
    <w:rsid w:val="00E374F2"/>
    <w:rsid w:val="00E3787B"/>
    <w:rsid w:val="00E37944"/>
    <w:rsid w:val="00E37D04"/>
    <w:rsid w:val="00E40376"/>
    <w:rsid w:val="00E405CA"/>
    <w:rsid w:val="00E4063B"/>
    <w:rsid w:val="00E406B3"/>
    <w:rsid w:val="00E409DA"/>
    <w:rsid w:val="00E40A0F"/>
    <w:rsid w:val="00E4113F"/>
    <w:rsid w:val="00E41162"/>
    <w:rsid w:val="00E41806"/>
    <w:rsid w:val="00E41CC5"/>
    <w:rsid w:val="00E4216D"/>
    <w:rsid w:val="00E42184"/>
    <w:rsid w:val="00E421B6"/>
    <w:rsid w:val="00E423B4"/>
    <w:rsid w:val="00E42524"/>
    <w:rsid w:val="00E4270E"/>
    <w:rsid w:val="00E428E1"/>
    <w:rsid w:val="00E42A39"/>
    <w:rsid w:val="00E42B82"/>
    <w:rsid w:val="00E42BB9"/>
    <w:rsid w:val="00E42E28"/>
    <w:rsid w:val="00E42F97"/>
    <w:rsid w:val="00E43113"/>
    <w:rsid w:val="00E434C7"/>
    <w:rsid w:val="00E438BE"/>
    <w:rsid w:val="00E43B65"/>
    <w:rsid w:val="00E43D14"/>
    <w:rsid w:val="00E441CF"/>
    <w:rsid w:val="00E442B9"/>
    <w:rsid w:val="00E44A68"/>
    <w:rsid w:val="00E44A93"/>
    <w:rsid w:val="00E44D2F"/>
    <w:rsid w:val="00E4525D"/>
    <w:rsid w:val="00E45397"/>
    <w:rsid w:val="00E45A29"/>
    <w:rsid w:val="00E45BE3"/>
    <w:rsid w:val="00E45E82"/>
    <w:rsid w:val="00E46588"/>
    <w:rsid w:val="00E466E5"/>
    <w:rsid w:val="00E46B18"/>
    <w:rsid w:val="00E46C36"/>
    <w:rsid w:val="00E46D04"/>
    <w:rsid w:val="00E4709B"/>
    <w:rsid w:val="00E471D3"/>
    <w:rsid w:val="00E4729E"/>
    <w:rsid w:val="00E47387"/>
    <w:rsid w:val="00E50100"/>
    <w:rsid w:val="00E50853"/>
    <w:rsid w:val="00E508BE"/>
    <w:rsid w:val="00E508E8"/>
    <w:rsid w:val="00E50C63"/>
    <w:rsid w:val="00E50CF9"/>
    <w:rsid w:val="00E50FAD"/>
    <w:rsid w:val="00E512E3"/>
    <w:rsid w:val="00E515DD"/>
    <w:rsid w:val="00E5179F"/>
    <w:rsid w:val="00E5187C"/>
    <w:rsid w:val="00E51A4C"/>
    <w:rsid w:val="00E51AAD"/>
    <w:rsid w:val="00E51AE1"/>
    <w:rsid w:val="00E51B2F"/>
    <w:rsid w:val="00E51C32"/>
    <w:rsid w:val="00E51DA7"/>
    <w:rsid w:val="00E51EA3"/>
    <w:rsid w:val="00E5201D"/>
    <w:rsid w:val="00E5227F"/>
    <w:rsid w:val="00E52D38"/>
    <w:rsid w:val="00E5312A"/>
    <w:rsid w:val="00E5370E"/>
    <w:rsid w:val="00E538DF"/>
    <w:rsid w:val="00E53985"/>
    <w:rsid w:val="00E539D9"/>
    <w:rsid w:val="00E53CC9"/>
    <w:rsid w:val="00E53D79"/>
    <w:rsid w:val="00E540F7"/>
    <w:rsid w:val="00E54651"/>
    <w:rsid w:val="00E546D9"/>
    <w:rsid w:val="00E549EB"/>
    <w:rsid w:val="00E54DCE"/>
    <w:rsid w:val="00E55122"/>
    <w:rsid w:val="00E55763"/>
    <w:rsid w:val="00E55A84"/>
    <w:rsid w:val="00E55D32"/>
    <w:rsid w:val="00E55FB7"/>
    <w:rsid w:val="00E56695"/>
    <w:rsid w:val="00E5718D"/>
    <w:rsid w:val="00E57414"/>
    <w:rsid w:val="00E57668"/>
    <w:rsid w:val="00E601A0"/>
    <w:rsid w:val="00E601A7"/>
    <w:rsid w:val="00E602F7"/>
    <w:rsid w:val="00E605FA"/>
    <w:rsid w:val="00E60F5B"/>
    <w:rsid w:val="00E610AB"/>
    <w:rsid w:val="00E611B9"/>
    <w:rsid w:val="00E61231"/>
    <w:rsid w:val="00E61488"/>
    <w:rsid w:val="00E61818"/>
    <w:rsid w:val="00E61BA5"/>
    <w:rsid w:val="00E61C32"/>
    <w:rsid w:val="00E61E0F"/>
    <w:rsid w:val="00E61E19"/>
    <w:rsid w:val="00E61F76"/>
    <w:rsid w:val="00E621DF"/>
    <w:rsid w:val="00E6225D"/>
    <w:rsid w:val="00E622F4"/>
    <w:rsid w:val="00E62466"/>
    <w:rsid w:val="00E629EB"/>
    <w:rsid w:val="00E62AE4"/>
    <w:rsid w:val="00E62BCF"/>
    <w:rsid w:val="00E62E50"/>
    <w:rsid w:val="00E637CE"/>
    <w:rsid w:val="00E63829"/>
    <w:rsid w:val="00E63864"/>
    <w:rsid w:val="00E63E57"/>
    <w:rsid w:val="00E642EE"/>
    <w:rsid w:val="00E64503"/>
    <w:rsid w:val="00E64C4B"/>
    <w:rsid w:val="00E6587E"/>
    <w:rsid w:val="00E65AAD"/>
    <w:rsid w:val="00E65ADF"/>
    <w:rsid w:val="00E65FB5"/>
    <w:rsid w:val="00E662A1"/>
    <w:rsid w:val="00E66423"/>
    <w:rsid w:val="00E664B7"/>
    <w:rsid w:val="00E66588"/>
    <w:rsid w:val="00E665CA"/>
    <w:rsid w:val="00E6660D"/>
    <w:rsid w:val="00E666D7"/>
    <w:rsid w:val="00E66751"/>
    <w:rsid w:val="00E668BD"/>
    <w:rsid w:val="00E672B1"/>
    <w:rsid w:val="00E672BC"/>
    <w:rsid w:val="00E677AC"/>
    <w:rsid w:val="00E677FE"/>
    <w:rsid w:val="00E678B6"/>
    <w:rsid w:val="00E67B72"/>
    <w:rsid w:val="00E67E31"/>
    <w:rsid w:val="00E67F4A"/>
    <w:rsid w:val="00E701E9"/>
    <w:rsid w:val="00E70218"/>
    <w:rsid w:val="00E70451"/>
    <w:rsid w:val="00E70CB4"/>
    <w:rsid w:val="00E710E9"/>
    <w:rsid w:val="00E71818"/>
    <w:rsid w:val="00E71BAE"/>
    <w:rsid w:val="00E71C82"/>
    <w:rsid w:val="00E723A8"/>
    <w:rsid w:val="00E72489"/>
    <w:rsid w:val="00E724B8"/>
    <w:rsid w:val="00E724E2"/>
    <w:rsid w:val="00E72574"/>
    <w:rsid w:val="00E72750"/>
    <w:rsid w:val="00E729E5"/>
    <w:rsid w:val="00E72F1A"/>
    <w:rsid w:val="00E72F1C"/>
    <w:rsid w:val="00E72F80"/>
    <w:rsid w:val="00E7300B"/>
    <w:rsid w:val="00E7300D"/>
    <w:rsid w:val="00E7329D"/>
    <w:rsid w:val="00E7378D"/>
    <w:rsid w:val="00E7395D"/>
    <w:rsid w:val="00E740D0"/>
    <w:rsid w:val="00E74135"/>
    <w:rsid w:val="00E74246"/>
    <w:rsid w:val="00E74571"/>
    <w:rsid w:val="00E748A1"/>
    <w:rsid w:val="00E748EA"/>
    <w:rsid w:val="00E74A20"/>
    <w:rsid w:val="00E74ABC"/>
    <w:rsid w:val="00E7516C"/>
    <w:rsid w:val="00E753C1"/>
    <w:rsid w:val="00E754A1"/>
    <w:rsid w:val="00E75947"/>
    <w:rsid w:val="00E759C1"/>
    <w:rsid w:val="00E75EEA"/>
    <w:rsid w:val="00E76B19"/>
    <w:rsid w:val="00E76DA4"/>
    <w:rsid w:val="00E76EBC"/>
    <w:rsid w:val="00E77074"/>
    <w:rsid w:val="00E770EC"/>
    <w:rsid w:val="00E77634"/>
    <w:rsid w:val="00E776E7"/>
    <w:rsid w:val="00E778C3"/>
    <w:rsid w:val="00E77F49"/>
    <w:rsid w:val="00E80361"/>
    <w:rsid w:val="00E8057E"/>
    <w:rsid w:val="00E80763"/>
    <w:rsid w:val="00E80972"/>
    <w:rsid w:val="00E80A99"/>
    <w:rsid w:val="00E80C8D"/>
    <w:rsid w:val="00E81215"/>
    <w:rsid w:val="00E8127D"/>
    <w:rsid w:val="00E813E6"/>
    <w:rsid w:val="00E814AB"/>
    <w:rsid w:val="00E81938"/>
    <w:rsid w:val="00E81CF4"/>
    <w:rsid w:val="00E8203E"/>
    <w:rsid w:val="00E82357"/>
    <w:rsid w:val="00E825FF"/>
    <w:rsid w:val="00E82C64"/>
    <w:rsid w:val="00E82D5F"/>
    <w:rsid w:val="00E831E6"/>
    <w:rsid w:val="00E832BD"/>
    <w:rsid w:val="00E83361"/>
    <w:rsid w:val="00E838E8"/>
    <w:rsid w:val="00E83B9B"/>
    <w:rsid w:val="00E83C26"/>
    <w:rsid w:val="00E84110"/>
    <w:rsid w:val="00E84141"/>
    <w:rsid w:val="00E844AF"/>
    <w:rsid w:val="00E84D4E"/>
    <w:rsid w:val="00E84E4A"/>
    <w:rsid w:val="00E84E84"/>
    <w:rsid w:val="00E85038"/>
    <w:rsid w:val="00E851C0"/>
    <w:rsid w:val="00E85206"/>
    <w:rsid w:val="00E85264"/>
    <w:rsid w:val="00E853E3"/>
    <w:rsid w:val="00E8543B"/>
    <w:rsid w:val="00E85445"/>
    <w:rsid w:val="00E854B9"/>
    <w:rsid w:val="00E85761"/>
    <w:rsid w:val="00E85A08"/>
    <w:rsid w:val="00E85BCC"/>
    <w:rsid w:val="00E85BF6"/>
    <w:rsid w:val="00E85E80"/>
    <w:rsid w:val="00E86019"/>
    <w:rsid w:val="00E86124"/>
    <w:rsid w:val="00E86279"/>
    <w:rsid w:val="00E8658A"/>
    <w:rsid w:val="00E86971"/>
    <w:rsid w:val="00E86A9F"/>
    <w:rsid w:val="00E86ADB"/>
    <w:rsid w:val="00E86C72"/>
    <w:rsid w:val="00E8708C"/>
    <w:rsid w:val="00E87593"/>
    <w:rsid w:val="00E87647"/>
    <w:rsid w:val="00E87CFC"/>
    <w:rsid w:val="00E87EED"/>
    <w:rsid w:val="00E87F0D"/>
    <w:rsid w:val="00E87F82"/>
    <w:rsid w:val="00E9029A"/>
    <w:rsid w:val="00E9059C"/>
    <w:rsid w:val="00E90FBB"/>
    <w:rsid w:val="00E9106C"/>
    <w:rsid w:val="00E9135C"/>
    <w:rsid w:val="00E9140E"/>
    <w:rsid w:val="00E9161A"/>
    <w:rsid w:val="00E916DF"/>
    <w:rsid w:val="00E91792"/>
    <w:rsid w:val="00E91F5A"/>
    <w:rsid w:val="00E91F6C"/>
    <w:rsid w:val="00E91FEC"/>
    <w:rsid w:val="00E9242B"/>
    <w:rsid w:val="00E92B29"/>
    <w:rsid w:val="00E92CA0"/>
    <w:rsid w:val="00E932FF"/>
    <w:rsid w:val="00E93756"/>
    <w:rsid w:val="00E9375E"/>
    <w:rsid w:val="00E937C6"/>
    <w:rsid w:val="00E9388B"/>
    <w:rsid w:val="00E93969"/>
    <w:rsid w:val="00E93CB5"/>
    <w:rsid w:val="00E93CE5"/>
    <w:rsid w:val="00E93D02"/>
    <w:rsid w:val="00E93E5C"/>
    <w:rsid w:val="00E93ED8"/>
    <w:rsid w:val="00E93F4A"/>
    <w:rsid w:val="00E94163"/>
    <w:rsid w:val="00E943FA"/>
    <w:rsid w:val="00E94473"/>
    <w:rsid w:val="00E946CD"/>
    <w:rsid w:val="00E946EA"/>
    <w:rsid w:val="00E948DA"/>
    <w:rsid w:val="00E949CE"/>
    <w:rsid w:val="00E94BAD"/>
    <w:rsid w:val="00E94C3C"/>
    <w:rsid w:val="00E94FFF"/>
    <w:rsid w:val="00E951AE"/>
    <w:rsid w:val="00E952B8"/>
    <w:rsid w:val="00E956A9"/>
    <w:rsid w:val="00E956D4"/>
    <w:rsid w:val="00E9580E"/>
    <w:rsid w:val="00E960BC"/>
    <w:rsid w:val="00E964F6"/>
    <w:rsid w:val="00E96989"/>
    <w:rsid w:val="00E96D5F"/>
    <w:rsid w:val="00E9739C"/>
    <w:rsid w:val="00E97484"/>
    <w:rsid w:val="00E974F3"/>
    <w:rsid w:val="00E97534"/>
    <w:rsid w:val="00E975C4"/>
    <w:rsid w:val="00E978D7"/>
    <w:rsid w:val="00E97A3C"/>
    <w:rsid w:val="00E97E84"/>
    <w:rsid w:val="00EA0006"/>
    <w:rsid w:val="00EA01A3"/>
    <w:rsid w:val="00EA031B"/>
    <w:rsid w:val="00EA0490"/>
    <w:rsid w:val="00EA0BAA"/>
    <w:rsid w:val="00EA125F"/>
    <w:rsid w:val="00EA138C"/>
    <w:rsid w:val="00EA1424"/>
    <w:rsid w:val="00EA14B8"/>
    <w:rsid w:val="00EA1A08"/>
    <w:rsid w:val="00EA1A58"/>
    <w:rsid w:val="00EA1D23"/>
    <w:rsid w:val="00EA1D71"/>
    <w:rsid w:val="00EA1FDC"/>
    <w:rsid w:val="00EA203A"/>
    <w:rsid w:val="00EA20A6"/>
    <w:rsid w:val="00EA2288"/>
    <w:rsid w:val="00EA2516"/>
    <w:rsid w:val="00EA2B20"/>
    <w:rsid w:val="00EA2E4C"/>
    <w:rsid w:val="00EA3540"/>
    <w:rsid w:val="00EA3B37"/>
    <w:rsid w:val="00EA4065"/>
    <w:rsid w:val="00EA41BD"/>
    <w:rsid w:val="00EA43AD"/>
    <w:rsid w:val="00EA4424"/>
    <w:rsid w:val="00EA4743"/>
    <w:rsid w:val="00EA4848"/>
    <w:rsid w:val="00EA48FE"/>
    <w:rsid w:val="00EA4A83"/>
    <w:rsid w:val="00EA4DAF"/>
    <w:rsid w:val="00EA50DF"/>
    <w:rsid w:val="00EA521E"/>
    <w:rsid w:val="00EA5404"/>
    <w:rsid w:val="00EA55D9"/>
    <w:rsid w:val="00EA5D63"/>
    <w:rsid w:val="00EA5E7D"/>
    <w:rsid w:val="00EA6053"/>
    <w:rsid w:val="00EA608A"/>
    <w:rsid w:val="00EA64B4"/>
    <w:rsid w:val="00EA65AD"/>
    <w:rsid w:val="00EA6D71"/>
    <w:rsid w:val="00EA6DBD"/>
    <w:rsid w:val="00EA6DDA"/>
    <w:rsid w:val="00EA6F78"/>
    <w:rsid w:val="00EA7777"/>
    <w:rsid w:val="00EA7886"/>
    <w:rsid w:val="00EA7945"/>
    <w:rsid w:val="00EA7A28"/>
    <w:rsid w:val="00EA7D5A"/>
    <w:rsid w:val="00EA7E73"/>
    <w:rsid w:val="00EB00ED"/>
    <w:rsid w:val="00EB0789"/>
    <w:rsid w:val="00EB085D"/>
    <w:rsid w:val="00EB0A89"/>
    <w:rsid w:val="00EB0D52"/>
    <w:rsid w:val="00EB11D4"/>
    <w:rsid w:val="00EB1AD6"/>
    <w:rsid w:val="00EB1D52"/>
    <w:rsid w:val="00EB1F80"/>
    <w:rsid w:val="00EB24AA"/>
    <w:rsid w:val="00EB2518"/>
    <w:rsid w:val="00EB2536"/>
    <w:rsid w:val="00EB27CF"/>
    <w:rsid w:val="00EB2969"/>
    <w:rsid w:val="00EB2B28"/>
    <w:rsid w:val="00EB2C09"/>
    <w:rsid w:val="00EB2D69"/>
    <w:rsid w:val="00EB2E97"/>
    <w:rsid w:val="00EB2EEC"/>
    <w:rsid w:val="00EB2FE0"/>
    <w:rsid w:val="00EB318A"/>
    <w:rsid w:val="00EB3250"/>
    <w:rsid w:val="00EB364C"/>
    <w:rsid w:val="00EB3685"/>
    <w:rsid w:val="00EB386B"/>
    <w:rsid w:val="00EB39FE"/>
    <w:rsid w:val="00EB3D69"/>
    <w:rsid w:val="00EB4031"/>
    <w:rsid w:val="00EB41B5"/>
    <w:rsid w:val="00EB4350"/>
    <w:rsid w:val="00EB46CD"/>
    <w:rsid w:val="00EB488F"/>
    <w:rsid w:val="00EB4A4D"/>
    <w:rsid w:val="00EB5333"/>
    <w:rsid w:val="00EB5401"/>
    <w:rsid w:val="00EB558A"/>
    <w:rsid w:val="00EB59AC"/>
    <w:rsid w:val="00EB610B"/>
    <w:rsid w:val="00EB65AC"/>
    <w:rsid w:val="00EB6B25"/>
    <w:rsid w:val="00EB6D94"/>
    <w:rsid w:val="00EB7055"/>
    <w:rsid w:val="00EB705E"/>
    <w:rsid w:val="00EB70B5"/>
    <w:rsid w:val="00EB7246"/>
    <w:rsid w:val="00EB7358"/>
    <w:rsid w:val="00EB73A9"/>
    <w:rsid w:val="00EB73C3"/>
    <w:rsid w:val="00EB73C5"/>
    <w:rsid w:val="00EB7853"/>
    <w:rsid w:val="00EB7920"/>
    <w:rsid w:val="00EB7A71"/>
    <w:rsid w:val="00EB7F5F"/>
    <w:rsid w:val="00EC001C"/>
    <w:rsid w:val="00EC0306"/>
    <w:rsid w:val="00EC032B"/>
    <w:rsid w:val="00EC0480"/>
    <w:rsid w:val="00EC04EE"/>
    <w:rsid w:val="00EC0907"/>
    <w:rsid w:val="00EC0A20"/>
    <w:rsid w:val="00EC0AB0"/>
    <w:rsid w:val="00EC0BF4"/>
    <w:rsid w:val="00EC10F7"/>
    <w:rsid w:val="00EC12F3"/>
    <w:rsid w:val="00EC1474"/>
    <w:rsid w:val="00EC1560"/>
    <w:rsid w:val="00EC1574"/>
    <w:rsid w:val="00EC1586"/>
    <w:rsid w:val="00EC178E"/>
    <w:rsid w:val="00EC1B29"/>
    <w:rsid w:val="00EC1C43"/>
    <w:rsid w:val="00EC1D39"/>
    <w:rsid w:val="00EC1ED4"/>
    <w:rsid w:val="00EC1EDF"/>
    <w:rsid w:val="00EC22A2"/>
    <w:rsid w:val="00EC22BE"/>
    <w:rsid w:val="00EC22E1"/>
    <w:rsid w:val="00EC2609"/>
    <w:rsid w:val="00EC2A8A"/>
    <w:rsid w:val="00EC2D0A"/>
    <w:rsid w:val="00EC2E7E"/>
    <w:rsid w:val="00EC3448"/>
    <w:rsid w:val="00EC353F"/>
    <w:rsid w:val="00EC3E56"/>
    <w:rsid w:val="00EC4041"/>
    <w:rsid w:val="00EC4346"/>
    <w:rsid w:val="00EC4B61"/>
    <w:rsid w:val="00EC4C17"/>
    <w:rsid w:val="00EC4E57"/>
    <w:rsid w:val="00EC5182"/>
    <w:rsid w:val="00EC5697"/>
    <w:rsid w:val="00EC5AA5"/>
    <w:rsid w:val="00EC5E85"/>
    <w:rsid w:val="00EC6008"/>
    <w:rsid w:val="00EC6357"/>
    <w:rsid w:val="00EC6D57"/>
    <w:rsid w:val="00EC6D5B"/>
    <w:rsid w:val="00EC741A"/>
    <w:rsid w:val="00EC7474"/>
    <w:rsid w:val="00EC7526"/>
    <w:rsid w:val="00EC752E"/>
    <w:rsid w:val="00EC756C"/>
    <w:rsid w:val="00EC761D"/>
    <w:rsid w:val="00EC7A9C"/>
    <w:rsid w:val="00EC7B22"/>
    <w:rsid w:val="00EC7B69"/>
    <w:rsid w:val="00EC7B7D"/>
    <w:rsid w:val="00EC7F24"/>
    <w:rsid w:val="00ED0D98"/>
    <w:rsid w:val="00ED0E9E"/>
    <w:rsid w:val="00ED0EA1"/>
    <w:rsid w:val="00ED112F"/>
    <w:rsid w:val="00ED115D"/>
    <w:rsid w:val="00ED1272"/>
    <w:rsid w:val="00ED16EC"/>
    <w:rsid w:val="00ED19BB"/>
    <w:rsid w:val="00ED1F95"/>
    <w:rsid w:val="00ED20ED"/>
    <w:rsid w:val="00ED2266"/>
    <w:rsid w:val="00ED22D3"/>
    <w:rsid w:val="00ED240E"/>
    <w:rsid w:val="00ED25E5"/>
    <w:rsid w:val="00ED27B9"/>
    <w:rsid w:val="00ED2EB5"/>
    <w:rsid w:val="00ED3A00"/>
    <w:rsid w:val="00ED4019"/>
    <w:rsid w:val="00ED404F"/>
    <w:rsid w:val="00ED45CD"/>
    <w:rsid w:val="00ED47A1"/>
    <w:rsid w:val="00ED4C6F"/>
    <w:rsid w:val="00ED4F38"/>
    <w:rsid w:val="00ED500F"/>
    <w:rsid w:val="00ED55C1"/>
    <w:rsid w:val="00ED5E64"/>
    <w:rsid w:val="00ED6388"/>
    <w:rsid w:val="00ED6B87"/>
    <w:rsid w:val="00ED6BB3"/>
    <w:rsid w:val="00ED6BCF"/>
    <w:rsid w:val="00ED6EA3"/>
    <w:rsid w:val="00ED7683"/>
    <w:rsid w:val="00ED79AA"/>
    <w:rsid w:val="00ED7C24"/>
    <w:rsid w:val="00ED7FD8"/>
    <w:rsid w:val="00EE09D9"/>
    <w:rsid w:val="00EE0AFD"/>
    <w:rsid w:val="00EE0C58"/>
    <w:rsid w:val="00EE0CF8"/>
    <w:rsid w:val="00EE1211"/>
    <w:rsid w:val="00EE12DC"/>
    <w:rsid w:val="00EE15B4"/>
    <w:rsid w:val="00EE19B0"/>
    <w:rsid w:val="00EE2072"/>
    <w:rsid w:val="00EE217F"/>
    <w:rsid w:val="00EE239A"/>
    <w:rsid w:val="00EE24FB"/>
    <w:rsid w:val="00EE2559"/>
    <w:rsid w:val="00EE2C24"/>
    <w:rsid w:val="00EE2D12"/>
    <w:rsid w:val="00EE2D24"/>
    <w:rsid w:val="00EE2FFD"/>
    <w:rsid w:val="00EE360B"/>
    <w:rsid w:val="00EE365F"/>
    <w:rsid w:val="00EE3EA4"/>
    <w:rsid w:val="00EE3F18"/>
    <w:rsid w:val="00EE3F50"/>
    <w:rsid w:val="00EE3FBD"/>
    <w:rsid w:val="00EE4419"/>
    <w:rsid w:val="00EE4615"/>
    <w:rsid w:val="00EE466B"/>
    <w:rsid w:val="00EE4707"/>
    <w:rsid w:val="00EE475F"/>
    <w:rsid w:val="00EE483D"/>
    <w:rsid w:val="00EE4B7E"/>
    <w:rsid w:val="00EE4ED9"/>
    <w:rsid w:val="00EE4FA1"/>
    <w:rsid w:val="00EE53B1"/>
    <w:rsid w:val="00EE549A"/>
    <w:rsid w:val="00EE57E8"/>
    <w:rsid w:val="00EE58C5"/>
    <w:rsid w:val="00EE5947"/>
    <w:rsid w:val="00EE5CDB"/>
    <w:rsid w:val="00EE657F"/>
    <w:rsid w:val="00EE6B2B"/>
    <w:rsid w:val="00EE6D4D"/>
    <w:rsid w:val="00EE7506"/>
    <w:rsid w:val="00EE7585"/>
    <w:rsid w:val="00EE7764"/>
    <w:rsid w:val="00EE7A49"/>
    <w:rsid w:val="00EE7C21"/>
    <w:rsid w:val="00EE7C9E"/>
    <w:rsid w:val="00EE7F88"/>
    <w:rsid w:val="00EF05A7"/>
    <w:rsid w:val="00EF0744"/>
    <w:rsid w:val="00EF0BD9"/>
    <w:rsid w:val="00EF0C91"/>
    <w:rsid w:val="00EF0D1C"/>
    <w:rsid w:val="00EF1289"/>
    <w:rsid w:val="00EF1393"/>
    <w:rsid w:val="00EF162A"/>
    <w:rsid w:val="00EF16E6"/>
    <w:rsid w:val="00EF1911"/>
    <w:rsid w:val="00EF2261"/>
    <w:rsid w:val="00EF2272"/>
    <w:rsid w:val="00EF22A8"/>
    <w:rsid w:val="00EF2714"/>
    <w:rsid w:val="00EF28C9"/>
    <w:rsid w:val="00EF327C"/>
    <w:rsid w:val="00EF3359"/>
    <w:rsid w:val="00EF344C"/>
    <w:rsid w:val="00EF36CF"/>
    <w:rsid w:val="00EF3A0A"/>
    <w:rsid w:val="00EF3EEA"/>
    <w:rsid w:val="00EF4559"/>
    <w:rsid w:val="00EF4707"/>
    <w:rsid w:val="00EF484D"/>
    <w:rsid w:val="00EF49BF"/>
    <w:rsid w:val="00EF4BBD"/>
    <w:rsid w:val="00EF4CB5"/>
    <w:rsid w:val="00EF5146"/>
    <w:rsid w:val="00EF5315"/>
    <w:rsid w:val="00EF572F"/>
    <w:rsid w:val="00EF5F12"/>
    <w:rsid w:val="00EF64A7"/>
    <w:rsid w:val="00EF64FB"/>
    <w:rsid w:val="00EF67EC"/>
    <w:rsid w:val="00EF6901"/>
    <w:rsid w:val="00EF69A0"/>
    <w:rsid w:val="00EF69F4"/>
    <w:rsid w:val="00EF6DBA"/>
    <w:rsid w:val="00EF74E1"/>
    <w:rsid w:val="00EF7B6B"/>
    <w:rsid w:val="00F00087"/>
    <w:rsid w:val="00F0043C"/>
    <w:rsid w:val="00F0098C"/>
    <w:rsid w:val="00F00A79"/>
    <w:rsid w:val="00F00B81"/>
    <w:rsid w:val="00F00CEA"/>
    <w:rsid w:val="00F00E74"/>
    <w:rsid w:val="00F00FED"/>
    <w:rsid w:val="00F01252"/>
    <w:rsid w:val="00F01583"/>
    <w:rsid w:val="00F0165A"/>
    <w:rsid w:val="00F01770"/>
    <w:rsid w:val="00F01A6B"/>
    <w:rsid w:val="00F01B3A"/>
    <w:rsid w:val="00F01B47"/>
    <w:rsid w:val="00F01EC7"/>
    <w:rsid w:val="00F020CC"/>
    <w:rsid w:val="00F0224E"/>
    <w:rsid w:val="00F02281"/>
    <w:rsid w:val="00F0249A"/>
    <w:rsid w:val="00F02583"/>
    <w:rsid w:val="00F02812"/>
    <w:rsid w:val="00F02C96"/>
    <w:rsid w:val="00F02D77"/>
    <w:rsid w:val="00F02FB4"/>
    <w:rsid w:val="00F031FC"/>
    <w:rsid w:val="00F033E2"/>
    <w:rsid w:val="00F03A31"/>
    <w:rsid w:val="00F03AC4"/>
    <w:rsid w:val="00F03B11"/>
    <w:rsid w:val="00F03EE1"/>
    <w:rsid w:val="00F042BA"/>
    <w:rsid w:val="00F042F1"/>
    <w:rsid w:val="00F0450B"/>
    <w:rsid w:val="00F045E8"/>
    <w:rsid w:val="00F04B78"/>
    <w:rsid w:val="00F04BC4"/>
    <w:rsid w:val="00F04BEB"/>
    <w:rsid w:val="00F05060"/>
    <w:rsid w:val="00F0535C"/>
    <w:rsid w:val="00F053D8"/>
    <w:rsid w:val="00F05917"/>
    <w:rsid w:val="00F059A2"/>
    <w:rsid w:val="00F05BE2"/>
    <w:rsid w:val="00F05F16"/>
    <w:rsid w:val="00F05FE2"/>
    <w:rsid w:val="00F06191"/>
    <w:rsid w:val="00F06230"/>
    <w:rsid w:val="00F062FF"/>
    <w:rsid w:val="00F069B9"/>
    <w:rsid w:val="00F06D36"/>
    <w:rsid w:val="00F06F55"/>
    <w:rsid w:val="00F0724F"/>
    <w:rsid w:val="00F07410"/>
    <w:rsid w:val="00F07485"/>
    <w:rsid w:val="00F079D4"/>
    <w:rsid w:val="00F07C20"/>
    <w:rsid w:val="00F07ECA"/>
    <w:rsid w:val="00F07F49"/>
    <w:rsid w:val="00F10035"/>
    <w:rsid w:val="00F100D7"/>
    <w:rsid w:val="00F100EF"/>
    <w:rsid w:val="00F10609"/>
    <w:rsid w:val="00F1075D"/>
    <w:rsid w:val="00F1084B"/>
    <w:rsid w:val="00F10928"/>
    <w:rsid w:val="00F10960"/>
    <w:rsid w:val="00F10B63"/>
    <w:rsid w:val="00F10D88"/>
    <w:rsid w:val="00F10ED4"/>
    <w:rsid w:val="00F1210A"/>
    <w:rsid w:val="00F12319"/>
    <w:rsid w:val="00F1259D"/>
    <w:rsid w:val="00F1285B"/>
    <w:rsid w:val="00F12E84"/>
    <w:rsid w:val="00F12EA5"/>
    <w:rsid w:val="00F136A2"/>
    <w:rsid w:val="00F1382F"/>
    <w:rsid w:val="00F138ED"/>
    <w:rsid w:val="00F1399F"/>
    <w:rsid w:val="00F13A72"/>
    <w:rsid w:val="00F13D82"/>
    <w:rsid w:val="00F13E74"/>
    <w:rsid w:val="00F142DE"/>
    <w:rsid w:val="00F143DB"/>
    <w:rsid w:val="00F14427"/>
    <w:rsid w:val="00F14EFB"/>
    <w:rsid w:val="00F15361"/>
    <w:rsid w:val="00F1557E"/>
    <w:rsid w:val="00F156CB"/>
    <w:rsid w:val="00F1589E"/>
    <w:rsid w:val="00F15BCB"/>
    <w:rsid w:val="00F16386"/>
    <w:rsid w:val="00F16463"/>
    <w:rsid w:val="00F165E0"/>
    <w:rsid w:val="00F1692A"/>
    <w:rsid w:val="00F169A0"/>
    <w:rsid w:val="00F16A0F"/>
    <w:rsid w:val="00F16A79"/>
    <w:rsid w:val="00F16A8F"/>
    <w:rsid w:val="00F16BC8"/>
    <w:rsid w:val="00F16D17"/>
    <w:rsid w:val="00F170BC"/>
    <w:rsid w:val="00F172BF"/>
    <w:rsid w:val="00F1740A"/>
    <w:rsid w:val="00F17414"/>
    <w:rsid w:val="00F17A3B"/>
    <w:rsid w:val="00F17F01"/>
    <w:rsid w:val="00F202FE"/>
    <w:rsid w:val="00F20D82"/>
    <w:rsid w:val="00F21066"/>
    <w:rsid w:val="00F21306"/>
    <w:rsid w:val="00F21705"/>
    <w:rsid w:val="00F217E4"/>
    <w:rsid w:val="00F21911"/>
    <w:rsid w:val="00F21B85"/>
    <w:rsid w:val="00F21C5B"/>
    <w:rsid w:val="00F21CAF"/>
    <w:rsid w:val="00F220E4"/>
    <w:rsid w:val="00F22598"/>
    <w:rsid w:val="00F22A6A"/>
    <w:rsid w:val="00F22CDE"/>
    <w:rsid w:val="00F22E6B"/>
    <w:rsid w:val="00F23716"/>
    <w:rsid w:val="00F239A2"/>
    <w:rsid w:val="00F23D59"/>
    <w:rsid w:val="00F23F46"/>
    <w:rsid w:val="00F2406C"/>
    <w:rsid w:val="00F240A9"/>
    <w:rsid w:val="00F242B4"/>
    <w:rsid w:val="00F24462"/>
    <w:rsid w:val="00F249BD"/>
    <w:rsid w:val="00F24C26"/>
    <w:rsid w:val="00F24D15"/>
    <w:rsid w:val="00F24F2D"/>
    <w:rsid w:val="00F24FF7"/>
    <w:rsid w:val="00F2502F"/>
    <w:rsid w:val="00F2507B"/>
    <w:rsid w:val="00F253E7"/>
    <w:rsid w:val="00F25553"/>
    <w:rsid w:val="00F255B0"/>
    <w:rsid w:val="00F2575C"/>
    <w:rsid w:val="00F2581E"/>
    <w:rsid w:val="00F259AE"/>
    <w:rsid w:val="00F25BDD"/>
    <w:rsid w:val="00F25CC5"/>
    <w:rsid w:val="00F2627F"/>
    <w:rsid w:val="00F26495"/>
    <w:rsid w:val="00F26631"/>
    <w:rsid w:val="00F26774"/>
    <w:rsid w:val="00F26AB3"/>
    <w:rsid w:val="00F26BE7"/>
    <w:rsid w:val="00F26C2D"/>
    <w:rsid w:val="00F26DEA"/>
    <w:rsid w:val="00F26EF9"/>
    <w:rsid w:val="00F26FB1"/>
    <w:rsid w:val="00F27414"/>
    <w:rsid w:val="00F274D9"/>
    <w:rsid w:val="00F2767A"/>
    <w:rsid w:val="00F278F4"/>
    <w:rsid w:val="00F279B7"/>
    <w:rsid w:val="00F303C9"/>
    <w:rsid w:val="00F30501"/>
    <w:rsid w:val="00F30562"/>
    <w:rsid w:val="00F31111"/>
    <w:rsid w:val="00F312EF"/>
    <w:rsid w:val="00F31659"/>
    <w:rsid w:val="00F321B5"/>
    <w:rsid w:val="00F32404"/>
    <w:rsid w:val="00F32FBD"/>
    <w:rsid w:val="00F33232"/>
    <w:rsid w:val="00F33A8B"/>
    <w:rsid w:val="00F340FD"/>
    <w:rsid w:val="00F342D7"/>
    <w:rsid w:val="00F3440D"/>
    <w:rsid w:val="00F34460"/>
    <w:rsid w:val="00F344CA"/>
    <w:rsid w:val="00F34788"/>
    <w:rsid w:val="00F34A0A"/>
    <w:rsid w:val="00F34D00"/>
    <w:rsid w:val="00F3522B"/>
    <w:rsid w:val="00F353EB"/>
    <w:rsid w:val="00F35B1E"/>
    <w:rsid w:val="00F35B6A"/>
    <w:rsid w:val="00F35D24"/>
    <w:rsid w:val="00F35F45"/>
    <w:rsid w:val="00F36D11"/>
    <w:rsid w:val="00F37178"/>
    <w:rsid w:val="00F37195"/>
    <w:rsid w:val="00F37376"/>
    <w:rsid w:val="00F37547"/>
    <w:rsid w:val="00F3759D"/>
    <w:rsid w:val="00F3788B"/>
    <w:rsid w:val="00F37A77"/>
    <w:rsid w:val="00F37C19"/>
    <w:rsid w:val="00F37C59"/>
    <w:rsid w:val="00F40584"/>
    <w:rsid w:val="00F40BAB"/>
    <w:rsid w:val="00F40C85"/>
    <w:rsid w:val="00F41114"/>
    <w:rsid w:val="00F4165B"/>
    <w:rsid w:val="00F41860"/>
    <w:rsid w:val="00F41B1F"/>
    <w:rsid w:val="00F41F35"/>
    <w:rsid w:val="00F4208E"/>
    <w:rsid w:val="00F423F0"/>
    <w:rsid w:val="00F425DB"/>
    <w:rsid w:val="00F42D67"/>
    <w:rsid w:val="00F42E09"/>
    <w:rsid w:val="00F4306D"/>
    <w:rsid w:val="00F430CC"/>
    <w:rsid w:val="00F432A0"/>
    <w:rsid w:val="00F43320"/>
    <w:rsid w:val="00F43361"/>
    <w:rsid w:val="00F43466"/>
    <w:rsid w:val="00F43683"/>
    <w:rsid w:val="00F43703"/>
    <w:rsid w:val="00F43779"/>
    <w:rsid w:val="00F437B9"/>
    <w:rsid w:val="00F43952"/>
    <w:rsid w:val="00F43BA3"/>
    <w:rsid w:val="00F44136"/>
    <w:rsid w:val="00F44A41"/>
    <w:rsid w:val="00F44BBC"/>
    <w:rsid w:val="00F44C44"/>
    <w:rsid w:val="00F44F14"/>
    <w:rsid w:val="00F450AD"/>
    <w:rsid w:val="00F453FC"/>
    <w:rsid w:val="00F45627"/>
    <w:rsid w:val="00F45681"/>
    <w:rsid w:val="00F45D8B"/>
    <w:rsid w:val="00F45E20"/>
    <w:rsid w:val="00F46771"/>
    <w:rsid w:val="00F469A4"/>
    <w:rsid w:val="00F46C72"/>
    <w:rsid w:val="00F47118"/>
    <w:rsid w:val="00F47226"/>
    <w:rsid w:val="00F4759B"/>
    <w:rsid w:val="00F47C8E"/>
    <w:rsid w:val="00F500F1"/>
    <w:rsid w:val="00F5039A"/>
    <w:rsid w:val="00F50712"/>
    <w:rsid w:val="00F509F8"/>
    <w:rsid w:val="00F51003"/>
    <w:rsid w:val="00F51142"/>
    <w:rsid w:val="00F5145C"/>
    <w:rsid w:val="00F5168E"/>
    <w:rsid w:val="00F51A1A"/>
    <w:rsid w:val="00F51C5C"/>
    <w:rsid w:val="00F52002"/>
    <w:rsid w:val="00F52062"/>
    <w:rsid w:val="00F523FA"/>
    <w:rsid w:val="00F5252E"/>
    <w:rsid w:val="00F528B3"/>
    <w:rsid w:val="00F5294D"/>
    <w:rsid w:val="00F537EA"/>
    <w:rsid w:val="00F54261"/>
    <w:rsid w:val="00F54AEB"/>
    <w:rsid w:val="00F551B3"/>
    <w:rsid w:val="00F5531D"/>
    <w:rsid w:val="00F55499"/>
    <w:rsid w:val="00F5555F"/>
    <w:rsid w:val="00F5572E"/>
    <w:rsid w:val="00F55790"/>
    <w:rsid w:val="00F55C10"/>
    <w:rsid w:val="00F55F7D"/>
    <w:rsid w:val="00F56124"/>
    <w:rsid w:val="00F561FC"/>
    <w:rsid w:val="00F564AB"/>
    <w:rsid w:val="00F56750"/>
    <w:rsid w:val="00F567DF"/>
    <w:rsid w:val="00F5684F"/>
    <w:rsid w:val="00F56BF1"/>
    <w:rsid w:val="00F56C5E"/>
    <w:rsid w:val="00F57044"/>
    <w:rsid w:val="00F5723D"/>
    <w:rsid w:val="00F577BB"/>
    <w:rsid w:val="00F57BA8"/>
    <w:rsid w:val="00F57C58"/>
    <w:rsid w:val="00F603A0"/>
    <w:rsid w:val="00F605BB"/>
    <w:rsid w:val="00F60911"/>
    <w:rsid w:val="00F60945"/>
    <w:rsid w:val="00F60A2D"/>
    <w:rsid w:val="00F60BDB"/>
    <w:rsid w:val="00F61000"/>
    <w:rsid w:val="00F611A5"/>
    <w:rsid w:val="00F61273"/>
    <w:rsid w:val="00F61325"/>
    <w:rsid w:val="00F61757"/>
    <w:rsid w:val="00F61AB8"/>
    <w:rsid w:val="00F61D43"/>
    <w:rsid w:val="00F61F2B"/>
    <w:rsid w:val="00F622A9"/>
    <w:rsid w:val="00F62487"/>
    <w:rsid w:val="00F62640"/>
    <w:rsid w:val="00F6264E"/>
    <w:rsid w:val="00F626D9"/>
    <w:rsid w:val="00F62E46"/>
    <w:rsid w:val="00F6354E"/>
    <w:rsid w:val="00F63677"/>
    <w:rsid w:val="00F63714"/>
    <w:rsid w:val="00F638C9"/>
    <w:rsid w:val="00F63B07"/>
    <w:rsid w:val="00F63CE7"/>
    <w:rsid w:val="00F6431D"/>
    <w:rsid w:val="00F643FE"/>
    <w:rsid w:val="00F64675"/>
    <w:rsid w:val="00F64A88"/>
    <w:rsid w:val="00F64CC4"/>
    <w:rsid w:val="00F64D3E"/>
    <w:rsid w:val="00F65102"/>
    <w:rsid w:val="00F65357"/>
    <w:rsid w:val="00F65FDC"/>
    <w:rsid w:val="00F66346"/>
    <w:rsid w:val="00F66502"/>
    <w:rsid w:val="00F66C23"/>
    <w:rsid w:val="00F67219"/>
    <w:rsid w:val="00F6732E"/>
    <w:rsid w:val="00F6766B"/>
    <w:rsid w:val="00F678DE"/>
    <w:rsid w:val="00F67D1C"/>
    <w:rsid w:val="00F67F4E"/>
    <w:rsid w:val="00F700A2"/>
    <w:rsid w:val="00F704A1"/>
    <w:rsid w:val="00F708C4"/>
    <w:rsid w:val="00F70911"/>
    <w:rsid w:val="00F70A26"/>
    <w:rsid w:val="00F70B17"/>
    <w:rsid w:val="00F70C7D"/>
    <w:rsid w:val="00F71033"/>
    <w:rsid w:val="00F71620"/>
    <w:rsid w:val="00F7188A"/>
    <w:rsid w:val="00F718D1"/>
    <w:rsid w:val="00F71AF4"/>
    <w:rsid w:val="00F71D97"/>
    <w:rsid w:val="00F72403"/>
    <w:rsid w:val="00F7256B"/>
    <w:rsid w:val="00F726EE"/>
    <w:rsid w:val="00F728C4"/>
    <w:rsid w:val="00F72964"/>
    <w:rsid w:val="00F72DF0"/>
    <w:rsid w:val="00F730AC"/>
    <w:rsid w:val="00F737ED"/>
    <w:rsid w:val="00F737F1"/>
    <w:rsid w:val="00F7461F"/>
    <w:rsid w:val="00F74A3B"/>
    <w:rsid w:val="00F74F66"/>
    <w:rsid w:val="00F751F7"/>
    <w:rsid w:val="00F7529B"/>
    <w:rsid w:val="00F7550A"/>
    <w:rsid w:val="00F755D1"/>
    <w:rsid w:val="00F75F5F"/>
    <w:rsid w:val="00F76419"/>
    <w:rsid w:val="00F76729"/>
    <w:rsid w:val="00F76B4F"/>
    <w:rsid w:val="00F76CF8"/>
    <w:rsid w:val="00F76FD1"/>
    <w:rsid w:val="00F77547"/>
    <w:rsid w:val="00F77552"/>
    <w:rsid w:val="00F775D5"/>
    <w:rsid w:val="00F7777B"/>
    <w:rsid w:val="00F77984"/>
    <w:rsid w:val="00F806A7"/>
    <w:rsid w:val="00F8070C"/>
    <w:rsid w:val="00F8080A"/>
    <w:rsid w:val="00F80963"/>
    <w:rsid w:val="00F80989"/>
    <w:rsid w:val="00F80BB2"/>
    <w:rsid w:val="00F80E4A"/>
    <w:rsid w:val="00F81075"/>
    <w:rsid w:val="00F8116B"/>
    <w:rsid w:val="00F813C6"/>
    <w:rsid w:val="00F8162C"/>
    <w:rsid w:val="00F81702"/>
    <w:rsid w:val="00F81B11"/>
    <w:rsid w:val="00F81D15"/>
    <w:rsid w:val="00F81F31"/>
    <w:rsid w:val="00F81F6B"/>
    <w:rsid w:val="00F82021"/>
    <w:rsid w:val="00F823D5"/>
    <w:rsid w:val="00F82632"/>
    <w:rsid w:val="00F82892"/>
    <w:rsid w:val="00F82B53"/>
    <w:rsid w:val="00F831A1"/>
    <w:rsid w:val="00F8324B"/>
    <w:rsid w:val="00F83312"/>
    <w:rsid w:val="00F837A6"/>
    <w:rsid w:val="00F837E7"/>
    <w:rsid w:val="00F83809"/>
    <w:rsid w:val="00F83930"/>
    <w:rsid w:val="00F83E9D"/>
    <w:rsid w:val="00F83EDA"/>
    <w:rsid w:val="00F842ED"/>
    <w:rsid w:val="00F84BC4"/>
    <w:rsid w:val="00F84DBD"/>
    <w:rsid w:val="00F858AB"/>
    <w:rsid w:val="00F85AB5"/>
    <w:rsid w:val="00F85D76"/>
    <w:rsid w:val="00F85DC9"/>
    <w:rsid w:val="00F85F90"/>
    <w:rsid w:val="00F86018"/>
    <w:rsid w:val="00F86358"/>
    <w:rsid w:val="00F86382"/>
    <w:rsid w:val="00F8641D"/>
    <w:rsid w:val="00F86744"/>
    <w:rsid w:val="00F8685D"/>
    <w:rsid w:val="00F86DB9"/>
    <w:rsid w:val="00F86DF4"/>
    <w:rsid w:val="00F86EAF"/>
    <w:rsid w:val="00F86F9A"/>
    <w:rsid w:val="00F870F1"/>
    <w:rsid w:val="00F8769F"/>
    <w:rsid w:val="00F87721"/>
    <w:rsid w:val="00F877FD"/>
    <w:rsid w:val="00F87A6A"/>
    <w:rsid w:val="00F87C2D"/>
    <w:rsid w:val="00F87CF2"/>
    <w:rsid w:val="00F87F71"/>
    <w:rsid w:val="00F87F77"/>
    <w:rsid w:val="00F90057"/>
    <w:rsid w:val="00F902B1"/>
    <w:rsid w:val="00F90829"/>
    <w:rsid w:val="00F90B81"/>
    <w:rsid w:val="00F90D8E"/>
    <w:rsid w:val="00F90DDD"/>
    <w:rsid w:val="00F90F2C"/>
    <w:rsid w:val="00F918C9"/>
    <w:rsid w:val="00F91A1B"/>
    <w:rsid w:val="00F91C59"/>
    <w:rsid w:val="00F91E87"/>
    <w:rsid w:val="00F923FF"/>
    <w:rsid w:val="00F92C4B"/>
    <w:rsid w:val="00F92FB8"/>
    <w:rsid w:val="00F93326"/>
    <w:rsid w:val="00F934A8"/>
    <w:rsid w:val="00F93505"/>
    <w:rsid w:val="00F9351C"/>
    <w:rsid w:val="00F93F83"/>
    <w:rsid w:val="00F94335"/>
    <w:rsid w:val="00F94390"/>
    <w:rsid w:val="00F944AF"/>
    <w:rsid w:val="00F9456B"/>
    <w:rsid w:val="00F94571"/>
    <w:rsid w:val="00F94666"/>
    <w:rsid w:val="00F947A4"/>
    <w:rsid w:val="00F94A12"/>
    <w:rsid w:val="00F94B2E"/>
    <w:rsid w:val="00F94BA4"/>
    <w:rsid w:val="00F94DE3"/>
    <w:rsid w:val="00F94E7F"/>
    <w:rsid w:val="00F94EBE"/>
    <w:rsid w:val="00F952A6"/>
    <w:rsid w:val="00F95466"/>
    <w:rsid w:val="00F95563"/>
    <w:rsid w:val="00F95D09"/>
    <w:rsid w:val="00F96516"/>
    <w:rsid w:val="00F965C6"/>
    <w:rsid w:val="00F96613"/>
    <w:rsid w:val="00F9731B"/>
    <w:rsid w:val="00F97347"/>
    <w:rsid w:val="00F97521"/>
    <w:rsid w:val="00F975BD"/>
    <w:rsid w:val="00F97637"/>
    <w:rsid w:val="00F979FF"/>
    <w:rsid w:val="00F97A46"/>
    <w:rsid w:val="00FA00CD"/>
    <w:rsid w:val="00FA0483"/>
    <w:rsid w:val="00FA0B2A"/>
    <w:rsid w:val="00FA0FF0"/>
    <w:rsid w:val="00FA1210"/>
    <w:rsid w:val="00FA131F"/>
    <w:rsid w:val="00FA14C1"/>
    <w:rsid w:val="00FA15FF"/>
    <w:rsid w:val="00FA16FE"/>
    <w:rsid w:val="00FA180E"/>
    <w:rsid w:val="00FA1E3E"/>
    <w:rsid w:val="00FA1FF2"/>
    <w:rsid w:val="00FA20CD"/>
    <w:rsid w:val="00FA2202"/>
    <w:rsid w:val="00FA257B"/>
    <w:rsid w:val="00FA2927"/>
    <w:rsid w:val="00FA2C59"/>
    <w:rsid w:val="00FA2C60"/>
    <w:rsid w:val="00FA2F3B"/>
    <w:rsid w:val="00FA3433"/>
    <w:rsid w:val="00FA3638"/>
    <w:rsid w:val="00FA3768"/>
    <w:rsid w:val="00FA3811"/>
    <w:rsid w:val="00FA3BDD"/>
    <w:rsid w:val="00FA3D7B"/>
    <w:rsid w:val="00FA3E5E"/>
    <w:rsid w:val="00FA44C9"/>
    <w:rsid w:val="00FA4A6E"/>
    <w:rsid w:val="00FA51B7"/>
    <w:rsid w:val="00FA5410"/>
    <w:rsid w:val="00FA55AF"/>
    <w:rsid w:val="00FA60B5"/>
    <w:rsid w:val="00FA6791"/>
    <w:rsid w:val="00FA6795"/>
    <w:rsid w:val="00FA6B1F"/>
    <w:rsid w:val="00FA6F26"/>
    <w:rsid w:val="00FA6F93"/>
    <w:rsid w:val="00FA6FE3"/>
    <w:rsid w:val="00FA6FED"/>
    <w:rsid w:val="00FA71EA"/>
    <w:rsid w:val="00FA7272"/>
    <w:rsid w:val="00FA7522"/>
    <w:rsid w:val="00FA7635"/>
    <w:rsid w:val="00FA7698"/>
    <w:rsid w:val="00FA78C2"/>
    <w:rsid w:val="00FA78D0"/>
    <w:rsid w:val="00FA7AAC"/>
    <w:rsid w:val="00FA7AD5"/>
    <w:rsid w:val="00FA7BFA"/>
    <w:rsid w:val="00FA7C4A"/>
    <w:rsid w:val="00FA7FE8"/>
    <w:rsid w:val="00FB01F3"/>
    <w:rsid w:val="00FB0289"/>
    <w:rsid w:val="00FB0418"/>
    <w:rsid w:val="00FB0618"/>
    <w:rsid w:val="00FB0808"/>
    <w:rsid w:val="00FB0A09"/>
    <w:rsid w:val="00FB0B8C"/>
    <w:rsid w:val="00FB0C06"/>
    <w:rsid w:val="00FB0F3D"/>
    <w:rsid w:val="00FB1C9A"/>
    <w:rsid w:val="00FB1CD0"/>
    <w:rsid w:val="00FB1F70"/>
    <w:rsid w:val="00FB2104"/>
    <w:rsid w:val="00FB26CE"/>
    <w:rsid w:val="00FB2708"/>
    <w:rsid w:val="00FB3257"/>
    <w:rsid w:val="00FB339A"/>
    <w:rsid w:val="00FB357D"/>
    <w:rsid w:val="00FB367D"/>
    <w:rsid w:val="00FB371A"/>
    <w:rsid w:val="00FB3B90"/>
    <w:rsid w:val="00FB4E9A"/>
    <w:rsid w:val="00FB50D0"/>
    <w:rsid w:val="00FB5149"/>
    <w:rsid w:val="00FB5341"/>
    <w:rsid w:val="00FB57E1"/>
    <w:rsid w:val="00FB5804"/>
    <w:rsid w:val="00FB5B6F"/>
    <w:rsid w:val="00FB5D2B"/>
    <w:rsid w:val="00FB5DB3"/>
    <w:rsid w:val="00FB6381"/>
    <w:rsid w:val="00FB642E"/>
    <w:rsid w:val="00FB6446"/>
    <w:rsid w:val="00FB6546"/>
    <w:rsid w:val="00FB65B2"/>
    <w:rsid w:val="00FB66ED"/>
    <w:rsid w:val="00FB707D"/>
    <w:rsid w:val="00FB7108"/>
    <w:rsid w:val="00FB75C3"/>
    <w:rsid w:val="00FB75E4"/>
    <w:rsid w:val="00FB78DF"/>
    <w:rsid w:val="00FB79F4"/>
    <w:rsid w:val="00FB7F02"/>
    <w:rsid w:val="00FB7F82"/>
    <w:rsid w:val="00FC0498"/>
    <w:rsid w:val="00FC05EA"/>
    <w:rsid w:val="00FC0694"/>
    <w:rsid w:val="00FC08E3"/>
    <w:rsid w:val="00FC0948"/>
    <w:rsid w:val="00FC0CE2"/>
    <w:rsid w:val="00FC0E3C"/>
    <w:rsid w:val="00FC0F28"/>
    <w:rsid w:val="00FC10EF"/>
    <w:rsid w:val="00FC125F"/>
    <w:rsid w:val="00FC1338"/>
    <w:rsid w:val="00FC1B49"/>
    <w:rsid w:val="00FC1E7A"/>
    <w:rsid w:val="00FC20C5"/>
    <w:rsid w:val="00FC20CB"/>
    <w:rsid w:val="00FC2200"/>
    <w:rsid w:val="00FC2E64"/>
    <w:rsid w:val="00FC2E6F"/>
    <w:rsid w:val="00FC2F86"/>
    <w:rsid w:val="00FC31BA"/>
    <w:rsid w:val="00FC35BD"/>
    <w:rsid w:val="00FC36F2"/>
    <w:rsid w:val="00FC38BA"/>
    <w:rsid w:val="00FC3CD1"/>
    <w:rsid w:val="00FC3CD6"/>
    <w:rsid w:val="00FC3EFA"/>
    <w:rsid w:val="00FC3F82"/>
    <w:rsid w:val="00FC411E"/>
    <w:rsid w:val="00FC4390"/>
    <w:rsid w:val="00FC43C4"/>
    <w:rsid w:val="00FC4B27"/>
    <w:rsid w:val="00FC4D94"/>
    <w:rsid w:val="00FC4E6D"/>
    <w:rsid w:val="00FC50C5"/>
    <w:rsid w:val="00FC53EF"/>
    <w:rsid w:val="00FC5B62"/>
    <w:rsid w:val="00FC5CAA"/>
    <w:rsid w:val="00FC5D5F"/>
    <w:rsid w:val="00FC5E7E"/>
    <w:rsid w:val="00FC604B"/>
    <w:rsid w:val="00FC6087"/>
    <w:rsid w:val="00FC6D2C"/>
    <w:rsid w:val="00FC6F7A"/>
    <w:rsid w:val="00FC7104"/>
    <w:rsid w:val="00FC7886"/>
    <w:rsid w:val="00FC7E75"/>
    <w:rsid w:val="00FC7FEB"/>
    <w:rsid w:val="00FD05EA"/>
    <w:rsid w:val="00FD07AE"/>
    <w:rsid w:val="00FD0E10"/>
    <w:rsid w:val="00FD0EBA"/>
    <w:rsid w:val="00FD14D8"/>
    <w:rsid w:val="00FD1DBA"/>
    <w:rsid w:val="00FD1EC4"/>
    <w:rsid w:val="00FD21E8"/>
    <w:rsid w:val="00FD22A4"/>
    <w:rsid w:val="00FD259E"/>
    <w:rsid w:val="00FD2635"/>
    <w:rsid w:val="00FD26D8"/>
    <w:rsid w:val="00FD2A50"/>
    <w:rsid w:val="00FD2B90"/>
    <w:rsid w:val="00FD2D8B"/>
    <w:rsid w:val="00FD34D9"/>
    <w:rsid w:val="00FD366D"/>
    <w:rsid w:val="00FD3932"/>
    <w:rsid w:val="00FD39C5"/>
    <w:rsid w:val="00FD3B2D"/>
    <w:rsid w:val="00FD3B61"/>
    <w:rsid w:val="00FD3C21"/>
    <w:rsid w:val="00FD3C47"/>
    <w:rsid w:val="00FD3EE5"/>
    <w:rsid w:val="00FD4464"/>
    <w:rsid w:val="00FD4771"/>
    <w:rsid w:val="00FD48E8"/>
    <w:rsid w:val="00FD49F5"/>
    <w:rsid w:val="00FD4B8A"/>
    <w:rsid w:val="00FD4CE9"/>
    <w:rsid w:val="00FD502A"/>
    <w:rsid w:val="00FD5EBF"/>
    <w:rsid w:val="00FD628D"/>
    <w:rsid w:val="00FD62AA"/>
    <w:rsid w:val="00FD637C"/>
    <w:rsid w:val="00FD64A9"/>
    <w:rsid w:val="00FD64AC"/>
    <w:rsid w:val="00FD6573"/>
    <w:rsid w:val="00FD658A"/>
    <w:rsid w:val="00FD6785"/>
    <w:rsid w:val="00FD68B5"/>
    <w:rsid w:val="00FD6970"/>
    <w:rsid w:val="00FD6BF8"/>
    <w:rsid w:val="00FD6FD7"/>
    <w:rsid w:val="00FD73DF"/>
    <w:rsid w:val="00FD7553"/>
    <w:rsid w:val="00FD7573"/>
    <w:rsid w:val="00FD75ED"/>
    <w:rsid w:val="00FD76E0"/>
    <w:rsid w:val="00FD7812"/>
    <w:rsid w:val="00FD7C64"/>
    <w:rsid w:val="00FD7CDD"/>
    <w:rsid w:val="00FE0059"/>
    <w:rsid w:val="00FE0102"/>
    <w:rsid w:val="00FE02E0"/>
    <w:rsid w:val="00FE0328"/>
    <w:rsid w:val="00FE04C6"/>
    <w:rsid w:val="00FE07B0"/>
    <w:rsid w:val="00FE07BB"/>
    <w:rsid w:val="00FE0858"/>
    <w:rsid w:val="00FE08CE"/>
    <w:rsid w:val="00FE0C81"/>
    <w:rsid w:val="00FE0D45"/>
    <w:rsid w:val="00FE101E"/>
    <w:rsid w:val="00FE16F6"/>
    <w:rsid w:val="00FE1F0C"/>
    <w:rsid w:val="00FE2504"/>
    <w:rsid w:val="00FE27AA"/>
    <w:rsid w:val="00FE2C0D"/>
    <w:rsid w:val="00FE2EF9"/>
    <w:rsid w:val="00FE2F68"/>
    <w:rsid w:val="00FE2F71"/>
    <w:rsid w:val="00FE3074"/>
    <w:rsid w:val="00FE3341"/>
    <w:rsid w:val="00FE3342"/>
    <w:rsid w:val="00FE3372"/>
    <w:rsid w:val="00FE3499"/>
    <w:rsid w:val="00FE3868"/>
    <w:rsid w:val="00FE3BA8"/>
    <w:rsid w:val="00FE3DD0"/>
    <w:rsid w:val="00FE4C70"/>
    <w:rsid w:val="00FE4C71"/>
    <w:rsid w:val="00FE4CD0"/>
    <w:rsid w:val="00FE52C5"/>
    <w:rsid w:val="00FE5332"/>
    <w:rsid w:val="00FE5589"/>
    <w:rsid w:val="00FE5B67"/>
    <w:rsid w:val="00FE5F3E"/>
    <w:rsid w:val="00FE5FD3"/>
    <w:rsid w:val="00FE65EC"/>
    <w:rsid w:val="00FE6709"/>
    <w:rsid w:val="00FE6B2F"/>
    <w:rsid w:val="00FE6BBE"/>
    <w:rsid w:val="00FE6C49"/>
    <w:rsid w:val="00FE6C66"/>
    <w:rsid w:val="00FE6F5E"/>
    <w:rsid w:val="00FE7309"/>
    <w:rsid w:val="00FE7325"/>
    <w:rsid w:val="00FE796C"/>
    <w:rsid w:val="00FE7D4D"/>
    <w:rsid w:val="00FF0009"/>
    <w:rsid w:val="00FF0183"/>
    <w:rsid w:val="00FF0427"/>
    <w:rsid w:val="00FF0EF9"/>
    <w:rsid w:val="00FF1152"/>
    <w:rsid w:val="00FF11FE"/>
    <w:rsid w:val="00FF14C8"/>
    <w:rsid w:val="00FF16F1"/>
    <w:rsid w:val="00FF1714"/>
    <w:rsid w:val="00FF1743"/>
    <w:rsid w:val="00FF1FE0"/>
    <w:rsid w:val="00FF2554"/>
    <w:rsid w:val="00FF2682"/>
    <w:rsid w:val="00FF270D"/>
    <w:rsid w:val="00FF2BCC"/>
    <w:rsid w:val="00FF30E1"/>
    <w:rsid w:val="00FF35E7"/>
    <w:rsid w:val="00FF3709"/>
    <w:rsid w:val="00FF3BFF"/>
    <w:rsid w:val="00FF3D27"/>
    <w:rsid w:val="00FF3D37"/>
    <w:rsid w:val="00FF3E30"/>
    <w:rsid w:val="00FF3FC3"/>
    <w:rsid w:val="00FF4098"/>
    <w:rsid w:val="00FF45A9"/>
    <w:rsid w:val="00FF47C7"/>
    <w:rsid w:val="00FF4C9D"/>
    <w:rsid w:val="00FF4DEF"/>
    <w:rsid w:val="00FF55C0"/>
    <w:rsid w:val="00FF560B"/>
    <w:rsid w:val="00FF5CEB"/>
    <w:rsid w:val="00FF5D26"/>
    <w:rsid w:val="00FF5D3D"/>
    <w:rsid w:val="00FF6101"/>
    <w:rsid w:val="00FF62C0"/>
    <w:rsid w:val="00FF65AA"/>
    <w:rsid w:val="00FF693F"/>
    <w:rsid w:val="00FF6C84"/>
    <w:rsid w:val="00FF71CD"/>
    <w:rsid w:val="00FF71F0"/>
    <w:rsid w:val="00FF730D"/>
    <w:rsid w:val="00FF7831"/>
    <w:rsid w:val="00FF7A6E"/>
    <w:rsid w:val="00FF7A86"/>
    <w:rsid w:val="00FF7AF2"/>
    <w:rsid w:val="00FF7B2A"/>
    <w:rsid w:val="00FF7E19"/>
    <w:rsid w:val="00FF7EB4"/>
    <w:rsid w:val="0103915F"/>
    <w:rsid w:val="012DE663"/>
    <w:rsid w:val="0133FB2F"/>
    <w:rsid w:val="018CFB46"/>
    <w:rsid w:val="01B36E52"/>
    <w:rsid w:val="022BA102"/>
    <w:rsid w:val="0241E39E"/>
    <w:rsid w:val="025EE561"/>
    <w:rsid w:val="02C0FFA8"/>
    <w:rsid w:val="02CA832D"/>
    <w:rsid w:val="02FD0D78"/>
    <w:rsid w:val="0327373C"/>
    <w:rsid w:val="032CDF5D"/>
    <w:rsid w:val="03D70F34"/>
    <w:rsid w:val="03DCDA51"/>
    <w:rsid w:val="03E571BA"/>
    <w:rsid w:val="03FF2227"/>
    <w:rsid w:val="040A2201"/>
    <w:rsid w:val="044848CF"/>
    <w:rsid w:val="046F37C6"/>
    <w:rsid w:val="04AC1518"/>
    <w:rsid w:val="04BAF2E1"/>
    <w:rsid w:val="05A0C926"/>
    <w:rsid w:val="05CD53A8"/>
    <w:rsid w:val="0627C11F"/>
    <w:rsid w:val="06484F94"/>
    <w:rsid w:val="0692DF30"/>
    <w:rsid w:val="06BD88F3"/>
    <w:rsid w:val="06E4321A"/>
    <w:rsid w:val="072F7690"/>
    <w:rsid w:val="07316941"/>
    <w:rsid w:val="076CC380"/>
    <w:rsid w:val="077F9097"/>
    <w:rsid w:val="07A2CD3B"/>
    <w:rsid w:val="07AE8538"/>
    <w:rsid w:val="0844255B"/>
    <w:rsid w:val="08B716C2"/>
    <w:rsid w:val="0965AF4E"/>
    <w:rsid w:val="09C26F50"/>
    <w:rsid w:val="0A5B81D1"/>
    <w:rsid w:val="0AB7F988"/>
    <w:rsid w:val="0ADF0A35"/>
    <w:rsid w:val="0B0A9DA1"/>
    <w:rsid w:val="0C1ABBA8"/>
    <w:rsid w:val="0C337204"/>
    <w:rsid w:val="0C3D14B2"/>
    <w:rsid w:val="0C728FC4"/>
    <w:rsid w:val="0D0106D8"/>
    <w:rsid w:val="0D3BFFEF"/>
    <w:rsid w:val="0DAE5EF3"/>
    <w:rsid w:val="0DD806BC"/>
    <w:rsid w:val="0DFF7DA8"/>
    <w:rsid w:val="0E6B765D"/>
    <w:rsid w:val="0E889C24"/>
    <w:rsid w:val="0EBE0CEF"/>
    <w:rsid w:val="0F2D30EA"/>
    <w:rsid w:val="0F565B3E"/>
    <w:rsid w:val="0FE749C0"/>
    <w:rsid w:val="101B16F7"/>
    <w:rsid w:val="109C9364"/>
    <w:rsid w:val="10F48D4E"/>
    <w:rsid w:val="10FFBB21"/>
    <w:rsid w:val="115C4DCC"/>
    <w:rsid w:val="1161CA6D"/>
    <w:rsid w:val="11B6455A"/>
    <w:rsid w:val="11C8F1AF"/>
    <w:rsid w:val="120ED1C8"/>
    <w:rsid w:val="12592C07"/>
    <w:rsid w:val="126E9A2E"/>
    <w:rsid w:val="12D02AC5"/>
    <w:rsid w:val="13070FF8"/>
    <w:rsid w:val="134A7B7C"/>
    <w:rsid w:val="14A501AD"/>
    <w:rsid w:val="1522B602"/>
    <w:rsid w:val="1553680F"/>
    <w:rsid w:val="15DB8F85"/>
    <w:rsid w:val="164382B4"/>
    <w:rsid w:val="168DE681"/>
    <w:rsid w:val="16CA8C8C"/>
    <w:rsid w:val="17FE0753"/>
    <w:rsid w:val="184A92E6"/>
    <w:rsid w:val="1880DA5C"/>
    <w:rsid w:val="18BFA811"/>
    <w:rsid w:val="18D2E6CE"/>
    <w:rsid w:val="1956F846"/>
    <w:rsid w:val="19961618"/>
    <w:rsid w:val="19B50E5D"/>
    <w:rsid w:val="19F671FB"/>
    <w:rsid w:val="1B768939"/>
    <w:rsid w:val="1C0FA32A"/>
    <w:rsid w:val="1C1F3E08"/>
    <w:rsid w:val="1C5D2C0E"/>
    <w:rsid w:val="1CAE1A59"/>
    <w:rsid w:val="1D0D2FFC"/>
    <w:rsid w:val="1D0DFE4F"/>
    <w:rsid w:val="1D3B7FC3"/>
    <w:rsid w:val="1DC09E0F"/>
    <w:rsid w:val="1DF2B4C9"/>
    <w:rsid w:val="1E0E0E0D"/>
    <w:rsid w:val="1EAC6A58"/>
    <w:rsid w:val="1EBDEEAF"/>
    <w:rsid w:val="1F91F9BC"/>
    <w:rsid w:val="1FA192CC"/>
    <w:rsid w:val="200EA05D"/>
    <w:rsid w:val="20180489"/>
    <w:rsid w:val="20DDF47C"/>
    <w:rsid w:val="20F0704D"/>
    <w:rsid w:val="21C1B625"/>
    <w:rsid w:val="21C8547E"/>
    <w:rsid w:val="21F92BD0"/>
    <w:rsid w:val="21FFFEE6"/>
    <w:rsid w:val="2219DD8B"/>
    <w:rsid w:val="221D3C8E"/>
    <w:rsid w:val="225BD912"/>
    <w:rsid w:val="22D3184F"/>
    <w:rsid w:val="22D6413B"/>
    <w:rsid w:val="22DF2B4E"/>
    <w:rsid w:val="236BC3CB"/>
    <w:rsid w:val="245F6CCB"/>
    <w:rsid w:val="24670199"/>
    <w:rsid w:val="24BC0993"/>
    <w:rsid w:val="253098C7"/>
    <w:rsid w:val="25383661"/>
    <w:rsid w:val="25B8B05F"/>
    <w:rsid w:val="261A47E1"/>
    <w:rsid w:val="269BA1F3"/>
    <w:rsid w:val="271BEC35"/>
    <w:rsid w:val="271FECE0"/>
    <w:rsid w:val="277B8C9C"/>
    <w:rsid w:val="28075B92"/>
    <w:rsid w:val="28A2679C"/>
    <w:rsid w:val="28E692F8"/>
    <w:rsid w:val="28F25721"/>
    <w:rsid w:val="2917BD53"/>
    <w:rsid w:val="298BA264"/>
    <w:rsid w:val="299C3D25"/>
    <w:rsid w:val="29FD760E"/>
    <w:rsid w:val="2A5A04C0"/>
    <w:rsid w:val="2A639E89"/>
    <w:rsid w:val="2A96FBD7"/>
    <w:rsid w:val="2AB2DE3F"/>
    <w:rsid w:val="2AC4CF8A"/>
    <w:rsid w:val="2AC5737D"/>
    <w:rsid w:val="2B22388B"/>
    <w:rsid w:val="2B41512B"/>
    <w:rsid w:val="2B4E3AD4"/>
    <w:rsid w:val="2B686449"/>
    <w:rsid w:val="2B880D7D"/>
    <w:rsid w:val="2BB4DD9D"/>
    <w:rsid w:val="2BF80D36"/>
    <w:rsid w:val="2C61D219"/>
    <w:rsid w:val="2CDF1702"/>
    <w:rsid w:val="2CF8B887"/>
    <w:rsid w:val="2DF7B7A7"/>
    <w:rsid w:val="2E50E858"/>
    <w:rsid w:val="2EB70EE9"/>
    <w:rsid w:val="2EF1983D"/>
    <w:rsid w:val="2F00F07B"/>
    <w:rsid w:val="2F51476D"/>
    <w:rsid w:val="2F7BE0E2"/>
    <w:rsid w:val="2FAEFFCC"/>
    <w:rsid w:val="2FBAFED7"/>
    <w:rsid w:val="30588430"/>
    <w:rsid w:val="3086AA3A"/>
    <w:rsid w:val="3115ACD7"/>
    <w:rsid w:val="312F5869"/>
    <w:rsid w:val="31A749E6"/>
    <w:rsid w:val="31D1F514"/>
    <w:rsid w:val="31F4794E"/>
    <w:rsid w:val="32026C09"/>
    <w:rsid w:val="322E1523"/>
    <w:rsid w:val="3239CE88"/>
    <w:rsid w:val="3256C5A9"/>
    <w:rsid w:val="32DB8A03"/>
    <w:rsid w:val="334B86B7"/>
    <w:rsid w:val="3357AD0D"/>
    <w:rsid w:val="33BBE3A9"/>
    <w:rsid w:val="34106886"/>
    <w:rsid w:val="34A56895"/>
    <w:rsid w:val="34F8368D"/>
    <w:rsid w:val="35374BE2"/>
    <w:rsid w:val="358F0FAE"/>
    <w:rsid w:val="35FABB5E"/>
    <w:rsid w:val="368C91C3"/>
    <w:rsid w:val="36ADB89B"/>
    <w:rsid w:val="36FBC3A8"/>
    <w:rsid w:val="371987C6"/>
    <w:rsid w:val="37201212"/>
    <w:rsid w:val="37281D88"/>
    <w:rsid w:val="37379907"/>
    <w:rsid w:val="37704B3C"/>
    <w:rsid w:val="379B1421"/>
    <w:rsid w:val="37A617EC"/>
    <w:rsid w:val="38389794"/>
    <w:rsid w:val="383D7F6E"/>
    <w:rsid w:val="3858FF43"/>
    <w:rsid w:val="3880210C"/>
    <w:rsid w:val="38C8704B"/>
    <w:rsid w:val="391C591C"/>
    <w:rsid w:val="395B2729"/>
    <w:rsid w:val="3995B35C"/>
    <w:rsid w:val="3999A551"/>
    <w:rsid w:val="39AAAE8D"/>
    <w:rsid w:val="3A0416FB"/>
    <w:rsid w:val="3A1A763B"/>
    <w:rsid w:val="3A5FD932"/>
    <w:rsid w:val="3A608799"/>
    <w:rsid w:val="3A9B3B4C"/>
    <w:rsid w:val="3AD20A6C"/>
    <w:rsid w:val="3AE9A06D"/>
    <w:rsid w:val="3B0CCF3C"/>
    <w:rsid w:val="3B105B04"/>
    <w:rsid w:val="3C219619"/>
    <w:rsid w:val="3D3026D2"/>
    <w:rsid w:val="3D965788"/>
    <w:rsid w:val="3DB33A2D"/>
    <w:rsid w:val="3DBF0F50"/>
    <w:rsid w:val="3E817FEB"/>
    <w:rsid w:val="3F331BB6"/>
    <w:rsid w:val="3FD8EC7B"/>
    <w:rsid w:val="4009C12B"/>
    <w:rsid w:val="40291C85"/>
    <w:rsid w:val="4162F6F8"/>
    <w:rsid w:val="419689BD"/>
    <w:rsid w:val="42CD2A94"/>
    <w:rsid w:val="42CEFFFA"/>
    <w:rsid w:val="439AB5CB"/>
    <w:rsid w:val="43D14A09"/>
    <w:rsid w:val="4445414A"/>
    <w:rsid w:val="4482323F"/>
    <w:rsid w:val="451A786B"/>
    <w:rsid w:val="451D28BA"/>
    <w:rsid w:val="455708C8"/>
    <w:rsid w:val="458B886F"/>
    <w:rsid w:val="460B035F"/>
    <w:rsid w:val="46133E0E"/>
    <w:rsid w:val="466F2B38"/>
    <w:rsid w:val="46A3E515"/>
    <w:rsid w:val="4710B882"/>
    <w:rsid w:val="472E5294"/>
    <w:rsid w:val="47F0DE04"/>
    <w:rsid w:val="4800733C"/>
    <w:rsid w:val="48059F96"/>
    <w:rsid w:val="480A94AF"/>
    <w:rsid w:val="48620881"/>
    <w:rsid w:val="486C3770"/>
    <w:rsid w:val="488B5B13"/>
    <w:rsid w:val="48FEF56A"/>
    <w:rsid w:val="49B8A002"/>
    <w:rsid w:val="4A6EE726"/>
    <w:rsid w:val="4B88E5D5"/>
    <w:rsid w:val="4BAAF825"/>
    <w:rsid w:val="4BD4E854"/>
    <w:rsid w:val="4BDA2821"/>
    <w:rsid w:val="4C54FF31"/>
    <w:rsid w:val="4C84CB67"/>
    <w:rsid w:val="4CAAFCAC"/>
    <w:rsid w:val="4CE4800A"/>
    <w:rsid w:val="4D00E2B2"/>
    <w:rsid w:val="4D3B8C20"/>
    <w:rsid w:val="4DBD2BCD"/>
    <w:rsid w:val="4DBE127E"/>
    <w:rsid w:val="4DF7C97B"/>
    <w:rsid w:val="4E27CAA4"/>
    <w:rsid w:val="4E9D88F2"/>
    <w:rsid w:val="4ECD8E61"/>
    <w:rsid w:val="4EEF68CD"/>
    <w:rsid w:val="4F4A133C"/>
    <w:rsid w:val="4F689910"/>
    <w:rsid w:val="4FAA8C0D"/>
    <w:rsid w:val="4FB72698"/>
    <w:rsid w:val="50093466"/>
    <w:rsid w:val="5081BE9B"/>
    <w:rsid w:val="50987A4E"/>
    <w:rsid w:val="5123FCAC"/>
    <w:rsid w:val="519F572C"/>
    <w:rsid w:val="51BDE936"/>
    <w:rsid w:val="51D45CB5"/>
    <w:rsid w:val="51EF59C4"/>
    <w:rsid w:val="5290C0EC"/>
    <w:rsid w:val="529AE0FE"/>
    <w:rsid w:val="52BC3B52"/>
    <w:rsid w:val="5362937D"/>
    <w:rsid w:val="536468F0"/>
    <w:rsid w:val="536B1958"/>
    <w:rsid w:val="53EE5443"/>
    <w:rsid w:val="541039FB"/>
    <w:rsid w:val="542CEA18"/>
    <w:rsid w:val="54422118"/>
    <w:rsid w:val="5442B448"/>
    <w:rsid w:val="54B108CF"/>
    <w:rsid w:val="54C87F9E"/>
    <w:rsid w:val="5542936B"/>
    <w:rsid w:val="5581B83E"/>
    <w:rsid w:val="55B861EA"/>
    <w:rsid w:val="5641E46E"/>
    <w:rsid w:val="568978DE"/>
    <w:rsid w:val="56A48BBD"/>
    <w:rsid w:val="56C84382"/>
    <w:rsid w:val="56D31C97"/>
    <w:rsid w:val="5718E9CD"/>
    <w:rsid w:val="57AC0EC6"/>
    <w:rsid w:val="57B5E037"/>
    <w:rsid w:val="57D3B713"/>
    <w:rsid w:val="57DFFE91"/>
    <w:rsid w:val="57E68A57"/>
    <w:rsid w:val="57FA77A8"/>
    <w:rsid w:val="580B5457"/>
    <w:rsid w:val="58171BA4"/>
    <w:rsid w:val="584B6439"/>
    <w:rsid w:val="590AA72E"/>
    <w:rsid w:val="59549B40"/>
    <w:rsid w:val="5B272E7C"/>
    <w:rsid w:val="5B3F88CE"/>
    <w:rsid w:val="5B69B51E"/>
    <w:rsid w:val="5BE44111"/>
    <w:rsid w:val="5C5D730F"/>
    <w:rsid w:val="5C7864A8"/>
    <w:rsid w:val="5D37483A"/>
    <w:rsid w:val="5D65A420"/>
    <w:rsid w:val="5D75A9F6"/>
    <w:rsid w:val="5D80DAC0"/>
    <w:rsid w:val="5D8B3D1B"/>
    <w:rsid w:val="5DCFDF34"/>
    <w:rsid w:val="5DE7D838"/>
    <w:rsid w:val="5F90D34F"/>
    <w:rsid w:val="5FA0C172"/>
    <w:rsid w:val="5FE40611"/>
    <w:rsid w:val="60AFBCDB"/>
    <w:rsid w:val="61730D6D"/>
    <w:rsid w:val="61E44B13"/>
    <w:rsid w:val="6204F6D2"/>
    <w:rsid w:val="6207D12D"/>
    <w:rsid w:val="6270017D"/>
    <w:rsid w:val="628E7405"/>
    <w:rsid w:val="63BCD9FA"/>
    <w:rsid w:val="63DC5D49"/>
    <w:rsid w:val="63FA09BF"/>
    <w:rsid w:val="64144A18"/>
    <w:rsid w:val="642C8661"/>
    <w:rsid w:val="6499348C"/>
    <w:rsid w:val="64D2C566"/>
    <w:rsid w:val="654D4A86"/>
    <w:rsid w:val="657C6508"/>
    <w:rsid w:val="659F51D5"/>
    <w:rsid w:val="66CE39EB"/>
    <w:rsid w:val="682E1855"/>
    <w:rsid w:val="6852E8E1"/>
    <w:rsid w:val="68687EA9"/>
    <w:rsid w:val="68A11A8C"/>
    <w:rsid w:val="6969F403"/>
    <w:rsid w:val="69EAB564"/>
    <w:rsid w:val="69EB6456"/>
    <w:rsid w:val="6A3F87E2"/>
    <w:rsid w:val="6A755C50"/>
    <w:rsid w:val="6A99A301"/>
    <w:rsid w:val="6AF8DE9B"/>
    <w:rsid w:val="6B3FC840"/>
    <w:rsid w:val="6B469896"/>
    <w:rsid w:val="6BC49FA5"/>
    <w:rsid w:val="6C04A7DD"/>
    <w:rsid w:val="6C271546"/>
    <w:rsid w:val="6D006391"/>
    <w:rsid w:val="6D56E296"/>
    <w:rsid w:val="6D9A11A5"/>
    <w:rsid w:val="6DAAD879"/>
    <w:rsid w:val="6DC8124F"/>
    <w:rsid w:val="6DCFEC88"/>
    <w:rsid w:val="6E85680D"/>
    <w:rsid w:val="6ECA8E5D"/>
    <w:rsid w:val="6F403BD5"/>
    <w:rsid w:val="6F7523FB"/>
    <w:rsid w:val="703A83EC"/>
    <w:rsid w:val="70769925"/>
    <w:rsid w:val="70B65F57"/>
    <w:rsid w:val="70CC9F97"/>
    <w:rsid w:val="70D1C019"/>
    <w:rsid w:val="70DEE47E"/>
    <w:rsid w:val="70E1C939"/>
    <w:rsid w:val="70F6EC06"/>
    <w:rsid w:val="7205AF69"/>
    <w:rsid w:val="72183557"/>
    <w:rsid w:val="7326E82D"/>
    <w:rsid w:val="73467B2E"/>
    <w:rsid w:val="73DDEB04"/>
    <w:rsid w:val="741DBD95"/>
    <w:rsid w:val="743AFF06"/>
    <w:rsid w:val="74CACF92"/>
    <w:rsid w:val="74CF6DA6"/>
    <w:rsid w:val="757F1BB9"/>
    <w:rsid w:val="76641246"/>
    <w:rsid w:val="77458C21"/>
    <w:rsid w:val="78679240"/>
    <w:rsid w:val="787AA2EB"/>
    <w:rsid w:val="78BAD873"/>
    <w:rsid w:val="78BF60A7"/>
    <w:rsid w:val="792FD118"/>
    <w:rsid w:val="79320520"/>
    <w:rsid w:val="793C5360"/>
    <w:rsid w:val="794D3DC4"/>
    <w:rsid w:val="798CA436"/>
    <w:rsid w:val="79B44BC7"/>
    <w:rsid w:val="79C4ABF1"/>
    <w:rsid w:val="7A18F5F9"/>
    <w:rsid w:val="7A5A8758"/>
    <w:rsid w:val="7A6579C8"/>
    <w:rsid w:val="7A9FE58D"/>
    <w:rsid w:val="7B3A082D"/>
    <w:rsid w:val="7C91F0F6"/>
    <w:rsid w:val="7C9DAE05"/>
    <w:rsid w:val="7D164012"/>
    <w:rsid w:val="7D45E645"/>
    <w:rsid w:val="7D6289E0"/>
    <w:rsid w:val="7DE16386"/>
    <w:rsid w:val="7DF72177"/>
    <w:rsid w:val="7E3BF4A9"/>
    <w:rsid w:val="7E3C4FF6"/>
    <w:rsid w:val="7E718B59"/>
    <w:rsid w:val="7E8D9F85"/>
    <w:rsid w:val="7EB6F3E9"/>
    <w:rsid w:val="7ECEDA78"/>
    <w:rsid w:val="7F641075"/>
    <w:rsid w:val="7F9C7254"/>
    <w:rsid w:val="7FAD4E63"/>
    <w:rsid w:val="7FF6248B"/>
  </w:rsids>
  <m:mathPr>
    <m:mathFont m:val="Cambria Math"/>
    <m:brkBin m:val="before"/>
    <m:brkBinSub m:val="--"/>
    <m:smallFrac m:val="0"/>
    <m:dispDef m:val="0"/>
    <m:lMargin m:val="0"/>
    <m:rMargin m:val="0"/>
    <m:defJc m:val="centerGroup"/>
    <m:wrapRight/>
    <m:intLim m:val="subSup"/>
    <m:naryLim m:val="subSup"/>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DD3A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iPriority="6" w:unhideWhenUsed="1" w:qFormat="1"/>
    <w:lsdException w:name="heading 6" w:semiHidden="1" w:unhideWhenUsed="1"/>
    <w:lsdException w:name="heading 7" w:semiHidden="1" w:unhideWhenUsed="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10"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lsdException w:name="Emphasis" w:uiPriority="99"/>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99"/>
    <w:lsdException w:name="Intense Quote" w:uiPriority="9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9"/>
    <w:lsdException w:name="Intense Emphasis" w:uiPriority="99"/>
    <w:lsdException w:name="Subtle Reference" w:uiPriority="99"/>
    <w:lsdException w:name="Intense Reference" w:uiPriority="99"/>
    <w:lsdException w:name="Book Title" w:uiPriority="99"/>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8"/>
    <w:qFormat/>
    <w:rsid w:val="00FA7635"/>
    <w:pPr>
      <w:spacing w:after="200"/>
    </w:pPr>
    <w:rPr>
      <w:rFonts w:asciiTheme="minorHAnsi" w:hAnsiTheme="minorHAnsi" w:cstheme="minorHAnsi"/>
      <w:color w:val="000000" w:themeColor="text1"/>
      <w:sz w:val="22"/>
      <w:szCs w:val="24"/>
      <w:lang w:eastAsia="en-US"/>
    </w:rPr>
  </w:style>
  <w:style w:type="paragraph" w:styleId="Heading1">
    <w:name w:val="heading 1"/>
    <w:aliases w:val="CER Heading 1,H1"/>
    <w:basedOn w:val="Contents"/>
    <w:next w:val="Heading2"/>
    <w:link w:val="Heading1Char"/>
    <w:qFormat/>
    <w:rsid w:val="002D18F3"/>
    <w:pPr>
      <w:spacing w:before="360" w:after="0"/>
      <w:outlineLvl w:val="0"/>
    </w:pPr>
    <w:rPr>
      <w:b/>
      <w:bCs/>
    </w:rPr>
  </w:style>
  <w:style w:type="paragraph" w:styleId="Heading2">
    <w:name w:val="heading 2"/>
    <w:aliases w:val="CER Heading 2,H2"/>
    <w:basedOn w:val="Normal"/>
    <w:next w:val="Normal"/>
    <w:link w:val="Heading2Char"/>
    <w:uiPriority w:val="3"/>
    <w:qFormat/>
    <w:rsid w:val="002D18F3"/>
    <w:pPr>
      <w:keepNext/>
      <w:keepLines/>
      <w:spacing w:before="280" w:after="0"/>
      <w:outlineLvl w:val="1"/>
    </w:pPr>
    <w:rPr>
      <w:rFonts w:asciiTheme="majorHAnsi" w:eastAsia="Times New Roman" w:hAnsiTheme="majorHAnsi"/>
      <w:b/>
      <w:bCs/>
      <w:sz w:val="32"/>
      <w:szCs w:val="32"/>
    </w:rPr>
  </w:style>
  <w:style w:type="paragraph" w:styleId="Heading3">
    <w:name w:val="heading 3"/>
    <w:aliases w:val="CER Heading 3,H3"/>
    <w:next w:val="Normal"/>
    <w:link w:val="Heading3Char"/>
    <w:uiPriority w:val="9"/>
    <w:qFormat/>
    <w:rsid w:val="005C0A94"/>
    <w:pPr>
      <w:keepNext/>
      <w:keepLines/>
      <w:spacing w:before="240"/>
      <w:outlineLvl w:val="2"/>
    </w:pPr>
    <w:rPr>
      <w:rFonts w:asciiTheme="majorHAnsi" w:eastAsia="Times New Roman" w:hAnsiTheme="majorHAnsi" w:cstheme="majorHAnsi"/>
      <w:b/>
      <w:bCs/>
      <w:color w:val="000000" w:themeColor="text1"/>
      <w:sz w:val="27"/>
      <w:szCs w:val="27"/>
      <w:lang w:eastAsia="en-US"/>
    </w:rPr>
  </w:style>
  <w:style w:type="paragraph" w:styleId="Heading4">
    <w:name w:val="heading 4"/>
    <w:aliases w:val="CER Heading 4"/>
    <w:basedOn w:val="Normal"/>
    <w:next w:val="Normal"/>
    <w:link w:val="Heading4Char"/>
    <w:uiPriority w:val="5"/>
    <w:unhideWhenUsed/>
    <w:qFormat/>
    <w:rsid w:val="005C0A94"/>
    <w:pPr>
      <w:keepNext/>
      <w:spacing w:before="240" w:after="0"/>
      <w:outlineLvl w:val="3"/>
    </w:pPr>
    <w:rPr>
      <w:rFonts w:asciiTheme="majorHAnsi" w:eastAsiaTheme="minorEastAsia" w:hAnsiTheme="majorHAnsi" w:cstheme="minorBidi"/>
      <w:b/>
      <w:sz w:val="24"/>
    </w:rPr>
  </w:style>
  <w:style w:type="paragraph" w:styleId="Heading5">
    <w:name w:val="heading 5"/>
    <w:aliases w:val="CER Heading 5"/>
    <w:basedOn w:val="Normal"/>
    <w:next w:val="Normal"/>
    <w:link w:val="Heading5Char"/>
    <w:uiPriority w:val="6"/>
    <w:unhideWhenUsed/>
    <w:qFormat/>
    <w:rsid w:val="00FA7635"/>
    <w:pPr>
      <w:keepNext/>
      <w:keepLines/>
      <w:spacing w:before="240"/>
      <w:outlineLvl w:val="4"/>
    </w:pPr>
    <w:rPr>
      <w:rFonts w:eastAsiaTheme="majorEastAsia" w:cstheme="majorBidi"/>
      <w:b/>
    </w:rPr>
  </w:style>
  <w:style w:type="paragraph" w:styleId="Heading6">
    <w:name w:val="heading 6"/>
    <w:aliases w:val="CER Heading 6"/>
    <w:basedOn w:val="Normal"/>
    <w:next w:val="Normal"/>
    <w:link w:val="Heading6Char"/>
    <w:uiPriority w:val="99"/>
    <w:unhideWhenUsed/>
    <w:rsid w:val="00674932"/>
    <w:pPr>
      <w:tabs>
        <w:tab w:val="left" w:pos="1633"/>
      </w:tabs>
      <w:spacing w:before="240"/>
      <w:outlineLvl w:val="5"/>
    </w:pPr>
    <w:rPr>
      <w:rFonts w:eastAsiaTheme="minorEastAsia" w:cstheme="minorBidi"/>
      <w:b/>
      <w:bCs/>
      <w:sz w:val="21"/>
      <w:szCs w:val="22"/>
    </w:rPr>
  </w:style>
  <w:style w:type="paragraph" w:styleId="Heading7">
    <w:name w:val="heading 7"/>
    <w:basedOn w:val="Normal"/>
    <w:next w:val="Normal"/>
    <w:link w:val="Heading7Char"/>
    <w:uiPriority w:val="99"/>
    <w:unhideWhenUsed/>
    <w:rsid w:val="00521016"/>
    <w:pPr>
      <w:keepNext/>
      <w:keepLines/>
      <w:spacing w:before="200" w:after="0"/>
      <w:outlineLvl w:val="6"/>
    </w:pPr>
    <w:rPr>
      <w:rFonts w:eastAsiaTheme="majorEastAsia" w:cstheme="majorBidi"/>
      <w:b/>
      <w:i/>
      <w:iCs/>
      <w:color w:val="404040" w:themeColor="text1" w:themeTint="BF"/>
    </w:rPr>
  </w:style>
  <w:style w:type="paragraph" w:styleId="Heading8">
    <w:name w:val="heading 8"/>
    <w:basedOn w:val="Normal"/>
    <w:next w:val="Normal"/>
    <w:link w:val="Heading8Char"/>
    <w:uiPriority w:val="99"/>
    <w:semiHidden/>
    <w:unhideWhenUsed/>
    <w:qFormat/>
    <w:rsid w:val="004B087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4B087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CER Heading 2 Char,H2 Char"/>
    <w:basedOn w:val="DefaultParagraphFont"/>
    <w:link w:val="Heading2"/>
    <w:uiPriority w:val="3"/>
    <w:rsid w:val="002D18F3"/>
    <w:rPr>
      <w:rFonts w:asciiTheme="majorHAnsi" w:eastAsia="Times New Roman" w:hAnsiTheme="majorHAnsi" w:cstheme="minorHAnsi"/>
      <w:b/>
      <w:bCs/>
      <w:color w:val="000000" w:themeColor="text1"/>
      <w:sz w:val="32"/>
      <w:szCs w:val="32"/>
      <w:lang w:eastAsia="en-US"/>
    </w:rPr>
  </w:style>
  <w:style w:type="character" w:customStyle="1" w:styleId="Heading1Char">
    <w:name w:val="Heading 1 Char"/>
    <w:aliases w:val="CER Heading 1 Char,H1 Char"/>
    <w:basedOn w:val="DefaultParagraphFont"/>
    <w:link w:val="Heading1"/>
    <w:uiPriority w:val="2"/>
    <w:rsid w:val="002D18F3"/>
    <w:rPr>
      <w:rFonts w:ascii="Calibri" w:eastAsia="Times New Roman" w:hAnsi="Calibri" w:cs="Calibri"/>
      <w:b/>
      <w:bCs/>
      <w:color w:val="000000" w:themeColor="text1"/>
      <w:kern w:val="32"/>
      <w:sz w:val="40"/>
      <w:szCs w:val="24"/>
      <w:lang w:eastAsia="en-US"/>
    </w:rPr>
  </w:style>
  <w:style w:type="character" w:customStyle="1" w:styleId="Heading3Char">
    <w:name w:val="Heading 3 Char"/>
    <w:aliases w:val="CER Heading 3 Char,H3 Char"/>
    <w:basedOn w:val="DefaultParagraphFont"/>
    <w:link w:val="Heading3"/>
    <w:uiPriority w:val="9"/>
    <w:rsid w:val="005C0A94"/>
    <w:rPr>
      <w:rFonts w:asciiTheme="majorHAnsi" w:eastAsia="Times New Roman" w:hAnsiTheme="majorHAnsi" w:cstheme="majorHAnsi"/>
      <w:b/>
      <w:bCs/>
      <w:color w:val="000000" w:themeColor="text1"/>
      <w:sz w:val="27"/>
      <w:szCs w:val="27"/>
      <w:lang w:eastAsia="en-US"/>
    </w:rPr>
  </w:style>
  <w:style w:type="character" w:customStyle="1" w:styleId="Heading4Char">
    <w:name w:val="Heading 4 Char"/>
    <w:aliases w:val="CER Heading 4 Char"/>
    <w:basedOn w:val="DefaultParagraphFont"/>
    <w:link w:val="Heading4"/>
    <w:uiPriority w:val="5"/>
    <w:rsid w:val="005C0A94"/>
    <w:rPr>
      <w:rFonts w:asciiTheme="majorHAnsi" w:eastAsiaTheme="minorEastAsia" w:hAnsiTheme="majorHAnsi" w:cstheme="minorBidi"/>
      <w:b/>
      <w:color w:val="000000" w:themeColor="text1"/>
      <w:sz w:val="24"/>
      <w:szCs w:val="24"/>
      <w:lang w:eastAsia="en-US"/>
    </w:rPr>
  </w:style>
  <w:style w:type="character" w:customStyle="1" w:styleId="Heading6Char">
    <w:name w:val="Heading 6 Char"/>
    <w:aliases w:val="CER Heading 6 Char"/>
    <w:basedOn w:val="DefaultParagraphFont"/>
    <w:link w:val="Heading6"/>
    <w:uiPriority w:val="99"/>
    <w:rsid w:val="00674932"/>
    <w:rPr>
      <w:rFonts w:ascii="Arial" w:eastAsiaTheme="minorEastAsia" w:hAnsi="Arial" w:cstheme="minorBidi"/>
      <w:b/>
      <w:bCs/>
      <w:color w:val="000000" w:themeColor="text1"/>
      <w:sz w:val="21"/>
      <w:szCs w:val="22"/>
      <w:lang w:val="en-US" w:eastAsia="en-US"/>
    </w:rPr>
  </w:style>
  <w:style w:type="paragraph" w:styleId="Header">
    <w:name w:val="header"/>
    <w:basedOn w:val="Normal"/>
    <w:link w:val="HeaderChar"/>
    <w:uiPriority w:val="99"/>
    <w:unhideWhenUsed/>
    <w:rsid w:val="00471682"/>
    <w:pPr>
      <w:tabs>
        <w:tab w:val="center" w:pos="4320"/>
        <w:tab w:val="right" w:pos="8640"/>
      </w:tabs>
    </w:pPr>
  </w:style>
  <w:style w:type="character" w:customStyle="1" w:styleId="HeaderChar">
    <w:name w:val="Header Char"/>
    <w:basedOn w:val="DefaultParagraphFont"/>
    <w:link w:val="Header"/>
    <w:uiPriority w:val="99"/>
    <w:rsid w:val="002C427B"/>
    <w:rPr>
      <w:rFonts w:ascii="Arial" w:hAnsi="Arial"/>
      <w:color w:val="000000" w:themeColor="text1"/>
      <w:sz w:val="22"/>
      <w:szCs w:val="24"/>
      <w:lang w:val="en-US" w:eastAsia="en-US"/>
    </w:rPr>
  </w:style>
  <w:style w:type="paragraph" w:styleId="Footer">
    <w:name w:val="footer"/>
    <w:basedOn w:val="Normal"/>
    <w:link w:val="FooterChar"/>
    <w:uiPriority w:val="99"/>
    <w:unhideWhenUsed/>
    <w:rsid w:val="009633DE"/>
    <w:pPr>
      <w:tabs>
        <w:tab w:val="left" w:pos="2694"/>
        <w:tab w:val="left" w:pos="3969"/>
        <w:tab w:val="left" w:pos="6946"/>
        <w:tab w:val="right" w:pos="9498"/>
      </w:tabs>
      <w:spacing w:before="120"/>
      <w:ind w:left="284" w:right="242"/>
    </w:pPr>
    <w:rPr>
      <w:rFonts w:cs="Calibri (Body)"/>
      <w:spacing w:val="2"/>
      <w:sz w:val="18"/>
      <w:szCs w:val="18"/>
    </w:rPr>
  </w:style>
  <w:style w:type="character" w:customStyle="1" w:styleId="FooterChar">
    <w:name w:val="Footer Char"/>
    <w:basedOn w:val="DefaultParagraphFont"/>
    <w:link w:val="Footer"/>
    <w:uiPriority w:val="99"/>
    <w:rsid w:val="009633DE"/>
    <w:rPr>
      <w:rFonts w:asciiTheme="minorHAnsi" w:hAnsiTheme="minorHAnsi" w:cs="Calibri (Body)"/>
      <w:color w:val="000000" w:themeColor="text1"/>
      <w:spacing w:val="2"/>
      <w:sz w:val="18"/>
      <w:szCs w:val="18"/>
      <w:lang w:eastAsia="en-US"/>
    </w:rPr>
  </w:style>
  <w:style w:type="character" w:styleId="Hyperlink">
    <w:name w:val="Hyperlink"/>
    <w:basedOn w:val="DefaultParagraphFont"/>
    <w:uiPriority w:val="99"/>
    <w:unhideWhenUsed/>
    <w:rsid w:val="00521016"/>
    <w:rPr>
      <w:rFonts w:ascii="Calibri" w:hAnsi="Calibri"/>
      <w:color w:val="006C93" w:themeColor="accent3"/>
      <w:sz w:val="22"/>
      <w:u w:val="single"/>
    </w:rPr>
  </w:style>
  <w:style w:type="paragraph" w:customStyle="1" w:styleId="CERbullets">
    <w:name w:val="CER bullets"/>
    <w:basedOn w:val="Normal"/>
    <w:link w:val="CERbulletsChar"/>
    <w:uiPriority w:val="7"/>
    <w:qFormat/>
    <w:rsid w:val="004458B4"/>
    <w:pPr>
      <w:numPr>
        <w:numId w:val="4"/>
      </w:numPr>
      <w:spacing w:before="120" w:after="120"/>
    </w:pPr>
    <w:rPr>
      <w:color w:val="auto"/>
    </w:rPr>
  </w:style>
  <w:style w:type="character" w:customStyle="1" w:styleId="CERbulletsChar">
    <w:name w:val="CER bullets Char"/>
    <w:basedOn w:val="DefaultParagraphFont"/>
    <w:link w:val="CERbullets"/>
    <w:uiPriority w:val="7"/>
    <w:rsid w:val="004458B4"/>
    <w:rPr>
      <w:rFonts w:asciiTheme="minorHAnsi" w:hAnsiTheme="minorHAnsi" w:cstheme="minorHAnsi"/>
      <w:sz w:val="22"/>
      <w:szCs w:val="24"/>
      <w:lang w:eastAsia="en-US"/>
    </w:rPr>
  </w:style>
  <w:style w:type="table" w:customStyle="1" w:styleId="CERTable">
    <w:name w:val="CER Table"/>
    <w:basedOn w:val="TableNormal"/>
    <w:uiPriority w:val="99"/>
    <w:rsid w:val="004458B4"/>
    <w:pPr>
      <w:spacing w:before="120"/>
    </w:pPr>
    <w:rPr>
      <w:rFonts w:ascii="Calibri" w:hAnsi="Calibri"/>
      <w:color w:val="000000" w:themeColor="text1"/>
      <w:kern w:val="2"/>
    </w:rPr>
    <w:tblPr>
      <w:tblStyleRowBandSize w:val="1"/>
      <w:tblBorders>
        <w:top w:val="single" w:sz="8" w:space="0" w:color="FCBA5C" w:themeColor="accent2"/>
        <w:bottom w:val="single" w:sz="8" w:space="0" w:color="FCBA5C" w:themeColor="accent2"/>
        <w:insideH w:val="single" w:sz="8" w:space="0" w:color="E8E8E8" w:themeColor="background2"/>
      </w:tblBorders>
    </w:tblPr>
    <w:trPr>
      <w:cantSplit/>
    </w:trPr>
    <w:tcPr>
      <w:shd w:val="clear" w:color="auto" w:fill="auto"/>
    </w:tc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Theme="minorHAnsi" w:hAnsiTheme="minorHAnsi"/>
        <w:b/>
        <w:color w:val="auto"/>
        <w:sz w:val="20"/>
      </w:rPr>
      <w:tblPr/>
      <w:tcPr>
        <w:tcBorders>
          <w:top w:val="nil"/>
          <w:left w:val="nil"/>
          <w:bottom w:val="single" w:sz="18" w:space="0" w:color="FCBA5C" w:themeColor="accent2"/>
          <w:right w:val="nil"/>
          <w:insideH w:val="nil"/>
          <w:insideV w:val="nil"/>
          <w:tl2br w:val="nil"/>
          <w:tr2bl w:val="nil"/>
        </w:tcBorders>
        <w:shd w:val="clear" w:color="auto" w:fill="E8E8E8" w:themeFill="background2"/>
      </w:tcPr>
    </w:tblStylePr>
    <w:tblStylePr w:type="lastRow">
      <w:pPr>
        <w:wordWrap/>
        <w:spacing w:beforeLines="0" w:before="10" w:beforeAutospacing="0" w:afterLines="0" w:after="10" w:afterAutospacing="0"/>
      </w:pPr>
      <w:rPr>
        <w:rFonts w:asciiTheme="minorHAnsi" w:hAnsiTheme="minorHAnsi"/>
        <w:b/>
      </w:rPr>
      <w:tblPr/>
      <w:tcPr>
        <w:vAlign w:val="center"/>
      </w:tcPr>
    </w:tblStylePr>
    <w:tblStylePr w:type="firstCol">
      <w:pPr>
        <w:wordWrap/>
        <w:ind w:leftChars="0" w:left="0" w:rightChars="0" w:right="0"/>
        <w:contextualSpacing w:val="0"/>
      </w:pPr>
      <w:rPr>
        <w:rFonts w:ascii="Calibri" w:hAnsi="Calibri"/>
        <w:b/>
        <w:i w:val="0"/>
        <w:color w:val="000000" w:themeColor="text1"/>
      </w:rPr>
      <w:tblPr/>
      <w:tcPr>
        <w:shd w:val="clear" w:color="auto" w:fill="F2F2F2" w:themeFill="background1" w:themeFillShade="F2"/>
      </w:tcPr>
    </w:tblStylePr>
    <w:tblStylePr w:type="band1Horz">
      <w:rPr>
        <w:rFonts w:asciiTheme="minorHAnsi" w:hAnsiTheme="minorHAnsi"/>
      </w:rPr>
      <w:tblPr/>
      <w:tcPr>
        <w:tcBorders>
          <w:top w:val="nil"/>
          <w:left w:val="nil"/>
          <w:bottom w:val="single" w:sz="4" w:space="0" w:color="D1D1D1" w:themeColor="background2" w:themeShade="E6"/>
          <w:right w:val="nil"/>
          <w:insideH w:val="nil"/>
          <w:insideV w:val="nil"/>
          <w:tl2br w:val="nil"/>
          <w:tr2bl w:val="nil"/>
        </w:tcBorders>
      </w:tcPr>
    </w:tblStylePr>
    <w:tblStylePr w:type="band2Horz">
      <w:rPr>
        <w:rFonts w:asciiTheme="minorHAnsi" w:hAnsiTheme="minorHAnsi"/>
      </w:rPr>
      <w:tblPr/>
      <w:tcPr>
        <w:tcBorders>
          <w:insideH w:val="nil"/>
        </w:tcBorders>
      </w:tcPr>
    </w:tblStylePr>
  </w:style>
  <w:style w:type="character" w:customStyle="1" w:styleId="Heading5Char">
    <w:name w:val="Heading 5 Char"/>
    <w:aliases w:val="CER Heading 5 Char"/>
    <w:basedOn w:val="DefaultParagraphFont"/>
    <w:link w:val="Heading5"/>
    <w:uiPriority w:val="6"/>
    <w:rsid w:val="00FA7635"/>
    <w:rPr>
      <w:rFonts w:asciiTheme="minorHAnsi" w:eastAsiaTheme="majorEastAsia" w:hAnsiTheme="minorHAnsi" w:cstheme="majorBidi"/>
      <w:b/>
      <w:color w:val="000000" w:themeColor="text1"/>
      <w:sz w:val="22"/>
      <w:szCs w:val="24"/>
      <w:lang w:eastAsia="en-US"/>
    </w:rPr>
  </w:style>
  <w:style w:type="table" w:styleId="TableGrid">
    <w:name w:val="Table Grid"/>
    <w:basedOn w:val="TableNormal"/>
    <w:uiPriority w:val="39"/>
    <w:rsid w:val="00A41A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ERCallout">
    <w:name w:val="CER Callout"/>
    <w:basedOn w:val="TableNormal"/>
    <w:uiPriority w:val="99"/>
    <w:rsid w:val="00C13A44"/>
    <w:pPr>
      <w:spacing w:before="100" w:beforeAutospacing="1" w:after="240"/>
      <w:ind w:left="284" w:right="284"/>
    </w:pPr>
    <w:rPr>
      <w:rFonts w:asciiTheme="minorHAnsi" w:hAnsiTheme="minorHAnsi"/>
    </w:rPr>
    <w:tblPr>
      <w:tblBorders>
        <w:left w:val="single" w:sz="24" w:space="0" w:color="9FB76F" w:themeColor="accent1"/>
      </w:tblBorders>
      <w:tblCellMar>
        <w:left w:w="0" w:type="dxa"/>
        <w:right w:w="0" w:type="dxa"/>
      </w:tblCellMar>
    </w:tblPr>
    <w:trPr>
      <w:cantSplit/>
    </w:trPr>
    <w:tcPr>
      <w:shd w:val="pct5" w:color="auto" w:fill="auto"/>
      <w:tcMar>
        <w:top w:w="284" w:type="dxa"/>
        <w:left w:w="284" w:type="dxa"/>
        <w:bottom w:w="284" w:type="dxa"/>
        <w:right w:w="284" w:type="dxa"/>
      </w:tcMar>
    </w:tcPr>
    <w:tblStylePr w:type="firstRow">
      <w:pPr>
        <w:wordWrap/>
        <w:spacing w:beforeLines="0" w:afterLines="0" w:line="240" w:lineRule="auto"/>
      </w:pPr>
      <w:rPr>
        <w:rFonts w:asciiTheme="minorHAnsi" w:hAnsiTheme="minorHAnsi"/>
        <w:b/>
        <w:sz w:val="24"/>
      </w:rPr>
      <w:tblPr/>
      <w:trPr>
        <w:cantSplit w:val="0"/>
      </w:trPr>
      <w:tcPr>
        <w:tcBorders>
          <w:top w:val="nil"/>
          <w:left w:val="single" w:sz="24" w:space="0" w:color="9FB76F" w:themeColor="accent1"/>
          <w:bottom w:val="nil"/>
          <w:right w:val="nil"/>
          <w:insideH w:val="nil"/>
          <w:insideV w:val="nil"/>
          <w:tl2br w:val="nil"/>
          <w:tr2bl w:val="nil"/>
        </w:tcBorders>
        <w:noWrap/>
      </w:tcPr>
    </w:tblStylePr>
  </w:style>
  <w:style w:type="character" w:customStyle="1" w:styleId="Heading7Char">
    <w:name w:val="Heading 7 Char"/>
    <w:basedOn w:val="DefaultParagraphFont"/>
    <w:link w:val="Heading7"/>
    <w:uiPriority w:val="99"/>
    <w:rsid w:val="00521016"/>
    <w:rPr>
      <w:rFonts w:asciiTheme="minorHAnsi" w:eastAsiaTheme="majorEastAsia" w:hAnsiTheme="minorHAnsi" w:cstheme="majorBidi"/>
      <w:b/>
      <w:i/>
      <w:iCs/>
      <w:color w:val="404040" w:themeColor="text1" w:themeTint="BF"/>
      <w:sz w:val="22"/>
      <w:szCs w:val="24"/>
      <w:lang w:eastAsia="en-US"/>
    </w:rPr>
  </w:style>
  <w:style w:type="character" w:styleId="FollowedHyperlink">
    <w:name w:val="FollowedHyperlink"/>
    <w:basedOn w:val="DefaultParagraphFont"/>
    <w:uiPriority w:val="99"/>
    <w:rsid w:val="002537CF"/>
    <w:rPr>
      <w:rFonts w:asciiTheme="minorHAnsi" w:hAnsiTheme="minorHAnsi"/>
      <w:color w:val="7F7F7F" w:themeColor="text1" w:themeTint="80"/>
      <w:sz w:val="22"/>
      <w:u w:val="single"/>
    </w:rPr>
  </w:style>
  <w:style w:type="paragraph" w:customStyle="1" w:styleId="CERcovertitle">
    <w:name w:val="CER cover title"/>
    <w:basedOn w:val="Title"/>
    <w:link w:val="CERcovertitleChar"/>
    <w:uiPriority w:val="8"/>
    <w:rsid w:val="00521016"/>
    <w:pPr>
      <w:spacing w:before="2760"/>
      <w:ind w:right="5204"/>
    </w:pPr>
    <w:rPr>
      <w:rFonts w:cs="Times New Roman (Headings CS)"/>
      <w:b/>
      <w:noProof/>
      <w:spacing w:val="0"/>
      <w:lang w:eastAsia="en-AU"/>
    </w:rPr>
  </w:style>
  <w:style w:type="paragraph" w:customStyle="1" w:styleId="CERcoversubtitle">
    <w:name w:val="CER cover subtitle"/>
    <w:basedOn w:val="Subtitle"/>
    <w:link w:val="CERcoversubtitleChar"/>
    <w:uiPriority w:val="8"/>
    <w:rsid w:val="00253FFC"/>
    <w:pPr>
      <w:spacing w:before="120" w:after="120"/>
      <w:ind w:right="5062"/>
    </w:pPr>
    <w:rPr>
      <w:rFonts w:ascii="Calibri Light" w:eastAsia="Times New Roman" w:hAnsi="Calibri Light" w:cs="Calibri Light"/>
      <w:color w:val="000000" w:themeColor="text1"/>
      <w:spacing w:val="0"/>
      <w:sz w:val="40"/>
      <w:szCs w:val="40"/>
    </w:rPr>
  </w:style>
  <w:style w:type="character" w:customStyle="1" w:styleId="CERcovertitleChar">
    <w:name w:val="CER cover title Char"/>
    <w:basedOn w:val="DefaultParagraphFont"/>
    <w:link w:val="CERcovertitle"/>
    <w:uiPriority w:val="8"/>
    <w:rsid w:val="00521016"/>
    <w:rPr>
      <w:rFonts w:asciiTheme="majorHAnsi" w:eastAsiaTheme="majorEastAsia" w:hAnsiTheme="majorHAnsi" w:cs="Times New Roman (Headings CS)"/>
      <w:b/>
      <w:noProof/>
      <w:kern w:val="28"/>
      <w:sz w:val="56"/>
      <w:szCs w:val="56"/>
    </w:rPr>
  </w:style>
  <w:style w:type="paragraph" w:customStyle="1" w:styleId="CERnumbering">
    <w:name w:val="CER numbering"/>
    <w:basedOn w:val="CERbullets"/>
    <w:link w:val="CERnumberingChar"/>
    <w:uiPriority w:val="8"/>
    <w:qFormat/>
    <w:rsid w:val="00FE2F68"/>
    <w:pPr>
      <w:numPr>
        <w:numId w:val="0"/>
      </w:numPr>
    </w:pPr>
    <w:rPr>
      <w:lang w:val="en-US"/>
    </w:rPr>
  </w:style>
  <w:style w:type="character" w:customStyle="1" w:styleId="CERcoversubtitleChar">
    <w:name w:val="CER cover subtitle Char"/>
    <w:basedOn w:val="Heading2Char"/>
    <w:link w:val="CERcoversubtitle"/>
    <w:uiPriority w:val="8"/>
    <w:rsid w:val="00253FFC"/>
    <w:rPr>
      <w:rFonts w:ascii="Calibri Light" w:eastAsia="Times New Roman" w:hAnsi="Calibri Light" w:cs="Calibri Light"/>
      <w:b w:val="0"/>
      <w:bCs w:val="0"/>
      <w:color w:val="000000" w:themeColor="text1"/>
      <w:sz w:val="40"/>
      <w:szCs w:val="40"/>
      <w:lang w:eastAsia="en-US"/>
    </w:rPr>
  </w:style>
  <w:style w:type="character" w:customStyle="1" w:styleId="CERnumberingChar">
    <w:name w:val="CER numbering Char"/>
    <w:basedOn w:val="CERbulletsChar"/>
    <w:link w:val="CERnumbering"/>
    <w:uiPriority w:val="8"/>
    <w:rsid w:val="00FE2F68"/>
    <w:rPr>
      <w:rFonts w:asciiTheme="minorHAnsi" w:hAnsiTheme="minorHAnsi" w:cstheme="minorHAnsi"/>
      <w:sz w:val="22"/>
      <w:szCs w:val="24"/>
      <w:lang w:val="en-US" w:eastAsia="en-US"/>
    </w:rPr>
  </w:style>
  <w:style w:type="character" w:styleId="PlaceholderText">
    <w:name w:val="Placeholder Text"/>
    <w:basedOn w:val="DefaultParagraphFont"/>
    <w:uiPriority w:val="99"/>
    <w:rsid w:val="00930D2E"/>
    <w:rPr>
      <w:rFonts w:asciiTheme="minorHAnsi" w:hAnsiTheme="minorHAnsi"/>
      <w:color w:val="808080"/>
    </w:rPr>
  </w:style>
  <w:style w:type="character" w:customStyle="1" w:styleId="Protectivemarker">
    <w:name w:val="Protective marker"/>
    <w:uiPriority w:val="1"/>
    <w:rsid w:val="009633DE"/>
    <w:rPr>
      <w:rFonts w:asciiTheme="minorHAnsi" w:hAnsiTheme="minorHAnsi"/>
      <w:b/>
      <w:color w:val="FF0000"/>
      <w:sz w:val="24"/>
      <w:szCs w:val="24"/>
    </w:rPr>
  </w:style>
  <w:style w:type="paragraph" w:customStyle="1" w:styleId="LegislativesecrecyACT">
    <w:name w:val="Legislative secrecy ACT"/>
    <w:basedOn w:val="Heading5"/>
    <w:uiPriority w:val="8"/>
    <w:qFormat/>
    <w:rsid w:val="00F76419"/>
    <w:pPr>
      <w:tabs>
        <w:tab w:val="center" w:pos="4870"/>
        <w:tab w:val="left" w:pos="8745"/>
      </w:tabs>
      <w:spacing w:before="0" w:after="120"/>
      <w:jc w:val="center"/>
    </w:pPr>
    <w:rPr>
      <w:color w:val="auto"/>
      <w:sz w:val="24"/>
    </w:rPr>
  </w:style>
  <w:style w:type="character" w:styleId="PageNumber">
    <w:name w:val="page number"/>
    <w:basedOn w:val="DefaultParagraphFont"/>
    <w:uiPriority w:val="99"/>
    <w:semiHidden/>
    <w:unhideWhenUsed/>
    <w:rsid w:val="00977234"/>
    <w:rPr>
      <w:rFonts w:asciiTheme="minorHAnsi" w:hAnsiTheme="minorHAnsi"/>
    </w:rPr>
  </w:style>
  <w:style w:type="paragraph" w:styleId="Title">
    <w:name w:val="Title"/>
    <w:basedOn w:val="Normal"/>
    <w:next w:val="Normal"/>
    <w:link w:val="TitleChar"/>
    <w:uiPriority w:val="10"/>
    <w:qFormat/>
    <w:rsid w:val="00977234"/>
    <w:pPr>
      <w:spacing w:after="0"/>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977234"/>
    <w:rPr>
      <w:rFonts w:asciiTheme="majorHAnsi" w:eastAsiaTheme="majorEastAsia" w:hAnsiTheme="majorHAnsi" w:cstheme="majorBidi"/>
      <w:spacing w:val="-10"/>
      <w:kern w:val="28"/>
      <w:sz w:val="56"/>
      <w:szCs w:val="56"/>
      <w:lang w:eastAsia="en-US"/>
    </w:rPr>
  </w:style>
  <w:style w:type="paragraph" w:styleId="TOC2">
    <w:name w:val="toc 2"/>
    <w:basedOn w:val="Normal"/>
    <w:next w:val="Normal"/>
    <w:autoRedefine/>
    <w:uiPriority w:val="39"/>
    <w:unhideWhenUsed/>
    <w:rsid w:val="00056FF0"/>
    <w:pPr>
      <w:spacing w:after="100"/>
      <w:ind w:left="220"/>
    </w:pPr>
  </w:style>
  <w:style w:type="paragraph" w:styleId="TOC1">
    <w:name w:val="toc 1"/>
    <w:basedOn w:val="Normal"/>
    <w:next w:val="Normal"/>
    <w:autoRedefine/>
    <w:uiPriority w:val="39"/>
    <w:unhideWhenUsed/>
    <w:rsid w:val="00D95581"/>
    <w:pPr>
      <w:tabs>
        <w:tab w:val="left" w:pos="440"/>
        <w:tab w:val="right" w:leader="dot" w:pos="9730"/>
      </w:tabs>
      <w:spacing w:after="100"/>
    </w:pPr>
    <w:rPr>
      <w:b/>
    </w:rPr>
  </w:style>
  <w:style w:type="paragraph" w:styleId="TOC3">
    <w:name w:val="toc 3"/>
    <w:basedOn w:val="Normal"/>
    <w:next w:val="Normal"/>
    <w:autoRedefine/>
    <w:uiPriority w:val="39"/>
    <w:unhideWhenUsed/>
    <w:rsid w:val="007270A5"/>
    <w:pPr>
      <w:tabs>
        <w:tab w:val="right" w:leader="dot" w:pos="9730"/>
      </w:tabs>
      <w:spacing w:after="100"/>
      <w:ind w:left="440"/>
    </w:pPr>
  </w:style>
  <w:style w:type="paragraph" w:styleId="TOC4">
    <w:name w:val="toc 4"/>
    <w:basedOn w:val="Normal"/>
    <w:next w:val="Normal"/>
    <w:autoRedefine/>
    <w:uiPriority w:val="39"/>
    <w:unhideWhenUsed/>
    <w:rsid w:val="004E238A"/>
    <w:pPr>
      <w:tabs>
        <w:tab w:val="right" w:leader="dot" w:pos="9730"/>
      </w:tabs>
      <w:spacing w:after="100"/>
      <w:ind w:left="660"/>
    </w:pPr>
  </w:style>
  <w:style w:type="paragraph" w:styleId="Subtitle">
    <w:name w:val="Subtitle"/>
    <w:basedOn w:val="Normal"/>
    <w:next w:val="Normal"/>
    <w:link w:val="SubtitleChar"/>
    <w:uiPriority w:val="99"/>
    <w:rsid w:val="002C702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99"/>
    <w:rsid w:val="002C702A"/>
    <w:rPr>
      <w:rFonts w:asciiTheme="minorHAnsi" w:eastAsiaTheme="minorEastAsia" w:hAnsiTheme="minorHAnsi" w:cstheme="minorBidi"/>
      <w:color w:val="5A5A5A" w:themeColor="text1" w:themeTint="A5"/>
      <w:spacing w:val="15"/>
      <w:sz w:val="22"/>
      <w:szCs w:val="22"/>
      <w:lang w:eastAsia="en-US"/>
    </w:rPr>
  </w:style>
  <w:style w:type="paragraph" w:styleId="Caption">
    <w:name w:val="caption"/>
    <w:basedOn w:val="Normal"/>
    <w:next w:val="Normal"/>
    <w:uiPriority w:val="35"/>
    <w:unhideWhenUsed/>
    <w:qFormat/>
    <w:rsid w:val="004D0162"/>
    <w:rPr>
      <w:rFonts w:ascii="Calibri Light" w:eastAsiaTheme="minorHAnsi" w:hAnsi="Calibri Light" w:cs="Calibri Light"/>
      <w:i/>
      <w:iCs/>
      <w:sz w:val="18"/>
      <w:szCs w:val="18"/>
    </w:rPr>
  </w:style>
  <w:style w:type="paragraph" w:customStyle="1" w:styleId="Contents">
    <w:name w:val="Contents"/>
    <w:uiPriority w:val="8"/>
    <w:qFormat/>
    <w:rsid w:val="00521016"/>
    <w:pPr>
      <w:spacing w:after="360"/>
    </w:pPr>
    <w:rPr>
      <w:rFonts w:ascii="Calibri" w:eastAsia="Times New Roman" w:hAnsi="Calibri" w:cs="Calibri"/>
      <w:color w:val="000000" w:themeColor="text1"/>
      <w:kern w:val="32"/>
      <w:sz w:val="40"/>
      <w:szCs w:val="24"/>
      <w:lang w:eastAsia="en-US"/>
    </w:rPr>
  </w:style>
  <w:style w:type="paragraph" w:customStyle="1" w:styleId="BodyText1">
    <w:name w:val="Body Text1"/>
    <w:basedOn w:val="Normal"/>
    <w:uiPriority w:val="8"/>
    <w:qFormat/>
    <w:rsid w:val="002D18F3"/>
    <w:pPr>
      <w:spacing w:before="200"/>
    </w:pPr>
  </w:style>
  <w:style w:type="paragraph" w:styleId="NormalWeb">
    <w:name w:val="Normal (Web)"/>
    <w:basedOn w:val="Normal"/>
    <w:uiPriority w:val="99"/>
    <w:unhideWhenUsed/>
    <w:rsid w:val="00E12286"/>
    <w:rPr>
      <w:rFonts w:cs="Times New Roman"/>
      <w:sz w:val="24"/>
    </w:rPr>
  </w:style>
  <w:style w:type="paragraph" w:styleId="ListParagraph">
    <w:name w:val="List Paragraph"/>
    <w:basedOn w:val="Normal"/>
    <w:link w:val="ListParagraphChar"/>
    <w:uiPriority w:val="34"/>
    <w:qFormat/>
    <w:rsid w:val="00235142"/>
    <w:pPr>
      <w:ind w:left="720"/>
      <w:contextualSpacing/>
    </w:pPr>
    <w:rPr>
      <w:lang w:val="en-GB"/>
    </w:rPr>
  </w:style>
  <w:style w:type="character" w:styleId="CommentReference">
    <w:name w:val="annotation reference"/>
    <w:basedOn w:val="DefaultParagraphFont"/>
    <w:uiPriority w:val="99"/>
    <w:unhideWhenUsed/>
    <w:rsid w:val="00235142"/>
    <w:rPr>
      <w:sz w:val="16"/>
      <w:szCs w:val="16"/>
    </w:rPr>
  </w:style>
  <w:style w:type="paragraph" w:styleId="CommentText">
    <w:name w:val="annotation text"/>
    <w:basedOn w:val="Normal"/>
    <w:link w:val="CommentTextChar"/>
    <w:uiPriority w:val="99"/>
    <w:unhideWhenUsed/>
    <w:rsid w:val="00235142"/>
    <w:rPr>
      <w:sz w:val="20"/>
      <w:szCs w:val="20"/>
      <w:lang w:val="en-GB"/>
    </w:rPr>
  </w:style>
  <w:style w:type="character" w:customStyle="1" w:styleId="CommentTextChar">
    <w:name w:val="Comment Text Char"/>
    <w:basedOn w:val="DefaultParagraphFont"/>
    <w:link w:val="CommentText"/>
    <w:uiPriority w:val="99"/>
    <w:rsid w:val="00235142"/>
    <w:rPr>
      <w:rFonts w:asciiTheme="minorHAnsi" w:hAnsiTheme="minorHAnsi" w:cstheme="minorHAnsi"/>
      <w:color w:val="000000" w:themeColor="text1"/>
      <w:lang w:val="en-GB" w:eastAsia="en-US"/>
    </w:rPr>
  </w:style>
  <w:style w:type="paragraph" w:styleId="FootnoteText">
    <w:name w:val="footnote text"/>
    <w:basedOn w:val="Normal"/>
    <w:link w:val="FootnoteTextChar"/>
    <w:uiPriority w:val="99"/>
    <w:semiHidden/>
    <w:unhideWhenUsed/>
    <w:rsid w:val="00235142"/>
    <w:pPr>
      <w:spacing w:after="0"/>
    </w:pPr>
    <w:rPr>
      <w:sz w:val="20"/>
      <w:szCs w:val="20"/>
      <w:lang w:val="en-GB"/>
    </w:rPr>
  </w:style>
  <w:style w:type="character" w:customStyle="1" w:styleId="FootnoteTextChar">
    <w:name w:val="Footnote Text Char"/>
    <w:basedOn w:val="DefaultParagraphFont"/>
    <w:link w:val="FootnoteText"/>
    <w:uiPriority w:val="99"/>
    <w:semiHidden/>
    <w:rsid w:val="00235142"/>
    <w:rPr>
      <w:rFonts w:asciiTheme="minorHAnsi" w:hAnsiTheme="minorHAnsi" w:cstheme="minorHAnsi"/>
      <w:color w:val="000000" w:themeColor="text1"/>
      <w:lang w:val="en-GB" w:eastAsia="en-US"/>
    </w:rPr>
  </w:style>
  <w:style w:type="character" w:styleId="FootnoteReference">
    <w:name w:val="footnote reference"/>
    <w:basedOn w:val="DefaultParagraphFont"/>
    <w:uiPriority w:val="99"/>
    <w:unhideWhenUsed/>
    <w:rsid w:val="00235142"/>
    <w:rPr>
      <w:vertAlign w:val="superscript"/>
    </w:rPr>
  </w:style>
  <w:style w:type="table" w:customStyle="1" w:styleId="CERTable2">
    <w:name w:val="CER Table2"/>
    <w:basedOn w:val="TableNormal"/>
    <w:uiPriority w:val="99"/>
    <w:rsid w:val="002B4789"/>
    <w:pPr>
      <w:spacing w:before="120"/>
    </w:pPr>
    <w:rPr>
      <w:rFonts w:ascii="Arial" w:hAnsi="Arial"/>
      <w:color w:val="000000" w:themeColor="text1"/>
      <w:kern w:val="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Calibri (Body)" w:hAnsi="Calibri (Body)"/>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Calibri (Body)" w:hAnsi="Calibri (Body)"/>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character" w:styleId="Mention">
    <w:name w:val="Mention"/>
    <w:basedOn w:val="DefaultParagraphFont"/>
    <w:uiPriority w:val="99"/>
    <w:unhideWhenUsed/>
    <w:rsid w:val="002B4789"/>
    <w:rPr>
      <w:color w:val="2B579A"/>
      <w:shd w:val="clear" w:color="auto" w:fill="E1DFDD"/>
    </w:rPr>
  </w:style>
  <w:style w:type="paragraph" w:customStyle="1" w:styleId="Body">
    <w:name w:val="Body"/>
    <w:basedOn w:val="Normal"/>
    <w:link w:val="BodyChar"/>
    <w:rsid w:val="004A2E03"/>
    <w:pPr>
      <w:spacing w:before="60" w:after="120" w:line="280" w:lineRule="atLeast"/>
      <w:ind w:left="567"/>
    </w:pPr>
    <w:rPr>
      <w:rFonts w:ascii="Arial" w:eastAsia="Times New Roman" w:hAnsi="Arial" w:cs="Times New Roman"/>
      <w:color w:val="auto"/>
      <w:sz w:val="20"/>
      <w:lang w:val="en-GB"/>
    </w:rPr>
  </w:style>
  <w:style w:type="character" w:customStyle="1" w:styleId="BodyChar">
    <w:name w:val="Body Char"/>
    <w:link w:val="Body"/>
    <w:rsid w:val="004A2E03"/>
    <w:rPr>
      <w:rFonts w:ascii="Arial" w:eastAsia="Times New Roman" w:hAnsi="Arial"/>
      <w:szCs w:val="24"/>
      <w:lang w:val="en-GB" w:eastAsia="en-US"/>
    </w:rPr>
  </w:style>
  <w:style w:type="paragraph" w:customStyle="1" w:styleId="Bullet">
    <w:name w:val="Bullet"/>
    <w:aliases w:val="b1"/>
    <w:basedOn w:val="Body"/>
    <w:rsid w:val="004A2E03"/>
    <w:pPr>
      <w:tabs>
        <w:tab w:val="num" w:pos="-1097"/>
        <w:tab w:val="left" w:pos="964"/>
      </w:tabs>
      <w:ind w:left="-1097" w:hanging="37"/>
    </w:pPr>
  </w:style>
  <w:style w:type="paragraph" w:styleId="CommentSubject">
    <w:name w:val="annotation subject"/>
    <w:basedOn w:val="CommentText"/>
    <w:next w:val="CommentText"/>
    <w:link w:val="CommentSubjectChar"/>
    <w:uiPriority w:val="99"/>
    <w:semiHidden/>
    <w:unhideWhenUsed/>
    <w:rsid w:val="004A2E03"/>
    <w:rPr>
      <w:b/>
      <w:bCs/>
    </w:rPr>
  </w:style>
  <w:style w:type="character" w:customStyle="1" w:styleId="CommentSubjectChar">
    <w:name w:val="Comment Subject Char"/>
    <w:basedOn w:val="CommentTextChar"/>
    <w:link w:val="CommentSubject"/>
    <w:uiPriority w:val="99"/>
    <w:semiHidden/>
    <w:rsid w:val="004A2E03"/>
    <w:rPr>
      <w:rFonts w:asciiTheme="minorHAnsi" w:hAnsiTheme="minorHAnsi" w:cstheme="minorHAnsi"/>
      <w:b/>
      <w:bCs/>
      <w:color w:val="000000" w:themeColor="text1"/>
      <w:lang w:val="en-GB" w:eastAsia="en-US"/>
    </w:rPr>
  </w:style>
  <w:style w:type="paragraph" w:styleId="BalloonText">
    <w:name w:val="Balloon Text"/>
    <w:basedOn w:val="Normal"/>
    <w:link w:val="BalloonTextChar"/>
    <w:semiHidden/>
    <w:unhideWhenUsed/>
    <w:rsid w:val="004A2E03"/>
    <w:pPr>
      <w:spacing w:after="0"/>
    </w:pPr>
    <w:rPr>
      <w:rFonts w:ascii="Segoe UI" w:hAnsi="Segoe UI" w:cs="Segoe UI"/>
      <w:sz w:val="18"/>
      <w:szCs w:val="18"/>
      <w:lang w:val="en-GB"/>
    </w:rPr>
  </w:style>
  <w:style w:type="character" w:customStyle="1" w:styleId="BalloonTextChar">
    <w:name w:val="Balloon Text Char"/>
    <w:basedOn w:val="DefaultParagraphFont"/>
    <w:link w:val="BalloonText"/>
    <w:semiHidden/>
    <w:rsid w:val="004A2E03"/>
    <w:rPr>
      <w:rFonts w:ascii="Segoe UI" w:hAnsi="Segoe UI" w:cs="Segoe UI"/>
      <w:color w:val="000000" w:themeColor="text1"/>
      <w:sz w:val="18"/>
      <w:szCs w:val="18"/>
      <w:lang w:val="en-GB" w:eastAsia="en-US"/>
    </w:rPr>
  </w:style>
  <w:style w:type="paragraph" w:customStyle="1" w:styleId="Bold-ItalicHeading">
    <w:name w:val="Bold-Italic_Heading"/>
    <w:basedOn w:val="Body"/>
    <w:next w:val="Body"/>
    <w:rsid w:val="004A2E03"/>
    <w:pPr>
      <w:keepNext/>
      <w:spacing w:before="200"/>
    </w:pPr>
    <w:rPr>
      <w:b/>
      <w:i/>
      <w:color w:val="0065A4"/>
    </w:rPr>
  </w:style>
  <w:style w:type="paragraph" w:customStyle="1" w:styleId="Bullet2">
    <w:name w:val="Bullet 2"/>
    <w:aliases w:val="b2"/>
    <w:basedOn w:val="Body"/>
    <w:rsid w:val="004A2E03"/>
    <w:pPr>
      <w:numPr>
        <w:numId w:val="5"/>
      </w:numPr>
      <w:tabs>
        <w:tab w:val="clear" w:pos="1134"/>
        <w:tab w:val="left" w:pos="1417"/>
      </w:tabs>
      <w:spacing w:before="0" w:after="60"/>
      <w:ind w:left="360" w:hanging="360"/>
    </w:pPr>
  </w:style>
  <w:style w:type="table" w:customStyle="1" w:styleId="Table-Style3">
    <w:name w:val="Table-Style3"/>
    <w:basedOn w:val="TableNormal"/>
    <w:rsid w:val="004A2E03"/>
    <w:rPr>
      <w:rFonts w:ascii="Arial" w:eastAsia="Times New Roman" w:hAnsi="Arial"/>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paragraph" w:customStyle="1" w:styleId="Default">
    <w:name w:val="Default"/>
    <w:rsid w:val="004A2E03"/>
    <w:pPr>
      <w:autoSpaceDE w:val="0"/>
      <w:autoSpaceDN w:val="0"/>
      <w:adjustRightInd w:val="0"/>
    </w:pPr>
    <w:rPr>
      <w:rFonts w:ascii="Calibri" w:hAnsi="Calibri" w:cs="Calibri"/>
      <w:color w:val="000000"/>
      <w:sz w:val="24"/>
      <w:szCs w:val="24"/>
    </w:rPr>
  </w:style>
  <w:style w:type="table" w:customStyle="1" w:styleId="CoverTable">
    <w:name w:val="CoverTable"/>
    <w:basedOn w:val="TableNormal"/>
    <w:rsid w:val="004A2E03"/>
    <w:rPr>
      <w:rFonts w:ascii="Arial" w:eastAsia="Times New Roman" w:hAnsi="Arial"/>
    </w:rPr>
    <w:tblPr/>
    <w:tcPr>
      <w:shd w:val="clear" w:color="auto" w:fill="auto"/>
    </w:tcPr>
  </w:style>
  <w:style w:type="table" w:customStyle="1" w:styleId="CERTable1">
    <w:name w:val="CER Table1"/>
    <w:basedOn w:val="TableNormal"/>
    <w:uiPriority w:val="99"/>
    <w:rsid w:val="004A2E03"/>
    <w:pPr>
      <w:spacing w:before="120"/>
    </w:pPr>
    <w:rPr>
      <w:rFonts w:ascii="Arial" w:hAnsi="Arial"/>
      <w:color w:val="000000" w:themeColor="text1"/>
      <w:kern w:val="2"/>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rPr>
      <w:cantSplit/>
    </w:trPr>
    <w:tblStylePr w:type="firstRow">
      <w:pPr>
        <w:wordWrap/>
        <w:spacing w:beforeLines="0" w:before="120" w:beforeAutospacing="0" w:afterLines="0" w:after="0" w:afterAutospacing="0" w:line="240" w:lineRule="auto"/>
        <w:ind w:leftChars="0" w:left="0" w:rightChars="0" w:right="0"/>
        <w:contextualSpacing w:val="0"/>
        <w:mirrorIndents w:val="0"/>
        <w:jc w:val="left"/>
        <w:outlineLvl w:val="9"/>
      </w:pPr>
      <w:rPr>
        <w:rFonts w:ascii="@MingLiU_HKSCS-ExtB" w:hAnsi="@MingLiU_HKSCS-ExtB"/>
        <w:b/>
        <w:color w:val="auto"/>
        <w:sz w:val="20"/>
      </w:rPr>
      <w:tblPr/>
      <w:tcPr>
        <w:shd w:val="clear" w:color="auto" w:fill="CDCDCD"/>
      </w:tcPr>
    </w:tblStylePr>
    <w:tblStylePr w:type="lastRow">
      <w:pPr>
        <w:wordWrap/>
        <w:spacing w:beforeLines="0" w:before="10" w:beforeAutospacing="0" w:afterLines="0" w:after="10" w:afterAutospacing="0"/>
      </w:pPr>
      <w:tblPr/>
      <w:tcPr>
        <w:vAlign w:val="center"/>
      </w:tcPr>
    </w:tblStylePr>
    <w:tblStylePr w:type="firstCol">
      <w:pPr>
        <w:wordWrap/>
        <w:ind w:leftChars="0" w:left="0" w:rightChars="0" w:right="0"/>
        <w:contextualSpacing w:val="0"/>
      </w:pPr>
      <w:rPr>
        <w:rFonts w:ascii="@MingLiU_HKSCS-ExtB" w:hAnsi="@MingLiU_HKSCS-ExtB"/>
        <w:b/>
        <w:i w:val="0"/>
        <w:color w:val="000000" w:themeColor="text1"/>
      </w:rPr>
      <w:tblPr/>
      <w:tcPr>
        <w:shd w:val="clear" w:color="auto" w:fill="EAE9E7"/>
      </w:tcPr>
    </w:tblStylePr>
    <w:tblStylePr w:type="band1Horz">
      <w:rPr>
        <w:rFonts w:ascii="Arial" w:hAnsi="Arial"/>
      </w:rPr>
    </w:tblStylePr>
    <w:tblStylePr w:type="band2Horz">
      <w:rPr>
        <w:rFonts w:ascii="Arial" w:hAnsi="Arial"/>
      </w:rPr>
    </w:tblStylePr>
  </w:style>
  <w:style w:type="paragraph" w:styleId="TOCHeading">
    <w:name w:val="TOC Heading"/>
    <w:basedOn w:val="Heading1"/>
    <w:next w:val="Normal"/>
    <w:uiPriority w:val="39"/>
    <w:unhideWhenUsed/>
    <w:qFormat/>
    <w:rsid w:val="004A2E03"/>
    <w:pPr>
      <w:keepNext/>
      <w:keepLines/>
      <w:spacing w:before="240" w:line="259" w:lineRule="auto"/>
      <w:outlineLvl w:val="9"/>
    </w:pPr>
    <w:rPr>
      <w:rFonts w:asciiTheme="majorHAnsi" w:eastAsiaTheme="majorEastAsia" w:hAnsiTheme="majorHAnsi" w:cstheme="majorBidi"/>
      <w:b w:val="0"/>
      <w:bCs w:val="0"/>
      <w:color w:val="7A9249" w:themeColor="accent1" w:themeShade="BF"/>
      <w:kern w:val="0"/>
      <w:sz w:val="32"/>
      <w:szCs w:val="32"/>
      <w:lang w:val="en-US"/>
    </w:rPr>
  </w:style>
  <w:style w:type="paragraph" w:styleId="Revision">
    <w:name w:val="Revision"/>
    <w:hidden/>
    <w:semiHidden/>
    <w:rsid w:val="004A2E03"/>
    <w:rPr>
      <w:rFonts w:asciiTheme="minorHAnsi" w:hAnsiTheme="minorHAnsi" w:cstheme="minorHAnsi"/>
      <w:color w:val="000000" w:themeColor="text1"/>
      <w:sz w:val="22"/>
      <w:szCs w:val="24"/>
      <w:lang w:eastAsia="en-US"/>
    </w:rPr>
  </w:style>
  <w:style w:type="paragraph" w:customStyle="1" w:styleId="Sub-para">
    <w:name w:val="Sub-para"/>
    <w:basedOn w:val="Normal"/>
    <w:uiPriority w:val="8"/>
    <w:qFormat/>
    <w:rsid w:val="004A2E03"/>
    <w:pPr>
      <w:spacing w:before="120" w:after="120"/>
      <w:ind w:left="720" w:hanging="360"/>
    </w:pPr>
    <w:rPr>
      <w:color w:val="auto"/>
      <w:lang w:val="en-GB"/>
    </w:rPr>
  </w:style>
  <w:style w:type="paragraph" w:customStyle="1" w:styleId="R2">
    <w:name w:val="R2"/>
    <w:aliases w:val="(2)"/>
    <w:basedOn w:val="Normal"/>
    <w:uiPriority w:val="99"/>
    <w:rsid w:val="004A2E03"/>
    <w:pPr>
      <w:keepLines/>
      <w:tabs>
        <w:tab w:val="right" w:pos="794"/>
      </w:tabs>
      <w:spacing w:before="180" w:after="120" w:line="260" w:lineRule="exact"/>
      <w:ind w:left="964" w:hanging="964"/>
      <w:jc w:val="both"/>
    </w:pPr>
    <w:rPr>
      <w:rFonts w:ascii="Times New Roman" w:eastAsia="Times New Roman" w:hAnsi="Times New Roman" w:cs="Times New Roman"/>
      <w:color w:val="auto"/>
      <w:sz w:val="24"/>
      <w:lang w:eastAsia="en-AU"/>
    </w:rPr>
  </w:style>
  <w:style w:type="paragraph" w:customStyle="1" w:styleId="Text">
    <w:name w:val="Text"/>
    <w:link w:val="TextChar"/>
    <w:rsid w:val="004A2E03"/>
    <w:pPr>
      <w:spacing w:before="240" w:after="120" w:line="312" w:lineRule="auto"/>
    </w:pPr>
    <w:rPr>
      <w:rFonts w:ascii="Times New Roman" w:eastAsia="Times New Roman" w:hAnsi="Times New Roman"/>
      <w:lang w:eastAsia="en-US"/>
    </w:rPr>
  </w:style>
  <w:style w:type="character" w:customStyle="1" w:styleId="TextChar">
    <w:name w:val="Text Char"/>
    <w:basedOn w:val="DefaultParagraphFont"/>
    <w:link w:val="Text"/>
    <w:locked/>
    <w:rsid w:val="004A2E03"/>
    <w:rPr>
      <w:rFonts w:ascii="Times New Roman" w:eastAsia="Times New Roman" w:hAnsi="Times New Roman"/>
      <w:lang w:eastAsia="en-US"/>
    </w:rPr>
  </w:style>
  <w:style w:type="character" w:styleId="UnresolvedMention">
    <w:name w:val="Unresolved Mention"/>
    <w:basedOn w:val="DefaultParagraphFont"/>
    <w:uiPriority w:val="99"/>
    <w:unhideWhenUsed/>
    <w:rsid w:val="004A2E03"/>
    <w:rPr>
      <w:color w:val="605E5C"/>
      <w:shd w:val="clear" w:color="auto" w:fill="E1DFDD"/>
    </w:rPr>
  </w:style>
  <w:style w:type="character" w:customStyle="1" w:styleId="ListParagraphChar">
    <w:name w:val="List Paragraph Char"/>
    <w:link w:val="ListParagraph"/>
    <w:uiPriority w:val="34"/>
    <w:rsid w:val="004A2E03"/>
    <w:rPr>
      <w:rFonts w:asciiTheme="minorHAnsi" w:hAnsiTheme="minorHAnsi" w:cstheme="minorHAnsi"/>
      <w:color w:val="000000" w:themeColor="text1"/>
      <w:sz w:val="22"/>
      <w:szCs w:val="24"/>
      <w:lang w:val="en-GB" w:eastAsia="en-US"/>
    </w:rPr>
  </w:style>
  <w:style w:type="table" w:customStyle="1" w:styleId="CERCallout1">
    <w:name w:val="CER Callout1"/>
    <w:basedOn w:val="TableNormal"/>
    <w:uiPriority w:val="99"/>
    <w:rsid w:val="004A2E03"/>
    <w:pPr>
      <w:ind w:left="284" w:right="284"/>
    </w:pPr>
    <w:rPr>
      <w:rFonts w:ascii="Arial" w:hAnsi="Arial"/>
    </w:rPr>
    <w:tblPr>
      <w:tblCellSpacing w:w="142" w:type="dxa"/>
      <w:tblCellMar>
        <w:left w:w="0" w:type="dxa"/>
        <w:right w:w="0" w:type="dxa"/>
      </w:tblCellMar>
    </w:tblPr>
    <w:trPr>
      <w:cantSplit/>
      <w:tblCellSpacing w:w="142" w:type="dxa"/>
    </w:trPr>
    <w:tcPr>
      <w:shd w:val="pct5" w:color="auto" w:fill="auto"/>
      <w:tcMar>
        <w:top w:w="284" w:type="dxa"/>
        <w:left w:w="284" w:type="dxa"/>
        <w:bottom w:w="284" w:type="dxa"/>
        <w:right w:w="284" w:type="dxa"/>
      </w:tcMar>
    </w:tcPr>
  </w:style>
  <w:style w:type="paragraph" w:customStyle="1" w:styleId="R1">
    <w:name w:val="R1"/>
    <w:aliases w:val="1. or 1.(1)"/>
    <w:basedOn w:val="Normal"/>
    <w:next w:val="R2"/>
    <w:rsid w:val="004A2E03"/>
    <w:pPr>
      <w:keepLines/>
      <w:tabs>
        <w:tab w:val="right" w:pos="794"/>
      </w:tabs>
      <w:spacing w:before="120" w:after="120" w:line="260" w:lineRule="exact"/>
      <w:ind w:left="964" w:hanging="964"/>
      <w:jc w:val="both"/>
    </w:pPr>
    <w:rPr>
      <w:rFonts w:ascii="Times New Roman" w:eastAsia="Times New Roman" w:hAnsi="Times New Roman" w:cs="Times New Roman"/>
      <w:color w:val="auto"/>
      <w:sz w:val="24"/>
      <w:lang w:eastAsia="en-AU"/>
    </w:rPr>
  </w:style>
  <w:style w:type="numbering" w:customStyle="1" w:styleId="CERbulletlist">
    <w:name w:val="CER bullet list"/>
    <w:uiPriority w:val="99"/>
    <w:rsid w:val="004A2E03"/>
    <w:pPr>
      <w:numPr>
        <w:numId w:val="11"/>
      </w:numPr>
    </w:pPr>
  </w:style>
  <w:style w:type="paragraph" w:customStyle="1" w:styleId="subsection">
    <w:name w:val="subsection"/>
    <w:basedOn w:val="Normal"/>
    <w:rsid w:val="004A2E03"/>
    <w:pP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paragraph">
    <w:name w:val="paragraph"/>
    <w:basedOn w:val="Normal"/>
    <w:rsid w:val="004A2E03"/>
    <w:pPr>
      <w:spacing w:before="100" w:beforeAutospacing="1" w:after="100" w:afterAutospacing="1"/>
    </w:pPr>
    <w:rPr>
      <w:rFonts w:ascii="Times New Roman" w:eastAsia="Times New Roman" w:hAnsi="Times New Roman" w:cs="Times New Roman"/>
      <w:color w:val="auto"/>
      <w:sz w:val="24"/>
      <w:lang w:eastAsia="en-AU"/>
    </w:rPr>
  </w:style>
  <w:style w:type="paragraph" w:customStyle="1" w:styleId="paragraphsub">
    <w:name w:val="paragraphsub"/>
    <w:basedOn w:val="Normal"/>
    <w:rsid w:val="004A2E03"/>
    <w:pPr>
      <w:spacing w:before="100" w:beforeAutospacing="1" w:after="100" w:afterAutospacing="1"/>
    </w:pPr>
    <w:rPr>
      <w:rFonts w:ascii="Times New Roman" w:eastAsia="Times New Roman" w:hAnsi="Times New Roman" w:cs="Times New Roman"/>
      <w:color w:val="auto"/>
      <w:sz w:val="24"/>
      <w:lang w:eastAsia="en-AU"/>
    </w:rPr>
  </w:style>
  <w:style w:type="character" w:customStyle="1" w:styleId="normaltextrun">
    <w:name w:val="normaltextrun"/>
    <w:basedOn w:val="DefaultParagraphFont"/>
    <w:rsid w:val="004A2E03"/>
  </w:style>
  <w:style w:type="paragraph" w:styleId="TOC5">
    <w:name w:val="toc 5"/>
    <w:basedOn w:val="Normal"/>
    <w:next w:val="Normal"/>
    <w:autoRedefine/>
    <w:uiPriority w:val="39"/>
    <w:unhideWhenUsed/>
    <w:rsid w:val="00027727"/>
    <w:pPr>
      <w:spacing w:after="100"/>
      <w:ind w:left="880"/>
    </w:pPr>
  </w:style>
  <w:style w:type="paragraph" w:styleId="EndnoteText">
    <w:name w:val="endnote text"/>
    <w:basedOn w:val="Normal"/>
    <w:link w:val="EndnoteTextChar"/>
    <w:uiPriority w:val="99"/>
    <w:semiHidden/>
    <w:unhideWhenUsed/>
    <w:rsid w:val="00780645"/>
    <w:pPr>
      <w:spacing w:after="0"/>
    </w:pPr>
    <w:rPr>
      <w:sz w:val="20"/>
      <w:szCs w:val="20"/>
    </w:rPr>
  </w:style>
  <w:style w:type="character" w:customStyle="1" w:styleId="EndnoteTextChar">
    <w:name w:val="Endnote Text Char"/>
    <w:basedOn w:val="DefaultParagraphFont"/>
    <w:link w:val="EndnoteText"/>
    <w:uiPriority w:val="99"/>
    <w:semiHidden/>
    <w:rsid w:val="00780645"/>
    <w:rPr>
      <w:rFonts w:asciiTheme="minorHAnsi" w:hAnsiTheme="minorHAnsi" w:cstheme="minorHAnsi"/>
      <w:color w:val="000000" w:themeColor="text1"/>
      <w:lang w:eastAsia="en-US"/>
    </w:rPr>
  </w:style>
  <w:style w:type="character" w:styleId="EndnoteReference">
    <w:name w:val="endnote reference"/>
    <w:basedOn w:val="DefaultParagraphFont"/>
    <w:uiPriority w:val="99"/>
    <w:semiHidden/>
    <w:unhideWhenUsed/>
    <w:rsid w:val="00780645"/>
    <w:rPr>
      <w:vertAlign w:val="superscript"/>
    </w:rPr>
  </w:style>
  <w:style w:type="character" w:customStyle="1" w:styleId="ui-provider">
    <w:name w:val="ui-provider"/>
    <w:basedOn w:val="DefaultParagraphFont"/>
    <w:rsid w:val="00780645"/>
  </w:style>
  <w:style w:type="character" w:customStyle="1" w:styleId="cf01">
    <w:name w:val="cf01"/>
    <w:basedOn w:val="DefaultParagraphFont"/>
    <w:rsid w:val="00780645"/>
    <w:rPr>
      <w:rFonts w:ascii="Segoe UI" w:hAnsi="Segoe UI" w:cs="Segoe UI" w:hint="default"/>
      <w:sz w:val="18"/>
      <w:szCs w:val="18"/>
    </w:rPr>
  </w:style>
  <w:style w:type="character" w:customStyle="1" w:styleId="eop">
    <w:name w:val="eop"/>
    <w:basedOn w:val="DefaultParagraphFont"/>
    <w:rsid w:val="00780645"/>
  </w:style>
  <w:style w:type="character" w:customStyle="1" w:styleId="scxw260463303">
    <w:name w:val="scxw260463303"/>
    <w:basedOn w:val="DefaultParagraphFont"/>
    <w:rsid w:val="00780645"/>
  </w:style>
  <w:style w:type="character" w:customStyle="1" w:styleId="cf11">
    <w:name w:val="cf11"/>
    <w:basedOn w:val="DefaultParagraphFont"/>
    <w:rsid w:val="00780645"/>
    <w:rPr>
      <w:rFonts w:ascii="Segoe UI" w:hAnsi="Segoe UI" w:cs="Segoe UI" w:hint="default"/>
      <w:color w:val="0000FF"/>
      <w:sz w:val="18"/>
      <w:szCs w:val="18"/>
      <w:u w:val="single"/>
    </w:rPr>
  </w:style>
  <w:style w:type="paragraph" w:styleId="Bibliography">
    <w:name w:val="Bibliography"/>
    <w:basedOn w:val="Normal"/>
    <w:next w:val="Normal"/>
    <w:uiPriority w:val="99"/>
    <w:semiHidden/>
    <w:unhideWhenUsed/>
    <w:rsid w:val="004B0870"/>
  </w:style>
  <w:style w:type="paragraph" w:styleId="BlockText">
    <w:name w:val="Block Text"/>
    <w:basedOn w:val="Normal"/>
    <w:uiPriority w:val="99"/>
    <w:semiHidden/>
    <w:unhideWhenUsed/>
    <w:rsid w:val="004B0870"/>
    <w:pPr>
      <w:pBdr>
        <w:top w:val="single" w:sz="2" w:space="10" w:color="9FB76F" w:themeColor="accent1"/>
        <w:left w:val="single" w:sz="2" w:space="10" w:color="9FB76F" w:themeColor="accent1"/>
        <w:bottom w:val="single" w:sz="2" w:space="10" w:color="9FB76F" w:themeColor="accent1"/>
        <w:right w:val="single" w:sz="2" w:space="10" w:color="9FB76F" w:themeColor="accent1"/>
      </w:pBdr>
      <w:ind w:left="1152" w:right="1152"/>
    </w:pPr>
    <w:rPr>
      <w:rFonts w:eastAsiaTheme="minorEastAsia" w:cstheme="minorBidi"/>
      <w:i/>
      <w:iCs/>
      <w:color w:val="9FB76F" w:themeColor="accent1"/>
    </w:rPr>
  </w:style>
  <w:style w:type="paragraph" w:styleId="BodyText">
    <w:name w:val="Body Text"/>
    <w:basedOn w:val="Normal"/>
    <w:link w:val="BodyTextChar"/>
    <w:uiPriority w:val="99"/>
    <w:semiHidden/>
    <w:unhideWhenUsed/>
    <w:rsid w:val="004B0870"/>
    <w:pPr>
      <w:spacing w:after="120"/>
    </w:pPr>
  </w:style>
  <w:style w:type="character" w:customStyle="1" w:styleId="BodyTextChar">
    <w:name w:val="Body Text Char"/>
    <w:basedOn w:val="DefaultParagraphFont"/>
    <w:link w:val="BodyText"/>
    <w:uiPriority w:val="99"/>
    <w:semiHidden/>
    <w:rsid w:val="004B0870"/>
    <w:rPr>
      <w:rFonts w:asciiTheme="minorHAnsi" w:hAnsiTheme="minorHAnsi" w:cstheme="minorHAnsi"/>
      <w:color w:val="000000" w:themeColor="text1"/>
      <w:sz w:val="22"/>
      <w:szCs w:val="24"/>
      <w:lang w:eastAsia="en-US"/>
    </w:rPr>
  </w:style>
  <w:style w:type="paragraph" w:styleId="BodyText2">
    <w:name w:val="Body Text 2"/>
    <w:basedOn w:val="Normal"/>
    <w:link w:val="BodyText2Char"/>
    <w:uiPriority w:val="99"/>
    <w:semiHidden/>
    <w:unhideWhenUsed/>
    <w:rsid w:val="004B0870"/>
    <w:pPr>
      <w:spacing w:after="120" w:line="480" w:lineRule="auto"/>
    </w:pPr>
  </w:style>
  <w:style w:type="character" w:customStyle="1" w:styleId="BodyText2Char">
    <w:name w:val="Body Text 2 Char"/>
    <w:basedOn w:val="DefaultParagraphFont"/>
    <w:link w:val="BodyText2"/>
    <w:uiPriority w:val="99"/>
    <w:semiHidden/>
    <w:rsid w:val="004B0870"/>
    <w:rPr>
      <w:rFonts w:asciiTheme="minorHAnsi" w:hAnsiTheme="minorHAnsi" w:cstheme="minorHAnsi"/>
      <w:color w:val="000000" w:themeColor="text1"/>
      <w:sz w:val="22"/>
      <w:szCs w:val="24"/>
      <w:lang w:eastAsia="en-US"/>
    </w:rPr>
  </w:style>
  <w:style w:type="paragraph" w:styleId="BodyText3">
    <w:name w:val="Body Text 3"/>
    <w:basedOn w:val="Normal"/>
    <w:link w:val="BodyText3Char"/>
    <w:uiPriority w:val="99"/>
    <w:semiHidden/>
    <w:unhideWhenUsed/>
    <w:rsid w:val="004B0870"/>
    <w:pPr>
      <w:spacing w:after="120"/>
    </w:pPr>
    <w:rPr>
      <w:sz w:val="16"/>
      <w:szCs w:val="16"/>
    </w:rPr>
  </w:style>
  <w:style w:type="character" w:customStyle="1" w:styleId="BodyText3Char">
    <w:name w:val="Body Text 3 Char"/>
    <w:basedOn w:val="DefaultParagraphFont"/>
    <w:link w:val="BodyText3"/>
    <w:uiPriority w:val="99"/>
    <w:semiHidden/>
    <w:rsid w:val="004B0870"/>
    <w:rPr>
      <w:rFonts w:asciiTheme="minorHAnsi" w:hAnsiTheme="minorHAnsi" w:cstheme="minorHAnsi"/>
      <w:color w:val="000000" w:themeColor="text1"/>
      <w:sz w:val="16"/>
      <w:szCs w:val="16"/>
      <w:lang w:eastAsia="en-US"/>
    </w:rPr>
  </w:style>
  <w:style w:type="paragraph" w:styleId="BodyTextFirstIndent">
    <w:name w:val="Body Text First Indent"/>
    <w:basedOn w:val="BodyText"/>
    <w:link w:val="BodyTextFirstIndentChar"/>
    <w:uiPriority w:val="99"/>
    <w:rsid w:val="004B0870"/>
    <w:pPr>
      <w:spacing w:after="200"/>
      <w:ind w:firstLine="360"/>
    </w:pPr>
  </w:style>
  <w:style w:type="character" w:customStyle="1" w:styleId="BodyTextFirstIndentChar">
    <w:name w:val="Body Text First Indent Char"/>
    <w:basedOn w:val="BodyTextChar"/>
    <w:link w:val="BodyTextFirstIndent"/>
    <w:uiPriority w:val="99"/>
    <w:rsid w:val="004B0870"/>
    <w:rPr>
      <w:rFonts w:asciiTheme="minorHAnsi" w:hAnsiTheme="minorHAnsi" w:cstheme="minorHAnsi"/>
      <w:color w:val="000000" w:themeColor="text1"/>
      <w:sz w:val="22"/>
      <w:szCs w:val="24"/>
      <w:lang w:eastAsia="en-US"/>
    </w:rPr>
  </w:style>
  <w:style w:type="paragraph" w:styleId="BodyTextIndent">
    <w:name w:val="Body Text Indent"/>
    <w:basedOn w:val="Normal"/>
    <w:link w:val="BodyTextIndentChar"/>
    <w:uiPriority w:val="99"/>
    <w:semiHidden/>
    <w:unhideWhenUsed/>
    <w:rsid w:val="004B0870"/>
    <w:pPr>
      <w:spacing w:after="120"/>
      <w:ind w:left="283"/>
    </w:pPr>
  </w:style>
  <w:style w:type="character" w:customStyle="1" w:styleId="BodyTextIndentChar">
    <w:name w:val="Body Text Indent Char"/>
    <w:basedOn w:val="DefaultParagraphFont"/>
    <w:link w:val="BodyTextIndent"/>
    <w:uiPriority w:val="99"/>
    <w:semiHidden/>
    <w:rsid w:val="004B0870"/>
    <w:rPr>
      <w:rFonts w:asciiTheme="minorHAnsi" w:hAnsiTheme="minorHAnsi" w:cstheme="minorHAnsi"/>
      <w:color w:val="000000" w:themeColor="text1"/>
      <w:sz w:val="22"/>
      <w:szCs w:val="24"/>
      <w:lang w:eastAsia="en-US"/>
    </w:rPr>
  </w:style>
  <w:style w:type="paragraph" w:styleId="BodyTextFirstIndent2">
    <w:name w:val="Body Text First Indent 2"/>
    <w:basedOn w:val="BodyTextIndent"/>
    <w:link w:val="BodyTextFirstIndent2Char"/>
    <w:uiPriority w:val="99"/>
    <w:semiHidden/>
    <w:unhideWhenUsed/>
    <w:rsid w:val="004B0870"/>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4B0870"/>
    <w:rPr>
      <w:rFonts w:asciiTheme="minorHAnsi" w:hAnsiTheme="minorHAnsi" w:cstheme="minorHAnsi"/>
      <w:color w:val="000000" w:themeColor="text1"/>
      <w:sz w:val="22"/>
      <w:szCs w:val="24"/>
      <w:lang w:eastAsia="en-US"/>
    </w:rPr>
  </w:style>
  <w:style w:type="paragraph" w:styleId="BodyTextIndent2">
    <w:name w:val="Body Text Indent 2"/>
    <w:basedOn w:val="Normal"/>
    <w:link w:val="BodyTextIndent2Char"/>
    <w:uiPriority w:val="99"/>
    <w:semiHidden/>
    <w:unhideWhenUsed/>
    <w:rsid w:val="004B0870"/>
    <w:pPr>
      <w:spacing w:after="120" w:line="480" w:lineRule="auto"/>
      <w:ind w:left="283"/>
    </w:pPr>
  </w:style>
  <w:style w:type="character" w:customStyle="1" w:styleId="BodyTextIndent2Char">
    <w:name w:val="Body Text Indent 2 Char"/>
    <w:basedOn w:val="DefaultParagraphFont"/>
    <w:link w:val="BodyTextIndent2"/>
    <w:uiPriority w:val="99"/>
    <w:semiHidden/>
    <w:rsid w:val="004B0870"/>
    <w:rPr>
      <w:rFonts w:asciiTheme="minorHAnsi" w:hAnsiTheme="minorHAnsi" w:cstheme="minorHAnsi"/>
      <w:color w:val="000000" w:themeColor="text1"/>
      <w:sz w:val="22"/>
      <w:szCs w:val="24"/>
      <w:lang w:eastAsia="en-US"/>
    </w:rPr>
  </w:style>
  <w:style w:type="paragraph" w:styleId="BodyTextIndent3">
    <w:name w:val="Body Text Indent 3"/>
    <w:basedOn w:val="Normal"/>
    <w:link w:val="BodyTextIndent3Char"/>
    <w:uiPriority w:val="99"/>
    <w:semiHidden/>
    <w:unhideWhenUsed/>
    <w:rsid w:val="004B087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B0870"/>
    <w:rPr>
      <w:rFonts w:asciiTheme="minorHAnsi" w:hAnsiTheme="minorHAnsi" w:cstheme="minorHAnsi"/>
      <w:color w:val="000000" w:themeColor="text1"/>
      <w:sz w:val="16"/>
      <w:szCs w:val="16"/>
      <w:lang w:eastAsia="en-US"/>
    </w:rPr>
  </w:style>
  <w:style w:type="paragraph" w:styleId="Closing">
    <w:name w:val="Closing"/>
    <w:basedOn w:val="Normal"/>
    <w:link w:val="ClosingChar"/>
    <w:uiPriority w:val="99"/>
    <w:semiHidden/>
    <w:unhideWhenUsed/>
    <w:rsid w:val="004B0870"/>
    <w:pPr>
      <w:spacing w:after="0"/>
      <w:ind w:left="4252"/>
    </w:pPr>
  </w:style>
  <w:style w:type="character" w:customStyle="1" w:styleId="ClosingChar">
    <w:name w:val="Closing Char"/>
    <w:basedOn w:val="DefaultParagraphFont"/>
    <w:link w:val="Closing"/>
    <w:uiPriority w:val="99"/>
    <w:semiHidden/>
    <w:rsid w:val="004B0870"/>
    <w:rPr>
      <w:rFonts w:asciiTheme="minorHAnsi" w:hAnsiTheme="minorHAnsi" w:cstheme="minorHAnsi"/>
      <w:color w:val="000000" w:themeColor="text1"/>
      <w:sz w:val="22"/>
      <w:szCs w:val="24"/>
      <w:lang w:eastAsia="en-US"/>
    </w:rPr>
  </w:style>
  <w:style w:type="paragraph" w:styleId="Date">
    <w:name w:val="Date"/>
    <w:basedOn w:val="Normal"/>
    <w:next w:val="Normal"/>
    <w:link w:val="DateChar"/>
    <w:uiPriority w:val="99"/>
    <w:rsid w:val="004B0870"/>
  </w:style>
  <w:style w:type="character" w:customStyle="1" w:styleId="DateChar">
    <w:name w:val="Date Char"/>
    <w:basedOn w:val="DefaultParagraphFont"/>
    <w:link w:val="Date"/>
    <w:uiPriority w:val="99"/>
    <w:rsid w:val="004B0870"/>
    <w:rPr>
      <w:rFonts w:asciiTheme="minorHAnsi" w:hAnsiTheme="minorHAnsi" w:cstheme="minorHAnsi"/>
      <w:color w:val="000000" w:themeColor="text1"/>
      <w:sz w:val="22"/>
      <w:szCs w:val="24"/>
      <w:lang w:eastAsia="en-US"/>
    </w:rPr>
  </w:style>
  <w:style w:type="paragraph" w:styleId="DocumentMap">
    <w:name w:val="Document Map"/>
    <w:basedOn w:val="Normal"/>
    <w:link w:val="DocumentMapChar"/>
    <w:uiPriority w:val="99"/>
    <w:semiHidden/>
    <w:unhideWhenUsed/>
    <w:rsid w:val="004B0870"/>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0870"/>
    <w:rPr>
      <w:rFonts w:ascii="Segoe UI" w:hAnsi="Segoe UI" w:cs="Segoe UI"/>
      <w:color w:val="000000" w:themeColor="text1"/>
      <w:sz w:val="16"/>
      <w:szCs w:val="16"/>
      <w:lang w:eastAsia="en-US"/>
    </w:rPr>
  </w:style>
  <w:style w:type="paragraph" w:styleId="E-mailSignature">
    <w:name w:val="E-mail Signature"/>
    <w:basedOn w:val="Normal"/>
    <w:link w:val="E-mailSignatureChar"/>
    <w:uiPriority w:val="99"/>
    <w:semiHidden/>
    <w:unhideWhenUsed/>
    <w:rsid w:val="004B0870"/>
    <w:pPr>
      <w:spacing w:after="0"/>
    </w:pPr>
  </w:style>
  <w:style w:type="character" w:customStyle="1" w:styleId="E-mailSignatureChar">
    <w:name w:val="E-mail Signature Char"/>
    <w:basedOn w:val="DefaultParagraphFont"/>
    <w:link w:val="E-mailSignature"/>
    <w:uiPriority w:val="99"/>
    <w:semiHidden/>
    <w:rsid w:val="004B0870"/>
    <w:rPr>
      <w:rFonts w:asciiTheme="minorHAnsi" w:hAnsiTheme="minorHAnsi" w:cstheme="minorHAnsi"/>
      <w:color w:val="000000" w:themeColor="text1"/>
      <w:sz w:val="22"/>
      <w:szCs w:val="24"/>
      <w:lang w:eastAsia="en-US"/>
    </w:rPr>
  </w:style>
  <w:style w:type="paragraph" w:styleId="EnvelopeAddress">
    <w:name w:val="envelope address"/>
    <w:basedOn w:val="Normal"/>
    <w:uiPriority w:val="99"/>
    <w:semiHidden/>
    <w:unhideWhenUsed/>
    <w:rsid w:val="004B0870"/>
    <w:pPr>
      <w:framePr w:w="7920" w:h="1980" w:hRule="exact" w:hSpace="180" w:wrap="auto" w:hAnchor="page" w:xAlign="center" w:yAlign="bottom"/>
      <w:spacing w:after="0"/>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4B0870"/>
    <w:pPr>
      <w:spacing w:after="0"/>
    </w:pPr>
    <w:rPr>
      <w:rFonts w:asciiTheme="majorHAnsi" w:eastAsiaTheme="majorEastAsia" w:hAnsiTheme="majorHAnsi" w:cstheme="majorBidi"/>
      <w:sz w:val="20"/>
      <w:szCs w:val="20"/>
    </w:rPr>
  </w:style>
  <w:style w:type="character" w:customStyle="1" w:styleId="Heading8Char">
    <w:name w:val="Heading 8 Char"/>
    <w:basedOn w:val="DefaultParagraphFont"/>
    <w:link w:val="Heading8"/>
    <w:uiPriority w:val="99"/>
    <w:semiHidden/>
    <w:rsid w:val="004B0870"/>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9"/>
    <w:semiHidden/>
    <w:rsid w:val="004B0870"/>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uiPriority w:val="99"/>
    <w:semiHidden/>
    <w:unhideWhenUsed/>
    <w:rsid w:val="004B0870"/>
    <w:pPr>
      <w:spacing w:after="0"/>
    </w:pPr>
    <w:rPr>
      <w:i/>
      <w:iCs/>
    </w:rPr>
  </w:style>
  <w:style w:type="character" w:customStyle="1" w:styleId="HTMLAddressChar">
    <w:name w:val="HTML Address Char"/>
    <w:basedOn w:val="DefaultParagraphFont"/>
    <w:link w:val="HTMLAddress"/>
    <w:uiPriority w:val="99"/>
    <w:semiHidden/>
    <w:rsid w:val="004B0870"/>
    <w:rPr>
      <w:rFonts w:asciiTheme="minorHAnsi" w:hAnsiTheme="minorHAnsi" w:cstheme="minorHAnsi"/>
      <w:i/>
      <w:iCs/>
      <w:color w:val="000000" w:themeColor="text1"/>
      <w:sz w:val="22"/>
      <w:szCs w:val="24"/>
      <w:lang w:eastAsia="en-US"/>
    </w:rPr>
  </w:style>
  <w:style w:type="paragraph" w:styleId="HTMLPreformatted">
    <w:name w:val="HTML Preformatted"/>
    <w:basedOn w:val="Normal"/>
    <w:link w:val="HTMLPreformattedChar"/>
    <w:uiPriority w:val="99"/>
    <w:semiHidden/>
    <w:unhideWhenUsed/>
    <w:rsid w:val="004B0870"/>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B0870"/>
    <w:rPr>
      <w:rFonts w:ascii="Consolas" w:hAnsi="Consolas" w:cstheme="minorHAnsi"/>
      <w:color w:val="000000" w:themeColor="text1"/>
      <w:lang w:eastAsia="en-US"/>
    </w:rPr>
  </w:style>
  <w:style w:type="paragraph" w:styleId="Index1">
    <w:name w:val="index 1"/>
    <w:basedOn w:val="Normal"/>
    <w:next w:val="Normal"/>
    <w:autoRedefine/>
    <w:uiPriority w:val="99"/>
    <w:semiHidden/>
    <w:unhideWhenUsed/>
    <w:rsid w:val="004B0870"/>
    <w:pPr>
      <w:spacing w:after="0"/>
      <w:ind w:left="220" w:hanging="220"/>
    </w:pPr>
  </w:style>
  <w:style w:type="paragraph" w:styleId="Index2">
    <w:name w:val="index 2"/>
    <w:basedOn w:val="Normal"/>
    <w:next w:val="Normal"/>
    <w:autoRedefine/>
    <w:uiPriority w:val="99"/>
    <w:semiHidden/>
    <w:unhideWhenUsed/>
    <w:rsid w:val="004B0870"/>
    <w:pPr>
      <w:spacing w:after="0"/>
      <w:ind w:left="440" w:hanging="220"/>
    </w:pPr>
  </w:style>
  <w:style w:type="paragraph" w:styleId="Index3">
    <w:name w:val="index 3"/>
    <w:basedOn w:val="Normal"/>
    <w:next w:val="Normal"/>
    <w:autoRedefine/>
    <w:uiPriority w:val="99"/>
    <w:semiHidden/>
    <w:unhideWhenUsed/>
    <w:rsid w:val="004B0870"/>
    <w:pPr>
      <w:spacing w:after="0"/>
      <w:ind w:left="660" w:hanging="220"/>
    </w:pPr>
  </w:style>
  <w:style w:type="paragraph" w:styleId="Index4">
    <w:name w:val="index 4"/>
    <w:basedOn w:val="Normal"/>
    <w:next w:val="Normal"/>
    <w:autoRedefine/>
    <w:uiPriority w:val="99"/>
    <w:semiHidden/>
    <w:unhideWhenUsed/>
    <w:rsid w:val="004B0870"/>
    <w:pPr>
      <w:spacing w:after="0"/>
      <w:ind w:left="880" w:hanging="220"/>
    </w:pPr>
  </w:style>
  <w:style w:type="paragraph" w:styleId="Index5">
    <w:name w:val="index 5"/>
    <w:basedOn w:val="Normal"/>
    <w:next w:val="Normal"/>
    <w:autoRedefine/>
    <w:uiPriority w:val="99"/>
    <w:semiHidden/>
    <w:unhideWhenUsed/>
    <w:rsid w:val="004B0870"/>
    <w:pPr>
      <w:spacing w:after="0"/>
      <w:ind w:left="1100" w:hanging="220"/>
    </w:pPr>
  </w:style>
  <w:style w:type="paragraph" w:styleId="Index6">
    <w:name w:val="index 6"/>
    <w:basedOn w:val="Normal"/>
    <w:next w:val="Normal"/>
    <w:autoRedefine/>
    <w:uiPriority w:val="99"/>
    <w:semiHidden/>
    <w:unhideWhenUsed/>
    <w:rsid w:val="004B0870"/>
    <w:pPr>
      <w:spacing w:after="0"/>
      <w:ind w:left="1320" w:hanging="220"/>
    </w:pPr>
  </w:style>
  <w:style w:type="paragraph" w:styleId="Index7">
    <w:name w:val="index 7"/>
    <w:basedOn w:val="Normal"/>
    <w:next w:val="Normal"/>
    <w:autoRedefine/>
    <w:uiPriority w:val="99"/>
    <w:semiHidden/>
    <w:unhideWhenUsed/>
    <w:rsid w:val="004B0870"/>
    <w:pPr>
      <w:spacing w:after="0"/>
      <w:ind w:left="1540" w:hanging="220"/>
    </w:pPr>
  </w:style>
  <w:style w:type="paragraph" w:styleId="Index8">
    <w:name w:val="index 8"/>
    <w:basedOn w:val="Normal"/>
    <w:next w:val="Normal"/>
    <w:autoRedefine/>
    <w:uiPriority w:val="99"/>
    <w:semiHidden/>
    <w:unhideWhenUsed/>
    <w:rsid w:val="004B0870"/>
    <w:pPr>
      <w:spacing w:after="0"/>
      <w:ind w:left="1760" w:hanging="220"/>
    </w:pPr>
  </w:style>
  <w:style w:type="paragraph" w:styleId="Index9">
    <w:name w:val="index 9"/>
    <w:basedOn w:val="Normal"/>
    <w:next w:val="Normal"/>
    <w:autoRedefine/>
    <w:uiPriority w:val="99"/>
    <w:semiHidden/>
    <w:unhideWhenUsed/>
    <w:rsid w:val="004B0870"/>
    <w:pPr>
      <w:spacing w:after="0"/>
      <w:ind w:left="1980" w:hanging="220"/>
    </w:pPr>
  </w:style>
  <w:style w:type="paragraph" w:styleId="IndexHeading">
    <w:name w:val="index heading"/>
    <w:basedOn w:val="Normal"/>
    <w:next w:val="Index1"/>
    <w:uiPriority w:val="99"/>
    <w:semiHidden/>
    <w:unhideWhenUsed/>
    <w:rsid w:val="004B0870"/>
    <w:rPr>
      <w:rFonts w:asciiTheme="majorHAnsi" w:eastAsiaTheme="majorEastAsia" w:hAnsiTheme="majorHAnsi" w:cstheme="majorBidi"/>
      <w:b/>
      <w:bCs/>
    </w:rPr>
  </w:style>
  <w:style w:type="paragraph" w:styleId="IntenseQuote">
    <w:name w:val="Intense Quote"/>
    <w:basedOn w:val="Normal"/>
    <w:next w:val="Normal"/>
    <w:link w:val="IntenseQuoteChar"/>
    <w:uiPriority w:val="99"/>
    <w:rsid w:val="004B0870"/>
    <w:pPr>
      <w:pBdr>
        <w:top w:val="single" w:sz="4" w:space="10" w:color="9FB76F" w:themeColor="accent1"/>
        <w:bottom w:val="single" w:sz="4" w:space="10" w:color="9FB76F" w:themeColor="accent1"/>
      </w:pBdr>
      <w:spacing w:before="360" w:after="360"/>
      <w:ind w:left="864" w:right="864"/>
      <w:jc w:val="center"/>
    </w:pPr>
    <w:rPr>
      <w:i/>
      <w:iCs/>
      <w:color w:val="9FB76F" w:themeColor="accent1"/>
    </w:rPr>
  </w:style>
  <w:style w:type="character" w:customStyle="1" w:styleId="IntenseQuoteChar">
    <w:name w:val="Intense Quote Char"/>
    <w:basedOn w:val="DefaultParagraphFont"/>
    <w:link w:val="IntenseQuote"/>
    <w:uiPriority w:val="99"/>
    <w:rsid w:val="004B0870"/>
    <w:rPr>
      <w:rFonts w:asciiTheme="minorHAnsi" w:hAnsiTheme="minorHAnsi" w:cstheme="minorHAnsi"/>
      <w:i/>
      <w:iCs/>
      <w:color w:val="9FB76F" w:themeColor="accent1"/>
      <w:sz w:val="22"/>
      <w:szCs w:val="24"/>
      <w:lang w:eastAsia="en-US"/>
    </w:rPr>
  </w:style>
  <w:style w:type="paragraph" w:styleId="List">
    <w:name w:val="List"/>
    <w:basedOn w:val="Normal"/>
    <w:uiPriority w:val="99"/>
    <w:semiHidden/>
    <w:unhideWhenUsed/>
    <w:rsid w:val="004B0870"/>
    <w:pPr>
      <w:ind w:left="283" w:hanging="283"/>
      <w:contextualSpacing/>
    </w:pPr>
  </w:style>
  <w:style w:type="paragraph" w:styleId="List2">
    <w:name w:val="List 2"/>
    <w:basedOn w:val="Normal"/>
    <w:uiPriority w:val="99"/>
    <w:semiHidden/>
    <w:unhideWhenUsed/>
    <w:rsid w:val="004B0870"/>
    <w:pPr>
      <w:ind w:left="566" w:hanging="283"/>
      <w:contextualSpacing/>
    </w:pPr>
  </w:style>
  <w:style w:type="paragraph" w:styleId="List3">
    <w:name w:val="List 3"/>
    <w:basedOn w:val="Normal"/>
    <w:uiPriority w:val="99"/>
    <w:semiHidden/>
    <w:unhideWhenUsed/>
    <w:rsid w:val="004B0870"/>
    <w:pPr>
      <w:ind w:left="849" w:hanging="283"/>
      <w:contextualSpacing/>
    </w:pPr>
  </w:style>
  <w:style w:type="paragraph" w:styleId="List4">
    <w:name w:val="List 4"/>
    <w:basedOn w:val="Normal"/>
    <w:uiPriority w:val="99"/>
    <w:rsid w:val="004B0870"/>
    <w:pPr>
      <w:ind w:left="1132" w:hanging="283"/>
      <w:contextualSpacing/>
    </w:pPr>
  </w:style>
  <w:style w:type="paragraph" w:styleId="List5">
    <w:name w:val="List 5"/>
    <w:basedOn w:val="Normal"/>
    <w:uiPriority w:val="99"/>
    <w:rsid w:val="004B0870"/>
    <w:pPr>
      <w:ind w:left="1415" w:hanging="283"/>
      <w:contextualSpacing/>
    </w:pPr>
  </w:style>
  <w:style w:type="paragraph" w:styleId="ListBullet">
    <w:name w:val="List Bullet"/>
    <w:basedOn w:val="Normal"/>
    <w:uiPriority w:val="99"/>
    <w:semiHidden/>
    <w:unhideWhenUsed/>
    <w:rsid w:val="004B0870"/>
    <w:pPr>
      <w:numPr>
        <w:numId w:val="28"/>
      </w:numPr>
      <w:contextualSpacing/>
    </w:pPr>
  </w:style>
  <w:style w:type="paragraph" w:styleId="ListBullet2">
    <w:name w:val="List Bullet 2"/>
    <w:basedOn w:val="Normal"/>
    <w:uiPriority w:val="99"/>
    <w:semiHidden/>
    <w:unhideWhenUsed/>
    <w:rsid w:val="004B0870"/>
    <w:pPr>
      <w:numPr>
        <w:numId w:val="29"/>
      </w:numPr>
      <w:contextualSpacing/>
    </w:pPr>
  </w:style>
  <w:style w:type="paragraph" w:styleId="ListBullet3">
    <w:name w:val="List Bullet 3"/>
    <w:basedOn w:val="Normal"/>
    <w:uiPriority w:val="99"/>
    <w:semiHidden/>
    <w:unhideWhenUsed/>
    <w:rsid w:val="004B0870"/>
    <w:pPr>
      <w:numPr>
        <w:numId w:val="30"/>
      </w:numPr>
      <w:contextualSpacing/>
    </w:pPr>
  </w:style>
  <w:style w:type="paragraph" w:styleId="ListBullet4">
    <w:name w:val="List Bullet 4"/>
    <w:basedOn w:val="Normal"/>
    <w:uiPriority w:val="99"/>
    <w:semiHidden/>
    <w:unhideWhenUsed/>
    <w:rsid w:val="004B0870"/>
    <w:pPr>
      <w:numPr>
        <w:numId w:val="31"/>
      </w:numPr>
      <w:contextualSpacing/>
    </w:pPr>
  </w:style>
  <w:style w:type="paragraph" w:styleId="ListBullet5">
    <w:name w:val="List Bullet 5"/>
    <w:basedOn w:val="Normal"/>
    <w:uiPriority w:val="99"/>
    <w:semiHidden/>
    <w:unhideWhenUsed/>
    <w:rsid w:val="004B0870"/>
    <w:pPr>
      <w:numPr>
        <w:numId w:val="32"/>
      </w:numPr>
      <w:contextualSpacing/>
    </w:pPr>
  </w:style>
  <w:style w:type="paragraph" w:styleId="ListContinue">
    <w:name w:val="List Continue"/>
    <w:basedOn w:val="Normal"/>
    <w:uiPriority w:val="99"/>
    <w:semiHidden/>
    <w:unhideWhenUsed/>
    <w:rsid w:val="004B0870"/>
    <w:pPr>
      <w:spacing w:after="120"/>
      <w:ind w:left="283"/>
      <w:contextualSpacing/>
    </w:pPr>
  </w:style>
  <w:style w:type="paragraph" w:styleId="ListContinue2">
    <w:name w:val="List Continue 2"/>
    <w:basedOn w:val="Normal"/>
    <w:uiPriority w:val="99"/>
    <w:semiHidden/>
    <w:unhideWhenUsed/>
    <w:rsid w:val="004B0870"/>
    <w:pPr>
      <w:spacing w:after="120"/>
      <w:ind w:left="566"/>
      <w:contextualSpacing/>
    </w:pPr>
  </w:style>
  <w:style w:type="paragraph" w:styleId="ListContinue3">
    <w:name w:val="List Continue 3"/>
    <w:basedOn w:val="Normal"/>
    <w:uiPriority w:val="99"/>
    <w:semiHidden/>
    <w:unhideWhenUsed/>
    <w:rsid w:val="004B0870"/>
    <w:pPr>
      <w:spacing w:after="120"/>
      <w:ind w:left="849"/>
      <w:contextualSpacing/>
    </w:pPr>
  </w:style>
  <w:style w:type="paragraph" w:styleId="ListContinue4">
    <w:name w:val="List Continue 4"/>
    <w:basedOn w:val="Normal"/>
    <w:uiPriority w:val="99"/>
    <w:semiHidden/>
    <w:unhideWhenUsed/>
    <w:rsid w:val="004B0870"/>
    <w:pPr>
      <w:spacing w:after="120"/>
      <w:ind w:left="1132"/>
      <w:contextualSpacing/>
    </w:pPr>
  </w:style>
  <w:style w:type="paragraph" w:styleId="ListContinue5">
    <w:name w:val="List Continue 5"/>
    <w:basedOn w:val="Normal"/>
    <w:uiPriority w:val="99"/>
    <w:semiHidden/>
    <w:unhideWhenUsed/>
    <w:rsid w:val="004B0870"/>
    <w:pPr>
      <w:spacing w:after="120"/>
      <w:ind w:left="1415"/>
      <w:contextualSpacing/>
    </w:pPr>
  </w:style>
  <w:style w:type="paragraph" w:styleId="ListNumber">
    <w:name w:val="List Number"/>
    <w:basedOn w:val="Normal"/>
    <w:uiPriority w:val="99"/>
    <w:rsid w:val="004B0870"/>
    <w:pPr>
      <w:numPr>
        <w:numId w:val="33"/>
      </w:numPr>
      <w:contextualSpacing/>
    </w:pPr>
  </w:style>
  <w:style w:type="paragraph" w:styleId="ListNumber2">
    <w:name w:val="List Number 2"/>
    <w:basedOn w:val="Normal"/>
    <w:uiPriority w:val="99"/>
    <w:semiHidden/>
    <w:unhideWhenUsed/>
    <w:rsid w:val="004B0870"/>
    <w:pPr>
      <w:numPr>
        <w:numId w:val="34"/>
      </w:numPr>
      <w:contextualSpacing/>
    </w:pPr>
  </w:style>
  <w:style w:type="paragraph" w:styleId="ListNumber3">
    <w:name w:val="List Number 3"/>
    <w:basedOn w:val="Normal"/>
    <w:uiPriority w:val="99"/>
    <w:semiHidden/>
    <w:unhideWhenUsed/>
    <w:rsid w:val="004B0870"/>
    <w:pPr>
      <w:numPr>
        <w:numId w:val="35"/>
      </w:numPr>
      <w:contextualSpacing/>
    </w:pPr>
  </w:style>
  <w:style w:type="paragraph" w:styleId="ListNumber4">
    <w:name w:val="List Number 4"/>
    <w:basedOn w:val="Normal"/>
    <w:uiPriority w:val="99"/>
    <w:semiHidden/>
    <w:unhideWhenUsed/>
    <w:rsid w:val="004B0870"/>
    <w:pPr>
      <w:numPr>
        <w:numId w:val="36"/>
      </w:numPr>
      <w:contextualSpacing/>
    </w:pPr>
  </w:style>
  <w:style w:type="paragraph" w:styleId="ListNumber5">
    <w:name w:val="List Number 5"/>
    <w:basedOn w:val="Normal"/>
    <w:uiPriority w:val="99"/>
    <w:semiHidden/>
    <w:unhideWhenUsed/>
    <w:rsid w:val="004B0870"/>
    <w:pPr>
      <w:numPr>
        <w:numId w:val="37"/>
      </w:numPr>
      <w:contextualSpacing/>
    </w:pPr>
  </w:style>
  <w:style w:type="paragraph" w:styleId="MacroText">
    <w:name w:val="macro"/>
    <w:link w:val="MacroTextChar"/>
    <w:uiPriority w:val="99"/>
    <w:semiHidden/>
    <w:unhideWhenUsed/>
    <w:rsid w:val="004B0870"/>
    <w:pPr>
      <w:tabs>
        <w:tab w:val="left" w:pos="480"/>
        <w:tab w:val="left" w:pos="960"/>
        <w:tab w:val="left" w:pos="1440"/>
        <w:tab w:val="left" w:pos="1920"/>
        <w:tab w:val="left" w:pos="2400"/>
        <w:tab w:val="left" w:pos="2880"/>
        <w:tab w:val="left" w:pos="3360"/>
        <w:tab w:val="left" w:pos="3840"/>
        <w:tab w:val="left" w:pos="4320"/>
      </w:tabs>
    </w:pPr>
    <w:rPr>
      <w:rFonts w:ascii="Consolas" w:hAnsi="Consolas" w:cstheme="minorHAnsi"/>
      <w:color w:val="000000" w:themeColor="text1"/>
      <w:lang w:eastAsia="en-US"/>
    </w:rPr>
  </w:style>
  <w:style w:type="character" w:customStyle="1" w:styleId="MacroTextChar">
    <w:name w:val="Macro Text Char"/>
    <w:basedOn w:val="DefaultParagraphFont"/>
    <w:link w:val="MacroText"/>
    <w:uiPriority w:val="99"/>
    <w:semiHidden/>
    <w:rsid w:val="004B0870"/>
    <w:rPr>
      <w:rFonts w:ascii="Consolas" w:hAnsi="Consolas" w:cstheme="minorHAnsi"/>
      <w:color w:val="000000" w:themeColor="text1"/>
      <w:lang w:eastAsia="en-US"/>
    </w:rPr>
  </w:style>
  <w:style w:type="paragraph" w:styleId="MessageHeader">
    <w:name w:val="Message Header"/>
    <w:basedOn w:val="Normal"/>
    <w:link w:val="MessageHeaderChar"/>
    <w:uiPriority w:val="99"/>
    <w:semiHidden/>
    <w:unhideWhenUsed/>
    <w:rsid w:val="004B087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4B0870"/>
    <w:rPr>
      <w:rFonts w:asciiTheme="majorHAnsi" w:eastAsiaTheme="majorEastAsia" w:hAnsiTheme="majorHAnsi" w:cstheme="majorBidi"/>
      <w:color w:val="000000" w:themeColor="text1"/>
      <w:sz w:val="24"/>
      <w:szCs w:val="24"/>
      <w:shd w:val="pct20" w:color="auto" w:fill="auto"/>
      <w:lang w:eastAsia="en-US"/>
    </w:rPr>
  </w:style>
  <w:style w:type="paragraph" w:styleId="NoSpacing">
    <w:name w:val="No Spacing"/>
    <w:uiPriority w:val="99"/>
    <w:rsid w:val="004B0870"/>
    <w:rPr>
      <w:rFonts w:asciiTheme="minorHAnsi" w:hAnsiTheme="minorHAnsi" w:cstheme="minorHAnsi"/>
      <w:color w:val="000000" w:themeColor="text1"/>
      <w:sz w:val="22"/>
      <w:szCs w:val="24"/>
      <w:lang w:eastAsia="en-US"/>
    </w:rPr>
  </w:style>
  <w:style w:type="paragraph" w:styleId="NormalIndent">
    <w:name w:val="Normal Indent"/>
    <w:basedOn w:val="Normal"/>
    <w:uiPriority w:val="99"/>
    <w:semiHidden/>
    <w:unhideWhenUsed/>
    <w:rsid w:val="004B0870"/>
    <w:pPr>
      <w:ind w:left="720"/>
    </w:pPr>
  </w:style>
  <w:style w:type="paragraph" w:styleId="NoteHeading">
    <w:name w:val="Note Heading"/>
    <w:basedOn w:val="Normal"/>
    <w:next w:val="Normal"/>
    <w:link w:val="NoteHeadingChar"/>
    <w:uiPriority w:val="99"/>
    <w:semiHidden/>
    <w:unhideWhenUsed/>
    <w:rsid w:val="004B0870"/>
    <w:pPr>
      <w:spacing w:after="0"/>
    </w:pPr>
  </w:style>
  <w:style w:type="character" w:customStyle="1" w:styleId="NoteHeadingChar">
    <w:name w:val="Note Heading Char"/>
    <w:basedOn w:val="DefaultParagraphFont"/>
    <w:link w:val="NoteHeading"/>
    <w:uiPriority w:val="99"/>
    <w:semiHidden/>
    <w:rsid w:val="004B0870"/>
    <w:rPr>
      <w:rFonts w:asciiTheme="minorHAnsi" w:hAnsiTheme="minorHAnsi" w:cstheme="minorHAnsi"/>
      <w:color w:val="000000" w:themeColor="text1"/>
      <w:sz w:val="22"/>
      <w:szCs w:val="24"/>
      <w:lang w:eastAsia="en-US"/>
    </w:rPr>
  </w:style>
  <w:style w:type="paragraph" w:styleId="PlainText">
    <w:name w:val="Plain Text"/>
    <w:basedOn w:val="Normal"/>
    <w:link w:val="PlainTextChar"/>
    <w:uiPriority w:val="99"/>
    <w:semiHidden/>
    <w:unhideWhenUsed/>
    <w:rsid w:val="004B0870"/>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4B0870"/>
    <w:rPr>
      <w:rFonts w:ascii="Consolas" w:hAnsi="Consolas" w:cstheme="minorHAnsi"/>
      <w:color w:val="000000" w:themeColor="text1"/>
      <w:sz w:val="21"/>
      <w:szCs w:val="21"/>
      <w:lang w:eastAsia="en-US"/>
    </w:rPr>
  </w:style>
  <w:style w:type="paragraph" w:styleId="Quote">
    <w:name w:val="Quote"/>
    <w:basedOn w:val="Normal"/>
    <w:next w:val="Normal"/>
    <w:link w:val="QuoteChar"/>
    <w:uiPriority w:val="99"/>
    <w:rsid w:val="004B087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99"/>
    <w:rsid w:val="004B0870"/>
    <w:rPr>
      <w:rFonts w:asciiTheme="minorHAnsi" w:hAnsiTheme="minorHAnsi" w:cstheme="minorHAnsi"/>
      <w:i/>
      <w:iCs/>
      <w:color w:val="404040" w:themeColor="text1" w:themeTint="BF"/>
      <w:sz w:val="22"/>
      <w:szCs w:val="24"/>
      <w:lang w:eastAsia="en-US"/>
    </w:rPr>
  </w:style>
  <w:style w:type="paragraph" w:styleId="Salutation">
    <w:name w:val="Salutation"/>
    <w:basedOn w:val="Normal"/>
    <w:next w:val="Normal"/>
    <w:link w:val="SalutationChar"/>
    <w:uiPriority w:val="99"/>
    <w:rsid w:val="004B0870"/>
  </w:style>
  <w:style w:type="character" w:customStyle="1" w:styleId="SalutationChar">
    <w:name w:val="Salutation Char"/>
    <w:basedOn w:val="DefaultParagraphFont"/>
    <w:link w:val="Salutation"/>
    <w:uiPriority w:val="99"/>
    <w:rsid w:val="004B0870"/>
    <w:rPr>
      <w:rFonts w:asciiTheme="minorHAnsi" w:hAnsiTheme="minorHAnsi" w:cstheme="minorHAnsi"/>
      <w:color w:val="000000" w:themeColor="text1"/>
      <w:sz w:val="22"/>
      <w:szCs w:val="24"/>
      <w:lang w:eastAsia="en-US"/>
    </w:rPr>
  </w:style>
  <w:style w:type="paragraph" w:styleId="Signature">
    <w:name w:val="Signature"/>
    <w:basedOn w:val="Normal"/>
    <w:link w:val="SignatureChar"/>
    <w:uiPriority w:val="99"/>
    <w:semiHidden/>
    <w:unhideWhenUsed/>
    <w:rsid w:val="004B0870"/>
    <w:pPr>
      <w:spacing w:after="0"/>
      <w:ind w:left="4252"/>
    </w:pPr>
  </w:style>
  <w:style w:type="character" w:customStyle="1" w:styleId="SignatureChar">
    <w:name w:val="Signature Char"/>
    <w:basedOn w:val="DefaultParagraphFont"/>
    <w:link w:val="Signature"/>
    <w:uiPriority w:val="99"/>
    <w:semiHidden/>
    <w:rsid w:val="004B0870"/>
    <w:rPr>
      <w:rFonts w:asciiTheme="minorHAnsi" w:hAnsiTheme="minorHAnsi" w:cstheme="minorHAnsi"/>
      <w:color w:val="000000" w:themeColor="text1"/>
      <w:sz w:val="22"/>
      <w:szCs w:val="24"/>
      <w:lang w:eastAsia="en-US"/>
    </w:rPr>
  </w:style>
  <w:style w:type="paragraph" w:styleId="TableofAuthorities">
    <w:name w:val="table of authorities"/>
    <w:basedOn w:val="Normal"/>
    <w:next w:val="Normal"/>
    <w:uiPriority w:val="99"/>
    <w:semiHidden/>
    <w:unhideWhenUsed/>
    <w:rsid w:val="004B0870"/>
    <w:pPr>
      <w:spacing w:after="0"/>
      <w:ind w:left="220" w:hanging="220"/>
    </w:pPr>
  </w:style>
  <w:style w:type="paragraph" w:styleId="TableofFigures">
    <w:name w:val="table of figures"/>
    <w:basedOn w:val="Normal"/>
    <w:next w:val="Normal"/>
    <w:uiPriority w:val="99"/>
    <w:semiHidden/>
    <w:unhideWhenUsed/>
    <w:rsid w:val="004B0870"/>
    <w:pPr>
      <w:spacing w:after="0"/>
    </w:pPr>
  </w:style>
  <w:style w:type="paragraph" w:styleId="TOAHeading">
    <w:name w:val="toa heading"/>
    <w:basedOn w:val="Normal"/>
    <w:next w:val="Normal"/>
    <w:uiPriority w:val="99"/>
    <w:semiHidden/>
    <w:unhideWhenUsed/>
    <w:rsid w:val="004B0870"/>
    <w:pPr>
      <w:spacing w:before="120"/>
    </w:pPr>
    <w:rPr>
      <w:rFonts w:asciiTheme="majorHAnsi" w:eastAsiaTheme="majorEastAsia" w:hAnsiTheme="majorHAnsi" w:cstheme="majorBidi"/>
      <w:b/>
      <w:bCs/>
      <w:sz w:val="24"/>
    </w:rPr>
  </w:style>
  <w:style w:type="paragraph" w:styleId="TOC6">
    <w:name w:val="toc 6"/>
    <w:basedOn w:val="Normal"/>
    <w:next w:val="Normal"/>
    <w:autoRedefine/>
    <w:uiPriority w:val="99"/>
    <w:semiHidden/>
    <w:unhideWhenUsed/>
    <w:rsid w:val="004B0870"/>
    <w:pPr>
      <w:spacing w:after="100"/>
      <w:ind w:left="1100"/>
    </w:pPr>
  </w:style>
  <w:style w:type="paragraph" w:styleId="TOC7">
    <w:name w:val="toc 7"/>
    <w:basedOn w:val="Normal"/>
    <w:next w:val="Normal"/>
    <w:autoRedefine/>
    <w:uiPriority w:val="99"/>
    <w:semiHidden/>
    <w:unhideWhenUsed/>
    <w:rsid w:val="004B0870"/>
    <w:pPr>
      <w:spacing w:after="100"/>
      <w:ind w:left="1320"/>
    </w:pPr>
  </w:style>
  <w:style w:type="paragraph" w:styleId="TOC8">
    <w:name w:val="toc 8"/>
    <w:basedOn w:val="Normal"/>
    <w:next w:val="Normal"/>
    <w:autoRedefine/>
    <w:uiPriority w:val="99"/>
    <w:semiHidden/>
    <w:unhideWhenUsed/>
    <w:rsid w:val="004B0870"/>
    <w:pPr>
      <w:spacing w:after="100"/>
      <w:ind w:left="1540"/>
    </w:pPr>
  </w:style>
  <w:style w:type="paragraph" w:styleId="TOC9">
    <w:name w:val="toc 9"/>
    <w:basedOn w:val="Normal"/>
    <w:next w:val="Normal"/>
    <w:autoRedefine/>
    <w:uiPriority w:val="99"/>
    <w:semiHidden/>
    <w:unhideWhenUsed/>
    <w:rsid w:val="004B0870"/>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9028225">
      <w:bodyDiv w:val="1"/>
      <w:marLeft w:val="0"/>
      <w:marRight w:val="0"/>
      <w:marTop w:val="0"/>
      <w:marBottom w:val="0"/>
      <w:divBdr>
        <w:top w:val="none" w:sz="0" w:space="0" w:color="auto"/>
        <w:left w:val="none" w:sz="0" w:space="0" w:color="auto"/>
        <w:bottom w:val="none" w:sz="0" w:space="0" w:color="auto"/>
        <w:right w:val="none" w:sz="0" w:space="0" w:color="auto"/>
      </w:divBdr>
    </w:div>
    <w:div w:id="855998092">
      <w:bodyDiv w:val="1"/>
      <w:marLeft w:val="0"/>
      <w:marRight w:val="0"/>
      <w:marTop w:val="0"/>
      <w:marBottom w:val="0"/>
      <w:divBdr>
        <w:top w:val="none" w:sz="0" w:space="0" w:color="auto"/>
        <w:left w:val="none" w:sz="0" w:space="0" w:color="auto"/>
        <w:bottom w:val="none" w:sz="0" w:space="0" w:color="auto"/>
        <w:right w:val="none" w:sz="0" w:space="0" w:color="auto"/>
      </w:divBdr>
    </w:div>
    <w:div w:id="926841768">
      <w:bodyDiv w:val="1"/>
      <w:marLeft w:val="0"/>
      <w:marRight w:val="0"/>
      <w:marTop w:val="0"/>
      <w:marBottom w:val="0"/>
      <w:divBdr>
        <w:top w:val="none" w:sz="0" w:space="0" w:color="auto"/>
        <w:left w:val="none" w:sz="0" w:space="0" w:color="auto"/>
        <w:bottom w:val="none" w:sz="0" w:space="0" w:color="auto"/>
        <w:right w:val="none" w:sz="0" w:space="0" w:color="auto"/>
      </w:divBdr>
    </w:div>
    <w:div w:id="959342230">
      <w:bodyDiv w:val="1"/>
      <w:marLeft w:val="0"/>
      <w:marRight w:val="0"/>
      <w:marTop w:val="0"/>
      <w:marBottom w:val="0"/>
      <w:divBdr>
        <w:top w:val="none" w:sz="0" w:space="0" w:color="auto"/>
        <w:left w:val="none" w:sz="0" w:space="0" w:color="auto"/>
        <w:bottom w:val="none" w:sz="0" w:space="0" w:color="auto"/>
        <w:right w:val="none" w:sz="0" w:space="0" w:color="auto"/>
      </w:divBdr>
    </w:div>
    <w:div w:id="995231626">
      <w:bodyDiv w:val="1"/>
      <w:marLeft w:val="0"/>
      <w:marRight w:val="0"/>
      <w:marTop w:val="0"/>
      <w:marBottom w:val="0"/>
      <w:divBdr>
        <w:top w:val="none" w:sz="0" w:space="0" w:color="auto"/>
        <w:left w:val="none" w:sz="0" w:space="0" w:color="auto"/>
        <w:bottom w:val="none" w:sz="0" w:space="0" w:color="auto"/>
        <w:right w:val="none" w:sz="0" w:space="0" w:color="auto"/>
      </w:divBdr>
      <w:divsChild>
        <w:div w:id="801190373">
          <w:marLeft w:val="0"/>
          <w:marRight w:val="0"/>
          <w:marTop w:val="0"/>
          <w:marBottom w:val="0"/>
          <w:divBdr>
            <w:top w:val="none" w:sz="0" w:space="0" w:color="auto"/>
            <w:left w:val="none" w:sz="0" w:space="0" w:color="auto"/>
            <w:bottom w:val="none" w:sz="0" w:space="0" w:color="auto"/>
            <w:right w:val="none" w:sz="0" w:space="0" w:color="auto"/>
          </w:divBdr>
        </w:div>
        <w:div w:id="1680159632">
          <w:marLeft w:val="0"/>
          <w:marRight w:val="0"/>
          <w:marTop w:val="0"/>
          <w:marBottom w:val="0"/>
          <w:divBdr>
            <w:top w:val="none" w:sz="0" w:space="0" w:color="auto"/>
            <w:left w:val="none" w:sz="0" w:space="0" w:color="auto"/>
            <w:bottom w:val="none" w:sz="0" w:space="0" w:color="auto"/>
            <w:right w:val="none" w:sz="0" w:space="0" w:color="auto"/>
          </w:divBdr>
        </w:div>
        <w:div w:id="1878664522">
          <w:marLeft w:val="0"/>
          <w:marRight w:val="0"/>
          <w:marTop w:val="0"/>
          <w:marBottom w:val="0"/>
          <w:divBdr>
            <w:top w:val="none" w:sz="0" w:space="0" w:color="auto"/>
            <w:left w:val="none" w:sz="0" w:space="0" w:color="auto"/>
            <w:bottom w:val="none" w:sz="0" w:space="0" w:color="auto"/>
            <w:right w:val="none" w:sz="0" w:space="0" w:color="auto"/>
          </w:divBdr>
        </w:div>
      </w:divsChild>
    </w:div>
    <w:div w:id="1360283043">
      <w:bodyDiv w:val="1"/>
      <w:marLeft w:val="0"/>
      <w:marRight w:val="0"/>
      <w:marTop w:val="0"/>
      <w:marBottom w:val="0"/>
      <w:divBdr>
        <w:top w:val="none" w:sz="0" w:space="0" w:color="auto"/>
        <w:left w:val="none" w:sz="0" w:space="0" w:color="auto"/>
        <w:bottom w:val="none" w:sz="0" w:space="0" w:color="auto"/>
        <w:right w:val="none" w:sz="0" w:space="0" w:color="auto"/>
      </w:divBdr>
    </w:div>
    <w:div w:id="1379090704">
      <w:bodyDiv w:val="1"/>
      <w:marLeft w:val="0"/>
      <w:marRight w:val="0"/>
      <w:marTop w:val="0"/>
      <w:marBottom w:val="0"/>
      <w:divBdr>
        <w:top w:val="none" w:sz="0" w:space="0" w:color="auto"/>
        <w:left w:val="none" w:sz="0" w:space="0" w:color="auto"/>
        <w:bottom w:val="none" w:sz="0" w:space="0" w:color="auto"/>
        <w:right w:val="none" w:sz="0" w:space="0" w:color="auto"/>
      </w:divBdr>
    </w:div>
    <w:div w:id="1429352936">
      <w:bodyDiv w:val="1"/>
      <w:marLeft w:val="0"/>
      <w:marRight w:val="0"/>
      <w:marTop w:val="0"/>
      <w:marBottom w:val="0"/>
      <w:divBdr>
        <w:top w:val="none" w:sz="0" w:space="0" w:color="auto"/>
        <w:left w:val="none" w:sz="0" w:space="0" w:color="auto"/>
        <w:bottom w:val="none" w:sz="0" w:space="0" w:color="auto"/>
        <w:right w:val="none" w:sz="0" w:space="0" w:color="auto"/>
      </w:divBdr>
    </w:div>
    <w:div w:id="1445534419">
      <w:bodyDiv w:val="1"/>
      <w:marLeft w:val="0"/>
      <w:marRight w:val="0"/>
      <w:marTop w:val="0"/>
      <w:marBottom w:val="0"/>
      <w:divBdr>
        <w:top w:val="none" w:sz="0" w:space="0" w:color="auto"/>
        <w:left w:val="none" w:sz="0" w:space="0" w:color="auto"/>
        <w:bottom w:val="none" w:sz="0" w:space="0" w:color="auto"/>
        <w:right w:val="none" w:sz="0" w:space="0" w:color="auto"/>
      </w:divBdr>
    </w:div>
    <w:div w:id="1533421947">
      <w:bodyDiv w:val="1"/>
      <w:marLeft w:val="0"/>
      <w:marRight w:val="0"/>
      <w:marTop w:val="0"/>
      <w:marBottom w:val="0"/>
      <w:divBdr>
        <w:top w:val="none" w:sz="0" w:space="0" w:color="auto"/>
        <w:left w:val="none" w:sz="0" w:space="0" w:color="auto"/>
        <w:bottom w:val="none" w:sz="0" w:space="0" w:color="auto"/>
        <w:right w:val="none" w:sz="0" w:space="0" w:color="auto"/>
      </w:divBdr>
    </w:div>
    <w:div w:id="1548447129">
      <w:bodyDiv w:val="1"/>
      <w:marLeft w:val="0"/>
      <w:marRight w:val="0"/>
      <w:marTop w:val="0"/>
      <w:marBottom w:val="0"/>
      <w:divBdr>
        <w:top w:val="none" w:sz="0" w:space="0" w:color="auto"/>
        <w:left w:val="none" w:sz="0" w:space="0" w:color="auto"/>
        <w:bottom w:val="none" w:sz="0" w:space="0" w:color="auto"/>
        <w:right w:val="none" w:sz="0" w:space="0" w:color="auto"/>
      </w:divBdr>
    </w:div>
    <w:div w:id="1720279415">
      <w:bodyDiv w:val="1"/>
      <w:marLeft w:val="0"/>
      <w:marRight w:val="0"/>
      <w:marTop w:val="0"/>
      <w:marBottom w:val="0"/>
      <w:divBdr>
        <w:top w:val="none" w:sz="0" w:space="0" w:color="auto"/>
        <w:left w:val="none" w:sz="0" w:space="0" w:color="auto"/>
        <w:bottom w:val="none" w:sz="0" w:space="0" w:color="auto"/>
        <w:right w:val="none" w:sz="0" w:space="0" w:color="auto"/>
      </w:divBdr>
    </w:div>
    <w:div w:id="1760566516">
      <w:bodyDiv w:val="1"/>
      <w:marLeft w:val="0"/>
      <w:marRight w:val="0"/>
      <w:marTop w:val="0"/>
      <w:marBottom w:val="0"/>
      <w:divBdr>
        <w:top w:val="none" w:sz="0" w:space="0" w:color="auto"/>
        <w:left w:val="none" w:sz="0" w:space="0" w:color="auto"/>
        <w:bottom w:val="none" w:sz="0" w:space="0" w:color="auto"/>
        <w:right w:val="none" w:sz="0" w:space="0" w:color="auto"/>
      </w:divBdr>
    </w:div>
    <w:div w:id="1877892535">
      <w:bodyDiv w:val="1"/>
      <w:marLeft w:val="0"/>
      <w:marRight w:val="0"/>
      <w:marTop w:val="0"/>
      <w:marBottom w:val="0"/>
      <w:divBdr>
        <w:top w:val="none" w:sz="0" w:space="0" w:color="auto"/>
        <w:left w:val="none" w:sz="0" w:space="0" w:color="auto"/>
        <w:bottom w:val="none" w:sz="0" w:space="0" w:color="auto"/>
        <w:right w:val="none" w:sz="0" w:space="0" w:color="auto"/>
      </w:divBdr>
    </w:div>
    <w:div w:id="203164324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hyperlink" Target="https://cer.gov.au/schemes/national-greenhouse-and-energy-reporting-scheme/report-emissions-and-energy/amendments" TargetMode="External"/><Relationship Id="rId21" Type="http://schemas.openxmlformats.org/officeDocument/2006/relationships/image" Target="media/image12.svg"/><Relationship Id="rId42" Type="http://schemas.openxmlformats.org/officeDocument/2006/relationships/image" Target="media/image17.png"/><Relationship Id="rId47" Type="http://schemas.openxmlformats.org/officeDocument/2006/relationships/hyperlink" Target="https://cer.gov.au/schemes/national-greenhouse-and-energy-reporting-scheme/assess-your-obligations" TargetMode="External"/><Relationship Id="rId63" Type="http://schemas.openxmlformats.org/officeDocument/2006/relationships/hyperlink" Target="http://www.cer.gov.au/" TargetMode="External"/><Relationship Id="rId68" Type="http://schemas.openxmlformats.org/officeDocument/2006/relationships/header" Target="header1.xml"/><Relationship Id="rId16" Type="http://schemas.openxmlformats.org/officeDocument/2006/relationships/image" Target="media/image8.svg"/><Relationship Id="rId11" Type="http://schemas.openxmlformats.org/officeDocument/2006/relationships/image" Target="media/image3.png"/><Relationship Id="rId32" Type="http://schemas.openxmlformats.org/officeDocument/2006/relationships/hyperlink" Target="https://cer.gov.au/document_page/reporting-hydrofluorocarbons-and-sulphur-hexafluoride-gases-guideline" TargetMode="External"/><Relationship Id="rId37" Type="http://schemas.openxmlformats.org/officeDocument/2006/relationships/image" Target="media/image15.png"/><Relationship Id="rId53" Type="http://schemas.openxmlformats.org/officeDocument/2006/relationships/hyperlink" Target="https://cer.gov.au/document_page/voluntary-market-based-scope-2-emissions-guideline" TargetMode="External"/><Relationship Id="rId58" Type="http://schemas.openxmlformats.org/officeDocument/2006/relationships/hyperlink" Target="https://cer.gov.au/document_page/nger-quick-help-topics" TargetMode="External"/><Relationship Id="rId74" Type="http://schemas.openxmlformats.org/officeDocument/2006/relationships/header" Target="header3.xml"/><Relationship Id="rId79" Type="http://schemas.openxmlformats.org/officeDocument/2006/relationships/image" Target="media/image25.jpg"/><Relationship Id="rId5" Type="http://schemas.openxmlformats.org/officeDocument/2006/relationships/settings" Target="settings.xml"/><Relationship Id="rId61" Type="http://schemas.openxmlformats.org/officeDocument/2006/relationships/hyperlink" Target="https://cer.gov.au/document_page/methods-and-measurement-criteria-guideline" TargetMode="External"/><Relationship Id="rId82" Type="http://schemas.openxmlformats.org/officeDocument/2006/relationships/fontTable" Target="fontTable.xml"/><Relationship Id="rId19" Type="http://schemas.microsoft.com/office/2007/relationships/hdphoto" Target="media/hdphoto1.wdp"/><Relationship Id="rId14" Type="http://schemas.openxmlformats.org/officeDocument/2006/relationships/image" Target="media/image6.svg"/><Relationship Id="rId22" Type="http://schemas.openxmlformats.org/officeDocument/2006/relationships/hyperlink" Target="https://www.legislation.gov.au/Series/C2007A00175" TargetMode="External"/><Relationship Id="rId27" Type="http://schemas.openxmlformats.org/officeDocument/2006/relationships/hyperlink" Target="https://www.legislation.gov.au/Series/F2015L01637" TargetMode="External"/><Relationship Id="rId30" Type="http://schemas.openxmlformats.org/officeDocument/2006/relationships/hyperlink" Target="https://cer.gov.au/schemes/national-greenhouse-and-energy-reporting-scheme/report-emissions-and-energy/nger-reporting-guides" TargetMode="External"/><Relationship Id="rId35" Type="http://schemas.openxmlformats.org/officeDocument/2006/relationships/image" Target="media/image13.png"/><Relationship Id="rId43" Type="http://schemas.openxmlformats.org/officeDocument/2006/relationships/hyperlink" Target="https://cer.gov.au/document_page/reporting-hydrofluorocarbons-and-sulphur-hexafluoride-gases-guideline" TargetMode="External"/><Relationship Id="rId48" Type="http://schemas.openxmlformats.org/officeDocument/2006/relationships/hyperlink" Target="https://cer.gov.au/schemes/national-greenhouse-and-energy-reporting-scheme/assess-your-obligations" TargetMode="External"/><Relationship Id="rId56" Type="http://schemas.openxmlformats.org/officeDocument/2006/relationships/hyperlink" Target="https://www.ghgprotocol.org/sites/default/files/ghgp/CHP_guidance_v1.0.pdf" TargetMode="External"/><Relationship Id="rId64" Type="http://schemas.openxmlformats.org/officeDocument/2006/relationships/hyperlink" Target="https://cer.gov.au/schemes/national-greenhouse-and-energy-reporting-scheme/report-emissions-and-energy/nger-reporting-guides" TargetMode="External"/><Relationship Id="rId69" Type="http://schemas.openxmlformats.org/officeDocument/2006/relationships/footer" Target="footer1.xml"/><Relationship Id="rId77" Type="http://schemas.openxmlformats.org/officeDocument/2006/relationships/hyperlink" Target="https://cer.gov.au/document_page/contracts-and-leasing-guideline" TargetMode="External"/><Relationship Id="rId8" Type="http://schemas.openxmlformats.org/officeDocument/2006/relationships/endnotes" Target="endnotes.xml"/><Relationship Id="rId51" Type="http://schemas.openxmlformats.org/officeDocument/2006/relationships/hyperlink" Target="https://cer.gov.au/document_page/voluntary-market-based-scope-2-emissions-guideline" TargetMode="External"/><Relationship Id="rId72" Type="http://schemas.openxmlformats.org/officeDocument/2006/relationships/footer" Target="footer3.xml"/><Relationship Id="rId80" Type="http://schemas.openxmlformats.org/officeDocument/2006/relationships/header" Target="header6.xml"/><Relationship Id="rId3" Type="http://schemas.openxmlformats.org/officeDocument/2006/relationships/numbering" Target="numbering.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hyperlink" Target="https://cer.gov.au/schemes/national-greenhouse-and-energy-reporting-scheme" TargetMode="External"/><Relationship Id="rId33" Type="http://schemas.openxmlformats.org/officeDocument/2006/relationships/hyperlink" Target="https://cer.gov.au/document_page/guidance-aggregated-facility-reporting-percentage-estimates-and-incidental-emissions-and-energy" TargetMode="External"/><Relationship Id="rId38" Type="http://schemas.openxmlformats.org/officeDocument/2006/relationships/hyperlink" Target="https://cer.gov.au/about-us/contact-us" TargetMode="External"/><Relationship Id="rId46" Type="http://schemas.openxmlformats.org/officeDocument/2006/relationships/hyperlink" Target="https://aemo.com.au/-/media/files/electricity/nem/5ms/program-information/2020/global-settlement-fact-sheet-updated-july2020.pdf" TargetMode="External"/><Relationship Id="rId59" Type="http://schemas.openxmlformats.org/officeDocument/2006/relationships/hyperlink" Target="https://cer.gov.au/document_page/reporting-blended-fuels-other-fuel-mixes-bitumen-and-explosives-guideline" TargetMode="External"/><Relationship Id="rId67" Type="http://schemas.openxmlformats.org/officeDocument/2006/relationships/hyperlink" Target="https://cer.gov.au/document_page/contracts-and-leasing-guideline" TargetMode="External"/><Relationship Id="rId20" Type="http://schemas.openxmlformats.org/officeDocument/2006/relationships/image" Target="media/image11.png"/><Relationship Id="rId41" Type="http://schemas.openxmlformats.org/officeDocument/2006/relationships/hyperlink" Target="https://cer.gov.au/document_page/petroleum-based-oils-and-greases-guideline" TargetMode="External"/><Relationship Id="rId54" Type="http://schemas.openxmlformats.org/officeDocument/2006/relationships/hyperlink" Target="https://cer.gov.au/document_page/nger-quick-help-topics" TargetMode="External"/><Relationship Id="rId62" Type="http://schemas.openxmlformats.org/officeDocument/2006/relationships/hyperlink" Target="mailto:cer-nger-reporting@cer.gov.au" TargetMode="External"/><Relationship Id="rId70" Type="http://schemas.openxmlformats.org/officeDocument/2006/relationships/footer" Target="footer2.xml"/><Relationship Id="rId75" Type="http://schemas.openxmlformats.org/officeDocument/2006/relationships/header" Target="header4.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legislation.gov.au/Series/F2008L02230" TargetMode="External"/><Relationship Id="rId28" Type="http://schemas.openxmlformats.org/officeDocument/2006/relationships/hyperlink" Target="https://cer.gov.au/document_page/reporting-hydrofluorocarbons-and-sulphur-hexafluoride-gases-guideline" TargetMode="External"/><Relationship Id="rId36" Type="http://schemas.openxmlformats.org/officeDocument/2006/relationships/image" Target="media/image14.png"/><Relationship Id="rId49" Type="http://schemas.openxmlformats.org/officeDocument/2006/relationships/image" Target="media/image18.png"/><Relationship Id="rId57" Type="http://schemas.openxmlformats.org/officeDocument/2006/relationships/hyperlink" Target="https://ghgprotocol.org/calculation-tools-and-guidance" TargetMode="External"/><Relationship Id="rId10" Type="http://schemas.openxmlformats.org/officeDocument/2006/relationships/image" Target="media/image2.svg"/><Relationship Id="rId31" Type="http://schemas.openxmlformats.org/officeDocument/2006/relationships/hyperlink" Target="https://cer.gov.au/document_page/nger-quick-help-topics" TargetMode="External"/><Relationship Id="rId44" Type="http://schemas.openxmlformats.org/officeDocument/2006/relationships/hyperlink" Target="https://cer.gov.au/schemes/national-greenhouse-and-energy-reporting-scheme/about-emissions-and-energy-data/emissions" TargetMode="External"/><Relationship Id="rId52" Type="http://schemas.openxmlformats.org/officeDocument/2006/relationships/image" Target="media/image19.png"/><Relationship Id="rId60" Type="http://schemas.openxmlformats.org/officeDocument/2006/relationships/hyperlink" Target="mailto:cer-nger-reporting@cer.gov.au" TargetMode="External"/><Relationship Id="rId65" Type="http://schemas.openxmlformats.org/officeDocument/2006/relationships/hyperlink" Target="https://cer.gov.au/document_page/petroleum-based-oils-and-greases-guideline" TargetMode="External"/><Relationship Id="rId73" Type="http://schemas.openxmlformats.org/officeDocument/2006/relationships/image" Target="media/image23.jpg"/><Relationship Id="rId78" Type="http://schemas.openxmlformats.org/officeDocument/2006/relationships/header" Target="header5.xml"/><Relationship Id="rId81" Type="http://schemas.openxmlformats.org/officeDocument/2006/relationships/header" Target="header7.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16.png"/><Relationship Id="rId34" Type="http://schemas.openxmlformats.org/officeDocument/2006/relationships/hyperlink" Target="https://cer.gov.au/document_page/reporting-uncertainty-guideline" TargetMode="External"/><Relationship Id="rId50" Type="http://schemas.openxmlformats.org/officeDocument/2006/relationships/hyperlink" Target="https://cer.gov.au/schemes/national-greenhouse-and-energy-reporting-scheme/report-emissions-and-energy/amendments-to-national-greenhouse-and-energy-reporting-legislation" TargetMode="External"/><Relationship Id="rId55" Type="http://schemas.openxmlformats.org/officeDocument/2006/relationships/hyperlink" Target="https://www.aemc.gov.au/regulation/energy-rules/national-electricity-rules/current" TargetMode="External"/><Relationship Id="rId76" Type="http://schemas.openxmlformats.org/officeDocument/2006/relationships/hyperlink" Target="https://cer.gov.au/document_page/petroleum-based-oils-and-greases-guideline" TargetMode="External"/><Relationship Id="rId7" Type="http://schemas.openxmlformats.org/officeDocument/2006/relationships/footnotes" Target="footnotes.xml"/><Relationship Id="rId71"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hyperlink" Target="https://cer.gov.au/document_page/voluntary-market-based-scope-2-emissions-guideline" TargetMode="External"/><Relationship Id="rId24" Type="http://schemas.openxmlformats.org/officeDocument/2006/relationships/hyperlink" Target="https://www.legislation.gov.au/Series/F2008L02309" TargetMode="External"/><Relationship Id="rId40" Type="http://schemas.openxmlformats.org/officeDocument/2006/relationships/hyperlink" Target="https://cer.gov.au/document_page/estimating-emissions-and-energy-fuel-combustion-guideline" TargetMode="External"/><Relationship Id="rId45" Type="http://schemas.openxmlformats.org/officeDocument/2006/relationships/hyperlink" Target="https://energy-rules.aemc.gov.au/ner/594" TargetMode="External"/><Relationship Id="rId66" Type="http://schemas.openxmlformats.org/officeDocument/2006/relationships/hyperlink" Target="https://cer.gov.au/document_page/defining-facility-national-greenhouse-and-energy-reporting"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4.jpg"/></Relationships>
</file>

<file path=word/theme/theme1.xml><?xml version="1.0" encoding="utf-8"?>
<a:theme xmlns:a="http://schemas.openxmlformats.org/drawingml/2006/main" name="CER-updated fonts and colours">
  <a:themeElements>
    <a:clrScheme name="CER colour palette">
      <a:dk1>
        <a:sysClr val="windowText" lastClr="000000"/>
      </a:dk1>
      <a:lt1>
        <a:sysClr val="window" lastClr="FFFFFF"/>
      </a:lt1>
      <a:dk2>
        <a:srgbClr val="454743"/>
      </a:dk2>
      <a:lt2>
        <a:srgbClr val="E8E8E8"/>
      </a:lt2>
      <a:accent1>
        <a:srgbClr val="9FB76F"/>
      </a:accent1>
      <a:accent2>
        <a:srgbClr val="FCBA5C"/>
      </a:accent2>
      <a:accent3>
        <a:srgbClr val="006C93"/>
      </a:accent3>
      <a:accent4>
        <a:srgbClr val="4FC2CC"/>
      </a:accent4>
      <a:accent5>
        <a:srgbClr val="C34D33"/>
      </a:accent5>
      <a:accent6>
        <a:srgbClr val="FA9607"/>
      </a:accent6>
      <a:hlink>
        <a:srgbClr val="00516E"/>
      </a:hlink>
      <a:folHlink>
        <a:srgbClr val="74747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ER-updated fonts and colours" id="{D0ED4916-A0D3-4FB3-9E63-AD9D1DD4368E}" vid="{A1269B48-6600-4777-8E01-42A1278B1AA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269B8B-E045-47A7-A9B1-D89B0E410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19715</Words>
  <Characters>110404</Characters>
  <Application>Microsoft Office Word</Application>
  <DocSecurity>8</DocSecurity>
  <Lines>2567</Lines>
  <Paragraphs>1429</Paragraphs>
  <ScaleCrop>false</ScaleCrop>
  <HeadingPairs>
    <vt:vector size="2" baseType="variant">
      <vt:variant>
        <vt:lpstr>Title</vt:lpstr>
      </vt:variant>
      <vt:variant>
        <vt:i4>1</vt:i4>
      </vt:variant>
    </vt:vector>
  </HeadingPairs>
  <TitlesOfParts>
    <vt:vector size="1" baseType="lpstr">
      <vt:lpstr>Estimating emissions and energy from electricity production and consumption guideline</vt:lpstr>
    </vt:vector>
  </TitlesOfParts>
  <Company/>
  <LinksUpToDate>false</LinksUpToDate>
  <CharactersWithSpaces>128690</CharactersWithSpaces>
  <SharedDoc>false</SharedDoc>
  <HLinks>
    <vt:vector size="552" baseType="variant">
      <vt:variant>
        <vt:i4>917562</vt:i4>
      </vt:variant>
      <vt:variant>
        <vt:i4>762</vt:i4>
      </vt:variant>
      <vt:variant>
        <vt:i4>0</vt:i4>
      </vt:variant>
      <vt:variant>
        <vt:i4>5</vt:i4>
      </vt:variant>
      <vt:variant>
        <vt:lpwstr/>
      </vt:variant>
      <vt:variant>
        <vt:lpwstr>_Quantifying_electricity_consumption</vt:lpwstr>
      </vt:variant>
      <vt:variant>
        <vt:i4>917562</vt:i4>
      </vt:variant>
      <vt:variant>
        <vt:i4>759</vt:i4>
      </vt:variant>
      <vt:variant>
        <vt:i4>0</vt:i4>
      </vt:variant>
      <vt:variant>
        <vt:i4>5</vt:i4>
      </vt:variant>
      <vt:variant>
        <vt:lpwstr/>
      </vt:variant>
      <vt:variant>
        <vt:lpwstr>_Quantifying_electricity_consumption</vt:lpwstr>
      </vt:variant>
      <vt:variant>
        <vt:i4>917562</vt:i4>
      </vt:variant>
      <vt:variant>
        <vt:i4>756</vt:i4>
      </vt:variant>
      <vt:variant>
        <vt:i4>0</vt:i4>
      </vt:variant>
      <vt:variant>
        <vt:i4>5</vt:i4>
      </vt:variant>
      <vt:variant>
        <vt:lpwstr/>
      </vt:variant>
      <vt:variant>
        <vt:lpwstr>_Quantifying_electricity_consumption</vt:lpwstr>
      </vt:variant>
      <vt:variant>
        <vt:i4>4587616</vt:i4>
      </vt:variant>
      <vt:variant>
        <vt:i4>753</vt:i4>
      </vt:variant>
      <vt:variant>
        <vt:i4>0</vt:i4>
      </vt:variant>
      <vt:variant>
        <vt:i4>5</vt:i4>
      </vt:variant>
      <vt:variant>
        <vt:lpwstr/>
      </vt:variant>
      <vt:variant>
        <vt:lpwstr>_Renewable_energy_commodity</vt:lpwstr>
      </vt:variant>
      <vt:variant>
        <vt:i4>4128795</vt:i4>
      </vt:variant>
      <vt:variant>
        <vt:i4>747</vt:i4>
      </vt:variant>
      <vt:variant>
        <vt:i4>0</vt:i4>
      </vt:variant>
      <vt:variant>
        <vt:i4>5</vt:i4>
      </vt:variant>
      <vt:variant>
        <vt:lpwstr>https://cer.gov.au/document_page/contracts-and-leasing-guideline</vt:lpwstr>
      </vt:variant>
      <vt:variant>
        <vt:lpwstr/>
      </vt:variant>
      <vt:variant>
        <vt:i4>131112</vt:i4>
      </vt:variant>
      <vt:variant>
        <vt:i4>744</vt:i4>
      </vt:variant>
      <vt:variant>
        <vt:i4>0</vt:i4>
      </vt:variant>
      <vt:variant>
        <vt:i4>5</vt:i4>
      </vt:variant>
      <vt:variant>
        <vt:lpwstr>https://cer.gov.au/document_page/petroleum-based-oils-and-greases-guideline</vt:lpwstr>
      </vt:variant>
      <vt:variant>
        <vt:lpwstr/>
      </vt:variant>
      <vt:variant>
        <vt:i4>5177466</vt:i4>
      </vt:variant>
      <vt:variant>
        <vt:i4>741</vt:i4>
      </vt:variant>
      <vt:variant>
        <vt:i4>0</vt:i4>
      </vt:variant>
      <vt:variant>
        <vt:i4>5</vt:i4>
      </vt:variant>
      <vt:variant>
        <vt:lpwstr/>
      </vt:variant>
      <vt:variant>
        <vt:lpwstr>_Energy_production_and</vt:lpwstr>
      </vt:variant>
      <vt:variant>
        <vt:i4>917562</vt:i4>
      </vt:variant>
      <vt:variant>
        <vt:i4>732</vt:i4>
      </vt:variant>
      <vt:variant>
        <vt:i4>0</vt:i4>
      </vt:variant>
      <vt:variant>
        <vt:i4>5</vt:i4>
      </vt:variant>
      <vt:variant>
        <vt:lpwstr/>
      </vt:variant>
      <vt:variant>
        <vt:lpwstr>_Quantifying_electricity_consumption</vt:lpwstr>
      </vt:variant>
      <vt:variant>
        <vt:i4>917562</vt:i4>
      </vt:variant>
      <vt:variant>
        <vt:i4>729</vt:i4>
      </vt:variant>
      <vt:variant>
        <vt:i4>0</vt:i4>
      </vt:variant>
      <vt:variant>
        <vt:i4>5</vt:i4>
      </vt:variant>
      <vt:variant>
        <vt:lpwstr/>
      </vt:variant>
      <vt:variant>
        <vt:lpwstr>_Quantifying_electricity_consumption</vt:lpwstr>
      </vt:variant>
      <vt:variant>
        <vt:i4>917562</vt:i4>
      </vt:variant>
      <vt:variant>
        <vt:i4>726</vt:i4>
      </vt:variant>
      <vt:variant>
        <vt:i4>0</vt:i4>
      </vt:variant>
      <vt:variant>
        <vt:i4>5</vt:i4>
      </vt:variant>
      <vt:variant>
        <vt:lpwstr/>
      </vt:variant>
      <vt:variant>
        <vt:lpwstr>_Quantifying_electricity_consumption</vt:lpwstr>
      </vt:variant>
      <vt:variant>
        <vt:i4>6291520</vt:i4>
      </vt:variant>
      <vt:variant>
        <vt:i4>723</vt:i4>
      </vt:variant>
      <vt:variant>
        <vt:i4>0</vt:i4>
      </vt:variant>
      <vt:variant>
        <vt:i4>5</vt:i4>
      </vt:variant>
      <vt:variant>
        <vt:lpwstr/>
      </vt:variant>
      <vt:variant>
        <vt:lpwstr>_Estimating_emissions_from</vt:lpwstr>
      </vt:variant>
      <vt:variant>
        <vt:i4>4128795</vt:i4>
      </vt:variant>
      <vt:variant>
        <vt:i4>714</vt:i4>
      </vt:variant>
      <vt:variant>
        <vt:i4>0</vt:i4>
      </vt:variant>
      <vt:variant>
        <vt:i4>5</vt:i4>
      </vt:variant>
      <vt:variant>
        <vt:lpwstr>https://cer.gov.au/document_page/contracts-and-leasing-guideline</vt:lpwstr>
      </vt:variant>
      <vt:variant>
        <vt:lpwstr/>
      </vt:variant>
      <vt:variant>
        <vt:i4>983143</vt:i4>
      </vt:variant>
      <vt:variant>
        <vt:i4>711</vt:i4>
      </vt:variant>
      <vt:variant>
        <vt:i4>0</vt:i4>
      </vt:variant>
      <vt:variant>
        <vt:i4>5</vt:i4>
      </vt:variant>
      <vt:variant>
        <vt:lpwstr>https://cer.gov.au/document_page/defining-facility-national-greenhouse-and-energy-reporting</vt:lpwstr>
      </vt:variant>
      <vt:variant>
        <vt:lpwstr/>
      </vt:variant>
      <vt:variant>
        <vt:i4>131112</vt:i4>
      </vt:variant>
      <vt:variant>
        <vt:i4>708</vt:i4>
      </vt:variant>
      <vt:variant>
        <vt:i4>0</vt:i4>
      </vt:variant>
      <vt:variant>
        <vt:i4>5</vt:i4>
      </vt:variant>
      <vt:variant>
        <vt:lpwstr>https://cer.gov.au/document_page/petroleum-based-oils-and-greases-guideline</vt:lpwstr>
      </vt:variant>
      <vt:variant>
        <vt:lpwstr/>
      </vt:variant>
      <vt:variant>
        <vt:i4>5177466</vt:i4>
      </vt:variant>
      <vt:variant>
        <vt:i4>705</vt:i4>
      </vt:variant>
      <vt:variant>
        <vt:i4>0</vt:i4>
      </vt:variant>
      <vt:variant>
        <vt:i4>5</vt:i4>
      </vt:variant>
      <vt:variant>
        <vt:lpwstr/>
      </vt:variant>
      <vt:variant>
        <vt:lpwstr>_Energy_production_and</vt:lpwstr>
      </vt:variant>
      <vt:variant>
        <vt:i4>5177466</vt:i4>
      </vt:variant>
      <vt:variant>
        <vt:i4>702</vt:i4>
      </vt:variant>
      <vt:variant>
        <vt:i4>0</vt:i4>
      </vt:variant>
      <vt:variant>
        <vt:i4>5</vt:i4>
      </vt:variant>
      <vt:variant>
        <vt:lpwstr/>
      </vt:variant>
      <vt:variant>
        <vt:lpwstr>_Energy_production_and</vt:lpwstr>
      </vt:variant>
      <vt:variant>
        <vt:i4>6291520</vt:i4>
      </vt:variant>
      <vt:variant>
        <vt:i4>699</vt:i4>
      </vt:variant>
      <vt:variant>
        <vt:i4>0</vt:i4>
      </vt:variant>
      <vt:variant>
        <vt:i4>5</vt:i4>
      </vt:variant>
      <vt:variant>
        <vt:lpwstr/>
      </vt:variant>
      <vt:variant>
        <vt:lpwstr>_Estimating_emissions_from</vt:lpwstr>
      </vt:variant>
      <vt:variant>
        <vt:i4>1704004</vt:i4>
      </vt:variant>
      <vt:variant>
        <vt:i4>690</vt:i4>
      </vt:variant>
      <vt:variant>
        <vt:i4>0</vt:i4>
      </vt:variant>
      <vt:variant>
        <vt:i4>5</vt:i4>
      </vt:variant>
      <vt:variant>
        <vt:lpwstr>https://cer.gov.au/schemes/national-greenhouse-and-energy-reporting-scheme/report-emissions-and-energy/nger-reporting-guides</vt:lpwstr>
      </vt:variant>
      <vt:variant>
        <vt:lpwstr/>
      </vt:variant>
      <vt:variant>
        <vt:i4>6619183</vt:i4>
      </vt:variant>
      <vt:variant>
        <vt:i4>687</vt:i4>
      </vt:variant>
      <vt:variant>
        <vt:i4>0</vt:i4>
      </vt:variant>
      <vt:variant>
        <vt:i4>5</vt:i4>
      </vt:variant>
      <vt:variant>
        <vt:lpwstr>http://www.cer.gov.au/</vt:lpwstr>
      </vt:variant>
      <vt:variant>
        <vt:lpwstr/>
      </vt:variant>
      <vt:variant>
        <vt:i4>7995400</vt:i4>
      </vt:variant>
      <vt:variant>
        <vt:i4>684</vt:i4>
      </vt:variant>
      <vt:variant>
        <vt:i4>0</vt:i4>
      </vt:variant>
      <vt:variant>
        <vt:i4>5</vt:i4>
      </vt:variant>
      <vt:variant>
        <vt:lpwstr>mailto:cer-nger-reporting@cer.gov.au</vt:lpwstr>
      </vt:variant>
      <vt:variant>
        <vt:lpwstr/>
      </vt:variant>
      <vt:variant>
        <vt:i4>262247</vt:i4>
      </vt:variant>
      <vt:variant>
        <vt:i4>666</vt:i4>
      </vt:variant>
      <vt:variant>
        <vt:i4>0</vt:i4>
      </vt:variant>
      <vt:variant>
        <vt:i4>5</vt:i4>
      </vt:variant>
      <vt:variant>
        <vt:lpwstr>https://cer.gov.au/document_page/methods-and-measurement-criteria-guideline</vt:lpwstr>
      </vt:variant>
      <vt:variant>
        <vt:lpwstr/>
      </vt:variant>
      <vt:variant>
        <vt:i4>7995400</vt:i4>
      </vt:variant>
      <vt:variant>
        <vt:i4>651</vt:i4>
      </vt:variant>
      <vt:variant>
        <vt:i4>0</vt:i4>
      </vt:variant>
      <vt:variant>
        <vt:i4>5</vt:i4>
      </vt:variant>
      <vt:variant>
        <vt:lpwstr>mailto:cer-nger-reporting@cer.gov.au</vt:lpwstr>
      </vt:variant>
      <vt:variant>
        <vt:lpwstr/>
      </vt:variant>
      <vt:variant>
        <vt:i4>5242981</vt:i4>
      </vt:variant>
      <vt:variant>
        <vt:i4>648</vt:i4>
      </vt:variant>
      <vt:variant>
        <vt:i4>0</vt:i4>
      </vt:variant>
      <vt:variant>
        <vt:i4>5</vt:i4>
      </vt:variant>
      <vt:variant>
        <vt:lpwstr>https://cer.gov.au/document_page/reporting-blended-fuels-other-fuel-mixes-bitumen-and-explosives-guideline</vt:lpwstr>
      </vt:variant>
      <vt:variant>
        <vt:lpwstr/>
      </vt:variant>
      <vt:variant>
        <vt:i4>4259850</vt:i4>
      </vt:variant>
      <vt:variant>
        <vt:i4>645</vt:i4>
      </vt:variant>
      <vt:variant>
        <vt:i4>0</vt:i4>
      </vt:variant>
      <vt:variant>
        <vt:i4>5</vt:i4>
      </vt:variant>
      <vt:variant>
        <vt:lpwstr/>
      </vt:variant>
      <vt:variant>
        <vt:lpwstr>_Sampling_and_analysis_1</vt:lpwstr>
      </vt:variant>
      <vt:variant>
        <vt:i4>7340117</vt:i4>
      </vt:variant>
      <vt:variant>
        <vt:i4>642</vt:i4>
      </vt:variant>
      <vt:variant>
        <vt:i4>0</vt:i4>
      </vt:variant>
      <vt:variant>
        <vt:i4>5</vt:i4>
      </vt:variant>
      <vt:variant>
        <vt:lpwstr/>
      </vt:variant>
      <vt:variant>
        <vt:lpwstr>_Sampling_and_analysis</vt:lpwstr>
      </vt:variant>
      <vt:variant>
        <vt:i4>6553687</vt:i4>
      </vt:variant>
      <vt:variant>
        <vt:i4>633</vt:i4>
      </vt:variant>
      <vt:variant>
        <vt:i4>0</vt:i4>
      </vt:variant>
      <vt:variant>
        <vt:i4>5</vt:i4>
      </vt:variant>
      <vt:variant>
        <vt:lpwstr/>
      </vt:variant>
      <vt:variant>
        <vt:lpwstr>_Thresholds_for_estimating</vt:lpwstr>
      </vt:variant>
      <vt:variant>
        <vt:i4>1245190</vt:i4>
      </vt:variant>
      <vt:variant>
        <vt:i4>630</vt:i4>
      </vt:variant>
      <vt:variant>
        <vt:i4>0</vt:i4>
      </vt:variant>
      <vt:variant>
        <vt:i4>5</vt:i4>
      </vt:variant>
      <vt:variant>
        <vt:lpwstr/>
      </vt:variant>
      <vt:variant>
        <vt:lpwstr>_Measurement_requirements</vt:lpwstr>
      </vt:variant>
      <vt:variant>
        <vt:i4>8323178</vt:i4>
      </vt:variant>
      <vt:variant>
        <vt:i4>624</vt:i4>
      </vt:variant>
      <vt:variant>
        <vt:i4>0</vt:i4>
      </vt:variant>
      <vt:variant>
        <vt:i4>5</vt:i4>
      </vt:variant>
      <vt:variant>
        <vt:lpwstr>https://cer.gov.au/document/nger-quick-help-topics</vt:lpwstr>
      </vt:variant>
      <vt:variant>
        <vt:lpwstr/>
      </vt:variant>
      <vt:variant>
        <vt:i4>5439608</vt:i4>
      </vt:variant>
      <vt:variant>
        <vt:i4>615</vt:i4>
      </vt:variant>
      <vt:variant>
        <vt:i4>0</vt:i4>
      </vt:variant>
      <vt:variant>
        <vt:i4>5</vt:i4>
      </vt:variant>
      <vt:variant>
        <vt:lpwstr/>
      </vt:variant>
      <vt:variant>
        <vt:lpwstr>_Case_example_2:</vt:lpwstr>
      </vt:variant>
      <vt:variant>
        <vt:i4>5046393</vt:i4>
      </vt:variant>
      <vt:variant>
        <vt:i4>612</vt:i4>
      </vt:variant>
      <vt:variant>
        <vt:i4>0</vt:i4>
      </vt:variant>
      <vt:variant>
        <vt:i4>5</vt:i4>
      </vt:variant>
      <vt:variant>
        <vt:lpwstr/>
      </vt:variant>
      <vt:variant>
        <vt:lpwstr>_Electricity_production_and</vt:lpwstr>
      </vt:variant>
      <vt:variant>
        <vt:i4>5046393</vt:i4>
      </vt:variant>
      <vt:variant>
        <vt:i4>609</vt:i4>
      </vt:variant>
      <vt:variant>
        <vt:i4>0</vt:i4>
      </vt:variant>
      <vt:variant>
        <vt:i4>5</vt:i4>
      </vt:variant>
      <vt:variant>
        <vt:lpwstr/>
      </vt:variant>
      <vt:variant>
        <vt:lpwstr>_Electricity_production_and</vt:lpwstr>
      </vt:variant>
      <vt:variant>
        <vt:i4>3801148</vt:i4>
      </vt:variant>
      <vt:variant>
        <vt:i4>603</vt:i4>
      </vt:variant>
      <vt:variant>
        <vt:i4>0</vt:i4>
      </vt:variant>
      <vt:variant>
        <vt:i4>5</vt:i4>
      </vt:variant>
      <vt:variant>
        <vt:lpwstr>https://ghgprotocol.org/calculation-tools-and-guidance</vt:lpwstr>
      </vt:variant>
      <vt:variant>
        <vt:lpwstr/>
      </vt:variant>
      <vt:variant>
        <vt:i4>4456543</vt:i4>
      </vt:variant>
      <vt:variant>
        <vt:i4>600</vt:i4>
      </vt:variant>
      <vt:variant>
        <vt:i4>0</vt:i4>
      </vt:variant>
      <vt:variant>
        <vt:i4>5</vt:i4>
      </vt:variant>
      <vt:variant>
        <vt:lpwstr>https://www.ghgprotocol.org/sites/default/files/ghgp/CHP_guidance_v1.0.pdf</vt:lpwstr>
      </vt:variant>
      <vt:variant>
        <vt:lpwstr/>
      </vt:variant>
      <vt:variant>
        <vt:i4>5439611</vt:i4>
      </vt:variant>
      <vt:variant>
        <vt:i4>582</vt:i4>
      </vt:variant>
      <vt:variant>
        <vt:i4>0</vt:i4>
      </vt:variant>
      <vt:variant>
        <vt:i4>5</vt:i4>
      </vt:variant>
      <vt:variant>
        <vt:lpwstr/>
      </vt:variant>
      <vt:variant>
        <vt:lpwstr>_Case_example_1:</vt:lpwstr>
      </vt:variant>
      <vt:variant>
        <vt:i4>7864379</vt:i4>
      </vt:variant>
      <vt:variant>
        <vt:i4>579</vt:i4>
      </vt:variant>
      <vt:variant>
        <vt:i4>0</vt:i4>
      </vt:variant>
      <vt:variant>
        <vt:i4>5</vt:i4>
      </vt:variant>
      <vt:variant>
        <vt:lpwstr>https://www.aemc.gov.au/regulation/energy-rules/national-electricity-rules/current</vt:lpwstr>
      </vt:variant>
      <vt:variant>
        <vt:lpwstr/>
      </vt:variant>
      <vt:variant>
        <vt:i4>8323178</vt:i4>
      </vt:variant>
      <vt:variant>
        <vt:i4>576</vt:i4>
      </vt:variant>
      <vt:variant>
        <vt:i4>0</vt:i4>
      </vt:variant>
      <vt:variant>
        <vt:i4>5</vt:i4>
      </vt:variant>
      <vt:variant>
        <vt:lpwstr>https://cer.gov.au/document/nger-quick-help-topics</vt:lpwstr>
      </vt:variant>
      <vt:variant>
        <vt:lpwstr/>
      </vt:variant>
      <vt:variant>
        <vt:i4>2949134</vt:i4>
      </vt:variant>
      <vt:variant>
        <vt:i4>570</vt:i4>
      </vt:variant>
      <vt:variant>
        <vt:i4>0</vt:i4>
      </vt:variant>
      <vt:variant>
        <vt:i4>5</vt:i4>
      </vt:variant>
      <vt:variant>
        <vt:lpwstr/>
      </vt:variant>
      <vt:variant>
        <vt:lpwstr>_Estimating_energy_production</vt:lpwstr>
      </vt:variant>
      <vt:variant>
        <vt:i4>5439608</vt:i4>
      </vt:variant>
      <vt:variant>
        <vt:i4>555</vt:i4>
      </vt:variant>
      <vt:variant>
        <vt:i4>0</vt:i4>
      </vt:variant>
      <vt:variant>
        <vt:i4>5</vt:i4>
      </vt:variant>
      <vt:variant>
        <vt:lpwstr/>
      </vt:variant>
      <vt:variant>
        <vt:lpwstr>_Case_example_2:</vt:lpwstr>
      </vt:variant>
      <vt:variant>
        <vt:i4>3473500</vt:i4>
      </vt:variant>
      <vt:variant>
        <vt:i4>552</vt:i4>
      </vt:variant>
      <vt:variant>
        <vt:i4>0</vt:i4>
      </vt:variant>
      <vt:variant>
        <vt:i4>5</vt:i4>
      </vt:variant>
      <vt:variant>
        <vt:lpwstr/>
      </vt:variant>
      <vt:variant>
        <vt:lpwstr>_Reporting_scope_2</vt:lpwstr>
      </vt:variant>
      <vt:variant>
        <vt:i4>1441842</vt:i4>
      </vt:variant>
      <vt:variant>
        <vt:i4>540</vt:i4>
      </vt:variant>
      <vt:variant>
        <vt:i4>0</vt:i4>
      </vt:variant>
      <vt:variant>
        <vt:i4>5</vt:i4>
      </vt:variant>
      <vt:variant>
        <vt:lpwstr/>
      </vt:variant>
      <vt:variant>
        <vt:lpwstr>_Toc74235127</vt:lpwstr>
      </vt:variant>
      <vt:variant>
        <vt:i4>196664</vt:i4>
      </vt:variant>
      <vt:variant>
        <vt:i4>537</vt:i4>
      </vt:variant>
      <vt:variant>
        <vt:i4>0</vt:i4>
      </vt:variant>
      <vt:variant>
        <vt:i4>5</vt:i4>
      </vt:variant>
      <vt:variant>
        <vt:lpwstr/>
      </vt:variant>
      <vt:variant>
        <vt:lpwstr>_Cogeneration</vt:lpwstr>
      </vt:variant>
      <vt:variant>
        <vt:i4>1441847</vt:i4>
      </vt:variant>
      <vt:variant>
        <vt:i4>504</vt:i4>
      </vt:variant>
      <vt:variant>
        <vt:i4>0</vt:i4>
      </vt:variant>
      <vt:variant>
        <vt:i4>5</vt:i4>
      </vt:variant>
      <vt:variant>
        <vt:lpwstr/>
      </vt:variant>
      <vt:variant>
        <vt:lpwstr>_Appendix_A_–</vt:lpwstr>
      </vt:variant>
      <vt:variant>
        <vt:i4>1245240</vt:i4>
      </vt:variant>
      <vt:variant>
        <vt:i4>501</vt:i4>
      </vt:variant>
      <vt:variant>
        <vt:i4>0</vt:i4>
      </vt:variant>
      <vt:variant>
        <vt:i4>5</vt:i4>
      </vt:variant>
      <vt:variant>
        <vt:lpwstr/>
      </vt:variant>
      <vt:variant>
        <vt:lpwstr>_Toc74235182</vt:lpwstr>
      </vt:variant>
      <vt:variant>
        <vt:i4>1507373</vt:i4>
      </vt:variant>
      <vt:variant>
        <vt:i4>498</vt:i4>
      </vt:variant>
      <vt:variant>
        <vt:i4>0</vt:i4>
      </vt:variant>
      <vt:variant>
        <vt:i4>5</vt:i4>
      </vt:variant>
      <vt:variant>
        <vt:lpwstr>https://cer.gov.au/document_page/voluntary-market-based-scope-2-emissions-guideline</vt:lpwstr>
      </vt:variant>
      <vt:variant>
        <vt:lpwstr/>
      </vt:variant>
      <vt:variant>
        <vt:i4>1507373</vt:i4>
      </vt:variant>
      <vt:variant>
        <vt:i4>486</vt:i4>
      </vt:variant>
      <vt:variant>
        <vt:i4>0</vt:i4>
      </vt:variant>
      <vt:variant>
        <vt:i4>5</vt:i4>
      </vt:variant>
      <vt:variant>
        <vt:lpwstr>https://cer.gov.au/document_page/voluntary-market-based-scope-2-emissions-guideline</vt:lpwstr>
      </vt:variant>
      <vt:variant>
        <vt:lpwstr/>
      </vt:variant>
      <vt:variant>
        <vt:i4>1703954</vt:i4>
      </vt:variant>
      <vt:variant>
        <vt:i4>483</vt:i4>
      </vt:variant>
      <vt:variant>
        <vt:i4>0</vt:i4>
      </vt:variant>
      <vt:variant>
        <vt:i4>5</vt:i4>
      </vt:variant>
      <vt:variant>
        <vt:lpwstr>https://cer.gov.au/schemes/national-greenhouse-and-energy-reporting-scheme/assess-your-obligations</vt:lpwstr>
      </vt:variant>
      <vt:variant>
        <vt:lpwstr>nger-thresholds</vt:lpwstr>
      </vt:variant>
      <vt:variant>
        <vt:i4>7405629</vt:i4>
      </vt:variant>
      <vt:variant>
        <vt:i4>480</vt:i4>
      </vt:variant>
      <vt:variant>
        <vt:i4>0</vt:i4>
      </vt:variant>
      <vt:variant>
        <vt:i4>5</vt:i4>
      </vt:variant>
      <vt:variant>
        <vt:lpwstr>https://cer.gov.au/schemes/national-greenhouse-and-energy-reporting-scheme/assess-your-obligations</vt:lpwstr>
      </vt:variant>
      <vt:variant>
        <vt:lpwstr/>
      </vt:variant>
      <vt:variant>
        <vt:i4>5373963</vt:i4>
      </vt:variant>
      <vt:variant>
        <vt:i4>477</vt:i4>
      </vt:variant>
      <vt:variant>
        <vt:i4>0</vt:i4>
      </vt:variant>
      <vt:variant>
        <vt:i4>5</vt:i4>
      </vt:variant>
      <vt:variant>
        <vt:lpwstr>https://aemo.com.au/-/media/files/electricity/nem/5ms/program-information/2020/global-settlement-fact-sheet-updated-july2020.pdf</vt:lpwstr>
      </vt:variant>
      <vt:variant>
        <vt:lpwstr/>
      </vt:variant>
      <vt:variant>
        <vt:i4>1179678</vt:i4>
      </vt:variant>
      <vt:variant>
        <vt:i4>474</vt:i4>
      </vt:variant>
      <vt:variant>
        <vt:i4>0</vt:i4>
      </vt:variant>
      <vt:variant>
        <vt:i4>5</vt:i4>
      </vt:variant>
      <vt:variant>
        <vt:lpwstr>https://energy-rules.aemc.gov.au/ner/594</vt:lpwstr>
      </vt:variant>
      <vt:variant>
        <vt:lpwstr/>
      </vt:variant>
      <vt:variant>
        <vt:i4>5046393</vt:i4>
      </vt:variant>
      <vt:variant>
        <vt:i4>471</vt:i4>
      </vt:variant>
      <vt:variant>
        <vt:i4>0</vt:i4>
      </vt:variant>
      <vt:variant>
        <vt:i4>5</vt:i4>
      </vt:variant>
      <vt:variant>
        <vt:lpwstr/>
      </vt:variant>
      <vt:variant>
        <vt:lpwstr>_Electricity_production_and</vt:lpwstr>
      </vt:variant>
      <vt:variant>
        <vt:i4>5439611</vt:i4>
      </vt:variant>
      <vt:variant>
        <vt:i4>459</vt:i4>
      </vt:variant>
      <vt:variant>
        <vt:i4>0</vt:i4>
      </vt:variant>
      <vt:variant>
        <vt:i4>5</vt:i4>
      </vt:variant>
      <vt:variant>
        <vt:lpwstr/>
      </vt:variant>
      <vt:variant>
        <vt:lpwstr>_Case_example_1:</vt:lpwstr>
      </vt:variant>
      <vt:variant>
        <vt:i4>7798859</vt:i4>
      </vt:variant>
      <vt:variant>
        <vt:i4>456</vt:i4>
      </vt:variant>
      <vt:variant>
        <vt:i4>0</vt:i4>
      </vt:variant>
      <vt:variant>
        <vt:i4>5</vt:i4>
      </vt:variant>
      <vt:variant>
        <vt:lpwstr/>
      </vt:variant>
      <vt:variant>
        <vt:lpwstr>_Methods_for_estimating</vt:lpwstr>
      </vt:variant>
      <vt:variant>
        <vt:i4>2949174</vt:i4>
      </vt:variant>
      <vt:variant>
        <vt:i4>450</vt:i4>
      </vt:variant>
      <vt:variant>
        <vt:i4>0</vt:i4>
      </vt:variant>
      <vt:variant>
        <vt:i4>5</vt:i4>
      </vt:variant>
      <vt:variant>
        <vt:lpwstr>https://cer.gov.au/schemes/national-greenhouse-and-energy-reporting-scheme/about-emissions-and-energy-data/emissions</vt:lpwstr>
      </vt:variant>
      <vt:variant>
        <vt:lpwstr>types-of-emissions</vt:lpwstr>
      </vt:variant>
      <vt:variant>
        <vt:i4>1376357</vt:i4>
      </vt:variant>
      <vt:variant>
        <vt:i4>447</vt:i4>
      </vt:variant>
      <vt:variant>
        <vt:i4>0</vt:i4>
      </vt:variant>
      <vt:variant>
        <vt:i4>5</vt:i4>
      </vt:variant>
      <vt:variant>
        <vt:lpwstr>https://cer.gov.au/document_page/reporting-hydrofluorocarbons-and-sulphur-hexafluoride-gases-guideline</vt:lpwstr>
      </vt:variant>
      <vt:variant>
        <vt:lpwstr/>
      </vt:variant>
      <vt:variant>
        <vt:i4>131112</vt:i4>
      </vt:variant>
      <vt:variant>
        <vt:i4>441</vt:i4>
      </vt:variant>
      <vt:variant>
        <vt:i4>0</vt:i4>
      </vt:variant>
      <vt:variant>
        <vt:i4>5</vt:i4>
      </vt:variant>
      <vt:variant>
        <vt:lpwstr>https://cer.gov.au/document_page/petroleum-based-oils-and-greases-guideline</vt:lpwstr>
      </vt:variant>
      <vt:variant>
        <vt:lpwstr/>
      </vt:variant>
      <vt:variant>
        <vt:i4>5767203</vt:i4>
      </vt:variant>
      <vt:variant>
        <vt:i4>438</vt:i4>
      </vt:variant>
      <vt:variant>
        <vt:i4>0</vt:i4>
      </vt:variant>
      <vt:variant>
        <vt:i4>5</vt:i4>
      </vt:variant>
      <vt:variant>
        <vt:lpwstr>https://cer.gov.au/document_page/estimating-emissions-and-energy-fuel-combustion-guideline</vt:lpwstr>
      </vt:variant>
      <vt:variant>
        <vt:lpwstr/>
      </vt:variant>
      <vt:variant>
        <vt:i4>6815786</vt:i4>
      </vt:variant>
      <vt:variant>
        <vt:i4>432</vt:i4>
      </vt:variant>
      <vt:variant>
        <vt:i4>0</vt:i4>
      </vt:variant>
      <vt:variant>
        <vt:i4>5</vt:i4>
      </vt:variant>
      <vt:variant>
        <vt:lpwstr>https://cer.gov.au/about-us/contact-us</vt:lpwstr>
      </vt:variant>
      <vt:variant>
        <vt:lpwstr/>
      </vt:variant>
      <vt:variant>
        <vt:i4>1245190</vt:i4>
      </vt:variant>
      <vt:variant>
        <vt:i4>423</vt:i4>
      </vt:variant>
      <vt:variant>
        <vt:i4>0</vt:i4>
      </vt:variant>
      <vt:variant>
        <vt:i4>5</vt:i4>
      </vt:variant>
      <vt:variant>
        <vt:lpwstr/>
      </vt:variant>
      <vt:variant>
        <vt:lpwstr>_Measurement_requirements</vt:lpwstr>
      </vt:variant>
      <vt:variant>
        <vt:i4>1245190</vt:i4>
      </vt:variant>
      <vt:variant>
        <vt:i4>399</vt:i4>
      </vt:variant>
      <vt:variant>
        <vt:i4>0</vt:i4>
      </vt:variant>
      <vt:variant>
        <vt:i4>5</vt:i4>
      </vt:variant>
      <vt:variant>
        <vt:lpwstr/>
      </vt:variant>
      <vt:variant>
        <vt:lpwstr>_Measurement_requirements</vt:lpwstr>
      </vt:variant>
      <vt:variant>
        <vt:i4>1245190</vt:i4>
      </vt:variant>
      <vt:variant>
        <vt:i4>384</vt:i4>
      </vt:variant>
      <vt:variant>
        <vt:i4>0</vt:i4>
      </vt:variant>
      <vt:variant>
        <vt:i4>5</vt:i4>
      </vt:variant>
      <vt:variant>
        <vt:lpwstr/>
      </vt:variant>
      <vt:variant>
        <vt:lpwstr>_Measurement_requirements</vt:lpwstr>
      </vt:variant>
      <vt:variant>
        <vt:i4>3670070</vt:i4>
      </vt:variant>
      <vt:variant>
        <vt:i4>378</vt:i4>
      </vt:variant>
      <vt:variant>
        <vt:i4>0</vt:i4>
      </vt:variant>
      <vt:variant>
        <vt:i4>5</vt:i4>
      </vt:variant>
      <vt:variant>
        <vt:lpwstr/>
      </vt:variant>
      <vt:variant>
        <vt:lpwstr>_Metering_considerations</vt:lpwstr>
      </vt:variant>
      <vt:variant>
        <vt:i4>8192057</vt:i4>
      </vt:variant>
      <vt:variant>
        <vt:i4>375</vt:i4>
      </vt:variant>
      <vt:variant>
        <vt:i4>0</vt:i4>
      </vt:variant>
      <vt:variant>
        <vt:i4>5</vt:i4>
      </vt:variant>
      <vt:variant>
        <vt:lpwstr/>
      </vt:variant>
      <vt:variant>
        <vt:lpwstr>_Emissions_from_combustion_1</vt:lpwstr>
      </vt:variant>
      <vt:variant>
        <vt:i4>4980838</vt:i4>
      </vt:variant>
      <vt:variant>
        <vt:i4>372</vt:i4>
      </vt:variant>
      <vt:variant>
        <vt:i4>0</vt:i4>
      </vt:variant>
      <vt:variant>
        <vt:i4>5</vt:i4>
      </vt:variant>
      <vt:variant>
        <vt:lpwstr/>
      </vt:variant>
      <vt:variant>
        <vt:lpwstr>_Emissions_from_combustion</vt:lpwstr>
      </vt:variant>
      <vt:variant>
        <vt:i4>5308447</vt:i4>
      </vt:variant>
      <vt:variant>
        <vt:i4>369</vt:i4>
      </vt:variant>
      <vt:variant>
        <vt:i4>0</vt:i4>
      </vt:variant>
      <vt:variant>
        <vt:i4>5</vt:i4>
      </vt:variant>
      <vt:variant>
        <vt:lpwstr/>
      </vt:variant>
      <vt:variant>
        <vt:lpwstr>_Estimating_emissions_from_1</vt:lpwstr>
      </vt:variant>
      <vt:variant>
        <vt:i4>1245190</vt:i4>
      </vt:variant>
      <vt:variant>
        <vt:i4>366</vt:i4>
      </vt:variant>
      <vt:variant>
        <vt:i4>0</vt:i4>
      </vt:variant>
      <vt:variant>
        <vt:i4>5</vt:i4>
      </vt:variant>
      <vt:variant>
        <vt:lpwstr/>
      </vt:variant>
      <vt:variant>
        <vt:lpwstr>_Measurement_requirements</vt:lpwstr>
      </vt:variant>
      <vt:variant>
        <vt:i4>5439611</vt:i4>
      </vt:variant>
      <vt:variant>
        <vt:i4>363</vt:i4>
      </vt:variant>
      <vt:variant>
        <vt:i4>0</vt:i4>
      </vt:variant>
      <vt:variant>
        <vt:i4>5</vt:i4>
      </vt:variant>
      <vt:variant>
        <vt:lpwstr/>
      </vt:variant>
      <vt:variant>
        <vt:lpwstr>_Case_example_1:</vt:lpwstr>
      </vt:variant>
      <vt:variant>
        <vt:i4>3801180</vt:i4>
      </vt:variant>
      <vt:variant>
        <vt:i4>360</vt:i4>
      </vt:variant>
      <vt:variant>
        <vt:i4>0</vt:i4>
      </vt:variant>
      <vt:variant>
        <vt:i4>5</vt:i4>
      </vt:variant>
      <vt:variant>
        <vt:lpwstr>https://cer.gov.au/document_page/reporting-uncertainty-guideline</vt:lpwstr>
      </vt:variant>
      <vt:variant>
        <vt:lpwstr/>
      </vt:variant>
      <vt:variant>
        <vt:i4>3342425</vt:i4>
      </vt:variant>
      <vt:variant>
        <vt:i4>357</vt:i4>
      </vt:variant>
      <vt:variant>
        <vt:i4>0</vt:i4>
      </vt:variant>
      <vt:variant>
        <vt:i4>5</vt:i4>
      </vt:variant>
      <vt:variant>
        <vt:lpwstr>https://cer.gov.au/document_page/guidance-aggregated-facility-reporting-percentage-estimates-and-incidental-emissions-and-energy</vt:lpwstr>
      </vt:variant>
      <vt:variant>
        <vt:lpwstr/>
      </vt:variant>
      <vt:variant>
        <vt:i4>1376357</vt:i4>
      </vt:variant>
      <vt:variant>
        <vt:i4>342</vt:i4>
      </vt:variant>
      <vt:variant>
        <vt:i4>0</vt:i4>
      </vt:variant>
      <vt:variant>
        <vt:i4>5</vt:i4>
      </vt:variant>
      <vt:variant>
        <vt:lpwstr>https://cer.gov.au/document_page/reporting-hydrofluorocarbons-and-sulphur-hexafluoride-gases-guideline</vt:lpwstr>
      </vt:variant>
      <vt:variant>
        <vt:lpwstr/>
      </vt:variant>
      <vt:variant>
        <vt:i4>1638438</vt:i4>
      </vt:variant>
      <vt:variant>
        <vt:i4>339</vt:i4>
      </vt:variant>
      <vt:variant>
        <vt:i4>0</vt:i4>
      </vt:variant>
      <vt:variant>
        <vt:i4>5</vt:i4>
      </vt:variant>
      <vt:variant>
        <vt:lpwstr/>
      </vt:variant>
      <vt:variant>
        <vt:lpwstr>_Estimating_emissions_of</vt:lpwstr>
      </vt:variant>
      <vt:variant>
        <vt:i4>6226023</vt:i4>
      </vt:variant>
      <vt:variant>
        <vt:i4>336</vt:i4>
      </vt:variant>
      <vt:variant>
        <vt:i4>0</vt:i4>
      </vt:variant>
      <vt:variant>
        <vt:i4>5</vt:i4>
      </vt:variant>
      <vt:variant>
        <vt:lpwstr/>
      </vt:variant>
      <vt:variant>
        <vt:lpwstr>_Emissions_from_consumption</vt:lpwstr>
      </vt:variant>
      <vt:variant>
        <vt:i4>6291520</vt:i4>
      </vt:variant>
      <vt:variant>
        <vt:i4>330</vt:i4>
      </vt:variant>
      <vt:variant>
        <vt:i4>0</vt:i4>
      </vt:variant>
      <vt:variant>
        <vt:i4>5</vt:i4>
      </vt:variant>
      <vt:variant>
        <vt:lpwstr/>
      </vt:variant>
      <vt:variant>
        <vt:lpwstr>_Estimating_emissions_from</vt:lpwstr>
      </vt:variant>
      <vt:variant>
        <vt:i4>8323178</vt:i4>
      </vt:variant>
      <vt:variant>
        <vt:i4>324</vt:i4>
      </vt:variant>
      <vt:variant>
        <vt:i4>0</vt:i4>
      </vt:variant>
      <vt:variant>
        <vt:i4>5</vt:i4>
      </vt:variant>
      <vt:variant>
        <vt:lpwstr>https://cer.gov.au/document/nger-quick-help-topics</vt:lpwstr>
      </vt:variant>
      <vt:variant>
        <vt:lpwstr/>
      </vt:variant>
      <vt:variant>
        <vt:i4>720915</vt:i4>
      </vt:variant>
      <vt:variant>
        <vt:i4>321</vt:i4>
      </vt:variant>
      <vt:variant>
        <vt:i4>0</vt:i4>
      </vt:variant>
      <vt:variant>
        <vt:i4>5</vt:i4>
      </vt:variant>
      <vt:variant>
        <vt:lpwstr/>
      </vt:variant>
      <vt:variant>
        <vt:lpwstr>_Measurement_Criteria</vt:lpwstr>
      </vt:variant>
      <vt:variant>
        <vt:i4>720915</vt:i4>
      </vt:variant>
      <vt:variant>
        <vt:i4>318</vt:i4>
      </vt:variant>
      <vt:variant>
        <vt:i4>0</vt:i4>
      </vt:variant>
      <vt:variant>
        <vt:i4>5</vt:i4>
      </vt:variant>
      <vt:variant>
        <vt:lpwstr/>
      </vt:variant>
      <vt:variant>
        <vt:lpwstr>_Measurement_Criteria</vt:lpwstr>
      </vt:variant>
      <vt:variant>
        <vt:i4>1704004</vt:i4>
      </vt:variant>
      <vt:variant>
        <vt:i4>312</vt:i4>
      </vt:variant>
      <vt:variant>
        <vt:i4>0</vt:i4>
      </vt:variant>
      <vt:variant>
        <vt:i4>5</vt:i4>
      </vt:variant>
      <vt:variant>
        <vt:lpwstr>https://cer.gov.au/schemes/national-greenhouse-and-energy-reporting-scheme/report-emissions-and-energy/nger-reporting-guides</vt:lpwstr>
      </vt:variant>
      <vt:variant>
        <vt:lpwstr/>
      </vt:variant>
      <vt:variant>
        <vt:i4>1507373</vt:i4>
      </vt:variant>
      <vt:variant>
        <vt:i4>309</vt:i4>
      </vt:variant>
      <vt:variant>
        <vt:i4>0</vt:i4>
      </vt:variant>
      <vt:variant>
        <vt:i4>5</vt:i4>
      </vt:variant>
      <vt:variant>
        <vt:lpwstr>https://cer.gov.au/document_page/voluntary-market-based-scope-2-emissions-guideline</vt:lpwstr>
      </vt:variant>
      <vt:variant>
        <vt:lpwstr/>
      </vt:variant>
      <vt:variant>
        <vt:i4>1376357</vt:i4>
      </vt:variant>
      <vt:variant>
        <vt:i4>306</vt:i4>
      </vt:variant>
      <vt:variant>
        <vt:i4>0</vt:i4>
      </vt:variant>
      <vt:variant>
        <vt:i4>5</vt:i4>
      </vt:variant>
      <vt:variant>
        <vt:lpwstr>https://cer.gov.au/document_page/reporting-hydrofluorocarbons-and-sulphur-hexafluoride-gases-guideline</vt:lpwstr>
      </vt:variant>
      <vt:variant>
        <vt:lpwstr/>
      </vt:variant>
      <vt:variant>
        <vt:i4>983067</vt:i4>
      </vt:variant>
      <vt:variant>
        <vt:i4>303</vt:i4>
      </vt:variant>
      <vt:variant>
        <vt:i4>0</vt:i4>
      </vt:variant>
      <vt:variant>
        <vt:i4>5</vt:i4>
      </vt:variant>
      <vt:variant>
        <vt:lpwstr>https://www.legislation.gov.au/Series/F2015L01637</vt:lpwstr>
      </vt:variant>
      <vt:variant>
        <vt:lpwstr/>
      </vt:variant>
      <vt:variant>
        <vt:i4>1179716</vt:i4>
      </vt:variant>
      <vt:variant>
        <vt:i4>300</vt:i4>
      </vt:variant>
      <vt:variant>
        <vt:i4>0</vt:i4>
      </vt:variant>
      <vt:variant>
        <vt:i4>5</vt:i4>
      </vt:variant>
      <vt:variant>
        <vt:lpwstr>https://cer.gov.au/schemes/national-greenhouse-and-energy-reporting-scheme/report-emissions-and-energy/amendments</vt:lpwstr>
      </vt:variant>
      <vt:variant>
        <vt:lpwstr/>
      </vt:variant>
      <vt:variant>
        <vt:i4>2883643</vt:i4>
      </vt:variant>
      <vt:variant>
        <vt:i4>297</vt:i4>
      </vt:variant>
      <vt:variant>
        <vt:i4>0</vt:i4>
      </vt:variant>
      <vt:variant>
        <vt:i4>5</vt:i4>
      </vt:variant>
      <vt:variant>
        <vt:lpwstr>https://cer.gov.au/schemes/national-greenhouse-and-energy-reporting-scheme</vt:lpwstr>
      </vt:variant>
      <vt:variant>
        <vt:lpwstr/>
      </vt:variant>
      <vt:variant>
        <vt:i4>917523</vt:i4>
      </vt:variant>
      <vt:variant>
        <vt:i4>294</vt:i4>
      </vt:variant>
      <vt:variant>
        <vt:i4>0</vt:i4>
      </vt:variant>
      <vt:variant>
        <vt:i4>5</vt:i4>
      </vt:variant>
      <vt:variant>
        <vt:lpwstr>https://www.legislation.gov.au/Series/F2008L02309</vt:lpwstr>
      </vt:variant>
      <vt:variant>
        <vt:lpwstr/>
      </vt:variant>
      <vt:variant>
        <vt:i4>851986</vt:i4>
      </vt:variant>
      <vt:variant>
        <vt:i4>291</vt:i4>
      </vt:variant>
      <vt:variant>
        <vt:i4>0</vt:i4>
      </vt:variant>
      <vt:variant>
        <vt:i4>5</vt:i4>
      </vt:variant>
      <vt:variant>
        <vt:lpwstr>https://www.legislation.gov.au/Series/F2008L02230</vt:lpwstr>
      </vt:variant>
      <vt:variant>
        <vt:lpwstr/>
      </vt:variant>
      <vt:variant>
        <vt:i4>393243</vt:i4>
      </vt:variant>
      <vt:variant>
        <vt:i4>288</vt:i4>
      </vt:variant>
      <vt:variant>
        <vt:i4>0</vt:i4>
      </vt:variant>
      <vt:variant>
        <vt:i4>5</vt:i4>
      </vt:variant>
      <vt:variant>
        <vt:lpwstr>https://www.legislation.gov.au/Series/C2007A00175</vt:lpwstr>
      </vt:variant>
      <vt:variant>
        <vt:lpwstr/>
      </vt:variant>
      <vt:variant>
        <vt:i4>7798908</vt:i4>
      </vt:variant>
      <vt:variant>
        <vt:i4>285</vt:i4>
      </vt:variant>
      <vt:variant>
        <vt:i4>0</vt:i4>
      </vt:variant>
      <vt:variant>
        <vt:i4>5</vt:i4>
      </vt:variant>
      <vt:variant>
        <vt:lpwstr>https://cer.gov.au/schemes/safeguard-mechanism</vt:lpwstr>
      </vt:variant>
      <vt:variant>
        <vt:lpwstr/>
      </vt:variant>
      <vt:variant>
        <vt:i4>8323178</vt:i4>
      </vt:variant>
      <vt:variant>
        <vt:i4>6</vt:i4>
      </vt:variant>
      <vt:variant>
        <vt:i4>0</vt:i4>
      </vt:variant>
      <vt:variant>
        <vt:i4>5</vt:i4>
      </vt:variant>
      <vt:variant>
        <vt:lpwstr>https://cer.gov.au/document/nger-quick-help-topics</vt:lpwstr>
      </vt:variant>
      <vt:variant>
        <vt:lpwstr/>
      </vt:variant>
      <vt:variant>
        <vt:i4>1507373</vt:i4>
      </vt:variant>
      <vt:variant>
        <vt:i4>3</vt:i4>
      </vt:variant>
      <vt:variant>
        <vt:i4>0</vt:i4>
      </vt:variant>
      <vt:variant>
        <vt:i4>5</vt:i4>
      </vt:variant>
      <vt:variant>
        <vt:lpwstr>https://cer.gov.au/document_page/voluntary-market-based-scope-2-emissions-guideline</vt:lpwstr>
      </vt:variant>
      <vt:variant>
        <vt:lpwstr/>
      </vt:variant>
      <vt:variant>
        <vt:i4>983057</vt:i4>
      </vt:variant>
      <vt:variant>
        <vt:i4>0</vt:i4>
      </vt:variant>
      <vt:variant>
        <vt:i4>0</vt:i4>
      </vt:variant>
      <vt:variant>
        <vt:i4>5</vt:i4>
      </vt:variant>
      <vt:variant>
        <vt:lpwstr>https://cer.gov.au/schemes/national-greenhouse-and-energy-reporting-scheme/report-emissions-and-energy/amendments-to-national-greenhouse-and-energy-reporting-legislation</vt:lpwstr>
      </vt:variant>
      <vt:variant>
        <vt:lpwstr/>
      </vt:variant>
      <vt:variant>
        <vt:i4>4522094</vt:i4>
      </vt:variant>
      <vt:variant>
        <vt:i4>9</vt:i4>
      </vt:variant>
      <vt:variant>
        <vt:i4>0</vt:i4>
      </vt:variant>
      <vt:variant>
        <vt:i4>5</vt:i4>
      </vt:variant>
      <vt:variant>
        <vt:lpwstr>mailto:Stuart.Dyke@cer.gov.au</vt:lpwstr>
      </vt:variant>
      <vt:variant>
        <vt:lpwstr/>
      </vt:variant>
      <vt:variant>
        <vt:i4>4522094</vt:i4>
      </vt:variant>
      <vt:variant>
        <vt:i4>6</vt:i4>
      </vt:variant>
      <vt:variant>
        <vt:i4>0</vt:i4>
      </vt:variant>
      <vt:variant>
        <vt:i4>5</vt:i4>
      </vt:variant>
      <vt:variant>
        <vt:lpwstr>mailto:Stuart.Dyke@cer.gov.au</vt:lpwstr>
      </vt:variant>
      <vt:variant>
        <vt:lpwstr/>
      </vt:variant>
      <vt:variant>
        <vt:i4>7405639</vt:i4>
      </vt:variant>
      <vt:variant>
        <vt:i4>3</vt:i4>
      </vt:variant>
      <vt:variant>
        <vt:i4>0</vt:i4>
      </vt:variant>
      <vt:variant>
        <vt:i4>5</vt:i4>
      </vt:variant>
      <vt:variant>
        <vt:lpwstr>mailto:Chris.Sheahan@cer.gov.au</vt:lpwstr>
      </vt:variant>
      <vt:variant>
        <vt:lpwstr/>
      </vt:variant>
      <vt:variant>
        <vt:i4>4522094</vt:i4>
      </vt:variant>
      <vt:variant>
        <vt:i4>0</vt:i4>
      </vt:variant>
      <vt:variant>
        <vt:i4>0</vt:i4>
      </vt:variant>
      <vt:variant>
        <vt:i4>5</vt:i4>
      </vt:variant>
      <vt:variant>
        <vt:lpwstr>mailto:Stuart.Dyke@cer.gov.au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Estimating emissions and energy from electricity production and consumption guideline</dc:title>
  <dc:subject/>
  <dc:creator/>
  <cp:keywords/>
  <cp:lastModifiedBy/>
  <cp:revision>1</cp:revision>
  <dcterms:created xsi:type="dcterms:W3CDTF">2025-08-10T23:43:00Z</dcterms:created>
  <dcterms:modified xsi:type="dcterms:W3CDTF">2025-08-11T00:57:00Z</dcterms:modified>
  <cp:contentStatus/>
</cp:coreProperties>
</file>