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902C9" w14:textId="4B0C60C7" w:rsidR="00977234" w:rsidRDefault="0018495B" w:rsidP="00146FC8">
      <w:pPr>
        <w:pStyle w:val="CERcovertitle"/>
        <w:tabs>
          <w:tab w:val="left" w:pos="5103"/>
        </w:tabs>
        <w:spacing w:before="2520"/>
        <w:ind w:left="5103" w:right="-41"/>
      </w:pPr>
      <w:r>
        <w:drawing>
          <wp:anchor distT="0" distB="0" distL="114300" distR="114300" simplePos="0" relativeHeight="251666432" behindDoc="0" locked="0" layoutInCell="1" allowOverlap="1" wp14:anchorId="711A514B" wp14:editId="3B219F01">
            <wp:simplePos x="0" y="0"/>
            <wp:positionH relativeFrom="column">
              <wp:posOffset>159710</wp:posOffset>
            </wp:positionH>
            <wp:positionV relativeFrom="page">
              <wp:posOffset>2562003</wp:posOffset>
            </wp:positionV>
            <wp:extent cx="2664000" cy="2664000"/>
            <wp:effectExtent l="0" t="0" r="0" b="0"/>
            <wp:wrapNone/>
            <wp:docPr id="22" name="Picture 22" descr="Gears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ears outline">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2664000" cy="2664000"/>
                    </a:xfrm>
                    <a:prstGeom prst="rect">
                      <a:avLst/>
                    </a:prstGeom>
                  </pic:spPr>
                </pic:pic>
              </a:graphicData>
            </a:graphic>
            <wp14:sizeRelH relativeFrom="page">
              <wp14:pctWidth>0</wp14:pctWidth>
            </wp14:sizeRelH>
            <wp14:sizeRelV relativeFrom="page">
              <wp14:pctHeight>0</wp14:pctHeight>
            </wp14:sizeRelV>
          </wp:anchor>
        </w:drawing>
      </w:r>
      <w:r w:rsidRPr="001813DE">
        <w:rPr>
          <w:rFonts w:asciiTheme="minorHAnsi" w:hAnsiTheme="minorHAnsi"/>
        </w:rPr>
        <mc:AlternateContent>
          <mc:Choice Requires="wps">
            <w:drawing>
              <wp:anchor distT="0" distB="0" distL="114300" distR="114300" simplePos="0" relativeHeight="251659264" behindDoc="0" locked="0" layoutInCell="1" allowOverlap="1" wp14:anchorId="41A7BA9F" wp14:editId="747D8C8C">
                <wp:simplePos x="0" y="0"/>
                <wp:positionH relativeFrom="column">
                  <wp:posOffset>-19050</wp:posOffset>
                </wp:positionH>
                <wp:positionV relativeFrom="paragraph">
                  <wp:posOffset>1116729</wp:posOffset>
                </wp:positionV>
                <wp:extent cx="6192000" cy="6185230"/>
                <wp:effectExtent l="0" t="0" r="0" b="6350"/>
                <wp:wrapNone/>
                <wp:docPr id="15" name="Freeform 14">
                  <a:extLst xmlns:a="http://schemas.openxmlformats.org/drawingml/2006/main">
                    <a:ext uri="{FF2B5EF4-FFF2-40B4-BE49-F238E27FC236}">
                      <a16:creationId xmlns:a16="http://schemas.microsoft.com/office/drawing/2014/main" id="{833A9379-F33B-6747-102E-56A33714938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2000" cy="6185230"/>
                        </a:xfrm>
                        <a:custGeom>
                          <a:avLst/>
                          <a:gdLst>
                            <a:gd name="connsiteX0" fmla="*/ 5805660 w 7550841"/>
                            <a:gd name="connsiteY0" fmla="*/ 5698644 h 7542959"/>
                            <a:gd name="connsiteX1" fmla="*/ 7449582 w 7550841"/>
                            <a:gd name="connsiteY1" fmla="*/ 5698644 h 7542959"/>
                            <a:gd name="connsiteX2" fmla="*/ 7550841 w 7550841"/>
                            <a:gd name="connsiteY2" fmla="*/ 5788610 h 7542959"/>
                            <a:gd name="connsiteX3" fmla="*/ 7550841 w 7550841"/>
                            <a:gd name="connsiteY3" fmla="*/ 7441836 h 7542959"/>
                            <a:gd name="connsiteX4" fmla="*/ 7449582 w 7550841"/>
                            <a:gd name="connsiteY4" fmla="*/ 7542959 h 7542959"/>
                            <a:gd name="connsiteX5" fmla="*/ 5805660 w 7550841"/>
                            <a:gd name="connsiteY5" fmla="*/ 7542959 h 7542959"/>
                            <a:gd name="connsiteX6" fmla="*/ 5704401 w 7550841"/>
                            <a:gd name="connsiteY6" fmla="*/ 7441836 h 7542959"/>
                            <a:gd name="connsiteX7" fmla="*/ 5704401 w 7550841"/>
                            <a:gd name="connsiteY7" fmla="*/ 5788610 h 7542959"/>
                            <a:gd name="connsiteX8" fmla="*/ 3894784 w 7550841"/>
                            <a:gd name="connsiteY8" fmla="*/ 5698644 h 7542959"/>
                            <a:gd name="connsiteX9" fmla="*/ 5559985 w 7550841"/>
                            <a:gd name="connsiteY9" fmla="*/ 5698644 h 7542959"/>
                            <a:gd name="connsiteX10" fmla="*/ 5650604 w 7550841"/>
                            <a:gd name="connsiteY10" fmla="*/ 5788610 h 7542959"/>
                            <a:gd name="connsiteX11" fmla="*/ 5650604 w 7550841"/>
                            <a:gd name="connsiteY11" fmla="*/ 7441836 h 7542959"/>
                            <a:gd name="connsiteX12" fmla="*/ 5559985 w 7550841"/>
                            <a:gd name="connsiteY12" fmla="*/ 7542959 h 7542959"/>
                            <a:gd name="connsiteX13" fmla="*/ 3894784 w 7550841"/>
                            <a:gd name="connsiteY13" fmla="*/ 7542959 h 7542959"/>
                            <a:gd name="connsiteX14" fmla="*/ 3804166 w 7550841"/>
                            <a:gd name="connsiteY14" fmla="*/ 7441836 h 7542959"/>
                            <a:gd name="connsiteX15" fmla="*/ 3804166 w 7550841"/>
                            <a:gd name="connsiteY15" fmla="*/ 5788610 h 7542959"/>
                            <a:gd name="connsiteX16" fmla="*/ 2001855 w 7550841"/>
                            <a:gd name="connsiteY16" fmla="*/ 5698644 h 7542959"/>
                            <a:gd name="connsiteX17" fmla="*/ 3645777 w 7550841"/>
                            <a:gd name="connsiteY17" fmla="*/ 5698644 h 7542959"/>
                            <a:gd name="connsiteX18" fmla="*/ 3747036 w 7550841"/>
                            <a:gd name="connsiteY18" fmla="*/ 5788610 h 7542959"/>
                            <a:gd name="connsiteX19" fmla="*/ 3747036 w 7550841"/>
                            <a:gd name="connsiteY19" fmla="*/ 7441836 h 7542959"/>
                            <a:gd name="connsiteX20" fmla="*/ 3645777 w 7550841"/>
                            <a:gd name="connsiteY20" fmla="*/ 7542959 h 7542959"/>
                            <a:gd name="connsiteX21" fmla="*/ 2001855 w 7550841"/>
                            <a:gd name="connsiteY21" fmla="*/ 7542959 h 7542959"/>
                            <a:gd name="connsiteX22" fmla="*/ 1900596 w 7550841"/>
                            <a:gd name="connsiteY22" fmla="*/ 7441836 h 7542959"/>
                            <a:gd name="connsiteX23" fmla="*/ 1900596 w 7550841"/>
                            <a:gd name="connsiteY23" fmla="*/ 5788610 h 7542959"/>
                            <a:gd name="connsiteX24" fmla="*/ 3894784 w 7550841"/>
                            <a:gd name="connsiteY24" fmla="*/ 3796819 h 7542959"/>
                            <a:gd name="connsiteX25" fmla="*/ 5115195 w 7550841"/>
                            <a:gd name="connsiteY25" fmla="*/ 3796819 h 7542959"/>
                            <a:gd name="connsiteX26" fmla="*/ 5559985 w 7550841"/>
                            <a:gd name="connsiteY26" fmla="*/ 3796819 h 7542959"/>
                            <a:gd name="connsiteX27" fmla="*/ 5805660 w 7550841"/>
                            <a:gd name="connsiteY27" fmla="*/ 3796819 h 7542959"/>
                            <a:gd name="connsiteX28" fmla="*/ 6759117 w 7550841"/>
                            <a:gd name="connsiteY28" fmla="*/ 3796819 h 7542959"/>
                            <a:gd name="connsiteX29" fmla="*/ 7449582 w 7550841"/>
                            <a:gd name="connsiteY29" fmla="*/ 3796819 h 7542959"/>
                            <a:gd name="connsiteX30" fmla="*/ 7550841 w 7550841"/>
                            <a:gd name="connsiteY30" fmla="*/ 3886786 h 7542959"/>
                            <a:gd name="connsiteX31" fmla="*/ 7550841 w 7550841"/>
                            <a:gd name="connsiteY31" fmla="*/ 5540012 h 7542959"/>
                            <a:gd name="connsiteX32" fmla="*/ 7449582 w 7550841"/>
                            <a:gd name="connsiteY32" fmla="*/ 5641134 h 7542959"/>
                            <a:gd name="connsiteX33" fmla="*/ 6759117 w 7550841"/>
                            <a:gd name="connsiteY33" fmla="*/ 5641134 h 7542959"/>
                            <a:gd name="connsiteX34" fmla="*/ 5805660 w 7550841"/>
                            <a:gd name="connsiteY34" fmla="*/ 5641134 h 7542959"/>
                            <a:gd name="connsiteX35" fmla="*/ 5559985 w 7550841"/>
                            <a:gd name="connsiteY35" fmla="*/ 5641134 h 7542959"/>
                            <a:gd name="connsiteX36" fmla="*/ 5115195 w 7550841"/>
                            <a:gd name="connsiteY36" fmla="*/ 5641134 h 7542959"/>
                            <a:gd name="connsiteX37" fmla="*/ 3894784 w 7550841"/>
                            <a:gd name="connsiteY37" fmla="*/ 5641134 h 7542959"/>
                            <a:gd name="connsiteX38" fmla="*/ 3804166 w 7550841"/>
                            <a:gd name="connsiteY38" fmla="*/ 5551150 h 7542959"/>
                            <a:gd name="connsiteX39" fmla="*/ 3804166 w 7550841"/>
                            <a:gd name="connsiteY39" fmla="*/ 3897961 h 7542959"/>
                            <a:gd name="connsiteX40" fmla="*/ 1991217 w 7550841"/>
                            <a:gd name="connsiteY40" fmla="*/ 3796819 h 7542959"/>
                            <a:gd name="connsiteX41" fmla="*/ 3656417 w 7550841"/>
                            <a:gd name="connsiteY41" fmla="*/ 3796819 h 7542959"/>
                            <a:gd name="connsiteX42" fmla="*/ 3747036 w 7550841"/>
                            <a:gd name="connsiteY42" fmla="*/ 3897961 h 7542959"/>
                            <a:gd name="connsiteX43" fmla="*/ 3747036 w 7550841"/>
                            <a:gd name="connsiteY43" fmla="*/ 5551150 h 7542959"/>
                            <a:gd name="connsiteX44" fmla="*/ 3656417 w 7550841"/>
                            <a:gd name="connsiteY44" fmla="*/ 5641134 h 7542959"/>
                            <a:gd name="connsiteX45" fmla="*/ 1991217 w 7550841"/>
                            <a:gd name="connsiteY45" fmla="*/ 5641134 h 7542959"/>
                            <a:gd name="connsiteX46" fmla="*/ 1900599 w 7550841"/>
                            <a:gd name="connsiteY46" fmla="*/ 5551150 h 7542959"/>
                            <a:gd name="connsiteX47" fmla="*/ 1900599 w 7550841"/>
                            <a:gd name="connsiteY47" fmla="*/ 3897961 h 7542959"/>
                            <a:gd name="connsiteX48" fmla="*/ 90980 w 7550841"/>
                            <a:gd name="connsiteY48" fmla="*/ 3796819 h 7542959"/>
                            <a:gd name="connsiteX49" fmla="*/ 1756180 w 7550841"/>
                            <a:gd name="connsiteY49" fmla="*/ 3796819 h 7542959"/>
                            <a:gd name="connsiteX50" fmla="*/ 1846799 w 7550841"/>
                            <a:gd name="connsiteY50" fmla="*/ 3886785 h 7542959"/>
                            <a:gd name="connsiteX51" fmla="*/ 1846799 w 7550841"/>
                            <a:gd name="connsiteY51" fmla="*/ 5540011 h 7542959"/>
                            <a:gd name="connsiteX52" fmla="*/ 1756180 w 7550841"/>
                            <a:gd name="connsiteY52" fmla="*/ 5641134 h 7542959"/>
                            <a:gd name="connsiteX53" fmla="*/ 90980 w 7550841"/>
                            <a:gd name="connsiteY53" fmla="*/ 5641134 h 7542959"/>
                            <a:gd name="connsiteX54" fmla="*/ 361 w 7550841"/>
                            <a:gd name="connsiteY54" fmla="*/ 5540011 h 7542959"/>
                            <a:gd name="connsiteX55" fmla="*/ 361 w 7550841"/>
                            <a:gd name="connsiteY55" fmla="*/ 3886785 h 7542959"/>
                            <a:gd name="connsiteX56" fmla="*/ 90009 w 7550841"/>
                            <a:gd name="connsiteY56" fmla="*/ 0 h 7542959"/>
                            <a:gd name="connsiteX57" fmla="*/ 3645017 w 7550841"/>
                            <a:gd name="connsiteY57" fmla="*/ 0 h 7542959"/>
                            <a:gd name="connsiteX58" fmla="*/ 3735026 w 7550841"/>
                            <a:gd name="connsiteY58" fmla="*/ 90009 h 7542959"/>
                            <a:gd name="connsiteX59" fmla="*/ 3735026 w 7550841"/>
                            <a:gd name="connsiteY59" fmla="*/ 1226288 h 7542959"/>
                            <a:gd name="connsiteX60" fmla="*/ 3735026 w 7550841"/>
                            <a:gd name="connsiteY60" fmla="*/ 1744021 h 7542959"/>
                            <a:gd name="connsiteX61" fmla="*/ 3735026 w 7550841"/>
                            <a:gd name="connsiteY61" fmla="*/ 1991367 h 7542959"/>
                            <a:gd name="connsiteX62" fmla="*/ 3735026 w 7550841"/>
                            <a:gd name="connsiteY62" fmla="*/ 2879939 h 7542959"/>
                            <a:gd name="connsiteX63" fmla="*/ 3735026 w 7550841"/>
                            <a:gd name="connsiteY63" fmla="*/ 3633858 h 7542959"/>
                            <a:gd name="connsiteX64" fmla="*/ 3645017 w 7550841"/>
                            <a:gd name="connsiteY64" fmla="*/ 3735028 h 7542959"/>
                            <a:gd name="connsiteX65" fmla="*/ 2689118 w 7550841"/>
                            <a:gd name="connsiteY65" fmla="*/ 3735028 h 7542959"/>
                            <a:gd name="connsiteX66" fmla="*/ 1991366 w 7550841"/>
                            <a:gd name="connsiteY66" fmla="*/ 3735028 h 7542959"/>
                            <a:gd name="connsiteX67" fmla="*/ 1744020 w 7550841"/>
                            <a:gd name="connsiteY67" fmla="*/ 3735028 h 7542959"/>
                            <a:gd name="connsiteX68" fmla="*/ 1035107 w 7550841"/>
                            <a:gd name="connsiteY68" fmla="*/ 3735028 h 7542959"/>
                            <a:gd name="connsiteX69" fmla="*/ 90009 w 7550841"/>
                            <a:gd name="connsiteY69" fmla="*/ 3735028 h 7542959"/>
                            <a:gd name="connsiteX70" fmla="*/ 0 w 7550841"/>
                            <a:gd name="connsiteY70" fmla="*/ 3633858 h 7542959"/>
                            <a:gd name="connsiteX71" fmla="*/ 0 w 7550841"/>
                            <a:gd name="connsiteY71" fmla="*/ 2879939 h 7542959"/>
                            <a:gd name="connsiteX72" fmla="*/ 0 w 7550841"/>
                            <a:gd name="connsiteY72" fmla="*/ 1991367 h 7542959"/>
                            <a:gd name="connsiteX73" fmla="*/ 0 w 7550841"/>
                            <a:gd name="connsiteY73" fmla="*/ 1744021 h 7542959"/>
                            <a:gd name="connsiteX74" fmla="*/ 0 w 7550841"/>
                            <a:gd name="connsiteY74" fmla="*/ 1226288 h 7542959"/>
                            <a:gd name="connsiteX75" fmla="*/ 0 w 7550841"/>
                            <a:gd name="connsiteY75" fmla="*/ 90009 h 7542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7550841" h="7542959">
                              <a:moveTo>
                                <a:pt x="5805660" y="5698644"/>
                              </a:moveTo>
                              <a:lnTo>
                                <a:pt x="7449582" y="5698644"/>
                              </a:lnTo>
                              <a:lnTo>
                                <a:pt x="7550841" y="5788610"/>
                              </a:lnTo>
                              <a:lnTo>
                                <a:pt x="7550841" y="7441836"/>
                              </a:lnTo>
                              <a:lnTo>
                                <a:pt x="7449582" y="7542959"/>
                              </a:lnTo>
                              <a:lnTo>
                                <a:pt x="5805660" y="7542959"/>
                              </a:lnTo>
                              <a:lnTo>
                                <a:pt x="5704401" y="7441836"/>
                              </a:lnTo>
                              <a:lnTo>
                                <a:pt x="5704401" y="5788610"/>
                              </a:lnTo>
                              <a:close/>
                              <a:moveTo>
                                <a:pt x="3894784" y="5698644"/>
                              </a:moveTo>
                              <a:lnTo>
                                <a:pt x="5559985" y="5698644"/>
                              </a:lnTo>
                              <a:lnTo>
                                <a:pt x="5650604" y="5788610"/>
                              </a:lnTo>
                              <a:lnTo>
                                <a:pt x="5650604" y="7441836"/>
                              </a:lnTo>
                              <a:lnTo>
                                <a:pt x="5559985" y="7542959"/>
                              </a:lnTo>
                              <a:lnTo>
                                <a:pt x="3894784" y="7542959"/>
                              </a:lnTo>
                              <a:lnTo>
                                <a:pt x="3804166" y="7441836"/>
                              </a:lnTo>
                              <a:lnTo>
                                <a:pt x="3804166" y="5788610"/>
                              </a:lnTo>
                              <a:close/>
                              <a:moveTo>
                                <a:pt x="2001855" y="5698644"/>
                              </a:moveTo>
                              <a:lnTo>
                                <a:pt x="3645777" y="5698644"/>
                              </a:lnTo>
                              <a:lnTo>
                                <a:pt x="3747036" y="5788610"/>
                              </a:lnTo>
                              <a:lnTo>
                                <a:pt x="3747036" y="7441836"/>
                              </a:lnTo>
                              <a:lnTo>
                                <a:pt x="3645777" y="7542959"/>
                              </a:lnTo>
                              <a:lnTo>
                                <a:pt x="2001855" y="7542959"/>
                              </a:lnTo>
                              <a:lnTo>
                                <a:pt x="1900596" y="7441836"/>
                              </a:lnTo>
                              <a:lnTo>
                                <a:pt x="1900596" y="5788610"/>
                              </a:lnTo>
                              <a:close/>
                              <a:moveTo>
                                <a:pt x="3894784" y="3796819"/>
                              </a:moveTo>
                              <a:lnTo>
                                <a:pt x="5115195" y="3796819"/>
                              </a:lnTo>
                              <a:lnTo>
                                <a:pt x="5559985" y="3796819"/>
                              </a:lnTo>
                              <a:lnTo>
                                <a:pt x="5805660" y="3796819"/>
                              </a:lnTo>
                              <a:lnTo>
                                <a:pt x="6759117" y="3796819"/>
                              </a:lnTo>
                              <a:lnTo>
                                <a:pt x="7449582" y="3796819"/>
                              </a:lnTo>
                              <a:lnTo>
                                <a:pt x="7550841" y="3886786"/>
                              </a:lnTo>
                              <a:lnTo>
                                <a:pt x="7550841" y="5540012"/>
                              </a:lnTo>
                              <a:lnTo>
                                <a:pt x="7449582" y="5641134"/>
                              </a:lnTo>
                              <a:lnTo>
                                <a:pt x="6759117" y="5641134"/>
                              </a:lnTo>
                              <a:lnTo>
                                <a:pt x="5805660" y="5641134"/>
                              </a:lnTo>
                              <a:lnTo>
                                <a:pt x="5559985" y="5641134"/>
                              </a:lnTo>
                              <a:lnTo>
                                <a:pt x="5115195" y="5641134"/>
                              </a:lnTo>
                              <a:lnTo>
                                <a:pt x="3894784" y="5641134"/>
                              </a:lnTo>
                              <a:lnTo>
                                <a:pt x="3804166" y="5551150"/>
                              </a:lnTo>
                              <a:lnTo>
                                <a:pt x="3804166" y="3897961"/>
                              </a:lnTo>
                              <a:close/>
                              <a:moveTo>
                                <a:pt x="1991217" y="3796819"/>
                              </a:moveTo>
                              <a:lnTo>
                                <a:pt x="3656417" y="3796819"/>
                              </a:lnTo>
                              <a:lnTo>
                                <a:pt x="3747036" y="3897961"/>
                              </a:lnTo>
                              <a:lnTo>
                                <a:pt x="3747036" y="5551150"/>
                              </a:lnTo>
                              <a:lnTo>
                                <a:pt x="3656417" y="5641134"/>
                              </a:lnTo>
                              <a:lnTo>
                                <a:pt x="1991217" y="5641134"/>
                              </a:lnTo>
                              <a:lnTo>
                                <a:pt x="1900599" y="5551150"/>
                              </a:lnTo>
                              <a:lnTo>
                                <a:pt x="1900599" y="3897961"/>
                              </a:lnTo>
                              <a:close/>
                              <a:moveTo>
                                <a:pt x="90980" y="3796819"/>
                              </a:moveTo>
                              <a:lnTo>
                                <a:pt x="1756180" y="3796819"/>
                              </a:lnTo>
                              <a:lnTo>
                                <a:pt x="1846799" y="3886785"/>
                              </a:lnTo>
                              <a:lnTo>
                                <a:pt x="1846799" y="5540011"/>
                              </a:lnTo>
                              <a:lnTo>
                                <a:pt x="1756180" y="5641134"/>
                              </a:lnTo>
                              <a:lnTo>
                                <a:pt x="90980" y="5641134"/>
                              </a:lnTo>
                              <a:lnTo>
                                <a:pt x="361" y="5540011"/>
                              </a:lnTo>
                              <a:lnTo>
                                <a:pt x="361" y="3886785"/>
                              </a:lnTo>
                              <a:close/>
                              <a:moveTo>
                                <a:pt x="90009" y="0"/>
                              </a:moveTo>
                              <a:lnTo>
                                <a:pt x="3645017" y="0"/>
                              </a:lnTo>
                              <a:lnTo>
                                <a:pt x="3735026" y="90009"/>
                              </a:lnTo>
                              <a:lnTo>
                                <a:pt x="3735026" y="1226288"/>
                              </a:lnTo>
                              <a:lnTo>
                                <a:pt x="3735026" y="1744021"/>
                              </a:lnTo>
                              <a:lnTo>
                                <a:pt x="3735026" y="1991367"/>
                              </a:lnTo>
                              <a:lnTo>
                                <a:pt x="3735026" y="2879939"/>
                              </a:lnTo>
                              <a:lnTo>
                                <a:pt x="3735026" y="3633858"/>
                              </a:lnTo>
                              <a:lnTo>
                                <a:pt x="3645017" y="3735028"/>
                              </a:lnTo>
                              <a:lnTo>
                                <a:pt x="2689118" y="3735028"/>
                              </a:lnTo>
                              <a:lnTo>
                                <a:pt x="1991366" y="3735028"/>
                              </a:lnTo>
                              <a:lnTo>
                                <a:pt x="1744020" y="3735028"/>
                              </a:lnTo>
                              <a:lnTo>
                                <a:pt x="1035107" y="3735028"/>
                              </a:lnTo>
                              <a:lnTo>
                                <a:pt x="90009" y="3735028"/>
                              </a:lnTo>
                              <a:lnTo>
                                <a:pt x="0" y="3633858"/>
                              </a:lnTo>
                              <a:lnTo>
                                <a:pt x="0" y="2879939"/>
                              </a:lnTo>
                              <a:lnTo>
                                <a:pt x="0" y="1991367"/>
                              </a:lnTo>
                              <a:lnTo>
                                <a:pt x="0" y="1744021"/>
                              </a:lnTo>
                              <a:lnTo>
                                <a:pt x="0" y="1226288"/>
                              </a:lnTo>
                              <a:lnTo>
                                <a:pt x="0" y="90009"/>
                              </a:lnTo>
                              <a:close/>
                            </a:path>
                          </a:pathLst>
                        </a:custGeom>
                        <a:solidFill>
                          <a:schemeClr val="accent1">
                            <a:lumMod val="60000"/>
                            <a:lumOff val="40000"/>
                          </a:schemeClr>
                        </a:solidFill>
                        <a:ln>
                          <a:noFill/>
                        </a:ln>
                        <a:effectLst/>
                      </wps:spPr>
                      <wps:bodyPr wrap="square" anchor="ctr">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asvg="http://schemas.microsoft.com/office/drawing/2016/SVG/main" xmlns:pic="http://schemas.openxmlformats.org/drawingml/2006/picture" xmlns:adec="http://schemas.microsoft.com/office/drawing/2017/decorative" xmlns:a="http://schemas.openxmlformats.org/drawingml/2006/main">
            <w:pict w14:anchorId="75B11314">
              <v:shape id="Freeform 14" style="position:absolute;margin-left:-1.5pt;margin-top:87.95pt;width:487.55pt;height:48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coordsize="7550841,7542959" o:spid="_x0000_s1026" fillcolor="#c5d3a8 [1940]" stroked="f" path="m5805660,5698644r1643922,l7550841,5788610r,1653226l7449582,7542959r-1643922,l5704401,7441836r,-1653226l5805660,5698644xm3894784,5698644r1665201,l5650604,5788610r,1653226l5559985,7542959r-1665201,l3804166,7441836r,-1653226l3894784,5698644xm2001855,5698644r1643922,l3747036,5788610r,1653226l3645777,7542959r-1643922,l1900596,7441836r,-1653226l2001855,5698644xm3894784,3796819r1220411,l5559985,3796819r245675,l6759117,3796819r690465,l7550841,3886786r,1653226l7449582,5641134r-690465,l5805660,5641134r-245675,l5115195,5641134r-1220411,l3804166,5551150r,-1653189l3894784,3796819xm1991217,3796819r1665200,l3747036,3897961r,1653189l3656417,5641134r-1665200,l1900599,5551150r,-1653189l1991217,3796819xm90980,3796819r1665200,l1846799,3886785r,1653226l1756180,5641134r-1665200,l361,5540011r,-1653226l90980,3796819xm90009,l3645017,r90009,90009l3735026,1226288r,517733l3735026,1991367r,888572l3735026,3633858r-90009,101170l2689118,3735028r-697752,l1744020,3735028r-708913,l90009,3735028,,3633858,,2879939,,1991367,,1744021,,1226288,,90009,9000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" w14:anchorId="5967C9AF">
                <v:path arrowok="t" o:connecttype="custom" o:connectlocs="4760880,4672891;6108963,4672891;6192000,4746663;6192000,6102309;6108963,6185230;4760880,6185230;4677843,6102309;4677843,4746663;3193883,4672891;4559416,4672891;4633728,4746663;4633728,6102309;4559416,6185230;3193883,6185230;3119572,6102309;3119572,4746663;1641603,4672891;2989687,4672891;3072724,4746663;3072724,6102309;2989687,6185230;1641603,6185230;1558567,6102309;1558567,4746663;3193883,3113393;4194670,3113393;4559416,3113393;4760880,3113393;5542754,3113393;6108963,3113393;6192000,3187166;6192000,4542812;6108963,4625733;5542754,4625733;4760880,4625733;4559416,4625733;4194670,4625733;3193883,4625733;3119572,4551946;3119572,3196330;1632880,3113393;2998412,3113393;3072724,3196330;3072724,4551946;2998412,4625733;1632880,4625733;1558569,4551946;1558569,3196330;74607,3113393;1440140,3113393;1514451,3187166;1514451,4542812;1440140,4625733;74607,4625733;296,4542812;296,3187166;73811,0;2989064,0;3062875,73807;3062875,1005557;3062875,1430098;3062875,1632922;3062875,2361551;3062875,2979765;2989064,3062725;2205187,3062725;1633002,3062725;1430168,3062725;848830,3062725;73811,3062725;0,2979765;0,2361551;0,1632922;0,1430098;0,1005557;0,73807" o:connectangles="0,0,0,0,0,0,0,0,0,0,0,0,0,0,0,0,0,0,0,0,0,0,0,0,0,0,0,0,0,0,0,0,0,0,0,0,0,0,0,0,0,0,0,0,0,0,0,0,0,0,0,0,0,0,0,0,0,0,0,0,0,0,0,0,0,0,0,0,0,0,0,0,0,0,0,0"/>
                <o:lock v:ext="edit" aspectratio="t"/>
              </v:shape>
            </w:pict>
          </mc:Fallback>
        </mc:AlternateContent>
      </w:r>
      <w:r>
        <w:rPr>
          <w:rFonts w:asciiTheme="minorHAnsi" w:hAnsiTheme="minorHAnsi"/>
          <w:sz w:val="48"/>
          <w:szCs w:val="48"/>
        </w:rPr>
        <w:t>Estimating emissions and energy in the electricity generation, transmission, and distribution sectors guideline</w:t>
      </w:r>
    </w:p>
    <w:p w14:paraId="3B543F96" w14:textId="2BE3E170" w:rsidR="003A5739" w:rsidRPr="00531F3B" w:rsidRDefault="0018495B" w:rsidP="001813DE">
      <w:pPr>
        <w:pStyle w:val="BodyText1"/>
        <w:tabs>
          <w:tab w:val="left" w:pos="3969"/>
        </w:tabs>
        <w:ind w:left="5103" w:right="101"/>
      </w:pPr>
      <w:r>
        <w:rPr>
          <w:noProof/>
        </w:rPr>
        <w:drawing>
          <wp:anchor distT="0" distB="0" distL="114300" distR="114300" simplePos="0" relativeHeight="251676672" behindDoc="0" locked="0" layoutInCell="1" allowOverlap="1" wp14:anchorId="321350E1" wp14:editId="732D9C3E">
            <wp:simplePos x="0" y="0"/>
            <wp:positionH relativeFrom="column">
              <wp:posOffset>3848100</wp:posOffset>
            </wp:positionH>
            <wp:positionV relativeFrom="page">
              <wp:posOffset>5474897</wp:posOffset>
            </wp:positionV>
            <wp:extent cx="1419860" cy="1419860"/>
            <wp:effectExtent l="0" t="0" r="8890" b="0"/>
            <wp:wrapNone/>
            <wp:docPr id="20" name="Picture 20" descr="Solar Panels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olar Panels outline">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1419860" cy="1419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1D0E73D" wp14:editId="08314EAB">
            <wp:simplePos x="0" y="0"/>
            <wp:positionH relativeFrom="column">
              <wp:posOffset>1657350</wp:posOffset>
            </wp:positionH>
            <wp:positionV relativeFrom="page">
              <wp:posOffset>5526509</wp:posOffset>
            </wp:positionV>
            <wp:extent cx="1327785" cy="1327785"/>
            <wp:effectExtent l="0" t="0" r="0" b="0"/>
            <wp:wrapNone/>
            <wp:docPr id="18" name="Picture 16" descr="Factory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actory outline">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sidR="0068486A">
        <w:t>July 2022</w:t>
      </w:r>
    </w:p>
    <w:p w14:paraId="6519C78F" w14:textId="448286A3" w:rsidR="00235142" w:rsidRPr="00874B8F" w:rsidRDefault="0018495B" w:rsidP="005B2609">
      <w:pPr>
        <w:pStyle w:val="Heading1"/>
      </w:pPr>
      <w:bookmarkStart w:id="0" w:name="_Toc107922521"/>
      <w:r>
        <w:rPr>
          <w:noProof/>
        </w:rPr>
        <w:drawing>
          <wp:anchor distT="0" distB="0" distL="114300" distR="114300" simplePos="0" relativeHeight="251678720" behindDoc="0" locked="0" layoutInCell="1" allowOverlap="1" wp14:anchorId="1F99CBE1" wp14:editId="349D6EF3">
            <wp:simplePos x="0" y="0"/>
            <wp:positionH relativeFrom="column">
              <wp:posOffset>4803922</wp:posOffset>
            </wp:positionH>
            <wp:positionV relativeFrom="page">
              <wp:posOffset>7152404</wp:posOffset>
            </wp:positionV>
            <wp:extent cx="1328400" cy="1328400"/>
            <wp:effectExtent l="0" t="0" r="5715" b="0"/>
            <wp:wrapNone/>
            <wp:docPr id="27" name="Picture 27" descr="Bulldozer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ulldozer outline">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27AA53C8" wp14:editId="095DB4CE">
            <wp:simplePos x="0" y="0"/>
            <wp:positionH relativeFrom="column">
              <wp:posOffset>3219125</wp:posOffset>
            </wp:positionH>
            <wp:positionV relativeFrom="page">
              <wp:posOffset>7153984</wp:posOffset>
            </wp:positionV>
            <wp:extent cx="1328400" cy="132840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0">
                      <a:duotone>
                        <a:prstClr val="black"/>
                        <a:schemeClr val="accent1">
                          <a:lumMod val="40000"/>
                          <a:lumOff val="60000"/>
                          <a:tint val="45000"/>
                          <a:satMod val="400000"/>
                        </a:schemeClr>
                      </a:duotone>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68F54FFC" wp14:editId="6B661C41">
            <wp:simplePos x="0" y="0"/>
            <wp:positionH relativeFrom="column">
              <wp:posOffset>1629883</wp:posOffset>
            </wp:positionH>
            <wp:positionV relativeFrom="page">
              <wp:posOffset>7178912</wp:posOffset>
            </wp:positionV>
            <wp:extent cx="1327785" cy="1306195"/>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1">
                      <a:duotone>
                        <a:prstClr val="black"/>
                        <a:schemeClr val="accent1">
                          <a:lumMod val="60000"/>
                          <a:lumOff val="40000"/>
                          <a:tint val="45000"/>
                          <a:satMod val="400000"/>
                        </a:schemeClr>
                      </a:duotone>
                      <a:extLst>
                        <a:ext uri="{BEBA8EAE-BF5A-486C-A8C5-ECC9F3942E4B}">
                          <a14:imgProps xmlns:a14="http://schemas.microsoft.com/office/drawing/2010/main">
                            <a14:imgLayer r:embed="rId22">
                              <a14:imgEffect>
                                <a14:colorTemperature colorTemp="11200"/>
                              </a14:imgEffect>
                              <a14:imgEffect>
                                <a14:saturation sat="400000"/>
                              </a14:imgEffect>
                            </a14:imgLayer>
                          </a14:imgProps>
                        </a:ext>
                      </a:extLst>
                    </a:blip>
                    <a:stretch>
                      <a:fillRect/>
                    </a:stretch>
                  </pic:blipFill>
                  <pic:spPr>
                    <a:xfrm>
                      <a:off x="0" y="0"/>
                      <a:ext cx="1327785" cy="1306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B5271F4" wp14:editId="5A4EDEA6">
            <wp:simplePos x="0" y="0"/>
            <wp:positionH relativeFrom="column">
              <wp:posOffset>76200</wp:posOffset>
            </wp:positionH>
            <wp:positionV relativeFrom="page">
              <wp:posOffset>5584751</wp:posOffset>
            </wp:positionV>
            <wp:extent cx="1327785" cy="1327785"/>
            <wp:effectExtent l="0" t="0" r="5715" b="0"/>
            <wp:wrapNone/>
            <wp:docPr id="16" name="Picture 16" descr="Power Plant outlin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ower Plant outline">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sidR="003A5739" w:rsidRPr="00531F3B">
        <w:br w:type="page"/>
      </w:r>
      <w:bookmarkStart w:id="1" w:name="_Toc447009035"/>
      <w:bookmarkStart w:id="2" w:name="_Toc413749884"/>
      <w:r w:rsidR="00235142" w:rsidRPr="00874B8F">
        <w:lastRenderedPageBreak/>
        <w:t>Contents</w:t>
      </w:r>
      <w:bookmarkEnd w:id="0"/>
    </w:p>
    <w:p w14:paraId="26073FF8" w14:textId="52CD736A" w:rsidR="00027727" w:rsidRDefault="00235142">
      <w:pPr>
        <w:pStyle w:val="TOC1"/>
        <w:rPr>
          <w:rFonts w:eastAsiaTheme="minorEastAsia" w:cstheme="minorBidi"/>
          <w:b w:val="0"/>
          <w:noProof/>
          <w:color w:val="auto"/>
          <w:szCs w:val="22"/>
          <w:lang w:eastAsia="en-AU"/>
        </w:rPr>
      </w:pPr>
      <w:r>
        <w:fldChar w:fldCharType="begin"/>
      </w:r>
      <w:r>
        <w:instrText xml:space="preserve"> TOC  \* MERGEFORMAT </w:instrText>
      </w:r>
      <w:r>
        <w:fldChar w:fldCharType="separate"/>
      </w:r>
      <w:r w:rsidR="00027727">
        <w:rPr>
          <w:noProof/>
        </w:rPr>
        <w:t>Contents</w:t>
      </w:r>
      <w:r w:rsidR="00027727">
        <w:rPr>
          <w:noProof/>
        </w:rPr>
        <w:tab/>
      </w:r>
      <w:r w:rsidR="00027727">
        <w:rPr>
          <w:noProof/>
        </w:rPr>
        <w:fldChar w:fldCharType="begin"/>
      </w:r>
      <w:r w:rsidR="00027727">
        <w:rPr>
          <w:noProof/>
        </w:rPr>
        <w:instrText xml:space="preserve"> PAGEREF _Toc107922521 \h </w:instrText>
      </w:r>
      <w:r w:rsidR="00027727">
        <w:rPr>
          <w:noProof/>
        </w:rPr>
      </w:r>
      <w:r w:rsidR="00027727">
        <w:rPr>
          <w:noProof/>
        </w:rPr>
        <w:fldChar w:fldCharType="separate"/>
      </w:r>
      <w:r w:rsidR="00027727">
        <w:rPr>
          <w:noProof/>
        </w:rPr>
        <w:t>1</w:t>
      </w:r>
      <w:r w:rsidR="00027727">
        <w:rPr>
          <w:noProof/>
        </w:rPr>
        <w:fldChar w:fldCharType="end"/>
      </w:r>
    </w:p>
    <w:p w14:paraId="7F2DE428" w14:textId="29B71CE3" w:rsidR="00027727" w:rsidRDefault="00027727">
      <w:pPr>
        <w:pStyle w:val="TOC1"/>
        <w:rPr>
          <w:rFonts w:eastAsiaTheme="minorEastAsia" w:cstheme="minorBidi"/>
          <w:b w:val="0"/>
          <w:noProof/>
          <w:color w:val="auto"/>
          <w:szCs w:val="22"/>
          <w:lang w:eastAsia="en-AU"/>
        </w:rPr>
      </w:pPr>
      <w:r w:rsidRPr="00A94C5E">
        <w:rPr>
          <w:iCs/>
          <w:noProof/>
        </w:rPr>
        <w:t>Definitions and abbreviations</w:t>
      </w:r>
      <w:r>
        <w:rPr>
          <w:noProof/>
        </w:rPr>
        <w:tab/>
      </w:r>
      <w:r>
        <w:rPr>
          <w:noProof/>
        </w:rPr>
        <w:fldChar w:fldCharType="begin"/>
      </w:r>
      <w:r>
        <w:rPr>
          <w:noProof/>
        </w:rPr>
        <w:instrText xml:space="preserve"> PAGEREF _Toc107922522 \h </w:instrText>
      </w:r>
      <w:r>
        <w:rPr>
          <w:noProof/>
        </w:rPr>
      </w:r>
      <w:r>
        <w:rPr>
          <w:noProof/>
        </w:rPr>
        <w:fldChar w:fldCharType="separate"/>
      </w:r>
      <w:r>
        <w:rPr>
          <w:noProof/>
        </w:rPr>
        <w:t>5</w:t>
      </w:r>
      <w:r>
        <w:rPr>
          <w:noProof/>
        </w:rPr>
        <w:fldChar w:fldCharType="end"/>
      </w:r>
    </w:p>
    <w:p w14:paraId="1E96D549" w14:textId="012A2FC4" w:rsidR="00027727" w:rsidRDefault="00027727">
      <w:pPr>
        <w:pStyle w:val="TOC1"/>
        <w:rPr>
          <w:rFonts w:eastAsiaTheme="minorEastAsia" w:cstheme="minorBidi"/>
          <w:b w:val="0"/>
          <w:noProof/>
          <w:color w:val="auto"/>
          <w:szCs w:val="22"/>
          <w:lang w:eastAsia="en-AU"/>
        </w:rPr>
      </w:pPr>
      <w:r w:rsidRPr="00A94C5E">
        <w:rPr>
          <w:noProof/>
          <w:lang w:val="en-GB"/>
        </w:rPr>
        <w:t>Disclaimer</w:t>
      </w:r>
      <w:r>
        <w:rPr>
          <w:noProof/>
        </w:rPr>
        <w:tab/>
      </w:r>
      <w:r>
        <w:rPr>
          <w:noProof/>
        </w:rPr>
        <w:fldChar w:fldCharType="begin"/>
      </w:r>
      <w:r>
        <w:rPr>
          <w:noProof/>
        </w:rPr>
        <w:instrText xml:space="preserve"> PAGEREF _Toc107922523 \h </w:instrText>
      </w:r>
      <w:r>
        <w:rPr>
          <w:noProof/>
        </w:rPr>
      </w:r>
      <w:r>
        <w:rPr>
          <w:noProof/>
        </w:rPr>
        <w:fldChar w:fldCharType="separate"/>
      </w:r>
      <w:r>
        <w:rPr>
          <w:noProof/>
        </w:rPr>
        <w:t>7</w:t>
      </w:r>
      <w:r>
        <w:rPr>
          <w:noProof/>
        </w:rPr>
        <w:fldChar w:fldCharType="end"/>
      </w:r>
    </w:p>
    <w:p w14:paraId="1B8103A6" w14:textId="23725AA2" w:rsidR="00027727" w:rsidRDefault="00027727">
      <w:pPr>
        <w:pStyle w:val="TOC1"/>
        <w:rPr>
          <w:rFonts w:eastAsiaTheme="minorEastAsia" w:cstheme="minorBidi"/>
          <w:b w:val="0"/>
          <w:noProof/>
          <w:color w:val="auto"/>
          <w:szCs w:val="22"/>
          <w:lang w:eastAsia="en-AU"/>
        </w:rPr>
      </w:pPr>
      <w:r w:rsidRPr="00A94C5E">
        <w:rPr>
          <w:noProof/>
          <w:lang w:val="en-GB"/>
        </w:rPr>
        <w:t>2021–22 updates</w:t>
      </w:r>
      <w:r>
        <w:rPr>
          <w:noProof/>
        </w:rPr>
        <w:tab/>
      </w:r>
      <w:r>
        <w:rPr>
          <w:noProof/>
        </w:rPr>
        <w:fldChar w:fldCharType="begin"/>
      </w:r>
      <w:r>
        <w:rPr>
          <w:noProof/>
        </w:rPr>
        <w:instrText xml:space="preserve"> PAGEREF _Toc107922524 \h </w:instrText>
      </w:r>
      <w:r>
        <w:rPr>
          <w:noProof/>
        </w:rPr>
      </w:r>
      <w:r>
        <w:rPr>
          <w:noProof/>
        </w:rPr>
        <w:fldChar w:fldCharType="separate"/>
      </w:r>
      <w:r>
        <w:rPr>
          <w:noProof/>
        </w:rPr>
        <w:t>8</w:t>
      </w:r>
      <w:r>
        <w:rPr>
          <w:noProof/>
        </w:rPr>
        <w:fldChar w:fldCharType="end"/>
      </w:r>
    </w:p>
    <w:p w14:paraId="3F75BEA3" w14:textId="02F910ED" w:rsidR="00027727" w:rsidRDefault="00027727">
      <w:pPr>
        <w:pStyle w:val="TOC1"/>
        <w:tabs>
          <w:tab w:val="left" w:pos="440"/>
        </w:tabs>
        <w:rPr>
          <w:rFonts w:eastAsiaTheme="minorEastAsia" w:cstheme="minorBidi"/>
          <w:b w:val="0"/>
          <w:noProof/>
          <w:color w:val="auto"/>
          <w:szCs w:val="22"/>
          <w:lang w:eastAsia="en-AU"/>
        </w:rPr>
      </w:pPr>
      <w:r w:rsidRPr="00A94C5E">
        <w:rPr>
          <w:noProof/>
          <w:lang w:val="en-GB"/>
        </w:rPr>
        <w:t>1.</w:t>
      </w:r>
      <w:r>
        <w:rPr>
          <w:rFonts w:eastAsiaTheme="minorEastAsia" w:cstheme="minorBidi"/>
          <w:b w:val="0"/>
          <w:noProof/>
          <w:color w:val="auto"/>
          <w:szCs w:val="22"/>
          <w:lang w:eastAsia="en-AU"/>
        </w:rPr>
        <w:tab/>
      </w:r>
      <w:r w:rsidRPr="00A94C5E">
        <w:rPr>
          <w:noProof/>
          <w:lang w:val="en-GB"/>
        </w:rPr>
        <w:t>Purpose of this guideline</w:t>
      </w:r>
      <w:r>
        <w:rPr>
          <w:noProof/>
        </w:rPr>
        <w:tab/>
      </w:r>
      <w:r>
        <w:rPr>
          <w:noProof/>
        </w:rPr>
        <w:fldChar w:fldCharType="begin"/>
      </w:r>
      <w:r>
        <w:rPr>
          <w:noProof/>
        </w:rPr>
        <w:instrText xml:space="preserve"> PAGEREF _Toc107922525 \h </w:instrText>
      </w:r>
      <w:r>
        <w:rPr>
          <w:noProof/>
        </w:rPr>
      </w:r>
      <w:r>
        <w:rPr>
          <w:noProof/>
        </w:rPr>
        <w:fldChar w:fldCharType="separate"/>
      </w:r>
      <w:r>
        <w:rPr>
          <w:noProof/>
        </w:rPr>
        <w:t>8</w:t>
      </w:r>
      <w:r>
        <w:rPr>
          <w:noProof/>
        </w:rPr>
        <w:fldChar w:fldCharType="end"/>
      </w:r>
    </w:p>
    <w:p w14:paraId="231F4A0F" w14:textId="6945AA25"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1.1.</w:t>
      </w:r>
      <w:r>
        <w:rPr>
          <w:rFonts w:eastAsiaTheme="minorEastAsia" w:cstheme="minorBidi"/>
          <w:noProof/>
          <w:color w:val="auto"/>
          <w:szCs w:val="22"/>
          <w:lang w:eastAsia="en-AU"/>
        </w:rPr>
        <w:tab/>
      </w:r>
      <w:r>
        <w:rPr>
          <w:noProof/>
        </w:rPr>
        <w:t>Focus of this guideline</w:t>
      </w:r>
      <w:r>
        <w:rPr>
          <w:noProof/>
        </w:rPr>
        <w:tab/>
      </w:r>
      <w:r>
        <w:rPr>
          <w:noProof/>
        </w:rPr>
        <w:fldChar w:fldCharType="begin"/>
      </w:r>
      <w:r>
        <w:rPr>
          <w:noProof/>
        </w:rPr>
        <w:instrText xml:space="preserve"> PAGEREF _Toc107922526 \h </w:instrText>
      </w:r>
      <w:r>
        <w:rPr>
          <w:noProof/>
        </w:rPr>
      </w:r>
      <w:r>
        <w:rPr>
          <w:noProof/>
        </w:rPr>
        <w:fldChar w:fldCharType="separate"/>
      </w:r>
      <w:r>
        <w:rPr>
          <w:noProof/>
        </w:rPr>
        <w:t>8</w:t>
      </w:r>
      <w:r>
        <w:rPr>
          <w:noProof/>
        </w:rPr>
        <w:fldChar w:fldCharType="end"/>
      </w:r>
    </w:p>
    <w:p w14:paraId="0268E8EF" w14:textId="5B137AE5" w:rsidR="00027727" w:rsidRDefault="00027727">
      <w:pPr>
        <w:pStyle w:val="TOC1"/>
        <w:tabs>
          <w:tab w:val="left" w:pos="440"/>
        </w:tabs>
        <w:rPr>
          <w:rFonts w:eastAsiaTheme="minorEastAsia" w:cstheme="minorBidi"/>
          <w:b w:val="0"/>
          <w:noProof/>
          <w:color w:val="auto"/>
          <w:szCs w:val="22"/>
          <w:lang w:eastAsia="en-AU"/>
        </w:rPr>
      </w:pPr>
      <w:r w:rsidRPr="00A94C5E">
        <w:rPr>
          <w:noProof/>
          <w:lang w:val="en-GB"/>
        </w:rPr>
        <w:t>2.</w:t>
      </w:r>
      <w:r>
        <w:rPr>
          <w:rFonts w:eastAsiaTheme="minorEastAsia" w:cstheme="minorBidi"/>
          <w:b w:val="0"/>
          <w:noProof/>
          <w:color w:val="auto"/>
          <w:szCs w:val="22"/>
          <w:lang w:eastAsia="en-AU"/>
        </w:rPr>
        <w:tab/>
      </w:r>
      <w:r w:rsidRPr="00A94C5E">
        <w:rPr>
          <w:noProof/>
          <w:lang w:val="en-GB"/>
        </w:rPr>
        <w:t>Good practice NGER reporting in the electricity sector</w:t>
      </w:r>
      <w:r>
        <w:rPr>
          <w:noProof/>
        </w:rPr>
        <w:tab/>
      </w:r>
      <w:r>
        <w:rPr>
          <w:noProof/>
        </w:rPr>
        <w:fldChar w:fldCharType="begin"/>
      </w:r>
      <w:r>
        <w:rPr>
          <w:noProof/>
        </w:rPr>
        <w:instrText xml:space="preserve"> PAGEREF _Toc107922527 \h </w:instrText>
      </w:r>
      <w:r>
        <w:rPr>
          <w:noProof/>
        </w:rPr>
      </w:r>
      <w:r>
        <w:rPr>
          <w:noProof/>
        </w:rPr>
        <w:fldChar w:fldCharType="separate"/>
      </w:r>
      <w:r>
        <w:rPr>
          <w:noProof/>
        </w:rPr>
        <w:t>9</w:t>
      </w:r>
      <w:r>
        <w:rPr>
          <w:noProof/>
        </w:rPr>
        <w:fldChar w:fldCharType="end"/>
      </w:r>
    </w:p>
    <w:p w14:paraId="0DBCD73E" w14:textId="1084638D"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2.1.</w:t>
      </w:r>
      <w:r>
        <w:rPr>
          <w:rFonts w:eastAsiaTheme="minorEastAsia" w:cstheme="minorBidi"/>
          <w:noProof/>
          <w:color w:val="auto"/>
          <w:szCs w:val="22"/>
          <w:lang w:eastAsia="en-AU"/>
        </w:rPr>
        <w:tab/>
      </w:r>
      <w:r>
        <w:rPr>
          <w:noProof/>
        </w:rPr>
        <w:t>Applying the principles in the electricity sector</w:t>
      </w:r>
      <w:r>
        <w:rPr>
          <w:noProof/>
        </w:rPr>
        <w:tab/>
      </w:r>
      <w:r>
        <w:rPr>
          <w:noProof/>
        </w:rPr>
        <w:fldChar w:fldCharType="begin"/>
      </w:r>
      <w:r>
        <w:rPr>
          <w:noProof/>
        </w:rPr>
        <w:instrText xml:space="preserve"> PAGEREF _Toc107922528 \h </w:instrText>
      </w:r>
      <w:r>
        <w:rPr>
          <w:noProof/>
        </w:rPr>
      </w:r>
      <w:r>
        <w:rPr>
          <w:noProof/>
        </w:rPr>
        <w:fldChar w:fldCharType="separate"/>
      </w:r>
      <w:r>
        <w:rPr>
          <w:noProof/>
        </w:rPr>
        <w:t>11</w:t>
      </w:r>
      <w:r>
        <w:rPr>
          <w:noProof/>
        </w:rPr>
        <w:fldChar w:fldCharType="end"/>
      </w:r>
    </w:p>
    <w:p w14:paraId="209A24C4" w14:textId="7012373C"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2.2.</w:t>
      </w:r>
      <w:r>
        <w:rPr>
          <w:rFonts w:eastAsiaTheme="minorEastAsia" w:cstheme="minorBidi"/>
          <w:noProof/>
          <w:color w:val="auto"/>
          <w:szCs w:val="22"/>
          <w:lang w:eastAsia="en-AU"/>
        </w:rPr>
        <w:tab/>
      </w:r>
      <w:r>
        <w:rPr>
          <w:noProof/>
        </w:rPr>
        <w:t>Working with financial and process control data</w:t>
      </w:r>
      <w:r>
        <w:rPr>
          <w:noProof/>
        </w:rPr>
        <w:tab/>
      </w:r>
      <w:r>
        <w:rPr>
          <w:noProof/>
        </w:rPr>
        <w:fldChar w:fldCharType="begin"/>
      </w:r>
      <w:r>
        <w:rPr>
          <w:noProof/>
        </w:rPr>
        <w:instrText xml:space="preserve"> PAGEREF _Toc107922529 \h </w:instrText>
      </w:r>
      <w:r>
        <w:rPr>
          <w:noProof/>
        </w:rPr>
      </w:r>
      <w:r>
        <w:rPr>
          <w:noProof/>
        </w:rPr>
        <w:fldChar w:fldCharType="separate"/>
      </w:r>
      <w:r>
        <w:rPr>
          <w:noProof/>
        </w:rPr>
        <w:t>12</w:t>
      </w:r>
      <w:r>
        <w:rPr>
          <w:noProof/>
        </w:rPr>
        <w:fldChar w:fldCharType="end"/>
      </w:r>
    </w:p>
    <w:p w14:paraId="5481495F" w14:textId="5BCF43D7" w:rsidR="00027727" w:rsidRDefault="00027727">
      <w:pPr>
        <w:pStyle w:val="TOC1"/>
        <w:tabs>
          <w:tab w:val="left" w:pos="440"/>
        </w:tabs>
        <w:rPr>
          <w:rFonts w:eastAsiaTheme="minorEastAsia" w:cstheme="minorBidi"/>
          <w:b w:val="0"/>
          <w:noProof/>
          <w:color w:val="auto"/>
          <w:szCs w:val="22"/>
          <w:lang w:eastAsia="en-AU"/>
        </w:rPr>
      </w:pPr>
      <w:r w:rsidRPr="00A94C5E">
        <w:rPr>
          <w:noProof/>
          <w:lang w:val="en-GB"/>
        </w:rPr>
        <w:t>3.</w:t>
      </w:r>
      <w:r>
        <w:rPr>
          <w:rFonts w:eastAsiaTheme="minorEastAsia" w:cstheme="minorBidi"/>
          <w:b w:val="0"/>
          <w:noProof/>
          <w:color w:val="auto"/>
          <w:szCs w:val="22"/>
          <w:lang w:eastAsia="en-AU"/>
        </w:rPr>
        <w:tab/>
      </w:r>
      <w:r w:rsidRPr="00A94C5E">
        <w:rPr>
          <w:noProof/>
          <w:lang w:val="en-GB"/>
        </w:rPr>
        <w:t>General principles on estimating scope 1 emissions</w:t>
      </w:r>
      <w:r>
        <w:rPr>
          <w:noProof/>
        </w:rPr>
        <w:tab/>
      </w:r>
      <w:r>
        <w:rPr>
          <w:noProof/>
        </w:rPr>
        <w:fldChar w:fldCharType="begin"/>
      </w:r>
      <w:r>
        <w:rPr>
          <w:noProof/>
        </w:rPr>
        <w:instrText xml:space="preserve"> PAGEREF _Toc107922530 \h </w:instrText>
      </w:r>
      <w:r>
        <w:rPr>
          <w:noProof/>
        </w:rPr>
      </w:r>
      <w:r>
        <w:rPr>
          <w:noProof/>
        </w:rPr>
        <w:fldChar w:fldCharType="separate"/>
      </w:r>
      <w:r>
        <w:rPr>
          <w:noProof/>
        </w:rPr>
        <w:t>12</w:t>
      </w:r>
      <w:r>
        <w:rPr>
          <w:noProof/>
        </w:rPr>
        <w:fldChar w:fldCharType="end"/>
      </w:r>
    </w:p>
    <w:p w14:paraId="7EE89700" w14:textId="58EA6E52"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3.1.</w:t>
      </w:r>
      <w:r>
        <w:rPr>
          <w:rFonts w:eastAsiaTheme="minorEastAsia" w:cstheme="minorBidi"/>
          <w:noProof/>
          <w:color w:val="auto"/>
          <w:szCs w:val="22"/>
          <w:lang w:eastAsia="en-AU"/>
        </w:rPr>
        <w:tab/>
      </w:r>
      <w:r>
        <w:rPr>
          <w:noProof/>
        </w:rPr>
        <w:t>Common emissions sources for the electricity sector</w:t>
      </w:r>
      <w:r>
        <w:rPr>
          <w:noProof/>
        </w:rPr>
        <w:tab/>
      </w:r>
      <w:r>
        <w:rPr>
          <w:noProof/>
        </w:rPr>
        <w:fldChar w:fldCharType="begin"/>
      </w:r>
      <w:r>
        <w:rPr>
          <w:noProof/>
        </w:rPr>
        <w:instrText xml:space="preserve"> PAGEREF _Toc107922531 \h </w:instrText>
      </w:r>
      <w:r>
        <w:rPr>
          <w:noProof/>
        </w:rPr>
      </w:r>
      <w:r>
        <w:rPr>
          <w:noProof/>
        </w:rPr>
        <w:fldChar w:fldCharType="separate"/>
      </w:r>
      <w:r>
        <w:rPr>
          <w:noProof/>
        </w:rPr>
        <w:t>12</w:t>
      </w:r>
      <w:r>
        <w:rPr>
          <w:noProof/>
        </w:rPr>
        <w:fldChar w:fldCharType="end"/>
      </w:r>
    </w:p>
    <w:p w14:paraId="3BF5E4DE" w14:textId="6864836E" w:rsidR="00027727" w:rsidRDefault="00027727">
      <w:pPr>
        <w:pStyle w:val="TOC4"/>
        <w:tabs>
          <w:tab w:val="right" w:leader="dot" w:pos="9730"/>
        </w:tabs>
        <w:rPr>
          <w:rFonts w:eastAsiaTheme="minorEastAsia" w:cstheme="minorBidi"/>
          <w:noProof/>
          <w:color w:val="auto"/>
          <w:szCs w:val="22"/>
          <w:lang w:eastAsia="en-AU"/>
        </w:rPr>
      </w:pPr>
      <w:r>
        <w:rPr>
          <w:noProof/>
        </w:rPr>
        <w:t>Identifying reportable scope 1 emissions sources</w:t>
      </w:r>
      <w:r>
        <w:rPr>
          <w:noProof/>
        </w:rPr>
        <w:tab/>
      </w:r>
      <w:r>
        <w:rPr>
          <w:noProof/>
        </w:rPr>
        <w:fldChar w:fldCharType="begin"/>
      </w:r>
      <w:r>
        <w:rPr>
          <w:noProof/>
        </w:rPr>
        <w:instrText xml:space="preserve"> PAGEREF _Toc107922532 \h </w:instrText>
      </w:r>
      <w:r>
        <w:rPr>
          <w:noProof/>
        </w:rPr>
      </w:r>
      <w:r>
        <w:rPr>
          <w:noProof/>
        </w:rPr>
        <w:fldChar w:fldCharType="separate"/>
      </w:r>
      <w:r>
        <w:rPr>
          <w:noProof/>
        </w:rPr>
        <w:t>13</w:t>
      </w:r>
      <w:r>
        <w:rPr>
          <w:noProof/>
        </w:rPr>
        <w:fldChar w:fldCharType="end"/>
      </w:r>
    </w:p>
    <w:p w14:paraId="6359FAE1" w14:textId="526AD07D"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3.2.</w:t>
      </w:r>
      <w:r>
        <w:rPr>
          <w:rFonts w:eastAsiaTheme="minorEastAsia" w:cstheme="minorBidi"/>
          <w:noProof/>
          <w:color w:val="auto"/>
          <w:szCs w:val="22"/>
          <w:lang w:eastAsia="en-AU"/>
        </w:rPr>
        <w:tab/>
      </w:r>
      <w:r>
        <w:rPr>
          <w:noProof/>
        </w:rPr>
        <w:t>– Methods for estimating emissions</w:t>
      </w:r>
      <w:r>
        <w:rPr>
          <w:noProof/>
        </w:rPr>
        <w:tab/>
      </w:r>
      <w:r>
        <w:rPr>
          <w:noProof/>
        </w:rPr>
        <w:fldChar w:fldCharType="begin"/>
      </w:r>
      <w:r>
        <w:rPr>
          <w:noProof/>
        </w:rPr>
        <w:instrText xml:space="preserve"> PAGEREF _Toc107922533 \h </w:instrText>
      </w:r>
      <w:r>
        <w:rPr>
          <w:noProof/>
        </w:rPr>
      </w:r>
      <w:r>
        <w:rPr>
          <w:noProof/>
        </w:rPr>
        <w:fldChar w:fldCharType="separate"/>
      </w:r>
      <w:r>
        <w:rPr>
          <w:noProof/>
        </w:rPr>
        <w:t>14</w:t>
      </w:r>
      <w:r>
        <w:rPr>
          <w:noProof/>
        </w:rPr>
        <w:fldChar w:fldCharType="end"/>
      </w:r>
    </w:p>
    <w:p w14:paraId="0DFA689A" w14:textId="3348E35D"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3.3.</w:t>
      </w:r>
      <w:r>
        <w:rPr>
          <w:rFonts w:eastAsiaTheme="minorEastAsia" w:cstheme="minorBidi"/>
          <w:noProof/>
          <w:color w:val="auto"/>
          <w:szCs w:val="22"/>
          <w:lang w:eastAsia="en-AU"/>
        </w:rPr>
        <w:tab/>
      </w:r>
      <w:r>
        <w:rPr>
          <w:noProof/>
        </w:rPr>
        <w:t>Thresholds for estimating and reporting emissions</w:t>
      </w:r>
      <w:r>
        <w:rPr>
          <w:noProof/>
        </w:rPr>
        <w:tab/>
      </w:r>
      <w:r>
        <w:rPr>
          <w:noProof/>
        </w:rPr>
        <w:fldChar w:fldCharType="begin"/>
      </w:r>
      <w:r>
        <w:rPr>
          <w:noProof/>
        </w:rPr>
        <w:instrText xml:space="preserve"> PAGEREF _Toc107922534 \h </w:instrText>
      </w:r>
      <w:r>
        <w:rPr>
          <w:noProof/>
        </w:rPr>
      </w:r>
      <w:r>
        <w:rPr>
          <w:noProof/>
        </w:rPr>
        <w:fldChar w:fldCharType="separate"/>
      </w:r>
      <w:r>
        <w:rPr>
          <w:noProof/>
        </w:rPr>
        <w:t>15</w:t>
      </w:r>
      <w:r>
        <w:rPr>
          <w:noProof/>
        </w:rPr>
        <w:fldChar w:fldCharType="end"/>
      </w:r>
    </w:p>
    <w:p w14:paraId="5A8B8DC5" w14:textId="700FB99F" w:rsidR="00027727" w:rsidRDefault="00027727">
      <w:pPr>
        <w:pStyle w:val="TOC4"/>
        <w:tabs>
          <w:tab w:val="right" w:leader="dot" w:pos="9730"/>
        </w:tabs>
        <w:rPr>
          <w:rFonts w:eastAsiaTheme="minorEastAsia" w:cstheme="minorBidi"/>
          <w:noProof/>
          <w:color w:val="auto"/>
          <w:szCs w:val="22"/>
          <w:lang w:eastAsia="en-AU"/>
        </w:rPr>
      </w:pPr>
      <w:r>
        <w:rPr>
          <w:noProof/>
        </w:rPr>
        <w:t>Separate instance of a source</w:t>
      </w:r>
      <w:r>
        <w:rPr>
          <w:noProof/>
        </w:rPr>
        <w:tab/>
      </w:r>
      <w:r>
        <w:rPr>
          <w:noProof/>
        </w:rPr>
        <w:fldChar w:fldCharType="begin"/>
      </w:r>
      <w:r>
        <w:rPr>
          <w:noProof/>
        </w:rPr>
        <w:instrText xml:space="preserve"> PAGEREF _Toc107922535 \h </w:instrText>
      </w:r>
      <w:r>
        <w:rPr>
          <w:noProof/>
        </w:rPr>
      </w:r>
      <w:r>
        <w:rPr>
          <w:noProof/>
        </w:rPr>
        <w:fldChar w:fldCharType="separate"/>
      </w:r>
      <w:r>
        <w:rPr>
          <w:noProof/>
        </w:rPr>
        <w:t>15</w:t>
      </w:r>
      <w:r>
        <w:rPr>
          <w:noProof/>
        </w:rPr>
        <w:fldChar w:fldCharType="end"/>
      </w:r>
    </w:p>
    <w:p w14:paraId="36CAB6C1" w14:textId="38BA6062" w:rsidR="00027727" w:rsidRDefault="00027727">
      <w:pPr>
        <w:pStyle w:val="TOC4"/>
        <w:tabs>
          <w:tab w:val="right" w:leader="dot" w:pos="9730"/>
        </w:tabs>
        <w:rPr>
          <w:rFonts w:eastAsiaTheme="minorEastAsia" w:cstheme="minorBidi"/>
          <w:noProof/>
          <w:color w:val="auto"/>
          <w:szCs w:val="22"/>
          <w:lang w:eastAsia="en-AU"/>
        </w:rPr>
      </w:pPr>
      <w:r>
        <w:rPr>
          <w:noProof/>
        </w:rPr>
        <w:t>Thresholds for estimating incidental emissions</w:t>
      </w:r>
      <w:r>
        <w:rPr>
          <w:noProof/>
        </w:rPr>
        <w:tab/>
      </w:r>
      <w:r>
        <w:rPr>
          <w:noProof/>
        </w:rPr>
        <w:fldChar w:fldCharType="begin"/>
      </w:r>
      <w:r>
        <w:rPr>
          <w:noProof/>
        </w:rPr>
        <w:instrText xml:space="preserve"> PAGEREF _Toc107922536 \h </w:instrText>
      </w:r>
      <w:r>
        <w:rPr>
          <w:noProof/>
        </w:rPr>
      </w:r>
      <w:r>
        <w:rPr>
          <w:noProof/>
        </w:rPr>
        <w:fldChar w:fldCharType="separate"/>
      </w:r>
      <w:r>
        <w:rPr>
          <w:noProof/>
        </w:rPr>
        <w:t>15</w:t>
      </w:r>
      <w:r>
        <w:rPr>
          <w:noProof/>
        </w:rPr>
        <w:fldChar w:fldCharType="end"/>
      </w:r>
    </w:p>
    <w:p w14:paraId="19D1CB14" w14:textId="21E8976F"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3.4.</w:t>
      </w:r>
      <w:r>
        <w:rPr>
          <w:rFonts w:eastAsiaTheme="minorEastAsia" w:cstheme="minorBidi"/>
          <w:noProof/>
          <w:color w:val="auto"/>
          <w:szCs w:val="22"/>
          <w:lang w:eastAsia="en-AU"/>
        </w:rPr>
        <w:tab/>
      </w:r>
      <w:r>
        <w:rPr>
          <w:noProof/>
        </w:rPr>
        <w:t>Uncertainty</w:t>
      </w:r>
      <w:r>
        <w:rPr>
          <w:noProof/>
        </w:rPr>
        <w:tab/>
      </w:r>
      <w:r>
        <w:rPr>
          <w:noProof/>
        </w:rPr>
        <w:fldChar w:fldCharType="begin"/>
      </w:r>
      <w:r>
        <w:rPr>
          <w:noProof/>
        </w:rPr>
        <w:instrText xml:space="preserve"> PAGEREF _Toc107922537 \h </w:instrText>
      </w:r>
      <w:r>
        <w:rPr>
          <w:noProof/>
        </w:rPr>
      </w:r>
      <w:r>
        <w:rPr>
          <w:noProof/>
        </w:rPr>
        <w:fldChar w:fldCharType="separate"/>
      </w:r>
      <w:r>
        <w:rPr>
          <w:noProof/>
        </w:rPr>
        <w:t>16</w:t>
      </w:r>
      <w:r>
        <w:rPr>
          <w:noProof/>
        </w:rPr>
        <w:fldChar w:fldCharType="end"/>
      </w:r>
    </w:p>
    <w:p w14:paraId="20688440" w14:textId="7BB59516" w:rsidR="00027727" w:rsidRDefault="00027727">
      <w:pPr>
        <w:pStyle w:val="TOC1"/>
        <w:tabs>
          <w:tab w:val="left" w:pos="440"/>
        </w:tabs>
        <w:rPr>
          <w:rFonts w:eastAsiaTheme="minorEastAsia" w:cstheme="minorBidi"/>
          <w:b w:val="0"/>
          <w:noProof/>
          <w:color w:val="auto"/>
          <w:szCs w:val="22"/>
          <w:lang w:eastAsia="en-AU"/>
        </w:rPr>
      </w:pPr>
      <w:r w:rsidRPr="00A94C5E">
        <w:rPr>
          <w:noProof/>
          <w:lang w:val="en-GB"/>
        </w:rPr>
        <w:t>4.</w:t>
      </w:r>
      <w:r>
        <w:rPr>
          <w:rFonts w:eastAsiaTheme="minorEastAsia" w:cstheme="minorBidi"/>
          <w:b w:val="0"/>
          <w:noProof/>
          <w:color w:val="auto"/>
          <w:szCs w:val="22"/>
          <w:lang w:eastAsia="en-AU"/>
        </w:rPr>
        <w:tab/>
      </w:r>
      <w:r w:rsidRPr="00A94C5E">
        <w:rPr>
          <w:noProof/>
          <w:lang w:val="en-GB"/>
        </w:rPr>
        <w:t>Estimating emissions from fuel combustion</w:t>
      </w:r>
      <w:r>
        <w:rPr>
          <w:noProof/>
        </w:rPr>
        <w:tab/>
      </w:r>
      <w:r>
        <w:rPr>
          <w:noProof/>
        </w:rPr>
        <w:fldChar w:fldCharType="begin"/>
      </w:r>
      <w:r>
        <w:rPr>
          <w:noProof/>
        </w:rPr>
        <w:instrText xml:space="preserve"> PAGEREF _Toc107922538 \h </w:instrText>
      </w:r>
      <w:r>
        <w:rPr>
          <w:noProof/>
        </w:rPr>
      </w:r>
      <w:r>
        <w:rPr>
          <w:noProof/>
        </w:rPr>
        <w:fldChar w:fldCharType="separate"/>
      </w:r>
      <w:r>
        <w:rPr>
          <w:noProof/>
        </w:rPr>
        <w:t>16</w:t>
      </w:r>
      <w:r>
        <w:rPr>
          <w:noProof/>
        </w:rPr>
        <w:fldChar w:fldCharType="end"/>
      </w:r>
    </w:p>
    <w:p w14:paraId="64A657C0" w14:textId="6DCE0CC4" w:rsidR="00027727" w:rsidRDefault="00027727">
      <w:pPr>
        <w:pStyle w:val="TOC5"/>
        <w:tabs>
          <w:tab w:val="right" w:leader="dot" w:pos="9730"/>
        </w:tabs>
        <w:rPr>
          <w:noProof/>
        </w:rPr>
      </w:pPr>
      <w:r>
        <w:rPr>
          <w:noProof/>
        </w:rPr>
        <w:t>Example – difference between estimating emissions using emission factors and energy content of fuel combusted, and direct measurement of emissions</w:t>
      </w:r>
      <w:r>
        <w:rPr>
          <w:noProof/>
        </w:rPr>
        <w:tab/>
      </w:r>
      <w:r>
        <w:rPr>
          <w:noProof/>
        </w:rPr>
        <w:fldChar w:fldCharType="begin"/>
      </w:r>
      <w:r>
        <w:rPr>
          <w:noProof/>
        </w:rPr>
        <w:instrText xml:space="preserve"> PAGEREF _Toc107922539 \h </w:instrText>
      </w:r>
      <w:r>
        <w:rPr>
          <w:noProof/>
        </w:rPr>
      </w:r>
      <w:r>
        <w:rPr>
          <w:noProof/>
        </w:rPr>
        <w:fldChar w:fldCharType="separate"/>
      </w:r>
      <w:r>
        <w:rPr>
          <w:noProof/>
        </w:rPr>
        <w:t>17</w:t>
      </w:r>
      <w:r>
        <w:rPr>
          <w:noProof/>
        </w:rPr>
        <w:fldChar w:fldCharType="end"/>
      </w:r>
    </w:p>
    <w:p w14:paraId="5C814C0C" w14:textId="29E1AF8D"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4.1.</w:t>
      </w:r>
      <w:r>
        <w:rPr>
          <w:rFonts w:eastAsiaTheme="minorEastAsia" w:cstheme="minorBidi"/>
          <w:noProof/>
          <w:color w:val="auto"/>
          <w:szCs w:val="22"/>
          <w:lang w:eastAsia="en-AU"/>
        </w:rPr>
        <w:tab/>
      </w:r>
      <w:r>
        <w:rPr>
          <w:noProof/>
        </w:rPr>
        <w:t>Method 1, 2 and 3 – using emission factors and energy content of fuel combusted</w:t>
      </w:r>
      <w:r>
        <w:rPr>
          <w:noProof/>
        </w:rPr>
        <w:tab/>
      </w:r>
      <w:r>
        <w:rPr>
          <w:noProof/>
        </w:rPr>
        <w:fldChar w:fldCharType="begin"/>
      </w:r>
      <w:r>
        <w:rPr>
          <w:noProof/>
        </w:rPr>
        <w:instrText xml:space="preserve"> PAGEREF _Toc107922540 \h </w:instrText>
      </w:r>
      <w:r>
        <w:rPr>
          <w:noProof/>
        </w:rPr>
      </w:r>
      <w:r>
        <w:rPr>
          <w:noProof/>
        </w:rPr>
        <w:fldChar w:fldCharType="separate"/>
      </w:r>
      <w:r>
        <w:rPr>
          <w:noProof/>
        </w:rPr>
        <w:t>17</w:t>
      </w:r>
      <w:r>
        <w:rPr>
          <w:noProof/>
        </w:rPr>
        <w:fldChar w:fldCharType="end"/>
      </w:r>
    </w:p>
    <w:p w14:paraId="674F4664" w14:textId="5587492F" w:rsidR="00027727" w:rsidRDefault="00027727">
      <w:pPr>
        <w:pStyle w:val="TOC4"/>
        <w:tabs>
          <w:tab w:val="right" w:leader="dot" w:pos="9730"/>
        </w:tabs>
        <w:rPr>
          <w:rFonts w:eastAsiaTheme="minorEastAsia" w:cstheme="minorBidi"/>
          <w:noProof/>
          <w:color w:val="auto"/>
          <w:szCs w:val="22"/>
          <w:lang w:eastAsia="en-AU"/>
        </w:rPr>
      </w:pPr>
      <w:r>
        <w:rPr>
          <w:noProof/>
        </w:rPr>
        <w:t>Quantity of fuel combusted required for methods 1, 2 and 3</w:t>
      </w:r>
      <w:r>
        <w:rPr>
          <w:noProof/>
        </w:rPr>
        <w:tab/>
      </w:r>
      <w:r>
        <w:rPr>
          <w:noProof/>
        </w:rPr>
        <w:fldChar w:fldCharType="begin"/>
      </w:r>
      <w:r>
        <w:rPr>
          <w:noProof/>
        </w:rPr>
        <w:instrText xml:space="preserve"> PAGEREF _Toc107922541 \h </w:instrText>
      </w:r>
      <w:r>
        <w:rPr>
          <w:noProof/>
        </w:rPr>
      </w:r>
      <w:r>
        <w:rPr>
          <w:noProof/>
        </w:rPr>
        <w:fldChar w:fldCharType="separate"/>
      </w:r>
      <w:r>
        <w:rPr>
          <w:noProof/>
        </w:rPr>
        <w:t>17</w:t>
      </w:r>
      <w:r>
        <w:rPr>
          <w:noProof/>
        </w:rPr>
        <w:fldChar w:fldCharType="end"/>
      </w:r>
    </w:p>
    <w:p w14:paraId="674C68F4" w14:textId="7EE70B50" w:rsidR="00027727" w:rsidRDefault="00027727">
      <w:pPr>
        <w:pStyle w:val="TOC4"/>
        <w:tabs>
          <w:tab w:val="right" w:leader="dot" w:pos="9730"/>
        </w:tabs>
        <w:rPr>
          <w:rFonts w:eastAsiaTheme="minorEastAsia" w:cstheme="minorBidi"/>
          <w:noProof/>
          <w:color w:val="auto"/>
          <w:szCs w:val="22"/>
          <w:lang w:eastAsia="en-AU"/>
        </w:rPr>
      </w:pPr>
      <w:r>
        <w:rPr>
          <w:noProof/>
        </w:rPr>
        <w:t>Method 1 – default emission factors</w:t>
      </w:r>
      <w:r>
        <w:rPr>
          <w:noProof/>
        </w:rPr>
        <w:tab/>
      </w:r>
      <w:r>
        <w:rPr>
          <w:noProof/>
        </w:rPr>
        <w:fldChar w:fldCharType="begin"/>
      </w:r>
      <w:r>
        <w:rPr>
          <w:noProof/>
        </w:rPr>
        <w:instrText xml:space="preserve"> PAGEREF _Toc107922542 \h </w:instrText>
      </w:r>
      <w:r>
        <w:rPr>
          <w:noProof/>
        </w:rPr>
      </w:r>
      <w:r>
        <w:rPr>
          <w:noProof/>
        </w:rPr>
        <w:fldChar w:fldCharType="separate"/>
      </w:r>
      <w:r>
        <w:rPr>
          <w:noProof/>
        </w:rPr>
        <w:t>17</w:t>
      </w:r>
      <w:r>
        <w:rPr>
          <w:noProof/>
        </w:rPr>
        <w:fldChar w:fldCharType="end"/>
      </w:r>
    </w:p>
    <w:p w14:paraId="796357CA" w14:textId="151E1F99" w:rsidR="00027727" w:rsidRDefault="00027727">
      <w:pPr>
        <w:pStyle w:val="TOC4"/>
        <w:tabs>
          <w:tab w:val="right" w:leader="dot" w:pos="9730"/>
        </w:tabs>
        <w:rPr>
          <w:rFonts w:eastAsiaTheme="minorEastAsia" w:cstheme="minorBidi"/>
          <w:noProof/>
          <w:color w:val="auto"/>
          <w:szCs w:val="22"/>
          <w:lang w:eastAsia="en-AU"/>
        </w:rPr>
      </w:pPr>
      <w:r>
        <w:rPr>
          <w:noProof/>
        </w:rPr>
        <w:t>Methods 2 and 3 – fuel sampling and analysis</w:t>
      </w:r>
      <w:r>
        <w:rPr>
          <w:noProof/>
        </w:rPr>
        <w:tab/>
      </w:r>
      <w:r>
        <w:rPr>
          <w:noProof/>
        </w:rPr>
        <w:fldChar w:fldCharType="begin"/>
      </w:r>
      <w:r>
        <w:rPr>
          <w:noProof/>
        </w:rPr>
        <w:instrText xml:space="preserve"> PAGEREF _Toc107922543 \h </w:instrText>
      </w:r>
      <w:r>
        <w:rPr>
          <w:noProof/>
        </w:rPr>
      </w:r>
      <w:r>
        <w:rPr>
          <w:noProof/>
        </w:rPr>
        <w:fldChar w:fldCharType="separate"/>
      </w:r>
      <w:r>
        <w:rPr>
          <w:noProof/>
        </w:rPr>
        <w:t>18</w:t>
      </w:r>
      <w:r>
        <w:rPr>
          <w:noProof/>
        </w:rPr>
        <w:fldChar w:fldCharType="end"/>
      </w:r>
    </w:p>
    <w:p w14:paraId="732BE9F3" w14:textId="25D1CC23"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4.2.</w:t>
      </w:r>
      <w:r>
        <w:rPr>
          <w:rFonts w:eastAsiaTheme="minorEastAsia" w:cstheme="minorBidi"/>
          <w:noProof/>
          <w:color w:val="auto"/>
          <w:szCs w:val="22"/>
          <w:lang w:eastAsia="en-AU"/>
        </w:rPr>
        <w:tab/>
      </w:r>
      <w:r>
        <w:rPr>
          <w:noProof/>
        </w:rPr>
        <w:t>Method 4 – Direct measurement of emissions</w:t>
      </w:r>
      <w:r>
        <w:rPr>
          <w:noProof/>
        </w:rPr>
        <w:tab/>
      </w:r>
      <w:r>
        <w:rPr>
          <w:noProof/>
        </w:rPr>
        <w:fldChar w:fldCharType="begin"/>
      </w:r>
      <w:r>
        <w:rPr>
          <w:noProof/>
        </w:rPr>
        <w:instrText xml:space="preserve"> PAGEREF _Toc107922550 \h </w:instrText>
      </w:r>
      <w:r>
        <w:rPr>
          <w:noProof/>
        </w:rPr>
      </w:r>
      <w:r>
        <w:rPr>
          <w:noProof/>
        </w:rPr>
        <w:fldChar w:fldCharType="separate"/>
      </w:r>
      <w:r>
        <w:rPr>
          <w:noProof/>
        </w:rPr>
        <w:t>18</w:t>
      </w:r>
      <w:r>
        <w:rPr>
          <w:noProof/>
        </w:rPr>
        <w:fldChar w:fldCharType="end"/>
      </w:r>
    </w:p>
    <w:p w14:paraId="76BAFBFF" w14:textId="091FC005"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4.3.</w:t>
      </w:r>
      <w:r>
        <w:rPr>
          <w:rFonts w:eastAsiaTheme="minorEastAsia" w:cstheme="minorBidi"/>
          <w:noProof/>
          <w:color w:val="auto"/>
          <w:szCs w:val="22"/>
          <w:lang w:eastAsia="en-AU"/>
        </w:rPr>
        <w:tab/>
      </w:r>
      <w:r>
        <w:rPr>
          <w:noProof/>
        </w:rPr>
        <w:t>Estimating emissions from combustion of solid fuels</w:t>
      </w:r>
      <w:r>
        <w:rPr>
          <w:noProof/>
        </w:rPr>
        <w:tab/>
      </w:r>
      <w:r>
        <w:rPr>
          <w:noProof/>
        </w:rPr>
        <w:fldChar w:fldCharType="begin"/>
      </w:r>
      <w:r>
        <w:rPr>
          <w:noProof/>
        </w:rPr>
        <w:instrText xml:space="preserve"> PAGEREF _Toc107922551 \h </w:instrText>
      </w:r>
      <w:r>
        <w:rPr>
          <w:noProof/>
        </w:rPr>
      </w:r>
      <w:r>
        <w:rPr>
          <w:noProof/>
        </w:rPr>
        <w:fldChar w:fldCharType="separate"/>
      </w:r>
      <w:r>
        <w:rPr>
          <w:noProof/>
        </w:rPr>
        <w:t>19</w:t>
      </w:r>
      <w:r>
        <w:rPr>
          <w:noProof/>
        </w:rPr>
        <w:fldChar w:fldCharType="end"/>
      </w:r>
    </w:p>
    <w:p w14:paraId="7E62550D" w14:textId="19CE24FE" w:rsidR="00027727" w:rsidRDefault="00027727">
      <w:pPr>
        <w:pStyle w:val="TOC3"/>
        <w:tabs>
          <w:tab w:val="left" w:pos="1320"/>
        </w:tabs>
        <w:rPr>
          <w:rFonts w:eastAsiaTheme="minorEastAsia" w:cstheme="minorBidi"/>
          <w:noProof/>
          <w:color w:val="auto"/>
          <w:szCs w:val="22"/>
          <w:lang w:eastAsia="en-AU"/>
        </w:rPr>
      </w:pPr>
      <w:r w:rsidRPr="00A94C5E">
        <w:rPr>
          <w:noProof/>
          <w:lang w:val="en-GB"/>
        </w:rPr>
        <w:t>4.3.1.</w:t>
      </w:r>
      <w:r>
        <w:rPr>
          <w:rFonts w:eastAsiaTheme="minorEastAsia" w:cstheme="minorBidi"/>
          <w:noProof/>
          <w:color w:val="auto"/>
          <w:szCs w:val="22"/>
          <w:lang w:eastAsia="en-AU"/>
        </w:rPr>
        <w:tab/>
      </w:r>
      <w:r w:rsidRPr="00A94C5E">
        <w:rPr>
          <w:noProof/>
          <w:lang w:val="en-GB"/>
        </w:rPr>
        <w:t>Sampling and analysis requirements for Methods 2 and 3 for solid fuels</w:t>
      </w:r>
      <w:r>
        <w:rPr>
          <w:noProof/>
        </w:rPr>
        <w:tab/>
      </w:r>
      <w:r>
        <w:rPr>
          <w:noProof/>
        </w:rPr>
        <w:fldChar w:fldCharType="begin"/>
      </w:r>
      <w:r>
        <w:rPr>
          <w:noProof/>
        </w:rPr>
        <w:instrText xml:space="preserve"> PAGEREF _Toc107922552 \h </w:instrText>
      </w:r>
      <w:r>
        <w:rPr>
          <w:noProof/>
        </w:rPr>
      </w:r>
      <w:r>
        <w:rPr>
          <w:noProof/>
        </w:rPr>
        <w:fldChar w:fldCharType="separate"/>
      </w:r>
      <w:r>
        <w:rPr>
          <w:noProof/>
        </w:rPr>
        <w:t>20</w:t>
      </w:r>
      <w:r>
        <w:rPr>
          <w:noProof/>
        </w:rPr>
        <w:fldChar w:fldCharType="end"/>
      </w:r>
    </w:p>
    <w:p w14:paraId="1D65D7D3" w14:textId="6938E5C2" w:rsidR="00027727" w:rsidRDefault="00027727">
      <w:pPr>
        <w:pStyle w:val="TOC4"/>
        <w:tabs>
          <w:tab w:val="right" w:leader="dot" w:pos="9730"/>
        </w:tabs>
        <w:rPr>
          <w:rFonts w:eastAsiaTheme="minorEastAsia" w:cstheme="minorBidi"/>
          <w:noProof/>
          <w:color w:val="auto"/>
          <w:szCs w:val="22"/>
          <w:lang w:eastAsia="en-AU"/>
        </w:rPr>
      </w:pPr>
      <w:r>
        <w:rPr>
          <w:noProof/>
        </w:rPr>
        <w:t>Bias testing</w:t>
      </w:r>
      <w:r>
        <w:rPr>
          <w:noProof/>
        </w:rPr>
        <w:tab/>
      </w:r>
      <w:r>
        <w:rPr>
          <w:noProof/>
        </w:rPr>
        <w:fldChar w:fldCharType="begin"/>
      </w:r>
      <w:r>
        <w:rPr>
          <w:noProof/>
        </w:rPr>
        <w:instrText xml:space="preserve"> PAGEREF _Toc107922553 \h </w:instrText>
      </w:r>
      <w:r>
        <w:rPr>
          <w:noProof/>
        </w:rPr>
      </w:r>
      <w:r>
        <w:rPr>
          <w:noProof/>
        </w:rPr>
        <w:fldChar w:fldCharType="separate"/>
      </w:r>
      <w:r>
        <w:rPr>
          <w:noProof/>
        </w:rPr>
        <w:t>21</w:t>
      </w:r>
      <w:r>
        <w:rPr>
          <w:noProof/>
        </w:rPr>
        <w:fldChar w:fldCharType="end"/>
      </w:r>
    </w:p>
    <w:p w14:paraId="6715761E" w14:textId="7F72B10D"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4.4.</w:t>
      </w:r>
      <w:r>
        <w:rPr>
          <w:rFonts w:eastAsiaTheme="minorEastAsia" w:cstheme="minorBidi"/>
          <w:noProof/>
          <w:color w:val="auto"/>
          <w:szCs w:val="22"/>
          <w:lang w:eastAsia="en-AU"/>
        </w:rPr>
        <w:tab/>
      </w:r>
      <w:r>
        <w:rPr>
          <w:noProof/>
        </w:rPr>
        <w:t>Emissions from combustion of gaseous fuels</w:t>
      </w:r>
      <w:r>
        <w:rPr>
          <w:noProof/>
        </w:rPr>
        <w:tab/>
      </w:r>
      <w:r>
        <w:rPr>
          <w:noProof/>
        </w:rPr>
        <w:fldChar w:fldCharType="begin"/>
      </w:r>
      <w:r>
        <w:rPr>
          <w:noProof/>
        </w:rPr>
        <w:instrText xml:space="preserve"> PAGEREF _Toc107922554 \h </w:instrText>
      </w:r>
      <w:r>
        <w:rPr>
          <w:noProof/>
        </w:rPr>
      </w:r>
      <w:r>
        <w:rPr>
          <w:noProof/>
        </w:rPr>
        <w:fldChar w:fldCharType="separate"/>
      </w:r>
      <w:r>
        <w:rPr>
          <w:noProof/>
        </w:rPr>
        <w:t>22</w:t>
      </w:r>
      <w:r>
        <w:rPr>
          <w:noProof/>
        </w:rPr>
        <w:fldChar w:fldCharType="end"/>
      </w:r>
    </w:p>
    <w:p w14:paraId="3D614D24" w14:textId="56B94EBF" w:rsidR="00027727" w:rsidRDefault="00027727">
      <w:pPr>
        <w:pStyle w:val="TOC3"/>
        <w:tabs>
          <w:tab w:val="left" w:pos="1320"/>
        </w:tabs>
        <w:rPr>
          <w:rFonts w:eastAsiaTheme="minorEastAsia" w:cstheme="minorBidi"/>
          <w:noProof/>
          <w:color w:val="auto"/>
          <w:szCs w:val="22"/>
          <w:lang w:eastAsia="en-AU"/>
        </w:rPr>
      </w:pPr>
      <w:r w:rsidRPr="00A94C5E">
        <w:rPr>
          <w:noProof/>
          <w:lang w:val="en-GB"/>
        </w:rPr>
        <w:t>4.4.1.</w:t>
      </w:r>
      <w:r>
        <w:rPr>
          <w:rFonts w:eastAsiaTheme="minorEastAsia" w:cstheme="minorBidi"/>
          <w:noProof/>
          <w:color w:val="auto"/>
          <w:szCs w:val="22"/>
          <w:lang w:eastAsia="en-AU"/>
        </w:rPr>
        <w:tab/>
      </w:r>
      <w:r w:rsidRPr="00A94C5E">
        <w:rPr>
          <w:noProof/>
          <w:lang w:val="en-GB"/>
        </w:rPr>
        <w:t>Sampling and analysis requirements for Methods 2 and 3 for gaseous fuels</w:t>
      </w:r>
      <w:r>
        <w:rPr>
          <w:noProof/>
        </w:rPr>
        <w:tab/>
      </w:r>
      <w:r>
        <w:rPr>
          <w:noProof/>
        </w:rPr>
        <w:fldChar w:fldCharType="begin"/>
      </w:r>
      <w:r>
        <w:rPr>
          <w:noProof/>
        </w:rPr>
        <w:instrText xml:space="preserve"> PAGEREF _Toc107922555 \h </w:instrText>
      </w:r>
      <w:r>
        <w:rPr>
          <w:noProof/>
        </w:rPr>
      </w:r>
      <w:r>
        <w:rPr>
          <w:noProof/>
        </w:rPr>
        <w:fldChar w:fldCharType="separate"/>
      </w:r>
      <w:r>
        <w:rPr>
          <w:noProof/>
        </w:rPr>
        <w:t>22</w:t>
      </w:r>
      <w:r>
        <w:rPr>
          <w:noProof/>
        </w:rPr>
        <w:fldChar w:fldCharType="end"/>
      </w:r>
    </w:p>
    <w:p w14:paraId="58D93BAA" w14:textId="7D13AF52" w:rsidR="00027727" w:rsidRDefault="00027727">
      <w:pPr>
        <w:pStyle w:val="TOC4"/>
        <w:tabs>
          <w:tab w:val="right" w:leader="dot" w:pos="9730"/>
        </w:tabs>
        <w:rPr>
          <w:rFonts w:eastAsiaTheme="minorEastAsia" w:cstheme="minorBidi"/>
          <w:noProof/>
          <w:color w:val="auto"/>
          <w:szCs w:val="22"/>
          <w:lang w:eastAsia="en-AU"/>
        </w:rPr>
      </w:pPr>
      <w:r>
        <w:rPr>
          <w:noProof/>
        </w:rPr>
        <w:t>Bias testing</w:t>
      </w:r>
      <w:r>
        <w:rPr>
          <w:noProof/>
        </w:rPr>
        <w:tab/>
      </w:r>
      <w:r>
        <w:rPr>
          <w:noProof/>
        </w:rPr>
        <w:fldChar w:fldCharType="begin"/>
      </w:r>
      <w:r>
        <w:rPr>
          <w:noProof/>
        </w:rPr>
        <w:instrText xml:space="preserve"> PAGEREF _Toc107922556 \h </w:instrText>
      </w:r>
      <w:r>
        <w:rPr>
          <w:noProof/>
        </w:rPr>
      </w:r>
      <w:r>
        <w:rPr>
          <w:noProof/>
        </w:rPr>
        <w:fldChar w:fldCharType="separate"/>
      </w:r>
      <w:r>
        <w:rPr>
          <w:noProof/>
        </w:rPr>
        <w:t>23</w:t>
      </w:r>
      <w:r>
        <w:rPr>
          <w:noProof/>
        </w:rPr>
        <w:fldChar w:fldCharType="end"/>
      </w:r>
    </w:p>
    <w:p w14:paraId="20D2BD94" w14:textId="12417C99"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4.5.</w:t>
      </w:r>
      <w:r>
        <w:rPr>
          <w:rFonts w:eastAsiaTheme="minorEastAsia" w:cstheme="minorBidi"/>
          <w:noProof/>
          <w:color w:val="auto"/>
          <w:szCs w:val="22"/>
          <w:lang w:eastAsia="en-AU"/>
        </w:rPr>
        <w:tab/>
      </w:r>
      <w:r>
        <w:rPr>
          <w:noProof/>
        </w:rPr>
        <w:t>Emissions from combustion of liquid fuels</w:t>
      </w:r>
      <w:r>
        <w:rPr>
          <w:noProof/>
        </w:rPr>
        <w:tab/>
      </w:r>
      <w:r>
        <w:rPr>
          <w:noProof/>
        </w:rPr>
        <w:fldChar w:fldCharType="begin"/>
      </w:r>
      <w:r>
        <w:rPr>
          <w:noProof/>
        </w:rPr>
        <w:instrText xml:space="preserve"> PAGEREF _Toc107922557 \h </w:instrText>
      </w:r>
      <w:r>
        <w:rPr>
          <w:noProof/>
        </w:rPr>
      </w:r>
      <w:r>
        <w:rPr>
          <w:noProof/>
        </w:rPr>
        <w:fldChar w:fldCharType="separate"/>
      </w:r>
      <w:r>
        <w:rPr>
          <w:noProof/>
        </w:rPr>
        <w:t>24</w:t>
      </w:r>
      <w:r>
        <w:rPr>
          <w:noProof/>
        </w:rPr>
        <w:fldChar w:fldCharType="end"/>
      </w:r>
    </w:p>
    <w:p w14:paraId="4FBFA1EB" w14:textId="6F0CDDEB" w:rsidR="00027727" w:rsidRDefault="00027727">
      <w:pPr>
        <w:pStyle w:val="TOC3"/>
        <w:tabs>
          <w:tab w:val="left" w:pos="1320"/>
        </w:tabs>
        <w:rPr>
          <w:rFonts w:eastAsiaTheme="minorEastAsia" w:cstheme="minorBidi"/>
          <w:noProof/>
          <w:color w:val="auto"/>
          <w:szCs w:val="22"/>
          <w:lang w:eastAsia="en-AU"/>
        </w:rPr>
      </w:pPr>
      <w:r w:rsidRPr="00A94C5E">
        <w:rPr>
          <w:noProof/>
          <w:lang w:val="en-GB"/>
        </w:rPr>
        <w:t>4.5.1.</w:t>
      </w:r>
      <w:r>
        <w:rPr>
          <w:rFonts w:eastAsiaTheme="minorEastAsia" w:cstheme="minorBidi"/>
          <w:noProof/>
          <w:color w:val="auto"/>
          <w:szCs w:val="22"/>
          <w:lang w:eastAsia="en-AU"/>
        </w:rPr>
        <w:tab/>
      </w:r>
      <w:r w:rsidRPr="00A94C5E">
        <w:rPr>
          <w:noProof/>
          <w:lang w:val="en-GB"/>
        </w:rPr>
        <w:t>Sampling and analysis requirements for methods 2 and 3 for liquid fuels</w:t>
      </w:r>
      <w:r>
        <w:rPr>
          <w:noProof/>
        </w:rPr>
        <w:tab/>
      </w:r>
      <w:r>
        <w:rPr>
          <w:noProof/>
        </w:rPr>
        <w:fldChar w:fldCharType="begin"/>
      </w:r>
      <w:r>
        <w:rPr>
          <w:noProof/>
        </w:rPr>
        <w:instrText xml:space="preserve"> PAGEREF _Toc107922558 \h </w:instrText>
      </w:r>
      <w:r>
        <w:rPr>
          <w:noProof/>
        </w:rPr>
      </w:r>
      <w:r>
        <w:rPr>
          <w:noProof/>
        </w:rPr>
        <w:fldChar w:fldCharType="separate"/>
      </w:r>
      <w:r>
        <w:rPr>
          <w:noProof/>
        </w:rPr>
        <w:t>24</w:t>
      </w:r>
      <w:r>
        <w:rPr>
          <w:noProof/>
        </w:rPr>
        <w:fldChar w:fldCharType="end"/>
      </w:r>
    </w:p>
    <w:p w14:paraId="05B39555" w14:textId="5CE8BD49" w:rsidR="00027727" w:rsidRDefault="00027727">
      <w:pPr>
        <w:pStyle w:val="TOC4"/>
        <w:tabs>
          <w:tab w:val="right" w:leader="dot" w:pos="9730"/>
        </w:tabs>
        <w:rPr>
          <w:rFonts w:eastAsiaTheme="minorEastAsia" w:cstheme="minorBidi"/>
          <w:noProof/>
          <w:color w:val="auto"/>
          <w:szCs w:val="22"/>
          <w:lang w:eastAsia="en-AU"/>
        </w:rPr>
      </w:pPr>
      <w:r>
        <w:rPr>
          <w:noProof/>
        </w:rPr>
        <w:t>Bias testing</w:t>
      </w:r>
      <w:r>
        <w:rPr>
          <w:noProof/>
        </w:rPr>
        <w:tab/>
      </w:r>
      <w:r>
        <w:rPr>
          <w:noProof/>
        </w:rPr>
        <w:fldChar w:fldCharType="begin"/>
      </w:r>
      <w:r>
        <w:rPr>
          <w:noProof/>
        </w:rPr>
        <w:instrText xml:space="preserve"> PAGEREF _Toc107922559 \h </w:instrText>
      </w:r>
      <w:r>
        <w:rPr>
          <w:noProof/>
        </w:rPr>
      </w:r>
      <w:r>
        <w:rPr>
          <w:noProof/>
        </w:rPr>
        <w:fldChar w:fldCharType="separate"/>
      </w:r>
      <w:r>
        <w:rPr>
          <w:noProof/>
        </w:rPr>
        <w:t>25</w:t>
      </w:r>
      <w:r>
        <w:rPr>
          <w:noProof/>
        </w:rPr>
        <w:fldChar w:fldCharType="end"/>
      </w:r>
    </w:p>
    <w:p w14:paraId="55749301" w14:textId="57CD25B4"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4.6.</w:t>
      </w:r>
      <w:r>
        <w:rPr>
          <w:rFonts w:eastAsiaTheme="minorEastAsia" w:cstheme="minorBidi"/>
          <w:noProof/>
          <w:color w:val="auto"/>
          <w:szCs w:val="22"/>
          <w:lang w:eastAsia="en-AU"/>
        </w:rPr>
        <w:tab/>
      </w:r>
      <w:r>
        <w:rPr>
          <w:noProof/>
        </w:rPr>
        <w:t>Emissions from consumption of PBOGs</w:t>
      </w:r>
      <w:r>
        <w:rPr>
          <w:noProof/>
        </w:rPr>
        <w:tab/>
      </w:r>
      <w:r>
        <w:rPr>
          <w:noProof/>
        </w:rPr>
        <w:fldChar w:fldCharType="begin"/>
      </w:r>
      <w:r>
        <w:rPr>
          <w:noProof/>
        </w:rPr>
        <w:instrText xml:space="preserve"> PAGEREF _Toc107922560 \h </w:instrText>
      </w:r>
      <w:r>
        <w:rPr>
          <w:noProof/>
        </w:rPr>
      </w:r>
      <w:r>
        <w:rPr>
          <w:noProof/>
        </w:rPr>
        <w:fldChar w:fldCharType="separate"/>
      </w:r>
      <w:r>
        <w:rPr>
          <w:noProof/>
        </w:rPr>
        <w:t>25</w:t>
      </w:r>
      <w:r>
        <w:rPr>
          <w:noProof/>
        </w:rPr>
        <w:fldChar w:fldCharType="end"/>
      </w:r>
    </w:p>
    <w:p w14:paraId="74385EE2" w14:textId="679A1131" w:rsidR="00027727" w:rsidRDefault="00027727">
      <w:pPr>
        <w:pStyle w:val="TOC1"/>
        <w:tabs>
          <w:tab w:val="left" w:pos="440"/>
        </w:tabs>
        <w:rPr>
          <w:rFonts w:eastAsiaTheme="minorEastAsia" w:cstheme="minorBidi"/>
          <w:b w:val="0"/>
          <w:noProof/>
          <w:color w:val="auto"/>
          <w:szCs w:val="22"/>
          <w:lang w:eastAsia="en-AU"/>
        </w:rPr>
      </w:pPr>
      <w:r w:rsidRPr="00A94C5E">
        <w:rPr>
          <w:noProof/>
          <w:lang w:val="en-GB"/>
        </w:rPr>
        <w:t>5.</w:t>
      </w:r>
      <w:r>
        <w:rPr>
          <w:rFonts w:eastAsiaTheme="minorEastAsia" w:cstheme="minorBidi"/>
          <w:b w:val="0"/>
          <w:noProof/>
          <w:color w:val="auto"/>
          <w:szCs w:val="22"/>
          <w:lang w:eastAsia="en-AU"/>
        </w:rPr>
        <w:tab/>
      </w:r>
      <w:r w:rsidRPr="00A94C5E">
        <w:rPr>
          <w:noProof/>
          <w:lang w:val="en-GB"/>
        </w:rPr>
        <w:t>Estimating emissions of sulphur hexafluoride</w:t>
      </w:r>
      <w:r>
        <w:rPr>
          <w:noProof/>
        </w:rPr>
        <w:tab/>
      </w:r>
      <w:r>
        <w:rPr>
          <w:noProof/>
        </w:rPr>
        <w:fldChar w:fldCharType="begin"/>
      </w:r>
      <w:r>
        <w:rPr>
          <w:noProof/>
        </w:rPr>
        <w:instrText xml:space="preserve"> PAGEREF _Toc107922561 \h </w:instrText>
      </w:r>
      <w:r>
        <w:rPr>
          <w:noProof/>
        </w:rPr>
      </w:r>
      <w:r>
        <w:rPr>
          <w:noProof/>
        </w:rPr>
        <w:fldChar w:fldCharType="separate"/>
      </w:r>
      <w:r>
        <w:rPr>
          <w:noProof/>
        </w:rPr>
        <w:t>26</w:t>
      </w:r>
      <w:r>
        <w:rPr>
          <w:noProof/>
        </w:rPr>
        <w:fldChar w:fldCharType="end"/>
      </w:r>
    </w:p>
    <w:p w14:paraId="319CF5EB" w14:textId="10DF010B" w:rsidR="00027727" w:rsidRDefault="00027727">
      <w:pPr>
        <w:pStyle w:val="TOC1"/>
        <w:tabs>
          <w:tab w:val="left" w:pos="440"/>
        </w:tabs>
        <w:rPr>
          <w:rFonts w:eastAsiaTheme="minorEastAsia" w:cstheme="minorBidi"/>
          <w:b w:val="0"/>
          <w:noProof/>
          <w:color w:val="auto"/>
          <w:szCs w:val="22"/>
          <w:lang w:eastAsia="en-AU"/>
        </w:rPr>
      </w:pPr>
      <w:r w:rsidRPr="00A94C5E">
        <w:rPr>
          <w:noProof/>
          <w:lang w:val="en-GB"/>
        </w:rPr>
        <w:t>6.</w:t>
      </w:r>
      <w:r>
        <w:rPr>
          <w:rFonts w:eastAsiaTheme="minorEastAsia" w:cstheme="minorBidi"/>
          <w:b w:val="0"/>
          <w:noProof/>
          <w:color w:val="auto"/>
          <w:szCs w:val="22"/>
          <w:lang w:eastAsia="en-AU"/>
        </w:rPr>
        <w:tab/>
      </w:r>
      <w:r w:rsidRPr="00A94C5E">
        <w:rPr>
          <w:noProof/>
          <w:lang w:val="en-GB"/>
        </w:rPr>
        <w:t>Scope 2 emissions from electricity use</w:t>
      </w:r>
      <w:r>
        <w:rPr>
          <w:noProof/>
        </w:rPr>
        <w:tab/>
      </w:r>
      <w:r>
        <w:rPr>
          <w:noProof/>
        </w:rPr>
        <w:fldChar w:fldCharType="begin"/>
      </w:r>
      <w:r>
        <w:rPr>
          <w:noProof/>
        </w:rPr>
        <w:instrText xml:space="preserve"> PAGEREF _Toc107922562 \h </w:instrText>
      </w:r>
      <w:r>
        <w:rPr>
          <w:noProof/>
        </w:rPr>
      </w:r>
      <w:r>
        <w:rPr>
          <w:noProof/>
        </w:rPr>
        <w:fldChar w:fldCharType="separate"/>
      </w:r>
      <w:r>
        <w:rPr>
          <w:noProof/>
        </w:rPr>
        <w:t>26</w:t>
      </w:r>
      <w:r>
        <w:rPr>
          <w:noProof/>
        </w:rPr>
        <w:fldChar w:fldCharType="end"/>
      </w:r>
    </w:p>
    <w:p w14:paraId="6D930EE9" w14:textId="67B6D0C8" w:rsidR="00027727" w:rsidRDefault="00027727">
      <w:pPr>
        <w:pStyle w:val="TOC4"/>
        <w:tabs>
          <w:tab w:val="right" w:leader="dot" w:pos="9730"/>
        </w:tabs>
        <w:rPr>
          <w:rFonts w:eastAsiaTheme="minorEastAsia" w:cstheme="minorBidi"/>
          <w:noProof/>
          <w:color w:val="auto"/>
          <w:szCs w:val="22"/>
          <w:lang w:eastAsia="en-AU"/>
        </w:rPr>
      </w:pPr>
      <w:r>
        <w:rPr>
          <w:noProof/>
        </w:rPr>
        <w:lastRenderedPageBreak/>
        <w:t>20,000 kilowatt hours reporting threshold</w:t>
      </w:r>
      <w:r>
        <w:rPr>
          <w:noProof/>
        </w:rPr>
        <w:tab/>
      </w:r>
      <w:r>
        <w:rPr>
          <w:noProof/>
        </w:rPr>
        <w:fldChar w:fldCharType="begin"/>
      </w:r>
      <w:r>
        <w:rPr>
          <w:noProof/>
        </w:rPr>
        <w:instrText xml:space="preserve"> PAGEREF _Toc107922563 \h </w:instrText>
      </w:r>
      <w:r>
        <w:rPr>
          <w:noProof/>
        </w:rPr>
      </w:r>
      <w:r>
        <w:rPr>
          <w:noProof/>
        </w:rPr>
        <w:fldChar w:fldCharType="separate"/>
      </w:r>
      <w:r>
        <w:rPr>
          <w:noProof/>
        </w:rPr>
        <w:t>27</w:t>
      </w:r>
      <w:r>
        <w:rPr>
          <w:noProof/>
        </w:rPr>
        <w:fldChar w:fldCharType="end"/>
      </w:r>
    </w:p>
    <w:p w14:paraId="3DAFF8FB" w14:textId="129CA228" w:rsidR="00027727" w:rsidRDefault="00027727">
      <w:pPr>
        <w:pStyle w:val="TOC4"/>
        <w:tabs>
          <w:tab w:val="right" w:leader="dot" w:pos="9730"/>
        </w:tabs>
        <w:rPr>
          <w:rFonts w:eastAsiaTheme="minorEastAsia" w:cstheme="minorBidi"/>
          <w:noProof/>
          <w:color w:val="auto"/>
          <w:szCs w:val="22"/>
          <w:lang w:eastAsia="en-AU"/>
        </w:rPr>
      </w:pPr>
      <w:r>
        <w:rPr>
          <w:noProof/>
        </w:rPr>
        <w:t>Meaning of ‘purchased electricity’</w:t>
      </w:r>
      <w:r>
        <w:rPr>
          <w:noProof/>
        </w:rPr>
        <w:tab/>
      </w:r>
      <w:r>
        <w:rPr>
          <w:noProof/>
        </w:rPr>
        <w:fldChar w:fldCharType="begin"/>
      </w:r>
      <w:r>
        <w:rPr>
          <w:noProof/>
        </w:rPr>
        <w:instrText xml:space="preserve"> PAGEREF _Toc107922564 \h </w:instrText>
      </w:r>
      <w:r>
        <w:rPr>
          <w:noProof/>
        </w:rPr>
      </w:r>
      <w:r>
        <w:rPr>
          <w:noProof/>
        </w:rPr>
        <w:fldChar w:fldCharType="separate"/>
      </w:r>
      <w:r>
        <w:rPr>
          <w:noProof/>
        </w:rPr>
        <w:t>27</w:t>
      </w:r>
      <w:r>
        <w:rPr>
          <w:noProof/>
        </w:rPr>
        <w:fldChar w:fldCharType="end"/>
      </w:r>
    </w:p>
    <w:p w14:paraId="22EF843C" w14:textId="0E15DF89" w:rsidR="00027727" w:rsidRDefault="00027727">
      <w:pPr>
        <w:pStyle w:val="TOC5"/>
        <w:tabs>
          <w:tab w:val="right" w:leader="dot" w:pos="9730"/>
        </w:tabs>
        <w:rPr>
          <w:noProof/>
        </w:rPr>
      </w:pPr>
      <w:r>
        <w:rPr>
          <w:noProof/>
        </w:rPr>
        <w:t>Example – Purchased electricity</w:t>
      </w:r>
      <w:r>
        <w:rPr>
          <w:noProof/>
        </w:rPr>
        <w:tab/>
      </w:r>
      <w:r>
        <w:rPr>
          <w:noProof/>
        </w:rPr>
        <w:fldChar w:fldCharType="begin"/>
      </w:r>
      <w:r>
        <w:rPr>
          <w:noProof/>
        </w:rPr>
        <w:instrText xml:space="preserve"> PAGEREF _Toc107922565 \h </w:instrText>
      </w:r>
      <w:r>
        <w:rPr>
          <w:noProof/>
        </w:rPr>
      </w:r>
      <w:r>
        <w:rPr>
          <w:noProof/>
        </w:rPr>
        <w:fldChar w:fldCharType="separate"/>
      </w:r>
      <w:r>
        <w:rPr>
          <w:noProof/>
        </w:rPr>
        <w:t>28</w:t>
      </w:r>
      <w:r>
        <w:rPr>
          <w:noProof/>
        </w:rPr>
        <w:fldChar w:fldCharType="end"/>
      </w:r>
    </w:p>
    <w:p w14:paraId="59B0BD79" w14:textId="5F8BF9D7"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6.1.</w:t>
      </w:r>
      <w:r>
        <w:rPr>
          <w:rFonts w:eastAsiaTheme="minorEastAsia" w:cstheme="minorBidi"/>
          <w:noProof/>
          <w:color w:val="auto"/>
          <w:szCs w:val="22"/>
          <w:lang w:eastAsia="en-AU"/>
        </w:rPr>
        <w:tab/>
      </w:r>
      <w:r>
        <w:rPr>
          <w:noProof/>
        </w:rPr>
        <w:t>Purchase or loss of electricity from the main electricity grid</w:t>
      </w:r>
      <w:r>
        <w:rPr>
          <w:noProof/>
        </w:rPr>
        <w:tab/>
      </w:r>
      <w:r>
        <w:rPr>
          <w:noProof/>
        </w:rPr>
        <w:fldChar w:fldCharType="begin"/>
      </w:r>
      <w:r>
        <w:rPr>
          <w:noProof/>
        </w:rPr>
        <w:instrText xml:space="preserve"> PAGEREF _Toc107922566 \h </w:instrText>
      </w:r>
      <w:r>
        <w:rPr>
          <w:noProof/>
        </w:rPr>
      </w:r>
      <w:r>
        <w:rPr>
          <w:noProof/>
        </w:rPr>
        <w:fldChar w:fldCharType="separate"/>
      </w:r>
      <w:r>
        <w:rPr>
          <w:noProof/>
        </w:rPr>
        <w:t>28</w:t>
      </w:r>
      <w:r>
        <w:rPr>
          <w:noProof/>
        </w:rPr>
        <w:fldChar w:fldCharType="end"/>
      </w:r>
    </w:p>
    <w:p w14:paraId="6C61B654" w14:textId="37DA5BAD"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6.2.</w:t>
      </w:r>
      <w:r>
        <w:rPr>
          <w:rFonts w:eastAsiaTheme="minorEastAsia" w:cstheme="minorBidi"/>
          <w:noProof/>
          <w:color w:val="auto"/>
          <w:szCs w:val="22"/>
          <w:lang w:eastAsia="en-AU"/>
        </w:rPr>
        <w:tab/>
      </w:r>
      <w:r>
        <w:rPr>
          <w:noProof/>
        </w:rPr>
        <w:t>Purchase or loss of electricity from other sources</w:t>
      </w:r>
      <w:r>
        <w:rPr>
          <w:noProof/>
        </w:rPr>
        <w:tab/>
      </w:r>
      <w:r>
        <w:rPr>
          <w:noProof/>
        </w:rPr>
        <w:fldChar w:fldCharType="begin"/>
      </w:r>
      <w:r>
        <w:rPr>
          <w:noProof/>
        </w:rPr>
        <w:instrText xml:space="preserve"> PAGEREF _Toc107922567 \h </w:instrText>
      </w:r>
      <w:r>
        <w:rPr>
          <w:noProof/>
        </w:rPr>
      </w:r>
      <w:r>
        <w:rPr>
          <w:noProof/>
        </w:rPr>
        <w:fldChar w:fldCharType="separate"/>
      </w:r>
      <w:r>
        <w:rPr>
          <w:noProof/>
        </w:rPr>
        <w:t>29</w:t>
      </w:r>
      <w:r>
        <w:rPr>
          <w:noProof/>
        </w:rPr>
        <w:fldChar w:fldCharType="end"/>
      </w:r>
    </w:p>
    <w:p w14:paraId="7B9C9984" w14:textId="405AC2EB"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6.3.</w:t>
      </w:r>
      <w:r>
        <w:rPr>
          <w:rFonts w:eastAsiaTheme="minorEastAsia" w:cstheme="minorBidi"/>
          <w:noProof/>
          <w:color w:val="auto"/>
          <w:szCs w:val="22"/>
          <w:lang w:eastAsia="en-AU"/>
        </w:rPr>
        <w:tab/>
      </w:r>
      <w:r>
        <w:rPr>
          <w:noProof/>
        </w:rPr>
        <w:t>Scope 2 emission factors</w:t>
      </w:r>
      <w:r>
        <w:rPr>
          <w:noProof/>
        </w:rPr>
        <w:tab/>
      </w:r>
      <w:r>
        <w:rPr>
          <w:noProof/>
        </w:rPr>
        <w:fldChar w:fldCharType="begin"/>
      </w:r>
      <w:r>
        <w:rPr>
          <w:noProof/>
        </w:rPr>
        <w:instrText xml:space="preserve"> PAGEREF _Toc107922568 \h </w:instrText>
      </w:r>
      <w:r>
        <w:rPr>
          <w:noProof/>
        </w:rPr>
      </w:r>
      <w:r>
        <w:rPr>
          <w:noProof/>
        </w:rPr>
        <w:fldChar w:fldCharType="separate"/>
      </w:r>
      <w:r>
        <w:rPr>
          <w:noProof/>
        </w:rPr>
        <w:t>29</w:t>
      </w:r>
      <w:r>
        <w:rPr>
          <w:noProof/>
        </w:rPr>
        <w:fldChar w:fldCharType="end"/>
      </w:r>
    </w:p>
    <w:p w14:paraId="41BA5776" w14:textId="72B2DDAB" w:rsidR="00027727" w:rsidRDefault="00027727">
      <w:pPr>
        <w:pStyle w:val="TOC4"/>
        <w:tabs>
          <w:tab w:val="right" w:leader="dot" w:pos="9730"/>
        </w:tabs>
        <w:rPr>
          <w:rFonts w:eastAsiaTheme="minorEastAsia" w:cstheme="minorBidi"/>
          <w:noProof/>
          <w:color w:val="auto"/>
          <w:szCs w:val="22"/>
          <w:lang w:eastAsia="en-AU"/>
        </w:rPr>
      </w:pPr>
      <w:r>
        <w:rPr>
          <w:noProof/>
        </w:rPr>
        <w:t>Main electricity grid</w:t>
      </w:r>
      <w:r>
        <w:rPr>
          <w:noProof/>
        </w:rPr>
        <w:tab/>
      </w:r>
      <w:r>
        <w:rPr>
          <w:noProof/>
        </w:rPr>
        <w:fldChar w:fldCharType="begin"/>
      </w:r>
      <w:r>
        <w:rPr>
          <w:noProof/>
        </w:rPr>
        <w:instrText xml:space="preserve"> PAGEREF _Toc107922569 \h </w:instrText>
      </w:r>
      <w:r>
        <w:rPr>
          <w:noProof/>
        </w:rPr>
      </w:r>
      <w:r>
        <w:rPr>
          <w:noProof/>
        </w:rPr>
        <w:fldChar w:fldCharType="separate"/>
      </w:r>
      <w:r>
        <w:rPr>
          <w:noProof/>
        </w:rPr>
        <w:t>29</w:t>
      </w:r>
      <w:r>
        <w:rPr>
          <w:noProof/>
        </w:rPr>
        <w:fldChar w:fldCharType="end"/>
      </w:r>
    </w:p>
    <w:p w14:paraId="24BA231C" w14:textId="022252A3" w:rsidR="00027727" w:rsidRDefault="00027727">
      <w:pPr>
        <w:pStyle w:val="TOC1"/>
        <w:tabs>
          <w:tab w:val="left" w:pos="440"/>
        </w:tabs>
        <w:rPr>
          <w:rFonts w:eastAsiaTheme="minorEastAsia" w:cstheme="minorBidi"/>
          <w:b w:val="0"/>
          <w:noProof/>
          <w:color w:val="auto"/>
          <w:szCs w:val="22"/>
          <w:lang w:eastAsia="en-AU"/>
        </w:rPr>
      </w:pPr>
      <w:r w:rsidRPr="00A94C5E">
        <w:rPr>
          <w:noProof/>
          <w:lang w:val="en-GB"/>
        </w:rPr>
        <w:t>7.</w:t>
      </w:r>
      <w:r>
        <w:rPr>
          <w:rFonts w:eastAsiaTheme="minorEastAsia" w:cstheme="minorBidi"/>
          <w:b w:val="0"/>
          <w:noProof/>
          <w:color w:val="auto"/>
          <w:szCs w:val="22"/>
          <w:lang w:eastAsia="en-AU"/>
        </w:rPr>
        <w:tab/>
      </w:r>
      <w:r w:rsidRPr="00A94C5E">
        <w:rPr>
          <w:noProof/>
          <w:lang w:val="en-GB"/>
        </w:rPr>
        <w:t>Energy production and consumption</w:t>
      </w:r>
      <w:r>
        <w:rPr>
          <w:noProof/>
        </w:rPr>
        <w:tab/>
      </w:r>
      <w:r>
        <w:rPr>
          <w:noProof/>
        </w:rPr>
        <w:fldChar w:fldCharType="begin"/>
      </w:r>
      <w:r>
        <w:rPr>
          <w:noProof/>
        </w:rPr>
        <w:instrText xml:space="preserve"> PAGEREF _Toc107922570 \h </w:instrText>
      </w:r>
      <w:r>
        <w:rPr>
          <w:noProof/>
        </w:rPr>
      </w:r>
      <w:r>
        <w:rPr>
          <w:noProof/>
        </w:rPr>
        <w:fldChar w:fldCharType="separate"/>
      </w:r>
      <w:r>
        <w:rPr>
          <w:noProof/>
        </w:rPr>
        <w:t>30</w:t>
      </w:r>
      <w:r>
        <w:rPr>
          <w:noProof/>
        </w:rPr>
        <w:fldChar w:fldCharType="end"/>
      </w:r>
    </w:p>
    <w:p w14:paraId="13E1A977" w14:textId="33121137"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7.1.</w:t>
      </w:r>
      <w:r>
        <w:rPr>
          <w:rFonts w:eastAsiaTheme="minorEastAsia" w:cstheme="minorBidi"/>
          <w:noProof/>
          <w:color w:val="auto"/>
          <w:szCs w:val="22"/>
          <w:lang w:eastAsia="en-AU"/>
        </w:rPr>
        <w:tab/>
      </w:r>
      <w:r>
        <w:rPr>
          <w:noProof/>
        </w:rPr>
        <w:t>Energy as a fuel or energy commodity</w:t>
      </w:r>
      <w:r>
        <w:rPr>
          <w:noProof/>
        </w:rPr>
        <w:tab/>
      </w:r>
      <w:r>
        <w:rPr>
          <w:noProof/>
        </w:rPr>
        <w:fldChar w:fldCharType="begin"/>
      </w:r>
      <w:r>
        <w:rPr>
          <w:noProof/>
        </w:rPr>
        <w:instrText xml:space="preserve"> PAGEREF _Toc107922571 \h </w:instrText>
      </w:r>
      <w:r>
        <w:rPr>
          <w:noProof/>
        </w:rPr>
      </w:r>
      <w:r>
        <w:rPr>
          <w:noProof/>
        </w:rPr>
        <w:fldChar w:fldCharType="separate"/>
      </w:r>
      <w:r>
        <w:rPr>
          <w:noProof/>
        </w:rPr>
        <w:t>30</w:t>
      </w:r>
      <w:r>
        <w:rPr>
          <w:noProof/>
        </w:rPr>
        <w:fldChar w:fldCharType="end"/>
      </w:r>
    </w:p>
    <w:p w14:paraId="532EE7DC" w14:textId="001CC62E" w:rsidR="00027727" w:rsidRDefault="00027727">
      <w:pPr>
        <w:pStyle w:val="TOC5"/>
        <w:tabs>
          <w:tab w:val="right" w:leader="dot" w:pos="9730"/>
        </w:tabs>
        <w:rPr>
          <w:noProof/>
        </w:rPr>
      </w:pPr>
      <w:r>
        <w:rPr>
          <w:noProof/>
        </w:rPr>
        <w:t>Example – Energy production and consumption from a gas fired power station</w:t>
      </w:r>
      <w:r>
        <w:rPr>
          <w:noProof/>
        </w:rPr>
        <w:tab/>
      </w:r>
      <w:r>
        <w:rPr>
          <w:noProof/>
        </w:rPr>
        <w:fldChar w:fldCharType="begin"/>
      </w:r>
      <w:r>
        <w:rPr>
          <w:noProof/>
        </w:rPr>
        <w:instrText xml:space="preserve"> PAGEREF _Toc107922572 \h </w:instrText>
      </w:r>
      <w:r>
        <w:rPr>
          <w:noProof/>
        </w:rPr>
      </w:r>
      <w:r>
        <w:rPr>
          <w:noProof/>
        </w:rPr>
        <w:fldChar w:fldCharType="separate"/>
      </w:r>
      <w:r>
        <w:rPr>
          <w:noProof/>
        </w:rPr>
        <w:t>31</w:t>
      </w:r>
      <w:r>
        <w:rPr>
          <w:noProof/>
        </w:rPr>
        <w:fldChar w:fldCharType="end"/>
      </w:r>
    </w:p>
    <w:p w14:paraId="4981D483" w14:textId="28EED203"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7.2.</w:t>
      </w:r>
      <w:r>
        <w:rPr>
          <w:rFonts w:eastAsiaTheme="minorEastAsia" w:cstheme="minorBidi"/>
          <w:noProof/>
          <w:color w:val="auto"/>
          <w:szCs w:val="22"/>
          <w:lang w:eastAsia="en-AU"/>
        </w:rPr>
        <w:tab/>
      </w:r>
      <w:r>
        <w:rPr>
          <w:noProof/>
        </w:rPr>
        <w:t>Estimating energy production and consumption</w:t>
      </w:r>
      <w:r>
        <w:rPr>
          <w:noProof/>
        </w:rPr>
        <w:tab/>
      </w:r>
      <w:r>
        <w:rPr>
          <w:noProof/>
        </w:rPr>
        <w:fldChar w:fldCharType="begin"/>
      </w:r>
      <w:r>
        <w:rPr>
          <w:noProof/>
        </w:rPr>
        <w:instrText xml:space="preserve"> PAGEREF _Toc107922573 \h </w:instrText>
      </w:r>
      <w:r>
        <w:rPr>
          <w:noProof/>
        </w:rPr>
      </w:r>
      <w:r>
        <w:rPr>
          <w:noProof/>
        </w:rPr>
        <w:fldChar w:fldCharType="separate"/>
      </w:r>
      <w:r>
        <w:rPr>
          <w:noProof/>
        </w:rPr>
        <w:t>31</w:t>
      </w:r>
      <w:r>
        <w:rPr>
          <w:noProof/>
        </w:rPr>
        <w:fldChar w:fldCharType="end"/>
      </w:r>
    </w:p>
    <w:p w14:paraId="14C28D85" w14:textId="429F4511"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7.3.</w:t>
      </w:r>
      <w:r>
        <w:rPr>
          <w:rFonts w:eastAsiaTheme="minorEastAsia" w:cstheme="minorBidi"/>
          <w:noProof/>
          <w:color w:val="auto"/>
          <w:szCs w:val="22"/>
          <w:lang w:eastAsia="en-AU"/>
        </w:rPr>
        <w:tab/>
      </w:r>
      <w:r>
        <w:rPr>
          <w:noProof/>
        </w:rPr>
        <w:t>Electricity production and consumption</w:t>
      </w:r>
      <w:r>
        <w:rPr>
          <w:noProof/>
        </w:rPr>
        <w:tab/>
      </w:r>
      <w:r>
        <w:rPr>
          <w:noProof/>
        </w:rPr>
        <w:fldChar w:fldCharType="begin"/>
      </w:r>
      <w:r>
        <w:rPr>
          <w:noProof/>
        </w:rPr>
        <w:instrText xml:space="preserve"> PAGEREF _Toc107922574 \h </w:instrText>
      </w:r>
      <w:r>
        <w:rPr>
          <w:noProof/>
        </w:rPr>
      </w:r>
      <w:r>
        <w:rPr>
          <w:noProof/>
        </w:rPr>
        <w:fldChar w:fldCharType="separate"/>
      </w:r>
      <w:r>
        <w:rPr>
          <w:noProof/>
        </w:rPr>
        <w:t>31</w:t>
      </w:r>
      <w:r>
        <w:rPr>
          <w:noProof/>
        </w:rPr>
        <w:fldChar w:fldCharType="end"/>
      </w:r>
    </w:p>
    <w:p w14:paraId="06BBD853" w14:textId="04C5F436" w:rsidR="00027727" w:rsidRDefault="00027727">
      <w:pPr>
        <w:pStyle w:val="TOC5"/>
        <w:tabs>
          <w:tab w:val="right" w:leader="dot" w:pos="9730"/>
        </w:tabs>
        <w:rPr>
          <w:noProof/>
        </w:rPr>
      </w:pPr>
      <w:r>
        <w:rPr>
          <w:noProof/>
        </w:rPr>
        <w:t>Electricity threshold example</w:t>
      </w:r>
      <w:r>
        <w:rPr>
          <w:noProof/>
        </w:rPr>
        <w:tab/>
      </w:r>
      <w:r>
        <w:rPr>
          <w:noProof/>
        </w:rPr>
        <w:fldChar w:fldCharType="begin"/>
      </w:r>
      <w:r>
        <w:rPr>
          <w:noProof/>
        </w:rPr>
        <w:instrText xml:space="preserve"> PAGEREF _Toc107922575 \h </w:instrText>
      </w:r>
      <w:r>
        <w:rPr>
          <w:noProof/>
        </w:rPr>
      </w:r>
      <w:r>
        <w:rPr>
          <w:noProof/>
        </w:rPr>
        <w:fldChar w:fldCharType="separate"/>
      </w:r>
      <w:r>
        <w:rPr>
          <w:noProof/>
        </w:rPr>
        <w:t>32</w:t>
      </w:r>
      <w:r>
        <w:rPr>
          <w:noProof/>
        </w:rPr>
        <w:fldChar w:fldCharType="end"/>
      </w:r>
    </w:p>
    <w:p w14:paraId="6F6693AF" w14:textId="5E764F0A" w:rsidR="00027727" w:rsidRDefault="00027727">
      <w:pPr>
        <w:pStyle w:val="TOC3"/>
        <w:tabs>
          <w:tab w:val="left" w:pos="1320"/>
        </w:tabs>
        <w:rPr>
          <w:rFonts w:eastAsiaTheme="minorEastAsia" w:cstheme="minorBidi"/>
          <w:noProof/>
          <w:color w:val="auto"/>
          <w:szCs w:val="22"/>
          <w:lang w:eastAsia="en-AU"/>
        </w:rPr>
      </w:pPr>
      <w:r w:rsidRPr="00A94C5E">
        <w:rPr>
          <w:noProof/>
          <w:lang w:val="en-GB"/>
        </w:rPr>
        <w:t>7.3.1.</w:t>
      </w:r>
      <w:r>
        <w:rPr>
          <w:rFonts w:eastAsiaTheme="minorEastAsia" w:cstheme="minorBidi"/>
          <w:noProof/>
          <w:color w:val="auto"/>
          <w:szCs w:val="22"/>
          <w:lang w:eastAsia="en-AU"/>
        </w:rPr>
        <w:tab/>
      </w:r>
      <w:r w:rsidRPr="00A94C5E">
        <w:rPr>
          <w:noProof/>
          <w:lang w:val="en-GB"/>
        </w:rPr>
        <w:t>Quantifying electricity consumption</w:t>
      </w:r>
      <w:r>
        <w:rPr>
          <w:noProof/>
        </w:rPr>
        <w:tab/>
      </w:r>
      <w:r>
        <w:rPr>
          <w:noProof/>
        </w:rPr>
        <w:fldChar w:fldCharType="begin"/>
      </w:r>
      <w:r>
        <w:rPr>
          <w:noProof/>
        </w:rPr>
        <w:instrText xml:space="preserve"> PAGEREF _Toc107922576 \h </w:instrText>
      </w:r>
      <w:r>
        <w:rPr>
          <w:noProof/>
        </w:rPr>
      </w:r>
      <w:r>
        <w:rPr>
          <w:noProof/>
        </w:rPr>
        <w:fldChar w:fldCharType="separate"/>
      </w:r>
      <w:r>
        <w:rPr>
          <w:noProof/>
        </w:rPr>
        <w:t>32</w:t>
      </w:r>
      <w:r>
        <w:rPr>
          <w:noProof/>
        </w:rPr>
        <w:fldChar w:fldCharType="end"/>
      </w:r>
    </w:p>
    <w:p w14:paraId="4D3C8EDE" w14:textId="38DF0569" w:rsidR="00027727" w:rsidRDefault="00027727">
      <w:pPr>
        <w:pStyle w:val="TOC5"/>
        <w:tabs>
          <w:tab w:val="right" w:leader="dot" w:pos="9730"/>
        </w:tabs>
        <w:rPr>
          <w:noProof/>
        </w:rPr>
      </w:pPr>
      <w:r>
        <w:rPr>
          <w:noProof/>
        </w:rPr>
        <w:t>Example – Quantifying electricity consumption at a hydro power plant</w:t>
      </w:r>
      <w:r>
        <w:rPr>
          <w:noProof/>
        </w:rPr>
        <w:tab/>
      </w:r>
      <w:r>
        <w:rPr>
          <w:noProof/>
        </w:rPr>
        <w:fldChar w:fldCharType="begin"/>
      </w:r>
      <w:r>
        <w:rPr>
          <w:noProof/>
        </w:rPr>
        <w:instrText xml:space="preserve"> PAGEREF _Toc107922577 \h </w:instrText>
      </w:r>
      <w:r>
        <w:rPr>
          <w:noProof/>
        </w:rPr>
      </w:r>
      <w:r>
        <w:rPr>
          <w:noProof/>
        </w:rPr>
        <w:fldChar w:fldCharType="separate"/>
      </w:r>
      <w:r>
        <w:rPr>
          <w:noProof/>
        </w:rPr>
        <w:t>33</w:t>
      </w:r>
      <w:r>
        <w:rPr>
          <w:noProof/>
        </w:rPr>
        <w:fldChar w:fldCharType="end"/>
      </w:r>
    </w:p>
    <w:p w14:paraId="2741C2E0" w14:textId="7E367138" w:rsidR="00027727" w:rsidRDefault="00027727">
      <w:pPr>
        <w:pStyle w:val="TOC3"/>
        <w:tabs>
          <w:tab w:val="left" w:pos="1320"/>
        </w:tabs>
        <w:rPr>
          <w:rFonts w:eastAsiaTheme="minorEastAsia" w:cstheme="minorBidi"/>
          <w:noProof/>
          <w:color w:val="auto"/>
          <w:szCs w:val="22"/>
          <w:lang w:eastAsia="en-AU"/>
        </w:rPr>
      </w:pPr>
      <w:r w:rsidRPr="00A94C5E">
        <w:rPr>
          <w:noProof/>
          <w:lang w:val="en-GB"/>
        </w:rPr>
        <w:t>7.3.2.</w:t>
      </w:r>
      <w:r>
        <w:rPr>
          <w:rFonts w:eastAsiaTheme="minorEastAsia" w:cstheme="minorBidi"/>
          <w:noProof/>
          <w:color w:val="auto"/>
          <w:szCs w:val="22"/>
          <w:lang w:eastAsia="en-AU"/>
        </w:rPr>
        <w:tab/>
      </w:r>
      <w:r w:rsidRPr="00A94C5E">
        <w:rPr>
          <w:noProof/>
          <w:lang w:val="en-GB"/>
        </w:rPr>
        <w:t>Quantifying electricity production</w:t>
      </w:r>
      <w:r>
        <w:rPr>
          <w:noProof/>
        </w:rPr>
        <w:tab/>
      </w:r>
      <w:r>
        <w:rPr>
          <w:noProof/>
        </w:rPr>
        <w:fldChar w:fldCharType="begin"/>
      </w:r>
      <w:r>
        <w:rPr>
          <w:noProof/>
        </w:rPr>
        <w:instrText xml:space="preserve"> PAGEREF _Toc107922578 \h </w:instrText>
      </w:r>
      <w:r>
        <w:rPr>
          <w:noProof/>
        </w:rPr>
      </w:r>
      <w:r>
        <w:rPr>
          <w:noProof/>
        </w:rPr>
        <w:fldChar w:fldCharType="separate"/>
      </w:r>
      <w:r>
        <w:rPr>
          <w:noProof/>
        </w:rPr>
        <w:t>33</w:t>
      </w:r>
      <w:r>
        <w:rPr>
          <w:noProof/>
        </w:rPr>
        <w:fldChar w:fldCharType="end"/>
      </w:r>
    </w:p>
    <w:p w14:paraId="20DDD841" w14:textId="57DAF908" w:rsidR="00027727" w:rsidRDefault="00027727">
      <w:pPr>
        <w:pStyle w:val="TOC4"/>
        <w:tabs>
          <w:tab w:val="right" w:leader="dot" w:pos="9730"/>
        </w:tabs>
        <w:rPr>
          <w:rFonts w:eastAsiaTheme="minorEastAsia" w:cstheme="minorBidi"/>
          <w:noProof/>
          <w:color w:val="auto"/>
          <w:szCs w:val="22"/>
          <w:lang w:eastAsia="en-AU"/>
        </w:rPr>
      </w:pPr>
      <w:r w:rsidRPr="00A94C5E">
        <w:rPr>
          <w:rFonts w:eastAsiaTheme="majorEastAsia"/>
          <w:noProof/>
        </w:rPr>
        <w:t>Reporting consumption and production of electricity for use onsite in EERS</w:t>
      </w:r>
      <w:r>
        <w:rPr>
          <w:noProof/>
        </w:rPr>
        <w:tab/>
      </w:r>
      <w:r>
        <w:rPr>
          <w:noProof/>
        </w:rPr>
        <w:fldChar w:fldCharType="begin"/>
      </w:r>
      <w:r>
        <w:rPr>
          <w:noProof/>
        </w:rPr>
        <w:instrText xml:space="preserve"> PAGEREF _Toc107922579 \h </w:instrText>
      </w:r>
      <w:r>
        <w:rPr>
          <w:noProof/>
        </w:rPr>
      </w:r>
      <w:r>
        <w:rPr>
          <w:noProof/>
        </w:rPr>
        <w:fldChar w:fldCharType="separate"/>
      </w:r>
      <w:r>
        <w:rPr>
          <w:noProof/>
        </w:rPr>
        <w:t>34</w:t>
      </w:r>
      <w:r>
        <w:rPr>
          <w:noProof/>
        </w:rPr>
        <w:fldChar w:fldCharType="end"/>
      </w:r>
    </w:p>
    <w:p w14:paraId="79BDF706" w14:textId="373E18B1" w:rsidR="00027727" w:rsidRDefault="00027727">
      <w:pPr>
        <w:pStyle w:val="TOC5"/>
        <w:tabs>
          <w:tab w:val="right" w:leader="dot" w:pos="9730"/>
        </w:tabs>
        <w:rPr>
          <w:noProof/>
        </w:rPr>
      </w:pPr>
      <w:r>
        <w:rPr>
          <w:noProof/>
        </w:rPr>
        <w:t>Example – Reporting consumption and production of electricity produced ‘for use for the purposes of facility’</w:t>
      </w:r>
      <w:r>
        <w:rPr>
          <w:noProof/>
        </w:rPr>
        <w:tab/>
      </w:r>
      <w:r>
        <w:rPr>
          <w:noProof/>
        </w:rPr>
        <w:fldChar w:fldCharType="begin"/>
      </w:r>
      <w:r>
        <w:rPr>
          <w:noProof/>
        </w:rPr>
        <w:instrText xml:space="preserve"> PAGEREF _Toc107922580 \h </w:instrText>
      </w:r>
      <w:r>
        <w:rPr>
          <w:noProof/>
        </w:rPr>
      </w:r>
      <w:r>
        <w:rPr>
          <w:noProof/>
        </w:rPr>
        <w:fldChar w:fldCharType="separate"/>
      </w:r>
      <w:r>
        <w:rPr>
          <w:noProof/>
        </w:rPr>
        <w:t>35</w:t>
      </w:r>
      <w:r>
        <w:rPr>
          <w:noProof/>
        </w:rPr>
        <w:fldChar w:fldCharType="end"/>
      </w:r>
    </w:p>
    <w:p w14:paraId="07BA90FA" w14:textId="1FD42331" w:rsidR="00027727" w:rsidRDefault="00027727">
      <w:pPr>
        <w:pStyle w:val="TOC4"/>
        <w:tabs>
          <w:tab w:val="right" w:leader="dot" w:pos="9730"/>
        </w:tabs>
        <w:rPr>
          <w:rFonts w:eastAsiaTheme="minorEastAsia" w:cstheme="minorBidi"/>
          <w:noProof/>
          <w:color w:val="auto"/>
          <w:szCs w:val="22"/>
          <w:lang w:eastAsia="en-AU"/>
        </w:rPr>
      </w:pPr>
      <w:r>
        <w:rPr>
          <w:noProof/>
        </w:rPr>
        <w:t>Measuring electricity production</w:t>
      </w:r>
      <w:r>
        <w:rPr>
          <w:noProof/>
        </w:rPr>
        <w:tab/>
      </w:r>
      <w:r>
        <w:rPr>
          <w:noProof/>
        </w:rPr>
        <w:fldChar w:fldCharType="begin"/>
      </w:r>
      <w:r>
        <w:rPr>
          <w:noProof/>
        </w:rPr>
        <w:instrText xml:space="preserve"> PAGEREF _Toc107922581 \h </w:instrText>
      </w:r>
      <w:r>
        <w:rPr>
          <w:noProof/>
        </w:rPr>
      </w:r>
      <w:r>
        <w:rPr>
          <w:noProof/>
        </w:rPr>
        <w:fldChar w:fldCharType="separate"/>
      </w:r>
      <w:r>
        <w:rPr>
          <w:noProof/>
        </w:rPr>
        <w:t>35</w:t>
      </w:r>
      <w:r>
        <w:rPr>
          <w:noProof/>
        </w:rPr>
        <w:fldChar w:fldCharType="end"/>
      </w:r>
    </w:p>
    <w:p w14:paraId="1B587A99" w14:textId="3BB634C8" w:rsidR="00027727" w:rsidRDefault="00027727">
      <w:pPr>
        <w:pStyle w:val="TOC5"/>
        <w:tabs>
          <w:tab w:val="right" w:leader="dot" w:pos="9730"/>
        </w:tabs>
        <w:rPr>
          <w:noProof/>
        </w:rPr>
      </w:pPr>
      <w:r>
        <w:rPr>
          <w:noProof/>
        </w:rPr>
        <w:t>Example – Quantifying electricity production at a gas fired power plant</w:t>
      </w:r>
      <w:r>
        <w:rPr>
          <w:noProof/>
        </w:rPr>
        <w:tab/>
      </w:r>
      <w:r>
        <w:rPr>
          <w:noProof/>
        </w:rPr>
        <w:fldChar w:fldCharType="begin"/>
      </w:r>
      <w:r>
        <w:rPr>
          <w:noProof/>
        </w:rPr>
        <w:instrText xml:space="preserve"> PAGEREF _Toc107922582 \h </w:instrText>
      </w:r>
      <w:r>
        <w:rPr>
          <w:noProof/>
        </w:rPr>
      </w:r>
      <w:r>
        <w:rPr>
          <w:noProof/>
        </w:rPr>
        <w:fldChar w:fldCharType="separate"/>
      </w:r>
      <w:r>
        <w:rPr>
          <w:noProof/>
        </w:rPr>
        <w:t>36</w:t>
      </w:r>
      <w:r>
        <w:rPr>
          <w:noProof/>
        </w:rPr>
        <w:fldChar w:fldCharType="end"/>
      </w:r>
    </w:p>
    <w:p w14:paraId="2C6406C4" w14:textId="0D203455" w:rsidR="00027727" w:rsidRDefault="00027727">
      <w:pPr>
        <w:pStyle w:val="TOC3"/>
        <w:tabs>
          <w:tab w:val="left" w:pos="1320"/>
        </w:tabs>
        <w:rPr>
          <w:rFonts w:eastAsiaTheme="minorEastAsia" w:cstheme="minorBidi"/>
          <w:noProof/>
          <w:color w:val="auto"/>
          <w:szCs w:val="22"/>
          <w:lang w:eastAsia="en-AU"/>
        </w:rPr>
      </w:pPr>
      <w:r w:rsidRPr="00A94C5E">
        <w:rPr>
          <w:noProof/>
          <w:lang w:val="en-GB"/>
        </w:rPr>
        <w:t>7.3.3.</w:t>
      </w:r>
      <w:r>
        <w:rPr>
          <w:rFonts w:eastAsiaTheme="minorEastAsia" w:cstheme="minorBidi"/>
          <w:noProof/>
          <w:color w:val="auto"/>
          <w:szCs w:val="22"/>
          <w:lang w:eastAsia="en-AU"/>
        </w:rPr>
        <w:tab/>
      </w:r>
      <w:r w:rsidRPr="00A94C5E">
        <w:rPr>
          <w:noProof/>
          <w:lang w:val="en-GB"/>
        </w:rPr>
        <w:t>Cogeneration</w:t>
      </w:r>
      <w:r>
        <w:rPr>
          <w:noProof/>
        </w:rPr>
        <w:tab/>
      </w:r>
      <w:r>
        <w:rPr>
          <w:noProof/>
        </w:rPr>
        <w:fldChar w:fldCharType="begin"/>
      </w:r>
      <w:r>
        <w:rPr>
          <w:noProof/>
        </w:rPr>
        <w:instrText xml:space="preserve"> PAGEREF _Toc107922583 \h </w:instrText>
      </w:r>
      <w:r>
        <w:rPr>
          <w:noProof/>
        </w:rPr>
      </w:r>
      <w:r>
        <w:rPr>
          <w:noProof/>
        </w:rPr>
        <w:fldChar w:fldCharType="separate"/>
      </w:r>
      <w:r>
        <w:rPr>
          <w:noProof/>
        </w:rPr>
        <w:t>36</w:t>
      </w:r>
      <w:r>
        <w:rPr>
          <w:noProof/>
        </w:rPr>
        <w:fldChar w:fldCharType="end"/>
      </w:r>
    </w:p>
    <w:p w14:paraId="1464561D" w14:textId="4C1817F1"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7.4.</w:t>
      </w:r>
      <w:r>
        <w:rPr>
          <w:rFonts w:eastAsiaTheme="minorEastAsia" w:cstheme="minorBidi"/>
          <w:noProof/>
          <w:color w:val="auto"/>
          <w:szCs w:val="22"/>
          <w:lang w:eastAsia="en-AU"/>
        </w:rPr>
        <w:tab/>
      </w:r>
      <w:r>
        <w:rPr>
          <w:noProof/>
        </w:rPr>
        <w:t>Renewable energy commodity production and consumption</w:t>
      </w:r>
      <w:r>
        <w:rPr>
          <w:noProof/>
        </w:rPr>
        <w:tab/>
      </w:r>
      <w:r>
        <w:rPr>
          <w:noProof/>
        </w:rPr>
        <w:fldChar w:fldCharType="begin"/>
      </w:r>
      <w:r>
        <w:rPr>
          <w:noProof/>
        </w:rPr>
        <w:instrText xml:space="preserve"> PAGEREF _Toc107922584 \h </w:instrText>
      </w:r>
      <w:r>
        <w:rPr>
          <w:noProof/>
        </w:rPr>
      </w:r>
      <w:r>
        <w:rPr>
          <w:noProof/>
        </w:rPr>
        <w:fldChar w:fldCharType="separate"/>
      </w:r>
      <w:r>
        <w:rPr>
          <w:noProof/>
        </w:rPr>
        <w:t>37</w:t>
      </w:r>
      <w:r>
        <w:rPr>
          <w:noProof/>
        </w:rPr>
        <w:fldChar w:fldCharType="end"/>
      </w:r>
    </w:p>
    <w:p w14:paraId="68483FE5" w14:textId="14F3277A" w:rsidR="00027727" w:rsidRDefault="00027727">
      <w:pPr>
        <w:pStyle w:val="TOC5"/>
        <w:tabs>
          <w:tab w:val="right" w:leader="dot" w:pos="9730"/>
        </w:tabs>
        <w:rPr>
          <w:noProof/>
        </w:rPr>
      </w:pPr>
      <w:r>
        <w:rPr>
          <w:noProof/>
        </w:rPr>
        <w:t>Example – Consumption of a renewable energy commodity</w:t>
      </w:r>
      <w:r>
        <w:rPr>
          <w:noProof/>
        </w:rPr>
        <w:tab/>
      </w:r>
      <w:r>
        <w:rPr>
          <w:noProof/>
        </w:rPr>
        <w:fldChar w:fldCharType="begin"/>
      </w:r>
      <w:r>
        <w:rPr>
          <w:noProof/>
        </w:rPr>
        <w:instrText xml:space="preserve"> PAGEREF _Toc107922585 \h </w:instrText>
      </w:r>
      <w:r>
        <w:rPr>
          <w:noProof/>
        </w:rPr>
      </w:r>
      <w:r>
        <w:rPr>
          <w:noProof/>
        </w:rPr>
        <w:fldChar w:fldCharType="separate"/>
      </w:r>
      <w:r>
        <w:rPr>
          <w:noProof/>
        </w:rPr>
        <w:t>37</w:t>
      </w:r>
      <w:r>
        <w:rPr>
          <w:noProof/>
        </w:rPr>
        <w:fldChar w:fldCharType="end"/>
      </w:r>
    </w:p>
    <w:p w14:paraId="36C81839" w14:textId="2D77FC2B" w:rsidR="00027727" w:rsidRDefault="00027727">
      <w:pPr>
        <w:pStyle w:val="TOC5"/>
        <w:tabs>
          <w:tab w:val="right" w:leader="dot" w:pos="9730"/>
        </w:tabs>
        <w:rPr>
          <w:noProof/>
        </w:rPr>
      </w:pPr>
      <w:r>
        <w:rPr>
          <w:noProof/>
        </w:rPr>
        <w:t>Example – Reporting production of electricity from a renewable energy commodity</w:t>
      </w:r>
      <w:r>
        <w:rPr>
          <w:noProof/>
        </w:rPr>
        <w:tab/>
      </w:r>
      <w:r>
        <w:rPr>
          <w:noProof/>
        </w:rPr>
        <w:fldChar w:fldCharType="begin"/>
      </w:r>
      <w:r>
        <w:rPr>
          <w:noProof/>
        </w:rPr>
        <w:instrText xml:space="preserve"> PAGEREF _Toc107922586 \h </w:instrText>
      </w:r>
      <w:r>
        <w:rPr>
          <w:noProof/>
        </w:rPr>
      </w:r>
      <w:r>
        <w:rPr>
          <w:noProof/>
        </w:rPr>
        <w:fldChar w:fldCharType="separate"/>
      </w:r>
      <w:r>
        <w:rPr>
          <w:noProof/>
        </w:rPr>
        <w:t>38</w:t>
      </w:r>
      <w:r>
        <w:rPr>
          <w:noProof/>
        </w:rPr>
        <w:fldChar w:fldCharType="end"/>
      </w:r>
    </w:p>
    <w:p w14:paraId="355608FE" w14:textId="191C532B" w:rsidR="00027727" w:rsidRDefault="00027727">
      <w:pPr>
        <w:pStyle w:val="TOC3"/>
        <w:tabs>
          <w:tab w:val="left" w:pos="1320"/>
        </w:tabs>
        <w:rPr>
          <w:rFonts w:eastAsiaTheme="minorEastAsia" w:cstheme="minorBidi"/>
          <w:noProof/>
          <w:color w:val="auto"/>
          <w:szCs w:val="22"/>
          <w:lang w:eastAsia="en-AU"/>
        </w:rPr>
      </w:pPr>
      <w:r w:rsidRPr="00A94C5E">
        <w:rPr>
          <w:noProof/>
          <w:lang w:val="en-GB"/>
        </w:rPr>
        <w:t>7.4.1.</w:t>
      </w:r>
      <w:r>
        <w:rPr>
          <w:rFonts w:eastAsiaTheme="minorEastAsia" w:cstheme="minorBidi"/>
          <w:noProof/>
          <w:color w:val="auto"/>
          <w:szCs w:val="22"/>
          <w:lang w:eastAsia="en-AU"/>
        </w:rPr>
        <w:tab/>
      </w:r>
      <w:r w:rsidRPr="00A94C5E">
        <w:rPr>
          <w:noProof/>
          <w:lang w:val="en-GB"/>
        </w:rPr>
        <w:t>Reporting of NGER data alongside RET data</w:t>
      </w:r>
      <w:r>
        <w:rPr>
          <w:noProof/>
        </w:rPr>
        <w:tab/>
      </w:r>
      <w:r>
        <w:rPr>
          <w:noProof/>
        </w:rPr>
        <w:fldChar w:fldCharType="begin"/>
      </w:r>
      <w:r>
        <w:rPr>
          <w:noProof/>
        </w:rPr>
        <w:instrText xml:space="preserve"> PAGEREF _Toc107922587 \h </w:instrText>
      </w:r>
      <w:r>
        <w:rPr>
          <w:noProof/>
        </w:rPr>
      </w:r>
      <w:r>
        <w:rPr>
          <w:noProof/>
        </w:rPr>
        <w:fldChar w:fldCharType="separate"/>
      </w:r>
      <w:r>
        <w:rPr>
          <w:noProof/>
        </w:rPr>
        <w:t>38</w:t>
      </w:r>
      <w:r>
        <w:rPr>
          <w:noProof/>
        </w:rPr>
        <w:fldChar w:fldCharType="end"/>
      </w:r>
    </w:p>
    <w:p w14:paraId="40A3BA49" w14:textId="7D89E342"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7.5.</w:t>
      </w:r>
      <w:r>
        <w:rPr>
          <w:rFonts w:eastAsiaTheme="minorEastAsia" w:cstheme="minorBidi"/>
          <w:noProof/>
          <w:color w:val="auto"/>
          <w:szCs w:val="22"/>
          <w:lang w:eastAsia="en-AU"/>
        </w:rPr>
        <w:tab/>
      </w:r>
      <w:r>
        <w:rPr>
          <w:noProof/>
        </w:rPr>
        <w:t>Energy consumption from fuel use</w:t>
      </w:r>
      <w:r>
        <w:rPr>
          <w:noProof/>
        </w:rPr>
        <w:tab/>
      </w:r>
      <w:r>
        <w:rPr>
          <w:noProof/>
        </w:rPr>
        <w:fldChar w:fldCharType="begin"/>
      </w:r>
      <w:r>
        <w:rPr>
          <w:noProof/>
        </w:rPr>
        <w:instrText xml:space="preserve"> PAGEREF _Toc107922588 \h </w:instrText>
      </w:r>
      <w:r>
        <w:rPr>
          <w:noProof/>
        </w:rPr>
      </w:r>
      <w:r>
        <w:rPr>
          <w:noProof/>
        </w:rPr>
        <w:fldChar w:fldCharType="separate"/>
      </w:r>
      <w:r>
        <w:rPr>
          <w:noProof/>
        </w:rPr>
        <w:t>38</w:t>
      </w:r>
      <w:r>
        <w:rPr>
          <w:noProof/>
        </w:rPr>
        <w:fldChar w:fldCharType="end"/>
      </w:r>
    </w:p>
    <w:p w14:paraId="642E5D55" w14:textId="6647C51E" w:rsidR="00027727" w:rsidRDefault="00027727">
      <w:pPr>
        <w:pStyle w:val="TOC3"/>
        <w:tabs>
          <w:tab w:val="left" w:pos="1320"/>
        </w:tabs>
        <w:rPr>
          <w:rFonts w:eastAsiaTheme="minorEastAsia" w:cstheme="minorBidi"/>
          <w:noProof/>
          <w:color w:val="auto"/>
          <w:szCs w:val="22"/>
          <w:lang w:eastAsia="en-AU"/>
        </w:rPr>
      </w:pPr>
      <w:r w:rsidRPr="00A94C5E">
        <w:rPr>
          <w:noProof/>
          <w:lang w:val="en-GB"/>
        </w:rPr>
        <w:t>7.5.1.</w:t>
      </w:r>
      <w:r>
        <w:rPr>
          <w:rFonts w:eastAsiaTheme="minorEastAsia" w:cstheme="minorBidi"/>
          <w:noProof/>
          <w:color w:val="auto"/>
          <w:szCs w:val="22"/>
          <w:lang w:eastAsia="en-AU"/>
        </w:rPr>
        <w:tab/>
      </w:r>
      <w:r w:rsidRPr="00A94C5E">
        <w:rPr>
          <w:noProof/>
          <w:lang w:val="en-GB"/>
        </w:rPr>
        <w:t>Blended fuels and other fuel mixes</w:t>
      </w:r>
      <w:r>
        <w:rPr>
          <w:noProof/>
        </w:rPr>
        <w:tab/>
      </w:r>
      <w:r>
        <w:rPr>
          <w:noProof/>
        </w:rPr>
        <w:fldChar w:fldCharType="begin"/>
      </w:r>
      <w:r>
        <w:rPr>
          <w:noProof/>
        </w:rPr>
        <w:instrText xml:space="preserve"> PAGEREF _Toc107922589 \h </w:instrText>
      </w:r>
      <w:r>
        <w:rPr>
          <w:noProof/>
        </w:rPr>
      </w:r>
      <w:r>
        <w:rPr>
          <w:noProof/>
        </w:rPr>
        <w:fldChar w:fldCharType="separate"/>
      </w:r>
      <w:r>
        <w:rPr>
          <w:noProof/>
        </w:rPr>
        <w:t>39</w:t>
      </w:r>
      <w:r>
        <w:rPr>
          <w:noProof/>
        </w:rPr>
        <w:fldChar w:fldCharType="end"/>
      </w:r>
    </w:p>
    <w:p w14:paraId="61BF6569" w14:textId="0F40F5F1"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7.6.</w:t>
      </w:r>
      <w:r>
        <w:rPr>
          <w:rFonts w:eastAsiaTheme="minorEastAsia" w:cstheme="minorBidi"/>
          <w:noProof/>
          <w:color w:val="auto"/>
          <w:szCs w:val="22"/>
          <w:lang w:eastAsia="en-AU"/>
        </w:rPr>
        <w:tab/>
      </w:r>
      <w:r>
        <w:rPr>
          <w:noProof/>
        </w:rPr>
        <w:t>Reporting of battery activities</w:t>
      </w:r>
      <w:r>
        <w:rPr>
          <w:noProof/>
        </w:rPr>
        <w:tab/>
      </w:r>
      <w:r>
        <w:rPr>
          <w:noProof/>
        </w:rPr>
        <w:fldChar w:fldCharType="begin"/>
      </w:r>
      <w:r>
        <w:rPr>
          <w:noProof/>
        </w:rPr>
        <w:instrText xml:space="preserve"> PAGEREF _Toc107922590 \h </w:instrText>
      </w:r>
      <w:r>
        <w:rPr>
          <w:noProof/>
        </w:rPr>
      </w:r>
      <w:r>
        <w:rPr>
          <w:noProof/>
        </w:rPr>
        <w:fldChar w:fldCharType="separate"/>
      </w:r>
      <w:r>
        <w:rPr>
          <w:noProof/>
        </w:rPr>
        <w:t>40</w:t>
      </w:r>
      <w:r>
        <w:rPr>
          <w:noProof/>
        </w:rPr>
        <w:fldChar w:fldCharType="end"/>
      </w:r>
    </w:p>
    <w:p w14:paraId="06A25DB1" w14:textId="041CEF9E" w:rsidR="00027727" w:rsidRDefault="00027727">
      <w:pPr>
        <w:pStyle w:val="TOC3"/>
        <w:tabs>
          <w:tab w:val="left" w:pos="1320"/>
        </w:tabs>
        <w:rPr>
          <w:rFonts w:eastAsiaTheme="minorEastAsia" w:cstheme="minorBidi"/>
          <w:noProof/>
          <w:color w:val="auto"/>
          <w:szCs w:val="22"/>
          <w:lang w:eastAsia="en-AU"/>
        </w:rPr>
      </w:pPr>
      <w:r>
        <w:rPr>
          <w:noProof/>
        </w:rPr>
        <w:t>7.6.1.</w:t>
      </w:r>
      <w:r>
        <w:rPr>
          <w:rFonts w:eastAsiaTheme="minorEastAsia" w:cstheme="minorBidi"/>
          <w:noProof/>
          <w:color w:val="auto"/>
          <w:szCs w:val="22"/>
          <w:lang w:eastAsia="en-AU"/>
        </w:rPr>
        <w:tab/>
      </w:r>
      <w:r>
        <w:rPr>
          <w:noProof/>
        </w:rPr>
        <w:t>Recording starting stock of battery at July 1 of the next reporting year</w:t>
      </w:r>
      <w:r>
        <w:rPr>
          <w:noProof/>
        </w:rPr>
        <w:tab/>
      </w:r>
      <w:r>
        <w:rPr>
          <w:noProof/>
        </w:rPr>
        <w:fldChar w:fldCharType="begin"/>
      </w:r>
      <w:r>
        <w:rPr>
          <w:noProof/>
        </w:rPr>
        <w:instrText xml:space="preserve"> PAGEREF _Toc107922591 \h </w:instrText>
      </w:r>
      <w:r>
        <w:rPr>
          <w:noProof/>
        </w:rPr>
      </w:r>
      <w:r>
        <w:rPr>
          <w:noProof/>
        </w:rPr>
        <w:fldChar w:fldCharType="separate"/>
      </w:r>
      <w:r>
        <w:rPr>
          <w:noProof/>
        </w:rPr>
        <w:t>41</w:t>
      </w:r>
      <w:r>
        <w:rPr>
          <w:noProof/>
        </w:rPr>
        <w:fldChar w:fldCharType="end"/>
      </w:r>
    </w:p>
    <w:p w14:paraId="1DF0FC09" w14:textId="11B68BDF" w:rsidR="00027727" w:rsidRDefault="00027727">
      <w:pPr>
        <w:pStyle w:val="TOC3"/>
        <w:tabs>
          <w:tab w:val="left" w:pos="1320"/>
        </w:tabs>
        <w:rPr>
          <w:rFonts w:eastAsiaTheme="minorEastAsia" w:cstheme="minorBidi"/>
          <w:noProof/>
          <w:color w:val="auto"/>
          <w:szCs w:val="22"/>
          <w:lang w:eastAsia="en-AU"/>
        </w:rPr>
      </w:pPr>
      <w:r>
        <w:rPr>
          <w:noProof/>
        </w:rPr>
        <w:t>7.6.2.</w:t>
      </w:r>
      <w:r>
        <w:rPr>
          <w:rFonts w:eastAsiaTheme="minorEastAsia" w:cstheme="minorBidi"/>
          <w:noProof/>
          <w:color w:val="auto"/>
          <w:szCs w:val="22"/>
          <w:lang w:eastAsia="en-AU"/>
        </w:rPr>
        <w:tab/>
      </w:r>
      <w:r>
        <w:rPr>
          <w:noProof/>
        </w:rPr>
        <w:t>Reporting Virtual Power Plant (VPP) activities</w:t>
      </w:r>
      <w:r>
        <w:rPr>
          <w:noProof/>
        </w:rPr>
        <w:tab/>
      </w:r>
      <w:r>
        <w:rPr>
          <w:noProof/>
        </w:rPr>
        <w:fldChar w:fldCharType="begin"/>
      </w:r>
      <w:r>
        <w:rPr>
          <w:noProof/>
        </w:rPr>
        <w:instrText xml:space="preserve"> PAGEREF _Toc107922592 \h </w:instrText>
      </w:r>
      <w:r>
        <w:rPr>
          <w:noProof/>
        </w:rPr>
      </w:r>
      <w:r>
        <w:rPr>
          <w:noProof/>
        </w:rPr>
        <w:fldChar w:fldCharType="separate"/>
      </w:r>
      <w:r>
        <w:rPr>
          <w:noProof/>
        </w:rPr>
        <w:t>41</w:t>
      </w:r>
      <w:r>
        <w:rPr>
          <w:noProof/>
        </w:rPr>
        <w:fldChar w:fldCharType="end"/>
      </w:r>
    </w:p>
    <w:p w14:paraId="4101A99B" w14:textId="77F16497"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7.7.</w:t>
      </w:r>
      <w:r>
        <w:rPr>
          <w:rFonts w:eastAsiaTheme="minorEastAsia" w:cstheme="minorBidi"/>
          <w:noProof/>
          <w:color w:val="auto"/>
          <w:szCs w:val="22"/>
          <w:lang w:eastAsia="en-AU"/>
        </w:rPr>
        <w:tab/>
      </w:r>
      <w:r>
        <w:rPr>
          <w:noProof/>
        </w:rPr>
        <w:t>Net Energy Consumption</w:t>
      </w:r>
      <w:r>
        <w:rPr>
          <w:noProof/>
        </w:rPr>
        <w:tab/>
      </w:r>
      <w:r>
        <w:rPr>
          <w:noProof/>
        </w:rPr>
        <w:fldChar w:fldCharType="begin"/>
      </w:r>
      <w:r>
        <w:rPr>
          <w:noProof/>
        </w:rPr>
        <w:instrText xml:space="preserve"> PAGEREF _Toc107922593 \h </w:instrText>
      </w:r>
      <w:r>
        <w:rPr>
          <w:noProof/>
        </w:rPr>
      </w:r>
      <w:r>
        <w:rPr>
          <w:noProof/>
        </w:rPr>
        <w:fldChar w:fldCharType="separate"/>
      </w:r>
      <w:r>
        <w:rPr>
          <w:noProof/>
        </w:rPr>
        <w:t>41</w:t>
      </w:r>
      <w:r>
        <w:rPr>
          <w:noProof/>
        </w:rPr>
        <w:fldChar w:fldCharType="end"/>
      </w:r>
    </w:p>
    <w:p w14:paraId="77D46BF5" w14:textId="31CF195F" w:rsidR="00027727" w:rsidRDefault="00027727">
      <w:pPr>
        <w:pStyle w:val="TOC4"/>
        <w:tabs>
          <w:tab w:val="right" w:leader="dot" w:pos="9730"/>
        </w:tabs>
        <w:rPr>
          <w:rFonts w:eastAsiaTheme="minorEastAsia" w:cstheme="minorBidi"/>
          <w:noProof/>
          <w:color w:val="auto"/>
          <w:szCs w:val="22"/>
          <w:lang w:eastAsia="en-AU"/>
        </w:rPr>
      </w:pPr>
      <w:r>
        <w:rPr>
          <w:noProof/>
        </w:rPr>
        <w:t>Defining primary and secondary energy commodities</w:t>
      </w:r>
      <w:r>
        <w:rPr>
          <w:noProof/>
        </w:rPr>
        <w:tab/>
      </w:r>
      <w:r>
        <w:rPr>
          <w:noProof/>
        </w:rPr>
        <w:fldChar w:fldCharType="begin"/>
      </w:r>
      <w:r>
        <w:rPr>
          <w:noProof/>
        </w:rPr>
        <w:instrText xml:space="preserve"> PAGEREF _Toc107922594 \h </w:instrText>
      </w:r>
      <w:r>
        <w:rPr>
          <w:noProof/>
        </w:rPr>
      </w:r>
      <w:r>
        <w:rPr>
          <w:noProof/>
        </w:rPr>
        <w:fldChar w:fldCharType="separate"/>
      </w:r>
      <w:r>
        <w:rPr>
          <w:noProof/>
        </w:rPr>
        <w:t>42</w:t>
      </w:r>
      <w:r>
        <w:rPr>
          <w:noProof/>
        </w:rPr>
        <w:fldChar w:fldCharType="end"/>
      </w:r>
    </w:p>
    <w:p w14:paraId="2B3E8F3D" w14:textId="5874543A" w:rsidR="00027727" w:rsidRDefault="00027727">
      <w:pPr>
        <w:pStyle w:val="TOC4"/>
        <w:tabs>
          <w:tab w:val="right" w:leader="dot" w:pos="9730"/>
        </w:tabs>
        <w:rPr>
          <w:rFonts w:eastAsiaTheme="minorEastAsia" w:cstheme="minorBidi"/>
          <w:noProof/>
          <w:color w:val="auto"/>
          <w:szCs w:val="22"/>
          <w:lang w:eastAsia="en-AU"/>
        </w:rPr>
      </w:pPr>
      <w:r>
        <w:rPr>
          <w:noProof/>
        </w:rPr>
        <w:t>Calculating net energy consumption</w:t>
      </w:r>
      <w:r>
        <w:rPr>
          <w:noProof/>
        </w:rPr>
        <w:tab/>
      </w:r>
      <w:r>
        <w:rPr>
          <w:noProof/>
        </w:rPr>
        <w:fldChar w:fldCharType="begin"/>
      </w:r>
      <w:r>
        <w:rPr>
          <w:noProof/>
        </w:rPr>
        <w:instrText xml:space="preserve"> PAGEREF _Toc107922595 \h </w:instrText>
      </w:r>
      <w:r>
        <w:rPr>
          <w:noProof/>
        </w:rPr>
      </w:r>
      <w:r>
        <w:rPr>
          <w:noProof/>
        </w:rPr>
        <w:fldChar w:fldCharType="separate"/>
      </w:r>
      <w:r>
        <w:rPr>
          <w:noProof/>
        </w:rPr>
        <w:t>42</w:t>
      </w:r>
      <w:r>
        <w:rPr>
          <w:noProof/>
        </w:rPr>
        <w:fldChar w:fldCharType="end"/>
      </w:r>
    </w:p>
    <w:p w14:paraId="1A09ED1B" w14:textId="64CE53A4" w:rsidR="00027727" w:rsidRDefault="00027727">
      <w:pPr>
        <w:pStyle w:val="TOC1"/>
        <w:tabs>
          <w:tab w:val="left" w:pos="440"/>
        </w:tabs>
        <w:rPr>
          <w:rFonts w:eastAsiaTheme="minorEastAsia" w:cstheme="minorBidi"/>
          <w:b w:val="0"/>
          <w:noProof/>
          <w:color w:val="auto"/>
          <w:szCs w:val="22"/>
          <w:lang w:eastAsia="en-AU"/>
        </w:rPr>
      </w:pPr>
      <w:r w:rsidRPr="00A94C5E">
        <w:rPr>
          <w:noProof/>
          <w:lang w:val="en-GB"/>
        </w:rPr>
        <w:t>8.</w:t>
      </w:r>
      <w:r>
        <w:rPr>
          <w:rFonts w:eastAsiaTheme="minorEastAsia" w:cstheme="minorBidi"/>
          <w:b w:val="0"/>
          <w:noProof/>
          <w:color w:val="auto"/>
          <w:szCs w:val="22"/>
          <w:lang w:eastAsia="en-AU"/>
        </w:rPr>
        <w:tab/>
      </w:r>
      <w:r w:rsidRPr="00A94C5E">
        <w:rPr>
          <w:noProof/>
          <w:lang w:val="en-GB"/>
        </w:rPr>
        <w:t>Measurement requirements</w:t>
      </w:r>
      <w:r>
        <w:rPr>
          <w:noProof/>
        </w:rPr>
        <w:tab/>
      </w:r>
      <w:r>
        <w:rPr>
          <w:noProof/>
        </w:rPr>
        <w:fldChar w:fldCharType="begin"/>
      </w:r>
      <w:r>
        <w:rPr>
          <w:noProof/>
        </w:rPr>
        <w:instrText xml:space="preserve"> PAGEREF _Toc107922596 \h </w:instrText>
      </w:r>
      <w:r>
        <w:rPr>
          <w:noProof/>
        </w:rPr>
      </w:r>
      <w:r>
        <w:rPr>
          <w:noProof/>
        </w:rPr>
        <w:fldChar w:fldCharType="separate"/>
      </w:r>
      <w:r>
        <w:rPr>
          <w:noProof/>
        </w:rPr>
        <w:t>43</w:t>
      </w:r>
      <w:r>
        <w:rPr>
          <w:noProof/>
        </w:rPr>
        <w:fldChar w:fldCharType="end"/>
      </w:r>
    </w:p>
    <w:p w14:paraId="09D9E567" w14:textId="602FFB68"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8.1.</w:t>
      </w:r>
      <w:r>
        <w:rPr>
          <w:rFonts w:eastAsiaTheme="minorEastAsia" w:cstheme="minorBidi"/>
          <w:noProof/>
          <w:color w:val="auto"/>
          <w:szCs w:val="22"/>
          <w:lang w:eastAsia="en-AU"/>
        </w:rPr>
        <w:tab/>
      </w:r>
      <w:r>
        <w:rPr>
          <w:noProof/>
        </w:rPr>
        <w:t>Measurement Criteria</w:t>
      </w:r>
      <w:r>
        <w:rPr>
          <w:noProof/>
        </w:rPr>
        <w:tab/>
      </w:r>
      <w:r>
        <w:rPr>
          <w:noProof/>
        </w:rPr>
        <w:fldChar w:fldCharType="begin"/>
      </w:r>
      <w:r>
        <w:rPr>
          <w:noProof/>
        </w:rPr>
        <w:instrText xml:space="preserve"> PAGEREF _Toc107922597 \h </w:instrText>
      </w:r>
      <w:r>
        <w:rPr>
          <w:noProof/>
        </w:rPr>
      </w:r>
      <w:r>
        <w:rPr>
          <w:noProof/>
        </w:rPr>
        <w:fldChar w:fldCharType="separate"/>
      </w:r>
      <w:r>
        <w:rPr>
          <w:noProof/>
        </w:rPr>
        <w:t>43</w:t>
      </w:r>
      <w:r>
        <w:rPr>
          <w:noProof/>
        </w:rPr>
        <w:fldChar w:fldCharType="end"/>
      </w:r>
    </w:p>
    <w:p w14:paraId="07424390" w14:textId="47BBEF08" w:rsidR="00027727" w:rsidRDefault="00027727">
      <w:pPr>
        <w:pStyle w:val="TOC4"/>
        <w:tabs>
          <w:tab w:val="right" w:leader="dot" w:pos="9730"/>
        </w:tabs>
        <w:rPr>
          <w:rFonts w:eastAsiaTheme="minorEastAsia" w:cstheme="minorBidi"/>
          <w:noProof/>
          <w:color w:val="auto"/>
          <w:szCs w:val="22"/>
          <w:lang w:eastAsia="en-AU"/>
        </w:rPr>
      </w:pPr>
      <w:r>
        <w:rPr>
          <w:noProof/>
        </w:rPr>
        <w:t>Specific notes regarding measurement criteria per fuel states</w:t>
      </w:r>
      <w:r>
        <w:rPr>
          <w:noProof/>
        </w:rPr>
        <w:tab/>
      </w:r>
      <w:r>
        <w:rPr>
          <w:noProof/>
        </w:rPr>
        <w:fldChar w:fldCharType="begin"/>
      </w:r>
      <w:r>
        <w:rPr>
          <w:noProof/>
        </w:rPr>
        <w:instrText xml:space="preserve"> PAGEREF _Toc107922598 \h </w:instrText>
      </w:r>
      <w:r>
        <w:rPr>
          <w:noProof/>
        </w:rPr>
      </w:r>
      <w:r>
        <w:rPr>
          <w:noProof/>
        </w:rPr>
        <w:fldChar w:fldCharType="separate"/>
      </w:r>
      <w:r>
        <w:rPr>
          <w:noProof/>
        </w:rPr>
        <w:t>44</w:t>
      </w:r>
      <w:r>
        <w:rPr>
          <w:noProof/>
        </w:rPr>
        <w:fldChar w:fldCharType="end"/>
      </w:r>
    </w:p>
    <w:p w14:paraId="1426A60F" w14:textId="45409D5D"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8.2.</w:t>
      </w:r>
      <w:r>
        <w:rPr>
          <w:rFonts w:eastAsiaTheme="minorEastAsia" w:cstheme="minorBidi"/>
          <w:noProof/>
          <w:color w:val="auto"/>
          <w:szCs w:val="22"/>
          <w:lang w:eastAsia="en-AU"/>
        </w:rPr>
        <w:tab/>
      </w:r>
      <w:r>
        <w:rPr>
          <w:noProof/>
        </w:rPr>
        <w:t>Metering considerations</w:t>
      </w:r>
      <w:r>
        <w:rPr>
          <w:noProof/>
        </w:rPr>
        <w:tab/>
      </w:r>
      <w:r>
        <w:rPr>
          <w:noProof/>
        </w:rPr>
        <w:fldChar w:fldCharType="begin"/>
      </w:r>
      <w:r>
        <w:rPr>
          <w:noProof/>
        </w:rPr>
        <w:instrText xml:space="preserve"> PAGEREF _Toc107922599 \h </w:instrText>
      </w:r>
      <w:r>
        <w:rPr>
          <w:noProof/>
        </w:rPr>
      </w:r>
      <w:r>
        <w:rPr>
          <w:noProof/>
        </w:rPr>
        <w:fldChar w:fldCharType="separate"/>
      </w:r>
      <w:r>
        <w:rPr>
          <w:noProof/>
        </w:rPr>
        <w:t>44</w:t>
      </w:r>
      <w:r>
        <w:rPr>
          <w:noProof/>
        </w:rPr>
        <w:fldChar w:fldCharType="end"/>
      </w:r>
    </w:p>
    <w:p w14:paraId="29BD5083" w14:textId="27294208" w:rsidR="00027727" w:rsidRDefault="00027727">
      <w:pPr>
        <w:pStyle w:val="TOC2"/>
        <w:tabs>
          <w:tab w:val="left" w:pos="880"/>
          <w:tab w:val="right" w:leader="dot" w:pos="9730"/>
        </w:tabs>
        <w:rPr>
          <w:rFonts w:eastAsiaTheme="minorEastAsia" w:cstheme="minorBidi"/>
          <w:noProof/>
          <w:color w:val="auto"/>
          <w:szCs w:val="22"/>
          <w:lang w:eastAsia="en-AU"/>
        </w:rPr>
      </w:pPr>
      <w:r>
        <w:rPr>
          <w:noProof/>
        </w:rPr>
        <w:lastRenderedPageBreak/>
        <w:t>8.3.</w:t>
      </w:r>
      <w:r>
        <w:rPr>
          <w:rFonts w:eastAsiaTheme="minorEastAsia" w:cstheme="minorBidi"/>
          <w:noProof/>
          <w:color w:val="auto"/>
          <w:szCs w:val="22"/>
          <w:lang w:eastAsia="en-AU"/>
        </w:rPr>
        <w:tab/>
      </w:r>
      <w:r>
        <w:rPr>
          <w:noProof/>
        </w:rPr>
        <w:t>Industry practice (measurement criterion BBB)</w:t>
      </w:r>
      <w:r>
        <w:rPr>
          <w:noProof/>
        </w:rPr>
        <w:tab/>
      </w:r>
      <w:r>
        <w:rPr>
          <w:noProof/>
        </w:rPr>
        <w:fldChar w:fldCharType="begin"/>
      </w:r>
      <w:r>
        <w:rPr>
          <w:noProof/>
        </w:rPr>
        <w:instrText xml:space="preserve"> PAGEREF _Toc107922600 \h </w:instrText>
      </w:r>
      <w:r>
        <w:rPr>
          <w:noProof/>
        </w:rPr>
      </w:r>
      <w:r>
        <w:rPr>
          <w:noProof/>
        </w:rPr>
        <w:fldChar w:fldCharType="separate"/>
      </w:r>
      <w:r>
        <w:rPr>
          <w:noProof/>
        </w:rPr>
        <w:t>47</w:t>
      </w:r>
      <w:r>
        <w:rPr>
          <w:noProof/>
        </w:rPr>
        <w:fldChar w:fldCharType="end"/>
      </w:r>
    </w:p>
    <w:p w14:paraId="5EC67ADE" w14:textId="2A41CA84" w:rsidR="00027727" w:rsidRDefault="00027727">
      <w:pPr>
        <w:pStyle w:val="TOC4"/>
        <w:tabs>
          <w:tab w:val="right" w:leader="dot" w:pos="9730"/>
        </w:tabs>
        <w:rPr>
          <w:rFonts w:eastAsiaTheme="minorEastAsia" w:cstheme="minorBidi"/>
          <w:noProof/>
          <w:color w:val="auto"/>
          <w:szCs w:val="22"/>
          <w:lang w:eastAsia="en-AU"/>
        </w:rPr>
      </w:pPr>
      <w:r w:rsidRPr="00A94C5E">
        <w:rPr>
          <w:rFonts w:eastAsiaTheme="majorEastAsia"/>
          <w:noProof/>
        </w:rPr>
        <w:t>Measuring fuel consumption based on electricity production</w:t>
      </w:r>
      <w:r>
        <w:rPr>
          <w:noProof/>
        </w:rPr>
        <w:tab/>
      </w:r>
      <w:r>
        <w:rPr>
          <w:noProof/>
        </w:rPr>
        <w:fldChar w:fldCharType="begin"/>
      </w:r>
      <w:r>
        <w:rPr>
          <w:noProof/>
        </w:rPr>
        <w:instrText xml:space="preserve"> PAGEREF _Toc107922601 \h </w:instrText>
      </w:r>
      <w:r>
        <w:rPr>
          <w:noProof/>
        </w:rPr>
      </w:r>
      <w:r>
        <w:rPr>
          <w:noProof/>
        </w:rPr>
        <w:fldChar w:fldCharType="separate"/>
      </w:r>
      <w:r>
        <w:rPr>
          <w:noProof/>
        </w:rPr>
        <w:t>47</w:t>
      </w:r>
      <w:r>
        <w:rPr>
          <w:noProof/>
        </w:rPr>
        <w:fldChar w:fldCharType="end"/>
      </w:r>
    </w:p>
    <w:p w14:paraId="7F648936" w14:textId="55E563F9" w:rsidR="00027727" w:rsidRDefault="00027727">
      <w:pPr>
        <w:pStyle w:val="TOC2"/>
        <w:tabs>
          <w:tab w:val="left" w:pos="880"/>
          <w:tab w:val="right" w:leader="dot" w:pos="9730"/>
        </w:tabs>
        <w:rPr>
          <w:rFonts w:eastAsiaTheme="minorEastAsia" w:cstheme="minorBidi"/>
          <w:noProof/>
          <w:color w:val="auto"/>
          <w:szCs w:val="22"/>
          <w:lang w:eastAsia="en-AU"/>
        </w:rPr>
      </w:pPr>
      <w:r>
        <w:rPr>
          <w:noProof/>
        </w:rPr>
        <w:t>8.4.</w:t>
      </w:r>
      <w:r>
        <w:rPr>
          <w:rFonts w:eastAsiaTheme="minorEastAsia" w:cstheme="minorBidi"/>
          <w:noProof/>
          <w:color w:val="auto"/>
          <w:szCs w:val="22"/>
          <w:lang w:eastAsia="en-AU"/>
        </w:rPr>
        <w:tab/>
      </w:r>
      <w:r>
        <w:rPr>
          <w:noProof/>
        </w:rPr>
        <w:t>Temporarily unavailability of a method of estimating emissions</w:t>
      </w:r>
      <w:r>
        <w:rPr>
          <w:noProof/>
        </w:rPr>
        <w:tab/>
      </w:r>
      <w:r>
        <w:rPr>
          <w:noProof/>
        </w:rPr>
        <w:fldChar w:fldCharType="begin"/>
      </w:r>
      <w:r>
        <w:rPr>
          <w:noProof/>
        </w:rPr>
        <w:instrText xml:space="preserve"> PAGEREF _Toc107922602 \h </w:instrText>
      </w:r>
      <w:r>
        <w:rPr>
          <w:noProof/>
        </w:rPr>
      </w:r>
      <w:r>
        <w:rPr>
          <w:noProof/>
        </w:rPr>
        <w:fldChar w:fldCharType="separate"/>
      </w:r>
      <w:r>
        <w:rPr>
          <w:noProof/>
        </w:rPr>
        <w:t>47</w:t>
      </w:r>
      <w:r>
        <w:rPr>
          <w:noProof/>
        </w:rPr>
        <w:fldChar w:fldCharType="end"/>
      </w:r>
    </w:p>
    <w:p w14:paraId="4EF0D267" w14:textId="2A333519" w:rsidR="00027727" w:rsidRDefault="00027727">
      <w:pPr>
        <w:pStyle w:val="TOC1"/>
        <w:tabs>
          <w:tab w:val="left" w:pos="440"/>
        </w:tabs>
        <w:rPr>
          <w:rFonts w:eastAsiaTheme="minorEastAsia" w:cstheme="minorBidi"/>
          <w:b w:val="0"/>
          <w:noProof/>
          <w:color w:val="auto"/>
          <w:szCs w:val="22"/>
          <w:lang w:eastAsia="en-AU"/>
        </w:rPr>
      </w:pPr>
      <w:r w:rsidRPr="00A94C5E">
        <w:rPr>
          <w:noProof/>
          <w:lang w:val="en-GB"/>
        </w:rPr>
        <w:t>9.</w:t>
      </w:r>
      <w:r>
        <w:rPr>
          <w:rFonts w:eastAsiaTheme="minorEastAsia" w:cstheme="minorBidi"/>
          <w:b w:val="0"/>
          <w:noProof/>
          <w:color w:val="auto"/>
          <w:szCs w:val="22"/>
          <w:lang w:eastAsia="en-AU"/>
        </w:rPr>
        <w:tab/>
      </w:r>
      <w:r w:rsidRPr="00A94C5E">
        <w:rPr>
          <w:noProof/>
          <w:lang w:val="en-GB"/>
        </w:rPr>
        <w:t>More information and references</w:t>
      </w:r>
      <w:r>
        <w:rPr>
          <w:noProof/>
        </w:rPr>
        <w:tab/>
      </w:r>
      <w:r>
        <w:rPr>
          <w:noProof/>
        </w:rPr>
        <w:fldChar w:fldCharType="begin"/>
      </w:r>
      <w:r>
        <w:rPr>
          <w:noProof/>
        </w:rPr>
        <w:instrText xml:space="preserve"> PAGEREF _Toc107922603 \h </w:instrText>
      </w:r>
      <w:r>
        <w:rPr>
          <w:noProof/>
        </w:rPr>
      </w:r>
      <w:r>
        <w:rPr>
          <w:noProof/>
        </w:rPr>
        <w:fldChar w:fldCharType="separate"/>
      </w:r>
      <w:r>
        <w:rPr>
          <w:noProof/>
        </w:rPr>
        <w:t>49</w:t>
      </w:r>
      <w:r>
        <w:rPr>
          <w:noProof/>
        </w:rPr>
        <w:fldChar w:fldCharType="end"/>
      </w:r>
    </w:p>
    <w:p w14:paraId="07C4A7F1" w14:textId="4FED03D8" w:rsidR="00027727" w:rsidRDefault="00027727">
      <w:pPr>
        <w:pStyle w:val="TOC2"/>
        <w:tabs>
          <w:tab w:val="right" w:leader="dot" w:pos="9730"/>
        </w:tabs>
        <w:rPr>
          <w:rFonts w:eastAsiaTheme="minorEastAsia" w:cstheme="minorBidi"/>
          <w:noProof/>
          <w:color w:val="auto"/>
          <w:szCs w:val="22"/>
          <w:lang w:eastAsia="en-AU"/>
        </w:rPr>
      </w:pPr>
      <w:r>
        <w:rPr>
          <w:noProof/>
        </w:rPr>
        <w:t>More information</w:t>
      </w:r>
      <w:r>
        <w:rPr>
          <w:noProof/>
        </w:rPr>
        <w:tab/>
      </w:r>
      <w:r>
        <w:rPr>
          <w:noProof/>
        </w:rPr>
        <w:fldChar w:fldCharType="begin"/>
      </w:r>
      <w:r>
        <w:rPr>
          <w:noProof/>
        </w:rPr>
        <w:instrText xml:space="preserve"> PAGEREF _Toc107922604 \h </w:instrText>
      </w:r>
      <w:r>
        <w:rPr>
          <w:noProof/>
        </w:rPr>
      </w:r>
      <w:r>
        <w:rPr>
          <w:noProof/>
        </w:rPr>
        <w:fldChar w:fldCharType="separate"/>
      </w:r>
      <w:r>
        <w:rPr>
          <w:noProof/>
        </w:rPr>
        <w:t>49</w:t>
      </w:r>
      <w:r>
        <w:rPr>
          <w:noProof/>
        </w:rPr>
        <w:fldChar w:fldCharType="end"/>
      </w:r>
    </w:p>
    <w:p w14:paraId="1E6B78F5" w14:textId="06E5CB4C" w:rsidR="00027727" w:rsidRDefault="00027727">
      <w:pPr>
        <w:pStyle w:val="TOC2"/>
        <w:tabs>
          <w:tab w:val="right" w:leader="dot" w:pos="9730"/>
        </w:tabs>
        <w:rPr>
          <w:rFonts w:eastAsiaTheme="minorEastAsia" w:cstheme="minorBidi"/>
          <w:noProof/>
          <w:color w:val="auto"/>
          <w:szCs w:val="22"/>
          <w:lang w:eastAsia="en-AU"/>
        </w:rPr>
      </w:pPr>
      <w:r>
        <w:rPr>
          <w:noProof/>
        </w:rPr>
        <w:t>References</w:t>
      </w:r>
      <w:r>
        <w:rPr>
          <w:noProof/>
        </w:rPr>
        <w:tab/>
      </w:r>
      <w:r>
        <w:rPr>
          <w:noProof/>
        </w:rPr>
        <w:fldChar w:fldCharType="begin"/>
      </w:r>
      <w:r>
        <w:rPr>
          <w:noProof/>
        </w:rPr>
        <w:instrText xml:space="preserve"> PAGEREF _Toc107922605 \h </w:instrText>
      </w:r>
      <w:r>
        <w:rPr>
          <w:noProof/>
        </w:rPr>
      </w:r>
      <w:r>
        <w:rPr>
          <w:noProof/>
        </w:rPr>
        <w:fldChar w:fldCharType="separate"/>
      </w:r>
      <w:r>
        <w:rPr>
          <w:noProof/>
        </w:rPr>
        <w:t>49</w:t>
      </w:r>
      <w:r>
        <w:rPr>
          <w:noProof/>
        </w:rPr>
        <w:fldChar w:fldCharType="end"/>
      </w:r>
    </w:p>
    <w:p w14:paraId="1C0C0F85" w14:textId="5509050E" w:rsidR="00027727" w:rsidRDefault="00027727">
      <w:pPr>
        <w:pStyle w:val="TOC1"/>
        <w:rPr>
          <w:rFonts w:eastAsiaTheme="minorEastAsia" w:cstheme="minorBidi"/>
          <w:b w:val="0"/>
          <w:noProof/>
          <w:color w:val="auto"/>
          <w:szCs w:val="22"/>
          <w:lang w:eastAsia="en-AU"/>
        </w:rPr>
      </w:pPr>
      <w:r>
        <w:rPr>
          <w:noProof/>
        </w:rPr>
        <w:t>Appendices</w:t>
      </w:r>
      <w:r>
        <w:rPr>
          <w:noProof/>
        </w:rPr>
        <w:tab/>
      </w:r>
      <w:r>
        <w:rPr>
          <w:noProof/>
        </w:rPr>
        <w:fldChar w:fldCharType="begin"/>
      </w:r>
      <w:r>
        <w:rPr>
          <w:noProof/>
        </w:rPr>
        <w:instrText xml:space="preserve"> PAGEREF _Toc107922606 \h </w:instrText>
      </w:r>
      <w:r>
        <w:rPr>
          <w:noProof/>
        </w:rPr>
      </w:r>
      <w:r>
        <w:rPr>
          <w:noProof/>
        </w:rPr>
        <w:fldChar w:fldCharType="separate"/>
      </w:r>
      <w:r>
        <w:rPr>
          <w:noProof/>
        </w:rPr>
        <w:t>50</w:t>
      </w:r>
      <w:r>
        <w:rPr>
          <w:noProof/>
        </w:rPr>
        <w:fldChar w:fldCharType="end"/>
      </w:r>
    </w:p>
    <w:p w14:paraId="15BC23DB" w14:textId="16F0EC70" w:rsidR="00027727" w:rsidRDefault="00027727">
      <w:pPr>
        <w:pStyle w:val="TOC2"/>
        <w:tabs>
          <w:tab w:val="right" w:leader="dot" w:pos="9730"/>
        </w:tabs>
        <w:rPr>
          <w:rFonts w:eastAsiaTheme="minorEastAsia" w:cstheme="minorBidi"/>
          <w:noProof/>
          <w:color w:val="auto"/>
          <w:szCs w:val="22"/>
          <w:lang w:eastAsia="en-AU"/>
        </w:rPr>
      </w:pPr>
      <w:r>
        <w:rPr>
          <w:noProof/>
        </w:rPr>
        <w:t>Appendix A – Case examples for electricity sector facilities</w:t>
      </w:r>
      <w:r>
        <w:rPr>
          <w:noProof/>
        </w:rPr>
        <w:tab/>
      </w:r>
      <w:r>
        <w:rPr>
          <w:noProof/>
        </w:rPr>
        <w:fldChar w:fldCharType="begin"/>
      </w:r>
      <w:r>
        <w:rPr>
          <w:noProof/>
        </w:rPr>
        <w:instrText xml:space="preserve"> PAGEREF _Toc107922607 \h </w:instrText>
      </w:r>
      <w:r>
        <w:rPr>
          <w:noProof/>
        </w:rPr>
      </w:r>
      <w:r>
        <w:rPr>
          <w:noProof/>
        </w:rPr>
        <w:fldChar w:fldCharType="separate"/>
      </w:r>
      <w:r>
        <w:rPr>
          <w:noProof/>
        </w:rPr>
        <w:t>50</w:t>
      </w:r>
      <w:r>
        <w:rPr>
          <w:noProof/>
        </w:rPr>
        <w:fldChar w:fldCharType="end"/>
      </w:r>
    </w:p>
    <w:p w14:paraId="6DB8476C" w14:textId="37AEF23D" w:rsidR="00027727" w:rsidRDefault="00027727">
      <w:pPr>
        <w:pStyle w:val="TOC3"/>
        <w:rPr>
          <w:rFonts w:eastAsiaTheme="minorEastAsia" w:cstheme="minorBidi"/>
          <w:noProof/>
          <w:color w:val="auto"/>
          <w:szCs w:val="22"/>
          <w:lang w:eastAsia="en-AU"/>
        </w:rPr>
      </w:pPr>
      <w:r w:rsidRPr="00A94C5E">
        <w:rPr>
          <w:noProof/>
          <w:lang w:val="en-GB"/>
        </w:rPr>
        <w:t>Case example 1: Gas-fired power plant</w:t>
      </w:r>
      <w:r>
        <w:rPr>
          <w:noProof/>
        </w:rPr>
        <w:tab/>
      </w:r>
      <w:r>
        <w:rPr>
          <w:noProof/>
        </w:rPr>
        <w:fldChar w:fldCharType="begin"/>
      </w:r>
      <w:r>
        <w:rPr>
          <w:noProof/>
        </w:rPr>
        <w:instrText xml:space="preserve"> PAGEREF _Toc107922608 \h </w:instrText>
      </w:r>
      <w:r>
        <w:rPr>
          <w:noProof/>
        </w:rPr>
      </w:r>
      <w:r>
        <w:rPr>
          <w:noProof/>
        </w:rPr>
        <w:fldChar w:fldCharType="separate"/>
      </w:r>
      <w:r>
        <w:rPr>
          <w:noProof/>
        </w:rPr>
        <w:t>50</w:t>
      </w:r>
      <w:r>
        <w:rPr>
          <w:noProof/>
        </w:rPr>
        <w:fldChar w:fldCharType="end"/>
      </w:r>
    </w:p>
    <w:p w14:paraId="5198E348" w14:textId="1013B3B5" w:rsidR="00027727" w:rsidRDefault="00027727">
      <w:pPr>
        <w:pStyle w:val="TOC4"/>
        <w:tabs>
          <w:tab w:val="right" w:leader="dot" w:pos="9730"/>
        </w:tabs>
        <w:rPr>
          <w:rFonts w:eastAsiaTheme="minorEastAsia" w:cstheme="minorBidi"/>
          <w:noProof/>
          <w:color w:val="auto"/>
          <w:szCs w:val="22"/>
          <w:lang w:eastAsia="en-AU"/>
        </w:rPr>
      </w:pPr>
      <w:r>
        <w:rPr>
          <w:noProof/>
        </w:rPr>
        <w:t>NGER activities and industry sector</w:t>
      </w:r>
      <w:r>
        <w:rPr>
          <w:noProof/>
        </w:rPr>
        <w:tab/>
      </w:r>
      <w:r>
        <w:rPr>
          <w:noProof/>
        </w:rPr>
        <w:fldChar w:fldCharType="begin"/>
      </w:r>
      <w:r>
        <w:rPr>
          <w:noProof/>
        </w:rPr>
        <w:instrText xml:space="preserve"> PAGEREF _Toc107922609 \h </w:instrText>
      </w:r>
      <w:r>
        <w:rPr>
          <w:noProof/>
        </w:rPr>
      </w:r>
      <w:r>
        <w:rPr>
          <w:noProof/>
        </w:rPr>
        <w:fldChar w:fldCharType="separate"/>
      </w:r>
      <w:r>
        <w:rPr>
          <w:noProof/>
        </w:rPr>
        <w:t>50</w:t>
      </w:r>
      <w:r>
        <w:rPr>
          <w:noProof/>
        </w:rPr>
        <w:fldChar w:fldCharType="end"/>
      </w:r>
    </w:p>
    <w:p w14:paraId="71543478" w14:textId="3D8B514B" w:rsidR="00027727" w:rsidRDefault="00027727">
      <w:pPr>
        <w:pStyle w:val="TOC3"/>
        <w:rPr>
          <w:rFonts w:eastAsiaTheme="minorEastAsia" w:cstheme="minorBidi"/>
          <w:noProof/>
          <w:color w:val="auto"/>
          <w:szCs w:val="22"/>
          <w:lang w:eastAsia="en-AU"/>
        </w:rPr>
      </w:pPr>
      <w:r w:rsidRPr="00A94C5E">
        <w:rPr>
          <w:noProof/>
          <w:lang w:val="en-GB"/>
        </w:rPr>
        <w:t>Case example 2: Hydro power plant</w:t>
      </w:r>
      <w:r>
        <w:rPr>
          <w:noProof/>
        </w:rPr>
        <w:tab/>
      </w:r>
      <w:r>
        <w:rPr>
          <w:noProof/>
        </w:rPr>
        <w:fldChar w:fldCharType="begin"/>
      </w:r>
      <w:r>
        <w:rPr>
          <w:noProof/>
        </w:rPr>
        <w:instrText xml:space="preserve"> PAGEREF _Toc107922610 \h </w:instrText>
      </w:r>
      <w:r>
        <w:rPr>
          <w:noProof/>
        </w:rPr>
      </w:r>
      <w:r>
        <w:rPr>
          <w:noProof/>
        </w:rPr>
        <w:fldChar w:fldCharType="separate"/>
      </w:r>
      <w:r>
        <w:rPr>
          <w:noProof/>
        </w:rPr>
        <w:t>55</w:t>
      </w:r>
      <w:r>
        <w:rPr>
          <w:noProof/>
        </w:rPr>
        <w:fldChar w:fldCharType="end"/>
      </w:r>
    </w:p>
    <w:p w14:paraId="466DCE56" w14:textId="0BD1B491" w:rsidR="00027727" w:rsidRDefault="00027727">
      <w:pPr>
        <w:pStyle w:val="TOC4"/>
        <w:tabs>
          <w:tab w:val="right" w:leader="dot" w:pos="9730"/>
        </w:tabs>
        <w:rPr>
          <w:rFonts w:eastAsiaTheme="minorEastAsia" w:cstheme="minorBidi"/>
          <w:noProof/>
          <w:color w:val="auto"/>
          <w:szCs w:val="22"/>
          <w:lang w:eastAsia="en-AU"/>
        </w:rPr>
      </w:pPr>
      <w:r>
        <w:rPr>
          <w:noProof/>
        </w:rPr>
        <w:t>NGER activities and industry sector</w:t>
      </w:r>
      <w:r>
        <w:rPr>
          <w:noProof/>
        </w:rPr>
        <w:tab/>
      </w:r>
      <w:r>
        <w:rPr>
          <w:noProof/>
        </w:rPr>
        <w:fldChar w:fldCharType="begin"/>
      </w:r>
      <w:r>
        <w:rPr>
          <w:noProof/>
        </w:rPr>
        <w:instrText xml:space="preserve"> PAGEREF _Toc107922611 \h </w:instrText>
      </w:r>
      <w:r>
        <w:rPr>
          <w:noProof/>
        </w:rPr>
      </w:r>
      <w:r>
        <w:rPr>
          <w:noProof/>
        </w:rPr>
        <w:fldChar w:fldCharType="separate"/>
      </w:r>
      <w:r>
        <w:rPr>
          <w:noProof/>
        </w:rPr>
        <w:t>55</w:t>
      </w:r>
      <w:r>
        <w:rPr>
          <w:noProof/>
        </w:rPr>
        <w:fldChar w:fldCharType="end"/>
      </w:r>
    </w:p>
    <w:p w14:paraId="6A75B548" w14:textId="7D91A510" w:rsidR="00235142" w:rsidRDefault="00235142" w:rsidP="00235142">
      <w:r>
        <w:fldChar w:fldCharType="end"/>
      </w:r>
    </w:p>
    <w:p w14:paraId="7CDA73F9" w14:textId="77777777" w:rsidR="002B4789" w:rsidRPr="00FF338C" w:rsidRDefault="00235142" w:rsidP="002B4789">
      <w:pPr>
        <w:pStyle w:val="Caption"/>
      </w:pPr>
      <w:r>
        <w:br w:type="page"/>
      </w:r>
      <w:bookmarkStart w:id="3" w:name="_Toc106705741"/>
      <w:bookmarkStart w:id="4" w:name="_Toc107922522"/>
      <w:bookmarkEnd w:id="1"/>
      <w:bookmarkEnd w:id="2"/>
      <w:r w:rsidR="002B4789" w:rsidRPr="00E67D71">
        <w:rPr>
          <w:rStyle w:val="Heading1Char"/>
          <w:rFonts w:eastAsia="Cambria"/>
          <w:i w:val="0"/>
        </w:rPr>
        <w:lastRenderedPageBreak/>
        <w:t>Definitions and abbreviations</w:t>
      </w:r>
      <w:bookmarkEnd w:id="3"/>
      <w:bookmarkEnd w:id="4"/>
      <w:r w:rsidR="002B4789" w:rsidRPr="00FF338C">
        <w:t xml:space="preserve"> </w:t>
      </w:r>
      <w:r w:rsidR="002B4789">
        <w:t xml:space="preserve">(Table </w:t>
      </w:r>
      <w:r>
        <w:fldChar w:fldCharType="begin"/>
      </w:r>
      <w:r>
        <w:instrText>SEQ Table \* ARABIC</w:instrText>
      </w:r>
      <w:r>
        <w:fldChar w:fldCharType="separate"/>
      </w:r>
      <w:r w:rsidR="002B4789">
        <w:rPr>
          <w:noProof/>
        </w:rPr>
        <w:t>1</w:t>
      </w:r>
      <w:r>
        <w:fldChar w:fldCharType="end"/>
      </w:r>
      <w:r w:rsidR="002B4789">
        <w:t>)</w:t>
      </w:r>
    </w:p>
    <w:tbl>
      <w:tblPr>
        <w:tblStyle w:val="CERTable"/>
        <w:tblW w:w="0" w:type="auto"/>
        <w:tblLook w:val="04A0" w:firstRow="1" w:lastRow="0" w:firstColumn="1" w:lastColumn="0" w:noHBand="0" w:noVBand="1"/>
      </w:tblPr>
      <w:tblGrid>
        <w:gridCol w:w="2404"/>
        <w:gridCol w:w="7326"/>
      </w:tblGrid>
      <w:tr w:rsidR="002B4789" w:rsidRPr="00FF338C" w14:paraId="6F73C883" w14:textId="77777777" w:rsidTr="00717F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4" w:type="dxa"/>
          </w:tcPr>
          <w:p w14:paraId="63A00C0B" w14:textId="77777777" w:rsidR="002B4789" w:rsidRPr="00FF338C" w:rsidRDefault="002B4789" w:rsidP="00D549C7">
            <w:r w:rsidRPr="00FF338C">
              <w:t>Term</w:t>
            </w:r>
          </w:p>
        </w:tc>
        <w:tc>
          <w:tcPr>
            <w:tcW w:w="7326" w:type="dxa"/>
          </w:tcPr>
          <w:p w14:paraId="0DFAF41E" w14:textId="77777777" w:rsidR="002B4789" w:rsidRPr="00FF338C" w:rsidRDefault="002B4789" w:rsidP="00D549C7">
            <w:pPr>
              <w:cnfStyle w:val="100000000000" w:firstRow="1" w:lastRow="0" w:firstColumn="0" w:lastColumn="0" w:oddVBand="0" w:evenVBand="0" w:oddHBand="0" w:evenHBand="0" w:firstRowFirstColumn="0" w:firstRowLastColumn="0" w:lastRowFirstColumn="0" w:lastRowLastColumn="0"/>
            </w:pPr>
            <w:r w:rsidRPr="00FF338C">
              <w:t>Meaning</w:t>
            </w:r>
          </w:p>
        </w:tc>
      </w:tr>
      <w:tr w:rsidR="002B4789" w:rsidRPr="00FF338C" w14:paraId="51E855D5" w14:textId="77777777" w:rsidTr="00D54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47E02A79" w14:textId="77777777" w:rsidR="002B4789" w:rsidRPr="00FF338C" w:rsidRDefault="002B4789" w:rsidP="00D549C7">
            <w:r w:rsidRPr="00FF338C">
              <w:t>ANZSIC</w:t>
            </w:r>
          </w:p>
        </w:tc>
        <w:tc>
          <w:tcPr>
            <w:tcW w:w="7326" w:type="dxa"/>
          </w:tcPr>
          <w:p w14:paraId="7DCA388C" w14:textId="77777777" w:rsidR="002B4789" w:rsidRPr="00FF338C" w:rsidRDefault="002B4789" w:rsidP="00D549C7">
            <w:pPr>
              <w:cnfStyle w:val="000000100000" w:firstRow="0" w:lastRow="0" w:firstColumn="0" w:lastColumn="0" w:oddVBand="0" w:evenVBand="0" w:oddHBand="1" w:evenHBand="0" w:firstRowFirstColumn="0" w:firstRowLastColumn="0" w:lastRowFirstColumn="0" w:lastRowLastColumn="0"/>
            </w:pPr>
            <w:r w:rsidRPr="00FF338C">
              <w:t>Australian and New Zealand Standard Industrial Classification</w:t>
            </w:r>
          </w:p>
        </w:tc>
      </w:tr>
      <w:tr w:rsidR="002B4789" w:rsidRPr="00FF338C" w14:paraId="20D2F26B" w14:textId="77777777" w:rsidTr="002B4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bottom w:val="nil"/>
            </w:tcBorders>
          </w:tcPr>
          <w:p w14:paraId="5931B9B3" w14:textId="77777777" w:rsidR="002B4789" w:rsidRPr="00FF338C" w:rsidRDefault="002B4789" w:rsidP="00D549C7">
            <w:proofErr w:type="spellStart"/>
            <w:r>
              <w:t>BoP</w:t>
            </w:r>
            <w:proofErr w:type="spellEnd"/>
          </w:p>
        </w:tc>
        <w:tc>
          <w:tcPr>
            <w:tcW w:w="7326" w:type="dxa"/>
            <w:tcBorders>
              <w:bottom w:val="nil"/>
            </w:tcBorders>
          </w:tcPr>
          <w:p w14:paraId="63ADE264" w14:textId="77777777" w:rsidR="002B4789" w:rsidRPr="00FF338C" w:rsidRDefault="002B4789" w:rsidP="00D549C7">
            <w:pPr>
              <w:cnfStyle w:val="000000010000" w:firstRow="0" w:lastRow="0" w:firstColumn="0" w:lastColumn="0" w:oddVBand="0" w:evenVBand="0" w:oddHBand="0" w:evenHBand="1" w:firstRowFirstColumn="0" w:firstRowLastColumn="0" w:lastRowFirstColumn="0" w:lastRowLastColumn="0"/>
            </w:pPr>
            <w:r>
              <w:t>Basis of Preparation</w:t>
            </w:r>
          </w:p>
        </w:tc>
      </w:tr>
      <w:tr w:rsidR="002B4789" w:rsidRPr="00FF338C" w14:paraId="204FEA86" w14:textId="77777777" w:rsidTr="002B4789">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404" w:type="dxa"/>
            <w:tcBorders>
              <w:top w:val="nil"/>
              <w:left w:val="nil"/>
              <w:bottom w:val="nil"/>
              <w:right w:val="nil"/>
            </w:tcBorders>
          </w:tcPr>
          <w:p w14:paraId="57AAAF69" w14:textId="77777777" w:rsidR="002B4789" w:rsidRPr="00FF338C" w:rsidRDefault="002B4789" w:rsidP="00D549C7">
            <w:pPr>
              <w:spacing w:before="60" w:after="60"/>
            </w:pPr>
            <w:r w:rsidRPr="00FF338C">
              <w:t>CEM</w:t>
            </w:r>
          </w:p>
        </w:tc>
        <w:tc>
          <w:tcPr>
            <w:tcW w:w="7326" w:type="dxa"/>
            <w:tcBorders>
              <w:top w:val="nil"/>
              <w:left w:val="nil"/>
              <w:bottom w:val="nil"/>
              <w:right w:val="nil"/>
            </w:tcBorders>
          </w:tcPr>
          <w:p w14:paraId="4A18465B" w14:textId="77777777" w:rsidR="002B4789" w:rsidRPr="00FF338C" w:rsidDel="000F461A" w:rsidRDefault="002B4789" w:rsidP="00D549C7">
            <w:pPr>
              <w:spacing w:before="60" w:after="60"/>
              <w:cnfStyle w:val="000000000000" w:firstRow="0" w:lastRow="0" w:firstColumn="0" w:lastColumn="0" w:oddVBand="0" w:evenVBand="0" w:oddHBand="0" w:evenHBand="0" w:firstRowFirstColumn="0" w:firstRowLastColumn="0" w:lastRowFirstColumn="0" w:lastRowLastColumn="0"/>
            </w:pPr>
            <w:r w:rsidRPr="00FF338C">
              <w:t>Continuous Emissions Monitoring</w:t>
            </w:r>
          </w:p>
        </w:tc>
      </w:tr>
      <w:tr w:rsidR="002B4789" w:rsidRPr="00FF338C" w14:paraId="3A54F114" w14:textId="77777777" w:rsidTr="002B4789">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404" w:type="dxa"/>
            <w:tcBorders>
              <w:top w:val="nil"/>
              <w:left w:val="nil"/>
              <w:bottom w:val="nil"/>
              <w:right w:val="nil"/>
            </w:tcBorders>
          </w:tcPr>
          <w:p w14:paraId="34E4EBE0" w14:textId="77777777" w:rsidR="002B4789" w:rsidRDefault="002B4789" w:rsidP="00D549C7">
            <w:pPr>
              <w:spacing w:before="60" w:after="60"/>
            </w:pPr>
            <w:r w:rsidRPr="00FF338C">
              <w:t>Department</w:t>
            </w:r>
          </w:p>
        </w:tc>
        <w:tc>
          <w:tcPr>
            <w:tcW w:w="7326" w:type="dxa"/>
            <w:tcBorders>
              <w:top w:val="nil"/>
              <w:left w:val="nil"/>
              <w:bottom w:val="nil"/>
              <w:right w:val="nil"/>
            </w:tcBorders>
          </w:tcPr>
          <w:p w14:paraId="4D39B802" w14:textId="070A30BE" w:rsidR="002B4789" w:rsidRDefault="002B4789" w:rsidP="00D549C7">
            <w:pPr>
              <w:spacing w:before="60" w:after="60"/>
              <w:cnfStyle w:val="000000000000" w:firstRow="0" w:lastRow="0" w:firstColumn="0" w:lastColumn="0" w:oddVBand="0" w:evenVBand="0" w:oddHBand="0" w:evenHBand="0" w:firstRowFirstColumn="0" w:firstRowLastColumn="0" w:lastRowFirstColumn="0" w:lastRowLastColumn="0"/>
            </w:pPr>
            <w:r>
              <w:t xml:space="preserve">The Australian Government </w:t>
            </w:r>
            <w:r w:rsidRPr="00FF338C">
              <w:t xml:space="preserve">Department of </w:t>
            </w:r>
            <w:r w:rsidRPr="003A2603">
              <w:t>Climate Change, Energy, the Environment and Water</w:t>
            </w:r>
          </w:p>
        </w:tc>
      </w:tr>
      <w:tr w:rsidR="002B4789" w:rsidRPr="00FF338C" w14:paraId="2C9217F0" w14:textId="77777777" w:rsidTr="002B4789">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404" w:type="dxa"/>
            <w:tcBorders>
              <w:top w:val="nil"/>
              <w:left w:val="nil"/>
              <w:bottom w:val="nil"/>
              <w:right w:val="nil"/>
            </w:tcBorders>
          </w:tcPr>
          <w:p w14:paraId="67B169A0" w14:textId="77777777" w:rsidR="002B4789" w:rsidRPr="00FF338C" w:rsidRDefault="002B4789" w:rsidP="00D549C7">
            <w:pPr>
              <w:spacing w:before="60" w:after="60"/>
            </w:pPr>
            <w:r>
              <w:t>EERS</w:t>
            </w:r>
          </w:p>
        </w:tc>
        <w:tc>
          <w:tcPr>
            <w:tcW w:w="7326" w:type="dxa"/>
            <w:tcBorders>
              <w:top w:val="nil"/>
              <w:left w:val="nil"/>
              <w:bottom w:val="nil"/>
              <w:right w:val="nil"/>
            </w:tcBorders>
          </w:tcPr>
          <w:p w14:paraId="1C2E0568" w14:textId="77777777" w:rsidR="002B4789" w:rsidRDefault="002B4789" w:rsidP="00D549C7">
            <w:pPr>
              <w:spacing w:before="60" w:after="60"/>
              <w:cnfStyle w:val="000000000000" w:firstRow="0" w:lastRow="0" w:firstColumn="0" w:lastColumn="0" w:oddVBand="0" w:evenVBand="0" w:oddHBand="0" w:evenHBand="0" w:firstRowFirstColumn="0" w:firstRowLastColumn="0" w:lastRowFirstColumn="0" w:lastRowLastColumn="0"/>
            </w:pPr>
            <w:r>
              <w:t>Emissions and Energy Reporting System</w:t>
            </w:r>
          </w:p>
        </w:tc>
      </w:tr>
      <w:tr w:rsidR="002B4789" w:rsidRPr="00FF338C" w14:paraId="2FB398C1" w14:textId="77777777" w:rsidTr="002B4789">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404" w:type="dxa"/>
            <w:tcBorders>
              <w:top w:val="nil"/>
              <w:left w:val="nil"/>
              <w:bottom w:val="nil"/>
              <w:right w:val="nil"/>
            </w:tcBorders>
            <w:hideMark/>
          </w:tcPr>
          <w:p w14:paraId="7BAD0BA7" w14:textId="77777777" w:rsidR="002B4789" w:rsidRPr="00FF338C" w:rsidRDefault="002B4789" w:rsidP="00D549C7">
            <w:pPr>
              <w:spacing w:before="60" w:after="60"/>
            </w:pPr>
            <w:r w:rsidRPr="00FF338C">
              <w:t>Emissions Reduction Fund</w:t>
            </w:r>
          </w:p>
        </w:tc>
        <w:tc>
          <w:tcPr>
            <w:tcW w:w="7326" w:type="dxa"/>
            <w:tcBorders>
              <w:top w:val="nil"/>
              <w:left w:val="nil"/>
              <w:bottom w:val="nil"/>
              <w:right w:val="nil"/>
            </w:tcBorders>
            <w:hideMark/>
          </w:tcPr>
          <w:p w14:paraId="38A51216" w14:textId="77777777" w:rsidR="002B4789" w:rsidRPr="00FF338C" w:rsidRDefault="002B4789" w:rsidP="00D549C7">
            <w:pPr>
              <w:spacing w:before="60" w:after="60"/>
              <w:cnfStyle w:val="000000000000" w:firstRow="0" w:lastRow="0" w:firstColumn="0" w:lastColumn="0" w:oddVBand="0" w:evenVBand="0" w:oddHBand="0" w:evenHBand="0" w:firstRowFirstColumn="0" w:firstRowLastColumn="0" w:lastRowFirstColumn="0" w:lastRowLastColumn="0"/>
            </w:pPr>
            <w:r>
              <w:t>T</w:t>
            </w:r>
            <w:r w:rsidRPr="00FF338C">
              <w:t xml:space="preserve">he </w:t>
            </w:r>
            <w:r>
              <w:t xml:space="preserve">Australian </w:t>
            </w:r>
            <w:r w:rsidRPr="00FF338C">
              <w:t>Government’s voluntary scheme that provide</w:t>
            </w:r>
            <w:r>
              <w:t>s</w:t>
            </w:r>
            <w:r w:rsidRPr="00FF338C">
              <w:t xml:space="preserve"> incentives for a range of organisations and individuals to adopt new practices and technologies to reduce their emissions</w:t>
            </w:r>
          </w:p>
        </w:tc>
      </w:tr>
      <w:tr w:rsidR="002B4789" w:rsidRPr="00FF338C" w14:paraId="16CC9450" w14:textId="77777777" w:rsidTr="002B4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17F7F7E3" w14:textId="77777777" w:rsidR="002B4789" w:rsidRPr="00FF338C" w:rsidRDefault="002B4789" w:rsidP="00D549C7">
            <w:r w:rsidRPr="00FF338C">
              <w:t>GJ</w:t>
            </w:r>
          </w:p>
        </w:tc>
        <w:tc>
          <w:tcPr>
            <w:tcW w:w="7326" w:type="dxa"/>
          </w:tcPr>
          <w:p w14:paraId="1EED75CA" w14:textId="77777777" w:rsidR="002B4789" w:rsidRPr="00FF338C" w:rsidRDefault="002B4789" w:rsidP="00D549C7">
            <w:pPr>
              <w:cnfStyle w:val="000000100000" w:firstRow="0" w:lastRow="0" w:firstColumn="0" w:lastColumn="0" w:oddVBand="0" w:evenVBand="0" w:oddHBand="1" w:evenHBand="0" w:firstRowFirstColumn="0" w:firstRowLastColumn="0" w:lastRowFirstColumn="0" w:lastRowLastColumn="0"/>
            </w:pPr>
            <w:r w:rsidRPr="00FF338C">
              <w:t>Gigajoules</w:t>
            </w:r>
          </w:p>
        </w:tc>
      </w:tr>
      <w:tr w:rsidR="002B4789" w:rsidRPr="00FF338C" w14:paraId="53EE1479" w14:textId="77777777" w:rsidTr="00D54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416270F1" w14:textId="77777777" w:rsidR="002B4789" w:rsidRPr="00FF338C" w:rsidRDefault="002B4789" w:rsidP="00D549C7">
            <w:r w:rsidRPr="00FF338C">
              <w:t>GWh</w:t>
            </w:r>
          </w:p>
        </w:tc>
        <w:tc>
          <w:tcPr>
            <w:tcW w:w="7326" w:type="dxa"/>
          </w:tcPr>
          <w:p w14:paraId="7893AA02" w14:textId="77777777" w:rsidR="002B4789" w:rsidRPr="00FF338C" w:rsidRDefault="002B4789" w:rsidP="00D549C7">
            <w:pPr>
              <w:cnfStyle w:val="000000010000" w:firstRow="0" w:lastRow="0" w:firstColumn="0" w:lastColumn="0" w:oddVBand="0" w:evenVBand="0" w:oddHBand="0" w:evenHBand="1" w:firstRowFirstColumn="0" w:firstRowLastColumn="0" w:lastRowFirstColumn="0" w:lastRowLastColumn="0"/>
            </w:pPr>
            <w:r w:rsidRPr="00FF338C">
              <w:t>Gigawatt hours</w:t>
            </w:r>
          </w:p>
        </w:tc>
      </w:tr>
      <w:tr w:rsidR="002B4789" w:rsidRPr="00FF338C" w14:paraId="4DFD0F25" w14:textId="77777777" w:rsidTr="00D54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6F9448A3" w14:textId="77777777" w:rsidR="002B4789" w:rsidRPr="00FF338C" w:rsidRDefault="002B4789" w:rsidP="00D549C7">
            <w:r w:rsidRPr="00FF338C">
              <w:t>ISO</w:t>
            </w:r>
          </w:p>
        </w:tc>
        <w:tc>
          <w:tcPr>
            <w:tcW w:w="7326" w:type="dxa"/>
          </w:tcPr>
          <w:p w14:paraId="26B37786" w14:textId="77777777" w:rsidR="002B4789" w:rsidRPr="00FF338C" w:rsidRDefault="002B4789" w:rsidP="00D549C7">
            <w:pPr>
              <w:cnfStyle w:val="000000100000" w:firstRow="0" w:lastRow="0" w:firstColumn="0" w:lastColumn="0" w:oddVBand="0" w:evenVBand="0" w:oddHBand="1" w:evenHBand="0" w:firstRowFirstColumn="0" w:firstRowLastColumn="0" w:lastRowFirstColumn="0" w:lastRowLastColumn="0"/>
            </w:pPr>
            <w:r w:rsidRPr="00FF338C">
              <w:t>International Organisation for Standardisation</w:t>
            </w:r>
          </w:p>
        </w:tc>
      </w:tr>
      <w:tr w:rsidR="002B4789" w:rsidRPr="00FF338C" w14:paraId="103FABD4" w14:textId="77777777" w:rsidTr="00D54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003AD284" w14:textId="77777777" w:rsidR="002B4789" w:rsidRPr="00FF338C" w:rsidRDefault="002B4789" w:rsidP="00D549C7">
            <w:r>
              <w:t>kt</w:t>
            </w:r>
          </w:p>
        </w:tc>
        <w:tc>
          <w:tcPr>
            <w:tcW w:w="7326" w:type="dxa"/>
          </w:tcPr>
          <w:p w14:paraId="6BAABDC9" w14:textId="77777777" w:rsidR="002B4789" w:rsidRPr="00FF338C" w:rsidRDefault="002B4789" w:rsidP="00D549C7">
            <w:pPr>
              <w:cnfStyle w:val="000000010000" w:firstRow="0" w:lastRow="0" w:firstColumn="0" w:lastColumn="0" w:oddVBand="0" w:evenVBand="0" w:oddHBand="0" w:evenHBand="1" w:firstRowFirstColumn="0" w:firstRowLastColumn="0" w:lastRowFirstColumn="0" w:lastRowLastColumn="0"/>
            </w:pPr>
            <w:proofErr w:type="spellStart"/>
            <w:r>
              <w:t>Kilotonne</w:t>
            </w:r>
            <w:proofErr w:type="spellEnd"/>
          </w:p>
        </w:tc>
      </w:tr>
      <w:tr w:rsidR="002B4789" w:rsidRPr="00FF338C" w14:paraId="01A85B07" w14:textId="77777777" w:rsidTr="00D54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75AFA3C7" w14:textId="77777777" w:rsidR="002B4789" w:rsidRPr="00FF338C" w:rsidRDefault="002B4789" w:rsidP="00D549C7">
            <w:r w:rsidRPr="00FF338C">
              <w:t>kWh</w:t>
            </w:r>
          </w:p>
        </w:tc>
        <w:tc>
          <w:tcPr>
            <w:tcW w:w="7326" w:type="dxa"/>
          </w:tcPr>
          <w:p w14:paraId="6E2AF93C" w14:textId="77777777" w:rsidR="002B4789" w:rsidRPr="00FF338C" w:rsidRDefault="002B4789" w:rsidP="00D549C7">
            <w:pPr>
              <w:cnfStyle w:val="000000100000" w:firstRow="0" w:lastRow="0" w:firstColumn="0" w:lastColumn="0" w:oddVBand="0" w:evenVBand="0" w:oddHBand="1" w:evenHBand="0" w:firstRowFirstColumn="0" w:firstRowLastColumn="0" w:lastRowFirstColumn="0" w:lastRowLastColumn="0"/>
            </w:pPr>
            <w:r w:rsidRPr="00FF338C">
              <w:t>Kilowatt hours</w:t>
            </w:r>
          </w:p>
        </w:tc>
      </w:tr>
      <w:tr w:rsidR="002B4789" w:rsidRPr="00FF338C" w14:paraId="1031AF1C" w14:textId="77777777" w:rsidTr="00D54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32B8C222" w14:textId="77777777" w:rsidR="002B4789" w:rsidRPr="00FF338C" w:rsidRDefault="002B4789" w:rsidP="00D549C7">
            <w:r w:rsidRPr="00FF338C">
              <w:t>NGER</w:t>
            </w:r>
          </w:p>
        </w:tc>
        <w:tc>
          <w:tcPr>
            <w:tcW w:w="7326" w:type="dxa"/>
          </w:tcPr>
          <w:p w14:paraId="74FC5ABB" w14:textId="77777777" w:rsidR="002B4789" w:rsidRPr="00FF338C" w:rsidRDefault="002B4789" w:rsidP="00D549C7">
            <w:pPr>
              <w:cnfStyle w:val="000000010000" w:firstRow="0" w:lastRow="0" w:firstColumn="0" w:lastColumn="0" w:oddVBand="0" w:evenVBand="0" w:oddHBand="0" w:evenHBand="1" w:firstRowFirstColumn="0" w:firstRowLastColumn="0" w:lastRowFirstColumn="0" w:lastRowLastColumn="0"/>
            </w:pPr>
            <w:r w:rsidRPr="00FF338C">
              <w:t>National Greenhouse and Energy Reporting</w:t>
            </w:r>
          </w:p>
        </w:tc>
      </w:tr>
      <w:tr w:rsidR="002B4789" w:rsidRPr="00FF338C" w14:paraId="3FD80AB0" w14:textId="77777777" w:rsidTr="00D54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5D178815" w14:textId="77777777" w:rsidR="002B4789" w:rsidRPr="00FF338C" w:rsidRDefault="002B4789" w:rsidP="00D549C7">
            <w:r w:rsidRPr="00FF338C">
              <w:t>NGER Act</w:t>
            </w:r>
          </w:p>
        </w:tc>
        <w:tc>
          <w:tcPr>
            <w:tcW w:w="7326" w:type="dxa"/>
          </w:tcPr>
          <w:p w14:paraId="6ACC6F55" w14:textId="77777777" w:rsidR="002B4789" w:rsidRPr="00FF338C" w:rsidRDefault="002B4789" w:rsidP="00D549C7">
            <w:pPr>
              <w:cnfStyle w:val="000000100000" w:firstRow="0" w:lastRow="0" w:firstColumn="0" w:lastColumn="0" w:oddVBand="0" w:evenVBand="0" w:oddHBand="1" w:evenHBand="0" w:firstRowFirstColumn="0" w:firstRowLastColumn="0" w:lastRowFirstColumn="0" w:lastRowLastColumn="0"/>
              <w:rPr>
                <w:i/>
              </w:rPr>
            </w:pPr>
            <w:r w:rsidRPr="00FF338C">
              <w:rPr>
                <w:i/>
              </w:rPr>
              <w:t>National Greenhouse and Energy Reporting Act 2007</w:t>
            </w:r>
          </w:p>
        </w:tc>
      </w:tr>
      <w:tr w:rsidR="002B4789" w:rsidRPr="00FF338C" w14:paraId="2014CF4E" w14:textId="77777777" w:rsidTr="00D54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5E1ED0B0" w14:textId="77777777" w:rsidR="002B4789" w:rsidRDefault="002B4789" w:rsidP="00D549C7">
            <w:r w:rsidRPr="00FF338C">
              <w:t>NGER legislation</w:t>
            </w:r>
          </w:p>
        </w:tc>
        <w:tc>
          <w:tcPr>
            <w:tcW w:w="7326" w:type="dxa"/>
          </w:tcPr>
          <w:p w14:paraId="5F38C61A" w14:textId="77777777" w:rsidR="002B4789" w:rsidRPr="00EB51E3" w:rsidRDefault="002B4789" w:rsidP="00D549C7">
            <w:pPr>
              <w:cnfStyle w:val="000000010000" w:firstRow="0" w:lastRow="0" w:firstColumn="0" w:lastColumn="0" w:oddVBand="0" w:evenVBand="0" w:oddHBand="0" w:evenHBand="1" w:firstRowFirstColumn="0" w:firstRowLastColumn="0" w:lastRowFirstColumn="0" w:lastRowLastColumn="0"/>
              <w:rPr>
                <w:i/>
              </w:rPr>
            </w:pPr>
            <w:r w:rsidRPr="00FF338C">
              <w:t xml:space="preserve">The NGER Act, the NGER Regulations and the </w:t>
            </w:r>
            <w:r>
              <w:t>NGER Measurement Determination</w:t>
            </w:r>
          </w:p>
        </w:tc>
      </w:tr>
      <w:tr w:rsidR="002B4789" w:rsidRPr="00FF338C" w14:paraId="3676E215" w14:textId="77777777" w:rsidTr="00D54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5961A07A" w14:textId="77777777" w:rsidR="002B4789" w:rsidRPr="00FF338C" w:rsidRDefault="002B4789" w:rsidP="00D549C7">
            <w:r>
              <w:t>NGER Measurement Determination</w:t>
            </w:r>
          </w:p>
        </w:tc>
        <w:tc>
          <w:tcPr>
            <w:tcW w:w="7326" w:type="dxa"/>
          </w:tcPr>
          <w:p w14:paraId="11564A8E" w14:textId="77777777" w:rsidR="002B4789" w:rsidRPr="00C67339" w:rsidRDefault="002B4789" w:rsidP="00D549C7">
            <w:pPr>
              <w:cnfStyle w:val="000000100000" w:firstRow="0" w:lastRow="0" w:firstColumn="0" w:lastColumn="0" w:oddVBand="0" w:evenVBand="0" w:oddHBand="1" w:evenHBand="0" w:firstRowFirstColumn="0" w:firstRowLastColumn="0" w:lastRowFirstColumn="0" w:lastRowLastColumn="0"/>
              <w:rPr>
                <w:iCs/>
              </w:rPr>
            </w:pPr>
            <w:r w:rsidRPr="00C67339">
              <w:rPr>
                <w:iCs/>
              </w:rPr>
              <w:t>National Greenhouse and Energy Reporting (Measurement) Determination 2008</w:t>
            </w:r>
          </w:p>
        </w:tc>
      </w:tr>
      <w:tr w:rsidR="002B4789" w:rsidRPr="00FF338C" w14:paraId="145D0A80" w14:textId="77777777" w:rsidTr="00D54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09CC17D3" w14:textId="77777777" w:rsidR="002B4789" w:rsidRPr="00FF338C" w:rsidRDefault="002B4789" w:rsidP="00D549C7">
            <w:r w:rsidRPr="00FF338C">
              <w:t>NGER Regulations</w:t>
            </w:r>
          </w:p>
        </w:tc>
        <w:tc>
          <w:tcPr>
            <w:tcW w:w="7326" w:type="dxa"/>
          </w:tcPr>
          <w:p w14:paraId="75BAA51C" w14:textId="77777777" w:rsidR="002B4789" w:rsidRPr="00C67339" w:rsidRDefault="002B4789" w:rsidP="00D549C7">
            <w:pPr>
              <w:cnfStyle w:val="000000010000" w:firstRow="0" w:lastRow="0" w:firstColumn="0" w:lastColumn="0" w:oddVBand="0" w:evenVBand="0" w:oddHBand="0" w:evenHBand="1" w:firstRowFirstColumn="0" w:firstRowLastColumn="0" w:lastRowFirstColumn="0" w:lastRowLastColumn="0"/>
              <w:rPr>
                <w:iCs/>
              </w:rPr>
            </w:pPr>
            <w:r w:rsidRPr="00C67339">
              <w:rPr>
                <w:iCs/>
              </w:rPr>
              <w:t>National Greenhouse and Energy Reporting Regulations 2008</w:t>
            </w:r>
          </w:p>
        </w:tc>
      </w:tr>
      <w:tr w:rsidR="002B4789" w:rsidRPr="00FF338C" w14:paraId="4F10530C" w14:textId="77777777" w:rsidTr="00D54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5068968F" w14:textId="77777777" w:rsidR="002B4789" w:rsidRPr="00FF338C" w:rsidRDefault="002B4789" w:rsidP="00D549C7">
            <w:r w:rsidRPr="00FF338C">
              <w:t>MW</w:t>
            </w:r>
          </w:p>
        </w:tc>
        <w:tc>
          <w:tcPr>
            <w:tcW w:w="7326" w:type="dxa"/>
          </w:tcPr>
          <w:p w14:paraId="5764BF6B" w14:textId="77777777" w:rsidR="002B4789" w:rsidRPr="00FF338C" w:rsidRDefault="002B4789" w:rsidP="00D549C7">
            <w:pPr>
              <w:cnfStyle w:val="000000100000" w:firstRow="0" w:lastRow="0" w:firstColumn="0" w:lastColumn="0" w:oddVBand="0" w:evenVBand="0" w:oddHBand="1" w:evenHBand="0" w:firstRowFirstColumn="0" w:firstRowLastColumn="0" w:lastRowFirstColumn="0" w:lastRowLastColumn="0"/>
            </w:pPr>
            <w:r w:rsidRPr="00FF338C">
              <w:t>Megawatts</w:t>
            </w:r>
          </w:p>
        </w:tc>
      </w:tr>
      <w:tr w:rsidR="002B4789" w:rsidRPr="00FF338C" w14:paraId="60068C3F" w14:textId="77777777" w:rsidTr="00D54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404ED1C5" w14:textId="77777777" w:rsidR="002B4789" w:rsidRPr="00FF338C" w:rsidRDefault="002B4789" w:rsidP="00D549C7">
            <w:r w:rsidRPr="00FF338C">
              <w:t>MWh</w:t>
            </w:r>
          </w:p>
        </w:tc>
        <w:tc>
          <w:tcPr>
            <w:tcW w:w="7326" w:type="dxa"/>
          </w:tcPr>
          <w:p w14:paraId="2AD24750" w14:textId="77777777" w:rsidR="002B4789" w:rsidRPr="00FF338C" w:rsidRDefault="002B4789" w:rsidP="00D549C7">
            <w:pPr>
              <w:cnfStyle w:val="000000010000" w:firstRow="0" w:lastRow="0" w:firstColumn="0" w:lastColumn="0" w:oddVBand="0" w:evenVBand="0" w:oddHBand="0" w:evenHBand="1" w:firstRowFirstColumn="0" w:firstRowLastColumn="0" w:lastRowFirstColumn="0" w:lastRowLastColumn="0"/>
            </w:pPr>
            <w:r w:rsidRPr="00FF338C">
              <w:t>Megawatt hours</w:t>
            </w:r>
          </w:p>
        </w:tc>
      </w:tr>
      <w:tr w:rsidR="002B4789" w:rsidRPr="00FF338C" w14:paraId="71095282" w14:textId="77777777" w:rsidTr="00D05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bottom w:val="single" w:sz="4" w:space="0" w:color="E8E8E8" w:themeColor="background2"/>
            </w:tcBorders>
          </w:tcPr>
          <w:p w14:paraId="763F31F6" w14:textId="77777777" w:rsidR="002B4789" w:rsidRPr="00FF338C" w:rsidRDefault="002B4789" w:rsidP="00D549C7">
            <w:r w:rsidRPr="00FF338C">
              <w:t>PBOGs</w:t>
            </w:r>
          </w:p>
        </w:tc>
        <w:tc>
          <w:tcPr>
            <w:tcW w:w="7326" w:type="dxa"/>
            <w:tcBorders>
              <w:bottom w:val="single" w:sz="4" w:space="0" w:color="E8E8E8" w:themeColor="background2"/>
            </w:tcBorders>
          </w:tcPr>
          <w:p w14:paraId="716CABD7" w14:textId="77777777" w:rsidR="002B4789" w:rsidRPr="00FF338C" w:rsidRDefault="002B4789" w:rsidP="00D549C7">
            <w:pPr>
              <w:cnfStyle w:val="000000100000" w:firstRow="0" w:lastRow="0" w:firstColumn="0" w:lastColumn="0" w:oddVBand="0" w:evenVBand="0" w:oddHBand="1" w:evenHBand="0" w:firstRowFirstColumn="0" w:firstRowLastColumn="0" w:lastRowFirstColumn="0" w:lastRowLastColumn="0"/>
            </w:pPr>
            <w:r w:rsidRPr="00FF338C">
              <w:t>Petroleum</w:t>
            </w:r>
            <w:r>
              <w:t>-</w:t>
            </w:r>
            <w:r w:rsidRPr="00FF338C">
              <w:t>based oils and greases</w:t>
            </w:r>
          </w:p>
        </w:tc>
      </w:tr>
      <w:tr w:rsidR="002B4789" w:rsidRPr="00FF338C" w14:paraId="1CE3E4EE" w14:textId="77777777" w:rsidTr="00D05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top w:val="single" w:sz="4" w:space="0" w:color="E8E8E8" w:themeColor="background2"/>
            </w:tcBorders>
          </w:tcPr>
          <w:p w14:paraId="0DAF4BBA" w14:textId="77777777" w:rsidR="002B4789" w:rsidRPr="00FF338C" w:rsidRDefault="002B4789" w:rsidP="00D549C7">
            <w:r w:rsidRPr="00FF338C">
              <w:t>PEM</w:t>
            </w:r>
          </w:p>
        </w:tc>
        <w:tc>
          <w:tcPr>
            <w:tcW w:w="7326" w:type="dxa"/>
            <w:tcBorders>
              <w:top w:val="single" w:sz="4" w:space="0" w:color="E8E8E8" w:themeColor="background2"/>
            </w:tcBorders>
          </w:tcPr>
          <w:p w14:paraId="18F8D3D9" w14:textId="77777777" w:rsidR="002B4789" w:rsidRPr="00FF338C" w:rsidRDefault="002B4789" w:rsidP="00D549C7">
            <w:pPr>
              <w:cnfStyle w:val="000000010000" w:firstRow="0" w:lastRow="0" w:firstColumn="0" w:lastColumn="0" w:oddVBand="0" w:evenVBand="0" w:oddHBand="0" w:evenHBand="1" w:firstRowFirstColumn="0" w:firstRowLastColumn="0" w:lastRowFirstColumn="0" w:lastRowLastColumn="0"/>
            </w:pPr>
            <w:r w:rsidRPr="00FF338C">
              <w:t>Periodic Emissions Monitoring</w:t>
            </w:r>
          </w:p>
        </w:tc>
      </w:tr>
      <w:tr w:rsidR="00717F5E" w:rsidRPr="00FF338C" w14:paraId="157EDA46" w14:textId="77777777" w:rsidTr="00D54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0ED2739A" w14:textId="381A2CC7" w:rsidR="00717F5E" w:rsidRPr="00FF338C" w:rsidRDefault="00717F5E" w:rsidP="00D549C7">
            <w:r>
              <w:lastRenderedPageBreak/>
              <w:t>Reporter</w:t>
            </w:r>
          </w:p>
        </w:tc>
        <w:tc>
          <w:tcPr>
            <w:tcW w:w="7326" w:type="dxa"/>
          </w:tcPr>
          <w:p w14:paraId="3AA98C79" w14:textId="56CA3B0C" w:rsidR="00717F5E" w:rsidRPr="00FF338C" w:rsidRDefault="00717F5E" w:rsidP="00D549C7">
            <w:pPr>
              <w:cnfStyle w:val="000000100000" w:firstRow="0" w:lastRow="0" w:firstColumn="0" w:lastColumn="0" w:oddVBand="0" w:evenVBand="0" w:oddHBand="1" w:evenHBand="0" w:firstRowFirstColumn="0" w:firstRowLastColumn="0" w:lastRowFirstColumn="0" w:lastRowLastColumn="0"/>
            </w:pPr>
            <w:r w:rsidRPr="002B4789">
              <w:t>An entity required to report emissions and energy production and consumption to the Clean Energy Regulator under section 19, 22G, or 22X of the NGER Act</w:t>
            </w:r>
          </w:p>
        </w:tc>
      </w:tr>
      <w:tr w:rsidR="00717F5E" w:rsidRPr="00FF338C" w14:paraId="7AEB9711" w14:textId="77777777" w:rsidTr="00D54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34C09C1C" w14:textId="45DDA87E" w:rsidR="00717F5E" w:rsidRPr="00FF338C" w:rsidRDefault="00717F5E" w:rsidP="00D549C7">
            <w:r>
              <w:t>S</w:t>
            </w:r>
            <w:r w:rsidRPr="00FF338C">
              <w:t>afeguard mechanism</w:t>
            </w:r>
          </w:p>
        </w:tc>
        <w:tc>
          <w:tcPr>
            <w:tcW w:w="7326" w:type="dxa"/>
          </w:tcPr>
          <w:p w14:paraId="5C31BB4E" w14:textId="12381131" w:rsidR="00717F5E" w:rsidRPr="00FF338C" w:rsidRDefault="00717F5E" w:rsidP="00D549C7">
            <w:pPr>
              <w:cnfStyle w:val="000000010000" w:firstRow="0" w:lastRow="0" w:firstColumn="0" w:lastColumn="0" w:oddVBand="0" w:evenVBand="0" w:oddHBand="0" w:evenHBand="1" w:firstRowFirstColumn="0" w:firstRowLastColumn="0" w:lastRowFirstColumn="0" w:lastRowLastColumn="0"/>
            </w:pPr>
            <w:r w:rsidRPr="0042549E">
              <w:rPr>
                <w:bCs/>
              </w:rPr>
              <w:t xml:space="preserve">The Australian Government’s means of ensuring that emissions reductions purchased through the </w:t>
            </w:r>
            <w:hyperlink r:id="rId25" w:history="1">
              <w:r w:rsidRPr="0042549E">
                <w:rPr>
                  <w:bCs/>
                </w:rPr>
                <w:t>Emissions Reduction Fund</w:t>
              </w:r>
            </w:hyperlink>
            <w:r w:rsidRPr="0042549E">
              <w:rPr>
                <w:bCs/>
              </w:rPr>
              <w:t xml:space="preserve"> are not offset by significant increases in emissions above business-as-usual levels elsewhere in the economy. This is prescribed by the National Greenhouse and Energy Reporting (Safeguard Mechanism) Rule 2015.</w:t>
            </w:r>
          </w:p>
        </w:tc>
      </w:tr>
      <w:tr w:rsidR="00717F5E" w:rsidRPr="00FF338C" w14:paraId="6AB79D46" w14:textId="77777777" w:rsidTr="00D05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bottom w:val="single" w:sz="4" w:space="0" w:color="FCBA5C" w:themeColor="accent2"/>
            </w:tcBorders>
          </w:tcPr>
          <w:p w14:paraId="7A042E10" w14:textId="0F6441BE" w:rsidR="00717F5E" w:rsidRPr="00FF338C" w:rsidRDefault="00717F5E" w:rsidP="00717F5E">
            <w:r w:rsidRPr="00FF338C">
              <w:t>t CO</w:t>
            </w:r>
            <w:r w:rsidRPr="00C530FE">
              <w:rPr>
                <w:vertAlign w:val="subscript"/>
              </w:rPr>
              <w:t>2</w:t>
            </w:r>
            <w:r w:rsidRPr="00FF338C">
              <w:t>-e</w:t>
            </w:r>
          </w:p>
        </w:tc>
        <w:tc>
          <w:tcPr>
            <w:tcW w:w="7326" w:type="dxa"/>
            <w:tcBorders>
              <w:bottom w:val="single" w:sz="4" w:space="0" w:color="FCBA5C" w:themeColor="accent2"/>
            </w:tcBorders>
          </w:tcPr>
          <w:p w14:paraId="0D6805EA" w14:textId="6824F59D" w:rsidR="00717F5E" w:rsidRPr="00FF338C" w:rsidRDefault="00717F5E" w:rsidP="00717F5E">
            <w:pPr>
              <w:cnfStyle w:val="000000100000" w:firstRow="0" w:lastRow="0" w:firstColumn="0" w:lastColumn="0" w:oddVBand="0" w:evenVBand="0" w:oddHBand="1" w:evenHBand="0" w:firstRowFirstColumn="0" w:firstRowLastColumn="0" w:lastRowFirstColumn="0" w:lastRowLastColumn="0"/>
            </w:pPr>
            <w:r w:rsidRPr="00FF338C">
              <w:t>Tonnes of carbon dioxide equivalence</w:t>
            </w:r>
          </w:p>
        </w:tc>
      </w:tr>
    </w:tbl>
    <w:p w14:paraId="40B874F5" w14:textId="7978351C" w:rsidR="00235142" w:rsidRDefault="00235142" w:rsidP="00235142">
      <w:pPr>
        <w:spacing w:after="0"/>
      </w:pPr>
    </w:p>
    <w:p w14:paraId="139A6045" w14:textId="246BFC87" w:rsidR="001B624B" w:rsidRDefault="001B624B" w:rsidP="00235142">
      <w:pPr>
        <w:spacing w:after="0"/>
      </w:pPr>
    </w:p>
    <w:p w14:paraId="5DC38921" w14:textId="317098C5" w:rsidR="001B624B" w:rsidRDefault="001B624B" w:rsidP="00235142">
      <w:pPr>
        <w:spacing w:after="0"/>
      </w:pPr>
    </w:p>
    <w:p w14:paraId="47A198FB" w14:textId="1D769FBD" w:rsidR="001B624B" w:rsidRDefault="001B624B" w:rsidP="00235142">
      <w:pPr>
        <w:spacing w:after="0"/>
      </w:pPr>
    </w:p>
    <w:p w14:paraId="6ADAE53B" w14:textId="6A9904E3" w:rsidR="001B624B" w:rsidRDefault="001B624B" w:rsidP="00235142">
      <w:pPr>
        <w:spacing w:after="0"/>
      </w:pPr>
    </w:p>
    <w:p w14:paraId="0B5D6D6E" w14:textId="1A3BDD32" w:rsidR="001B624B" w:rsidRDefault="001B624B" w:rsidP="00235142">
      <w:pPr>
        <w:spacing w:after="0"/>
      </w:pPr>
    </w:p>
    <w:p w14:paraId="05A17E8A" w14:textId="1F803087" w:rsidR="001B624B" w:rsidRDefault="001B624B" w:rsidP="00235142">
      <w:pPr>
        <w:spacing w:after="0"/>
      </w:pPr>
    </w:p>
    <w:p w14:paraId="13D26DF5" w14:textId="0AD10B5A" w:rsidR="001B624B" w:rsidRDefault="001B624B" w:rsidP="00235142">
      <w:pPr>
        <w:spacing w:after="0"/>
      </w:pPr>
    </w:p>
    <w:p w14:paraId="10AD29C8" w14:textId="5E2885F7" w:rsidR="001B624B" w:rsidRDefault="001B624B" w:rsidP="00235142">
      <w:pPr>
        <w:spacing w:after="0"/>
      </w:pPr>
    </w:p>
    <w:p w14:paraId="53A84A4B" w14:textId="7A36F8DB" w:rsidR="001B624B" w:rsidRDefault="001B624B" w:rsidP="00235142">
      <w:pPr>
        <w:spacing w:after="0"/>
      </w:pPr>
    </w:p>
    <w:p w14:paraId="29F5F30E" w14:textId="5B7A1F8D" w:rsidR="001B624B" w:rsidRDefault="001B624B" w:rsidP="00235142">
      <w:pPr>
        <w:spacing w:after="0"/>
      </w:pPr>
    </w:p>
    <w:p w14:paraId="7719384A" w14:textId="1D916772" w:rsidR="001B624B" w:rsidRDefault="001B624B" w:rsidP="00235142">
      <w:pPr>
        <w:spacing w:after="0"/>
      </w:pPr>
    </w:p>
    <w:p w14:paraId="6E3A3DED" w14:textId="4B66B22C" w:rsidR="001B624B" w:rsidRDefault="001B624B" w:rsidP="00235142">
      <w:pPr>
        <w:spacing w:after="0"/>
      </w:pPr>
    </w:p>
    <w:p w14:paraId="3DCE0C3D" w14:textId="24B85A3A" w:rsidR="001B624B" w:rsidRDefault="001B624B" w:rsidP="00235142">
      <w:pPr>
        <w:spacing w:after="0"/>
      </w:pPr>
    </w:p>
    <w:p w14:paraId="4F6A2349" w14:textId="35D8748C" w:rsidR="001B624B" w:rsidRDefault="001B624B" w:rsidP="00235142">
      <w:pPr>
        <w:spacing w:after="0"/>
      </w:pPr>
    </w:p>
    <w:p w14:paraId="4BFBEE35" w14:textId="1AEE4ECF" w:rsidR="001B624B" w:rsidRDefault="001B624B" w:rsidP="00235142">
      <w:pPr>
        <w:spacing w:after="0"/>
      </w:pPr>
    </w:p>
    <w:p w14:paraId="43520FB9" w14:textId="3E3212B6" w:rsidR="001B624B" w:rsidRDefault="001B624B" w:rsidP="00235142">
      <w:pPr>
        <w:spacing w:after="0"/>
      </w:pPr>
    </w:p>
    <w:p w14:paraId="2204962D" w14:textId="25020FD2" w:rsidR="001B624B" w:rsidRDefault="001B624B" w:rsidP="00235142">
      <w:pPr>
        <w:spacing w:after="0"/>
      </w:pPr>
    </w:p>
    <w:p w14:paraId="5B25AC1A" w14:textId="4F483FDB" w:rsidR="001B624B" w:rsidRDefault="001B624B" w:rsidP="00235142">
      <w:pPr>
        <w:spacing w:after="0"/>
      </w:pPr>
    </w:p>
    <w:p w14:paraId="21C6894E" w14:textId="588E3985" w:rsidR="001B624B" w:rsidRDefault="001B624B" w:rsidP="00235142">
      <w:pPr>
        <w:spacing w:after="0"/>
      </w:pPr>
    </w:p>
    <w:p w14:paraId="63418865" w14:textId="641A65CD" w:rsidR="001B624B" w:rsidRDefault="001B624B" w:rsidP="00235142">
      <w:pPr>
        <w:spacing w:after="0"/>
      </w:pPr>
    </w:p>
    <w:p w14:paraId="63C064E1" w14:textId="66EAEBCB" w:rsidR="001B624B" w:rsidRDefault="001B624B" w:rsidP="00235142">
      <w:pPr>
        <w:spacing w:after="0"/>
      </w:pPr>
    </w:p>
    <w:p w14:paraId="5D64C5B4" w14:textId="7E016700" w:rsidR="001B624B" w:rsidRDefault="001B624B" w:rsidP="00235142">
      <w:pPr>
        <w:spacing w:after="0"/>
      </w:pPr>
    </w:p>
    <w:p w14:paraId="16D95853" w14:textId="2B1E1C3B" w:rsidR="001B624B" w:rsidRDefault="001B624B" w:rsidP="00235142">
      <w:pPr>
        <w:spacing w:after="0"/>
      </w:pPr>
    </w:p>
    <w:p w14:paraId="3D2DC020" w14:textId="1F306A69" w:rsidR="001B624B" w:rsidRDefault="001B624B" w:rsidP="00235142">
      <w:pPr>
        <w:spacing w:after="0"/>
      </w:pPr>
    </w:p>
    <w:p w14:paraId="1F6F0F5E" w14:textId="02AD5F18" w:rsidR="001B624B" w:rsidRDefault="001B624B" w:rsidP="00235142">
      <w:pPr>
        <w:spacing w:after="0"/>
      </w:pPr>
    </w:p>
    <w:p w14:paraId="5025DC4E" w14:textId="57818C35" w:rsidR="001B624B" w:rsidRDefault="001B624B" w:rsidP="00235142">
      <w:pPr>
        <w:spacing w:after="0"/>
      </w:pPr>
    </w:p>
    <w:p w14:paraId="1FEC9F01" w14:textId="539CA35B" w:rsidR="001B624B" w:rsidRDefault="001B624B" w:rsidP="00235142">
      <w:pPr>
        <w:spacing w:after="0"/>
      </w:pPr>
    </w:p>
    <w:p w14:paraId="3B33CA87" w14:textId="4CED692B" w:rsidR="001B624B" w:rsidRDefault="001B624B" w:rsidP="00235142">
      <w:pPr>
        <w:spacing w:after="0"/>
      </w:pPr>
    </w:p>
    <w:p w14:paraId="4AE88571" w14:textId="55540C54" w:rsidR="001B624B" w:rsidRDefault="001B624B" w:rsidP="00235142">
      <w:pPr>
        <w:spacing w:after="0"/>
      </w:pPr>
    </w:p>
    <w:p w14:paraId="1469C8E9" w14:textId="394D56AE" w:rsidR="001B624B" w:rsidRDefault="001B624B" w:rsidP="00235142">
      <w:pPr>
        <w:spacing w:after="0"/>
      </w:pPr>
    </w:p>
    <w:p w14:paraId="6703285A" w14:textId="7F2FE80C" w:rsidR="001B624B" w:rsidRDefault="001B624B" w:rsidP="00235142">
      <w:pPr>
        <w:spacing w:after="0"/>
      </w:pPr>
    </w:p>
    <w:p w14:paraId="6BE60F04" w14:textId="73DAF3A0" w:rsidR="001B624B" w:rsidRDefault="001B624B" w:rsidP="00235142">
      <w:pPr>
        <w:spacing w:after="0"/>
      </w:pPr>
    </w:p>
    <w:p w14:paraId="31C145F9" w14:textId="5EA63D3E" w:rsidR="001B624B" w:rsidRDefault="001B624B" w:rsidP="00235142">
      <w:pPr>
        <w:spacing w:after="0"/>
      </w:pPr>
    </w:p>
    <w:p w14:paraId="2A8860EC" w14:textId="4CFAF8B4" w:rsidR="001B624B" w:rsidRDefault="001B624B" w:rsidP="00235142">
      <w:pPr>
        <w:spacing w:after="0"/>
      </w:pPr>
    </w:p>
    <w:p w14:paraId="5323E95B" w14:textId="23BC2B57" w:rsidR="001B624B" w:rsidRDefault="001B624B" w:rsidP="00235142">
      <w:pPr>
        <w:spacing w:after="0"/>
      </w:pPr>
    </w:p>
    <w:p w14:paraId="04D775EF" w14:textId="58D416AF" w:rsidR="001B624B" w:rsidRDefault="001B624B" w:rsidP="00235142">
      <w:pPr>
        <w:spacing w:after="0"/>
      </w:pPr>
    </w:p>
    <w:p w14:paraId="5B770EA4" w14:textId="017985F8" w:rsidR="001B624B" w:rsidRDefault="001B624B" w:rsidP="00235142">
      <w:pPr>
        <w:spacing w:after="0"/>
      </w:pPr>
    </w:p>
    <w:p w14:paraId="1049B3E6" w14:textId="77777777" w:rsidR="001B624B" w:rsidRPr="00FF338C" w:rsidRDefault="001B624B" w:rsidP="001B624B">
      <w:pPr>
        <w:pStyle w:val="Heading1"/>
        <w:rPr>
          <w:lang w:val="en-GB"/>
        </w:rPr>
      </w:pPr>
      <w:bookmarkStart w:id="5" w:name="_Toc106705742"/>
      <w:bookmarkStart w:id="6" w:name="_Toc107922523"/>
      <w:r w:rsidRPr="00FF338C">
        <w:rPr>
          <w:lang w:val="en-GB"/>
        </w:rPr>
        <w:t>Disclaimer</w:t>
      </w:r>
      <w:bookmarkEnd w:id="5"/>
      <w:bookmarkEnd w:id="6"/>
    </w:p>
    <w:p w14:paraId="76872CDB" w14:textId="77777777" w:rsidR="001B624B" w:rsidRPr="000B3301" w:rsidRDefault="001B624B" w:rsidP="00B85497">
      <w:pPr>
        <w:autoSpaceDE w:val="0"/>
        <w:autoSpaceDN w:val="0"/>
        <w:adjustRightInd w:val="0"/>
        <w:spacing w:after="0"/>
        <w:rPr>
          <w:lang w:eastAsia="en-AU"/>
        </w:rPr>
      </w:pPr>
      <w:r w:rsidRPr="000B3301">
        <w:rPr>
          <w:lang w:eastAsia="en-AU"/>
        </w:rPr>
        <w:t>This</w:t>
      </w:r>
      <w:r w:rsidRPr="000B3301">
        <w:rPr>
          <w:i/>
          <w:iCs/>
          <w:lang w:eastAsia="en-AU"/>
        </w:rPr>
        <w:t xml:space="preserve"> </w:t>
      </w:r>
      <w:r w:rsidRPr="000B3301">
        <w:rPr>
          <w:lang w:eastAsia="en-AU"/>
        </w:rPr>
        <w:t xml:space="preserve">guideline has been developed by the Clean Energy Regulator (the agency) to assist entities to comply with their reporting obligations under the </w:t>
      </w:r>
      <w:hyperlink r:id="rId26" w:history="1">
        <w:r w:rsidRPr="000B3301">
          <w:rPr>
            <w:rStyle w:val="Hyperlink"/>
            <w:i/>
            <w:iCs/>
            <w:lang w:eastAsia="en-AU"/>
          </w:rPr>
          <w:t>National Greenhouse and Energy Reporting Act 2007</w:t>
        </w:r>
      </w:hyperlink>
      <w:bookmarkStart w:id="7" w:name="_Ref105748531"/>
      <w:r w:rsidRPr="00A469D7">
        <w:rPr>
          <w:rStyle w:val="FootnoteReference"/>
          <w:color w:val="000000"/>
          <w:lang w:eastAsia="en-AU"/>
        </w:rPr>
        <w:footnoteReference w:id="1"/>
      </w:r>
      <w:bookmarkEnd w:id="7"/>
      <w:r w:rsidRPr="000B3301">
        <w:rPr>
          <w:i/>
          <w:iCs/>
          <w:lang w:eastAsia="en-AU"/>
        </w:rPr>
        <w:t xml:space="preserve"> </w:t>
      </w:r>
      <w:r w:rsidRPr="000B3301">
        <w:rPr>
          <w:iCs/>
          <w:lang w:eastAsia="en-AU"/>
        </w:rPr>
        <w:t>(NGER Act)</w:t>
      </w:r>
      <w:r w:rsidRPr="000B3301">
        <w:rPr>
          <w:i/>
          <w:iCs/>
          <w:lang w:eastAsia="en-AU"/>
        </w:rPr>
        <w:t xml:space="preserve"> </w:t>
      </w:r>
      <w:r w:rsidRPr="000B3301">
        <w:rPr>
          <w:lang w:eastAsia="en-AU"/>
        </w:rPr>
        <w:t>and associated legislation.</w:t>
      </w:r>
    </w:p>
    <w:p w14:paraId="3AD0D781" w14:textId="77777777" w:rsidR="001B624B" w:rsidRPr="000B3301" w:rsidRDefault="001B624B" w:rsidP="00B85497">
      <w:pPr>
        <w:autoSpaceDE w:val="0"/>
        <w:autoSpaceDN w:val="0"/>
        <w:adjustRightInd w:val="0"/>
        <w:spacing w:after="0"/>
        <w:rPr>
          <w:lang w:eastAsia="en-AU"/>
        </w:rPr>
      </w:pPr>
    </w:p>
    <w:p w14:paraId="78E832C5" w14:textId="5C57CE10" w:rsidR="001B624B" w:rsidRPr="000B3301" w:rsidRDefault="001B624B" w:rsidP="00B85497">
      <w:pPr>
        <w:autoSpaceDE w:val="0"/>
        <w:autoSpaceDN w:val="0"/>
        <w:adjustRightInd w:val="0"/>
        <w:spacing w:after="0"/>
        <w:ind w:left="50"/>
        <w:rPr>
          <w:lang w:eastAsia="en-AU"/>
        </w:rPr>
      </w:pPr>
      <w:r w:rsidRPr="004C131A">
        <w:rPr>
          <w:lang w:eastAsia="en-AU"/>
        </w:rPr>
        <w:t>This guideline only applies to the 2021–22 NGER reporting year and should be read in conjunction with the NGER Act</w:t>
      </w:r>
      <w:r w:rsidRPr="00DE2AFF">
        <w:rPr>
          <w:lang w:eastAsia="en-AU"/>
        </w:rPr>
        <w:t xml:space="preserve">, </w:t>
      </w:r>
      <w:hyperlink r:id="rId27" w:history="1">
        <w:r w:rsidRPr="00B85497">
          <w:rPr>
            <w:rStyle w:val="Hyperlink"/>
            <w:lang w:eastAsia="en-AU"/>
          </w:rPr>
          <w:t>National Greenhouse and Energy Regulations 2008</w:t>
        </w:r>
      </w:hyperlink>
      <w:r w:rsidRPr="00DE2AFF">
        <w:rPr>
          <w:rStyle w:val="FootnoteReference"/>
          <w:color w:val="000000"/>
          <w:lang w:eastAsia="en-AU"/>
        </w:rPr>
        <w:footnoteReference w:id="2"/>
      </w:r>
      <w:r w:rsidRPr="00DE2AFF">
        <w:rPr>
          <w:color w:val="000000"/>
          <w:lang w:eastAsia="en-AU"/>
        </w:rPr>
        <w:t xml:space="preserve"> (</w:t>
      </w:r>
      <w:r w:rsidRPr="001166CF">
        <w:rPr>
          <w:lang w:eastAsia="en-AU"/>
        </w:rPr>
        <w:t xml:space="preserve">NGER Regulations), and </w:t>
      </w:r>
      <w:hyperlink r:id="rId28" w:history="1">
        <w:r w:rsidRPr="00B85497">
          <w:rPr>
            <w:rStyle w:val="Hyperlink"/>
            <w:lang w:eastAsia="en-AU"/>
          </w:rPr>
          <w:t>National Greenhouse and Energy Reporting (Measurement) Determination 2008</w:t>
        </w:r>
      </w:hyperlink>
      <w:r w:rsidRPr="00DE2AFF">
        <w:rPr>
          <w:rStyle w:val="FootnoteReference"/>
          <w:color w:val="000000"/>
          <w:lang w:eastAsia="en-AU"/>
        </w:rPr>
        <w:footnoteReference w:id="3"/>
      </w:r>
      <w:r w:rsidRPr="00DE2AFF">
        <w:rPr>
          <w:lang w:eastAsia="en-AU"/>
        </w:rPr>
        <w:t xml:space="preserve"> (NGER Measurement Determination), as</w:t>
      </w:r>
      <w:r w:rsidRPr="004C131A">
        <w:rPr>
          <w:lang w:eastAsia="en-AU"/>
        </w:rPr>
        <w:t xml:space="preserve"> in force for this reporting period. These</w:t>
      </w:r>
      <w:r w:rsidRPr="000B3301">
        <w:rPr>
          <w:lang w:eastAsia="en-AU"/>
        </w:rPr>
        <w:t xml:space="preserve"> laws and their interpretation are subject to change, which may affect the accuracy of the information contained in the guideline. </w:t>
      </w:r>
    </w:p>
    <w:p w14:paraId="7EF0B7A2" w14:textId="77777777" w:rsidR="001B624B" w:rsidRPr="000B3301" w:rsidRDefault="001B624B" w:rsidP="00B85497">
      <w:pPr>
        <w:autoSpaceDE w:val="0"/>
        <w:autoSpaceDN w:val="0"/>
        <w:adjustRightInd w:val="0"/>
        <w:spacing w:after="0"/>
        <w:rPr>
          <w:lang w:eastAsia="en-AU"/>
        </w:rPr>
      </w:pPr>
    </w:p>
    <w:p w14:paraId="73C1BCA8" w14:textId="4B805BBB" w:rsidR="001B624B" w:rsidRPr="000B3301" w:rsidRDefault="001B624B" w:rsidP="00B85497">
      <w:pPr>
        <w:autoSpaceDE w:val="0"/>
        <w:autoSpaceDN w:val="0"/>
        <w:adjustRightInd w:val="0"/>
        <w:spacing w:after="0"/>
        <w:rPr>
          <w:lang w:eastAsia="en-AU"/>
        </w:rPr>
      </w:pPr>
      <w:r w:rsidRPr="000B3301">
        <w:rPr>
          <w:lang w:eastAsia="en-AU"/>
        </w:rPr>
        <w:t>The guidance provided in this document is not exhaustive, nor does it consider all circumstances applicable to all entities. Th</w:t>
      </w:r>
      <w:r>
        <w:rPr>
          <w:lang w:eastAsia="en-AU"/>
        </w:rPr>
        <w:t>is</w:t>
      </w:r>
      <w:r w:rsidRPr="000B3301">
        <w:rPr>
          <w:lang w:eastAsia="en-AU"/>
        </w:rPr>
        <w:t xml:space="preserve"> </w:t>
      </w:r>
      <w:r>
        <w:rPr>
          <w:lang w:eastAsia="en-AU"/>
        </w:rPr>
        <w:t>guidance</w:t>
      </w:r>
      <w:r w:rsidRPr="000B3301">
        <w:rPr>
          <w:lang w:eastAsia="en-AU"/>
        </w:rPr>
        <w:t xml:space="preserve"> is not intended to comprehensively deal with its subject area, and it is not a substitute for independent legal advice. Although entities are not bound to follow the guidance provided in this document, they must ensure they meet their obligations under the </w:t>
      </w:r>
      <w:hyperlink r:id="rId29" w:history="1">
        <w:r w:rsidRPr="00452C2E">
          <w:rPr>
            <w:rStyle w:val="Hyperlink"/>
            <w:lang w:eastAsia="en-AU"/>
          </w:rPr>
          <w:t>National Greenhouse and Energy Reporting (NGER) scheme</w:t>
        </w:r>
      </w:hyperlink>
      <w:r>
        <w:rPr>
          <w:rStyle w:val="FootnoteReference"/>
          <w:lang w:eastAsia="en-AU"/>
        </w:rPr>
        <w:footnoteReference w:id="4"/>
      </w:r>
      <w:r w:rsidRPr="000B3301">
        <w:rPr>
          <w:lang w:eastAsia="en-AU"/>
        </w:rPr>
        <w:t xml:space="preserve"> at all times. The agency encourages all users of this </w:t>
      </w:r>
      <w:r>
        <w:rPr>
          <w:lang w:eastAsia="en-AU"/>
        </w:rPr>
        <w:t>guidance</w:t>
      </w:r>
      <w:r w:rsidRPr="000B3301">
        <w:rPr>
          <w:lang w:eastAsia="en-AU"/>
        </w:rPr>
        <w:t xml:space="preserve"> to seek independent legal advice before taking any action or decision based on this </w:t>
      </w:r>
      <w:r>
        <w:rPr>
          <w:lang w:eastAsia="en-AU"/>
        </w:rPr>
        <w:t>guidance</w:t>
      </w:r>
      <w:r w:rsidRPr="000B3301">
        <w:rPr>
          <w:lang w:eastAsia="en-AU"/>
        </w:rPr>
        <w:t>.</w:t>
      </w:r>
    </w:p>
    <w:p w14:paraId="6A6F6E24" w14:textId="77777777" w:rsidR="001B624B" w:rsidRPr="000B3301" w:rsidRDefault="001B624B" w:rsidP="00B85497">
      <w:pPr>
        <w:autoSpaceDE w:val="0"/>
        <w:autoSpaceDN w:val="0"/>
        <w:adjustRightInd w:val="0"/>
        <w:spacing w:after="0"/>
        <w:rPr>
          <w:lang w:eastAsia="en-AU"/>
        </w:rPr>
      </w:pPr>
    </w:p>
    <w:p w14:paraId="4FE157AF" w14:textId="2D7A2358" w:rsidR="001B624B" w:rsidRPr="000B3301" w:rsidRDefault="001B624B" w:rsidP="00B85497">
      <w:pPr>
        <w:autoSpaceDE w:val="0"/>
        <w:autoSpaceDN w:val="0"/>
        <w:adjustRightInd w:val="0"/>
        <w:spacing w:after="0"/>
        <w:rPr>
          <w:lang w:eastAsia="en-AU"/>
        </w:rPr>
      </w:pPr>
      <w:r w:rsidRPr="000B3301">
        <w:rPr>
          <w:lang w:eastAsia="en-AU"/>
        </w:rPr>
        <w:t>The agency and the Australian Government will not be liable for any loss or damage from any cause (including negligence) whether arising directly, incidentally, or as consequential loss, out of or in connection with, any use of this guideline or reliance on it, for any purpose.</w:t>
      </w:r>
    </w:p>
    <w:p w14:paraId="12EDB10A" w14:textId="77777777" w:rsidR="001B624B" w:rsidRPr="000B3301" w:rsidRDefault="001B624B" w:rsidP="00B85497">
      <w:pPr>
        <w:autoSpaceDE w:val="0"/>
        <w:autoSpaceDN w:val="0"/>
        <w:adjustRightInd w:val="0"/>
        <w:spacing w:after="0"/>
        <w:rPr>
          <w:lang w:eastAsia="en-AU"/>
        </w:rPr>
      </w:pPr>
    </w:p>
    <w:p w14:paraId="43AD85A7" w14:textId="77777777" w:rsidR="001B624B" w:rsidRPr="00A82423" w:rsidRDefault="001B624B" w:rsidP="00B85497">
      <w:pPr>
        <w:spacing w:after="0"/>
      </w:pPr>
      <w:r w:rsidRPr="000B3301">
        <w:rPr>
          <w:lang w:eastAsia="en-AU"/>
        </w:rPr>
        <w:t>If an entity chooses to meet their obligations under the NGER scheme in a manner that is inconsistent with the guidance provided in this document, the agency, or an independent auditor, may require the entity to demonstrate that they are compliant with requirements of the NGER Act, NGER Regulations, and/or the NGER Measurement Determination. Entities are responsible for determining their obligations under the law and for applying the law to their individual circumstances.</w:t>
      </w:r>
    </w:p>
    <w:p w14:paraId="7BEF92AB" w14:textId="77777777" w:rsidR="001B624B" w:rsidRDefault="001B624B" w:rsidP="001B624B">
      <w:pPr>
        <w:spacing w:after="0"/>
        <w:rPr>
          <w:rFonts w:eastAsia="Times New Roman"/>
          <w:b/>
          <w:bCs/>
          <w:color w:val="005874"/>
          <w:kern w:val="32"/>
          <w:sz w:val="40"/>
        </w:rPr>
      </w:pPr>
      <w:r>
        <w:br w:type="page"/>
      </w:r>
    </w:p>
    <w:p w14:paraId="67148F13" w14:textId="77777777" w:rsidR="004A2E03" w:rsidRPr="00074D44" w:rsidRDefault="004A2E03" w:rsidP="004A2E03">
      <w:pPr>
        <w:pStyle w:val="Heading1"/>
        <w:rPr>
          <w:lang w:val="en-GB"/>
        </w:rPr>
      </w:pPr>
      <w:bookmarkStart w:id="8" w:name="_Toc107922524"/>
      <w:r w:rsidRPr="00074D44">
        <w:rPr>
          <w:lang w:val="en-GB"/>
        </w:rPr>
        <w:t>2021–22 updates</w:t>
      </w:r>
      <w:bookmarkEnd w:id="8"/>
      <w:r w:rsidRPr="00074D44">
        <w:rPr>
          <w:lang w:val="en-GB"/>
        </w:rPr>
        <w:t> </w:t>
      </w:r>
    </w:p>
    <w:p w14:paraId="1AC1AB10" w14:textId="60E44FC2" w:rsidR="004A2E03" w:rsidRPr="00074D44" w:rsidRDefault="004A2E03" w:rsidP="00B3330E">
      <w:pPr>
        <w:pStyle w:val="CERbullets"/>
        <w:numPr>
          <w:ilvl w:val="0"/>
          <w:numId w:val="4"/>
        </w:numPr>
      </w:pPr>
      <w:r w:rsidRPr="00074D44">
        <w:t>Page 3</w:t>
      </w:r>
      <w:r w:rsidR="009F7785">
        <w:t xml:space="preserve"> – updated </w:t>
      </w:r>
      <w:r w:rsidRPr="00074D44">
        <w:t>disclaimer</w:t>
      </w:r>
    </w:p>
    <w:p w14:paraId="12CC5284" w14:textId="4923F09F" w:rsidR="004A2E03" w:rsidRPr="00074D44" w:rsidRDefault="004A2E03" w:rsidP="00B3330E">
      <w:pPr>
        <w:pStyle w:val="CERbullets"/>
        <w:numPr>
          <w:ilvl w:val="0"/>
          <w:numId w:val="4"/>
        </w:numPr>
      </w:pPr>
      <w:r w:rsidRPr="00074D44">
        <w:t>Table 7</w:t>
      </w:r>
      <w:r w:rsidR="009F7785">
        <w:t xml:space="preserve"> - added</w:t>
      </w:r>
      <w:r w:rsidRPr="00074D44">
        <w:t xml:space="preserve"> </w:t>
      </w:r>
      <w:r w:rsidR="009F7785">
        <w:t>f</w:t>
      </w:r>
      <w:r w:rsidRPr="00074D44">
        <w:t xml:space="preserve">urnace ash to </w:t>
      </w:r>
      <w:r>
        <w:t>s</w:t>
      </w:r>
      <w:r w:rsidRPr="00FF338C">
        <w:t>olid fuel sampling and analysis frequency</w:t>
      </w:r>
      <w:r>
        <w:t xml:space="preserve"> table</w:t>
      </w:r>
      <w:r w:rsidRPr="00074D44">
        <w:t xml:space="preserve"> </w:t>
      </w:r>
    </w:p>
    <w:p w14:paraId="4386534A" w14:textId="07E95609" w:rsidR="004A2E03" w:rsidRPr="00074D44" w:rsidRDefault="004A2E03" w:rsidP="00B3330E">
      <w:pPr>
        <w:pStyle w:val="CERbullets"/>
        <w:numPr>
          <w:ilvl w:val="0"/>
          <w:numId w:val="4"/>
        </w:numPr>
      </w:pPr>
      <w:r w:rsidRPr="00074D44">
        <w:t>Page 41</w:t>
      </w:r>
      <w:r w:rsidR="009F7785">
        <w:t xml:space="preserve"> - added</w:t>
      </w:r>
      <w:r w:rsidRPr="00074D44">
        <w:t xml:space="preserve"> section for reporting for Virtual Power Plant (VPP). </w:t>
      </w:r>
    </w:p>
    <w:p w14:paraId="133626B6" w14:textId="7E84B28C" w:rsidR="004A2E03" w:rsidRPr="00FF338C" w:rsidRDefault="004A2E03" w:rsidP="00DB4B56">
      <w:pPr>
        <w:pStyle w:val="Heading1"/>
        <w:numPr>
          <w:ilvl w:val="0"/>
          <w:numId w:val="3"/>
        </w:numPr>
        <w:ind w:left="426" w:hanging="426"/>
        <w:rPr>
          <w:lang w:val="en-GB"/>
        </w:rPr>
      </w:pPr>
      <w:bookmarkStart w:id="9" w:name="_Ref511987459"/>
      <w:bookmarkStart w:id="10" w:name="_Toc512010382"/>
      <w:bookmarkStart w:id="11" w:name="_Toc512339580"/>
      <w:bookmarkStart w:id="12" w:name="_Toc106705744"/>
      <w:bookmarkStart w:id="13" w:name="_Toc107922525"/>
      <w:r w:rsidRPr="00FF338C">
        <w:rPr>
          <w:lang w:val="en-GB"/>
        </w:rPr>
        <w:t>Purpose of this guideline</w:t>
      </w:r>
      <w:bookmarkEnd w:id="9"/>
      <w:bookmarkEnd w:id="10"/>
      <w:bookmarkEnd w:id="11"/>
      <w:bookmarkEnd w:id="12"/>
      <w:bookmarkEnd w:id="13"/>
    </w:p>
    <w:p w14:paraId="1F77CC04" w14:textId="77777777" w:rsidR="004A2E03" w:rsidRPr="00FF338C" w:rsidRDefault="004A2E03" w:rsidP="004A2E03">
      <w:r w:rsidRPr="00FF338C">
        <w:t>Electricity generators and electricity transmission or distribution companies have reporting obligations under the National Greenhouse and Energy Reporting (NGER) legislation, comprising the NGER Act, the NGER Regulations</w:t>
      </w:r>
      <w:r>
        <w:t>,</w:t>
      </w:r>
      <w:r w:rsidRPr="00FF338C">
        <w:t xml:space="preserve"> the</w:t>
      </w:r>
      <w:r w:rsidRPr="00FF338C">
        <w:rPr>
          <w:i/>
        </w:rPr>
        <w:t xml:space="preserve"> </w:t>
      </w:r>
      <w:r>
        <w:t>NGER Measurement Determination and the</w:t>
      </w:r>
      <w:r w:rsidRPr="004710E1">
        <w:rPr>
          <w:i/>
          <w:iCs/>
        </w:rPr>
        <w:t xml:space="preserve"> </w:t>
      </w:r>
      <w:hyperlink r:id="rId30" w:history="1">
        <w:r w:rsidRPr="0088632B">
          <w:rPr>
            <w:rStyle w:val="Hyperlink"/>
            <w:rFonts w:asciiTheme="minorHAnsi" w:hAnsiTheme="minorHAnsi"/>
          </w:rPr>
          <w:t>National Greenhouse and Energy Reporting (Safeguard Mechanism) Rule 2015</w:t>
        </w:r>
      </w:hyperlink>
      <w:r>
        <w:rPr>
          <w:rStyle w:val="FootnoteReference"/>
        </w:rPr>
        <w:footnoteReference w:id="5"/>
      </w:r>
      <w:r w:rsidRPr="004710E1">
        <w:t xml:space="preserve"> (Safeguard </w:t>
      </w:r>
      <w:r>
        <w:t xml:space="preserve">Mechanism </w:t>
      </w:r>
      <w:r w:rsidRPr="004710E1">
        <w:t>Rule</w:t>
      </w:r>
      <w:r>
        <w:t>)</w:t>
      </w:r>
      <w:r w:rsidRPr="00FF338C">
        <w:t>.</w:t>
      </w:r>
    </w:p>
    <w:p w14:paraId="51DA7C42" w14:textId="77777777" w:rsidR="004A2E03" w:rsidRPr="00FF338C" w:rsidRDefault="004A2E03" w:rsidP="004A2E03">
      <w:r w:rsidRPr="00FF338C">
        <w:t>It is important for users of NGER data to have accurate information related to a corporation’s greenhouse gas emissions, energy consumption and energy production. NGER data is used to:</w:t>
      </w:r>
    </w:p>
    <w:p w14:paraId="45DDE2C4" w14:textId="77777777" w:rsidR="004A2E03" w:rsidRPr="00FF338C" w:rsidRDefault="004A2E03" w:rsidP="00B3330E">
      <w:pPr>
        <w:pStyle w:val="CERbullets"/>
        <w:numPr>
          <w:ilvl w:val="0"/>
          <w:numId w:val="9"/>
        </w:numPr>
      </w:pPr>
      <w:r w:rsidRPr="00FF338C">
        <w:t xml:space="preserve">inform </w:t>
      </w:r>
      <w:r>
        <w:t>Australian G</w:t>
      </w:r>
      <w:r w:rsidRPr="00FF338C">
        <w:t>overnment policy formulation and the Australian public</w:t>
      </w:r>
    </w:p>
    <w:p w14:paraId="6C515D88" w14:textId="77777777" w:rsidR="004A2E03" w:rsidRPr="00FF338C" w:rsidRDefault="004A2E03" w:rsidP="00B3330E">
      <w:pPr>
        <w:pStyle w:val="CERbullets"/>
        <w:numPr>
          <w:ilvl w:val="0"/>
          <w:numId w:val="9"/>
        </w:numPr>
      </w:pPr>
      <w:r w:rsidRPr="00FF338C">
        <w:t>meet Australia’s international reporting obligations</w:t>
      </w:r>
    </w:p>
    <w:p w14:paraId="087E0C91" w14:textId="77777777" w:rsidR="004A2E03" w:rsidRPr="00FF338C" w:rsidRDefault="004A2E03" w:rsidP="00B3330E">
      <w:pPr>
        <w:pStyle w:val="CERbullets"/>
        <w:numPr>
          <w:ilvl w:val="0"/>
          <w:numId w:val="9"/>
        </w:numPr>
      </w:pPr>
      <w:r w:rsidRPr="00FF338C">
        <w:t>assist Commonwealth, State and Territory government programs and activities</w:t>
      </w:r>
    </w:p>
    <w:p w14:paraId="66B4C85A" w14:textId="77777777" w:rsidR="004A2E03" w:rsidRPr="00FF338C" w:rsidRDefault="004A2E03" w:rsidP="00B3330E">
      <w:pPr>
        <w:pStyle w:val="CERbullets"/>
        <w:numPr>
          <w:ilvl w:val="0"/>
          <w:numId w:val="9"/>
        </w:numPr>
      </w:pPr>
      <w:r w:rsidRPr="00FF338C">
        <w:t xml:space="preserve">ensure that, under the </w:t>
      </w:r>
      <w:r>
        <w:t>s</w:t>
      </w:r>
      <w:r w:rsidRPr="00FF338C">
        <w:t xml:space="preserve">afeguard </w:t>
      </w:r>
      <w:r>
        <w:t>m</w:t>
      </w:r>
      <w:r w:rsidRPr="00FF338C">
        <w:t xml:space="preserve">echanism, net covered emissions of greenhouse gases from </w:t>
      </w:r>
      <w:r>
        <w:t xml:space="preserve">(amongst other sectors) </w:t>
      </w:r>
      <w:r w:rsidRPr="00FF338C">
        <w:t>the electricity sector do not exceed the baseline applicable to the sector</w:t>
      </w:r>
      <w:r>
        <w:t>.</w:t>
      </w:r>
    </w:p>
    <w:p w14:paraId="40770EF2" w14:textId="77777777" w:rsidR="004A2E03" w:rsidRPr="00FF338C" w:rsidRDefault="004A2E03" w:rsidP="004A2E03">
      <w:r w:rsidRPr="00FF338C">
        <w:t>This guideline is intended to promote better reporting by assisting electricity sector entities to:</w:t>
      </w:r>
    </w:p>
    <w:p w14:paraId="3285231F" w14:textId="77777777" w:rsidR="004A2E03" w:rsidRPr="00FF338C" w:rsidRDefault="004A2E03" w:rsidP="00B3330E">
      <w:pPr>
        <w:pStyle w:val="CERbullets"/>
        <w:numPr>
          <w:ilvl w:val="0"/>
          <w:numId w:val="9"/>
        </w:numPr>
      </w:pPr>
      <w:r w:rsidRPr="00FF338C">
        <w:t>estimate and report emissions from key electricity sector emissions, particular</w:t>
      </w:r>
      <w:r>
        <w:t>ly</w:t>
      </w:r>
      <w:r w:rsidRPr="00FF338C">
        <w:t xml:space="preserve"> from fuel combustion</w:t>
      </w:r>
    </w:p>
    <w:p w14:paraId="38A1217F" w14:textId="77777777" w:rsidR="004A2E03" w:rsidRPr="00FF338C" w:rsidRDefault="004A2E03" w:rsidP="00B3330E">
      <w:pPr>
        <w:pStyle w:val="CERbullets"/>
        <w:numPr>
          <w:ilvl w:val="0"/>
          <w:numId w:val="9"/>
        </w:numPr>
      </w:pPr>
      <w:r w:rsidRPr="00FF338C">
        <w:t>report accurately on energy production and consumption</w:t>
      </w:r>
      <w:r>
        <w:t>.</w:t>
      </w:r>
    </w:p>
    <w:p w14:paraId="188ED8AF" w14:textId="77777777" w:rsidR="004A2E03" w:rsidRPr="00FF338C" w:rsidRDefault="004A2E03" w:rsidP="004A2E03">
      <w:pPr>
        <w:spacing w:before="120" w:after="120"/>
      </w:pPr>
      <w:r w:rsidRPr="00FF338C">
        <w:t>It may also be useful for preparers and approvers of NGER reports, and auditors providing assurance over NGER data or reporting prepared in accordance with the NGER legislation.</w:t>
      </w:r>
    </w:p>
    <w:p w14:paraId="3B1B795B" w14:textId="77777777" w:rsidR="004A2E03" w:rsidRPr="00FF338C" w:rsidRDefault="004A2E03" w:rsidP="00DB4B56">
      <w:pPr>
        <w:pStyle w:val="Heading2"/>
        <w:numPr>
          <w:ilvl w:val="1"/>
          <w:numId w:val="3"/>
        </w:numPr>
        <w:ind w:left="426" w:hanging="426"/>
      </w:pPr>
      <w:bookmarkStart w:id="14" w:name="_Toc512010383"/>
      <w:bookmarkStart w:id="15" w:name="_Toc512339581"/>
      <w:bookmarkStart w:id="16" w:name="_Toc106705745"/>
      <w:bookmarkStart w:id="17" w:name="_Toc107922526"/>
      <w:r w:rsidRPr="00FF338C">
        <w:t>Focus of this guideline</w:t>
      </w:r>
      <w:bookmarkEnd w:id="14"/>
      <w:bookmarkEnd w:id="15"/>
      <w:bookmarkEnd w:id="16"/>
      <w:bookmarkEnd w:id="17"/>
    </w:p>
    <w:p w14:paraId="280B7259" w14:textId="77777777" w:rsidR="004A2E03" w:rsidRPr="00FF338C" w:rsidRDefault="004A2E03" w:rsidP="004A2E03">
      <w:pPr>
        <w:rPr>
          <w:rFonts w:eastAsia="Times New Roman"/>
          <w:b/>
          <w:bCs/>
          <w:color w:val="005874"/>
          <w:sz w:val="30"/>
          <w:szCs w:val="26"/>
        </w:rPr>
      </w:pPr>
      <w:r w:rsidRPr="00FF338C">
        <w:t xml:space="preserve">The objective of this guideline is to promote consistent reporting across electricity sector companies in Australia. </w:t>
      </w:r>
      <w:r>
        <w:t>The guideline</w:t>
      </w:r>
      <w:r w:rsidRPr="00FF338C">
        <w:t xml:space="preserve"> focuses on </w:t>
      </w:r>
      <w:r>
        <w:t xml:space="preserve">the following electricity </w:t>
      </w:r>
      <w:r w:rsidRPr="00FF338C">
        <w:t>sector</w:t>
      </w:r>
      <w:r>
        <w:t>-related activities</w:t>
      </w:r>
      <w:r w:rsidRPr="00FF338C">
        <w:t>:</w:t>
      </w:r>
    </w:p>
    <w:p w14:paraId="5A2E9573" w14:textId="77777777" w:rsidR="004A2E03" w:rsidRPr="00FF338C" w:rsidRDefault="004A2E03" w:rsidP="00B3330E">
      <w:pPr>
        <w:numPr>
          <w:ilvl w:val="0"/>
          <w:numId w:val="4"/>
        </w:numPr>
        <w:spacing w:before="120" w:after="120"/>
      </w:pPr>
      <w:r>
        <w:t>good</w:t>
      </w:r>
      <w:r w:rsidRPr="00FF338C">
        <w:t xml:space="preserve"> practice NGER reporting in the electricity sector </w:t>
      </w:r>
      <w:r>
        <w:t>— refer section 2</w:t>
      </w:r>
    </w:p>
    <w:p w14:paraId="482843CE" w14:textId="77777777" w:rsidR="004A2E03" w:rsidRPr="00FF338C" w:rsidRDefault="004A2E03" w:rsidP="00B3330E">
      <w:pPr>
        <w:numPr>
          <w:ilvl w:val="0"/>
          <w:numId w:val="4"/>
        </w:numPr>
        <w:spacing w:before="120" w:after="120"/>
      </w:pPr>
      <w:r w:rsidRPr="00FF338C">
        <w:t xml:space="preserve">estimating scope 1 emissions </w:t>
      </w:r>
      <w:r>
        <w:t>— refer section 3</w:t>
      </w:r>
    </w:p>
    <w:p w14:paraId="4BBE064F" w14:textId="77777777" w:rsidR="004A2E03" w:rsidRPr="00FF338C" w:rsidRDefault="004A2E03" w:rsidP="00B3330E">
      <w:pPr>
        <w:numPr>
          <w:ilvl w:val="0"/>
          <w:numId w:val="4"/>
        </w:numPr>
        <w:spacing w:before="120" w:after="120"/>
      </w:pPr>
      <w:r>
        <w:t>e</w:t>
      </w:r>
      <w:r w:rsidRPr="00FF338C">
        <w:t xml:space="preserve">stimating emissions from fuel combustion </w:t>
      </w:r>
      <w:r>
        <w:t>— refer section 4</w:t>
      </w:r>
    </w:p>
    <w:p w14:paraId="5404E1AF" w14:textId="77777777" w:rsidR="004A2E03" w:rsidRPr="00FF338C" w:rsidRDefault="004A2E03" w:rsidP="00B3330E">
      <w:pPr>
        <w:numPr>
          <w:ilvl w:val="0"/>
          <w:numId w:val="4"/>
        </w:numPr>
        <w:spacing w:before="120" w:after="120"/>
      </w:pPr>
      <w:r>
        <w:t>e</w:t>
      </w:r>
      <w:r w:rsidRPr="00FF338C">
        <w:t>stimating emissions of sulphur hexafluoride</w:t>
      </w:r>
      <w:r>
        <w:t xml:space="preserve"> — refer section 5 and the separate guidance document </w:t>
      </w:r>
      <w:hyperlink r:id="rId31" w:history="1">
        <w:r w:rsidRPr="00596431">
          <w:rPr>
            <w:rStyle w:val="Hyperlink"/>
            <w:rFonts w:asciiTheme="minorHAnsi" w:hAnsiTheme="minorHAnsi"/>
          </w:rPr>
          <w:t>Reporting Hydrofluorocarbons and Sulphur Hexafluoride gases guideline</w:t>
        </w:r>
      </w:hyperlink>
      <w:r>
        <w:rPr>
          <w:rStyle w:val="FootnoteReference"/>
          <w:color w:val="005874"/>
          <w:u w:val="single"/>
        </w:rPr>
        <w:footnoteReference w:id="6"/>
      </w:r>
    </w:p>
    <w:p w14:paraId="5A52E05F" w14:textId="77777777" w:rsidR="004A2E03" w:rsidRPr="00FF338C" w:rsidRDefault="004A2E03" w:rsidP="00B3330E">
      <w:pPr>
        <w:numPr>
          <w:ilvl w:val="0"/>
          <w:numId w:val="4"/>
        </w:numPr>
        <w:spacing w:before="120" w:after="120"/>
      </w:pPr>
      <w:r>
        <w:t>s</w:t>
      </w:r>
      <w:r w:rsidRPr="00FF338C">
        <w:t xml:space="preserve">cope 2 emissions from electricity use </w:t>
      </w:r>
      <w:r>
        <w:t>— refer section 6</w:t>
      </w:r>
    </w:p>
    <w:p w14:paraId="387688A2" w14:textId="77777777" w:rsidR="004A2E03" w:rsidRPr="00FF338C" w:rsidRDefault="004A2E03" w:rsidP="00B3330E">
      <w:pPr>
        <w:numPr>
          <w:ilvl w:val="0"/>
          <w:numId w:val="4"/>
        </w:numPr>
        <w:spacing w:before="120" w:after="120"/>
      </w:pPr>
      <w:r>
        <w:t>r</w:t>
      </w:r>
      <w:r w:rsidRPr="00FF338C">
        <w:t>eporting energy production and consumption</w:t>
      </w:r>
      <w:r>
        <w:t xml:space="preserve"> — refer section 7</w:t>
      </w:r>
    </w:p>
    <w:p w14:paraId="36648CD0" w14:textId="77777777" w:rsidR="004A2E03" w:rsidRPr="00FF338C" w:rsidRDefault="004A2E03" w:rsidP="00B3330E">
      <w:pPr>
        <w:numPr>
          <w:ilvl w:val="0"/>
          <w:numId w:val="4"/>
        </w:numPr>
        <w:spacing w:before="120" w:after="120"/>
      </w:pPr>
      <w:r>
        <w:t>m</w:t>
      </w:r>
      <w:r w:rsidRPr="00FF338C">
        <w:t>easurement requirements</w:t>
      </w:r>
      <w:r>
        <w:t xml:space="preserve"> — refer section 8.</w:t>
      </w:r>
    </w:p>
    <w:p w14:paraId="4A7AD8DC" w14:textId="77777777" w:rsidR="004A2E03" w:rsidRPr="00FF338C" w:rsidRDefault="004A2E03" w:rsidP="004A2E03">
      <w:r w:rsidRPr="001B671E">
        <w:t xml:space="preserve">This </w:t>
      </w:r>
      <w:r>
        <w:t>document</w:t>
      </w:r>
      <w:r w:rsidRPr="001B671E">
        <w:t xml:space="preserve"> will not cover general NGER reporting requirements such as determining facility and operational control and using the Emissions and Energy Reporting System (EERS).</w:t>
      </w:r>
      <w:r w:rsidRPr="00FF338C">
        <w:t xml:space="preserve"> </w:t>
      </w:r>
      <w:r>
        <w:t xml:space="preserve">See </w:t>
      </w:r>
      <w:hyperlink r:id="rId32" w:history="1">
        <w:r w:rsidRPr="00463115">
          <w:rPr>
            <w:rStyle w:val="Hyperlink"/>
            <w:rFonts w:asciiTheme="minorHAnsi" w:hAnsiTheme="minorHAnsi"/>
          </w:rPr>
          <w:t>forms and resources</w:t>
        </w:r>
      </w:hyperlink>
      <w:r>
        <w:rPr>
          <w:rStyle w:val="FootnoteReference"/>
          <w:color w:val="005874"/>
          <w:u w:val="single"/>
        </w:rPr>
        <w:footnoteReference w:id="7"/>
      </w:r>
      <w:r>
        <w:t xml:space="preserve"> for more guidance</w:t>
      </w:r>
      <w:r w:rsidRPr="00FF338C">
        <w:t>.</w:t>
      </w:r>
    </w:p>
    <w:p w14:paraId="65DE4CD5" w14:textId="77777777" w:rsidR="004A2E03" w:rsidRPr="00FF338C" w:rsidRDefault="004A2E03" w:rsidP="00B3330E">
      <w:pPr>
        <w:pStyle w:val="Heading1"/>
        <w:numPr>
          <w:ilvl w:val="0"/>
          <w:numId w:val="3"/>
        </w:numPr>
        <w:rPr>
          <w:lang w:val="en-GB"/>
        </w:rPr>
      </w:pPr>
      <w:bookmarkStart w:id="18" w:name="_Toc512010384"/>
      <w:bookmarkStart w:id="19" w:name="_Toc512339582"/>
      <w:bookmarkStart w:id="20" w:name="_Toc106705746"/>
      <w:bookmarkStart w:id="21" w:name="_Toc107922527"/>
      <w:r>
        <w:rPr>
          <w:lang w:val="en-GB"/>
        </w:rPr>
        <w:t>Good</w:t>
      </w:r>
      <w:r w:rsidRPr="00FF338C">
        <w:rPr>
          <w:lang w:val="en-GB"/>
        </w:rPr>
        <w:t xml:space="preserve"> practice NGER reporting in the electricity sector</w:t>
      </w:r>
      <w:bookmarkEnd w:id="18"/>
      <w:bookmarkEnd w:id="19"/>
      <w:bookmarkEnd w:id="20"/>
      <w:bookmarkEnd w:id="21"/>
    </w:p>
    <w:p w14:paraId="1C366A36" w14:textId="79641823" w:rsidR="004A2E03" w:rsidRPr="00FF338C" w:rsidRDefault="004A2E03" w:rsidP="004A2E03">
      <w:r w:rsidRPr="00FF338C">
        <w:t>Electricity sector entities</w:t>
      </w:r>
      <w:r w:rsidRPr="00FF338C">
        <w:rPr>
          <w:spacing w:val="-2"/>
        </w:rPr>
        <w:t xml:space="preserve"> registered to report under the NGER scheme</w:t>
      </w:r>
      <w:r w:rsidRPr="00FF338C">
        <w:t xml:space="preserve"> must keep records of the activities and facilities across </w:t>
      </w:r>
      <w:r>
        <w:t xml:space="preserve">their </w:t>
      </w:r>
      <w:r w:rsidRPr="00FF338C">
        <w:t xml:space="preserve">group to ensure accuracy when reporting in accordance with the NGER Act. Records must be kept for </w:t>
      </w:r>
      <w:r w:rsidR="001848D4">
        <w:t>5</w:t>
      </w:r>
      <w:r w:rsidRPr="00FF338C">
        <w:t xml:space="preserve"> years and enable the </w:t>
      </w:r>
      <w:r>
        <w:t>agency</w:t>
      </w:r>
      <w:r w:rsidRPr="00FF338C">
        <w:t xml:space="preserve"> to ascertain whether the registered corporation or liable entity has complied with the obligations under the NGER Act</w:t>
      </w:r>
      <w:r>
        <w:t xml:space="preserve"> 2007</w:t>
      </w:r>
      <w:r w:rsidRPr="00FF338C">
        <w:t>. This includes keeping records that are easily accessible for inspection and audit.</w:t>
      </w:r>
    </w:p>
    <w:p w14:paraId="6E95637E" w14:textId="77777777" w:rsidR="004A2E03" w:rsidRPr="00FF338C" w:rsidRDefault="004A2E03" w:rsidP="004A2E03">
      <w:r w:rsidRPr="00FF338C">
        <w:t xml:space="preserve">The record-keeping requirements include preparing and documenting source and activity data capture, as well as recording and processing data using the general estimation principles in section 1.13 of the </w:t>
      </w:r>
      <w:r>
        <w:t>NGER Measurement Determination</w:t>
      </w:r>
      <w:r w:rsidRPr="00FF338C">
        <w:t xml:space="preserve"> (</w:t>
      </w:r>
      <w:r w:rsidRPr="00FF338C">
        <w:fldChar w:fldCharType="begin"/>
      </w:r>
      <w:r w:rsidRPr="00FF338C">
        <w:instrText xml:space="preserve"> REF _Ref511133332 \h </w:instrText>
      </w:r>
      <w:r w:rsidRPr="00FF338C">
        <w:fldChar w:fldCharType="separate"/>
      </w:r>
      <w:r w:rsidRPr="00FF338C">
        <w:t xml:space="preserve">Table </w:t>
      </w:r>
      <w:r>
        <w:rPr>
          <w:noProof/>
        </w:rPr>
        <w:t>2</w:t>
      </w:r>
      <w:r w:rsidRPr="00FF338C">
        <w:fldChar w:fldCharType="end"/>
      </w:r>
      <w:r w:rsidRPr="00FF338C">
        <w:t>).</w:t>
      </w:r>
    </w:p>
    <w:p w14:paraId="7416DCB8" w14:textId="77777777" w:rsidR="004A2E03" w:rsidRPr="00FF338C" w:rsidRDefault="004A2E03" w:rsidP="004A2E03">
      <w:pPr>
        <w:pStyle w:val="Caption"/>
      </w:pPr>
      <w:bookmarkStart w:id="22" w:name="_Ref511133332"/>
      <w:bookmarkStart w:id="23" w:name="_Ref511206465"/>
      <w:r w:rsidRPr="00FF338C">
        <w:t xml:space="preserve">Table </w:t>
      </w:r>
      <w:r>
        <w:fldChar w:fldCharType="begin"/>
      </w:r>
      <w:r>
        <w:instrText>SEQ Table \* ARABIC</w:instrText>
      </w:r>
      <w:r>
        <w:fldChar w:fldCharType="separate"/>
      </w:r>
      <w:r>
        <w:rPr>
          <w:noProof/>
        </w:rPr>
        <w:t>2</w:t>
      </w:r>
      <w:r>
        <w:fldChar w:fldCharType="end"/>
      </w:r>
      <w:bookmarkEnd w:id="22"/>
      <w:bookmarkEnd w:id="23"/>
      <w:r w:rsidRPr="00FF338C">
        <w:t xml:space="preserve"> – General estimation principles for NGER reporting in the electricity sector</w:t>
      </w:r>
    </w:p>
    <w:tbl>
      <w:tblPr>
        <w:tblStyle w:val="CERTable"/>
        <w:tblW w:w="9776" w:type="dxa"/>
        <w:tblLook w:val="06A0" w:firstRow="1" w:lastRow="0" w:firstColumn="1" w:lastColumn="0" w:noHBand="1" w:noVBand="1"/>
      </w:tblPr>
      <w:tblGrid>
        <w:gridCol w:w="2972"/>
        <w:gridCol w:w="6804"/>
      </w:tblGrid>
      <w:tr w:rsidR="004A2E03" w:rsidRPr="00C64711" w14:paraId="1561BC63" w14:textId="77777777" w:rsidTr="00BC1A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hideMark/>
          </w:tcPr>
          <w:p w14:paraId="2C1E7A1A" w14:textId="77777777" w:rsidR="004A2E03" w:rsidRPr="003F37EC" w:rsidRDefault="004A2E03" w:rsidP="00D549C7">
            <w:pPr>
              <w:rPr>
                <w:szCs w:val="22"/>
              </w:rPr>
            </w:pPr>
            <w:r w:rsidRPr="003F37EC">
              <w:rPr>
                <w:szCs w:val="22"/>
              </w:rPr>
              <w:t>General estimation principles</w:t>
            </w:r>
          </w:p>
        </w:tc>
        <w:tc>
          <w:tcPr>
            <w:tcW w:w="6804" w:type="dxa"/>
            <w:hideMark/>
          </w:tcPr>
          <w:p w14:paraId="283F09A5" w14:textId="77777777" w:rsidR="004A2E03" w:rsidRPr="00EE0C1D" w:rsidRDefault="004A2E03" w:rsidP="00D549C7">
            <w:pPr>
              <w:cnfStyle w:val="100000000000" w:firstRow="1" w:lastRow="0" w:firstColumn="0" w:lastColumn="0" w:oddVBand="0" w:evenVBand="0" w:oddHBand="0" w:evenHBand="0" w:firstRowFirstColumn="0" w:firstRowLastColumn="0" w:lastRowFirstColumn="0" w:lastRowLastColumn="0"/>
              <w:rPr>
                <w:szCs w:val="22"/>
              </w:rPr>
            </w:pPr>
            <w:r w:rsidRPr="00EE0C1D">
              <w:rPr>
                <w:szCs w:val="22"/>
              </w:rPr>
              <w:t>Example implication for electricity sector NGER reporting</w:t>
            </w:r>
          </w:p>
        </w:tc>
      </w:tr>
      <w:tr w:rsidR="004A2E03" w:rsidRPr="00C64711" w14:paraId="0AB3393E" w14:textId="77777777" w:rsidTr="00BC1A51">
        <w:tc>
          <w:tcPr>
            <w:cnfStyle w:val="001000000000" w:firstRow="0" w:lastRow="0" w:firstColumn="1" w:lastColumn="0" w:oddVBand="0" w:evenVBand="0" w:oddHBand="0" w:evenHBand="0" w:firstRowFirstColumn="0" w:firstRowLastColumn="0" w:lastRowFirstColumn="0" w:lastRowLastColumn="0"/>
            <w:tcW w:w="2972" w:type="dxa"/>
            <w:hideMark/>
          </w:tcPr>
          <w:p w14:paraId="6184D357" w14:textId="77777777" w:rsidR="004A2E03" w:rsidRPr="00C67339" w:rsidRDefault="004A2E03" w:rsidP="00D549C7">
            <w:pPr>
              <w:rPr>
                <w:b w:val="0"/>
                <w:szCs w:val="22"/>
              </w:rPr>
            </w:pPr>
            <w:r w:rsidRPr="00C67339">
              <w:rPr>
                <w:szCs w:val="22"/>
              </w:rPr>
              <w:t>Transparency</w:t>
            </w:r>
          </w:p>
          <w:p w14:paraId="3FACA558" w14:textId="77777777" w:rsidR="004A2E03" w:rsidRPr="00717F5E" w:rsidRDefault="004A2E03" w:rsidP="00D549C7">
            <w:pPr>
              <w:rPr>
                <w:b w:val="0"/>
                <w:szCs w:val="22"/>
              </w:rPr>
            </w:pPr>
            <w:r w:rsidRPr="00717F5E">
              <w:rPr>
                <w:b w:val="0"/>
                <w:szCs w:val="22"/>
              </w:rPr>
              <w:t>Emission estimates must be documented and verifiable.</w:t>
            </w:r>
          </w:p>
        </w:tc>
        <w:tc>
          <w:tcPr>
            <w:tcW w:w="6804" w:type="dxa"/>
            <w:hideMark/>
          </w:tcPr>
          <w:p w14:paraId="5D4FFAA8" w14:textId="09CF7C66" w:rsidR="004A2E03" w:rsidRPr="00C67339" w:rsidRDefault="004A2E03" w:rsidP="00B3330E">
            <w:pPr>
              <w:numPr>
                <w:ilvl w:val="0"/>
                <w:numId w:val="4"/>
              </w:numPr>
              <w:spacing w:after="120"/>
              <w:cnfStyle w:val="000000000000" w:firstRow="0" w:lastRow="0" w:firstColumn="0" w:lastColumn="0" w:oddVBand="0" w:evenVBand="0" w:oddHBand="0" w:evenHBand="0" w:firstRowFirstColumn="0" w:firstRowLastColumn="0" w:lastRowFirstColumn="0" w:lastRowLastColumn="0"/>
            </w:pPr>
            <w:r>
              <w:t xml:space="preserve">All key decisions and assumptions made to prepare NGER reporting, including decision on sampling frequency and method selection for each activity should be documented and updated each year. This includes decisions regarding selection of the NGER executive officer, and where relevant the NGER nominated report submitter. </w:t>
            </w:r>
          </w:p>
          <w:p w14:paraId="604FE921" w14:textId="77777777" w:rsidR="004A2E03" w:rsidRPr="00C67339" w:rsidRDefault="004A2E03" w:rsidP="00B3330E">
            <w:pPr>
              <w:numPr>
                <w:ilvl w:val="0"/>
                <w:numId w:val="4"/>
              </w:numPr>
              <w:spacing w:after="120"/>
              <w:cnfStyle w:val="000000000000" w:firstRow="0" w:lastRow="0" w:firstColumn="0" w:lastColumn="0" w:oddVBand="0" w:evenVBand="0" w:oddHBand="0" w:evenHBand="0" w:firstRowFirstColumn="0" w:firstRowLastColumn="0" w:lastRowFirstColumn="0" w:lastRowLastColumn="0"/>
              <w:rPr>
                <w:szCs w:val="22"/>
              </w:rPr>
            </w:pPr>
            <w:r w:rsidRPr="00C67339">
              <w:rPr>
                <w:szCs w:val="22"/>
              </w:rPr>
              <w:t xml:space="preserve">All activity data </w:t>
            </w:r>
            <w:r w:rsidRPr="00C67339" w:rsidDel="009C5038">
              <w:rPr>
                <w:szCs w:val="22"/>
              </w:rPr>
              <w:t xml:space="preserve">should </w:t>
            </w:r>
            <w:r w:rsidRPr="00C67339">
              <w:rPr>
                <w:szCs w:val="22"/>
              </w:rPr>
              <w:t>be recorded with a clear audit trail. This includes all sampl</w:t>
            </w:r>
            <w:r>
              <w:rPr>
                <w:szCs w:val="22"/>
              </w:rPr>
              <w:t xml:space="preserve">ing parameters, </w:t>
            </w:r>
            <w:r w:rsidDel="00C52927">
              <w:rPr>
                <w:szCs w:val="22"/>
              </w:rPr>
              <w:t>data and</w:t>
            </w:r>
            <w:r>
              <w:rPr>
                <w:szCs w:val="22"/>
              </w:rPr>
              <w:t xml:space="preserve"> techniques used</w:t>
            </w:r>
            <w:r w:rsidRPr="00C67339">
              <w:rPr>
                <w:szCs w:val="22"/>
              </w:rPr>
              <w:t xml:space="preserve"> to calculate emissions, as well as records for how the sampling performed meets the sampling requirements irrespective of whether the sampling is performed by a third party.</w:t>
            </w:r>
          </w:p>
          <w:p w14:paraId="74AF789E" w14:textId="41F1D6F3" w:rsidR="004A2E03" w:rsidRPr="00C67339" w:rsidRDefault="004A2E03" w:rsidP="00B3330E">
            <w:pPr>
              <w:numPr>
                <w:ilvl w:val="0"/>
                <w:numId w:val="4"/>
              </w:numPr>
              <w:spacing w:after="12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67339">
              <w:rPr>
                <w:szCs w:val="22"/>
              </w:rPr>
              <w:t xml:space="preserve">All data processing </w:t>
            </w:r>
            <w:r w:rsidRPr="00C67339" w:rsidDel="009C5038">
              <w:rPr>
                <w:szCs w:val="22"/>
              </w:rPr>
              <w:t xml:space="preserve">should </w:t>
            </w:r>
            <w:r w:rsidRPr="00C67339">
              <w:rPr>
                <w:szCs w:val="22"/>
              </w:rPr>
              <w:t xml:space="preserve">be kept for </w:t>
            </w:r>
            <w:r w:rsidR="001848D4">
              <w:rPr>
                <w:szCs w:val="22"/>
              </w:rPr>
              <w:t>5</w:t>
            </w:r>
            <w:r w:rsidRPr="00C67339">
              <w:rPr>
                <w:szCs w:val="22"/>
              </w:rPr>
              <w:t xml:space="preserve"> years. This may include identifying how records for all samples are kept easily accessible</w:t>
            </w:r>
            <w:r>
              <w:rPr>
                <w:szCs w:val="22"/>
              </w:rPr>
              <w:t>,</w:t>
            </w:r>
            <w:r w:rsidRPr="00C67339">
              <w:rPr>
                <w:szCs w:val="22"/>
              </w:rPr>
              <w:t xml:space="preserve"> for example</w:t>
            </w:r>
            <w:r>
              <w:rPr>
                <w:szCs w:val="22"/>
              </w:rPr>
              <w:t>,</w:t>
            </w:r>
            <w:r w:rsidRPr="00C67339">
              <w:rPr>
                <w:szCs w:val="22"/>
              </w:rPr>
              <w:t xml:space="preserve"> if a generation facility changes control.</w:t>
            </w:r>
          </w:p>
        </w:tc>
      </w:tr>
      <w:tr w:rsidR="004A2E03" w:rsidRPr="00C64711" w14:paraId="2EDEE806" w14:textId="77777777" w:rsidTr="00BC1A51">
        <w:tc>
          <w:tcPr>
            <w:cnfStyle w:val="001000000000" w:firstRow="0" w:lastRow="0" w:firstColumn="1" w:lastColumn="0" w:oddVBand="0" w:evenVBand="0" w:oddHBand="0" w:evenHBand="0" w:firstRowFirstColumn="0" w:firstRowLastColumn="0" w:lastRowFirstColumn="0" w:lastRowLastColumn="0"/>
            <w:tcW w:w="2972" w:type="dxa"/>
            <w:hideMark/>
          </w:tcPr>
          <w:p w14:paraId="18A7AC1C" w14:textId="77777777" w:rsidR="004A2E03" w:rsidRPr="00C67339" w:rsidRDefault="004A2E03" w:rsidP="00D549C7">
            <w:pPr>
              <w:rPr>
                <w:b w:val="0"/>
                <w:szCs w:val="22"/>
              </w:rPr>
            </w:pPr>
            <w:r w:rsidRPr="00C67339">
              <w:rPr>
                <w:szCs w:val="22"/>
              </w:rPr>
              <w:t>Comparability</w:t>
            </w:r>
          </w:p>
          <w:p w14:paraId="73826491" w14:textId="77777777" w:rsidR="004A2E03" w:rsidRPr="00717F5E" w:rsidRDefault="004A2E03" w:rsidP="00D549C7">
            <w:pPr>
              <w:rPr>
                <w:b w:val="0"/>
                <w:szCs w:val="22"/>
              </w:rPr>
            </w:pPr>
            <w:r w:rsidRPr="00717F5E">
              <w:rPr>
                <w:b w:val="0"/>
                <w:szCs w:val="22"/>
              </w:rPr>
              <w:t>Emission estimates using a particular method and produced by a registered corporation or liable entity in an industry sector must be comparable with emission estimates produced by similar corporations or entities in that industry sector using the same method and consistent with the emission estimates published by the Department in the National Greenhouse Accounts.</w:t>
            </w:r>
          </w:p>
        </w:tc>
        <w:tc>
          <w:tcPr>
            <w:tcW w:w="6804" w:type="dxa"/>
          </w:tcPr>
          <w:p w14:paraId="6C5909EE" w14:textId="77777777" w:rsidR="004A2E03" w:rsidRPr="00C67339" w:rsidRDefault="004A2E03" w:rsidP="00B3330E">
            <w:pPr>
              <w:numPr>
                <w:ilvl w:val="0"/>
                <w:numId w:val="4"/>
              </w:numPr>
              <w:spacing w:after="120"/>
              <w:cnfStyle w:val="000000000000" w:firstRow="0" w:lastRow="0" w:firstColumn="0" w:lastColumn="0" w:oddVBand="0" w:evenVBand="0" w:oddHBand="0" w:evenHBand="0" w:firstRowFirstColumn="0" w:firstRowLastColumn="0" w:lastRowFirstColumn="0" w:lastRowLastColumn="0"/>
              <w:rPr>
                <w:szCs w:val="22"/>
              </w:rPr>
            </w:pPr>
            <w:r w:rsidRPr="00C67339">
              <w:rPr>
                <w:szCs w:val="22"/>
              </w:rPr>
              <w:t>Appropriately using the rules and requirements of the NGER Measurement Determination will achieve this for most activity data and emissions estimates in the electricity sector.</w:t>
            </w:r>
          </w:p>
        </w:tc>
      </w:tr>
      <w:tr w:rsidR="004A2E03" w:rsidRPr="00C64711" w14:paraId="073DE341" w14:textId="77777777" w:rsidTr="00BC1A51">
        <w:tc>
          <w:tcPr>
            <w:cnfStyle w:val="001000000000" w:firstRow="0" w:lastRow="0" w:firstColumn="1" w:lastColumn="0" w:oddVBand="0" w:evenVBand="0" w:oddHBand="0" w:evenHBand="0" w:firstRowFirstColumn="0" w:firstRowLastColumn="0" w:lastRowFirstColumn="0" w:lastRowLastColumn="0"/>
            <w:tcW w:w="2972" w:type="dxa"/>
            <w:hideMark/>
          </w:tcPr>
          <w:p w14:paraId="3877EBB2" w14:textId="77777777" w:rsidR="004A2E03" w:rsidRPr="00C67339" w:rsidRDefault="004A2E03" w:rsidP="00D549C7">
            <w:pPr>
              <w:rPr>
                <w:b w:val="0"/>
                <w:szCs w:val="22"/>
              </w:rPr>
            </w:pPr>
            <w:r w:rsidRPr="00C67339">
              <w:rPr>
                <w:szCs w:val="22"/>
              </w:rPr>
              <w:t>Accuracy</w:t>
            </w:r>
          </w:p>
          <w:p w14:paraId="6B99EA5F" w14:textId="77777777" w:rsidR="004A2E03" w:rsidRPr="00717F5E" w:rsidRDefault="004A2E03" w:rsidP="00D549C7">
            <w:pPr>
              <w:rPr>
                <w:b w:val="0"/>
                <w:szCs w:val="22"/>
              </w:rPr>
            </w:pPr>
            <w:r w:rsidRPr="00717F5E">
              <w:rPr>
                <w:b w:val="0"/>
                <w:szCs w:val="22"/>
              </w:rPr>
              <w:t>Having regard to the availability of reasonable resources by a registered corporation or liable entity and the requirements of the NGER Measurement Determination, uncertainties in emission estimates must be minimised and any estimates must neither be over nor under estimates of the true values at a 95% confidence level.</w:t>
            </w:r>
          </w:p>
        </w:tc>
        <w:tc>
          <w:tcPr>
            <w:tcW w:w="6804" w:type="dxa"/>
            <w:hideMark/>
          </w:tcPr>
          <w:p w14:paraId="0AC12F22" w14:textId="77777777" w:rsidR="004A2E03" w:rsidRPr="00C67339" w:rsidRDefault="004A2E03" w:rsidP="00B3330E">
            <w:pPr>
              <w:numPr>
                <w:ilvl w:val="0"/>
                <w:numId w:val="4"/>
              </w:numPr>
              <w:spacing w:after="120"/>
              <w:cnfStyle w:val="000000000000" w:firstRow="0" w:lastRow="0" w:firstColumn="0" w:lastColumn="0" w:oddVBand="0" w:evenVBand="0" w:oddHBand="0" w:evenHBand="0" w:firstRowFirstColumn="0" w:firstRowLastColumn="0" w:lastRowFirstColumn="0" w:lastRowLastColumn="0"/>
              <w:rPr>
                <w:szCs w:val="22"/>
              </w:rPr>
            </w:pPr>
            <w:r w:rsidRPr="00C67339">
              <w:rPr>
                <w:szCs w:val="22"/>
              </w:rPr>
              <w:t>This is particularly relevant:</w:t>
            </w:r>
          </w:p>
          <w:p w14:paraId="3039DF21" w14:textId="77777777" w:rsidR="004A2E03" w:rsidRPr="00C67339" w:rsidRDefault="004A2E03" w:rsidP="00B3330E">
            <w:pPr>
              <w:numPr>
                <w:ilvl w:val="1"/>
                <w:numId w:val="4"/>
              </w:numPr>
              <w:spacing w:after="120"/>
              <w:cnfStyle w:val="000000000000" w:firstRow="0" w:lastRow="0" w:firstColumn="0" w:lastColumn="0" w:oddVBand="0" w:evenVBand="0" w:oddHBand="0" w:evenHBand="0" w:firstRowFirstColumn="0" w:firstRowLastColumn="0" w:lastRowFirstColumn="0" w:lastRowLastColumn="0"/>
              <w:rPr>
                <w:szCs w:val="22"/>
              </w:rPr>
            </w:pPr>
            <w:r>
              <w:rPr>
                <w:szCs w:val="22"/>
              </w:rPr>
              <w:t>i</w:t>
            </w:r>
            <w:r w:rsidRPr="00C67339">
              <w:rPr>
                <w:szCs w:val="22"/>
              </w:rPr>
              <w:t>n respect of sampling, for example when higher order methods are used, sampling should occur in a manner and frequency which minimises uncertainties so that estimates within a 95</w:t>
            </w:r>
            <w:r>
              <w:rPr>
                <w:szCs w:val="22"/>
              </w:rPr>
              <w:t>%</w:t>
            </w:r>
            <w:r w:rsidRPr="00C67339">
              <w:rPr>
                <w:szCs w:val="22"/>
              </w:rPr>
              <w:t xml:space="preserve"> confidence interval lie as close to the true values as possible </w:t>
            </w:r>
          </w:p>
          <w:p w14:paraId="3731BC2C" w14:textId="77777777" w:rsidR="004A2E03" w:rsidRPr="00C67339" w:rsidRDefault="004A2E03" w:rsidP="00B3330E">
            <w:pPr>
              <w:numPr>
                <w:ilvl w:val="1"/>
                <w:numId w:val="4"/>
              </w:numPr>
              <w:spacing w:after="120"/>
              <w:cnfStyle w:val="000000000000" w:firstRow="0" w:lastRow="0" w:firstColumn="0" w:lastColumn="0" w:oddVBand="0" w:evenVBand="0" w:oddHBand="0" w:evenHBand="0" w:firstRowFirstColumn="0" w:firstRowLastColumn="0" w:lastRowFirstColumn="0" w:lastRowLastColumn="0"/>
              <w:rPr>
                <w:szCs w:val="22"/>
              </w:rPr>
            </w:pPr>
            <w:r>
              <w:rPr>
                <w:szCs w:val="22"/>
              </w:rPr>
              <w:t>w</w:t>
            </w:r>
            <w:r w:rsidRPr="00C67339">
              <w:rPr>
                <w:szCs w:val="22"/>
              </w:rPr>
              <w:t>here industry practice may be used to capture data</w:t>
            </w:r>
            <w:r>
              <w:rPr>
                <w:szCs w:val="22"/>
              </w:rPr>
              <w:t>, f</w:t>
            </w:r>
            <w:r w:rsidRPr="00C67339">
              <w:rPr>
                <w:szCs w:val="22"/>
              </w:rPr>
              <w:t>or example</w:t>
            </w:r>
            <w:r>
              <w:rPr>
                <w:szCs w:val="22"/>
              </w:rPr>
              <w:t>,</w:t>
            </w:r>
            <w:r w:rsidRPr="00C67339">
              <w:rPr>
                <w:szCs w:val="22"/>
              </w:rPr>
              <w:t xml:space="preserve"> BBB criteria – see </w:t>
            </w:r>
            <w:hyperlink w:anchor="_Measurement_Criteria" w:history="1">
              <w:r>
                <w:rPr>
                  <w:rStyle w:val="Hyperlink"/>
                </w:rPr>
                <w:t>chapter</w:t>
              </w:r>
              <w:r w:rsidRPr="00C67339">
                <w:rPr>
                  <w:rStyle w:val="Hyperlink"/>
                  <w:rFonts w:asciiTheme="minorHAnsi" w:hAnsiTheme="minorHAnsi"/>
                  <w:szCs w:val="22"/>
                </w:rPr>
                <w:t xml:space="preserve"> 8.1</w:t>
              </w:r>
            </w:hyperlink>
            <w:r w:rsidRPr="00C67339">
              <w:rPr>
                <w:szCs w:val="22"/>
              </w:rPr>
              <w:t xml:space="preserve"> </w:t>
            </w:r>
            <w:r>
              <w:rPr>
                <w:szCs w:val="22"/>
              </w:rPr>
              <w:t>of this guideline</w:t>
            </w:r>
            <w:r w:rsidRPr="00C67339">
              <w:rPr>
                <w:szCs w:val="22"/>
              </w:rPr>
              <w:t>.</w:t>
            </w:r>
          </w:p>
          <w:p w14:paraId="0A0CACE5" w14:textId="77777777" w:rsidR="004A2E03" w:rsidRDefault="004A2E03" w:rsidP="00B3330E">
            <w:pPr>
              <w:numPr>
                <w:ilvl w:val="0"/>
                <w:numId w:val="4"/>
              </w:numPr>
              <w:spacing w:after="120"/>
              <w:cnfStyle w:val="000000000000" w:firstRow="0" w:lastRow="0" w:firstColumn="0" w:lastColumn="0" w:oddVBand="0" w:evenVBand="0" w:oddHBand="0" w:evenHBand="0" w:firstRowFirstColumn="0" w:firstRowLastColumn="0" w:lastRowFirstColumn="0" w:lastRowLastColumn="0"/>
              <w:rPr>
                <w:szCs w:val="22"/>
              </w:rPr>
            </w:pPr>
            <w:r w:rsidRPr="00C67339">
              <w:rPr>
                <w:szCs w:val="22"/>
              </w:rPr>
              <w:t>Estimates should be neutral without bias</w:t>
            </w:r>
            <w:r>
              <w:rPr>
                <w:szCs w:val="22"/>
              </w:rPr>
              <w:t>.</w:t>
            </w:r>
          </w:p>
          <w:p w14:paraId="2351768E" w14:textId="77777777" w:rsidR="004A2E03" w:rsidRPr="00C67339" w:rsidRDefault="004A2E03" w:rsidP="00B3330E">
            <w:pPr>
              <w:numPr>
                <w:ilvl w:val="0"/>
                <w:numId w:val="4"/>
              </w:numPr>
              <w:spacing w:after="120"/>
              <w:cnfStyle w:val="000000000000" w:firstRow="0" w:lastRow="0" w:firstColumn="0" w:lastColumn="0" w:oddVBand="0" w:evenVBand="0" w:oddHBand="0" w:evenHBand="0" w:firstRowFirstColumn="0" w:firstRowLastColumn="0" w:lastRowFirstColumn="0" w:lastRowLastColumn="0"/>
              <w:rPr>
                <w:szCs w:val="22"/>
              </w:rPr>
            </w:pPr>
            <w:r>
              <w:rPr>
                <w:szCs w:val="22"/>
              </w:rPr>
              <w:t>Bias</w:t>
            </w:r>
            <w:r w:rsidRPr="00C67339">
              <w:rPr>
                <w:szCs w:val="22"/>
              </w:rPr>
              <w:t xml:space="preserve"> testing for fuel combustion emissions from coal fired power plants </w:t>
            </w:r>
            <w:r w:rsidRPr="00C67339" w:rsidDel="003E6E75">
              <w:rPr>
                <w:szCs w:val="22"/>
              </w:rPr>
              <w:t xml:space="preserve">should </w:t>
            </w:r>
            <w:r w:rsidRPr="00C67339">
              <w:rPr>
                <w:szCs w:val="22"/>
              </w:rPr>
              <w:t>be performed and documented.</w:t>
            </w:r>
          </w:p>
        </w:tc>
      </w:tr>
      <w:tr w:rsidR="004A2E03" w:rsidRPr="00C64711" w14:paraId="7A7F9DFB" w14:textId="77777777" w:rsidTr="00BC1A51">
        <w:tc>
          <w:tcPr>
            <w:cnfStyle w:val="001000000000" w:firstRow="0" w:lastRow="0" w:firstColumn="1" w:lastColumn="0" w:oddVBand="0" w:evenVBand="0" w:oddHBand="0" w:evenHBand="0" w:firstRowFirstColumn="0" w:firstRowLastColumn="0" w:lastRowFirstColumn="0" w:lastRowLastColumn="0"/>
            <w:tcW w:w="2972" w:type="dxa"/>
            <w:hideMark/>
          </w:tcPr>
          <w:p w14:paraId="6C43FAE5" w14:textId="77777777" w:rsidR="004A2E03" w:rsidRPr="00C67339" w:rsidRDefault="004A2E03" w:rsidP="00D549C7">
            <w:pPr>
              <w:rPr>
                <w:szCs w:val="22"/>
              </w:rPr>
            </w:pPr>
            <w:r w:rsidRPr="00C67339">
              <w:rPr>
                <w:szCs w:val="22"/>
              </w:rPr>
              <w:t>Completeness</w:t>
            </w:r>
          </w:p>
          <w:p w14:paraId="06FD0B92" w14:textId="77777777" w:rsidR="004A2E03" w:rsidRPr="00717F5E" w:rsidRDefault="004A2E03" w:rsidP="00D549C7">
            <w:pPr>
              <w:rPr>
                <w:b w:val="0"/>
                <w:szCs w:val="22"/>
              </w:rPr>
            </w:pPr>
            <w:r w:rsidRPr="00717F5E">
              <w:rPr>
                <w:b w:val="0"/>
                <w:szCs w:val="22"/>
              </w:rPr>
              <w:t>Subject to any applicable reporting thresholds, all emission sources identified in section 1.10 of the NGER Measurement Determination, and production and consumption of all fuels and energy commodities listed in Schedule 1 of the NGER Regulations, must be accounted for.</w:t>
            </w:r>
          </w:p>
        </w:tc>
        <w:tc>
          <w:tcPr>
            <w:tcW w:w="6804" w:type="dxa"/>
            <w:hideMark/>
          </w:tcPr>
          <w:p w14:paraId="34B19491" w14:textId="77777777" w:rsidR="004A2E03" w:rsidRPr="00C67339" w:rsidRDefault="004A2E03" w:rsidP="00B3330E">
            <w:pPr>
              <w:numPr>
                <w:ilvl w:val="0"/>
                <w:numId w:val="4"/>
              </w:numPr>
              <w:spacing w:after="120"/>
              <w:cnfStyle w:val="000000000000" w:firstRow="0" w:lastRow="0" w:firstColumn="0" w:lastColumn="0" w:oddVBand="0" w:evenVBand="0" w:oddHBand="0" w:evenHBand="0" w:firstRowFirstColumn="0" w:firstRowLastColumn="0" w:lastRowFirstColumn="0" w:lastRowLastColumn="0"/>
              <w:rPr>
                <w:szCs w:val="22"/>
              </w:rPr>
            </w:pPr>
            <w:r w:rsidRPr="00C67339">
              <w:rPr>
                <w:szCs w:val="22"/>
              </w:rPr>
              <w:t xml:space="preserve">All reportable emissions and energy </w:t>
            </w:r>
            <w:r w:rsidRPr="00C67339" w:rsidDel="00E62861">
              <w:rPr>
                <w:szCs w:val="22"/>
              </w:rPr>
              <w:t xml:space="preserve">should </w:t>
            </w:r>
            <w:r w:rsidRPr="00C67339">
              <w:rPr>
                <w:szCs w:val="22"/>
              </w:rPr>
              <w:t>be accounted for, including the fuel combustion emissions that occur through contractor activities considered to form part of the facility</w:t>
            </w:r>
            <w:r>
              <w:rPr>
                <w:szCs w:val="22"/>
              </w:rPr>
              <w:t xml:space="preserve">, </w:t>
            </w:r>
            <w:r w:rsidRPr="00C67339">
              <w:rPr>
                <w:szCs w:val="22"/>
              </w:rPr>
              <w:t>for example, for electricity transmission or distribution networks or contractor activities at new facility being commissioned within the operational control of the reporter.</w:t>
            </w:r>
          </w:p>
          <w:p w14:paraId="1B9D3ED1" w14:textId="77777777" w:rsidR="004A2E03" w:rsidRPr="00C67339" w:rsidRDefault="004A2E03" w:rsidP="00B3330E">
            <w:pPr>
              <w:numPr>
                <w:ilvl w:val="0"/>
                <w:numId w:val="4"/>
              </w:numPr>
              <w:spacing w:after="120"/>
              <w:cnfStyle w:val="000000000000" w:firstRow="0" w:lastRow="0" w:firstColumn="0" w:lastColumn="0" w:oddVBand="0" w:evenVBand="0" w:oddHBand="0" w:evenHBand="0" w:firstRowFirstColumn="0" w:firstRowLastColumn="0" w:lastRowFirstColumn="0" w:lastRowLastColumn="0"/>
              <w:rPr>
                <w:szCs w:val="22"/>
              </w:rPr>
            </w:pPr>
            <w:r w:rsidRPr="00C67339">
              <w:rPr>
                <w:szCs w:val="22"/>
              </w:rPr>
              <w:t>All energy production and consumption</w:t>
            </w:r>
            <w:r>
              <w:rPr>
                <w:szCs w:val="22"/>
              </w:rPr>
              <w:t xml:space="preserve">, </w:t>
            </w:r>
            <w:r w:rsidRPr="00C67339">
              <w:rPr>
                <w:szCs w:val="22"/>
              </w:rPr>
              <w:t>subject to relevant thresholds</w:t>
            </w:r>
            <w:r>
              <w:rPr>
                <w:szCs w:val="22"/>
              </w:rPr>
              <w:t>,</w:t>
            </w:r>
            <w:r w:rsidRPr="00C67339">
              <w:rPr>
                <w:szCs w:val="22"/>
              </w:rPr>
              <w:t xml:space="preserve"> </w:t>
            </w:r>
            <w:r w:rsidRPr="00C67339" w:rsidDel="00A03285">
              <w:rPr>
                <w:szCs w:val="22"/>
              </w:rPr>
              <w:t xml:space="preserve">should </w:t>
            </w:r>
            <w:r w:rsidRPr="00C67339">
              <w:rPr>
                <w:szCs w:val="22"/>
              </w:rPr>
              <w:t>be reported – including reporting the use of own produced electricity at electricity generators.</w:t>
            </w:r>
          </w:p>
        </w:tc>
      </w:tr>
    </w:tbl>
    <w:p w14:paraId="0CDCA005" w14:textId="77777777" w:rsidR="004A2E03" w:rsidRPr="00FF338C" w:rsidRDefault="004A2E03" w:rsidP="004A2E03"/>
    <w:p w14:paraId="06F3A0C8" w14:textId="77777777" w:rsidR="004A2E03" w:rsidRPr="00FF338C" w:rsidRDefault="004A2E03" w:rsidP="00DB4B56">
      <w:pPr>
        <w:pStyle w:val="Heading2"/>
        <w:numPr>
          <w:ilvl w:val="1"/>
          <w:numId w:val="3"/>
        </w:numPr>
        <w:ind w:left="426" w:hanging="426"/>
      </w:pPr>
      <w:bookmarkStart w:id="24" w:name="_Toc512010385"/>
      <w:bookmarkStart w:id="25" w:name="_Toc512339583"/>
      <w:bookmarkStart w:id="26" w:name="_Toc106705747"/>
      <w:bookmarkStart w:id="27" w:name="_Toc107922528"/>
      <w:r w:rsidRPr="00FF338C">
        <w:t>Applying the principles in the electricity sector</w:t>
      </w:r>
      <w:bookmarkEnd w:id="24"/>
      <w:bookmarkEnd w:id="25"/>
      <w:bookmarkEnd w:id="26"/>
      <w:bookmarkEnd w:id="27"/>
    </w:p>
    <w:p w14:paraId="4B6BDEA4" w14:textId="77777777" w:rsidR="004A2E03" w:rsidRPr="00FF338C" w:rsidRDefault="004A2E03" w:rsidP="004A2E03">
      <w:r>
        <w:t>E</w:t>
      </w:r>
      <w:r w:rsidRPr="00FF338C">
        <w:t>xecutive officer</w:t>
      </w:r>
      <w:r>
        <w:t>s</w:t>
      </w:r>
      <w:r w:rsidRPr="00FF338C">
        <w:t xml:space="preserve"> must approve the submission of a report to the </w:t>
      </w:r>
      <w:r>
        <w:t>agency</w:t>
      </w:r>
      <w:r w:rsidRPr="00FF338C">
        <w:t xml:space="preserve">, declaring that the report has been prepared in accordance with the NGER legislation. This includes confirming that the general principles have been appropriately applied. </w:t>
      </w:r>
    </w:p>
    <w:p w14:paraId="04490615" w14:textId="77777777" w:rsidR="004A2E03" w:rsidRPr="00FF338C" w:rsidRDefault="004A2E03" w:rsidP="004A2E03">
      <w:r w:rsidRPr="00FF338C">
        <w:t>Registered corporations and the accountable executive officer are responsible for determining appropriate internal reporting processes and controls.</w:t>
      </w:r>
      <w:r>
        <w:t xml:space="preserve"> </w:t>
      </w:r>
      <w:r w:rsidRPr="00FF338C">
        <w:t>In doing so, consideration should be given to the following key observations for electricity sector NGER reporting:</w:t>
      </w:r>
    </w:p>
    <w:p w14:paraId="007B1891" w14:textId="77777777" w:rsidR="004A2E03" w:rsidRPr="00FF338C" w:rsidRDefault="004A2E03" w:rsidP="00B3330E">
      <w:pPr>
        <w:numPr>
          <w:ilvl w:val="0"/>
          <w:numId w:val="1"/>
        </w:numPr>
        <w:spacing w:before="120" w:after="120"/>
        <w:rPr>
          <w:color w:val="auto"/>
        </w:rPr>
      </w:pPr>
      <w:r w:rsidRPr="006046BA">
        <w:t>NGER</w:t>
      </w:r>
      <w:r w:rsidRPr="006046BA">
        <w:rPr>
          <w:color w:val="auto"/>
        </w:rPr>
        <w:t xml:space="preserve"> process owner may potentially not control the source or activity data</w:t>
      </w:r>
      <w:r w:rsidRPr="00FF338C">
        <w:rPr>
          <w:color w:val="auto"/>
        </w:rPr>
        <w:t xml:space="preserve"> – at electricity sector entities</w:t>
      </w:r>
      <w:r>
        <w:rPr>
          <w:color w:val="auto"/>
        </w:rPr>
        <w:t>,</w:t>
      </w:r>
      <w:r w:rsidRPr="00FF338C">
        <w:rPr>
          <w:color w:val="auto"/>
        </w:rPr>
        <w:t xml:space="preserve"> the NGER reporting responsibility may be delegated to an individual with limited control over the activity and source data required to prepare the report.</w:t>
      </w:r>
    </w:p>
    <w:p w14:paraId="0D6A2A5A" w14:textId="77777777" w:rsidR="004A2E03" w:rsidRPr="00FF338C" w:rsidRDefault="004A2E03" w:rsidP="00B3330E">
      <w:pPr>
        <w:pStyle w:val="Sub-para"/>
        <w:numPr>
          <w:ilvl w:val="1"/>
          <w:numId w:val="1"/>
        </w:numPr>
      </w:pPr>
      <w:r w:rsidRPr="00FF338C">
        <w:t xml:space="preserve">The individual may have other </w:t>
      </w:r>
      <w:r>
        <w:t xml:space="preserve">daily </w:t>
      </w:r>
      <w:r w:rsidRPr="00FF338C">
        <w:t>responsibilities</w:t>
      </w:r>
      <w:r>
        <w:t xml:space="preserve">, for </w:t>
      </w:r>
      <w:r w:rsidRPr="00FF338C">
        <w:t>example an environmental advisor typically has primary responsibility for ensuring the electricity entity meets its environmental licence conditions.</w:t>
      </w:r>
    </w:p>
    <w:p w14:paraId="3CE77099" w14:textId="77777777" w:rsidR="004A2E03" w:rsidRPr="006C00B6" w:rsidRDefault="004A2E03" w:rsidP="00B3330E">
      <w:pPr>
        <w:pStyle w:val="Sub-para"/>
        <w:numPr>
          <w:ilvl w:val="1"/>
          <w:numId w:val="1"/>
        </w:numPr>
        <w:rPr>
          <w:b/>
        </w:rPr>
      </w:pPr>
      <w:r w:rsidRPr="00FF338C">
        <w:t xml:space="preserve">Whilst </w:t>
      </w:r>
      <w:r>
        <w:t xml:space="preserve">delegation of reporting responsibility </w:t>
      </w:r>
      <w:r w:rsidRPr="00FF338C">
        <w:t xml:space="preserve">may be appropriate for the report compilation process, it may be difficult under these circumstances for the NGER process owner to confirm whether data is complete and accurate. Reporters </w:t>
      </w:r>
      <w:r>
        <w:t xml:space="preserve">are responsible for having </w:t>
      </w:r>
      <w:r w:rsidRPr="00FF338C">
        <w:t>processes in place to ensure the quality of NGER data.</w:t>
      </w:r>
    </w:p>
    <w:p w14:paraId="15D781E0" w14:textId="77777777" w:rsidR="004A2E03" w:rsidRPr="00FF338C" w:rsidRDefault="004A2E03" w:rsidP="00B3330E">
      <w:pPr>
        <w:numPr>
          <w:ilvl w:val="0"/>
          <w:numId w:val="1"/>
        </w:numPr>
        <w:spacing w:before="120" w:after="120"/>
      </w:pPr>
      <w:r w:rsidRPr="006046BA">
        <w:t>Formalising reliance on existing data processes</w:t>
      </w:r>
      <w:r w:rsidRPr="00FF338C">
        <w:t xml:space="preserve"> – existing data processes controlled by different data owners may be suitable to rely upon for NGER reporting in the electricity sector, for example:</w:t>
      </w:r>
    </w:p>
    <w:p w14:paraId="079E39E8" w14:textId="77777777" w:rsidR="004A2E03" w:rsidRPr="00FF338C" w:rsidRDefault="004A2E03" w:rsidP="00B3330E">
      <w:pPr>
        <w:numPr>
          <w:ilvl w:val="1"/>
          <w:numId w:val="1"/>
        </w:numPr>
        <w:spacing w:before="120" w:after="120"/>
        <w:rPr>
          <w:color w:val="auto"/>
        </w:rPr>
      </w:pPr>
      <w:r w:rsidRPr="00FF338C">
        <w:rPr>
          <w:color w:val="auto"/>
        </w:rPr>
        <w:t>Electricity generation data, including delivery to an electricity network</w:t>
      </w:r>
      <w:r>
        <w:rPr>
          <w:color w:val="auto"/>
        </w:rPr>
        <w:t xml:space="preserve"> (</w:t>
      </w:r>
      <w:r w:rsidRPr="00FF338C">
        <w:rPr>
          <w:color w:val="auto"/>
        </w:rPr>
        <w:t>for example, the national electricity market</w:t>
      </w:r>
      <w:r>
        <w:rPr>
          <w:color w:val="auto"/>
        </w:rPr>
        <w:t>)</w:t>
      </w:r>
      <w:r w:rsidRPr="00FF338C">
        <w:rPr>
          <w:color w:val="auto"/>
        </w:rPr>
        <w:t xml:space="preserve"> to estimate and report energy production data. These data may be controlled by engineering or accounting departments.</w:t>
      </w:r>
    </w:p>
    <w:p w14:paraId="5C20305A" w14:textId="77777777" w:rsidR="004A2E03" w:rsidRPr="00FF338C" w:rsidRDefault="004A2E03" w:rsidP="00B3330E">
      <w:pPr>
        <w:numPr>
          <w:ilvl w:val="1"/>
          <w:numId w:val="1"/>
        </w:numPr>
        <w:spacing w:before="120" w:after="120"/>
        <w:rPr>
          <w:color w:val="auto"/>
        </w:rPr>
      </w:pPr>
      <w:r w:rsidRPr="00FF338C">
        <w:rPr>
          <w:color w:val="auto"/>
        </w:rPr>
        <w:t>Fuel consumption data measured based on invoices for fuel deliveries</w:t>
      </w:r>
      <w:r>
        <w:rPr>
          <w:color w:val="auto"/>
        </w:rPr>
        <w:t>, for example,</w:t>
      </w:r>
      <w:r w:rsidRPr="00FF338C">
        <w:rPr>
          <w:color w:val="auto"/>
        </w:rPr>
        <w:t xml:space="preserve"> criteria ‘A’ or ‘AA’</w:t>
      </w:r>
      <w:r>
        <w:rPr>
          <w:color w:val="auto"/>
        </w:rPr>
        <w:t xml:space="preserve">, see </w:t>
      </w:r>
      <w:hyperlink w:anchor="_Measurement_Criteria" w:history="1">
        <w:r>
          <w:rPr>
            <w:rStyle w:val="Hyperlink"/>
            <w:rFonts w:asciiTheme="minorHAnsi" w:hAnsiTheme="minorHAnsi"/>
          </w:rPr>
          <w:t>chapter</w:t>
        </w:r>
        <w:r w:rsidRPr="003420C7">
          <w:rPr>
            <w:rStyle w:val="Hyperlink"/>
            <w:rFonts w:asciiTheme="minorHAnsi" w:hAnsiTheme="minorHAnsi"/>
          </w:rPr>
          <w:t xml:space="preserve"> 8.1</w:t>
        </w:r>
      </w:hyperlink>
      <w:r>
        <w:rPr>
          <w:color w:val="auto"/>
        </w:rPr>
        <w:t xml:space="preserve"> of this guideline</w:t>
      </w:r>
      <w:r w:rsidRPr="00FF338C">
        <w:rPr>
          <w:color w:val="auto"/>
        </w:rPr>
        <w:t>. Purchasing or accounts teams may be in control of these data, with reconciliation of the amounts paid for fuel deliveries and recorded in the accounting system.</w:t>
      </w:r>
    </w:p>
    <w:p w14:paraId="59EBD9F1" w14:textId="77777777" w:rsidR="004A2E03" w:rsidRPr="00EE0C1D" w:rsidRDefault="004A2E03" w:rsidP="00B3330E">
      <w:pPr>
        <w:numPr>
          <w:ilvl w:val="0"/>
          <w:numId w:val="1"/>
        </w:numPr>
        <w:spacing w:before="120" w:after="120"/>
      </w:pPr>
      <w:r w:rsidRPr="006046BA">
        <w:t xml:space="preserve">Accountability for ensuring the data used for NGER reporting is complete and accurate </w:t>
      </w:r>
      <w:r w:rsidRPr="006046BA" w:rsidDel="00A30DCC">
        <w:t xml:space="preserve">should </w:t>
      </w:r>
      <w:r w:rsidRPr="006046BA">
        <w:t>be formalised.</w:t>
      </w:r>
      <w:r w:rsidRPr="003F37EC">
        <w:t xml:space="preserve"> This includes</w:t>
      </w:r>
      <w:r w:rsidRPr="00EE0C1D">
        <w:t>:</w:t>
      </w:r>
    </w:p>
    <w:p w14:paraId="4814C5F2" w14:textId="77777777" w:rsidR="004A2E03" w:rsidRPr="006046BA" w:rsidRDefault="004A2E03" w:rsidP="00B3330E">
      <w:pPr>
        <w:numPr>
          <w:ilvl w:val="1"/>
          <w:numId w:val="1"/>
        </w:numPr>
        <w:spacing w:before="120" w:after="120"/>
        <w:rPr>
          <w:color w:val="auto"/>
        </w:rPr>
      </w:pPr>
      <w:r w:rsidRPr="006046BA">
        <w:rPr>
          <w:color w:val="auto"/>
        </w:rPr>
        <w:t>Formal approval of completeness and accuracy of the annual activity data</w:t>
      </w:r>
      <w:r w:rsidRPr="005430DC">
        <w:rPr>
          <w:bCs/>
          <w:color w:val="auto"/>
        </w:rPr>
        <w:t xml:space="preserve">. </w:t>
      </w:r>
    </w:p>
    <w:p w14:paraId="5FFAB51F" w14:textId="77777777" w:rsidR="004A2E03" w:rsidRPr="00FF338C" w:rsidRDefault="004A2E03" w:rsidP="00B3330E">
      <w:pPr>
        <w:numPr>
          <w:ilvl w:val="1"/>
          <w:numId w:val="1"/>
        </w:numPr>
        <w:spacing w:before="120" w:after="120"/>
        <w:rPr>
          <w:color w:val="auto"/>
        </w:rPr>
      </w:pPr>
      <w:r w:rsidRPr="006046BA">
        <w:rPr>
          <w:color w:val="auto"/>
        </w:rPr>
        <w:t>Sense checks on total amounts to be reported</w:t>
      </w:r>
      <w:r w:rsidRPr="00FF338C">
        <w:rPr>
          <w:b/>
          <w:color w:val="auto"/>
        </w:rPr>
        <w:t xml:space="preserve"> </w:t>
      </w:r>
      <w:r>
        <w:rPr>
          <w:color w:val="auto"/>
        </w:rPr>
        <w:t>–</w:t>
      </w:r>
      <w:r w:rsidRPr="00FF338C">
        <w:rPr>
          <w:color w:val="auto"/>
        </w:rPr>
        <w:t xml:space="preserve"> where</w:t>
      </w:r>
      <w:r>
        <w:rPr>
          <w:color w:val="auto"/>
        </w:rPr>
        <w:t xml:space="preserve"> </w:t>
      </w:r>
      <w:r w:rsidRPr="00FF338C">
        <w:rPr>
          <w:color w:val="auto"/>
        </w:rPr>
        <w:t>possible, it can be useful to perform ‘sense-checks’ on total amounts to be reported in the NGER report to underlying systems.</w:t>
      </w:r>
    </w:p>
    <w:p w14:paraId="300348CB" w14:textId="77777777" w:rsidR="004A2E03" w:rsidRPr="00FF338C" w:rsidRDefault="004A2E03" w:rsidP="004A2E03">
      <w:pPr>
        <w:spacing w:before="120" w:after="120"/>
        <w:ind w:left="720"/>
        <w:rPr>
          <w:color w:val="auto"/>
        </w:rPr>
      </w:pPr>
      <w:r w:rsidRPr="00FF338C">
        <w:rPr>
          <w:color w:val="auto"/>
        </w:rPr>
        <w:t>For example, comparing the amount paid for fuel purchases during the year as recorded in the accounting system</w:t>
      </w:r>
      <w:r>
        <w:rPr>
          <w:color w:val="auto"/>
        </w:rPr>
        <w:t>,</w:t>
      </w:r>
      <w:r w:rsidRPr="00FF338C">
        <w:rPr>
          <w:color w:val="auto"/>
        </w:rPr>
        <w:t xml:space="preserve"> to the NGER quantities </w:t>
      </w:r>
      <w:r>
        <w:rPr>
          <w:color w:val="auto"/>
        </w:rPr>
        <w:t xml:space="preserve">to be reported </w:t>
      </w:r>
      <w:r w:rsidRPr="00FF338C">
        <w:rPr>
          <w:color w:val="auto"/>
        </w:rPr>
        <w:t>(</w:t>
      </w:r>
      <w:r>
        <w:rPr>
          <w:color w:val="auto"/>
        </w:rPr>
        <w:t>such as</w:t>
      </w:r>
      <w:r w:rsidRPr="00FF338C">
        <w:rPr>
          <w:color w:val="auto"/>
        </w:rPr>
        <w:t xml:space="preserve"> tonnes for solid fuel, or cubic metres for gaseous fuels), and sense-checking the implied amount paid per unit of fuel quantity. A similar analysis to accounting records may be feasible for electricity production data.</w:t>
      </w:r>
    </w:p>
    <w:p w14:paraId="090C681E" w14:textId="77777777" w:rsidR="004A2E03" w:rsidRPr="00FF338C" w:rsidRDefault="004A2E03" w:rsidP="004A2E03">
      <w:pPr>
        <w:spacing w:before="120" w:after="120"/>
        <w:ind w:left="720"/>
        <w:rPr>
          <w:color w:val="auto"/>
        </w:rPr>
      </w:pPr>
      <w:r w:rsidRPr="00FF338C">
        <w:rPr>
          <w:color w:val="auto"/>
        </w:rPr>
        <w:t>Such analysis can form part of the data-owner sign-off process.</w:t>
      </w:r>
    </w:p>
    <w:p w14:paraId="3C030E9B" w14:textId="77777777" w:rsidR="004A2E03" w:rsidRPr="00FF338C" w:rsidRDefault="004A2E03" w:rsidP="00B3330E">
      <w:pPr>
        <w:pStyle w:val="CERbullets"/>
        <w:numPr>
          <w:ilvl w:val="1"/>
          <w:numId w:val="1"/>
        </w:numPr>
      </w:pPr>
      <w:r w:rsidRPr="006046BA">
        <w:t>A formal process to manage changes and re-issue data</w:t>
      </w:r>
      <w:r w:rsidRPr="00FF338C">
        <w:t xml:space="preserve"> – in live production environments, changes to source measurements are common over the course of a reporting year and can be caused by a range of factors. Accordingly, formalising a process for notifying the individual(s) accountable for overall NGER reporting in instances where such changes occur can be beneficial.</w:t>
      </w:r>
    </w:p>
    <w:p w14:paraId="5C5423A1" w14:textId="77777777" w:rsidR="004A2E03" w:rsidRPr="00FF338C" w:rsidRDefault="004A2E03" w:rsidP="00B3330E">
      <w:pPr>
        <w:numPr>
          <w:ilvl w:val="0"/>
          <w:numId w:val="1"/>
        </w:numPr>
        <w:spacing w:before="120" w:after="120"/>
      </w:pPr>
      <w:r w:rsidRPr="006046BA">
        <w:t>Creating</w:t>
      </w:r>
      <w:r w:rsidRPr="006046BA">
        <w:rPr>
          <w:color w:val="auto"/>
        </w:rPr>
        <w:t xml:space="preserve"> a formal Basis of Preparation (</w:t>
      </w:r>
      <w:proofErr w:type="spellStart"/>
      <w:r w:rsidRPr="006046BA">
        <w:rPr>
          <w:color w:val="auto"/>
        </w:rPr>
        <w:t>BoP</w:t>
      </w:r>
      <w:proofErr w:type="spellEnd"/>
      <w:r w:rsidRPr="006046BA">
        <w:rPr>
          <w:color w:val="auto"/>
        </w:rPr>
        <w:t>)</w:t>
      </w:r>
      <w:r w:rsidRPr="00FF338C">
        <w:rPr>
          <w:b/>
          <w:color w:val="auto"/>
        </w:rPr>
        <w:t xml:space="preserve"> </w:t>
      </w:r>
      <w:r w:rsidRPr="00FF338C">
        <w:t xml:space="preserve">– </w:t>
      </w:r>
      <w:r w:rsidRPr="00FF338C">
        <w:rPr>
          <w:color w:val="auto"/>
        </w:rPr>
        <w:t xml:space="preserve">although not a mandatory requirement, a </w:t>
      </w:r>
      <w:proofErr w:type="spellStart"/>
      <w:r w:rsidRPr="00FF338C">
        <w:rPr>
          <w:color w:val="auto"/>
        </w:rPr>
        <w:t>BoP</w:t>
      </w:r>
      <w:proofErr w:type="spellEnd"/>
      <w:r w:rsidRPr="00FF338C">
        <w:rPr>
          <w:color w:val="auto"/>
        </w:rPr>
        <w:t xml:space="preserve"> supports a reporter in meeting NGER record keeping requirements under</w:t>
      </w:r>
      <w:r>
        <w:rPr>
          <w:color w:val="auto"/>
        </w:rPr>
        <w:t xml:space="preserve"> </w:t>
      </w:r>
      <w:r w:rsidRPr="00FF338C">
        <w:rPr>
          <w:color w:val="auto"/>
        </w:rPr>
        <w:t xml:space="preserve">section 22 of the NGER Act. A </w:t>
      </w:r>
      <w:proofErr w:type="spellStart"/>
      <w:r w:rsidRPr="00FF338C">
        <w:rPr>
          <w:color w:val="auto"/>
        </w:rPr>
        <w:t>BoP</w:t>
      </w:r>
      <w:proofErr w:type="spellEnd"/>
      <w:r w:rsidRPr="00FF338C">
        <w:rPr>
          <w:color w:val="auto"/>
        </w:rPr>
        <w:t xml:space="preserve"> illustrates the methodology by which a NGER report has been prepared, including details such as facility layout, data sources and calculation methods. </w:t>
      </w:r>
    </w:p>
    <w:p w14:paraId="22E7B0BB" w14:textId="77777777" w:rsidR="004A2E03" w:rsidRPr="00FF338C" w:rsidRDefault="004A2E03" w:rsidP="004A2E03">
      <w:pPr>
        <w:spacing w:before="120" w:after="120"/>
      </w:pPr>
      <w:r w:rsidRPr="00FF338C">
        <w:t xml:space="preserve">The </w:t>
      </w:r>
      <w:r>
        <w:t>agency</w:t>
      </w:r>
      <w:r w:rsidRPr="00FF338C">
        <w:t xml:space="preserve"> encourages reporters to </w:t>
      </w:r>
      <w:r>
        <w:t xml:space="preserve">voluntarily </w:t>
      </w:r>
      <w:r w:rsidRPr="00FF338C">
        <w:t>submit their BoP (or a summary thereof) with each year’s NGER report.</w:t>
      </w:r>
    </w:p>
    <w:p w14:paraId="2D73B639" w14:textId="77777777" w:rsidR="004A2E03" w:rsidRPr="00FF338C" w:rsidRDefault="004A2E03" w:rsidP="00DB4B56">
      <w:pPr>
        <w:pStyle w:val="Heading2"/>
        <w:numPr>
          <w:ilvl w:val="1"/>
          <w:numId w:val="3"/>
        </w:numPr>
        <w:ind w:left="426" w:hanging="426"/>
      </w:pPr>
      <w:bookmarkStart w:id="28" w:name="_Toc511376928"/>
      <w:bookmarkStart w:id="29" w:name="_Toc511388525"/>
      <w:bookmarkStart w:id="30" w:name="_Toc511389447"/>
      <w:bookmarkStart w:id="31" w:name="_Toc511392956"/>
      <w:bookmarkStart w:id="32" w:name="_Toc511654414"/>
      <w:bookmarkStart w:id="33" w:name="_Ref511925663"/>
      <w:bookmarkStart w:id="34" w:name="_Toc512010386"/>
      <w:bookmarkStart w:id="35" w:name="_Toc512339584"/>
      <w:bookmarkStart w:id="36" w:name="_Toc106705748"/>
      <w:bookmarkStart w:id="37" w:name="_Toc107922529"/>
      <w:r w:rsidRPr="00FF338C">
        <w:t xml:space="preserve">Working with </w:t>
      </w:r>
      <w:bookmarkEnd w:id="28"/>
      <w:bookmarkEnd w:id="29"/>
      <w:bookmarkEnd w:id="30"/>
      <w:bookmarkEnd w:id="31"/>
      <w:bookmarkEnd w:id="32"/>
      <w:bookmarkEnd w:id="33"/>
      <w:r w:rsidRPr="00FF338C">
        <w:t>financial and process control data</w:t>
      </w:r>
      <w:bookmarkEnd w:id="34"/>
      <w:bookmarkEnd w:id="35"/>
      <w:bookmarkEnd w:id="36"/>
      <w:bookmarkEnd w:id="37"/>
    </w:p>
    <w:p w14:paraId="4B227CB4" w14:textId="77777777" w:rsidR="004A2E03" w:rsidRPr="00FF338C" w:rsidRDefault="004A2E03" w:rsidP="004A2E03">
      <w:pPr>
        <w:spacing w:before="120" w:after="120"/>
      </w:pPr>
      <w:r w:rsidRPr="00FF338C">
        <w:t xml:space="preserve">Facilities constituted by electricity generation, transmission and distribution activities are characterised by a high degree of metering and measurement conducted for both financial and process control purposes. Typical parameters which are directly metered include electricity consumed, electricity produced, electricity </w:t>
      </w:r>
      <w:proofErr w:type="gramStart"/>
      <w:r w:rsidRPr="00FF338C">
        <w:t>sold</w:t>
      </w:r>
      <w:proofErr w:type="gramEnd"/>
      <w:r w:rsidRPr="00FF338C">
        <w:t xml:space="preserve"> and fuels purchased. Meters and other measurement devices can be owned and controlled </w:t>
      </w:r>
      <w:r>
        <w:t xml:space="preserve">by </w:t>
      </w:r>
      <w:r w:rsidRPr="00FF338C">
        <w:t xml:space="preserve">the reporting organisation, or by customers, </w:t>
      </w:r>
      <w:proofErr w:type="gramStart"/>
      <w:r w:rsidRPr="00FF338C">
        <w:t>vendors</w:t>
      </w:r>
      <w:proofErr w:type="gramEnd"/>
      <w:r w:rsidRPr="00FF338C">
        <w:t xml:space="preserve"> and third-party intermediaries.</w:t>
      </w:r>
    </w:p>
    <w:p w14:paraId="0516D09F" w14:textId="77777777" w:rsidR="004A2E03" w:rsidRPr="00FF338C" w:rsidRDefault="004A2E03" w:rsidP="004A2E03">
      <w:pPr>
        <w:spacing w:before="120" w:after="120"/>
      </w:pPr>
      <w:r w:rsidRPr="00FF338C">
        <w:t>Much of this metered information may be suitable for use in the preparation of NGER reports. Staff responsible for process control and financial accounting are usually important contributors to a complete and accurate NGER report and should be involved in ensuring that the measurement requirements for NGER reporting are met and appropriately documented.</w:t>
      </w:r>
    </w:p>
    <w:p w14:paraId="574E2553" w14:textId="77777777" w:rsidR="004A2E03" w:rsidRPr="00FF338C" w:rsidRDefault="004A2E03" w:rsidP="004A2E03">
      <w:r w:rsidRPr="00FF338C">
        <w:t xml:space="preserve">NGER can be prescriptive in terms of the location of metering points (for example, measuring electricity production ‘at the terminals’), the types of measurement devices </w:t>
      </w:r>
      <w:r>
        <w:t xml:space="preserve">and how they are to be </w:t>
      </w:r>
      <w:r w:rsidRPr="00FF338C">
        <w:t xml:space="preserve">calibrated, and the extent of sampling which is considered representative. </w:t>
      </w:r>
      <w:r>
        <w:t xml:space="preserve">These requirements are described in </w:t>
      </w:r>
      <w:hyperlink w:anchor="_Estimating_emissions_from">
        <w:r w:rsidRPr="070B1765">
          <w:rPr>
            <w:rStyle w:val="Hyperlink"/>
            <w:rFonts w:asciiTheme="minorHAnsi" w:hAnsiTheme="minorHAnsi"/>
          </w:rPr>
          <w:t>chapter 4</w:t>
        </w:r>
      </w:hyperlink>
      <w:r>
        <w:t xml:space="preserve"> and </w:t>
      </w:r>
      <w:hyperlink w:anchor="_Measurement_requirements">
        <w:r w:rsidRPr="070B1765">
          <w:rPr>
            <w:rStyle w:val="Hyperlink"/>
            <w:rFonts w:asciiTheme="minorHAnsi" w:hAnsiTheme="minorHAnsi"/>
          </w:rPr>
          <w:t>chapter 8</w:t>
        </w:r>
      </w:hyperlink>
      <w:r>
        <w:t xml:space="preserve"> of this guideline.</w:t>
      </w:r>
    </w:p>
    <w:p w14:paraId="6BFAB884" w14:textId="77777777" w:rsidR="004A2E03" w:rsidRPr="00FF338C" w:rsidRDefault="004A2E03" w:rsidP="00B3330E">
      <w:pPr>
        <w:pStyle w:val="Heading1"/>
        <w:numPr>
          <w:ilvl w:val="0"/>
          <w:numId w:val="3"/>
        </w:numPr>
        <w:rPr>
          <w:lang w:val="en-GB"/>
        </w:rPr>
      </w:pPr>
      <w:bookmarkStart w:id="38" w:name="_Toc512010387"/>
      <w:bookmarkStart w:id="39" w:name="_Toc512339585"/>
      <w:bookmarkStart w:id="40" w:name="_Toc106705749"/>
      <w:bookmarkStart w:id="41" w:name="_Toc107922530"/>
      <w:r w:rsidRPr="00FF338C">
        <w:rPr>
          <w:lang w:val="en-GB"/>
        </w:rPr>
        <w:t>General principles on estimating scope 1 emissions</w:t>
      </w:r>
      <w:bookmarkEnd w:id="38"/>
      <w:bookmarkEnd w:id="39"/>
      <w:bookmarkEnd w:id="40"/>
      <w:bookmarkEnd w:id="41"/>
    </w:p>
    <w:p w14:paraId="0C859837" w14:textId="77777777" w:rsidR="004A2E03" w:rsidRPr="00FF338C" w:rsidRDefault="004A2E03" w:rsidP="004A2E03">
      <w:r w:rsidRPr="00FF338C">
        <w:t>Direct, or scope 1 emissions</w:t>
      </w:r>
      <w:r>
        <w:t>,</w:t>
      </w:r>
      <w:r w:rsidRPr="00FF338C">
        <w:t xml:space="preserve"> are defined in NGER Regulation 2.23 as </w:t>
      </w:r>
      <w:r w:rsidRPr="003F37EC">
        <w:t>‘</w:t>
      </w:r>
      <w:r w:rsidRPr="00C67339">
        <w:t xml:space="preserve">the release of greenhouse gas into the atmosphere as a direct result of an activity or series of activities (including ancillary activities) that constitute the facility’. </w:t>
      </w:r>
    </w:p>
    <w:p w14:paraId="7C2D3DFC" w14:textId="77777777" w:rsidR="004A2E03" w:rsidRPr="00FF338C" w:rsidRDefault="004A2E03" w:rsidP="00DB4B56">
      <w:pPr>
        <w:pStyle w:val="Heading2"/>
        <w:numPr>
          <w:ilvl w:val="1"/>
          <w:numId w:val="3"/>
        </w:numPr>
        <w:ind w:left="426" w:hanging="426"/>
      </w:pPr>
      <w:bookmarkStart w:id="42" w:name="_Toc512010388"/>
      <w:bookmarkStart w:id="43" w:name="_Toc512339586"/>
      <w:bookmarkStart w:id="44" w:name="_Toc106705750"/>
      <w:bookmarkStart w:id="45" w:name="_Toc107922531"/>
      <w:r w:rsidRPr="00FF338C">
        <w:t>Common emissions sources for the electricity sector</w:t>
      </w:r>
      <w:bookmarkEnd w:id="42"/>
      <w:bookmarkEnd w:id="43"/>
      <w:bookmarkEnd w:id="44"/>
      <w:bookmarkEnd w:id="45"/>
    </w:p>
    <w:p w14:paraId="6EAFDBBD" w14:textId="77777777" w:rsidR="004A2E03" w:rsidRPr="00FF338C" w:rsidRDefault="004A2E03" w:rsidP="004A2E03">
      <w:r>
        <w:t xml:space="preserve">Sources of </w:t>
      </w:r>
      <w:r w:rsidRPr="00FF338C">
        <w:t xml:space="preserve">emissions </w:t>
      </w:r>
      <w:r>
        <w:t xml:space="preserve">that </w:t>
      </w:r>
      <w:r w:rsidRPr="00FF338C">
        <w:t xml:space="preserve">are reportable under the NGER legislation are defined under section 1.10 of the </w:t>
      </w:r>
      <w:r>
        <w:t>NGER Measurement Determination</w:t>
      </w:r>
      <w:r w:rsidRPr="00FF338C">
        <w:t>. Sources of scope 1 emissions that are common to facilities in the electricity sector</w:t>
      </w:r>
      <w:r w:rsidRPr="00FF338C" w:rsidDel="00EA71F7">
        <w:t xml:space="preserve"> </w:t>
      </w:r>
      <w:r w:rsidRPr="00FF338C">
        <w:t xml:space="preserve">are shown </w:t>
      </w:r>
      <w:r>
        <w:t>below</w:t>
      </w:r>
      <w:r w:rsidRPr="00FF338C">
        <w:t>.</w:t>
      </w:r>
    </w:p>
    <w:p w14:paraId="6B8DD0C7" w14:textId="77777777" w:rsidR="004A2E03" w:rsidRPr="00FF338C" w:rsidRDefault="004A2E03" w:rsidP="004A2E03">
      <w:pPr>
        <w:pStyle w:val="Caption"/>
        <w:keepNext/>
      </w:pPr>
      <w:bookmarkStart w:id="46" w:name="_Ref511888679"/>
      <w:r w:rsidRPr="00FF338C">
        <w:t xml:space="preserve">Table </w:t>
      </w:r>
      <w:r>
        <w:fldChar w:fldCharType="begin"/>
      </w:r>
      <w:r>
        <w:instrText>SEQ Table \* ARABIC</w:instrText>
      </w:r>
      <w:r>
        <w:fldChar w:fldCharType="separate"/>
      </w:r>
      <w:r>
        <w:rPr>
          <w:noProof/>
        </w:rPr>
        <w:t>3</w:t>
      </w:r>
      <w:r>
        <w:fldChar w:fldCharType="end"/>
      </w:r>
      <w:bookmarkEnd w:id="46"/>
      <w:r w:rsidRPr="00FF338C">
        <w:t xml:space="preserve"> – Common scope 1 emissions sources in the electricity sector</w:t>
      </w:r>
    </w:p>
    <w:tbl>
      <w:tblPr>
        <w:tblStyle w:val="CERTable"/>
        <w:tblW w:w="9776" w:type="dxa"/>
        <w:tblLook w:val="06A0" w:firstRow="1" w:lastRow="0" w:firstColumn="1" w:lastColumn="0" w:noHBand="1" w:noVBand="1"/>
      </w:tblPr>
      <w:tblGrid>
        <w:gridCol w:w="2018"/>
        <w:gridCol w:w="7758"/>
      </w:tblGrid>
      <w:tr w:rsidR="004A2E03" w:rsidRPr="00C64711" w14:paraId="4BE02872" w14:textId="77777777" w:rsidTr="00BC1A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hideMark/>
          </w:tcPr>
          <w:p w14:paraId="3A8F4A85" w14:textId="77777777" w:rsidR="004A2E03" w:rsidRPr="00C67339" w:rsidRDefault="004A2E03" w:rsidP="00D549C7">
            <w:pPr>
              <w:rPr>
                <w:szCs w:val="22"/>
              </w:rPr>
            </w:pPr>
            <w:r w:rsidRPr="00C67339">
              <w:rPr>
                <w:szCs w:val="22"/>
              </w:rPr>
              <w:t>Emissions source</w:t>
            </w:r>
          </w:p>
        </w:tc>
        <w:tc>
          <w:tcPr>
            <w:tcW w:w="8080" w:type="dxa"/>
            <w:hideMark/>
          </w:tcPr>
          <w:p w14:paraId="262A9D45" w14:textId="77777777" w:rsidR="004A2E03" w:rsidRPr="00C67339" w:rsidRDefault="004A2E03" w:rsidP="00D549C7">
            <w:pPr>
              <w:cnfStyle w:val="100000000000" w:firstRow="1" w:lastRow="0" w:firstColumn="0" w:lastColumn="0" w:oddVBand="0" w:evenVBand="0" w:oddHBand="0" w:evenHBand="0" w:firstRowFirstColumn="0" w:firstRowLastColumn="0" w:lastRowFirstColumn="0" w:lastRowLastColumn="0"/>
              <w:rPr>
                <w:szCs w:val="22"/>
              </w:rPr>
            </w:pPr>
            <w:r w:rsidRPr="00C67339">
              <w:rPr>
                <w:szCs w:val="22"/>
              </w:rPr>
              <w:t>Typical electricity sector activity causing emissions</w:t>
            </w:r>
          </w:p>
        </w:tc>
      </w:tr>
      <w:tr w:rsidR="004A2E03" w:rsidRPr="00C64711" w14:paraId="5E96408F" w14:textId="77777777" w:rsidTr="00BC1A51">
        <w:tc>
          <w:tcPr>
            <w:cnfStyle w:val="001000000000" w:firstRow="0" w:lastRow="0" w:firstColumn="1" w:lastColumn="0" w:oddVBand="0" w:evenVBand="0" w:oddHBand="0" w:evenHBand="0" w:firstRowFirstColumn="0" w:firstRowLastColumn="0" w:lastRowFirstColumn="0" w:lastRowLastColumn="0"/>
            <w:tcW w:w="1696" w:type="dxa"/>
            <w:vMerge w:val="restart"/>
          </w:tcPr>
          <w:p w14:paraId="717C8915" w14:textId="77777777" w:rsidR="004A2E03" w:rsidRPr="00C67339" w:rsidRDefault="004A2E03" w:rsidP="00D549C7">
            <w:pPr>
              <w:rPr>
                <w:szCs w:val="22"/>
              </w:rPr>
            </w:pPr>
            <w:r w:rsidRPr="00C67339">
              <w:rPr>
                <w:szCs w:val="22"/>
              </w:rPr>
              <w:t>Fuel combustion</w:t>
            </w:r>
          </w:p>
          <w:p w14:paraId="51A3EB81" w14:textId="77777777" w:rsidR="004A2E03" w:rsidRPr="00256727" w:rsidRDefault="004A2E03" w:rsidP="00D549C7">
            <w:pPr>
              <w:rPr>
                <w:b w:val="0"/>
                <w:szCs w:val="22"/>
              </w:rPr>
            </w:pPr>
            <w:r w:rsidRPr="00256727">
              <w:rPr>
                <w:b w:val="0"/>
                <w:szCs w:val="22"/>
              </w:rPr>
              <w:t>(Item 1A in s1.10)</w:t>
            </w:r>
          </w:p>
          <w:p w14:paraId="188E9DE4" w14:textId="77777777" w:rsidR="004A2E03" w:rsidRPr="00C67339" w:rsidRDefault="004A2E03" w:rsidP="00D549C7">
            <w:pPr>
              <w:rPr>
                <w:szCs w:val="22"/>
              </w:rPr>
            </w:pPr>
            <w:r w:rsidRPr="00256727">
              <w:rPr>
                <w:b w:val="0"/>
                <w:szCs w:val="22"/>
              </w:rPr>
              <w:t xml:space="preserve">See </w:t>
            </w:r>
            <w:hyperlink w:anchor="_Estimating_emissions_from" w:history="1">
              <w:r w:rsidRPr="00256727">
                <w:rPr>
                  <w:rStyle w:val="Hyperlink"/>
                  <w:rFonts w:asciiTheme="minorHAnsi" w:hAnsiTheme="minorHAnsi"/>
                  <w:b w:val="0"/>
                  <w:szCs w:val="22"/>
                </w:rPr>
                <w:t>chapter 4</w:t>
              </w:r>
            </w:hyperlink>
            <w:r w:rsidRPr="00256727">
              <w:rPr>
                <w:b w:val="0"/>
                <w:szCs w:val="22"/>
              </w:rPr>
              <w:t xml:space="preserve"> of this </w:t>
            </w:r>
            <w:r w:rsidRPr="00256727">
              <w:rPr>
                <w:b w:val="0"/>
              </w:rPr>
              <w:t>guideline</w:t>
            </w:r>
            <w:r w:rsidRPr="00256727">
              <w:rPr>
                <w:b w:val="0"/>
                <w:szCs w:val="22"/>
              </w:rPr>
              <w:t>.</w:t>
            </w:r>
          </w:p>
        </w:tc>
        <w:tc>
          <w:tcPr>
            <w:tcW w:w="8080" w:type="dxa"/>
          </w:tcPr>
          <w:p w14:paraId="324BE821" w14:textId="77777777" w:rsidR="004A2E03" w:rsidRPr="00C67339" w:rsidRDefault="004A2E03" w:rsidP="00D549C7">
            <w:pPr>
              <w:spacing w:after="120"/>
              <w:cnfStyle w:val="000000000000" w:firstRow="0" w:lastRow="0" w:firstColumn="0" w:lastColumn="0" w:oddVBand="0" w:evenVBand="0" w:oddHBand="0" w:evenHBand="0" w:firstRowFirstColumn="0" w:firstRowLastColumn="0" w:lastRowFirstColumn="0" w:lastRowLastColumn="0"/>
              <w:rPr>
                <w:rFonts w:cs="Arial"/>
                <w:b/>
                <w:color w:val="000000"/>
                <w:szCs w:val="22"/>
              </w:rPr>
            </w:pPr>
            <w:r w:rsidRPr="00C67339">
              <w:rPr>
                <w:rFonts w:cs="Arial"/>
                <w:b/>
                <w:color w:val="000000"/>
                <w:szCs w:val="22"/>
              </w:rPr>
              <w:t>Electricity generation purposes</w:t>
            </w:r>
          </w:p>
          <w:p w14:paraId="25150B96" w14:textId="77777777" w:rsidR="004A2E03" w:rsidRPr="00C67339" w:rsidRDefault="004A2E03" w:rsidP="00D549C7">
            <w:pPr>
              <w:spacing w:after="12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 xml:space="preserve">This is combustion </w:t>
            </w:r>
            <w:r w:rsidRPr="00C67339">
              <w:rPr>
                <w:rFonts w:cs="Arial"/>
                <w:color w:val="000000"/>
                <w:szCs w:val="22"/>
              </w:rPr>
              <w:t xml:space="preserve">of fuel to generate electricity either for use in own facility or for use </w:t>
            </w:r>
            <w:r>
              <w:rPr>
                <w:rFonts w:cs="Arial"/>
                <w:color w:val="000000"/>
                <w:szCs w:val="22"/>
              </w:rPr>
              <w:t xml:space="preserve">in an </w:t>
            </w:r>
            <w:r w:rsidRPr="00C67339">
              <w:rPr>
                <w:rFonts w:cs="Arial"/>
                <w:color w:val="000000"/>
                <w:szCs w:val="22"/>
              </w:rPr>
              <w:t>outside facility (including delivery into an electricity network). These are the most significant emissions from the sector. Examples include:</w:t>
            </w:r>
          </w:p>
          <w:p w14:paraId="336A4BEA" w14:textId="77777777" w:rsidR="004A2E03" w:rsidRPr="00C67339" w:rsidRDefault="004A2E03" w:rsidP="00B3330E">
            <w:pPr>
              <w:numPr>
                <w:ilvl w:val="0"/>
                <w:numId w:val="1"/>
              </w:numPr>
              <w:spacing w:after="120"/>
              <w:cnfStyle w:val="000000000000" w:firstRow="0" w:lastRow="0" w:firstColumn="0" w:lastColumn="0" w:oddVBand="0" w:evenVBand="0" w:oddHBand="0" w:evenHBand="0" w:firstRowFirstColumn="0" w:firstRowLastColumn="0" w:lastRowFirstColumn="0" w:lastRowLastColumn="0"/>
              <w:rPr>
                <w:color w:val="auto"/>
                <w:kern w:val="0"/>
                <w:szCs w:val="22"/>
              </w:rPr>
            </w:pPr>
            <w:r w:rsidRPr="00C67339">
              <w:rPr>
                <w:color w:val="auto"/>
                <w:szCs w:val="22"/>
              </w:rPr>
              <w:t>coal fired power station (solid fuel combustion)</w:t>
            </w:r>
          </w:p>
          <w:p w14:paraId="0FEF225B" w14:textId="77777777" w:rsidR="004A2E03" w:rsidRPr="00C67339" w:rsidRDefault="004A2E03" w:rsidP="00B3330E">
            <w:pPr>
              <w:numPr>
                <w:ilvl w:val="0"/>
                <w:numId w:val="1"/>
              </w:numPr>
              <w:spacing w:after="120"/>
              <w:cnfStyle w:val="000000000000" w:firstRow="0" w:lastRow="0" w:firstColumn="0" w:lastColumn="0" w:oddVBand="0" w:evenVBand="0" w:oddHBand="0" w:evenHBand="0" w:firstRowFirstColumn="0" w:firstRowLastColumn="0" w:lastRowFirstColumn="0" w:lastRowLastColumn="0"/>
              <w:rPr>
                <w:color w:val="auto"/>
                <w:kern w:val="0"/>
                <w:szCs w:val="22"/>
              </w:rPr>
            </w:pPr>
            <w:r w:rsidRPr="00C67339">
              <w:rPr>
                <w:color w:val="auto"/>
                <w:szCs w:val="22"/>
              </w:rPr>
              <w:t>gas fired power station (gaseous fuel combustion)</w:t>
            </w:r>
          </w:p>
          <w:p w14:paraId="6405C86F" w14:textId="77777777" w:rsidR="004A2E03" w:rsidRPr="00C67339" w:rsidRDefault="004A2E03" w:rsidP="00B3330E">
            <w:pPr>
              <w:numPr>
                <w:ilvl w:val="0"/>
                <w:numId w:val="1"/>
              </w:numPr>
              <w:spacing w:after="12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C67339">
              <w:rPr>
                <w:color w:val="auto"/>
                <w:szCs w:val="22"/>
              </w:rPr>
              <w:t>diesel fired</w:t>
            </w:r>
            <w:r w:rsidRPr="00C67339">
              <w:rPr>
                <w:szCs w:val="22"/>
              </w:rPr>
              <w:t xml:space="preserve"> electricity generator (liquid fuel combustion)</w:t>
            </w:r>
            <w:r>
              <w:rPr>
                <w:szCs w:val="22"/>
              </w:rPr>
              <w:t>.</w:t>
            </w:r>
          </w:p>
          <w:p w14:paraId="4CE74030" w14:textId="77777777" w:rsidR="004A2E03" w:rsidRPr="003F37EC" w:rsidRDefault="004A2E03" w:rsidP="00256727">
            <w:pPr>
              <w:pStyle w:val="CERbullets"/>
              <w:ind w:left="422" w:hanging="422"/>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6046BA">
              <w:rPr>
                <w:szCs w:val="22"/>
              </w:rPr>
              <w:t>Note</w:t>
            </w:r>
            <w:r w:rsidRPr="005430DC">
              <w:rPr>
                <w:bCs/>
                <w:szCs w:val="22"/>
              </w:rPr>
              <w:t>: It</w:t>
            </w:r>
            <w:r w:rsidRPr="003F37EC">
              <w:rPr>
                <w:szCs w:val="22"/>
              </w:rPr>
              <w:t xml:space="preserve"> is important t</w:t>
            </w:r>
            <w:r>
              <w:rPr>
                <w:szCs w:val="22"/>
              </w:rPr>
              <w:t xml:space="preserve">hat </w:t>
            </w:r>
            <w:r w:rsidRPr="003F37EC">
              <w:rPr>
                <w:szCs w:val="22"/>
              </w:rPr>
              <w:t>fuel combustion for electricity</w:t>
            </w:r>
            <w:r>
              <w:rPr>
                <w:szCs w:val="22"/>
              </w:rPr>
              <w:t xml:space="preserve"> generation</w:t>
            </w:r>
            <w:r w:rsidRPr="003F37EC">
              <w:rPr>
                <w:szCs w:val="22"/>
              </w:rPr>
              <w:t xml:space="preserve"> purpose</w:t>
            </w:r>
            <w:r>
              <w:rPr>
                <w:szCs w:val="22"/>
              </w:rPr>
              <w:t>s be reported</w:t>
            </w:r>
            <w:r w:rsidRPr="003F37EC">
              <w:rPr>
                <w:szCs w:val="22"/>
              </w:rPr>
              <w:t xml:space="preserve"> as such, and </w:t>
            </w:r>
            <w:r w:rsidRPr="00C67339">
              <w:rPr>
                <w:szCs w:val="22"/>
              </w:rPr>
              <w:t>not</w:t>
            </w:r>
            <w:r>
              <w:rPr>
                <w:szCs w:val="22"/>
              </w:rPr>
              <w:t xml:space="preserve"> reported</w:t>
            </w:r>
            <w:r w:rsidRPr="00C67339">
              <w:rPr>
                <w:szCs w:val="22"/>
              </w:rPr>
              <w:t xml:space="preserve"> as fuel combustion for stationary energy purposes</w:t>
            </w:r>
            <w:r w:rsidRPr="003F37EC">
              <w:rPr>
                <w:szCs w:val="22"/>
              </w:rPr>
              <w:t>.</w:t>
            </w:r>
          </w:p>
        </w:tc>
      </w:tr>
      <w:tr w:rsidR="004A2E03" w:rsidRPr="00C64711" w14:paraId="51D906E6" w14:textId="77777777" w:rsidTr="00BC1A51">
        <w:tc>
          <w:tcPr>
            <w:cnfStyle w:val="001000000000" w:firstRow="0" w:lastRow="0" w:firstColumn="1" w:lastColumn="0" w:oddVBand="0" w:evenVBand="0" w:oddHBand="0" w:evenHBand="0" w:firstRowFirstColumn="0" w:firstRowLastColumn="0" w:lastRowFirstColumn="0" w:lastRowLastColumn="0"/>
            <w:tcW w:w="1696" w:type="dxa"/>
            <w:vMerge/>
          </w:tcPr>
          <w:p w14:paraId="4537A6F5" w14:textId="77777777" w:rsidR="004A2E03" w:rsidRPr="00C67339" w:rsidRDefault="004A2E03" w:rsidP="00D549C7">
            <w:pPr>
              <w:rPr>
                <w:b w:val="0"/>
                <w:szCs w:val="22"/>
              </w:rPr>
            </w:pPr>
          </w:p>
        </w:tc>
        <w:tc>
          <w:tcPr>
            <w:tcW w:w="8080" w:type="dxa"/>
          </w:tcPr>
          <w:p w14:paraId="030CEC42" w14:textId="77777777" w:rsidR="004A2E03" w:rsidRPr="00C67339" w:rsidRDefault="004A2E03" w:rsidP="00D549C7">
            <w:pPr>
              <w:spacing w:after="120"/>
              <w:cnfStyle w:val="000000000000" w:firstRow="0" w:lastRow="0" w:firstColumn="0" w:lastColumn="0" w:oddVBand="0" w:evenVBand="0" w:oddHBand="0" w:evenHBand="0" w:firstRowFirstColumn="0" w:firstRowLastColumn="0" w:lastRowFirstColumn="0" w:lastRowLastColumn="0"/>
              <w:rPr>
                <w:b/>
                <w:szCs w:val="22"/>
              </w:rPr>
            </w:pPr>
            <w:r w:rsidRPr="00C67339">
              <w:rPr>
                <w:b/>
                <w:szCs w:val="22"/>
              </w:rPr>
              <w:t>Stationary energy purposes</w:t>
            </w:r>
          </w:p>
          <w:p w14:paraId="21D05EFE" w14:textId="77777777" w:rsidR="004A2E03" w:rsidRPr="00C67339" w:rsidRDefault="004A2E03" w:rsidP="00D549C7">
            <w:pPr>
              <w:spacing w:after="120"/>
              <w:cnfStyle w:val="000000000000" w:firstRow="0" w:lastRow="0" w:firstColumn="0" w:lastColumn="0" w:oddVBand="0" w:evenVBand="0" w:oddHBand="0" w:evenHBand="0" w:firstRowFirstColumn="0" w:firstRowLastColumn="0" w:lastRowFirstColumn="0" w:lastRowLastColumn="0"/>
              <w:rPr>
                <w:b/>
                <w:szCs w:val="22"/>
              </w:rPr>
            </w:pPr>
            <w:r>
              <w:rPr>
                <w:szCs w:val="22"/>
              </w:rPr>
              <w:t xml:space="preserve">This is combustion </w:t>
            </w:r>
            <w:r w:rsidRPr="00C67339">
              <w:rPr>
                <w:szCs w:val="22"/>
              </w:rPr>
              <w:t>of fuel to power stationary equipment on site. Stationary equipment includes any onsite mobile equipment that is not road-registered, such as a diesel-powered dozer.</w:t>
            </w:r>
          </w:p>
        </w:tc>
      </w:tr>
      <w:tr w:rsidR="004A2E03" w:rsidRPr="00C64711" w14:paraId="5762D53C" w14:textId="77777777" w:rsidTr="00BC1A51">
        <w:tc>
          <w:tcPr>
            <w:cnfStyle w:val="001000000000" w:firstRow="0" w:lastRow="0" w:firstColumn="1" w:lastColumn="0" w:oddVBand="0" w:evenVBand="0" w:oddHBand="0" w:evenHBand="0" w:firstRowFirstColumn="0" w:firstRowLastColumn="0" w:lastRowFirstColumn="0" w:lastRowLastColumn="0"/>
            <w:tcW w:w="1696" w:type="dxa"/>
            <w:vMerge/>
          </w:tcPr>
          <w:p w14:paraId="0DEA811F" w14:textId="77777777" w:rsidR="004A2E03" w:rsidRPr="00C67339" w:rsidRDefault="004A2E03" w:rsidP="00D549C7">
            <w:pPr>
              <w:rPr>
                <w:b w:val="0"/>
                <w:szCs w:val="22"/>
              </w:rPr>
            </w:pPr>
          </w:p>
        </w:tc>
        <w:tc>
          <w:tcPr>
            <w:tcW w:w="8080" w:type="dxa"/>
          </w:tcPr>
          <w:p w14:paraId="78683463" w14:textId="77777777" w:rsidR="004A2E03" w:rsidRPr="00C67339" w:rsidRDefault="004A2E03" w:rsidP="00D549C7">
            <w:pPr>
              <w:spacing w:after="120"/>
              <w:cnfStyle w:val="000000000000" w:firstRow="0" w:lastRow="0" w:firstColumn="0" w:lastColumn="0" w:oddVBand="0" w:evenVBand="0" w:oddHBand="0" w:evenHBand="0" w:firstRowFirstColumn="0" w:firstRowLastColumn="0" w:lastRowFirstColumn="0" w:lastRowLastColumn="0"/>
              <w:rPr>
                <w:b/>
                <w:szCs w:val="22"/>
              </w:rPr>
            </w:pPr>
            <w:r w:rsidRPr="00C67339">
              <w:rPr>
                <w:b/>
                <w:szCs w:val="22"/>
              </w:rPr>
              <w:t>Transport energy purposes</w:t>
            </w:r>
          </w:p>
          <w:p w14:paraId="50AEA7A9" w14:textId="77777777" w:rsidR="004A2E03" w:rsidRPr="00C67339" w:rsidRDefault="004A2E03" w:rsidP="00D549C7">
            <w:pPr>
              <w:spacing w:after="120"/>
              <w:cnfStyle w:val="000000000000" w:firstRow="0" w:lastRow="0" w:firstColumn="0" w:lastColumn="0" w:oddVBand="0" w:evenVBand="0" w:oddHBand="0" w:evenHBand="0" w:firstRowFirstColumn="0" w:firstRowLastColumn="0" w:lastRowFirstColumn="0" w:lastRowLastColumn="0"/>
              <w:rPr>
                <w:szCs w:val="22"/>
              </w:rPr>
            </w:pPr>
            <w:r>
              <w:rPr>
                <w:szCs w:val="22"/>
              </w:rPr>
              <w:t xml:space="preserve">This is combustion </w:t>
            </w:r>
            <w:r w:rsidRPr="00C67339">
              <w:rPr>
                <w:szCs w:val="22"/>
              </w:rPr>
              <w:t xml:space="preserve">of fuel to power transport vehicles </w:t>
            </w:r>
            <w:r>
              <w:rPr>
                <w:szCs w:val="22"/>
              </w:rPr>
              <w:t>that are used to operate or maintain the facility. Land-based vehicles must be road-registered to consume fuel for transport energy purposes.</w:t>
            </w:r>
          </w:p>
        </w:tc>
      </w:tr>
      <w:tr w:rsidR="004A2E03" w:rsidRPr="00C64711" w14:paraId="3F77C04B" w14:textId="77777777" w:rsidTr="00BC1A51">
        <w:tc>
          <w:tcPr>
            <w:cnfStyle w:val="001000000000" w:firstRow="0" w:lastRow="0" w:firstColumn="1" w:lastColumn="0" w:oddVBand="0" w:evenVBand="0" w:oddHBand="0" w:evenHBand="0" w:firstRowFirstColumn="0" w:firstRowLastColumn="0" w:lastRowFirstColumn="0" w:lastRowLastColumn="0"/>
            <w:tcW w:w="1696" w:type="dxa"/>
            <w:vMerge/>
            <w:tcBorders>
              <w:bottom w:val="single" w:sz="8" w:space="0" w:color="E8E8E8" w:themeColor="background2"/>
            </w:tcBorders>
          </w:tcPr>
          <w:p w14:paraId="059B4CA5" w14:textId="77777777" w:rsidR="004A2E03" w:rsidRPr="00C67339" w:rsidRDefault="004A2E03" w:rsidP="00D549C7">
            <w:pPr>
              <w:rPr>
                <w:b w:val="0"/>
                <w:szCs w:val="22"/>
              </w:rPr>
            </w:pPr>
          </w:p>
        </w:tc>
        <w:tc>
          <w:tcPr>
            <w:tcW w:w="8080" w:type="dxa"/>
            <w:tcBorders>
              <w:bottom w:val="single" w:sz="8" w:space="0" w:color="E8E8E8" w:themeColor="background2"/>
            </w:tcBorders>
          </w:tcPr>
          <w:p w14:paraId="31D8145C" w14:textId="77777777" w:rsidR="004A2E03" w:rsidRPr="00C67339" w:rsidRDefault="004A2E03" w:rsidP="00D549C7">
            <w:pPr>
              <w:spacing w:after="120"/>
              <w:cnfStyle w:val="000000000000" w:firstRow="0" w:lastRow="0" w:firstColumn="0" w:lastColumn="0" w:oddVBand="0" w:evenVBand="0" w:oddHBand="0" w:evenHBand="0" w:firstRowFirstColumn="0" w:firstRowLastColumn="0" w:lastRowFirstColumn="0" w:lastRowLastColumn="0"/>
              <w:rPr>
                <w:b/>
                <w:szCs w:val="22"/>
              </w:rPr>
            </w:pPr>
            <w:r w:rsidRPr="00C67339">
              <w:rPr>
                <w:b/>
                <w:szCs w:val="22"/>
              </w:rPr>
              <w:t>Combustion of petroleum-based oils and greases (PBOGs)</w:t>
            </w:r>
          </w:p>
          <w:p w14:paraId="4991CCA9" w14:textId="77777777" w:rsidR="004A2E03" w:rsidRPr="00C67339" w:rsidRDefault="004A2E03" w:rsidP="00D549C7">
            <w:pPr>
              <w:spacing w:after="120"/>
              <w:cnfStyle w:val="000000000000" w:firstRow="0" w:lastRow="0" w:firstColumn="0" w:lastColumn="0" w:oddVBand="0" w:evenVBand="0" w:oddHBand="0" w:evenHBand="0" w:firstRowFirstColumn="0" w:firstRowLastColumn="0" w:lastRowFirstColumn="0" w:lastRowLastColumn="0"/>
              <w:rPr>
                <w:szCs w:val="22"/>
              </w:rPr>
            </w:pPr>
            <w:r w:rsidRPr="00C67339">
              <w:rPr>
                <w:szCs w:val="22"/>
              </w:rPr>
              <w:t>When used as lubricants, PBOGs are partly oxidised, resulting in fuel combustion emissions</w:t>
            </w:r>
            <w:r>
              <w:rPr>
                <w:szCs w:val="22"/>
              </w:rPr>
              <w:t>. See</w:t>
            </w:r>
            <w:r w:rsidRPr="00C67339">
              <w:rPr>
                <w:szCs w:val="22"/>
              </w:rPr>
              <w:t xml:space="preserve"> </w:t>
            </w:r>
            <w:hyperlink w:anchor="_Emissions_from_consumption" w:history="1">
              <w:r>
                <w:rPr>
                  <w:rStyle w:val="Hyperlink"/>
                  <w:rFonts w:asciiTheme="minorHAnsi" w:hAnsiTheme="minorHAnsi"/>
                  <w:szCs w:val="22"/>
                </w:rPr>
                <w:t>chapter 4.6</w:t>
              </w:r>
            </w:hyperlink>
            <w:r w:rsidRPr="00C67339">
              <w:rPr>
                <w:szCs w:val="22"/>
              </w:rPr>
              <w:t xml:space="preserve"> </w:t>
            </w:r>
            <w:r>
              <w:rPr>
                <w:szCs w:val="22"/>
              </w:rPr>
              <w:t>of</w:t>
            </w:r>
            <w:r w:rsidRPr="00C67339">
              <w:rPr>
                <w:szCs w:val="22"/>
              </w:rPr>
              <w:t xml:space="preserve"> this guideline</w:t>
            </w:r>
            <w:r>
              <w:rPr>
                <w:szCs w:val="22"/>
              </w:rPr>
              <w:t xml:space="preserve"> for more information</w:t>
            </w:r>
            <w:r w:rsidRPr="00C67339">
              <w:rPr>
                <w:szCs w:val="22"/>
              </w:rPr>
              <w:t>.</w:t>
            </w:r>
          </w:p>
          <w:p w14:paraId="796554EB" w14:textId="77777777" w:rsidR="004A2E03" w:rsidRPr="00C67339" w:rsidRDefault="004A2E03" w:rsidP="00D549C7">
            <w:pPr>
              <w:spacing w:after="120"/>
              <w:cnfStyle w:val="000000000000" w:firstRow="0" w:lastRow="0" w:firstColumn="0" w:lastColumn="0" w:oddVBand="0" w:evenVBand="0" w:oddHBand="0" w:evenHBand="0" w:firstRowFirstColumn="0" w:firstRowLastColumn="0" w:lastRowFirstColumn="0" w:lastRowLastColumn="0"/>
              <w:rPr>
                <w:szCs w:val="22"/>
              </w:rPr>
            </w:pPr>
            <w:r w:rsidRPr="006046BA">
              <w:rPr>
                <w:szCs w:val="22"/>
              </w:rPr>
              <w:t>Note</w:t>
            </w:r>
            <w:r w:rsidRPr="005430DC">
              <w:rPr>
                <w:bCs/>
                <w:szCs w:val="22"/>
              </w:rPr>
              <w:t>: PBOGs</w:t>
            </w:r>
            <w:r w:rsidRPr="00C67339">
              <w:rPr>
                <w:szCs w:val="22"/>
              </w:rPr>
              <w:t xml:space="preserve"> consumed without combustion</w:t>
            </w:r>
            <w:r>
              <w:rPr>
                <w:szCs w:val="22"/>
              </w:rPr>
              <w:t xml:space="preserve"> must </w:t>
            </w:r>
            <w:r w:rsidRPr="00C67339">
              <w:rPr>
                <w:szCs w:val="22"/>
              </w:rPr>
              <w:t>be reported as energy consumed without combustion.</w:t>
            </w:r>
          </w:p>
        </w:tc>
      </w:tr>
      <w:tr w:rsidR="004A2E03" w:rsidRPr="00C64711" w14:paraId="357FD14F" w14:textId="77777777" w:rsidTr="00BC1A51">
        <w:trPr>
          <w:trHeight w:val="2351"/>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E8E8E8" w:themeColor="background2"/>
              <w:bottom w:val="single" w:sz="4" w:space="0" w:color="FCBA5C" w:themeColor="accent2"/>
            </w:tcBorders>
          </w:tcPr>
          <w:p w14:paraId="7018E013" w14:textId="77777777" w:rsidR="004A2E03" w:rsidRPr="00253A6C" w:rsidRDefault="004A2E03" w:rsidP="00D549C7">
            <w:pPr>
              <w:rPr>
                <w:szCs w:val="22"/>
              </w:rPr>
            </w:pPr>
            <w:r w:rsidRPr="00EE5638">
              <w:rPr>
                <w:szCs w:val="22"/>
              </w:rPr>
              <w:t xml:space="preserve">Emissions of </w:t>
            </w:r>
            <w:r w:rsidRPr="00253A6C">
              <w:rPr>
                <w:szCs w:val="22"/>
              </w:rPr>
              <w:t>hydrofluorocarbons and sulphur hexafluoride gases</w:t>
            </w:r>
          </w:p>
          <w:p w14:paraId="05592926" w14:textId="77777777" w:rsidR="004A2E03" w:rsidRPr="00256727" w:rsidRDefault="004A2E03" w:rsidP="00D549C7">
            <w:pPr>
              <w:spacing w:after="120"/>
              <w:rPr>
                <w:b w:val="0"/>
                <w:szCs w:val="22"/>
              </w:rPr>
            </w:pPr>
            <w:r w:rsidRPr="00256727">
              <w:rPr>
                <w:b w:val="0"/>
                <w:szCs w:val="22"/>
              </w:rPr>
              <w:t xml:space="preserve">(Item 30 in s1.10) </w:t>
            </w:r>
          </w:p>
          <w:p w14:paraId="488C4E2D" w14:textId="77777777" w:rsidR="004A2E03" w:rsidRPr="00EE5638" w:rsidRDefault="004A2E03" w:rsidP="00D549C7">
            <w:pPr>
              <w:spacing w:after="120"/>
              <w:rPr>
                <w:b w:val="0"/>
                <w:szCs w:val="22"/>
              </w:rPr>
            </w:pPr>
            <w:r w:rsidRPr="00256727">
              <w:rPr>
                <w:b w:val="0"/>
                <w:szCs w:val="22"/>
              </w:rPr>
              <w:t xml:space="preserve">See </w:t>
            </w:r>
            <w:hyperlink w:anchor="_Estimating_emissions_of" w:history="1">
              <w:r w:rsidRPr="00256727">
                <w:rPr>
                  <w:rStyle w:val="Hyperlink"/>
                  <w:rFonts w:asciiTheme="minorHAnsi" w:hAnsiTheme="minorHAnsi"/>
                  <w:b w:val="0"/>
                  <w:szCs w:val="22"/>
                </w:rPr>
                <w:t>chapter 5</w:t>
              </w:r>
            </w:hyperlink>
            <w:r w:rsidRPr="00256727">
              <w:rPr>
                <w:b w:val="0"/>
                <w:szCs w:val="22"/>
              </w:rPr>
              <w:t xml:space="preserve"> of this guideline and the separate guidance document.</w:t>
            </w:r>
          </w:p>
        </w:tc>
        <w:tc>
          <w:tcPr>
            <w:tcW w:w="8080" w:type="dxa"/>
            <w:tcBorders>
              <w:top w:val="single" w:sz="8" w:space="0" w:color="E8E8E8" w:themeColor="background2"/>
              <w:bottom w:val="single" w:sz="4" w:space="0" w:color="FCBA5C" w:themeColor="accent2"/>
            </w:tcBorders>
          </w:tcPr>
          <w:p w14:paraId="499FF71A" w14:textId="77777777" w:rsidR="004A2E03" w:rsidRPr="00253A6C" w:rsidRDefault="004A2E03" w:rsidP="00D549C7">
            <w:pPr>
              <w:spacing w:after="120"/>
              <w:cnfStyle w:val="000000000000" w:firstRow="0" w:lastRow="0" w:firstColumn="0" w:lastColumn="0" w:oddVBand="0" w:evenVBand="0" w:oddHBand="0" w:evenHBand="0" w:firstRowFirstColumn="0" w:firstRowLastColumn="0" w:lastRowFirstColumn="0" w:lastRowLastColumn="0"/>
              <w:rPr>
                <w:szCs w:val="22"/>
              </w:rPr>
            </w:pPr>
            <w:r w:rsidRPr="00EE5638">
              <w:rPr>
                <w:szCs w:val="22"/>
              </w:rPr>
              <w:t>Emissions of sulphur hexafluoride (SF</w:t>
            </w:r>
            <w:r w:rsidRPr="00EE5638">
              <w:rPr>
                <w:szCs w:val="22"/>
                <w:vertAlign w:val="subscript"/>
              </w:rPr>
              <w:t>6</w:t>
            </w:r>
            <w:r w:rsidRPr="00EE5638">
              <w:rPr>
                <w:szCs w:val="22"/>
              </w:rPr>
              <w:t xml:space="preserve">) occur when the gas leaks from switch gear and circuit breaker equipment, which is widely used at facilities constituted by </w:t>
            </w:r>
            <w:r w:rsidRPr="00253A6C">
              <w:rPr>
                <w:szCs w:val="22"/>
              </w:rPr>
              <w:t>electricity transmission and distribution activities.</w:t>
            </w:r>
          </w:p>
          <w:p w14:paraId="18D789B9" w14:textId="77777777" w:rsidR="004A2E03" w:rsidRPr="00253A6C" w:rsidRDefault="004A2E03" w:rsidP="00D549C7">
            <w:pPr>
              <w:spacing w:after="120"/>
              <w:cnfStyle w:val="000000000000" w:firstRow="0" w:lastRow="0" w:firstColumn="0" w:lastColumn="0" w:oddVBand="0" w:evenVBand="0" w:oddHBand="0" w:evenHBand="0" w:firstRowFirstColumn="0" w:firstRowLastColumn="0" w:lastRowFirstColumn="0" w:lastRowLastColumn="0"/>
              <w:rPr>
                <w:szCs w:val="22"/>
              </w:rPr>
            </w:pPr>
            <w:r w:rsidRPr="00253A6C">
              <w:rPr>
                <w:szCs w:val="22"/>
              </w:rPr>
              <w:t>SF</w:t>
            </w:r>
            <w:r w:rsidRPr="00253A6C">
              <w:rPr>
                <w:szCs w:val="22"/>
                <w:vertAlign w:val="subscript"/>
              </w:rPr>
              <w:t>6</w:t>
            </w:r>
            <w:r w:rsidRPr="00253A6C">
              <w:rPr>
                <w:szCs w:val="22"/>
              </w:rPr>
              <w:t xml:space="preserve"> has a global warming potential of </w:t>
            </w:r>
            <w:r w:rsidRPr="000B3301">
              <w:rPr>
                <w:szCs w:val="22"/>
              </w:rPr>
              <w:t>2</w:t>
            </w:r>
            <w:r>
              <w:rPr>
                <w:szCs w:val="22"/>
              </w:rPr>
              <w:t>3</w:t>
            </w:r>
            <w:r w:rsidRPr="000B3301">
              <w:rPr>
                <w:szCs w:val="22"/>
              </w:rPr>
              <w:t>,</w:t>
            </w:r>
            <w:r>
              <w:rPr>
                <w:szCs w:val="22"/>
              </w:rPr>
              <w:t>5</w:t>
            </w:r>
            <w:r w:rsidRPr="000B3301">
              <w:rPr>
                <w:szCs w:val="22"/>
              </w:rPr>
              <w:t xml:space="preserve">00 </w:t>
            </w:r>
            <w:r w:rsidRPr="00253A6C">
              <w:rPr>
                <w:szCs w:val="22"/>
              </w:rPr>
              <w:t>t CO</w:t>
            </w:r>
            <w:r w:rsidRPr="00253A6C">
              <w:rPr>
                <w:szCs w:val="22"/>
                <w:vertAlign w:val="subscript"/>
              </w:rPr>
              <w:t>2</w:t>
            </w:r>
            <w:r w:rsidRPr="00253A6C">
              <w:rPr>
                <w:szCs w:val="22"/>
              </w:rPr>
              <w:t>-e per t of SF</w:t>
            </w:r>
            <w:r w:rsidRPr="00253A6C">
              <w:rPr>
                <w:szCs w:val="22"/>
                <w:vertAlign w:val="subscript"/>
              </w:rPr>
              <w:t>6</w:t>
            </w:r>
            <w:r w:rsidRPr="00253A6C">
              <w:rPr>
                <w:szCs w:val="22"/>
              </w:rPr>
              <w:t>.</w:t>
            </w:r>
          </w:p>
          <w:p w14:paraId="1FCB398D" w14:textId="77777777" w:rsidR="004A2E03" w:rsidRDefault="004A2E03" w:rsidP="00D549C7">
            <w:pPr>
              <w:spacing w:after="120"/>
              <w:cnfStyle w:val="000000000000" w:firstRow="0" w:lastRow="0" w:firstColumn="0" w:lastColumn="0" w:oddVBand="0" w:evenVBand="0" w:oddHBand="0" w:evenHBand="0" w:firstRowFirstColumn="0" w:firstRowLastColumn="0" w:lastRowFirstColumn="0" w:lastRowLastColumn="0"/>
              <w:rPr>
                <w:szCs w:val="22"/>
              </w:rPr>
            </w:pPr>
            <w:r w:rsidRPr="005430DC">
              <w:rPr>
                <w:bCs/>
                <w:szCs w:val="22"/>
              </w:rPr>
              <w:t>E</w:t>
            </w:r>
            <w:r w:rsidRPr="000845CB">
              <w:rPr>
                <w:bCs/>
                <w:szCs w:val="22"/>
              </w:rPr>
              <w:t>missions</w:t>
            </w:r>
            <w:r w:rsidRPr="00253A6C">
              <w:rPr>
                <w:szCs w:val="22"/>
              </w:rPr>
              <w:t xml:space="preserve"> from hydrofluorocarbons most commonly occur from the use of commercial or industrial refrigeration equipment.</w:t>
            </w:r>
          </w:p>
          <w:p w14:paraId="526BAAAB" w14:textId="77777777" w:rsidR="004A2E03" w:rsidRPr="00253A6C" w:rsidRDefault="004A2E03" w:rsidP="00D549C7">
            <w:pPr>
              <w:spacing w:after="120"/>
              <w:cnfStyle w:val="000000000000" w:firstRow="0" w:lastRow="0" w:firstColumn="0" w:lastColumn="0" w:oddVBand="0" w:evenVBand="0" w:oddHBand="0" w:evenHBand="0" w:firstRowFirstColumn="0" w:firstRowLastColumn="0" w:lastRowFirstColumn="0" w:lastRowLastColumn="0"/>
              <w:rPr>
                <w:szCs w:val="22"/>
              </w:rPr>
            </w:pPr>
            <w:r>
              <w:rPr>
                <w:szCs w:val="22"/>
              </w:rPr>
              <w:t>Note: Facilities with the principal activity of electricity generation (ANZSIC code 261) or electricity transmission (ANZSIC code 262) are not required to report emissions from the use of hydrofluorocarbons.</w:t>
            </w:r>
          </w:p>
          <w:p w14:paraId="077F30CD" w14:textId="4B88360A" w:rsidR="004A2E03" w:rsidRPr="00C67339" w:rsidRDefault="004A2E03" w:rsidP="00D549C7">
            <w:pPr>
              <w:spacing w:after="120"/>
              <w:cnfStyle w:val="000000000000" w:firstRow="0" w:lastRow="0" w:firstColumn="0" w:lastColumn="0" w:oddVBand="0" w:evenVBand="0" w:oddHBand="0" w:evenHBand="0" w:firstRowFirstColumn="0" w:firstRowLastColumn="0" w:lastRowFirstColumn="0" w:lastRowLastColumn="0"/>
              <w:rPr>
                <w:szCs w:val="22"/>
              </w:rPr>
            </w:pPr>
            <w:r w:rsidRPr="000845CB">
              <w:rPr>
                <w:szCs w:val="22"/>
              </w:rPr>
              <w:t>The</w:t>
            </w:r>
            <w:r>
              <w:rPr>
                <w:szCs w:val="22"/>
              </w:rPr>
              <w:t xml:space="preserve"> </w:t>
            </w:r>
            <w:r w:rsidR="008F277C">
              <w:rPr>
                <w:szCs w:val="22"/>
              </w:rPr>
              <w:t>agency</w:t>
            </w:r>
            <w:r>
              <w:rPr>
                <w:szCs w:val="22"/>
              </w:rPr>
              <w:t xml:space="preserve"> publishes a separate guidance  for </w:t>
            </w:r>
            <w:hyperlink r:id="rId33" w:history="1">
              <w:r w:rsidRPr="00596431">
                <w:rPr>
                  <w:rStyle w:val="Hyperlink"/>
                  <w:rFonts w:asciiTheme="minorHAnsi" w:hAnsiTheme="minorHAnsi"/>
                </w:rPr>
                <w:t>Reporting Hydrofluorocarbons and Sulphur Hexafluoride gases guideline</w:t>
              </w:r>
            </w:hyperlink>
            <w:r>
              <w:rPr>
                <w:rStyle w:val="FootnoteReference"/>
                <w:color w:val="005874"/>
                <w:u w:val="single"/>
              </w:rPr>
              <w:footnoteReference w:id="8"/>
            </w:r>
            <w:r>
              <w:rPr>
                <w:rStyle w:val="Hyperlink"/>
                <w:rFonts w:asciiTheme="minorHAnsi" w:hAnsiTheme="minorHAnsi"/>
              </w:rPr>
              <w:t>.</w:t>
            </w:r>
          </w:p>
        </w:tc>
      </w:tr>
    </w:tbl>
    <w:p w14:paraId="038D9D51" w14:textId="77777777" w:rsidR="004A2E03" w:rsidRPr="00FF338C" w:rsidRDefault="004A2E03" w:rsidP="004A2E03"/>
    <w:p w14:paraId="6AD8E931" w14:textId="77777777" w:rsidR="004A2E03" w:rsidRPr="00FF338C" w:rsidRDefault="004A2E03" w:rsidP="004A2E03">
      <w:bookmarkStart w:id="47" w:name="_Ref511655729"/>
      <w:r w:rsidRPr="00FF338C">
        <w:t>Other reportable scope 1 emissions sources may occur</w:t>
      </w:r>
      <w:r>
        <w:t xml:space="preserve"> however t</w:t>
      </w:r>
      <w:r w:rsidRPr="00FF338C">
        <w:t xml:space="preserve">his guideline </w:t>
      </w:r>
      <w:r>
        <w:t xml:space="preserve">does </w:t>
      </w:r>
      <w:r w:rsidRPr="00FF338C">
        <w:t>not cover other emissions sources that may occur at electricity sector facilities.</w:t>
      </w:r>
    </w:p>
    <w:p w14:paraId="1E76E28E" w14:textId="77777777" w:rsidR="004A2E03" w:rsidRPr="00FF338C" w:rsidRDefault="004A2E03" w:rsidP="004A2E03">
      <w:pPr>
        <w:pStyle w:val="Heading4"/>
      </w:pPr>
      <w:bookmarkStart w:id="48" w:name="_Toc526867685"/>
      <w:bookmarkStart w:id="49" w:name="_Toc526869727"/>
      <w:bookmarkStart w:id="50" w:name="_Toc107922532"/>
      <w:r w:rsidRPr="00FF338C">
        <w:t>Identifying reportable scope 1 emissions sources</w:t>
      </w:r>
      <w:bookmarkEnd w:id="48"/>
      <w:bookmarkEnd w:id="49"/>
      <w:bookmarkEnd w:id="50"/>
    </w:p>
    <w:p w14:paraId="51DE2ED6" w14:textId="77777777" w:rsidR="004A2E03" w:rsidRPr="00FF338C" w:rsidRDefault="004A2E03" w:rsidP="004A2E03">
      <w:r w:rsidRPr="00FF338C">
        <w:t xml:space="preserve">Emissions from the sources listed in section 1.10 of the </w:t>
      </w:r>
      <w:r>
        <w:t>NGER Measurement Determination</w:t>
      </w:r>
      <w:r w:rsidRPr="00FF338C">
        <w:t xml:space="preserve"> are required to be estimated and reported for the facilities at which they occur and for which a method exists in the </w:t>
      </w:r>
      <w:r>
        <w:t>NGER Measurement Determination</w:t>
      </w:r>
      <w:r w:rsidRPr="00FF338C">
        <w:t xml:space="preserve">. For example, although a gas fired power station may engage in occasional flaring or venting of fuels, no source or methods exist in the </w:t>
      </w:r>
      <w:r>
        <w:t>NGER Measurement Determination</w:t>
      </w:r>
      <w:r w:rsidRPr="00FF338C">
        <w:t xml:space="preserve"> to estimate these emissions. Therefore, they are not reportable.</w:t>
      </w:r>
    </w:p>
    <w:p w14:paraId="53B7ABFF" w14:textId="77777777" w:rsidR="004A2E03" w:rsidRPr="00FF338C" w:rsidRDefault="004A2E03" w:rsidP="004A2E03">
      <w:r w:rsidRPr="00FF338C">
        <w:t xml:space="preserve">Reporters </w:t>
      </w:r>
      <w:r>
        <w:t>must</w:t>
      </w:r>
      <w:r w:rsidRPr="00FF338C">
        <w:t xml:space="preserve"> </w:t>
      </w:r>
      <w:r>
        <w:t xml:space="preserve">identify and document </w:t>
      </w:r>
      <w:r w:rsidRPr="00FF338C">
        <w:t>all emissions sources occurring at reportable facilities</w:t>
      </w:r>
      <w:r>
        <w:t>.</w:t>
      </w:r>
    </w:p>
    <w:bookmarkEnd w:id="47"/>
    <w:p w14:paraId="484E30D3" w14:textId="77777777" w:rsidR="004A2E03" w:rsidRPr="00FF338C" w:rsidRDefault="004A2E03" w:rsidP="004A2E03">
      <w:r w:rsidRPr="00FF338C">
        <w:rPr>
          <w:rFonts w:eastAsiaTheme="minorHAnsi"/>
        </w:rPr>
        <w:t xml:space="preserve">Additionally, separate occurrences of an emissions source can be identified in accordance with section 1.9B of the </w:t>
      </w:r>
      <w:r>
        <w:rPr>
          <w:rFonts w:eastAsiaTheme="minorHAnsi"/>
        </w:rPr>
        <w:t>NGER Measurement Determination</w:t>
      </w:r>
      <w:r w:rsidRPr="00FF338C">
        <w:rPr>
          <w:rFonts w:eastAsiaTheme="minorHAnsi"/>
        </w:rPr>
        <w:t>. This allows</w:t>
      </w:r>
      <w:r w:rsidRPr="00FF338C" w:rsidDel="00B11246">
        <w:rPr>
          <w:rFonts w:eastAsiaTheme="minorHAnsi"/>
        </w:rPr>
        <w:t xml:space="preserve"> </w:t>
      </w:r>
      <w:r w:rsidRPr="00FF338C">
        <w:t>reporters flexibility to measure, estimate and report separate occurrences of a source differently where appropriate.</w:t>
      </w:r>
    </w:p>
    <w:p w14:paraId="7AB3EAA9" w14:textId="77777777" w:rsidR="004A2E03" w:rsidRPr="00FF338C" w:rsidRDefault="004A2E03" w:rsidP="00DB4B56">
      <w:pPr>
        <w:pStyle w:val="Heading2"/>
        <w:numPr>
          <w:ilvl w:val="1"/>
          <w:numId w:val="3"/>
        </w:numPr>
        <w:ind w:left="426" w:hanging="426"/>
      </w:pPr>
      <w:bookmarkStart w:id="51" w:name="_Toc512010389"/>
      <w:bookmarkStart w:id="52" w:name="_Toc512339587"/>
      <w:bookmarkStart w:id="53" w:name="_Toc106705751"/>
      <w:bookmarkStart w:id="54" w:name="_Toc107922533"/>
      <w:r>
        <w:t>–</w:t>
      </w:r>
      <w:bookmarkEnd w:id="51"/>
      <w:bookmarkEnd w:id="52"/>
      <w:r>
        <w:t xml:space="preserve"> Methods for estimating emissions</w:t>
      </w:r>
      <w:bookmarkEnd w:id="53"/>
      <w:bookmarkEnd w:id="54"/>
    </w:p>
    <w:p w14:paraId="633E57B1" w14:textId="2BC54A46" w:rsidR="004A2E03" w:rsidRPr="00FF338C" w:rsidRDefault="004A2E03" w:rsidP="004A2E03">
      <w:pPr>
        <w:rPr>
          <w:color w:val="auto"/>
        </w:rPr>
      </w:pPr>
      <w:r>
        <w:t xml:space="preserve">Available </w:t>
      </w:r>
      <w:r w:rsidRPr="00FF338C">
        <w:t xml:space="preserve">emissions estimation methods differ by emissions source, activity, fuel type and greenhouse gas. </w:t>
      </w:r>
      <w:r w:rsidRPr="00FF338C">
        <w:rPr>
          <w:color w:val="auto"/>
        </w:rPr>
        <w:t xml:space="preserve">Up to </w:t>
      </w:r>
      <w:r w:rsidR="001848D4">
        <w:rPr>
          <w:color w:val="auto"/>
        </w:rPr>
        <w:t>4</w:t>
      </w:r>
      <w:r>
        <w:rPr>
          <w:color w:val="auto"/>
        </w:rPr>
        <w:t xml:space="preserve"> alternative</w:t>
      </w:r>
      <w:r w:rsidRPr="00FF338C">
        <w:rPr>
          <w:color w:val="auto"/>
        </w:rPr>
        <w:t xml:space="preserve"> methods for estimating emissions are provided in the </w:t>
      </w:r>
      <w:r>
        <w:rPr>
          <w:color w:val="auto"/>
        </w:rPr>
        <w:t>NGER Measurement Determination</w:t>
      </w:r>
      <w:r w:rsidRPr="00FF338C">
        <w:rPr>
          <w:color w:val="auto"/>
        </w:rPr>
        <w:t xml:space="preserve">, as detailed </w:t>
      </w:r>
      <w:r>
        <w:rPr>
          <w:color w:val="auto"/>
        </w:rPr>
        <w:t>in Table 4</w:t>
      </w:r>
      <w:r w:rsidRPr="00FF338C">
        <w:rPr>
          <w:color w:val="auto"/>
        </w:rPr>
        <w:t>.</w:t>
      </w:r>
    </w:p>
    <w:p w14:paraId="69B71CB5" w14:textId="77777777" w:rsidR="004A2E03" w:rsidRPr="00FF338C" w:rsidRDefault="004A2E03" w:rsidP="004A2E03">
      <w:pPr>
        <w:pStyle w:val="Caption"/>
        <w:keepNext/>
      </w:pPr>
      <w:bookmarkStart w:id="55" w:name="_Ref511381718"/>
      <w:r w:rsidRPr="00FF338C">
        <w:t xml:space="preserve">Table </w:t>
      </w:r>
      <w:r>
        <w:fldChar w:fldCharType="begin"/>
      </w:r>
      <w:r>
        <w:instrText>SEQ Table \* ARABIC</w:instrText>
      </w:r>
      <w:r>
        <w:fldChar w:fldCharType="separate"/>
      </w:r>
      <w:r>
        <w:rPr>
          <w:noProof/>
        </w:rPr>
        <w:t>4</w:t>
      </w:r>
      <w:r>
        <w:fldChar w:fldCharType="end"/>
      </w:r>
      <w:bookmarkEnd w:id="55"/>
      <w:r w:rsidRPr="00FF338C">
        <w:t xml:space="preserve"> – General estimation methods available in NGER</w:t>
      </w:r>
    </w:p>
    <w:tbl>
      <w:tblPr>
        <w:tblStyle w:val="CERTable"/>
        <w:tblW w:w="9637" w:type="dxa"/>
        <w:tblLook w:val="04A0" w:firstRow="1" w:lastRow="0" w:firstColumn="1" w:lastColumn="0" w:noHBand="0" w:noVBand="1"/>
      </w:tblPr>
      <w:tblGrid>
        <w:gridCol w:w="2409"/>
        <w:gridCol w:w="2410"/>
        <w:gridCol w:w="2409"/>
        <w:gridCol w:w="2409"/>
      </w:tblGrid>
      <w:tr w:rsidR="004A2E03" w:rsidRPr="00C64711" w14:paraId="259DFB6C" w14:textId="77777777" w:rsidTr="002567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0D52BD0" w14:textId="77777777" w:rsidR="004A2E03" w:rsidRPr="00C67339" w:rsidRDefault="004A2E03" w:rsidP="00D549C7">
            <w:pPr>
              <w:pStyle w:val="Body"/>
              <w:ind w:left="0"/>
              <w:rPr>
                <w:rFonts w:asciiTheme="minorHAnsi" w:hAnsiTheme="minorHAnsi"/>
                <w:sz w:val="22"/>
                <w:szCs w:val="22"/>
              </w:rPr>
            </w:pPr>
            <w:r>
              <w:rPr>
                <w:rFonts w:asciiTheme="minorHAnsi" w:hAnsiTheme="minorHAnsi"/>
                <w:sz w:val="22"/>
                <w:szCs w:val="22"/>
              </w:rPr>
              <w:t>*</w:t>
            </w:r>
            <w:r w:rsidRPr="00C67339">
              <w:rPr>
                <w:rFonts w:asciiTheme="minorHAnsi" w:hAnsiTheme="minorHAnsi"/>
                <w:sz w:val="22"/>
                <w:szCs w:val="22"/>
              </w:rPr>
              <w:t>Method 1</w:t>
            </w:r>
          </w:p>
        </w:tc>
        <w:tc>
          <w:tcPr>
            <w:tcW w:w="2410" w:type="dxa"/>
          </w:tcPr>
          <w:p w14:paraId="7CFE9F27" w14:textId="77777777" w:rsidR="004A2E03" w:rsidRPr="00C67339" w:rsidRDefault="004A2E03"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C67339">
              <w:rPr>
                <w:rFonts w:asciiTheme="minorHAnsi" w:hAnsiTheme="minorHAnsi"/>
                <w:sz w:val="22"/>
                <w:szCs w:val="22"/>
              </w:rPr>
              <w:t>Method 2</w:t>
            </w:r>
          </w:p>
        </w:tc>
        <w:tc>
          <w:tcPr>
            <w:tcW w:w="2409" w:type="dxa"/>
          </w:tcPr>
          <w:p w14:paraId="4F2C9E24" w14:textId="77777777" w:rsidR="004A2E03" w:rsidRPr="00C67339" w:rsidRDefault="004A2E03"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C67339">
              <w:rPr>
                <w:rFonts w:asciiTheme="minorHAnsi" w:hAnsiTheme="minorHAnsi"/>
                <w:sz w:val="22"/>
                <w:szCs w:val="22"/>
              </w:rPr>
              <w:t>Method 3</w:t>
            </w:r>
          </w:p>
        </w:tc>
        <w:tc>
          <w:tcPr>
            <w:tcW w:w="2409" w:type="dxa"/>
          </w:tcPr>
          <w:p w14:paraId="7DBBB865" w14:textId="77777777" w:rsidR="004A2E03" w:rsidRPr="00C67339" w:rsidRDefault="004A2E03"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C67339">
              <w:rPr>
                <w:rFonts w:asciiTheme="minorHAnsi" w:hAnsiTheme="minorHAnsi"/>
                <w:sz w:val="22"/>
                <w:szCs w:val="22"/>
              </w:rPr>
              <w:t>Method 4</w:t>
            </w:r>
          </w:p>
        </w:tc>
      </w:tr>
      <w:tr w:rsidR="004A2E03" w:rsidRPr="00C64711" w14:paraId="75901149" w14:textId="77777777" w:rsidTr="00256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8C3141C" w14:textId="77777777" w:rsidR="004A2E03" w:rsidRPr="00620728" w:rsidRDefault="004A2E03" w:rsidP="00B3330E">
            <w:pPr>
              <w:pStyle w:val="Sub-para"/>
              <w:numPr>
                <w:ilvl w:val="0"/>
                <w:numId w:val="1"/>
              </w:numPr>
              <w:rPr>
                <w:b w:val="0"/>
                <w:bCs/>
              </w:rPr>
            </w:pPr>
            <w:r w:rsidRPr="00580869">
              <w:rPr>
                <w:bCs/>
              </w:rPr>
              <w:t xml:space="preserve">Use of </w:t>
            </w:r>
            <w:r w:rsidRPr="00AC6CEC">
              <w:rPr>
                <w:bCs/>
              </w:rPr>
              <w:t>default emission factors</w:t>
            </w:r>
          </w:p>
          <w:p w14:paraId="2EE740A7" w14:textId="77777777" w:rsidR="004A2E03" w:rsidRPr="00620728" w:rsidRDefault="004A2E03" w:rsidP="00B3330E">
            <w:pPr>
              <w:pStyle w:val="Sub-para"/>
              <w:numPr>
                <w:ilvl w:val="0"/>
                <w:numId w:val="1"/>
              </w:numPr>
              <w:rPr>
                <w:b w:val="0"/>
                <w:bCs/>
              </w:rPr>
            </w:pPr>
            <w:r w:rsidRPr="00620728">
              <w:rPr>
                <w:bCs/>
              </w:rPr>
              <w:t xml:space="preserve">Use of default </w:t>
            </w:r>
            <w:r w:rsidRPr="004F2B48">
              <w:rPr>
                <w:bCs/>
              </w:rPr>
              <w:t>emission factors for fuel types and emissions sources</w:t>
            </w:r>
          </w:p>
        </w:tc>
        <w:tc>
          <w:tcPr>
            <w:tcW w:w="2410" w:type="dxa"/>
          </w:tcPr>
          <w:p w14:paraId="78A80F45" w14:textId="77777777" w:rsidR="004A2E03" w:rsidRPr="006046BA" w:rsidRDefault="004A2E03" w:rsidP="00B3330E">
            <w:pPr>
              <w:pStyle w:val="Sub-para"/>
              <w:numPr>
                <w:ilvl w:val="0"/>
                <w:numId w:val="1"/>
              </w:numPr>
              <w:cnfStyle w:val="000000100000" w:firstRow="0" w:lastRow="0" w:firstColumn="0" w:lastColumn="0" w:oddVBand="0" w:evenVBand="0" w:oddHBand="1" w:evenHBand="0" w:firstRowFirstColumn="0" w:firstRowLastColumn="0" w:lastRowFirstColumn="0" w:lastRowLastColumn="0"/>
            </w:pPr>
            <w:r w:rsidRPr="006046BA">
              <w:t>Sampling and analysis to determine emission factor of fuel</w:t>
            </w:r>
          </w:p>
          <w:p w14:paraId="625ECAA4" w14:textId="77777777" w:rsidR="004A2E03" w:rsidRPr="00BB2DE7" w:rsidRDefault="004A2E03" w:rsidP="00B3330E">
            <w:pPr>
              <w:pStyle w:val="Sub-para"/>
              <w:numPr>
                <w:ilvl w:val="0"/>
                <w:numId w:val="1"/>
              </w:numPr>
              <w:cnfStyle w:val="000000100000" w:firstRow="0" w:lastRow="0" w:firstColumn="0" w:lastColumn="0" w:oddVBand="0" w:evenVBand="0" w:oddHBand="1" w:evenHBand="0" w:firstRowFirstColumn="0" w:firstRowLastColumn="0" w:lastRowFirstColumn="0" w:lastRowLastColumn="0"/>
            </w:pPr>
            <w:r w:rsidRPr="000845CB">
              <w:t>Use of industry sampling methods and Australian or i</w:t>
            </w:r>
            <w:r w:rsidRPr="00CD2EA4">
              <w:t>nternational standards for analysis of fuels and raw materials</w:t>
            </w:r>
          </w:p>
        </w:tc>
        <w:tc>
          <w:tcPr>
            <w:tcW w:w="2409" w:type="dxa"/>
          </w:tcPr>
          <w:p w14:paraId="6990EA17" w14:textId="77777777" w:rsidR="004A2E03" w:rsidRPr="006046BA" w:rsidRDefault="004A2E03" w:rsidP="00B3330E">
            <w:pPr>
              <w:pStyle w:val="Sub-para"/>
              <w:numPr>
                <w:ilvl w:val="0"/>
                <w:numId w:val="1"/>
              </w:numPr>
              <w:cnfStyle w:val="000000100000" w:firstRow="0" w:lastRow="0" w:firstColumn="0" w:lastColumn="0" w:oddVBand="0" w:evenVBand="0" w:oddHBand="1" w:evenHBand="0" w:firstRowFirstColumn="0" w:firstRowLastColumn="0" w:lastRowFirstColumn="0" w:lastRowLastColumn="0"/>
            </w:pPr>
            <w:r w:rsidRPr="006046BA">
              <w:t>Sampling and analysis to determine emission factor of fuel</w:t>
            </w:r>
            <w:r>
              <w:t>.</w:t>
            </w:r>
          </w:p>
          <w:p w14:paraId="77715F80" w14:textId="77777777" w:rsidR="004A2E03" w:rsidRPr="00CD2EA4" w:rsidRDefault="004A2E03" w:rsidP="00B3330E">
            <w:pPr>
              <w:pStyle w:val="Sub-para"/>
              <w:numPr>
                <w:ilvl w:val="0"/>
                <w:numId w:val="1"/>
              </w:numPr>
              <w:cnfStyle w:val="000000100000" w:firstRow="0" w:lastRow="0" w:firstColumn="0" w:lastColumn="0" w:oddVBand="0" w:evenVBand="0" w:oddHBand="1" w:evenHBand="0" w:firstRowFirstColumn="0" w:firstRowLastColumn="0" w:lastRowFirstColumn="0" w:lastRowLastColumn="0"/>
            </w:pPr>
            <w:r w:rsidRPr="000845CB">
              <w:t>Use of Australian or international standards for sampling and analysis of fuels and raw m</w:t>
            </w:r>
            <w:r w:rsidRPr="00CD2EA4">
              <w:t>aterials</w:t>
            </w:r>
            <w:r>
              <w:t>.</w:t>
            </w:r>
          </w:p>
        </w:tc>
        <w:tc>
          <w:tcPr>
            <w:tcW w:w="2409" w:type="dxa"/>
          </w:tcPr>
          <w:p w14:paraId="5369A7F6" w14:textId="77777777" w:rsidR="004A2E03" w:rsidRPr="006046BA" w:rsidRDefault="004A2E03" w:rsidP="00B3330E">
            <w:pPr>
              <w:pStyle w:val="Sub-para"/>
              <w:numPr>
                <w:ilvl w:val="0"/>
                <w:numId w:val="1"/>
              </w:numPr>
              <w:cnfStyle w:val="000000100000" w:firstRow="0" w:lastRow="0" w:firstColumn="0" w:lastColumn="0" w:oddVBand="0" w:evenVBand="0" w:oddHBand="1" w:evenHBand="0" w:firstRowFirstColumn="0" w:firstRowLastColumn="0" w:lastRowFirstColumn="0" w:lastRowLastColumn="0"/>
            </w:pPr>
            <w:r w:rsidRPr="006046BA">
              <w:t>Direct monitoring of greenhouse gas emissions</w:t>
            </w:r>
          </w:p>
          <w:p w14:paraId="175D68F4" w14:textId="77777777" w:rsidR="004A2E03" w:rsidRPr="00CD2EA4" w:rsidRDefault="004A2E03" w:rsidP="00B3330E">
            <w:pPr>
              <w:pStyle w:val="Sub-para"/>
              <w:numPr>
                <w:ilvl w:val="0"/>
                <w:numId w:val="1"/>
              </w:numPr>
              <w:cnfStyle w:val="000000100000" w:firstRow="0" w:lastRow="0" w:firstColumn="0" w:lastColumn="0" w:oddVBand="0" w:evenVBand="0" w:oddHBand="1" w:evenHBand="0" w:firstRowFirstColumn="0" w:firstRowLastColumn="0" w:lastRowFirstColumn="0" w:lastRowLastColumn="0"/>
            </w:pPr>
            <w:r w:rsidRPr="000845CB">
              <w:t xml:space="preserve">Use of </w:t>
            </w:r>
            <w:r w:rsidRPr="00BE04C1">
              <w:t>direct measurement of emissions released from the source</w:t>
            </w:r>
          </w:p>
        </w:tc>
      </w:tr>
      <w:tr w:rsidR="004A2E03" w:rsidRPr="00C64711" w14:paraId="5DDD8D99" w14:textId="77777777" w:rsidTr="002567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2F403A6" w14:textId="77777777" w:rsidR="004A2E03" w:rsidRPr="00620728" w:rsidRDefault="004A2E03" w:rsidP="00D549C7">
            <w:pPr>
              <w:pStyle w:val="Sub-para"/>
              <w:ind w:left="0" w:firstLine="0"/>
              <w:rPr>
                <w:b w:val="0"/>
                <w:bCs/>
              </w:rPr>
            </w:pPr>
            <w:r w:rsidRPr="00580869">
              <w:rPr>
                <w:bCs/>
              </w:rPr>
              <w:t xml:space="preserve">Useful when emission source is </w:t>
            </w:r>
            <w:proofErr w:type="gramStart"/>
            <w:r w:rsidRPr="00580869">
              <w:rPr>
                <w:bCs/>
              </w:rPr>
              <w:t>fairly homogenous</w:t>
            </w:r>
            <w:proofErr w:type="gramEnd"/>
            <w:r w:rsidRPr="00AC6CEC">
              <w:rPr>
                <w:bCs/>
              </w:rPr>
              <w:t xml:space="preserve">, </w:t>
            </w:r>
            <w:r w:rsidRPr="009924F4">
              <w:rPr>
                <w:bCs/>
              </w:rPr>
              <w:t>for example liquid fuels</w:t>
            </w:r>
          </w:p>
        </w:tc>
        <w:tc>
          <w:tcPr>
            <w:tcW w:w="2410" w:type="dxa"/>
          </w:tcPr>
          <w:p w14:paraId="563CC0F5" w14:textId="77777777" w:rsidR="004A2E03" w:rsidRPr="00BB2DE7" w:rsidRDefault="004A2E03" w:rsidP="00D549C7">
            <w:pPr>
              <w:pStyle w:val="Sub-para"/>
              <w:ind w:left="0" w:firstLine="0"/>
              <w:cnfStyle w:val="000000010000" w:firstRow="0" w:lastRow="0" w:firstColumn="0" w:lastColumn="0" w:oddVBand="0" w:evenVBand="0" w:oddHBand="0" w:evenHBand="1" w:firstRowFirstColumn="0" w:firstRowLastColumn="0" w:lastRowFirstColumn="0" w:lastRowLastColumn="0"/>
            </w:pPr>
            <w:r w:rsidRPr="006046BA">
              <w:t>Useful when</w:t>
            </w:r>
            <w:r w:rsidRPr="000845CB">
              <w:t xml:space="preserve"> fuels exhibit some variability in key qualities</w:t>
            </w:r>
            <w:r>
              <w:t>,</w:t>
            </w:r>
            <w:r w:rsidRPr="000845CB">
              <w:t xml:space="preserve"> </w:t>
            </w:r>
            <w:r w:rsidRPr="00CD2EA4">
              <w:t>for example</w:t>
            </w:r>
            <w:r w:rsidRPr="00BB2DE7">
              <w:t xml:space="preserve"> gaseous fuels</w:t>
            </w:r>
            <w:r>
              <w:t>.</w:t>
            </w:r>
          </w:p>
        </w:tc>
        <w:tc>
          <w:tcPr>
            <w:tcW w:w="2409" w:type="dxa"/>
          </w:tcPr>
          <w:p w14:paraId="73C3660B" w14:textId="77777777" w:rsidR="004A2E03" w:rsidRPr="00BB2DE7" w:rsidRDefault="004A2E03" w:rsidP="00D549C7">
            <w:pPr>
              <w:pStyle w:val="Sub-para"/>
              <w:ind w:left="0" w:firstLine="0"/>
              <w:cnfStyle w:val="000000010000" w:firstRow="0" w:lastRow="0" w:firstColumn="0" w:lastColumn="0" w:oddVBand="0" w:evenVBand="0" w:oddHBand="0" w:evenHBand="1" w:firstRowFirstColumn="0" w:firstRowLastColumn="0" w:lastRowFirstColumn="0" w:lastRowLastColumn="0"/>
            </w:pPr>
            <w:r w:rsidRPr="006046BA">
              <w:t>Useful when</w:t>
            </w:r>
            <w:r w:rsidRPr="000845CB">
              <w:t xml:space="preserve"> fuels exhibit some variability in key qualities</w:t>
            </w:r>
            <w:r>
              <w:t>,</w:t>
            </w:r>
            <w:r w:rsidRPr="000845CB">
              <w:t xml:space="preserve"> </w:t>
            </w:r>
            <w:r w:rsidRPr="00CD2EA4">
              <w:t>for example,</w:t>
            </w:r>
            <w:r w:rsidRPr="00BB2DE7">
              <w:t xml:space="preserve"> gaseous fuels</w:t>
            </w:r>
            <w:r>
              <w:t>.</w:t>
            </w:r>
          </w:p>
        </w:tc>
        <w:tc>
          <w:tcPr>
            <w:tcW w:w="2409" w:type="dxa"/>
          </w:tcPr>
          <w:p w14:paraId="2A2EBB8B" w14:textId="77777777" w:rsidR="004A2E03" w:rsidRPr="006138F0" w:rsidRDefault="004A2E03" w:rsidP="00D549C7">
            <w:pPr>
              <w:pStyle w:val="Sub-para"/>
              <w:ind w:left="0" w:firstLine="0"/>
              <w:cnfStyle w:val="000000010000" w:firstRow="0" w:lastRow="0" w:firstColumn="0" w:lastColumn="0" w:oddVBand="0" w:evenVBand="0" w:oddHBand="0" w:evenHBand="1" w:firstRowFirstColumn="0" w:firstRowLastColumn="0" w:lastRowFirstColumn="0" w:lastRowLastColumn="0"/>
            </w:pPr>
            <w:r w:rsidRPr="006046BA">
              <w:t>Useful when</w:t>
            </w:r>
            <w:r w:rsidRPr="000845CB">
              <w:t xml:space="preserve"> a high level of accuracy is desired</w:t>
            </w:r>
            <w:r w:rsidRPr="00CD2EA4">
              <w:t xml:space="preserve">, </w:t>
            </w:r>
            <w:r w:rsidRPr="00BB2DE7">
              <w:t>for example for large emission sources</w:t>
            </w:r>
            <w:r>
              <w:t>.</w:t>
            </w:r>
          </w:p>
        </w:tc>
      </w:tr>
      <w:tr w:rsidR="004A2E03" w:rsidRPr="00C64711" w14:paraId="4164B65C" w14:textId="77777777" w:rsidTr="00D05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7" w:type="dxa"/>
            <w:gridSpan w:val="4"/>
            <w:tcBorders>
              <w:bottom w:val="single" w:sz="4" w:space="0" w:color="FCBA5C" w:themeColor="accent2"/>
            </w:tcBorders>
          </w:tcPr>
          <w:p w14:paraId="178E1913" w14:textId="77777777" w:rsidR="004A2E03" w:rsidRPr="00C67339" w:rsidRDefault="004A2E03" w:rsidP="00D549C7">
            <w:pPr>
              <w:pStyle w:val="Body"/>
              <w:ind w:left="0"/>
              <w:rPr>
                <w:rFonts w:asciiTheme="minorHAnsi" w:hAnsiTheme="minorHAnsi"/>
                <w:sz w:val="22"/>
                <w:szCs w:val="22"/>
              </w:rPr>
            </w:pPr>
            <w:r w:rsidRPr="00C67339">
              <w:rPr>
                <w:noProof/>
                <w:sz w:val="22"/>
                <w:szCs w:val="22"/>
                <w:lang w:val="en-AU" w:eastAsia="en-AU"/>
              </w:rPr>
              <mc:AlternateContent>
                <mc:Choice Requires="wpg">
                  <w:drawing>
                    <wp:anchor distT="0" distB="0" distL="114300" distR="114300" simplePos="0" relativeHeight="251680768" behindDoc="0" locked="0" layoutInCell="1" allowOverlap="1" wp14:anchorId="7F30F4DB" wp14:editId="142E65F4">
                      <wp:simplePos x="0" y="0"/>
                      <wp:positionH relativeFrom="column">
                        <wp:posOffset>-6350</wp:posOffset>
                      </wp:positionH>
                      <wp:positionV relativeFrom="paragraph">
                        <wp:posOffset>4445</wp:posOffset>
                      </wp:positionV>
                      <wp:extent cx="6086475" cy="343535"/>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6475" cy="343535"/>
                                <a:chOff x="0" y="38135"/>
                                <a:chExt cx="5666377" cy="343857"/>
                              </a:xfrm>
                            </wpg:grpSpPr>
                            <wps:wsp>
                              <wps:cNvPr id="5" name="Text Box 5"/>
                              <wps:cNvSpPr txBox="1"/>
                              <wps:spPr>
                                <a:xfrm>
                                  <a:off x="0" y="38135"/>
                                  <a:ext cx="1698171" cy="343857"/>
                                </a:xfrm>
                                <a:prstGeom prst="rect">
                                  <a:avLst/>
                                </a:prstGeom>
                                <a:noFill/>
                                <a:ln w="6350">
                                  <a:noFill/>
                                </a:ln>
                              </wps:spPr>
                              <wps:txbx>
                                <w:txbxContent>
                                  <w:p w14:paraId="3C0DB44D" w14:textId="77777777" w:rsidR="004A2E03" w:rsidRPr="00DB463F" w:rsidRDefault="004A2E03" w:rsidP="004A2E03">
                                    <w:pPr>
                                      <w:ind w:left="-142"/>
                                      <w:rPr>
                                        <w:b/>
                                      </w:rPr>
                                    </w:pPr>
                                    <w:r>
                                      <w:rPr>
                                        <w:b/>
                                      </w:rPr>
                                      <w:t>Generally least</w:t>
                                    </w:r>
                                    <w:r w:rsidRPr="00DB463F">
                                      <w:rPr>
                                        <w:b/>
                                      </w:rPr>
                                      <w:t xml:space="preserve"> accurate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3918857" y="45763"/>
                                  <a:ext cx="1747520" cy="272415"/>
                                </a:xfrm>
                                <a:prstGeom prst="rect">
                                  <a:avLst/>
                                </a:prstGeom>
                                <a:noFill/>
                                <a:ln w="6350">
                                  <a:noFill/>
                                </a:ln>
                              </wps:spPr>
                              <wps:txbx>
                                <w:txbxContent>
                                  <w:p w14:paraId="23435E05" w14:textId="77777777" w:rsidR="004A2E03" w:rsidRDefault="004A2E03" w:rsidP="004A2E03">
                                    <w:pPr>
                                      <w:ind w:right="39"/>
                                      <w:jc w:val="right"/>
                                      <w:rPr>
                                        <w:b/>
                                      </w:rPr>
                                    </w:pPr>
                                    <w:r>
                                      <w:rPr>
                                        <w:b/>
                                      </w:rPr>
                                      <w:t>Generally most</w:t>
                                    </w:r>
                                    <w:r w:rsidRPr="00DB463F">
                                      <w:rPr>
                                        <w:b/>
                                      </w:rPr>
                                      <w:t xml:space="preserve"> accurate</w:t>
                                    </w:r>
                                  </w:p>
                                  <w:p w14:paraId="6A7AAC9F" w14:textId="77777777" w:rsidR="004A2E03" w:rsidRDefault="004A2E03" w:rsidP="004A2E03">
                                    <w:pPr>
                                      <w:ind w:right="39"/>
                                      <w:jc w:val="right"/>
                                      <w:rPr>
                                        <w:b/>
                                      </w:rPr>
                                    </w:pPr>
                                  </w:p>
                                  <w:p w14:paraId="7F3D428C" w14:textId="77777777" w:rsidR="004A2E03" w:rsidRDefault="004A2E03" w:rsidP="004A2E03">
                                    <w:pPr>
                                      <w:ind w:right="39"/>
                                      <w:jc w:val="right"/>
                                      <w:rPr>
                                        <w:b/>
                                      </w:rPr>
                                    </w:pPr>
                                  </w:p>
                                  <w:p w14:paraId="6C2EFF8D" w14:textId="77777777" w:rsidR="004A2E03" w:rsidRPr="00DB463F" w:rsidRDefault="004A2E03" w:rsidP="004A2E03">
                                    <w:pPr>
                                      <w:ind w:right="39"/>
                                      <w:jc w:val="righ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flipV="1">
                                  <a:off x="1698171" y="175522"/>
                                  <a:ext cx="234000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30F4DB" id="Group 3" o:spid="_x0000_s1026" alt="&quot;&quot;" style="position:absolute;margin-left:-.5pt;margin-top:.35pt;width:479.25pt;height:27.05pt;z-index:251680768;mso-width-relative:margin;mso-height-relative:margin" coordorigin=",381" coordsize="56663,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">
                      <v:shapetype id="_x0000_t202" coordsize="21600,21600" o:spt="202" path="m,l,21600r21600,l21600,xe">
                        <v:stroke joinstyle="miter"/>
                        <v:path gradientshapeok="t" o:connecttype="rect"/>
                      </v:shapetype>
                      <v:shape id="Text Box 5" o:spid="_x0000_s1027" type="#_x0000_t202" style="position:absolute;top:381;width:16981;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C0DB44D" w14:textId="77777777" w:rsidR="004A2E03" w:rsidRPr="00DB463F" w:rsidRDefault="004A2E03" w:rsidP="004A2E03">
                              <w:pPr>
                                <w:ind w:left="-142"/>
                                <w:rPr>
                                  <w:b/>
                                </w:rPr>
                              </w:pPr>
                              <w:r>
                                <w:rPr>
                                  <w:b/>
                                </w:rPr>
                                <w:t>Generally least</w:t>
                              </w:r>
                              <w:r w:rsidRPr="00DB463F">
                                <w:rPr>
                                  <w:b/>
                                </w:rPr>
                                <w:t xml:space="preserve"> accurate</w:t>
                              </w:r>
                            </w:p>
                          </w:txbxContent>
                        </v:textbox>
                      </v:shape>
                      <v:shape id="Text Box 7" o:spid="_x0000_s1028" type="#_x0000_t202" style="position:absolute;left:39188;top:457;width:1747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3435E05" w14:textId="77777777" w:rsidR="004A2E03" w:rsidRDefault="004A2E03" w:rsidP="004A2E03">
                              <w:pPr>
                                <w:ind w:right="39"/>
                                <w:jc w:val="right"/>
                                <w:rPr>
                                  <w:b/>
                                </w:rPr>
                              </w:pPr>
                              <w:r>
                                <w:rPr>
                                  <w:b/>
                                </w:rPr>
                                <w:t>Generally most</w:t>
                              </w:r>
                              <w:r w:rsidRPr="00DB463F">
                                <w:rPr>
                                  <w:b/>
                                </w:rPr>
                                <w:t xml:space="preserve"> accurate</w:t>
                              </w:r>
                            </w:p>
                            <w:p w14:paraId="6A7AAC9F" w14:textId="77777777" w:rsidR="004A2E03" w:rsidRDefault="004A2E03" w:rsidP="004A2E03">
                              <w:pPr>
                                <w:ind w:right="39"/>
                                <w:jc w:val="right"/>
                                <w:rPr>
                                  <w:b/>
                                </w:rPr>
                              </w:pPr>
                            </w:p>
                            <w:p w14:paraId="7F3D428C" w14:textId="77777777" w:rsidR="004A2E03" w:rsidRDefault="004A2E03" w:rsidP="004A2E03">
                              <w:pPr>
                                <w:ind w:right="39"/>
                                <w:jc w:val="right"/>
                                <w:rPr>
                                  <w:b/>
                                </w:rPr>
                              </w:pPr>
                            </w:p>
                            <w:p w14:paraId="6C2EFF8D" w14:textId="77777777" w:rsidR="004A2E03" w:rsidRPr="00DB463F" w:rsidRDefault="004A2E03" w:rsidP="004A2E03">
                              <w:pPr>
                                <w:ind w:right="39"/>
                                <w:jc w:val="right"/>
                                <w:rPr>
                                  <w:b/>
                                </w:rPr>
                              </w:pPr>
                            </w:p>
                          </w:txbxContent>
                        </v:textbox>
                      </v:shape>
                      <v:shapetype id="_x0000_t32" coordsize="21600,21600" o:spt="32" o:oned="t" path="m,l21600,21600e" filled="f">
                        <v:path arrowok="t" fillok="f" o:connecttype="none"/>
                        <o:lock v:ext="edit" shapetype="t"/>
                      </v:shapetype>
                      <v:shape id="Straight Arrow Connector 8" o:spid="_x0000_s1029" type="#_x0000_t32" style="position:absolute;left:16981;top:1755;width:234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" strokecolor="black [3040]" strokeweight="3pt">
                        <v:stroke endarrow="block"/>
                      </v:shape>
                    </v:group>
                  </w:pict>
                </mc:Fallback>
              </mc:AlternateContent>
            </w:r>
          </w:p>
        </w:tc>
      </w:tr>
    </w:tbl>
    <w:p w14:paraId="4FB4B3B3" w14:textId="77777777" w:rsidR="004A2E03" w:rsidRPr="00FF338C" w:rsidRDefault="004A2E03" w:rsidP="004A2E03">
      <w:pPr>
        <w:rPr>
          <w:color w:val="auto"/>
        </w:rPr>
      </w:pPr>
    </w:p>
    <w:p w14:paraId="625EB06B" w14:textId="77777777" w:rsidR="004A2E03" w:rsidRDefault="004A2E03" w:rsidP="004A2E03">
      <w:pPr>
        <w:rPr>
          <w:color w:val="auto"/>
        </w:rPr>
      </w:pPr>
      <w:r w:rsidRPr="00FF338C">
        <w:rPr>
          <w:color w:val="auto"/>
        </w:rPr>
        <w:t>In selecting available methods for estimating emissions, reporters can make their own judgements to balance the costs of using the higher-order methods with the benefits of potentially improved</w:t>
      </w:r>
      <w:r>
        <w:rPr>
          <w:color w:val="auto"/>
        </w:rPr>
        <w:t xml:space="preserve"> accuracy of </w:t>
      </w:r>
      <w:r w:rsidRPr="00FF338C">
        <w:rPr>
          <w:color w:val="auto"/>
        </w:rPr>
        <w:t>emission</w:t>
      </w:r>
      <w:r>
        <w:rPr>
          <w:color w:val="auto"/>
        </w:rPr>
        <w:t>s</w:t>
      </w:r>
      <w:r w:rsidRPr="00FF338C">
        <w:rPr>
          <w:color w:val="auto"/>
        </w:rPr>
        <w:t xml:space="preserve"> estimates.</w:t>
      </w:r>
    </w:p>
    <w:p w14:paraId="65A2E344" w14:textId="77777777" w:rsidR="004A2E03" w:rsidRDefault="004A2E03" w:rsidP="004A2E03">
      <w:r w:rsidRPr="00FF338C">
        <w:rPr>
          <w:color w:val="auto"/>
        </w:rPr>
        <w:t xml:space="preserve">Method 1 </w:t>
      </w:r>
      <w:r>
        <w:rPr>
          <w:color w:val="auto"/>
        </w:rPr>
        <w:t>must</w:t>
      </w:r>
      <w:r w:rsidRPr="00FF338C">
        <w:rPr>
          <w:color w:val="auto"/>
        </w:rPr>
        <w:t xml:space="preserve"> not be used </w:t>
      </w:r>
      <w:r>
        <w:rPr>
          <w:color w:val="auto"/>
        </w:rPr>
        <w:t xml:space="preserve">to estimate </w:t>
      </w:r>
      <w:r w:rsidRPr="00FF338C">
        <w:rPr>
          <w:color w:val="auto"/>
        </w:rPr>
        <w:t xml:space="preserve">emissions of carbon dioxide for </w:t>
      </w:r>
      <w:r>
        <w:rPr>
          <w:color w:val="auto"/>
        </w:rPr>
        <w:t xml:space="preserve">the main fuel combusted from the operation of the </w:t>
      </w:r>
      <w:r w:rsidRPr="00FF338C">
        <w:rPr>
          <w:color w:val="auto"/>
        </w:rPr>
        <w:t>facilities with the industry classification of 2611 where the generating unit has the capacity to produce 30</w:t>
      </w:r>
      <w:r>
        <w:rPr>
          <w:color w:val="auto"/>
        </w:rPr>
        <w:t xml:space="preserve"> MW</w:t>
      </w:r>
      <w:r w:rsidRPr="00FF338C">
        <w:rPr>
          <w:color w:val="auto"/>
        </w:rPr>
        <w:t xml:space="preserve"> or more of electricity and generates more than 50,000 </w:t>
      </w:r>
      <w:r>
        <w:rPr>
          <w:color w:val="auto"/>
        </w:rPr>
        <w:t xml:space="preserve">MWh </w:t>
      </w:r>
      <w:r w:rsidRPr="00FF338C">
        <w:rPr>
          <w:color w:val="auto"/>
        </w:rPr>
        <w:t>of electricity in a reporting year.</w:t>
      </w:r>
      <w:r w:rsidRPr="00FF338C">
        <w:rPr>
          <w:rStyle w:val="FootnoteReference"/>
          <w:color w:val="auto"/>
        </w:rPr>
        <w:footnoteReference w:id="9"/>
      </w:r>
      <w:r>
        <w:rPr>
          <w:color w:val="auto"/>
        </w:rPr>
        <w:t xml:space="preserve"> </w:t>
      </w:r>
      <w:r>
        <w:t>This requirement is based on total generation and production capacity of the generating units at the facility.</w:t>
      </w:r>
    </w:p>
    <w:p w14:paraId="34F5A536" w14:textId="77777777" w:rsidR="004A2E03" w:rsidRPr="00FF338C" w:rsidRDefault="004A2E03" w:rsidP="00DB4B56">
      <w:pPr>
        <w:pStyle w:val="Heading2"/>
        <w:numPr>
          <w:ilvl w:val="1"/>
          <w:numId w:val="3"/>
        </w:numPr>
        <w:ind w:left="426" w:hanging="426"/>
      </w:pPr>
      <w:bookmarkStart w:id="56" w:name="_Toc511376907"/>
      <w:bookmarkStart w:id="57" w:name="_Toc511388504"/>
      <w:bookmarkStart w:id="58" w:name="_Toc511389426"/>
      <w:bookmarkStart w:id="59" w:name="_Toc511392935"/>
      <w:bookmarkStart w:id="60" w:name="_Toc511732465"/>
      <w:bookmarkStart w:id="61" w:name="_Toc512010390"/>
      <w:bookmarkStart w:id="62" w:name="_Toc512339588"/>
      <w:bookmarkStart w:id="63" w:name="_Toc106705752"/>
      <w:bookmarkStart w:id="64" w:name="_Toc107922534"/>
      <w:r w:rsidRPr="00FF338C">
        <w:t>Thresholds for estimating and reporting emissions</w:t>
      </w:r>
      <w:bookmarkEnd w:id="56"/>
      <w:bookmarkEnd w:id="57"/>
      <w:bookmarkEnd w:id="58"/>
      <w:bookmarkEnd w:id="59"/>
      <w:bookmarkEnd w:id="60"/>
      <w:bookmarkEnd w:id="61"/>
      <w:bookmarkEnd w:id="62"/>
      <w:bookmarkEnd w:id="63"/>
      <w:bookmarkEnd w:id="64"/>
    </w:p>
    <w:p w14:paraId="4ECFC59C" w14:textId="77777777" w:rsidR="004A2E03" w:rsidRPr="00FF338C" w:rsidRDefault="004A2E03" w:rsidP="004A2E03">
      <w:pPr>
        <w:rPr>
          <w:color w:val="auto"/>
        </w:rPr>
      </w:pPr>
      <w:r w:rsidRPr="00EE5638">
        <w:rPr>
          <w:color w:val="auto"/>
        </w:rPr>
        <w:t>The estimation and reporting of emissions from the combustion of fuels and use of sulphur hexafluoride gas</w:t>
      </w:r>
      <w:r w:rsidRPr="00FF338C">
        <w:rPr>
          <w:color w:val="auto"/>
        </w:rPr>
        <w:t xml:space="preserve"> is required if the quantity consumed is greater than the thresholds listed </w:t>
      </w:r>
      <w:r>
        <w:rPr>
          <w:color w:val="auto"/>
        </w:rPr>
        <w:t>below</w:t>
      </w:r>
      <w:r w:rsidRPr="00FF338C">
        <w:rPr>
          <w:color w:val="auto"/>
        </w:rPr>
        <w:t xml:space="preserve">. </w:t>
      </w:r>
    </w:p>
    <w:p w14:paraId="13DCC5F8" w14:textId="77777777" w:rsidR="004A2E03" w:rsidRDefault="004A2E03" w:rsidP="00B85497">
      <w:pPr>
        <w:keepNext/>
        <w:spacing w:after="0"/>
        <w:rPr>
          <w:i/>
          <w:iCs/>
          <w:color w:val="454743" w:themeColor="text2"/>
          <w:sz w:val="18"/>
          <w:szCs w:val="18"/>
        </w:rPr>
      </w:pPr>
      <w:bookmarkStart w:id="65" w:name="_Ref511316059"/>
      <w:r w:rsidRPr="00FF338C">
        <w:rPr>
          <w:i/>
          <w:iCs/>
          <w:color w:val="454743" w:themeColor="text2"/>
          <w:sz w:val="18"/>
          <w:szCs w:val="18"/>
        </w:rPr>
        <w:t xml:space="preserve">Table </w:t>
      </w:r>
      <w:r w:rsidRPr="00FF338C">
        <w:rPr>
          <w:i/>
          <w:iCs/>
          <w:color w:val="454743" w:themeColor="text2"/>
          <w:sz w:val="18"/>
          <w:szCs w:val="18"/>
        </w:rPr>
        <w:fldChar w:fldCharType="begin"/>
      </w:r>
      <w:r w:rsidRPr="00FF338C">
        <w:rPr>
          <w:i/>
          <w:iCs/>
          <w:color w:val="454743" w:themeColor="text2"/>
          <w:sz w:val="18"/>
          <w:szCs w:val="18"/>
        </w:rPr>
        <w:instrText xml:space="preserve"> SEQ Table \* ARABIC </w:instrText>
      </w:r>
      <w:r w:rsidRPr="00FF338C">
        <w:rPr>
          <w:i/>
          <w:iCs/>
          <w:color w:val="454743" w:themeColor="text2"/>
          <w:sz w:val="18"/>
          <w:szCs w:val="18"/>
        </w:rPr>
        <w:fldChar w:fldCharType="separate"/>
      </w:r>
      <w:r>
        <w:rPr>
          <w:i/>
          <w:iCs/>
          <w:noProof/>
          <w:color w:val="454743" w:themeColor="text2"/>
          <w:sz w:val="18"/>
          <w:szCs w:val="18"/>
        </w:rPr>
        <w:t>5</w:t>
      </w:r>
      <w:r w:rsidRPr="00FF338C">
        <w:rPr>
          <w:i/>
          <w:iCs/>
          <w:color w:val="454743" w:themeColor="text2"/>
          <w:sz w:val="18"/>
          <w:szCs w:val="18"/>
        </w:rPr>
        <w:fldChar w:fldCharType="end"/>
      </w:r>
      <w:bookmarkEnd w:id="65"/>
      <w:r w:rsidRPr="00FF338C">
        <w:rPr>
          <w:i/>
          <w:iCs/>
          <w:color w:val="454743" w:themeColor="text2"/>
          <w:sz w:val="18"/>
          <w:szCs w:val="18"/>
        </w:rPr>
        <w:t xml:space="preserve"> – Thresholds for emission estimation</w:t>
      </w:r>
    </w:p>
    <w:p w14:paraId="17A37BD6" w14:textId="77777777" w:rsidR="004A2E03" w:rsidRPr="00FF338C" w:rsidRDefault="004A2E03" w:rsidP="004A2E03">
      <w:pPr>
        <w:spacing w:after="0"/>
        <w:rPr>
          <w:i/>
          <w:iCs/>
          <w:color w:val="auto"/>
          <w:sz w:val="18"/>
          <w:szCs w:val="18"/>
        </w:rPr>
      </w:pPr>
    </w:p>
    <w:tbl>
      <w:tblPr>
        <w:tblStyle w:val="CERTable"/>
        <w:tblW w:w="9848" w:type="dxa"/>
        <w:tblLook w:val="04A0" w:firstRow="1" w:lastRow="0" w:firstColumn="1" w:lastColumn="0" w:noHBand="0" w:noVBand="1"/>
      </w:tblPr>
      <w:tblGrid>
        <w:gridCol w:w="4924"/>
        <w:gridCol w:w="4924"/>
      </w:tblGrid>
      <w:tr w:rsidR="004A2E03" w:rsidRPr="00C64711" w14:paraId="3CD9E87E" w14:textId="77777777" w:rsidTr="00D549C7">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924" w:type="dxa"/>
          </w:tcPr>
          <w:p w14:paraId="75D271D1" w14:textId="77777777" w:rsidR="004A2E03" w:rsidRPr="00C67339" w:rsidRDefault="004A2E03" w:rsidP="00D549C7">
            <w:pPr>
              <w:rPr>
                <w:rFonts w:cs="Arial"/>
                <w:color w:val="auto"/>
                <w:szCs w:val="22"/>
              </w:rPr>
            </w:pPr>
            <w:r w:rsidRPr="00C67339">
              <w:rPr>
                <w:rFonts w:cs="Arial"/>
                <w:szCs w:val="22"/>
              </w:rPr>
              <w:t>Emission source</w:t>
            </w:r>
          </w:p>
        </w:tc>
        <w:tc>
          <w:tcPr>
            <w:tcW w:w="4924" w:type="dxa"/>
          </w:tcPr>
          <w:p w14:paraId="25655E28" w14:textId="77777777" w:rsidR="004A2E03" w:rsidRPr="00C67339" w:rsidRDefault="004A2E03" w:rsidP="00D549C7">
            <w:pPr>
              <w:cnfStyle w:val="100000000000" w:firstRow="1" w:lastRow="0" w:firstColumn="0" w:lastColumn="0" w:oddVBand="0" w:evenVBand="0" w:oddHBand="0" w:evenHBand="0" w:firstRowFirstColumn="0" w:firstRowLastColumn="0" w:lastRowFirstColumn="0" w:lastRowLastColumn="0"/>
              <w:rPr>
                <w:rFonts w:cs="Arial"/>
                <w:color w:val="auto"/>
                <w:szCs w:val="22"/>
              </w:rPr>
            </w:pPr>
            <w:r w:rsidRPr="00C67339">
              <w:rPr>
                <w:rFonts w:cs="Arial"/>
                <w:szCs w:val="22"/>
              </w:rPr>
              <w:t>Estimation threshold per each separate instance of the source per year</w:t>
            </w:r>
          </w:p>
        </w:tc>
      </w:tr>
      <w:tr w:rsidR="004A2E03" w:rsidRPr="00C64711" w14:paraId="2E6AF040" w14:textId="77777777" w:rsidTr="00D549C7">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924" w:type="dxa"/>
          </w:tcPr>
          <w:p w14:paraId="0EB8F9F3" w14:textId="77777777" w:rsidR="004A2E03" w:rsidRPr="00C67339" w:rsidRDefault="004A2E03" w:rsidP="00D549C7">
            <w:pPr>
              <w:rPr>
                <w:rFonts w:cs="Arial"/>
                <w:b w:val="0"/>
                <w:color w:val="auto"/>
                <w:szCs w:val="22"/>
              </w:rPr>
            </w:pPr>
            <w:r w:rsidRPr="00C67339">
              <w:rPr>
                <w:rFonts w:cs="Arial"/>
                <w:szCs w:val="22"/>
              </w:rPr>
              <w:t>Solid fuel combustion</w:t>
            </w:r>
          </w:p>
        </w:tc>
        <w:tc>
          <w:tcPr>
            <w:tcW w:w="4924" w:type="dxa"/>
          </w:tcPr>
          <w:p w14:paraId="6959A063" w14:textId="77777777" w:rsidR="004A2E03" w:rsidRPr="00C67339" w:rsidRDefault="004A2E03" w:rsidP="00D549C7">
            <w:pP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67339">
              <w:rPr>
                <w:rFonts w:cs="Arial"/>
                <w:szCs w:val="22"/>
              </w:rPr>
              <w:t>1 tonne (per section 2.2 of the NGER Measurement Determination)</w:t>
            </w:r>
          </w:p>
        </w:tc>
      </w:tr>
      <w:tr w:rsidR="004A2E03" w:rsidRPr="00C64711" w14:paraId="47D4C934" w14:textId="77777777" w:rsidTr="00D549C7">
        <w:trPr>
          <w:cnfStyle w:val="000000010000" w:firstRow="0" w:lastRow="0" w:firstColumn="0" w:lastColumn="0" w:oddVBand="0" w:evenVBand="0" w:oddHBand="0" w:evenHBand="1"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4924" w:type="dxa"/>
          </w:tcPr>
          <w:p w14:paraId="578F8B82" w14:textId="77777777" w:rsidR="004A2E03" w:rsidRPr="00C67339" w:rsidRDefault="004A2E03" w:rsidP="00D549C7">
            <w:pPr>
              <w:rPr>
                <w:rFonts w:cs="Arial"/>
                <w:b w:val="0"/>
                <w:color w:val="auto"/>
                <w:szCs w:val="22"/>
              </w:rPr>
            </w:pPr>
            <w:r w:rsidRPr="00C67339">
              <w:rPr>
                <w:rFonts w:cs="Arial"/>
                <w:szCs w:val="22"/>
              </w:rPr>
              <w:t xml:space="preserve">Liquid fuel combustion </w:t>
            </w:r>
          </w:p>
        </w:tc>
        <w:tc>
          <w:tcPr>
            <w:tcW w:w="4924" w:type="dxa"/>
          </w:tcPr>
          <w:p w14:paraId="38E7E646" w14:textId="77777777" w:rsidR="004A2E03" w:rsidRPr="00D92140" w:rsidRDefault="004A2E03" w:rsidP="00B3330E">
            <w:pPr>
              <w:pStyle w:val="CERbullets"/>
              <w:numPr>
                <w:ilvl w:val="0"/>
                <w:numId w:val="12"/>
              </w:numPr>
              <w:ind w:left="357" w:hanging="357"/>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bookmarkStart w:id="66" w:name="_Hlk48047265"/>
            <w:r w:rsidRPr="00D92140">
              <w:rPr>
                <w:rFonts w:ascii="Calibri" w:hAnsi="Calibri" w:cs="Calibri"/>
                <w:color w:val="000000"/>
              </w:rPr>
              <w:t>1 kilolitre</w:t>
            </w:r>
          </w:p>
          <w:p w14:paraId="3379E26C" w14:textId="77777777" w:rsidR="004A2E03" w:rsidRPr="00D92140" w:rsidRDefault="004A2E03" w:rsidP="00B3330E">
            <w:pPr>
              <w:pStyle w:val="CERbullets"/>
              <w:numPr>
                <w:ilvl w:val="0"/>
                <w:numId w:val="12"/>
              </w:numPr>
              <w:ind w:left="357" w:hanging="357"/>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D92140">
              <w:rPr>
                <w:rFonts w:ascii="Calibri" w:hAnsi="Calibri" w:cs="Calibri"/>
                <w:color w:val="000000"/>
              </w:rPr>
              <w:t>5 kilolitres for petroleum-based oils (other than those used as fuels) and petroleum-based greases</w:t>
            </w:r>
            <w:r>
              <w:rPr>
                <w:rFonts w:ascii="Calibri" w:hAnsi="Calibri" w:cs="Calibri"/>
                <w:color w:val="000000"/>
              </w:rPr>
              <w:t>.</w:t>
            </w:r>
          </w:p>
          <w:bookmarkEnd w:id="66"/>
          <w:p w14:paraId="65F01EA7" w14:textId="77777777" w:rsidR="004A2E03" w:rsidRPr="00C67339" w:rsidRDefault="004A2E03" w:rsidP="00D549C7">
            <w:pPr>
              <w:cnfStyle w:val="000000010000" w:firstRow="0" w:lastRow="0" w:firstColumn="0" w:lastColumn="0" w:oddVBand="0" w:evenVBand="0" w:oddHBand="0" w:evenHBand="1" w:firstRowFirstColumn="0" w:firstRowLastColumn="0" w:lastRowFirstColumn="0" w:lastRowLastColumn="0"/>
              <w:rPr>
                <w:rFonts w:cs="Arial"/>
                <w:szCs w:val="22"/>
                <w:vertAlign w:val="superscript"/>
              </w:rPr>
            </w:pPr>
            <w:r w:rsidRPr="00C67339">
              <w:rPr>
                <w:rFonts w:cs="Arial"/>
                <w:szCs w:val="22"/>
              </w:rPr>
              <w:t>(per section 2.39 of the NGER Measurement Determination)</w:t>
            </w:r>
          </w:p>
        </w:tc>
      </w:tr>
      <w:tr w:rsidR="004A2E03" w:rsidRPr="00C64711" w14:paraId="244BF371" w14:textId="77777777" w:rsidTr="00D549C7">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4924" w:type="dxa"/>
          </w:tcPr>
          <w:p w14:paraId="4937B63E" w14:textId="77777777" w:rsidR="004A2E03" w:rsidRPr="00C67339" w:rsidRDefault="004A2E03" w:rsidP="00D549C7">
            <w:pPr>
              <w:rPr>
                <w:rFonts w:cs="Arial"/>
                <w:b w:val="0"/>
                <w:color w:val="auto"/>
                <w:szCs w:val="22"/>
              </w:rPr>
            </w:pPr>
            <w:r w:rsidRPr="00C67339">
              <w:rPr>
                <w:rFonts w:cs="Arial"/>
                <w:szCs w:val="22"/>
              </w:rPr>
              <w:t>Gaseous fuel combustion</w:t>
            </w:r>
          </w:p>
        </w:tc>
        <w:tc>
          <w:tcPr>
            <w:tcW w:w="4924" w:type="dxa"/>
          </w:tcPr>
          <w:p w14:paraId="79574701" w14:textId="77777777" w:rsidR="004A2E03" w:rsidRPr="00C67339" w:rsidRDefault="004A2E03" w:rsidP="00D549C7">
            <w:pP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67339">
              <w:rPr>
                <w:rFonts w:cs="Arial"/>
                <w:szCs w:val="22"/>
              </w:rPr>
              <w:t xml:space="preserve">1000 cubic </w:t>
            </w:r>
            <w:r w:rsidRPr="00C67339">
              <w:rPr>
                <w:rFonts w:cs="Arial"/>
                <w:color w:val="auto"/>
                <w:szCs w:val="22"/>
              </w:rPr>
              <w:t>metres</w:t>
            </w:r>
            <w:r w:rsidRPr="00C67339">
              <w:rPr>
                <w:color w:val="auto"/>
                <w:szCs w:val="22"/>
              </w:rPr>
              <w:t xml:space="preserve"> </w:t>
            </w:r>
            <w:r w:rsidRPr="00C67339">
              <w:rPr>
                <w:rFonts w:cs="Arial"/>
                <w:color w:val="auto"/>
                <w:szCs w:val="22"/>
              </w:rPr>
              <w:t xml:space="preserve">(per </w:t>
            </w:r>
            <w:r w:rsidRPr="00C67339">
              <w:rPr>
                <w:rFonts w:cs="Arial"/>
                <w:szCs w:val="22"/>
              </w:rPr>
              <w:t>section 2.18 of the NGER Measurement Determination)</w:t>
            </w:r>
          </w:p>
        </w:tc>
      </w:tr>
      <w:tr w:rsidR="004A2E03" w:rsidRPr="00C64711" w14:paraId="19591081" w14:textId="77777777" w:rsidTr="00D549C7">
        <w:trPr>
          <w:cnfStyle w:val="000000010000" w:firstRow="0" w:lastRow="0" w:firstColumn="0" w:lastColumn="0" w:oddVBand="0" w:evenVBand="0" w:oddHBand="0" w:evenHBand="1"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924" w:type="dxa"/>
          </w:tcPr>
          <w:p w14:paraId="10C6F61E" w14:textId="77777777" w:rsidR="004A2E03" w:rsidRPr="00EE5638" w:rsidRDefault="004A2E03" w:rsidP="00D549C7">
            <w:pPr>
              <w:rPr>
                <w:rFonts w:cs="Arial"/>
                <w:b w:val="0"/>
                <w:color w:val="auto"/>
                <w:szCs w:val="22"/>
              </w:rPr>
            </w:pPr>
            <w:r w:rsidRPr="00EE5638">
              <w:rPr>
                <w:rFonts w:cs="Arial"/>
                <w:szCs w:val="22"/>
              </w:rPr>
              <w:t>Emissions of hydrofluorocarbons and sulphur hexafluoride gases</w:t>
            </w:r>
          </w:p>
        </w:tc>
        <w:tc>
          <w:tcPr>
            <w:tcW w:w="4924" w:type="dxa"/>
          </w:tcPr>
          <w:p w14:paraId="3BDC9BFD" w14:textId="77777777" w:rsidR="004A2E03" w:rsidRPr="00EE5638" w:rsidRDefault="004A2E03" w:rsidP="00D549C7">
            <w:pPr>
              <w:cnfStyle w:val="000000010000" w:firstRow="0" w:lastRow="0" w:firstColumn="0" w:lastColumn="0" w:oddVBand="0" w:evenVBand="0" w:oddHBand="0" w:evenHBand="1" w:firstRowFirstColumn="0" w:firstRowLastColumn="0" w:lastRowFirstColumn="0" w:lastRowLastColumn="0"/>
              <w:rPr>
                <w:rFonts w:cs="Arial"/>
                <w:color w:val="auto"/>
                <w:szCs w:val="22"/>
              </w:rPr>
            </w:pPr>
            <w:r w:rsidRPr="00EE5638">
              <w:rPr>
                <w:rFonts w:cs="Arial"/>
                <w:szCs w:val="22"/>
              </w:rPr>
              <w:t>There is no threshold for use of sulphur hexafluoride gas – all emissions must be reported</w:t>
            </w:r>
          </w:p>
        </w:tc>
      </w:tr>
    </w:tbl>
    <w:p w14:paraId="08DAE54E" w14:textId="77777777" w:rsidR="004A2E03" w:rsidRPr="00FF338C" w:rsidRDefault="004A2E03" w:rsidP="004A2E03">
      <w:pPr>
        <w:pStyle w:val="Heading4"/>
      </w:pPr>
      <w:bookmarkStart w:id="67" w:name="_Toc526867688"/>
      <w:bookmarkStart w:id="68" w:name="_Toc526869730"/>
      <w:bookmarkStart w:id="69" w:name="_Toc107922535"/>
      <w:r w:rsidRPr="00FF338C">
        <w:t>Separate instance of a source</w:t>
      </w:r>
      <w:bookmarkEnd w:id="67"/>
      <w:bookmarkEnd w:id="68"/>
      <w:bookmarkEnd w:id="69"/>
    </w:p>
    <w:p w14:paraId="509B9CE7" w14:textId="77777777" w:rsidR="004A2E03" w:rsidRPr="00FF338C" w:rsidRDefault="004A2E03" w:rsidP="004A2E03">
      <w:pPr>
        <w:rPr>
          <w:color w:val="auto"/>
        </w:rPr>
      </w:pPr>
      <w:r w:rsidRPr="00FF338C">
        <w:rPr>
          <w:color w:val="auto"/>
        </w:rPr>
        <w:t xml:space="preserve">The estimation thresholds apply to each </w:t>
      </w:r>
      <w:r>
        <w:rPr>
          <w:color w:val="auto"/>
        </w:rPr>
        <w:t>‘</w:t>
      </w:r>
      <w:r w:rsidRPr="002A64B3">
        <w:rPr>
          <w:color w:val="auto"/>
        </w:rPr>
        <w:t>instance of a source</w:t>
      </w:r>
      <w:r>
        <w:rPr>
          <w:color w:val="auto"/>
        </w:rPr>
        <w:t>’, which is defined by s</w:t>
      </w:r>
      <w:r w:rsidRPr="00FF338C">
        <w:rPr>
          <w:color w:val="auto"/>
        </w:rPr>
        <w:t xml:space="preserve">ection 1.9A of the </w:t>
      </w:r>
      <w:r>
        <w:rPr>
          <w:color w:val="auto"/>
        </w:rPr>
        <w:t>NGER Measurement Determination as follows</w:t>
      </w:r>
      <w:r w:rsidRPr="00FF338C">
        <w:rPr>
          <w:color w:val="auto"/>
        </w:rPr>
        <w:t>:</w:t>
      </w:r>
    </w:p>
    <w:p w14:paraId="7CDF3344" w14:textId="0A1D2FDC" w:rsidR="004A2E03" w:rsidRPr="00C67339" w:rsidDel="00463115" w:rsidRDefault="004A2E03" w:rsidP="00B3330E">
      <w:pPr>
        <w:pStyle w:val="CERbullets"/>
        <w:numPr>
          <w:ilvl w:val="0"/>
          <w:numId w:val="12"/>
        </w:numPr>
        <w:ind w:left="357" w:hanging="357"/>
        <w:rPr>
          <w:rFonts w:ascii="Calibri" w:hAnsi="Calibri" w:cs="Calibri"/>
          <w:color w:val="000000"/>
          <w:kern w:val="2"/>
        </w:rPr>
      </w:pPr>
      <w:r w:rsidRPr="00C67339" w:rsidDel="00463115">
        <w:rPr>
          <w:rFonts w:ascii="Calibri" w:hAnsi="Calibri" w:cs="Calibri"/>
          <w:color w:val="000000"/>
          <w:kern w:val="2"/>
        </w:rPr>
        <w:t xml:space="preserve">If </w:t>
      </w:r>
      <w:r w:rsidR="00AF5B63">
        <w:rPr>
          <w:rFonts w:ascii="Calibri" w:hAnsi="Calibri" w:cs="Calibri"/>
          <w:color w:val="000000"/>
          <w:kern w:val="2"/>
        </w:rPr>
        <w:t>2</w:t>
      </w:r>
      <w:r w:rsidRPr="00C67339" w:rsidDel="00463115">
        <w:rPr>
          <w:rFonts w:ascii="Calibri" w:hAnsi="Calibri" w:cs="Calibri"/>
          <w:color w:val="000000"/>
          <w:kern w:val="2"/>
        </w:rPr>
        <w:t xml:space="preserve"> or more different activities of a facility have the same source of emissions, each activity is taken to be a separate </w:t>
      </w:r>
      <w:r>
        <w:rPr>
          <w:rFonts w:ascii="Calibri" w:hAnsi="Calibri" w:cs="Calibri"/>
          <w:color w:val="000000"/>
          <w:kern w:val="2"/>
        </w:rPr>
        <w:t>‘</w:t>
      </w:r>
      <w:r w:rsidRPr="00C67339" w:rsidDel="00463115">
        <w:rPr>
          <w:rFonts w:ascii="Calibri" w:hAnsi="Calibri" w:cs="Calibri"/>
          <w:color w:val="000000"/>
          <w:kern w:val="2"/>
        </w:rPr>
        <w:t>instance of the source</w:t>
      </w:r>
      <w:r>
        <w:rPr>
          <w:rFonts w:ascii="Calibri" w:hAnsi="Calibri" w:cs="Calibri"/>
          <w:color w:val="000000"/>
          <w:kern w:val="2"/>
        </w:rPr>
        <w:t>’</w:t>
      </w:r>
      <w:r w:rsidRPr="00C67339" w:rsidDel="00463115">
        <w:rPr>
          <w:rFonts w:ascii="Calibri" w:hAnsi="Calibri" w:cs="Calibri"/>
          <w:color w:val="000000"/>
          <w:kern w:val="2"/>
        </w:rPr>
        <w:t xml:space="preserve"> if the activity is performed by a class of equipment different from that used by another activity. </w:t>
      </w:r>
    </w:p>
    <w:p w14:paraId="19BEA061" w14:textId="32B99EC4" w:rsidR="004A2E03" w:rsidRPr="00FF338C" w:rsidRDefault="004A2E03" w:rsidP="004A2E03">
      <w:pPr>
        <w:rPr>
          <w:color w:val="auto"/>
        </w:rPr>
      </w:pPr>
      <w:r w:rsidRPr="00FF338C">
        <w:rPr>
          <w:color w:val="auto"/>
        </w:rPr>
        <w:t xml:space="preserve">For example, </w:t>
      </w:r>
      <w:r w:rsidR="00AF5B63">
        <w:rPr>
          <w:color w:val="auto"/>
        </w:rPr>
        <w:t>2</w:t>
      </w:r>
      <w:r w:rsidRPr="00FF338C">
        <w:rPr>
          <w:color w:val="auto"/>
        </w:rPr>
        <w:t xml:space="preserve"> compressors at a facility that are the same class of equipment and perform the same activity from the combustion of natural gas will be the same instance of the source. However, diesel may be combusted in generators used for electricity production and in light vehicles. </w:t>
      </w:r>
      <w:r>
        <w:rPr>
          <w:color w:val="auto"/>
        </w:rPr>
        <w:t>In this example each</w:t>
      </w:r>
      <w:r w:rsidRPr="00FF338C">
        <w:rPr>
          <w:color w:val="auto"/>
        </w:rPr>
        <w:t xml:space="preserve"> class of equipment has the same source of emissions (</w:t>
      </w:r>
      <w:r>
        <w:rPr>
          <w:color w:val="auto"/>
        </w:rPr>
        <w:t xml:space="preserve">see </w:t>
      </w:r>
      <w:r w:rsidRPr="00FF338C">
        <w:rPr>
          <w:color w:val="auto"/>
        </w:rPr>
        <w:t>1A ‘Fuel combustion’</w:t>
      </w:r>
      <w:r>
        <w:rPr>
          <w:color w:val="auto"/>
        </w:rPr>
        <w:t xml:space="preserve"> in </w:t>
      </w:r>
      <w:r w:rsidRPr="00FF338C">
        <w:rPr>
          <w:color w:val="auto"/>
        </w:rPr>
        <w:t xml:space="preserve">section 1.10 of the </w:t>
      </w:r>
      <w:r>
        <w:rPr>
          <w:color w:val="auto"/>
        </w:rPr>
        <w:t>NGER Measurement Determination</w:t>
      </w:r>
      <w:r w:rsidRPr="00FF338C">
        <w:rPr>
          <w:color w:val="auto"/>
        </w:rPr>
        <w:t xml:space="preserve">) but are separate instances of the source as they are </w:t>
      </w:r>
      <w:r w:rsidR="00AF5B63">
        <w:rPr>
          <w:color w:val="auto"/>
        </w:rPr>
        <w:t>2</w:t>
      </w:r>
      <w:r w:rsidRPr="00FF338C">
        <w:rPr>
          <w:color w:val="auto"/>
        </w:rPr>
        <w:t xml:space="preserve"> different classes of equipment used in different activities. </w:t>
      </w:r>
    </w:p>
    <w:p w14:paraId="411B79A3" w14:textId="77777777" w:rsidR="004A2E03" w:rsidRPr="00FF338C" w:rsidRDefault="004A2E03" w:rsidP="004A2E03">
      <w:pPr>
        <w:pStyle w:val="Heading4"/>
        <w:rPr>
          <w:color w:val="FF0000"/>
        </w:rPr>
      </w:pPr>
      <w:bookmarkStart w:id="70" w:name="_Toc526867689"/>
      <w:bookmarkStart w:id="71" w:name="_Toc526869731"/>
      <w:bookmarkStart w:id="72" w:name="_Toc107922536"/>
      <w:r w:rsidRPr="00FF338C">
        <w:t>Thresholds for estimating incidental emissions</w:t>
      </w:r>
      <w:bookmarkEnd w:id="70"/>
      <w:bookmarkEnd w:id="71"/>
      <w:bookmarkEnd w:id="72"/>
    </w:p>
    <w:p w14:paraId="5616383B" w14:textId="77777777" w:rsidR="004A2E03" w:rsidRPr="00FF338C" w:rsidRDefault="004A2E03" w:rsidP="004A2E03">
      <w:r w:rsidRPr="00FF338C">
        <w:t xml:space="preserve">NGER allows smaller ‘incidental emissions’ to be estimated without using a prescribed estimation method. Incidental emissions can be estimated using another method, so long as </w:t>
      </w:r>
      <w:r>
        <w:t>that method satisfies</w:t>
      </w:r>
      <w:r w:rsidRPr="00FF338C">
        <w:t xml:space="preserve"> the general estimation principles in section 1.13 of the </w:t>
      </w:r>
      <w:r>
        <w:t>NGER Measurement Determination</w:t>
      </w:r>
      <w:r w:rsidRPr="00FF338C">
        <w:t>.</w:t>
      </w:r>
    </w:p>
    <w:p w14:paraId="2D781D5B" w14:textId="77777777" w:rsidR="004A2E03" w:rsidRDefault="004A2E03" w:rsidP="004A2E03">
      <w:r>
        <w:t xml:space="preserve">NGER sub regulation </w:t>
      </w:r>
      <w:r w:rsidRPr="00FF338C">
        <w:t>4.27(5) prescribes maximum thresholds</w:t>
      </w:r>
      <w:r>
        <w:t xml:space="preserve"> per facility</w:t>
      </w:r>
      <w:r w:rsidRPr="00FF338C">
        <w:t xml:space="preserve"> for this allowance to estimate incidental emissions without using a prescribed method:</w:t>
      </w:r>
    </w:p>
    <w:p w14:paraId="740AF170" w14:textId="77777777" w:rsidR="004A2E03" w:rsidRPr="002E567B" w:rsidRDefault="004A2E03" w:rsidP="004A2E03">
      <w:pPr>
        <w:spacing w:after="0"/>
        <w:rPr>
          <w:i/>
          <w:color w:val="454743" w:themeColor="text2"/>
          <w:sz w:val="18"/>
          <w:szCs w:val="18"/>
        </w:rPr>
      </w:pPr>
      <w:r w:rsidRPr="002E567B">
        <w:rPr>
          <w:i/>
          <w:color w:val="454743" w:themeColor="text2"/>
          <w:sz w:val="18"/>
          <w:szCs w:val="18"/>
        </w:rPr>
        <w:t>Table 6 – Greenhouse gas emissions incidental reporting thresholds</w:t>
      </w:r>
    </w:p>
    <w:p w14:paraId="62DD5D88" w14:textId="77777777" w:rsidR="004A2E03" w:rsidRDefault="004A2E03" w:rsidP="004A2E03">
      <w:pPr>
        <w:spacing w:after="0"/>
      </w:pPr>
    </w:p>
    <w:tbl>
      <w:tblPr>
        <w:tblStyle w:val="CERTable"/>
        <w:tblW w:w="0" w:type="auto"/>
        <w:tblLook w:val="04A0" w:firstRow="1" w:lastRow="0" w:firstColumn="1" w:lastColumn="0" w:noHBand="0" w:noVBand="1"/>
      </w:tblPr>
      <w:tblGrid>
        <w:gridCol w:w="4390"/>
        <w:gridCol w:w="2693"/>
        <w:gridCol w:w="2647"/>
      </w:tblGrid>
      <w:tr w:rsidR="004A2E03" w14:paraId="1A7849AE" w14:textId="77777777" w:rsidTr="00D54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15A1062" w14:textId="77777777" w:rsidR="004A2E03" w:rsidRDefault="004A2E03" w:rsidP="00D549C7">
            <w:r>
              <w:t>Application type and level</w:t>
            </w:r>
          </w:p>
        </w:tc>
        <w:tc>
          <w:tcPr>
            <w:tcW w:w="2693" w:type="dxa"/>
          </w:tcPr>
          <w:p w14:paraId="5733619B" w14:textId="77777777" w:rsidR="004A2E03" w:rsidRDefault="004A2E03" w:rsidP="00D549C7">
            <w:pPr>
              <w:cnfStyle w:val="100000000000" w:firstRow="1" w:lastRow="0" w:firstColumn="0" w:lastColumn="0" w:oddVBand="0" w:evenVBand="0" w:oddHBand="0" w:evenHBand="0" w:firstRowFirstColumn="0" w:firstRowLastColumn="0" w:lastRowFirstColumn="0" w:lastRowLastColumn="0"/>
            </w:pPr>
            <w:r>
              <w:t>Scope 1 emissions (CO</w:t>
            </w:r>
            <w:r w:rsidRPr="00C16E87">
              <w:rPr>
                <w:vertAlign w:val="subscript"/>
              </w:rPr>
              <w:t>2</w:t>
            </w:r>
            <w:r>
              <w:t>-e)</w:t>
            </w:r>
          </w:p>
        </w:tc>
        <w:tc>
          <w:tcPr>
            <w:tcW w:w="2647" w:type="dxa"/>
          </w:tcPr>
          <w:p w14:paraId="693467A0" w14:textId="77777777" w:rsidR="004A2E03" w:rsidRDefault="004A2E03" w:rsidP="00D549C7">
            <w:pPr>
              <w:cnfStyle w:val="100000000000" w:firstRow="1" w:lastRow="0" w:firstColumn="0" w:lastColumn="0" w:oddVBand="0" w:evenVBand="0" w:oddHBand="0" w:evenHBand="0" w:firstRowFirstColumn="0" w:firstRowLastColumn="0" w:lastRowFirstColumn="0" w:lastRowLastColumn="0"/>
            </w:pPr>
            <w:r>
              <w:t>Scope 2 emissions (CO</w:t>
            </w:r>
            <w:r w:rsidRPr="00C16E87">
              <w:rPr>
                <w:vertAlign w:val="subscript"/>
              </w:rPr>
              <w:t>2</w:t>
            </w:r>
            <w:r>
              <w:t>-e)</w:t>
            </w:r>
          </w:p>
        </w:tc>
      </w:tr>
      <w:tr w:rsidR="004A2E03" w14:paraId="540D651E" w14:textId="77777777" w:rsidTr="00D54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3AF68E9" w14:textId="77777777" w:rsidR="004A2E03" w:rsidRDefault="004A2E03" w:rsidP="00D549C7">
            <w:r>
              <w:t>Total emissions from fuel combustion at a facility</w:t>
            </w:r>
          </w:p>
        </w:tc>
        <w:tc>
          <w:tcPr>
            <w:tcW w:w="2693" w:type="dxa"/>
          </w:tcPr>
          <w:p w14:paraId="4B587E2C" w14:textId="77777777" w:rsidR="004A2E03" w:rsidRDefault="004A2E03" w:rsidP="00D549C7">
            <w:pPr>
              <w:cnfStyle w:val="000000100000" w:firstRow="0" w:lastRow="0" w:firstColumn="0" w:lastColumn="0" w:oddVBand="0" w:evenVBand="0" w:oddHBand="1" w:evenHBand="0" w:firstRowFirstColumn="0" w:firstRowLastColumn="0" w:lastRowFirstColumn="0" w:lastRowLastColumn="0"/>
            </w:pPr>
            <w:r>
              <w:t>12 kt or less</w:t>
            </w:r>
          </w:p>
        </w:tc>
        <w:tc>
          <w:tcPr>
            <w:tcW w:w="2647" w:type="dxa"/>
          </w:tcPr>
          <w:p w14:paraId="1CED3B6C" w14:textId="77777777" w:rsidR="004A2E03" w:rsidRDefault="004A2E03" w:rsidP="00D549C7">
            <w:pPr>
              <w:cnfStyle w:val="000000100000" w:firstRow="0" w:lastRow="0" w:firstColumn="0" w:lastColumn="0" w:oddVBand="0" w:evenVBand="0" w:oddHBand="1" w:evenHBand="0" w:firstRowFirstColumn="0" w:firstRowLastColumn="0" w:lastRowFirstColumn="0" w:lastRowLastColumn="0"/>
            </w:pPr>
            <w:r>
              <w:t>12 kt or less</w:t>
            </w:r>
          </w:p>
        </w:tc>
      </w:tr>
      <w:tr w:rsidR="004A2E03" w14:paraId="718E22DA" w14:textId="77777777" w:rsidTr="00D05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bottom w:val="single" w:sz="8" w:space="0" w:color="E8E8E8" w:themeColor="background2"/>
            </w:tcBorders>
          </w:tcPr>
          <w:p w14:paraId="20ED034C" w14:textId="77777777" w:rsidR="004A2E03" w:rsidRDefault="004A2E03" w:rsidP="00D549C7">
            <w:proofErr w:type="gramStart"/>
            <w:r>
              <w:t>Amount</w:t>
            </w:r>
            <w:proofErr w:type="gramEnd"/>
            <w:r>
              <w:t xml:space="preserve"> of emissions from a source, other than combustion of fuel, at a facility</w:t>
            </w:r>
          </w:p>
        </w:tc>
        <w:tc>
          <w:tcPr>
            <w:tcW w:w="2693" w:type="dxa"/>
            <w:tcBorders>
              <w:bottom w:val="single" w:sz="8" w:space="0" w:color="E8E8E8" w:themeColor="background2"/>
            </w:tcBorders>
          </w:tcPr>
          <w:p w14:paraId="3FA43474" w14:textId="77777777" w:rsidR="004A2E03" w:rsidRDefault="004A2E03" w:rsidP="00D549C7">
            <w:pPr>
              <w:cnfStyle w:val="000000010000" w:firstRow="0" w:lastRow="0" w:firstColumn="0" w:lastColumn="0" w:oddVBand="0" w:evenVBand="0" w:oddHBand="0" w:evenHBand="1" w:firstRowFirstColumn="0" w:firstRowLastColumn="0" w:lastRowFirstColumn="0" w:lastRowLastColumn="0"/>
            </w:pPr>
            <w:r>
              <w:t>3 kt or less</w:t>
            </w:r>
          </w:p>
        </w:tc>
        <w:tc>
          <w:tcPr>
            <w:tcW w:w="2647" w:type="dxa"/>
            <w:tcBorders>
              <w:bottom w:val="single" w:sz="8" w:space="0" w:color="E8E8E8" w:themeColor="background2"/>
            </w:tcBorders>
          </w:tcPr>
          <w:p w14:paraId="197D28AD" w14:textId="77777777" w:rsidR="004A2E03" w:rsidRDefault="004A2E03" w:rsidP="00D549C7">
            <w:pPr>
              <w:cnfStyle w:val="000000010000" w:firstRow="0" w:lastRow="0" w:firstColumn="0" w:lastColumn="0" w:oddVBand="0" w:evenVBand="0" w:oddHBand="0" w:evenHBand="1" w:firstRowFirstColumn="0" w:firstRowLastColumn="0" w:lastRowFirstColumn="0" w:lastRowLastColumn="0"/>
            </w:pPr>
            <w:r>
              <w:t>3 kt or less</w:t>
            </w:r>
          </w:p>
        </w:tc>
      </w:tr>
      <w:tr w:rsidR="004A2E03" w14:paraId="0DE87F4A" w14:textId="77777777" w:rsidTr="00D05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single" w:sz="8" w:space="0" w:color="E8E8E8" w:themeColor="background2"/>
              <w:bottom w:val="single" w:sz="4" w:space="0" w:color="FCBA5C" w:themeColor="accent2"/>
            </w:tcBorders>
          </w:tcPr>
          <w:p w14:paraId="74DBF343" w14:textId="77777777" w:rsidR="004A2E03" w:rsidRDefault="004A2E03" w:rsidP="00D549C7">
            <w:r>
              <w:t>Total emissions, from a source other than combustion of fuel, at a facility</w:t>
            </w:r>
          </w:p>
        </w:tc>
        <w:tc>
          <w:tcPr>
            <w:tcW w:w="2693" w:type="dxa"/>
            <w:tcBorders>
              <w:top w:val="single" w:sz="8" w:space="0" w:color="E8E8E8" w:themeColor="background2"/>
              <w:bottom w:val="single" w:sz="4" w:space="0" w:color="FCBA5C" w:themeColor="accent2"/>
            </w:tcBorders>
          </w:tcPr>
          <w:p w14:paraId="35104B19" w14:textId="77777777" w:rsidR="004A2E03" w:rsidRDefault="004A2E03" w:rsidP="00D549C7">
            <w:pPr>
              <w:cnfStyle w:val="000000100000" w:firstRow="0" w:lastRow="0" w:firstColumn="0" w:lastColumn="0" w:oddVBand="0" w:evenVBand="0" w:oddHBand="1" w:evenHBand="0" w:firstRowFirstColumn="0" w:firstRowLastColumn="0" w:lastRowFirstColumn="0" w:lastRowLastColumn="0"/>
            </w:pPr>
            <w:r>
              <w:t>12 kt or less</w:t>
            </w:r>
          </w:p>
        </w:tc>
        <w:tc>
          <w:tcPr>
            <w:tcW w:w="2647" w:type="dxa"/>
            <w:tcBorders>
              <w:top w:val="single" w:sz="8" w:space="0" w:color="E8E8E8" w:themeColor="background2"/>
              <w:bottom w:val="single" w:sz="4" w:space="0" w:color="FCBA5C" w:themeColor="accent2"/>
            </w:tcBorders>
          </w:tcPr>
          <w:p w14:paraId="4D1DDE5D" w14:textId="77777777" w:rsidR="004A2E03" w:rsidRDefault="004A2E03" w:rsidP="00D549C7">
            <w:pPr>
              <w:cnfStyle w:val="000000100000" w:firstRow="0" w:lastRow="0" w:firstColumn="0" w:lastColumn="0" w:oddVBand="0" w:evenVBand="0" w:oddHBand="1" w:evenHBand="0" w:firstRowFirstColumn="0" w:firstRowLastColumn="0" w:lastRowFirstColumn="0" w:lastRowLastColumn="0"/>
            </w:pPr>
            <w:r>
              <w:t>12 kt or less</w:t>
            </w:r>
          </w:p>
        </w:tc>
      </w:tr>
    </w:tbl>
    <w:p w14:paraId="2B67E3C5" w14:textId="77777777" w:rsidR="004A2E03" w:rsidRPr="00FF338C" w:rsidRDefault="004A2E03" w:rsidP="004A2E03">
      <w:pPr>
        <w:spacing w:before="240"/>
      </w:pPr>
      <w:r w:rsidRPr="003A0F07">
        <w:t xml:space="preserve">This allowance provides some flexibility to estimate smaller incidental emissions without having to meet all </w:t>
      </w:r>
      <w:r>
        <w:t>requirements of</w:t>
      </w:r>
      <w:r w:rsidRPr="003A0F07">
        <w:t xml:space="preserve"> prescribed methods. However, the emissions </w:t>
      </w:r>
      <w:r>
        <w:t>must</w:t>
      </w:r>
      <w:r w:rsidRPr="003A0F07">
        <w:t xml:space="preserve"> be appropriately estimated each year.</w:t>
      </w:r>
    </w:p>
    <w:p w14:paraId="4B99C4A6" w14:textId="77777777" w:rsidR="004A2E03" w:rsidRPr="001E1406" w:rsidRDefault="004A2E03" w:rsidP="004A2E03">
      <w:pPr>
        <w:rPr>
          <w:i/>
          <w:iCs/>
        </w:rPr>
      </w:pPr>
      <w:r w:rsidRPr="001E1406">
        <w:rPr>
          <w:i/>
          <w:iCs/>
        </w:rPr>
        <w:t>Note</w:t>
      </w:r>
      <w:r w:rsidRPr="001E1406">
        <w:rPr>
          <w:bCs/>
          <w:i/>
          <w:iCs/>
        </w:rPr>
        <w:t>: It</w:t>
      </w:r>
      <w:r w:rsidRPr="001E1406">
        <w:rPr>
          <w:i/>
          <w:iCs/>
        </w:rPr>
        <w:t xml:space="preserve"> is also important to note this is an annual allowance, accordingly, emissions sources considered incidental one year may not be so the following year. Reporters</w:t>
      </w:r>
      <w:r w:rsidRPr="001E1406" w:rsidDel="00976700">
        <w:rPr>
          <w:i/>
          <w:iCs/>
        </w:rPr>
        <w:t xml:space="preserve"> </w:t>
      </w:r>
      <w:r>
        <w:rPr>
          <w:i/>
          <w:iCs/>
        </w:rPr>
        <w:t>must</w:t>
      </w:r>
      <w:r w:rsidRPr="001E1406">
        <w:rPr>
          <w:i/>
          <w:iCs/>
        </w:rPr>
        <w:t xml:space="preserve"> check they meet the threshold each year.</w:t>
      </w:r>
    </w:p>
    <w:p w14:paraId="6519E41A" w14:textId="77777777" w:rsidR="004A2E03" w:rsidRPr="00FF338C" w:rsidRDefault="004A2E03" w:rsidP="00DB4B56">
      <w:pPr>
        <w:pStyle w:val="Heading2"/>
        <w:numPr>
          <w:ilvl w:val="1"/>
          <w:numId w:val="3"/>
        </w:numPr>
        <w:ind w:left="426" w:hanging="426"/>
      </w:pPr>
      <w:bookmarkStart w:id="73" w:name="_Toc512010391"/>
      <w:bookmarkStart w:id="74" w:name="_Toc512339589"/>
      <w:bookmarkStart w:id="75" w:name="_Toc106705753"/>
      <w:bookmarkStart w:id="76" w:name="_Toc107922537"/>
      <w:r w:rsidRPr="00FF338C">
        <w:t>Uncertainty</w:t>
      </w:r>
      <w:bookmarkEnd w:id="73"/>
      <w:bookmarkEnd w:id="74"/>
      <w:bookmarkEnd w:id="75"/>
      <w:bookmarkEnd w:id="76"/>
    </w:p>
    <w:p w14:paraId="2D50A472" w14:textId="77777777" w:rsidR="004A2E03" w:rsidRPr="00FF338C" w:rsidRDefault="004A2E03" w:rsidP="004A2E03">
      <w:r w:rsidRPr="00FF338C">
        <w:t>Uncertainty must be reported for a facility if the scope 1 emissions from the combustion of an energy type or for a source are 25,000 t CO</w:t>
      </w:r>
      <w:r w:rsidRPr="00FF338C">
        <w:rPr>
          <w:vertAlign w:val="subscript"/>
        </w:rPr>
        <w:t>2</w:t>
      </w:r>
      <w:r w:rsidRPr="00FF338C">
        <w:t>-e or more in a reporting year</w:t>
      </w:r>
      <w:r>
        <w:t xml:space="preserve"> (r</w:t>
      </w:r>
      <w:r w:rsidRPr="00BE7AE6">
        <w:t>egulations 4.08 and 4.17A of the NGER Regulations</w:t>
      </w:r>
      <w:r>
        <w:t>)</w:t>
      </w:r>
      <w:r w:rsidRPr="00FF338C">
        <w:t>. This may particularly be the case for fuel combustion in electricity generators</w:t>
      </w:r>
      <w:r>
        <w:t xml:space="preserve">, </w:t>
      </w:r>
      <w:r w:rsidRPr="00FF338C">
        <w:t xml:space="preserve">for example coal or gas fired power stations. Uncertainty is not required to be aggregated to the facility or corporation levels. </w:t>
      </w:r>
    </w:p>
    <w:p w14:paraId="09C16B94" w14:textId="77777777" w:rsidR="004A2E03" w:rsidRDefault="004A2E03" w:rsidP="004A2E03">
      <w:pPr>
        <w:spacing w:after="0"/>
      </w:pPr>
      <w:r>
        <w:t>The NGER Measurement Determination</w:t>
      </w:r>
      <w:r w:rsidRPr="00FF338C">
        <w:t xml:space="preserve"> sets out how to assess uncertainty </w:t>
      </w:r>
      <w:r>
        <w:t>as follows:</w:t>
      </w:r>
    </w:p>
    <w:p w14:paraId="5C48CF27" w14:textId="77777777" w:rsidR="004A2E03" w:rsidRDefault="004A2E03" w:rsidP="00B3330E">
      <w:pPr>
        <w:pStyle w:val="Sub-para"/>
        <w:numPr>
          <w:ilvl w:val="0"/>
          <w:numId w:val="1"/>
        </w:numPr>
      </w:pPr>
      <w:r w:rsidRPr="00FF338C">
        <w:t xml:space="preserve">Part 8.3 </w:t>
      </w:r>
      <w:r>
        <w:t xml:space="preserve">– </w:t>
      </w:r>
      <w:r w:rsidRPr="00FF338C">
        <w:t>where method 1 is used to estimate scope 1 emissions</w:t>
      </w:r>
      <w:r>
        <w:t>.</w:t>
      </w:r>
    </w:p>
    <w:p w14:paraId="703FE275" w14:textId="77777777" w:rsidR="004A2E03" w:rsidRDefault="004A2E03" w:rsidP="00B3330E">
      <w:pPr>
        <w:pStyle w:val="Sub-para"/>
        <w:numPr>
          <w:ilvl w:val="0"/>
          <w:numId w:val="1"/>
        </w:numPr>
      </w:pPr>
      <w:r w:rsidRPr="00FF338C">
        <w:t xml:space="preserve">Part 8.4 </w:t>
      </w:r>
      <w:r>
        <w:t xml:space="preserve">– </w:t>
      </w:r>
      <w:r w:rsidRPr="00FF338C">
        <w:t xml:space="preserve">where </w:t>
      </w:r>
      <w:r>
        <w:t>m</w:t>
      </w:r>
      <w:r w:rsidRPr="00FF338C">
        <w:t>ethod 2, 3 or 4 is used to estimate scope 1 emissions</w:t>
      </w:r>
      <w:r>
        <w:t>.</w:t>
      </w:r>
    </w:p>
    <w:p w14:paraId="5DDF93CB" w14:textId="77777777" w:rsidR="004A2E03" w:rsidRPr="00EE0C1D" w:rsidRDefault="004A2E03" w:rsidP="004A2E03">
      <w:pPr>
        <w:pStyle w:val="Sub-para"/>
        <w:ind w:left="0" w:firstLine="0"/>
      </w:pPr>
      <w:r>
        <w:t>See</w:t>
      </w:r>
      <w:r w:rsidRPr="00FF338C">
        <w:t xml:space="preserve"> the </w:t>
      </w:r>
      <w:hyperlink r:id="rId34" w:history="1">
        <w:r w:rsidRPr="00C67339">
          <w:rPr>
            <w:rStyle w:val="Hyperlink"/>
            <w:rFonts w:asciiTheme="minorHAnsi" w:hAnsiTheme="minorHAnsi"/>
            <w:iCs/>
          </w:rPr>
          <w:t>Reporting uncertainty</w:t>
        </w:r>
        <w:r w:rsidRPr="00EE0C1D">
          <w:rPr>
            <w:rStyle w:val="Hyperlink"/>
            <w:rFonts w:asciiTheme="minorHAnsi" w:hAnsiTheme="minorHAnsi"/>
          </w:rPr>
          <w:t xml:space="preserve"> guideline</w:t>
        </w:r>
      </w:hyperlink>
      <w:r w:rsidRPr="00FF338C">
        <w:rPr>
          <w:rStyle w:val="FootnoteReference"/>
        </w:rPr>
        <w:footnoteReference w:id="10"/>
      </w:r>
      <w:r>
        <w:t xml:space="preserve"> for more information</w:t>
      </w:r>
      <w:r w:rsidRPr="00FF338C">
        <w:t>.</w:t>
      </w:r>
    </w:p>
    <w:p w14:paraId="6535C529" w14:textId="77777777" w:rsidR="004A2E03" w:rsidRPr="00FF338C" w:rsidRDefault="004A2E03" w:rsidP="00B3330E">
      <w:pPr>
        <w:pStyle w:val="Heading1"/>
        <w:numPr>
          <w:ilvl w:val="0"/>
          <w:numId w:val="3"/>
        </w:numPr>
        <w:rPr>
          <w:lang w:val="en-GB"/>
        </w:rPr>
      </w:pPr>
      <w:bookmarkStart w:id="77" w:name="_Estimating_emissions_from"/>
      <w:bookmarkStart w:id="78" w:name="_Ref511911416"/>
      <w:bookmarkStart w:id="79" w:name="_Toc512010392"/>
      <w:bookmarkStart w:id="80" w:name="_Toc512339590"/>
      <w:bookmarkStart w:id="81" w:name="_Toc106705754"/>
      <w:bookmarkStart w:id="82" w:name="_Toc107922538"/>
      <w:bookmarkEnd w:id="77"/>
      <w:r w:rsidRPr="00FF338C">
        <w:rPr>
          <w:lang w:val="en-GB"/>
        </w:rPr>
        <w:t>Estimating emissions from fuel combustion</w:t>
      </w:r>
      <w:bookmarkEnd w:id="78"/>
      <w:bookmarkEnd w:id="79"/>
      <w:bookmarkEnd w:id="80"/>
      <w:bookmarkEnd w:id="81"/>
      <w:bookmarkEnd w:id="82"/>
    </w:p>
    <w:p w14:paraId="5AD99DBE" w14:textId="77777777" w:rsidR="004A2E03" w:rsidRPr="00FF338C" w:rsidRDefault="004A2E03" w:rsidP="004A2E03">
      <w:r w:rsidRPr="00FF338C">
        <w:t xml:space="preserve">Fuel combustion accounts for a large proportion of scope 1 emissions from the electricity sector. Available estimation methods are provided in </w:t>
      </w:r>
      <w:r>
        <w:t>c</w:t>
      </w:r>
      <w:r w:rsidRPr="00FF338C">
        <w:t xml:space="preserve">hapter 2 of the </w:t>
      </w:r>
      <w:r>
        <w:t>NGER Measurement Determination</w:t>
      </w:r>
      <w:r w:rsidRPr="00FF338C">
        <w:t xml:space="preserve"> </w:t>
      </w:r>
      <w:r w:rsidRPr="00FF338C">
        <w:rPr>
          <w:color w:val="auto"/>
        </w:rPr>
        <w:t>and vary according to:</w:t>
      </w:r>
    </w:p>
    <w:p w14:paraId="698578C8" w14:textId="77777777" w:rsidR="004A2E03" w:rsidRPr="00FF338C" w:rsidRDefault="004A2E03" w:rsidP="00B3330E">
      <w:pPr>
        <w:numPr>
          <w:ilvl w:val="0"/>
          <w:numId w:val="1"/>
        </w:numPr>
        <w:spacing w:before="120" w:after="120"/>
        <w:rPr>
          <w:b/>
        </w:rPr>
      </w:pPr>
      <w:r w:rsidRPr="00FF338C">
        <w:t xml:space="preserve">The physical </w:t>
      </w:r>
      <w:r w:rsidRPr="00FF338C">
        <w:rPr>
          <w:color w:val="auto"/>
        </w:rPr>
        <w:t>state</w:t>
      </w:r>
      <w:r w:rsidRPr="00FF338C">
        <w:t xml:space="preserve"> of the fuel being combusted, </w:t>
      </w:r>
      <w:r>
        <w:t>for example if</w:t>
      </w:r>
      <w:r w:rsidRPr="00FF338C">
        <w:t xml:space="preserve"> it is combustion of</w:t>
      </w:r>
      <w:r>
        <w:t>:</w:t>
      </w:r>
    </w:p>
    <w:p w14:paraId="40778D0A" w14:textId="77777777" w:rsidR="004A2E03" w:rsidRPr="00FF338C" w:rsidRDefault="004A2E03" w:rsidP="00B3330E">
      <w:pPr>
        <w:numPr>
          <w:ilvl w:val="1"/>
          <w:numId w:val="1"/>
        </w:numPr>
        <w:spacing w:before="120" w:after="120"/>
        <w:rPr>
          <w:b/>
          <w:color w:val="auto"/>
        </w:rPr>
      </w:pPr>
      <w:r w:rsidRPr="00FF338C">
        <w:rPr>
          <w:color w:val="auto"/>
        </w:rPr>
        <w:t>solid fuel (Part 2.2)</w:t>
      </w:r>
    </w:p>
    <w:p w14:paraId="456A8030" w14:textId="77777777" w:rsidR="004A2E03" w:rsidRPr="00FF338C" w:rsidRDefault="004A2E03" w:rsidP="00B3330E">
      <w:pPr>
        <w:numPr>
          <w:ilvl w:val="1"/>
          <w:numId w:val="1"/>
        </w:numPr>
        <w:spacing w:before="120" w:after="120"/>
        <w:rPr>
          <w:b/>
          <w:color w:val="auto"/>
        </w:rPr>
      </w:pPr>
      <w:r w:rsidRPr="00FF338C">
        <w:rPr>
          <w:color w:val="auto"/>
        </w:rPr>
        <w:t>gaseous fuel (Part 2.3)</w:t>
      </w:r>
    </w:p>
    <w:p w14:paraId="21C49D30" w14:textId="77777777" w:rsidR="004A2E03" w:rsidRPr="00FF338C" w:rsidRDefault="004A2E03" w:rsidP="00B3330E">
      <w:pPr>
        <w:numPr>
          <w:ilvl w:val="1"/>
          <w:numId w:val="1"/>
        </w:numPr>
        <w:spacing w:before="120" w:after="120"/>
        <w:rPr>
          <w:b/>
          <w:color w:val="auto"/>
        </w:rPr>
      </w:pPr>
      <w:r w:rsidRPr="00FF338C">
        <w:rPr>
          <w:color w:val="auto"/>
        </w:rPr>
        <w:t>liquid fuel (Part 2.4).</w:t>
      </w:r>
    </w:p>
    <w:p w14:paraId="0ECEF58F" w14:textId="77777777" w:rsidR="004A2E03" w:rsidRPr="00FF338C" w:rsidRDefault="004A2E03" w:rsidP="00B3330E">
      <w:pPr>
        <w:numPr>
          <w:ilvl w:val="0"/>
          <w:numId w:val="1"/>
        </w:numPr>
        <w:spacing w:before="120" w:after="120"/>
      </w:pPr>
      <w:r w:rsidRPr="00FF338C">
        <w:t xml:space="preserve">The type </w:t>
      </w:r>
      <w:r w:rsidRPr="00FF338C">
        <w:rPr>
          <w:color w:val="auto"/>
        </w:rPr>
        <w:t>of</w:t>
      </w:r>
      <w:r w:rsidRPr="00FF338C">
        <w:t xml:space="preserve"> greenhouse gas emitted, being carbon dioxide, </w:t>
      </w:r>
      <w:proofErr w:type="gramStart"/>
      <w:r w:rsidRPr="00FF338C">
        <w:t>methane</w:t>
      </w:r>
      <w:proofErr w:type="gramEnd"/>
      <w:r w:rsidRPr="00FF338C">
        <w:t xml:space="preserve"> and nitrous oxide (as applicable).</w:t>
      </w:r>
      <w:r>
        <w:t xml:space="preserve"> </w:t>
      </w:r>
      <w:r w:rsidRPr="00FF338C">
        <w:t xml:space="preserve">Depending on the </w:t>
      </w:r>
      <w:r w:rsidRPr="000B2F77">
        <w:rPr>
          <w:color w:val="auto"/>
        </w:rPr>
        <w:t>applicable greenhouse gas,</w:t>
      </w:r>
      <w:r w:rsidRPr="00FF338C" w:rsidDel="006924E9">
        <w:t xml:space="preserve"> </w:t>
      </w:r>
      <w:r w:rsidRPr="00FF338C">
        <w:t xml:space="preserve">emissions from fuel combustion can be estimated by: </w:t>
      </w:r>
    </w:p>
    <w:p w14:paraId="34AF2E7D" w14:textId="77777777" w:rsidR="004A2E03" w:rsidRPr="00FF338C" w:rsidRDefault="004A2E03" w:rsidP="00B3330E">
      <w:pPr>
        <w:pStyle w:val="Sub-para"/>
        <w:numPr>
          <w:ilvl w:val="1"/>
          <w:numId w:val="1"/>
        </w:numPr>
      </w:pPr>
      <w:r w:rsidRPr="00FF338C">
        <w:t>the use of emission factors and energy content of the</w:t>
      </w:r>
      <w:r>
        <w:t xml:space="preserve"> fuel combusted (m</w:t>
      </w:r>
      <w:r w:rsidRPr="00FF338C">
        <w:t>ethods 1, 2 or 3</w:t>
      </w:r>
      <w:r>
        <w:t>)</w:t>
      </w:r>
    </w:p>
    <w:p w14:paraId="3F974C73" w14:textId="77777777" w:rsidR="004A2E03" w:rsidRPr="00FF338C" w:rsidRDefault="004A2E03" w:rsidP="00B3330E">
      <w:pPr>
        <w:pStyle w:val="Sub-para"/>
        <w:numPr>
          <w:ilvl w:val="1"/>
          <w:numId w:val="1"/>
        </w:numPr>
      </w:pPr>
      <w:r w:rsidRPr="00FF338C">
        <w:t>d</w:t>
      </w:r>
      <w:r>
        <w:t>irect measurement of emissions</w:t>
      </w:r>
      <w:r w:rsidRPr="00FF338C">
        <w:t xml:space="preserve"> </w:t>
      </w:r>
      <w:r>
        <w:t>(m</w:t>
      </w:r>
      <w:r w:rsidRPr="00FF338C">
        <w:t>ethod 4</w:t>
      </w:r>
      <w:r>
        <w:t>)</w:t>
      </w:r>
      <w:r w:rsidRPr="00FF338C">
        <w:t xml:space="preserve">. </w:t>
      </w:r>
    </w:p>
    <w:p w14:paraId="2A5CA5DB" w14:textId="77777777" w:rsidR="004A2E03" w:rsidRPr="00FF338C" w:rsidRDefault="004A2E03" w:rsidP="004A2E03">
      <w:r w:rsidRPr="00FF338C">
        <w:t xml:space="preserve">Reporters should ensure that only methods listed in the </w:t>
      </w:r>
      <w:r>
        <w:t>NGER Measurement Determination</w:t>
      </w:r>
      <w:r w:rsidRPr="00FF338C">
        <w:t xml:space="preserve"> are used to estimate each greenhouse gas emission and that the method used is reported correctly.</w:t>
      </w:r>
    </w:p>
    <w:tbl>
      <w:tblPr>
        <w:tblStyle w:val="CERCallout"/>
        <w:tblW w:w="9497" w:type="dxa"/>
        <w:tblLook w:val="04A0" w:firstRow="1" w:lastRow="0" w:firstColumn="1" w:lastColumn="0" w:noHBand="0" w:noVBand="1"/>
      </w:tblPr>
      <w:tblGrid>
        <w:gridCol w:w="9497"/>
      </w:tblGrid>
      <w:tr w:rsidR="004A2E03" w:rsidRPr="00FF338C" w14:paraId="5444B4A3" w14:textId="77777777" w:rsidTr="00D549C7">
        <w:trPr>
          <w:cnfStyle w:val="100000000000" w:firstRow="1" w:lastRow="0" w:firstColumn="0" w:lastColumn="0" w:oddVBand="0" w:evenVBand="0" w:oddHBand="0" w:evenHBand="0" w:firstRowFirstColumn="0" w:firstRowLastColumn="0" w:lastRowFirstColumn="0" w:lastRowLastColumn="0"/>
        </w:trPr>
        <w:tc>
          <w:tcPr>
            <w:tcW w:w="8929" w:type="dxa"/>
            <w:hideMark/>
          </w:tcPr>
          <w:p w14:paraId="3F538060" w14:textId="77777777" w:rsidR="004A2E03" w:rsidRPr="00302E97" w:rsidRDefault="004A2E03" w:rsidP="00D549C7">
            <w:pPr>
              <w:pStyle w:val="Heading5"/>
              <w:ind w:left="5"/>
              <w:rPr>
                <w:b/>
                <w:bCs/>
              </w:rPr>
            </w:pPr>
            <w:bookmarkStart w:id="83" w:name="_Toc526867692"/>
            <w:bookmarkStart w:id="84" w:name="_Toc526869734"/>
            <w:bookmarkStart w:id="85" w:name="_Toc107922539"/>
            <w:r w:rsidRPr="00302E97">
              <w:rPr>
                <w:b/>
                <w:bCs/>
              </w:rPr>
              <w:t>Example – difference between estimating emissions using emission factors and energy content of fuel combusted, and direct measurement of emissions</w:t>
            </w:r>
            <w:bookmarkEnd w:id="83"/>
            <w:bookmarkEnd w:id="84"/>
            <w:bookmarkEnd w:id="85"/>
          </w:p>
          <w:p w14:paraId="0170B719" w14:textId="77777777" w:rsidR="004A2E03" w:rsidRPr="00D12436" w:rsidRDefault="000D1A50" w:rsidP="00D549C7">
            <w:pPr>
              <w:ind w:left="5"/>
              <w:rPr>
                <w:b w:val="0"/>
                <w:bCs/>
              </w:rPr>
            </w:pPr>
            <w:hyperlink w:anchor="_Case_example_1:" w:history="1">
              <w:r w:rsidR="004A2E03" w:rsidRPr="00D12436">
                <w:rPr>
                  <w:rStyle w:val="Hyperlink"/>
                  <w:rFonts w:asciiTheme="minorHAnsi" w:hAnsiTheme="minorHAnsi"/>
                  <w:b w:val="0"/>
                  <w:bCs/>
                </w:rPr>
                <w:t>Case example 1 in Appendix A</w:t>
              </w:r>
            </w:hyperlink>
            <w:r w:rsidR="004A2E03" w:rsidRPr="00D12436">
              <w:rPr>
                <w:b w:val="0"/>
                <w:bCs/>
              </w:rPr>
              <w:t xml:space="preserve"> illustrates the principle difference in respect of a gas-fired power station between estimating emissions using emission factors and energy content of fuel combusted, and direct measurement of emissions. </w:t>
            </w:r>
          </w:p>
          <w:p w14:paraId="5C2CF3DA" w14:textId="77777777" w:rsidR="004A2E03" w:rsidRPr="00D12436" w:rsidRDefault="004A2E03" w:rsidP="00D549C7">
            <w:pPr>
              <w:ind w:left="3"/>
              <w:rPr>
                <w:b w:val="0"/>
                <w:bCs/>
              </w:rPr>
            </w:pPr>
            <w:r w:rsidRPr="00D12436">
              <w:rPr>
                <w:b w:val="0"/>
                <w:bCs/>
              </w:rPr>
              <w:t>Scope 1 emissions occur when carbon dioxide (CO</w:t>
            </w:r>
            <w:r w:rsidRPr="00D12436">
              <w:rPr>
                <w:b w:val="0"/>
                <w:bCs/>
                <w:vertAlign w:val="subscript"/>
              </w:rPr>
              <w:t>2</w:t>
            </w:r>
            <w:r w:rsidRPr="00D12436">
              <w:rPr>
                <w:b w:val="0"/>
                <w:bCs/>
              </w:rPr>
              <w:t>), methane (CH</w:t>
            </w:r>
            <w:r w:rsidRPr="00D12436">
              <w:rPr>
                <w:b w:val="0"/>
                <w:bCs/>
                <w:vertAlign w:val="subscript"/>
              </w:rPr>
              <w:t>4</w:t>
            </w:r>
            <w:r w:rsidRPr="00D12436">
              <w:rPr>
                <w:b w:val="0"/>
                <w:bCs/>
              </w:rPr>
              <w:t>) and nitrous oxide (N</w:t>
            </w:r>
            <w:r w:rsidRPr="00D12436">
              <w:rPr>
                <w:b w:val="0"/>
                <w:bCs/>
                <w:vertAlign w:val="subscript"/>
              </w:rPr>
              <w:t>2</w:t>
            </w:r>
            <w:r w:rsidRPr="00D12436">
              <w:rPr>
                <w:b w:val="0"/>
                <w:bCs/>
              </w:rPr>
              <w:t>O) are released through the discharge point as a result of combusting gaseous fuel to generate electricity.</w:t>
            </w:r>
          </w:p>
          <w:p w14:paraId="4393CDC2" w14:textId="77777777" w:rsidR="004A2E03" w:rsidRPr="00D12436" w:rsidRDefault="004A2E03" w:rsidP="00B3330E">
            <w:pPr>
              <w:numPr>
                <w:ilvl w:val="0"/>
                <w:numId w:val="1"/>
              </w:numPr>
              <w:spacing w:before="120" w:beforeAutospacing="0" w:after="120"/>
              <w:rPr>
                <w:b w:val="0"/>
                <w:bCs/>
              </w:rPr>
            </w:pPr>
            <w:r w:rsidRPr="00D12436">
              <w:rPr>
                <w:b w:val="0"/>
                <w:bCs/>
              </w:rPr>
              <w:t xml:space="preserve">Estimating emissions using emission factors and energy content of fuel combusted involves </w:t>
            </w:r>
            <w:r w:rsidRPr="00D12436">
              <w:rPr>
                <w:b w:val="0"/>
                <w:bCs/>
                <w:color w:val="auto"/>
              </w:rPr>
              <w:t>estimating</w:t>
            </w:r>
            <w:r w:rsidRPr="00D12436">
              <w:rPr>
                <w:b w:val="0"/>
                <w:bCs/>
              </w:rPr>
              <w:t xml:space="preserve"> the gases released through the chimney using the amount of fuel combusted (number 2 in the diagram provided in the case example) – it then applies energy content and emission factors for the gaseous fuel combusted to estimate the emissions, rather than measuring the emissions directly.</w:t>
            </w:r>
          </w:p>
          <w:p w14:paraId="18496F6F" w14:textId="77777777" w:rsidR="004A2E03" w:rsidRPr="00FF338C" w:rsidRDefault="004A2E03" w:rsidP="00B3330E">
            <w:pPr>
              <w:numPr>
                <w:ilvl w:val="0"/>
                <w:numId w:val="1"/>
              </w:numPr>
              <w:spacing w:before="120" w:beforeAutospacing="0" w:after="120"/>
              <w:rPr>
                <w:b w:val="0"/>
              </w:rPr>
            </w:pPr>
            <w:r w:rsidRPr="00D12436">
              <w:rPr>
                <w:b w:val="0"/>
                <w:bCs/>
              </w:rPr>
              <w:t xml:space="preserve">Direct measurement of emissions involves direct </w:t>
            </w:r>
            <w:r w:rsidRPr="00D12436">
              <w:rPr>
                <w:b w:val="0"/>
                <w:bCs/>
                <w:color w:val="auto"/>
              </w:rPr>
              <w:t>measurement</w:t>
            </w:r>
            <w:r w:rsidRPr="00D12436">
              <w:rPr>
                <w:b w:val="0"/>
                <w:bCs/>
              </w:rPr>
              <w:t xml:space="preserve"> of the gases released through the chimney using appropriate gas monitoring equipment at the chimney (see number 3 in the case example).</w:t>
            </w:r>
          </w:p>
        </w:tc>
      </w:tr>
    </w:tbl>
    <w:p w14:paraId="6AD2BDB5" w14:textId="5590E1F2" w:rsidR="004A2E03" w:rsidRPr="00FF338C" w:rsidRDefault="004A2E03" w:rsidP="004A2E03">
      <w:r>
        <w:t>Many</w:t>
      </w:r>
      <w:r w:rsidRPr="00FF338C">
        <w:t xml:space="preserve"> reporters estimate emissions using emission factors and energy content of fuel combusted</w:t>
      </w:r>
      <w:r>
        <w:t>,</w:t>
      </w:r>
      <w:r w:rsidRPr="00FF338C">
        <w:t xml:space="preserve"> these methods will be the </w:t>
      </w:r>
      <w:r w:rsidR="00D12436" w:rsidRPr="00FF338C">
        <w:t>focus</w:t>
      </w:r>
      <w:r w:rsidRPr="00FF338C">
        <w:t xml:space="preserve"> </w:t>
      </w:r>
      <w:r>
        <w:t>in</w:t>
      </w:r>
      <w:r w:rsidRPr="00FF338C">
        <w:t xml:space="preserve"> this </w:t>
      </w:r>
      <w:r>
        <w:t>chapter</w:t>
      </w:r>
      <w:r w:rsidRPr="00FF338C">
        <w:t xml:space="preserve"> </w:t>
      </w:r>
      <w:r>
        <w:t>of</w:t>
      </w:r>
      <w:r w:rsidRPr="00FF338C">
        <w:t xml:space="preserve"> this guideline.</w:t>
      </w:r>
    </w:p>
    <w:p w14:paraId="31C4C98F" w14:textId="77777777" w:rsidR="004A2E03" w:rsidRPr="00FF338C" w:rsidRDefault="004A2E03" w:rsidP="00DB4B56">
      <w:pPr>
        <w:pStyle w:val="Heading2"/>
        <w:numPr>
          <w:ilvl w:val="1"/>
          <w:numId w:val="3"/>
        </w:numPr>
        <w:ind w:left="426" w:hanging="426"/>
      </w:pPr>
      <w:bookmarkStart w:id="86" w:name="_Toc512010393"/>
      <w:bookmarkStart w:id="87" w:name="_Toc512339591"/>
      <w:bookmarkStart w:id="88" w:name="_Toc106705755"/>
      <w:bookmarkStart w:id="89" w:name="_Toc107922540"/>
      <w:r w:rsidRPr="00FF338C">
        <w:t>Method 1, 2 and 3 – using emission factors and energy content of fuel combusted</w:t>
      </w:r>
      <w:bookmarkEnd w:id="86"/>
      <w:bookmarkEnd w:id="87"/>
      <w:bookmarkEnd w:id="88"/>
      <w:bookmarkEnd w:id="89"/>
    </w:p>
    <w:p w14:paraId="65752FB7" w14:textId="77777777" w:rsidR="004A2E03" w:rsidRPr="00FF338C" w:rsidRDefault="004A2E03" w:rsidP="004A2E03">
      <w:r w:rsidRPr="00FF338C">
        <w:t>For methods 1, 2 and 3</w:t>
      </w:r>
      <w:r>
        <w:t>,</w:t>
      </w:r>
      <w:r w:rsidRPr="00FF338C">
        <w:t xml:space="preserve"> greenhouse gas emissions from fuel combustion are based on:</w:t>
      </w:r>
    </w:p>
    <w:p w14:paraId="5BB4653B" w14:textId="77777777" w:rsidR="004A2E03" w:rsidRPr="00FF338C" w:rsidRDefault="004A2E03" w:rsidP="00B3330E">
      <w:pPr>
        <w:numPr>
          <w:ilvl w:val="0"/>
          <w:numId w:val="1"/>
        </w:numPr>
        <w:spacing w:before="120" w:after="120"/>
        <w:ind w:right="284"/>
      </w:pPr>
      <w:r w:rsidRPr="00FF338C">
        <w:t>measuring the fuel consumed for combustion during the year (Q)</w:t>
      </w:r>
    </w:p>
    <w:p w14:paraId="329C7BE6" w14:textId="77777777" w:rsidR="004A2E03" w:rsidRPr="00FF338C" w:rsidRDefault="004A2E03" w:rsidP="00B3330E">
      <w:pPr>
        <w:numPr>
          <w:ilvl w:val="0"/>
          <w:numId w:val="1"/>
        </w:numPr>
        <w:spacing w:before="120" w:after="120"/>
        <w:ind w:right="284"/>
      </w:pPr>
      <w:r w:rsidRPr="00FF338C">
        <w:t>applying appropriate energy content and emission factors for carbon dioxide, methane and nitrous oxide.</w:t>
      </w:r>
    </w:p>
    <w:p w14:paraId="3849FCDF" w14:textId="77777777" w:rsidR="004A2E03" w:rsidRPr="00FF338C" w:rsidRDefault="004A2E03" w:rsidP="004A2E03">
      <w:pPr>
        <w:pStyle w:val="Heading4"/>
      </w:pPr>
      <w:bookmarkStart w:id="90" w:name="_Toc526867694"/>
      <w:bookmarkStart w:id="91" w:name="_Toc526869736"/>
      <w:bookmarkStart w:id="92" w:name="_Toc107922541"/>
      <w:r w:rsidRPr="00FF338C">
        <w:t xml:space="preserve">Quantity of fuel combusted required for </w:t>
      </w:r>
      <w:r>
        <w:t>m</w:t>
      </w:r>
      <w:r w:rsidRPr="00FF338C">
        <w:t>ethod</w:t>
      </w:r>
      <w:r>
        <w:t>s</w:t>
      </w:r>
      <w:r w:rsidRPr="00FF338C">
        <w:t xml:space="preserve"> 1, 2 and 3</w:t>
      </w:r>
      <w:bookmarkEnd w:id="90"/>
      <w:bookmarkEnd w:id="91"/>
      <w:bookmarkEnd w:id="92"/>
    </w:p>
    <w:p w14:paraId="0976DA72" w14:textId="77777777" w:rsidR="004A2E03" w:rsidRDefault="004A2E03" w:rsidP="004A2E03">
      <w:r w:rsidRPr="00FF338C">
        <w:t>The accuracy and completeness of the emissions estimates depend on measurement of the quantity of fuel consumed for combustion during the year (Q).</w:t>
      </w:r>
    </w:p>
    <w:p w14:paraId="2FA6FC51" w14:textId="77777777" w:rsidR="004A2E03" w:rsidRDefault="004A2E03" w:rsidP="004A2E03">
      <w:r w:rsidRPr="00FF338C">
        <w:t>Whilst these differ</w:t>
      </w:r>
      <w:r>
        <w:t xml:space="preserve"> for </w:t>
      </w:r>
      <w:r w:rsidRPr="00FF338C">
        <w:t>each fuel category (solid, gaseous and liquid), there is significant commonality.</w:t>
      </w:r>
    </w:p>
    <w:p w14:paraId="342A6C0B" w14:textId="77777777" w:rsidR="004A2E03" w:rsidRPr="00FF338C" w:rsidRDefault="004A2E03" w:rsidP="004A2E03">
      <w:r w:rsidRPr="00FF338C">
        <w:t xml:space="preserve">More detail on measurement requirements is available in </w:t>
      </w:r>
      <w:hyperlink w:anchor="_Measurement_requirements" w:history="1">
        <w:r w:rsidRPr="009F2565">
          <w:rPr>
            <w:rStyle w:val="Hyperlink"/>
            <w:rFonts w:asciiTheme="minorHAnsi" w:hAnsiTheme="minorHAnsi"/>
          </w:rPr>
          <w:t>chapter 8</w:t>
        </w:r>
      </w:hyperlink>
      <w:r w:rsidRPr="00FF338C">
        <w:t xml:space="preserve"> </w:t>
      </w:r>
      <w:r>
        <w:t>of this guideline</w:t>
      </w:r>
      <w:r w:rsidRPr="00FF338C">
        <w:t>.</w:t>
      </w:r>
    </w:p>
    <w:p w14:paraId="5A7FB9D0" w14:textId="77777777" w:rsidR="004A2E03" w:rsidRPr="00FF338C" w:rsidRDefault="004A2E03" w:rsidP="004A2E03">
      <w:pPr>
        <w:pStyle w:val="Heading4"/>
      </w:pPr>
      <w:bookmarkStart w:id="93" w:name="_Toc526867695"/>
      <w:bookmarkStart w:id="94" w:name="_Toc526869737"/>
      <w:bookmarkStart w:id="95" w:name="_Toc107922542"/>
      <w:r w:rsidRPr="00FF338C">
        <w:t>Method 1 – default emission factors</w:t>
      </w:r>
      <w:bookmarkEnd w:id="93"/>
      <w:bookmarkEnd w:id="94"/>
      <w:bookmarkEnd w:id="95"/>
    </w:p>
    <w:p w14:paraId="710835E7" w14:textId="77777777" w:rsidR="004A2E03" w:rsidRDefault="004A2E03" w:rsidP="004A2E03">
      <w:r w:rsidRPr="00FF338C">
        <w:t xml:space="preserve">Method 1 requires measuring the quantity of fuel combusted, determining the correct fuel type from Schedule 1 of the </w:t>
      </w:r>
      <w:r>
        <w:t>NGER Measurement Determination</w:t>
      </w:r>
      <w:r w:rsidRPr="00FF338C">
        <w:t xml:space="preserve"> and use of the corresponding default emission factors</w:t>
      </w:r>
      <w:r>
        <w:t xml:space="preserve"> listed within Schedule 1 of the NGER Measurement Determination.</w:t>
      </w:r>
      <w:r w:rsidRPr="00FF338C">
        <w:t xml:space="preserve"> </w:t>
      </w:r>
    </w:p>
    <w:p w14:paraId="6308DAD9" w14:textId="77777777" w:rsidR="004A2E03" w:rsidRDefault="004A2E03" w:rsidP="004A2E03">
      <w:bookmarkStart w:id="96" w:name="OLE_LINK2"/>
      <w:r>
        <w:t xml:space="preserve">Reporters can use either the default </w:t>
      </w:r>
      <w:r w:rsidRPr="00FF338C">
        <w:t>energy content factor</w:t>
      </w:r>
      <w:r>
        <w:t xml:space="preserve"> for the </w:t>
      </w:r>
      <w:r w:rsidRPr="00FF338C">
        <w:t xml:space="preserve">fuel type </w:t>
      </w:r>
      <w:r>
        <w:t xml:space="preserve">listed within Schedule 1 of the NGER Measurement Determination or a non-default energy content factor </w:t>
      </w:r>
      <w:r w:rsidRPr="00FF338C">
        <w:t xml:space="preserve">estimated under section 6.5 of the </w:t>
      </w:r>
      <w:r>
        <w:t>NGER Measurement Determination</w:t>
      </w:r>
      <w:r w:rsidRPr="00FF338C">
        <w:t>.</w:t>
      </w:r>
      <w:bookmarkEnd w:id="96"/>
      <w:r w:rsidRPr="00FF338C">
        <w:t xml:space="preserve"> </w:t>
      </w:r>
    </w:p>
    <w:p w14:paraId="65C0A174" w14:textId="77777777" w:rsidR="004A2E03" w:rsidRPr="00FF338C" w:rsidRDefault="004A2E03" w:rsidP="004A2E03">
      <w:r w:rsidRPr="0018616C">
        <w:t xml:space="preserve">Method 1 </w:t>
      </w:r>
      <w:r>
        <w:t>must</w:t>
      </w:r>
      <w:r w:rsidRPr="0018616C">
        <w:t xml:space="preserve"> not be used to estimate carbon dioxide emissions from the </w:t>
      </w:r>
      <w:r w:rsidRPr="00502833">
        <w:t>combustion of solid</w:t>
      </w:r>
      <w:r w:rsidRPr="0018616C">
        <w:t xml:space="preserve"> or </w:t>
      </w:r>
      <w:r w:rsidRPr="00502833">
        <w:t>gaseous fossil fuels</w:t>
      </w:r>
      <w:r w:rsidRPr="0018616C">
        <w:t xml:space="preserve"> </w:t>
      </w:r>
      <w:r>
        <w:t>if</w:t>
      </w:r>
      <w:r w:rsidRPr="00FF338C">
        <w:t>:</w:t>
      </w:r>
    </w:p>
    <w:p w14:paraId="29FECB30" w14:textId="6299840E" w:rsidR="004A2E03" w:rsidRPr="00FF338C" w:rsidRDefault="004A2E03" w:rsidP="00B3330E">
      <w:pPr>
        <w:numPr>
          <w:ilvl w:val="0"/>
          <w:numId w:val="1"/>
        </w:numPr>
        <w:spacing w:before="120" w:after="120"/>
        <w:ind w:right="284"/>
      </w:pPr>
      <w:r>
        <w:t>the solid or gaseous fuels are the main fuel combusted for the operation of the facility</w:t>
      </w:r>
    </w:p>
    <w:p w14:paraId="2EC5C76E" w14:textId="77777777" w:rsidR="004A2E03" w:rsidRPr="00FF338C" w:rsidRDefault="004A2E03" w:rsidP="00B3330E">
      <w:pPr>
        <w:numPr>
          <w:ilvl w:val="0"/>
          <w:numId w:val="1"/>
        </w:numPr>
        <w:spacing w:before="120" w:after="120"/>
        <w:ind w:right="284"/>
      </w:pPr>
      <w:r w:rsidRPr="00FF338C">
        <w:t>the princip</w:t>
      </w:r>
      <w:r>
        <w:t>al</w:t>
      </w:r>
      <w:r w:rsidRPr="00FF338C">
        <w:t xml:space="preserve"> activity of the facility is electricity generation from fossil fuels (ANZSIC code 2611</w:t>
      </w:r>
      <w:r w:rsidRPr="00FF338C">
        <w:rPr>
          <w:rStyle w:val="FootnoteReference"/>
        </w:rPr>
        <w:footnoteReference w:id="11"/>
      </w:r>
      <w:r w:rsidRPr="00FF338C">
        <w:t>)</w:t>
      </w:r>
    </w:p>
    <w:p w14:paraId="74809C60" w14:textId="77777777" w:rsidR="004A2E03" w:rsidRDefault="004A2E03" w:rsidP="004A2E03">
      <w:pPr>
        <w:pStyle w:val="CERbullets"/>
        <w:ind w:left="360" w:hanging="360"/>
      </w:pPr>
      <w:r>
        <w:t>the combined capacity of all generating units at the facility is 30 MW or more</w:t>
      </w:r>
    </w:p>
    <w:p w14:paraId="04FC11C7" w14:textId="77777777" w:rsidR="004A2E03" w:rsidRPr="00FF338C" w:rsidRDefault="004A2E03" w:rsidP="004A2E03">
      <w:pPr>
        <w:pStyle w:val="CERbullets"/>
        <w:ind w:left="360" w:hanging="360"/>
      </w:pPr>
      <w:r>
        <w:t xml:space="preserve">the facility generates more than 50,000 MWh in a reporting year. </w:t>
      </w:r>
    </w:p>
    <w:p w14:paraId="7CB3EB82" w14:textId="77777777" w:rsidR="004A2E03" w:rsidRPr="00FF338C" w:rsidRDefault="004A2E03" w:rsidP="004A2E03">
      <w:pPr>
        <w:pStyle w:val="Heading4"/>
      </w:pPr>
      <w:bookmarkStart w:id="97" w:name="_Toc526867696"/>
      <w:bookmarkStart w:id="98" w:name="_Toc526869738"/>
      <w:bookmarkStart w:id="99" w:name="_Toc107922543"/>
      <w:r w:rsidRPr="00FF338C">
        <w:t>Method</w:t>
      </w:r>
      <w:r>
        <w:t>s</w:t>
      </w:r>
      <w:r w:rsidRPr="00FF338C">
        <w:t xml:space="preserve"> 2 and 3 – fuel sampling and analysis</w:t>
      </w:r>
      <w:bookmarkEnd w:id="97"/>
      <w:bookmarkEnd w:id="98"/>
      <w:bookmarkEnd w:id="99"/>
    </w:p>
    <w:p w14:paraId="1D5ED82F" w14:textId="77777777" w:rsidR="004A2E03" w:rsidRDefault="004A2E03" w:rsidP="004A2E03">
      <w:r w:rsidRPr="00FF338C">
        <w:t>Methods 2 and 3 require sampling and analysis of the properties of the fuel combusted to estimate a facility specific emission factor rather than using the default emission factor.</w:t>
      </w:r>
    </w:p>
    <w:p w14:paraId="5A984396" w14:textId="77777777" w:rsidR="004A2E03" w:rsidRPr="00FF338C" w:rsidRDefault="004A2E03" w:rsidP="004A2E03">
      <w:r>
        <w:t xml:space="preserve">Reporters can use either the default </w:t>
      </w:r>
      <w:r w:rsidRPr="00FF338C">
        <w:t>energy content factor</w:t>
      </w:r>
      <w:r>
        <w:t xml:space="preserve"> for the </w:t>
      </w:r>
      <w:r w:rsidRPr="00FF338C">
        <w:t xml:space="preserve">fuel type </w:t>
      </w:r>
      <w:r>
        <w:t xml:space="preserve">listed within Schedule 1 of the NGER Measurement Determination or a non-default energy content factor </w:t>
      </w:r>
      <w:r w:rsidRPr="00FF338C">
        <w:t xml:space="preserve">estimated under section 6.5 of the </w:t>
      </w:r>
      <w:r>
        <w:t>NGER Measurement Determination</w:t>
      </w:r>
      <w:r w:rsidRPr="00FF338C">
        <w:t xml:space="preserve">. </w:t>
      </w:r>
    </w:p>
    <w:p w14:paraId="1E65BA65" w14:textId="77777777" w:rsidR="004A2E03" w:rsidRPr="00FF338C" w:rsidRDefault="004A2E03" w:rsidP="004A2E03">
      <w:r w:rsidRPr="00FF338C">
        <w:t xml:space="preserve">Method 3 generally only differs from </w:t>
      </w:r>
      <w:r>
        <w:t>m</w:t>
      </w:r>
      <w:r w:rsidRPr="00FF338C">
        <w:t>ethod 2 in requiring the use of an International or Australian standard for sampling and analysis.</w:t>
      </w:r>
    </w:p>
    <w:p w14:paraId="3FAC738E" w14:textId="77777777" w:rsidR="004A2E03" w:rsidRPr="00FF338C" w:rsidRDefault="004A2E03" w:rsidP="004A2E03">
      <w:r w:rsidRPr="00FF338C">
        <w:t>The sampling and analysis requirements differ considerably per fuel category</w:t>
      </w:r>
      <w:r>
        <w:t xml:space="preserve">: </w:t>
      </w:r>
      <w:r w:rsidRPr="00FF338C">
        <w:t>solid, gaseous or liquid fuel.</w:t>
      </w:r>
      <w:r>
        <w:t xml:space="preserve"> See</w:t>
      </w:r>
      <w:r w:rsidRPr="00FF338C">
        <w:t xml:space="preserve"> </w:t>
      </w:r>
      <w:r>
        <w:t>chapters</w:t>
      </w:r>
      <w:r w:rsidRPr="00C67339">
        <w:t xml:space="preserve"> </w:t>
      </w:r>
      <w:hyperlink w:anchor="_Estimating_emissions_from_1" w:history="1">
        <w:r w:rsidRPr="00D64647">
          <w:rPr>
            <w:rStyle w:val="Hyperlink"/>
            <w:rFonts w:asciiTheme="minorHAnsi" w:hAnsiTheme="minorHAnsi"/>
          </w:rPr>
          <w:t>4.3</w:t>
        </w:r>
      </w:hyperlink>
      <w:r w:rsidRPr="00C67339">
        <w:t xml:space="preserve">, </w:t>
      </w:r>
      <w:hyperlink w:anchor="_Emissions_from_combustion" w:history="1">
        <w:r w:rsidRPr="00D64647">
          <w:rPr>
            <w:rStyle w:val="Hyperlink"/>
            <w:rFonts w:asciiTheme="minorHAnsi" w:hAnsiTheme="minorHAnsi"/>
          </w:rPr>
          <w:t>4.4</w:t>
        </w:r>
      </w:hyperlink>
      <w:r w:rsidRPr="00C67339">
        <w:t xml:space="preserve"> and </w:t>
      </w:r>
      <w:hyperlink w:anchor="_Emissions_from_combustion_1" w:history="1">
        <w:r w:rsidRPr="00D64647">
          <w:rPr>
            <w:rStyle w:val="Hyperlink"/>
            <w:rFonts w:asciiTheme="minorHAnsi" w:hAnsiTheme="minorHAnsi"/>
          </w:rPr>
          <w:t>4.5</w:t>
        </w:r>
      </w:hyperlink>
      <w:r w:rsidRPr="00FF338C">
        <w:t xml:space="preserve"> </w:t>
      </w:r>
      <w:r>
        <w:t xml:space="preserve">of this guideline for guidance on </w:t>
      </w:r>
      <w:r w:rsidRPr="00FF338C">
        <w:t>emissions estimation methods for each fuel category.</w:t>
      </w:r>
    </w:p>
    <w:p w14:paraId="5108AA3F" w14:textId="73C89920" w:rsidR="004A2E03" w:rsidRPr="00FF338C" w:rsidRDefault="004A2E03" w:rsidP="00DB4B56">
      <w:pPr>
        <w:pStyle w:val="Heading2"/>
        <w:numPr>
          <w:ilvl w:val="1"/>
          <w:numId w:val="3"/>
        </w:numPr>
        <w:ind w:left="426" w:hanging="426"/>
      </w:pPr>
      <w:bookmarkStart w:id="100" w:name="_Toc107922545"/>
      <w:bookmarkStart w:id="101" w:name="_Toc107922546"/>
      <w:bookmarkStart w:id="102" w:name="_Toc107922547"/>
      <w:bookmarkStart w:id="103" w:name="_Toc107922548"/>
      <w:bookmarkStart w:id="104" w:name="_Toc107922549"/>
      <w:bookmarkStart w:id="105" w:name="_Toc512010394"/>
      <w:bookmarkStart w:id="106" w:name="_Toc512339592"/>
      <w:bookmarkStart w:id="107" w:name="_Toc106705756"/>
      <w:bookmarkStart w:id="108" w:name="_Toc107922550"/>
      <w:bookmarkEnd w:id="100"/>
      <w:bookmarkEnd w:id="101"/>
      <w:bookmarkEnd w:id="102"/>
      <w:bookmarkEnd w:id="103"/>
      <w:bookmarkEnd w:id="104"/>
      <w:r w:rsidRPr="00FF338C">
        <w:t>Method 4 – Direct measurement of emissions</w:t>
      </w:r>
      <w:bookmarkEnd w:id="105"/>
      <w:bookmarkEnd w:id="106"/>
      <w:bookmarkEnd w:id="107"/>
      <w:bookmarkEnd w:id="108"/>
    </w:p>
    <w:p w14:paraId="547800BC" w14:textId="054C14E8" w:rsidR="004A2E03" w:rsidRPr="00FF338C" w:rsidRDefault="004A2E03" w:rsidP="004A2E03">
      <w:r w:rsidRPr="00FF338C">
        <w:t xml:space="preserve">Part 1.3 of the </w:t>
      </w:r>
      <w:r>
        <w:t>NGER Measurement Determination</w:t>
      </w:r>
      <w:r w:rsidRPr="00FF338C">
        <w:t xml:space="preserve"> provides the requirements for direct measurement of emissions under </w:t>
      </w:r>
      <w:r>
        <w:t>m</w:t>
      </w:r>
      <w:r w:rsidRPr="00FF338C">
        <w:t>ethod 4. There are</w:t>
      </w:r>
      <w:r w:rsidR="00AF5B63">
        <w:t xml:space="preserve"> 2</w:t>
      </w:r>
      <w:r w:rsidRPr="00FF338C">
        <w:t xml:space="preserve"> monitoring approaches: </w:t>
      </w:r>
    </w:p>
    <w:p w14:paraId="1AC121F0" w14:textId="77777777" w:rsidR="004A2E03" w:rsidRPr="00FF338C" w:rsidRDefault="004A2E03" w:rsidP="00B3330E">
      <w:pPr>
        <w:numPr>
          <w:ilvl w:val="0"/>
          <w:numId w:val="1"/>
        </w:numPr>
        <w:spacing w:before="120" w:after="120"/>
        <w:ind w:right="284"/>
      </w:pPr>
      <w:r w:rsidRPr="00FF338C">
        <w:t>continuous emissions monitoring (CEM)</w:t>
      </w:r>
    </w:p>
    <w:p w14:paraId="7E3FAE67" w14:textId="77777777" w:rsidR="004A2E03" w:rsidRPr="00FF338C" w:rsidRDefault="004A2E03" w:rsidP="00B3330E">
      <w:pPr>
        <w:numPr>
          <w:ilvl w:val="0"/>
          <w:numId w:val="1"/>
        </w:numPr>
        <w:spacing w:before="120" w:after="120"/>
        <w:ind w:right="284"/>
      </w:pPr>
      <w:r w:rsidRPr="00FF338C">
        <w:t>periodic emissions monitoring (PEM).</w:t>
      </w:r>
    </w:p>
    <w:p w14:paraId="6C12AACA" w14:textId="77777777" w:rsidR="004A2E03" w:rsidRPr="00FF338C" w:rsidRDefault="004A2E03" w:rsidP="004A2E03">
      <w:r w:rsidRPr="00FF338C">
        <w:t xml:space="preserve">Application of </w:t>
      </w:r>
      <w:r>
        <w:t>m</w:t>
      </w:r>
      <w:r w:rsidRPr="00FF338C">
        <w:t xml:space="preserve">ethod 4 to estimate emissions requires compliance with specific requirements for representative sampling, analysis of samples, and the use of equipment. </w:t>
      </w:r>
    </w:p>
    <w:p w14:paraId="232EED83" w14:textId="77777777" w:rsidR="004A2E03" w:rsidRPr="00FF338C" w:rsidRDefault="004A2E03" w:rsidP="004A2E03">
      <w:r>
        <w:t>See</w:t>
      </w:r>
      <w:r w:rsidRPr="00FF338C">
        <w:t xml:space="preserve"> </w:t>
      </w:r>
      <w:hyperlink w:anchor="_Metering_considerations" w:history="1">
        <w:r>
          <w:rPr>
            <w:rStyle w:val="Hyperlink"/>
            <w:rFonts w:asciiTheme="minorHAnsi" w:hAnsiTheme="minorHAnsi"/>
          </w:rPr>
          <w:t>chapter 8.2</w:t>
        </w:r>
      </w:hyperlink>
      <w:r w:rsidRPr="00FF338C">
        <w:t xml:space="preserve"> of this guideline</w:t>
      </w:r>
      <w:r>
        <w:t xml:space="preserve"> for more </w:t>
      </w:r>
      <w:r w:rsidRPr="00FF338C">
        <w:t>information on the use of metering equipment for method 4.</w:t>
      </w:r>
    </w:p>
    <w:p w14:paraId="5A5A843E" w14:textId="77777777" w:rsidR="004A2E03" w:rsidRPr="00FF338C" w:rsidRDefault="004A2E03" w:rsidP="00DB4B56">
      <w:pPr>
        <w:pStyle w:val="Heading2"/>
        <w:numPr>
          <w:ilvl w:val="1"/>
          <w:numId w:val="3"/>
        </w:numPr>
        <w:ind w:left="426" w:hanging="426"/>
      </w:pPr>
      <w:bookmarkStart w:id="109" w:name="_Estimating_emissions_from_1"/>
      <w:bookmarkStart w:id="110" w:name="_Toc512010395"/>
      <w:bookmarkStart w:id="111" w:name="_Toc512339593"/>
      <w:bookmarkStart w:id="112" w:name="_Toc106705757"/>
      <w:bookmarkStart w:id="113" w:name="_Toc107922551"/>
      <w:bookmarkEnd w:id="109"/>
      <w:r w:rsidRPr="00FF338C">
        <w:t>Estimating emissions from combustion of solid fuels</w:t>
      </w:r>
      <w:bookmarkEnd w:id="110"/>
      <w:bookmarkEnd w:id="111"/>
      <w:bookmarkEnd w:id="112"/>
      <w:bookmarkEnd w:id="113"/>
    </w:p>
    <w:p w14:paraId="5D902D91" w14:textId="77777777" w:rsidR="004A2E03" w:rsidRDefault="004A2E03" w:rsidP="004A2E03">
      <w:r w:rsidRPr="00FF338C">
        <w:t>In the electricity sector, solid fuels are primarily combusted for electricity generation purposes</w:t>
      </w:r>
      <w:r>
        <w:t xml:space="preserve">, </w:t>
      </w:r>
      <w:r w:rsidRPr="00FF338C">
        <w:t xml:space="preserve">for example, at coal fired power stations. The methods available for estimating emissions from the combustion of solid fuels are outlined </w:t>
      </w:r>
      <w:r>
        <w:t>below</w:t>
      </w:r>
      <w:r w:rsidRPr="00FF338C">
        <w:t>.</w:t>
      </w:r>
    </w:p>
    <w:p w14:paraId="1B756930" w14:textId="77777777" w:rsidR="00A57A5C" w:rsidRPr="00FF338C" w:rsidRDefault="00A57A5C" w:rsidP="00A57A5C">
      <w:pPr>
        <w:pStyle w:val="Caption"/>
        <w:keepNext/>
      </w:pPr>
      <w:bookmarkStart w:id="114" w:name="_Ref512239679"/>
      <w:r w:rsidRPr="00FF338C">
        <w:t xml:space="preserve">Figure </w:t>
      </w:r>
      <w:r w:rsidRPr="00FF338C">
        <w:rPr>
          <w:iCs w:val="0"/>
        </w:rPr>
        <w:fldChar w:fldCharType="begin"/>
      </w:r>
      <w:r w:rsidRPr="00FF338C">
        <w:rPr>
          <w:i w:val="0"/>
          <w:iCs w:val="0"/>
        </w:rPr>
        <w:instrText xml:space="preserve"> SEQ Figure \* ARABIC </w:instrText>
      </w:r>
      <w:r w:rsidRPr="00FF338C">
        <w:rPr>
          <w:iCs w:val="0"/>
        </w:rPr>
        <w:fldChar w:fldCharType="separate"/>
      </w:r>
      <w:r>
        <w:rPr>
          <w:i w:val="0"/>
          <w:iCs w:val="0"/>
          <w:noProof/>
        </w:rPr>
        <w:t>1</w:t>
      </w:r>
      <w:r w:rsidRPr="00FF338C">
        <w:rPr>
          <w:iCs w:val="0"/>
        </w:rPr>
        <w:fldChar w:fldCharType="end"/>
      </w:r>
      <w:bookmarkEnd w:id="114"/>
      <w:r w:rsidRPr="00FF338C">
        <w:t xml:space="preserve"> – Available methods for estimating emissions from the combustion of solid fuels</w:t>
      </w:r>
    </w:p>
    <w:p w14:paraId="02510B0F" w14:textId="77777777" w:rsidR="00A57A5C" w:rsidRDefault="00A57A5C" w:rsidP="00256727">
      <w:r w:rsidRPr="00AE059F">
        <w:rPr>
          <w:noProof/>
        </w:rPr>
        <w:drawing>
          <wp:inline distT="0" distB="0" distL="0" distR="0" wp14:anchorId="02D3686F" wp14:editId="035A267F">
            <wp:extent cx="6184900" cy="4318000"/>
            <wp:effectExtent l="0" t="0" r="6350" b="6350"/>
            <wp:docPr id="9" name="Picture 9" descr="Figure 1. Demonstrating the method options and legislative references for the estimating emissions of greenhouse gases from the combustion of solid fu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Demonstrating the method options and legislative references for the estimating emissions of greenhouse gases from the combustion of solid fuels."/>
                    <pic:cNvPicPr/>
                  </pic:nvPicPr>
                  <pic:blipFill>
                    <a:blip r:embed="rId35"/>
                    <a:stretch>
                      <a:fillRect/>
                    </a:stretch>
                  </pic:blipFill>
                  <pic:spPr>
                    <a:xfrm>
                      <a:off x="0" y="0"/>
                      <a:ext cx="6184900" cy="4318000"/>
                    </a:xfrm>
                    <a:prstGeom prst="rect">
                      <a:avLst/>
                    </a:prstGeom>
                  </pic:spPr>
                </pic:pic>
              </a:graphicData>
            </a:graphic>
          </wp:inline>
        </w:drawing>
      </w:r>
      <w:r w:rsidRPr="00FF338C">
        <w:t xml:space="preserve">For </w:t>
      </w:r>
      <w:r>
        <w:t>m</w:t>
      </w:r>
      <w:r w:rsidRPr="00FF338C">
        <w:t>ethod</w:t>
      </w:r>
      <w:r>
        <w:t>s</w:t>
      </w:r>
      <w:r w:rsidRPr="00FF338C">
        <w:t xml:space="preserve"> 1, 2 and 3</w:t>
      </w:r>
      <w:r>
        <w:t>,</w:t>
      </w:r>
      <w:r w:rsidRPr="00FF338C">
        <w:t xml:space="preserve"> fuel quantities of solid fuels combusted should be measured per the measurement requirements in Division 2.2.5 of the </w:t>
      </w:r>
      <w:r>
        <w:t>NGER Measurement Determination</w:t>
      </w:r>
      <w:r w:rsidRPr="00FF338C">
        <w:t xml:space="preserve"> </w:t>
      </w:r>
      <w:r>
        <w:t>–</w:t>
      </w:r>
      <w:r w:rsidRPr="00FF338C">
        <w:t xml:space="preserve"> </w:t>
      </w:r>
      <w:r>
        <w:t>see</w:t>
      </w:r>
      <w:r w:rsidRPr="00FF338C">
        <w:t xml:space="preserve"> </w:t>
      </w:r>
      <w:hyperlink w:anchor="_Measurement_requirements" w:history="1">
        <w:r w:rsidRPr="00D205F3">
          <w:rPr>
            <w:rStyle w:val="Hyperlink"/>
            <w:rFonts w:asciiTheme="minorHAnsi" w:hAnsiTheme="minorHAnsi"/>
          </w:rPr>
          <w:t>Chapter 8</w:t>
        </w:r>
      </w:hyperlink>
      <w:r w:rsidRPr="00FF338C">
        <w:t xml:space="preserve"> </w:t>
      </w:r>
      <w:r>
        <w:t>of this guideline</w:t>
      </w:r>
      <w:r w:rsidRPr="00FF338C">
        <w:t>.</w:t>
      </w:r>
    </w:p>
    <w:p w14:paraId="7A21FDAF" w14:textId="77777777" w:rsidR="00A57A5C" w:rsidRDefault="00A57A5C" w:rsidP="00A57A5C">
      <w:r>
        <w:t xml:space="preserve">Method 1, set out in Division 2.2.2 of the NGER Measurement Determination, uses the default emission factors set out in Schedule 1 of the NGER Measurement Determination. Method 1 is the only method available for estimation of emissions of methane and nitrous dioxide from the combustion of solid fuels. Method 1 may also be used for estimating emissions of carbon dioxide, subject to the criteria in subsection 2.3(3) of the NGER Measurement Determination. These criteria are applied so that method 1 must </w:t>
      </w:r>
      <w:r w:rsidRPr="00032840">
        <w:t>not</w:t>
      </w:r>
      <w:r>
        <w:t xml:space="preserve"> be used if: </w:t>
      </w:r>
    </w:p>
    <w:p w14:paraId="050E2E79" w14:textId="77777777" w:rsidR="00A57A5C" w:rsidRDefault="00A57A5C" w:rsidP="00B3330E">
      <w:pPr>
        <w:pStyle w:val="CERbullets"/>
        <w:numPr>
          <w:ilvl w:val="0"/>
          <w:numId w:val="13"/>
        </w:numPr>
      </w:pPr>
      <w:r>
        <w:t>the principal activity of the facility is electricity generation (ANZSIC industry classification and code 2611)</w:t>
      </w:r>
    </w:p>
    <w:p w14:paraId="0C1980CC" w14:textId="77777777" w:rsidR="00A57A5C" w:rsidRDefault="00A57A5C" w:rsidP="00B3330E">
      <w:pPr>
        <w:pStyle w:val="CERbullets"/>
        <w:numPr>
          <w:ilvl w:val="0"/>
          <w:numId w:val="13"/>
        </w:numPr>
      </w:pPr>
      <w:r>
        <w:t>the combined capacity of all generating units at the facility is 30 MW or more</w:t>
      </w:r>
    </w:p>
    <w:p w14:paraId="496EC55C" w14:textId="77777777" w:rsidR="00A57A5C" w:rsidRPr="00FF338C" w:rsidRDefault="00A57A5C" w:rsidP="00B3330E">
      <w:pPr>
        <w:pStyle w:val="CERbullets"/>
        <w:numPr>
          <w:ilvl w:val="0"/>
          <w:numId w:val="13"/>
        </w:numPr>
      </w:pPr>
      <w:r>
        <w:t xml:space="preserve">the facility generates more than 50,000 MWh in a reporting year. </w:t>
      </w:r>
    </w:p>
    <w:p w14:paraId="39963D8D" w14:textId="77777777" w:rsidR="00A57A5C" w:rsidRPr="00FF338C" w:rsidRDefault="00A57A5C" w:rsidP="00B3330E">
      <w:pPr>
        <w:pStyle w:val="Heading3"/>
        <w:numPr>
          <w:ilvl w:val="2"/>
          <w:numId w:val="3"/>
        </w:numPr>
        <w:ind w:left="505" w:hanging="505"/>
        <w:rPr>
          <w:lang w:val="en-GB"/>
        </w:rPr>
      </w:pPr>
      <w:bookmarkStart w:id="115" w:name="_Ref511917503"/>
      <w:bookmarkStart w:id="116" w:name="_Toc512010396"/>
      <w:bookmarkStart w:id="117" w:name="_Toc512339594"/>
      <w:bookmarkStart w:id="118" w:name="_Toc107922552"/>
      <w:r w:rsidRPr="00FF338C">
        <w:rPr>
          <w:lang w:val="en-GB"/>
        </w:rPr>
        <w:t>Sampling and analysis requirements for Methods 2 and 3 for solid fuels</w:t>
      </w:r>
      <w:bookmarkEnd w:id="115"/>
      <w:bookmarkEnd w:id="116"/>
      <w:bookmarkEnd w:id="117"/>
      <w:bookmarkEnd w:id="118"/>
    </w:p>
    <w:p w14:paraId="53C42FF9" w14:textId="77777777" w:rsidR="00A57A5C" w:rsidRDefault="00A57A5C" w:rsidP="00A57A5C">
      <w:r>
        <w:t>Method 2 is derived from the methodologies published in the Technical Guidelines for the Generator Efficiency Standards program</w:t>
      </w:r>
      <w:r>
        <w:rPr>
          <w:rStyle w:val="FootnoteReference"/>
        </w:rPr>
        <w:footnoteReference w:id="12"/>
      </w:r>
      <w:r>
        <w:t xml:space="preserve"> and is designed to enable more accurate emissions estimates to be made.  </w:t>
      </w:r>
    </w:p>
    <w:p w14:paraId="287156EC" w14:textId="1FCFAFAD" w:rsidR="00A57A5C" w:rsidRPr="002226F1" w:rsidRDefault="00A57A5C" w:rsidP="00A57A5C">
      <w:r>
        <w:t xml:space="preserve">Under method 2, representative and unbiased samples of consumed fuels must be analysed for carbon, energy, ash or moisture content in accordance with the prescribed Australian or international documentary standards or their equivalent. </w:t>
      </w:r>
      <w:r w:rsidR="001848D4">
        <w:rPr>
          <w:szCs w:val="22"/>
        </w:rPr>
        <w:t>Two</w:t>
      </w:r>
      <w:r w:rsidRPr="00C05130">
        <w:rPr>
          <w:szCs w:val="22"/>
        </w:rPr>
        <w:t xml:space="preserve"> different versions of </w:t>
      </w:r>
      <w:r>
        <w:rPr>
          <w:szCs w:val="22"/>
        </w:rPr>
        <w:t>m</w:t>
      </w:r>
      <w:r w:rsidRPr="00C05130">
        <w:rPr>
          <w:szCs w:val="22"/>
        </w:rPr>
        <w:t>ethod 2 are available. The first, which uses a default oxidation factor, is set out in subdivision 2.2.3.1 of the NGER Measurement Determination. The second allows reporters to use an estimated oxidation factor determined by reference to additional information about the fuels combusted by the facility and is set out in subdivision 2.2.3.2. Default oxidation factors are drawn from those utilised in the National Greenhouse Accounts</w:t>
      </w:r>
      <w:r>
        <w:rPr>
          <w:szCs w:val="22"/>
        </w:rPr>
        <w:t>.</w:t>
      </w:r>
    </w:p>
    <w:p w14:paraId="1F20720E" w14:textId="77777777" w:rsidR="00A57A5C" w:rsidRPr="00FF338C" w:rsidRDefault="00A57A5C" w:rsidP="00A57A5C">
      <w:pPr>
        <w:pStyle w:val="Caption"/>
        <w:keepNext/>
      </w:pPr>
      <w:r w:rsidRPr="00FF338C">
        <w:t xml:space="preserve">Table </w:t>
      </w:r>
      <w:r>
        <w:t>7</w:t>
      </w:r>
      <w:r w:rsidRPr="00FF338C">
        <w:t xml:space="preserve"> – Solid fuel sampling and analysis frequency</w:t>
      </w:r>
    </w:p>
    <w:tbl>
      <w:tblPr>
        <w:tblStyle w:val="CERTable"/>
        <w:tblW w:w="9290" w:type="dxa"/>
        <w:tblLook w:val="04A0" w:firstRow="1" w:lastRow="0" w:firstColumn="1" w:lastColumn="0" w:noHBand="0" w:noVBand="1"/>
      </w:tblPr>
      <w:tblGrid>
        <w:gridCol w:w="2540"/>
        <w:gridCol w:w="3402"/>
        <w:gridCol w:w="3348"/>
      </w:tblGrid>
      <w:tr w:rsidR="00A57A5C" w:rsidRPr="00C64711" w14:paraId="257AE65E" w14:textId="77777777" w:rsidTr="00256727">
        <w:trPr>
          <w:cnfStyle w:val="100000000000" w:firstRow="1" w:lastRow="0" w:firstColumn="0" w:lastColumn="0" w:oddVBand="0" w:evenVBand="0" w:oddHBand="0" w:evenHBand="0" w:firstRowFirstColumn="0" w:firstRowLastColumn="0" w:lastRowFirstColumn="0" w:lastRowLastColumn="0"/>
          <w:cantSplit w:val="0"/>
          <w:trHeight w:val="190"/>
          <w:tblHeader/>
        </w:trPr>
        <w:tc>
          <w:tcPr>
            <w:cnfStyle w:val="001000000000" w:firstRow="0" w:lastRow="0" w:firstColumn="1" w:lastColumn="0" w:oddVBand="0" w:evenVBand="0" w:oddHBand="0" w:evenHBand="0" w:firstRowFirstColumn="0" w:firstRowLastColumn="0" w:lastRowFirstColumn="0" w:lastRowLastColumn="0"/>
            <w:tcW w:w="0" w:type="dxa"/>
          </w:tcPr>
          <w:p w14:paraId="3AC44027" w14:textId="77777777" w:rsidR="00A57A5C" w:rsidRPr="00871997" w:rsidRDefault="00A57A5C" w:rsidP="00D549C7">
            <w:pPr>
              <w:pStyle w:val="Body"/>
              <w:ind w:left="0"/>
              <w:rPr>
                <w:rFonts w:asciiTheme="minorHAnsi" w:hAnsiTheme="minorHAnsi"/>
                <w:sz w:val="22"/>
                <w:szCs w:val="22"/>
              </w:rPr>
            </w:pPr>
            <w:r w:rsidRPr="00871997">
              <w:rPr>
                <w:rFonts w:asciiTheme="minorHAnsi" w:hAnsiTheme="minorHAnsi"/>
                <w:sz w:val="22"/>
                <w:szCs w:val="22"/>
              </w:rPr>
              <w:t>Parameter</w:t>
            </w:r>
          </w:p>
        </w:tc>
        <w:tc>
          <w:tcPr>
            <w:tcW w:w="0" w:type="dxa"/>
          </w:tcPr>
          <w:p w14:paraId="15DDF36F" w14:textId="77777777" w:rsidR="00A57A5C" w:rsidRPr="00871997" w:rsidRDefault="00A57A5C"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1997">
              <w:rPr>
                <w:rFonts w:asciiTheme="minorHAnsi" w:hAnsiTheme="minorHAnsi"/>
                <w:sz w:val="22"/>
                <w:szCs w:val="22"/>
              </w:rPr>
              <w:t>Minimum fuel sampling and analysis frequency</w:t>
            </w:r>
          </w:p>
        </w:tc>
        <w:tc>
          <w:tcPr>
            <w:tcW w:w="0" w:type="dxa"/>
          </w:tcPr>
          <w:p w14:paraId="7ED0A5F0" w14:textId="77777777" w:rsidR="00A57A5C" w:rsidRPr="00871997" w:rsidRDefault="00A57A5C"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Furnace ash and f</w:t>
            </w:r>
            <w:r w:rsidRPr="00871997">
              <w:rPr>
                <w:rFonts w:asciiTheme="minorHAnsi" w:hAnsiTheme="minorHAnsi"/>
                <w:sz w:val="22"/>
                <w:szCs w:val="22"/>
              </w:rPr>
              <w:t>ly ash sampling and analysis frequency</w:t>
            </w:r>
          </w:p>
        </w:tc>
      </w:tr>
      <w:tr w:rsidR="00A57A5C" w:rsidRPr="00C64711" w14:paraId="20C834FF" w14:textId="77777777" w:rsidTr="00D549C7">
        <w:trPr>
          <w:cnfStyle w:val="000000100000" w:firstRow="0" w:lastRow="0" w:firstColumn="0" w:lastColumn="0" w:oddVBand="0" w:evenVBand="0" w:oddHBand="1" w:evenHBand="0" w:firstRowFirstColumn="0" w:firstRowLastColumn="0" w:lastRowFirstColumn="0" w:lastRowLastColumn="0"/>
          <w:cantSplit w:val="0"/>
          <w:trHeight w:val="190"/>
        </w:trPr>
        <w:tc>
          <w:tcPr>
            <w:cnfStyle w:val="001000000000" w:firstRow="0" w:lastRow="0" w:firstColumn="1" w:lastColumn="0" w:oddVBand="0" w:evenVBand="0" w:oddHBand="0" w:evenHBand="0" w:firstRowFirstColumn="0" w:firstRowLastColumn="0" w:lastRowFirstColumn="0" w:lastRowLastColumn="0"/>
            <w:tcW w:w="0" w:type="dxa"/>
          </w:tcPr>
          <w:p w14:paraId="76E4797D" w14:textId="77777777" w:rsidR="00A57A5C" w:rsidRPr="00872A70" w:rsidRDefault="00A57A5C" w:rsidP="00D549C7">
            <w:pPr>
              <w:pStyle w:val="Body"/>
              <w:ind w:left="0"/>
              <w:rPr>
                <w:rFonts w:asciiTheme="minorHAnsi" w:hAnsiTheme="minorHAnsi"/>
                <w:sz w:val="22"/>
                <w:szCs w:val="22"/>
              </w:rPr>
            </w:pPr>
            <w:r w:rsidRPr="00872A70">
              <w:rPr>
                <w:rFonts w:asciiTheme="minorHAnsi" w:hAnsiTheme="minorHAnsi"/>
                <w:sz w:val="22"/>
                <w:szCs w:val="22"/>
              </w:rPr>
              <w:t xml:space="preserve">Energy content factors </w:t>
            </w:r>
          </w:p>
        </w:tc>
        <w:tc>
          <w:tcPr>
            <w:tcW w:w="0" w:type="dxa"/>
            <w:vMerge w:val="restart"/>
          </w:tcPr>
          <w:p w14:paraId="3615AC58" w14:textId="77777777" w:rsidR="00A57A5C" w:rsidRPr="006138F0" w:rsidRDefault="00A57A5C" w:rsidP="00D549C7">
            <w:pPr>
              <w:pStyle w:val="Body"/>
              <w:ind w:left="25"/>
              <w:cnfStyle w:val="000000100000" w:firstRow="0" w:lastRow="0" w:firstColumn="0" w:lastColumn="0" w:oddVBand="0" w:evenVBand="0" w:oddHBand="1" w:evenHBand="0" w:firstRowFirstColumn="0" w:firstRowLastColumn="0" w:lastRowFirstColumn="0" w:lastRowLastColumn="0"/>
              <w:rPr>
                <w:rFonts w:asciiTheme="minorHAnsi" w:hAnsiTheme="minorHAnsi"/>
                <w:bCs/>
                <w:sz w:val="22"/>
                <w:szCs w:val="22"/>
              </w:rPr>
            </w:pPr>
            <w:r w:rsidRPr="005E1BF7">
              <w:rPr>
                <w:rFonts w:asciiTheme="minorHAnsi" w:hAnsiTheme="minorHAnsi"/>
                <w:sz w:val="22"/>
                <w:szCs w:val="22"/>
              </w:rPr>
              <w:t>Monthly composite sample:</w:t>
            </w:r>
            <w:r w:rsidRPr="006138F0">
              <w:rPr>
                <w:rFonts w:asciiTheme="minorHAnsi" w:hAnsiTheme="minorHAnsi"/>
                <w:bCs/>
                <w:sz w:val="22"/>
                <w:szCs w:val="22"/>
              </w:rPr>
              <w:t xml:space="preserve"> </w:t>
            </w:r>
          </w:p>
          <w:p w14:paraId="7881703A" w14:textId="77777777" w:rsidR="00A57A5C" w:rsidRPr="00872A70" w:rsidRDefault="00A57A5C" w:rsidP="00D549C7">
            <w:pPr>
              <w:pStyle w:val="Body"/>
              <w:ind w:left="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 xml:space="preserve">Samples must be taken on </w:t>
            </w:r>
            <w:r>
              <w:rPr>
                <w:rFonts w:asciiTheme="minorHAnsi" w:hAnsiTheme="minorHAnsi"/>
                <w:sz w:val="22"/>
                <w:szCs w:val="22"/>
              </w:rPr>
              <w:t>‘</w:t>
            </w:r>
            <w:r w:rsidRPr="00872A70">
              <w:rPr>
                <w:rFonts w:asciiTheme="minorHAnsi" w:hAnsiTheme="minorHAnsi"/>
                <w:sz w:val="22"/>
                <w:szCs w:val="22"/>
              </w:rPr>
              <w:t>enough occasions to produce a representative sample</w:t>
            </w:r>
            <w:r>
              <w:rPr>
                <w:rFonts w:asciiTheme="minorHAnsi" w:hAnsiTheme="minorHAnsi"/>
                <w:sz w:val="22"/>
                <w:szCs w:val="22"/>
              </w:rPr>
              <w:t>’</w:t>
            </w:r>
            <w:r w:rsidRPr="00872A70">
              <w:rPr>
                <w:rFonts w:asciiTheme="minorHAnsi" w:hAnsiTheme="minorHAnsi"/>
                <w:sz w:val="22"/>
                <w:szCs w:val="22"/>
              </w:rPr>
              <w:t xml:space="preserve">, </w:t>
            </w:r>
            <w:r>
              <w:rPr>
                <w:rFonts w:asciiTheme="minorHAnsi" w:hAnsiTheme="minorHAnsi"/>
                <w:sz w:val="22"/>
                <w:szCs w:val="22"/>
              </w:rPr>
              <w:t xml:space="preserve">per </w:t>
            </w:r>
            <w:r w:rsidRPr="00F21075">
              <w:rPr>
                <w:rFonts w:asciiTheme="minorHAnsi" w:hAnsiTheme="minorHAnsi"/>
                <w:sz w:val="22"/>
                <w:szCs w:val="22"/>
              </w:rPr>
              <w:t>subsection 2.7(2)</w:t>
            </w:r>
            <w:r>
              <w:rPr>
                <w:rFonts w:asciiTheme="minorHAnsi" w:hAnsiTheme="minorHAnsi"/>
                <w:sz w:val="22"/>
                <w:szCs w:val="22"/>
              </w:rPr>
              <w:t xml:space="preserve"> of the </w:t>
            </w:r>
            <w:r w:rsidRPr="00872A70">
              <w:rPr>
                <w:rFonts w:asciiTheme="minorHAnsi" w:hAnsiTheme="minorHAnsi"/>
                <w:sz w:val="22"/>
                <w:szCs w:val="22"/>
              </w:rPr>
              <w:t xml:space="preserve">NGER Measurement Determination. </w:t>
            </w:r>
          </w:p>
          <w:p w14:paraId="18BB4D1F" w14:textId="3AE378F2" w:rsidR="00A57A5C" w:rsidRPr="00872A70" w:rsidRDefault="00A57A5C" w:rsidP="00D549C7">
            <w:pPr>
              <w:pStyle w:val="Body"/>
              <w:ind w:left="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 xml:space="preserve">A mechanical sampling system designed and operated in accordance with AS 4264 </w:t>
            </w:r>
            <w:r>
              <w:rPr>
                <w:rFonts w:asciiTheme="minorHAnsi" w:hAnsiTheme="minorHAnsi"/>
                <w:sz w:val="22"/>
                <w:szCs w:val="22"/>
              </w:rPr>
              <w:t>must</w:t>
            </w:r>
            <w:r w:rsidRPr="00872A70">
              <w:rPr>
                <w:rFonts w:asciiTheme="minorHAnsi" w:hAnsiTheme="minorHAnsi"/>
                <w:sz w:val="22"/>
                <w:szCs w:val="22"/>
              </w:rPr>
              <w:t xml:space="preserve"> be used to sample the solid fuel. Ideally, this would be set up to obtain coal as it is either being loaded at the coal source, unloaded at the facility or at a point immediately prior to combustion.</w:t>
            </w:r>
          </w:p>
          <w:p w14:paraId="648A4F0A" w14:textId="77777777" w:rsidR="00A57A5C" w:rsidRPr="00872A70" w:rsidRDefault="00A57A5C" w:rsidP="00D549C7">
            <w:pPr>
              <w:pStyle w:val="Body"/>
              <w:ind w:left="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If necessary, manual sampling of the coal may be used provided that the sampling equipment and procedure used is in accordance with AS 4264.</w:t>
            </w:r>
          </w:p>
          <w:p w14:paraId="290715FD" w14:textId="77777777" w:rsidR="00A57A5C" w:rsidRPr="00872A70" w:rsidRDefault="00A57A5C" w:rsidP="00D549C7">
            <w:pPr>
              <w:pStyle w:val="Body"/>
              <w:ind w:left="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Analysis must be undertaken in line with the respective standards listed for solid fuels</w:t>
            </w:r>
            <w:r>
              <w:rPr>
                <w:rFonts w:asciiTheme="minorHAnsi" w:hAnsiTheme="minorHAnsi"/>
                <w:sz w:val="22"/>
                <w:szCs w:val="22"/>
              </w:rPr>
              <w:t xml:space="preserve">, </w:t>
            </w:r>
            <w:r w:rsidRPr="00872A70">
              <w:rPr>
                <w:rFonts w:asciiTheme="minorHAnsi" w:hAnsiTheme="minorHAnsi"/>
                <w:sz w:val="22"/>
                <w:szCs w:val="22"/>
              </w:rPr>
              <w:t>including those for the different classes of coal</w:t>
            </w:r>
            <w:r>
              <w:rPr>
                <w:rFonts w:asciiTheme="minorHAnsi" w:hAnsiTheme="minorHAnsi"/>
                <w:sz w:val="22"/>
                <w:szCs w:val="22"/>
              </w:rPr>
              <w:t>,</w:t>
            </w:r>
            <w:r w:rsidRPr="00872A70">
              <w:rPr>
                <w:rFonts w:asciiTheme="minorHAnsi" w:hAnsiTheme="minorHAnsi"/>
                <w:sz w:val="22"/>
                <w:szCs w:val="22"/>
              </w:rPr>
              <w:t xml:space="preserve"> listed in Schedule 2 of the NGER Measurement determination.</w:t>
            </w:r>
          </w:p>
        </w:tc>
        <w:tc>
          <w:tcPr>
            <w:tcW w:w="0" w:type="dxa"/>
          </w:tcPr>
          <w:p w14:paraId="0FE35F35" w14:textId="77777777" w:rsidR="00A57A5C" w:rsidRPr="00872A70"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highlight w:val="yellow"/>
              </w:rPr>
            </w:pPr>
            <w:r w:rsidRPr="00872A70">
              <w:rPr>
                <w:rFonts w:asciiTheme="minorHAnsi" w:hAnsiTheme="minorHAnsi"/>
                <w:sz w:val="22"/>
                <w:szCs w:val="22"/>
              </w:rPr>
              <w:t>NA</w:t>
            </w:r>
          </w:p>
        </w:tc>
      </w:tr>
      <w:tr w:rsidR="00A57A5C" w:rsidRPr="00C64711" w14:paraId="3EA45391" w14:textId="77777777" w:rsidTr="00D549C7">
        <w:trPr>
          <w:cnfStyle w:val="000000010000" w:firstRow="0" w:lastRow="0" w:firstColumn="0" w:lastColumn="0" w:oddVBand="0" w:evenVBand="0" w:oddHBand="0" w:evenHBand="1" w:firstRowFirstColumn="0" w:firstRowLastColumn="0" w:lastRowFirstColumn="0" w:lastRowLastColumn="0"/>
          <w:cantSplit w:val="0"/>
          <w:trHeight w:val="182"/>
        </w:trPr>
        <w:tc>
          <w:tcPr>
            <w:cnfStyle w:val="001000000000" w:firstRow="0" w:lastRow="0" w:firstColumn="1" w:lastColumn="0" w:oddVBand="0" w:evenVBand="0" w:oddHBand="0" w:evenHBand="0" w:firstRowFirstColumn="0" w:firstRowLastColumn="0" w:lastRowFirstColumn="0" w:lastRowLastColumn="0"/>
            <w:tcW w:w="0" w:type="dxa"/>
          </w:tcPr>
          <w:p w14:paraId="3BA5CBB7" w14:textId="77777777" w:rsidR="00A57A5C" w:rsidRPr="00872A70" w:rsidRDefault="00A57A5C" w:rsidP="00D549C7">
            <w:pPr>
              <w:pStyle w:val="Body"/>
              <w:ind w:left="0"/>
              <w:rPr>
                <w:rFonts w:asciiTheme="minorHAnsi" w:hAnsiTheme="minorHAnsi"/>
                <w:sz w:val="22"/>
                <w:szCs w:val="22"/>
              </w:rPr>
            </w:pPr>
            <w:r w:rsidRPr="00872A70">
              <w:rPr>
                <w:rFonts w:asciiTheme="minorHAnsi" w:hAnsiTheme="minorHAnsi"/>
                <w:sz w:val="22"/>
                <w:szCs w:val="22"/>
              </w:rPr>
              <w:t>Carbon</w:t>
            </w:r>
          </w:p>
        </w:tc>
        <w:tc>
          <w:tcPr>
            <w:tcW w:w="0" w:type="dxa"/>
            <w:vMerge/>
          </w:tcPr>
          <w:p w14:paraId="62850458" w14:textId="77777777" w:rsidR="00A57A5C" w:rsidRPr="00872A70"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0" w:type="dxa"/>
          </w:tcPr>
          <w:p w14:paraId="24048E25" w14:textId="77250573" w:rsidR="00A57A5C"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Fly ash must be sampled as</w:t>
            </w:r>
            <w:r w:rsidRPr="00872A70">
              <w:rPr>
                <w:rFonts w:asciiTheme="minorHAnsi" w:hAnsiTheme="minorHAnsi"/>
                <w:sz w:val="22"/>
                <w:szCs w:val="22"/>
              </w:rPr>
              <w:t xml:space="preserve"> </w:t>
            </w:r>
            <w:r>
              <w:rPr>
                <w:rFonts w:asciiTheme="minorHAnsi" w:hAnsiTheme="minorHAnsi"/>
                <w:sz w:val="22"/>
                <w:szCs w:val="22"/>
              </w:rPr>
              <w:t xml:space="preserve">per </w:t>
            </w:r>
            <w:r w:rsidRPr="00872A70">
              <w:rPr>
                <w:rFonts w:asciiTheme="minorHAnsi" w:hAnsiTheme="minorHAnsi"/>
                <w:sz w:val="22"/>
                <w:szCs w:val="22"/>
              </w:rPr>
              <w:t>section 2.11 of the NGER Measurement Determination</w:t>
            </w:r>
            <w:r>
              <w:rPr>
                <w:rFonts w:asciiTheme="minorHAnsi" w:hAnsiTheme="minorHAnsi"/>
                <w:sz w:val="22"/>
                <w:szCs w:val="22"/>
              </w:rPr>
              <w:t>.</w:t>
            </w:r>
          </w:p>
          <w:p w14:paraId="5DCDE3AD" w14:textId="77777777" w:rsidR="00A57A5C" w:rsidRPr="00872A70"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Furnace ash must be analysed and sampled according to section 2.9 and 2.10 </w:t>
            </w:r>
            <w:r w:rsidRPr="00872A70">
              <w:rPr>
                <w:rFonts w:asciiTheme="minorHAnsi" w:hAnsiTheme="minorHAnsi"/>
                <w:sz w:val="22"/>
                <w:szCs w:val="22"/>
              </w:rPr>
              <w:t>of the NGER Measurement Determination</w:t>
            </w:r>
            <w:r>
              <w:rPr>
                <w:rFonts w:asciiTheme="minorHAnsi" w:hAnsiTheme="minorHAnsi"/>
                <w:sz w:val="22"/>
                <w:szCs w:val="22"/>
              </w:rPr>
              <w:t>.</w:t>
            </w:r>
          </w:p>
        </w:tc>
      </w:tr>
      <w:tr w:rsidR="00A57A5C" w:rsidRPr="00C64711" w14:paraId="76B22321" w14:textId="77777777" w:rsidTr="00D549C7">
        <w:trPr>
          <w:cnfStyle w:val="000000100000" w:firstRow="0" w:lastRow="0" w:firstColumn="0" w:lastColumn="0" w:oddVBand="0" w:evenVBand="0" w:oddHBand="1" w:evenHBand="0" w:firstRowFirstColumn="0" w:firstRowLastColumn="0" w:lastRowFirstColumn="0" w:lastRowLastColumn="0"/>
          <w:cantSplit w:val="0"/>
          <w:trHeight w:val="97"/>
        </w:trPr>
        <w:tc>
          <w:tcPr>
            <w:cnfStyle w:val="001000000000" w:firstRow="0" w:lastRow="0" w:firstColumn="1" w:lastColumn="0" w:oddVBand="0" w:evenVBand="0" w:oddHBand="0" w:evenHBand="0" w:firstRowFirstColumn="0" w:firstRowLastColumn="0" w:lastRowFirstColumn="0" w:lastRowLastColumn="0"/>
            <w:tcW w:w="0" w:type="dxa"/>
          </w:tcPr>
          <w:p w14:paraId="4126B4D9" w14:textId="77777777" w:rsidR="00A57A5C" w:rsidRPr="00872A70" w:rsidRDefault="00A57A5C" w:rsidP="00D549C7">
            <w:pPr>
              <w:pStyle w:val="Body"/>
              <w:ind w:left="0"/>
              <w:rPr>
                <w:rFonts w:asciiTheme="minorHAnsi" w:hAnsiTheme="minorHAnsi"/>
                <w:sz w:val="22"/>
                <w:szCs w:val="22"/>
              </w:rPr>
            </w:pPr>
            <w:r w:rsidRPr="00872A70">
              <w:rPr>
                <w:rFonts w:asciiTheme="minorHAnsi" w:hAnsiTheme="minorHAnsi"/>
                <w:sz w:val="22"/>
                <w:szCs w:val="22"/>
              </w:rPr>
              <w:t>Moisture</w:t>
            </w:r>
          </w:p>
        </w:tc>
        <w:tc>
          <w:tcPr>
            <w:tcW w:w="0" w:type="dxa"/>
            <w:vMerge w:val="restart"/>
          </w:tcPr>
          <w:p w14:paraId="04F4B424" w14:textId="77777777" w:rsidR="00A57A5C" w:rsidRPr="00872A70" w:rsidRDefault="00A57A5C" w:rsidP="00D549C7">
            <w:pPr>
              <w:pStyle w:val="Body"/>
              <w:ind w:left="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One delivery of coal will normally represent one day or one trainload of coal. As such, if the delivery of coal is continuous, sampling for moisture and ash should be undertaken daily.</w:t>
            </w:r>
          </w:p>
        </w:tc>
        <w:tc>
          <w:tcPr>
            <w:tcW w:w="0" w:type="dxa"/>
          </w:tcPr>
          <w:p w14:paraId="3AAF6B3F" w14:textId="77777777" w:rsidR="00A57A5C" w:rsidRPr="00872A70"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NA</w:t>
            </w:r>
          </w:p>
        </w:tc>
      </w:tr>
      <w:tr w:rsidR="00A57A5C" w:rsidRPr="00C64711" w14:paraId="50150102" w14:textId="77777777" w:rsidTr="00D05244">
        <w:trPr>
          <w:cnfStyle w:val="000000010000" w:firstRow="0" w:lastRow="0" w:firstColumn="0" w:lastColumn="0" w:oddVBand="0" w:evenVBand="0" w:oddHBand="0" w:evenHBand="1" w:firstRowFirstColumn="0" w:firstRowLastColumn="0" w:lastRowFirstColumn="0" w:lastRowLastColumn="0"/>
          <w:cantSplit w:val="0"/>
          <w:trHeight w:val="16"/>
        </w:trPr>
        <w:tc>
          <w:tcPr>
            <w:cnfStyle w:val="001000000000" w:firstRow="0" w:lastRow="0" w:firstColumn="1" w:lastColumn="0" w:oddVBand="0" w:evenVBand="0" w:oddHBand="0" w:evenHBand="0" w:firstRowFirstColumn="0" w:firstRowLastColumn="0" w:lastRowFirstColumn="0" w:lastRowLastColumn="0"/>
            <w:tcW w:w="0" w:type="dxa"/>
            <w:tcBorders>
              <w:bottom w:val="single" w:sz="8" w:space="0" w:color="E8E8E8" w:themeColor="background2"/>
            </w:tcBorders>
          </w:tcPr>
          <w:p w14:paraId="2AFAA1A0" w14:textId="77777777" w:rsidR="00A57A5C" w:rsidRPr="00872A70" w:rsidRDefault="00A57A5C" w:rsidP="00D549C7">
            <w:pPr>
              <w:pStyle w:val="Body"/>
              <w:ind w:left="0"/>
              <w:rPr>
                <w:rFonts w:asciiTheme="minorHAnsi" w:hAnsiTheme="minorHAnsi"/>
                <w:sz w:val="22"/>
                <w:szCs w:val="22"/>
              </w:rPr>
            </w:pPr>
            <w:r w:rsidRPr="00872A70">
              <w:rPr>
                <w:rFonts w:asciiTheme="minorHAnsi" w:hAnsiTheme="minorHAnsi"/>
                <w:sz w:val="22"/>
                <w:szCs w:val="22"/>
              </w:rPr>
              <w:t>Ash</w:t>
            </w:r>
          </w:p>
        </w:tc>
        <w:tc>
          <w:tcPr>
            <w:tcW w:w="0" w:type="dxa"/>
            <w:vMerge/>
            <w:tcBorders>
              <w:bottom w:val="single" w:sz="8" w:space="0" w:color="E8E8E8" w:themeColor="background2"/>
            </w:tcBorders>
          </w:tcPr>
          <w:p w14:paraId="6C173BAF" w14:textId="77777777" w:rsidR="00A57A5C" w:rsidRPr="00872A70"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0" w:type="dxa"/>
            <w:tcBorders>
              <w:bottom w:val="single" w:sz="8" w:space="0" w:color="E8E8E8" w:themeColor="background2"/>
            </w:tcBorders>
          </w:tcPr>
          <w:p w14:paraId="52598A21" w14:textId="77777777" w:rsidR="00A57A5C" w:rsidRPr="00872A70"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NA</w:t>
            </w:r>
          </w:p>
        </w:tc>
      </w:tr>
      <w:tr w:rsidR="00A57A5C" w:rsidRPr="00C64711" w14:paraId="12FEC07F" w14:textId="77777777" w:rsidTr="00D05244">
        <w:trPr>
          <w:cnfStyle w:val="000000100000" w:firstRow="0" w:lastRow="0" w:firstColumn="0" w:lastColumn="0" w:oddVBand="0" w:evenVBand="0" w:oddHBand="1" w:evenHBand="0" w:firstRowFirstColumn="0" w:firstRowLastColumn="0" w:lastRowFirstColumn="0" w:lastRowLastColumn="0"/>
          <w:cantSplit w:val="0"/>
          <w:trHeight w:val="16"/>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E8E8E8" w:themeColor="background2"/>
              <w:bottom w:val="single" w:sz="4" w:space="0" w:color="FCBA5C" w:themeColor="accent2"/>
            </w:tcBorders>
          </w:tcPr>
          <w:p w14:paraId="50D48E94" w14:textId="77777777" w:rsidR="00A57A5C" w:rsidRPr="00872A70" w:rsidRDefault="00A57A5C" w:rsidP="00D549C7">
            <w:pPr>
              <w:pStyle w:val="Body"/>
              <w:ind w:left="0"/>
              <w:rPr>
                <w:rFonts w:asciiTheme="minorHAnsi" w:hAnsiTheme="minorHAnsi"/>
                <w:sz w:val="22"/>
                <w:szCs w:val="22"/>
              </w:rPr>
            </w:pPr>
            <w:r w:rsidRPr="00872A70">
              <w:rPr>
                <w:rFonts w:asciiTheme="minorHAnsi" w:hAnsiTheme="minorHAnsi"/>
                <w:sz w:val="22"/>
                <w:szCs w:val="22"/>
              </w:rPr>
              <w:t>Exceptions</w:t>
            </w:r>
          </w:p>
          <w:p w14:paraId="056EB057" w14:textId="77777777" w:rsidR="00A57A5C" w:rsidRPr="00872A70" w:rsidRDefault="00A57A5C" w:rsidP="00D549C7">
            <w:pPr>
              <w:pStyle w:val="Body"/>
              <w:ind w:left="0"/>
              <w:rPr>
                <w:rFonts w:asciiTheme="minorHAnsi" w:hAnsiTheme="minorHAnsi"/>
                <w:b w:val="0"/>
                <w:sz w:val="22"/>
                <w:szCs w:val="22"/>
              </w:rPr>
            </w:pPr>
          </w:p>
        </w:tc>
        <w:tc>
          <w:tcPr>
            <w:tcW w:w="0" w:type="dxa"/>
            <w:tcBorders>
              <w:top w:val="single" w:sz="8" w:space="0" w:color="E8E8E8" w:themeColor="background2"/>
              <w:bottom w:val="single" w:sz="4" w:space="0" w:color="FCBA5C" w:themeColor="accent2"/>
            </w:tcBorders>
          </w:tcPr>
          <w:p w14:paraId="026FB4A7" w14:textId="77777777" w:rsidR="00A57A5C" w:rsidRPr="00BD3F61"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bCs/>
                <w:sz w:val="22"/>
                <w:szCs w:val="22"/>
              </w:rPr>
            </w:pPr>
            <w:r w:rsidRPr="005E1BF7">
              <w:rPr>
                <w:rFonts w:asciiTheme="minorHAnsi" w:hAnsiTheme="minorHAnsi"/>
                <w:sz w:val="22"/>
                <w:szCs w:val="22"/>
              </w:rPr>
              <w:t>If delivery lasts one month or less</w:t>
            </w:r>
            <w:r>
              <w:rPr>
                <w:rFonts w:asciiTheme="minorHAnsi" w:hAnsiTheme="minorHAnsi"/>
                <w:bCs/>
                <w:sz w:val="22"/>
                <w:szCs w:val="22"/>
              </w:rPr>
              <w:t>,</w:t>
            </w:r>
            <w:r w:rsidRPr="00032840">
              <w:rPr>
                <w:rFonts w:asciiTheme="minorHAnsi" w:hAnsiTheme="minorHAnsi"/>
                <w:bCs/>
                <w:sz w:val="22"/>
                <w:szCs w:val="22"/>
              </w:rPr>
              <w:t xml:space="preserve"> </w:t>
            </w:r>
            <w:r w:rsidRPr="006138F0">
              <w:rPr>
                <w:rFonts w:asciiTheme="minorHAnsi" w:hAnsiTheme="minorHAnsi"/>
                <w:bCs/>
                <w:sz w:val="22"/>
                <w:szCs w:val="22"/>
              </w:rPr>
              <w:t>analysis must be carried out</w:t>
            </w:r>
            <w:r>
              <w:rPr>
                <w:rFonts w:asciiTheme="minorHAnsi" w:hAnsiTheme="minorHAnsi"/>
                <w:bCs/>
                <w:sz w:val="22"/>
                <w:szCs w:val="22"/>
              </w:rPr>
              <w:t xml:space="preserve"> on</w:t>
            </w:r>
            <w:r w:rsidRPr="006138F0">
              <w:rPr>
                <w:rFonts w:asciiTheme="minorHAnsi" w:hAnsiTheme="minorHAnsi"/>
                <w:bCs/>
                <w:sz w:val="22"/>
                <w:szCs w:val="22"/>
              </w:rPr>
              <w:t xml:space="preserve"> each </w:t>
            </w:r>
            <w:r w:rsidRPr="00CE6FAC">
              <w:rPr>
                <w:rFonts w:asciiTheme="minorHAnsi" w:hAnsiTheme="minorHAnsi"/>
                <w:bCs/>
                <w:sz w:val="22"/>
                <w:szCs w:val="22"/>
              </w:rPr>
              <w:t>deliv</w:t>
            </w:r>
            <w:r w:rsidRPr="008E7ED5">
              <w:rPr>
                <w:rFonts w:asciiTheme="minorHAnsi" w:hAnsiTheme="minorHAnsi"/>
                <w:bCs/>
                <w:sz w:val="22"/>
                <w:szCs w:val="22"/>
              </w:rPr>
              <w:t>ery unless fuel properties do not change significantly between deliveries over a period of a month, in which case analysis may be carried out monthly.</w:t>
            </w:r>
          </w:p>
          <w:p w14:paraId="1272233E" w14:textId="77777777" w:rsidR="00A57A5C" w:rsidRPr="00872A70"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5E1BF7">
              <w:rPr>
                <w:rFonts w:asciiTheme="minorHAnsi" w:hAnsiTheme="minorHAnsi"/>
                <w:sz w:val="22"/>
                <w:szCs w:val="22"/>
              </w:rPr>
              <w:t>If a delivery of fuel lasts for more than a month and fuel properties do not change significantly before the next delivery</w:t>
            </w:r>
            <w:r>
              <w:rPr>
                <w:rFonts w:asciiTheme="minorHAnsi" w:hAnsiTheme="minorHAnsi"/>
                <w:bCs/>
                <w:sz w:val="22"/>
                <w:szCs w:val="22"/>
              </w:rPr>
              <w:t>,</w:t>
            </w:r>
            <w:r w:rsidRPr="006138F0">
              <w:rPr>
                <w:rFonts w:asciiTheme="minorHAnsi" w:hAnsiTheme="minorHAnsi"/>
                <w:bCs/>
                <w:sz w:val="22"/>
                <w:szCs w:val="22"/>
              </w:rPr>
              <w:t xml:space="preserve"> energy</w:t>
            </w:r>
            <w:r w:rsidRPr="00872A70">
              <w:rPr>
                <w:rFonts w:asciiTheme="minorHAnsi" w:hAnsiTheme="minorHAnsi"/>
                <w:sz w:val="22"/>
                <w:szCs w:val="22"/>
              </w:rPr>
              <w:t xml:space="preserve"> content and carbon analysis may be conducted on a delivery basis, rather than monthly basis.</w:t>
            </w:r>
          </w:p>
        </w:tc>
        <w:tc>
          <w:tcPr>
            <w:tcW w:w="0" w:type="dxa"/>
            <w:tcBorders>
              <w:top w:val="single" w:sz="8" w:space="0" w:color="E8E8E8" w:themeColor="background2"/>
              <w:bottom w:val="single" w:sz="4" w:space="0" w:color="FCBA5C" w:themeColor="accent2"/>
            </w:tcBorders>
          </w:tcPr>
          <w:p w14:paraId="3FBEBA52" w14:textId="77777777" w:rsidR="00A57A5C" w:rsidRPr="00872A70"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NA</w:t>
            </w:r>
          </w:p>
        </w:tc>
      </w:tr>
    </w:tbl>
    <w:p w14:paraId="522B8068" w14:textId="77777777" w:rsidR="00A57A5C" w:rsidRPr="00FF338C" w:rsidRDefault="00A57A5C" w:rsidP="00A57A5C">
      <w:pPr>
        <w:pStyle w:val="Heading4"/>
      </w:pPr>
      <w:bookmarkStart w:id="119" w:name="_Toc107922553"/>
      <w:r w:rsidRPr="00FF338C">
        <w:t>Bias testing</w:t>
      </w:r>
      <w:bookmarkEnd w:id="119"/>
    </w:p>
    <w:p w14:paraId="69E9FF6E" w14:textId="0E4FE3E5" w:rsidR="00A57A5C" w:rsidRPr="00FF338C" w:rsidRDefault="00A57A5C" w:rsidP="00A57A5C">
      <w:r w:rsidRPr="00FF338C">
        <w:t xml:space="preserve">Regardless of whether </w:t>
      </w:r>
      <w:r>
        <w:t>m</w:t>
      </w:r>
      <w:r w:rsidRPr="00FF338C">
        <w:t xml:space="preserve">ethod 2 or 3 is selected, samples must be </w:t>
      </w:r>
      <w:r>
        <w:t>‘</w:t>
      </w:r>
      <w:r w:rsidRPr="00FF338C">
        <w:t>free of bias so that any estimates are neither over nor under</w:t>
      </w:r>
      <w:r>
        <w:t>-</w:t>
      </w:r>
      <w:r w:rsidRPr="00FF338C">
        <w:t>estimates of the true value</w:t>
      </w:r>
      <w:r>
        <w:t>’, per s</w:t>
      </w:r>
      <w:r w:rsidRPr="00FF338C">
        <w:t xml:space="preserve">ection 2.7 of the </w:t>
      </w:r>
      <w:r>
        <w:t>NGER Measurement Determination</w:t>
      </w:r>
      <w:r w:rsidRPr="00FF338C">
        <w:t xml:space="preserve">. Bias </w:t>
      </w:r>
      <w:r>
        <w:t>must</w:t>
      </w:r>
      <w:r w:rsidRPr="00FF338C">
        <w:t xml:space="preserve"> be tested in accordance with an appropriate standard</w:t>
      </w:r>
      <w:r>
        <w:t xml:space="preserve">, </w:t>
      </w:r>
      <w:r w:rsidRPr="00FF338C">
        <w:t>for example, AS 4264.4</w:t>
      </w:r>
      <w:r>
        <w:t xml:space="preserve"> -</w:t>
      </w:r>
      <w:r w:rsidRPr="00FF338C">
        <w:t>1996</w:t>
      </w:r>
      <w:r>
        <w:t xml:space="preserve"> </w:t>
      </w:r>
      <w:r w:rsidRPr="00B85497">
        <w:rPr>
          <w:i/>
          <w:iCs/>
        </w:rPr>
        <w:t>Coal and coke – Sampling – Determination of precision and bias</w:t>
      </w:r>
      <w:r w:rsidRPr="00FF338C">
        <w:t xml:space="preserve">. </w:t>
      </w:r>
    </w:p>
    <w:p w14:paraId="50F8FD25" w14:textId="77777777" w:rsidR="00A57A5C" w:rsidRPr="00FF338C" w:rsidRDefault="00A57A5C" w:rsidP="00A57A5C">
      <w:r w:rsidRPr="00FF338C">
        <w:t>In the case of bias testing of mechanical samplers, the reference samples are usually stopped belt samples off a conveyor belt. For the purposes of verification of a coal sampling system, the coal samples taken for bias testing (pairs consisting of a reference sample and a sample taken by the coal sampler) should be analysed for total moisture and ash.</w:t>
      </w:r>
    </w:p>
    <w:p w14:paraId="7B145AA4" w14:textId="77777777" w:rsidR="00A57A5C" w:rsidRPr="00FF338C" w:rsidRDefault="00A57A5C" w:rsidP="00A57A5C">
      <w:r w:rsidRPr="00FF338C">
        <w:t>Bias testing should always be carried out on a new sampling system. For an existing system, the following verification procedure may be followed if there is some doubt about the conformance of the sampling system:</w:t>
      </w:r>
    </w:p>
    <w:p w14:paraId="56E63C7D" w14:textId="77777777" w:rsidR="00A57A5C" w:rsidRPr="00FF338C" w:rsidRDefault="00A57A5C" w:rsidP="00A57A5C">
      <w:pPr>
        <w:pStyle w:val="CERbullets"/>
        <w:ind w:left="360" w:hanging="360"/>
      </w:pPr>
      <w:r w:rsidRPr="00FF338C">
        <w:t>conduct a detailed technical audit of the sampling system</w:t>
      </w:r>
    </w:p>
    <w:p w14:paraId="59AB6B70" w14:textId="77777777" w:rsidR="00A57A5C" w:rsidRPr="00FF338C" w:rsidRDefault="00A57A5C" w:rsidP="00A57A5C">
      <w:pPr>
        <w:pStyle w:val="CERbullets"/>
        <w:ind w:left="360" w:hanging="360"/>
      </w:pPr>
      <w:r w:rsidRPr="00FF338C">
        <w:t>correct any non-conformances that have been observed</w:t>
      </w:r>
    </w:p>
    <w:p w14:paraId="20459456" w14:textId="77777777" w:rsidR="00A57A5C" w:rsidRPr="00FF338C" w:rsidRDefault="00A57A5C" w:rsidP="00B3330E">
      <w:pPr>
        <w:pStyle w:val="ListParagraph"/>
        <w:numPr>
          <w:ilvl w:val="0"/>
          <w:numId w:val="1"/>
        </w:numPr>
      </w:pPr>
      <w:r w:rsidRPr="00FF338C">
        <w:t>conduct a limited bias test on the system, usually with the coal that exhibits the widest stochastic variability in total moisture or ash, to provide a more quantitative verification that the sampling system is performing correctly.</w:t>
      </w:r>
    </w:p>
    <w:p w14:paraId="28586941" w14:textId="77777777" w:rsidR="00A57A5C" w:rsidRPr="00FF338C" w:rsidRDefault="00A57A5C" w:rsidP="00A57A5C">
      <w:pPr>
        <w:rPr>
          <w:b/>
        </w:rPr>
      </w:pPr>
      <w:r w:rsidRPr="00FF338C">
        <w:t xml:space="preserve">If you are aware of bias, it must be eliminated where possible. Following the implementation of measures to eliminate bias, the presence of residual bias </w:t>
      </w:r>
      <w:r>
        <w:t>must</w:t>
      </w:r>
      <w:r w:rsidRPr="00FF338C">
        <w:t xml:space="preserve"> be retested and assessed. If any remaining bias exists which cannot feasibly be eliminated, data </w:t>
      </w:r>
      <w:r>
        <w:t>must</w:t>
      </w:r>
      <w:r w:rsidRPr="00FF338C">
        <w:t xml:space="preserve"> be corrected to account for the bias, the corrections documented, and records kept.</w:t>
      </w:r>
    </w:p>
    <w:p w14:paraId="62CABD6D" w14:textId="77777777" w:rsidR="00A57A5C" w:rsidRPr="00FF338C" w:rsidRDefault="00A57A5C" w:rsidP="00DB4B56">
      <w:pPr>
        <w:pStyle w:val="Heading2"/>
        <w:numPr>
          <w:ilvl w:val="1"/>
          <w:numId w:val="3"/>
        </w:numPr>
        <w:ind w:left="426" w:hanging="426"/>
      </w:pPr>
      <w:bookmarkStart w:id="120" w:name="_Emissions_from_combustion"/>
      <w:bookmarkStart w:id="121" w:name="_Toc512010397"/>
      <w:bookmarkStart w:id="122" w:name="_Toc512339595"/>
      <w:bookmarkStart w:id="123" w:name="_Toc106705758"/>
      <w:bookmarkStart w:id="124" w:name="_Toc107922554"/>
      <w:bookmarkEnd w:id="120"/>
      <w:r w:rsidRPr="00FF338C">
        <w:t>Emissions from combustion of gaseous fuels</w:t>
      </w:r>
      <w:bookmarkEnd w:id="121"/>
      <w:bookmarkEnd w:id="122"/>
      <w:bookmarkEnd w:id="123"/>
      <w:bookmarkEnd w:id="124"/>
    </w:p>
    <w:p w14:paraId="16D1DE22" w14:textId="77777777" w:rsidR="00A57A5C" w:rsidRDefault="00A57A5C" w:rsidP="00A57A5C">
      <w:r w:rsidRPr="00FF338C">
        <w:t>In the electricity sector, gaseous fuels can be combusted for generation purposes (</w:t>
      </w:r>
      <w:r>
        <w:t>for example</w:t>
      </w:r>
      <w:r w:rsidRPr="00FF338C">
        <w:t xml:space="preserve"> at a gas-fired power plant) or in other equipment. The methods available for estimating emissions from the combustion of liquid fuels are outlined </w:t>
      </w:r>
      <w:r>
        <w:t>below</w:t>
      </w:r>
      <w:r w:rsidRPr="00FF338C">
        <w:t>.</w:t>
      </w:r>
    </w:p>
    <w:p w14:paraId="0C438889" w14:textId="77777777" w:rsidR="00A57A5C" w:rsidRDefault="00A57A5C" w:rsidP="00A57A5C">
      <w:pPr>
        <w:pStyle w:val="Caption"/>
        <w:keepNext/>
      </w:pPr>
      <w:bookmarkStart w:id="125" w:name="_Ref508014406"/>
      <w:bookmarkStart w:id="126" w:name="_Ref506301095"/>
      <w:r w:rsidRPr="00FF338C">
        <w:t xml:space="preserve">Figure </w:t>
      </w:r>
      <w:r>
        <w:fldChar w:fldCharType="begin"/>
      </w:r>
      <w:r>
        <w:instrText>SEQ Figure \* ARABIC</w:instrText>
      </w:r>
      <w:r>
        <w:fldChar w:fldCharType="separate"/>
      </w:r>
      <w:r>
        <w:rPr>
          <w:noProof/>
        </w:rPr>
        <w:t>2</w:t>
      </w:r>
      <w:r>
        <w:fldChar w:fldCharType="end"/>
      </w:r>
      <w:bookmarkEnd w:id="125"/>
      <w:bookmarkEnd w:id="126"/>
      <w:r w:rsidRPr="00FF338C">
        <w:t xml:space="preserve"> – Available methods for estimating emissions from the combustion of gaseous fuels</w:t>
      </w:r>
    </w:p>
    <w:p w14:paraId="15D99C81" w14:textId="77777777" w:rsidR="00A57A5C" w:rsidRPr="00346DE4" w:rsidRDefault="00A57A5C" w:rsidP="00256727">
      <w:pPr>
        <w:jc w:val="center"/>
      </w:pPr>
      <w:r w:rsidRPr="006A383E">
        <w:rPr>
          <w:noProof/>
        </w:rPr>
        <w:drawing>
          <wp:inline distT="0" distB="0" distL="0" distR="0" wp14:anchorId="34838425" wp14:editId="34715E24">
            <wp:extent cx="6184900" cy="4279265"/>
            <wp:effectExtent l="0" t="0" r="6350" b="6985"/>
            <wp:docPr id="14" name="Picture 14" descr="Figure 2. Demonstrating the method options and legislative references for the estimating emissions of greenhouse gases from the combustion of gaseous fu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2. Demonstrating the method options and legislative references for the estimating emissions of greenhouse gases from the combustion of gaseous fuels."/>
                    <pic:cNvPicPr/>
                  </pic:nvPicPr>
                  <pic:blipFill>
                    <a:blip r:embed="rId36"/>
                    <a:stretch>
                      <a:fillRect/>
                    </a:stretch>
                  </pic:blipFill>
                  <pic:spPr>
                    <a:xfrm>
                      <a:off x="0" y="0"/>
                      <a:ext cx="6184900" cy="4279265"/>
                    </a:xfrm>
                    <a:prstGeom prst="rect">
                      <a:avLst/>
                    </a:prstGeom>
                  </pic:spPr>
                </pic:pic>
              </a:graphicData>
            </a:graphic>
          </wp:inline>
        </w:drawing>
      </w:r>
    </w:p>
    <w:p w14:paraId="5855C532" w14:textId="77777777" w:rsidR="00A57A5C" w:rsidRDefault="00A57A5C" w:rsidP="00A57A5C">
      <w:r w:rsidRPr="00FF338C">
        <w:t xml:space="preserve">For </w:t>
      </w:r>
      <w:r>
        <w:t>m</w:t>
      </w:r>
      <w:r w:rsidRPr="00FF338C">
        <w:t>ethod</w:t>
      </w:r>
      <w:r>
        <w:t>s</w:t>
      </w:r>
      <w:r w:rsidRPr="00FF338C">
        <w:t xml:space="preserve"> 1, 2 and 3</w:t>
      </w:r>
      <w:r>
        <w:t>,</w:t>
      </w:r>
      <w:r w:rsidRPr="00FF338C">
        <w:t xml:space="preserve"> fuel quantities of gaseous fuels combusted should be measured per Division 2.3.6 in the </w:t>
      </w:r>
      <w:r>
        <w:t>NGER Measurement Determination</w:t>
      </w:r>
      <w:r w:rsidRPr="00FF338C">
        <w:t xml:space="preserve">. </w:t>
      </w:r>
      <w:r>
        <w:t>See</w:t>
      </w:r>
      <w:r w:rsidRPr="00FF338C">
        <w:t xml:space="preserve"> </w:t>
      </w:r>
      <w:hyperlink w:anchor="_Measurement_requirements" w:history="1">
        <w:r w:rsidRPr="00A30145">
          <w:rPr>
            <w:rStyle w:val="Hyperlink"/>
            <w:rFonts w:asciiTheme="minorHAnsi" w:hAnsiTheme="minorHAnsi"/>
          </w:rPr>
          <w:t>chapter 8</w:t>
        </w:r>
      </w:hyperlink>
      <w:r w:rsidRPr="00FF338C">
        <w:t xml:space="preserve"> </w:t>
      </w:r>
      <w:r>
        <w:t xml:space="preserve">of this guideline for more information on </w:t>
      </w:r>
      <w:r w:rsidRPr="00FF338C">
        <w:t>measurement requirements.</w:t>
      </w:r>
    </w:p>
    <w:p w14:paraId="6D7B022D" w14:textId="29E68CAD" w:rsidR="00A57A5C" w:rsidRDefault="00A57A5C" w:rsidP="00A57A5C">
      <w:r>
        <w:t xml:space="preserve">Method 1, set out in Division 2.3.1 of the NGER Measurement Determination, uses the default emission factors set out in Schedule 1 of the NGER Measurement Determination. Method 1 is the only method available for estimation of emissions of methane and nitrous dioxide from the combustion of gaseous fuels. Method 1 may also be used for estimating emissions of carbon dioxide, subject to the criteria in subsection 2.19(3) of the NGER Measurement Determination. These criteria are applied so that method 1 must </w:t>
      </w:r>
      <w:r w:rsidRPr="00032840">
        <w:t>not</w:t>
      </w:r>
      <w:r>
        <w:t xml:space="preserve"> be used if: </w:t>
      </w:r>
    </w:p>
    <w:p w14:paraId="230F7195" w14:textId="77777777" w:rsidR="00A57A5C" w:rsidRPr="00FF338C" w:rsidRDefault="00A57A5C" w:rsidP="00A57A5C">
      <w:pPr>
        <w:pStyle w:val="CERbullets"/>
        <w:ind w:left="360" w:hanging="360"/>
      </w:pPr>
      <w:r w:rsidRPr="006138F0">
        <w:t>the combined capacity of all generating units at the facility is 30</w:t>
      </w:r>
      <w:r>
        <w:t xml:space="preserve"> </w:t>
      </w:r>
      <w:r w:rsidRPr="006138F0">
        <w:t>MW or more</w:t>
      </w:r>
    </w:p>
    <w:p w14:paraId="22853713" w14:textId="77777777" w:rsidR="00A57A5C" w:rsidRDefault="00A57A5C" w:rsidP="00A57A5C">
      <w:pPr>
        <w:pStyle w:val="CERbullets"/>
        <w:ind w:left="360" w:hanging="360"/>
      </w:pPr>
      <w:r w:rsidRPr="006138F0">
        <w:t>the principal activity of the facility is electricity generation (ANZSIC industry classification and code 2611)</w:t>
      </w:r>
    </w:p>
    <w:p w14:paraId="6B9E947D" w14:textId="77777777" w:rsidR="00A57A5C" w:rsidRDefault="00A57A5C" w:rsidP="00A57A5C">
      <w:pPr>
        <w:pStyle w:val="CERbullets"/>
        <w:ind w:left="360" w:hanging="360"/>
      </w:pPr>
      <w:r w:rsidRPr="006138F0">
        <w:t>the</w:t>
      </w:r>
      <w:r>
        <w:t xml:space="preserve"> facility generates more than 50,000 MWh in a reporting year.</w:t>
      </w:r>
    </w:p>
    <w:p w14:paraId="3DB36F47" w14:textId="77777777" w:rsidR="00A57A5C" w:rsidRPr="00FF338C" w:rsidRDefault="00A57A5C" w:rsidP="00B3330E">
      <w:pPr>
        <w:pStyle w:val="Heading3"/>
        <w:numPr>
          <w:ilvl w:val="2"/>
          <w:numId w:val="3"/>
        </w:numPr>
        <w:ind w:left="505" w:hanging="505"/>
        <w:rPr>
          <w:lang w:val="en-GB"/>
        </w:rPr>
      </w:pPr>
      <w:bookmarkStart w:id="127" w:name="_Sampling_and_analysis"/>
      <w:bookmarkStart w:id="128" w:name="_Ref511917520"/>
      <w:bookmarkStart w:id="129" w:name="_Ref511988321"/>
      <w:bookmarkStart w:id="130" w:name="_Toc512010398"/>
      <w:bookmarkStart w:id="131" w:name="_Toc512339596"/>
      <w:bookmarkStart w:id="132" w:name="_Toc107922555"/>
      <w:bookmarkEnd w:id="127"/>
      <w:r w:rsidRPr="00FF338C">
        <w:rPr>
          <w:lang w:val="en-GB"/>
        </w:rPr>
        <w:t>Sampling and analysis requirements for Methods 2 and 3 for gaseous fuels</w:t>
      </w:r>
      <w:bookmarkEnd w:id="128"/>
      <w:bookmarkEnd w:id="129"/>
      <w:bookmarkEnd w:id="130"/>
      <w:bookmarkEnd w:id="131"/>
      <w:bookmarkEnd w:id="132"/>
    </w:p>
    <w:p w14:paraId="27C0D7FA" w14:textId="77777777" w:rsidR="00A57A5C" w:rsidRPr="00FF338C" w:rsidRDefault="00A57A5C" w:rsidP="00A57A5C">
      <w:r w:rsidRPr="00FF338C">
        <w:t xml:space="preserve">Sampling and analysis should be undertaken for the parameters listed and at the frequencies indicated in Table </w:t>
      </w:r>
      <w:r>
        <w:t>7</w:t>
      </w:r>
      <w:r w:rsidRPr="00FF338C">
        <w:t xml:space="preserve"> as per the following divisions of the </w:t>
      </w:r>
      <w:r>
        <w:t>NGER Measurement Determination</w:t>
      </w:r>
      <w:r w:rsidRPr="00FF338C">
        <w:t>:</w:t>
      </w:r>
    </w:p>
    <w:p w14:paraId="2C2A5BDA" w14:textId="77777777" w:rsidR="00A57A5C" w:rsidRPr="00FF338C" w:rsidRDefault="00A57A5C" w:rsidP="00A57A5C">
      <w:pPr>
        <w:pStyle w:val="CERbullets"/>
        <w:ind w:left="360" w:hanging="360"/>
      </w:pPr>
      <w:r w:rsidRPr="00FF338C">
        <w:t>Method 2: Subdivision 2.3.3.2 (CO</w:t>
      </w:r>
      <w:r w:rsidRPr="00FF338C">
        <w:rPr>
          <w:vertAlign w:val="subscript"/>
        </w:rPr>
        <w:t>2</w:t>
      </w:r>
      <w:r w:rsidRPr="00FF338C">
        <w:t>), and Division 2.3.5 (CH</w:t>
      </w:r>
      <w:r w:rsidRPr="00FF338C">
        <w:rPr>
          <w:vertAlign w:val="subscript"/>
        </w:rPr>
        <w:t>4</w:t>
      </w:r>
      <w:r w:rsidRPr="00FF338C">
        <w:t>).</w:t>
      </w:r>
    </w:p>
    <w:p w14:paraId="70127F5A" w14:textId="77777777" w:rsidR="00A57A5C" w:rsidRPr="00FF338C" w:rsidRDefault="00A57A5C" w:rsidP="00A57A5C">
      <w:pPr>
        <w:pStyle w:val="CERbullets"/>
        <w:ind w:left="360" w:hanging="360"/>
      </w:pPr>
      <w:bookmarkStart w:id="133" w:name="_Hlk75261883"/>
      <w:r w:rsidRPr="00FF338C">
        <w:t>Method 3: Division 2.3.4.</w:t>
      </w:r>
    </w:p>
    <w:bookmarkEnd w:id="133"/>
    <w:p w14:paraId="10AC92A3" w14:textId="77777777" w:rsidR="00A57A5C" w:rsidRPr="00FF338C" w:rsidRDefault="00A57A5C" w:rsidP="00A57A5C">
      <w:r w:rsidRPr="00FF338C">
        <w:t xml:space="preserve">An accredited laboratory or similar laboratory complying with </w:t>
      </w:r>
      <w:r>
        <w:t>I</w:t>
      </w:r>
      <w:r w:rsidRPr="009752E3">
        <w:t xml:space="preserve">nternational Organization for Standardization </w:t>
      </w:r>
      <w:r>
        <w:t>(</w:t>
      </w:r>
      <w:r w:rsidRPr="00FF338C">
        <w:t>ISO</w:t>
      </w:r>
      <w:r>
        <w:t>)</w:t>
      </w:r>
      <w:r w:rsidRPr="00FF338C">
        <w:t xml:space="preserve"> 17025 should be used to conduct gas analysis. If an online analyser is used, it </w:t>
      </w:r>
      <w:r>
        <w:t>must</w:t>
      </w:r>
      <w:r w:rsidRPr="00FF338C">
        <w:t xml:space="preserve"> be calibrated in line with an appropriate standard </w:t>
      </w:r>
      <w:r>
        <w:t xml:space="preserve">– </w:t>
      </w:r>
      <w:r w:rsidRPr="00FF338C">
        <w:t>for example, ISO 6975:1997.</w:t>
      </w:r>
    </w:p>
    <w:p w14:paraId="47824344" w14:textId="77777777" w:rsidR="00A57A5C" w:rsidRPr="00FF338C" w:rsidRDefault="00A57A5C" w:rsidP="00A57A5C">
      <w:r w:rsidRPr="00FF338C">
        <w:t>The density of a gaseous fuel must be analysed in accordance with ISO 6976:1995 or in accordance with a standard that is equivalent to that standard.</w:t>
      </w:r>
    </w:p>
    <w:p w14:paraId="6B5B6F8D" w14:textId="215071D6" w:rsidR="00A57A5C" w:rsidRPr="00D66352" w:rsidRDefault="00A57A5C" w:rsidP="00D66352">
      <w:pPr>
        <w:pStyle w:val="Caption"/>
      </w:pPr>
      <w:r w:rsidRPr="00D66352">
        <w:t>Table 8</w:t>
      </w:r>
      <w:r w:rsidR="00D66352" w:rsidRPr="00D66352">
        <w:t>.1</w:t>
      </w:r>
      <w:r w:rsidRPr="00D66352">
        <w:t xml:space="preserve"> – Gaseous fuel sampling and analysis frequency </w:t>
      </w:r>
      <w:r w:rsidR="00D66352" w:rsidRPr="00D66352">
        <w:t>- Pipeline quality gases</w:t>
      </w:r>
    </w:p>
    <w:tbl>
      <w:tblPr>
        <w:tblStyle w:val="CERTable"/>
        <w:tblW w:w="9500" w:type="dxa"/>
        <w:tblLook w:val="04A0" w:firstRow="1" w:lastRow="0" w:firstColumn="1" w:lastColumn="0" w:noHBand="0" w:noVBand="1"/>
      </w:tblPr>
      <w:tblGrid>
        <w:gridCol w:w="2122"/>
        <w:gridCol w:w="7378"/>
      </w:tblGrid>
      <w:tr w:rsidR="00A57A5C" w:rsidRPr="00C64711" w14:paraId="257D311B" w14:textId="77777777" w:rsidTr="00D6635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122" w:type="dxa"/>
          </w:tcPr>
          <w:p w14:paraId="2DD36AFC" w14:textId="77777777" w:rsidR="00A57A5C" w:rsidRPr="00872A70" w:rsidRDefault="00A57A5C" w:rsidP="00D549C7">
            <w:pPr>
              <w:pStyle w:val="Body"/>
              <w:ind w:left="0"/>
              <w:rPr>
                <w:rFonts w:asciiTheme="minorHAnsi" w:hAnsiTheme="minorHAnsi"/>
                <w:sz w:val="22"/>
                <w:szCs w:val="22"/>
              </w:rPr>
            </w:pPr>
            <w:r w:rsidRPr="00872A70">
              <w:rPr>
                <w:rFonts w:asciiTheme="minorHAnsi" w:hAnsiTheme="minorHAnsi"/>
                <w:sz w:val="22"/>
                <w:szCs w:val="22"/>
              </w:rPr>
              <w:t>Parameter</w:t>
            </w:r>
          </w:p>
        </w:tc>
        <w:tc>
          <w:tcPr>
            <w:tcW w:w="7378" w:type="dxa"/>
          </w:tcPr>
          <w:p w14:paraId="22BC1BA4" w14:textId="77777777" w:rsidR="00A57A5C" w:rsidRPr="00872A70" w:rsidRDefault="00A57A5C"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 xml:space="preserve">Minimum fuel sampling and analysis frequency </w:t>
            </w:r>
          </w:p>
        </w:tc>
      </w:tr>
      <w:tr w:rsidR="00A57A5C" w:rsidRPr="00C64711" w14:paraId="12140132" w14:textId="77777777" w:rsidTr="00D6635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122" w:type="dxa"/>
          </w:tcPr>
          <w:p w14:paraId="4700B312" w14:textId="77777777" w:rsidR="00A57A5C" w:rsidRPr="00872A70" w:rsidRDefault="00A57A5C" w:rsidP="00D549C7">
            <w:pPr>
              <w:pStyle w:val="Body"/>
              <w:ind w:left="0"/>
              <w:rPr>
                <w:rFonts w:asciiTheme="minorHAnsi" w:hAnsiTheme="minorHAnsi"/>
                <w:sz w:val="22"/>
                <w:szCs w:val="22"/>
              </w:rPr>
            </w:pPr>
            <w:r w:rsidRPr="00872A70">
              <w:rPr>
                <w:rFonts w:asciiTheme="minorHAnsi" w:hAnsiTheme="minorHAnsi"/>
                <w:sz w:val="22"/>
                <w:szCs w:val="22"/>
              </w:rPr>
              <w:t>Gas composition</w:t>
            </w:r>
          </w:p>
        </w:tc>
        <w:tc>
          <w:tcPr>
            <w:tcW w:w="7378" w:type="dxa"/>
          </w:tcPr>
          <w:p w14:paraId="00E2A657" w14:textId="77777777" w:rsidR="00A57A5C" w:rsidRPr="00872A70"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Monthly</w:t>
            </w:r>
          </w:p>
        </w:tc>
      </w:tr>
      <w:tr w:rsidR="00A57A5C" w:rsidRPr="00C64711" w14:paraId="0C903F5B" w14:textId="77777777" w:rsidTr="00D66352">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22" w:type="dxa"/>
          </w:tcPr>
          <w:p w14:paraId="247E8760" w14:textId="77777777" w:rsidR="00A57A5C" w:rsidRPr="00872A70" w:rsidRDefault="00A57A5C" w:rsidP="00D549C7">
            <w:pPr>
              <w:pStyle w:val="Body"/>
              <w:ind w:left="0"/>
              <w:rPr>
                <w:rFonts w:asciiTheme="minorHAnsi" w:hAnsiTheme="minorHAnsi"/>
                <w:sz w:val="22"/>
                <w:szCs w:val="22"/>
              </w:rPr>
            </w:pPr>
            <w:r w:rsidRPr="00872A70">
              <w:rPr>
                <w:rFonts w:asciiTheme="minorHAnsi" w:hAnsiTheme="minorHAnsi"/>
                <w:sz w:val="22"/>
                <w:szCs w:val="22"/>
              </w:rPr>
              <w:t>Energy content</w:t>
            </w:r>
          </w:p>
        </w:tc>
        <w:tc>
          <w:tcPr>
            <w:tcW w:w="7378" w:type="dxa"/>
          </w:tcPr>
          <w:p w14:paraId="251C334C" w14:textId="77777777" w:rsidR="00A57A5C" w:rsidRPr="00872A70"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Monthly if category 1 or 2 gas measuring equipment used</w:t>
            </w:r>
          </w:p>
          <w:p w14:paraId="45E8BC65" w14:textId="77777777" w:rsidR="00A57A5C" w:rsidRPr="00872A70"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Continuous if category 3 or 4 gas measuring equipment used</w:t>
            </w:r>
          </w:p>
        </w:tc>
      </w:tr>
    </w:tbl>
    <w:p w14:paraId="47343BCF" w14:textId="77777777" w:rsidR="00D66352" w:rsidRDefault="00D66352" w:rsidP="00A57A5C">
      <w:pPr>
        <w:rPr>
          <w:szCs w:val="22"/>
        </w:rPr>
      </w:pPr>
    </w:p>
    <w:p w14:paraId="6D1A3BD4" w14:textId="451097B9" w:rsidR="00A57A5C" w:rsidRPr="00D66352" w:rsidRDefault="00D66352" w:rsidP="00D66352">
      <w:pPr>
        <w:pStyle w:val="Caption"/>
      </w:pPr>
      <w:r w:rsidRPr="00D66352">
        <w:t>Table 8.2 – Gaseous fuel sampling and analysis frequency - All other gases (including fugitive emissions)</w:t>
      </w:r>
    </w:p>
    <w:tbl>
      <w:tblPr>
        <w:tblStyle w:val="CERTable"/>
        <w:tblW w:w="9500" w:type="dxa"/>
        <w:tblLook w:val="04A0" w:firstRow="1" w:lastRow="0" w:firstColumn="1" w:lastColumn="0" w:noHBand="0" w:noVBand="1"/>
      </w:tblPr>
      <w:tblGrid>
        <w:gridCol w:w="2122"/>
        <w:gridCol w:w="7378"/>
      </w:tblGrid>
      <w:tr w:rsidR="00D66352" w:rsidRPr="00C64711" w14:paraId="776F8C01" w14:textId="77777777" w:rsidTr="00D6635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122" w:type="dxa"/>
          </w:tcPr>
          <w:p w14:paraId="16867CFC" w14:textId="77777777" w:rsidR="00D66352" w:rsidRPr="00872A70" w:rsidRDefault="00D66352" w:rsidP="0031043E">
            <w:pPr>
              <w:pStyle w:val="Body"/>
              <w:ind w:left="0"/>
              <w:rPr>
                <w:rFonts w:asciiTheme="minorHAnsi" w:hAnsiTheme="minorHAnsi"/>
                <w:sz w:val="22"/>
                <w:szCs w:val="22"/>
              </w:rPr>
            </w:pPr>
            <w:r w:rsidRPr="00872A70">
              <w:rPr>
                <w:rFonts w:asciiTheme="minorHAnsi" w:hAnsiTheme="minorHAnsi"/>
                <w:sz w:val="22"/>
                <w:szCs w:val="22"/>
              </w:rPr>
              <w:t>Parameter</w:t>
            </w:r>
          </w:p>
        </w:tc>
        <w:tc>
          <w:tcPr>
            <w:tcW w:w="7378" w:type="dxa"/>
          </w:tcPr>
          <w:p w14:paraId="407584AC" w14:textId="77777777" w:rsidR="00D66352" w:rsidRPr="00872A70" w:rsidRDefault="00D66352" w:rsidP="0031043E">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 xml:space="preserve">Minimum fuel sampling and analysis frequency </w:t>
            </w:r>
          </w:p>
        </w:tc>
      </w:tr>
      <w:tr w:rsidR="00D66352" w:rsidRPr="00C64711" w14:paraId="7CF119D0" w14:textId="77777777" w:rsidTr="00D66352">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122" w:type="dxa"/>
          </w:tcPr>
          <w:p w14:paraId="3F3C0CFF" w14:textId="77777777" w:rsidR="00D66352" w:rsidRPr="00872A70" w:rsidRDefault="00D66352" w:rsidP="0031043E">
            <w:pPr>
              <w:pStyle w:val="Body"/>
              <w:ind w:left="0"/>
              <w:rPr>
                <w:rFonts w:asciiTheme="minorHAnsi" w:hAnsiTheme="minorHAnsi"/>
                <w:sz w:val="22"/>
                <w:szCs w:val="22"/>
              </w:rPr>
            </w:pPr>
            <w:r w:rsidRPr="00872A70">
              <w:rPr>
                <w:rFonts w:asciiTheme="minorHAnsi" w:hAnsiTheme="minorHAnsi"/>
                <w:sz w:val="22"/>
                <w:szCs w:val="22"/>
              </w:rPr>
              <w:t xml:space="preserve">Gas composition </w:t>
            </w:r>
          </w:p>
        </w:tc>
        <w:tc>
          <w:tcPr>
            <w:tcW w:w="7378" w:type="dxa"/>
          </w:tcPr>
          <w:p w14:paraId="7DCB57B8" w14:textId="77777777" w:rsidR="00D66352" w:rsidRPr="00872A70" w:rsidRDefault="00D66352" w:rsidP="0031043E">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Monthly</w:t>
            </w:r>
          </w:p>
        </w:tc>
      </w:tr>
      <w:tr w:rsidR="00D66352" w:rsidRPr="00C64711" w14:paraId="2A8D34DA" w14:textId="77777777" w:rsidTr="00D05244">
        <w:trPr>
          <w:cnfStyle w:val="000000010000" w:firstRow="0" w:lastRow="0" w:firstColumn="0" w:lastColumn="0" w:oddVBand="0" w:evenVBand="0" w:oddHBand="0" w:evenHBand="1"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122" w:type="dxa"/>
            <w:tcBorders>
              <w:bottom w:val="single" w:sz="8" w:space="0" w:color="E8E8E8" w:themeColor="background2"/>
            </w:tcBorders>
          </w:tcPr>
          <w:p w14:paraId="48783706" w14:textId="77777777" w:rsidR="00D66352" w:rsidRPr="00872A70" w:rsidRDefault="00D66352" w:rsidP="0031043E">
            <w:pPr>
              <w:pStyle w:val="Body"/>
              <w:ind w:left="0"/>
              <w:rPr>
                <w:rFonts w:asciiTheme="minorHAnsi" w:hAnsiTheme="minorHAnsi"/>
                <w:sz w:val="22"/>
                <w:szCs w:val="22"/>
              </w:rPr>
            </w:pPr>
            <w:r w:rsidRPr="00872A70">
              <w:rPr>
                <w:rFonts w:asciiTheme="minorHAnsi" w:hAnsiTheme="minorHAnsi"/>
                <w:sz w:val="22"/>
                <w:szCs w:val="22"/>
              </w:rPr>
              <w:t>Energy content</w:t>
            </w:r>
          </w:p>
        </w:tc>
        <w:tc>
          <w:tcPr>
            <w:tcW w:w="7378" w:type="dxa"/>
            <w:tcBorders>
              <w:bottom w:val="single" w:sz="8" w:space="0" w:color="E8E8E8" w:themeColor="background2"/>
            </w:tcBorders>
          </w:tcPr>
          <w:p w14:paraId="46E3C1C3" w14:textId="77777777" w:rsidR="00D66352" w:rsidRPr="00872A70" w:rsidRDefault="00D66352" w:rsidP="0031043E">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Monthly</w:t>
            </w:r>
          </w:p>
        </w:tc>
      </w:tr>
      <w:tr w:rsidR="00D66352" w:rsidRPr="00C64711" w14:paraId="502AB7FD" w14:textId="77777777" w:rsidTr="00D0524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122" w:type="dxa"/>
            <w:tcBorders>
              <w:top w:val="single" w:sz="8" w:space="0" w:color="E8E8E8" w:themeColor="background2"/>
              <w:bottom w:val="single" w:sz="4" w:space="0" w:color="FCBA5C" w:themeColor="accent2"/>
            </w:tcBorders>
          </w:tcPr>
          <w:p w14:paraId="06314EF7" w14:textId="77777777" w:rsidR="00D66352" w:rsidRPr="00872A70" w:rsidRDefault="00D66352" w:rsidP="0031043E">
            <w:pPr>
              <w:pStyle w:val="Body"/>
              <w:ind w:left="0"/>
              <w:rPr>
                <w:rFonts w:asciiTheme="minorHAnsi" w:hAnsiTheme="minorHAnsi"/>
                <w:sz w:val="22"/>
                <w:szCs w:val="22"/>
              </w:rPr>
            </w:pPr>
            <w:r w:rsidRPr="00872A70">
              <w:rPr>
                <w:rFonts w:asciiTheme="minorHAnsi" w:hAnsiTheme="minorHAnsi"/>
                <w:sz w:val="22"/>
                <w:szCs w:val="22"/>
              </w:rPr>
              <w:t>Exception</w:t>
            </w:r>
          </w:p>
        </w:tc>
        <w:tc>
          <w:tcPr>
            <w:tcW w:w="7378" w:type="dxa"/>
            <w:tcBorders>
              <w:top w:val="single" w:sz="8" w:space="0" w:color="E8E8E8" w:themeColor="background2"/>
              <w:bottom w:val="single" w:sz="4" w:space="0" w:color="FCBA5C" w:themeColor="accent2"/>
            </w:tcBorders>
          </w:tcPr>
          <w:p w14:paraId="2CAEFCF3" w14:textId="77777777" w:rsidR="00D66352" w:rsidRPr="00872A70" w:rsidRDefault="00D66352" w:rsidP="0031043E">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If a reporter or liable entity certifies in writing that such frequency of analysis will cause significant hardship or expense, the analysis may be undertaken at a frequency that will allow an unbiased estimate to be obtained</w:t>
            </w:r>
          </w:p>
        </w:tc>
      </w:tr>
    </w:tbl>
    <w:p w14:paraId="39394850" w14:textId="77777777" w:rsidR="00D66352" w:rsidRDefault="00D66352" w:rsidP="00A57A5C">
      <w:pPr>
        <w:rPr>
          <w:iCs/>
        </w:rPr>
      </w:pPr>
    </w:p>
    <w:p w14:paraId="22762F93" w14:textId="1D86034C" w:rsidR="00A57A5C" w:rsidRPr="008C7967" w:rsidRDefault="00A57A5C" w:rsidP="00A57A5C">
      <w:pPr>
        <w:rPr>
          <w:iCs/>
        </w:rPr>
      </w:pPr>
      <w:r w:rsidRPr="00872A70">
        <w:rPr>
          <w:iCs/>
        </w:rPr>
        <w:t>See section 2.31 of the NGER Measurement Determination for classifications of measuring equipment.</w:t>
      </w:r>
    </w:p>
    <w:p w14:paraId="2B0BE21C" w14:textId="77777777" w:rsidR="00A57A5C" w:rsidRPr="00FF338C" w:rsidRDefault="00A57A5C" w:rsidP="00A57A5C">
      <w:r w:rsidRPr="00532F92">
        <w:rPr>
          <w:bCs/>
        </w:rPr>
        <w:t>Note: Gaseous</w:t>
      </w:r>
      <w:r w:rsidRPr="00FF338C">
        <w:t xml:space="preserve"> fuel is typically delivered with set energy content specifications. Whilst these specifications can be useful to sense-check fuel sampling and analysis, they may not meet the NGER requirements for fuel sampling and analysis. </w:t>
      </w:r>
      <w:r>
        <w:t>T</w:t>
      </w:r>
      <w:r w:rsidRPr="00FF338C">
        <w:t xml:space="preserve">he reporter should establish and document that sufficient fuel sampling and analysis has been performed. Alternatively, the reporter can use the default energy content factor for the fuel type specified in Part 2 of Schedule 1 of the </w:t>
      </w:r>
      <w:r>
        <w:t>NGER Measurement Determination</w:t>
      </w:r>
      <w:r w:rsidRPr="00FF338C">
        <w:t>.</w:t>
      </w:r>
    </w:p>
    <w:p w14:paraId="01EE1F7F" w14:textId="77777777" w:rsidR="00A57A5C" w:rsidRPr="00FF338C" w:rsidRDefault="00A57A5C" w:rsidP="00A57A5C">
      <w:pPr>
        <w:pStyle w:val="Heading4"/>
      </w:pPr>
      <w:bookmarkStart w:id="134" w:name="_Toc107922556"/>
      <w:r w:rsidRPr="00FF338C">
        <w:t>Bias testing</w:t>
      </w:r>
      <w:bookmarkEnd w:id="134"/>
    </w:p>
    <w:p w14:paraId="273AFE04" w14:textId="77777777" w:rsidR="00A57A5C" w:rsidRPr="00FF338C" w:rsidRDefault="00A57A5C" w:rsidP="00A57A5C">
      <w:r w:rsidRPr="00FF338C">
        <w:t>Samples</w:t>
      </w:r>
      <w:r w:rsidRPr="00FF338C" w:rsidDel="00B876E6">
        <w:t xml:space="preserve"> </w:t>
      </w:r>
      <w:r>
        <w:t>must</w:t>
      </w:r>
      <w:r w:rsidRPr="00FF338C">
        <w:t xml:space="preserve"> be </w:t>
      </w:r>
      <w:r>
        <w:t>‘</w:t>
      </w:r>
      <w:r w:rsidRPr="00FF338C">
        <w:t>free of bias so that any estimates are neither over nor under</w:t>
      </w:r>
      <w:r>
        <w:t>-</w:t>
      </w:r>
      <w:r w:rsidRPr="00FF338C">
        <w:t>estimates of the true value</w:t>
      </w:r>
      <w:r>
        <w:t>’, per s</w:t>
      </w:r>
      <w:r w:rsidRPr="00FF338C">
        <w:t xml:space="preserve">ection 2.44 of the </w:t>
      </w:r>
      <w:r>
        <w:t>NGER Measurement Determination</w:t>
      </w:r>
      <w:r w:rsidRPr="00FF338C">
        <w:t xml:space="preserve">. </w:t>
      </w:r>
    </w:p>
    <w:p w14:paraId="1D2F9FBF" w14:textId="77777777" w:rsidR="00A57A5C" w:rsidRPr="00FF338C" w:rsidRDefault="00A57A5C" w:rsidP="00A57A5C">
      <w:r w:rsidRPr="00FF338C">
        <w:t xml:space="preserve">Bias is less likely to occur in the sampling and analysis of gaseous fuels. If you are aware of bias, it must be eliminated where possible. Following the implementation of measures to eliminate bias, the presence of residual bias </w:t>
      </w:r>
      <w:r>
        <w:t>must</w:t>
      </w:r>
      <w:r w:rsidRPr="00FF338C">
        <w:t xml:space="preserve"> be retested and assessed. If any remaining bias exists which cannot feasibly be eliminated, data </w:t>
      </w:r>
      <w:r>
        <w:t>must</w:t>
      </w:r>
      <w:r w:rsidRPr="00FF338C">
        <w:t xml:space="preserve"> be corrected to account for the bias, the corrections documented</w:t>
      </w:r>
      <w:r>
        <w:t>,</w:t>
      </w:r>
      <w:r w:rsidRPr="00FF338C">
        <w:t xml:space="preserve"> and </w:t>
      </w:r>
      <w:r>
        <w:t xml:space="preserve">the </w:t>
      </w:r>
      <w:r w:rsidRPr="00FF338C">
        <w:t>records kept.</w:t>
      </w:r>
    </w:p>
    <w:p w14:paraId="47102705" w14:textId="77777777" w:rsidR="00A57A5C" w:rsidRPr="00FF338C" w:rsidRDefault="00A57A5C" w:rsidP="00DB4B56">
      <w:pPr>
        <w:pStyle w:val="Heading2"/>
        <w:numPr>
          <w:ilvl w:val="1"/>
          <w:numId w:val="3"/>
        </w:numPr>
        <w:ind w:left="426" w:hanging="426"/>
      </w:pPr>
      <w:bookmarkStart w:id="135" w:name="_Emissions_from_combustion_1"/>
      <w:bookmarkStart w:id="136" w:name="_Toc512010399"/>
      <w:bookmarkStart w:id="137" w:name="_Toc512339597"/>
      <w:bookmarkStart w:id="138" w:name="_Toc106705759"/>
      <w:bookmarkStart w:id="139" w:name="_Toc107922557"/>
      <w:bookmarkEnd w:id="135"/>
      <w:r w:rsidRPr="00FF338C">
        <w:t>Emissions from combustion of liquid fuels</w:t>
      </w:r>
      <w:bookmarkEnd w:id="136"/>
      <w:bookmarkEnd w:id="137"/>
      <w:bookmarkEnd w:id="138"/>
      <w:bookmarkEnd w:id="139"/>
    </w:p>
    <w:p w14:paraId="51B5D357" w14:textId="77777777" w:rsidR="00A57A5C" w:rsidRDefault="00A57A5C" w:rsidP="00A57A5C">
      <w:r w:rsidRPr="00FF338C">
        <w:t>In the electricity sector, liquid fuels can be combusted for generation purposes or in other equipment – including for transport purposes</w:t>
      </w:r>
      <w:r>
        <w:t xml:space="preserve">, </w:t>
      </w:r>
      <w:r w:rsidRPr="00FF338C">
        <w:t>for example</w:t>
      </w:r>
      <w:r>
        <w:t>,</w:t>
      </w:r>
      <w:r w:rsidRPr="00FF338C">
        <w:t xml:space="preserve"> road-registered combustion engine vehicles. The methods available for estimating emissions from the combustion of liquid fuels are outlined </w:t>
      </w:r>
      <w:r>
        <w:t>below</w:t>
      </w:r>
      <w:r w:rsidRPr="00FF338C">
        <w:t>.</w:t>
      </w:r>
    </w:p>
    <w:p w14:paraId="4779995B" w14:textId="77777777" w:rsidR="00A57A5C" w:rsidRPr="00227CF6" w:rsidRDefault="00A57A5C" w:rsidP="00A57A5C">
      <w:pPr>
        <w:pStyle w:val="Caption"/>
        <w:rPr>
          <w:noProof/>
          <w:szCs w:val="24"/>
        </w:rPr>
      </w:pPr>
      <w:bookmarkStart w:id="140" w:name="_Ref512240952"/>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140"/>
      <w:r>
        <w:t xml:space="preserve"> – Available methods for estimating emissions from the combustion of liquid fuels</w:t>
      </w:r>
    </w:p>
    <w:p w14:paraId="1EFD0F5A" w14:textId="77777777" w:rsidR="00A57A5C" w:rsidRPr="00FF338C" w:rsidRDefault="00A57A5C" w:rsidP="00A57A5C">
      <w:r>
        <w:rPr>
          <w:noProof/>
          <w:lang w:eastAsia="en-AU"/>
        </w:rPr>
        <w:drawing>
          <wp:inline distT="0" distB="0" distL="0" distR="0" wp14:anchorId="7C356C72" wp14:editId="288E400C">
            <wp:extent cx="5048250" cy="3003265"/>
            <wp:effectExtent l="0" t="0" r="0" b="6985"/>
            <wp:docPr id="17" name="Picture 17" descr="Flow chart of the available methods for estimating emissions from the combustion of liquid fu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low chart of the available methods for estimating emissions from the combustion of liquid fuels."/>
                    <pic:cNvPicPr>
                      <a:picLocks noChangeAspect="1" noChangeArrowheads="1"/>
                    </pic:cNvPicPr>
                  </pic:nvPicPr>
                  <pic:blipFill>
                    <a:blip r:embed="rId37"/>
                    <a:stretch>
                      <a:fillRect/>
                    </a:stretch>
                  </pic:blipFill>
                  <pic:spPr bwMode="auto">
                    <a:xfrm>
                      <a:off x="0" y="0"/>
                      <a:ext cx="5061507" cy="3011152"/>
                    </a:xfrm>
                    <a:prstGeom prst="rect">
                      <a:avLst/>
                    </a:prstGeom>
                    <a:noFill/>
                  </pic:spPr>
                </pic:pic>
              </a:graphicData>
            </a:graphic>
          </wp:inline>
        </w:drawing>
      </w:r>
    </w:p>
    <w:p w14:paraId="6D42BA9F" w14:textId="77777777" w:rsidR="00A57A5C" w:rsidRPr="00FF338C" w:rsidRDefault="00A57A5C" w:rsidP="00A57A5C">
      <w:pPr>
        <w:rPr>
          <w:color w:val="auto"/>
        </w:rPr>
      </w:pPr>
      <w:r w:rsidRPr="00FF338C">
        <w:rPr>
          <w:color w:val="auto"/>
        </w:rPr>
        <w:t xml:space="preserve">Method 1 is available for estimating emissions of carbon dioxide </w:t>
      </w:r>
      <w:r>
        <w:rPr>
          <w:color w:val="auto"/>
        </w:rPr>
        <w:t>for</w:t>
      </w:r>
      <w:r w:rsidRPr="00FF338C">
        <w:rPr>
          <w:color w:val="auto"/>
        </w:rPr>
        <w:t xml:space="preserve"> all liquid fuel power generators. </w:t>
      </w:r>
    </w:p>
    <w:p w14:paraId="33FE582E" w14:textId="77777777" w:rsidR="00A57A5C" w:rsidRPr="00FF338C" w:rsidRDefault="00A57A5C" w:rsidP="00A57A5C">
      <w:pPr>
        <w:rPr>
          <w:color w:val="auto"/>
        </w:rPr>
      </w:pPr>
      <w:r w:rsidRPr="00FF338C">
        <w:t xml:space="preserve">For </w:t>
      </w:r>
      <w:r>
        <w:t>m</w:t>
      </w:r>
      <w:r w:rsidRPr="00FF338C">
        <w:t>ethod</w:t>
      </w:r>
      <w:r>
        <w:t>s</w:t>
      </w:r>
      <w:r w:rsidRPr="00FF338C">
        <w:t xml:space="preserve"> 1, 2 and 3 fuel quantities of liquid fuels combusted should be measured as per Division 2.4.6 in the </w:t>
      </w:r>
      <w:r>
        <w:t>NGER Measurement Determination. See</w:t>
      </w:r>
      <w:r w:rsidRPr="00FF338C">
        <w:t xml:space="preserve"> </w:t>
      </w:r>
      <w:hyperlink w:anchor="_Measurement_requirements" w:history="1">
        <w:r w:rsidRPr="00761C6C">
          <w:rPr>
            <w:rStyle w:val="Hyperlink"/>
            <w:rFonts w:asciiTheme="minorHAnsi" w:hAnsiTheme="minorHAnsi"/>
          </w:rPr>
          <w:t>Chapter 8</w:t>
        </w:r>
      </w:hyperlink>
      <w:r w:rsidRPr="00FF338C">
        <w:t xml:space="preserve"> </w:t>
      </w:r>
      <w:r>
        <w:t>of this guideline for more information</w:t>
      </w:r>
      <w:r w:rsidRPr="00FF338C">
        <w:t xml:space="preserve">. </w:t>
      </w:r>
    </w:p>
    <w:p w14:paraId="3F899E46" w14:textId="77777777" w:rsidR="00A57A5C" w:rsidRPr="00FF338C" w:rsidRDefault="00A57A5C" w:rsidP="00B3330E">
      <w:pPr>
        <w:pStyle w:val="Heading3"/>
        <w:numPr>
          <w:ilvl w:val="2"/>
          <w:numId w:val="3"/>
        </w:numPr>
        <w:ind w:left="505" w:hanging="505"/>
        <w:rPr>
          <w:lang w:val="en-GB"/>
        </w:rPr>
      </w:pPr>
      <w:bookmarkStart w:id="141" w:name="_Sampling_and_analysis_1"/>
      <w:bookmarkStart w:id="142" w:name="_Ref511917530"/>
      <w:bookmarkStart w:id="143" w:name="_Ref511988410"/>
      <w:bookmarkStart w:id="144" w:name="_Toc512010400"/>
      <w:bookmarkStart w:id="145" w:name="_Toc512339598"/>
      <w:bookmarkStart w:id="146" w:name="_Toc107922558"/>
      <w:bookmarkEnd w:id="141"/>
      <w:r w:rsidRPr="00FF338C">
        <w:rPr>
          <w:lang w:val="en-GB"/>
        </w:rPr>
        <w:t xml:space="preserve">Sampling and analysis requirements for </w:t>
      </w:r>
      <w:r>
        <w:rPr>
          <w:lang w:val="en-GB"/>
        </w:rPr>
        <w:t>m</w:t>
      </w:r>
      <w:r w:rsidRPr="00FF338C">
        <w:rPr>
          <w:lang w:val="en-GB"/>
        </w:rPr>
        <w:t>ethods 2 and 3 for liquid fuels</w:t>
      </w:r>
      <w:bookmarkEnd w:id="142"/>
      <w:bookmarkEnd w:id="143"/>
      <w:bookmarkEnd w:id="144"/>
      <w:bookmarkEnd w:id="145"/>
      <w:bookmarkEnd w:id="146"/>
    </w:p>
    <w:p w14:paraId="1D89BACC" w14:textId="77777777" w:rsidR="00A57A5C" w:rsidRPr="00FF338C" w:rsidRDefault="00A57A5C" w:rsidP="00A57A5C">
      <w:r w:rsidRPr="00FF338C">
        <w:t xml:space="preserve">Sampling and analysis </w:t>
      </w:r>
      <w:r>
        <w:t>must</w:t>
      </w:r>
      <w:r w:rsidRPr="00FF338C">
        <w:t xml:space="preserve"> be undertaken for the parameters listed and at the frequencies indicated in </w:t>
      </w:r>
      <w:r w:rsidRPr="00FF338C">
        <w:fldChar w:fldCharType="begin"/>
      </w:r>
      <w:r w:rsidRPr="00FF338C">
        <w:instrText xml:space="preserve"> REF _Ref511120749 \h  \* MERGEFORMAT </w:instrText>
      </w:r>
      <w:r w:rsidRPr="00FF338C">
        <w:fldChar w:fldCharType="separate"/>
      </w:r>
      <w:r w:rsidRPr="00FF338C">
        <w:t xml:space="preserve">Table </w:t>
      </w:r>
      <w:r w:rsidRPr="00FF338C">
        <w:fldChar w:fldCharType="end"/>
      </w:r>
      <w:r w:rsidRPr="00FF338C">
        <w:t xml:space="preserve"> as per the following divisions of the </w:t>
      </w:r>
      <w:r>
        <w:t>NGER Measurement Determination</w:t>
      </w:r>
      <w:r w:rsidRPr="00FF338C">
        <w:t>:</w:t>
      </w:r>
    </w:p>
    <w:p w14:paraId="47CFF601" w14:textId="77777777" w:rsidR="00A57A5C" w:rsidRPr="00FF338C" w:rsidRDefault="00A57A5C" w:rsidP="00A57A5C">
      <w:pPr>
        <w:pStyle w:val="CERbullets"/>
        <w:ind w:left="360" w:hanging="360"/>
      </w:pPr>
      <w:r w:rsidRPr="00FF338C">
        <w:t>Method 2</w:t>
      </w:r>
      <w:r>
        <w:t xml:space="preserve"> - </w:t>
      </w:r>
      <w:r w:rsidRPr="00FF338C">
        <w:t>Subdivision 2.4.3.2 (CO</w:t>
      </w:r>
      <w:r w:rsidRPr="00FF338C">
        <w:rPr>
          <w:vertAlign w:val="subscript"/>
        </w:rPr>
        <w:t>2</w:t>
      </w:r>
      <w:r w:rsidRPr="00FF338C">
        <w:t>) and Division 2.4.5 (CH</w:t>
      </w:r>
      <w:r w:rsidRPr="00FF338C">
        <w:rPr>
          <w:vertAlign w:val="subscript"/>
        </w:rPr>
        <w:t>4</w:t>
      </w:r>
      <w:r w:rsidRPr="00FF338C">
        <w:t xml:space="preserve"> and N</w:t>
      </w:r>
      <w:r w:rsidRPr="00FF338C">
        <w:rPr>
          <w:vertAlign w:val="subscript"/>
        </w:rPr>
        <w:t>2</w:t>
      </w:r>
      <w:r w:rsidRPr="00FF338C">
        <w:t>O)</w:t>
      </w:r>
    </w:p>
    <w:p w14:paraId="101D72A9" w14:textId="77777777" w:rsidR="00A57A5C" w:rsidRPr="00FF338C" w:rsidRDefault="00A57A5C" w:rsidP="00A57A5C">
      <w:pPr>
        <w:pStyle w:val="CERbullets"/>
        <w:ind w:left="360" w:hanging="360"/>
      </w:pPr>
      <w:r w:rsidRPr="00FF338C">
        <w:t>Method 3</w:t>
      </w:r>
      <w:r>
        <w:t xml:space="preserve"> - </w:t>
      </w:r>
      <w:r w:rsidRPr="00FF338C">
        <w:t>Division 2.4.4.</w:t>
      </w:r>
    </w:p>
    <w:p w14:paraId="54C47F41" w14:textId="77777777" w:rsidR="00A57A5C" w:rsidRPr="00FF338C" w:rsidRDefault="00A57A5C" w:rsidP="00A57A5C">
      <w:r w:rsidRPr="00FF338C">
        <w:t>An</w:t>
      </w:r>
      <w:r>
        <w:t xml:space="preserve"> </w:t>
      </w:r>
      <w:r w:rsidRPr="00FF338C">
        <w:t xml:space="preserve">accredited laboratory or </w:t>
      </w:r>
      <w:r w:rsidRPr="001166CF">
        <w:t>a</w:t>
      </w:r>
      <w:r w:rsidRPr="00FF338C">
        <w:t xml:space="preserve"> laboratory </w:t>
      </w:r>
      <w:r w:rsidRPr="001166CF">
        <w:t>that meets requirements equivalent to those in AS</w:t>
      </w:r>
      <w:r w:rsidRPr="00FF338C">
        <w:t xml:space="preserve"> ISO</w:t>
      </w:r>
      <w:r w:rsidRPr="001166CF">
        <w:t>/IEC</w:t>
      </w:r>
      <w:r w:rsidRPr="00FF338C">
        <w:t xml:space="preserve"> 17025</w:t>
      </w:r>
      <w:r w:rsidRPr="001166CF">
        <w:t>:2005</w:t>
      </w:r>
      <w:r w:rsidRPr="00FF338C" w:rsidDel="00FC2666">
        <w:t xml:space="preserve"> </w:t>
      </w:r>
      <w:r>
        <w:t>must</w:t>
      </w:r>
      <w:r w:rsidRPr="00FF338C">
        <w:t xml:space="preserve"> be used to conduct liquid analysis.</w:t>
      </w:r>
    </w:p>
    <w:p w14:paraId="1152D3DB" w14:textId="77777777" w:rsidR="00A57A5C" w:rsidRPr="00FF338C" w:rsidRDefault="00A57A5C" w:rsidP="00A57A5C">
      <w:pPr>
        <w:spacing w:after="0"/>
      </w:pPr>
      <w:bookmarkStart w:id="147" w:name="_Ref511120749"/>
      <w:r w:rsidRPr="00FF338C">
        <w:t xml:space="preserve">Table </w:t>
      </w:r>
      <w:bookmarkEnd w:id="147"/>
      <w:r>
        <w:t>9</w:t>
      </w:r>
      <w:r w:rsidRPr="00FF338C">
        <w:t xml:space="preserve"> – Liquid fuel sampling and analysis frequency</w:t>
      </w:r>
    </w:p>
    <w:tbl>
      <w:tblPr>
        <w:tblStyle w:val="CERTable"/>
        <w:tblW w:w="9776" w:type="dxa"/>
        <w:tblLook w:val="04A0" w:firstRow="1" w:lastRow="0" w:firstColumn="1" w:lastColumn="0" w:noHBand="0" w:noVBand="1"/>
      </w:tblPr>
      <w:tblGrid>
        <w:gridCol w:w="1980"/>
        <w:gridCol w:w="7796"/>
      </w:tblGrid>
      <w:tr w:rsidR="00A57A5C" w:rsidRPr="00C64711" w14:paraId="4A1FB49A" w14:textId="77777777" w:rsidTr="00D549C7">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980" w:type="dxa"/>
          </w:tcPr>
          <w:p w14:paraId="319639F9" w14:textId="77777777" w:rsidR="00A57A5C" w:rsidRPr="00872A70" w:rsidRDefault="00A57A5C" w:rsidP="00D549C7">
            <w:pPr>
              <w:pStyle w:val="Body"/>
              <w:ind w:left="0"/>
              <w:rPr>
                <w:rFonts w:asciiTheme="minorHAnsi" w:hAnsiTheme="minorHAnsi"/>
                <w:sz w:val="22"/>
                <w:szCs w:val="22"/>
              </w:rPr>
            </w:pPr>
            <w:r w:rsidRPr="00872A70">
              <w:rPr>
                <w:rFonts w:asciiTheme="minorHAnsi" w:hAnsiTheme="minorHAnsi"/>
                <w:sz w:val="22"/>
                <w:szCs w:val="22"/>
              </w:rPr>
              <w:t>Parameter</w:t>
            </w:r>
          </w:p>
        </w:tc>
        <w:tc>
          <w:tcPr>
            <w:tcW w:w="7796" w:type="dxa"/>
          </w:tcPr>
          <w:p w14:paraId="6B3ACEE2" w14:textId="77777777" w:rsidR="00A57A5C" w:rsidRPr="00872A70" w:rsidRDefault="00A57A5C"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Minimum fuel sampling and analysis frequency</w:t>
            </w:r>
            <w:r>
              <w:rPr>
                <w:rFonts w:asciiTheme="minorHAnsi" w:hAnsiTheme="minorHAnsi"/>
                <w:sz w:val="22"/>
                <w:szCs w:val="22"/>
              </w:rPr>
              <w:t xml:space="preserve"> for all liquid fuel types</w:t>
            </w:r>
          </w:p>
        </w:tc>
      </w:tr>
      <w:tr w:rsidR="00A57A5C" w:rsidRPr="00C64711" w14:paraId="4D6A5BD3" w14:textId="77777777" w:rsidTr="00D549C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0" w:type="dxa"/>
          </w:tcPr>
          <w:p w14:paraId="3D606591" w14:textId="77777777" w:rsidR="00A57A5C" w:rsidRPr="00872A70" w:rsidRDefault="00A57A5C" w:rsidP="00D549C7">
            <w:pPr>
              <w:pStyle w:val="Body"/>
              <w:ind w:left="0"/>
              <w:rPr>
                <w:rFonts w:asciiTheme="minorHAnsi" w:hAnsiTheme="minorHAnsi"/>
                <w:sz w:val="22"/>
                <w:szCs w:val="22"/>
              </w:rPr>
            </w:pPr>
            <w:r w:rsidRPr="00872A70">
              <w:rPr>
                <w:rFonts w:asciiTheme="minorHAnsi" w:hAnsiTheme="minorHAnsi"/>
                <w:sz w:val="22"/>
                <w:szCs w:val="22"/>
              </w:rPr>
              <w:t>Energy</w:t>
            </w:r>
          </w:p>
        </w:tc>
        <w:tc>
          <w:tcPr>
            <w:tcW w:w="7796" w:type="dxa"/>
          </w:tcPr>
          <w:p w14:paraId="36253B8D" w14:textId="77777777" w:rsidR="00A57A5C" w:rsidRPr="00872A70"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Quarterly or by delivery</w:t>
            </w:r>
          </w:p>
        </w:tc>
      </w:tr>
      <w:tr w:rsidR="00A57A5C" w:rsidRPr="00C64711" w14:paraId="34AA4763" w14:textId="77777777" w:rsidTr="00D549C7">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80" w:type="dxa"/>
          </w:tcPr>
          <w:p w14:paraId="0451920F" w14:textId="77777777" w:rsidR="00A57A5C" w:rsidRPr="00872A70" w:rsidRDefault="00A57A5C" w:rsidP="00D549C7">
            <w:pPr>
              <w:pStyle w:val="Body"/>
              <w:ind w:left="0"/>
              <w:rPr>
                <w:rFonts w:asciiTheme="minorHAnsi" w:hAnsiTheme="minorHAnsi"/>
                <w:sz w:val="22"/>
                <w:szCs w:val="22"/>
              </w:rPr>
            </w:pPr>
            <w:r w:rsidRPr="00872A70">
              <w:rPr>
                <w:rFonts w:asciiTheme="minorHAnsi" w:hAnsiTheme="minorHAnsi"/>
                <w:sz w:val="22"/>
                <w:szCs w:val="22"/>
              </w:rPr>
              <w:t>Carbon</w:t>
            </w:r>
          </w:p>
        </w:tc>
        <w:tc>
          <w:tcPr>
            <w:tcW w:w="7796" w:type="dxa"/>
          </w:tcPr>
          <w:p w14:paraId="485D0C36" w14:textId="77777777" w:rsidR="00A57A5C" w:rsidRPr="00872A70"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Quarterly or by delivery</w:t>
            </w:r>
          </w:p>
        </w:tc>
      </w:tr>
    </w:tbl>
    <w:p w14:paraId="03817DA8" w14:textId="77777777" w:rsidR="00A57A5C" w:rsidRPr="00FF338C" w:rsidRDefault="00A57A5C" w:rsidP="00A57A5C"/>
    <w:p w14:paraId="19BE3D99" w14:textId="77777777" w:rsidR="00A57A5C" w:rsidRPr="00FF338C" w:rsidRDefault="00A57A5C" w:rsidP="00A57A5C">
      <w:r w:rsidRPr="00FF338C">
        <w:t xml:space="preserve">Standards for analysis of liquid fuels are listed in subdivision 2.4.3.2 of the </w:t>
      </w:r>
      <w:r>
        <w:t>NGER Measurement Determination</w:t>
      </w:r>
      <w:r w:rsidRPr="00FF338C">
        <w:t xml:space="preserve">. If a reporter is considering the use of method 2 or method 3 for a liquid fuel type which does not have an analysis standard, </w:t>
      </w:r>
      <w:r>
        <w:t xml:space="preserve">then they </w:t>
      </w:r>
      <w:r w:rsidRPr="00FF338C">
        <w:t xml:space="preserve">should </w:t>
      </w:r>
      <w:hyperlink r:id="rId38" w:history="1">
        <w:r w:rsidRPr="00D7453A">
          <w:rPr>
            <w:rStyle w:val="Hyperlink"/>
            <w:rFonts w:asciiTheme="minorHAnsi" w:hAnsiTheme="minorHAnsi"/>
          </w:rPr>
          <w:t>contact the agency</w:t>
        </w:r>
      </w:hyperlink>
      <w:r>
        <w:rPr>
          <w:rStyle w:val="FootnoteReference"/>
        </w:rPr>
        <w:footnoteReference w:id="13"/>
      </w:r>
      <w:r w:rsidRPr="00FF338C">
        <w:t xml:space="preserve"> to discuss options for fuel sampling and analysis.</w:t>
      </w:r>
    </w:p>
    <w:p w14:paraId="324DC676" w14:textId="77777777" w:rsidR="00A57A5C" w:rsidRPr="00FF338C" w:rsidRDefault="00A57A5C" w:rsidP="00A57A5C">
      <w:pPr>
        <w:pStyle w:val="Heading4"/>
      </w:pPr>
      <w:bookmarkStart w:id="148" w:name="_Toc107922559"/>
      <w:r w:rsidRPr="00FF338C">
        <w:t>Bias testing</w:t>
      </w:r>
      <w:bookmarkEnd w:id="148"/>
    </w:p>
    <w:p w14:paraId="6CC37954" w14:textId="77777777" w:rsidR="00A57A5C" w:rsidRPr="00FF338C" w:rsidRDefault="00A57A5C" w:rsidP="00A57A5C">
      <w:r w:rsidRPr="00FF338C">
        <w:t>Samples</w:t>
      </w:r>
      <w:r w:rsidRPr="00FF338C" w:rsidDel="001869EB">
        <w:t xml:space="preserve"> </w:t>
      </w:r>
      <w:r>
        <w:t>must</w:t>
      </w:r>
      <w:r w:rsidRPr="00FF338C">
        <w:t xml:space="preserve"> be </w:t>
      </w:r>
      <w:r>
        <w:t>‘</w:t>
      </w:r>
      <w:r w:rsidRPr="00FF338C">
        <w:t>free of bias so that any estimates are neither over nor under</w:t>
      </w:r>
      <w:r>
        <w:t>-</w:t>
      </w:r>
      <w:r w:rsidRPr="00FF338C">
        <w:t>estimates of the true value</w:t>
      </w:r>
      <w:r>
        <w:t>’, per s</w:t>
      </w:r>
      <w:r w:rsidRPr="00FF338C">
        <w:t xml:space="preserve">ection 2.44 of the </w:t>
      </w:r>
      <w:r>
        <w:t>NGER Measurement Determination</w:t>
      </w:r>
      <w:r w:rsidRPr="00FF338C">
        <w:t xml:space="preserve">. Bias is less likely to occur in the sampling and analysis of liquid fuels. </w:t>
      </w:r>
    </w:p>
    <w:p w14:paraId="22126AE7" w14:textId="77777777" w:rsidR="00A57A5C" w:rsidRPr="00FF338C" w:rsidRDefault="00A57A5C" w:rsidP="00A57A5C">
      <w:r w:rsidRPr="00FF338C">
        <w:t xml:space="preserve">If a reporter is aware of bias, it must be eliminated where possible. Following implementation of measures to eliminate bias, the presence of residual bias </w:t>
      </w:r>
      <w:r>
        <w:t>must</w:t>
      </w:r>
      <w:r w:rsidRPr="00FF338C">
        <w:t xml:space="preserve"> be retested and assessed. If any remaining bias exists that cannot feasibly be eliminated, data </w:t>
      </w:r>
      <w:r>
        <w:t>must</w:t>
      </w:r>
      <w:r w:rsidRPr="00FF338C">
        <w:t xml:space="preserve"> be corrected to account for the bias, the corrections documented</w:t>
      </w:r>
      <w:r>
        <w:t>,</w:t>
      </w:r>
      <w:r w:rsidRPr="00FF338C">
        <w:t xml:space="preserve"> and </w:t>
      </w:r>
      <w:r>
        <w:t xml:space="preserve">the </w:t>
      </w:r>
      <w:r w:rsidRPr="00FF338C">
        <w:t>records kept.</w:t>
      </w:r>
    </w:p>
    <w:p w14:paraId="379BDC3C" w14:textId="77777777" w:rsidR="00A57A5C" w:rsidRPr="00FF338C" w:rsidRDefault="00A57A5C" w:rsidP="00DB4B56">
      <w:pPr>
        <w:pStyle w:val="Heading2"/>
        <w:numPr>
          <w:ilvl w:val="1"/>
          <w:numId w:val="3"/>
        </w:numPr>
        <w:ind w:left="426" w:hanging="426"/>
      </w:pPr>
      <w:bookmarkStart w:id="149" w:name="_Emissions_from_consumption"/>
      <w:bookmarkStart w:id="150" w:name="_Ref511911315"/>
      <w:bookmarkStart w:id="151" w:name="_Toc512010401"/>
      <w:bookmarkStart w:id="152" w:name="_Toc512339599"/>
      <w:bookmarkStart w:id="153" w:name="_Toc106705760"/>
      <w:bookmarkStart w:id="154" w:name="_Toc107922560"/>
      <w:bookmarkEnd w:id="149"/>
      <w:r w:rsidRPr="00FF338C">
        <w:t>Emissions from consumption of PBOGs</w:t>
      </w:r>
      <w:bookmarkEnd w:id="150"/>
      <w:bookmarkEnd w:id="151"/>
      <w:bookmarkEnd w:id="152"/>
      <w:bookmarkEnd w:id="153"/>
      <w:bookmarkEnd w:id="154"/>
    </w:p>
    <w:p w14:paraId="715CCC1A" w14:textId="77777777" w:rsidR="00A57A5C" w:rsidRDefault="00A57A5C" w:rsidP="00A57A5C">
      <w:r w:rsidRPr="00FF338C">
        <w:t xml:space="preserve">PBOGs used as lubricants are considered to have undergone a degree of oxidation and are therefore reported under the fuel combustion emissions source. Available emissions estimation methods are summarised </w:t>
      </w:r>
      <w:r>
        <w:t>below</w:t>
      </w:r>
      <w:r w:rsidRPr="00FF338C">
        <w:t xml:space="preserve">. </w:t>
      </w:r>
    </w:p>
    <w:p w14:paraId="100EE747" w14:textId="77777777" w:rsidR="00A57A5C" w:rsidRDefault="00A57A5C" w:rsidP="00A57A5C">
      <w:pPr>
        <w:spacing w:after="0"/>
        <w:rPr>
          <w:i/>
          <w:iCs/>
          <w:color w:val="454743" w:themeColor="text2"/>
          <w:sz w:val="18"/>
          <w:szCs w:val="18"/>
        </w:rPr>
      </w:pPr>
      <w:bookmarkStart w:id="155" w:name="_Ref511908794"/>
      <w:r>
        <w:br w:type="page"/>
      </w:r>
    </w:p>
    <w:p w14:paraId="26CB3C93" w14:textId="77777777" w:rsidR="00A57A5C" w:rsidRPr="00FF338C" w:rsidRDefault="00A57A5C" w:rsidP="00A57A5C">
      <w:pPr>
        <w:pStyle w:val="Caption"/>
      </w:pPr>
      <w:r w:rsidRPr="00FF338C">
        <w:t xml:space="preserve">Figure </w:t>
      </w:r>
      <w:r>
        <w:fldChar w:fldCharType="begin"/>
      </w:r>
      <w:r>
        <w:instrText>SEQ Figure \* ARABIC</w:instrText>
      </w:r>
      <w:r>
        <w:fldChar w:fldCharType="separate"/>
      </w:r>
      <w:r>
        <w:rPr>
          <w:noProof/>
        </w:rPr>
        <w:t>4</w:t>
      </w:r>
      <w:r>
        <w:fldChar w:fldCharType="end"/>
      </w:r>
      <w:bookmarkEnd w:id="155"/>
      <w:r w:rsidRPr="00FF338C">
        <w:t xml:space="preserve"> – Available methods for estimating emissions from consumption of PBOGs</w:t>
      </w:r>
    </w:p>
    <w:p w14:paraId="5DDFAC91" w14:textId="77777777" w:rsidR="00A57A5C" w:rsidRPr="00FF338C" w:rsidRDefault="00A57A5C" w:rsidP="00D66352">
      <w:pPr>
        <w:pStyle w:val="Body"/>
        <w:keepNext/>
        <w:ind w:left="0"/>
        <w:jc w:val="center"/>
      </w:pPr>
      <w:r>
        <w:rPr>
          <w:noProof/>
          <w:lang w:val="en-AU" w:eastAsia="en-AU"/>
        </w:rPr>
        <w:drawing>
          <wp:inline distT="0" distB="0" distL="0" distR="0" wp14:anchorId="743BDA82" wp14:editId="373A9860">
            <wp:extent cx="5391150" cy="3207393"/>
            <wp:effectExtent l="0" t="0" r="0" b="0"/>
            <wp:docPr id="10" name="Picture 10" descr="Flow chart of the available methods for estimating emissions from consumption of petroleum based oils and g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low chart of the available methods for estimating emissions from consumption of petroleum based oils and greases"/>
                    <pic:cNvPicPr>
                      <a:picLocks noChangeAspect="1" noChangeArrowheads="1"/>
                    </pic:cNvPicPr>
                  </pic:nvPicPr>
                  <pic:blipFill>
                    <a:blip r:embed="rId39"/>
                    <a:stretch>
                      <a:fillRect/>
                    </a:stretch>
                  </pic:blipFill>
                  <pic:spPr bwMode="auto">
                    <a:xfrm>
                      <a:off x="0" y="0"/>
                      <a:ext cx="5411589" cy="3219553"/>
                    </a:xfrm>
                    <a:prstGeom prst="rect">
                      <a:avLst/>
                    </a:prstGeom>
                    <a:noFill/>
                  </pic:spPr>
                </pic:pic>
              </a:graphicData>
            </a:graphic>
          </wp:inline>
        </w:drawing>
      </w:r>
    </w:p>
    <w:p w14:paraId="68EC165B" w14:textId="77777777" w:rsidR="00A57A5C" w:rsidRPr="00FF338C" w:rsidRDefault="00A57A5C" w:rsidP="00A57A5C">
      <w:r w:rsidRPr="00FF338C">
        <w:t xml:space="preserve">Where PBOGs are used as a fuel, emissions </w:t>
      </w:r>
      <w:r w:rsidRPr="00FF338C" w:rsidDel="00AE3FC7">
        <w:t xml:space="preserve">should </w:t>
      </w:r>
      <w:r w:rsidRPr="00FF338C">
        <w:t xml:space="preserve">be calculated as per </w:t>
      </w:r>
      <w:r>
        <w:t>‘</w:t>
      </w:r>
      <w:r w:rsidRPr="00FF338C">
        <w:t xml:space="preserve">liquid fuels other than </w:t>
      </w:r>
      <w:r>
        <w:t>PBOGs’</w:t>
      </w:r>
      <w:r w:rsidRPr="00FF338C">
        <w:t xml:space="preserve">. </w:t>
      </w:r>
    </w:p>
    <w:p w14:paraId="44229F8A" w14:textId="77777777" w:rsidR="00A57A5C" w:rsidRPr="00FF338C" w:rsidRDefault="00A57A5C" w:rsidP="00A57A5C">
      <w:r>
        <w:t>See</w:t>
      </w:r>
      <w:r w:rsidRPr="00FF338C">
        <w:t xml:space="preserve"> the </w:t>
      </w:r>
      <w:hyperlink r:id="rId40" w:history="1">
        <w:r w:rsidRPr="00872A70">
          <w:rPr>
            <w:rStyle w:val="Hyperlink"/>
            <w:rFonts w:asciiTheme="minorHAnsi" w:hAnsiTheme="minorHAnsi"/>
            <w:iCs/>
          </w:rPr>
          <w:t>Petroleum-based oils and greases</w:t>
        </w:r>
        <w:r w:rsidRPr="00463115">
          <w:rPr>
            <w:rStyle w:val="Hyperlink"/>
            <w:rFonts w:asciiTheme="minorHAnsi" w:hAnsiTheme="minorHAnsi"/>
          </w:rPr>
          <w:t xml:space="preserve"> guideline</w:t>
        </w:r>
      </w:hyperlink>
      <w:r w:rsidRPr="00FF338C">
        <w:rPr>
          <w:rStyle w:val="FootnoteReference"/>
        </w:rPr>
        <w:footnoteReference w:id="14"/>
      </w:r>
      <w:r>
        <w:t xml:space="preserve"> for more information</w:t>
      </w:r>
      <w:r w:rsidRPr="00FF338C">
        <w:t>.</w:t>
      </w:r>
    </w:p>
    <w:p w14:paraId="7F4F3BFC" w14:textId="77777777" w:rsidR="00A57A5C" w:rsidRPr="00EE5638" w:rsidRDefault="00A57A5C" w:rsidP="00B3330E">
      <w:pPr>
        <w:pStyle w:val="Heading1"/>
        <w:numPr>
          <w:ilvl w:val="0"/>
          <w:numId w:val="3"/>
        </w:numPr>
        <w:rPr>
          <w:lang w:val="en-GB"/>
        </w:rPr>
      </w:pPr>
      <w:bookmarkStart w:id="156" w:name="_Estimating_emissions_of"/>
      <w:bookmarkStart w:id="157" w:name="_Ref511911381"/>
      <w:bookmarkStart w:id="158" w:name="_Toc512010402"/>
      <w:bookmarkStart w:id="159" w:name="_Toc512339600"/>
      <w:bookmarkStart w:id="160" w:name="_Toc106705761"/>
      <w:bookmarkStart w:id="161" w:name="_Toc107922561"/>
      <w:bookmarkEnd w:id="156"/>
      <w:r w:rsidRPr="00EE5638">
        <w:rPr>
          <w:lang w:val="en-GB"/>
        </w:rPr>
        <w:t>Estimating emissions of sulphur hexafluoride</w:t>
      </w:r>
      <w:bookmarkEnd w:id="157"/>
      <w:bookmarkEnd w:id="158"/>
      <w:bookmarkEnd w:id="159"/>
      <w:bookmarkEnd w:id="160"/>
      <w:bookmarkEnd w:id="161"/>
    </w:p>
    <w:p w14:paraId="1DBD1DFF" w14:textId="77777777" w:rsidR="00A57A5C" w:rsidRPr="00253A6C" w:rsidRDefault="00A57A5C" w:rsidP="00A57A5C">
      <w:r w:rsidRPr="00253A6C">
        <w:t>Sulphur hexafluoride (SF</w:t>
      </w:r>
      <w:r w:rsidRPr="00253A6C">
        <w:rPr>
          <w:vertAlign w:val="subscript"/>
        </w:rPr>
        <w:t>6</w:t>
      </w:r>
      <w:r w:rsidRPr="00253A6C">
        <w:t>) is used in many electricity sector facilities, for instance in electrical switchgear. Any emissions of SF</w:t>
      </w:r>
      <w:r w:rsidRPr="00253A6C">
        <w:rPr>
          <w:vertAlign w:val="subscript"/>
        </w:rPr>
        <w:t>6</w:t>
      </w:r>
      <w:r w:rsidRPr="00253A6C">
        <w:t xml:space="preserve"> where it is used in gas insulated switch gear and circuit breakers is required to be reported </w:t>
      </w:r>
      <w:r w:rsidRPr="000B3301">
        <w:t>as there are no reporting threshold</w:t>
      </w:r>
      <w:r>
        <w:t xml:space="preserve"> li</w:t>
      </w:r>
      <w:r w:rsidRPr="000B3301">
        <w:t>s</w:t>
      </w:r>
      <w:r>
        <w:t>ted within the NGER legislation</w:t>
      </w:r>
      <w:r w:rsidRPr="00253A6C">
        <w:t xml:space="preserve">. </w:t>
      </w:r>
    </w:p>
    <w:p w14:paraId="7B348564" w14:textId="77777777" w:rsidR="00A57A5C" w:rsidRPr="00253A6C" w:rsidRDefault="00A57A5C" w:rsidP="00A57A5C">
      <w:r w:rsidRPr="00253A6C">
        <w:t>The following methods are available for estimating emissions of sulphur hexafluoride.</w:t>
      </w:r>
    </w:p>
    <w:p w14:paraId="28EE51A7" w14:textId="77777777" w:rsidR="00A57A5C" w:rsidRPr="00EE5638" w:rsidRDefault="00A57A5C" w:rsidP="00A57A5C">
      <w:pPr>
        <w:pStyle w:val="Caption"/>
      </w:pPr>
      <w:r w:rsidRPr="00253A6C">
        <w:t xml:space="preserve">Figure </w:t>
      </w:r>
      <w:r w:rsidRPr="00EE5638">
        <w:fldChar w:fldCharType="begin"/>
      </w:r>
      <w:r w:rsidRPr="00253A6C">
        <w:instrText xml:space="preserve"> SEQ Figure \* ARABIC </w:instrText>
      </w:r>
      <w:r w:rsidRPr="00EE5638">
        <w:fldChar w:fldCharType="separate"/>
      </w:r>
      <w:r>
        <w:rPr>
          <w:noProof/>
        </w:rPr>
        <w:t>5</w:t>
      </w:r>
      <w:r w:rsidRPr="00EE5638">
        <w:fldChar w:fldCharType="end"/>
      </w:r>
      <w:r w:rsidRPr="00EE5638">
        <w:t xml:space="preserve"> – Available methods for estimating emissions of sulphur hexafluoride</w:t>
      </w:r>
    </w:p>
    <w:p w14:paraId="59BF451D" w14:textId="77777777" w:rsidR="00A57A5C" w:rsidRPr="00E84BDE" w:rsidRDefault="00A57A5C" w:rsidP="00D66352">
      <w:pPr>
        <w:jc w:val="center"/>
      </w:pPr>
      <w:r w:rsidRPr="00EE5638">
        <w:rPr>
          <w:noProof/>
          <w:lang w:eastAsia="en-AU"/>
        </w:rPr>
        <w:drawing>
          <wp:inline distT="0" distB="0" distL="0" distR="0" wp14:anchorId="5DF46B1F" wp14:editId="04BE72B6">
            <wp:extent cx="5261610" cy="1039142"/>
            <wp:effectExtent l="0" t="0" r="0" b="8890"/>
            <wp:docPr id="11" name="Picture 11" descr="Flow chart of the methods available for estimating emissions of sulphur hexafluoride&#10;&#10;Flow chart of the available methods for estimating emissions of sulphur hexafluor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low chart of the methods available for estimating emissions of sulphur hexafluoride&#10;&#10;Flow chart of the available methods for estimating emissions of sulphur hexafluoride&#10;"/>
                    <pic:cNvPicPr>
                      <a:picLocks noChangeAspect="1" noChangeArrowheads="1"/>
                    </pic:cNvPicPr>
                  </pic:nvPicPr>
                  <pic:blipFill>
                    <a:blip r:embed="rId41"/>
                    <a:stretch>
                      <a:fillRect/>
                    </a:stretch>
                  </pic:blipFill>
                  <pic:spPr bwMode="auto">
                    <a:xfrm>
                      <a:off x="0" y="0"/>
                      <a:ext cx="5261610" cy="1039142"/>
                    </a:xfrm>
                    <a:prstGeom prst="rect">
                      <a:avLst/>
                    </a:prstGeom>
                    <a:noFill/>
                  </pic:spPr>
                </pic:pic>
              </a:graphicData>
            </a:graphic>
          </wp:inline>
        </w:drawing>
      </w:r>
    </w:p>
    <w:p w14:paraId="19CB5463" w14:textId="77777777" w:rsidR="00A57A5C" w:rsidRPr="00E84BDE" w:rsidRDefault="00A57A5C" w:rsidP="00A57A5C">
      <w:r w:rsidRPr="00E84BDE">
        <w:t xml:space="preserve">See the </w:t>
      </w:r>
      <w:hyperlink r:id="rId42" w:history="1">
        <w:r w:rsidRPr="00E84BDE">
          <w:rPr>
            <w:rStyle w:val="Hyperlink"/>
            <w:rFonts w:asciiTheme="minorHAnsi" w:hAnsiTheme="minorHAnsi"/>
            <w:iCs/>
          </w:rPr>
          <w:t>Reporting Hydrofluorocarbons and Sulphur Hexafluoride gases</w:t>
        </w:r>
        <w:r w:rsidRPr="00E84BDE">
          <w:rPr>
            <w:rStyle w:val="Hyperlink"/>
            <w:rFonts w:asciiTheme="minorHAnsi" w:hAnsiTheme="minorHAnsi"/>
            <w:i/>
          </w:rPr>
          <w:t xml:space="preserve"> </w:t>
        </w:r>
        <w:r w:rsidRPr="00E84BDE">
          <w:rPr>
            <w:rStyle w:val="Hyperlink"/>
            <w:rFonts w:asciiTheme="minorHAnsi" w:hAnsiTheme="minorHAnsi"/>
          </w:rPr>
          <w:t>guideline</w:t>
        </w:r>
      </w:hyperlink>
      <w:r w:rsidRPr="00E84BDE">
        <w:rPr>
          <w:rStyle w:val="FootnoteReference"/>
        </w:rPr>
        <w:footnoteReference w:id="15"/>
      </w:r>
      <w:r w:rsidRPr="00E84BDE">
        <w:t xml:space="preserve"> for more information.</w:t>
      </w:r>
    </w:p>
    <w:p w14:paraId="28710E31" w14:textId="77777777" w:rsidR="00A57A5C" w:rsidRPr="00FF338C" w:rsidRDefault="00A57A5C" w:rsidP="00B3330E">
      <w:pPr>
        <w:pStyle w:val="Heading1"/>
        <w:numPr>
          <w:ilvl w:val="0"/>
          <w:numId w:val="3"/>
        </w:numPr>
        <w:rPr>
          <w:lang w:val="en-GB"/>
        </w:rPr>
      </w:pPr>
      <w:bookmarkStart w:id="162" w:name="_Toc74235127"/>
      <w:bookmarkStart w:id="163" w:name="_Toc75334324"/>
      <w:bookmarkStart w:id="164" w:name="_Toc75438182"/>
      <w:bookmarkStart w:id="165" w:name="_Toc74235128"/>
      <w:bookmarkStart w:id="166" w:name="_Toc75334325"/>
      <w:bookmarkStart w:id="167" w:name="_Toc75438183"/>
      <w:bookmarkStart w:id="168" w:name="_Toc74235129"/>
      <w:bookmarkStart w:id="169" w:name="_Toc75334326"/>
      <w:bookmarkStart w:id="170" w:name="_Toc75438184"/>
      <w:bookmarkStart w:id="171" w:name="_Toc74235130"/>
      <w:bookmarkStart w:id="172" w:name="_Toc75334327"/>
      <w:bookmarkStart w:id="173" w:name="_Toc75438185"/>
      <w:bookmarkStart w:id="174" w:name="_Toc74235132"/>
      <w:bookmarkStart w:id="175" w:name="_Toc75334329"/>
      <w:bookmarkStart w:id="176" w:name="_Toc75438187"/>
      <w:bookmarkStart w:id="177" w:name="_Toc74235133"/>
      <w:bookmarkStart w:id="178" w:name="_Toc75334330"/>
      <w:bookmarkStart w:id="179" w:name="_Toc75438188"/>
      <w:bookmarkStart w:id="180" w:name="_Toc74235134"/>
      <w:bookmarkStart w:id="181" w:name="_Toc75334331"/>
      <w:bookmarkStart w:id="182" w:name="_Toc75438189"/>
      <w:bookmarkStart w:id="183" w:name="_Toc74235135"/>
      <w:bookmarkStart w:id="184" w:name="_Toc75334332"/>
      <w:bookmarkStart w:id="185" w:name="_Toc75438190"/>
      <w:bookmarkStart w:id="186" w:name="_Toc512010405"/>
      <w:bookmarkStart w:id="187" w:name="_Toc512339603"/>
      <w:bookmarkStart w:id="188" w:name="_Toc106705762"/>
      <w:bookmarkStart w:id="189" w:name="_Toc107922562"/>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FF338C">
        <w:rPr>
          <w:lang w:val="en-GB"/>
        </w:rPr>
        <w:t>Scope 2 emissions from electricity use</w:t>
      </w:r>
      <w:bookmarkEnd w:id="186"/>
      <w:bookmarkEnd w:id="187"/>
      <w:bookmarkEnd w:id="188"/>
      <w:bookmarkEnd w:id="189"/>
    </w:p>
    <w:p w14:paraId="143A386F" w14:textId="77777777" w:rsidR="00A57A5C" w:rsidRPr="00FF338C" w:rsidRDefault="00A57A5C" w:rsidP="00A57A5C">
      <w:r w:rsidRPr="00FF338C">
        <w:t xml:space="preserve">Indirect, or scope 2, emissions are defined in NGER </w:t>
      </w:r>
      <w:r>
        <w:t>r</w:t>
      </w:r>
      <w:r w:rsidRPr="00FF338C">
        <w:t>egulation 2.24 as the release of greenhouse gas into the atmosphere as a direct result of one or more activities that generate electricity, heating, cooling or steam that is consumed by the facility but that do not form part of the facility.</w:t>
      </w:r>
    </w:p>
    <w:p w14:paraId="1893AA81" w14:textId="77777777" w:rsidR="00A57A5C" w:rsidRPr="00FF338C" w:rsidRDefault="00A57A5C" w:rsidP="00A57A5C">
      <w:r w:rsidRPr="00FF338C">
        <w:t xml:space="preserve">In the electricity sector, scope 2 emissions primarily occur through </w:t>
      </w:r>
      <w:r w:rsidRPr="00591471">
        <w:rPr>
          <w:bCs/>
        </w:rPr>
        <w:t>consumption of purchased electricity or the loss of electricity from an electricity transmission network or distribution network that has not been generated by the facility itself.</w:t>
      </w:r>
      <w:r w:rsidRPr="00FF338C">
        <w:t xml:space="preserve"> This includes:</w:t>
      </w:r>
    </w:p>
    <w:p w14:paraId="7400E8D5" w14:textId="77777777" w:rsidR="00A57A5C" w:rsidRPr="00FF338C" w:rsidRDefault="00A57A5C" w:rsidP="00B3330E">
      <w:pPr>
        <w:numPr>
          <w:ilvl w:val="0"/>
          <w:numId w:val="1"/>
        </w:numPr>
        <w:spacing w:before="120" w:after="120"/>
        <w:rPr>
          <w:color w:val="auto"/>
        </w:rPr>
      </w:pPr>
      <w:r w:rsidRPr="00591471">
        <w:rPr>
          <w:bCs/>
        </w:rPr>
        <w:t>Purchased electricity used at the facility</w:t>
      </w:r>
      <w:r w:rsidRPr="00FF338C">
        <w:t xml:space="preserve"> – any electricity purchased from outside the facility for use at the facility. For example:</w:t>
      </w:r>
    </w:p>
    <w:p w14:paraId="61F128A4" w14:textId="77777777" w:rsidR="00A57A5C" w:rsidRPr="00FF338C" w:rsidRDefault="00A57A5C" w:rsidP="00B3330E">
      <w:pPr>
        <w:numPr>
          <w:ilvl w:val="1"/>
          <w:numId w:val="1"/>
        </w:numPr>
        <w:spacing w:before="120" w:after="120"/>
        <w:rPr>
          <w:color w:val="auto"/>
        </w:rPr>
      </w:pPr>
      <w:r w:rsidRPr="00FF338C">
        <w:t>electricity purchased from an electricity network or grid for use in own facility</w:t>
      </w:r>
    </w:p>
    <w:p w14:paraId="7BB0FFC1" w14:textId="77777777" w:rsidR="00A57A5C" w:rsidRPr="00FF338C" w:rsidRDefault="00A57A5C" w:rsidP="00B3330E">
      <w:pPr>
        <w:numPr>
          <w:ilvl w:val="1"/>
          <w:numId w:val="1"/>
        </w:numPr>
        <w:spacing w:before="120" w:after="120"/>
        <w:rPr>
          <w:color w:val="auto"/>
        </w:rPr>
      </w:pPr>
      <w:r w:rsidRPr="00FF338C">
        <w:t>electricity purchased directly from another facility, for example, an electricity generator, for use in own facility.</w:t>
      </w:r>
    </w:p>
    <w:p w14:paraId="505089B2" w14:textId="77777777" w:rsidR="00A57A5C" w:rsidRPr="00FF338C" w:rsidRDefault="00A57A5C" w:rsidP="00B3330E">
      <w:pPr>
        <w:numPr>
          <w:ilvl w:val="0"/>
          <w:numId w:val="1"/>
        </w:numPr>
        <w:spacing w:before="120" w:after="120"/>
        <w:rPr>
          <w:color w:val="auto"/>
        </w:rPr>
      </w:pPr>
      <w:r w:rsidRPr="00591471">
        <w:rPr>
          <w:bCs/>
        </w:rPr>
        <w:t>Transmission or distribution network losses –</w:t>
      </w:r>
      <w:r w:rsidRPr="00FF338C">
        <w:t xml:space="preserve"> any electricity acquired from outside the facility, which is lost within the facility in association with transmission and distribution activities. The electricity is not required to have been purchased. For example:</w:t>
      </w:r>
    </w:p>
    <w:p w14:paraId="3CBF51CC" w14:textId="77777777" w:rsidR="00A57A5C" w:rsidRPr="00FF338C" w:rsidRDefault="00A57A5C" w:rsidP="00B3330E">
      <w:pPr>
        <w:numPr>
          <w:ilvl w:val="1"/>
          <w:numId w:val="1"/>
        </w:numPr>
        <w:spacing w:before="120" w:after="120"/>
        <w:rPr>
          <w:color w:val="auto"/>
        </w:rPr>
      </w:pPr>
      <w:r w:rsidRPr="00FF338C">
        <w:rPr>
          <w:color w:val="auto"/>
        </w:rPr>
        <w:t>line losses through resistive heating within an electricity transmission or distribution facility</w:t>
      </w:r>
      <w:r>
        <w:t>, which</w:t>
      </w:r>
      <w:r w:rsidRPr="00FF338C">
        <w:t xml:space="preserve"> are usually the most significant emissions from electricity transmission and distribution networks.</w:t>
      </w:r>
    </w:p>
    <w:p w14:paraId="12B1DAAD" w14:textId="77777777" w:rsidR="00A57A5C" w:rsidRPr="00FF338C" w:rsidRDefault="00A57A5C" w:rsidP="00A57A5C">
      <w:pPr>
        <w:pStyle w:val="Heading4"/>
      </w:pPr>
      <w:bookmarkStart w:id="190" w:name="_Toc526867710"/>
      <w:bookmarkStart w:id="191" w:name="_Toc526869752"/>
      <w:bookmarkStart w:id="192" w:name="_Toc107922563"/>
      <w:r w:rsidRPr="00FF338C">
        <w:t xml:space="preserve">20,000 </w:t>
      </w:r>
      <w:bookmarkStart w:id="193" w:name="_Hlk48050635"/>
      <w:r>
        <w:t xml:space="preserve">kilowatt </w:t>
      </w:r>
      <w:bookmarkEnd w:id="193"/>
      <w:r>
        <w:t xml:space="preserve">hours </w:t>
      </w:r>
      <w:r w:rsidRPr="00FF338C">
        <w:t>reporting threshold</w:t>
      </w:r>
      <w:bookmarkEnd w:id="190"/>
      <w:bookmarkEnd w:id="191"/>
      <w:bookmarkEnd w:id="192"/>
    </w:p>
    <w:p w14:paraId="4C1ED0F9" w14:textId="77777777" w:rsidR="00A57A5C" w:rsidRPr="00AC78F4" w:rsidRDefault="00A57A5C" w:rsidP="00A57A5C">
      <w:r w:rsidRPr="00FF338C">
        <w:t xml:space="preserve">Subsection 7.1(2) of the </w:t>
      </w:r>
      <w:r>
        <w:t>NGER Measurement Determination</w:t>
      </w:r>
      <w:r w:rsidRPr="00FF338C">
        <w:t xml:space="preserve"> states that scope 2 emissions must be reported if the amount of electricity consumed from the operation of a facility during a year that results in scope 2 emissions is more than 20,000 </w:t>
      </w:r>
      <w:r>
        <w:t>kilowatt hours (</w:t>
      </w:r>
      <w:r w:rsidRPr="00FF338C">
        <w:t>kWh</w:t>
      </w:r>
      <w:r>
        <w:t>)</w:t>
      </w:r>
      <w:r w:rsidRPr="00FF338C">
        <w:t>.</w:t>
      </w:r>
    </w:p>
    <w:p w14:paraId="5543CE27" w14:textId="77777777" w:rsidR="00A57A5C" w:rsidRPr="00FF338C" w:rsidRDefault="00A57A5C" w:rsidP="00A57A5C">
      <w:pPr>
        <w:pStyle w:val="Heading4"/>
      </w:pPr>
      <w:bookmarkStart w:id="194" w:name="_Toc512339604"/>
      <w:bookmarkStart w:id="195" w:name="_Toc526867711"/>
      <w:bookmarkStart w:id="196" w:name="_Toc526869753"/>
      <w:bookmarkStart w:id="197" w:name="_Toc107922564"/>
      <w:r w:rsidRPr="00FF338C">
        <w:t>Meaning of ‘purchased electricity’</w:t>
      </w:r>
      <w:bookmarkEnd w:id="194"/>
      <w:bookmarkEnd w:id="195"/>
      <w:bookmarkEnd w:id="196"/>
      <w:bookmarkEnd w:id="197"/>
    </w:p>
    <w:p w14:paraId="25488503" w14:textId="77777777" w:rsidR="00A57A5C" w:rsidRPr="00FF338C" w:rsidRDefault="00A57A5C" w:rsidP="00A57A5C">
      <w:r w:rsidRPr="00FF338C">
        <w:t xml:space="preserve">Where Chapter 7 of the </w:t>
      </w:r>
      <w:r>
        <w:t>NGER Measurement Determination</w:t>
      </w:r>
      <w:r w:rsidRPr="00FF338C">
        <w:t xml:space="preserve"> uses the phrase ‘purchased electricity’, it refers to the acquisition of the electricity through a commercial transaction – that is where electricity for use at the facility is acquired by providing financial or other consideration to the provider of the electricity.</w:t>
      </w:r>
    </w:p>
    <w:p w14:paraId="6A238B92" w14:textId="30E16486" w:rsidR="00A57A5C" w:rsidRPr="00FF338C" w:rsidRDefault="00A57A5C" w:rsidP="00A57A5C">
      <w:pPr>
        <w:spacing w:before="120" w:after="120"/>
      </w:pPr>
      <w:r w:rsidRPr="00591471">
        <w:rPr>
          <w:bCs/>
        </w:rPr>
        <w:t>Note: If a</w:t>
      </w:r>
      <w:r w:rsidRPr="00FF338C">
        <w:t xml:space="preserve"> facility uses electricity acquired from outside its own facility that it considers is not reportable as ‘purchased electricity’, the </w:t>
      </w:r>
      <w:r>
        <w:t>agency</w:t>
      </w:r>
      <w:r w:rsidRPr="00FF338C">
        <w:t xml:space="preserve"> expects the reporter to document the basis for this determination</w:t>
      </w:r>
      <w:r>
        <w:t xml:space="preserve">, </w:t>
      </w:r>
      <w:r w:rsidR="00FB5D2B" w:rsidRPr="00FF338C">
        <w:t>how</w:t>
      </w:r>
      <w:r w:rsidRPr="00FF338C">
        <w:t xml:space="preserve"> the electricity has been acquired without any consideration for its delivery that may otherwise indicate that the electricity was ‘purchased’.</w:t>
      </w:r>
    </w:p>
    <w:tbl>
      <w:tblPr>
        <w:tblStyle w:val="CERCallout"/>
        <w:tblW w:w="0" w:type="auto"/>
        <w:tblLook w:val="04A0" w:firstRow="1" w:lastRow="0" w:firstColumn="1" w:lastColumn="0" w:noHBand="0" w:noVBand="1"/>
      </w:tblPr>
      <w:tblGrid>
        <w:gridCol w:w="9710"/>
      </w:tblGrid>
      <w:tr w:rsidR="00A57A5C" w:rsidRPr="00FF338C" w14:paraId="6368EEA5" w14:textId="77777777" w:rsidTr="00D549C7">
        <w:trPr>
          <w:cnfStyle w:val="100000000000" w:firstRow="1" w:lastRow="0" w:firstColumn="0" w:lastColumn="0" w:oddVBand="0" w:evenVBand="0" w:oddHBand="0" w:evenHBand="0" w:firstRowFirstColumn="0" w:firstRowLastColumn="0" w:lastRowFirstColumn="0" w:lastRowLastColumn="0"/>
        </w:trPr>
        <w:tc>
          <w:tcPr>
            <w:tcW w:w="9730" w:type="dxa"/>
          </w:tcPr>
          <w:p w14:paraId="70AE44D1" w14:textId="77777777" w:rsidR="00A57A5C" w:rsidRPr="00FB5D2B" w:rsidRDefault="00A57A5C" w:rsidP="00D549C7">
            <w:pPr>
              <w:pStyle w:val="Heading5"/>
              <w:ind w:left="0"/>
              <w:rPr>
                <w:b/>
                <w:bCs/>
              </w:rPr>
            </w:pPr>
            <w:bookmarkStart w:id="198" w:name="_Toc526867712"/>
            <w:bookmarkStart w:id="199" w:name="_Toc526869754"/>
            <w:bookmarkStart w:id="200" w:name="_Toc107922565"/>
            <w:r w:rsidRPr="00FB5D2B">
              <w:rPr>
                <w:b/>
                <w:bCs/>
              </w:rPr>
              <w:t>Example – Purchased electricity</w:t>
            </w:r>
            <w:bookmarkEnd w:id="198"/>
            <w:bookmarkEnd w:id="199"/>
            <w:bookmarkEnd w:id="200"/>
          </w:p>
          <w:p w14:paraId="6892EB87" w14:textId="77777777" w:rsidR="00A57A5C" w:rsidRPr="00703446" w:rsidRDefault="000D1A50" w:rsidP="00D549C7">
            <w:pPr>
              <w:ind w:left="0"/>
              <w:rPr>
                <w:b w:val="0"/>
                <w:bCs/>
              </w:rPr>
            </w:pPr>
            <w:hyperlink w:anchor="_Case_example_1:" w:history="1">
              <w:r w:rsidR="00A57A5C" w:rsidRPr="00703446">
                <w:rPr>
                  <w:rStyle w:val="Hyperlink"/>
                  <w:rFonts w:asciiTheme="minorHAnsi" w:hAnsiTheme="minorHAnsi"/>
                  <w:b w:val="0"/>
                  <w:bCs/>
                </w:rPr>
                <w:t>Case example 1 in Appendix A</w:t>
              </w:r>
            </w:hyperlink>
            <w:r w:rsidR="00A57A5C" w:rsidRPr="00703446">
              <w:rPr>
                <w:b w:val="0"/>
                <w:bCs/>
              </w:rPr>
              <w:t xml:space="preserve"> illustrates how electricity produced at one facility leads to scope 2 emissions at another facility.</w:t>
            </w:r>
          </w:p>
          <w:p w14:paraId="67627F92" w14:textId="77777777" w:rsidR="00A57A5C" w:rsidRPr="00703446" w:rsidRDefault="00A57A5C" w:rsidP="00B3330E">
            <w:pPr>
              <w:numPr>
                <w:ilvl w:val="0"/>
                <w:numId w:val="1"/>
              </w:numPr>
              <w:spacing w:before="120" w:beforeAutospacing="0" w:after="120"/>
              <w:rPr>
                <w:b w:val="0"/>
                <w:bCs/>
              </w:rPr>
            </w:pPr>
            <w:r w:rsidRPr="00703446">
              <w:rPr>
                <w:b w:val="0"/>
                <w:bCs/>
              </w:rPr>
              <w:t>Electricity produced at the gas-fired power plant (see number 4 in figure 8) is delivered to a separate facility without passing through an electricity grid (see number 6 in figure 8).</w:t>
            </w:r>
          </w:p>
          <w:p w14:paraId="48C4E299" w14:textId="77777777" w:rsidR="00A57A5C" w:rsidRPr="00703446" w:rsidRDefault="00A57A5C" w:rsidP="00B3330E">
            <w:pPr>
              <w:numPr>
                <w:ilvl w:val="0"/>
                <w:numId w:val="1"/>
              </w:numPr>
              <w:spacing w:before="120" w:beforeAutospacing="0" w:after="120"/>
              <w:rPr>
                <w:b w:val="0"/>
                <w:bCs/>
              </w:rPr>
            </w:pPr>
            <w:r w:rsidRPr="00703446">
              <w:rPr>
                <w:b w:val="0"/>
                <w:bCs/>
              </w:rPr>
              <w:t>If the electricity used at the separate facility is ‘purchased’ by that facility, scope 2 emissions must be reported by that facility. The emission factor applicable for the electricity produced from the gas-fired power plant can be obtained from the supplier to estimate accurate scope 2 emissions. If that emission factor is unavailable, the emission factor for the main electricity grid emissions factor for the Northern Territory may be used.</w:t>
            </w:r>
          </w:p>
          <w:p w14:paraId="4435EA43" w14:textId="77777777" w:rsidR="00A57A5C" w:rsidRPr="00FF338C" w:rsidRDefault="00A57A5C" w:rsidP="00D549C7">
            <w:pPr>
              <w:spacing w:before="120" w:after="120"/>
              <w:ind w:left="0"/>
            </w:pPr>
            <w:r w:rsidRPr="00703446">
              <w:rPr>
                <w:b w:val="0"/>
                <w:bCs/>
              </w:rPr>
              <w:t xml:space="preserve">In addition, the gas-fired power station uses some of its own produced electricity (see number 5 in the figure 8). This is not ‘purchased electricity’ leading to scope 2 emissions. It is instead consumption of own produced electricity – see </w:t>
            </w:r>
            <w:hyperlink w:anchor="_Electricity_production_and" w:history="1">
              <w:r w:rsidRPr="00703446">
                <w:rPr>
                  <w:rStyle w:val="Hyperlink"/>
                  <w:rFonts w:asciiTheme="minorHAnsi" w:hAnsiTheme="minorHAnsi"/>
                  <w:b w:val="0"/>
                  <w:bCs/>
                </w:rPr>
                <w:t>chapter 7.3</w:t>
              </w:r>
            </w:hyperlink>
            <w:r w:rsidRPr="00703446">
              <w:rPr>
                <w:b w:val="0"/>
                <w:bCs/>
              </w:rPr>
              <w:t xml:space="preserve"> of this guideline for more information. Scope 1 emissions are estimated from fuel combustion.</w:t>
            </w:r>
          </w:p>
        </w:tc>
      </w:tr>
    </w:tbl>
    <w:p w14:paraId="4B9815C5" w14:textId="77777777" w:rsidR="00A57A5C" w:rsidRPr="00FF338C" w:rsidRDefault="00A57A5C" w:rsidP="00DB4B56">
      <w:pPr>
        <w:pStyle w:val="Heading2"/>
        <w:numPr>
          <w:ilvl w:val="1"/>
          <w:numId w:val="3"/>
        </w:numPr>
        <w:ind w:left="426" w:hanging="426"/>
      </w:pPr>
      <w:bookmarkStart w:id="201" w:name="_Toc512010407"/>
      <w:bookmarkStart w:id="202" w:name="_Toc512339606"/>
      <w:bookmarkStart w:id="203" w:name="_Toc106705763"/>
      <w:bookmarkStart w:id="204" w:name="_Toc107922566"/>
      <w:r w:rsidRPr="00FF338C">
        <w:t>Purchase or loss of electricity from the main electricity grid</w:t>
      </w:r>
      <w:bookmarkEnd w:id="201"/>
      <w:bookmarkEnd w:id="202"/>
      <w:bookmarkEnd w:id="203"/>
      <w:bookmarkEnd w:id="204"/>
    </w:p>
    <w:p w14:paraId="2487FAA3" w14:textId="77777777" w:rsidR="00A57A5C" w:rsidRDefault="00A57A5C" w:rsidP="00A57A5C">
      <w:pPr>
        <w:spacing w:before="120" w:after="120"/>
      </w:pPr>
      <w:r>
        <w:t xml:space="preserve">Scope 2 emissions are released from: </w:t>
      </w:r>
    </w:p>
    <w:p w14:paraId="0FA7116A" w14:textId="77777777" w:rsidR="00A57A5C" w:rsidRDefault="00A57A5C" w:rsidP="00A57A5C">
      <w:pPr>
        <w:pStyle w:val="CERbullets"/>
      </w:pPr>
      <w:r>
        <w:t xml:space="preserve">electricity purchased from the main </w:t>
      </w:r>
      <w:r w:rsidRPr="00980DB2">
        <w:t>electricity grid in a State or Territory</w:t>
      </w:r>
    </w:p>
    <w:p w14:paraId="1753CCF4" w14:textId="77777777" w:rsidR="00A57A5C" w:rsidRDefault="00A57A5C" w:rsidP="00A57A5C">
      <w:pPr>
        <w:pStyle w:val="CERbullets"/>
      </w:pPr>
      <w:r>
        <w:t xml:space="preserve">electricity losses from a </w:t>
      </w:r>
      <w:r w:rsidRPr="00FF338C">
        <w:t xml:space="preserve">transmission and distribution </w:t>
      </w:r>
      <w:r>
        <w:t>network that is,</w:t>
      </w:r>
      <w:r w:rsidRPr="006F6F19">
        <w:t xml:space="preserve"> </w:t>
      </w:r>
      <w:r w:rsidRPr="00FF338C">
        <w:t>or is part of, the main electricity grid in a State or Territory</w:t>
      </w:r>
      <w:r>
        <w:t>.</w:t>
      </w:r>
    </w:p>
    <w:p w14:paraId="04EA5E06" w14:textId="77777777" w:rsidR="00A57A5C" w:rsidRDefault="00A57A5C" w:rsidP="00A57A5C">
      <w:r>
        <w:t xml:space="preserve">Scope 2 emissions must be calculated in accordance with section 7.2 of the NGER Measurement Determination. This applies if the </w:t>
      </w:r>
      <w:r>
        <w:rPr>
          <w:szCs w:val="22"/>
        </w:rPr>
        <w:t xml:space="preserve">amount of purchased electricity consumed is more than 20,000 kWh. </w:t>
      </w:r>
      <w:r w:rsidRPr="00494D00">
        <w:t>All electricity consumed or los</w:t>
      </w:r>
      <w:r>
        <w:t>t</w:t>
      </w:r>
      <w:r w:rsidRPr="00494D00">
        <w:t xml:space="preserve"> connected to the ‘main electricity grid’ in a State or Territory </w:t>
      </w:r>
      <w:r>
        <w:t>must</w:t>
      </w:r>
      <w:r w:rsidRPr="00494D00">
        <w:t xml:space="preserve"> be estimated using these State or Territory based emissions factors</w:t>
      </w:r>
      <w:r>
        <w:t>.</w:t>
      </w:r>
    </w:p>
    <w:p w14:paraId="2E25B431" w14:textId="77777777" w:rsidR="00A57A5C" w:rsidRPr="005E7BFF" w:rsidRDefault="00A57A5C" w:rsidP="00A57A5C">
      <w:pPr>
        <w:pStyle w:val="CommentText"/>
        <w:rPr>
          <w:sz w:val="22"/>
          <w:szCs w:val="22"/>
        </w:rPr>
      </w:pPr>
      <w:r w:rsidRPr="005E7BFF">
        <w:rPr>
          <w:sz w:val="22"/>
          <w:szCs w:val="22"/>
        </w:rPr>
        <w:t xml:space="preserve">Scope 2 emissions released from electricity purchased from the main electricity grid in a State or Territory are to be </w:t>
      </w:r>
      <w:r>
        <w:rPr>
          <w:sz w:val="22"/>
          <w:szCs w:val="22"/>
        </w:rPr>
        <w:t>estimated</w:t>
      </w:r>
      <w:r w:rsidRPr="005E7BFF">
        <w:rPr>
          <w:sz w:val="22"/>
          <w:szCs w:val="22"/>
        </w:rPr>
        <w:t xml:space="preserve"> </w:t>
      </w:r>
      <w:r>
        <w:rPr>
          <w:sz w:val="22"/>
          <w:szCs w:val="22"/>
        </w:rPr>
        <w:t>using</w:t>
      </w:r>
      <w:r w:rsidRPr="005E7BFF">
        <w:rPr>
          <w:sz w:val="22"/>
          <w:szCs w:val="22"/>
        </w:rPr>
        <w:t>:</w:t>
      </w:r>
    </w:p>
    <w:p w14:paraId="777E957D" w14:textId="77777777" w:rsidR="00A57A5C" w:rsidRPr="00A640CB" w:rsidRDefault="00A57A5C" w:rsidP="00A57A5C">
      <w:pPr>
        <w:pStyle w:val="CERbullets"/>
      </w:pPr>
      <w:r w:rsidRPr="00A640CB">
        <w:t>The amount of electricity purchased for the facility and consumed from the operation of the facility</w:t>
      </w:r>
      <w:r>
        <w:t>.</w:t>
      </w:r>
    </w:p>
    <w:p w14:paraId="4E39C682" w14:textId="77777777" w:rsidR="00A57A5C" w:rsidRPr="00A640CB" w:rsidRDefault="00A57A5C" w:rsidP="00A57A5C">
      <w:pPr>
        <w:pStyle w:val="CERbullets"/>
      </w:pPr>
      <w:r w:rsidRPr="00A640CB">
        <w:t>The applicable State or Territory emission factor in Part 6 of Schedule 1 of the NGER Measurement Determination</w:t>
      </w:r>
      <w:r>
        <w:t>.</w:t>
      </w:r>
    </w:p>
    <w:p w14:paraId="19814ADC" w14:textId="77777777" w:rsidR="00A57A5C" w:rsidRDefault="00A57A5C" w:rsidP="00A57A5C">
      <w:pPr>
        <w:spacing w:before="120" w:after="120"/>
        <w:rPr>
          <w:szCs w:val="22"/>
        </w:rPr>
      </w:pPr>
      <w:r>
        <w:rPr>
          <w:szCs w:val="22"/>
        </w:rPr>
        <w:t xml:space="preserve">Scope 2 emissions from electricity losses from </w:t>
      </w:r>
      <w:r w:rsidRPr="005E7BFF">
        <w:rPr>
          <w:szCs w:val="22"/>
        </w:rPr>
        <w:t xml:space="preserve">an electricity transmission </w:t>
      </w:r>
      <w:r>
        <w:rPr>
          <w:szCs w:val="22"/>
        </w:rPr>
        <w:t xml:space="preserve">or distribution </w:t>
      </w:r>
      <w:r w:rsidRPr="005E7BFF">
        <w:rPr>
          <w:szCs w:val="22"/>
        </w:rPr>
        <w:t>network which is</w:t>
      </w:r>
      <w:r>
        <w:rPr>
          <w:szCs w:val="22"/>
        </w:rPr>
        <w:t>,</w:t>
      </w:r>
      <w:r w:rsidRPr="005E7BFF">
        <w:rPr>
          <w:szCs w:val="22"/>
        </w:rPr>
        <w:t xml:space="preserve"> or is part of</w:t>
      </w:r>
      <w:r>
        <w:rPr>
          <w:szCs w:val="22"/>
        </w:rPr>
        <w:t>,</w:t>
      </w:r>
      <w:r w:rsidRPr="005E7BFF">
        <w:rPr>
          <w:szCs w:val="22"/>
        </w:rPr>
        <w:t xml:space="preserve"> the main electricity grid,</w:t>
      </w:r>
      <w:r>
        <w:rPr>
          <w:szCs w:val="22"/>
        </w:rPr>
        <w:t xml:space="preserve"> are </w:t>
      </w:r>
      <w:r w:rsidRPr="005E7BFF">
        <w:rPr>
          <w:szCs w:val="22"/>
        </w:rPr>
        <w:t>estimate</w:t>
      </w:r>
      <w:r>
        <w:rPr>
          <w:szCs w:val="22"/>
        </w:rPr>
        <w:t>d using:</w:t>
      </w:r>
    </w:p>
    <w:p w14:paraId="1021A767" w14:textId="77777777" w:rsidR="00A57A5C" w:rsidRPr="00A640CB" w:rsidRDefault="00A57A5C" w:rsidP="00A57A5C">
      <w:pPr>
        <w:pStyle w:val="CERbullets"/>
      </w:pPr>
      <w:r w:rsidRPr="00A640CB">
        <w:t>The amount of electricity losses from the network</w:t>
      </w:r>
      <w:r>
        <w:t>.</w:t>
      </w:r>
    </w:p>
    <w:p w14:paraId="761FC6D9" w14:textId="77777777" w:rsidR="00A57A5C" w:rsidRPr="00A640CB" w:rsidRDefault="00A57A5C" w:rsidP="00A57A5C">
      <w:pPr>
        <w:pStyle w:val="CERbullets"/>
      </w:pPr>
      <w:r w:rsidRPr="00A640CB">
        <w:t>The applicable State or Territory emission factor in Part 6 of Schedule 1 of the NGER Measurement Determination</w:t>
      </w:r>
      <w:r>
        <w:t>.</w:t>
      </w:r>
    </w:p>
    <w:p w14:paraId="3C1C6805" w14:textId="77777777" w:rsidR="00A57A5C" w:rsidRPr="00FF338C" w:rsidRDefault="00A57A5C" w:rsidP="00A57A5C">
      <w:r w:rsidRPr="00FF338C">
        <w:t>Generally</w:t>
      </w:r>
      <w:r>
        <w:t>,</w:t>
      </w:r>
      <w:r w:rsidRPr="00FF338C">
        <w:t xml:space="preserve"> ‘losses’ in a facility that comprises a transmission and distribution network are calculated based on the amount of electricity entering the network and the amount of electricity leaving the network. </w:t>
      </w:r>
    </w:p>
    <w:p w14:paraId="28CF64F4" w14:textId="77777777" w:rsidR="00A57A5C" w:rsidRPr="00FF338C" w:rsidRDefault="00A57A5C" w:rsidP="00A57A5C">
      <w:r w:rsidRPr="00F43F5F">
        <w:rPr>
          <w:bCs/>
        </w:rPr>
        <w:t>Note: The</w:t>
      </w:r>
      <w:r w:rsidRPr="00FF338C">
        <w:t xml:space="preserve"> </w:t>
      </w:r>
      <w:r>
        <w:t xml:space="preserve">agency has adopted the Australian Energy Market Commission’s </w:t>
      </w:r>
      <w:hyperlink r:id="rId43" w:history="1">
        <w:r w:rsidRPr="00AF6C81">
          <w:rPr>
            <w:rStyle w:val="Hyperlink"/>
            <w:rFonts w:asciiTheme="minorHAnsi" w:hAnsiTheme="minorHAnsi"/>
          </w:rPr>
          <w:t>https://www.aemc.gov.au/regulation/energy-rules/national-electricity-rules</w:t>
        </w:r>
      </w:hyperlink>
      <w:r>
        <w:t xml:space="preserve"> </w:t>
      </w:r>
      <w:hyperlink r:id="rId44" w:history="1">
        <w:r w:rsidRPr="00872A70">
          <w:rPr>
            <w:rStyle w:val="Hyperlink"/>
            <w:rFonts w:asciiTheme="minorHAnsi" w:hAnsiTheme="minorHAnsi"/>
            <w:iCs/>
          </w:rPr>
          <w:t>National Electricity Rules</w:t>
        </w:r>
      </w:hyperlink>
      <w:r>
        <w:rPr>
          <w:rStyle w:val="FootnoteReference"/>
          <w:iCs/>
        </w:rPr>
        <w:footnoteReference w:id="16"/>
      </w:r>
      <w:r w:rsidRPr="00FF338C">
        <w:t xml:space="preserve">, </w:t>
      </w:r>
      <w:r>
        <w:t xml:space="preserve">definition of a network, that is </w:t>
      </w:r>
      <w:r w:rsidRPr="00FF338C">
        <w:t>‘the apparatus, equipment, plant and buildings used to convey, and control the conveyance of, electricity to customers (whether wholesale or retail) excluding any connection assets. In relation to a Network Service Provider, a network owned, operated or controlled by that Network Service Provider.’</w:t>
      </w:r>
    </w:p>
    <w:p w14:paraId="3760B603" w14:textId="77777777" w:rsidR="00A57A5C" w:rsidRPr="00FF338C" w:rsidRDefault="00A57A5C" w:rsidP="00DB4B56">
      <w:pPr>
        <w:pStyle w:val="Heading2"/>
        <w:numPr>
          <w:ilvl w:val="1"/>
          <w:numId w:val="3"/>
        </w:numPr>
        <w:ind w:left="426" w:hanging="426"/>
      </w:pPr>
      <w:bookmarkStart w:id="205" w:name="_Toc512010408"/>
      <w:bookmarkStart w:id="206" w:name="_Toc512339608"/>
      <w:bookmarkStart w:id="207" w:name="_Toc106705764"/>
      <w:bookmarkStart w:id="208" w:name="_Toc107922567"/>
      <w:r w:rsidRPr="00FF338C">
        <w:t>Purchase or loss of electricity from other sources</w:t>
      </w:r>
      <w:bookmarkEnd w:id="205"/>
      <w:bookmarkEnd w:id="206"/>
      <w:bookmarkEnd w:id="207"/>
      <w:bookmarkEnd w:id="208"/>
    </w:p>
    <w:p w14:paraId="143374F9" w14:textId="491DCA51" w:rsidR="00A57A5C" w:rsidRDefault="00A57A5C" w:rsidP="00A57A5C">
      <w:r w:rsidRPr="00FF338C">
        <w:t xml:space="preserve">If electricity is purchased from an electricity network other than the main electricity grid, or if the reporting facility is constituted by an electricity transmission or distribution network that is not part of the main electricity grid in a </w:t>
      </w:r>
      <w:r>
        <w:t>s</w:t>
      </w:r>
      <w:r w:rsidRPr="00FF338C">
        <w:t xml:space="preserve">tate or </w:t>
      </w:r>
      <w:r>
        <w:t>t</w:t>
      </w:r>
      <w:r w:rsidRPr="00FF338C">
        <w:t xml:space="preserve">erritory, emission factors provided by the supplier of the electricity </w:t>
      </w:r>
      <w:r>
        <w:t xml:space="preserve">may </w:t>
      </w:r>
      <w:r w:rsidRPr="00FF338C">
        <w:t xml:space="preserve">be used. If those emission factors are unavailable, the emission factor for the Northern Territory </w:t>
      </w:r>
      <w:r>
        <w:t>must</w:t>
      </w:r>
      <w:r w:rsidRPr="00FF338C">
        <w:t xml:space="preserve"> be used</w:t>
      </w:r>
      <w:bookmarkStart w:id="209" w:name="_Toc506216754"/>
      <w:bookmarkStart w:id="210" w:name="_Toc506216755"/>
      <w:bookmarkStart w:id="211" w:name="_Toc506216756"/>
      <w:bookmarkStart w:id="212" w:name="_Toc506216758"/>
      <w:bookmarkStart w:id="213" w:name="_Toc506216759"/>
      <w:bookmarkStart w:id="214" w:name="_Toc506216761"/>
      <w:bookmarkEnd w:id="209"/>
      <w:bookmarkEnd w:id="210"/>
      <w:bookmarkEnd w:id="211"/>
      <w:bookmarkEnd w:id="212"/>
      <w:bookmarkEnd w:id="213"/>
      <w:bookmarkEnd w:id="214"/>
      <w:r w:rsidRPr="00FF338C">
        <w:t>.</w:t>
      </w:r>
      <w:r>
        <w:t xml:space="preserve"> Scope 2 emissions released from electricity purchased from these other sources are to be calculated in accordance with method 1 </w:t>
      </w:r>
      <w:r w:rsidRPr="00980DB2">
        <w:t>in s</w:t>
      </w:r>
      <w:r>
        <w:t xml:space="preserve">ection </w:t>
      </w:r>
      <w:r w:rsidRPr="00980DB2">
        <w:t>7.</w:t>
      </w:r>
      <w:r>
        <w:t>3</w:t>
      </w:r>
      <w:r w:rsidRPr="00980DB2">
        <w:t xml:space="preserve"> in the NGER Measurement Determination</w:t>
      </w:r>
      <w:r>
        <w:t>.</w:t>
      </w:r>
    </w:p>
    <w:p w14:paraId="151B2CCE" w14:textId="77777777" w:rsidR="00A57A5C" w:rsidRDefault="00A57A5C" w:rsidP="00DB4B56">
      <w:pPr>
        <w:pStyle w:val="Heading2"/>
        <w:numPr>
          <w:ilvl w:val="1"/>
          <w:numId w:val="3"/>
        </w:numPr>
        <w:ind w:left="426" w:hanging="426"/>
      </w:pPr>
      <w:bookmarkStart w:id="215" w:name="_Toc106705765"/>
      <w:bookmarkStart w:id="216" w:name="_Toc107922568"/>
      <w:r>
        <w:t>Scope 2 emission factors</w:t>
      </w:r>
      <w:bookmarkEnd w:id="215"/>
      <w:bookmarkEnd w:id="216"/>
    </w:p>
    <w:p w14:paraId="4E92A517" w14:textId="77777777" w:rsidR="00A57A5C" w:rsidRDefault="00A57A5C" w:rsidP="00A57A5C">
      <w:r w:rsidRPr="00E84BDE">
        <w:t xml:space="preserve">Scope 2 emission factors are </w:t>
      </w:r>
      <w:r>
        <w:t xml:space="preserve">updated annually to reflect the changes in the mixture of electricity sources within the main electricity grid in a State or Territory. </w:t>
      </w:r>
      <w:r w:rsidRPr="00032840">
        <w:t xml:space="preserve">EERS will automatically calculate energy consumption based upon the data entered for </w:t>
      </w:r>
      <w:r>
        <w:t>s</w:t>
      </w:r>
      <w:r w:rsidRPr="00437768">
        <w:t xml:space="preserve">cope </w:t>
      </w:r>
      <w:r w:rsidRPr="00E84BDE">
        <w:t>2 emissions and the relevant emission factor</w:t>
      </w:r>
      <w:r>
        <w:t xml:space="preserve"> for the State or Territory</w:t>
      </w:r>
      <w:r w:rsidRPr="00E84BDE">
        <w:t>.</w:t>
      </w:r>
      <w:r w:rsidRPr="009261F7">
        <w:t xml:space="preserve"> </w:t>
      </w:r>
    </w:p>
    <w:p w14:paraId="6AD43D6B" w14:textId="77777777" w:rsidR="00A57A5C" w:rsidRPr="00FF338C" w:rsidRDefault="00A57A5C" w:rsidP="00A57A5C">
      <w:r>
        <w:t xml:space="preserve">Scope 2 emission factors are listed in Part 6 of Schedule 1 of the NGER Measurement Determination. Please ensure that you are referring to the correct Compilation of the NGER Measurement Determination for the reporting year. For 2020–21 reporting, this is Compilation No. 12. </w:t>
      </w:r>
    </w:p>
    <w:p w14:paraId="6B451872" w14:textId="77777777" w:rsidR="00A57A5C" w:rsidRPr="00FF338C" w:rsidRDefault="00A57A5C" w:rsidP="00A57A5C">
      <w:pPr>
        <w:pStyle w:val="Heading4"/>
      </w:pPr>
      <w:bookmarkStart w:id="217" w:name="_Toc107922569"/>
      <w:r>
        <w:t>M</w:t>
      </w:r>
      <w:r w:rsidRPr="00FF338C">
        <w:t>ain electricity grid</w:t>
      </w:r>
      <w:bookmarkEnd w:id="217"/>
    </w:p>
    <w:p w14:paraId="54C7C0E1" w14:textId="77777777" w:rsidR="00A57A5C" w:rsidRPr="00FF338C" w:rsidRDefault="00A57A5C" w:rsidP="00A57A5C">
      <w:r w:rsidRPr="00FF338C">
        <w:t xml:space="preserve">The ‘main electricity grid’ for a State or Territory is defined in subsection 7.2(4) of the </w:t>
      </w:r>
      <w:r>
        <w:t>NGER Measurement Determination</w:t>
      </w:r>
      <w:r w:rsidRPr="00FF338C">
        <w:t xml:space="preserve"> as:</w:t>
      </w:r>
    </w:p>
    <w:p w14:paraId="0E3F4E22" w14:textId="77777777" w:rsidR="00A57A5C" w:rsidRPr="00FF338C" w:rsidRDefault="00A57A5C" w:rsidP="00B3330E">
      <w:pPr>
        <w:numPr>
          <w:ilvl w:val="0"/>
          <w:numId w:val="1"/>
        </w:numPr>
        <w:spacing w:before="120" w:after="120"/>
        <w:rPr>
          <w:color w:val="auto"/>
        </w:rPr>
      </w:pPr>
      <w:r w:rsidRPr="00FF338C">
        <w:t xml:space="preserve">For </w:t>
      </w:r>
      <w:r w:rsidRPr="00FF338C">
        <w:rPr>
          <w:color w:val="auto"/>
        </w:rPr>
        <w:t>Western Australia</w:t>
      </w:r>
      <w:r>
        <w:rPr>
          <w:color w:val="auto"/>
        </w:rPr>
        <w:t xml:space="preserve"> – </w:t>
      </w:r>
      <w:r w:rsidRPr="00FF338C">
        <w:rPr>
          <w:color w:val="auto"/>
        </w:rPr>
        <w:t>the Southwest Interconnected System</w:t>
      </w:r>
      <w:r>
        <w:rPr>
          <w:color w:val="auto"/>
        </w:rPr>
        <w:t>.</w:t>
      </w:r>
    </w:p>
    <w:p w14:paraId="2DA53263" w14:textId="77777777" w:rsidR="00A57A5C" w:rsidRPr="00FF338C" w:rsidRDefault="00A57A5C" w:rsidP="00B3330E">
      <w:pPr>
        <w:numPr>
          <w:ilvl w:val="0"/>
          <w:numId w:val="1"/>
        </w:numPr>
        <w:spacing w:before="120" w:after="120"/>
      </w:pPr>
      <w:r w:rsidRPr="00FF338C">
        <w:rPr>
          <w:color w:val="auto"/>
        </w:rPr>
        <w:t>For each other State or Territory</w:t>
      </w:r>
      <w:r>
        <w:rPr>
          <w:color w:val="auto"/>
        </w:rPr>
        <w:t xml:space="preserve"> – </w:t>
      </w:r>
      <w:r w:rsidRPr="00FF338C">
        <w:rPr>
          <w:color w:val="auto"/>
        </w:rPr>
        <w:t>the electricity grid that provides electricity to the largest percentage of the State’s</w:t>
      </w:r>
      <w:r w:rsidRPr="00FF338C">
        <w:t xml:space="preserve"> or Territory’s population.</w:t>
      </w:r>
    </w:p>
    <w:p w14:paraId="358AD71B" w14:textId="77777777" w:rsidR="00A57A5C" w:rsidRDefault="00A57A5C" w:rsidP="00A57A5C"/>
    <w:p w14:paraId="2A6B0A2A" w14:textId="77777777" w:rsidR="00A57A5C" w:rsidRPr="00FF338C" w:rsidRDefault="00A57A5C" w:rsidP="00A57A5C">
      <w:r w:rsidRPr="00FF338C">
        <w:br w:type="page"/>
      </w:r>
    </w:p>
    <w:p w14:paraId="6771C18D" w14:textId="77777777" w:rsidR="00A57A5C" w:rsidRPr="00FF338C" w:rsidRDefault="00A57A5C" w:rsidP="00B3330E">
      <w:pPr>
        <w:pStyle w:val="Heading1"/>
        <w:numPr>
          <w:ilvl w:val="0"/>
          <w:numId w:val="3"/>
        </w:numPr>
        <w:rPr>
          <w:lang w:val="en-GB"/>
        </w:rPr>
      </w:pPr>
      <w:bookmarkStart w:id="218" w:name="_Energy_production_and"/>
      <w:bookmarkStart w:id="219" w:name="_Ref511972700"/>
      <w:bookmarkStart w:id="220" w:name="_Toc512010410"/>
      <w:bookmarkStart w:id="221" w:name="_Toc512339609"/>
      <w:bookmarkStart w:id="222" w:name="_Toc106705766"/>
      <w:bookmarkStart w:id="223" w:name="_Toc107922570"/>
      <w:bookmarkEnd w:id="218"/>
      <w:r w:rsidRPr="00FF338C">
        <w:rPr>
          <w:lang w:val="en-GB"/>
        </w:rPr>
        <w:t>Energy production and consumption</w:t>
      </w:r>
      <w:bookmarkEnd w:id="219"/>
      <w:bookmarkEnd w:id="220"/>
      <w:bookmarkEnd w:id="221"/>
      <w:bookmarkEnd w:id="222"/>
      <w:bookmarkEnd w:id="223"/>
    </w:p>
    <w:p w14:paraId="121B2554" w14:textId="77777777" w:rsidR="00A57A5C" w:rsidRPr="00FF338C" w:rsidRDefault="00A57A5C" w:rsidP="00A57A5C">
      <w:r w:rsidRPr="00FF338C">
        <w:t xml:space="preserve">This </w:t>
      </w:r>
      <w:r>
        <w:t>chapter</w:t>
      </w:r>
      <w:r w:rsidRPr="00FF338C">
        <w:t xml:space="preserve"> provides an overview of how to report energy under NGER for organisations in the electricity generation, transmission, and distribution sectors. It is intended to supplement the </w:t>
      </w:r>
      <w:hyperlink r:id="rId45" w:history="1">
        <w:r w:rsidRPr="00872A70">
          <w:rPr>
            <w:rStyle w:val="Hyperlink"/>
            <w:rFonts w:asciiTheme="minorHAnsi" w:hAnsiTheme="minorHAnsi"/>
            <w:iCs/>
          </w:rPr>
          <w:t>Reporting energy production and consumption guideline</w:t>
        </w:r>
      </w:hyperlink>
      <w:r w:rsidRPr="00872A70">
        <w:rPr>
          <w:rStyle w:val="FootnoteReference"/>
          <w:iCs/>
          <w:color w:val="auto"/>
        </w:rPr>
        <w:footnoteReference w:id="17"/>
      </w:r>
      <w:r w:rsidRPr="003F37EC">
        <w:rPr>
          <w:iCs/>
        </w:rPr>
        <w:t>.</w:t>
      </w:r>
    </w:p>
    <w:p w14:paraId="3673B898" w14:textId="77777777" w:rsidR="00A57A5C" w:rsidRPr="00FF338C" w:rsidRDefault="00A57A5C" w:rsidP="00A57A5C">
      <w:r w:rsidRPr="00FF338C">
        <w:t>Reporting energy consumption and production in the electricity sector can be complex. Given the large quantities of energy involved, any errors can have a substantial impact on the information used to meet Australia’s international reporting obligations, and the information used to inform policy and government programs.</w:t>
      </w:r>
    </w:p>
    <w:p w14:paraId="107D7816" w14:textId="77777777" w:rsidR="00A57A5C" w:rsidRPr="00FF338C" w:rsidRDefault="00A57A5C" w:rsidP="00DB4B56">
      <w:pPr>
        <w:pStyle w:val="Heading2"/>
        <w:numPr>
          <w:ilvl w:val="1"/>
          <w:numId w:val="3"/>
        </w:numPr>
        <w:ind w:left="426" w:hanging="426"/>
      </w:pPr>
      <w:bookmarkStart w:id="224" w:name="_Ref511316651"/>
      <w:bookmarkStart w:id="225" w:name="_Toc511376930"/>
      <w:bookmarkStart w:id="226" w:name="_Toc511388527"/>
      <w:bookmarkStart w:id="227" w:name="_Toc511389449"/>
      <w:bookmarkStart w:id="228" w:name="_Toc511392958"/>
      <w:bookmarkStart w:id="229" w:name="_Toc511732488"/>
      <w:bookmarkStart w:id="230" w:name="_Toc512010411"/>
      <w:bookmarkStart w:id="231" w:name="_Toc512339610"/>
      <w:bookmarkStart w:id="232" w:name="_Toc106705767"/>
      <w:bookmarkStart w:id="233" w:name="_Toc107922571"/>
      <w:r w:rsidRPr="00FF338C">
        <w:t xml:space="preserve">Energy </w:t>
      </w:r>
      <w:bookmarkEnd w:id="224"/>
      <w:bookmarkEnd w:id="225"/>
      <w:r w:rsidRPr="00FF338C">
        <w:t>as a fuel or energy commodity</w:t>
      </w:r>
      <w:bookmarkEnd w:id="226"/>
      <w:bookmarkEnd w:id="227"/>
      <w:bookmarkEnd w:id="228"/>
      <w:bookmarkEnd w:id="229"/>
      <w:bookmarkEnd w:id="230"/>
      <w:bookmarkEnd w:id="231"/>
      <w:bookmarkEnd w:id="232"/>
      <w:bookmarkEnd w:id="233"/>
    </w:p>
    <w:p w14:paraId="3874A7CE" w14:textId="77777777" w:rsidR="00A57A5C" w:rsidRPr="00FF338C" w:rsidRDefault="00A57A5C" w:rsidP="00A57A5C">
      <w:pPr>
        <w:rPr>
          <w:color w:val="auto"/>
        </w:rPr>
      </w:pPr>
      <w:r w:rsidRPr="00FF338C">
        <w:rPr>
          <w:color w:val="auto"/>
        </w:rPr>
        <w:t xml:space="preserve">In NGER, the term </w:t>
      </w:r>
      <w:r>
        <w:rPr>
          <w:color w:val="auto"/>
        </w:rPr>
        <w:t>‘energy’</w:t>
      </w:r>
      <w:r w:rsidRPr="00FF338C">
        <w:rPr>
          <w:color w:val="auto"/>
        </w:rPr>
        <w:t xml:space="preserve"> is</w:t>
      </w:r>
      <w:r>
        <w:rPr>
          <w:color w:val="auto"/>
        </w:rPr>
        <w:t xml:space="preserve"> defined within regulation 2.03 of the NGER Regulations. It is</w:t>
      </w:r>
      <w:r w:rsidRPr="00FF338C">
        <w:rPr>
          <w:color w:val="auto"/>
        </w:rPr>
        <w:t xml:space="preserve"> used to describe individual fuels </w:t>
      </w:r>
      <w:r>
        <w:rPr>
          <w:color w:val="auto"/>
        </w:rPr>
        <w:t>and</w:t>
      </w:r>
      <w:r w:rsidRPr="00FF338C">
        <w:rPr>
          <w:color w:val="auto"/>
        </w:rPr>
        <w:t xml:space="preserve"> energy commodities as defined in Schedule 1 of the NGER Regulations. These comprise a range of solid, liquid and gaseous fuels, including naturally occurring materials and fuels derived from other sources. Other energy commodities such as electricity, as well as renewable energy commodities such as wind and solar energy used for electricity generation are also covered. </w:t>
      </w:r>
    </w:p>
    <w:p w14:paraId="6E564C12" w14:textId="2600E78A" w:rsidR="00A57A5C" w:rsidRPr="00FF338C" w:rsidRDefault="00A57A5C" w:rsidP="00A57A5C">
      <w:r w:rsidRPr="00FF338C">
        <w:t xml:space="preserve">Correct reporting of energy flows under NGER requires </w:t>
      </w:r>
      <w:r w:rsidR="001848D4">
        <w:t>3</w:t>
      </w:r>
      <w:r w:rsidRPr="00FF338C">
        <w:t xml:space="preserve"> totals to be prepared:</w:t>
      </w:r>
    </w:p>
    <w:p w14:paraId="7FB13E41" w14:textId="77777777" w:rsidR="00A57A5C" w:rsidRPr="00FF338C" w:rsidRDefault="00A57A5C" w:rsidP="00B3330E">
      <w:pPr>
        <w:numPr>
          <w:ilvl w:val="0"/>
          <w:numId w:val="1"/>
        </w:numPr>
        <w:spacing w:before="120" w:after="120"/>
        <w:rPr>
          <w:b/>
        </w:rPr>
      </w:pPr>
      <w:r w:rsidRPr="007D5032">
        <w:rPr>
          <w:bCs/>
        </w:rPr>
        <w:t>Production of energy</w:t>
      </w:r>
      <w:r w:rsidRPr="00FF338C">
        <w:rPr>
          <w:b/>
        </w:rPr>
        <w:t xml:space="preserve"> </w:t>
      </w:r>
      <w:r w:rsidRPr="00FF338C">
        <w:t xml:space="preserve">– defined in NGER </w:t>
      </w:r>
      <w:r>
        <w:t>r</w:t>
      </w:r>
      <w:r w:rsidRPr="00FF338C">
        <w:t>egulation 2.25 as:</w:t>
      </w:r>
    </w:p>
    <w:p w14:paraId="4DAE3D39" w14:textId="77777777" w:rsidR="00A57A5C" w:rsidRPr="00FF338C" w:rsidRDefault="00A57A5C" w:rsidP="00B3330E">
      <w:pPr>
        <w:pStyle w:val="CERbullets"/>
        <w:numPr>
          <w:ilvl w:val="1"/>
          <w:numId w:val="1"/>
        </w:numPr>
      </w:pPr>
      <w:r w:rsidRPr="00FF338C">
        <w:t>extraction or capture of energy from natural sources for final consumption by or from the operation of the facility, or for use other than in the operation of the facility</w:t>
      </w:r>
    </w:p>
    <w:p w14:paraId="306F860E" w14:textId="77777777" w:rsidR="00A57A5C" w:rsidRPr="00FF338C" w:rsidRDefault="00A57A5C" w:rsidP="00B3330E">
      <w:pPr>
        <w:pStyle w:val="CERbullets"/>
        <w:numPr>
          <w:ilvl w:val="1"/>
          <w:numId w:val="1"/>
        </w:numPr>
      </w:pPr>
      <w:r w:rsidRPr="00FF338C">
        <w:t>manufacture of energy by the conversion of energy from one form to another form for final consumption by or from the operation of the facility, or for use other than in the operation of the facility.</w:t>
      </w:r>
    </w:p>
    <w:p w14:paraId="41769277" w14:textId="77777777" w:rsidR="00A57A5C" w:rsidRPr="00FF338C" w:rsidRDefault="00A57A5C" w:rsidP="00B3330E">
      <w:pPr>
        <w:numPr>
          <w:ilvl w:val="0"/>
          <w:numId w:val="1"/>
        </w:numPr>
        <w:spacing w:before="120" w:after="120"/>
      </w:pPr>
      <w:r w:rsidRPr="007D5032">
        <w:rPr>
          <w:rFonts w:ascii="Calibri" w:hAnsi="Calibri"/>
          <w:color w:val="000000"/>
          <w:szCs w:val="22"/>
        </w:rPr>
        <w:t>Consumption of energy</w:t>
      </w:r>
      <w:r w:rsidRPr="00FF338C">
        <w:rPr>
          <w:rFonts w:ascii="Calibri" w:hAnsi="Calibri"/>
          <w:b/>
          <w:bCs/>
          <w:color w:val="000000"/>
          <w:szCs w:val="22"/>
        </w:rPr>
        <w:t xml:space="preserve"> </w:t>
      </w:r>
      <w:r w:rsidRPr="00FF338C">
        <w:rPr>
          <w:rFonts w:ascii="Calibri" w:hAnsi="Calibri"/>
          <w:bCs/>
          <w:color w:val="000000"/>
          <w:szCs w:val="22"/>
        </w:rPr>
        <w:t xml:space="preserve">– defined in NGER </w:t>
      </w:r>
      <w:r>
        <w:rPr>
          <w:rFonts w:ascii="Calibri" w:hAnsi="Calibri"/>
          <w:bCs/>
          <w:color w:val="000000"/>
          <w:szCs w:val="22"/>
        </w:rPr>
        <w:t>r</w:t>
      </w:r>
      <w:r w:rsidRPr="00FF338C">
        <w:rPr>
          <w:rFonts w:ascii="Calibri" w:hAnsi="Calibri"/>
          <w:bCs/>
          <w:color w:val="000000"/>
          <w:szCs w:val="22"/>
        </w:rPr>
        <w:t>egulation 2.26</w:t>
      </w:r>
      <w:r w:rsidRPr="00FF338C">
        <w:t xml:space="preserve"> as the </w:t>
      </w:r>
      <w:r w:rsidRPr="00872A70">
        <w:rPr>
          <w:iCs/>
        </w:rPr>
        <w:t>use or disposal of energy from the operation of the facility, including own-use and losses in extraction, production and transmission</w:t>
      </w:r>
      <w:r w:rsidRPr="00FF338C">
        <w:rPr>
          <w:i/>
        </w:rPr>
        <w:t>.</w:t>
      </w:r>
    </w:p>
    <w:p w14:paraId="7CDDAEBA" w14:textId="77777777" w:rsidR="00A57A5C" w:rsidRPr="00FF338C" w:rsidRDefault="00A57A5C" w:rsidP="00B3330E">
      <w:pPr>
        <w:numPr>
          <w:ilvl w:val="0"/>
          <w:numId w:val="1"/>
        </w:numPr>
        <w:spacing w:before="120" w:after="120"/>
      </w:pPr>
      <w:r w:rsidRPr="007D5032">
        <w:rPr>
          <w:bCs/>
        </w:rPr>
        <w:t>Net energy consumption</w:t>
      </w:r>
      <w:r w:rsidRPr="00FF338C">
        <w:t xml:space="preserve"> – </w:t>
      </w:r>
      <w:r>
        <w:t>see</w:t>
      </w:r>
      <w:r w:rsidRPr="00FF338C">
        <w:t xml:space="preserve"> </w:t>
      </w:r>
      <w:hyperlink w:anchor="_Net_Energy_Consumption" w:history="1">
        <w:r w:rsidRPr="00A30145">
          <w:rPr>
            <w:rStyle w:val="Hyperlink"/>
            <w:rFonts w:asciiTheme="minorHAnsi" w:hAnsiTheme="minorHAnsi"/>
          </w:rPr>
          <w:t>chapter 7.6</w:t>
        </w:r>
      </w:hyperlink>
      <w:r w:rsidRPr="00FF338C">
        <w:t xml:space="preserve"> of this guideline.</w:t>
      </w:r>
    </w:p>
    <w:p w14:paraId="5F850B0E" w14:textId="77777777" w:rsidR="00A57A5C" w:rsidRPr="00FF338C" w:rsidRDefault="00A57A5C" w:rsidP="00A57A5C">
      <w:pPr>
        <w:rPr>
          <w:color w:val="auto"/>
        </w:rPr>
      </w:pPr>
      <w:r w:rsidRPr="00FF338C">
        <w:t>These totals are prepared by aggregating estimates of the calorific values of individual energy flows across a facility over the reporting year (measured in gigajoules</w:t>
      </w:r>
      <w:r>
        <w:t xml:space="preserve"> (</w:t>
      </w:r>
      <w:r w:rsidRPr="00FF338C">
        <w:t>GJ</w:t>
      </w:r>
      <w:r>
        <w:t>)</w:t>
      </w:r>
      <w:r w:rsidRPr="00FF338C">
        <w:t xml:space="preserve">). </w:t>
      </w:r>
      <w:r w:rsidRPr="00FF338C">
        <w:rPr>
          <w:color w:val="auto"/>
        </w:rPr>
        <w:t xml:space="preserve">When reporting energy production and consumption, only those fuels and energy commodities that are listed in Schedule 1 of the NGER Regulations </w:t>
      </w:r>
      <w:r w:rsidRPr="00203E01">
        <w:rPr>
          <w:color w:val="auto"/>
        </w:rPr>
        <w:t>and</w:t>
      </w:r>
      <w:r w:rsidRPr="00FF338C">
        <w:rPr>
          <w:color w:val="auto"/>
        </w:rPr>
        <w:t xml:space="preserve"> for which there are applicable methods in the </w:t>
      </w:r>
      <w:r>
        <w:rPr>
          <w:color w:val="auto"/>
        </w:rPr>
        <w:t>NGER Measurement Determination</w:t>
      </w:r>
      <w:r w:rsidRPr="00FF338C">
        <w:rPr>
          <w:color w:val="auto"/>
        </w:rPr>
        <w:t xml:space="preserve"> </w:t>
      </w:r>
      <w:r w:rsidRPr="00FF338C" w:rsidDel="00354E1B">
        <w:rPr>
          <w:color w:val="auto"/>
        </w:rPr>
        <w:t xml:space="preserve">should </w:t>
      </w:r>
      <w:r w:rsidRPr="00FF338C">
        <w:rPr>
          <w:color w:val="auto"/>
        </w:rPr>
        <w:t>be reported.</w:t>
      </w:r>
    </w:p>
    <w:p w14:paraId="0E061119" w14:textId="77777777" w:rsidR="00A57A5C" w:rsidRPr="00FF338C" w:rsidRDefault="00A57A5C" w:rsidP="00A57A5C">
      <w:r w:rsidRPr="00FF338C">
        <w:t>For generation facilities</w:t>
      </w:r>
      <w:r>
        <w:t>,</w:t>
      </w:r>
      <w:r w:rsidRPr="00FF338C">
        <w:t xml:space="preserve"> the majority of energy produced is</w:t>
      </w:r>
      <w:r>
        <w:t xml:space="preserve"> electricity delivered off-site</w:t>
      </w:r>
      <w:r w:rsidRPr="00FF338C">
        <w:t xml:space="preserve"> </w:t>
      </w:r>
      <w:r>
        <w:t>and</w:t>
      </w:r>
      <w:r w:rsidRPr="00FF338C">
        <w:t xml:space="preserve"> the majority of energy consumed </w:t>
      </w:r>
      <w:r>
        <w:t xml:space="preserve">is </w:t>
      </w:r>
      <w:r w:rsidRPr="00FF338C">
        <w:t xml:space="preserve">fuels for generation </w:t>
      </w:r>
      <w:r>
        <w:t xml:space="preserve">plus </w:t>
      </w:r>
      <w:r w:rsidRPr="00FF338C">
        <w:t>any electricity used or lost on site. For transmission and distribution facilities, line losses usually constitute the majority of energy consu</w:t>
      </w:r>
      <w:r>
        <w:t>med</w:t>
      </w:r>
      <w:r w:rsidRPr="00FF338C">
        <w:t xml:space="preserve"> with minimal or no energy production.</w:t>
      </w:r>
    </w:p>
    <w:tbl>
      <w:tblPr>
        <w:tblStyle w:val="CERCallout"/>
        <w:tblW w:w="0" w:type="auto"/>
        <w:tblLook w:val="04A0" w:firstRow="1" w:lastRow="0" w:firstColumn="1" w:lastColumn="0" w:noHBand="0" w:noVBand="1"/>
      </w:tblPr>
      <w:tblGrid>
        <w:gridCol w:w="9710"/>
      </w:tblGrid>
      <w:tr w:rsidR="00A57A5C" w:rsidRPr="00FF338C" w14:paraId="7672D8B0" w14:textId="77777777" w:rsidTr="00D549C7">
        <w:trPr>
          <w:cnfStyle w:val="100000000000" w:firstRow="1" w:lastRow="0" w:firstColumn="0" w:lastColumn="0" w:oddVBand="0" w:evenVBand="0" w:oddHBand="0" w:evenHBand="0" w:firstRowFirstColumn="0" w:firstRowLastColumn="0" w:lastRowFirstColumn="0" w:lastRowLastColumn="0"/>
        </w:trPr>
        <w:tc>
          <w:tcPr>
            <w:tcW w:w="9730" w:type="dxa"/>
          </w:tcPr>
          <w:p w14:paraId="19CAACF9" w14:textId="77777777" w:rsidR="00A57A5C" w:rsidRPr="00FB5D2B" w:rsidRDefault="00A57A5C" w:rsidP="00D549C7">
            <w:pPr>
              <w:pStyle w:val="Heading5"/>
              <w:ind w:left="2"/>
              <w:rPr>
                <w:b/>
                <w:bCs/>
              </w:rPr>
            </w:pPr>
            <w:bookmarkStart w:id="234" w:name="_Toc526867718"/>
            <w:bookmarkStart w:id="235" w:name="_Toc526869760"/>
            <w:bookmarkStart w:id="236" w:name="_Toc107922572"/>
            <w:r w:rsidRPr="00FB5D2B">
              <w:rPr>
                <w:b/>
                <w:bCs/>
              </w:rPr>
              <w:t>Example – Energy production and consumption from a gas fired power station</w:t>
            </w:r>
            <w:bookmarkEnd w:id="234"/>
            <w:bookmarkEnd w:id="235"/>
            <w:bookmarkEnd w:id="236"/>
          </w:p>
          <w:p w14:paraId="0F5A8B7A" w14:textId="77777777" w:rsidR="00A57A5C" w:rsidRPr="00FB5D2B" w:rsidRDefault="000D1A50" w:rsidP="00703446">
            <w:pPr>
              <w:pStyle w:val="CERbullets"/>
              <w:numPr>
                <w:ilvl w:val="0"/>
                <w:numId w:val="0"/>
              </w:numPr>
              <w:ind w:left="2"/>
              <w:rPr>
                <w:b w:val="0"/>
                <w:bCs/>
              </w:rPr>
            </w:pPr>
            <w:hyperlink w:anchor="_Appendix_A_–" w:history="1">
              <w:r w:rsidR="00A57A5C" w:rsidRPr="00FB5D2B">
                <w:rPr>
                  <w:rStyle w:val="Hyperlink"/>
                  <w:rFonts w:asciiTheme="minorHAnsi" w:hAnsiTheme="minorHAnsi"/>
                  <w:b w:val="0"/>
                  <w:bCs/>
                </w:rPr>
                <w:t>Case example 1 in Appendix A</w:t>
              </w:r>
            </w:hyperlink>
            <w:r w:rsidR="00A57A5C" w:rsidRPr="00FB5D2B">
              <w:rPr>
                <w:b w:val="0"/>
                <w:bCs/>
              </w:rPr>
              <w:t xml:space="preserve"> in respect of a gas-fired power station illustrates the concept of energy as a commodity with reference to energy production and energy consumption.</w:t>
            </w:r>
          </w:p>
          <w:p w14:paraId="1FA57195" w14:textId="77777777" w:rsidR="00A57A5C" w:rsidRPr="00FB5D2B" w:rsidRDefault="00A57A5C" w:rsidP="00703446">
            <w:pPr>
              <w:pStyle w:val="CERbullets"/>
              <w:numPr>
                <w:ilvl w:val="0"/>
                <w:numId w:val="0"/>
              </w:numPr>
              <w:ind w:left="2"/>
              <w:rPr>
                <w:b w:val="0"/>
                <w:bCs/>
              </w:rPr>
            </w:pPr>
            <w:r w:rsidRPr="00FB5D2B">
              <w:rPr>
                <w:b w:val="0"/>
                <w:bCs/>
              </w:rPr>
              <w:t>In this case, energy production comprises:</w:t>
            </w:r>
          </w:p>
          <w:p w14:paraId="290325B1" w14:textId="77777777" w:rsidR="00A57A5C" w:rsidRPr="00FB5D2B" w:rsidRDefault="00A57A5C" w:rsidP="00B3330E">
            <w:pPr>
              <w:pStyle w:val="CERbullets"/>
              <w:numPr>
                <w:ilvl w:val="0"/>
                <w:numId w:val="4"/>
              </w:numPr>
              <w:spacing w:beforeAutospacing="0"/>
              <w:ind w:left="428"/>
              <w:rPr>
                <w:b w:val="0"/>
                <w:bCs/>
              </w:rPr>
            </w:pPr>
            <w:r w:rsidRPr="00FB5D2B">
              <w:rPr>
                <w:b w:val="0"/>
                <w:bCs/>
              </w:rPr>
              <w:t>electricity produced and consumed at the facility (see numbers 4 and 5 in figure 8)</w:t>
            </w:r>
          </w:p>
          <w:p w14:paraId="78C9B27E" w14:textId="77777777" w:rsidR="00A57A5C" w:rsidRPr="00FB5D2B" w:rsidRDefault="00A57A5C" w:rsidP="00B3330E">
            <w:pPr>
              <w:pStyle w:val="CERbullets"/>
              <w:numPr>
                <w:ilvl w:val="0"/>
                <w:numId w:val="4"/>
              </w:numPr>
              <w:spacing w:beforeAutospacing="0"/>
              <w:ind w:left="428"/>
              <w:rPr>
                <w:b w:val="0"/>
                <w:bCs/>
              </w:rPr>
            </w:pPr>
            <w:r w:rsidRPr="00FB5D2B">
              <w:rPr>
                <w:b w:val="0"/>
                <w:bCs/>
              </w:rPr>
              <w:t>electricity produced and delivered directly to the nearby facility (see number 6 in figure 8)</w:t>
            </w:r>
          </w:p>
          <w:p w14:paraId="6CD178A4" w14:textId="77777777" w:rsidR="00A57A5C" w:rsidRPr="00FB5D2B" w:rsidRDefault="00A57A5C" w:rsidP="00B3330E">
            <w:pPr>
              <w:pStyle w:val="CERbullets"/>
              <w:numPr>
                <w:ilvl w:val="0"/>
                <w:numId w:val="4"/>
              </w:numPr>
              <w:spacing w:beforeAutospacing="0"/>
              <w:ind w:left="428"/>
              <w:rPr>
                <w:b w:val="0"/>
                <w:bCs/>
              </w:rPr>
            </w:pPr>
            <w:r w:rsidRPr="00FB5D2B">
              <w:rPr>
                <w:b w:val="0"/>
                <w:bCs/>
              </w:rPr>
              <w:t>electricity transferred to an electricity network (see number 7 in figure 8).</w:t>
            </w:r>
          </w:p>
          <w:p w14:paraId="3B0E28EF" w14:textId="77777777" w:rsidR="00A57A5C" w:rsidRPr="00FB5D2B" w:rsidRDefault="00A57A5C" w:rsidP="00703446">
            <w:pPr>
              <w:pStyle w:val="CERbullets"/>
              <w:numPr>
                <w:ilvl w:val="0"/>
                <w:numId w:val="0"/>
              </w:numPr>
              <w:ind w:left="2"/>
              <w:rPr>
                <w:b w:val="0"/>
                <w:bCs/>
              </w:rPr>
            </w:pPr>
            <w:r w:rsidRPr="00FB5D2B">
              <w:rPr>
                <w:b w:val="0"/>
                <w:bCs/>
              </w:rPr>
              <w:t>In this case, energy consumption comprises:</w:t>
            </w:r>
          </w:p>
          <w:p w14:paraId="29452E52" w14:textId="77777777" w:rsidR="00A57A5C" w:rsidRPr="00FB5D2B" w:rsidRDefault="00A57A5C" w:rsidP="00B3330E">
            <w:pPr>
              <w:pStyle w:val="CERbullets"/>
              <w:numPr>
                <w:ilvl w:val="0"/>
                <w:numId w:val="4"/>
              </w:numPr>
              <w:spacing w:beforeAutospacing="0"/>
              <w:ind w:left="428"/>
              <w:rPr>
                <w:b w:val="0"/>
                <w:bCs/>
              </w:rPr>
            </w:pPr>
            <w:r w:rsidRPr="00FB5D2B">
              <w:rPr>
                <w:b w:val="0"/>
                <w:bCs/>
              </w:rPr>
              <w:t>gas combusted for generation purposes (see number 2 in figure 8)</w:t>
            </w:r>
          </w:p>
          <w:p w14:paraId="5E0EBCEE" w14:textId="77777777" w:rsidR="00A57A5C" w:rsidRPr="00FF338C" w:rsidRDefault="00A57A5C" w:rsidP="00B3330E">
            <w:pPr>
              <w:pStyle w:val="CERbullets"/>
              <w:numPr>
                <w:ilvl w:val="0"/>
                <w:numId w:val="4"/>
              </w:numPr>
              <w:spacing w:beforeAutospacing="0"/>
              <w:ind w:left="428"/>
            </w:pPr>
            <w:r w:rsidRPr="00FB5D2B">
              <w:rPr>
                <w:b w:val="0"/>
                <w:bCs/>
              </w:rPr>
              <w:t>own produced electricity consumed by facility (see number 5 in figure 8).</w:t>
            </w:r>
          </w:p>
        </w:tc>
      </w:tr>
    </w:tbl>
    <w:p w14:paraId="2EEFDD29" w14:textId="77777777" w:rsidR="00A57A5C" w:rsidRPr="00FF338C" w:rsidRDefault="00A57A5C" w:rsidP="00DB4B56">
      <w:pPr>
        <w:pStyle w:val="Heading2"/>
        <w:numPr>
          <w:ilvl w:val="1"/>
          <w:numId w:val="3"/>
        </w:numPr>
        <w:ind w:left="426" w:hanging="426"/>
      </w:pPr>
      <w:bookmarkStart w:id="237" w:name="_Estimating_energy_production"/>
      <w:bookmarkStart w:id="238" w:name="_Ref511319172"/>
      <w:bookmarkStart w:id="239" w:name="_Toc511376931"/>
      <w:bookmarkStart w:id="240" w:name="_Toc511388528"/>
      <w:bookmarkStart w:id="241" w:name="_Toc511389450"/>
      <w:bookmarkStart w:id="242" w:name="_Toc511392959"/>
      <w:bookmarkStart w:id="243" w:name="_Toc511732490"/>
      <w:bookmarkStart w:id="244" w:name="_Toc512010412"/>
      <w:bookmarkStart w:id="245" w:name="_Toc512339611"/>
      <w:bookmarkStart w:id="246" w:name="_Toc106705768"/>
      <w:bookmarkStart w:id="247" w:name="_Toc107922573"/>
      <w:bookmarkEnd w:id="237"/>
      <w:r w:rsidRPr="00FF338C">
        <w:t>Estimating energy production and consumption</w:t>
      </w:r>
      <w:bookmarkEnd w:id="238"/>
      <w:bookmarkEnd w:id="239"/>
      <w:bookmarkEnd w:id="240"/>
      <w:bookmarkEnd w:id="241"/>
      <w:bookmarkEnd w:id="242"/>
      <w:bookmarkEnd w:id="243"/>
      <w:bookmarkEnd w:id="244"/>
      <w:bookmarkEnd w:id="245"/>
      <w:bookmarkEnd w:id="246"/>
      <w:bookmarkEnd w:id="247"/>
    </w:p>
    <w:p w14:paraId="4304463C" w14:textId="6B3DC045" w:rsidR="00A57A5C" w:rsidRDefault="00A57A5C" w:rsidP="00A57A5C">
      <w:pPr>
        <w:rPr>
          <w:color w:val="auto"/>
        </w:rPr>
      </w:pPr>
      <w:r w:rsidRPr="00FF338C">
        <w:rPr>
          <w:color w:val="auto"/>
        </w:rPr>
        <w:t xml:space="preserve">Both total energy production and total energy consumption from the operation of a facility during a reporting year are estimated using the following equation: </w:t>
      </w:r>
    </w:p>
    <w:p w14:paraId="72C60EAC" w14:textId="77777777" w:rsidR="006B1FD6" w:rsidRPr="006B1FD6" w:rsidRDefault="006B1FD6" w:rsidP="006B1FD6">
      <w:pPr>
        <w:ind w:left="360"/>
        <w:rPr>
          <w:b/>
          <w:color w:val="auto"/>
        </w:rPr>
      </w:pPr>
      <w:r w:rsidRPr="006B1FD6">
        <w:rPr>
          <w:b/>
          <w:color w:val="auto"/>
        </w:rPr>
        <w:t>Z = Q x EC</w:t>
      </w:r>
    </w:p>
    <w:p w14:paraId="332DE41B" w14:textId="77777777" w:rsidR="006B1FD6" w:rsidRPr="006B1FD6" w:rsidRDefault="006B1FD6" w:rsidP="006B1FD6">
      <w:pPr>
        <w:ind w:firstLine="360"/>
        <w:rPr>
          <w:b/>
          <w:color w:val="auto"/>
        </w:rPr>
      </w:pPr>
      <w:r w:rsidRPr="006B1FD6">
        <w:rPr>
          <w:b/>
          <w:color w:val="auto"/>
        </w:rPr>
        <w:t>where:</w:t>
      </w:r>
    </w:p>
    <w:p w14:paraId="0294B0F6" w14:textId="77777777" w:rsidR="006B1FD6" w:rsidRPr="006B1FD6" w:rsidRDefault="006B1FD6" w:rsidP="006B1FD6">
      <w:pPr>
        <w:ind w:left="360"/>
        <w:rPr>
          <w:b/>
          <w:color w:val="auto"/>
        </w:rPr>
      </w:pPr>
      <w:r w:rsidRPr="006B1FD6">
        <w:rPr>
          <w:b/>
          <w:color w:val="auto"/>
        </w:rPr>
        <w:t>Z is the amount of an individual fuel or energy commodity produced or consumed in GJ</w:t>
      </w:r>
    </w:p>
    <w:p w14:paraId="1D5575FB" w14:textId="77777777" w:rsidR="006B1FD6" w:rsidRPr="006B1FD6" w:rsidRDefault="006B1FD6" w:rsidP="006B1FD6">
      <w:pPr>
        <w:ind w:left="360"/>
        <w:rPr>
          <w:b/>
          <w:color w:val="auto"/>
        </w:rPr>
      </w:pPr>
      <w:r w:rsidRPr="006B1FD6">
        <w:rPr>
          <w:b/>
          <w:color w:val="auto"/>
        </w:rPr>
        <w:t>Q is the physical quantity of the fuel or energy commodity produced or consumed during the year</w:t>
      </w:r>
    </w:p>
    <w:p w14:paraId="3B0610FA" w14:textId="729BE2E4" w:rsidR="006B1FD6" w:rsidRPr="006B1FD6" w:rsidRDefault="006B1FD6" w:rsidP="006B1FD6">
      <w:pPr>
        <w:rPr>
          <w:b/>
          <w:color w:val="auto"/>
        </w:rPr>
      </w:pPr>
      <w:r w:rsidRPr="006B1FD6">
        <w:rPr>
          <w:b/>
          <w:color w:val="auto"/>
        </w:rPr>
        <w:t>EC is the energy content factor of the fuel or energy commodity.</w:t>
      </w:r>
    </w:p>
    <w:p w14:paraId="48339CD4" w14:textId="77777777" w:rsidR="00A57A5C" w:rsidRDefault="00A57A5C" w:rsidP="00A57A5C">
      <w:pPr>
        <w:rPr>
          <w:color w:val="auto"/>
        </w:rPr>
      </w:pPr>
      <w:r w:rsidRPr="00FF338C">
        <w:rPr>
          <w:color w:val="auto"/>
        </w:rPr>
        <w:t>Individual energy flows on a per-gigajoule basis are aggregated to derive total energy production and energy consumption figures. In the case of electricity production and consumption, Q is measured in kWh, and the energy content factor is 0.0036 GJ per kWh.</w:t>
      </w:r>
    </w:p>
    <w:p w14:paraId="7F1459E9" w14:textId="77777777" w:rsidR="00A57A5C" w:rsidRPr="00FF338C" w:rsidRDefault="00A57A5C" w:rsidP="00A57A5C">
      <w:pPr>
        <w:rPr>
          <w:color w:val="auto"/>
        </w:rPr>
      </w:pPr>
      <w:r>
        <w:rPr>
          <w:color w:val="auto"/>
        </w:rPr>
        <w:t xml:space="preserve">In the case of hydrogen production and consumption, Q is measured in tonnes, and the energy content factory is 143 GJ per tonne. There is no threshold for the reporting of hydrogen production or consumption which occurs at a facility. </w:t>
      </w:r>
    </w:p>
    <w:p w14:paraId="4ACA4B3C" w14:textId="77777777" w:rsidR="00A57A5C" w:rsidRPr="00FF338C" w:rsidRDefault="00A57A5C" w:rsidP="00DB4B56">
      <w:pPr>
        <w:pStyle w:val="Heading2"/>
        <w:numPr>
          <w:ilvl w:val="1"/>
          <w:numId w:val="3"/>
        </w:numPr>
        <w:ind w:left="426" w:hanging="426"/>
      </w:pPr>
      <w:bookmarkStart w:id="248" w:name="_Electricity_production_and"/>
      <w:bookmarkStart w:id="249" w:name="_Ref511911829"/>
      <w:bookmarkStart w:id="250" w:name="_Ref511911830"/>
      <w:bookmarkStart w:id="251" w:name="_Toc512010413"/>
      <w:bookmarkStart w:id="252" w:name="_Toc512339612"/>
      <w:bookmarkStart w:id="253" w:name="_Toc106705769"/>
      <w:bookmarkStart w:id="254" w:name="_Toc107922574"/>
      <w:bookmarkEnd w:id="248"/>
      <w:r w:rsidRPr="00FF338C">
        <w:t>Electricity production and consumption</w:t>
      </w:r>
      <w:bookmarkEnd w:id="249"/>
      <w:bookmarkEnd w:id="250"/>
      <w:bookmarkEnd w:id="251"/>
      <w:bookmarkEnd w:id="252"/>
      <w:bookmarkEnd w:id="253"/>
      <w:bookmarkEnd w:id="254"/>
      <w:r w:rsidRPr="00FF338C">
        <w:t xml:space="preserve"> </w:t>
      </w:r>
    </w:p>
    <w:p w14:paraId="4DB525EC" w14:textId="77777777" w:rsidR="00A57A5C" w:rsidRPr="00FF338C" w:rsidRDefault="00A57A5C" w:rsidP="00A57A5C">
      <w:r w:rsidRPr="00FF338C">
        <w:t>Electricity production is typically the largest individual energy flow within the electricity generation sector. Electricity production and consumption must be reported if it exceeds the thresholds listed in</w:t>
      </w:r>
      <w:r>
        <w:t xml:space="preserve"> NGER</w:t>
      </w:r>
      <w:r w:rsidRPr="00FF338C">
        <w:t xml:space="preserve"> Regulations 4.19, 4.20 and 4.23, and section 2.68 of the </w:t>
      </w:r>
      <w:r>
        <w:t>NGER Measurement Determination</w:t>
      </w:r>
      <w:r w:rsidRPr="00FF338C">
        <w:t>, summarised below.</w:t>
      </w:r>
    </w:p>
    <w:p w14:paraId="397CA281" w14:textId="77777777" w:rsidR="00A57A5C" w:rsidRPr="00FF338C" w:rsidRDefault="00A57A5C" w:rsidP="00A57A5C">
      <w:pPr>
        <w:pStyle w:val="Caption"/>
        <w:keepNext/>
      </w:pPr>
      <w:bookmarkStart w:id="255" w:name="_Ref506298437"/>
      <w:bookmarkStart w:id="256" w:name="_Toc506798160"/>
      <w:bookmarkStart w:id="257" w:name="_Ref511912898"/>
      <w:r w:rsidRPr="00FF338C">
        <w:t xml:space="preserve">Table </w:t>
      </w:r>
      <w:r>
        <w:t>10</w:t>
      </w:r>
      <w:bookmarkEnd w:id="255"/>
      <w:r w:rsidRPr="00FF338C">
        <w:t xml:space="preserve"> – Thresholds for energy reporting from electricity production and consumption (amount of electricity in a reporting year)</w:t>
      </w:r>
      <w:bookmarkEnd w:id="256"/>
      <w:bookmarkEnd w:id="257"/>
    </w:p>
    <w:tbl>
      <w:tblPr>
        <w:tblStyle w:val="CERTable"/>
        <w:tblW w:w="9730" w:type="dxa"/>
        <w:tblLayout w:type="fixed"/>
        <w:tblLook w:val="04A0" w:firstRow="1" w:lastRow="0" w:firstColumn="1" w:lastColumn="0" w:noHBand="0" w:noVBand="1"/>
      </w:tblPr>
      <w:tblGrid>
        <w:gridCol w:w="1945"/>
        <w:gridCol w:w="1945"/>
        <w:gridCol w:w="1944"/>
        <w:gridCol w:w="1944"/>
        <w:gridCol w:w="1942"/>
        <w:gridCol w:w="10"/>
      </w:tblGrid>
      <w:tr w:rsidR="00A57A5C" w:rsidRPr="00FF338C" w14:paraId="58C52217" w14:textId="77777777" w:rsidTr="00D549C7">
        <w:trPr>
          <w:gridAfter w:val="1"/>
          <w:cnfStyle w:val="100000000000" w:firstRow="1" w:lastRow="0" w:firstColumn="0" w:lastColumn="0" w:oddVBand="0" w:evenVBand="0" w:oddHBand="0" w:evenHBand="0" w:firstRowFirstColumn="0" w:firstRowLastColumn="0" w:lastRowFirstColumn="0" w:lastRowLastColumn="0"/>
          <w:wAfter w:w="10" w:type="dxa"/>
          <w:trHeight w:val="214"/>
        </w:trPr>
        <w:tc>
          <w:tcPr>
            <w:cnfStyle w:val="001000000000" w:firstRow="0" w:lastRow="0" w:firstColumn="1" w:lastColumn="0" w:oddVBand="0" w:evenVBand="0" w:oddHBand="0" w:evenHBand="0" w:firstRowFirstColumn="0" w:firstRowLastColumn="0" w:lastRowFirstColumn="0" w:lastRowLastColumn="0"/>
            <w:tcW w:w="1944" w:type="dxa"/>
          </w:tcPr>
          <w:p w14:paraId="7D730B8C" w14:textId="77777777" w:rsidR="00A57A5C" w:rsidRPr="00FF338C" w:rsidRDefault="00A57A5C" w:rsidP="00D549C7">
            <w:pPr>
              <w:pStyle w:val="Body"/>
              <w:spacing w:before="37" w:after="75"/>
              <w:ind w:left="0"/>
              <w:rPr>
                <w:rFonts w:asciiTheme="minorHAnsi" w:hAnsiTheme="minorHAnsi"/>
                <w:sz w:val="22"/>
                <w:szCs w:val="22"/>
              </w:rPr>
            </w:pPr>
            <w:r w:rsidRPr="00FF338C">
              <w:rPr>
                <w:rFonts w:asciiTheme="minorHAnsi" w:hAnsiTheme="minorHAnsi"/>
                <w:sz w:val="22"/>
                <w:szCs w:val="22"/>
              </w:rPr>
              <w:t>Individual generating unit capacity</w:t>
            </w:r>
          </w:p>
        </w:tc>
        <w:tc>
          <w:tcPr>
            <w:tcW w:w="1944" w:type="dxa"/>
          </w:tcPr>
          <w:p w14:paraId="418EEE26" w14:textId="77777777" w:rsidR="00A57A5C" w:rsidRPr="00FF338C" w:rsidRDefault="00A57A5C" w:rsidP="00D549C7">
            <w:pPr>
              <w:pStyle w:val="Body"/>
              <w:spacing w:before="37" w:after="75"/>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FF338C">
              <w:rPr>
                <w:rFonts w:asciiTheme="minorHAnsi" w:hAnsiTheme="minorHAnsi"/>
                <w:sz w:val="22"/>
                <w:szCs w:val="22"/>
              </w:rPr>
              <w:t>Electricity production by the unit</w:t>
            </w:r>
          </w:p>
        </w:tc>
        <w:tc>
          <w:tcPr>
            <w:tcW w:w="1944" w:type="dxa"/>
          </w:tcPr>
          <w:p w14:paraId="2352FE0D" w14:textId="77777777" w:rsidR="00A57A5C" w:rsidRPr="00FF338C" w:rsidRDefault="00A57A5C" w:rsidP="00D549C7">
            <w:pPr>
              <w:pStyle w:val="Body"/>
              <w:spacing w:before="37" w:after="75"/>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vertAlign w:val="superscript"/>
              </w:rPr>
            </w:pPr>
            <w:r w:rsidRPr="00FF338C">
              <w:rPr>
                <w:rFonts w:asciiTheme="minorHAnsi" w:hAnsiTheme="minorHAnsi"/>
                <w:sz w:val="22"/>
                <w:szCs w:val="22"/>
              </w:rPr>
              <w:t>Electricity consumption from onsite generation</w:t>
            </w:r>
          </w:p>
        </w:tc>
        <w:tc>
          <w:tcPr>
            <w:tcW w:w="1944" w:type="dxa"/>
          </w:tcPr>
          <w:p w14:paraId="41E8EED2" w14:textId="77777777" w:rsidR="00A57A5C" w:rsidRPr="00FF338C" w:rsidRDefault="00A57A5C" w:rsidP="00D549C7">
            <w:pPr>
              <w:pStyle w:val="Body"/>
              <w:spacing w:before="37" w:after="75"/>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FF338C">
              <w:rPr>
                <w:rFonts w:asciiTheme="minorHAnsi" w:hAnsiTheme="minorHAnsi"/>
                <w:sz w:val="22"/>
                <w:szCs w:val="22"/>
              </w:rPr>
              <w:t>Electricity consumption from generation offsite (associated with scope 2 emissions)</w:t>
            </w:r>
          </w:p>
        </w:tc>
        <w:tc>
          <w:tcPr>
            <w:tcW w:w="1944" w:type="dxa"/>
          </w:tcPr>
          <w:p w14:paraId="201ECDAD" w14:textId="77777777" w:rsidR="00A57A5C" w:rsidRPr="00FF338C" w:rsidRDefault="00A57A5C" w:rsidP="00D549C7">
            <w:pPr>
              <w:pStyle w:val="Body"/>
              <w:spacing w:before="37" w:after="75"/>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FF338C">
              <w:rPr>
                <w:rFonts w:asciiTheme="minorHAnsi" w:hAnsiTheme="minorHAnsi"/>
                <w:sz w:val="22"/>
                <w:szCs w:val="22"/>
              </w:rPr>
              <w:t>Energy consumption during cogeneration</w:t>
            </w:r>
          </w:p>
        </w:tc>
      </w:tr>
      <w:tr w:rsidR="00A57A5C" w:rsidRPr="00FF338C" w14:paraId="76872D4F" w14:textId="77777777" w:rsidTr="00D549C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46" w:type="dxa"/>
          </w:tcPr>
          <w:p w14:paraId="1DB9A7B2" w14:textId="77777777" w:rsidR="00A57A5C" w:rsidRPr="00FF338C" w:rsidRDefault="00A57A5C" w:rsidP="00D549C7">
            <w:pPr>
              <w:pStyle w:val="Body"/>
              <w:spacing w:before="37" w:after="75"/>
              <w:ind w:left="0"/>
              <w:rPr>
                <w:rFonts w:asciiTheme="minorHAnsi" w:hAnsiTheme="minorHAnsi"/>
                <w:sz w:val="22"/>
                <w:szCs w:val="22"/>
              </w:rPr>
            </w:pPr>
            <w:r>
              <w:rPr>
                <w:rFonts w:asciiTheme="minorHAnsi" w:hAnsiTheme="minorHAnsi" w:cs="Arial"/>
                <w:sz w:val="22"/>
                <w:szCs w:val="22"/>
              </w:rPr>
              <w:t>&lt;</w:t>
            </w:r>
            <w:r w:rsidRPr="00FF338C">
              <w:rPr>
                <w:rFonts w:asciiTheme="minorHAnsi" w:hAnsiTheme="minorHAnsi"/>
                <w:sz w:val="22"/>
                <w:szCs w:val="22"/>
              </w:rPr>
              <w:t xml:space="preserve"> 0.5 MW</w:t>
            </w:r>
          </w:p>
        </w:tc>
        <w:tc>
          <w:tcPr>
            <w:tcW w:w="1946" w:type="dxa"/>
          </w:tcPr>
          <w:p w14:paraId="76631B3F" w14:textId="77777777" w:rsidR="00A57A5C" w:rsidRPr="00FF338C" w:rsidRDefault="00A57A5C" w:rsidP="00D549C7">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highlight w:val="green"/>
              </w:rPr>
            </w:pPr>
            <w:r w:rsidRPr="00FF338C">
              <w:rPr>
                <w:rFonts w:asciiTheme="minorHAnsi" w:hAnsiTheme="minorHAnsi"/>
                <w:sz w:val="22"/>
                <w:szCs w:val="22"/>
              </w:rPr>
              <w:t>Reporting not required</w:t>
            </w:r>
          </w:p>
        </w:tc>
        <w:tc>
          <w:tcPr>
            <w:tcW w:w="1946" w:type="dxa"/>
          </w:tcPr>
          <w:p w14:paraId="531939F2" w14:textId="77777777" w:rsidR="00A57A5C" w:rsidRPr="00FF338C" w:rsidRDefault="00A57A5C" w:rsidP="00D549C7">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highlight w:val="green"/>
              </w:rPr>
            </w:pPr>
            <w:r w:rsidRPr="00FF338C">
              <w:rPr>
                <w:rFonts w:asciiTheme="minorHAnsi" w:hAnsiTheme="minorHAnsi"/>
                <w:sz w:val="22"/>
                <w:szCs w:val="22"/>
              </w:rPr>
              <w:t>Reporting not required</w:t>
            </w:r>
          </w:p>
        </w:tc>
        <w:tc>
          <w:tcPr>
            <w:tcW w:w="1946" w:type="dxa"/>
          </w:tcPr>
          <w:p w14:paraId="09D0CEB6" w14:textId="77777777" w:rsidR="00A57A5C" w:rsidRPr="00FF338C" w:rsidRDefault="00A57A5C" w:rsidP="00D549C7">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F338C">
              <w:rPr>
                <w:rFonts w:asciiTheme="minorHAnsi" w:hAnsiTheme="minorHAnsi" w:cs="Arial"/>
                <w:sz w:val="22"/>
                <w:szCs w:val="22"/>
              </w:rPr>
              <w:t>≥</w:t>
            </w:r>
            <w:r w:rsidRPr="00FF338C">
              <w:rPr>
                <w:rFonts w:asciiTheme="minorHAnsi" w:hAnsiTheme="minorHAnsi"/>
                <w:sz w:val="22"/>
                <w:szCs w:val="22"/>
              </w:rPr>
              <w:t xml:space="preserve"> 20,000 kWh p.a</w:t>
            </w:r>
            <w:r>
              <w:rPr>
                <w:rFonts w:asciiTheme="minorHAnsi" w:hAnsiTheme="minorHAnsi"/>
                <w:sz w:val="22"/>
                <w:szCs w:val="22"/>
              </w:rPr>
              <w:t>.</w:t>
            </w:r>
          </w:p>
        </w:tc>
        <w:tc>
          <w:tcPr>
            <w:tcW w:w="1946" w:type="dxa"/>
            <w:gridSpan w:val="2"/>
            <w:vMerge w:val="restart"/>
          </w:tcPr>
          <w:p w14:paraId="2A96CEC5" w14:textId="77777777" w:rsidR="00A57A5C" w:rsidRPr="00FF338C" w:rsidRDefault="00A57A5C" w:rsidP="00D549C7">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F338C">
              <w:rPr>
                <w:rFonts w:asciiTheme="minorHAnsi" w:hAnsiTheme="minorHAnsi"/>
                <w:sz w:val="22"/>
                <w:szCs w:val="22"/>
              </w:rPr>
              <w:t xml:space="preserve">Capacity to produce </w:t>
            </w:r>
            <w:r w:rsidRPr="00FF338C">
              <w:rPr>
                <w:rFonts w:asciiTheme="minorHAnsi" w:hAnsiTheme="minorHAnsi" w:cs="Arial"/>
                <w:sz w:val="22"/>
                <w:szCs w:val="22"/>
              </w:rPr>
              <w:t>≥</w:t>
            </w:r>
            <w:r w:rsidRPr="00FF338C">
              <w:rPr>
                <w:rFonts w:asciiTheme="minorHAnsi" w:hAnsiTheme="minorHAnsi"/>
                <w:sz w:val="22"/>
                <w:szCs w:val="22"/>
              </w:rPr>
              <w:t xml:space="preserve"> 30 MW of electricity </w:t>
            </w:r>
            <w:r w:rsidRPr="00872A70">
              <w:rPr>
                <w:rFonts w:asciiTheme="minorHAnsi" w:hAnsiTheme="minorHAnsi"/>
                <w:bCs/>
                <w:sz w:val="22"/>
                <w:szCs w:val="22"/>
              </w:rPr>
              <w:t>and</w:t>
            </w:r>
            <w:r w:rsidRPr="00FF338C">
              <w:rPr>
                <w:rFonts w:asciiTheme="minorHAnsi" w:hAnsiTheme="minorHAnsi"/>
                <w:sz w:val="22"/>
                <w:szCs w:val="22"/>
              </w:rPr>
              <w:t xml:space="preserve"> production of </w:t>
            </w:r>
            <w:r w:rsidRPr="00FF338C">
              <w:rPr>
                <w:rFonts w:asciiTheme="minorHAnsi" w:hAnsiTheme="minorHAnsi" w:cs="Arial"/>
                <w:sz w:val="22"/>
                <w:szCs w:val="22"/>
              </w:rPr>
              <w:t>≥</w:t>
            </w:r>
            <w:r w:rsidRPr="00FF338C">
              <w:rPr>
                <w:rFonts w:asciiTheme="minorHAnsi" w:hAnsiTheme="minorHAnsi"/>
                <w:sz w:val="22"/>
                <w:szCs w:val="22"/>
              </w:rPr>
              <w:t xml:space="preserve"> 30 GWh p.a. of electricity</w:t>
            </w:r>
          </w:p>
        </w:tc>
      </w:tr>
      <w:tr w:rsidR="00A57A5C" w:rsidRPr="00FF338C" w14:paraId="59F45D75" w14:textId="77777777" w:rsidTr="00D549C7">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946" w:type="dxa"/>
          </w:tcPr>
          <w:p w14:paraId="3AE2366C" w14:textId="77777777" w:rsidR="00A57A5C" w:rsidRPr="00FF338C" w:rsidRDefault="00A57A5C" w:rsidP="00D549C7">
            <w:pPr>
              <w:pStyle w:val="Body"/>
              <w:spacing w:before="37" w:after="75"/>
              <w:ind w:left="0"/>
              <w:rPr>
                <w:rFonts w:asciiTheme="minorHAnsi" w:hAnsiTheme="minorHAnsi" w:cs="Arial"/>
                <w:sz w:val="22"/>
                <w:szCs w:val="22"/>
              </w:rPr>
            </w:pPr>
            <w:r w:rsidRPr="00FF338C">
              <w:rPr>
                <w:rFonts w:asciiTheme="minorHAnsi" w:hAnsiTheme="minorHAnsi" w:cs="Arial"/>
                <w:sz w:val="22"/>
                <w:szCs w:val="22"/>
              </w:rPr>
              <w:t>≥</w:t>
            </w:r>
            <w:r w:rsidRPr="00FF338C">
              <w:rPr>
                <w:rFonts w:asciiTheme="minorHAnsi" w:hAnsiTheme="minorHAnsi"/>
                <w:sz w:val="22"/>
                <w:szCs w:val="22"/>
              </w:rPr>
              <w:t xml:space="preserve"> 0.5 MW</w:t>
            </w:r>
          </w:p>
        </w:tc>
        <w:tc>
          <w:tcPr>
            <w:tcW w:w="1946" w:type="dxa"/>
          </w:tcPr>
          <w:p w14:paraId="134E977E" w14:textId="77777777" w:rsidR="00A57A5C" w:rsidRPr="00FF338C" w:rsidRDefault="00A57A5C" w:rsidP="00D549C7">
            <w:pPr>
              <w:pStyle w:val="Body"/>
              <w:spacing w:before="37" w:after="75"/>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F338C">
              <w:rPr>
                <w:rFonts w:asciiTheme="minorHAnsi" w:hAnsiTheme="minorHAnsi" w:cs="Arial"/>
                <w:sz w:val="22"/>
                <w:szCs w:val="22"/>
              </w:rPr>
              <w:t>≥</w:t>
            </w:r>
            <w:r w:rsidRPr="00FF338C">
              <w:rPr>
                <w:rFonts w:asciiTheme="minorHAnsi" w:hAnsiTheme="minorHAnsi"/>
                <w:sz w:val="22"/>
                <w:szCs w:val="22"/>
              </w:rPr>
              <w:t xml:space="preserve"> 100,000 kWh p.a</w:t>
            </w:r>
            <w:r>
              <w:rPr>
                <w:rFonts w:asciiTheme="minorHAnsi" w:hAnsiTheme="minorHAnsi"/>
                <w:sz w:val="22"/>
                <w:szCs w:val="22"/>
              </w:rPr>
              <w:t>.</w:t>
            </w:r>
          </w:p>
        </w:tc>
        <w:tc>
          <w:tcPr>
            <w:tcW w:w="1946" w:type="dxa"/>
          </w:tcPr>
          <w:p w14:paraId="49167079" w14:textId="77777777" w:rsidR="00A57A5C" w:rsidRPr="00FF338C" w:rsidRDefault="00A57A5C" w:rsidP="00D549C7">
            <w:pPr>
              <w:pStyle w:val="Body"/>
              <w:spacing w:before="37" w:after="75"/>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F338C">
              <w:rPr>
                <w:rFonts w:asciiTheme="minorHAnsi" w:hAnsiTheme="minorHAnsi" w:cs="Arial"/>
                <w:sz w:val="22"/>
                <w:szCs w:val="22"/>
              </w:rPr>
              <w:t>≥</w:t>
            </w:r>
            <w:r w:rsidRPr="00FF338C">
              <w:rPr>
                <w:rFonts w:asciiTheme="minorHAnsi" w:hAnsiTheme="minorHAnsi"/>
                <w:sz w:val="22"/>
                <w:szCs w:val="22"/>
              </w:rPr>
              <w:t xml:space="preserve"> 100,000 kWh p.a</w:t>
            </w:r>
            <w:r>
              <w:rPr>
                <w:rFonts w:asciiTheme="minorHAnsi" w:hAnsiTheme="minorHAnsi"/>
                <w:sz w:val="22"/>
                <w:szCs w:val="22"/>
              </w:rPr>
              <w:t>.</w:t>
            </w:r>
          </w:p>
        </w:tc>
        <w:tc>
          <w:tcPr>
            <w:tcW w:w="1946" w:type="dxa"/>
          </w:tcPr>
          <w:p w14:paraId="7CE5B888" w14:textId="77777777" w:rsidR="00A57A5C" w:rsidRPr="00FF338C" w:rsidRDefault="00A57A5C" w:rsidP="00D549C7">
            <w:pPr>
              <w:pStyle w:val="Body"/>
              <w:spacing w:before="37" w:after="75"/>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F338C">
              <w:rPr>
                <w:rFonts w:asciiTheme="minorHAnsi" w:hAnsiTheme="minorHAnsi" w:cs="Arial"/>
                <w:sz w:val="22"/>
                <w:szCs w:val="22"/>
              </w:rPr>
              <w:t>≥</w:t>
            </w:r>
            <w:r w:rsidRPr="00FF338C">
              <w:rPr>
                <w:rFonts w:asciiTheme="minorHAnsi" w:hAnsiTheme="minorHAnsi"/>
                <w:sz w:val="22"/>
                <w:szCs w:val="22"/>
              </w:rPr>
              <w:t xml:space="preserve"> 20,000 kWh p.a</w:t>
            </w:r>
            <w:r>
              <w:rPr>
                <w:rFonts w:asciiTheme="minorHAnsi" w:hAnsiTheme="minorHAnsi"/>
                <w:sz w:val="22"/>
                <w:szCs w:val="22"/>
              </w:rPr>
              <w:t>.</w:t>
            </w:r>
          </w:p>
        </w:tc>
        <w:tc>
          <w:tcPr>
            <w:tcW w:w="1946" w:type="dxa"/>
            <w:gridSpan w:val="2"/>
            <w:vMerge/>
          </w:tcPr>
          <w:p w14:paraId="13E52CCD" w14:textId="77777777" w:rsidR="00A57A5C" w:rsidRPr="00FF338C" w:rsidRDefault="00A57A5C" w:rsidP="00D549C7">
            <w:pPr>
              <w:pStyle w:val="Body"/>
              <w:spacing w:before="37" w:after="75"/>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r>
    </w:tbl>
    <w:p w14:paraId="0EB2390F" w14:textId="77777777" w:rsidR="00A57A5C" w:rsidRPr="00FF338C" w:rsidRDefault="00A57A5C" w:rsidP="00A57A5C"/>
    <w:p w14:paraId="6643A8F9" w14:textId="77777777" w:rsidR="00A57A5C" w:rsidRDefault="00A57A5C" w:rsidP="00A57A5C">
      <w:r w:rsidRPr="00D27F26">
        <w:t xml:space="preserve">Any fuel that is combusted to generate electricity is subject to reporting thresholds detailed in section 2.2 (solid fuels), section 2.18 (gaseous fuels) and section 2.39 (liquid fuels) of the </w:t>
      </w:r>
      <w:r>
        <w:t>NGER Measurement Determination</w:t>
      </w:r>
      <w:r w:rsidRPr="00D27F26">
        <w:t xml:space="preserve">. For energy consumed in a cogeneration process, </w:t>
      </w:r>
      <w:r>
        <w:t>see</w:t>
      </w:r>
      <w:r w:rsidRPr="00D27F26">
        <w:t xml:space="preserve"> </w:t>
      </w:r>
      <w:hyperlink w:anchor="_Cogeneration" w:history="1">
        <w:r w:rsidRPr="00A30145">
          <w:rPr>
            <w:rStyle w:val="Hyperlink"/>
            <w:rFonts w:asciiTheme="minorHAnsi" w:hAnsiTheme="minorHAnsi"/>
          </w:rPr>
          <w:t>chapter 7.3.3</w:t>
        </w:r>
      </w:hyperlink>
      <w:r>
        <w:t xml:space="preserve"> of this guideline</w:t>
      </w:r>
      <w:r w:rsidRPr="00D27F26">
        <w:t>.</w:t>
      </w:r>
    </w:p>
    <w:tbl>
      <w:tblPr>
        <w:tblStyle w:val="CERCallout"/>
        <w:tblW w:w="0" w:type="auto"/>
        <w:tblLook w:val="04A0" w:firstRow="1" w:lastRow="0" w:firstColumn="1" w:lastColumn="0" w:noHBand="0" w:noVBand="1"/>
      </w:tblPr>
      <w:tblGrid>
        <w:gridCol w:w="9172"/>
      </w:tblGrid>
      <w:tr w:rsidR="00A57A5C" w:rsidRPr="00FF338C" w14:paraId="1C879FDF" w14:textId="77777777" w:rsidTr="00D549C7">
        <w:trPr>
          <w:cnfStyle w:val="100000000000" w:firstRow="1" w:lastRow="0" w:firstColumn="0" w:lastColumn="0" w:oddVBand="0" w:evenVBand="0" w:oddHBand="0" w:evenHBand="0" w:firstRowFirstColumn="0" w:firstRowLastColumn="0" w:lastRowFirstColumn="0" w:lastRowLastColumn="0"/>
        </w:trPr>
        <w:tc>
          <w:tcPr>
            <w:tcW w:w="9172" w:type="dxa"/>
          </w:tcPr>
          <w:p w14:paraId="4CB63EF5" w14:textId="77777777" w:rsidR="00A57A5C" w:rsidRPr="00FB5D2B" w:rsidRDefault="00A57A5C" w:rsidP="00D549C7">
            <w:pPr>
              <w:pStyle w:val="Heading5"/>
              <w:spacing w:before="0"/>
              <w:ind w:left="0"/>
              <w:rPr>
                <w:b/>
                <w:bCs/>
              </w:rPr>
            </w:pPr>
            <w:bookmarkStart w:id="258" w:name="_Toc107922575"/>
            <w:r w:rsidRPr="00FB5D2B">
              <w:rPr>
                <w:b/>
                <w:bCs/>
              </w:rPr>
              <w:t>Electricity threshold example</w:t>
            </w:r>
            <w:bookmarkEnd w:id="258"/>
          </w:p>
          <w:p w14:paraId="069A296E" w14:textId="180170D4" w:rsidR="00A57A5C" w:rsidRPr="00703446" w:rsidRDefault="00A57A5C" w:rsidP="00D549C7">
            <w:pPr>
              <w:spacing w:before="37" w:after="25"/>
              <w:ind w:left="0"/>
              <w:rPr>
                <w:b w:val="0"/>
                <w:bCs/>
                <w:szCs w:val="20"/>
              </w:rPr>
            </w:pPr>
            <w:r w:rsidRPr="00703446">
              <w:rPr>
                <w:b w:val="0"/>
                <w:bCs/>
                <w:szCs w:val="20"/>
              </w:rPr>
              <w:t xml:space="preserve">A gas power plant has </w:t>
            </w:r>
            <w:r w:rsidR="001848D4" w:rsidRPr="00703446">
              <w:rPr>
                <w:b w:val="0"/>
                <w:bCs/>
                <w:szCs w:val="20"/>
              </w:rPr>
              <w:t>2</w:t>
            </w:r>
            <w:r w:rsidRPr="00703446">
              <w:rPr>
                <w:b w:val="0"/>
                <w:bCs/>
                <w:szCs w:val="20"/>
              </w:rPr>
              <w:t xml:space="preserve"> generating units although only one is predominantly used, with the following annual generation:</w:t>
            </w:r>
          </w:p>
          <w:p w14:paraId="63340E11" w14:textId="0FA59BE5" w:rsidR="00A57A5C" w:rsidRPr="00703446" w:rsidRDefault="00A57A5C" w:rsidP="00D549C7">
            <w:pPr>
              <w:pStyle w:val="Caption"/>
              <w:spacing w:before="160"/>
              <w:rPr>
                <w:b w:val="0"/>
                <w:bCs/>
              </w:rPr>
            </w:pPr>
            <w:r w:rsidRPr="00703446">
              <w:rPr>
                <w:b w:val="0"/>
                <w:bCs/>
              </w:rPr>
              <w:t xml:space="preserve">Table 11 – </w:t>
            </w:r>
            <w:r w:rsidR="001848D4" w:rsidRPr="00703446">
              <w:rPr>
                <w:b w:val="0"/>
                <w:bCs/>
              </w:rPr>
              <w:t>2</w:t>
            </w:r>
            <w:r w:rsidRPr="00703446">
              <w:rPr>
                <w:b w:val="0"/>
                <w:bCs/>
              </w:rPr>
              <w:t xml:space="preserve">generating units, capacity and annual generation </w:t>
            </w:r>
          </w:p>
          <w:tbl>
            <w:tblPr>
              <w:tblStyle w:val="CERTable"/>
              <w:tblW w:w="0" w:type="auto"/>
              <w:tblLook w:val="04A0" w:firstRow="1" w:lastRow="0" w:firstColumn="1" w:lastColumn="0" w:noHBand="0" w:noVBand="1"/>
            </w:tblPr>
            <w:tblGrid>
              <w:gridCol w:w="2785"/>
              <w:gridCol w:w="2785"/>
              <w:gridCol w:w="2786"/>
            </w:tblGrid>
            <w:tr w:rsidR="00A57A5C" w:rsidRPr="00703446" w14:paraId="24AA8BD9" w14:textId="77777777" w:rsidTr="00D54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5F0C895A" w14:textId="77777777" w:rsidR="00A57A5C" w:rsidRPr="00703446" w:rsidRDefault="00A57A5C" w:rsidP="00D549C7">
                  <w:pPr>
                    <w:spacing w:before="37" w:after="37"/>
                    <w:rPr>
                      <w:szCs w:val="20"/>
                    </w:rPr>
                  </w:pPr>
                  <w:r w:rsidRPr="00703446">
                    <w:rPr>
                      <w:szCs w:val="20"/>
                    </w:rPr>
                    <w:t>Unit</w:t>
                  </w:r>
                </w:p>
              </w:tc>
              <w:tc>
                <w:tcPr>
                  <w:tcW w:w="2785" w:type="dxa"/>
                </w:tcPr>
                <w:p w14:paraId="7EFE201A" w14:textId="77777777" w:rsidR="00A57A5C" w:rsidRPr="00703446" w:rsidRDefault="00A57A5C" w:rsidP="00D549C7">
                  <w:pPr>
                    <w:spacing w:before="37" w:after="37"/>
                    <w:cnfStyle w:val="100000000000" w:firstRow="1" w:lastRow="0" w:firstColumn="0" w:lastColumn="0" w:oddVBand="0" w:evenVBand="0" w:oddHBand="0" w:evenHBand="0" w:firstRowFirstColumn="0" w:firstRowLastColumn="0" w:lastRowFirstColumn="0" w:lastRowLastColumn="0"/>
                    <w:rPr>
                      <w:szCs w:val="20"/>
                    </w:rPr>
                  </w:pPr>
                  <w:r w:rsidRPr="00703446">
                    <w:rPr>
                      <w:szCs w:val="20"/>
                    </w:rPr>
                    <w:t>Capacity (MW)</w:t>
                  </w:r>
                </w:p>
              </w:tc>
              <w:tc>
                <w:tcPr>
                  <w:tcW w:w="2786" w:type="dxa"/>
                </w:tcPr>
                <w:p w14:paraId="7622808D" w14:textId="77777777" w:rsidR="00A57A5C" w:rsidRPr="00703446" w:rsidRDefault="00A57A5C" w:rsidP="00D549C7">
                  <w:pPr>
                    <w:spacing w:before="37" w:after="37"/>
                    <w:cnfStyle w:val="100000000000" w:firstRow="1" w:lastRow="0" w:firstColumn="0" w:lastColumn="0" w:oddVBand="0" w:evenVBand="0" w:oddHBand="0" w:evenHBand="0" w:firstRowFirstColumn="0" w:firstRowLastColumn="0" w:lastRowFirstColumn="0" w:lastRowLastColumn="0"/>
                    <w:rPr>
                      <w:szCs w:val="20"/>
                    </w:rPr>
                  </w:pPr>
                  <w:r w:rsidRPr="00703446">
                    <w:rPr>
                      <w:szCs w:val="20"/>
                    </w:rPr>
                    <w:t>Annual generation (kWh)</w:t>
                  </w:r>
                </w:p>
              </w:tc>
            </w:tr>
            <w:tr w:rsidR="00A57A5C" w:rsidRPr="00703446" w14:paraId="610EF99E" w14:textId="77777777" w:rsidTr="00D54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DC3C997" w14:textId="77777777" w:rsidR="00A57A5C" w:rsidRPr="00703446" w:rsidRDefault="00A57A5C" w:rsidP="00D549C7">
                  <w:pPr>
                    <w:spacing w:before="37" w:after="37"/>
                    <w:rPr>
                      <w:b w:val="0"/>
                      <w:bCs/>
                      <w:szCs w:val="20"/>
                    </w:rPr>
                  </w:pPr>
                  <w:r w:rsidRPr="00703446">
                    <w:rPr>
                      <w:b w:val="0"/>
                      <w:bCs/>
                      <w:szCs w:val="20"/>
                    </w:rPr>
                    <w:t>1</w:t>
                  </w:r>
                </w:p>
              </w:tc>
              <w:tc>
                <w:tcPr>
                  <w:tcW w:w="2785" w:type="dxa"/>
                </w:tcPr>
                <w:p w14:paraId="1B1983D1" w14:textId="77777777" w:rsidR="00A57A5C" w:rsidRPr="00703446" w:rsidRDefault="00A57A5C" w:rsidP="00D549C7">
                  <w:pPr>
                    <w:spacing w:before="37" w:after="37"/>
                    <w:cnfStyle w:val="000000100000" w:firstRow="0" w:lastRow="0" w:firstColumn="0" w:lastColumn="0" w:oddVBand="0" w:evenVBand="0" w:oddHBand="1" w:evenHBand="0" w:firstRowFirstColumn="0" w:firstRowLastColumn="0" w:lastRowFirstColumn="0" w:lastRowLastColumn="0"/>
                    <w:rPr>
                      <w:bCs/>
                      <w:szCs w:val="20"/>
                    </w:rPr>
                  </w:pPr>
                  <w:r w:rsidRPr="00703446">
                    <w:rPr>
                      <w:bCs/>
                      <w:szCs w:val="20"/>
                    </w:rPr>
                    <w:t>20</w:t>
                  </w:r>
                </w:p>
              </w:tc>
              <w:tc>
                <w:tcPr>
                  <w:tcW w:w="2786" w:type="dxa"/>
                </w:tcPr>
                <w:p w14:paraId="3CE2BA39" w14:textId="77777777" w:rsidR="00A57A5C" w:rsidRPr="00703446" w:rsidRDefault="00A57A5C" w:rsidP="00D549C7">
                  <w:pPr>
                    <w:spacing w:before="37" w:after="37"/>
                    <w:cnfStyle w:val="000000100000" w:firstRow="0" w:lastRow="0" w:firstColumn="0" w:lastColumn="0" w:oddVBand="0" w:evenVBand="0" w:oddHBand="1" w:evenHBand="0" w:firstRowFirstColumn="0" w:firstRowLastColumn="0" w:lastRowFirstColumn="0" w:lastRowLastColumn="0"/>
                    <w:rPr>
                      <w:bCs/>
                      <w:szCs w:val="20"/>
                    </w:rPr>
                  </w:pPr>
                  <w:r w:rsidRPr="00703446">
                    <w:rPr>
                      <w:bCs/>
                      <w:szCs w:val="20"/>
                    </w:rPr>
                    <w:t>10,000,000</w:t>
                  </w:r>
                </w:p>
              </w:tc>
            </w:tr>
            <w:tr w:rsidR="00A57A5C" w:rsidRPr="00703446" w14:paraId="2A006933" w14:textId="77777777" w:rsidTr="00D54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168B053B" w14:textId="77777777" w:rsidR="00A57A5C" w:rsidRPr="00703446" w:rsidRDefault="00A57A5C" w:rsidP="00D549C7">
                  <w:pPr>
                    <w:spacing w:before="37" w:after="37"/>
                    <w:rPr>
                      <w:b w:val="0"/>
                      <w:bCs/>
                      <w:szCs w:val="20"/>
                    </w:rPr>
                  </w:pPr>
                  <w:r w:rsidRPr="00703446">
                    <w:rPr>
                      <w:b w:val="0"/>
                      <w:bCs/>
                      <w:szCs w:val="20"/>
                    </w:rPr>
                    <w:t>2</w:t>
                  </w:r>
                </w:p>
              </w:tc>
              <w:tc>
                <w:tcPr>
                  <w:tcW w:w="2785" w:type="dxa"/>
                </w:tcPr>
                <w:p w14:paraId="6E54724F" w14:textId="77777777" w:rsidR="00A57A5C" w:rsidRPr="00703446" w:rsidRDefault="00A57A5C" w:rsidP="00D549C7">
                  <w:pPr>
                    <w:spacing w:before="37" w:after="37"/>
                    <w:cnfStyle w:val="000000010000" w:firstRow="0" w:lastRow="0" w:firstColumn="0" w:lastColumn="0" w:oddVBand="0" w:evenVBand="0" w:oddHBand="0" w:evenHBand="1" w:firstRowFirstColumn="0" w:firstRowLastColumn="0" w:lastRowFirstColumn="0" w:lastRowLastColumn="0"/>
                    <w:rPr>
                      <w:bCs/>
                      <w:szCs w:val="20"/>
                    </w:rPr>
                  </w:pPr>
                  <w:r w:rsidRPr="00703446">
                    <w:rPr>
                      <w:bCs/>
                      <w:szCs w:val="20"/>
                    </w:rPr>
                    <w:t>20</w:t>
                  </w:r>
                </w:p>
              </w:tc>
              <w:tc>
                <w:tcPr>
                  <w:tcW w:w="2786" w:type="dxa"/>
                </w:tcPr>
                <w:p w14:paraId="38B244A6" w14:textId="77777777" w:rsidR="00A57A5C" w:rsidRPr="00703446" w:rsidRDefault="00A57A5C" w:rsidP="00D549C7">
                  <w:pPr>
                    <w:spacing w:before="37" w:after="37"/>
                    <w:cnfStyle w:val="000000010000" w:firstRow="0" w:lastRow="0" w:firstColumn="0" w:lastColumn="0" w:oddVBand="0" w:evenVBand="0" w:oddHBand="0" w:evenHBand="1" w:firstRowFirstColumn="0" w:firstRowLastColumn="0" w:lastRowFirstColumn="0" w:lastRowLastColumn="0"/>
                    <w:rPr>
                      <w:bCs/>
                      <w:szCs w:val="20"/>
                    </w:rPr>
                  </w:pPr>
                  <w:r w:rsidRPr="00703446">
                    <w:rPr>
                      <w:bCs/>
                      <w:szCs w:val="20"/>
                    </w:rPr>
                    <w:t>90,000</w:t>
                  </w:r>
                </w:p>
              </w:tc>
            </w:tr>
            <w:tr w:rsidR="00A57A5C" w:rsidRPr="00703446" w14:paraId="30AA776C" w14:textId="77777777" w:rsidTr="00D54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CD09BA5" w14:textId="77777777" w:rsidR="00A57A5C" w:rsidRPr="00703446" w:rsidRDefault="00A57A5C" w:rsidP="00D549C7">
                  <w:pPr>
                    <w:spacing w:before="37" w:after="37"/>
                    <w:rPr>
                      <w:b w:val="0"/>
                      <w:bCs/>
                      <w:szCs w:val="20"/>
                    </w:rPr>
                  </w:pPr>
                  <w:r w:rsidRPr="00703446">
                    <w:rPr>
                      <w:b w:val="0"/>
                      <w:bCs/>
                      <w:szCs w:val="20"/>
                    </w:rPr>
                    <w:t>Total</w:t>
                  </w:r>
                </w:p>
              </w:tc>
              <w:tc>
                <w:tcPr>
                  <w:tcW w:w="2785" w:type="dxa"/>
                </w:tcPr>
                <w:p w14:paraId="19F00C25" w14:textId="77777777" w:rsidR="00A57A5C" w:rsidRPr="00703446" w:rsidRDefault="00A57A5C" w:rsidP="00D549C7">
                  <w:pPr>
                    <w:spacing w:before="37" w:after="37"/>
                    <w:cnfStyle w:val="000000100000" w:firstRow="0" w:lastRow="0" w:firstColumn="0" w:lastColumn="0" w:oddVBand="0" w:evenVBand="0" w:oddHBand="1" w:evenHBand="0" w:firstRowFirstColumn="0" w:firstRowLastColumn="0" w:lastRowFirstColumn="0" w:lastRowLastColumn="0"/>
                    <w:rPr>
                      <w:bCs/>
                      <w:szCs w:val="20"/>
                    </w:rPr>
                  </w:pPr>
                  <w:r w:rsidRPr="00703446">
                    <w:rPr>
                      <w:bCs/>
                      <w:szCs w:val="20"/>
                    </w:rPr>
                    <w:t>40</w:t>
                  </w:r>
                </w:p>
              </w:tc>
              <w:tc>
                <w:tcPr>
                  <w:tcW w:w="2786" w:type="dxa"/>
                </w:tcPr>
                <w:p w14:paraId="290E9D04" w14:textId="77777777" w:rsidR="00A57A5C" w:rsidRPr="00703446" w:rsidRDefault="00A57A5C" w:rsidP="00D549C7">
                  <w:pPr>
                    <w:spacing w:before="37" w:after="37"/>
                    <w:cnfStyle w:val="000000100000" w:firstRow="0" w:lastRow="0" w:firstColumn="0" w:lastColumn="0" w:oddVBand="0" w:evenVBand="0" w:oddHBand="1" w:evenHBand="0" w:firstRowFirstColumn="0" w:firstRowLastColumn="0" w:lastRowFirstColumn="0" w:lastRowLastColumn="0"/>
                    <w:rPr>
                      <w:bCs/>
                      <w:szCs w:val="20"/>
                    </w:rPr>
                  </w:pPr>
                  <w:r w:rsidRPr="00703446">
                    <w:rPr>
                      <w:bCs/>
                      <w:szCs w:val="20"/>
                    </w:rPr>
                    <w:t>10,090,000</w:t>
                  </w:r>
                </w:p>
              </w:tc>
            </w:tr>
          </w:tbl>
          <w:p w14:paraId="16B44354" w14:textId="77777777" w:rsidR="00A57A5C" w:rsidRPr="00FF338C" w:rsidRDefault="00A57A5C" w:rsidP="00D549C7">
            <w:pPr>
              <w:spacing w:before="160"/>
              <w:ind w:left="0"/>
            </w:pPr>
            <w:r w:rsidRPr="00703446">
              <w:rPr>
                <w:b w:val="0"/>
                <w:bCs/>
              </w:rPr>
              <w:t>The gas power plant does not have to report electricity production for unit 2, since its annual generation did not meet the 100,000 kWh threshold. If, the following year, unit 2 generates greater than 100,000 kWh, its electricity production would have to be reported.</w:t>
            </w:r>
          </w:p>
        </w:tc>
      </w:tr>
    </w:tbl>
    <w:p w14:paraId="1A0CE3E3" w14:textId="77777777" w:rsidR="00A57A5C" w:rsidRPr="00FF338C" w:rsidRDefault="00A57A5C" w:rsidP="00A57A5C">
      <w:r w:rsidRPr="00FF338C">
        <w:t>A reporter may choose to report electricity production where the above thresholds in sub</w:t>
      </w:r>
      <w:r>
        <w:t xml:space="preserve"> </w:t>
      </w:r>
      <w:r w:rsidRPr="00FF338C">
        <w:t xml:space="preserve">regulation 4.19(2) of the NGER Regulations have not been met. Where this occurs, the corresponding onsite consumption from own produced electricity generation </w:t>
      </w:r>
      <w:r>
        <w:t>must</w:t>
      </w:r>
      <w:r w:rsidRPr="00FF338C">
        <w:t xml:space="preserve"> also be reported (produced for the purposes of the operation of the facility).</w:t>
      </w:r>
    </w:p>
    <w:p w14:paraId="7B8F45F1" w14:textId="77777777" w:rsidR="00A57A5C" w:rsidRPr="00FF338C" w:rsidRDefault="00A57A5C" w:rsidP="00B3330E">
      <w:pPr>
        <w:pStyle w:val="Heading3"/>
        <w:numPr>
          <w:ilvl w:val="2"/>
          <w:numId w:val="3"/>
        </w:numPr>
        <w:ind w:left="709" w:hanging="709"/>
        <w:rPr>
          <w:lang w:val="en-GB"/>
        </w:rPr>
      </w:pPr>
      <w:bookmarkStart w:id="259" w:name="_Quantifying_electricity_consumption"/>
      <w:bookmarkStart w:id="260" w:name="_Toc512010415"/>
      <w:bookmarkStart w:id="261" w:name="_Toc512339614"/>
      <w:bookmarkStart w:id="262" w:name="_Toc107922576"/>
      <w:bookmarkEnd w:id="259"/>
      <w:r w:rsidRPr="00FF338C">
        <w:rPr>
          <w:lang w:val="en-GB"/>
        </w:rPr>
        <w:t>Quantifying electricity consumption</w:t>
      </w:r>
      <w:bookmarkEnd w:id="260"/>
      <w:bookmarkEnd w:id="261"/>
      <w:bookmarkEnd w:id="262"/>
    </w:p>
    <w:p w14:paraId="427B1D85" w14:textId="77777777" w:rsidR="00A57A5C" w:rsidRPr="00FF338C" w:rsidRDefault="00A57A5C" w:rsidP="00A57A5C">
      <w:r>
        <w:t>Electricity consumption must be reported in accordance with regulation 2.26 and subdivision 4.4.5 of the NGER Regulations, and</w:t>
      </w:r>
      <w:r w:rsidRPr="005513B8">
        <w:t xml:space="preserve"> </w:t>
      </w:r>
      <w:r>
        <w:t>Chapter 6 of the NGER Measurement Determination. Accordingly, electricity consumption can</w:t>
      </w:r>
      <w:r w:rsidRPr="00FF338C">
        <w:t xml:space="preserve"> be interpreted as the total of:</w:t>
      </w:r>
    </w:p>
    <w:p w14:paraId="0828519C" w14:textId="77777777" w:rsidR="00A57A5C" w:rsidRPr="00FF338C" w:rsidRDefault="00A57A5C" w:rsidP="00B3330E">
      <w:pPr>
        <w:numPr>
          <w:ilvl w:val="0"/>
          <w:numId w:val="1"/>
        </w:numPr>
        <w:spacing w:before="120" w:after="120"/>
      </w:pPr>
      <w:bookmarkStart w:id="263" w:name="_Hlk44059376"/>
      <w:r w:rsidRPr="00FF338C">
        <w:t>Electricity generated within the facility and consumed within the facility, for example</w:t>
      </w:r>
      <w:r>
        <w:t>:</w:t>
      </w:r>
    </w:p>
    <w:p w14:paraId="0DCF7C6E" w14:textId="77777777" w:rsidR="00A57A5C" w:rsidRPr="00FF338C" w:rsidRDefault="00A57A5C" w:rsidP="00B3330E">
      <w:pPr>
        <w:numPr>
          <w:ilvl w:val="1"/>
          <w:numId w:val="1"/>
        </w:numPr>
        <w:spacing w:before="120" w:after="120"/>
      </w:pPr>
      <w:r w:rsidRPr="00FF338C">
        <w:t>for use in buildings/ancillary facilities</w:t>
      </w:r>
    </w:p>
    <w:p w14:paraId="6BE5489F" w14:textId="77777777" w:rsidR="00A57A5C" w:rsidRPr="00FF338C" w:rsidRDefault="00A57A5C" w:rsidP="00B3330E">
      <w:pPr>
        <w:numPr>
          <w:ilvl w:val="1"/>
          <w:numId w:val="1"/>
        </w:numPr>
        <w:spacing w:before="120" w:after="120"/>
      </w:pPr>
      <w:r w:rsidRPr="00FF338C">
        <w:t>losses and parasitic loads.</w:t>
      </w:r>
    </w:p>
    <w:p w14:paraId="561FF299" w14:textId="77777777" w:rsidR="00A57A5C" w:rsidRPr="00FF338C" w:rsidRDefault="00A57A5C" w:rsidP="00B3330E">
      <w:pPr>
        <w:numPr>
          <w:ilvl w:val="0"/>
          <w:numId w:val="1"/>
        </w:numPr>
        <w:spacing w:before="120" w:after="120"/>
      </w:pPr>
      <w:r w:rsidRPr="00FF338C">
        <w:t>Electricity drawn from an external source and consumed within the facility.</w:t>
      </w:r>
    </w:p>
    <w:bookmarkEnd w:id="263"/>
    <w:p w14:paraId="22AAB4B8" w14:textId="77777777" w:rsidR="00A57A5C" w:rsidRPr="00FF338C" w:rsidRDefault="00A57A5C" w:rsidP="00A57A5C">
      <w:r w:rsidRPr="00FF338C">
        <w:t xml:space="preserve">Losses through resistive heating are of primary concern for electricity transmission and distribution facilities (as associated with scope 2 emissions). Where they occur as part of the facility that generated the electricity, they </w:t>
      </w:r>
      <w:r>
        <w:t xml:space="preserve">must be </w:t>
      </w:r>
      <w:r w:rsidRPr="00FF338C">
        <w:t>measured and reported as consumption of electricity</w:t>
      </w:r>
      <w:r>
        <w:t>,</w:t>
      </w:r>
      <w:r w:rsidRPr="00FF338C">
        <w:t xml:space="preserve"> which has been produced for use onsite</w:t>
      </w:r>
      <w:r>
        <w:t xml:space="preserve"> - that is,</w:t>
      </w:r>
      <w:r w:rsidRPr="00FF338C">
        <w:t xml:space="preserve"> produced for the purpose of the operation of the facility.</w:t>
      </w:r>
    </w:p>
    <w:p w14:paraId="09E3C838" w14:textId="77777777" w:rsidR="00A57A5C" w:rsidRPr="00FF338C" w:rsidRDefault="00A57A5C" w:rsidP="00A57A5C">
      <w:r>
        <w:t>C</w:t>
      </w:r>
      <w:r w:rsidRPr="00FF338C">
        <w:t>onsumption</w:t>
      </w:r>
      <w:r>
        <w:t xml:space="preserve"> of electricity produced onsite</w:t>
      </w:r>
      <w:r w:rsidRPr="00FF338C">
        <w:t xml:space="preserve"> at a generation facility </w:t>
      </w:r>
      <w:r>
        <w:t>is</w:t>
      </w:r>
      <w:r w:rsidRPr="00FF338C">
        <w:t xml:space="preserve"> equal to the difference between the quantity of electricity produced at the terminals of the generating units, and the quantity of electricity delivered for use outside the facility </w:t>
      </w:r>
      <w:r>
        <w:t>– that is,</w:t>
      </w:r>
      <w:r w:rsidRPr="00FF338C">
        <w:t xml:space="preserve"> supplied to an electricity transmission or distribution network, or for other use outside the facility.</w:t>
      </w:r>
    </w:p>
    <w:p w14:paraId="0284C9DD" w14:textId="77777777" w:rsidR="00A57A5C" w:rsidRDefault="00A57A5C" w:rsidP="00A57A5C">
      <w:pPr>
        <w:pStyle w:val="Body"/>
        <w:ind w:left="0"/>
        <w:rPr>
          <w:rFonts w:asciiTheme="minorHAnsi" w:hAnsiTheme="minorHAnsi"/>
          <w:sz w:val="22"/>
        </w:rPr>
      </w:pPr>
      <w:r w:rsidRPr="00FF338C">
        <w:rPr>
          <w:rFonts w:asciiTheme="minorHAnsi" w:hAnsiTheme="minorHAnsi"/>
          <w:sz w:val="22"/>
        </w:rPr>
        <w:t xml:space="preserve">In accordance with section 6.5 of the </w:t>
      </w:r>
      <w:r>
        <w:rPr>
          <w:rFonts w:asciiTheme="minorHAnsi" w:hAnsiTheme="minorHAnsi"/>
          <w:sz w:val="22"/>
        </w:rPr>
        <w:t>NGER Measurement Determination</w:t>
      </w:r>
      <w:r w:rsidRPr="00FF338C">
        <w:rPr>
          <w:rFonts w:asciiTheme="minorHAnsi" w:hAnsiTheme="minorHAnsi"/>
          <w:sz w:val="22"/>
        </w:rPr>
        <w:t>, the amount of electricity consumed (</w:t>
      </w:r>
      <w:r w:rsidRPr="00FE31CC">
        <w:rPr>
          <w:rFonts w:asciiTheme="minorHAnsi" w:hAnsiTheme="minorHAnsi"/>
          <w:i/>
          <w:sz w:val="22"/>
        </w:rPr>
        <w:t>Q</w:t>
      </w:r>
      <w:r w:rsidRPr="00FF338C">
        <w:rPr>
          <w:rFonts w:asciiTheme="minorHAnsi" w:hAnsiTheme="minorHAnsi"/>
          <w:sz w:val="22"/>
        </w:rPr>
        <w:t xml:space="preserve">) </w:t>
      </w:r>
      <w:r>
        <w:rPr>
          <w:rFonts w:asciiTheme="minorHAnsi" w:hAnsiTheme="minorHAnsi"/>
          <w:sz w:val="22"/>
        </w:rPr>
        <w:t>may</w:t>
      </w:r>
      <w:r w:rsidRPr="00FF338C">
        <w:rPr>
          <w:rFonts w:asciiTheme="minorHAnsi" w:hAnsiTheme="minorHAnsi"/>
          <w:sz w:val="22"/>
        </w:rPr>
        <w:t xml:space="preserve"> be evidenced by: </w:t>
      </w:r>
    </w:p>
    <w:p w14:paraId="3B40DBA2" w14:textId="77777777" w:rsidR="00A57A5C" w:rsidRPr="00B751DE" w:rsidRDefault="00A57A5C" w:rsidP="00B3330E">
      <w:pPr>
        <w:pStyle w:val="Bullet"/>
        <w:numPr>
          <w:ilvl w:val="0"/>
          <w:numId w:val="6"/>
        </w:numPr>
        <w:rPr>
          <w:rFonts w:asciiTheme="minorHAnsi" w:eastAsia="Cambria" w:hAnsiTheme="minorHAnsi" w:cstheme="minorHAnsi"/>
          <w:sz w:val="22"/>
          <w:szCs w:val="22"/>
        </w:rPr>
      </w:pPr>
      <w:r w:rsidRPr="00B751DE">
        <w:rPr>
          <w:rFonts w:asciiTheme="minorHAnsi" w:eastAsia="Cambria" w:hAnsiTheme="minorHAnsi" w:cstheme="minorHAnsi"/>
          <w:sz w:val="22"/>
          <w:szCs w:val="22"/>
        </w:rPr>
        <w:t xml:space="preserve">invoices, contractual arrangements or industry metering records, or </w:t>
      </w:r>
      <w:r w:rsidRPr="00B751DE">
        <w:rPr>
          <w:rFonts w:asciiTheme="minorHAnsi" w:hAnsiTheme="minorHAnsi" w:cstheme="minorHAnsi"/>
          <w:sz w:val="22"/>
          <w:szCs w:val="22"/>
        </w:rPr>
        <w:t>if such evidence is not available</w:t>
      </w:r>
    </w:p>
    <w:p w14:paraId="4236A01C" w14:textId="77777777" w:rsidR="00A57A5C" w:rsidRPr="00B751DE" w:rsidRDefault="00A57A5C" w:rsidP="00B3330E">
      <w:pPr>
        <w:pStyle w:val="Bullet"/>
        <w:numPr>
          <w:ilvl w:val="0"/>
          <w:numId w:val="6"/>
        </w:numPr>
        <w:rPr>
          <w:rFonts w:asciiTheme="minorHAnsi" w:eastAsia="Cambria" w:hAnsiTheme="minorHAnsi" w:cstheme="minorHAnsi"/>
          <w:sz w:val="22"/>
          <w:szCs w:val="22"/>
        </w:rPr>
      </w:pPr>
      <w:r w:rsidRPr="00B751DE">
        <w:rPr>
          <w:rFonts w:asciiTheme="minorHAnsi" w:eastAsia="Cambria" w:hAnsiTheme="minorHAnsi" w:cstheme="minorHAnsi"/>
          <w:sz w:val="22"/>
          <w:szCs w:val="22"/>
        </w:rPr>
        <w:t>records of estimates made in line with industry practice.</w:t>
      </w:r>
    </w:p>
    <w:tbl>
      <w:tblPr>
        <w:tblStyle w:val="CERCallout"/>
        <w:tblW w:w="0" w:type="auto"/>
        <w:tblLook w:val="04A0" w:firstRow="1" w:lastRow="0" w:firstColumn="1" w:lastColumn="0" w:noHBand="0" w:noVBand="1"/>
      </w:tblPr>
      <w:tblGrid>
        <w:gridCol w:w="9172"/>
      </w:tblGrid>
      <w:tr w:rsidR="00A57A5C" w:rsidRPr="00FF338C" w14:paraId="774A2556" w14:textId="77777777" w:rsidTr="00D549C7">
        <w:trPr>
          <w:cnfStyle w:val="100000000000" w:firstRow="1" w:lastRow="0" w:firstColumn="0" w:lastColumn="0" w:oddVBand="0" w:evenVBand="0" w:oddHBand="0" w:evenHBand="0" w:firstRowFirstColumn="0" w:firstRowLastColumn="0" w:lastRowFirstColumn="0" w:lastRowLastColumn="0"/>
        </w:trPr>
        <w:tc>
          <w:tcPr>
            <w:tcW w:w="9172" w:type="dxa"/>
          </w:tcPr>
          <w:p w14:paraId="44A91CE0" w14:textId="77777777" w:rsidR="00A57A5C" w:rsidRPr="00FB5D2B" w:rsidRDefault="00A57A5C" w:rsidP="00D549C7">
            <w:pPr>
              <w:pStyle w:val="Heading5"/>
              <w:ind w:left="0"/>
              <w:rPr>
                <w:b/>
                <w:bCs/>
              </w:rPr>
            </w:pPr>
            <w:bookmarkStart w:id="264" w:name="_Toc107922577"/>
            <w:r w:rsidRPr="00FB5D2B">
              <w:rPr>
                <w:b/>
                <w:bCs/>
              </w:rPr>
              <w:t>Example – Quantifying electricity consumption at a hydro power plant</w:t>
            </w:r>
            <w:bookmarkEnd w:id="264"/>
          </w:p>
          <w:p w14:paraId="26C59AE3" w14:textId="77777777" w:rsidR="00A57A5C" w:rsidRPr="00FB5D2B" w:rsidRDefault="000D1A50" w:rsidP="00703446">
            <w:pPr>
              <w:pStyle w:val="CERbullets"/>
              <w:numPr>
                <w:ilvl w:val="0"/>
                <w:numId w:val="0"/>
              </w:numPr>
              <w:rPr>
                <w:b w:val="0"/>
                <w:bCs/>
              </w:rPr>
            </w:pPr>
            <w:hyperlink w:anchor="_Case_example_2:" w:history="1">
              <w:r w:rsidR="00A57A5C" w:rsidRPr="00FB5D2B">
                <w:rPr>
                  <w:rStyle w:val="Hyperlink"/>
                  <w:rFonts w:asciiTheme="minorHAnsi" w:hAnsiTheme="minorHAnsi"/>
                  <w:b w:val="0"/>
                  <w:bCs/>
                </w:rPr>
                <w:t>Case example 2 in Appendix A</w:t>
              </w:r>
            </w:hyperlink>
            <w:r w:rsidR="00A57A5C" w:rsidRPr="00FB5D2B">
              <w:rPr>
                <w:b w:val="0"/>
                <w:bCs/>
              </w:rPr>
              <w:t xml:space="preserve"> illustrates how electricity consumption should be quantified.</w:t>
            </w:r>
          </w:p>
          <w:p w14:paraId="05D3C452" w14:textId="77777777" w:rsidR="00A57A5C" w:rsidRPr="00FB5D2B" w:rsidRDefault="00A57A5C" w:rsidP="00B3330E">
            <w:pPr>
              <w:pStyle w:val="CERnumbering"/>
              <w:numPr>
                <w:ilvl w:val="0"/>
                <w:numId w:val="15"/>
              </w:numPr>
              <w:spacing w:beforeAutospacing="0"/>
              <w:rPr>
                <w:b w:val="0"/>
                <w:bCs/>
              </w:rPr>
            </w:pPr>
            <w:r w:rsidRPr="00FB5D2B">
              <w:rPr>
                <w:b w:val="0"/>
                <w:bCs/>
              </w:rPr>
              <w:t>Electricity is produced in the turbine and electricity production is measured using metering at the terminal (see number 4 in figure 9).</w:t>
            </w:r>
          </w:p>
          <w:p w14:paraId="281F26B4" w14:textId="77777777" w:rsidR="00A57A5C" w:rsidRPr="00FB5D2B" w:rsidRDefault="00A57A5C" w:rsidP="00B3330E">
            <w:pPr>
              <w:pStyle w:val="CERnumbering"/>
              <w:numPr>
                <w:ilvl w:val="0"/>
                <w:numId w:val="15"/>
              </w:numPr>
              <w:spacing w:beforeAutospacing="0"/>
              <w:rPr>
                <w:b w:val="0"/>
                <w:bCs/>
              </w:rPr>
            </w:pPr>
            <w:r w:rsidRPr="00FB5D2B">
              <w:rPr>
                <w:b w:val="0"/>
                <w:bCs/>
              </w:rPr>
              <w:t>Electricity delivered to an electricity transmission network</w:t>
            </w:r>
            <w:r w:rsidRPr="00FB5D2B">
              <w:rPr>
                <w:b w:val="0"/>
                <w:bCs/>
                <w:color w:val="FF0000"/>
              </w:rPr>
              <w:t xml:space="preserve"> </w:t>
            </w:r>
            <w:r w:rsidRPr="00FB5D2B">
              <w:rPr>
                <w:b w:val="0"/>
                <w:bCs/>
              </w:rPr>
              <w:t>is metered at the network connection point (see number 7 in figure 9).</w:t>
            </w:r>
          </w:p>
          <w:p w14:paraId="4E1C819C" w14:textId="77777777" w:rsidR="00A57A5C" w:rsidRPr="00FB5D2B" w:rsidRDefault="00A57A5C" w:rsidP="00B3330E">
            <w:pPr>
              <w:pStyle w:val="CERnumbering"/>
              <w:numPr>
                <w:ilvl w:val="0"/>
                <w:numId w:val="15"/>
              </w:numPr>
              <w:spacing w:beforeAutospacing="0"/>
              <w:rPr>
                <w:b w:val="0"/>
                <w:bCs/>
              </w:rPr>
            </w:pPr>
            <w:r w:rsidRPr="00FB5D2B">
              <w:rPr>
                <w:b w:val="0"/>
                <w:bCs/>
              </w:rPr>
              <w:t xml:space="preserve">Reportable consumption of own produced electricity is the difference between the two above numbers, that is, reportable consumption of own produced electricity is 1 – 2. </w:t>
            </w:r>
          </w:p>
          <w:p w14:paraId="36A51CAF" w14:textId="77777777" w:rsidR="00A57A5C" w:rsidRPr="00FF338C" w:rsidRDefault="00A57A5C" w:rsidP="00703446">
            <w:pPr>
              <w:pStyle w:val="CERbullets"/>
              <w:numPr>
                <w:ilvl w:val="0"/>
                <w:numId w:val="0"/>
              </w:numPr>
            </w:pPr>
            <w:r w:rsidRPr="00FB5D2B">
              <w:rPr>
                <w:b w:val="0"/>
                <w:bCs/>
              </w:rPr>
              <w:t>The use of own produced electricity comprises both electricity for use onsite (see number 5 in figure 9) and losses of electricity in line between terminal and the network connection point (see number 6 in figure 9).</w:t>
            </w:r>
          </w:p>
        </w:tc>
      </w:tr>
    </w:tbl>
    <w:p w14:paraId="7287442F" w14:textId="77777777" w:rsidR="00A57A5C" w:rsidRPr="00FF338C" w:rsidRDefault="00A57A5C" w:rsidP="00B3330E">
      <w:pPr>
        <w:pStyle w:val="Heading3"/>
        <w:numPr>
          <w:ilvl w:val="2"/>
          <w:numId w:val="3"/>
        </w:numPr>
        <w:ind w:left="709" w:hanging="709"/>
        <w:rPr>
          <w:lang w:val="en-GB"/>
        </w:rPr>
      </w:pPr>
      <w:bookmarkStart w:id="265" w:name="_Toc107922578"/>
      <w:bookmarkStart w:id="266" w:name="_Toc512010416"/>
      <w:bookmarkStart w:id="267" w:name="_Toc512339615"/>
      <w:bookmarkStart w:id="268" w:name="_Ref515622623"/>
      <w:r w:rsidRPr="00FF338C">
        <w:rPr>
          <w:lang w:val="en-GB"/>
        </w:rPr>
        <w:t>Quantifying electricity production</w:t>
      </w:r>
      <w:bookmarkEnd w:id="265"/>
      <w:r w:rsidRPr="00FF338C">
        <w:rPr>
          <w:lang w:val="en-GB"/>
        </w:rPr>
        <w:t xml:space="preserve"> </w:t>
      </w:r>
    </w:p>
    <w:p w14:paraId="4A4FA74D" w14:textId="4643BED3" w:rsidR="00A57A5C" w:rsidRPr="00FF338C" w:rsidRDefault="00A57A5C" w:rsidP="00A57A5C">
      <w:pPr>
        <w:pStyle w:val="Body"/>
        <w:ind w:left="0"/>
        <w:rPr>
          <w:rFonts w:asciiTheme="minorHAnsi" w:eastAsia="Cambria" w:hAnsiTheme="minorHAnsi" w:cstheme="minorHAnsi"/>
          <w:sz w:val="22"/>
        </w:rPr>
      </w:pPr>
      <w:r w:rsidRPr="00FF338C">
        <w:rPr>
          <w:rFonts w:asciiTheme="minorHAnsi" w:eastAsia="Cambria" w:hAnsiTheme="minorHAnsi" w:cstheme="minorHAnsi"/>
          <w:sz w:val="22"/>
        </w:rPr>
        <w:t>NGER sub</w:t>
      </w:r>
      <w:r>
        <w:rPr>
          <w:rFonts w:asciiTheme="minorHAnsi" w:eastAsia="Cambria" w:hAnsiTheme="minorHAnsi" w:cstheme="minorHAnsi"/>
          <w:sz w:val="22"/>
        </w:rPr>
        <w:t>-</w:t>
      </w:r>
      <w:r w:rsidRPr="00FF338C">
        <w:rPr>
          <w:rFonts w:asciiTheme="minorHAnsi" w:eastAsia="Cambria" w:hAnsiTheme="minorHAnsi" w:cstheme="minorHAnsi"/>
          <w:sz w:val="22"/>
        </w:rPr>
        <w:t>regulation 4.20(2) describes</w:t>
      </w:r>
      <w:r w:rsidR="001848D4">
        <w:rPr>
          <w:rFonts w:asciiTheme="minorHAnsi" w:eastAsia="Cambria" w:hAnsiTheme="minorHAnsi" w:cstheme="minorHAnsi"/>
          <w:sz w:val="22"/>
        </w:rPr>
        <w:t>3</w:t>
      </w:r>
      <w:r w:rsidRPr="00FF338C">
        <w:rPr>
          <w:rFonts w:asciiTheme="minorHAnsi" w:eastAsia="Cambria" w:hAnsiTheme="minorHAnsi" w:cstheme="minorHAnsi"/>
          <w:sz w:val="22"/>
        </w:rPr>
        <w:t xml:space="preserve"> alternat</w:t>
      </w:r>
      <w:r>
        <w:rPr>
          <w:rFonts w:asciiTheme="minorHAnsi" w:eastAsia="Cambria" w:hAnsiTheme="minorHAnsi" w:cstheme="minorHAnsi"/>
          <w:sz w:val="22"/>
        </w:rPr>
        <w:t>e</w:t>
      </w:r>
      <w:r w:rsidRPr="00FF338C">
        <w:rPr>
          <w:rFonts w:asciiTheme="minorHAnsi" w:eastAsia="Cambria" w:hAnsiTheme="minorHAnsi" w:cstheme="minorHAnsi"/>
          <w:sz w:val="22"/>
        </w:rPr>
        <w:t xml:space="preserve"> ‘purposes’ for </w:t>
      </w:r>
      <w:r>
        <w:rPr>
          <w:rFonts w:asciiTheme="minorHAnsi" w:eastAsia="Cambria" w:hAnsiTheme="minorHAnsi" w:cstheme="minorHAnsi"/>
          <w:sz w:val="22"/>
        </w:rPr>
        <w:t xml:space="preserve">producing </w:t>
      </w:r>
      <w:r w:rsidRPr="00FF338C">
        <w:rPr>
          <w:rFonts w:asciiTheme="minorHAnsi" w:eastAsia="Cambria" w:hAnsiTheme="minorHAnsi" w:cstheme="minorHAnsi"/>
          <w:sz w:val="22"/>
        </w:rPr>
        <w:t>reportable electricity:</w:t>
      </w:r>
    </w:p>
    <w:p w14:paraId="6CD201EC" w14:textId="77777777" w:rsidR="00A57A5C" w:rsidRPr="00D7453A" w:rsidRDefault="00A57A5C" w:rsidP="00B3330E">
      <w:pPr>
        <w:pStyle w:val="CERnumbering"/>
        <w:numPr>
          <w:ilvl w:val="0"/>
          <w:numId w:val="10"/>
        </w:numPr>
      </w:pPr>
      <w:r>
        <w:t>f</w:t>
      </w:r>
      <w:r w:rsidRPr="003F37EC">
        <w:t xml:space="preserve">or use </w:t>
      </w:r>
      <w:r w:rsidRPr="00EE0C1D">
        <w:t>in the operation of the facility (i.e. ‘for use onsite’)</w:t>
      </w:r>
    </w:p>
    <w:p w14:paraId="4FA0A97A" w14:textId="77777777" w:rsidR="00A57A5C" w:rsidRPr="00D7453A" w:rsidRDefault="00A57A5C" w:rsidP="00B3330E">
      <w:pPr>
        <w:pStyle w:val="CERnumbering"/>
        <w:numPr>
          <w:ilvl w:val="0"/>
          <w:numId w:val="10"/>
        </w:numPr>
      </w:pPr>
      <w:r>
        <w:t>f</w:t>
      </w:r>
      <w:r w:rsidRPr="00D7453A">
        <w:t>or use outside the operation of the facility other than for supply to an electricity transmission or distribution network</w:t>
      </w:r>
      <w:r>
        <w:t>, that is,</w:t>
      </w:r>
      <w:r w:rsidRPr="00D7453A">
        <w:t xml:space="preserve"> ‘for use offsite, not supplied to network’</w:t>
      </w:r>
    </w:p>
    <w:p w14:paraId="61929924" w14:textId="77777777" w:rsidR="00A57A5C" w:rsidRPr="00D7453A" w:rsidRDefault="00A57A5C" w:rsidP="00B3330E">
      <w:pPr>
        <w:pStyle w:val="CERnumbering"/>
        <w:numPr>
          <w:ilvl w:val="0"/>
          <w:numId w:val="2"/>
        </w:numPr>
      </w:pPr>
      <w:r>
        <w:t>f</w:t>
      </w:r>
      <w:r w:rsidRPr="00D7453A">
        <w:t>or use outside the operation of the facility for supply to an electricity transmission or distribution network</w:t>
      </w:r>
      <w:r>
        <w:t>, that is,</w:t>
      </w:r>
      <w:r w:rsidRPr="00D7453A">
        <w:t xml:space="preserve"> ‘for use offsite, supplied to network’.</w:t>
      </w:r>
    </w:p>
    <w:p w14:paraId="5009E287" w14:textId="051D32FC" w:rsidR="00A57A5C" w:rsidRPr="00FF338C" w:rsidRDefault="00A57A5C" w:rsidP="00A57A5C">
      <w:r w:rsidRPr="00FF338C">
        <w:t xml:space="preserve">Electricity production </w:t>
      </w:r>
      <w:r w:rsidRPr="00FF338C" w:rsidDel="005053DC">
        <w:t xml:space="preserve">should </w:t>
      </w:r>
      <w:r w:rsidRPr="00FF338C">
        <w:t xml:space="preserve">be reported against these </w:t>
      </w:r>
      <w:r w:rsidR="001848D4">
        <w:t>3</w:t>
      </w:r>
      <w:r w:rsidRPr="00FF338C">
        <w:t xml:space="preserve"> purposes (where applicable) using the formula described in </w:t>
      </w:r>
      <w:hyperlink w:anchor="_Estimating_energy_production" w:history="1">
        <w:r w:rsidRPr="00A30145">
          <w:rPr>
            <w:rStyle w:val="Hyperlink"/>
            <w:rFonts w:asciiTheme="minorHAnsi" w:hAnsiTheme="minorHAnsi"/>
          </w:rPr>
          <w:t>chapter 7.2</w:t>
        </w:r>
      </w:hyperlink>
      <w:r>
        <w:t xml:space="preserve"> of this guideline</w:t>
      </w:r>
      <w:r w:rsidRPr="00FF338C">
        <w:t>.</w:t>
      </w:r>
    </w:p>
    <w:p w14:paraId="264436D4" w14:textId="0E865605" w:rsidR="00A57A5C" w:rsidRDefault="00A57A5C" w:rsidP="00A57A5C">
      <w:r>
        <w:t>Subsection</w:t>
      </w:r>
      <w:r w:rsidRPr="00FF338C">
        <w:t xml:space="preserve"> 6.2</w:t>
      </w:r>
      <w:r>
        <w:t>(1)</w:t>
      </w:r>
      <w:r w:rsidRPr="00FF338C">
        <w:t xml:space="preserve">(c) to (e) </w:t>
      </w:r>
      <w:r>
        <w:t xml:space="preserve">of the NGER Measurement Determination </w:t>
      </w:r>
      <w:r w:rsidRPr="00FF338C">
        <w:t xml:space="preserve">set out the requirements for quantifying the electricity for the </w:t>
      </w:r>
      <w:r w:rsidR="001848D4">
        <w:t xml:space="preserve">3 </w:t>
      </w:r>
      <w:r w:rsidRPr="00FF338C">
        <w:t xml:space="preserve">purposes, </w:t>
      </w:r>
      <w:r>
        <w:t xml:space="preserve">as </w:t>
      </w:r>
      <w:r w:rsidRPr="00FF338C">
        <w:t>outlined below</w:t>
      </w:r>
      <w:r>
        <w:t>.</w:t>
      </w:r>
    </w:p>
    <w:p w14:paraId="21F81811" w14:textId="77777777" w:rsidR="00A57A5C" w:rsidRPr="00FF338C" w:rsidRDefault="00A57A5C" w:rsidP="00A57A5C">
      <w:pPr>
        <w:pStyle w:val="Caption"/>
        <w:rPr>
          <w:sz w:val="22"/>
        </w:rPr>
      </w:pPr>
      <w:r w:rsidRPr="00FF338C">
        <w:t xml:space="preserve">Table </w:t>
      </w:r>
      <w:r>
        <w:fldChar w:fldCharType="begin"/>
      </w:r>
      <w:r>
        <w:instrText>SEQ Table \* ARABIC</w:instrText>
      </w:r>
      <w:r>
        <w:fldChar w:fldCharType="separate"/>
      </w:r>
      <w:r>
        <w:rPr>
          <w:noProof/>
        </w:rPr>
        <w:t>6</w:t>
      </w:r>
      <w:r>
        <w:fldChar w:fldCharType="end"/>
      </w:r>
      <w:r>
        <w:t>2</w:t>
      </w:r>
      <w:r w:rsidRPr="00FF338C">
        <w:t xml:space="preserve"> – Measuring electricity production</w:t>
      </w:r>
    </w:p>
    <w:tbl>
      <w:tblPr>
        <w:tblStyle w:val="CERTable"/>
        <w:tblW w:w="9634" w:type="dxa"/>
        <w:tblLook w:val="04A0" w:firstRow="1" w:lastRow="0" w:firstColumn="1" w:lastColumn="0" w:noHBand="0" w:noVBand="1"/>
      </w:tblPr>
      <w:tblGrid>
        <w:gridCol w:w="4817"/>
        <w:gridCol w:w="4817"/>
      </w:tblGrid>
      <w:tr w:rsidR="00A57A5C" w:rsidRPr="00FF338C" w14:paraId="08B4B053" w14:textId="77777777" w:rsidTr="00D549C7">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817" w:type="dxa"/>
          </w:tcPr>
          <w:p w14:paraId="45C00EBB" w14:textId="77777777" w:rsidR="00A57A5C" w:rsidRPr="00FF338C" w:rsidRDefault="00A57A5C" w:rsidP="00D549C7">
            <w:pPr>
              <w:pStyle w:val="Body"/>
              <w:spacing w:line="240" w:lineRule="auto"/>
              <w:ind w:left="0"/>
              <w:rPr>
                <w:rFonts w:asciiTheme="minorHAnsi" w:hAnsiTheme="minorHAnsi"/>
                <w:sz w:val="22"/>
              </w:rPr>
            </w:pPr>
            <w:r w:rsidRPr="00FF338C">
              <w:rPr>
                <w:rFonts w:asciiTheme="minorHAnsi" w:hAnsiTheme="minorHAnsi"/>
                <w:sz w:val="22"/>
              </w:rPr>
              <w:t>Purpose of produced electricity</w:t>
            </w:r>
          </w:p>
        </w:tc>
        <w:tc>
          <w:tcPr>
            <w:tcW w:w="4817" w:type="dxa"/>
          </w:tcPr>
          <w:p w14:paraId="7401EB81" w14:textId="77777777" w:rsidR="00A57A5C" w:rsidRPr="00FF338C" w:rsidRDefault="00A57A5C" w:rsidP="00D549C7">
            <w:pPr>
              <w:pStyle w:val="Body"/>
              <w:spacing w:line="240" w:lineRule="auto"/>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FF338C">
              <w:rPr>
                <w:rFonts w:asciiTheme="minorHAnsi" w:hAnsiTheme="minorHAnsi"/>
                <w:sz w:val="22"/>
              </w:rPr>
              <w:t>Measuring the quantity of electricity produced (Q)</w:t>
            </w:r>
          </w:p>
        </w:tc>
      </w:tr>
      <w:tr w:rsidR="00A57A5C" w:rsidRPr="00FF338C" w14:paraId="0299B2FB" w14:textId="77777777" w:rsidTr="00D549C7">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4817" w:type="dxa"/>
          </w:tcPr>
          <w:p w14:paraId="16DD0864" w14:textId="77777777" w:rsidR="00A57A5C" w:rsidRPr="00FF338C" w:rsidRDefault="00A57A5C" w:rsidP="00D549C7">
            <w:pPr>
              <w:pStyle w:val="Body"/>
              <w:spacing w:line="240" w:lineRule="auto"/>
              <w:ind w:left="0"/>
              <w:rPr>
                <w:rFonts w:asciiTheme="minorHAnsi" w:hAnsiTheme="minorHAnsi"/>
                <w:sz w:val="22"/>
              </w:rPr>
            </w:pPr>
            <w:r w:rsidRPr="00FF338C">
              <w:rPr>
                <w:rFonts w:asciiTheme="minorHAnsi" w:hAnsiTheme="minorHAnsi"/>
                <w:sz w:val="22"/>
              </w:rPr>
              <w:t>For use onsite</w:t>
            </w:r>
          </w:p>
          <w:p w14:paraId="3897AC8F" w14:textId="77777777" w:rsidR="00A57A5C" w:rsidRPr="00FF338C" w:rsidRDefault="00A57A5C" w:rsidP="00D549C7">
            <w:pPr>
              <w:pStyle w:val="Body"/>
              <w:spacing w:line="240" w:lineRule="auto"/>
              <w:ind w:left="0"/>
              <w:rPr>
                <w:rFonts w:asciiTheme="minorHAnsi" w:hAnsiTheme="minorHAnsi"/>
                <w:b w:val="0"/>
                <w:sz w:val="22"/>
              </w:rPr>
            </w:pPr>
            <w:r w:rsidRPr="00FF338C">
              <w:rPr>
                <w:rFonts w:asciiTheme="minorHAnsi" w:hAnsiTheme="minorHAnsi"/>
                <w:b w:val="0"/>
                <w:sz w:val="22"/>
              </w:rPr>
              <w:t>Electricity produced for use for the purpose of the operation of the facility.</w:t>
            </w:r>
          </w:p>
          <w:p w14:paraId="2DC3C7B0" w14:textId="77777777" w:rsidR="00A57A5C" w:rsidRPr="00FF338C" w:rsidRDefault="00A57A5C" w:rsidP="00B3330E">
            <w:pPr>
              <w:numPr>
                <w:ilvl w:val="0"/>
                <w:numId w:val="1"/>
              </w:numPr>
              <w:spacing w:after="120"/>
              <w:rPr>
                <w:b w:val="0"/>
              </w:rPr>
            </w:pPr>
            <w:r w:rsidRPr="00FF338C">
              <w:rPr>
                <w:b w:val="0"/>
              </w:rPr>
              <w:t>This is all residual electricity produced at the facility and not delivered for outside use</w:t>
            </w:r>
            <w:r>
              <w:rPr>
                <w:b w:val="0"/>
              </w:rPr>
              <w:t>, that is,</w:t>
            </w:r>
            <w:r w:rsidRPr="00FF338C">
              <w:rPr>
                <w:b w:val="0"/>
              </w:rPr>
              <w:t xml:space="preserve"> all electricity produced at the terminals that is not delivered for outside use.</w:t>
            </w:r>
          </w:p>
        </w:tc>
        <w:tc>
          <w:tcPr>
            <w:tcW w:w="4817" w:type="dxa"/>
          </w:tcPr>
          <w:p w14:paraId="4AD06754" w14:textId="77777777" w:rsidR="00A57A5C" w:rsidRPr="00FE31CC" w:rsidRDefault="00A57A5C" w:rsidP="00D549C7">
            <w:pPr>
              <w:pStyle w:val="Body"/>
              <w:spacing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E31CC">
              <w:rPr>
                <w:rFonts w:asciiTheme="minorHAnsi" w:hAnsiTheme="minorHAnsi"/>
                <w:sz w:val="22"/>
              </w:rPr>
              <w:t>Electricity production (Q) is equal to:</w:t>
            </w:r>
          </w:p>
          <w:p w14:paraId="3818EACA" w14:textId="77777777" w:rsidR="00A57A5C" w:rsidRPr="00FF338C" w:rsidRDefault="00A57A5C" w:rsidP="00D549C7">
            <w:pPr>
              <w:pStyle w:val="Body"/>
              <w:spacing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F338C">
              <w:rPr>
                <w:rFonts w:asciiTheme="minorHAnsi" w:hAnsiTheme="minorHAnsi"/>
                <w:sz w:val="22"/>
              </w:rPr>
              <w:t>The electricity produced by the electricity generating unit(s) as measured at the terminals</w:t>
            </w:r>
          </w:p>
          <w:p w14:paraId="2EF42917" w14:textId="77777777" w:rsidR="00A57A5C" w:rsidRPr="002C7CAE" w:rsidRDefault="00A57A5C" w:rsidP="00D549C7">
            <w:pPr>
              <w:pStyle w:val="Body"/>
              <w:spacing w:line="240" w:lineRule="auto"/>
              <w:ind w:left="720"/>
              <w:cnfStyle w:val="000000100000" w:firstRow="0" w:lastRow="0" w:firstColumn="0" w:lastColumn="0" w:oddVBand="0" w:evenVBand="0" w:oddHBand="1" w:evenHBand="0" w:firstRowFirstColumn="0" w:firstRowLastColumn="0" w:lastRowFirstColumn="0" w:lastRowLastColumn="0"/>
              <w:rPr>
                <w:rFonts w:asciiTheme="minorHAnsi" w:hAnsiTheme="minorHAnsi"/>
                <w:bCs/>
                <w:sz w:val="22"/>
              </w:rPr>
            </w:pPr>
            <w:r w:rsidRPr="00FE31CC">
              <w:rPr>
                <w:rFonts w:asciiTheme="minorHAnsi" w:hAnsiTheme="minorHAnsi"/>
                <w:sz w:val="22"/>
              </w:rPr>
              <w:t>minus</w:t>
            </w:r>
          </w:p>
          <w:p w14:paraId="67D92BCC" w14:textId="77777777" w:rsidR="00A57A5C" w:rsidRPr="00FF338C" w:rsidRDefault="00A57A5C" w:rsidP="00D549C7">
            <w:pPr>
              <w:pStyle w:val="Body"/>
              <w:spacing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F338C">
              <w:rPr>
                <w:rFonts w:asciiTheme="minorHAnsi" w:hAnsiTheme="minorHAnsi"/>
                <w:sz w:val="22"/>
              </w:rPr>
              <w:t>Electricity supplied for use outside the operation of the facility that is not supplied to the network</w:t>
            </w:r>
          </w:p>
          <w:p w14:paraId="11722627" w14:textId="77777777" w:rsidR="00A57A5C" w:rsidRPr="002C7CAE" w:rsidRDefault="00A57A5C" w:rsidP="00D549C7">
            <w:pPr>
              <w:pStyle w:val="Body"/>
              <w:spacing w:line="240" w:lineRule="auto"/>
              <w:ind w:left="720"/>
              <w:cnfStyle w:val="000000100000" w:firstRow="0" w:lastRow="0" w:firstColumn="0" w:lastColumn="0" w:oddVBand="0" w:evenVBand="0" w:oddHBand="1" w:evenHBand="0" w:firstRowFirstColumn="0" w:firstRowLastColumn="0" w:lastRowFirstColumn="0" w:lastRowLastColumn="0"/>
              <w:rPr>
                <w:rFonts w:asciiTheme="minorHAnsi" w:hAnsiTheme="minorHAnsi"/>
                <w:bCs/>
                <w:sz w:val="22"/>
              </w:rPr>
            </w:pPr>
            <w:r w:rsidRPr="00FE31CC">
              <w:rPr>
                <w:rFonts w:asciiTheme="minorHAnsi" w:hAnsiTheme="minorHAnsi"/>
                <w:sz w:val="22"/>
              </w:rPr>
              <w:t>minus</w:t>
            </w:r>
          </w:p>
          <w:p w14:paraId="632E4F01" w14:textId="77777777" w:rsidR="00A57A5C" w:rsidRPr="00FF338C" w:rsidRDefault="00A57A5C" w:rsidP="00D549C7">
            <w:pPr>
              <w:pStyle w:val="Body"/>
              <w:spacing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F338C">
              <w:rPr>
                <w:rFonts w:asciiTheme="minorHAnsi" w:hAnsiTheme="minorHAnsi"/>
                <w:sz w:val="22"/>
              </w:rPr>
              <w:t xml:space="preserve">Electricity supplied to a transmission or distribution network measured at the network connection point. </w:t>
            </w:r>
          </w:p>
        </w:tc>
      </w:tr>
      <w:tr w:rsidR="00A57A5C" w:rsidRPr="00FF338C" w14:paraId="0BD73FDD" w14:textId="77777777" w:rsidTr="00D05244">
        <w:trPr>
          <w:cnfStyle w:val="000000010000" w:firstRow="0" w:lastRow="0" w:firstColumn="0" w:lastColumn="0" w:oddVBand="0" w:evenVBand="0" w:oddHBand="0" w:evenHBand="1"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4817" w:type="dxa"/>
            <w:tcBorders>
              <w:bottom w:val="single" w:sz="8" w:space="0" w:color="E8E8E8" w:themeColor="background2"/>
            </w:tcBorders>
          </w:tcPr>
          <w:p w14:paraId="5D7403F3" w14:textId="77777777" w:rsidR="00A57A5C" w:rsidRPr="00FF338C" w:rsidRDefault="00A57A5C" w:rsidP="00D549C7">
            <w:pPr>
              <w:pStyle w:val="Body"/>
              <w:spacing w:line="240" w:lineRule="auto"/>
              <w:ind w:left="0"/>
              <w:rPr>
                <w:rFonts w:asciiTheme="minorHAnsi" w:hAnsiTheme="minorHAnsi"/>
                <w:b w:val="0"/>
                <w:sz w:val="22"/>
              </w:rPr>
            </w:pPr>
            <w:r w:rsidRPr="00FF338C">
              <w:rPr>
                <w:rFonts w:asciiTheme="minorHAnsi" w:hAnsiTheme="minorHAnsi"/>
                <w:sz w:val="22"/>
              </w:rPr>
              <w:t>For use offsite, not supplied to network</w:t>
            </w:r>
          </w:p>
          <w:p w14:paraId="46C86708" w14:textId="77777777" w:rsidR="00A57A5C" w:rsidRPr="00FF338C" w:rsidRDefault="00A57A5C" w:rsidP="00D549C7">
            <w:pPr>
              <w:pStyle w:val="Body"/>
              <w:spacing w:line="240" w:lineRule="auto"/>
              <w:ind w:left="0"/>
              <w:rPr>
                <w:rFonts w:asciiTheme="minorHAnsi" w:hAnsiTheme="minorHAnsi"/>
                <w:b w:val="0"/>
                <w:sz w:val="22"/>
              </w:rPr>
            </w:pPr>
            <w:r w:rsidRPr="00FF338C">
              <w:rPr>
                <w:rFonts w:asciiTheme="minorHAnsi" w:hAnsiTheme="minorHAnsi"/>
                <w:b w:val="0"/>
                <w:sz w:val="22"/>
              </w:rPr>
              <w:t>Electricity produced for use outside the operation of the facility other than supply to an electricity transmission or distribution network.</w:t>
            </w:r>
          </w:p>
        </w:tc>
        <w:tc>
          <w:tcPr>
            <w:tcW w:w="4817" w:type="dxa"/>
            <w:tcBorders>
              <w:bottom w:val="single" w:sz="8" w:space="0" w:color="E8E8E8" w:themeColor="background2"/>
            </w:tcBorders>
          </w:tcPr>
          <w:p w14:paraId="11258203" w14:textId="77777777" w:rsidR="00A57A5C" w:rsidRPr="00FE31CC" w:rsidRDefault="00A57A5C" w:rsidP="00D549C7">
            <w:pPr>
              <w:pStyle w:val="Body"/>
              <w:spacing w:line="240" w:lineRule="auto"/>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r w:rsidRPr="00FE31CC">
              <w:rPr>
                <w:rFonts w:asciiTheme="minorHAnsi" w:hAnsiTheme="minorHAnsi"/>
                <w:sz w:val="22"/>
              </w:rPr>
              <w:t>Electricity production (Q) is equal to:</w:t>
            </w:r>
          </w:p>
          <w:p w14:paraId="66F97A57" w14:textId="77777777" w:rsidR="00A57A5C" w:rsidRPr="00FF338C" w:rsidRDefault="00A57A5C" w:rsidP="00D549C7">
            <w:pPr>
              <w:pStyle w:val="Body"/>
              <w:spacing w:line="240" w:lineRule="auto"/>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r w:rsidRPr="00FF338C">
              <w:rPr>
                <w:rFonts w:asciiTheme="minorHAnsi" w:hAnsiTheme="minorHAnsi"/>
                <w:sz w:val="22"/>
              </w:rPr>
              <w:t>Electricity supplied for use outside the facility that is not supplied to the network.</w:t>
            </w:r>
          </w:p>
        </w:tc>
      </w:tr>
      <w:tr w:rsidR="00A57A5C" w:rsidRPr="00FF338C" w14:paraId="73DD5B68" w14:textId="77777777" w:rsidTr="00D05244">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4817" w:type="dxa"/>
            <w:tcBorders>
              <w:top w:val="single" w:sz="8" w:space="0" w:color="E8E8E8" w:themeColor="background2"/>
              <w:bottom w:val="single" w:sz="4" w:space="0" w:color="FCBA5C" w:themeColor="accent2"/>
            </w:tcBorders>
          </w:tcPr>
          <w:p w14:paraId="5BB9B61C" w14:textId="77777777" w:rsidR="00A57A5C" w:rsidRPr="00FF338C" w:rsidRDefault="00A57A5C" w:rsidP="00D549C7">
            <w:pPr>
              <w:pStyle w:val="Body"/>
              <w:spacing w:line="240" w:lineRule="auto"/>
              <w:ind w:left="0"/>
              <w:rPr>
                <w:rFonts w:asciiTheme="minorHAnsi" w:hAnsiTheme="minorHAnsi"/>
                <w:sz w:val="22"/>
              </w:rPr>
            </w:pPr>
            <w:r w:rsidRPr="00FF338C">
              <w:rPr>
                <w:rFonts w:asciiTheme="minorHAnsi" w:hAnsiTheme="minorHAnsi"/>
                <w:sz w:val="22"/>
              </w:rPr>
              <w:t>For use offsite, supplied to network</w:t>
            </w:r>
          </w:p>
          <w:p w14:paraId="7E8C2C2E" w14:textId="77777777" w:rsidR="00A57A5C" w:rsidRPr="00FF338C" w:rsidRDefault="00A57A5C" w:rsidP="00D549C7">
            <w:pPr>
              <w:pStyle w:val="Body"/>
              <w:spacing w:line="240" w:lineRule="auto"/>
              <w:ind w:left="0"/>
              <w:rPr>
                <w:rFonts w:asciiTheme="minorHAnsi" w:hAnsiTheme="minorHAnsi"/>
                <w:b w:val="0"/>
                <w:sz w:val="22"/>
              </w:rPr>
            </w:pPr>
            <w:r w:rsidRPr="00FF338C">
              <w:rPr>
                <w:rFonts w:asciiTheme="minorHAnsi" w:hAnsiTheme="minorHAnsi"/>
                <w:b w:val="0"/>
                <w:sz w:val="22"/>
              </w:rPr>
              <w:t>Electricity produced for use outside the operation of the facility for supply to an electricity transmission or distribution network.</w:t>
            </w:r>
          </w:p>
        </w:tc>
        <w:tc>
          <w:tcPr>
            <w:tcW w:w="4817" w:type="dxa"/>
            <w:tcBorders>
              <w:top w:val="single" w:sz="8" w:space="0" w:color="E8E8E8" w:themeColor="background2"/>
              <w:bottom w:val="single" w:sz="4" w:space="0" w:color="FCBA5C" w:themeColor="accent2"/>
            </w:tcBorders>
          </w:tcPr>
          <w:p w14:paraId="6287E302" w14:textId="77777777" w:rsidR="00A57A5C" w:rsidRPr="00FE31CC" w:rsidRDefault="00A57A5C" w:rsidP="00D549C7">
            <w:pPr>
              <w:pStyle w:val="Body"/>
              <w:spacing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E31CC">
              <w:rPr>
                <w:rFonts w:asciiTheme="minorHAnsi" w:hAnsiTheme="minorHAnsi"/>
                <w:sz w:val="22"/>
              </w:rPr>
              <w:t>Electricity production (Q) is equal to:</w:t>
            </w:r>
          </w:p>
          <w:p w14:paraId="121CBF23" w14:textId="77777777" w:rsidR="00A57A5C" w:rsidRPr="00FF338C" w:rsidRDefault="00A57A5C" w:rsidP="00D549C7">
            <w:pPr>
              <w:pStyle w:val="Body"/>
              <w:spacing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F338C">
              <w:rPr>
                <w:rFonts w:asciiTheme="minorHAnsi" w:hAnsiTheme="minorHAnsi"/>
                <w:sz w:val="22"/>
              </w:rPr>
              <w:t>Electricity supplied to a transmission or distribution network measured at the network connection point.</w:t>
            </w:r>
          </w:p>
        </w:tc>
      </w:tr>
    </w:tbl>
    <w:p w14:paraId="0E089FBE" w14:textId="77777777" w:rsidR="00A57A5C" w:rsidRPr="00D636DC" w:rsidRDefault="00A57A5C" w:rsidP="00A57A5C">
      <w:pPr>
        <w:pStyle w:val="Heading4"/>
        <w:rPr>
          <w:sz w:val="22"/>
          <w:szCs w:val="22"/>
        </w:rPr>
      </w:pPr>
      <w:bookmarkStart w:id="269" w:name="_Toc107922579"/>
      <w:r w:rsidRPr="00D636DC">
        <w:rPr>
          <w:rFonts w:eastAsiaTheme="majorEastAsia"/>
          <w:sz w:val="22"/>
          <w:szCs w:val="22"/>
        </w:rPr>
        <w:t>Reporting consumption and production of electricity for use onsite in EERS</w:t>
      </w:r>
      <w:bookmarkEnd w:id="269"/>
    </w:p>
    <w:p w14:paraId="7BE4F258" w14:textId="77777777" w:rsidR="00A57A5C" w:rsidRPr="00CD0EE3" w:rsidRDefault="00A57A5C" w:rsidP="00A57A5C">
      <w:pPr>
        <w:spacing w:after="0"/>
        <w:jc w:val="both"/>
      </w:pPr>
      <w:r w:rsidRPr="00434385">
        <w:t>EERS was updated for the 2019</w:t>
      </w:r>
      <w:r>
        <w:t>–</w:t>
      </w:r>
      <w:r w:rsidRPr="00434385">
        <w:t>20 reporting year (and onwards) so that it automatically reports an amount of consumption of electricity produced ‘</w:t>
      </w:r>
      <w:r w:rsidRPr="000645CA">
        <w:t>for use for the purposes of the facility (for use onsite)</w:t>
      </w:r>
      <w:r w:rsidRPr="00434385">
        <w:t xml:space="preserve">’, which is equal to the reported amount of electricity produced ‘for use for the purposes of the facility’. </w:t>
      </w:r>
      <w:r>
        <w:t>Where</w:t>
      </w:r>
      <w:r w:rsidRPr="00434385">
        <w:t xml:space="preserve"> electricity produced ‘</w:t>
      </w:r>
      <w:r w:rsidRPr="000645CA">
        <w:t>for use for the purposes of the facility (for use onsite)</w:t>
      </w:r>
      <w:r w:rsidRPr="00434385">
        <w:t xml:space="preserve">’ </w:t>
      </w:r>
      <w:r>
        <w:t xml:space="preserve">is inputted </w:t>
      </w:r>
      <w:r w:rsidRPr="00434385">
        <w:t xml:space="preserve">into EERS, consumption of that electricity must not </w:t>
      </w:r>
      <w:r>
        <w:t xml:space="preserve">be inputted </w:t>
      </w:r>
      <w:r w:rsidRPr="00434385">
        <w:t>separately.</w:t>
      </w:r>
      <w:r>
        <w:t xml:space="preserve"> </w:t>
      </w:r>
      <w:r w:rsidRPr="00CD0EE3">
        <w:t xml:space="preserve">This is </w:t>
      </w:r>
      <w:r>
        <w:t>described</w:t>
      </w:r>
      <w:r w:rsidRPr="00CD0EE3">
        <w:t xml:space="preserve"> in </w:t>
      </w:r>
      <w:r>
        <w:t>the e</w:t>
      </w:r>
      <w:r w:rsidRPr="00CD0EE3">
        <w:t xml:space="preserve">xample </w:t>
      </w:r>
      <w:r>
        <w:t>below</w:t>
      </w:r>
      <w:r w:rsidRPr="00CD0EE3">
        <w:t xml:space="preserve">. </w:t>
      </w:r>
    </w:p>
    <w:tbl>
      <w:tblPr>
        <w:tblStyle w:val="CERCallout"/>
        <w:tblW w:w="5000" w:type="pct"/>
        <w:tblLook w:val="04A0" w:firstRow="1" w:lastRow="0" w:firstColumn="1" w:lastColumn="0" w:noHBand="0" w:noVBand="1"/>
      </w:tblPr>
      <w:tblGrid>
        <w:gridCol w:w="9710"/>
      </w:tblGrid>
      <w:tr w:rsidR="00A57A5C" w:rsidRPr="00CD0EE3" w14:paraId="039D6E8C" w14:textId="77777777" w:rsidTr="00D66352">
        <w:trPr>
          <w:cnfStyle w:val="100000000000" w:firstRow="1" w:lastRow="0" w:firstColumn="0" w:lastColumn="0" w:oddVBand="0" w:evenVBand="0" w:oddHBand="0" w:evenHBand="0" w:firstRowFirstColumn="0" w:firstRowLastColumn="0" w:lastRowFirstColumn="0" w:lastRowLastColumn="0"/>
        </w:trPr>
        <w:tc>
          <w:tcPr>
            <w:tcW w:w="4708" w:type="pct"/>
          </w:tcPr>
          <w:p w14:paraId="19320E43" w14:textId="77777777" w:rsidR="00A57A5C" w:rsidRPr="00D05244" w:rsidRDefault="00A57A5C" w:rsidP="00D05244">
            <w:pPr>
              <w:pStyle w:val="Heading4"/>
              <w:ind w:left="0"/>
              <w:rPr>
                <w:b/>
              </w:rPr>
            </w:pPr>
            <w:bookmarkStart w:id="270" w:name="_Toc107922580"/>
            <w:r w:rsidRPr="00D05244">
              <w:rPr>
                <w:b/>
              </w:rPr>
              <w:t>Example – Reporting consumption and production of electricity produced ‘for use for the purposes of facility’</w:t>
            </w:r>
            <w:bookmarkEnd w:id="270"/>
          </w:p>
          <w:p w14:paraId="3059D038" w14:textId="77777777" w:rsidR="00A57A5C" w:rsidRPr="00D05244" w:rsidRDefault="00A57A5C" w:rsidP="00D549C7">
            <w:pPr>
              <w:ind w:left="0" w:right="0"/>
              <w:rPr>
                <w:b w:val="0"/>
                <w:bCs/>
              </w:rPr>
            </w:pPr>
            <w:r w:rsidRPr="00D05244">
              <w:rPr>
                <w:b w:val="0"/>
                <w:bCs/>
              </w:rPr>
              <w:t>The electricity produced by a facility includes 100,000 kWh of electricity produced ‘for use for the purposes of the facility’. The reporter inputs 100,000 kWh into EERS as electricity produced ‘for use for the purposes of the facility’.</w:t>
            </w:r>
          </w:p>
          <w:p w14:paraId="0095D0CF" w14:textId="77777777" w:rsidR="00A57A5C" w:rsidRPr="00D05244" w:rsidRDefault="00A57A5C" w:rsidP="00D549C7">
            <w:pPr>
              <w:ind w:left="0" w:right="0"/>
              <w:rPr>
                <w:b w:val="0"/>
                <w:bCs/>
              </w:rPr>
            </w:pPr>
            <w:r w:rsidRPr="00D05244">
              <w:rPr>
                <w:b w:val="0"/>
                <w:bCs/>
              </w:rPr>
              <w:t>EERS then records:</w:t>
            </w:r>
          </w:p>
          <w:p w14:paraId="0E784E39" w14:textId="77777777" w:rsidR="00A57A5C" w:rsidRPr="00D05244" w:rsidRDefault="00A57A5C" w:rsidP="00B3330E">
            <w:pPr>
              <w:pStyle w:val="CERbullets"/>
              <w:numPr>
                <w:ilvl w:val="0"/>
                <w:numId w:val="12"/>
              </w:numPr>
              <w:ind w:left="357" w:right="0" w:hanging="357"/>
              <w:rPr>
                <w:rFonts w:ascii="Calibri" w:hAnsi="Calibri" w:cs="Calibri"/>
                <w:b w:val="0"/>
                <w:bCs/>
                <w:color w:val="000000"/>
              </w:rPr>
            </w:pPr>
            <w:bookmarkStart w:id="271" w:name="_Hlk48050786"/>
            <w:r w:rsidRPr="00D05244">
              <w:rPr>
                <w:rFonts w:ascii="Calibri" w:hAnsi="Calibri" w:cs="Calibri"/>
                <w:b w:val="0"/>
                <w:bCs/>
                <w:color w:val="000000"/>
              </w:rPr>
              <w:t>100,000 kWh (360 GJ) of electricity produced ‘for use for the purposes of the facility’</w:t>
            </w:r>
          </w:p>
          <w:p w14:paraId="385D9CF4" w14:textId="77777777" w:rsidR="00A57A5C" w:rsidRPr="00D05244" w:rsidRDefault="00A57A5C" w:rsidP="00B3330E">
            <w:pPr>
              <w:pStyle w:val="CERbullets"/>
              <w:numPr>
                <w:ilvl w:val="0"/>
                <w:numId w:val="12"/>
              </w:numPr>
              <w:ind w:left="357" w:right="0" w:hanging="357"/>
              <w:rPr>
                <w:rFonts w:ascii="Calibri" w:hAnsi="Calibri" w:cs="Calibri"/>
                <w:b w:val="0"/>
                <w:bCs/>
                <w:color w:val="000000"/>
              </w:rPr>
            </w:pPr>
            <w:r w:rsidRPr="00D05244">
              <w:rPr>
                <w:rFonts w:ascii="Calibri" w:hAnsi="Calibri" w:cs="Calibri"/>
                <w:b w:val="0"/>
                <w:bCs/>
                <w:color w:val="000000"/>
              </w:rPr>
              <w:t>100,000 kWh (360 GJ) of consumption of electricity produced ‘for use for the purposes of the facility’.</w:t>
            </w:r>
          </w:p>
          <w:bookmarkEnd w:id="271"/>
          <w:p w14:paraId="7A5AFD1D" w14:textId="77777777" w:rsidR="00A57A5C" w:rsidRPr="00D05244" w:rsidRDefault="00A57A5C" w:rsidP="00D549C7">
            <w:pPr>
              <w:ind w:left="0" w:right="0"/>
              <w:rPr>
                <w:b w:val="0"/>
                <w:bCs/>
              </w:rPr>
            </w:pPr>
            <w:r w:rsidRPr="00D05244">
              <w:rPr>
                <w:b w:val="0"/>
                <w:bCs/>
              </w:rPr>
              <w:t>These values will be included in the NGER report generated by EERS.</w:t>
            </w:r>
          </w:p>
          <w:p w14:paraId="0FAD3A2C" w14:textId="77777777" w:rsidR="00A57A5C" w:rsidRPr="00CD0EE3" w:rsidRDefault="00A57A5C" w:rsidP="00D549C7">
            <w:pPr>
              <w:ind w:left="0" w:right="0"/>
            </w:pPr>
            <w:r w:rsidRPr="00D05244">
              <w:rPr>
                <w:b w:val="0"/>
                <w:bCs/>
              </w:rPr>
              <w:t xml:space="preserve">The reporter correctly does not manually input </w:t>
            </w:r>
            <w:r w:rsidRPr="00D05244">
              <w:rPr>
                <w:b w:val="0"/>
                <w:bCs/>
                <w:szCs w:val="22"/>
              </w:rPr>
              <w:t>consumption of electricity produced ‘for use for the purposes of the facility (for use onsite)’</w:t>
            </w:r>
            <w:r w:rsidRPr="00D05244">
              <w:rPr>
                <w:b w:val="0"/>
                <w:bCs/>
              </w:rPr>
              <w:t xml:space="preserve"> because it has been automatically recorded by EERS</w:t>
            </w:r>
            <w:r w:rsidRPr="00CD0EE3" w:rsidDel="00A81F49">
              <w:t xml:space="preserve"> </w:t>
            </w:r>
          </w:p>
        </w:tc>
      </w:tr>
    </w:tbl>
    <w:p w14:paraId="49A6AC0D" w14:textId="77777777" w:rsidR="00A57A5C" w:rsidRPr="00BF4AF9" w:rsidRDefault="00A57A5C" w:rsidP="00A57A5C">
      <w:r>
        <w:t>S</w:t>
      </w:r>
      <w:r w:rsidRPr="00BF4AF9">
        <w:t xml:space="preserve">ee </w:t>
      </w:r>
      <w:hyperlink r:id="rId46" w:anchor="How-do-I-report-consumption-of-electricity-that-was-produced-for-use-during-the-operation-of-the-facility" w:history="1">
        <w:r w:rsidRPr="00BF4AF9">
          <w:rPr>
            <w:rStyle w:val="Hyperlink"/>
            <w:rFonts w:asciiTheme="minorHAnsi" w:hAnsiTheme="minorHAnsi"/>
          </w:rPr>
          <w:t>How do I report consumption of electricity that was produced for use during the operation of the facility?</w:t>
        </w:r>
      </w:hyperlink>
      <w:r>
        <w:rPr>
          <w:rStyle w:val="FootnoteReference"/>
        </w:rPr>
        <w:footnoteReference w:id="18"/>
      </w:r>
      <w:r w:rsidRPr="00BF4AF9">
        <w:t xml:space="preserve"> </w:t>
      </w:r>
      <w:r>
        <w:t>for more information and guidance for reporting in EERS</w:t>
      </w:r>
      <w:r w:rsidRPr="00BF4AF9">
        <w:t>.</w:t>
      </w:r>
    </w:p>
    <w:p w14:paraId="1A235B99" w14:textId="77777777" w:rsidR="00A57A5C" w:rsidRPr="00FF338C" w:rsidRDefault="00A57A5C" w:rsidP="00A57A5C">
      <w:pPr>
        <w:pStyle w:val="Heading4"/>
      </w:pPr>
      <w:bookmarkStart w:id="272" w:name="_Toc107922581"/>
      <w:r w:rsidRPr="00FF338C">
        <w:t>Measuring electricity production</w:t>
      </w:r>
      <w:bookmarkEnd w:id="272"/>
    </w:p>
    <w:p w14:paraId="597DAD22" w14:textId="77777777" w:rsidR="00A57A5C" w:rsidRPr="00FF338C" w:rsidRDefault="00A57A5C" w:rsidP="00A57A5C">
      <w:pPr>
        <w:pStyle w:val="Body"/>
        <w:ind w:left="0"/>
        <w:rPr>
          <w:rFonts w:asciiTheme="minorHAnsi" w:hAnsiTheme="minorHAnsi"/>
          <w:sz w:val="22"/>
        </w:rPr>
      </w:pPr>
      <w:r w:rsidRPr="00FF338C">
        <w:rPr>
          <w:rFonts w:asciiTheme="minorHAnsi" w:hAnsiTheme="minorHAnsi"/>
          <w:sz w:val="22"/>
        </w:rPr>
        <w:t xml:space="preserve">Produced electricity delivered to an electricity transmission or distribution network must be measured according to either Chapter 7 of the </w:t>
      </w:r>
      <w:hyperlink r:id="rId47" w:history="1">
        <w:r w:rsidRPr="00AA5EE7">
          <w:rPr>
            <w:rStyle w:val="Hyperlink"/>
            <w:rFonts w:asciiTheme="minorHAnsi" w:hAnsiTheme="minorHAnsi"/>
          </w:rPr>
          <w:t>National Electricity Rules</w:t>
        </w:r>
      </w:hyperlink>
      <w:r>
        <w:rPr>
          <w:rStyle w:val="FootnoteReference"/>
          <w:rFonts w:asciiTheme="minorHAnsi" w:hAnsiTheme="minorHAnsi"/>
          <w:sz w:val="22"/>
        </w:rPr>
        <w:footnoteReference w:id="19"/>
      </w:r>
      <w:r w:rsidRPr="00FF338C">
        <w:rPr>
          <w:rFonts w:asciiTheme="minorHAnsi" w:hAnsiTheme="minorHAnsi"/>
          <w:sz w:val="22"/>
        </w:rPr>
        <w:t xml:space="preserve"> </w:t>
      </w:r>
      <w:r>
        <w:rPr>
          <w:rFonts w:asciiTheme="minorHAnsi" w:hAnsiTheme="minorHAnsi"/>
          <w:sz w:val="22"/>
        </w:rPr>
        <w:t>per</w:t>
      </w:r>
      <w:r w:rsidRPr="00FF338C">
        <w:rPr>
          <w:rFonts w:asciiTheme="minorHAnsi" w:hAnsiTheme="minorHAnsi"/>
          <w:sz w:val="22"/>
        </w:rPr>
        <w:t xml:space="preserve"> the </w:t>
      </w:r>
      <w:r w:rsidRPr="00FF338C">
        <w:rPr>
          <w:rFonts w:asciiTheme="minorHAnsi" w:hAnsiTheme="minorHAnsi"/>
          <w:i/>
          <w:sz w:val="22"/>
        </w:rPr>
        <w:t>National Electricity (South Australia) Act 1996</w:t>
      </w:r>
      <w:r w:rsidRPr="00FF338C">
        <w:rPr>
          <w:rFonts w:asciiTheme="minorHAnsi" w:hAnsiTheme="minorHAnsi"/>
          <w:sz w:val="22"/>
        </w:rPr>
        <w:t xml:space="preserve"> or the metering requirements applicable to the region in which the facility is located</w:t>
      </w:r>
      <w:r>
        <w:rPr>
          <w:rFonts w:asciiTheme="minorHAnsi" w:hAnsiTheme="minorHAnsi"/>
          <w:sz w:val="22"/>
        </w:rPr>
        <w:t xml:space="preserve"> (section 6.2 </w:t>
      </w:r>
      <w:r w:rsidRPr="00FF338C">
        <w:rPr>
          <w:rFonts w:asciiTheme="minorHAnsi" w:hAnsiTheme="minorHAnsi"/>
          <w:sz w:val="22"/>
        </w:rPr>
        <w:t xml:space="preserve">of the </w:t>
      </w:r>
      <w:r>
        <w:rPr>
          <w:rFonts w:asciiTheme="minorHAnsi" w:hAnsiTheme="minorHAnsi"/>
          <w:sz w:val="22"/>
        </w:rPr>
        <w:t>NGER Measurement Determination)</w:t>
      </w:r>
      <w:r w:rsidRPr="00FF338C">
        <w:rPr>
          <w:rFonts w:asciiTheme="minorHAnsi" w:hAnsiTheme="minorHAnsi"/>
          <w:sz w:val="22"/>
        </w:rPr>
        <w:t>.</w:t>
      </w:r>
    </w:p>
    <w:p w14:paraId="4567E62A" w14:textId="77777777" w:rsidR="00A57A5C" w:rsidRPr="00FF338C" w:rsidRDefault="00A57A5C" w:rsidP="00A57A5C">
      <w:pPr>
        <w:pStyle w:val="Body"/>
        <w:ind w:left="0"/>
        <w:rPr>
          <w:rFonts w:asciiTheme="minorHAnsi" w:hAnsiTheme="minorHAnsi"/>
          <w:b/>
          <w:i/>
          <w:sz w:val="22"/>
        </w:rPr>
      </w:pPr>
      <w:r w:rsidRPr="00FF338C">
        <w:rPr>
          <w:rFonts w:asciiTheme="minorHAnsi" w:hAnsiTheme="minorHAnsi"/>
          <w:sz w:val="22"/>
        </w:rPr>
        <w:t xml:space="preserve">For other electricity production, subsection 6.3(2) of the </w:t>
      </w:r>
      <w:r>
        <w:rPr>
          <w:rFonts w:asciiTheme="minorHAnsi" w:hAnsiTheme="minorHAnsi"/>
          <w:sz w:val="22"/>
        </w:rPr>
        <w:t>NGER Measurement Determination</w:t>
      </w:r>
      <w:r w:rsidRPr="00FF338C">
        <w:rPr>
          <w:rFonts w:asciiTheme="minorHAnsi" w:hAnsiTheme="minorHAnsi"/>
          <w:sz w:val="22"/>
        </w:rPr>
        <w:t xml:space="preserve"> clarifies that the amount of electricity produced from the operation of the facility during the year must be evidenced by invoices, contractual arrangements or industry metering records</w:t>
      </w:r>
      <w:r w:rsidRPr="00FF338C">
        <w:rPr>
          <w:rFonts w:asciiTheme="minorHAnsi" w:hAnsiTheme="minorHAnsi"/>
          <w:b/>
          <w:sz w:val="22"/>
        </w:rPr>
        <w:t>.</w:t>
      </w:r>
    </w:p>
    <w:p w14:paraId="3DF5B9EA" w14:textId="77777777" w:rsidR="00A57A5C" w:rsidRPr="00FF338C" w:rsidRDefault="00A57A5C" w:rsidP="00A57A5C">
      <w:pPr>
        <w:pStyle w:val="Body"/>
        <w:ind w:left="0"/>
        <w:rPr>
          <w:rFonts w:asciiTheme="minorHAnsi" w:hAnsiTheme="minorHAnsi"/>
          <w:sz w:val="22"/>
        </w:rPr>
      </w:pPr>
      <w:r w:rsidRPr="00FF338C">
        <w:rPr>
          <w:rFonts w:asciiTheme="minorHAnsi" w:hAnsiTheme="minorHAnsi"/>
          <w:sz w:val="22"/>
        </w:rPr>
        <w:t>In practice:</w:t>
      </w:r>
    </w:p>
    <w:p w14:paraId="16EA2BFD" w14:textId="77777777" w:rsidR="00A57A5C" w:rsidRPr="00FF338C" w:rsidRDefault="00A57A5C" w:rsidP="00B3330E">
      <w:pPr>
        <w:numPr>
          <w:ilvl w:val="0"/>
          <w:numId w:val="1"/>
        </w:numPr>
        <w:spacing w:before="120" w:after="120"/>
      </w:pPr>
      <w:r w:rsidRPr="00FF338C">
        <w:t xml:space="preserve">The </w:t>
      </w:r>
      <w:r w:rsidRPr="00FF338C">
        <w:rPr>
          <w:rFonts w:ascii="Calibri" w:hAnsi="Calibri"/>
          <w:bCs/>
          <w:color w:val="000000"/>
          <w:szCs w:val="22"/>
        </w:rPr>
        <w:t>electricity</w:t>
      </w:r>
      <w:r w:rsidRPr="00FF338C">
        <w:t xml:space="preserve"> produced at the terminals should be measured and evidenced using metering per industry standard.</w:t>
      </w:r>
    </w:p>
    <w:p w14:paraId="30A6448E" w14:textId="77777777" w:rsidR="00A57A5C" w:rsidRPr="00FF338C" w:rsidRDefault="00A57A5C" w:rsidP="00B3330E">
      <w:pPr>
        <w:numPr>
          <w:ilvl w:val="0"/>
          <w:numId w:val="1"/>
        </w:numPr>
        <w:spacing w:before="120" w:after="120"/>
      </w:pPr>
      <w:r w:rsidRPr="00FF338C">
        <w:t>For electricity delivered for use at another facility, the delivered electricity must be evidenced using invoices, contractual arrangements or industry metering records.</w:t>
      </w:r>
    </w:p>
    <w:tbl>
      <w:tblPr>
        <w:tblStyle w:val="CERCallout"/>
        <w:tblW w:w="0" w:type="auto"/>
        <w:tblLook w:val="04A0" w:firstRow="1" w:lastRow="0" w:firstColumn="1" w:lastColumn="0" w:noHBand="0" w:noVBand="1"/>
      </w:tblPr>
      <w:tblGrid>
        <w:gridCol w:w="9710"/>
      </w:tblGrid>
      <w:tr w:rsidR="00A57A5C" w:rsidRPr="00FF338C" w14:paraId="1030D1AB" w14:textId="77777777" w:rsidTr="00D549C7">
        <w:trPr>
          <w:cnfStyle w:val="100000000000" w:firstRow="1" w:lastRow="0" w:firstColumn="0" w:lastColumn="0" w:oddVBand="0" w:evenVBand="0" w:oddHBand="0" w:evenHBand="0" w:firstRowFirstColumn="0" w:firstRowLastColumn="0" w:lastRowFirstColumn="0" w:lastRowLastColumn="0"/>
        </w:trPr>
        <w:tc>
          <w:tcPr>
            <w:tcW w:w="9730" w:type="dxa"/>
          </w:tcPr>
          <w:p w14:paraId="75A0C58A" w14:textId="77777777" w:rsidR="00A57A5C" w:rsidRPr="00FB5D2B" w:rsidRDefault="00A57A5C" w:rsidP="00D549C7">
            <w:pPr>
              <w:pStyle w:val="Heading5"/>
              <w:spacing w:before="0"/>
              <w:ind w:left="0"/>
              <w:rPr>
                <w:b/>
                <w:bCs/>
              </w:rPr>
            </w:pPr>
            <w:bookmarkStart w:id="273" w:name="_Toc107922582"/>
            <w:r w:rsidRPr="00FB5D2B">
              <w:rPr>
                <w:b/>
                <w:bCs/>
              </w:rPr>
              <w:t>Example – Quantifying electricity production at a gas fired power plant</w:t>
            </w:r>
            <w:bookmarkEnd w:id="273"/>
          </w:p>
          <w:p w14:paraId="33C723B0" w14:textId="77777777" w:rsidR="00A57A5C" w:rsidRPr="00FB5D2B" w:rsidRDefault="000D1A50" w:rsidP="006971C9">
            <w:pPr>
              <w:pStyle w:val="CERbullets"/>
              <w:numPr>
                <w:ilvl w:val="0"/>
                <w:numId w:val="0"/>
              </w:numPr>
              <w:ind w:left="357" w:hanging="357"/>
              <w:rPr>
                <w:b w:val="0"/>
                <w:bCs/>
              </w:rPr>
            </w:pPr>
            <w:hyperlink w:anchor="_Case_example_1:" w:history="1">
              <w:r w:rsidR="00A57A5C" w:rsidRPr="00FB5D2B">
                <w:rPr>
                  <w:rStyle w:val="Hyperlink"/>
                  <w:rFonts w:asciiTheme="minorHAnsi" w:hAnsiTheme="minorHAnsi"/>
                  <w:b w:val="0"/>
                  <w:bCs/>
                </w:rPr>
                <w:t>Case example 1 in Appendix A</w:t>
              </w:r>
            </w:hyperlink>
            <w:r w:rsidR="00A57A5C" w:rsidRPr="00FB5D2B">
              <w:rPr>
                <w:b w:val="0"/>
                <w:bCs/>
              </w:rPr>
              <w:t xml:space="preserve"> illustrates how electricity production should be quantified.</w:t>
            </w:r>
          </w:p>
          <w:p w14:paraId="79B0E7C8" w14:textId="77777777" w:rsidR="00A57A5C" w:rsidRPr="00FB5D2B" w:rsidRDefault="00A57A5C" w:rsidP="00B3330E">
            <w:pPr>
              <w:pStyle w:val="CERnumbering"/>
              <w:numPr>
                <w:ilvl w:val="0"/>
                <w:numId w:val="16"/>
              </w:numPr>
              <w:spacing w:beforeAutospacing="0"/>
              <w:rPr>
                <w:b w:val="0"/>
                <w:bCs/>
              </w:rPr>
            </w:pPr>
            <w:r w:rsidRPr="00FB5D2B">
              <w:rPr>
                <w:b w:val="0"/>
                <w:bCs/>
              </w:rPr>
              <w:t>Electricity is produced in the turbine and electricity production is measured using metering at the terminal (see number 4 in figure 8).</w:t>
            </w:r>
          </w:p>
          <w:p w14:paraId="12B8E37D" w14:textId="77777777" w:rsidR="00A57A5C" w:rsidRPr="00FB5D2B" w:rsidRDefault="00A57A5C" w:rsidP="00B3330E">
            <w:pPr>
              <w:pStyle w:val="CERnumbering"/>
              <w:numPr>
                <w:ilvl w:val="0"/>
                <w:numId w:val="16"/>
              </w:numPr>
              <w:spacing w:beforeAutospacing="0"/>
              <w:rPr>
                <w:b w:val="0"/>
                <w:bCs/>
              </w:rPr>
            </w:pPr>
            <w:r w:rsidRPr="00FB5D2B">
              <w:rPr>
                <w:b w:val="0"/>
                <w:bCs/>
              </w:rPr>
              <w:t>Electricity delivered to an electricity transmission network</w:t>
            </w:r>
            <w:r w:rsidRPr="00FB5D2B">
              <w:rPr>
                <w:b w:val="0"/>
                <w:bCs/>
                <w:color w:val="FF0000"/>
              </w:rPr>
              <w:t xml:space="preserve"> </w:t>
            </w:r>
            <w:r w:rsidRPr="00FB5D2B">
              <w:rPr>
                <w:b w:val="0"/>
                <w:bCs/>
              </w:rPr>
              <w:t>is metered at the network connection point (see number 7 in figure 8). This meter determines the amount of reportable electricity produced for the purpose of delivering to the network.</w:t>
            </w:r>
          </w:p>
          <w:p w14:paraId="59FBE164" w14:textId="77777777" w:rsidR="00A57A5C" w:rsidRPr="00FB5D2B" w:rsidRDefault="00A57A5C" w:rsidP="00B3330E">
            <w:pPr>
              <w:pStyle w:val="CERnumbering"/>
              <w:numPr>
                <w:ilvl w:val="0"/>
                <w:numId w:val="16"/>
              </w:numPr>
              <w:spacing w:beforeAutospacing="0"/>
              <w:rPr>
                <w:b w:val="0"/>
                <w:bCs/>
              </w:rPr>
            </w:pPr>
            <w:r w:rsidRPr="00FB5D2B">
              <w:rPr>
                <w:b w:val="0"/>
                <w:bCs/>
              </w:rPr>
              <w:t>Electricity delivered directly to a neighbouring facility is metered (see number 6 in the diagram), per commercial transaction. This meter determines the amount of reportable electricity produced for the purpose of being used at another facility (and not delivered to the network).</w:t>
            </w:r>
          </w:p>
          <w:p w14:paraId="2F028EE6" w14:textId="77777777" w:rsidR="00A57A5C" w:rsidRPr="00FF338C" w:rsidRDefault="00A57A5C" w:rsidP="00B3330E">
            <w:pPr>
              <w:pStyle w:val="CERnumbering"/>
              <w:numPr>
                <w:ilvl w:val="0"/>
                <w:numId w:val="16"/>
              </w:numPr>
              <w:spacing w:beforeAutospacing="0"/>
            </w:pPr>
            <w:r w:rsidRPr="00FB5D2B">
              <w:rPr>
                <w:b w:val="0"/>
                <w:bCs/>
              </w:rPr>
              <w:t>The electricity produced for use onsite (see number 5 in figure 8) is determined as electricity at number 4 minus (electricity at number 6 + electricity at number 7).</w:t>
            </w:r>
          </w:p>
        </w:tc>
      </w:tr>
    </w:tbl>
    <w:p w14:paraId="3BE844DE" w14:textId="77777777" w:rsidR="00A57A5C" w:rsidRPr="00FF338C" w:rsidRDefault="00A57A5C" w:rsidP="00B3330E">
      <w:pPr>
        <w:pStyle w:val="Heading3"/>
        <w:numPr>
          <w:ilvl w:val="2"/>
          <w:numId w:val="3"/>
        </w:numPr>
        <w:ind w:left="709" w:hanging="709"/>
        <w:rPr>
          <w:szCs w:val="25"/>
          <w:lang w:val="en-GB"/>
        </w:rPr>
      </w:pPr>
      <w:bookmarkStart w:id="274" w:name="_Cogeneration"/>
      <w:bookmarkStart w:id="275" w:name="_Toc107922583"/>
      <w:bookmarkEnd w:id="274"/>
      <w:r w:rsidRPr="00FF338C">
        <w:rPr>
          <w:lang w:val="en-GB"/>
        </w:rPr>
        <w:t>Cogeneration</w:t>
      </w:r>
      <w:bookmarkEnd w:id="266"/>
      <w:bookmarkEnd w:id="267"/>
      <w:bookmarkEnd w:id="268"/>
      <w:bookmarkEnd w:id="275"/>
    </w:p>
    <w:p w14:paraId="58A6D7E2" w14:textId="77777777" w:rsidR="00A57A5C" w:rsidRPr="00FF338C" w:rsidRDefault="00A57A5C" w:rsidP="00A57A5C">
      <w:r w:rsidRPr="00FF338C">
        <w:t>Cogeneration is defined in NGER Regulation 1.03 as a process that combines the generation of heat and power to produce electricity and another product within one integrated production process.</w:t>
      </w:r>
    </w:p>
    <w:p w14:paraId="13B4CDC6" w14:textId="77777777" w:rsidR="00A57A5C" w:rsidRPr="00FF338C" w:rsidRDefault="00A57A5C" w:rsidP="00A57A5C">
      <w:r w:rsidRPr="00FF338C">
        <w:t>In practice, cogeneration occurs when energy (other than electricity) is consumed and results in the production of electricity and another product</w:t>
      </w:r>
      <w:r>
        <w:t xml:space="preserve">, </w:t>
      </w:r>
      <w:r w:rsidRPr="00FF338C">
        <w:t xml:space="preserve">for example, heat or steam. When this occurs, assuming that the appropriate thresholds (see </w:t>
      </w:r>
      <w:r w:rsidRPr="00FF338C">
        <w:fldChar w:fldCharType="begin"/>
      </w:r>
      <w:r w:rsidRPr="00FF338C">
        <w:instrText xml:space="preserve"> REF _Ref506298437 \h </w:instrText>
      </w:r>
      <w:r w:rsidRPr="00FF338C">
        <w:fldChar w:fldCharType="separate"/>
      </w:r>
      <w:r w:rsidRPr="00FF338C">
        <w:t xml:space="preserve">Table </w:t>
      </w:r>
      <w:r>
        <w:t>10</w:t>
      </w:r>
      <w:r w:rsidRPr="00FF338C">
        <w:fldChar w:fldCharType="end"/>
      </w:r>
      <w:r w:rsidRPr="00FF338C">
        <w:t xml:space="preserve"> ) have been met, the report for the facility must identify the amount and energy content of the energy type consumed to produce the electricity and the other product during the year.</w:t>
      </w:r>
    </w:p>
    <w:p w14:paraId="1A46E226" w14:textId="77777777" w:rsidR="00A57A5C" w:rsidRPr="00FF338C" w:rsidRDefault="00A57A5C" w:rsidP="00A57A5C">
      <w:r w:rsidRPr="00FF338C">
        <w:t xml:space="preserve">The amount of electricity </w:t>
      </w:r>
      <w:r w:rsidRPr="00FE31CC">
        <w:t>produced</w:t>
      </w:r>
      <w:r w:rsidRPr="00FF338C">
        <w:t xml:space="preserve"> as a result of the cogeneration process is also required to be reported. However, it is not necessary to report the production of the other product if that product is heat.</w:t>
      </w:r>
    </w:p>
    <w:p w14:paraId="2C5E8EA4" w14:textId="77777777" w:rsidR="00A57A5C" w:rsidRPr="00FF338C" w:rsidRDefault="00A57A5C" w:rsidP="00A57A5C">
      <w:r w:rsidRPr="00FF338C">
        <w:t xml:space="preserve">The methods available for determining the amount and energy content of the energy type consumed to produce the electricity and the other product are specified in section 2.70 of the </w:t>
      </w:r>
      <w:r>
        <w:t>NGER Measurement Determination</w:t>
      </w:r>
      <w:r w:rsidRPr="00FF338C">
        <w:t xml:space="preserve"> as:</w:t>
      </w:r>
    </w:p>
    <w:p w14:paraId="42930451" w14:textId="77777777" w:rsidR="00A57A5C" w:rsidRPr="00FF338C" w:rsidRDefault="00A57A5C" w:rsidP="00B3330E">
      <w:pPr>
        <w:numPr>
          <w:ilvl w:val="0"/>
          <w:numId w:val="1"/>
        </w:numPr>
        <w:spacing w:before="120" w:after="120"/>
      </w:pPr>
      <w:r>
        <w:t>T</w:t>
      </w:r>
      <w:r w:rsidRPr="00FF338C">
        <w:t xml:space="preserve">he </w:t>
      </w:r>
      <w:r w:rsidRPr="00FE31CC">
        <w:t>efficiency method</w:t>
      </w:r>
      <w:r w:rsidRPr="00FF338C">
        <w:t>,</w:t>
      </w:r>
      <w:r>
        <w:t xml:space="preserve"> which is stipulated for cogeneration processes.</w:t>
      </w:r>
    </w:p>
    <w:p w14:paraId="1D196FFE" w14:textId="77777777" w:rsidR="00A57A5C" w:rsidRPr="00FF338C" w:rsidRDefault="00A57A5C" w:rsidP="00B3330E">
      <w:pPr>
        <w:numPr>
          <w:ilvl w:val="0"/>
          <w:numId w:val="1"/>
        </w:numPr>
        <w:spacing w:before="120" w:after="120"/>
      </w:pPr>
      <w:r>
        <w:t>T</w:t>
      </w:r>
      <w:r w:rsidRPr="00FF338C">
        <w:t xml:space="preserve">he </w:t>
      </w:r>
      <w:r w:rsidRPr="00FE31CC">
        <w:t>work potential method</w:t>
      </w:r>
      <w:r w:rsidRPr="00D7453A">
        <w:rPr>
          <w:bCs/>
        </w:rPr>
        <w:t xml:space="preserve">, which may be used where heat is to be used mainly for producing mechanical work. </w:t>
      </w:r>
      <w:r w:rsidRPr="00FF338C">
        <w:t xml:space="preserve">These methods are described in the </w:t>
      </w:r>
      <w:hyperlink r:id="rId48" w:history="1">
        <w:r w:rsidRPr="00872A70">
          <w:rPr>
            <w:rStyle w:val="Hyperlink"/>
            <w:rFonts w:asciiTheme="minorHAnsi" w:hAnsiTheme="minorHAnsi"/>
            <w:iCs/>
          </w:rPr>
          <w:t>Allocation of GHG Emissions from a Combined Heat and Power (CHP) Plant</w:t>
        </w:r>
      </w:hyperlink>
      <w:r>
        <w:rPr>
          <w:rStyle w:val="FootnoteReference"/>
          <w:iCs/>
        </w:rPr>
        <w:footnoteReference w:id="20"/>
      </w:r>
      <w:r w:rsidRPr="00872A70">
        <w:rPr>
          <w:iCs/>
        </w:rPr>
        <w:t xml:space="preserve"> </w:t>
      </w:r>
      <w:r w:rsidRPr="00D7453A">
        <w:rPr>
          <w:iCs/>
        </w:rPr>
        <w:t>g</w:t>
      </w:r>
      <w:r w:rsidRPr="00872A70">
        <w:rPr>
          <w:iCs/>
        </w:rPr>
        <w:t>uide</w:t>
      </w:r>
      <w:r w:rsidRPr="00D7453A">
        <w:rPr>
          <w:iCs/>
        </w:rPr>
        <w:t xml:space="preserve">, </w:t>
      </w:r>
      <w:r w:rsidRPr="00FF338C">
        <w:t xml:space="preserve">issued by </w:t>
      </w:r>
      <w:bookmarkStart w:id="276" w:name="_Hlk48033840"/>
      <w:r w:rsidRPr="00FF338C">
        <w:t>the World Resource Institute and World Business Council for Sustainable Development</w:t>
      </w:r>
      <w:bookmarkEnd w:id="276"/>
      <w:r w:rsidRPr="00FF338C">
        <w:t xml:space="preserve">. </w:t>
      </w:r>
      <w:r>
        <w:t>See</w:t>
      </w:r>
      <w:r w:rsidRPr="00FF338C">
        <w:t xml:space="preserve"> GHG Protocol</w:t>
      </w:r>
      <w:r>
        <w:t>’s</w:t>
      </w:r>
      <w:r w:rsidRPr="00FF338C">
        <w:t xml:space="preserve"> </w:t>
      </w:r>
      <w:hyperlink r:id="rId49" w:history="1">
        <w:r w:rsidRPr="00D7453A">
          <w:rPr>
            <w:rStyle w:val="Hyperlink"/>
            <w:rFonts w:asciiTheme="minorHAnsi" w:hAnsiTheme="minorHAnsi"/>
          </w:rPr>
          <w:t>calculation tools</w:t>
        </w:r>
      </w:hyperlink>
      <w:r>
        <w:rPr>
          <w:rStyle w:val="FootnoteReference"/>
        </w:rPr>
        <w:footnoteReference w:id="21"/>
      </w:r>
      <w:r w:rsidRPr="00FF338C">
        <w:t xml:space="preserve"> </w:t>
      </w:r>
      <w:r>
        <w:t>for more information on these methods,</w:t>
      </w:r>
      <w:r w:rsidRPr="00FF338C">
        <w:t xml:space="preserve"> includ</w:t>
      </w:r>
      <w:r>
        <w:t>ing</w:t>
      </w:r>
      <w:r w:rsidRPr="00FF338C">
        <w:t xml:space="preserve"> a calculator that can be used when applying the efficiency method.</w:t>
      </w:r>
    </w:p>
    <w:p w14:paraId="73EA3192" w14:textId="77777777" w:rsidR="00A57A5C" w:rsidRPr="000C225C" w:rsidRDefault="00A57A5C" w:rsidP="00DB4B56">
      <w:pPr>
        <w:pStyle w:val="Heading2"/>
        <w:numPr>
          <w:ilvl w:val="1"/>
          <w:numId w:val="3"/>
        </w:numPr>
        <w:ind w:left="426" w:hanging="426"/>
      </w:pPr>
      <w:bookmarkStart w:id="277" w:name="_Renewable_energy_commodity"/>
      <w:bookmarkStart w:id="278" w:name="_Toc512010417"/>
      <w:bookmarkStart w:id="279" w:name="_Ref512249247"/>
      <w:bookmarkStart w:id="280" w:name="_Ref512252998"/>
      <w:bookmarkStart w:id="281" w:name="_Toc512339616"/>
      <w:bookmarkStart w:id="282" w:name="_Toc106705770"/>
      <w:bookmarkStart w:id="283" w:name="_Toc107922584"/>
      <w:bookmarkEnd w:id="277"/>
      <w:r w:rsidRPr="000C225C">
        <w:t>Renewable energy commodity production and consumption</w:t>
      </w:r>
      <w:bookmarkEnd w:id="278"/>
      <w:bookmarkEnd w:id="279"/>
      <w:bookmarkEnd w:id="280"/>
      <w:bookmarkEnd w:id="281"/>
      <w:bookmarkEnd w:id="282"/>
      <w:bookmarkEnd w:id="283"/>
    </w:p>
    <w:p w14:paraId="7A7CA71F" w14:textId="309531EC" w:rsidR="00A57A5C" w:rsidRPr="000C225C" w:rsidRDefault="001848D4" w:rsidP="00A57A5C">
      <w:r>
        <w:t xml:space="preserve">Four </w:t>
      </w:r>
      <w:r w:rsidR="00A57A5C" w:rsidRPr="000C225C">
        <w:t xml:space="preserve">renewable energy commodities </w:t>
      </w:r>
      <w:r w:rsidR="00A57A5C">
        <w:t xml:space="preserve">are </w:t>
      </w:r>
      <w:r w:rsidR="00A57A5C" w:rsidRPr="000C225C">
        <w:t>listed in Schedule 1 of the NGER Regulations</w:t>
      </w:r>
      <w:r w:rsidR="00A57A5C">
        <w:t xml:space="preserve"> for electricity generation</w:t>
      </w:r>
      <w:r w:rsidR="00A57A5C" w:rsidRPr="000C225C">
        <w:t>: solar</w:t>
      </w:r>
      <w:r w:rsidR="00A57A5C">
        <w:t xml:space="preserve">, </w:t>
      </w:r>
      <w:r w:rsidR="00A57A5C" w:rsidRPr="000C225C">
        <w:t>wind</w:t>
      </w:r>
      <w:r w:rsidR="00A57A5C">
        <w:t>,</w:t>
      </w:r>
      <w:r w:rsidR="00A57A5C" w:rsidRPr="000C225C">
        <w:t xml:space="preserve"> water, and</w:t>
      </w:r>
      <w:r w:rsidR="00A57A5C">
        <w:t xml:space="preserve"> </w:t>
      </w:r>
      <w:r w:rsidR="00A57A5C" w:rsidRPr="000C225C">
        <w:t>geothermal</w:t>
      </w:r>
      <w:r w:rsidR="00A57A5C">
        <w:t xml:space="preserve">. </w:t>
      </w:r>
      <w:r w:rsidR="00A57A5C" w:rsidRPr="000C225C">
        <w:t xml:space="preserve">Production of these energy commodities is </w:t>
      </w:r>
      <w:r w:rsidR="00A57A5C" w:rsidRPr="00FE31CC">
        <w:t>not required</w:t>
      </w:r>
      <w:r w:rsidR="00A57A5C" w:rsidRPr="000C225C">
        <w:t xml:space="preserve"> to be reported. </w:t>
      </w:r>
    </w:p>
    <w:p w14:paraId="1B243E7C" w14:textId="77777777" w:rsidR="00A57A5C" w:rsidRPr="000C225C" w:rsidRDefault="00A57A5C" w:rsidP="00A57A5C">
      <w:pPr>
        <w:rPr>
          <w:szCs w:val="20"/>
        </w:rPr>
      </w:pPr>
      <w:r w:rsidRPr="000C225C">
        <w:t xml:space="preserve">Consumption of these energy commodities is only required to be reported </w:t>
      </w:r>
      <w:r w:rsidRPr="000C225C">
        <w:rPr>
          <w:szCs w:val="20"/>
        </w:rPr>
        <w:t>where they are used to generate reportable electricity production</w:t>
      </w:r>
      <w:r>
        <w:rPr>
          <w:szCs w:val="20"/>
        </w:rPr>
        <w:t>, that is,</w:t>
      </w:r>
      <w:r w:rsidRPr="000C225C">
        <w:rPr>
          <w:szCs w:val="20"/>
        </w:rPr>
        <w:t xml:space="preserve"> in a generating unit exceeding the reporting threshold</w:t>
      </w:r>
      <w:r>
        <w:rPr>
          <w:szCs w:val="20"/>
        </w:rPr>
        <w:t xml:space="preserve"> (see</w:t>
      </w:r>
      <w:r w:rsidRPr="000C225C">
        <w:rPr>
          <w:szCs w:val="20"/>
        </w:rPr>
        <w:t xml:space="preserve"> </w:t>
      </w:r>
      <w:r w:rsidRPr="000C225C">
        <w:rPr>
          <w:szCs w:val="20"/>
        </w:rPr>
        <w:fldChar w:fldCharType="begin"/>
      </w:r>
      <w:r w:rsidRPr="000C225C">
        <w:rPr>
          <w:szCs w:val="20"/>
        </w:rPr>
        <w:instrText xml:space="preserve"> REF _Ref506298437 \h  \* MERGEFORMAT </w:instrText>
      </w:r>
      <w:r w:rsidRPr="000C225C">
        <w:rPr>
          <w:szCs w:val="20"/>
        </w:rPr>
      </w:r>
      <w:r w:rsidRPr="000C225C">
        <w:rPr>
          <w:szCs w:val="20"/>
        </w:rPr>
        <w:fldChar w:fldCharType="separate"/>
      </w:r>
      <w:r w:rsidRPr="00FF338C">
        <w:t xml:space="preserve">Table </w:t>
      </w:r>
      <w:r>
        <w:t>10</w:t>
      </w:r>
      <w:r w:rsidRPr="000C225C">
        <w:rPr>
          <w:szCs w:val="20"/>
        </w:rPr>
        <w:fldChar w:fldCharType="end"/>
      </w:r>
      <w:r>
        <w:rPr>
          <w:szCs w:val="20"/>
        </w:rPr>
        <w:t>)</w:t>
      </w:r>
      <w:r w:rsidRPr="000C225C">
        <w:rPr>
          <w:szCs w:val="20"/>
        </w:rPr>
        <w:t>.</w:t>
      </w:r>
    </w:p>
    <w:p w14:paraId="587DD604" w14:textId="77777777" w:rsidR="00A57A5C" w:rsidRPr="000C225C" w:rsidRDefault="00A57A5C" w:rsidP="00A57A5C">
      <w:r w:rsidRPr="000C225C">
        <w:rPr>
          <w:szCs w:val="20"/>
        </w:rPr>
        <w:t>A</w:t>
      </w:r>
      <w:r w:rsidRPr="000C225C">
        <w:t xml:space="preserve"> 100</w:t>
      </w:r>
      <w:r>
        <w:t>%</w:t>
      </w:r>
      <w:r w:rsidRPr="000C225C">
        <w:t xml:space="preserve"> conversion efficiency is assumed between the renewable energy commodity consumed and the electricity produced</w:t>
      </w:r>
      <w:r>
        <w:t>; t</w:t>
      </w:r>
      <w:r w:rsidRPr="000C225C">
        <w:t xml:space="preserve">hey are of equal magnitude. For example, if a wind farm generates 1,000,000 GJ of electricity it is assumed to have consumed 1,000,000 GJ of the renewable energy commodity ‘wind energy for electricity generation’. </w:t>
      </w:r>
    </w:p>
    <w:p w14:paraId="6E882F6B" w14:textId="77777777" w:rsidR="00A57A5C" w:rsidRPr="000C225C" w:rsidRDefault="00A57A5C" w:rsidP="00A57A5C">
      <w:r w:rsidRPr="000C225C">
        <w:t xml:space="preserve">Reporting of electricity production and consumption from renewable sources follows the electricity reporting thresholds set out in </w:t>
      </w:r>
      <w:hyperlink w:anchor="_Electricity_production_and" w:history="1">
        <w:r w:rsidRPr="00A30145">
          <w:rPr>
            <w:rStyle w:val="Hyperlink"/>
            <w:rFonts w:asciiTheme="minorHAnsi" w:hAnsiTheme="minorHAnsi"/>
          </w:rPr>
          <w:t>chapter 7.3</w:t>
        </w:r>
      </w:hyperlink>
      <w:r>
        <w:t xml:space="preserve"> </w:t>
      </w:r>
      <w:r w:rsidRPr="000C225C">
        <w:t>of this guideline.</w:t>
      </w:r>
    </w:p>
    <w:p w14:paraId="798FFF26" w14:textId="77777777" w:rsidR="00A57A5C" w:rsidRPr="000C225C" w:rsidRDefault="00A57A5C" w:rsidP="00A57A5C">
      <w:r w:rsidRPr="00FE31CC">
        <w:t>Note</w:t>
      </w:r>
      <w:r w:rsidRPr="000C225C">
        <w:t>: Reporting electricity production even when below the threshold is allowed, per NGER Regulation 4.19(2)</w:t>
      </w:r>
      <w:r>
        <w:t xml:space="preserve"> - see</w:t>
      </w:r>
      <w:r w:rsidRPr="000C225C">
        <w:t xml:space="preserve"> </w:t>
      </w:r>
      <w:hyperlink w:anchor="_Electricity_production_and" w:history="1">
        <w:r w:rsidRPr="00A30145">
          <w:rPr>
            <w:rStyle w:val="Hyperlink"/>
            <w:rFonts w:asciiTheme="minorHAnsi" w:hAnsiTheme="minorHAnsi"/>
          </w:rPr>
          <w:t>chapter 7.3</w:t>
        </w:r>
      </w:hyperlink>
      <w:r w:rsidRPr="000C225C">
        <w:t xml:space="preserve"> of this guideline</w:t>
      </w:r>
      <w:r>
        <w:t xml:space="preserve"> for more information</w:t>
      </w:r>
      <w:r w:rsidRPr="000C225C">
        <w:t xml:space="preserve">. Where a renewable generator chooses to do this, the corresponding consumption of renewable energy commodity </w:t>
      </w:r>
      <w:r>
        <w:t>must</w:t>
      </w:r>
      <w:r w:rsidRPr="000C225C">
        <w:t xml:space="preserve"> also be reported.</w:t>
      </w:r>
    </w:p>
    <w:tbl>
      <w:tblPr>
        <w:tblStyle w:val="CERCallout"/>
        <w:tblW w:w="0" w:type="auto"/>
        <w:tblLook w:val="04A0" w:firstRow="1" w:lastRow="0" w:firstColumn="1" w:lastColumn="0" w:noHBand="0" w:noVBand="1"/>
      </w:tblPr>
      <w:tblGrid>
        <w:gridCol w:w="9172"/>
      </w:tblGrid>
      <w:tr w:rsidR="00A57A5C" w:rsidRPr="00FF338C" w14:paraId="040A2C49" w14:textId="77777777" w:rsidTr="00D549C7">
        <w:trPr>
          <w:cnfStyle w:val="100000000000" w:firstRow="1" w:lastRow="0" w:firstColumn="0" w:lastColumn="0" w:oddVBand="0" w:evenVBand="0" w:oddHBand="0" w:evenHBand="0" w:firstRowFirstColumn="0" w:firstRowLastColumn="0" w:lastRowFirstColumn="0" w:lastRowLastColumn="0"/>
        </w:trPr>
        <w:tc>
          <w:tcPr>
            <w:tcW w:w="9172" w:type="dxa"/>
          </w:tcPr>
          <w:p w14:paraId="243C4892" w14:textId="77777777" w:rsidR="00A57A5C" w:rsidRPr="00DB4B56" w:rsidRDefault="00A57A5C" w:rsidP="00DB4B56">
            <w:pPr>
              <w:pStyle w:val="Heading3"/>
              <w:ind w:left="0"/>
              <w:rPr>
                <w:b/>
                <w:bCs w:val="0"/>
              </w:rPr>
            </w:pPr>
            <w:bookmarkStart w:id="284" w:name="_Toc526867725"/>
            <w:bookmarkStart w:id="285" w:name="_Toc526869767"/>
            <w:bookmarkStart w:id="286" w:name="_Toc107922585"/>
            <w:r w:rsidRPr="00DB4B56">
              <w:rPr>
                <w:b/>
                <w:bCs w:val="0"/>
              </w:rPr>
              <w:t>Example – Consumption of a renewable energy commodity</w:t>
            </w:r>
            <w:bookmarkEnd w:id="284"/>
            <w:bookmarkEnd w:id="285"/>
            <w:bookmarkEnd w:id="286"/>
          </w:p>
          <w:p w14:paraId="37B8D4F1" w14:textId="77777777" w:rsidR="00A57A5C" w:rsidRPr="00621859" w:rsidRDefault="000D1A50" w:rsidP="00621859">
            <w:pPr>
              <w:pStyle w:val="CERbullets"/>
              <w:numPr>
                <w:ilvl w:val="0"/>
                <w:numId w:val="0"/>
              </w:numPr>
              <w:rPr>
                <w:b w:val="0"/>
                <w:bCs/>
              </w:rPr>
            </w:pPr>
            <w:hyperlink w:anchor="_Case_example_2:" w:history="1">
              <w:r w:rsidR="00A57A5C" w:rsidRPr="00621859">
                <w:rPr>
                  <w:rStyle w:val="Hyperlink"/>
                  <w:rFonts w:asciiTheme="minorHAnsi" w:hAnsiTheme="minorHAnsi"/>
                  <w:b w:val="0"/>
                  <w:bCs/>
                </w:rPr>
                <w:t>Case example 2 in Appendix A</w:t>
              </w:r>
            </w:hyperlink>
            <w:r w:rsidR="00A57A5C" w:rsidRPr="00621859">
              <w:rPr>
                <w:b w:val="0"/>
                <w:bCs/>
              </w:rPr>
              <w:t xml:space="preserve">, water energy is consumed for electricity production (see number 3 in figure 9). </w:t>
            </w:r>
          </w:p>
          <w:p w14:paraId="48CDFB77" w14:textId="77777777" w:rsidR="00A57A5C" w:rsidRPr="00621859" w:rsidRDefault="00A57A5C" w:rsidP="00621859">
            <w:pPr>
              <w:pStyle w:val="CERbullets"/>
              <w:numPr>
                <w:ilvl w:val="0"/>
                <w:numId w:val="0"/>
              </w:numPr>
              <w:rPr>
                <w:b w:val="0"/>
                <w:bCs/>
              </w:rPr>
            </w:pPr>
            <w:r w:rsidRPr="00621859">
              <w:rPr>
                <w:b w:val="0"/>
                <w:bCs/>
              </w:rPr>
              <w:t>In this case, the quantity of water energy consumed is equal to the amount of electricity produced as measured in the terminals of the generating unit and converted to GJ.</w:t>
            </w:r>
          </w:p>
          <w:p w14:paraId="2134DCDF" w14:textId="77777777" w:rsidR="00A57A5C" w:rsidRPr="00FF338C" w:rsidRDefault="00A57A5C" w:rsidP="00621859">
            <w:pPr>
              <w:pStyle w:val="CERbullets"/>
              <w:numPr>
                <w:ilvl w:val="0"/>
                <w:numId w:val="0"/>
              </w:numPr>
            </w:pPr>
            <w:r w:rsidRPr="00621859">
              <w:rPr>
                <w:b w:val="0"/>
                <w:bCs/>
              </w:rPr>
              <w:t>The storing of water at elevation behind a dam (see number 1 in figure 9) contains the potential energy to generate electricity. The ‘production’ of this potential energy is not reportable under NGER.</w:t>
            </w:r>
          </w:p>
        </w:tc>
      </w:tr>
    </w:tbl>
    <w:p w14:paraId="155194C2" w14:textId="66CCBEFC" w:rsidR="00A57A5C" w:rsidRDefault="00A57A5C" w:rsidP="00A57A5C">
      <w:pPr>
        <w:spacing w:after="0"/>
      </w:pPr>
      <w:bookmarkStart w:id="287" w:name="_Hlk44013014"/>
      <w:bookmarkStart w:id="288" w:name="_Toc512010418"/>
      <w:bookmarkStart w:id="289" w:name="_Toc512339617"/>
      <w:r w:rsidRPr="00FE31CC">
        <w:t>Note</w:t>
      </w:r>
      <w:r w:rsidRPr="002C7CAE">
        <w:rPr>
          <w:bCs/>
        </w:rPr>
        <w:t>:</w:t>
      </w:r>
      <w:r>
        <w:t xml:space="preserve"> EERS was updated for the 2019–20 reporting year (and onwards) to automatically report consumption of the relevant energy commodity, which is equal to the reported amount of electricity production from solar, wind, </w:t>
      </w:r>
      <w:r w:rsidR="00621859">
        <w:t>water,</w:t>
      </w:r>
      <w:r>
        <w:t xml:space="preserve"> or geothermal energy. Where electricity production from solar, wind, water or geothermal energy is inputted into EERS, the consumption of solar, wind, water or geothermal energy must not be inputted separately. </w:t>
      </w:r>
      <w:r w:rsidRPr="001362CE">
        <w:t>This is</w:t>
      </w:r>
      <w:r>
        <w:t xml:space="preserve"> described </w:t>
      </w:r>
      <w:r w:rsidRPr="001362CE">
        <w:t>in</w:t>
      </w:r>
      <w:r>
        <w:t xml:space="preserve"> the example below</w:t>
      </w:r>
      <w:r w:rsidRPr="001362CE">
        <w:t>.</w:t>
      </w:r>
      <w:r>
        <w:t xml:space="preserve"> </w:t>
      </w:r>
    </w:p>
    <w:tbl>
      <w:tblPr>
        <w:tblStyle w:val="CERCallout"/>
        <w:tblW w:w="5000" w:type="pct"/>
        <w:tblLook w:val="04A0" w:firstRow="1" w:lastRow="0" w:firstColumn="1" w:lastColumn="0" w:noHBand="0" w:noVBand="1"/>
      </w:tblPr>
      <w:tblGrid>
        <w:gridCol w:w="9710"/>
      </w:tblGrid>
      <w:tr w:rsidR="00A57A5C" w:rsidRPr="007C21EA" w14:paraId="37FE2907" w14:textId="77777777" w:rsidTr="00D66352">
        <w:trPr>
          <w:cnfStyle w:val="100000000000" w:firstRow="1" w:lastRow="0" w:firstColumn="0" w:lastColumn="0" w:oddVBand="0" w:evenVBand="0" w:oddHBand="0" w:evenHBand="0" w:firstRowFirstColumn="0" w:firstRowLastColumn="0" w:lastRowFirstColumn="0" w:lastRowLastColumn="0"/>
        </w:trPr>
        <w:tc>
          <w:tcPr>
            <w:tcW w:w="4708" w:type="pct"/>
          </w:tcPr>
          <w:p w14:paraId="75C49EB4" w14:textId="77777777" w:rsidR="00A57A5C" w:rsidRPr="00DB4B56" w:rsidRDefault="00A57A5C" w:rsidP="00DB4B56">
            <w:pPr>
              <w:pStyle w:val="Heading3"/>
              <w:ind w:left="0"/>
              <w:rPr>
                <w:b/>
                <w:bCs w:val="0"/>
              </w:rPr>
            </w:pPr>
            <w:bookmarkStart w:id="290" w:name="_Toc107922586"/>
            <w:bookmarkEnd w:id="287"/>
            <w:r w:rsidRPr="00DB4B56">
              <w:rPr>
                <w:b/>
                <w:bCs w:val="0"/>
              </w:rPr>
              <w:t>Example – Reporting production of electricity from a renewable energy commodity</w:t>
            </w:r>
            <w:bookmarkEnd w:id="290"/>
          </w:p>
          <w:p w14:paraId="1309637E" w14:textId="77777777" w:rsidR="00A57A5C" w:rsidRPr="00621859" w:rsidRDefault="00A57A5C" w:rsidP="00D549C7">
            <w:pPr>
              <w:ind w:left="0"/>
              <w:rPr>
                <w:b w:val="0"/>
                <w:bCs/>
              </w:rPr>
            </w:pPr>
            <w:r w:rsidRPr="00621859">
              <w:rPr>
                <w:b w:val="0"/>
                <w:bCs/>
              </w:rPr>
              <w:t xml:space="preserve">A wind farm generates </w:t>
            </w:r>
            <w:bookmarkStart w:id="291" w:name="OLE_LINK1"/>
            <w:r w:rsidRPr="00621859">
              <w:rPr>
                <w:b w:val="0"/>
                <w:bCs/>
              </w:rPr>
              <w:t xml:space="preserve">1,000,000 </w:t>
            </w:r>
            <w:bookmarkEnd w:id="291"/>
            <w:r w:rsidRPr="00621859">
              <w:rPr>
                <w:b w:val="0"/>
                <w:bCs/>
              </w:rPr>
              <w:t>kWh of electricity. The reporter inputs 1,000,000 kWh into EERS as electricity produced using wind generation:</w:t>
            </w:r>
          </w:p>
          <w:p w14:paraId="6A3A953D" w14:textId="77777777" w:rsidR="00A57A5C" w:rsidRPr="00621859" w:rsidRDefault="00A57A5C" w:rsidP="00D549C7">
            <w:pPr>
              <w:ind w:left="0"/>
              <w:rPr>
                <w:b w:val="0"/>
                <w:bCs/>
              </w:rPr>
            </w:pPr>
            <w:r w:rsidRPr="00621859">
              <w:rPr>
                <w:b w:val="0"/>
                <w:bCs/>
              </w:rPr>
              <w:t>EERS then records:</w:t>
            </w:r>
          </w:p>
          <w:p w14:paraId="647C3567" w14:textId="77777777" w:rsidR="00A57A5C" w:rsidRPr="00621859" w:rsidRDefault="00A57A5C" w:rsidP="00B3330E">
            <w:pPr>
              <w:pStyle w:val="CERbullets"/>
              <w:numPr>
                <w:ilvl w:val="0"/>
                <w:numId w:val="12"/>
              </w:numPr>
              <w:spacing w:beforeAutospacing="0"/>
              <w:rPr>
                <w:b w:val="0"/>
                <w:bCs/>
                <w:szCs w:val="22"/>
              </w:rPr>
            </w:pPr>
            <w:bookmarkStart w:id="292" w:name="_Hlk48051633"/>
            <w:r w:rsidRPr="00621859">
              <w:rPr>
                <w:b w:val="0"/>
                <w:bCs/>
                <w:szCs w:val="22"/>
              </w:rPr>
              <w:t>1,000,000 kWh (</w:t>
            </w:r>
            <w:r w:rsidRPr="00621859">
              <w:rPr>
                <w:b w:val="0"/>
                <w:bCs/>
                <w:color w:val="000000"/>
                <w:szCs w:val="22"/>
                <w:lang w:val="en-US"/>
              </w:rPr>
              <w:t>3600 GJ</w:t>
            </w:r>
            <w:r w:rsidRPr="00621859">
              <w:rPr>
                <w:b w:val="0"/>
                <w:bCs/>
                <w:szCs w:val="22"/>
              </w:rPr>
              <w:t>)</w:t>
            </w:r>
            <w:r w:rsidRPr="00621859">
              <w:rPr>
                <w:b w:val="0"/>
                <w:bCs/>
                <w:color w:val="000000"/>
                <w:szCs w:val="22"/>
                <w:lang w:val="en-US"/>
              </w:rPr>
              <w:t xml:space="preserve"> of electricity produced</w:t>
            </w:r>
            <w:r w:rsidRPr="00621859">
              <w:rPr>
                <w:b w:val="0"/>
                <w:bCs/>
                <w:szCs w:val="22"/>
              </w:rPr>
              <w:t xml:space="preserve"> using </w:t>
            </w:r>
            <w:r w:rsidRPr="00621859">
              <w:rPr>
                <w:b w:val="0"/>
                <w:bCs/>
                <w:color w:val="000000"/>
                <w:szCs w:val="22"/>
                <w:lang w:val="en-US"/>
              </w:rPr>
              <w:t>wind</w:t>
            </w:r>
            <w:r w:rsidRPr="00621859">
              <w:rPr>
                <w:b w:val="0"/>
                <w:bCs/>
                <w:szCs w:val="22"/>
              </w:rPr>
              <w:t xml:space="preserve"> generation</w:t>
            </w:r>
          </w:p>
          <w:p w14:paraId="0C198E02" w14:textId="77777777" w:rsidR="00A57A5C" w:rsidRPr="00621859" w:rsidRDefault="00A57A5C" w:rsidP="00B3330E">
            <w:pPr>
              <w:pStyle w:val="CERbullets"/>
              <w:numPr>
                <w:ilvl w:val="0"/>
                <w:numId w:val="12"/>
              </w:numPr>
              <w:spacing w:beforeAutospacing="0"/>
              <w:rPr>
                <w:b w:val="0"/>
                <w:bCs/>
                <w:szCs w:val="22"/>
              </w:rPr>
            </w:pPr>
            <w:r w:rsidRPr="00621859">
              <w:rPr>
                <w:b w:val="0"/>
                <w:bCs/>
                <w:color w:val="000000"/>
                <w:szCs w:val="22"/>
                <w:lang w:val="en-US"/>
              </w:rPr>
              <w:t>3,600 GJ of consumption of the primary energy commodity ‘wind energy for electricity generation’.</w:t>
            </w:r>
          </w:p>
          <w:bookmarkEnd w:id="292"/>
          <w:p w14:paraId="4B69912F" w14:textId="77777777" w:rsidR="00A57A5C" w:rsidRPr="00621859" w:rsidRDefault="00A57A5C" w:rsidP="00D549C7">
            <w:pPr>
              <w:ind w:left="0"/>
              <w:rPr>
                <w:b w:val="0"/>
                <w:bCs/>
              </w:rPr>
            </w:pPr>
            <w:r w:rsidRPr="00621859">
              <w:rPr>
                <w:b w:val="0"/>
                <w:bCs/>
              </w:rPr>
              <w:t>These values will be included in the NGER report generated by EERS.</w:t>
            </w:r>
          </w:p>
          <w:p w14:paraId="2BF3833B" w14:textId="77777777" w:rsidR="00A57A5C" w:rsidRPr="00222962" w:rsidRDefault="00A57A5C" w:rsidP="00D549C7">
            <w:pPr>
              <w:ind w:left="0"/>
            </w:pPr>
            <w:r w:rsidRPr="00621859">
              <w:rPr>
                <w:b w:val="0"/>
                <w:bCs/>
              </w:rPr>
              <w:t>The reporter does not manually report consumption of ‘wind energy for electricity generation’, because it has automatically been recorded by EERS.</w:t>
            </w:r>
          </w:p>
        </w:tc>
      </w:tr>
    </w:tbl>
    <w:p w14:paraId="2C78CD08" w14:textId="77777777" w:rsidR="00A57A5C" w:rsidRPr="00B07C42" w:rsidRDefault="00A57A5C" w:rsidP="00A57A5C">
      <w:r>
        <w:t xml:space="preserve">See </w:t>
      </w:r>
      <w:hyperlink r:id="rId50" w:anchor="How-do-I-report-consumption-of-renewable-energy-commodities-for-electricity-generation" w:history="1">
        <w:r w:rsidRPr="00C84028">
          <w:rPr>
            <w:rStyle w:val="Hyperlink"/>
            <w:rFonts w:asciiTheme="minorHAnsi" w:hAnsiTheme="minorHAnsi"/>
            <w:szCs w:val="22"/>
          </w:rPr>
          <w:t>How do I report consumption of renewable energy commodities for electricity generation?</w:t>
        </w:r>
      </w:hyperlink>
      <w:r>
        <w:rPr>
          <w:rStyle w:val="FootnoteReference"/>
        </w:rPr>
        <w:footnoteReference w:id="22"/>
      </w:r>
      <w:r w:rsidRPr="00872A70">
        <w:t xml:space="preserve"> for more information and guidance</w:t>
      </w:r>
      <w:r>
        <w:t xml:space="preserve"> for reporting </w:t>
      </w:r>
      <w:r w:rsidRPr="008F2D8A">
        <w:rPr>
          <w:color w:val="000000"/>
          <w:szCs w:val="22"/>
        </w:rPr>
        <w:t>solar, wind, water and geothermal energy commodities</w:t>
      </w:r>
      <w:r>
        <w:rPr>
          <w:color w:val="000000"/>
          <w:szCs w:val="22"/>
        </w:rPr>
        <w:t xml:space="preserve"> in EERS</w:t>
      </w:r>
      <w:r w:rsidRPr="00872A70">
        <w:t>.</w:t>
      </w:r>
    </w:p>
    <w:p w14:paraId="315E7D6E" w14:textId="77777777" w:rsidR="00A57A5C" w:rsidRPr="00834FAF" w:rsidRDefault="00A57A5C" w:rsidP="00B3330E">
      <w:pPr>
        <w:pStyle w:val="Heading3"/>
        <w:numPr>
          <w:ilvl w:val="2"/>
          <w:numId w:val="3"/>
        </w:numPr>
        <w:ind w:left="709" w:hanging="709"/>
        <w:rPr>
          <w:szCs w:val="25"/>
          <w:lang w:val="en-GB"/>
        </w:rPr>
      </w:pPr>
      <w:bookmarkStart w:id="293" w:name="_Toc107922587"/>
      <w:r w:rsidRPr="00834FAF">
        <w:rPr>
          <w:lang w:val="en-GB"/>
        </w:rPr>
        <w:t>Reporting of NGER data alongside RET data</w:t>
      </w:r>
      <w:bookmarkEnd w:id="288"/>
      <w:bookmarkEnd w:id="289"/>
      <w:bookmarkEnd w:id="293"/>
    </w:p>
    <w:p w14:paraId="10FEB06B" w14:textId="77777777" w:rsidR="00A57A5C" w:rsidRPr="00834FAF" w:rsidRDefault="00A57A5C" w:rsidP="00A57A5C">
      <w:r w:rsidRPr="00834FAF">
        <w:t xml:space="preserve">Under the Renewable Energy Target (RET), liable entities are classified as an individual or company who is the first person to acquire electricity on a network that has an installed capacity of 100 </w:t>
      </w:r>
      <w:r>
        <w:t>MW</w:t>
      </w:r>
      <w:r w:rsidRPr="00834FAF">
        <w:t xml:space="preserve"> or more. Liable entities are required to lodge an energy acquisition statement each year, which includes reporting the amount of liable electricity acquired. </w:t>
      </w:r>
    </w:p>
    <w:p w14:paraId="15C2A8FA" w14:textId="77777777" w:rsidR="00A57A5C" w:rsidRDefault="00A57A5C" w:rsidP="00A57A5C">
      <w:r w:rsidRPr="00834FAF">
        <w:t xml:space="preserve">The </w:t>
      </w:r>
      <w:r>
        <w:t>agency</w:t>
      </w:r>
      <w:r w:rsidRPr="00834FAF">
        <w:t xml:space="preserve"> expects</w:t>
      </w:r>
      <w:r>
        <w:t xml:space="preserve"> that </w:t>
      </w:r>
      <w:r w:rsidRPr="00834FAF">
        <w:t>where electricity acquired from a network is reported under both the NGER and RET schemes, RET liable entities and corresponding NGER facilities have consistent reporting.</w:t>
      </w:r>
    </w:p>
    <w:p w14:paraId="67D949D2" w14:textId="77777777" w:rsidR="00A57A5C" w:rsidRPr="00FF338C" w:rsidRDefault="00A57A5C" w:rsidP="00DB4B56">
      <w:pPr>
        <w:pStyle w:val="Heading2"/>
        <w:numPr>
          <w:ilvl w:val="1"/>
          <w:numId w:val="3"/>
        </w:numPr>
        <w:ind w:left="426" w:hanging="426"/>
      </w:pPr>
      <w:bookmarkStart w:id="294" w:name="_Toc106705771"/>
      <w:bookmarkStart w:id="295" w:name="_Toc107922588"/>
      <w:r w:rsidRPr="00FF338C">
        <w:t>Energy consumption from fuel use</w:t>
      </w:r>
      <w:bookmarkEnd w:id="294"/>
      <w:bookmarkEnd w:id="295"/>
    </w:p>
    <w:p w14:paraId="15F1F6AD" w14:textId="77777777" w:rsidR="00A57A5C" w:rsidRPr="00FF338C" w:rsidRDefault="00A57A5C" w:rsidP="00A57A5C">
      <w:pPr>
        <w:pStyle w:val="Body"/>
        <w:ind w:left="0"/>
        <w:rPr>
          <w:rFonts w:asciiTheme="minorHAnsi" w:eastAsia="Cambria" w:hAnsiTheme="minorHAnsi" w:cstheme="minorHAnsi"/>
          <w:color w:val="000000" w:themeColor="text1"/>
          <w:sz w:val="22"/>
          <w:szCs w:val="20"/>
        </w:rPr>
      </w:pPr>
      <w:r w:rsidRPr="00FF338C">
        <w:rPr>
          <w:rFonts w:asciiTheme="minorHAnsi" w:eastAsia="Cambria" w:hAnsiTheme="minorHAnsi" w:cstheme="minorHAnsi"/>
          <w:color w:val="000000" w:themeColor="text1"/>
          <w:sz w:val="22"/>
          <w:szCs w:val="20"/>
        </w:rPr>
        <w:t xml:space="preserve">Consumption of fuels must be reported if </w:t>
      </w:r>
      <w:r w:rsidRPr="00FF338C">
        <w:rPr>
          <w:rFonts w:asciiTheme="minorHAnsi" w:eastAsia="Cambria" w:hAnsiTheme="minorHAnsi"/>
          <w:sz w:val="22"/>
          <w:szCs w:val="22"/>
        </w:rPr>
        <w:t xml:space="preserve">the </w:t>
      </w:r>
      <w:r w:rsidRPr="00FF338C">
        <w:rPr>
          <w:rFonts w:asciiTheme="minorHAnsi" w:eastAsia="Cambria" w:hAnsiTheme="minorHAnsi" w:cstheme="minorHAnsi"/>
          <w:color w:val="000000" w:themeColor="text1"/>
          <w:sz w:val="22"/>
          <w:szCs w:val="20"/>
        </w:rPr>
        <w:t xml:space="preserve">quantity exceeds the thresholds listed </w:t>
      </w:r>
      <w:r>
        <w:rPr>
          <w:rFonts w:asciiTheme="minorHAnsi" w:eastAsia="Cambria" w:hAnsiTheme="minorHAnsi" w:cstheme="minorHAnsi"/>
          <w:color w:val="000000" w:themeColor="text1"/>
          <w:sz w:val="22"/>
          <w:szCs w:val="20"/>
        </w:rPr>
        <w:t>below</w:t>
      </w:r>
      <w:r w:rsidRPr="00FF338C">
        <w:rPr>
          <w:rFonts w:asciiTheme="minorHAnsi" w:eastAsia="Cambria" w:hAnsiTheme="minorHAnsi" w:cstheme="minorHAnsi"/>
          <w:color w:val="000000" w:themeColor="text1"/>
          <w:sz w:val="22"/>
          <w:szCs w:val="20"/>
        </w:rPr>
        <w:t xml:space="preserve">. Fuel use in electricity generation would typically be the largest source, but minor instances of fuel use </w:t>
      </w:r>
      <w:r w:rsidRPr="00FF338C" w:rsidDel="00E22CA3">
        <w:rPr>
          <w:rFonts w:asciiTheme="minorHAnsi" w:eastAsia="Cambria" w:hAnsiTheme="minorHAnsi" w:cstheme="minorHAnsi"/>
          <w:color w:val="000000" w:themeColor="text1"/>
          <w:sz w:val="22"/>
          <w:szCs w:val="20"/>
        </w:rPr>
        <w:t xml:space="preserve">should </w:t>
      </w:r>
      <w:r w:rsidRPr="00FF338C">
        <w:rPr>
          <w:rFonts w:asciiTheme="minorHAnsi" w:eastAsia="Cambria" w:hAnsiTheme="minorHAnsi" w:cstheme="minorHAnsi"/>
          <w:color w:val="000000" w:themeColor="text1"/>
          <w:sz w:val="22"/>
          <w:szCs w:val="20"/>
        </w:rPr>
        <w:t xml:space="preserve">also be considered. </w:t>
      </w:r>
    </w:p>
    <w:p w14:paraId="7E910836" w14:textId="77777777" w:rsidR="00A57A5C" w:rsidRDefault="00A57A5C" w:rsidP="00A57A5C">
      <w:pPr>
        <w:spacing w:after="0"/>
        <w:rPr>
          <w:i/>
          <w:iCs/>
          <w:color w:val="454743" w:themeColor="text2"/>
          <w:sz w:val="18"/>
          <w:szCs w:val="18"/>
        </w:rPr>
      </w:pPr>
      <w:bookmarkStart w:id="296" w:name="_Ref511913094"/>
      <w:bookmarkStart w:id="297" w:name="_Toc506798161"/>
      <w:r>
        <w:br w:type="page"/>
      </w:r>
    </w:p>
    <w:p w14:paraId="1CF4F6C1" w14:textId="77777777" w:rsidR="00A57A5C" w:rsidRPr="00FF338C" w:rsidRDefault="00A57A5C" w:rsidP="00A57A5C">
      <w:pPr>
        <w:pStyle w:val="Caption"/>
      </w:pPr>
      <w:r w:rsidRPr="00FF338C">
        <w:t xml:space="preserve">Table </w:t>
      </w:r>
      <w:r>
        <w:t>1</w:t>
      </w:r>
      <w:bookmarkEnd w:id="296"/>
      <w:r>
        <w:t>3</w:t>
      </w:r>
      <w:r w:rsidRPr="00FF338C">
        <w:t xml:space="preserve"> – Thresholds for energy reporting from fuel use</w:t>
      </w:r>
      <w:bookmarkEnd w:id="297"/>
      <w:r w:rsidRPr="00FF338C">
        <w:t xml:space="preserve"> </w:t>
      </w:r>
    </w:p>
    <w:tbl>
      <w:tblPr>
        <w:tblStyle w:val="CERTable"/>
        <w:tblW w:w="0" w:type="auto"/>
        <w:tblLook w:val="04A0" w:firstRow="1" w:lastRow="0" w:firstColumn="1" w:lastColumn="0" w:noHBand="0" w:noVBand="1"/>
      </w:tblPr>
      <w:tblGrid>
        <w:gridCol w:w="988"/>
        <w:gridCol w:w="3683"/>
        <w:gridCol w:w="3683"/>
      </w:tblGrid>
      <w:tr w:rsidR="00A57A5C" w:rsidRPr="00FF338C" w14:paraId="4F1F3BA4" w14:textId="77777777" w:rsidTr="009F2A5F">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dxa"/>
          </w:tcPr>
          <w:p w14:paraId="7CAB1CC1" w14:textId="77777777" w:rsidR="00A57A5C" w:rsidRPr="00FF338C" w:rsidRDefault="00A57A5C" w:rsidP="00D549C7">
            <w:pPr>
              <w:pStyle w:val="Body"/>
              <w:spacing w:before="37" w:after="75"/>
              <w:ind w:left="0"/>
              <w:rPr>
                <w:rFonts w:asciiTheme="minorHAnsi" w:hAnsiTheme="minorHAnsi"/>
                <w:sz w:val="22"/>
              </w:rPr>
            </w:pPr>
            <w:r w:rsidRPr="00FF338C">
              <w:rPr>
                <w:rFonts w:asciiTheme="minorHAnsi" w:hAnsiTheme="minorHAnsi"/>
                <w:sz w:val="22"/>
              </w:rPr>
              <w:t>Energy type</w:t>
            </w:r>
          </w:p>
        </w:tc>
        <w:tc>
          <w:tcPr>
            <w:tcW w:w="3683" w:type="dxa"/>
          </w:tcPr>
          <w:p w14:paraId="4B7B25BA" w14:textId="77777777" w:rsidR="00A57A5C" w:rsidRPr="00FF338C" w:rsidRDefault="00A57A5C" w:rsidP="00D549C7">
            <w:pPr>
              <w:pStyle w:val="Body"/>
              <w:spacing w:before="37" w:after="75"/>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FF338C">
              <w:rPr>
                <w:rFonts w:asciiTheme="minorHAnsi" w:hAnsiTheme="minorHAnsi"/>
                <w:sz w:val="22"/>
              </w:rPr>
              <w:t>Consumption by combustion (apply to each instance of the combustion source)</w:t>
            </w:r>
          </w:p>
        </w:tc>
        <w:tc>
          <w:tcPr>
            <w:tcW w:w="3683" w:type="dxa"/>
          </w:tcPr>
          <w:p w14:paraId="4E633619" w14:textId="77777777" w:rsidR="00A57A5C" w:rsidRPr="00FF338C" w:rsidRDefault="00A57A5C" w:rsidP="00D549C7">
            <w:pPr>
              <w:pStyle w:val="Body"/>
              <w:spacing w:before="37" w:after="75"/>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FF338C">
              <w:rPr>
                <w:rFonts w:asciiTheme="minorHAnsi" w:hAnsiTheme="minorHAnsi"/>
                <w:sz w:val="22"/>
              </w:rPr>
              <w:t>Consumption without combustion (applies to each fuel type)</w:t>
            </w:r>
          </w:p>
        </w:tc>
      </w:tr>
      <w:tr w:rsidR="00A57A5C" w:rsidRPr="00FF338C" w14:paraId="5CFE199D" w14:textId="77777777" w:rsidTr="009F2A5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dxa"/>
          </w:tcPr>
          <w:p w14:paraId="7C3FE541" w14:textId="77777777" w:rsidR="00A57A5C" w:rsidRPr="00FF338C" w:rsidRDefault="00A57A5C" w:rsidP="00D549C7">
            <w:pPr>
              <w:pStyle w:val="Body"/>
              <w:spacing w:before="37" w:after="75"/>
              <w:ind w:left="0"/>
              <w:rPr>
                <w:rFonts w:asciiTheme="minorHAnsi" w:hAnsiTheme="minorHAnsi"/>
                <w:sz w:val="22"/>
              </w:rPr>
            </w:pPr>
            <w:r w:rsidRPr="00FF338C">
              <w:rPr>
                <w:rFonts w:asciiTheme="minorHAnsi" w:hAnsiTheme="minorHAnsi"/>
                <w:sz w:val="22"/>
              </w:rPr>
              <w:t>Solid fuel</w:t>
            </w:r>
          </w:p>
        </w:tc>
        <w:tc>
          <w:tcPr>
            <w:tcW w:w="3683" w:type="dxa"/>
          </w:tcPr>
          <w:p w14:paraId="3A4AF748" w14:textId="77777777" w:rsidR="00A57A5C" w:rsidRPr="00FF338C" w:rsidRDefault="00A57A5C" w:rsidP="00D549C7">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F338C">
              <w:rPr>
                <w:rFonts w:asciiTheme="minorHAnsi" w:hAnsiTheme="minorHAnsi"/>
                <w:sz w:val="22"/>
              </w:rPr>
              <w:t>1 tonne</w:t>
            </w:r>
          </w:p>
        </w:tc>
        <w:tc>
          <w:tcPr>
            <w:tcW w:w="3683" w:type="dxa"/>
          </w:tcPr>
          <w:p w14:paraId="68FD6AFB" w14:textId="77777777" w:rsidR="00A57A5C" w:rsidRPr="00FF338C" w:rsidRDefault="00A57A5C" w:rsidP="00D549C7">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F338C">
              <w:rPr>
                <w:rFonts w:asciiTheme="minorHAnsi" w:hAnsiTheme="minorHAnsi"/>
                <w:sz w:val="22"/>
              </w:rPr>
              <w:t>20 tonnes</w:t>
            </w:r>
          </w:p>
        </w:tc>
      </w:tr>
      <w:tr w:rsidR="00A57A5C" w:rsidRPr="00FF338C" w14:paraId="31EBFC1C" w14:textId="77777777" w:rsidTr="00D05244">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dxa"/>
            <w:tcBorders>
              <w:bottom w:val="single" w:sz="8" w:space="0" w:color="E8E8E8" w:themeColor="background2"/>
            </w:tcBorders>
          </w:tcPr>
          <w:p w14:paraId="1B299499" w14:textId="77777777" w:rsidR="00A57A5C" w:rsidRPr="00FF338C" w:rsidRDefault="00A57A5C" w:rsidP="00D549C7">
            <w:pPr>
              <w:pStyle w:val="Body"/>
              <w:spacing w:before="37" w:after="75"/>
              <w:ind w:left="0"/>
              <w:rPr>
                <w:rFonts w:asciiTheme="minorHAnsi" w:hAnsiTheme="minorHAnsi"/>
                <w:sz w:val="22"/>
              </w:rPr>
            </w:pPr>
            <w:r w:rsidRPr="00FF338C">
              <w:rPr>
                <w:rFonts w:asciiTheme="minorHAnsi" w:hAnsiTheme="minorHAnsi"/>
                <w:sz w:val="22"/>
              </w:rPr>
              <w:t xml:space="preserve">Liquid fuel </w:t>
            </w:r>
          </w:p>
        </w:tc>
        <w:tc>
          <w:tcPr>
            <w:tcW w:w="3683" w:type="dxa"/>
            <w:tcBorders>
              <w:bottom w:val="single" w:sz="8" w:space="0" w:color="E8E8E8" w:themeColor="background2"/>
            </w:tcBorders>
          </w:tcPr>
          <w:p w14:paraId="25366F06" w14:textId="77777777" w:rsidR="00A57A5C" w:rsidRPr="00FF338C" w:rsidRDefault="00A57A5C" w:rsidP="00D549C7">
            <w:pPr>
              <w:pStyle w:val="Body"/>
              <w:spacing w:before="37" w:after="75"/>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r w:rsidRPr="00FF338C">
              <w:rPr>
                <w:rFonts w:asciiTheme="minorHAnsi" w:hAnsiTheme="minorHAnsi"/>
                <w:sz w:val="22"/>
              </w:rPr>
              <w:t>1 kilolitre or</w:t>
            </w:r>
            <w:r>
              <w:rPr>
                <w:rFonts w:asciiTheme="minorHAnsi" w:hAnsiTheme="minorHAnsi"/>
                <w:sz w:val="22"/>
              </w:rPr>
              <w:t xml:space="preserve"> </w:t>
            </w:r>
            <w:r w:rsidRPr="00FF338C">
              <w:rPr>
                <w:rFonts w:asciiTheme="minorHAnsi" w:hAnsiTheme="minorHAnsi"/>
                <w:sz w:val="22"/>
              </w:rPr>
              <w:t>5 kilolitres for petroleum</w:t>
            </w:r>
            <w:r>
              <w:rPr>
                <w:rFonts w:asciiTheme="minorHAnsi" w:hAnsiTheme="minorHAnsi"/>
                <w:sz w:val="22"/>
              </w:rPr>
              <w:t>-based</w:t>
            </w:r>
            <w:r w:rsidRPr="00FF338C">
              <w:rPr>
                <w:rFonts w:asciiTheme="minorHAnsi" w:hAnsiTheme="minorHAnsi"/>
                <w:sz w:val="22"/>
              </w:rPr>
              <w:t xml:space="preserve"> oils (other than petroleum-based oils used as fuels) and petroleum-based greases</w:t>
            </w:r>
          </w:p>
        </w:tc>
        <w:tc>
          <w:tcPr>
            <w:tcW w:w="3683" w:type="dxa"/>
            <w:tcBorders>
              <w:bottom w:val="single" w:sz="8" w:space="0" w:color="E8E8E8" w:themeColor="background2"/>
            </w:tcBorders>
          </w:tcPr>
          <w:p w14:paraId="344E10EC" w14:textId="77777777" w:rsidR="00A57A5C" w:rsidRPr="00FF338C" w:rsidRDefault="00A57A5C" w:rsidP="00D549C7">
            <w:pPr>
              <w:pStyle w:val="Body"/>
              <w:spacing w:before="37" w:after="75"/>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r w:rsidRPr="00FF338C">
              <w:rPr>
                <w:rFonts w:asciiTheme="minorHAnsi" w:hAnsiTheme="minorHAnsi"/>
                <w:sz w:val="22"/>
              </w:rPr>
              <w:t>15 kilolitres</w:t>
            </w:r>
          </w:p>
        </w:tc>
      </w:tr>
      <w:tr w:rsidR="00A57A5C" w:rsidRPr="00FF338C" w14:paraId="66D1EB40" w14:textId="77777777" w:rsidTr="00D0524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E8E8E8" w:themeColor="background2"/>
              <w:bottom w:val="single" w:sz="4" w:space="0" w:color="FCBA5C" w:themeColor="accent2"/>
            </w:tcBorders>
          </w:tcPr>
          <w:p w14:paraId="453397DC" w14:textId="77777777" w:rsidR="00A57A5C" w:rsidRPr="00FF338C" w:rsidRDefault="00A57A5C" w:rsidP="00D549C7">
            <w:pPr>
              <w:pStyle w:val="Body"/>
              <w:spacing w:before="37" w:after="75"/>
              <w:ind w:left="0"/>
              <w:rPr>
                <w:rFonts w:asciiTheme="minorHAnsi" w:hAnsiTheme="minorHAnsi"/>
                <w:sz w:val="22"/>
              </w:rPr>
            </w:pPr>
            <w:r w:rsidRPr="00FF338C">
              <w:rPr>
                <w:rFonts w:asciiTheme="minorHAnsi" w:hAnsiTheme="minorHAnsi"/>
                <w:sz w:val="22"/>
              </w:rPr>
              <w:t>Gaseous fuel</w:t>
            </w:r>
          </w:p>
        </w:tc>
        <w:tc>
          <w:tcPr>
            <w:tcW w:w="3683" w:type="dxa"/>
            <w:tcBorders>
              <w:top w:val="single" w:sz="8" w:space="0" w:color="E8E8E8" w:themeColor="background2"/>
              <w:bottom w:val="single" w:sz="4" w:space="0" w:color="FCBA5C" w:themeColor="accent2"/>
            </w:tcBorders>
          </w:tcPr>
          <w:p w14:paraId="6755BD05" w14:textId="77777777" w:rsidR="00A57A5C" w:rsidRPr="00FF338C" w:rsidRDefault="00A57A5C" w:rsidP="00D549C7">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F338C">
              <w:rPr>
                <w:rFonts w:asciiTheme="minorHAnsi" w:hAnsiTheme="minorHAnsi"/>
                <w:sz w:val="22"/>
              </w:rPr>
              <w:t>1,000 cubic metres</w:t>
            </w:r>
          </w:p>
        </w:tc>
        <w:tc>
          <w:tcPr>
            <w:tcW w:w="3683" w:type="dxa"/>
            <w:tcBorders>
              <w:top w:val="single" w:sz="8" w:space="0" w:color="E8E8E8" w:themeColor="background2"/>
              <w:bottom w:val="single" w:sz="4" w:space="0" w:color="FCBA5C" w:themeColor="accent2"/>
            </w:tcBorders>
          </w:tcPr>
          <w:p w14:paraId="5F414A72" w14:textId="77777777" w:rsidR="00A57A5C" w:rsidRPr="00FF338C" w:rsidRDefault="00A57A5C" w:rsidP="00D549C7">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F338C">
              <w:rPr>
                <w:rFonts w:asciiTheme="minorHAnsi" w:hAnsiTheme="minorHAnsi"/>
                <w:sz w:val="22"/>
              </w:rPr>
              <w:t>13,000 cubic metres</w:t>
            </w:r>
          </w:p>
        </w:tc>
      </w:tr>
    </w:tbl>
    <w:p w14:paraId="1E3AEF69" w14:textId="77777777" w:rsidR="00A57A5C" w:rsidRDefault="00A57A5C" w:rsidP="00A57A5C">
      <w:pPr>
        <w:pStyle w:val="Body"/>
        <w:ind w:left="0"/>
        <w:rPr>
          <w:rFonts w:asciiTheme="minorHAnsi" w:hAnsiTheme="minorHAnsi"/>
          <w:sz w:val="22"/>
        </w:rPr>
      </w:pPr>
      <w:bookmarkStart w:id="298" w:name="_Toc506446756"/>
      <w:bookmarkStart w:id="299" w:name="_Toc506470702"/>
      <w:bookmarkStart w:id="300" w:name="_Toc506537346"/>
      <w:bookmarkStart w:id="301" w:name="_Toc506798120"/>
      <w:bookmarkStart w:id="302" w:name="_Toc506446757"/>
      <w:bookmarkStart w:id="303" w:name="_Toc506470703"/>
      <w:bookmarkStart w:id="304" w:name="_Toc506537347"/>
      <w:bookmarkStart w:id="305" w:name="_Toc506798121"/>
      <w:bookmarkStart w:id="306" w:name="_Toc506446760"/>
      <w:bookmarkStart w:id="307" w:name="_Toc506470706"/>
      <w:bookmarkStart w:id="308" w:name="_Toc506537350"/>
      <w:bookmarkStart w:id="309" w:name="_Toc506798124"/>
      <w:bookmarkStart w:id="310" w:name="_Toc506446764"/>
      <w:bookmarkStart w:id="311" w:name="_Toc506470710"/>
      <w:bookmarkStart w:id="312" w:name="_Toc506537354"/>
      <w:bookmarkStart w:id="313" w:name="_Toc506798128"/>
      <w:bookmarkStart w:id="314" w:name="_Toc506446765"/>
      <w:bookmarkStart w:id="315" w:name="_Toc506470711"/>
      <w:bookmarkStart w:id="316" w:name="_Toc506537355"/>
      <w:bookmarkStart w:id="317" w:name="_Toc506798129"/>
      <w:bookmarkStart w:id="318" w:name="_Toc506299036"/>
      <w:bookmarkStart w:id="319" w:name="_Toc506301067"/>
      <w:bookmarkStart w:id="320" w:name="_Toc506378571"/>
      <w:bookmarkStart w:id="321" w:name="_Toc506446766"/>
      <w:bookmarkStart w:id="322" w:name="_Toc506470712"/>
      <w:bookmarkStart w:id="323" w:name="_Toc506537356"/>
      <w:bookmarkStart w:id="324" w:name="_Toc506798130"/>
      <w:bookmarkStart w:id="325" w:name="_Toc506299039"/>
      <w:bookmarkStart w:id="326" w:name="_Toc506301070"/>
      <w:bookmarkStart w:id="327" w:name="_Toc506378574"/>
      <w:bookmarkStart w:id="328" w:name="_Toc506446769"/>
      <w:bookmarkStart w:id="329" w:name="_Toc506470715"/>
      <w:bookmarkStart w:id="330" w:name="_Toc506537359"/>
      <w:bookmarkStart w:id="331" w:name="_Toc506798133"/>
      <w:bookmarkStart w:id="332" w:name="_Toc506301073"/>
      <w:bookmarkStart w:id="333" w:name="_Toc506378577"/>
      <w:bookmarkStart w:id="334" w:name="_Toc506446772"/>
      <w:bookmarkStart w:id="335" w:name="_Toc506470718"/>
      <w:bookmarkStart w:id="336" w:name="_Toc506537362"/>
      <w:bookmarkStart w:id="337" w:name="_Toc506798136"/>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55FF5DF8" w14:textId="77777777" w:rsidR="00A57A5C" w:rsidRPr="00FF338C" w:rsidRDefault="00A57A5C" w:rsidP="00A57A5C">
      <w:pPr>
        <w:pStyle w:val="Body"/>
        <w:ind w:left="0"/>
        <w:rPr>
          <w:rFonts w:asciiTheme="minorHAnsi" w:hAnsiTheme="minorHAnsi"/>
          <w:sz w:val="22"/>
        </w:rPr>
      </w:pPr>
      <w:r w:rsidRPr="00FF338C">
        <w:rPr>
          <w:rFonts w:asciiTheme="minorHAnsi" w:hAnsiTheme="minorHAnsi"/>
          <w:sz w:val="22"/>
        </w:rPr>
        <w:t xml:space="preserve">Measurement of fuel quantities is </w:t>
      </w:r>
      <w:r>
        <w:rPr>
          <w:rFonts w:asciiTheme="minorHAnsi" w:hAnsiTheme="minorHAnsi"/>
          <w:sz w:val="22"/>
        </w:rPr>
        <w:t>covered</w:t>
      </w:r>
      <w:r w:rsidRPr="00FF338C">
        <w:rPr>
          <w:rFonts w:asciiTheme="minorHAnsi" w:hAnsiTheme="minorHAnsi"/>
          <w:sz w:val="22"/>
        </w:rPr>
        <w:t xml:space="preserve"> in detail in </w:t>
      </w:r>
      <w:hyperlink w:anchor="_Measurement_requirements" w:history="1">
        <w:r w:rsidRPr="00A30145">
          <w:rPr>
            <w:rStyle w:val="Hyperlink"/>
            <w:rFonts w:asciiTheme="minorHAnsi" w:hAnsiTheme="minorHAnsi"/>
          </w:rPr>
          <w:t>chapter 8</w:t>
        </w:r>
      </w:hyperlink>
      <w:r>
        <w:rPr>
          <w:rFonts w:asciiTheme="minorHAnsi" w:hAnsiTheme="minorHAnsi"/>
          <w:sz w:val="22"/>
        </w:rPr>
        <w:t xml:space="preserve"> of this guideline</w:t>
      </w:r>
      <w:r w:rsidRPr="00FF338C">
        <w:rPr>
          <w:rFonts w:asciiTheme="minorHAnsi" w:hAnsiTheme="minorHAnsi"/>
          <w:sz w:val="22"/>
        </w:rPr>
        <w:t xml:space="preserve">. </w:t>
      </w:r>
    </w:p>
    <w:p w14:paraId="40C4D03B" w14:textId="77777777" w:rsidR="00A57A5C" w:rsidRPr="00FF338C" w:rsidRDefault="00A57A5C" w:rsidP="00A57A5C">
      <w:pPr>
        <w:pStyle w:val="Body"/>
        <w:ind w:left="0"/>
        <w:rPr>
          <w:rFonts w:asciiTheme="minorHAnsi" w:hAnsiTheme="minorHAnsi"/>
          <w:sz w:val="22"/>
          <w:szCs w:val="22"/>
        </w:rPr>
      </w:pPr>
      <w:r w:rsidRPr="00FF338C">
        <w:rPr>
          <w:rFonts w:asciiTheme="minorHAnsi" w:hAnsiTheme="minorHAnsi"/>
          <w:sz w:val="22"/>
          <w:szCs w:val="22"/>
        </w:rPr>
        <w:t xml:space="preserve">Energy content factors can either be selected from default values listed in Schedule 1 of the </w:t>
      </w:r>
      <w:r>
        <w:rPr>
          <w:rFonts w:asciiTheme="minorHAnsi" w:hAnsiTheme="minorHAnsi"/>
          <w:sz w:val="22"/>
          <w:szCs w:val="22"/>
        </w:rPr>
        <w:t>NGER Measurement Determination</w:t>
      </w:r>
      <w:r w:rsidRPr="00FF338C">
        <w:rPr>
          <w:rFonts w:asciiTheme="minorHAnsi" w:hAnsiTheme="minorHAnsi"/>
          <w:sz w:val="22"/>
          <w:szCs w:val="22"/>
        </w:rPr>
        <w:t xml:space="preserve"> or derived from sampling and analysis of a fuel. A summary of the location of the specified sampling and analysis requirements within the </w:t>
      </w:r>
      <w:r>
        <w:rPr>
          <w:rFonts w:asciiTheme="minorHAnsi" w:hAnsiTheme="minorHAnsi"/>
          <w:sz w:val="22"/>
          <w:szCs w:val="22"/>
        </w:rPr>
        <w:t>NGER Measurement Determination</w:t>
      </w:r>
      <w:r w:rsidRPr="00FF338C">
        <w:rPr>
          <w:rFonts w:asciiTheme="minorHAnsi" w:hAnsiTheme="minorHAnsi"/>
          <w:sz w:val="22"/>
          <w:szCs w:val="22"/>
        </w:rPr>
        <w:t xml:space="preserve"> is described in </w:t>
      </w:r>
      <w:r w:rsidRPr="00FF338C">
        <w:rPr>
          <w:rFonts w:asciiTheme="minorHAnsi" w:hAnsiTheme="minorHAnsi"/>
          <w:sz w:val="22"/>
          <w:szCs w:val="22"/>
        </w:rPr>
        <w:fldChar w:fldCharType="begin"/>
      </w:r>
      <w:r w:rsidRPr="00FF338C">
        <w:rPr>
          <w:rFonts w:asciiTheme="minorHAnsi" w:hAnsiTheme="minorHAnsi"/>
          <w:sz w:val="22"/>
          <w:szCs w:val="22"/>
        </w:rPr>
        <w:instrText xml:space="preserve"> REF _Ref506466731 \h  \* MERGEFORMAT </w:instrText>
      </w:r>
      <w:r w:rsidRPr="00FF338C">
        <w:rPr>
          <w:rFonts w:asciiTheme="minorHAnsi" w:hAnsiTheme="minorHAnsi"/>
          <w:sz w:val="22"/>
          <w:szCs w:val="22"/>
        </w:rPr>
      </w:r>
      <w:r w:rsidRPr="00FF338C">
        <w:rPr>
          <w:rFonts w:asciiTheme="minorHAnsi" w:hAnsiTheme="minorHAnsi"/>
          <w:sz w:val="22"/>
          <w:szCs w:val="22"/>
        </w:rPr>
        <w:fldChar w:fldCharType="separate"/>
      </w:r>
      <w:r w:rsidRPr="001732B7">
        <w:rPr>
          <w:rFonts w:asciiTheme="minorHAnsi" w:hAnsiTheme="minorHAnsi"/>
          <w:sz w:val="22"/>
          <w:szCs w:val="22"/>
        </w:rPr>
        <w:t>Table 7</w:t>
      </w:r>
      <w:r w:rsidRPr="00FF338C">
        <w:rPr>
          <w:rFonts w:asciiTheme="minorHAnsi" w:hAnsiTheme="minorHAnsi"/>
          <w:sz w:val="22"/>
          <w:szCs w:val="22"/>
        </w:rPr>
        <w:fldChar w:fldCharType="end"/>
      </w:r>
      <w:r w:rsidRPr="00FF338C">
        <w:rPr>
          <w:rFonts w:asciiTheme="minorHAnsi" w:hAnsiTheme="minorHAnsi"/>
          <w:sz w:val="22"/>
          <w:szCs w:val="22"/>
        </w:rPr>
        <w:t xml:space="preserve"> below. Energy consumption from the combustion of fuel is calculated automatically when emissions from the fuel combustion are entered in EERS.</w:t>
      </w:r>
    </w:p>
    <w:p w14:paraId="597538CE" w14:textId="77777777" w:rsidR="00A57A5C" w:rsidRPr="00FF338C" w:rsidRDefault="00A57A5C" w:rsidP="00A57A5C">
      <w:pPr>
        <w:pStyle w:val="Caption"/>
      </w:pPr>
      <w:bookmarkStart w:id="338" w:name="_Ref506466731"/>
      <w:bookmarkStart w:id="339" w:name="_Toc506798163"/>
      <w:r w:rsidRPr="00FF338C">
        <w:t xml:space="preserve">Table </w:t>
      </w:r>
      <w:r>
        <w:fldChar w:fldCharType="begin"/>
      </w:r>
      <w:r>
        <w:instrText>SEQ Table \* ARABIC</w:instrText>
      </w:r>
      <w:r>
        <w:fldChar w:fldCharType="separate"/>
      </w:r>
      <w:r>
        <w:rPr>
          <w:noProof/>
        </w:rPr>
        <w:t>7</w:t>
      </w:r>
      <w:r>
        <w:fldChar w:fldCharType="end"/>
      </w:r>
      <w:bookmarkEnd w:id="338"/>
      <w:r w:rsidRPr="00FF338C">
        <w:t xml:space="preserve"> – Energy content factors by fuel type</w:t>
      </w:r>
      <w:bookmarkEnd w:id="339"/>
      <w:r w:rsidRPr="00FF338C">
        <w:t xml:space="preserve"> as prescribed in the </w:t>
      </w:r>
      <w:r>
        <w:t>NGER Measurement Determination</w:t>
      </w:r>
      <w:r w:rsidRPr="00FF338C">
        <w:t>.</w:t>
      </w:r>
    </w:p>
    <w:tbl>
      <w:tblPr>
        <w:tblStyle w:val="CERTable"/>
        <w:tblW w:w="9351" w:type="dxa"/>
        <w:tblLook w:val="04A0" w:firstRow="1" w:lastRow="0" w:firstColumn="1" w:lastColumn="0" w:noHBand="0" w:noVBand="1"/>
      </w:tblPr>
      <w:tblGrid>
        <w:gridCol w:w="1555"/>
        <w:gridCol w:w="4252"/>
        <w:gridCol w:w="3544"/>
      </w:tblGrid>
      <w:tr w:rsidR="00A57A5C" w:rsidRPr="00C64711" w14:paraId="4512BDA7" w14:textId="77777777" w:rsidTr="009F2A5F">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55" w:type="dxa"/>
          </w:tcPr>
          <w:p w14:paraId="01111AB8" w14:textId="77777777" w:rsidR="00A57A5C" w:rsidRPr="00872A70" w:rsidRDefault="00A57A5C" w:rsidP="00D549C7">
            <w:pPr>
              <w:pStyle w:val="Body"/>
              <w:ind w:left="0"/>
              <w:rPr>
                <w:rFonts w:asciiTheme="minorHAnsi" w:hAnsiTheme="minorHAnsi"/>
                <w:sz w:val="22"/>
                <w:szCs w:val="22"/>
              </w:rPr>
            </w:pPr>
            <w:r w:rsidRPr="00872A70">
              <w:rPr>
                <w:rFonts w:asciiTheme="minorHAnsi" w:hAnsiTheme="minorHAnsi"/>
                <w:sz w:val="22"/>
                <w:szCs w:val="22"/>
              </w:rPr>
              <w:t>Fuel category</w:t>
            </w:r>
          </w:p>
        </w:tc>
        <w:tc>
          <w:tcPr>
            <w:tcW w:w="4252" w:type="dxa"/>
          </w:tcPr>
          <w:p w14:paraId="083ABD32" w14:textId="77777777" w:rsidR="00A57A5C" w:rsidRPr="00872A70" w:rsidRDefault="00A57A5C"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 xml:space="preserve">Predetermined value </w:t>
            </w:r>
          </w:p>
        </w:tc>
        <w:tc>
          <w:tcPr>
            <w:tcW w:w="3544" w:type="dxa"/>
          </w:tcPr>
          <w:p w14:paraId="5078CB0E" w14:textId="77777777" w:rsidR="00A57A5C" w:rsidRPr="00872A70" w:rsidRDefault="00A57A5C"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Estimation technique</w:t>
            </w:r>
          </w:p>
        </w:tc>
      </w:tr>
      <w:tr w:rsidR="00A57A5C" w:rsidRPr="00C64711" w14:paraId="41FE4D34" w14:textId="77777777" w:rsidTr="009F2A5F">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555" w:type="dxa"/>
          </w:tcPr>
          <w:p w14:paraId="7B027E7D" w14:textId="77777777" w:rsidR="00A57A5C" w:rsidRPr="00872A70" w:rsidRDefault="00A57A5C" w:rsidP="00D549C7">
            <w:pPr>
              <w:pStyle w:val="Body"/>
              <w:ind w:left="0"/>
              <w:rPr>
                <w:rFonts w:asciiTheme="minorHAnsi" w:hAnsiTheme="minorHAnsi"/>
                <w:sz w:val="22"/>
                <w:szCs w:val="22"/>
              </w:rPr>
            </w:pPr>
            <w:r w:rsidRPr="00872A70">
              <w:rPr>
                <w:rFonts w:asciiTheme="minorHAnsi" w:hAnsiTheme="minorHAnsi"/>
                <w:sz w:val="22"/>
                <w:szCs w:val="22"/>
              </w:rPr>
              <w:t>Solid fuels</w:t>
            </w:r>
          </w:p>
        </w:tc>
        <w:tc>
          <w:tcPr>
            <w:tcW w:w="4252" w:type="dxa"/>
          </w:tcPr>
          <w:p w14:paraId="29BB84E9" w14:textId="77777777" w:rsidR="00A57A5C" w:rsidRPr="00872A70"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Refer to Part 1 of Schedule 1</w:t>
            </w:r>
          </w:p>
        </w:tc>
        <w:tc>
          <w:tcPr>
            <w:tcW w:w="3544" w:type="dxa"/>
          </w:tcPr>
          <w:p w14:paraId="19E6B018" w14:textId="77777777" w:rsidR="00A57A5C" w:rsidRPr="00872A70"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Refer to standards indicated in Schedule 2 (or equivalent standards)</w:t>
            </w:r>
          </w:p>
        </w:tc>
      </w:tr>
      <w:tr w:rsidR="00A57A5C" w:rsidRPr="00C64711" w14:paraId="7AFA8A47" w14:textId="77777777" w:rsidTr="00D05244">
        <w:trPr>
          <w:cnfStyle w:val="000000010000" w:firstRow="0" w:lastRow="0" w:firstColumn="0" w:lastColumn="0" w:oddVBand="0" w:evenVBand="0" w:oddHBand="0" w:evenHBand="1"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1555" w:type="dxa"/>
            <w:tcBorders>
              <w:bottom w:val="single" w:sz="8" w:space="0" w:color="E8E8E8" w:themeColor="background2"/>
            </w:tcBorders>
          </w:tcPr>
          <w:p w14:paraId="53E49E7A" w14:textId="77777777" w:rsidR="00A57A5C" w:rsidRPr="00872A70" w:rsidRDefault="00A57A5C" w:rsidP="00D549C7">
            <w:pPr>
              <w:pStyle w:val="Body"/>
              <w:ind w:left="0"/>
              <w:rPr>
                <w:rFonts w:asciiTheme="minorHAnsi" w:hAnsiTheme="minorHAnsi"/>
                <w:sz w:val="22"/>
                <w:szCs w:val="22"/>
              </w:rPr>
            </w:pPr>
            <w:r w:rsidRPr="00872A70">
              <w:rPr>
                <w:rFonts w:asciiTheme="minorHAnsi" w:hAnsiTheme="minorHAnsi"/>
                <w:sz w:val="22"/>
                <w:szCs w:val="22"/>
              </w:rPr>
              <w:t>Gaseous fuels (in GJ per m</w:t>
            </w:r>
            <w:r w:rsidRPr="00872A70">
              <w:rPr>
                <w:rFonts w:asciiTheme="minorHAnsi" w:hAnsiTheme="minorHAnsi"/>
                <w:sz w:val="22"/>
                <w:szCs w:val="22"/>
                <w:vertAlign w:val="superscript"/>
              </w:rPr>
              <w:t>3</w:t>
            </w:r>
            <w:r w:rsidRPr="00872A70">
              <w:rPr>
                <w:rFonts w:asciiTheme="minorHAnsi" w:hAnsiTheme="minorHAnsi"/>
                <w:sz w:val="22"/>
                <w:szCs w:val="22"/>
              </w:rPr>
              <w:t>)</w:t>
            </w:r>
          </w:p>
        </w:tc>
        <w:tc>
          <w:tcPr>
            <w:tcW w:w="4252" w:type="dxa"/>
            <w:tcBorders>
              <w:bottom w:val="single" w:sz="8" w:space="0" w:color="E8E8E8" w:themeColor="background2"/>
            </w:tcBorders>
          </w:tcPr>
          <w:p w14:paraId="04A09F51" w14:textId="77777777" w:rsidR="00A57A5C" w:rsidRPr="00872A70"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Refer to Part 2 of Schedule 1</w:t>
            </w:r>
          </w:p>
        </w:tc>
        <w:tc>
          <w:tcPr>
            <w:tcW w:w="3544" w:type="dxa"/>
            <w:tcBorders>
              <w:bottom w:val="single" w:sz="8" w:space="0" w:color="E8E8E8" w:themeColor="background2"/>
            </w:tcBorders>
          </w:tcPr>
          <w:p w14:paraId="210C969B" w14:textId="77777777" w:rsidR="00A57A5C" w:rsidRPr="00872A70"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 xml:space="preserve">Refer to the requirements of Subdivision 2.3.3.2, also described in </w:t>
            </w:r>
            <w:hyperlink w:anchor="_Sampling_and_analysis" w:history="1">
              <w:r w:rsidRPr="00A30145">
                <w:rPr>
                  <w:rStyle w:val="Hyperlink"/>
                  <w:rFonts w:asciiTheme="minorHAnsi" w:hAnsiTheme="minorHAnsi"/>
                  <w:szCs w:val="22"/>
                </w:rPr>
                <w:t>chapter 4.4.1</w:t>
              </w:r>
            </w:hyperlink>
            <w:r>
              <w:rPr>
                <w:rFonts w:asciiTheme="minorHAnsi" w:hAnsiTheme="minorHAnsi"/>
                <w:sz w:val="22"/>
                <w:szCs w:val="22"/>
              </w:rPr>
              <w:t xml:space="preserve"> </w:t>
            </w:r>
            <w:r w:rsidRPr="00872A70">
              <w:rPr>
                <w:rFonts w:asciiTheme="minorHAnsi" w:hAnsiTheme="minorHAnsi"/>
                <w:sz w:val="22"/>
                <w:szCs w:val="22"/>
              </w:rPr>
              <w:t>of this guideline</w:t>
            </w:r>
          </w:p>
        </w:tc>
      </w:tr>
      <w:tr w:rsidR="00A57A5C" w:rsidRPr="00C64711" w14:paraId="762152F8" w14:textId="77777777" w:rsidTr="00D0524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55" w:type="dxa"/>
            <w:tcBorders>
              <w:top w:val="single" w:sz="8" w:space="0" w:color="E8E8E8" w:themeColor="background2"/>
              <w:bottom w:val="single" w:sz="4" w:space="0" w:color="FCBA5C" w:themeColor="accent2"/>
            </w:tcBorders>
          </w:tcPr>
          <w:p w14:paraId="7897BB0D" w14:textId="77777777" w:rsidR="00A57A5C" w:rsidRPr="00872A70" w:rsidRDefault="00A57A5C" w:rsidP="00D549C7">
            <w:pPr>
              <w:pStyle w:val="Body"/>
              <w:ind w:left="0"/>
              <w:rPr>
                <w:rFonts w:asciiTheme="minorHAnsi" w:hAnsiTheme="minorHAnsi"/>
                <w:sz w:val="22"/>
                <w:szCs w:val="22"/>
              </w:rPr>
            </w:pPr>
            <w:r w:rsidRPr="00872A70">
              <w:rPr>
                <w:rFonts w:asciiTheme="minorHAnsi" w:hAnsiTheme="minorHAnsi"/>
                <w:sz w:val="22"/>
                <w:szCs w:val="22"/>
              </w:rPr>
              <w:t>Liquid fuels</w:t>
            </w:r>
          </w:p>
        </w:tc>
        <w:tc>
          <w:tcPr>
            <w:tcW w:w="4252" w:type="dxa"/>
            <w:tcBorders>
              <w:top w:val="single" w:sz="8" w:space="0" w:color="E8E8E8" w:themeColor="background2"/>
              <w:bottom w:val="single" w:sz="4" w:space="0" w:color="FCBA5C" w:themeColor="accent2"/>
            </w:tcBorders>
          </w:tcPr>
          <w:p w14:paraId="6FEFEC43" w14:textId="77777777" w:rsidR="00A57A5C" w:rsidRPr="00872A70"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Stationary energy purposes: refer to Part 3 of Schedule 1</w:t>
            </w:r>
          </w:p>
          <w:p w14:paraId="6247C0FF" w14:textId="77777777" w:rsidR="00A57A5C" w:rsidRPr="00872A70"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Transport energy purposes: refer to Division 4.1 of Schedule 1</w:t>
            </w:r>
          </w:p>
        </w:tc>
        <w:tc>
          <w:tcPr>
            <w:tcW w:w="3544" w:type="dxa"/>
            <w:tcBorders>
              <w:top w:val="single" w:sz="8" w:space="0" w:color="E8E8E8" w:themeColor="background2"/>
              <w:bottom w:val="single" w:sz="4" w:space="0" w:color="FCBA5C" w:themeColor="accent2"/>
            </w:tcBorders>
          </w:tcPr>
          <w:p w14:paraId="75C3DDCF" w14:textId="77777777" w:rsidR="00A57A5C" w:rsidRPr="00872A70"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 xml:space="preserve">Refer to Subdivision 2.4.3.2, also described in </w:t>
            </w:r>
            <w:hyperlink w:anchor="_Sampling_and_analysis_1" w:history="1">
              <w:r w:rsidRPr="00A30145">
                <w:rPr>
                  <w:rStyle w:val="Hyperlink"/>
                  <w:rFonts w:asciiTheme="minorHAnsi" w:hAnsiTheme="minorHAnsi"/>
                  <w:szCs w:val="22"/>
                </w:rPr>
                <w:t>chapter 4.5.1</w:t>
              </w:r>
            </w:hyperlink>
            <w:r>
              <w:rPr>
                <w:rFonts w:asciiTheme="minorHAnsi" w:hAnsiTheme="minorHAnsi"/>
                <w:sz w:val="22"/>
                <w:szCs w:val="22"/>
              </w:rPr>
              <w:t xml:space="preserve"> </w:t>
            </w:r>
            <w:r w:rsidRPr="00872A70">
              <w:rPr>
                <w:rFonts w:asciiTheme="minorHAnsi" w:hAnsiTheme="minorHAnsi"/>
                <w:sz w:val="22"/>
                <w:szCs w:val="22"/>
              </w:rPr>
              <w:t xml:space="preserve">of this </w:t>
            </w:r>
            <w:r>
              <w:rPr>
                <w:rFonts w:asciiTheme="minorHAnsi" w:hAnsiTheme="minorHAnsi"/>
                <w:sz w:val="22"/>
                <w:szCs w:val="22"/>
              </w:rPr>
              <w:t>guideline</w:t>
            </w:r>
          </w:p>
        </w:tc>
      </w:tr>
    </w:tbl>
    <w:p w14:paraId="7778EF33" w14:textId="77777777" w:rsidR="00A57A5C" w:rsidRPr="00FF338C" w:rsidRDefault="00A57A5C" w:rsidP="00B3330E">
      <w:pPr>
        <w:pStyle w:val="Heading3"/>
        <w:numPr>
          <w:ilvl w:val="2"/>
          <w:numId w:val="3"/>
        </w:numPr>
        <w:ind w:left="709" w:hanging="709"/>
        <w:rPr>
          <w:lang w:val="en-GB"/>
        </w:rPr>
      </w:pPr>
      <w:bookmarkStart w:id="340" w:name="_Toc512010420"/>
      <w:bookmarkStart w:id="341" w:name="_Toc512339619"/>
      <w:bookmarkStart w:id="342" w:name="_Toc107922589"/>
      <w:r w:rsidRPr="00FF338C">
        <w:rPr>
          <w:lang w:val="en-GB"/>
        </w:rPr>
        <w:t>Blended fuels and other fuel mixes</w:t>
      </w:r>
      <w:bookmarkEnd w:id="340"/>
      <w:bookmarkEnd w:id="341"/>
      <w:bookmarkEnd w:id="342"/>
    </w:p>
    <w:p w14:paraId="757D6226" w14:textId="77777777" w:rsidR="00A57A5C" w:rsidRDefault="00A57A5C" w:rsidP="00A57A5C">
      <w:r>
        <w:t xml:space="preserve">Energy production and consumption must be reported using fuel types listed within Schedule 1 of the NGER Regulations. Many of the fuels listed in Schedule 1 of the NGER Regulations are defined within regulation 1.03 of the NGER Regulations and section 1.8 of the NGER Measurement Determination. Common usage and dictionary definition should be used when not otherwise defined within the NGER legislation. </w:t>
      </w:r>
    </w:p>
    <w:p w14:paraId="662B37ED" w14:textId="77777777" w:rsidR="00A57A5C" w:rsidRPr="00FF338C" w:rsidRDefault="00A57A5C" w:rsidP="00A57A5C">
      <w:pPr>
        <w:pStyle w:val="Body"/>
        <w:ind w:left="0"/>
        <w:rPr>
          <w:rFonts w:asciiTheme="minorHAnsi" w:hAnsiTheme="minorHAnsi"/>
          <w:sz w:val="22"/>
        </w:rPr>
      </w:pPr>
      <w:r w:rsidRPr="00FF338C">
        <w:rPr>
          <w:rFonts w:asciiTheme="minorHAnsi" w:hAnsiTheme="minorHAnsi"/>
          <w:sz w:val="22"/>
        </w:rPr>
        <w:t>The requirements for reporting blended fuels and fuels mixes will depend on the fuels in the blend or mix, the product created by the blending or mixing, and the end use of the blended fuel or fuel mix.</w:t>
      </w:r>
    </w:p>
    <w:p w14:paraId="230D5D22" w14:textId="77777777" w:rsidR="00A57A5C" w:rsidRDefault="00A57A5C" w:rsidP="00A57A5C">
      <w:pPr>
        <w:pStyle w:val="Body"/>
        <w:ind w:left="0"/>
        <w:rPr>
          <w:rFonts w:asciiTheme="minorHAnsi" w:hAnsiTheme="minorHAnsi"/>
          <w:sz w:val="22"/>
        </w:rPr>
      </w:pPr>
      <w:r>
        <w:rPr>
          <w:rFonts w:asciiTheme="minorHAnsi" w:hAnsiTheme="minorHAnsi"/>
          <w:sz w:val="22"/>
        </w:rPr>
        <w:t>See</w:t>
      </w:r>
      <w:r w:rsidRPr="00FF338C">
        <w:rPr>
          <w:rFonts w:asciiTheme="minorHAnsi" w:hAnsiTheme="minorHAnsi"/>
          <w:sz w:val="22"/>
        </w:rPr>
        <w:t xml:space="preserve"> the </w:t>
      </w:r>
      <w:hyperlink r:id="rId51" w:history="1">
        <w:r w:rsidRPr="00FE31CC">
          <w:rPr>
            <w:rStyle w:val="Hyperlink"/>
            <w:rFonts w:asciiTheme="minorHAnsi" w:hAnsiTheme="minorHAnsi"/>
            <w:iCs/>
          </w:rPr>
          <w:t>Reporting blended fuels and other fuel mixes</w:t>
        </w:r>
        <w:r w:rsidRPr="00FE31CC">
          <w:rPr>
            <w:rStyle w:val="Hyperlink"/>
            <w:rFonts w:asciiTheme="minorHAnsi" w:hAnsiTheme="minorHAnsi"/>
          </w:rPr>
          <w:t xml:space="preserve"> guideline</w:t>
        </w:r>
        <w:r w:rsidRPr="00FE31CC">
          <w:rPr>
            <w:rStyle w:val="Hyperlink"/>
            <w:rFonts w:asciiTheme="minorHAnsi" w:hAnsiTheme="minorHAnsi"/>
            <w:vertAlign w:val="superscript"/>
          </w:rPr>
          <w:footnoteReference w:id="23"/>
        </w:r>
      </w:hyperlink>
      <w:r>
        <w:rPr>
          <w:rFonts w:asciiTheme="minorHAnsi" w:hAnsiTheme="minorHAnsi"/>
          <w:sz w:val="22"/>
        </w:rPr>
        <w:t xml:space="preserve"> for more information on </w:t>
      </w:r>
      <w:r w:rsidRPr="00FF338C">
        <w:rPr>
          <w:rFonts w:asciiTheme="minorHAnsi" w:hAnsiTheme="minorHAnsi"/>
          <w:sz w:val="22"/>
        </w:rPr>
        <w:t>reporting requirements and calculation methodologies.</w:t>
      </w:r>
    </w:p>
    <w:p w14:paraId="52BAB99E" w14:textId="77777777" w:rsidR="00A57A5C" w:rsidRDefault="00A57A5C" w:rsidP="00DB4B56">
      <w:pPr>
        <w:pStyle w:val="Heading2"/>
        <w:numPr>
          <w:ilvl w:val="1"/>
          <w:numId w:val="3"/>
        </w:numPr>
        <w:ind w:left="426" w:hanging="426"/>
      </w:pPr>
      <w:bookmarkStart w:id="343" w:name="_Toc74235152"/>
      <w:bookmarkStart w:id="344" w:name="_Toc75334349"/>
      <w:bookmarkStart w:id="345" w:name="_Toc75438207"/>
      <w:bookmarkStart w:id="346" w:name="_Toc74235153"/>
      <w:bookmarkStart w:id="347" w:name="_Toc75334350"/>
      <w:bookmarkStart w:id="348" w:name="_Toc75438208"/>
      <w:bookmarkStart w:id="349" w:name="_Toc74235154"/>
      <w:bookmarkStart w:id="350" w:name="_Toc75334351"/>
      <w:bookmarkStart w:id="351" w:name="_Toc75438209"/>
      <w:bookmarkStart w:id="352" w:name="_Toc74235155"/>
      <w:bookmarkStart w:id="353" w:name="_Toc75334352"/>
      <w:bookmarkStart w:id="354" w:name="_Toc75438210"/>
      <w:bookmarkStart w:id="355" w:name="_Toc74235156"/>
      <w:bookmarkStart w:id="356" w:name="_Toc75334353"/>
      <w:bookmarkStart w:id="357" w:name="_Toc75438211"/>
      <w:bookmarkStart w:id="358" w:name="_Toc74235157"/>
      <w:bookmarkStart w:id="359" w:name="_Toc75334354"/>
      <w:bookmarkStart w:id="360" w:name="_Toc75438212"/>
      <w:bookmarkStart w:id="361" w:name="_Toc74235159"/>
      <w:bookmarkStart w:id="362" w:name="_Toc75334356"/>
      <w:bookmarkStart w:id="363" w:name="_Toc75438214"/>
      <w:bookmarkStart w:id="364" w:name="_Toc74235160"/>
      <w:bookmarkStart w:id="365" w:name="_Toc75334357"/>
      <w:bookmarkStart w:id="366" w:name="_Toc75438215"/>
      <w:bookmarkStart w:id="367" w:name="_Toc74235161"/>
      <w:bookmarkStart w:id="368" w:name="_Toc75334358"/>
      <w:bookmarkStart w:id="369" w:name="_Toc75438216"/>
      <w:bookmarkStart w:id="370" w:name="_Toc74235163"/>
      <w:bookmarkStart w:id="371" w:name="_Toc75334360"/>
      <w:bookmarkStart w:id="372" w:name="_Toc75438218"/>
      <w:bookmarkStart w:id="373" w:name="_Toc74235164"/>
      <w:bookmarkStart w:id="374" w:name="_Toc75334361"/>
      <w:bookmarkStart w:id="375" w:name="_Toc75438219"/>
      <w:bookmarkStart w:id="376" w:name="_Toc74235165"/>
      <w:bookmarkStart w:id="377" w:name="_Toc75334362"/>
      <w:bookmarkStart w:id="378" w:name="_Toc75438220"/>
      <w:bookmarkStart w:id="379" w:name="_Toc74235167"/>
      <w:bookmarkStart w:id="380" w:name="_Toc75334364"/>
      <w:bookmarkStart w:id="381" w:name="_Toc75438222"/>
      <w:bookmarkStart w:id="382" w:name="_Toc74235168"/>
      <w:bookmarkStart w:id="383" w:name="_Toc75334365"/>
      <w:bookmarkStart w:id="384" w:name="_Toc75438223"/>
      <w:bookmarkStart w:id="385" w:name="_Toc74235169"/>
      <w:bookmarkStart w:id="386" w:name="_Toc75334366"/>
      <w:bookmarkStart w:id="387" w:name="_Toc75438224"/>
      <w:bookmarkStart w:id="388" w:name="_Toc74235170"/>
      <w:bookmarkStart w:id="389" w:name="_Toc75334367"/>
      <w:bookmarkStart w:id="390" w:name="_Toc75438225"/>
      <w:bookmarkStart w:id="391" w:name="_Toc74235171"/>
      <w:bookmarkStart w:id="392" w:name="_Toc75334368"/>
      <w:bookmarkStart w:id="393" w:name="_Toc75438226"/>
      <w:bookmarkStart w:id="394" w:name="_Toc74235172"/>
      <w:bookmarkStart w:id="395" w:name="_Toc75334369"/>
      <w:bookmarkStart w:id="396" w:name="_Toc75438227"/>
      <w:bookmarkStart w:id="397" w:name="_Toc74235173"/>
      <w:bookmarkStart w:id="398" w:name="_Toc75334370"/>
      <w:bookmarkStart w:id="399" w:name="_Toc75438228"/>
      <w:bookmarkStart w:id="400" w:name="_Toc74235175"/>
      <w:bookmarkStart w:id="401" w:name="_Toc75334372"/>
      <w:bookmarkStart w:id="402" w:name="_Toc75438230"/>
      <w:bookmarkStart w:id="403" w:name="_Toc74235176"/>
      <w:bookmarkStart w:id="404" w:name="_Toc75334373"/>
      <w:bookmarkStart w:id="405" w:name="_Toc75438231"/>
      <w:bookmarkStart w:id="406" w:name="_Toc74235177"/>
      <w:bookmarkStart w:id="407" w:name="_Toc75334374"/>
      <w:bookmarkStart w:id="408" w:name="_Toc75438232"/>
      <w:bookmarkStart w:id="409" w:name="_Toc74235179"/>
      <w:bookmarkStart w:id="410" w:name="_Toc75334376"/>
      <w:bookmarkStart w:id="411" w:name="_Toc75438234"/>
      <w:bookmarkStart w:id="412" w:name="_Toc74235180"/>
      <w:bookmarkStart w:id="413" w:name="_Toc75334377"/>
      <w:bookmarkStart w:id="414" w:name="_Toc75438235"/>
      <w:bookmarkStart w:id="415" w:name="_Net_Energy_Consumption"/>
      <w:bookmarkStart w:id="416" w:name="_Ref71280486"/>
      <w:bookmarkStart w:id="417" w:name="_Toc106705772"/>
      <w:bookmarkStart w:id="418" w:name="_Toc107922590"/>
      <w:bookmarkStart w:id="419" w:name="_Toc511376936"/>
      <w:bookmarkStart w:id="420" w:name="_Ref511377796"/>
      <w:bookmarkStart w:id="421" w:name="_Toc511388533"/>
      <w:bookmarkStart w:id="422" w:name="_Toc511389455"/>
      <w:bookmarkStart w:id="423" w:name="_Toc511392964"/>
      <w:bookmarkStart w:id="424" w:name="_Ref511662859"/>
      <w:bookmarkStart w:id="425" w:name="_Toc511732496"/>
      <w:bookmarkStart w:id="426" w:name="_Ref511989169"/>
      <w:bookmarkStart w:id="427" w:name="_Toc512010421"/>
      <w:bookmarkStart w:id="428" w:name="_Toc512339620"/>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t>Reporting of battery activities</w:t>
      </w:r>
      <w:bookmarkEnd w:id="416"/>
      <w:bookmarkEnd w:id="417"/>
      <w:bookmarkEnd w:id="418"/>
    </w:p>
    <w:p w14:paraId="606FBB30" w14:textId="77777777" w:rsidR="00A57A5C" w:rsidRDefault="00A57A5C" w:rsidP="00A57A5C">
      <w:r>
        <w:t>This section provides guidance for facilities that use batteries to store and discharge electricity.</w:t>
      </w:r>
    </w:p>
    <w:p w14:paraId="396D03A5" w14:textId="77777777" w:rsidR="00A57A5C" w:rsidRDefault="00A57A5C" w:rsidP="00A57A5C">
      <w:r>
        <w:t>Electricity production must be reported for electricity that is sent from a generator to a battery. This includes:</w:t>
      </w:r>
    </w:p>
    <w:p w14:paraId="2631974D" w14:textId="77777777" w:rsidR="00A57A5C" w:rsidRDefault="00A57A5C" w:rsidP="00B3330E">
      <w:pPr>
        <w:pStyle w:val="CERbullets"/>
        <w:numPr>
          <w:ilvl w:val="0"/>
          <w:numId w:val="14"/>
        </w:numPr>
        <w:ind w:left="357" w:right="357" w:hanging="357"/>
      </w:pPr>
      <w:r>
        <w:t>reporting the energy source (e.g. thermal, wind, solar) used to produce the electricity</w:t>
      </w:r>
    </w:p>
    <w:p w14:paraId="57862DF4" w14:textId="77777777" w:rsidR="00A57A5C" w:rsidRDefault="00A57A5C" w:rsidP="00B3330E">
      <w:pPr>
        <w:pStyle w:val="CERbullets"/>
        <w:numPr>
          <w:ilvl w:val="0"/>
          <w:numId w:val="14"/>
        </w:numPr>
        <w:ind w:left="357" w:right="357" w:hanging="357"/>
      </w:pPr>
      <w:r>
        <w:t>reporting of the usage.</w:t>
      </w:r>
    </w:p>
    <w:p w14:paraId="519DC055" w14:textId="77777777" w:rsidR="00A57A5C" w:rsidRDefault="00A57A5C" w:rsidP="00A57A5C">
      <w:r>
        <w:t>Usage is determined when the battery is discharged, for example, for use onsite or for use offsite supplied to a network. In principle, electricity that is produced and sent to a battery cannot be reported until that electricity is discharged from the battery.</w:t>
      </w:r>
    </w:p>
    <w:p w14:paraId="2BE85CCA" w14:textId="77777777" w:rsidR="00A57A5C" w:rsidRDefault="00A57A5C" w:rsidP="00A57A5C">
      <w:r>
        <w:t>Only consumption of electricity consumed onsite needs to be reported. In the diagram below, the electricity storage and discharge of the battery is shown and the reporting options in are EERS included.</w:t>
      </w:r>
    </w:p>
    <w:p w14:paraId="0C3C780B" w14:textId="77777777" w:rsidR="00A57A5C" w:rsidRDefault="00A57A5C" w:rsidP="00A57A5C">
      <w:pPr>
        <w:pStyle w:val="Caption"/>
      </w:pPr>
      <w:r>
        <w:t xml:space="preserve">Figure </w:t>
      </w:r>
      <w:r>
        <w:fldChar w:fldCharType="begin"/>
      </w:r>
      <w:r>
        <w:instrText>SEQ Figure \* ARABIC</w:instrText>
      </w:r>
      <w:r>
        <w:fldChar w:fldCharType="separate"/>
      </w:r>
      <w:r>
        <w:rPr>
          <w:noProof/>
        </w:rPr>
        <w:t>6</w:t>
      </w:r>
      <w:r>
        <w:fldChar w:fldCharType="end"/>
      </w:r>
      <w:r>
        <w:t xml:space="preserve"> — Data sources required for </w:t>
      </w:r>
      <w:r w:rsidRPr="000B3301">
        <w:t xml:space="preserve">reporting for battery storage </w:t>
      </w:r>
      <w:r>
        <w:t>activiti</w:t>
      </w:r>
      <w:r w:rsidRPr="000B3301">
        <w:t>e</w:t>
      </w:r>
      <w:r>
        <w:t>s related to onsite electricity generation sources</w:t>
      </w:r>
    </w:p>
    <w:p w14:paraId="06D5FC7D" w14:textId="77777777" w:rsidR="00A57A5C" w:rsidRDefault="00A57A5C" w:rsidP="009F2A5F">
      <w:pPr>
        <w:keepNext/>
        <w:jc w:val="center"/>
      </w:pPr>
      <w:r w:rsidRPr="009924F4">
        <w:rPr>
          <w:noProof/>
        </w:rPr>
        <w:drawing>
          <wp:inline distT="0" distB="0" distL="0" distR="0" wp14:anchorId="1943598E" wp14:editId="47CF6138">
            <wp:extent cx="5591955" cy="2991267"/>
            <wp:effectExtent l="0" t="0" r="8890" b="0"/>
            <wp:docPr id="23" name="Picture 23" descr="Diagram of the inputs and outputs of battery usage from electricity generated on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of the inputs and outputs of battery usage from electricity generated onsite"/>
                    <pic:cNvPicPr/>
                  </pic:nvPicPr>
                  <pic:blipFill>
                    <a:blip r:embed="rId52"/>
                    <a:stretch>
                      <a:fillRect/>
                    </a:stretch>
                  </pic:blipFill>
                  <pic:spPr>
                    <a:xfrm>
                      <a:off x="0" y="0"/>
                      <a:ext cx="5591955" cy="2991267"/>
                    </a:xfrm>
                    <a:prstGeom prst="rect">
                      <a:avLst/>
                    </a:prstGeom>
                  </pic:spPr>
                </pic:pic>
              </a:graphicData>
            </a:graphic>
          </wp:inline>
        </w:drawing>
      </w:r>
    </w:p>
    <w:p w14:paraId="5A440D9E" w14:textId="77777777" w:rsidR="00A57A5C" w:rsidRDefault="00A57A5C" w:rsidP="00A57A5C"/>
    <w:p w14:paraId="7FCB47CD" w14:textId="77777777" w:rsidR="00A57A5C" w:rsidRDefault="00A57A5C" w:rsidP="00A57A5C">
      <w:r>
        <w:t>Once data has been collected (see Figure 6), electricity production and consumption activities can be entered into EERS.</w:t>
      </w:r>
      <w:r w:rsidRPr="0079102F">
        <w:rPr>
          <w:noProof/>
        </w:rPr>
        <w:t xml:space="preserve"> </w:t>
      </w:r>
    </w:p>
    <w:p w14:paraId="348E88C5" w14:textId="77777777" w:rsidR="00A57A5C" w:rsidRDefault="00A57A5C" w:rsidP="00A57A5C">
      <w:r>
        <w:t>Electricity consumption and s</w:t>
      </w:r>
      <w:r w:rsidRPr="000B3301">
        <w:t>cope 2 emissions</w:t>
      </w:r>
      <w:r>
        <w:t xml:space="preserve"> must be reported by the consumer when electricity is discharged from a battery and consumed at the facility, if that electricity was originally imported to charge the battery. </w:t>
      </w:r>
    </w:p>
    <w:p w14:paraId="5B21CCCD" w14:textId="77777777" w:rsidR="00A57A5C" w:rsidRDefault="00A57A5C" w:rsidP="00A57A5C">
      <w:r>
        <w:t xml:space="preserve">In a case where the imported energy is sent back to the grid, </w:t>
      </w:r>
      <w:r w:rsidRPr="004D1ABD">
        <w:t>‘</w:t>
      </w:r>
      <w:r w:rsidRPr="00F53D9F">
        <w:t xml:space="preserve">net </w:t>
      </w:r>
      <w:r>
        <w:t>s</w:t>
      </w:r>
      <w:r w:rsidRPr="00F53D9F">
        <w:t>cope 2</w:t>
      </w:r>
      <w:r w:rsidRPr="004D1ABD">
        <w:t xml:space="preserve"> </w:t>
      </w:r>
      <w:r w:rsidRPr="00E84BDE">
        <w:t>emissions’</w:t>
      </w:r>
      <w:r>
        <w:t xml:space="preserve"> can be calculated using the amount of electricity imported minus the amount of that imported electricity that is exported back to the grid.</w:t>
      </w:r>
    </w:p>
    <w:p w14:paraId="3ABAA924" w14:textId="77777777" w:rsidR="00A57A5C" w:rsidRDefault="00A57A5C" w:rsidP="00A57A5C">
      <w:pPr>
        <w:pStyle w:val="Caption"/>
      </w:pPr>
      <w:r>
        <w:t>Figure 7 — Scope 2 reporting for battery storage device</w:t>
      </w:r>
    </w:p>
    <w:p w14:paraId="25F7ADA9" w14:textId="77777777" w:rsidR="00A57A5C" w:rsidRDefault="00A57A5C" w:rsidP="009F2A5F">
      <w:pPr>
        <w:jc w:val="center"/>
      </w:pPr>
      <w:r w:rsidRPr="0079102F">
        <w:rPr>
          <w:noProof/>
        </w:rPr>
        <w:drawing>
          <wp:inline distT="0" distB="0" distL="0" distR="0" wp14:anchorId="79D189DE" wp14:editId="76A2F265">
            <wp:extent cx="5696745" cy="3683895"/>
            <wp:effectExtent l="0" t="0" r="0" b="0"/>
            <wp:docPr id="12" name="Picture 12" descr="Figure 7 — Scope 2 reporting for battery storag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3"/>
                    <a:stretch>
                      <a:fillRect/>
                    </a:stretch>
                  </pic:blipFill>
                  <pic:spPr>
                    <a:xfrm>
                      <a:off x="0" y="0"/>
                      <a:ext cx="5696745" cy="3683895"/>
                    </a:xfrm>
                    <a:prstGeom prst="rect">
                      <a:avLst/>
                    </a:prstGeom>
                  </pic:spPr>
                </pic:pic>
              </a:graphicData>
            </a:graphic>
          </wp:inline>
        </w:drawing>
      </w:r>
    </w:p>
    <w:p w14:paraId="29CDEF3B" w14:textId="77777777" w:rsidR="00A57A5C" w:rsidRPr="00E84BDE" w:rsidRDefault="00A57A5C" w:rsidP="00B3330E">
      <w:pPr>
        <w:pStyle w:val="Heading3"/>
        <w:numPr>
          <w:ilvl w:val="2"/>
          <w:numId w:val="3"/>
        </w:numPr>
        <w:ind w:left="709" w:hanging="709"/>
      </w:pPr>
      <w:bookmarkStart w:id="429" w:name="_Toc107922591"/>
      <w:r w:rsidRPr="00E84BDE">
        <w:t>Re</w:t>
      </w:r>
      <w:r>
        <w:t>cording</w:t>
      </w:r>
      <w:r w:rsidRPr="00E84BDE">
        <w:t xml:space="preserve"> starting stock of battery at </w:t>
      </w:r>
      <w:r>
        <w:t xml:space="preserve">July 1 of </w:t>
      </w:r>
      <w:r w:rsidRPr="00E84BDE">
        <w:t xml:space="preserve">the </w:t>
      </w:r>
      <w:r>
        <w:t>next</w:t>
      </w:r>
      <w:r w:rsidRPr="00E84BDE">
        <w:t xml:space="preserve"> reporting year</w:t>
      </w:r>
      <w:bookmarkEnd w:id="429"/>
    </w:p>
    <w:p w14:paraId="5C5F852C" w14:textId="77777777" w:rsidR="00A57A5C" w:rsidRDefault="00A57A5C" w:rsidP="00A57A5C">
      <w:r>
        <w:t xml:space="preserve">If all electricity stored in a battery was not discharged in the same reporting year it was stored, there will be energy remaining in the battery at the end of the reporting period. This means at the start of the next reporting year on July 1, the battery already holds some stored electricity. In this case, it is important that the starting stock of stored electricity at July 1 of the next reporting year is recorded. This value in kWh at July 1 </w:t>
      </w:r>
      <w:r w:rsidDel="0084020B">
        <w:t>should</w:t>
      </w:r>
      <w:r>
        <w:t xml:space="preserve"> be added to the amount of storage that occurs during the new reporting year.</w:t>
      </w:r>
    </w:p>
    <w:p w14:paraId="5784C18C" w14:textId="77777777" w:rsidR="00A57A5C" w:rsidRDefault="00A57A5C" w:rsidP="00B3330E">
      <w:pPr>
        <w:pStyle w:val="Heading3"/>
        <w:numPr>
          <w:ilvl w:val="2"/>
          <w:numId w:val="3"/>
        </w:numPr>
        <w:ind w:left="709" w:hanging="709"/>
      </w:pPr>
      <w:bookmarkStart w:id="430" w:name="_Toc107922592"/>
      <w:r>
        <w:t>Reporting Virtual Power Plant (VPP) activities</w:t>
      </w:r>
      <w:bookmarkEnd w:id="430"/>
    </w:p>
    <w:p w14:paraId="1B020C86" w14:textId="44C00B11" w:rsidR="00A57A5C" w:rsidRPr="00AE05B6" w:rsidRDefault="00A57A5C" w:rsidP="00A57A5C">
      <w:pPr>
        <w:spacing w:after="0"/>
        <w:rPr>
          <w:rFonts w:ascii="Calibri" w:eastAsia="Times New Roman" w:hAnsi="Calibri" w:cs="Calibri"/>
          <w:color w:val="000000"/>
          <w:lang w:eastAsia="en-AU"/>
        </w:rPr>
      </w:pPr>
      <w:r w:rsidRPr="157C9DCF">
        <w:rPr>
          <w:rFonts w:ascii="Calibri" w:eastAsia="Times New Roman" w:hAnsi="Calibri" w:cs="Calibri"/>
          <w:lang w:eastAsia="en-AU"/>
        </w:rPr>
        <w:t xml:space="preserve">A Virtual Power Plant (VPP) is a network of connected solar batteries that meets the definition of designation generation facility in section 7 of the NGER Act. </w:t>
      </w:r>
    </w:p>
    <w:p w14:paraId="38A74367" w14:textId="77777777" w:rsidR="00A57A5C" w:rsidRPr="003F0E04" w:rsidRDefault="00A57A5C" w:rsidP="00A57A5C">
      <w:pPr>
        <w:pStyle w:val="ListParagraph"/>
        <w:spacing w:after="0"/>
        <w:ind w:left="360"/>
        <w:rPr>
          <w:rFonts w:ascii="Calibri" w:eastAsia="Times New Roman" w:hAnsi="Calibri" w:cs="Calibri"/>
          <w:color w:val="000000"/>
          <w:lang w:eastAsia="en-AU"/>
        </w:rPr>
      </w:pPr>
    </w:p>
    <w:p w14:paraId="03D18E47" w14:textId="77777777" w:rsidR="00A57A5C" w:rsidRPr="00FF338C" w:rsidRDefault="00A57A5C" w:rsidP="00A57A5C">
      <w:r w:rsidRPr="157C9DCF">
        <w:rPr>
          <w:rFonts w:ascii="Calibri" w:eastAsia="Times New Roman" w:hAnsi="Calibri" w:cs="Calibri"/>
          <w:lang w:eastAsia="en-AU"/>
        </w:rPr>
        <w:t xml:space="preserve">Electricity production and consumption at VPPs must be reported if </w:t>
      </w:r>
      <w:r>
        <w:t>it exceeds the thresholds listed in NGER Regulations 4.19, 4.20 and 4.23, and section 2.68 of the NGER Measurement Determination, summarised in table 10.</w:t>
      </w:r>
    </w:p>
    <w:p w14:paraId="194BF4B0" w14:textId="77777777" w:rsidR="00A57A5C" w:rsidRPr="0053127B" w:rsidRDefault="00A57A5C" w:rsidP="00A57A5C">
      <w:r w:rsidRPr="157C9DCF">
        <w:t xml:space="preserve">In EERS, VVPs must be reported as facility and the reporting of activities should be done in accordance with the guidance in section 7.6, reporting battery activities. </w:t>
      </w:r>
      <w:r w:rsidRPr="157C9DCF">
        <w:rPr>
          <w:rFonts w:ascii="Calibri" w:eastAsia="Times New Roman" w:hAnsi="Calibri" w:cs="Calibri"/>
          <w:lang w:eastAsia="en-AU"/>
        </w:rPr>
        <w:t>The head office, or wherever the VVP is controlled can be the appropriate address for the facility.</w:t>
      </w:r>
    </w:p>
    <w:p w14:paraId="11F6D4F0" w14:textId="77777777" w:rsidR="00A57A5C" w:rsidRPr="00FF338C" w:rsidRDefault="00A57A5C" w:rsidP="00DB4B56">
      <w:pPr>
        <w:pStyle w:val="Heading2"/>
        <w:numPr>
          <w:ilvl w:val="1"/>
          <w:numId w:val="3"/>
        </w:numPr>
        <w:ind w:left="426" w:hanging="426"/>
      </w:pPr>
      <w:bookmarkStart w:id="431" w:name="_Toc74235182"/>
      <w:bookmarkStart w:id="432" w:name="_Toc74235183"/>
      <w:bookmarkStart w:id="433" w:name="_Toc74235184"/>
      <w:bookmarkStart w:id="434" w:name="_Toc74235185"/>
      <w:bookmarkStart w:id="435" w:name="_Toc74235186"/>
      <w:bookmarkStart w:id="436" w:name="_Toc106705773"/>
      <w:bookmarkStart w:id="437" w:name="_Toc107922593"/>
      <w:bookmarkEnd w:id="431"/>
      <w:bookmarkEnd w:id="432"/>
      <w:bookmarkEnd w:id="433"/>
      <w:bookmarkEnd w:id="434"/>
      <w:bookmarkEnd w:id="435"/>
      <w:r w:rsidRPr="00FF338C">
        <w:t>Net Energy Consumption</w:t>
      </w:r>
      <w:bookmarkEnd w:id="419"/>
      <w:bookmarkEnd w:id="420"/>
      <w:bookmarkEnd w:id="421"/>
      <w:bookmarkEnd w:id="422"/>
      <w:bookmarkEnd w:id="423"/>
      <w:bookmarkEnd w:id="424"/>
      <w:bookmarkEnd w:id="425"/>
      <w:bookmarkEnd w:id="426"/>
      <w:bookmarkEnd w:id="427"/>
      <w:bookmarkEnd w:id="428"/>
      <w:bookmarkEnd w:id="436"/>
      <w:bookmarkEnd w:id="437"/>
    </w:p>
    <w:p w14:paraId="4553BC3A" w14:textId="77777777" w:rsidR="00A57A5C" w:rsidRPr="00FF338C" w:rsidRDefault="00A57A5C" w:rsidP="00A57A5C">
      <w:pPr>
        <w:rPr>
          <w:color w:val="auto"/>
        </w:rPr>
      </w:pPr>
      <w:r w:rsidRPr="00FF338C">
        <w:rPr>
          <w:color w:val="auto"/>
        </w:rPr>
        <w:t xml:space="preserve">The </w:t>
      </w:r>
      <w:r>
        <w:rPr>
          <w:color w:val="auto"/>
        </w:rPr>
        <w:t>agency</w:t>
      </w:r>
      <w:r w:rsidRPr="00FF338C">
        <w:rPr>
          <w:color w:val="auto"/>
        </w:rPr>
        <w:t xml:space="preserve"> is required to publish information on the net energy consumption of corporations registered under the NGER scheme by 28 February each year. The accuracy of this information is dependent on the quality of information provided in corporate NGER reports.</w:t>
      </w:r>
    </w:p>
    <w:p w14:paraId="3868CA06" w14:textId="77777777" w:rsidR="00A57A5C" w:rsidRPr="00FF338C" w:rsidRDefault="00A57A5C" w:rsidP="00A57A5C">
      <w:pPr>
        <w:pStyle w:val="Heading4"/>
      </w:pPr>
      <w:bookmarkStart w:id="438" w:name="_Toc526867730"/>
      <w:bookmarkStart w:id="439" w:name="_Toc526869772"/>
      <w:bookmarkStart w:id="440" w:name="_Toc107922594"/>
      <w:r w:rsidRPr="00FF338C">
        <w:t>Defining primary and secondary energy commodities</w:t>
      </w:r>
      <w:bookmarkEnd w:id="438"/>
      <w:bookmarkEnd w:id="439"/>
      <w:bookmarkEnd w:id="440"/>
    </w:p>
    <w:p w14:paraId="271B1090" w14:textId="77777777" w:rsidR="00A57A5C" w:rsidRPr="00FF338C" w:rsidRDefault="00A57A5C" w:rsidP="00A57A5C">
      <w:pPr>
        <w:rPr>
          <w:color w:val="auto"/>
        </w:rPr>
      </w:pPr>
      <w:r w:rsidRPr="00FF338C">
        <w:rPr>
          <w:color w:val="auto"/>
        </w:rPr>
        <w:t xml:space="preserve">The calculation of net energy consumption is determined in part by the classification of each energy commodity defined in schedule 1 of the NGER Regulations as either </w:t>
      </w:r>
      <w:r w:rsidRPr="00872A70">
        <w:rPr>
          <w:iCs/>
          <w:color w:val="auto"/>
        </w:rPr>
        <w:t>primary</w:t>
      </w:r>
      <w:r w:rsidRPr="00FF338C">
        <w:rPr>
          <w:color w:val="auto"/>
        </w:rPr>
        <w:t xml:space="preserve"> or </w:t>
      </w:r>
      <w:r w:rsidRPr="00872A70">
        <w:rPr>
          <w:iCs/>
          <w:color w:val="auto"/>
        </w:rPr>
        <w:t>secondary</w:t>
      </w:r>
      <w:r w:rsidRPr="00FF338C">
        <w:rPr>
          <w:color w:val="auto"/>
        </w:rPr>
        <w:t xml:space="preserve"> energy. These designations are defined as follows in NGER Regulation 1.03:</w:t>
      </w:r>
    </w:p>
    <w:p w14:paraId="5457299F" w14:textId="77777777" w:rsidR="00A57A5C" w:rsidRPr="00FF338C" w:rsidRDefault="00A57A5C" w:rsidP="00B3330E">
      <w:pPr>
        <w:pStyle w:val="CERnumbering"/>
        <w:numPr>
          <w:ilvl w:val="0"/>
          <w:numId w:val="8"/>
        </w:numPr>
      </w:pPr>
      <w:r w:rsidRPr="00FE31CC">
        <w:rPr>
          <w:szCs w:val="22"/>
        </w:rPr>
        <w:t>Primary fuel or energy commodity</w:t>
      </w:r>
      <w:r w:rsidRPr="00FF338C">
        <w:rPr>
          <w:b/>
          <w:bCs/>
          <w:i/>
          <w:iCs/>
          <w:szCs w:val="22"/>
        </w:rPr>
        <w:t xml:space="preserve"> </w:t>
      </w:r>
      <w:r w:rsidRPr="00FF338C">
        <w:rPr>
          <w:szCs w:val="22"/>
        </w:rPr>
        <w:t xml:space="preserve">means a fuel or energy </w:t>
      </w:r>
      <w:r w:rsidRPr="00FF338C">
        <w:t>commodity</w:t>
      </w:r>
      <w:r w:rsidRPr="00FF338C">
        <w:rPr>
          <w:szCs w:val="22"/>
        </w:rPr>
        <w:t xml:space="preserve"> extracted or captured from natural sources with minimal processing.</w:t>
      </w:r>
    </w:p>
    <w:p w14:paraId="2EE49347" w14:textId="77777777" w:rsidR="00A57A5C" w:rsidRPr="00FF338C" w:rsidRDefault="00A57A5C" w:rsidP="00B3330E">
      <w:pPr>
        <w:pStyle w:val="CERnumbering"/>
        <w:numPr>
          <w:ilvl w:val="0"/>
          <w:numId w:val="8"/>
        </w:numPr>
      </w:pPr>
      <w:r w:rsidRPr="00FE31CC">
        <w:rPr>
          <w:szCs w:val="22"/>
        </w:rPr>
        <w:t>Secondary fuel or energy commodity</w:t>
      </w:r>
      <w:r w:rsidRPr="00FF338C">
        <w:rPr>
          <w:b/>
          <w:bCs/>
          <w:i/>
          <w:iCs/>
          <w:szCs w:val="22"/>
        </w:rPr>
        <w:t xml:space="preserve"> </w:t>
      </w:r>
      <w:r w:rsidRPr="00FF338C">
        <w:rPr>
          <w:szCs w:val="22"/>
        </w:rPr>
        <w:t xml:space="preserve">means a fuel or </w:t>
      </w:r>
      <w:r w:rsidRPr="00FF338C">
        <w:t>energy</w:t>
      </w:r>
      <w:r w:rsidRPr="00FF338C">
        <w:rPr>
          <w:szCs w:val="22"/>
        </w:rPr>
        <w:t xml:space="preserve"> commodity produced by converting energy from one form to another form for consumption.</w:t>
      </w:r>
    </w:p>
    <w:p w14:paraId="11F2CE75" w14:textId="77777777" w:rsidR="00A57A5C" w:rsidRPr="00FF338C" w:rsidRDefault="00A57A5C" w:rsidP="00A57A5C">
      <w:pPr>
        <w:rPr>
          <w:color w:val="auto"/>
        </w:rPr>
      </w:pPr>
      <w:r w:rsidRPr="00FF338C">
        <w:rPr>
          <w:color w:val="auto"/>
        </w:rPr>
        <w:t>In the electricity generation sector, primary energy commodities are typically fuels and renewable energy commodities consumed by generating facilities. Electricity is a secondary energy commodity under NGER.</w:t>
      </w:r>
    </w:p>
    <w:p w14:paraId="2AE712CE" w14:textId="77777777" w:rsidR="00A57A5C" w:rsidRPr="00FF338C" w:rsidRDefault="00A57A5C" w:rsidP="00A57A5C">
      <w:pPr>
        <w:pStyle w:val="Heading4"/>
      </w:pPr>
      <w:bookmarkStart w:id="441" w:name="_Toc526867731"/>
      <w:bookmarkStart w:id="442" w:name="_Toc526869773"/>
      <w:bookmarkStart w:id="443" w:name="_Toc107922595"/>
      <w:r w:rsidRPr="00FF338C">
        <w:t>Calculating net energy consumption</w:t>
      </w:r>
      <w:bookmarkEnd w:id="441"/>
      <w:bookmarkEnd w:id="442"/>
      <w:bookmarkEnd w:id="443"/>
    </w:p>
    <w:p w14:paraId="7DC93A6E" w14:textId="77777777" w:rsidR="00A57A5C" w:rsidRPr="00FF338C" w:rsidRDefault="00A57A5C" w:rsidP="00A57A5C">
      <w:pPr>
        <w:rPr>
          <w:color w:val="auto"/>
        </w:rPr>
      </w:pPr>
      <w:r w:rsidRPr="00FF338C">
        <w:rPr>
          <w:color w:val="auto"/>
        </w:rPr>
        <w:t xml:space="preserve">NGER Regulation 5.3 </w:t>
      </w:r>
      <w:r>
        <w:rPr>
          <w:color w:val="auto"/>
        </w:rPr>
        <w:t xml:space="preserve">defines the calculation for net energy consumption </w:t>
      </w:r>
      <w:r w:rsidRPr="00FF338C">
        <w:rPr>
          <w:color w:val="auto"/>
        </w:rPr>
        <w:t>as follow</w:t>
      </w:r>
      <w:r>
        <w:rPr>
          <w:color w:val="auto"/>
        </w:rPr>
        <w:t>s</w:t>
      </w:r>
      <w:r w:rsidRPr="00FF338C">
        <w:rPr>
          <w:color w:val="auto"/>
        </w:rPr>
        <w:t xml:space="preserve">: </w:t>
      </w:r>
    </w:p>
    <w:p w14:paraId="2BD386BF" w14:textId="77777777" w:rsidR="00A57A5C" w:rsidRPr="00FF338C" w:rsidRDefault="00A57A5C" w:rsidP="00B3330E">
      <w:pPr>
        <w:pStyle w:val="CERnumbering"/>
        <w:numPr>
          <w:ilvl w:val="0"/>
          <w:numId w:val="8"/>
        </w:numPr>
      </w:pPr>
      <w:r w:rsidRPr="00FE31CC">
        <w:t>Step 1:</w:t>
      </w:r>
      <w:r w:rsidRPr="00FF338C">
        <w:t xml:space="preserve"> For each facility of the </w:t>
      </w:r>
      <w:r w:rsidRPr="00FF338C">
        <w:rPr>
          <w:szCs w:val="22"/>
        </w:rPr>
        <w:t>corporation’s</w:t>
      </w:r>
      <w:r w:rsidRPr="00FF338C">
        <w:t xml:space="preserve"> group, adjust the facility’s energy consumption by deducting the energy content of the secondary fuels and energy commodities produced from the operation of the facility from the total energy consumed by the operation of the facility.</w:t>
      </w:r>
    </w:p>
    <w:p w14:paraId="6CE51FBB" w14:textId="77777777" w:rsidR="00A57A5C" w:rsidRPr="00FF338C" w:rsidRDefault="00A57A5C" w:rsidP="00B3330E">
      <w:pPr>
        <w:pStyle w:val="CERnumbering"/>
        <w:numPr>
          <w:ilvl w:val="0"/>
          <w:numId w:val="8"/>
        </w:numPr>
      </w:pPr>
      <w:r w:rsidRPr="00FE31CC">
        <w:t>Step 2:</w:t>
      </w:r>
      <w:r w:rsidRPr="00FF338C">
        <w:t xml:space="preserve"> Add together each result in step 1.</w:t>
      </w:r>
    </w:p>
    <w:p w14:paraId="2CFF3AAD" w14:textId="77777777" w:rsidR="00A57A5C" w:rsidRPr="00FF338C" w:rsidRDefault="00A57A5C" w:rsidP="00A57A5C">
      <w:pPr>
        <w:ind w:firstLine="360"/>
        <w:rPr>
          <w:color w:val="auto"/>
        </w:rPr>
      </w:pPr>
      <w:r w:rsidRPr="00FF338C">
        <w:rPr>
          <w:color w:val="auto"/>
        </w:rPr>
        <w:t>This can be represented by the following equation:</w:t>
      </w:r>
    </w:p>
    <w:p w14:paraId="567ACE7F" w14:textId="77777777" w:rsidR="00A57A5C" w:rsidRPr="00FF338C" w:rsidRDefault="00A57A5C" w:rsidP="00A57A5C">
      <m:oMathPara>
        <m:oMathParaPr>
          <m:jc m:val="center"/>
        </m:oMathParaPr>
        <m:oMath>
          <m:r>
            <w:rPr>
              <w:rFonts w:ascii="Cambria Math" w:hAnsi="Cambria Math"/>
            </w:rPr>
            <m:t>Net Energy Consumption=</m:t>
          </m:r>
          <m:nary>
            <m:naryPr>
              <m:chr m:val="∑"/>
              <m:subHide m:val="1"/>
              <m:supHide m:val="1"/>
              <m:ctrlPr>
                <w:rPr>
                  <w:rFonts w:ascii="Cambria Math" w:hAnsi="Cambria Math"/>
                  <w:i/>
                </w:rPr>
              </m:ctrlPr>
            </m:naryPr>
            <m:sub/>
            <m:sup/>
            <m:e>
              <m:r>
                <w:rPr>
                  <w:rFonts w:ascii="Cambria Math" w:hAnsi="Cambria Math"/>
                </w:rPr>
                <m:t>Energy Consumption</m:t>
              </m:r>
            </m:e>
          </m:nary>
          <m:r>
            <w:rPr>
              <w:rFonts w:ascii="Cambria Math" w:hAnsi="Cambria Math"/>
            </w:rPr>
            <m:t xml:space="preserve">- </m:t>
          </m:r>
          <m:nary>
            <m:naryPr>
              <m:chr m:val="∑"/>
              <m:subHide m:val="1"/>
              <m:supHide m:val="1"/>
              <m:ctrlPr>
                <w:rPr>
                  <w:rFonts w:ascii="Cambria Math" w:hAnsi="Cambria Math"/>
                  <w:i/>
                </w:rPr>
              </m:ctrlPr>
            </m:naryPr>
            <m:sub/>
            <m:sup/>
            <m:e>
              <m:r>
                <w:rPr>
                  <w:rFonts w:ascii="Cambria Math" w:hAnsi="Cambria Math"/>
                </w:rPr>
                <m:t>Secondary Energy Production</m:t>
              </m:r>
            </m:e>
          </m:nary>
        </m:oMath>
      </m:oMathPara>
    </w:p>
    <w:p w14:paraId="4050BB33" w14:textId="77777777" w:rsidR="00A57A5C" w:rsidRPr="00FF338C" w:rsidRDefault="00A57A5C" w:rsidP="00A57A5C">
      <w:r w:rsidRPr="00FF338C">
        <w:t>Given EERS automates this calculation, the allocation of individual energy commodities as either primary or secondary is critical to ensuring the net energy consumption is appropriately calculated.</w:t>
      </w:r>
    </w:p>
    <w:p w14:paraId="742A5DEE" w14:textId="77777777" w:rsidR="00A57A5C" w:rsidRPr="00FF338C" w:rsidRDefault="00A57A5C" w:rsidP="00A57A5C"/>
    <w:p w14:paraId="18625B77" w14:textId="77777777" w:rsidR="00A57A5C" w:rsidRPr="00FF338C" w:rsidRDefault="00A57A5C" w:rsidP="00A57A5C">
      <w:pPr>
        <w:spacing w:after="0"/>
      </w:pPr>
      <w:r w:rsidRPr="00FF338C">
        <w:br w:type="page"/>
      </w:r>
    </w:p>
    <w:p w14:paraId="105B9C35" w14:textId="77777777" w:rsidR="00A57A5C" w:rsidRPr="00FF338C" w:rsidRDefault="00A57A5C" w:rsidP="00B3330E">
      <w:pPr>
        <w:pStyle w:val="Heading1"/>
        <w:numPr>
          <w:ilvl w:val="0"/>
          <w:numId w:val="3"/>
        </w:numPr>
        <w:rPr>
          <w:lang w:val="en-GB"/>
        </w:rPr>
      </w:pPr>
      <w:bookmarkStart w:id="444" w:name="_Measurement_requirements"/>
      <w:bookmarkStart w:id="445" w:name="_Ref511816645"/>
      <w:bookmarkStart w:id="446" w:name="_Toc512010422"/>
      <w:bookmarkStart w:id="447" w:name="_Toc512339621"/>
      <w:bookmarkStart w:id="448" w:name="_Toc106705774"/>
      <w:bookmarkStart w:id="449" w:name="_Toc107922596"/>
      <w:bookmarkEnd w:id="444"/>
      <w:r w:rsidRPr="00FF338C">
        <w:rPr>
          <w:lang w:val="en-GB"/>
        </w:rPr>
        <w:t>Measurement requirements</w:t>
      </w:r>
      <w:bookmarkEnd w:id="445"/>
      <w:bookmarkEnd w:id="446"/>
      <w:bookmarkEnd w:id="447"/>
      <w:bookmarkEnd w:id="448"/>
      <w:bookmarkEnd w:id="449"/>
    </w:p>
    <w:p w14:paraId="258444AB" w14:textId="77777777" w:rsidR="00A57A5C" w:rsidRPr="00FF338C" w:rsidRDefault="00A57A5C" w:rsidP="00A57A5C">
      <w:bookmarkStart w:id="450" w:name="_Ref511374324"/>
      <w:bookmarkStart w:id="451" w:name="_Toc511376921"/>
      <w:r w:rsidRPr="00FF338C">
        <w:t xml:space="preserve">To estimate emissions and report energy data accurately and completely, appropriate measurements of activity or source data </w:t>
      </w:r>
      <w:r w:rsidRPr="00FF338C" w:rsidDel="001140EE">
        <w:t xml:space="preserve">should </w:t>
      </w:r>
      <w:r w:rsidRPr="00FF338C">
        <w:t>be performed. Along with the quantity of electricity produced, measurement of the quantity of fuel combusted for generation comprises the key activity data to measure for NGER purposes.</w:t>
      </w:r>
    </w:p>
    <w:p w14:paraId="5E4B1C6D" w14:textId="77777777" w:rsidR="00A57A5C" w:rsidRPr="00FF338C" w:rsidRDefault="00A57A5C" w:rsidP="00A57A5C">
      <w:r w:rsidRPr="00FF338C">
        <w:t xml:space="preserve">This </w:t>
      </w:r>
      <w:r>
        <w:t>chapter</w:t>
      </w:r>
      <w:r w:rsidRPr="00FF338C">
        <w:t xml:space="preserve"> provides a summary of the measurement requirements.</w:t>
      </w:r>
    </w:p>
    <w:p w14:paraId="028E664E" w14:textId="77777777" w:rsidR="00A57A5C" w:rsidRPr="00FF338C" w:rsidRDefault="00A57A5C" w:rsidP="00DB4B56">
      <w:pPr>
        <w:pStyle w:val="Heading2"/>
        <w:numPr>
          <w:ilvl w:val="1"/>
          <w:numId w:val="3"/>
        </w:numPr>
        <w:ind w:left="426" w:hanging="426"/>
      </w:pPr>
      <w:bookmarkStart w:id="452" w:name="_Measurement_Criteria"/>
      <w:bookmarkStart w:id="453" w:name="_Toc512010423"/>
      <w:bookmarkStart w:id="454" w:name="_Toc512339622"/>
      <w:bookmarkStart w:id="455" w:name="_Toc106705775"/>
      <w:bookmarkStart w:id="456" w:name="_Toc107922597"/>
      <w:bookmarkEnd w:id="450"/>
      <w:bookmarkEnd w:id="451"/>
      <w:bookmarkEnd w:id="452"/>
      <w:r w:rsidRPr="00FF338C">
        <w:t>Measurement Criteria</w:t>
      </w:r>
      <w:bookmarkEnd w:id="453"/>
      <w:bookmarkEnd w:id="454"/>
      <w:bookmarkEnd w:id="455"/>
      <w:bookmarkEnd w:id="456"/>
    </w:p>
    <w:p w14:paraId="2BF7769C" w14:textId="77777777" w:rsidR="00A57A5C" w:rsidRPr="00FF338C" w:rsidRDefault="00A57A5C" w:rsidP="00A57A5C">
      <w:r w:rsidRPr="00FF338C">
        <w:t xml:space="preserve">The measurement requirements for measuring quantities of solid, gaseous, and liquid fuels are set out in Divisions 2.2.5, 2.3.6 and 2.4.6 respectively of the </w:t>
      </w:r>
      <w:r>
        <w:t>NGER Measurement Determination</w:t>
      </w:r>
      <w:r w:rsidRPr="00FF338C">
        <w:t>.</w:t>
      </w:r>
    </w:p>
    <w:p w14:paraId="4F8E01F6" w14:textId="77777777" w:rsidR="00A57A5C" w:rsidRPr="00FF338C" w:rsidRDefault="00A57A5C" w:rsidP="00A57A5C">
      <w:r w:rsidRPr="00FF338C">
        <w:fldChar w:fldCharType="begin"/>
      </w:r>
      <w:r w:rsidRPr="00FF338C">
        <w:instrText xml:space="preserve"> REF _Ref512246506 \h </w:instrText>
      </w:r>
      <w:r w:rsidRPr="00FF338C">
        <w:fldChar w:fldCharType="separate"/>
      </w:r>
      <w:r w:rsidRPr="00FF338C">
        <w:t xml:space="preserve">Table </w:t>
      </w:r>
      <w:r>
        <w:rPr>
          <w:noProof/>
        </w:rPr>
        <w:t>8</w:t>
      </w:r>
      <w:r w:rsidRPr="00FF338C">
        <w:fldChar w:fldCharType="end"/>
      </w:r>
      <w:r w:rsidRPr="00FF338C">
        <w:t xml:space="preserve"> provides the general measurement requirements available in NGER for measurement of fuel quantities.</w:t>
      </w:r>
    </w:p>
    <w:p w14:paraId="15EE0932" w14:textId="77777777" w:rsidR="00A57A5C" w:rsidRPr="00FF338C" w:rsidRDefault="00A57A5C" w:rsidP="00A57A5C">
      <w:pPr>
        <w:pStyle w:val="Caption"/>
        <w:keepNext/>
      </w:pPr>
      <w:bookmarkStart w:id="457" w:name="_Ref512246506"/>
      <w:bookmarkStart w:id="458" w:name="_Ref511730132"/>
      <w:r w:rsidRPr="00FF338C">
        <w:t xml:space="preserve">Table </w:t>
      </w:r>
      <w:r>
        <w:fldChar w:fldCharType="begin"/>
      </w:r>
      <w:r>
        <w:instrText>SEQ Table \* ARABIC</w:instrText>
      </w:r>
      <w:r>
        <w:fldChar w:fldCharType="separate"/>
      </w:r>
      <w:r>
        <w:rPr>
          <w:noProof/>
        </w:rPr>
        <w:t>8</w:t>
      </w:r>
      <w:r>
        <w:fldChar w:fldCharType="end"/>
      </w:r>
      <w:bookmarkEnd w:id="457"/>
      <w:r w:rsidRPr="00FF338C">
        <w:t xml:space="preserve"> – Measurement requirements generally available in NGER</w:t>
      </w:r>
      <w:bookmarkEnd w:id="458"/>
    </w:p>
    <w:tbl>
      <w:tblPr>
        <w:tblStyle w:val="CERTable"/>
        <w:tblW w:w="9730" w:type="dxa"/>
        <w:tblLook w:val="04A0" w:firstRow="1" w:lastRow="0" w:firstColumn="1" w:lastColumn="0" w:noHBand="0" w:noVBand="1"/>
      </w:tblPr>
      <w:tblGrid>
        <w:gridCol w:w="2714"/>
        <w:gridCol w:w="2384"/>
        <w:gridCol w:w="2410"/>
        <w:gridCol w:w="2222"/>
      </w:tblGrid>
      <w:tr w:rsidR="00A57A5C" w:rsidRPr="00C64711" w14:paraId="1FE92AD4" w14:textId="77777777" w:rsidTr="00D54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4" w:type="dxa"/>
          </w:tcPr>
          <w:p w14:paraId="67E379EF" w14:textId="77777777" w:rsidR="00A57A5C" w:rsidRPr="00872A70" w:rsidRDefault="00A57A5C" w:rsidP="00D549C7">
            <w:pPr>
              <w:pStyle w:val="Body"/>
              <w:ind w:left="0"/>
              <w:rPr>
                <w:rFonts w:asciiTheme="minorHAnsi" w:hAnsiTheme="minorHAnsi"/>
                <w:sz w:val="22"/>
                <w:szCs w:val="22"/>
              </w:rPr>
            </w:pPr>
            <w:r w:rsidRPr="00872A70">
              <w:rPr>
                <w:rFonts w:asciiTheme="minorHAnsi" w:hAnsiTheme="minorHAnsi"/>
                <w:sz w:val="22"/>
                <w:szCs w:val="22"/>
              </w:rPr>
              <w:t>Criterion AAA</w:t>
            </w:r>
          </w:p>
        </w:tc>
        <w:tc>
          <w:tcPr>
            <w:tcW w:w="2384" w:type="dxa"/>
          </w:tcPr>
          <w:p w14:paraId="1CC9BD90" w14:textId="77777777" w:rsidR="00A57A5C" w:rsidRPr="00872A70" w:rsidRDefault="00A57A5C"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Criterion AA</w:t>
            </w:r>
          </w:p>
        </w:tc>
        <w:tc>
          <w:tcPr>
            <w:tcW w:w="2410" w:type="dxa"/>
          </w:tcPr>
          <w:p w14:paraId="0279FAD5" w14:textId="77777777" w:rsidR="00A57A5C" w:rsidRPr="00872A70" w:rsidRDefault="00A57A5C"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Criterion A</w:t>
            </w:r>
          </w:p>
        </w:tc>
        <w:tc>
          <w:tcPr>
            <w:tcW w:w="2222" w:type="dxa"/>
          </w:tcPr>
          <w:p w14:paraId="1C9875BA" w14:textId="77777777" w:rsidR="00A57A5C" w:rsidRPr="00872A70" w:rsidRDefault="00A57A5C"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Criterion BBB</w:t>
            </w:r>
          </w:p>
        </w:tc>
      </w:tr>
      <w:tr w:rsidR="00A57A5C" w:rsidRPr="00C64711" w14:paraId="2B560DF5" w14:textId="77777777" w:rsidTr="00D54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4" w:type="dxa"/>
          </w:tcPr>
          <w:p w14:paraId="4F1CD1B8" w14:textId="77777777" w:rsidR="00A57A5C" w:rsidRPr="00F61C7D" w:rsidRDefault="00A57A5C" w:rsidP="00D549C7">
            <w:pPr>
              <w:pStyle w:val="Body"/>
              <w:ind w:left="0"/>
              <w:rPr>
                <w:rFonts w:asciiTheme="minorHAnsi" w:hAnsiTheme="minorHAnsi"/>
                <w:b w:val="0"/>
                <w:bCs/>
                <w:sz w:val="22"/>
                <w:szCs w:val="22"/>
              </w:rPr>
            </w:pPr>
            <w:r w:rsidRPr="004B02E0">
              <w:rPr>
                <w:rFonts w:asciiTheme="minorHAnsi" w:hAnsiTheme="minorHAnsi"/>
                <w:sz w:val="22"/>
                <w:szCs w:val="22"/>
              </w:rPr>
              <w:t>Quantity measured at point of sale</w:t>
            </w:r>
            <w:r w:rsidRPr="006046BA">
              <w:rPr>
                <w:rFonts w:asciiTheme="minorHAnsi" w:hAnsiTheme="minorHAnsi"/>
                <w:sz w:val="22"/>
                <w:szCs w:val="22"/>
              </w:rPr>
              <w:t xml:space="preserve"> or co</w:t>
            </w:r>
            <w:r w:rsidRPr="00533405">
              <w:rPr>
                <w:rFonts w:asciiTheme="minorHAnsi" w:hAnsiTheme="minorHAnsi"/>
                <w:sz w:val="22"/>
                <w:szCs w:val="22"/>
              </w:rPr>
              <w:t>nsumption</w:t>
            </w:r>
          </w:p>
        </w:tc>
        <w:tc>
          <w:tcPr>
            <w:tcW w:w="2384" w:type="dxa"/>
          </w:tcPr>
          <w:p w14:paraId="1FA65D5B" w14:textId="77777777" w:rsidR="00A57A5C" w:rsidRPr="00872A70"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Quantity verified by stockpile change estimation and invoices</w:t>
            </w:r>
          </w:p>
        </w:tc>
        <w:tc>
          <w:tcPr>
            <w:tcW w:w="2410" w:type="dxa"/>
          </w:tcPr>
          <w:p w14:paraId="4C5839E9" w14:textId="77777777" w:rsidR="00A57A5C" w:rsidRPr="00872A70"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Quantity verified by invoices</w:t>
            </w:r>
          </w:p>
        </w:tc>
        <w:tc>
          <w:tcPr>
            <w:tcW w:w="2222" w:type="dxa"/>
          </w:tcPr>
          <w:p w14:paraId="6FB26EEB" w14:textId="77777777" w:rsidR="00A57A5C" w:rsidRPr="00872A70"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Quantity measured or estimated in line with industry practice</w:t>
            </w:r>
          </w:p>
        </w:tc>
      </w:tr>
      <w:tr w:rsidR="00A57A5C" w:rsidRPr="00C64711" w14:paraId="4094A718" w14:textId="77777777" w:rsidTr="00D05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4" w:type="dxa"/>
            <w:tcBorders>
              <w:bottom w:val="nil"/>
            </w:tcBorders>
          </w:tcPr>
          <w:p w14:paraId="1F6228BA" w14:textId="77777777" w:rsidR="00A57A5C" w:rsidRPr="00F61C7D" w:rsidRDefault="00A57A5C" w:rsidP="00D549C7">
            <w:pPr>
              <w:pStyle w:val="Body"/>
              <w:ind w:left="0"/>
              <w:rPr>
                <w:rFonts w:asciiTheme="minorHAnsi" w:hAnsiTheme="minorHAnsi"/>
                <w:b w:val="0"/>
                <w:bCs/>
                <w:sz w:val="22"/>
                <w:szCs w:val="22"/>
              </w:rPr>
            </w:pPr>
            <w:r w:rsidRPr="004B02E0">
              <w:rPr>
                <w:rFonts w:asciiTheme="minorHAnsi" w:hAnsiTheme="minorHAnsi"/>
                <w:sz w:val="22"/>
                <w:szCs w:val="22"/>
              </w:rPr>
              <w:t>For example,</w:t>
            </w:r>
            <w:r w:rsidRPr="006046BA">
              <w:rPr>
                <w:rFonts w:asciiTheme="minorHAnsi" w:hAnsiTheme="minorHAnsi"/>
                <w:sz w:val="22"/>
                <w:szCs w:val="22"/>
              </w:rPr>
              <w:t xml:space="preserve"> mass measurement of solid fuel quantities at point of combustion using equ</w:t>
            </w:r>
            <w:r w:rsidRPr="00533405">
              <w:rPr>
                <w:rFonts w:asciiTheme="minorHAnsi" w:hAnsiTheme="minorHAnsi"/>
                <w:sz w:val="22"/>
                <w:szCs w:val="22"/>
              </w:rPr>
              <w:t>ipment calibrated to the measurement requirement</w:t>
            </w:r>
          </w:p>
        </w:tc>
        <w:tc>
          <w:tcPr>
            <w:tcW w:w="2384" w:type="dxa"/>
            <w:tcBorders>
              <w:bottom w:val="nil"/>
            </w:tcBorders>
          </w:tcPr>
          <w:p w14:paraId="13C12E4E" w14:textId="77777777" w:rsidR="00A57A5C" w:rsidRPr="00872A70"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For example, estimating the change in the quantity of the stockpile of gaseous fuel as evidenced by invoices from a fuel vendor</w:t>
            </w:r>
          </w:p>
        </w:tc>
        <w:tc>
          <w:tcPr>
            <w:tcW w:w="2410" w:type="dxa"/>
            <w:tcBorders>
              <w:bottom w:val="nil"/>
            </w:tcBorders>
          </w:tcPr>
          <w:p w14:paraId="751A2BCB" w14:textId="77777777" w:rsidR="00A57A5C" w:rsidRPr="00872A70"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For example, using vendor invoices as evidence of quantity of gaseous fuel purchased</w:t>
            </w:r>
          </w:p>
        </w:tc>
        <w:tc>
          <w:tcPr>
            <w:tcW w:w="2222" w:type="dxa"/>
            <w:tcBorders>
              <w:bottom w:val="nil"/>
            </w:tcBorders>
          </w:tcPr>
          <w:p w14:paraId="080EF333" w14:textId="77777777" w:rsidR="00A57A5C" w:rsidRPr="00872A70"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For example, calculation based on metering which does not meet AAA requirements</w:t>
            </w:r>
          </w:p>
        </w:tc>
      </w:tr>
      <w:tr w:rsidR="00A57A5C" w:rsidRPr="00C64711" w14:paraId="6A1E615D" w14:textId="77777777" w:rsidTr="00D05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4" w:type="dxa"/>
            <w:tcBorders>
              <w:bottom w:val="single" w:sz="4" w:space="0" w:color="FCBA5C" w:themeColor="accent2"/>
            </w:tcBorders>
          </w:tcPr>
          <w:p w14:paraId="21DB2D12" w14:textId="77777777" w:rsidR="00A57A5C" w:rsidRPr="00F61C7D" w:rsidRDefault="00A57A5C" w:rsidP="00D549C7">
            <w:pPr>
              <w:pStyle w:val="Body"/>
              <w:ind w:left="0"/>
              <w:rPr>
                <w:rFonts w:asciiTheme="minorHAnsi" w:hAnsiTheme="minorHAnsi"/>
                <w:b w:val="0"/>
                <w:bCs/>
                <w:sz w:val="22"/>
                <w:szCs w:val="22"/>
              </w:rPr>
            </w:pPr>
            <w:r w:rsidRPr="004B02E0">
              <w:rPr>
                <w:rFonts w:asciiTheme="minorHAnsi" w:hAnsiTheme="minorHAnsi"/>
                <w:sz w:val="22"/>
                <w:szCs w:val="22"/>
              </w:rPr>
              <w:t>Available where acquisition of fuel may or may not involve a commercial transaction</w:t>
            </w:r>
          </w:p>
        </w:tc>
        <w:tc>
          <w:tcPr>
            <w:tcW w:w="4794" w:type="dxa"/>
            <w:gridSpan w:val="2"/>
            <w:tcBorders>
              <w:bottom w:val="single" w:sz="4" w:space="0" w:color="FCBA5C" w:themeColor="accent2"/>
            </w:tcBorders>
          </w:tcPr>
          <w:p w14:paraId="705CCDD9" w14:textId="77777777" w:rsidR="00A57A5C" w:rsidRPr="00872A70"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Only available where acquisition of fuel involves a commercial transaction</w:t>
            </w:r>
          </w:p>
        </w:tc>
        <w:tc>
          <w:tcPr>
            <w:tcW w:w="2222" w:type="dxa"/>
            <w:tcBorders>
              <w:bottom w:val="single" w:sz="4" w:space="0" w:color="FCBA5C" w:themeColor="accent2"/>
            </w:tcBorders>
          </w:tcPr>
          <w:p w14:paraId="3351F485" w14:textId="77777777" w:rsidR="00A57A5C" w:rsidRPr="00872A70"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Not available where acquisition of fuel involves a commercial transaction</w:t>
            </w:r>
          </w:p>
        </w:tc>
      </w:tr>
    </w:tbl>
    <w:p w14:paraId="2A8A1ED4" w14:textId="77777777" w:rsidR="00A57A5C" w:rsidRPr="00FF338C" w:rsidRDefault="00A57A5C" w:rsidP="00A57A5C">
      <w:pPr>
        <w:rPr>
          <w:color w:val="auto"/>
        </w:rPr>
      </w:pPr>
    </w:p>
    <w:p w14:paraId="0FCD7007" w14:textId="77777777" w:rsidR="00A57A5C" w:rsidRPr="00FF338C" w:rsidRDefault="00A57A5C" w:rsidP="00A57A5C">
      <w:r w:rsidRPr="00FF338C">
        <w:t>The availability of individual measurement criteria for a given source is dependent on:</w:t>
      </w:r>
    </w:p>
    <w:p w14:paraId="574F7B2F" w14:textId="77777777" w:rsidR="00A57A5C" w:rsidRPr="00FF338C" w:rsidRDefault="00A57A5C" w:rsidP="00B3330E">
      <w:pPr>
        <w:pStyle w:val="CERnumbering"/>
        <w:numPr>
          <w:ilvl w:val="0"/>
          <w:numId w:val="8"/>
        </w:numPr>
      </w:pPr>
      <w:r w:rsidRPr="00FF338C">
        <w:t>whether or not a commercial transaction took place for the fuel</w:t>
      </w:r>
    </w:p>
    <w:p w14:paraId="1F358E39" w14:textId="77777777" w:rsidR="00A57A5C" w:rsidRPr="00FF338C" w:rsidRDefault="00A57A5C" w:rsidP="00B3330E">
      <w:pPr>
        <w:pStyle w:val="CERnumbering"/>
        <w:numPr>
          <w:ilvl w:val="0"/>
          <w:numId w:val="8"/>
        </w:numPr>
      </w:pPr>
      <w:r w:rsidRPr="00FF338C">
        <w:t>the measurement criterion selected for that source in preceding reporting years.</w:t>
      </w:r>
    </w:p>
    <w:p w14:paraId="649DD382" w14:textId="77777777" w:rsidR="00A57A5C" w:rsidRPr="00FF338C" w:rsidRDefault="00A57A5C" w:rsidP="00A57A5C">
      <w:r w:rsidRPr="00FF338C">
        <w:t xml:space="preserve">In general, </w:t>
      </w:r>
      <w:r>
        <w:t>when</w:t>
      </w:r>
      <w:r w:rsidRPr="00FF338C">
        <w:t xml:space="preserve"> the fuel </w:t>
      </w:r>
      <w:r>
        <w:t>is</w:t>
      </w:r>
      <w:r w:rsidRPr="00FF338C">
        <w:t xml:space="preserve"> acquired via a commercial transaction, measurement criteria A, AA and AAA are permitted. This represent</w:t>
      </w:r>
      <w:r>
        <w:t>s</w:t>
      </w:r>
      <w:r w:rsidRPr="00FF338C">
        <w:t xml:space="preserve"> </w:t>
      </w:r>
      <w:r>
        <w:t xml:space="preserve">most </w:t>
      </w:r>
      <w:r w:rsidRPr="00FF338C">
        <w:t xml:space="preserve">situations in the electricity industry for fuels combusted for generation purposes. </w:t>
      </w:r>
    </w:p>
    <w:p w14:paraId="15C801EA" w14:textId="77777777" w:rsidR="00A57A5C" w:rsidRPr="00FF338C" w:rsidRDefault="00A57A5C" w:rsidP="00A57A5C">
      <w:r>
        <w:t xml:space="preserve">Note: </w:t>
      </w:r>
      <w:r w:rsidRPr="00FF338C">
        <w:t xml:space="preserve">Once criteria AA or AAA (measured at point of consumption) have been used for a fuel acquired by commercial transaction for a given reporting year, the same criteria must be used in subsequent years. </w:t>
      </w:r>
    </w:p>
    <w:p w14:paraId="34FE1FC3" w14:textId="77777777" w:rsidR="00A57A5C" w:rsidRPr="00FF338C" w:rsidRDefault="00A57A5C" w:rsidP="00A57A5C">
      <w:r>
        <w:t>I</w:t>
      </w:r>
      <w:r w:rsidRPr="00FF338C">
        <w:t xml:space="preserve">ndustry practice required for BBB is not defined in the NGER legislation. Industry practice </w:t>
      </w:r>
      <w:r>
        <w:t>is taken to mean</w:t>
      </w:r>
      <w:r w:rsidRPr="00FF338C">
        <w:t xml:space="preserve"> </w:t>
      </w:r>
      <w:r>
        <w:t>that which</w:t>
      </w:r>
      <w:r w:rsidRPr="00FF338C">
        <w:t xml:space="preserve"> would reasonably be expected to occur at a competent, similar facility type of a similar size and age. The following may be used as a guide when establishing the standards to be used for making estimations using industry practice:</w:t>
      </w:r>
    </w:p>
    <w:p w14:paraId="141546B2" w14:textId="77777777" w:rsidR="00A57A5C" w:rsidRPr="00FF338C" w:rsidRDefault="00A57A5C" w:rsidP="00B3330E">
      <w:pPr>
        <w:pStyle w:val="CERnumbering"/>
        <w:numPr>
          <w:ilvl w:val="0"/>
          <w:numId w:val="8"/>
        </w:numPr>
      </w:pPr>
      <w:r>
        <w:t>E</w:t>
      </w:r>
      <w:r w:rsidRPr="00FF338C">
        <w:t>quipment used is maintained in good working order.</w:t>
      </w:r>
    </w:p>
    <w:p w14:paraId="0F45DFC0" w14:textId="77777777" w:rsidR="00A57A5C" w:rsidRPr="00FF338C" w:rsidRDefault="00A57A5C" w:rsidP="00B3330E">
      <w:pPr>
        <w:pStyle w:val="CERnumbering"/>
        <w:numPr>
          <w:ilvl w:val="0"/>
          <w:numId w:val="8"/>
        </w:numPr>
      </w:pPr>
      <w:r>
        <w:t>E</w:t>
      </w:r>
      <w:r w:rsidRPr="00FF338C">
        <w:t>quipment used is calibrated in accordance with and at the frequency stipulated by the manufacturer.</w:t>
      </w:r>
    </w:p>
    <w:p w14:paraId="06A58E5D" w14:textId="77777777" w:rsidR="00A57A5C" w:rsidRPr="00FF338C" w:rsidRDefault="00A57A5C" w:rsidP="00B3330E">
      <w:pPr>
        <w:pStyle w:val="CERnumbering"/>
        <w:numPr>
          <w:ilvl w:val="0"/>
          <w:numId w:val="8"/>
        </w:numPr>
      </w:pPr>
      <w:r>
        <w:t>F</w:t>
      </w:r>
      <w:r w:rsidRPr="00FF338C">
        <w:t>aulty equipment is replaced.</w:t>
      </w:r>
    </w:p>
    <w:p w14:paraId="18532F73" w14:textId="77777777" w:rsidR="00A57A5C" w:rsidRPr="00FF338C" w:rsidRDefault="00A57A5C" w:rsidP="00B3330E">
      <w:pPr>
        <w:pStyle w:val="CERnumbering"/>
        <w:numPr>
          <w:ilvl w:val="0"/>
          <w:numId w:val="8"/>
        </w:numPr>
      </w:pPr>
      <w:r>
        <w:t>A</w:t>
      </w:r>
      <w:r w:rsidRPr="00FF338C">
        <w:t>ppropriate corrections for temperature and pressure are made where required, and assumptions, inherent or applied to the measurement equipment, are clarified</w:t>
      </w:r>
      <w:r>
        <w:t>. F</w:t>
      </w:r>
      <w:r w:rsidRPr="00FF338C">
        <w:t>or example, set densities or gas composition are updated at a frequency that ensures that these assumptions are representative of the commodity being measured during the reporting period</w:t>
      </w:r>
      <w:r>
        <w:t>.</w:t>
      </w:r>
    </w:p>
    <w:p w14:paraId="4A5001F4" w14:textId="77777777" w:rsidR="00A57A5C" w:rsidRPr="00FF338C" w:rsidRDefault="00A57A5C" w:rsidP="00B3330E">
      <w:pPr>
        <w:pStyle w:val="CERnumbering"/>
        <w:numPr>
          <w:ilvl w:val="0"/>
          <w:numId w:val="8"/>
        </w:numPr>
      </w:pPr>
      <w:r w:rsidRPr="00FF338C">
        <w:t xml:space="preserve">Reporters </w:t>
      </w:r>
      <w:r w:rsidRPr="00FF338C" w:rsidDel="00137359">
        <w:t xml:space="preserve">should </w:t>
      </w:r>
      <w:r w:rsidRPr="00FF338C">
        <w:t>document their assessment of how their application of criterion BBB meets industry practice in the BoP. When applying criterion BBB, reporters are required to consider the principles in section 1.13 of the NGER Measurement Determination</w:t>
      </w:r>
      <w:r>
        <w:t>.</w:t>
      </w:r>
    </w:p>
    <w:p w14:paraId="7A67C9CD" w14:textId="77777777" w:rsidR="00A57A5C" w:rsidRPr="00FF338C" w:rsidRDefault="00A57A5C" w:rsidP="00A57A5C">
      <w:pPr>
        <w:pStyle w:val="CERnumbering"/>
        <w:ind w:left="360" w:hanging="360"/>
      </w:pPr>
      <w:r>
        <w:t>See t</w:t>
      </w:r>
      <w:r w:rsidRPr="00FF338C">
        <w:t xml:space="preserve">he </w:t>
      </w:r>
      <w:hyperlink r:id="rId54" w:history="1">
        <w:r w:rsidRPr="00C84028">
          <w:rPr>
            <w:rStyle w:val="Hyperlink"/>
            <w:rFonts w:asciiTheme="minorHAnsi" w:hAnsiTheme="minorHAnsi"/>
          </w:rPr>
          <w:t>Measurement Criteria Guideline</w:t>
        </w:r>
      </w:hyperlink>
      <w:r w:rsidRPr="00FF338C">
        <w:rPr>
          <w:rStyle w:val="FootnoteReference"/>
        </w:rPr>
        <w:footnoteReference w:id="24"/>
      </w:r>
      <w:r w:rsidRPr="00FF338C">
        <w:t xml:space="preserve"> for </w:t>
      </w:r>
      <w:r>
        <w:t>more information</w:t>
      </w:r>
      <w:r w:rsidRPr="00FF338C">
        <w:t xml:space="preserve">. </w:t>
      </w:r>
    </w:p>
    <w:p w14:paraId="7AB5A758" w14:textId="77777777" w:rsidR="00A57A5C" w:rsidRPr="00FF338C" w:rsidRDefault="00A57A5C" w:rsidP="00A57A5C">
      <w:pPr>
        <w:pStyle w:val="Heading4"/>
      </w:pPr>
      <w:bookmarkStart w:id="459" w:name="_Toc526867734"/>
      <w:bookmarkStart w:id="460" w:name="_Toc526869776"/>
      <w:bookmarkStart w:id="461" w:name="_Toc107922598"/>
      <w:r w:rsidRPr="00FF338C">
        <w:t>Specific notes regarding measurement criteria per fuel states</w:t>
      </w:r>
      <w:bookmarkEnd w:id="459"/>
      <w:bookmarkEnd w:id="460"/>
      <w:bookmarkEnd w:id="461"/>
    </w:p>
    <w:p w14:paraId="25E1CE23" w14:textId="77777777" w:rsidR="00A57A5C" w:rsidRPr="00FF338C" w:rsidRDefault="00A57A5C" w:rsidP="00A57A5C">
      <w:r w:rsidRPr="00FF338C">
        <w:t xml:space="preserve">The </w:t>
      </w:r>
      <w:r>
        <w:t>NGER Measurement Determination</w:t>
      </w:r>
      <w:r w:rsidRPr="00FF338C">
        <w:t xml:space="preserve"> also contain</w:t>
      </w:r>
      <w:r>
        <w:t xml:space="preserve">s </w:t>
      </w:r>
      <w:r w:rsidRPr="00FF338C">
        <w:t xml:space="preserve">requirements of individual measurement criteria specific to the physical phase of the fuel in question. </w:t>
      </w:r>
    </w:p>
    <w:p w14:paraId="62ADCF3B" w14:textId="6D5AF6B6" w:rsidR="00A57A5C" w:rsidRPr="00FF338C" w:rsidRDefault="00A57A5C" w:rsidP="00B3330E">
      <w:pPr>
        <w:pStyle w:val="CERnumbering"/>
        <w:numPr>
          <w:ilvl w:val="0"/>
          <w:numId w:val="8"/>
        </w:numPr>
      </w:pPr>
      <w:r w:rsidRPr="00FE31CC">
        <w:t>AA for solid fuels</w:t>
      </w:r>
      <w:r w:rsidRPr="00FF338C">
        <w:t xml:space="preserve"> </w:t>
      </w:r>
      <w:r>
        <w:t>–</w:t>
      </w:r>
      <w:r w:rsidRPr="00FF338C">
        <w:t xml:space="preserve"> </w:t>
      </w:r>
      <w:r>
        <w:t>where</w:t>
      </w:r>
      <w:r w:rsidRPr="00FF338C">
        <w:t xml:space="preserve"> measurement criterion AA </w:t>
      </w:r>
      <w:r>
        <w:t>is</w:t>
      </w:r>
      <w:r w:rsidRPr="00FF338C">
        <w:t xml:space="preserve"> used in a given reporting year, the specific approach to estimating the change in stockpile quantity </w:t>
      </w:r>
      <w:r w:rsidRPr="00FF338C" w:rsidDel="00137359">
        <w:t xml:space="preserve">should </w:t>
      </w:r>
      <w:r w:rsidRPr="00FF338C">
        <w:t xml:space="preserve">remain consistent </w:t>
      </w:r>
      <w:r>
        <w:t xml:space="preserve">throughout the entire reporting period </w:t>
      </w:r>
      <w:r w:rsidRPr="00FF338C">
        <w:t xml:space="preserve">unless there is a significant change which would result in the approach becoming less accurate. </w:t>
      </w:r>
    </w:p>
    <w:p w14:paraId="40F40551" w14:textId="77777777" w:rsidR="00A57A5C" w:rsidRPr="00FF338C" w:rsidRDefault="00A57A5C" w:rsidP="00B3330E">
      <w:pPr>
        <w:pStyle w:val="CERnumbering"/>
        <w:numPr>
          <w:ilvl w:val="0"/>
          <w:numId w:val="8"/>
        </w:numPr>
      </w:pPr>
      <w:r w:rsidRPr="00FE31CC">
        <w:t>AAA for gaseous fuels</w:t>
      </w:r>
      <w:r w:rsidRPr="00FF338C">
        <w:t xml:space="preserve"> – sections 2.31– 2.37 of the </w:t>
      </w:r>
      <w:r>
        <w:t>NGER Measurement Determination</w:t>
      </w:r>
      <w:r w:rsidRPr="00FF338C">
        <w:t xml:space="preserve"> prescribe detailed requirements </w:t>
      </w:r>
      <w:r>
        <w:t xml:space="preserve">for </w:t>
      </w:r>
      <w:r w:rsidRPr="00FF338C">
        <w:t xml:space="preserve">the application of criterion AAA. This includes measuring gas on a dry basis, corrected to the standard conditions defined in subsection 2.32(7) of the </w:t>
      </w:r>
      <w:r>
        <w:t>NGER Measurement Determination</w:t>
      </w:r>
      <w:r w:rsidRPr="00FF338C">
        <w:t>.</w:t>
      </w:r>
    </w:p>
    <w:p w14:paraId="6C7CCA11" w14:textId="77777777" w:rsidR="00A57A5C" w:rsidRPr="00FF338C" w:rsidRDefault="00A57A5C" w:rsidP="00A57A5C">
      <w:pPr>
        <w:pStyle w:val="CERnumbering"/>
        <w:ind w:left="360"/>
      </w:pPr>
      <w:r w:rsidRPr="00FF338C">
        <w:t xml:space="preserve">Measurement equipment </w:t>
      </w:r>
      <w:r>
        <w:t>must</w:t>
      </w:r>
      <w:r w:rsidRPr="00FF338C">
        <w:t xml:space="preserve"> meet specific operational requirements depending on equipment type, the amount of gas combusted per day, and whether the gas is super-compressed.</w:t>
      </w:r>
    </w:p>
    <w:p w14:paraId="0A60DF9F" w14:textId="77777777" w:rsidR="00A57A5C" w:rsidRPr="00FF338C" w:rsidRDefault="00A57A5C" w:rsidP="00A57A5C">
      <w:pPr>
        <w:pStyle w:val="CERnumbering"/>
        <w:ind w:left="360"/>
      </w:pPr>
      <w:r w:rsidRPr="00FF338C">
        <w:t xml:space="preserve">Reporters </w:t>
      </w:r>
      <w:r w:rsidRPr="00FF338C" w:rsidDel="00B555D5">
        <w:t xml:space="preserve">should </w:t>
      </w:r>
      <w:r w:rsidRPr="00FF338C">
        <w:t xml:space="preserve">satisfy themselves that the measurement equipment used in preparation of NGER </w:t>
      </w:r>
      <w:r>
        <w:t>reports</w:t>
      </w:r>
      <w:r w:rsidRPr="00FF338C">
        <w:t xml:space="preserve"> has been operated and maintained in accordance with the requirements stipulated. In cases where reporters rely on measurements provided by vendors or by third parties, reporters </w:t>
      </w:r>
      <w:r w:rsidRPr="00FF338C" w:rsidDel="00B555D5">
        <w:t xml:space="preserve">should </w:t>
      </w:r>
      <w:r w:rsidRPr="00FF338C">
        <w:t xml:space="preserve">make sufficient enquiries of the providers of these measurements to enable them to have confidence that the requirements of the </w:t>
      </w:r>
      <w:r>
        <w:t>NGER Measurement Determination</w:t>
      </w:r>
      <w:r w:rsidRPr="00FF338C">
        <w:t xml:space="preserve"> are being complied with. </w:t>
      </w:r>
    </w:p>
    <w:p w14:paraId="416F8A8A" w14:textId="77777777" w:rsidR="00A57A5C" w:rsidRPr="00FF338C" w:rsidRDefault="00A57A5C" w:rsidP="00B3330E">
      <w:pPr>
        <w:pStyle w:val="CERnumbering"/>
        <w:numPr>
          <w:ilvl w:val="0"/>
          <w:numId w:val="8"/>
        </w:numPr>
      </w:pPr>
      <w:r w:rsidRPr="00FE31CC">
        <w:t>AAA for liquid fuels</w:t>
      </w:r>
      <w:r w:rsidRPr="00FF338C">
        <w:t xml:space="preserve"> – should criterion AAA be selected</w:t>
      </w:r>
      <w:r>
        <w:t>,</w:t>
      </w:r>
      <w:r w:rsidRPr="00FF338C">
        <w:t xml:space="preserve"> fuel volumes </w:t>
      </w:r>
      <w:r>
        <w:t>must</w:t>
      </w:r>
      <w:r w:rsidRPr="00FF338C">
        <w:t xml:space="preserve"> be corrected to standard temperature of 15°C. </w:t>
      </w:r>
    </w:p>
    <w:p w14:paraId="6F229750" w14:textId="77777777" w:rsidR="00A57A5C" w:rsidRPr="00FF338C" w:rsidRDefault="00A57A5C" w:rsidP="00DB4B56">
      <w:pPr>
        <w:pStyle w:val="Heading2"/>
        <w:numPr>
          <w:ilvl w:val="1"/>
          <w:numId w:val="3"/>
        </w:numPr>
        <w:ind w:left="426" w:hanging="426"/>
      </w:pPr>
      <w:bookmarkStart w:id="462" w:name="_Metering_considerations"/>
      <w:bookmarkStart w:id="463" w:name="_Ref511919117"/>
      <w:bookmarkStart w:id="464" w:name="_Toc512010424"/>
      <w:bookmarkStart w:id="465" w:name="_Toc512339623"/>
      <w:bookmarkStart w:id="466" w:name="_Toc106705776"/>
      <w:bookmarkStart w:id="467" w:name="_Toc107922599"/>
      <w:bookmarkEnd w:id="462"/>
      <w:r w:rsidRPr="00FF338C">
        <w:t>Metering considerations</w:t>
      </w:r>
      <w:bookmarkEnd w:id="463"/>
      <w:bookmarkEnd w:id="464"/>
      <w:bookmarkEnd w:id="465"/>
      <w:bookmarkEnd w:id="466"/>
      <w:bookmarkEnd w:id="467"/>
    </w:p>
    <w:p w14:paraId="1D13C755" w14:textId="77777777" w:rsidR="00A57A5C" w:rsidRPr="00FF338C" w:rsidRDefault="00A57A5C" w:rsidP="00A57A5C">
      <w:pPr>
        <w:rPr>
          <w:color w:val="auto"/>
        </w:rPr>
      </w:pPr>
      <w:r w:rsidRPr="00FF338C">
        <w:rPr>
          <w:color w:val="auto"/>
        </w:rPr>
        <w:fldChar w:fldCharType="begin"/>
      </w:r>
      <w:r w:rsidRPr="00FF338C">
        <w:rPr>
          <w:color w:val="auto"/>
        </w:rPr>
        <w:instrText xml:space="preserve"> REF _Ref509846040 \h </w:instrText>
      </w:r>
      <w:r w:rsidRPr="00FF338C">
        <w:rPr>
          <w:color w:val="auto"/>
        </w:rPr>
      </w:r>
      <w:r w:rsidRPr="00FF338C">
        <w:rPr>
          <w:color w:val="auto"/>
        </w:rPr>
        <w:fldChar w:fldCharType="separate"/>
      </w:r>
      <w:r w:rsidRPr="00FF338C">
        <w:t xml:space="preserve">Table </w:t>
      </w:r>
      <w:r>
        <w:rPr>
          <w:noProof/>
        </w:rPr>
        <w:t>9</w:t>
      </w:r>
      <w:r w:rsidRPr="00FF338C">
        <w:rPr>
          <w:color w:val="auto"/>
        </w:rPr>
        <w:fldChar w:fldCharType="end"/>
      </w:r>
      <w:r>
        <w:rPr>
          <w:color w:val="auto"/>
        </w:rPr>
        <w:t xml:space="preserve"> </w:t>
      </w:r>
      <w:r w:rsidRPr="00FF338C">
        <w:rPr>
          <w:color w:val="auto"/>
        </w:rPr>
        <w:t xml:space="preserve">shows summary metering and calibration requirements from the </w:t>
      </w:r>
      <w:r>
        <w:rPr>
          <w:color w:val="auto"/>
        </w:rPr>
        <w:t>NGER Measurement Determination</w:t>
      </w:r>
      <w:r w:rsidRPr="00FF338C">
        <w:rPr>
          <w:color w:val="auto"/>
        </w:rPr>
        <w:t xml:space="preserve">. </w:t>
      </w:r>
      <w:r>
        <w:rPr>
          <w:color w:val="auto"/>
        </w:rPr>
        <w:t xml:space="preserve">The </w:t>
      </w:r>
      <w:r w:rsidRPr="00FF338C">
        <w:rPr>
          <w:color w:val="auto"/>
        </w:rPr>
        <w:t xml:space="preserve">most accurate meters available (such as regulated meters at the network connection points) </w:t>
      </w:r>
      <w:r w:rsidRPr="00FF338C" w:rsidDel="00B24BDD">
        <w:rPr>
          <w:color w:val="auto"/>
        </w:rPr>
        <w:t xml:space="preserve">should </w:t>
      </w:r>
      <w:r w:rsidRPr="00FF338C">
        <w:rPr>
          <w:color w:val="auto"/>
        </w:rPr>
        <w:t>be used preferentially for NGER measurements and as a basis for any mass or energy balance calculations</w:t>
      </w:r>
      <w:r>
        <w:rPr>
          <w:color w:val="auto"/>
        </w:rPr>
        <w:t>, in accordance with the general principles listed in section 1.13 of the NGER Measurement Determination</w:t>
      </w:r>
      <w:r w:rsidRPr="00FF338C">
        <w:rPr>
          <w:color w:val="auto"/>
        </w:rPr>
        <w:t>.</w:t>
      </w:r>
    </w:p>
    <w:p w14:paraId="1AD2D7AE" w14:textId="77777777" w:rsidR="00A57A5C" w:rsidRPr="00FF338C" w:rsidRDefault="00A57A5C" w:rsidP="00A57A5C">
      <w:pPr>
        <w:pStyle w:val="Caption"/>
      </w:pPr>
      <w:bookmarkStart w:id="468" w:name="_Ref509846040"/>
      <w:bookmarkStart w:id="469" w:name="_Toc510796881"/>
      <w:r w:rsidRPr="00FF338C">
        <w:t xml:space="preserve">Table </w:t>
      </w:r>
      <w:r>
        <w:fldChar w:fldCharType="begin"/>
      </w:r>
      <w:r>
        <w:instrText>SEQ Table \* ARABIC</w:instrText>
      </w:r>
      <w:r>
        <w:fldChar w:fldCharType="separate"/>
      </w:r>
      <w:r>
        <w:rPr>
          <w:noProof/>
        </w:rPr>
        <w:t>9</w:t>
      </w:r>
      <w:r>
        <w:fldChar w:fldCharType="end"/>
      </w:r>
      <w:bookmarkEnd w:id="468"/>
      <w:r w:rsidRPr="00FF338C">
        <w:t xml:space="preserve"> – Metering and calibration requirements</w:t>
      </w:r>
      <w:bookmarkEnd w:id="469"/>
    </w:p>
    <w:tbl>
      <w:tblPr>
        <w:tblStyle w:val="CERTable"/>
        <w:tblW w:w="9634" w:type="dxa"/>
        <w:tblLook w:val="04A0" w:firstRow="1" w:lastRow="0" w:firstColumn="1" w:lastColumn="0" w:noHBand="0" w:noVBand="1"/>
      </w:tblPr>
      <w:tblGrid>
        <w:gridCol w:w="2689"/>
        <w:gridCol w:w="2693"/>
        <w:gridCol w:w="4252"/>
      </w:tblGrid>
      <w:tr w:rsidR="00A57A5C" w:rsidRPr="00C64711" w14:paraId="0D596907" w14:textId="77777777" w:rsidTr="00D549C7">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382" w:type="dxa"/>
            <w:gridSpan w:val="2"/>
          </w:tcPr>
          <w:p w14:paraId="25A8F2D9" w14:textId="77777777" w:rsidR="00A57A5C" w:rsidRPr="009C0388" w:rsidRDefault="00A57A5C" w:rsidP="00D549C7">
            <w:pPr>
              <w:pStyle w:val="Body"/>
              <w:ind w:left="0"/>
              <w:rPr>
                <w:rFonts w:asciiTheme="minorHAnsi" w:hAnsiTheme="minorHAnsi"/>
                <w:sz w:val="22"/>
                <w:szCs w:val="22"/>
              </w:rPr>
            </w:pPr>
            <w:r w:rsidRPr="009C0388">
              <w:rPr>
                <w:rFonts w:asciiTheme="minorHAnsi" w:hAnsiTheme="minorHAnsi"/>
                <w:sz w:val="22"/>
                <w:szCs w:val="22"/>
              </w:rPr>
              <w:t>Metering Purpose</w:t>
            </w:r>
          </w:p>
        </w:tc>
        <w:tc>
          <w:tcPr>
            <w:tcW w:w="4252" w:type="dxa"/>
          </w:tcPr>
          <w:p w14:paraId="5D7930FE" w14:textId="77777777" w:rsidR="00A57A5C" w:rsidRPr="009C0388" w:rsidRDefault="00A57A5C"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Requirements (references are to the NGER Measurement Determination where not stated)</w:t>
            </w:r>
          </w:p>
        </w:tc>
      </w:tr>
      <w:tr w:rsidR="00A57A5C" w:rsidRPr="00C64711" w14:paraId="2CF6C3D1" w14:textId="77777777" w:rsidTr="00D549C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3A1EE279" w14:textId="77777777" w:rsidR="00A57A5C" w:rsidRPr="00F61C7D" w:rsidRDefault="00A57A5C" w:rsidP="00D549C7">
            <w:pPr>
              <w:pStyle w:val="Body"/>
              <w:ind w:left="0"/>
              <w:rPr>
                <w:rFonts w:asciiTheme="minorHAnsi" w:hAnsiTheme="minorHAnsi"/>
                <w:b w:val="0"/>
                <w:bCs/>
                <w:sz w:val="22"/>
                <w:szCs w:val="22"/>
              </w:rPr>
            </w:pPr>
            <w:r w:rsidRPr="004B02E0">
              <w:rPr>
                <w:rFonts w:asciiTheme="minorHAnsi" w:hAnsiTheme="minorHAnsi"/>
                <w:sz w:val="22"/>
                <w:szCs w:val="22"/>
              </w:rPr>
              <w:t>Fuel Quantity</w:t>
            </w:r>
          </w:p>
          <w:p w14:paraId="4DE306E3" w14:textId="77777777" w:rsidR="00A57A5C" w:rsidRPr="009C0388" w:rsidRDefault="00A57A5C" w:rsidP="00D549C7">
            <w:pPr>
              <w:pStyle w:val="Body"/>
              <w:ind w:left="0"/>
              <w:rPr>
                <w:rFonts w:asciiTheme="minorHAnsi" w:hAnsiTheme="minorHAnsi"/>
                <w:sz w:val="22"/>
                <w:szCs w:val="22"/>
              </w:rPr>
            </w:pPr>
          </w:p>
        </w:tc>
        <w:tc>
          <w:tcPr>
            <w:tcW w:w="2693" w:type="dxa"/>
            <w:vMerge w:val="restart"/>
          </w:tcPr>
          <w:p w14:paraId="198BFE85" w14:textId="77777777" w:rsidR="00A57A5C" w:rsidRPr="009C0388"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Solid fuels (in tonnes)</w:t>
            </w:r>
          </w:p>
        </w:tc>
        <w:tc>
          <w:tcPr>
            <w:tcW w:w="4252" w:type="dxa"/>
          </w:tcPr>
          <w:p w14:paraId="2AAFF5CE" w14:textId="77777777" w:rsidR="00A57A5C"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E31CC">
              <w:rPr>
                <w:rFonts w:asciiTheme="minorHAnsi" w:hAnsiTheme="minorHAnsi"/>
                <w:sz w:val="22"/>
                <w:szCs w:val="22"/>
              </w:rPr>
              <w:t>Criterion AAA:</w:t>
            </w:r>
            <w:r w:rsidRPr="009C0388">
              <w:rPr>
                <w:rFonts w:asciiTheme="minorHAnsi" w:hAnsiTheme="minorHAnsi"/>
                <w:sz w:val="22"/>
                <w:szCs w:val="22"/>
              </w:rPr>
              <w:t xml:space="preserve"> </w:t>
            </w:r>
            <w:r>
              <w:rPr>
                <w:rFonts w:asciiTheme="minorHAnsi" w:hAnsiTheme="minorHAnsi"/>
                <w:sz w:val="22"/>
                <w:szCs w:val="22"/>
              </w:rPr>
              <w:t>m</w:t>
            </w:r>
            <w:r w:rsidRPr="009C0388">
              <w:rPr>
                <w:rFonts w:asciiTheme="minorHAnsi" w:hAnsiTheme="minorHAnsi"/>
                <w:sz w:val="22"/>
                <w:szCs w:val="22"/>
              </w:rPr>
              <w:t xml:space="preserve">etering equipment </w:t>
            </w:r>
            <w:r>
              <w:rPr>
                <w:rFonts w:asciiTheme="minorHAnsi" w:hAnsiTheme="minorHAnsi"/>
                <w:sz w:val="22"/>
                <w:szCs w:val="22"/>
              </w:rPr>
              <w:t>must</w:t>
            </w:r>
            <w:r w:rsidRPr="009C0388">
              <w:rPr>
                <w:rFonts w:asciiTheme="minorHAnsi" w:hAnsiTheme="minorHAnsi"/>
                <w:sz w:val="22"/>
                <w:szCs w:val="22"/>
              </w:rPr>
              <w:t xml:space="preserve"> follow the requirements set out in section 2.16. Equipment </w:t>
            </w:r>
            <w:r>
              <w:rPr>
                <w:rFonts w:asciiTheme="minorHAnsi" w:hAnsiTheme="minorHAnsi"/>
                <w:sz w:val="22"/>
                <w:szCs w:val="22"/>
              </w:rPr>
              <w:t>must</w:t>
            </w:r>
            <w:r w:rsidRPr="009C0388">
              <w:rPr>
                <w:rFonts w:asciiTheme="minorHAnsi" w:hAnsiTheme="minorHAnsi"/>
                <w:sz w:val="22"/>
                <w:szCs w:val="22"/>
              </w:rPr>
              <w:t xml:space="preserve"> be calibrated to a ‘measurement requirement’, which in this case means the standards required for measurement to support all commercial transactions covered by the </w:t>
            </w:r>
            <w:r w:rsidRPr="009C0388">
              <w:rPr>
                <w:rFonts w:asciiTheme="minorHAnsi" w:hAnsiTheme="minorHAnsi"/>
                <w:i/>
                <w:sz w:val="22"/>
                <w:szCs w:val="22"/>
              </w:rPr>
              <w:t>National Measurement Act 1960</w:t>
            </w:r>
            <w:r w:rsidRPr="009C0388">
              <w:rPr>
                <w:rFonts w:asciiTheme="minorHAnsi" w:hAnsiTheme="minorHAnsi"/>
                <w:sz w:val="22"/>
                <w:szCs w:val="22"/>
              </w:rPr>
              <w:t xml:space="preserve"> and associated instruments. </w:t>
            </w:r>
          </w:p>
          <w:p w14:paraId="3B75B03C" w14:textId="77777777" w:rsidR="00A57A5C" w:rsidRPr="009C0388"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9C0388">
              <w:rPr>
                <w:rFonts w:asciiTheme="minorHAnsi" w:hAnsiTheme="minorHAnsi"/>
                <w:sz w:val="22"/>
                <w:szCs w:val="22"/>
              </w:rPr>
              <w:t>These requirements are summarised in section 2.16 of the NGER Technical Guidelines.</w:t>
            </w:r>
          </w:p>
        </w:tc>
      </w:tr>
      <w:tr w:rsidR="00A57A5C" w:rsidRPr="00C64711" w14:paraId="5BF4F807" w14:textId="77777777" w:rsidTr="00D549C7">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89" w:type="dxa"/>
            <w:vMerge/>
          </w:tcPr>
          <w:p w14:paraId="11C2F07C" w14:textId="77777777" w:rsidR="00A57A5C" w:rsidRPr="009C0388" w:rsidRDefault="00A57A5C" w:rsidP="00D549C7">
            <w:pPr>
              <w:pStyle w:val="Body"/>
              <w:ind w:left="0"/>
              <w:rPr>
                <w:rFonts w:asciiTheme="minorHAnsi" w:hAnsiTheme="minorHAnsi"/>
                <w:sz w:val="22"/>
                <w:szCs w:val="22"/>
              </w:rPr>
            </w:pPr>
          </w:p>
        </w:tc>
        <w:tc>
          <w:tcPr>
            <w:tcW w:w="2693" w:type="dxa"/>
            <w:vMerge/>
          </w:tcPr>
          <w:p w14:paraId="7E908A6D" w14:textId="77777777" w:rsidR="00A57A5C" w:rsidRPr="009C0388"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4252" w:type="dxa"/>
          </w:tcPr>
          <w:p w14:paraId="0A1B7F72" w14:textId="77777777" w:rsidR="00A57A5C" w:rsidRPr="009C0388"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b/>
                <w:sz w:val="22"/>
                <w:szCs w:val="22"/>
              </w:rPr>
            </w:pPr>
            <w:r w:rsidRPr="00FE31CC">
              <w:rPr>
                <w:rFonts w:asciiTheme="minorHAnsi" w:hAnsiTheme="minorHAnsi"/>
                <w:sz w:val="22"/>
                <w:szCs w:val="22"/>
              </w:rPr>
              <w:t>Criterion BBB:</w:t>
            </w:r>
            <w:r w:rsidRPr="00C64711">
              <w:rPr>
                <w:rFonts w:asciiTheme="minorHAnsi" w:hAnsiTheme="minorHAnsi"/>
                <w:sz w:val="22"/>
                <w:szCs w:val="22"/>
              </w:rPr>
              <w:t xml:space="preserve"> </w:t>
            </w:r>
            <w:r>
              <w:rPr>
                <w:rFonts w:asciiTheme="minorHAnsi" w:hAnsiTheme="minorHAnsi"/>
                <w:sz w:val="22"/>
                <w:szCs w:val="22"/>
              </w:rPr>
              <w:t>m</w:t>
            </w:r>
            <w:r w:rsidRPr="009C0388">
              <w:rPr>
                <w:rFonts w:asciiTheme="minorHAnsi" w:hAnsiTheme="minorHAnsi"/>
                <w:sz w:val="22"/>
                <w:szCs w:val="22"/>
              </w:rPr>
              <w:t xml:space="preserve">etering equipment </w:t>
            </w:r>
            <w:r>
              <w:rPr>
                <w:rFonts w:asciiTheme="minorHAnsi" w:hAnsiTheme="minorHAnsi"/>
                <w:sz w:val="22"/>
                <w:szCs w:val="22"/>
              </w:rPr>
              <w:t>must</w:t>
            </w:r>
            <w:r w:rsidRPr="009C0388">
              <w:rPr>
                <w:rFonts w:asciiTheme="minorHAnsi" w:hAnsiTheme="minorHAnsi"/>
                <w:sz w:val="22"/>
                <w:szCs w:val="22"/>
              </w:rPr>
              <w:t xml:space="preserve"> follow the requirements set out in section 2.17 of the NGER Measurement Determination, which refer to industry practice.</w:t>
            </w:r>
          </w:p>
        </w:tc>
      </w:tr>
      <w:tr w:rsidR="00A57A5C" w:rsidRPr="00C64711" w14:paraId="3E79E99E" w14:textId="77777777" w:rsidTr="00D549C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89" w:type="dxa"/>
            <w:vMerge/>
          </w:tcPr>
          <w:p w14:paraId="5FDC068C" w14:textId="77777777" w:rsidR="00A57A5C" w:rsidRPr="009C0388" w:rsidRDefault="00A57A5C" w:rsidP="00D549C7">
            <w:pPr>
              <w:pStyle w:val="Body"/>
              <w:ind w:left="0"/>
              <w:rPr>
                <w:rFonts w:asciiTheme="minorHAnsi" w:hAnsiTheme="minorHAnsi"/>
                <w:sz w:val="22"/>
                <w:szCs w:val="22"/>
              </w:rPr>
            </w:pPr>
          </w:p>
        </w:tc>
        <w:tc>
          <w:tcPr>
            <w:tcW w:w="2693" w:type="dxa"/>
            <w:vMerge w:val="restart"/>
          </w:tcPr>
          <w:p w14:paraId="16F4192E" w14:textId="77777777" w:rsidR="00A57A5C" w:rsidRPr="009C0388"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Gaseous fuels (in cubic metres)</w:t>
            </w:r>
          </w:p>
        </w:tc>
        <w:tc>
          <w:tcPr>
            <w:tcW w:w="4252" w:type="dxa"/>
          </w:tcPr>
          <w:p w14:paraId="2D76B7E7" w14:textId="77777777" w:rsidR="00A57A5C" w:rsidRPr="009C0388"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FE31CC">
              <w:rPr>
                <w:rFonts w:asciiTheme="minorHAnsi" w:hAnsiTheme="minorHAnsi"/>
                <w:sz w:val="22"/>
                <w:szCs w:val="22"/>
              </w:rPr>
              <w:t>Criterion AAA:</w:t>
            </w:r>
            <w:r w:rsidRPr="009C0388">
              <w:rPr>
                <w:rFonts w:asciiTheme="minorHAnsi" w:hAnsiTheme="minorHAnsi"/>
                <w:sz w:val="22"/>
                <w:szCs w:val="22"/>
              </w:rPr>
              <w:t xml:space="preserve"> </w:t>
            </w:r>
            <w:r>
              <w:rPr>
                <w:rFonts w:asciiTheme="minorHAnsi" w:hAnsiTheme="minorHAnsi"/>
                <w:sz w:val="22"/>
                <w:szCs w:val="22"/>
              </w:rPr>
              <w:t>m</w:t>
            </w:r>
            <w:r w:rsidRPr="009C0388">
              <w:rPr>
                <w:rFonts w:asciiTheme="minorHAnsi" w:hAnsiTheme="minorHAnsi"/>
                <w:sz w:val="22"/>
                <w:szCs w:val="22"/>
              </w:rPr>
              <w:t xml:space="preserve">easurement equipment </w:t>
            </w:r>
            <w:r>
              <w:rPr>
                <w:rFonts w:asciiTheme="minorHAnsi" w:hAnsiTheme="minorHAnsi"/>
                <w:sz w:val="22"/>
                <w:szCs w:val="22"/>
              </w:rPr>
              <w:t>must</w:t>
            </w:r>
            <w:r w:rsidRPr="009C0388">
              <w:rPr>
                <w:rFonts w:asciiTheme="minorHAnsi" w:hAnsiTheme="minorHAnsi"/>
                <w:sz w:val="22"/>
                <w:szCs w:val="22"/>
              </w:rPr>
              <w:t xml:space="preserve"> be calibrated to requirements set out in sections 2.31 – 2.37 of the NGER Measurement Determination. Specific requirements depend on equipment type, the amount of gas consumed per day, and whether the gas is super-compressed.</w:t>
            </w:r>
          </w:p>
        </w:tc>
      </w:tr>
      <w:tr w:rsidR="00A57A5C" w:rsidRPr="00C64711" w14:paraId="7328EA0F" w14:textId="77777777" w:rsidTr="00D549C7">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89" w:type="dxa"/>
            <w:vMerge/>
          </w:tcPr>
          <w:p w14:paraId="66041DED" w14:textId="77777777" w:rsidR="00A57A5C" w:rsidRPr="009C0388" w:rsidRDefault="00A57A5C" w:rsidP="00D549C7">
            <w:pPr>
              <w:pStyle w:val="Body"/>
              <w:ind w:left="0"/>
              <w:rPr>
                <w:rFonts w:asciiTheme="minorHAnsi" w:hAnsiTheme="minorHAnsi"/>
                <w:sz w:val="22"/>
                <w:szCs w:val="22"/>
              </w:rPr>
            </w:pPr>
          </w:p>
        </w:tc>
        <w:tc>
          <w:tcPr>
            <w:tcW w:w="2693" w:type="dxa"/>
            <w:vMerge/>
          </w:tcPr>
          <w:p w14:paraId="46FCEA88" w14:textId="77777777" w:rsidR="00A57A5C" w:rsidRPr="009C0388"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4252" w:type="dxa"/>
          </w:tcPr>
          <w:p w14:paraId="6FBE50A6" w14:textId="77777777" w:rsidR="00A57A5C" w:rsidRPr="009C0388"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b/>
                <w:sz w:val="22"/>
                <w:szCs w:val="22"/>
              </w:rPr>
            </w:pPr>
            <w:r w:rsidRPr="00FE31CC">
              <w:rPr>
                <w:rFonts w:asciiTheme="minorHAnsi" w:hAnsiTheme="minorHAnsi"/>
                <w:sz w:val="22"/>
                <w:szCs w:val="22"/>
              </w:rPr>
              <w:t>Criterion BBB:</w:t>
            </w:r>
            <w:r w:rsidRPr="00C64711">
              <w:rPr>
                <w:rFonts w:asciiTheme="minorHAnsi" w:hAnsiTheme="minorHAnsi"/>
                <w:sz w:val="22"/>
                <w:szCs w:val="22"/>
              </w:rPr>
              <w:t xml:space="preserve"> </w:t>
            </w:r>
            <w:r>
              <w:rPr>
                <w:rFonts w:asciiTheme="minorHAnsi" w:hAnsiTheme="minorHAnsi"/>
                <w:sz w:val="22"/>
                <w:szCs w:val="22"/>
              </w:rPr>
              <w:t>m</w:t>
            </w:r>
            <w:r w:rsidRPr="009C0388">
              <w:rPr>
                <w:rFonts w:asciiTheme="minorHAnsi" w:hAnsiTheme="minorHAnsi"/>
                <w:sz w:val="22"/>
                <w:szCs w:val="22"/>
              </w:rPr>
              <w:t xml:space="preserve">etering equipment </w:t>
            </w:r>
            <w:r>
              <w:rPr>
                <w:rFonts w:asciiTheme="minorHAnsi" w:hAnsiTheme="minorHAnsi"/>
                <w:sz w:val="22"/>
                <w:szCs w:val="22"/>
              </w:rPr>
              <w:t>must</w:t>
            </w:r>
            <w:r w:rsidRPr="009C0388">
              <w:rPr>
                <w:rFonts w:asciiTheme="minorHAnsi" w:hAnsiTheme="minorHAnsi"/>
                <w:sz w:val="22"/>
                <w:szCs w:val="22"/>
              </w:rPr>
              <w:t xml:space="preserve"> follow the requirements set out in section 2.38 of the NGER Measurement Determination, which refer to industry practice.</w:t>
            </w:r>
          </w:p>
        </w:tc>
      </w:tr>
      <w:tr w:rsidR="00A57A5C" w:rsidRPr="00C64711" w14:paraId="3CD0C2F9" w14:textId="77777777" w:rsidTr="00D549C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89" w:type="dxa"/>
            <w:vMerge/>
          </w:tcPr>
          <w:p w14:paraId="03A84819" w14:textId="77777777" w:rsidR="00A57A5C" w:rsidRPr="009C0388" w:rsidRDefault="00A57A5C" w:rsidP="00D549C7">
            <w:pPr>
              <w:pStyle w:val="Body"/>
              <w:ind w:left="0"/>
              <w:rPr>
                <w:rFonts w:asciiTheme="minorHAnsi" w:hAnsiTheme="minorHAnsi"/>
                <w:sz w:val="22"/>
                <w:szCs w:val="22"/>
              </w:rPr>
            </w:pPr>
          </w:p>
        </w:tc>
        <w:tc>
          <w:tcPr>
            <w:tcW w:w="2693" w:type="dxa"/>
            <w:vMerge w:val="restart"/>
          </w:tcPr>
          <w:p w14:paraId="69E2AA4A" w14:textId="77777777" w:rsidR="00A57A5C" w:rsidRPr="009C0388"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vertAlign w:val="superscript"/>
              </w:rPr>
            </w:pPr>
            <w:r w:rsidRPr="009C0388">
              <w:rPr>
                <w:rFonts w:asciiTheme="minorHAnsi" w:hAnsiTheme="minorHAnsi"/>
                <w:sz w:val="22"/>
                <w:szCs w:val="22"/>
              </w:rPr>
              <w:t>Liquid fuels (in kilolitres)</w:t>
            </w:r>
          </w:p>
          <w:p w14:paraId="37ABD677" w14:textId="77777777" w:rsidR="00A57A5C" w:rsidRPr="009C0388"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vertAlign w:val="superscript"/>
              </w:rPr>
            </w:pPr>
          </w:p>
        </w:tc>
        <w:tc>
          <w:tcPr>
            <w:tcW w:w="4252" w:type="dxa"/>
          </w:tcPr>
          <w:p w14:paraId="564F5730" w14:textId="77777777" w:rsidR="00A57A5C" w:rsidRPr="009C0388"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E31CC">
              <w:rPr>
                <w:rFonts w:asciiTheme="minorHAnsi" w:hAnsiTheme="minorHAnsi"/>
                <w:sz w:val="22"/>
                <w:szCs w:val="22"/>
              </w:rPr>
              <w:t>Criterion AAA:</w:t>
            </w:r>
            <w:r w:rsidRPr="009C0388">
              <w:rPr>
                <w:rFonts w:asciiTheme="minorHAnsi" w:hAnsiTheme="minorHAnsi"/>
                <w:sz w:val="22"/>
                <w:szCs w:val="22"/>
              </w:rPr>
              <w:t xml:space="preserve"> </w:t>
            </w:r>
            <w:r>
              <w:rPr>
                <w:rFonts w:asciiTheme="minorHAnsi" w:hAnsiTheme="minorHAnsi"/>
                <w:sz w:val="22"/>
                <w:szCs w:val="22"/>
              </w:rPr>
              <w:t>m</w:t>
            </w:r>
            <w:r w:rsidRPr="009C0388">
              <w:rPr>
                <w:rFonts w:asciiTheme="minorHAnsi" w:hAnsiTheme="minorHAnsi"/>
                <w:sz w:val="22"/>
                <w:szCs w:val="22"/>
              </w:rPr>
              <w:t xml:space="preserve">etering equipment </w:t>
            </w:r>
            <w:r>
              <w:rPr>
                <w:rFonts w:asciiTheme="minorHAnsi" w:hAnsiTheme="minorHAnsi"/>
                <w:sz w:val="22"/>
                <w:szCs w:val="22"/>
              </w:rPr>
              <w:t>must</w:t>
            </w:r>
            <w:r w:rsidRPr="009C0388">
              <w:rPr>
                <w:rFonts w:asciiTheme="minorHAnsi" w:hAnsiTheme="minorHAnsi"/>
                <w:sz w:val="22"/>
                <w:szCs w:val="22"/>
              </w:rPr>
              <w:t xml:space="preserve"> follow the requirements set out in section 2.52 of the NGER Measurement Determination. Equipment </w:t>
            </w:r>
            <w:r>
              <w:rPr>
                <w:rFonts w:asciiTheme="minorHAnsi" w:hAnsiTheme="minorHAnsi"/>
                <w:sz w:val="22"/>
                <w:szCs w:val="22"/>
              </w:rPr>
              <w:t>must</w:t>
            </w:r>
            <w:r w:rsidRPr="009C0388">
              <w:rPr>
                <w:rFonts w:asciiTheme="minorHAnsi" w:hAnsiTheme="minorHAnsi"/>
                <w:sz w:val="22"/>
                <w:szCs w:val="22"/>
              </w:rPr>
              <w:t xml:space="preserve"> be calibrated to a ‘measurement requirement’. </w:t>
            </w:r>
            <w:r>
              <w:rPr>
                <w:rFonts w:asciiTheme="minorHAnsi" w:hAnsiTheme="minorHAnsi"/>
                <w:sz w:val="22"/>
                <w:szCs w:val="22"/>
              </w:rPr>
              <w:t>T</w:t>
            </w:r>
            <w:r w:rsidRPr="009C0388">
              <w:rPr>
                <w:rFonts w:asciiTheme="minorHAnsi" w:hAnsiTheme="minorHAnsi"/>
                <w:sz w:val="22"/>
                <w:szCs w:val="22"/>
              </w:rPr>
              <w:t xml:space="preserve">his refers to the standards required for measurement to support excise taxation arrangements. </w:t>
            </w:r>
          </w:p>
        </w:tc>
      </w:tr>
      <w:tr w:rsidR="00A57A5C" w:rsidRPr="00C64711" w14:paraId="3894D5FD" w14:textId="77777777" w:rsidTr="00D549C7">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89" w:type="dxa"/>
            <w:vMerge/>
          </w:tcPr>
          <w:p w14:paraId="2FD4B1EF" w14:textId="77777777" w:rsidR="00A57A5C" w:rsidRPr="009C0388" w:rsidRDefault="00A57A5C" w:rsidP="00D549C7">
            <w:pPr>
              <w:pStyle w:val="Body"/>
              <w:ind w:left="0"/>
              <w:rPr>
                <w:rFonts w:asciiTheme="minorHAnsi" w:hAnsiTheme="minorHAnsi"/>
                <w:sz w:val="22"/>
                <w:szCs w:val="22"/>
              </w:rPr>
            </w:pPr>
          </w:p>
        </w:tc>
        <w:tc>
          <w:tcPr>
            <w:tcW w:w="2693" w:type="dxa"/>
            <w:vMerge/>
          </w:tcPr>
          <w:p w14:paraId="0DBAF1BF" w14:textId="77777777" w:rsidR="00A57A5C" w:rsidRPr="009C0388"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4252" w:type="dxa"/>
          </w:tcPr>
          <w:p w14:paraId="57D8F0A5" w14:textId="77777777" w:rsidR="00A57A5C" w:rsidRPr="009C0388"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b/>
                <w:sz w:val="22"/>
                <w:szCs w:val="22"/>
              </w:rPr>
            </w:pPr>
            <w:r w:rsidRPr="00FE31CC">
              <w:rPr>
                <w:rFonts w:asciiTheme="minorHAnsi" w:hAnsiTheme="minorHAnsi"/>
                <w:sz w:val="22"/>
                <w:szCs w:val="22"/>
              </w:rPr>
              <w:t>Criterion BBB:</w:t>
            </w:r>
            <w:r w:rsidRPr="009C0388">
              <w:rPr>
                <w:rFonts w:asciiTheme="minorHAnsi" w:hAnsiTheme="minorHAnsi"/>
                <w:b/>
                <w:sz w:val="22"/>
                <w:szCs w:val="22"/>
              </w:rPr>
              <w:t xml:space="preserve"> </w:t>
            </w:r>
            <w:r>
              <w:rPr>
                <w:rFonts w:asciiTheme="minorHAnsi" w:hAnsiTheme="minorHAnsi"/>
                <w:sz w:val="22"/>
                <w:szCs w:val="22"/>
              </w:rPr>
              <w:t>m</w:t>
            </w:r>
            <w:r w:rsidRPr="009C0388">
              <w:rPr>
                <w:rFonts w:asciiTheme="minorHAnsi" w:hAnsiTheme="minorHAnsi"/>
                <w:sz w:val="22"/>
                <w:szCs w:val="22"/>
              </w:rPr>
              <w:t xml:space="preserve">etering equipment </w:t>
            </w:r>
            <w:r>
              <w:rPr>
                <w:rFonts w:asciiTheme="minorHAnsi" w:hAnsiTheme="minorHAnsi"/>
                <w:sz w:val="22"/>
                <w:szCs w:val="22"/>
              </w:rPr>
              <w:t>must</w:t>
            </w:r>
            <w:r w:rsidRPr="009C0388">
              <w:rPr>
                <w:rFonts w:asciiTheme="minorHAnsi" w:hAnsiTheme="minorHAnsi"/>
                <w:sz w:val="22"/>
                <w:szCs w:val="22"/>
              </w:rPr>
              <w:t xml:space="preserve"> follow the requirements set out in section 2.53 of the NGER Measurement Determination, which refer to industry practice.</w:t>
            </w:r>
          </w:p>
        </w:tc>
      </w:tr>
      <w:tr w:rsidR="00A57A5C" w:rsidRPr="00C64711" w14:paraId="12701921" w14:textId="77777777" w:rsidTr="00D05244">
        <w:trPr>
          <w:cnfStyle w:val="000000100000" w:firstRow="0" w:lastRow="0" w:firstColumn="0" w:lastColumn="0" w:oddVBand="0" w:evenVBand="0" w:oddHBand="1" w:evenHBand="0" w:firstRowFirstColumn="0" w:firstRowLastColumn="0" w:lastRowFirstColumn="0" w:lastRowLastColumn="0"/>
          <w:trHeight w:val="2060"/>
        </w:trPr>
        <w:tc>
          <w:tcPr>
            <w:cnfStyle w:val="001000000000" w:firstRow="0" w:lastRow="0" w:firstColumn="1" w:lastColumn="0" w:oddVBand="0" w:evenVBand="0" w:oddHBand="0" w:evenHBand="0" w:firstRowFirstColumn="0" w:firstRowLastColumn="0" w:lastRowFirstColumn="0" w:lastRowLastColumn="0"/>
            <w:tcW w:w="2689" w:type="dxa"/>
            <w:tcBorders>
              <w:bottom w:val="single" w:sz="8" w:space="0" w:color="E8E8E8" w:themeColor="background2"/>
            </w:tcBorders>
          </w:tcPr>
          <w:p w14:paraId="40E221E7" w14:textId="77777777" w:rsidR="00A57A5C" w:rsidRPr="00F61C7D" w:rsidRDefault="00A57A5C" w:rsidP="00D549C7">
            <w:pPr>
              <w:pStyle w:val="Body"/>
              <w:ind w:left="0"/>
              <w:rPr>
                <w:rFonts w:asciiTheme="minorHAnsi" w:hAnsiTheme="minorHAnsi"/>
                <w:b w:val="0"/>
                <w:bCs/>
                <w:sz w:val="22"/>
                <w:szCs w:val="22"/>
                <w:highlight w:val="yellow"/>
              </w:rPr>
            </w:pPr>
            <w:r w:rsidRPr="004B02E0">
              <w:rPr>
                <w:rFonts w:asciiTheme="minorHAnsi" w:hAnsiTheme="minorHAnsi"/>
                <w:sz w:val="22"/>
                <w:szCs w:val="22"/>
              </w:rPr>
              <w:t>Sampling and Analysis (</w:t>
            </w:r>
            <w:r w:rsidRPr="006046BA">
              <w:rPr>
                <w:rFonts w:asciiTheme="minorHAnsi" w:hAnsiTheme="minorHAnsi"/>
                <w:sz w:val="22"/>
                <w:szCs w:val="22"/>
              </w:rPr>
              <w:t>for example,</w:t>
            </w:r>
            <w:r w:rsidRPr="00533405">
              <w:rPr>
                <w:rFonts w:asciiTheme="minorHAnsi" w:hAnsiTheme="minorHAnsi"/>
                <w:sz w:val="22"/>
                <w:szCs w:val="22"/>
              </w:rPr>
              <w:t xml:space="preserve"> where method 2 or 3 is applied to estimate emissions)</w:t>
            </w:r>
          </w:p>
        </w:tc>
        <w:tc>
          <w:tcPr>
            <w:tcW w:w="2693" w:type="dxa"/>
            <w:tcBorders>
              <w:bottom w:val="single" w:sz="8" w:space="0" w:color="E8E8E8" w:themeColor="background2"/>
            </w:tcBorders>
          </w:tcPr>
          <w:p w14:paraId="3E3B7056" w14:textId="77777777" w:rsidR="00A57A5C" w:rsidRPr="009C0388"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Solid fuels</w:t>
            </w:r>
          </w:p>
          <w:p w14:paraId="09516FC8" w14:textId="77777777" w:rsidR="00A57A5C" w:rsidRPr="009C0388"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Gaseous fuels</w:t>
            </w:r>
          </w:p>
          <w:p w14:paraId="143A0BA6" w14:textId="77777777" w:rsidR="00A57A5C" w:rsidRPr="009C0388"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highlight w:val="yellow"/>
              </w:rPr>
            </w:pPr>
            <w:r w:rsidRPr="009C0388">
              <w:rPr>
                <w:rFonts w:asciiTheme="minorHAnsi" w:hAnsiTheme="minorHAnsi"/>
                <w:sz w:val="22"/>
                <w:szCs w:val="22"/>
              </w:rPr>
              <w:t>Liquid fuels</w:t>
            </w:r>
          </w:p>
        </w:tc>
        <w:tc>
          <w:tcPr>
            <w:tcW w:w="4252" w:type="dxa"/>
            <w:tcBorders>
              <w:bottom w:val="single" w:sz="8" w:space="0" w:color="E8E8E8" w:themeColor="background2"/>
            </w:tcBorders>
          </w:tcPr>
          <w:p w14:paraId="11DD976E" w14:textId="77777777" w:rsidR="00A57A5C" w:rsidRPr="009C0388"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Sampling and analysis </w:t>
            </w:r>
            <w:r>
              <w:rPr>
                <w:rFonts w:asciiTheme="minorHAnsi" w:hAnsiTheme="minorHAnsi"/>
                <w:sz w:val="22"/>
                <w:szCs w:val="22"/>
              </w:rPr>
              <w:t>must</w:t>
            </w:r>
            <w:r w:rsidRPr="009C0388">
              <w:rPr>
                <w:rFonts w:asciiTheme="minorHAnsi" w:hAnsiTheme="minorHAnsi"/>
                <w:sz w:val="22"/>
                <w:szCs w:val="22"/>
              </w:rPr>
              <w:t xml:space="preserve"> be undertaken using metering and calibration procedure specified in a relevant standard (refer sections </w:t>
            </w:r>
            <w:r w:rsidRPr="009C0388">
              <w:rPr>
                <w:rFonts w:asciiTheme="minorHAnsi" w:hAnsiTheme="minorHAnsi"/>
                <w:sz w:val="22"/>
                <w:szCs w:val="22"/>
              </w:rPr>
              <w:fldChar w:fldCharType="begin"/>
            </w:r>
            <w:r w:rsidRPr="009C0388">
              <w:rPr>
                <w:rFonts w:asciiTheme="minorHAnsi" w:hAnsiTheme="minorHAnsi"/>
                <w:sz w:val="22"/>
                <w:szCs w:val="22"/>
              </w:rPr>
              <w:instrText xml:space="preserve"> REF _Ref511917503 \r \h </w:instrText>
            </w:r>
            <w:r>
              <w:rPr>
                <w:rFonts w:asciiTheme="minorHAnsi" w:hAnsiTheme="minorHAnsi"/>
                <w:sz w:val="22"/>
                <w:szCs w:val="22"/>
              </w:rPr>
              <w:instrText xml:space="preserve"> \* MERGEFORMAT </w:instrText>
            </w:r>
            <w:r w:rsidRPr="009C0388">
              <w:rPr>
                <w:rFonts w:asciiTheme="minorHAnsi" w:hAnsiTheme="minorHAnsi"/>
                <w:sz w:val="22"/>
                <w:szCs w:val="22"/>
              </w:rPr>
            </w:r>
            <w:r w:rsidRPr="009C0388">
              <w:rPr>
                <w:rFonts w:asciiTheme="minorHAnsi" w:hAnsiTheme="minorHAnsi"/>
                <w:sz w:val="22"/>
                <w:szCs w:val="22"/>
              </w:rPr>
              <w:fldChar w:fldCharType="separate"/>
            </w:r>
            <w:r>
              <w:rPr>
                <w:rFonts w:asciiTheme="minorHAnsi" w:hAnsiTheme="minorHAnsi"/>
                <w:sz w:val="22"/>
                <w:szCs w:val="22"/>
              </w:rPr>
              <w:t>4.3.1</w:t>
            </w:r>
            <w:r w:rsidRPr="009C0388">
              <w:rPr>
                <w:rFonts w:asciiTheme="minorHAnsi" w:hAnsiTheme="minorHAnsi"/>
                <w:sz w:val="22"/>
                <w:szCs w:val="22"/>
              </w:rPr>
              <w:fldChar w:fldCharType="end"/>
            </w:r>
            <w:r w:rsidRPr="009C0388">
              <w:rPr>
                <w:rFonts w:asciiTheme="minorHAnsi" w:hAnsiTheme="minorHAnsi"/>
                <w:sz w:val="22"/>
                <w:szCs w:val="22"/>
              </w:rPr>
              <w:t xml:space="preserve">, </w:t>
            </w:r>
            <w:r w:rsidRPr="009C0388">
              <w:rPr>
                <w:rFonts w:asciiTheme="minorHAnsi" w:hAnsiTheme="minorHAnsi"/>
                <w:sz w:val="22"/>
                <w:szCs w:val="22"/>
              </w:rPr>
              <w:fldChar w:fldCharType="begin"/>
            </w:r>
            <w:r w:rsidRPr="009C0388">
              <w:rPr>
                <w:rFonts w:asciiTheme="minorHAnsi" w:hAnsiTheme="minorHAnsi"/>
                <w:sz w:val="22"/>
                <w:szCs w:val="22"/>
              </w:rPr>
              <w:instrText xml:space="preserve"> REF _Ref511917520 \r \h </w:instrText>
            </w:r>
            <w:r>
              <w:rPr>
                <w:rFonts w:asciiTheme="minorHAnsi" w:hAnsiTheme="minorHAnsi"/>
                <w:sz w:val="22"/>
                <w:szCs w:val="22"/>
              </w:rPr>
              <w:instrText xml:space="preserve"> \* MERGEFORMAT </w:instrText>
            </w:r>
            <w:r w:rsidRPr="009C0388">
              <w:rPr>
                <w:rFonts w:asciiTheme="minorHAnsi" w:hAnsiTheme="minorHAnsi"/>
                <w:sz w:val="22"/>
                <w:szCs w:val="22"/>
              </w:rPr>
            </w:r>
            <w:r w:rsidRPr="009C0388">
              <w:rPr>
                <w:rFonts w:asciiTheme="minorHAnsi" w:hAnsiTheme="minorHAnsi"/>
                <w:sz w:val="22"/>
                <w:szCs w:val="22"/>
              </w:rPr>
              <w:fldChar w:fldCharType="separate"/>
            </w:r>
            <w:r>
              <w:rPr>
                <w:rFonts w:asciiTheme="minorHAnsi" w:hAnsiTheme="minorHAnsi"/>
                <w:sz w:val="22"/>
                <w:szCs w:val="22"/>
              </w:rPr>
              <w:t>4.4.1</w:t>
            </w:r>
            <w:r w:rsidRPr="009C0388">
              <w:rPr>
                <w:rFonts w:asciiTheme="minorHAnsi" w:hAnsiTheme="minorHAnsi"/>
                <w:sz w:val="22"/>
                <w:szCs w:val="22"/>
              </w:rPr>
              <w:fldChar w:fldCharType="end"/>
            </w:r>
            <w:r w:rsidRPr="009C0388">
              <w:rPr>
                <w:rFonts w:asciiTheme="minorHAnsi" w:hAnsiTheme="minorHAnsi"/>
                <w:sz w:val="22"/>
                <w:szCs w:val="22"/>
              </w:rPr>
              <w:t xml:space="preserve">, and </w:t>
            </w:r>
            <w:r w:rsidRPr="009C0388">
              <w:rPr>
                <w:rFonts w:asciiTheme="minorHAnsi" w:hAnsiTheme="minorHAnsi"/>
                <w:sz w:val="22"/>
                <w:szCs w:val="22"/>
              </w:rPr>
              <w:fldChar w:fldCharType="begin"/>
            </w:r>
            <w:r w:rsidRPr="009C0388">
              <w:rPr>
                <w:rFonts w:asciiTheme="minorHAnsi" w:hAnsiTheme="minorHAnsi"/>
                <w:sz w:val="22"/>
                <w:szCs w:val="22"/>
              </w:rPr>
              <w:instrText xml:space="preserve"> REF _Ref511917530 \r \h </w:instrText>
            </w:r>
            <w:r>
              <w:rPr>
                <w:rFonts w:asciiTheme="minorHAnsi" w:hAnsiTheme="minorHAnsi"/>
                <w:sz w:val="22"/>
                <w:szCs w:val="22"/>
              </w:rPr>
              <w:instrText xml:space="preserve"> \* MERGEFORMAT </w:instrText>
            </w:r>
            <w:r w:rsidRPr="009C0388">
              <w:rPr>
                <w:rFonts w:asciiTheme="minorHAnsi" w:hAnsiTheme="minorHAnsi"/>
                <w:sz w:val="22"/>
                <w:szCs w:val="22"/>
              </w:rPr>
            </w:r>
            <w:r w:rsidRPr="009C0388">
              <w:rPr>
                <w:rFonts w:asciiTheme="minorHAnsi" w:hAnsiTheme="minorHAnsi"/>
                <w:sz w:val="22"/>
                <w:szCs w:val="22"/>
              </w:rPr>
              <w:fldChar w:fldCharType="separate"/>
            </w:r>
            <w:r>
              <w:rPr>
                <w:rFonts w:asciiTheme="minorHAnsi" w:hAnsiTheme="minorHAnsi"/>
                <w:sz w:val="22"/>
                <w:szCs w:val="22"/>
              </w:rPr>
              <w:t>4.5.1</w:t>
            </w:r>
            <w:r w:rsidRPr="009C0388">
              <w:rPr>
                <w:rFonts w:asciiTheme="minorHAnsi" w:hAnsiTheme="minorHAnsi"/>
                <w:sz w:val="22"/>
                <w:szCs w:val="22"/>
              </w:rPr>
              <w:fldChar w:fldCharType="end"/>
            </w:r>
            <w:r w:rsidRPr="009C0388">
              <w:rPr>
                <w:rFonts w:asciiTheme="minorHAnsi" w:hAnsiTheme="minorHAnsi"/>
                <w:sz w:val="22"/>
                <w:szCs w:val="22"/>
              </w:rPr>
              <w:t xml:space="preserve"> of this guideline).</w:t>
            </w:r>
          </w:p>
          <w:p w14:paraId="7D070C4E" w14:textId="77777777" w:rsidR="00A57A5C" w:rsidRPr="009C0388"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highlight w:val="yellow"/>
              </w:rPr>
            </w:pPr>
            <w:r w:rsidRPr="009C0388">
              <w:rPr>
                <w:rFonts w:asciiTheme="minorHAnsi" w:hAnsiTheme="minorHAnsi"/>
                <w:sz w:val="22"/>
                <w:szCs w:val="22"/>
              </w:rPr>
              <w:t>This is typically the responsibility of the party completing the sampling and analysis</w:t>
            </w:r>
            <w:r>
              <w:rPr>
                <w:rFonts w:asciiTheme="minorHAnsi" w:hAnsiTheme="minorHAnsi"/>
                <w:sz w:val="22"/>
                <w:szCs w:val="22"/>
              </w:rPr>
              <w:t xml:space="preserve">, </w:t>
            </w:r>
            <w:r w:rsidRPr="009C0388">
              <w:rPr>
                <w:rFonts w:asciiTheme="minorHAnsi" w:hAnsiTheme="minorHAnsi"/>
                <w:sz w:val="22"/>
                <w:szCs w:val="22"/>
              </w:rPr>
              <w:t>either the reporting company or a contractor. However, NGER reporters remain accountable for ensuring that sampling and analysis is performed and documented according to the requirements – this responsibility cannot be delegated to a contractor, with the NGER reporter expected to have ready access to the documentation for compliant sampling and analysis.</w:t>
            </w:r>
          </w:p>
        </w:tc>
      </w:tr>
      <w:tr w:rsidR="00A57A5C" w:rsidRPr="00C64711" w14:paraId="1DEC04E8" w14:textId="77777777" w:rsidTr="00D05244">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8" w:space="0" w:color="E8E8E8" w:themeColor="background2"/>
              <w:bottom w:val="single" w:sz="8" w:space="0" w:color="E8E8E8" w:themeColor="background2"/>
            </w:tcBorders>
          </w:tcPr>
          <w:p w14:paraId="7180C626" w14:textId="77777777" w:rsidR="00A57A5C" w:rsidRPr="00F61C7D" w:rsidRDefault="00A57A5C" w:rsidP="00D549C7">
            <w:pPr>
              <w:pStyle w:val="Body"/>
              <w:ind w:left="0"/>
              <w:rPr>
                <w:rFonts w:asciiTheme="minorHAnsi" w:hAnsiTheme="minorHAnsi"/>
                <w:b w:val="0"/>
                <w:bCs/>
                <w:sz w:val="22"/>
                <w:szCs w:val="22"/>
              </w:rPr>
            </w:pPr>
            <w:r w:rsidRPr="004B02E0">
              <w:rPr>
                <w:rFonts w:asciiTheme="minorHAnsi" w:hAnsiTheme="minorHAnsi"/>
                <w:sz w:val="22"/>
                <w:szCs w:val="22"/>
              </w:rPr>
              <w:t>Direct measurement of emissions (</w:t>
            </w:r>
            <w:r w:rsidRPr="006046BA">
              <w:rPr>
                <w:rFonts w:asciiTheme="minorHAnsi" w:hAnsiTheme="minorHAnsi"/>
                <w:sz w:val="22"/>
                <w:szCs w:val="22"/>
              </w:rPr>
              <w:t>for example, where method 4 is applied to estimate emissions)</w:t>
            </w:r>
          </w:p>
          <w:p w14:paraId="743EA4BA" w14:textId="77777777" w:rsidR="00A57A5C" w:rsidRPr="009C0388" w:rsidRDefault="00A57A5C" w:rsidP="00D549C7">
            <w:pPr>
              <w:pStyle w:val="Body"/>
              <w:ind w:left="0"/>
              <w:rPr>
                <w:rFonts w:asciiTheme="minorHAnsi" w:hAnsiTheme="minorHAnsi"/>
                <w:b w:val="0"/>
                <w:sz w:val="22"/>
                <w:szCs w:val="22"/>
              </w:rPr>
            </w:pPr>
          </w:p>
        </w:tc>
        <w:tc>
          <w:tcPr>
            <w:tcW w:w="2693" w:type="dxa"/>
            <w:tcBorders>
              <w:top w:val="single" w:sz="8" w:space="0" w:color="E8E8E8" w:themeColor="background2"/>
              <w:bottom w:val="single" w:sz="8" w:space="0" w:color="E8E8E8" w:themeColor="background2"/>
            </w:tcBorders>
          </w:tcPr>
          <w:p w14:paraId="22425667" w14:textId="77777777" w:rsidR="00A57A5C" w:rsidRPr="009C0388"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CEM</w:t>
            </w:r>
          </w:p>
        </w:tc>
        <w:tc>
          <w:tcPr>
            <w:tcW w:w="4252" w:type="dxa"/>
            <w:tcBorders>
              <w:top w:val="single" w:sz="8" w:space="0" w:color="E8E8E8" w:themeColor="background2"/>
              <w:bottom w:val="single" w:sz="8" w:space="0" w:color="E8E8E8" w:themeColor="background2"/>
            </w:tcBorders>
          </w:tcPr>
          <w:p w14:paraId="65F9775F" w14:textId="77777777" w:rsidR="00A57A5C" w:rsidRPr="009C0388"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E31CC">
              <w:rPr>
                <w:rFonts w:asciiTheme="minorHAnsi" w:hAnsiTheme="minorHAnsi"/>
                <w:sz w:val="22"/>
                <w:szCs w:val="22"/>
              </w:rPr>
              <w:t>Measurement of flow rates:</w:t>
            </w:r>
            <w:r w:rsidRPr="009C0388">
              <w:rPr>
                <w:rFonts w:asciiTheme="minorHAnsi" w:hAnsiTheme="minorHAnsi"/>
                <w:sz w:val="22"/>
                <w:szCs w:val="22"/>
              </w:rPr>
              <w:t xml:space="preserve"> </w:t>
            </w:r>
            <w:r>
              <w:rPr>
                <w:rFonts w:asciiTheme="minorHAnsi" w:hAnsiTheme="minorHAnsi"/>
                <w:sz w:val="22"/>
                <w:szCs w:val="22"/>
              </w:rPr>
              <w:t>a</w:t>
            </w:r>
            <w:r w:rsidRPr="009C0388">
              <w:rPr>
                <w:rFonts w:asciiTheme="minorHAnsi" w:hAnsiTheme="minorHAnsi"/>
                <w:sz w:val="22"/>
                <w:szCs w:val="22"/>
              </w:rPr>
              <w:t>n appropriate standard should be chosen and followed as set out in section 1.24.</w:t>
            </w:r>
          </w:p>
          <w:p w14:paraId="2E655C11" w14:textId="77777777" w:rsidR="00A57A5C" w:rsidRPr="009C0388"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E31CC">
              <w:rPr>
                <w:rFonts w:asciiTheme="minorHAnsi" w:hAnsiTheme="minorHAnsi"/>
                <w:sz w:val="22"/>
                <w:szCs w:val="22"/>
              </w:rPr>
              <w:t>Measurement of gas concentrations:</w:t>
            </w:r>
            <w:r w:rsidRPr="009C0388">
              <w:rPr>
                <w:rFonts w:asciiTheme="minorHAnsi" w:hAnsiTheme="minorHAnsi"/>
                <w:sz w:val="22"/>
                <w:szCs w:val="22"/>
              </w:rPr>
              <w:t xml:space="preserve"> </w:t>
            </w:r>
            <w:r>
              <w:rPr>
                <w:rFonts w:asciiTheme="minorHAnsi" w:hAnsiTheme="minorHAnsi"/>
                <w:sz w:val="22"/>
                <w:szCs w:val="22"/>
              </w:rPr>
              <w:t>a</w:t>
            </w:r>
            <w:r w:rsidRPr="009C0388">
              <w:rPr>
                <w:rFonts w:asciiTheme="minorHAnsi" w:hAnsiTheme="minorHAnsi"/>
                <w:sz w:val="22"/>
                <w:szCs w:val="22"/>
              </w:rPr>
              <w:t>n appropriate standard should be chosen and followed as set out in section 1.25.</w:t>
            </w:r>
          </w:p>
          <w:p w14:paraId="0189C8E1" w14:textId="77777777" w:rsidR="00A57A5C" w:rsidRPr="009C0388" w:rsidRDefault="00A57A5C"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E31CC">
              <w:rPr>
                <w:rFonts w:asciiTheme="minorHAnsi" w:hAnsiTheme="minorHAnsi"/>
                <w:sz w:val="22"/>
                <w:szCs w:val="22"/>
              </w:rPr>
              <w:t>Performance characteristics:</w:t>
            </w:r>
            <w:r w:rsidRPr="009C0388">
              <w:rPr>
                <w:rFonts w:asciiTheme="minorHAnsi" w:hAnsiTheme="minorHAnsi"/>
                <w:b/>
                <w:sz w:val="22"/>
                <w:szCs w:val="22"/>
              </w:rPr>
              <w:t xml:space="preserve"> </w:t>
            </w:r>
            <w:r>
              <w:rPr>
                <w:rFonts w:asciiTheme="minorHAnsi" w:hAnsiTheme="minorHAnsi"/>
                <w:sz w:val="22"/>
                <w:szCs w:val="22"/>
              </w:rPr>
              <w:t>t</w:t>
            </w:r>
            <w:r w:rsidRPr="009C0388">
              <w:rPr>
                <w:rFonts w:asciiTheme="minorHAnsi" w:hAnsiTheme="minorHAnsi"/>
                <w:sz w:val="22"/>
                <w:szCs w:val="22"/>
              </w:rPr>
              <w:t>he performance characteristics of CEM equipment should be measured in accordance with section 1.34.</w:t>
            </w:r>
          </w:p>
        </w:tc>
      </w:tr>
      <w:tr w:rsidR="00A57A5C" w:rsidRPr="00C64711" w14:paraId="635425BE" w14:textId="77777777" w:rsidTr="00D0524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89" w:type="dxa"/>
            <w:vMerge/>
            <w:tcBorders>
              <w:top w:val="single" w:sz="8" w:space="0" w:color="E8E8E8" w:themeColor="background2"/>
              <w:bottom w:val="single" w:sz="4" w:space="0" w:color="FCBA5C" w:themeColor="accent2"/>
            </w:tcBorders>
          </w:tcPr>
          <w:p w14:paraId="0284EF5C" w14:textId="77777777" w:rsidR="00A57A5C" w:rsidRPr="009C0388" w:rsidRDefault="00A57A5C" w:rsidP="00D549C7">
            <w:pPr>
              <w:pStyle w:val="Body"/>
              <w:ind w:left="0"/>
              <w:rPr>
                <w:rFonts w:asciiTheme="minorHAnsi" w:hAnsiTheme="minorHAnsi"/>
                <w:sz w:val="22"/>
                <w:szCs w:val="22"/>
              </w:rPr>
            </w:pPr>
          </w:p>
        </w:tc>
        <w:tc>
          <w:tcPr>
            <w:tcW w:w="2693" w:type="dxa"/>
            <w:tcBorders>
              <w:top w:val="single" w:sz="8" w:space="0" w:color="E8E8E8" w:themeColor="background2"/>
              <w:bottom w:val="single" w:sz="4" w:space="0" w:color="FCBA5C" w:themeColor="accent2"/>
            </w:tcBorders>
          </w:tcPr>
          <w:p w14:paraId="40DF4871" w14:textId="77777777" w:rsidR="00A57A5C" w:rsidRPr="009C0388"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PEM</w:t>
            </w:r>
          </w:p>
        </w:tc>
        <w:tc>
          <w:tcPr>
            <w:tcW w:w="4252" w:type="dxa"/>
            <w:tcBorders>
              <w:top w:val="single" w:sz="8" w:space="0" w:color="E8E8E8" w:themeColor="background2"/>
              <w:bottom w:val="single" w:sz="4" w:space="0" w:color="FCBA5C" w:themeColor="accent2"/>
            </w:tcBorders>
          </w:tcPr>
          <w:p w14:paraId="50EAF919" w14:textId="77777777" w:rsidR="00A57A5C" w:rsidRPr="009C0388"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E31CC">
              <w:rPr>
                <w:rFonts w:asciiTheme="minorHAnsi" w:hAnsiTheme="minorHAnsi"/>
                <w:sz w:val="22"/>
                <w:szCs w:val="22"/>
              </w:rPr>
              <w:t>Measurement of flow rates:</w:t>
            </w:r>
            <w:r w:rsidRPr="009C0388">
              <w:rPr>
                <w:rFonts w:asciiTheme="minorHAnsi" w:hAnsiTheme="minorHAnsi"/>
                <w:sz w:val="22"/>
                <w:szCs w:val="22"/>
              </w:rPr>
              <w:t xml:space="preserve"> </w:t>
            </w:r>
            <w:r>
              <w:rPr>
                <w:rFonts w:asciiTheme="minorHAnsi" w:hAnsiTheme="minorHAnsi"/>
                <w:sz w:val="22"/>
                <w:szCs w:val="22"/>
              </w:rPr>
              <w:t>a</w:t>
            </w:r>
            <w:r w:rsidRPr="009C0388">
              <w:rPr>
                <w:rFonts w:asciiTheme="minorHAnsi" w:hAnsiTheme="minorHAnsi"/>
                <w:sz w:val="22"/>
                <w:szCs w:val="22"/>
              </w:rPr>
              <w:t>n appropriate standard should be chosen and followed as set out in section 1.31.</w:t>
            </w:r>
          </w:p>
          <w:p w14:paraId="6163054D" w14:textId="77777777" w:rsidR="00A57A5C" w:rsidRPr="009C0388"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E31CC">
              <w:rPr>
                <w:rFonts w:asciiTheme="minorHAnsi" w:hAnsiTheme="minorHAnsi"/>
                <w:sz w:val="22"/>
                <w:szCs w:val="22"/>
              </w:rPr>
              <w:t>Measurement of gas concentrations:</w:t>
            </w:r>
            <w:r w:rsidRPr="009C0388">
              <w:rPr>
                <w:rFonts w:asciiTheme="minorHAnsi" w:hAnsiTheme="minorHAnsi"/>
                <w:sz w:val="22"/>
                <w:szCs w:val="22"/>
              </w:rPr>
              <w:t xml:space="preserve"> </w:t>
            </w:r>
            <w:r>
              <w:rPr>
                <w:rFonts w:asciiTheme="minorHAnsi" w:hAnsiTheme="minorHAnsi"/>
                <w:sz w:val="22"/>
                <w:szCs w:val="22"/>
              </w:rPr>
              <w:t>a</w:t>
            </w:r>
            <w:r w:rsidRPr="009C0388">
              <w:rPr>
                <w:rFonts w:asciiTheme="minorHAnsi" w:hAnsiTheme="minorHAnsi"/>
                <w:sz w:val="22"/>
                <w:szCs w:val="22"/>
              </w:rPr>
              <w:t>n appropriate standard should be chosen and followed as set out in section 1.32.</w:t>
            </w:r>
          </w:p>
          <w:p w14:paraId="2ECF5748" w14:textId="77777777" w:rsidR="00A57A5C" w:rsidRPr="009C0388" w:rsidRDefault="00A57A5C"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FE31CC">
              <w:rPr>
                <w:rFonts w:asciiTheme="minorHAnsi" w:hAnsiTheme="minorHAnsi"/>
                <w:sz w:val="22"/>
                <w:szCs w:val="22"/>
              </w:rPr>
              <w:t>Performance characteristics:</w:t>
            </w:r>
            <w:r w:rsidRPr="009C0388">
              <w:rPr>
                <w:rFonts w:asciiTheme="minorHAnsi" w:hAnsiTheme="minorHAnsi"/>
                <w:b/>
                <w:sz w:val="22"/>
                <w:szCs w:val="22"/>
              </w:rPr>
              <w:t xml:space="preserve"> </w:t>
            </w:r>
            <w:r>
              <w:rPr>
                <w:rFonts w:asciiTheme="minorHAnsi" w:hAnsiTheme="minorHAnsi"/>
                <w:sz w:val="22"/>
                <w:szCs w:val="22"/>
              </w:rPr>
              <w:t>t</w:t>
            </w:r>
            <w:r w:rsidRPr="009C0388">
              <w:rPr>
                <w:rFonts w:asciiTheme="minorHAnsi" w:hAnsiTheme="minorHAnsi"/>
                <w:sz w:val="22"/>
                <w:szCs w:val="22"/>
              </w:rPr>
              <w:t>he performance characteristics of PEM equipment should be measured in accordance with section 1.34.</w:t>
            </w:r>
          </w:p>
        </w:tc>
      </w:tr>
    </w:tbl>
    <w:p w14:paraId="2E38D9E5" w14:textId="77777777" w:rsidR="00A57A5C" w:rsidRPr="00FF338C" w:rsidRDefault="00A57A5C" w:rsidP="00DB4B56">
      <w:pPr>
        <w:pStyle w:val="Heading2"/>
        <w:numPr>
          <w:ilvl w:val="1"/>
          <w:numId w:val="3"/>
        </w:numPr>
        <w:ind w:left="426" w:hanging="426"/>
      </w:pPr>
      <w:bookmarkStart w:id="470" w:name="_Toc511376927"/>
      <w:bookmarkStart w:id="471" w:name="_Toc511388524"/>
      <w:bookmarkStart w:id="472" w:name="_Toc511389446"/>
      <w:bookmarkStart w:id="473" w:name="_Toc511392955"/>
      <w:bookmarkStart w:id="474" w:name="_Ref511659535"/>
      <w:bookmarkStart w:id="475" w:name="_Toc511732485"/>
      <w:bookmarkStart w:id="476" w:name="_Toc513555292"/>
      <w:bookmarkStart w:id="477" w:name="_Toc106705777"/>
      <w:bookmarkStart w:id="478" w:name="_Toc107922600"/>
      <w:r w:rsidRPr="00FF338C">
        <w:t>Industry practice</w:t>
      </w:r>
      <w:bookmarkEnd w:id="470"/>
      <w:bookmarkEnd w:id="471"/>
      <w:bookmarkEnd w:id="472"/>
      <w:bookmarkEnd w:id="473"/>
      <w:bookmarkEnd w:id="474"/>
      <w:bookmarkEnd w:id="475"/>
      <w:r w:rsidRPr="00FF338C">
        <w:t xml:space="preserve"> (measurement criterion BBB)</w:t>
      </w:r>
      <w:bookmarkEnd w:id="476"/>
      <w:bookmarkEnd w:id="477"/>
      <w:bookmarkEnd w:id="478"/>
    </w:p>
    <w:p w14:paraId="560BE0EF" w14:textId="77777777" w:rsidR="00A57A5C" w:rsidRPr="00FF338C" w:rsidRDefault="00A57A5C" w:rsidP="00A57A5C">
      <w:pPr>
        <w:rPr>
          <w:color w:val="auto"/>
        </w:rPr>
      </w:pPr>
      <w:r>
        <w:rPr>
          <w:color w:val="auto"/>
        </w:rPr>
        <w:t>Measurement criterion BBB in the NGER Measurement Determination provides for use of industry practice for measurement of quantities of fuels,</w:t>
      </w:r>
      <w:r w:rsidRPr="00FF338C">
        <w:rPr>
          <w:color w:val="auto"/>
        </w:rPr>
        <w:t xml:space="preserve"> when measurement equipment does not meet the requirements of criterion AAA. The use of industry practice is also permitted for the estimation of the amount of electricity consumed from the operation of a facility in certain circumstances. </w:t>
      </w:r>
    </w:p>
    <w:p w14:paraId="20C11A40" w14:textId="77777777" w:rsidR="00A57A5C" w:rsidRPr="00FF338C" w:rsidRDefault="00A57A5C" w:rsidP="00A57A5C">
      <w:pPr>
        <w:rPr>
          <w:color w:val="auto"/>
        </w:rPr>
      </w:pPr>
      <w:r w:rsidRPr="00FF338C">
        <w:rPr>
          <w:color w:val="auto"/>
        </w:rPr>
        <w:t>Industry practice is not defined in the NGER legislation.</w:t>
      </w:r>
      <w:r>
        <w:rPr>
          <w:color w:val="auto"/>
        </w:rPr>
        <w:t xml:space="preserve"> The agency requires that use of industry practice and measurement criterion BBB</w:t>
      </w:r>
      <w:r w:rsidRPr="00FF338C">
        <w:rPr>
          <w:color w:val="auto"/>
        </w:rPr>
        <w:t xml:space="preserve"> </w:t>
      </w:r>
      <w:r>
        <w:rPr>
          <w:color w:val="auto"/>
        </w:rPr>
        <w:t xml:space="preserve">includes </w:t>
      </w:r>
      <w:r>
        <w:t>application</w:t>
      </w:r>
      <w:r w:rsidRPr="00FF338C">
        <w:t xml:space="preserve"> of the general principles in section 1.13 of the </w:t>
      </w:r>
      <w:r>
        <w:t>NGER Measurement Determination - that is,</w:t>
      </w:r>
      <w:r w:rsidRPr="00FF338C">
        <w:t xml:space="preserve"> transparency, comparability, accuracy and completeness </w:t>
      </w:r>
      <w:r w:rsidRPr="00FF338C">
        <w:rPr>
          <w:color w:val="auto"/>
        </w:rPr>
        <w:t xml:space="preserve">when making estimates </w:t>
      </w:r>
      <w:r>
        <w:rPr>
          <w:color w:val="auto"/>
        </w:rPr>
        <w:t>of quantities of fuel</w:t>
      </w:r>
      <w:r w:rsidRPr="00FF338C">
        <w:rPr>
          <w:color w:val="auto"/>
        </w:rPr>
        <w:t>. For example, this may include:</w:t>
      </w:r>
    </w:p>
    <w:p w14:paraId="2B18D288" w14:textId="77777777" w:rsidR="00A57A5C" w:rsidRPr="00FF338C" w:rsidRDefault="00A57A5C" w:rsidP="00B3330E">
      <w:pPr>
        <w:numPr>
          <w:ilvl w:val="0"/>
          <w:numId w:val="1"/>
        </w:numPr>
        <w:spacing w:before="120" w:after="120"/>
      </w:pPr>
      <w:r w:rsidRPr="00FF338C">
        <w:t>where meters are used</w:t>
      </w:r>
      <w:r>
        <w:t xml:space="preserve"> and</w:t>
      </w:r>
      <w:r w:rsidRPr="00FF338C">
        <w:t>:</w:t>
      </w:r>
    </w:p>
    <w:p w14:paraId="7251779B" w14:textId="77777777" w:rsidR="00A57A5C" w:rsidRPr="00FF338C" w:rsidRDefault="00A57A5C" w:rsidP="00B3330E">
      <w:pPr>
        <w:numPr>
          <w:ilvl w:val="1"/>
          <w:numId w:val="1"/>
        </w:numPr>
        <w:spacing w:before="120" w:after="120"/>
      </w:pPr>
      <w:r>
        <w:t>m</w:t>
      </w:r>
      <w:r w:rsidRPr="00FF338C">
        <w:t>anufacturer’s standards are available, meters are calibrated at the standard stipulated by the manufacturer</w:t>
      </w:r>
    </w:p>
    <w:p w14:paraId="3A666B19" w14:textId="77777777" w:rsidR="00A57A5C" w:rsidRPr="00FF338C" w:rsidRDefault="00A57A5C" w:rsidP="00B3330E">
      <w:pPr>
        <w:numPr>
          <w:ilvl w:val="1"/>
          <w:numId w:val="1"/>
        </w:numPr>
        <w:spacing w:before="120" w:after="120"/>
      </w:pPr>
      <w:r>
        <w:t>m</w:t>
      </w:r>
      <w:r w:rsidRPr="00FF338C">
        <w:t>anufacturer’s standards are unavailable, a risk assessment</w:t>
      </w:r>
      <w:r>
        <w:t xml:space="preserve"> must be undertaken </w:t>
      </w:r>
      <w:r w:rsidRPr="00FF338C">
        <w:t>and documented</w:t>
      </w:r>
      <w:r>
        <w:t xml:space="preserve"> to demonstrate that measurement uncertainty has been minimised or would not significantly affect the measured amount.</w:t>
      </w:r>
    </w:p>
    <w:p w14:paraId="0627663E" w14:textId="77777777" w:rsidR="00A57A5C" w:rsidRPr="00FF338C" w:rsidRDefault="00A57A5C" w:rsidP="00B3330E">
      <w:pPr>
        <w:numPr>
          <w:ilvl w:val="0"/>
          <w:numId w:val="1"/>
        </w:numPr>
        <w:spacing w:before="120" w:after="120"/>
      </w:pPr>
      <w:r w:rsidRPr="00FF338C">
        <w:t>appropriate corrections for temperature and pressure are made where required</w:t>
      </w:r>
    </w:p>
    <w:p w14:paraId="308A08EE" w14:textId="77777777" w:rsidR="00A57A5C" w:rsidRPr="00FF338C" w:rsidRDefault="00A57A5C" w:rsidP="00B3330E">
      <w:pPr>
        <w:numPr>
          <w:ilvl w:val="0"/>
          <w:numId w:val="1"/>
        </w:numPr>
        <w:spacing w:before="120" w:after="120"/>
      </w:pPr>
      <w:r w:rsidRPr="00FF338C">
        <w:t>assumptions inherent or applied to the measured data are clarified and documented – for example, set densities or gas composition, are updated at a frequency which ensures that these assumptions are representative of the fuel being measured during the reporting period.</w:t>
      </w:r>
    </w:p>
    <w:p w14:paraId="3A8552FA" w14:textId="77777777" w:rsidR="00A57A5C" w:rsidRPr="00FF338C" w:rsidRDefault="00A57A5C" w:rsidP="00A57A5C">
      <w:pPr>
        <w:spacing w:before="120" w:after="120"/>
        <w:ind w:left="357" w:hanging="357"/>
        <w:rPr>
          <w:color w:val="auto"/>
        </w:rPr>
      </w:pPr>
      <w:r w:rsidRPr="00FF338C">
        <w:rPr>
          <w:color w:val="auto"/>
        </w:rPr>
        <w:t xml:space="preserve">The </w:t>
      </w:r>
      <w:r>
        <w:rPr>
          <w:color w:val="auto"/>
        </w:rPr>
        <w:t>agency</w:t>
      </w:r>
      <w:r w:rsidRPr="00FF338C">
        <w:rPr>
          <w:color w:val="auto"/>
        </w:rPr>
        <w:t xml:space="preserve"> does not consider industry practice to include:</w:t>
      </w:r>
    </w:p>
    <w:p w14:paraId="27CD035C" w14:textId="77777777" w:rsidR="00A57A5C" w:rsidRPr="00FF338C" w:rsidRDefault="00A57A5C" w:rsidP="00B3330E">
      <w:pPr>
        <w:numPr>
          <w:ilvl w:val="0"/>
          <w:numId w:val="1"/>
        </w:numPr>
        <w:spacing w:before="120" w:after="120"/>
      </w:pPr>
      <w:r w:rsidRPr="00FF338C">
        <w:t>estimates of quantities based on unrepresentative historic facility data</w:t>
      </w:r>
    </w:p>
    <w:p w14:paraId="7F069F48" w14:textId="77777777" w:rsidR="00A57A5C" w:rsidRPr="00FF338C" w:rsidRDefault="00A57A5C" w:rsidP="00B3330E">
      <w:pPr>
        <w:numPr>
          <w:ilvl w:val="0"/>
          <w:numId w:val="1"/>
        </w:numPr>
        <w:spacing w:before="120" w:after="120"/>
      </w:pPr>
      <w:r w:rsidRPr="00FF338C">
        <w:t>estimates of quantities based on unrepresentative industry data.</w:t>
      </w:r>
    </w:p>
    <w:p w14:paraId="3C199C92" w14:textId="77777777" w:rsidR="00A57A5C" w:rsidRPr="00FF338C" w:rsidRDefault="00A57A5C" w:rsidP="00A57A5C">
      <w:pPr>
        <w:pStyle w:val="Heading4"/>
        <w:rPr>
          <w:rFonts w:eastAsiaTheme="majorEastAsia"/>
        </w:rPr>
      </w:pPr>
      <w:bookmarkStart w:id="479" w:name="_Toc526867737"/>
      <w:bookmarkStart w:id="480" w:name="_Toc526869779"/>
      <w:bookmarkStart w:id="481" w:name="_Toc107922601"/>
      <w:r w:rsidRPr="00FF338C">
        <w:rPr>
          <w:rFonts w:eastAsiaTheme="majorEastAsia"/>
        </w:rPr>
        <w:t>Measuring fuel consumption based on electricity production</w:t>
      </w:r>
      <w:bookmarkEnd w:id="479"/>
      <w:bookmarkEnd w:id="480"/>
      <w:bookmarkEnd w:id="481"/>
    </w:p>
    <w:p w14:paraId="3D9859FE" w14:textId="77777777" w:rsidR="00A57A5C" w:rsidRPr="00FF338C" w:rsidRDefault="00A57A5C" w:rsidP="00A57A5C">
      <w:pPr>
        <w:spacing w:before="120" w:after="120"/>
        <w:rPr>
          <w:color w:val="auto"/>
        </w:rPr>
      </w:pPr>
      <w:r w:rsidRPr="00FF338C">
        <w:rPr>
          <w:color w:val="auto"/>
        </w:rPr>
        <w:t>If fuel combusted to produce electricity is acquired without a commercial transaction, and no reliable metering of the fuel combusted exists, a back-calculation methodology based on measured electricity production is acceptable.</w:t>
      </w:r>
    </w:p>
    <w:p w14:paraId="18C12DA8" w14:textId="77777777" w:rsidR="00A57A5C" w:rsidRPr="00FF338C" w:rsidRDefault="00A57A5C" w:rsidP="00A57A5C">
      <w:pPr>
        <w:spacing w:before="120" w:after="120"/>
        <w:rPr>
          <w:color w:val="auto"/>
        </w:rPr>
      </w:pPr>
      <w:r w:rsidRPr="00FF338C">
        <w:rPr>
          <w:color w:val="auto"/>
        </w:rPr>
        <w:t>For example, if natural gas is combusted to generate electricity, the amount of gas combusted may be back-calculated using the amount of electricity produced, an engine electricity efficiency (for example, manufacturer’s specification) and the energy content of the natural gas.</w:t>
      </w:r>
    </w:p>
    <w:p w14:paraId="46014B57" w14:textId="77777777" w:rsidR="00A57A5C" w:rsidRPr="00FF338C" w:rsidRDefault="00A57A5C" w:rsidP="00DB4B56">
      <w:pPr>
        <w:pStyle w:val="Heading2"/>
        <w:numPr>
          <w:ilvl w:val="1"/>
          <w:numId w:val="3"/>
        </w:numPr>
        <w:ind w:left="426" w:hanging="426"/>
      </w:pPr>
      <w:bookmarkStart w:id="482" w:name="_Toc512010426"/>
      <w:bookmarkStart w:id="483" w:name="_Toc512339626"/>
      <w:bookmarkStart w:id="484" w:name="_Toc106705778"/>
      <w:bookmarkStart w:id="485" w:name="_Toc107922602"/>
      <w:r w:rsidRPr="00FF338C">
        <w:t>Temporarily unavailability</w:t>
      </w:r>
      <w:bookmarkEnd w:id="482"/>
      <w:bookmarkEnd w:id="483"/>
      <w:r w:rsidRPr="00FF338C">
        <w:t xml:space="preserve"> of a method of estimating emissions</w:t>
      </w:r>
      <w:bookmarkEnd w:id="484"/>
      <w:bookmarkEnd w:id="485"/>
    </w:p>
    <w:p w14:paraId="3AB4231F" w14:textId="77777777" w:rsidR="00A57A5C" w:rsidRPr="00FF338C" w:rsidRDefault="00A57A5C" w:rsidP="00A57A5C">
      <w:r w:rsidRPr="00FF338C">
        <w:t>Reporters</w:t>
      </w:r>
      <w:r w:rsidRPr="00FF338C" w:rsidDel="008B66D1">
        <w:t xml:space="preserve"> </w:t>
      </w:r>
      <w:r>
        <w:t>must</w:t>
      </w:r>
      <w:r w:rsidRPr="00FF338C">
        <w:t xml:space="preserve"> observe the requirements in section 1.19 of the </w:t>
      </w:r>
      <w:r>
        <w:t>NGER Measurement Determination</w:t>
      </w:r>
      <w:r w:rsidRPr="00FF338C">
        <w:t xml:space="preserve"> with respect to down time of equipment to monitor fuels and emissions:</w:t>
      </w:r>
    </w:p>
    <w:p w14:paraId="2BB41FEC" w14:textId="73FF6E14" w:rsidR="00A57A5C" w:rsidRPr="00FF338C" w:rsidRDefault="00A57A5C" w:rsidP="00B3330E">
      <w:pPr>
        <w:numPr>
          <w:ilvl w:val="0"/>
          <w:numId w:val="1"/>
        </w:numPr>
        <w:spacing w:before="120" w:after="120"/>
      </w:pPr>
      <w:r w:rsidRPr="00FF338C">
        <w:t xml:space="preserve">If the down time in a year is </w:t>
      </w:r>
      <w:r w:rsidR="00B44434">
        <w:t>6</w:t>
      </w:r>
      <w:r w:rsidRPr="00FF338C">
        <w:t xml:space="preserve"> weeks (42 days) or less, each day of the down time can be estimated consistent with the principles of section 1.13 of the </w:t>
      </w:r>
      <w:r>
        <w:t>NGER Measurement Determination</w:t>
      </w:r>
      <w:r w:rsidRPr="00FF338C">
        <w:t xml:space="preserve">. </w:t>
      </w:r>
    </w:p>
    <w:p w14:paraId="38397B66" w14:textId="12C06123" w:rsidR="00A57A5C" w:rsidRPr="00FF338C" w:rsidRDefault="00A57A5C" w:rsidP="00B3330E">
      <w:pPr>
        <w:numPr>
          <w:ilvl w:val="0"/>
          <w:numId w:val="1"/>
        </w:numPr>
        <w:spacing w:before="120" w:after="120"/>
      </w:pPr>
      <w:r>
        <w:t xml:space="preserve">If the down time exceeds </w:t>
      </w:r>
      <w:r w:rsidR="00B44434">
        <w:t>6</w:t>
      </w:r>
      <w:r>
        <w:t xml:space="preserve"> weeks in a year, and within </w:t>
      </w:r>
      <w:r w:rsidR="00B44434">
        <w:t>6</w:t>
      </w:r>
      <w:r>
        <w:t xml:space="preserve"> weeks after the day when down time exceeds </w:t>
      </w:r>
      <w:r w:rsidR="00B44434">
        <w:t>6</w:t>
      </w:r>
      <w:r>
        <w:t xml:space="preserve"> weeks, the registered controlling corporation or responsible emitter must inform the agency in writing of the following: </w:t>
      </w:r>
    </w:p>
    <w:p w14:paraId="103FC9A8" w14:textId="3AA4172C" w:rsidR="00A57A5C" w:rsidRPr="00FF338C" w:rsidRDefault="00A57A5C" w:rsidP="00B3330E">
      <w:pPr>
        <w:pStyle w:val="CERbullets"/>
        <w:numPr>
          <w:ilvl w:val="1"/>
          <w:numId w:val="1"/>
        </w:numPr>
      </w:pPr>
      <w:r w:rsidRPr="00FF338C">
        <w:t xml:space="preserve">the reason why down time is more than </w:t>
      </w:r>
      <w:r w:rsidR="00B44434">
        <w:t>6</w:t>
      </w:r>
      <w:r w:rsidRPr="00FF338C">
        <w:t xml:space="preserve"> weeks</w:t>
      </w:r>
    </w:p>
    <w:p w14:paraId="7A27DE16" w14:textId="77777777" w:rsidR="00A57A5C" w:rsidRPr="00FF338C" w:rsidRDefault="00A57A5C" w:rsidP="00B3330E">
      <w:pPr>
        <w:pStyle w:val="CERbullets"/>
        <w:numPr>
          <w:ilvl w:val="1"/>
          <w:numId w:val="1"/>
        </w:numPr>
      </w:pPr>
      <w:r w:rsidRPr="00FF338C">
        <w:t>how the corporation or entity plans to minimise down time</w:t>
      </w:r>
    </w:p>
    <w:p w14:paraId="667FEAB3" w14:textId="77777777" w:rsidR="00A57A5C" w:rsidRPr="00FF338C" w:rsidRDefault="00A57A5C" w:rsidP="00B3330E">
      <w:pPr>
        <w:pStyle w:val="CERbullets"/>
        <w:numPr>
          <w:ilvl w:val="1"/>
          <w:numId w:val="1"/>
        </w:numPr>
      </w:pPr>
      <w:r w:rsidRPr="00FF338C">
        <w:t>how emissions have been estimated during the down time.</w:t>
      </w:r>
    </w:p>
    <w:p w14:paraId="545BC6D8" w14:textId="77777777" w:rsidR="00A57A5C" w:rsidRPr="00FF338C" w:rsidRDefault="00A57A5C" w:rsidP="00A57A5C">
      <w:r w:rsidRPr="00FF338C">
        <w:t>This ‘down time’ requirement is applicable to all emissions sources. It is of particular</w:t>
      </w:r>
      <w:r>
        <w:t>ly</w:t>
      </w:r>
      <w:r w:rsidRPr="00FF338C">
        <w:t xml:space="preserve"> relevan</w:t>
      </w:r>
      <w:r>
        <w:t>ce</w:t>
      </w:r>
      <w:r w:rsidRPr="00FF338C">
        <w:t xml:space="preserve"> to thermal power stations conducting continuous monitoring of fuel quantities (for example, flow meters or weightometers under </w:t>
      </w:r>
      <w:r>
        <w:t>m</w:t>
      </w:r>
      <w:r w:rsidRPr="00FF338C">
        <w:t xml:space="preserve">ethods 1, 2 and 3) and composition under </w:t>
      </w:r>
      <w:r>
        <w:t>m</w:t>
      </w:r>
      <w:r w:rsidRPr="00FF338C">
        <w:t>ethod 2 or 3.</w:t>
      </w:r>
    </w:p>
    <w:p w14:paraId="5FE822EF" w14:textId="49161D40" w:rsidR="00A57A5C" w:rsidRPr="00FF338C" w:rsidRDefault="00A57A5C" w:rsidP="00A57A5C">
      <w:r w:rsidRPr="00FF338C">
        <w:t xml:space="preserve">In addition, this is also relevant to the use of CEM and PEM under NGER method 4. Note that for this to be applicable to CEM, the down time cannot exceed </w:t>
      </w:r>
      <w:r>
        <w:t>10%</w:t>
      </w:r>
      <w:r w:rsidRPr="00FF338C">
        <w:t xml:space="preserve"> of the year (36.5 or 36.6 days) – </w:t>
      </w:r>
      <w:r>
        <w:t>for example,</w:t>
      </w:r>
      <w:r w:rsidRPr="00FF338C">
        <w:t xml:space="preserve"> maximum </w:t>
      </w:r>
      <w:r w:rsidR="001848D4">
        <w:t>5</w:t>
      </w:r>
      <w:r w:rsidRPr="00FF338C">
        <w:t xml:space="preserve"> weeks and one day (excluding down time for calibration), per subsection 1.26(4). For PEM, if monthly emissions monitoring is applied, only one measurement period can be missed. </w:t>
      </w:r>
    </w:p>
    <w:p w14:paraId="67911C30" w14:textId="77777777" w:rsidR="00A57A5C" w:rsidRPr="00FF338C" w:rsidRDefault="00A57A5C" w:rsidP="00A57A5C"/>
    <w:p w14:paraId="44F356D2" w14:textId="77777777" w:rsidR="00A57A5C" w:rsidRPr="00FF338C" w:rsidRDefault="00A57A5C" w:rsidP="00A57A5C">
      <w:pPr>
        <w:spacing w:after="0"/>
        <w:rPr>
          <w:rFonts w:eastAsia="Times New Roman"/>
          <w:b/>
          <w:bCs/>
          <w:color w:val="005874"/>
          <w:sz w:val="30"/>
          <w:szCs w:val="26"/>
        </w:rPr>
      </w:pPr>
      <w:r w:rsidRPr="00FF338C">
        <w:br w:type="page"/>
      </w:r>
    </w:p>
    <w:p w14:paraId="46569A05" w14:textId="77777777" w:rsidR="00A57A5C" w:rsidRPr="00FF338C" w:rsidRDefault="00A57A5C" w:rsidP="00B3330E">
      <w:pPr>
        <w:pStyle w:val="Heading1"/>
        <w:numPr>
          <w:ilvl w:val="0"/>
          <w:numId w:val="3"/>
        </w:numPr>
        <w:rPr>
          <w:lang w:val="en-GB"/>
        </w:rPr>
      </w:pPr>
      <w:bookmarkStart w:id="486" w:name="_Toc511115545"/>
      <w:bookmarkStart w:id="487" w:name="_Toc506277360"/>
      <w:bookmarkStart w:id="488" w:name="_Toc512010427"/>
      <w:bookmarkStart w:id="489" w:name="_Toc512339627"/>
      <w:bookmarkStart w:id="490" w:name="_Toc106705779"/>
      <w:bookmarkStart w:id="491" w:name="_Toc107922603"/>
      <w:r>
        <w:rPr>
          <w:lang w:val="en-GB"/>
        </w:rPr>
        <w:t>More</w:t>
      </w:r>
      <w:r w:rsidRPr="00FF338C">
        <w:rPr>
          <w:lang w:val="en-GB"/>
        </w:rPr>
        <w:t xml:space="preserve"> information</w:t>
      </w:r>
      <w:bookmarkEnd w:id="486"/>
      <w:r w:rsidRPr="00FF338C">
        <w:rPr>
          <w:lang w:val="en-GB"/>
        </w:rPr>
        <w:t xml:space="preserve"> </w:t>
      </w:r>
      <w:bookmarkEnd w:id="487"/>
      <w:r w:rsidRPr="00FF338C">
        <w:rPr>
          <w:lang w:val="en-GB"/>
        </w:rPr>
        <w:t>and references</w:t>
      </w:r>
      <w:bookmarkEnd w:id="488"/>
      <w:bookmarkEnd w:id="489"/>
      <w:bookmarkEnd w:id="490"/>
      <w:bookmarkEnd w:id="491"/>
    </w:p>
    <w:p w14:paraId="035F8298" w14:textId="77777777" w:rsidR="00A57A5C" w:rsidRPr="00FF338C" w:rsidRDefault="00A57A5C" w:rsidP="00A57A5C">
      <w:r w:rsidRPr="00FF338C">
        <w:t xml:space="preserve">The </w:t>
      </w:r>
      <w:r>
        <w:t>agency</w:t>
      </w:r>
      <w:r w:rsidRPr="00FF338C">
        <w:t xml:space="preserve"> has developed this guideline for use by the electricity sector to assist in the consistent accounting and reporting of greenhouse gas emissions, energy consumption and energy production in accordance with the NGER legislation.</w:t>
      </w:r>
    </w:p>
    <w:p w14:paraId="0221AD5B" w14:textId="77777777" w:rsidR="00A57A5C" w:rsidRPr="00FF338C" w:rsidRDefault="00A57A5C" w:rsidP="00A57A5C">
      <w:pPr>
        <w:pStyle w:val="Heading2"/>
      </w:pPr>
      <w:bookmarkStart w:id="492" w:name="_Toc511266302"/>
      <w:bookmarkStart w:id="493" w:name="_Toc510679827"/>
      <w:bookmarkStart w:id="494" w:name="_Toc511376952"/>
      <w:bookmarkStart w:id="495" w:name="_Toc511388549"/>
      <w:bookmarkStart w:id="496" w:name="_Toc511389471"/>
      <w:bookmarkStart w:id="497" w:name="_Toc511392979"/>
      <w:bookmarkStart w:id="498" w:name="_Toc526869782"/>
      <w:bookmarkStart w:id="499" w:name="_Toc106705780"/>
      <w:bookmarkStart w:id="500" w:name="_Toc107922604"/>
      <w:r>
        <w:t>More</w:t>
      </w:r>
      <w:r w:rsidRPr="00FF338C">
        <w:t xml:space="preserve"> information</w:t>
      </w:r>
      <w:bookmarkEnd w:id="492"/>
      <w:bookmarkEnd w:id="493"/>
      <w:bookmarkEnd w:id="494"/>
      <w:bookmarkEnd w:id="495"/>
      <w:bookmarkEnd w:id="496"/>
      <w:bookmarkEnd w:id="497"/>
      <w:bookmarkEnd w:id="498"/>
      <w:bookmarkEnd w:id="499"/>
      <w:bookmarkEnd w:id="500"/>
    </w:p>
    <w:p w14:paraId="61042F02" w14:textId="77777777" w:rsidR="00A57A5C" w:rsidRPr="00FF338C" w:rsidRDefault="00A57A5C" w:rsidP="00A57A5C">
      <w:r w:rsidRPr="00FF338C">
        <w:t xml:space="preserve">For more information, please contact the </w:t>
      </w:r>
      <w:r>
        <w:t>agency:</w:t>
      </w:r>
    </w:p>
    <w:p w14:paraId="788C4D59" w14:textId="77777777" w:rsidR="00A57A5C" w:rsidRPr="00FF338C" w:rsidRDefault="00A57A5C" w:rsidP="00A57A5C">
      <w:r w:rsidRPr="00FF338C">
        <w:t>Email:</w:t>
      </w:r>
      <w:r>
        <w:t xml:space="preserve"> </w:t>
      </w:r>
      <w:hyperlink r:id="rId55" w:history="1">
        <w:r w:rsidRPr="00F979D1">
          <w:rPr>
            <w:rStyle w:val="Hyperlink"/>
            <w:szCs w:val="22"/>
          </w:rPr>
          <w:t>reporting@cleanenergyregulator.gov.au</w:t>
        </w:r>
      </w:hyperlink>
    </w:p>
    <w:p w14:paraId="39803636" w14:textId="77777777" w:rsidR="00A57A5C" w:rsidRPr="00FF338C" w:rsidRDefault="00A57A5C" w:rsidP="00A57A5C">
      <w:r w:rsidRPr="00FF338C">
        <w:t>Phone:</w:t>
      </w:r>
      <w:r w:rsidRPr="003F37EC">
        <w:rPr>
          <w:bCs/>
        </w:rPr>
        <w:t xml:space="preserve"> </w:t>
      </w:r>
      <w:r w:rsidRPr="009C0388">
        <w:rPr>
          <w:bCs/>
        </w:rPr>
        <w:t>1300 553 542</w:t>
      </w:r>
      <w:r w:rsidRPr="00FF338C">
        <w:rPr>
          <w:b/>
        </w:rPr>
        <w:t xml:space="preserve"> </w:t>
      </w:r>
      <w:r w:rsidRPr="00FF338C">
        <w:t xml:space="preserve">within Australia </w:t>
      </w:r>
    </w:p>
    <w:p w14:paraId="06AC783B" w14:textId="77777777" w:rsidR="00A57A5C" w:rsidRPr="00FF338C" w:rsidRDefault="00A57A5C" w:rsidP="00A57A5C">
      <w:r w:rsidRPr="00FF338C">
        <w:t>Web</w:t>
      </w:r>
      <w:r>
        <w:t>site</w:t>
      </w:r>
      <w:r w:rsidRPr="00FF338C">
        <w:t>:</w:t>
      </w:r>
      <w:r>
        <w:t xml:space="preserve"> </w:t>
      </w:r>
      <w:hyperlink r:id="rId56" w:history="1">
        <w:r w:rsidRPr="00F979D1">
          <w:rPr>
            <w:rStyle w:val="Hyperlink"/>
          </w:rPr>
          <w:t>www.cleanenergyregulator.gov.au</w:t>
        </w:r>
      </w:hyperlink>
    </w:p>
    <w:p w14:paraId="218D3545" w14:textId="77777777" w:rsidR="00A57A5C" w:rsidRPr="00FF338C" w:rsidRDefault="00A57A5C" w:rsidP="00A57A5C">
      <w:pPr>
        <w:pStyle w:val="Heading2"/>
      </w:pPr>
      <w:bookmarkStart w:id="501" w:name="_Toc511266303"/>
      <w:bookmarkStart w:id="502" w:name="_Toc510679828"/>
      <w:bookmarkStart w:id="503" w:name="_Toc511376953"/>
      <w:bookmarkStart w:id="504" w:name="_Toc511388550"/>
      <w:bookmarkStart w:id="505" w:name="_Toc511389472"/>
      <w:bookmarkStart w:id="506" w:name="_Toc511392980"/>
      <w:bookmarkStart w:id="507" w:name="_Toc526869783"/>
      <w:bookmarkStart w:id="508" w:name="_Toc106705781"/>
      <w:bookmarkStart w:id="509" w:name="_Toc107922605"/>
      <w:r w:rsidRPr="00FF338C">
        <w:t>References</w:t>
      </w:r>
      <w:bookmarkEnd w:id="501"/>
      <w:bookmarkEnd w:id="502"/>
      <w:bookmarkEnd w:id="503"/>
      <w:bookmarkEnd w:id="504"/>
      <w:bookmarkEnd w:id="505"/>
      <w:bookmarkEnd w:id="506"/>
      <w:bookmarkEnd w:id="507"/>
      <w:bookmarkEnd w:id="508"/>
      <w:bookmarkEnd w:id="509"/>
    </w:p>
    <w:p w14:paraId="414156A2" w14:textId="77777777" w:rsidR="00A57A5C" w:rsidRPr="00FF338C" w:rsidRDefault="000D1A50" w:rsidP="00A57A5C">
      <w:hyperlink r:id="rId57" w:history="1">
        <w:r w:rsidR="00A57A5C" w:rsidRPr="00D3644B">
          <w:rPr>
            <w:rStyle w:val="Hyperlink"/>
            <w:rFonts w:asciiTheme="minorHAnsi" w:hAnsiTheme="minorHAnsi"/>
            <w:i/>
          </w:rPr>
          <w:t>National Greenhouse and Energy Reporting Act 2007</w:t>
        </w:r>
      </w:hyperlink>
      <w:r w:rsidR="00A57A5C">
        <w:rPr>
          <w:rStyle w:val="FootnoteReference"/>
          <w:i/>
        </w:rPr>
        <w:footnoteReference w:id="25"/>
      </w:r>
      <w:r w:rsidR="00A57A5C" w:rsidRPr="00FF338C">
        <w:t xml:space="preserve"> (NGER Act)</w:t>
      </w:r>
    </w:p>
    <w:p w14:paraId="02A55208" w14:textId="77777777" w:rsidR="00A57A5C" w:rsidRPr="00FF338C" w:rsidRDefault="000D1A50" w:rsidP="00A57A5C">
      <w:hyperlink r:id="rId58" w:history="1">
        <w:r w:rsidR="00A57A5C" w:rsidRPr="00D3644B">
          <w:rPr>
            <w:rStyle w:val="Hyperlink"/>
            <w:rFonts w:asciiTheme="minorHAnsi" w:hAnsiTheme="minorHAnsi"/>
          </w:rPr>
          <w:t>National Greenhouse and Energy Reporting Regulations 2008</w:t>
        </w:r>
      </w:hyperlink>
      <w:r w:rsidR="00A57A5C">
        <w:rPr>
          <w:rStyle w:val="FootnoteReference"/>
        </w:rPr>
        <w:footnoteReference w:id="26"/>
      </w:r>
      <w:r w:rsidR="00A57A5C" w:rsidRPr="00FF338C">
        <w:t xml:space="preserve"> (NGER Regulations)</w:t>
      </w:r>
    </w:p>
    <w:p w14:paraId="1B48B3D5" w14:textId="77777777" w:rsidR="00A57A5C" w:rsidRPr="00FF338C" w:rsidRDefault="000D1A50" w:rsidP="00A57A5C">
      <w:hyperlink r:id="rId59" w:history="1">
        <w:r w:rsidR="00A57A5C" w:rsidRPr="00D3644B">
          <w:rPr>
            <w:rStyle w:val="Hyperlink"/>
            <w:rFonts w:asciiTheme="minorHAnsi" w:hAnsiTheme="minorHAnsi"/>
          </w:rPr>
          <w:t>National Greenhouse and Energy Reporting (Measurement) Determination 2008</w:t>
        </w:r>
      </w:hyperlink>
      <w:r w:rsidR="00A57A5C">
        <w:rPr>
          <w:rStyle w:val="FootnoteReference"/>
        </w:rPr>
        <w:footnoteReference w:id="27"/>
      </w:r>
      <w:r w:rsidR="00A57A5C" w:rsidRPr="00FF338C">
        <w:t xml:space="preserve"> (</w:t>
      </w:r>
      <w:r w:rsidR="00A57A5C">
        <w:t>NGER Measurement Determination</w:t>
      </w:r>
      <w:r w:rsidR="00A57A5C" w:rsidRPr="00FF338C">
        <w:t>)</w:t>
      </w:r>
      <w:r w:rsidR="00A57A5C">
        <w:t>.</w:t>
      </w:r>
    </w:p>
    <w:p w14:paraId="4F27AB53" w14:textId="77777777" w:rsidR="00A57A5C" w:rsidRPr="00FF338C" w:rsidRDefault="00A57A5C" w:rsidP="00A57A5C">
      <w:pPr>
        <w:spacing w:before="120" w:after="120"/>
        <w:rPr>
          <w:color w:val="auto"/>
        </w:rPr>
      </w:pPr>
      <w:r>
        <w:rPr>
          <w:color w:val="auto"/>
        </w:rPr>
        <w:t xml:space="preserve">See </w:t>
      </w:r>
      <w:hyperlink r:id="rId60" w:history="1">
        <w:r>
          <w:rPr>
            <w:rStyle w:val="Hyperlink"/>
            <w:rFonts w:asciiTheme="minorHAnsi" w:hAnsiTheme="minorHAnsi"/>
          </w:rPr>
          <w:t>Guidelines</w:t>
        </w:r>
      </w:hyperlink>
      <w:r>
        <w:rPr>
          <w:rStyle w:val="FootnoteReference"/>
          <w:color w:val="auto"/>
        </w:rPr>
        <w:footnoteReference w:id="28"/>
      </w:r>
      <w:r w:rsidRPr="00FF338C">
        <w:rPr>
          <w:color w:val="auto"/>
        </w:rPr>
        <w:t xml:space="preserve"> </w:t>
      </w:r>
      <w:r>
        <w:rPr>
          <w:color w:val="auto"/>
        </w:rPr>
        <w:t>for guidance</w:t>
      </w:r>
      <w:r w:rsidRPr="00FF338C">
        <w:rPr>
          <w:color w:val="auto"/>
        </w:rPr>
        <w:t xml:space="preserve"> on:</w:t>
      </w:r>
    </w:p>
    <w:p w14:paraId="3FE481CB" w14:textId="77777777" w:rsidR="00A57A5C" w:rsidRPr="00FF338C" w:rsidRDefault="00A57A5C" w:rsidP="00B3330E">
      <w:pPr>
        <w:numPr>
          <w:ilvl w:val="0"/>
          <w:numId w:val="4"/>
        </w:numPr>
        <w:spacing w:before="120" w:after="120"/>
      </w:pPr>
      <w:r>
        <w:t>d</w:t>
      </w:r>
      <w:r w:rsidRPr="00FF338C">
        <w:t>efining a facility</w:t>
      </w:r>
    </w:p>
    <w:p w14:paraId="3C541F24" w14:textId="77777777" w:rsidR="00A57A5C" w:rsidRPr="00FF338C" w:rsidRDefault="00A57A5C" w:rsidP="00B3330E">
      <w:pPr>
        <w:numPr>
          <w:ilvl w:val="0"/>
          <w:numId w:val="4"/>
        </w:numPr>
        <w:spacing w:before="120" w:after="120"/>
      </w:pPr>
      <w:r>
        <w:t>o</w:t>
      </w:r>
      <w:r w:rsidRPr="00FF338C">
        <w:t>perational control</w:t>
      </w:r>
    </w:p>
    <w:p w14:paraId="023B6C1E" w14:textId="77777777" w:rsidR="00A57A5C" w:rsidRPr="00FF338C" w:rsidRDefault="00A57A5C" w:rsidP="00B3330E">
      <w:pPr>
        <w:numPr>
          <w:ilvl w:val="0"/>
          <w:numId w:val="4"/>
        </w:numPr>
        <w:spacing w:before="120" w:after="120"/>
      </w:pPr>
      <w:r>
        <w:t>m</w:t>
      </w:r>
      <w:r w:rsidRPr="00FF338C">
        <w:t>easurement criteria</w:t>
      </w:r>
    </w:p>
    <w:p w14:paraId="3CAF6BAD" w14:textId="77777777" w:rsidR="00A57A5C" w:rsidRPr="00FF338C" w:rsidRDefault="00A57A5C" w:rsidP="00B3330E">
      <w:pPr>
        <w:numPr>
          <w:ilvl w:val="0"/>
          <w:numId w:val="4"/>
        </w:numPr>
        <w:spacing w:before="120" w:after="120"/>
      </w:pPr>
      <w:r>
        <w:t>r</w:t>
      </w:r>
      <w:r w:rsidRPr="00FF338C">
        <w:t>eporting energy production and consumption</w:t>
      </w:r>
    </w:p>
    <w:p w14:paraId="30C2AF35" w14:textId="77777777" w:rsidR="00A57A5C" w:rsidRPr="00FF338C" w:rsidRDefault="00A57A5C" w:rsidP="00B3330E">
      <w:pPr>
        <w:numPr>
          <w:ilvl w:val="0"/>
          <w:numId w:val="4"/>
        </w:numPr>
        <w:spacing w:before="120" w:after="120"/>
      </w:pPr>
      <w:r>
        <w:t>r</w:t>
      </w:r>
      <w:r w:rsidRPr="00FF338C">
        <w:t>eporting consumption of liquid fuels guideline</w:t>
      </w:r>
    </w:p>
    <w:p w14:paraId="37C84930" w14:textId="77777777" w:rsidR="00A57A5C" w:rsidRPr="00FF338C" w:rsidRDefault="00A57A5C" w:rsidP="00B3330E">
      <w:pPr>
        <w:numPr>
          <w:ilvl w:val="0"/>
          <w:numId w:val="4"/>
        </w:numPr>
        <w:spacing w:before="120" w:after="120"/>
      </w:pPr>
      <w:r>
        <w:t>r</w:t>
      </w:r>
      <w:r w:rsidRPr="00FF338C">
        <w:t>eporting hydrofluorocarbons and sulphur hexafluoride gases</w:t>
      </w:r>
    </w:p>
    <w:p w14:paraId="19AC947A" w14:textId="77777777" w:rsidR="00A57A5C" w:rsidRPr="00FF338C" w:rsidRDefault="00A57A5C" w:rsidP="00B3330E">
      <w:pPr>
        <w:numPr>
          <w:ilvl w:val="0"/>
          <w:numId w:val="4"/>
        </w:numPr>
        <w:spacing w:before="120" w:after="120"/>
      </w:pPr>
      <w:r>
        <w:t>p</w:t>
      </w:r>
      <w:r w:rsidRPr="00FF338C">
        <w:t>etroleum-based oils and greases</w:t>
      </w:r>
    </w:p>
    <w:p w14:paraId="0CC8BE3A" w14:textId="77777777" w:rsidR="00A57A5C" w:rsidRPr="00FF338C" w:rsidRDefault="00A57A5C" w:rsidP="00B3330E">
      <w:pPr>
        <w:numPr>
          <w:ilvl w:val="0"/>
          <w:numId w:val="4"/>
        </w:numPr>
        <w:spacing w:before="120" w:after="120"/>
      </w:pPr>
      <w:r>
        <w:t>r</w:t>
      </w:r>
      <w:r w:rsidRPr="00FF338C">
        <w:t>eporting blended fuels and other fuel mixes</w:t>
      </w:r>
    </w:p>
    <w:p w14:paraId="0C366980" w14:textId="77777777" w:rsidR="00A57A5C" w:rsidRPr="00AB3D99" w:rsidRDefault="00A57A5C" w:rsidP="00B3330E">
      <w:pPr>
        <w:numPr>
          <w:ilvl w:val="0"/>
          <w:numId w:val="4"/>
        </w:numPr>
        <w:spacing w:before="120" w:after="120"/>
      </w:pPr>
      <w:r>
        <w:t>r</w:t>
      </w:r>
      <w:r w:rsidRPr="00FF338C">
        <w:t>eporting uncertainty.</w:t>
      </w:r>
    </w:p>
    <w:p w14:paraId="1E7A1058" w14:textId="77777777" w:rsidR="00A57A5C" w:rsidRPr="00FF338C" w:rsidRDefault="00A57A5C" w:rsidP="00A57A5C">
      <w:pPr>
        <w:pStyle w:val="Heading1"/>
      </w:pPr>
      <w:r w:rsidRPr="00FF338C">
        <w:br w:type="column"/>
      </w:r>
      <w:bookmarkStart w:id="510" w:name="_Toc511376954"/>
      <w:bookmarkStart w:id="511" w:name="_Toc511388551"/>
      <w:bookmarkStart w:id="512" w:name="_Toc511389473"/>
      <w:bookmarkStart w:id="513" w:name="_Toc511392981"/>
      <w:bookmarkStart w:id="514" w:name="_Toc511732506"/>
      <w:bookmarkStart w:id="515" w:name="_Toc512010428"/>
      <w:bookmarkStart w:id="516" w:name="_Toc512339628"/>
      <w:bookmarkStart w:id="517" w:name="_Toc106705782"/>
      <w:bookmarkStart w:id="518" w:name="_Toc107922606"/>
      <w:r w:rsidRPr="00FF338C">
        <w:t>Appendices</w:t>
      </w:r>
      <w:bookmarkStart w:id="519" w:name="_Toc512010429"/>
      <w:bookmarkStart w:id="520" w:name="_Toc512339629"/>
      <w:bookmarkEnd w:id="510"/>
      <w:bookmarkEnd w:id="511"/>
      <w:bookmarkEnd w:id="512"/>
      <w:bookmarkEnd w:id="513"/>
      <w:bookmarkEnd w:id="514"/>
      <w:bookmarkEnd w:id="515"/>
      <w:bookmarkEnd w:id="516"/>
      <w:bookmarkEnd w:id="517"/>
      <w:bookmarkEnd w:id="518"/>
    </w:p>
    <w:p w14:paraId="4BD1C653" w14:textId="77777777" w:rsidR="00A57A5C" w:rsidRPr="00FF338C" w:rsidRDefault="00A57A5C" w:rsidP="00A57A5C">
      <w:pPr>
        <w:pStyle w:val="Heading2"/>
      </w:pPr>
      <w:bookmarkStart w:id="521" w:name="_Appendix_A_–"/>
      <w:bookmarkStart w:id="522" w:name="_Toc106705783"/>
      <w:bookmarkStart w:id="523" w:name="_Toc107922607"/>
      <w:bookmarkEnd w:id="521"/>
      <w:r w:rsidRPr="00FF338C">
        <w:t>Appendix A – Case examples for electricity sector facilities</w:t>
      </w:r>
      <w:bookmarkEnd w:id="519"/>
      <w:bookmarkEnd w:id="520"/>
      <w:bookmarkEnd w:id="522"/>
      <w:bookmarkEnd w:id="523"/>
    </w:p>
    <w:p w14:paraId="49B24D7F" w14:textId="77777777" w:rsidR="00A57A5C" w:rsidRPr="00FF338C" w:rsidRDefault="00A57A5C" w:rsidP="00A57A5C">
      <w:pPr>
        <w:pStyle w:val="Heading3"/>
        <w:rPr>
          <w:lang w:val="en-GB"/>
        </w:rPr>
      </w:pPr>
      <w:bookmarkStart w:id="524" w:name="_Case_example_1:"/>
      <w:bookmarkStart w:id="525" w:name="_Toc511115547"/>
      <w:bookmarkStart w:id="526" w:name="_Toc512010430"/>
      <w:bookmarkStart w:id="527" w:name="_Toc512339630"/>
      <w:bookmarkStart w:id="528" w:name="_Toc107922608"/>
      <w:bookmarkEnd w:id="524"/>
      <w:r w:rsidRPr="00FF338C">
        <w:rPr>
          <w:lang w:val="en-GB"/>
        </w:rPr>
        <w:t>Case example 1: Gas-fired power plant</w:t>
      </w:r>
      <w:bookmarkEnd w:id="525"/>
      <w:bookmarkEnd w:id="526"/>
      <w:bookmarkEnd w:id="527"/>
      <w:bookmarkEnd w:id="528"/>
    </w:p>
    <w:p w14:paraId="5853D7D4" w14:textId="77777777" w:rsidR="00A57A5C" w:rsidRDefault="00A57A5C" w:rsidP="00A57A5C">
      <w:r w:rsidRPr="00FF338C">
        <w:fldChar w:fldCharType="begin"/>
      </w:r>
      <w:r w:rsidRPr="00FF338C">
        <w:instrText xml:space="preserve"> REF _Ref511121853 \h  \* MERGEFORMAT </w:instrText>
      </w:r>
      <w:r w:rsidRPr="00FF338C">
        <w:fldChar w:fldCharType="separate"/>
      </w:r>
      <w:r w:rsidRPr="00FF338C">
        <w:t xml:space="preserve">Figure </w:t>
      </w:r>
      <w:r>
        <w:t>8</w:t>
      </w:r>
      <w:r w:rsidRPr="00FF338C">
        <w:fldChar w:fldCharType="end"/>
      </w:r>
      <w:r>
        <w:t xml:space="preserve"> </w:t>
      </w:r>
      <w:r w:rsidRPr="00FF338C">
        <w:t xml:space="preserve">shows an overview of the main types of energy production and consumption processes at a gas-fired power plant. Each circled number on the diagram relates to a main process point. </w:t>
      </w:r>
      <w:r w:rsidRPr="00FF338C">
        <w:fldChar w:fldCharType="begin"/>
      </w:r>
      <w:r w:rsidRPr="00FF338C">
        <w:instrText xml:space="preserve"> REF _Ref512340973 \h  \* MERGEFORMAT </w:instrText>
      </w:r>
      <w:r w:rsidRPr="00FF338C">
        <w:fldChar w:fldCharType="separate"/>
      </w:r>
    </w:p>
    <w:p w14:paraId="238BBFED" w14:textId="77777777" w:rsidR="00A57A5C" w:rsidRPr="00FF338C" w:rsidRDefault="00A57A5C" w:rsidP="00A57A5C">
      <w:r w:rsidRPr="00FF338C">
        <w:rPr>
          <w:noProof/>
        </w:rPr>
        <w:t xml:space="preserve">Table </w:t>
      </w:r>
      <w:r>
        <w:rPr>
          <w:noProof/>
        </w:rPr>
        <w:t>10</w:t>
      </w:r>
      <w:r w:rsidRPr="00FF338C">
        <w:fldChar w:fldCharType="end"/>
      </w:r>
      <w:r w:rsidRPr="00FF338C">
        <w:t xml:space="preserve"> shows the emissions, energy consumption, energy production reporting requirements associated with each of these process points.</w:t>
      </w:r>
    </w:p>
    <w:p w14:paraId="434EADC1" w14:textId="77777777" w:rsidR="00A57A5C" w:rsidRPr="00FF338C" w:rsidRDefault="00A57A5C" w:rsidP="00A57A5C">
      <w:pPr>
        <w:pStyle w:val="Heading4"/>
      </w:pPr>
      <w:bookmarkStart w:id="529" w:name="_Toc107922609"/>
      <w:r w:rsidRPr="00FF338C">
        <w:t>NGER activities and industry sector</w:t>
      </w:r>
      <w:bookmarkEnd w:id="529"/>
    </w:p>
    <w:p w14:paraId="3C6CA9F8" w14:textId="77777777" w:rsidR="00A57A5C" w:rsidRPr="00FF338C" w:rsidRDefault="00A57A5C" w:rsidP="00A57A5C">
      <w:pPr>
        <w:pStyle w:val="Body"/>
        <w:ind w:left="0"/>
        <w:rPr>
          <w:rFonts w:asciiTheme="minorHAnsi" w:hAnsiTheme="minorHAnsi"/>
          <w:sz w:val="22"/>
          <w:szCs w:val="22"/>
        </w:rPr>
      </w:pPr>
      <w:r w:rsidRPr="00FF338C">
        <w:rPr>
          <w:rFonts w:asciiTheme="minorHAnsi" w:hAnsiTheme="minorHAnsi"/>
          <w:sz w:val="22"/>
          <w:szCs w:val="22"/>
        </w:rPr>
        <w:t xml:space="preserve">The gas power plant facility has been classified as a single facility for NGER reporting purposes. The correct </w:t>
      </w:r>
      <w:r w:rsidRPr="00EE187E">
        <w:rPr>
          <w:rFonts w:asciiTheme="minorHAnsi" w:hAnsiTheme="minorHAnsi"/>
          <w:sz w:val="22"/>
          <w:szCs w:val="22"/>
        </w:rPr>
        <w:t xml:space="preserve">Australian and New Zealand Standard Industrial Classification </w:t>
      </w:r>
      <w:r>
        <w:rPr>
          <w:rFonts w:asciiTheme="minorHAnsi" w:hAnsiTheme="minorHAnsi"/>
          <w:sz w:val="22"/>
          <w:szCs w:val="22"/>
        </w:rPr>
        <w:t>(</w:t>
      </w:r>
      <w:r w:rsidRPr="00FF338C">
        <w:rPr>
          <w:rFonts w:asciiTheme="minorHAnsi" w:hAnsiTheme="minorHAnsi"/>
          <w:sz w:val="22"/>
          <w:szCs w:val="22"/>
        </w:rPr>
        <w:t>ANZSIC</w:t>
      </w:r>
      <w:r>
        <w:rPr>
          <w:rFonts w:asciiTheme="minorHAnsi" w:hAnsiTheme="minorHAnsi"/>
          <w:sz w:val="22"/>
          <w:szCs w:val="22"/>
        </w:rPr>
        <w:t>)</w:t>
      </w:r>
      <w:r w:rsidRPr="00FF338C">
        <w:rPr>
          <w:rFonts w:asciiTheme="minorHAnsi" w:hAnsiTheme="minorHAnsi"/>
          <w:sz w:val="22"/>
          <w:szCs w:val="22"/>
        </w:rPr>
        <w:t xml:space="preserve"> code is ‘261 Electricity generation’. It includes the following reportable activities:</w:t>
      </w:r>
    </w:p>
    <w:p w14:paraId="2FC1554E" w14:textId="77777777" w:rsidR="00A57A5C" w:rsidRDefault="00A57A5C" w:rsidP="00B3330E">
      <w:pPr>
        <w:numPr>
          <w:ilvl w:val="0"/>
          <w:numId w:val="1"/>
        </w:numPr>
        <w:spacing w:before="120" w:after="120"/>
        <w:rPr>
          <w:szCs w:val="22"/>
        </w:rPr>
      </w:pPr>
      <w:r w:rsidRPr="00FF338C">
        <w:rPr>
          <w:b/>
          <w:szCs w:val="22"/>
        </w:rPr>
        <w:t>Fuel combustion emissions from combustion of gaseous fuel</w:t>
      </w:r>
      <w:r w:rsidRPr="00FF338C">
        <w:rPr>
          <w:szCs w:val="22"/>
        </w:rPr>
        <w:t xml:space="preserve">: </w:t>
      </w:r>
    </w:p>
    <w:p w14:paraId="26F24C62" w14:textId="55B786CC" w:rsidR="00A57A5C" w:rsidRDefault="00A57A5C" w:rsidP="00B3330E">
      <w:pPr>
        <w:pStyle w:val="Sub-para"/>
        <w:numPr>
          <w:ilvl w:val="1"/>
          <w:numId w:val="1"/>
        </w:numPr>
      </w:pPr>
      <w:r w:rsidRPr="002F756A">
        <w:t>natural gas transmitted or distributed in a pipeline</w:t>
      </w:r>
      <w:r>
        <w:t xml:space="preserve">’ </w:t>
      </w:r>
      <w:r w:rsidRPr="00FF338C">
        <w:t>enters the power plant through a pipeline which is outside the facility boundary (</w:t>
      </w:r>
      <w:r>
        <w:t xml:space="preserve">number </w:t>
      </w:r>
      <w:r w:rsidRPr="00FF338C">
        <w:t xml:space="preserve">1). </w:t>
      </w:r>
    </w:p>
    <w:p w14:paraId="3869042C" w14:textId="77777777" w:rsidR="00A57A5C" w:rsidRDefault="00A57A5C" w:rsidP="00B3330E">
      <w:pPr>
        <w:pStyle w:val="Sub-para"/>
        <w:numPr>
          <w:ilvl w:val="1"/>
          <w:numId w:val="1"/>
        </w:numPr>
      </w:pPr>
      <w:r w:rsidRPr="00FF338C">
        <w:t>The gas is combusted (</w:t>
      </w:r>
      <w:r>
        <w:t xml:space="preserve">number </w:t>
      </w:r>
      <w:r w:rsidRPr="00FF338C">
        <w:t xml:space="preserve">2) to generate electricity. </w:t>
      </w:r>
    </w:p>
    <w:p w14:paraId="2FD1EB25" w14:textId="77777777" w:rsidR="00A57A5C" w:rsidRPr="00FF338C" w:rsidRDefault="00A57A5C" w:rsidP="00B3330E">
      <w:pPr>
        <w:pStyle w:val="Sub-para"/>
        <w:numPr>
          <w:ilvl w:val="1"/>
          <w:numId w:val="1"/>
        </w:numPr>
      </w:pPr>
      <w:r w:rsidRPr="00FF338C">
        <w:t>This results in emissions through the chimney of by-product gases (</w:t>
      </w:r>
      <w:r>
        <w:t xml:space="preserve">number </w:t>
      </w:r>
      <w:r w:rsidRPr="00FF338C">
        <w:t>3), including greenhouse gases carbon dioxide (CO</w:t>
      </w:r>
      <w:r w:rsidRPr="00FF338C">
        <w:rPr>
          <w:vertAlign w:val="subscript"/>
        </w:rPr>
        <w:t>2</w:t>
      </w:r>
      <w:r w:rsidRPr="00FF338C">
        <w:t>), methane (CH</w:t>
      </w:r>
      <w:r w:rsidRPr="00FF338C">
        <w:rPr>
          <w:vertAlign w:val="subscript"/>
        </w:rPr>
        <w:t>4</w:t>
      </w:r>
      <w:r w:rsidRPr="00FF338C">
        <w:t>) and nitrous oxide (N</w:t>
      </w:r>
      <w:r w:rsidRPr="00FF338C">
        <w:rPr>
          <w:vertAlign w:val="subscript"/>
        </w:rPr>
        <w:t>2</w:t>
      </w:r>
      <w:r w:rsidRPr="00FF338C">
        <w:t xml:space="preserve">O). </w:t>
      </w:r>
    </w:p>
    <w:p w14:paraId="2336B825" w14:textId="77777777" w:rsidR="00A57A5C" w:rsidRPr="00FF338C" w:rsidRDefault="00A57A5C" w:rsidP="00A57A5C">
      <w:pPr>
        <w:spacing w:before="120" w:after="120"/>
        <w:rPr>
          <w:szCs w:val="22"/>
        </w:rPr>
      </w:pPr>
      <w:r>
        <w:rPr>
          <w:szCs w:val="22"/>
        </w:rPr>
        <w:t xml:space="preserve">See </w:t>
      </w:r>
      <w:hyperlink w:anchor="_Estimating_emissions_from" w:history="1">
        <w:r w:rsidRPr="0077628F">
          <w:rPr>
            <w:rStyle w:val="Hyperlink"/>
            <w:rFonts w:asciiTheme="minorHAnsi" w:hAnsiTheme="minorHAnsi"/>
            <w:szCs w:val="22"/>
          </w:rPr>
          <w:t>chapter 4</w:t>
        </w:r>
      </w:hyperlink>
      <w:r w:rsidRPr="00FF338C">
        <w:rPr>
          <w:szCs w:val="22"/>
        </w:rPr>
        <w:t xml:space="preserve"> of this guideline for estimating scope 1 emissions from fuel combustion (assuming that more than 1,000 cubic metres of gas is combusted).</w:t>
      </w:r>
    </w:p>
    <w:p w14:paraId="054324C8" w14:textId="77777777" w:rsidR="00A57A5C" w:rsidRPr="00FF338C" w:rsidRDefault="00A57A5C" w:rsidP="00A57A5C">
      <w:pPr>
        <w:spacing w:before="120" w:after="120"/>
        <w:rPr>
          <w:szCs w:val="22"/>
        </w:rPr>
      </w:pPr>
      <w:r>
        <w:rPr>
          <w:szCs w:val="22"/>
        </w:rPr>
        <w:t xml:space="preserve">See </w:t>
      </w:r>
      <w:hyperlink w:anchor="_Energy_production_and" w:history="1">
        <w:r w:rsidRPr="0077628F">
          <w:rPr>
            <w:rStyle w:val="Hyperlink"/>
            <w:rFonts w:asciiTheme="minorHAnsi" w:hAnsiTheme="minorHAnsi"/>
            <w:szCs w:val="22"/>
          </w:rPr>
          <w:t>chapter 7</w:t>
        </w:r>
      </w:hyperlink>
      <w:r w:rsidRPr="00FF338C">
        <w:rPr>
          <w:szCs w:val="22"/>
        </w:rPr>
        <w:t xml:space="preserve"> of this guideline for reporting fuel consumption.</w:t>
      </w:r>
    </w:p>
    <w:p w14:paraId="7BE6CF1D" w14:textId="77777777" w:rsidR="00A57A5C" w:rsidRDefault="00A57A5C" w:rsidP="00B3330E">
      <w:pPr>
        <w:numPr>
          <w:ilvl w:val="0"/>
          <w:numId w:val="1"/>
        </w:numPr>
        <w:spacing w:before="120" w:after="120"/>
        <w:rPr>
          <w:szCs w:val="22"/>
        </w:rPr>
      </w:pPr>
      <w:r w:rsidRPr="00FF338C">
        <w:rPr>
          <w:b/>
          <w:szCs w:val="22"/>
        </w:rPr>
        <w:t>Energy reporting for electricity produced</w:t>
      </w:r>
      <w:r w:rsidRPr="00FF338C">
        <w:rPr>
          <w:szCs w:val="22"/>
        </w:rPr>
        <w:t xml:space="preserve">: </w:t>
      </w:r>
    </w:p>
    <w:p w14:paraId="60A49028" w14:textId="77777777" w:rsidR="00A57A5C" w:rsidRDefault="00A57A5C" w:rsidP="00B3330E">
      <w:pPr>
        <w:pStyle w:val="Sub-para"/>
        <w:numPr>
          <w:ilvl w:val="1"/>
          <w:numId w:val="1"/>
        </w:numPr>
      </w:pPr>
      <w:r w:rsidRPr="00FF338C">
        <w:t>Electricity is produced in a turbine (</w:t>
      </w:r>
      <w:r>
        <w:t xml:space="preserve">number </w:t>
      </w:r>
      <w:r w:rsidRPr="00FF338C">
        <w:t xml:space="preserve">4). </w:t>
      </w:r>
    </w:p>
    <w:p w14:paraId="243B3BDB" w14:textId="77777777" w:rsidR="00A57A5C" w:rsidRDefault="00A57A5C" w:rsidP="00B3330E">
      <w:pPr>
        <w:pStyle w:val="Sub-para"/>
        <w:numPr>
          <w:ilvl w:val="1"/>
          <w:numId w:val="1"/>
        </w:numPr>
      </w:pPr>
      <w:r w:rsidRPr="00FF338C">
        <w:t>A portion of the electricity generated is fed back into the facility for plant operations (</w:t>
      </w:r>
      <w:r>
        <w:t xml:space="preserve">number </w:t>
      </w:r>
      <w:r w:rsidRPr="00FF338C">
        <w:t xml:space="preserve">5). </w:t>
      </w:r>
    </w:p>
    <w:p w14:paraId="0F73F490" w14:textId="77777777" w:rsidR="00A57A5C" w:rsidRDefault="00A57A5C" w:rsidP="00B3330E">
      <w:pPr>
        <w:pStyle w:val="Sub-para"/>
        <w:numPr>
          <w:ilvl w:val="1"/>
          <w:numId w:val="1"/>
        </w:numPr>
      </w:pPr>
      <w:r w:rsidRPr="00FF338C">
        <w:t>Another portion is delivered directly to a nearby manufacturing facility (</w:t>
      </w:r>
      <w:r>
        <w:t xml:space="preserve">number </w:t>
      </w:r>
      <w:r w:rsidRPr="00FF338C">
        <w:t xml:space="preserve">6), which is a separate facility to the gas-fired power station. </w:t>
      </w:r>
    </w:p>
    <w:p w14:paraId="6E79EE09" w14:textId="77777777" w:rsidR="00A57A5C" w:rsidRPr="00FF338C" w:rsidRDefault="00A57A5C" w:rsidP="00B3330E">
      <w:pPr>
        <w:pStyle w:val="Sub-para"/>
        <w:numPr>
          <w:ilvl w:val="1"/>
          <w:numId w:val="1"/>
        </w:numPr>
      </w:pPr>
      <w:r w:rsidRPr="00FF338C">
        <w:t>The remaining electricity generated is transferred to an electricity network (</w:t>
      </w:r>
      <w:r>
        <w:t xml:space="preserve">number </w:t>
      </w:r>
      <w:r w:rsidRPr="00FF338C">
        <w:t xml:space="preserve">7). </w:t>
      </w:r>
    </w:p>
    <w:p w14:paraId="56ADB22C" w14:textId="77777777" w:rsidR="00A57A5C" w:rsidRPr="00FF338C" w:rsidRDefault="00A57A5C" w:rsidP="00A57A5C">
      <w:pPr>
        <w:spacing w:before="120" w:after="120"/>
        <w:rPr>
          <w:szCs w:val="22"/>
        </w:rPr>
      </w:pPr>
      <w:r>
        <w:rPr>
          <w:szCs w:val="22"/>
        </w:rPr>
        <w:t xml:space="preserve">See </w:t>
      </w:r>
      <w:hyperlink w:anchor="_Energy_production_and" w:history="1">
        <w:r w:rsidRPr="0077628F">
          <w:rPr>
            <w:rStyle w:val="Hyperlink"/>
            <w:rFonts w:asciiTheme="minorHAnsi" w:hAnsiTheme="minorHAnsi"/>
            <w:szCs w:val="22"/>
          </w:rPr>
          <w:t>chapter 7</w:t>
        </w:r>
      </w:hyperlink>
      <w:r w:rsidRPr="00FF338C">
        <w:rPr>
          <w:szCs w:val="22"/>
        </w:rPr>
        <w:t xml:space="preserve"> of this guideline for reporting of electricity production and for electricity produced for use onsite.</w:t>
      </w:r>
    </w:p>
    <w:p w14:paraId="60993932" w14:textId="77777777" w:rsidR="00A57A5C" w:rsidRPr="00FF338C" w:rsidRDefault="00A57A5C" w:rsidP="00A57A5C">
      <w:pPr>
        <w:pStyle w:val="Body"/>
        <w:ind w:left="0"/>
        <w:rPr>
          <w:rFonts w:asciiTheme="minorHAnsi" w:hAnsiTheme="minorHAnsi"/>
          <w:sz w:val="22"/>
          <w:szCs w:val="22"/>
        </w:rPr>
      </w:pPr>
      <w:r w:rsidRPr="00FF338C">
        <w:rPr>
          <w:rFonts w:asciiTheme="minorHAnsi" w:hAnsiTheme="minorHAnsi"/>
          <w:sz w:val="22"/>
          <w:szCs w:val="22"/>
        </w:rPr>
        <w:t>Other reportable NGER activities not included in the example are likely to occur, including:</w:t>
      </w:r>
    </w:p>
    <w:p w14:paraId="71340CA0" w14:textId="77777777" w:rsidR="00A57A5C" w:rsidRPr="00FF338C" w:rsidRDefault="00A57A5C" w:rsidP="00B3330E">
      <w:pPr>
        <w:pStyle w:val="CERbullets"/>
        <w:numPr>
          <w:ilvl w:val="0"/>
          <w:numId w:val="7"/>
        </w:numPr>
      </w:pPr>
      <w:r w:rsidRPr="00FF338C">
        <w:t>Scope 1 fuel combustion emissions from transport, stationary energy purposes (other than electricity generation) – for example, liquid fuel combustion in light vehicles.</w:t>
      </w:r>
    </w:p>
    <w:p w14:paraId="74D551AE" w14:textId="77777777" w:rsidR="00A57A5C" w:rsidRPr="00FF338C" w:rsidRDefault="00A57A5C" w:rsidP="00A57A5C">
      <w:pPr>
        <w:pStyle w:val="CERbullets"/>
        <w:ind w:left="360" w:hanging="360"/>
      </w:pPr>
      <w:r w:rsidRPr="00FF338C">
        <w:t xml:space="preserve">The consumption of </w:t>
      </w:r>
      <w:r w:rsidRPr="00FD22FB">
        <w:t>PBOGs</w:t>
      </w:r>
      <w:r w:rsidRPr="00FF338C">
        <w:t>.</w:t>
      </w:r>
    </w:p>
    <w:p w14:paraId="36AB6E48" w14:textId="77777777" w:rsidR="00A57A5C" w:rsidRPr="00FF338C" w:rsidRDefault="00A57A5C" w:rsidP="00B3330E">
      <w:pPr>
        <w:pStyle w:val="CERbullets"/>
        <w:numPr>
          <w:ilvl w:val="0"/>
          <w:numId w:val="7"/>
        </w:numPr>
      </w:pPr>
      <w:r w:rsidRPr="00FF338C">
        <w:t>Contractor energy and emissions data if part of the facility’s production process (likely to include fuel combustion emissions and consumption, if occurring).</w:t>
      </w:r>
    </w:p>
    <w:p w14:paraId="69B2938D" w14:textId="77777777" w:rsidR="00A57A5C" w:rsidRPr="00FF338C" w:rsidRDefault="00A57A5C" w:rsidP="00B3330E">
      <w:pPr>
        <w:pStyle w:val="CERbullets"/>
        <w:numPr>
          <w:ilvl w:val="0"/>
          <w:numId w:val="7"/>
        </w:numPr>
      </w:pPr>
      <w:r w:rsidRPr="00FF338C">
        <w:t>Uncertainty assessment for occurrences of scope 1 emissions exceeding 25,000 kt of CO</w:t>
      </w:r>
      <w:r w:rsidRPr="00FF338C">
        <w:rPr>
          <w:vertAlign w:val="subscript"/>
        </w:rPr>
        <w:t>2</w:t>
      </w:r>
      <w:r w:rsidRPr="00FF338C">
        <w:t>-e.</w:t>
      </w:r>
    </w:p>
    <w:p w14:paraId="2C4B9316" w14:textId="32469D34" w:rsidR="001B624B" w:rsidRDefault="001B624B" w:rsidP="00235142">
      <w:pPr>
        <w:spacing w:after="0"/>
      </w:pPr>
    </w:p>
    <w:p w14:paraId="5A099201" w14:textId="3C332075" w:rsidR="00A57A5C" w:rsidRDefault="00A57A5C" w:rsidP="00235142">
      <w:pPr>
        <w:spacing w:after="0"/>
      </w:pPr>
    </w:p>
    <w:p w14:paraId="1070F828" w14:textId="58ECCD3A" w:rsidR="00A57A5C" w:rsidRDefault="00A57A5C" w:rsidP="00235142">
      <w:pPr>
        <w:spacing w:after="0"/>
      </w:pPr>
    </w:p>
    <w:p w14:paraId="3616365C" w14:textId="77777777" w:rsidR="00A57A5C" w:rsidRDefault="00A57A5C" w:rsidP="00235142">
      <w:pPr>
        <w:spacing w:after="0"/>
        <w:sectPr w:rsidR="00A57A5C" w:rsidSect="00E349EF">
          <w:headerReference w:type="default" r:id="rId61"/>
          <w:footerReference w:type="even" r:id="rId62"/>
          <w:footerReference w:type="default" r:id="rId63"/>
          <w:headerReference w:type="first" r:id="rId64"/>
          <w:footerReference w:type="first" r:id="rId65"/>
          <w:pgSz w:w="11900" w:h="16840" w:code="9"/>
          <w:pgMar w:top="1447" w:right="1080" w:bottom="993" w:left="1080" w:header="227" w:footer="232" w:gutter="0"/>
          <w:cols w:space="708"/>
          <w:titlePg/>
          <w:docGrid w:linePitch="326"/>
        </w:sectPr>
      </w:pPr>
    </w:p>
    <w:p w14:paraId="11C69A82" w14:textId="77777777" w:rsidR="00913E4B" w:rsidRPr="00FF338C" w:rsidRDefault="00913E4B" w:rsidP="00913E4B">
      <w:pPr>
        <w:pStyle w:val="Caption"/>
      </w:pPr>
      <w:bookmarkStart w:id="530" w:name="_Ref511121853"/>
      <w:r w:rsidRPr="00FF338C">
        <w:t xml:space="preserve">Figure </w:t>
      </w:r>
      <w:r>
        <w:t>8</w:t>
      </w:r>
      <w:bookmarkEnd w:id="530"/>
      <w:r w:rsidRPr="00FF338C">
        <w:t xml:space="preserve"> – Gas-fired power plant diagram</w:t>
      </w:r>
    </w:p>
    <w:p w14:paraId="0B2231DD" w14:textId="77777777" w:rsidR="00913E4B" w:rsidRPr="00FF338C" w:rsidRDefault="00913E4B" w:rsidP="009F2A5F">
      <w:pPr>
        <w:pStyle w:val="Body"/>
        <w:keepNext/>
        <w:ind w:left="0"/>
        <w:jc w:val="center"/>
        <w:rPr>
          <w:rFonts w:asciiTheme="minorHAnsi" w:hAnsiTheme="minorHAnsi"/>
        </w:rPr>
      </w:pPr>
      <w:r w:rsidRPr="00FF338C">
        <w:rPr>
          <w:rFonts w:asciiTheme="minorHAnsi" w:hAnsiTheme="minorHAnsi"/>
          <w:noProof/>
          <w:lang w:val="en-AU" w:eastAsia="en-AU"/>
        </w:rPr>
        <w:drawing>
          <wp:inline distT="0" distB="0" distL="0" distR="0" wp14:anchorId="45CFC558" wp14:editId="4ED2A66C">
            <wp:extent cx="9498330" cy="3789680"/>
            <wp:effectExtent l="0" t="0" r="7620" b="1270"/>
            <wp:docPr id="13" name="Picture 13" descr="Gas-fired power pla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DR99 NGER Diagram-facility boundary.jpg"/>
                    <pic:cNvPicPr/>
                  </pic:nvPicPr>
                  <pic:blipFill>
                    <a:blip r:embed="rId66">
                      <a:extLst>
                        <a:ext uri="{28A0092B-C50C-407E-A947-70E740481C1C}">
                          <a14:useLocalDpi xmlns:a14="http://schemas.microsoft.com/office/drawing/2010/main" val="0"/>
                        </a:ext>
                      </a:extLst>
                    </a:blip>
                    <a:stretch>
                      <a:fillRect/>
                    </a:stretch>
                  </pic:blipFill>
                  <pic:spPr>
                    <a:xfrm>
                      <a:off x="0" y="0"/>
                      <a:ext cx="9498330" cy="3789680"/>
                    </a:xfrm>
                    <a:prstGeom prst="rect">
                      <a:avLst/>
                    </a:prstGeom>
                  </pic:spPr>
                </pic:pic>
              </a:graphicData>
            </a:graphic>
          </wp:inline>
        </w:drawing>
      </w:r>
    </w:p>
    <w:p w14:paraId="39DFAD73" w14:textId="77777777" w:rsidR="00913E4B" w:rsidRPr="00FF338C" w:rsidRDefault="00913E4B" w:rsidP="00913E4B">
      <w:pPr>
        <w:spacing w:after="0"/>
        <w:rPr>
          <w:i/>
          <w:iCs/>
          <w:color w:val="454743" w:themeColor="text2"/>
          <w:sz w:val="18"/>
          <w:szCs w:val="18"/>
        </w:rPr>
      </w:pPr>
      <w:bookmarkStart w:id="531" w:name="_Ref509471909"/>
      <w:r w:rsidRPr="00FF338C">
        <w:br w:type="page"/>
      </w:r>
    </w:p>
    <w:p w14:paraId="30BA1527" w14:textId="77777777" w:rsidR="00913E4B" w:rsidRPr="00FF338C" w:rsidRDefault="00913E4B" w:rsidP="00913E4B">
      <w:pPr>
        <w:pStyle w:val="Caption"/>
      </w:pPr>
      <w:bookmarkStart w:id="532" w:name="_Ref512340973"/>
      <w:r w:rsidRPr="00FF338C">
        <w:t xml:space="preserve">Table </w:t>
      </w:r>
      <w:r>
        <w:fldChar w:fldCharType="begin"/>
      </w:r>
      <w:r>
        <w:instrText>SEQ Table \* ARABIC</w:instrText>
      </w:r>
      <w:r>
        <w:fldChar w:fldCharType="separate"/>
      </w:r>
      <w:r>
        <w:rPr>
          <w:noProof/>
        </w:rPr>
        <w:t>10</w:t>
      </w:r>
      <w:r>
        <w:fldChar w:fldCharType="end"/>
      </w:r>
      <w:bookmarkEnd w:id="531"/>
      <w:bookmarkEnd w:id="532"/>
      <w:r w:rsidRPr="00FF338C">
        <w:t xml:space="preserve"> – Summary of emissions and energy from the gas power plant</w:t>
      </w:r>
    </w:p>
    <w:tbl>
      <w:tblPr>
        <w:tblStyle w:val="CERTable"/>
        <w:tblW w:w="13462" w:type="dxa"/>
        <w:tblLook w:val="04A0" w:firstRow="1" w:lastRow="0" w:firstColumn="1" w:lastColumn="0" w:noHBand="0" w:noVBand="1"/>
      </w:tblPr>
      <w:tblGrid>
        <w:gridCol w:w="421"/>
        <w:gridCol w:w="1559"/>
        <w:gridCol w:w="2835"/>
        <w:gridCol w:w="2835"/>
        <w:gridCol w:w="2977"/>
        <w:gridCol w:w="2835"/>
      </w:tblGrid>
      <w:tr w:rsidR="00913E4B" w:rsidRPr="00FF338C" w14:paraId="0114CF7B" w14:textId="77777777" w:rsidTr="009F2A5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980" w:type="dxa"/>
            <w:gridSpan w:val="2"/>
          </w:tcPr>
          <w:p w14:paraId="6DCA4538" w14:textId="77777777" w:rsidR="00913E4B" w:rsidRPr="009C0388" w:rsidRDefault="00913E4B" w:rsidP="00D549C7">
            <w:pPr>
              <w:pStyle w:val="Body"/>
              <w:ind w:left="0"/>
              <w:rPr>
                <w:rFonts w:asciiTheme="minorHAnsi" w:hAnsiTheme="minorHAnsi"/>
                <w:sz w:val="22"/>
                <w:szCs w:val="22"/>
              </w:rPr>
            </w:pPr>
            <w:r w:rsidRPr="009C0388">
              <w:rPr>
                <w:rFonts w:asciiTheme="minorHAnsi" w:hAnsiTheme="minorHAnsi"/>
                <w:sz w:val="22"/>
                <w:szCs w:val="22"/>
              </w:rPr>
              <w:t>Process Point</w:t>
            </w:r>
          </w:p>
        </w:tc>
        <w:tc>
          <w:tcPr>
            <w:tcW w:w="2835" w:type="dxa"/>
          </w:tcPr>
          <w:p w14:paraId="03CE5D33" w14:textId="77777777" w:rsidR="00913E4B" w:rsidRPr="009C0388" w:rsidRDefault="00913E4B"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Reportable emissions</w:t>
            </w:r>
          </w:p>
        </w:tc>
        <w:tc>
          <w:tcPr>
            <w:tcW w:w="2835" w:type="dxa"/>
          </w:tcPr>
          <w:p w14:paraId="1EDA17B7" w14:textId="77777777" w:rsidR="00913E4B" w:rsidRPr="009C0388" w:rsidRDefault="00913E4B"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Reportable energy production</w:t>
            </w:r>
          </w:p>
        </w:tc>
        <w:tc>
          <w:tcPr>
            <w:tcW w:w="2977" w:type="dxa"/>
          </w:tcPr>
          <w:p w14:paraId="2FCC8513" w14:textId="77777777" w:rsidR="00913E4B" w:rsidRPr="009C0388" w:rsidRDefault="00913E4B"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Reportable energy consumption</w:t>
            </w:r>
          </w:p>
        </w:tc>
        <w:tc>
          <w:tcPr>
            <w:tcW w:w="2835" w:type="dxa"/>
          </w:tcPr>
          <w:p w14:paraId="5419E937" w14:textId="77777777" w:rsidR="00913E4B" w:rsidRPr="009C0388" w:rsidRDefault="00913E4B"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Notes</w:t>
            </w:r>
          </w:p>
        </w:tc>
      </w:tr>
      <w:tr w:rsidR="00913E4B" w:rsidRPr="00FF338C" w14:paraId="1F3F0132" w14:textId="77777777" w:rsidTr="009F2A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1" w:type="dxa"/>
          </w:tcPr>
          <w:p w14:paraId="166855C3" w14:textId="77777777" w:rsidR="00913E4B" w:rsidRPr="009C0388" w:rsidRDefault="00913E4B" w:rsidP="00D549C7">
            <w:pPr>
              <w:pStyle w:val="Body"/>
              <w:ind w:left="0"/>
              <w:rPr>
                <w:rFonts w:asciiTheme="minorHAnsi" w:hAnsiTheme="minorHAnsi"/>
                <w:sz w:val="22"/>
                <w:szCs w:val="22"/>
              </w:rPr>
            </w:pPr>
            <w:r w:rsidRPr="009C0388">
              <w:rPr>
                <w:rFonts w:asciiTheme="minorHAnsi" w:hAnsiTheme="minorHAnsi"/>
                <w:sz w:val="22"/>
                <w:szCs w:val="22"/>
              </w:rPr>
              <w:t>1</w:t>
            </w:r>
          </w:p>
        </w:tc>
        <w:tc>
          <w:tcPr>
            <w:tcW w:w="1559" w:type="dxa"/>
          </w:tcPr>
          <w:p w14:paraId="3BAED689" w14:textId="32270235"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‘Natural gas </w:t>
            </w:r>
            <w:r w:rsidRPr="00FC1336">
              <w:rPr>
                <w:rFonts w:asciiTheme="minorHAnsi" w:hAnsiTheme="minorHAnsi"/>
                <w:sz w:val="22"/>
                <w:szCs w:val="22"/>
              </w:rPr>
              <w:t>transmitted or distributed in a pipeline</w:t>
            </w:r>
            <w:r>
              <w:rPr>
                <w:rFonts w:asciiTheme="minorHAnsi" w:hAnsiTheme="minorHAnsi"/>
                <w:sz w:val="22"/>
                <w:szCs w:val="22"/>
              </w:rPr>
              <w:t xml:space="preserve"> </w:t>
            </w:r>
            <w:r w:rsidRPr="009C0388">
              <w:rPr>
                <w:rFonts w:asciiTheme="minorHAnsi" w:hAnsiTheme="minorHAnsi"/>
                <w:sz w:val="22"/>
                <w:szCs w:val="22"/>
              </w:rPr>
              <w:t>enters plant</w:t>
            </w:r>
          </w:p>
        </w:tc>
        <w:tc>
          <w:tcPr>
            <w:tcW w:w="2835" w:type="dxa"/>
          </w:tcPr>
          <w:p w14:paraId="3D6909B1"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2835" w:type="dxa"/>
          </w:tcPr>
          <w:p w14:paraId="01A5AB37"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2977" w:type="dxa"/>
          </w:tcPr>
          <w:p w14:paraId="4BA5FD46"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2835" w:type="dxa"/>
          </w:tcPr>
          <w:p w14:paraId="39F24B49"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Gas supply pipeline is outside of the facility boundary and hence leaks from the pipeline do not need to be reported</w:t>
            </w:r>
          </w:p>
        </w:tc>
      </w:tr>
      <w:tr w:rsidR="00913E4B" w:rsidRPr="00FF338C" w14:paraId="457CD9FD" w14:textId="77777777" w:rsidTr="009F2A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1" w:type="dxa"/>
          </w:tcPr>
          <w:p w14:paraId="4F1D8E31" w14:textId="77777777" w:rsidR="00913E4B" w:rsidRPr="009C0388" w:rsidRDefault="00913E4B" w:rsidP="00D549C7">
            <w:pPr>
              <w:pStyle w:val="Body"/>
              <w:ind w:left="0"/>
              <w:rPr>
                <w:rFonts w:asciiTheme="minorHAnsi" w:hAnsiTheme="minorHAnsi"/>
                <w:sz w:val="22"/>
                <w:szCs w:val="22"/>
              </w:rPr>
            </w:pPr>
            <w:r w:rsidRPr="009C0388">
              <w:rPr>
                <w:rFonts w:asciiTheme="minorHAnsi" w:hAnsiTheme="minorHAnsi"/>
                <w:sz w:val="22"/>
                <w:szCs w:val="22"/>
              </w:rPr>
              <w:t>2</w:t>
            </w:r>
          </w:p>
        </w:tc>
        <w:tc>
          <w:tcPr>
            <w:tcW w:w="1559" w:type="dxa"/>
          </w:tcPr>
          <w:p w14:paraId="3BE4BC07"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Gas combustion.</w:t>
            </w:r>
          </w:p>
        </w:tc>
        <w:tc>
          <w:tcPr>
            <w:tcW w:w="2835" w:type="dxa"/>
          </w:tcPr>
          <w:p w14:paraId="510E244B" w14:textId="77777777" w:rsidR="00913E4B"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If generation unit &lt; 30 MW or production &lt; 50,000 MWh in the reporting year, emissions estimation can be made using default emission factors under method 1</w:t>
            </w:r>
          </w:p>
          <w:p w14:paraId="26934397"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Otherwise minimum method 2, and method 3 also available</w:t>
            </w:r>
          </w:p>
          <w:p w14:paraId="7A94B25F"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Fuel combustion emissions</w:t>
            </w:r>
          </w:p>
        </w:tc>
        <w:tc>
          <w:tcPr>
            <w:tcW w:w="2835" w:type="dxa"/>
            <w:vMerge w:val="restart"/>
          </w:tcPr>
          <w:p w14:paraId="358BE165"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p w14:paraId="5252B555"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Electricity is not produced at this process point – these are produced at </w:t>
            </w:r>
            <w:r>
              <w:rPr>
                <w:rFonts w:asciiTheme="minorHAnsi" w:hAnsiTheme="minorHAnsi"/>
                <w:sz w:val="22"/>
                <w:szCs w:val="22"/>
              </w:rPr>
              <w:t xml:space="preserve">number </w:t>
            </w:r>
            <w:r w:rsidRPr="009C0388">
              <w:rPr>
                <w:rFonts w:asciiTheme="minorHAnsi" w:hAnsiTheme="minorHAnsi"/>
                <w:sz w:val="22"/>
                <w:szCs w:val="22"/>
              </w:rPr>
              <w:t>4</w:t>
            </w:r>
          </w:p>
          <w:p w14:paraId="4A036F52"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977" w:type="dxa"/>
          </w:tcPr>
          <w:p w14:paraId="00D276C8" w14:textId="315F4C76"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‘Natural gas </w:t>
            </w:r>
            <w:r w:rsidRPr="00B142E1">
              <w:rPr>
                <w:rFonts w:asciiTheme="minorHAnsi" w:hAnsiTheme="minorHAnsi"/>
                <w:sz w:val="22"/>
                <w:szCs w:val="22"/>
              </w:rPr>
              <w:t>transmitted or distributed in a pipeline</w:t>
            </w:r>
            <w:r>
              <w:rPr>
                <w:rFonts w:asciiTheme="minorHAnsi" w:hAnsiTheme="minorHAnsi"/>
                <w:sz w:val="22"/>
                <w:szCs w:val="22"/>
              </w:rPr>
              <w:t xml:space="preserve">’ </w:t>
            </w:r>
            <w:r w:rsidRPr="009C0388">
              <w:rPr>
                <w:rFonts w:asciiTheme="minorHAnsi" w:hAnsiTheme="minorHAnsi"/>
                <w:sz w:val="22"/>
                <w:szCs w:val="22"/>
              </w:rPr>
              <w:t>is consumed through combustion for the purpose of producing electricity</w:t>
            </w:r>
          </w:p>
        </w:tc>
        <w:tc>
          <w:tcPr>
            <w:tcW w:w="2835" w:type="dxa"/>
            <w:vMerge w:val="restart"/>
          </w:tcPr>
          <w:p w14:paraId="25238FE7"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See </w:t>
            </w:r>
            <w:hyperlink w:anchor="_Estimating_emissions_from" w:history="1">
              <w:r w:rsidRPr="0077628F">
                <w:rPr>
                  <w:rStyle w:val="Hyperlink"/>
                  <w:rFonts w:asciiTheme="minorHAnsi" w:hAnsiTheme="minorHAnsi"/>
                  <w:szCs w:val="22"/>
                </w:rPr>
                <w:t>chapter 4</w:t>
              </w:r>
            </w:hyperlink>
            <w:r w:rsidRPr="009C0388">
              <w:rPr>
                <w:rFonts w:asciiTheme="minorHAnsi" w:hAnsiTheme="minorHAnsi"/>
                <w:sz w:val="22"/>
                <w:szCs w:val="22"/>
              </w:rPr>
              <w:t xml:space="preserve"> of this guideline for estimating emissions from fuel combustion</w:t>
            </w:r>
          </w:p>
          <w:p w14:paraId="60546211"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Only one method for estimating emissions should be used for the single occurrence of the source in the case example</w:t>
            </w:r>
          </w:p>
          <w:p w14:paraId="204300A7"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In selecting an appropriate method, reporters </w:t>
            </w:r>
            <w:r>
              <w:rPr>
                <w:rFonts w:asciiTheme="minorHAnsi" w:hAnsiTheme="minorHAnsi"/>
                <w:sz w:val="22"/>
                <w:szCs w:val="22"/>
              </w:rPr>
              <w:t>must</w:t>
            </w:r>
            <w:r w:rsidRPr="009C0388">
              <w:rPr>
                <w:rFonts w:asciiTheme="minorHAnsi" w:hAnsiTheme="minorHAnsi"/>
                <w:sz w:val="22"/>
                <w:szCs w:val="22"/>
              </w:rPr>
              <w:t xml:space="preserve"> observe the restrictions for using a lower method from previous year in section 1.18 of the NGER Measurement Determination</w:t>
            </w:r>
          </w:p>
        </w:tc>
      </w:tr>
      <w:tr w:rsidR="00913E4B" w:rsidRPr="00FF338C" w14:paraId="0AC8A6CC" w14:textId="77777777" w:rsidTr="009F2A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1" w:type="dxa"/>
          </w:tcPr>
          <w:p w14:paraId="61C39826" w14:textId="77777777" w:rsidR="00913E4B" w:rsidRPr="009C0388" w:rsidRDefault="00913E4B" w:rsidP="00D549C7">
            <w:pPr>
              <w:pStyle w:val="Body"/>
              <w:ind w:left="0"/>
              <w:rPr>
                <w:rFonts w:asciiTheme="minorHAnsi" w:hAnsiTheme="minorHAnsi"/>
                <w:sz w:val="22"/>
                <w:szCs w:val="22"/>
              </w:rPr>
            </w:pPr>
            <w:r w:rsidRPr="009C0388">
              <w:rPr>
                <w:rFonts w:asciiTheme="minorHAnsi" w:hAnsiTheme="minorHAnsi"/>
                <w:sz w:val="22"/>
                <w:szCs w:val="22"/>
              </w:rPr>
              <w:t>3</w:t>
            </w:r>
          </w:p>
        </w:tc>
        <w:tc>
          <w:tcPr>
            <w:tcW w:w="1559" w:type="dxa"/>
          </w:tcPr>
          <w:p w14:paraId="27B0D075"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Direct measurement of carbon dioxide emissions (if using method 4)</w:t>
            </w:r>
          </w:p>
        </w:tc>
        <w:tc>
          <w:tcPr>
            <w:tcW w:w="2835" w:type="dxa"/>
          </w:tcPr>
          <w:p w14:paraId="4539EC80"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If direct measurement of emissions using method 4:</w:t>
            </w:r>
          </w:p>
          <w:p w14:paraId="5A32B5BA"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Fuel combustion emissions</w:t>
            </w:r>
          </w:p>
        </w:tc>
        <w:tc>
          <w:tcPr>
            <w:tcW w:w="2835" w:type="dxa"/>
            <w:vMerge/>
          </w:tcPr>
          <w:p w14:paraId="6672887E"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977" w:type="dxa"/>
          </w:tcPr>
          <w:p w14:paraId="52EB4781"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p w14:paraId="2722F1C3"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Energy consumption is reported at</w:t>
            </w:r>
            <w:r>
              <w:rPr>
                <w:rFonts w:asciiTheme="minorHAnsi" w:hAnsiTheme="minorHAnsi"/>
                <w:sz w:val="22"/>
                <w:szCs w:val="22"/>
              </w:rPr>
              <w:t xml:space="preserve"> number </w:t>
            </w:r>
            <w:r w:rsidRPr="009C0388">
              <w:rPr>
                <w:rFonts w:asciiTheme="minorHAnsi" w:hAnsiTheme="minorHAnsi"/>
                <w:sz w:val="22"/>
                <w:szCs w:val="22"/>
              </w:rPr>
              <w:t>2</w:t>
            </w:r>
          </w:p>
        </w:tc>
        <w:tc>
          <w:tcPr>
            <w:tcW w:w="2835" w:type="dxa"/>
            <w:vMerge/>
          </w:tcPr>
          <w:p w14:paraId="02A18DC6"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913E4B" w:rsidRPr="00FF338C" w14:paraId="1FF83553" w14:textId="77777777" w:rsidTr="009F2A5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1" w:type="dxa"/>
          </w:tcPr>
          <w:p w14:paraId="4EB386A0" w14:textId="77777777" w:rsidR="00913E4B" w:rsidRPr="009C0388" w:rsidRDefault="00913E4B" w:rsidP="00D549C7">
            <w:pPr>
              <w:pStyle w:val="Body"/>
              <w:ind w:left="0"/>
              <w:rPr>
                <w:rFonts w:asciiTheme="minorHAnsi" w:hAnsiTheme="minorHAnsi"/>
                <w:sz w:val="22"/>
                <w:szCs w:val="22"/>
              </w:rPr>
            </w:pPr>
            <w:r w:rsidRPr="009C0388">
              <w:rPr>
                <w:rFonts w:asciiTheme="minorHAnsi" w:hAnsiTheme="minorHAnsi"/>
                <w:sz w:val="22"/>
                <w:szCs w:val="22"/>
              </w:rPr>
              <w:t>4</w:t>
            </w:r>
          </w:p>
        </w:tc>
        <w:tc>
          <w:tcPr>
            <w:tcW w:w="1559" w:type="dxa"/>
          </w:tcPr>
          <w:p w14:paraId="58408088"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Electricity generation at turbine</w:t>
            </w:r>
          </w:p>
        </w:tc>
        <w:tc>
          <w:tcPr>
            <w:tcW w:w="2835" w:type="dxa"/>
          </w:tcPr>
          <w:p w14:paraId="3D8FB8D9"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2835" w:type="dxa"/>
          </w:tcPr>
          <w:p w14:paraId="4DB335B2"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p w14:paraId="6F1FD7D6"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‘Electricity’ is produced from the turbine and generator, but is reported at </w:t>
            </w:r>
            <w:r>
              <w:rPr>
                <w:rFonts w:asciiTheme="minorHAnsi" w:hAnsiTheme="minorHAnsi"/>
                <w:sz w:val="22"/>
                <w:szCs w:val="22"/>
              </w:rPr>
              <w:t xml:space="preserve">numbers </w:t>
            </w:r>
            <w:r w:rsidRPr="009C0388">
              <w:rPr>
                <w:rFonts w:asciiTheme="minorHAnsi" w:hAnsiTheme="minorHAnsi"/>
                <w:sz w:val="22"/>
                <w:szCs w:val="22"/>
              </w:rPr>
              <w:t>5</w:t>
            </w:r>
            <w:r>
              <w:rPr>
                <w:rFonts w:asciiTheme="minorHAnsi" w:hAnsiTheme="minorHAnsi"/>
                <w:sz w:val="22"/>
                <w:szCs w:val="22"/>
              </w:rPr>
              <w:t xml:space="preserve"> to </w:t>
            </w:r>
            <w:r w:rsidRPr="009C0388">
              <w:rPr>
                <w:rFonts w:asciiTheme="minorHAnsi" w:hAnsiTheme="minorHAnsi"/>
                <w:sz w:val="22"/>
                <w:szCs w:val="22"/>
              </w:rPr>
              <w:t>7</w:t>
            </w:r>
          </w:p>
        </w:tc>
        <w:tc>
          <w:tcPr>
            <w:tcW w:w="2977" w:type="dxa"/>
          </w:tcPr>
          <w:p w14:paraId="33A81558"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2835" w:type="dxa"/>
          </w:tcPr>
          <w:p w14:paraId="52479A53"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Electricity produced </w:t>
            </w:r>
            <w:r>
              <w:rPr>
                <w:rFonts w:asciiTheme="minorHAnsi" w:hAnsiTheme="minorHAnsi"/>
                <w:sz w:val="22"/>
                <w:szCs w:val="22"/>
              </w:rPr>
              <w:t>must</w:t>
            </w:r>
            <w:r w:rsidRPr="009C0388">
              <w:rPr>
                <w:rFonts w:asciiTheme="minorHAnsi" w:hAnsiTheme="minorHAnsi"/>
                <w:sz w:val="22"/>
                <w:szCs w:val="22"/>
              </w:rPr>
              <w:t xml:space="preserve"> be metered at the terminal directly after the turbine</w:t>
            </w:r>
            <w:r>
              <w:rPr>
                <w:rFonts w:asciiTheme="minorHAnsi" w:hAnsiTheme="minorHAnsi"/>
                <w:sz w:val="22"/>
                <w:szCs w:val="22"/>
              </w:rPr>
              <w:t xml:space="preserve"> - see</w:t>
            </w:r>
            <w:r w:rsidRPr="009C0388">
              <w:rPr>
                <w:rFonts w:asciiTheme="minorHAnsi" w:hAnsiTheme="minorHAnsi"/>
                <w:sz w:val="22"/>
                <w:szCs w:val="22"/>
              </w:rPr>
              <w:t xml:space="preserve"> </w:t>
            </w:r>
            <w:hyperlink w:anchor="_Quantifying_electricity_consumption" w:history="1">
              <w:r w:rsidRPr="0077628F">
                <w:rPr>
                  <w:rStyle w:val="Hyperlink"/>
                  <w:rFonts w:asciiTheme="minorHAnsi" w:hAnsiTheme="minorHAnsi"/>
                  <w:szCs w:val="22"/>
                </w:rPr>
                <w:t>chapter 7.3.1</w:t>
              </w:r>
            </w:hyperlink>
            <w:r w:rsidRPr="009C0388">
              <w:rPr>
                <w:rFonts w:asciiTheme="minorHAnsi" w:hAnsiTheme="minorHAnsi"/>
                <w:sz w:val="22"/>
                <w:szCs w:val="22"/>
              </w:rPr>
              <w:t xml:space="preserve"> of this guideline</w:t>
            </w:r>
          </w:p>
        </w:tc>
      </w:tr>
      <w:tr w:rsidR="00913E4B" w:rsidRPr="00FF338C" w14:paraId="56F25963" w14:textId="77777777" w:rsidTr="009F2A5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1" w:type="dxa"/>
          </w:tcPr>
          <w:p w14:paraId="10227C75" w14:textId="77777777" w:rsidR="00913E4B" w:rsidRPr="009C0388" w:rsidRDefault="00913E4B" w:rsidP="00D549C7">
            <w:pPr>
              <w:pStyle w:val="Body"/>
              <w:ind w:left="0"/>
              <w:rPr>
                <w:rFonts w:asciiTheme="minorHAnsi" w:hAnsiTheme="minorHAnsi"/>
                <w:sz w:val="22"/>
                <w:szCs w:val="22"/>
              </w:rPr>
            </w:pPr>
            <w:r w:rsidRPr="009C0388">
              <w:rPr>
                <w:rFonts w:asciiTheme="minorHAnsi" w:hAnsiTheme="minorHAnsi"/>
                <w:sz w:val="22"/>
                <w:szCs w:val="22"/>
              </w:rPr>
              <w:t>5</w:t>
            </w:r>
          </w:p>
        </w:tc>
        <w:tc>
          <w:tcPr>
            <w:tcW w:w="1559" w:type="dxa"/>
          </w:tcPr>
          <w:p w14:paraId="160D5D0A"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Own produced electricity consumed by facility</w:t>
            </w:r>
          </w:p>
        </w:tc>
        <w:tc>
          <w:tcPr>
            <w:tcW w:w="2835" w:type="dxa"/>
          </w:tcPr>
          <w:p w14:paraId="19B6F584"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p w14:paraId="1AF59B3A"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This is not a scope 2 emission, because direct emissions caused by facility discharged at (</w:t>
            </w:r>
            <w:r>
              <w:rPr>
                <w:rFonts w:asciiTheme="minorHAnsi" w:hAnsiTheme="minorHAnsi"/>
                <w:sz w:val="22"/>
                <w:szCs w:val="22"/>
              </w:rPr>
              <w:t xml:space="preserve">number </w:t>
            </w:r>
            <w:r w:rsidRPr="009C0388">
              <w:rPr>
                <w:rFonts w:asciiTheme="minorHAnsi" w:hAnsiTheme="minorHAnsi"/>
                <w:sz w:val="22"/>
                <w:szCs w:val="22"/>
              </w:rPr>
              <w:t>3)</w:t>
            </w:r>
          </w:p>
        </w:tc>
        <w:tc>
          <w:tcPr>
            <w:tcW w:w="2835" w:type="dxa"/>
          </w:tcPr>
          <w:p w14:paraId="5B50C47A"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Electricity produced ‘for use for the purpose of the operation of the facility’</w:t>
            </w:r>
            <w:r>
              <w:rPr>
                <w:rFonts w:asciiTheme="minorHAnsi" w:hAnsiTheme="minorHAnsi"/>
                <w:sz w:val="22"/>
                <w:szCs w:val="22"/>
              </w:rPr>
              <w:t xml:space="preserve"> - that is,</w:t>
            </w:r>
            <w:r w:rsidRPr="009C0388">
              <w:rPr>
                <w:rFonts w:asciiTheme="minorHAnsi" w:hAnsiTheme="minorHAnsi"/>
                <w:sz w:val="22"/>
                <w:szCs w:val="22"/>
              </w:rPr>
              <w:t xml:space="preserve"> for ‘for use onsite’</w:t>
            </w:r>
          </w:p>
          <w:p w14:paraId="448E764E"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Calculated as residual amount of </w:t>
            </w:r>
            <w:r>
              <w:rPr>
                <w:rFonts w:asciiTheme="minorHAnsi" w:hAnsiTheme="minorHAnsi"/>
                <w:sz w:val="22"/>
                <w:szCs w:val="22"/>
              </w:rPr>
              <w:t xml:space="preserve">number </w:t>
            </w:r>
            <w:r w:rsidRPr="009C0388">
              <w:rPr>
                <w:rFonts w:asciiTheme="minorHAnsi" w:hAnsiTheme="minorHAnsi"/>
                <w:sz w:val="22"/>
                <w:szCs w:val="22"/>
              </w:rPr>
              <w:t xml:space="preserve">4 not delivered at </w:t>
            </w:r>
            <w:r>
              <w:rPr>
                <w:rFonts w:asciiTheme="minorHAnsi" w:hAnsiTheme="minorHAnsi"/>
                <w:sz w:val="22"/>
                <w:szCs w:val="22"/>
              </w:rPr>
              <w:t xml:space="preserve">number </w:t>
            </w:r>
            <w:r w:rsidRPr="009C0388">
              <w:rPr>
                <w:rFonts w:asciiTheme="minorHAnsi" w:hAnsiTheme="minorHAnsi"/>
                <w:sz w:val="22"/>
                <w:szCs w:val="22"/>
              </w:rPr>
              <w:t>6 or 7.</w:t>
            </w:r>
          </w:p>
        </w:tc>
        <w:tc>
          <w:tcPr>
            <w:tcW w:w="2977" w:type="dxa"/>
          </w:tcPr>
          <w:p w14:paraId="285D5D16"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‘Own produced electricity’ is consumed for use in own facility</w:t>
            </w:r>
          </w:p>
        </w:tc>
        <w:tc>
          <w:tcPr>
            <w:tcW w:w="2835" w:type="dxa"/>
          </w:tcPr>
          <w:p w14:paraId="20C8EB29"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Electricity consumed by the plant </w:t>
            </w:r>
            <w:r>
              <w:rPr>
                <w:rFonts w:asciiTheme="minorHAnsi" w:hAnsiTheme="minorHAnsi"/>
                <w:sz w:val="22"/>
                <w:szCs w:val="22"/>
              </w:rPr>
              <w:t>must</w:t>
            </w:r>
            <w:r w:rsidRPr="009C0388">
              <w:rPr>
                <w:rFonts w:asciiTheme="minorHAnsi" w:hAnsiTheme="minorHAnsi"/>
                <w:sz w:val="22"/>
                <w:szCs w:val="22"/>
              </w:rPr>
              <w:t xml:space="preserve"> be calculated as per </w:t>
            </w:r>
            <w:hyperlink w:anchor="_Quantifying_electricity_consumption" w:history="1">
              <w:r w:rsidRPr="0077628F">
                <w:rPr>
                  <w:rStyle w:val="Hyperlink"/>
                  <w:rFonts w:asciiTheme="minorHAnsi" w:hAnsiTheme="minorHAnsi"/>
                  <w:szCs w:val="22"/>
                </w:rPr>
                <w:t>chapter 7.3.1</w:t>
              </w:r>
            </w:hyperlink>
            <w:r w:rsidRPr="009C0388">
              <w:rPr>
                <w:rFonts w:asciiTheme="minorHAnsi" w:hAnsiTheme="minorHAnsi"/>
                <w:sz w:val="22"/>
                <w:szCs w:val="22"/>
              </w:rPr>
              <w:t xml:space="preserve"> of this guideline</w:t>
            </w:r>
          </w:p>
        </w:tc>
      </w:tr>
      <w:tr w:rsidR="00913E4B" w:rsidRPr="00FF338C" w14:paraId="1A6565E7" w14:textId="77777777" w:rsidTr="00D0524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1" w:type="dxa"/>
            <w:tcBorders>
              <w:bottom w:val="single" w:sz="8" w:space="0" w:color="E8E8E8" w:themeColor="background2"/>
            </w:tcBorders>
          </w:tcPr>
          <w:p w14:paraId="2A5C0E79" w14:textId="77777777" w:rsidR="00913E4B" w:rsidRPr="009C0388" w:rsidRDefault="00913E4B" w:rsidP="00D549C7">
            <w:pPr>
              <w:pStyle w:val="Body"/>
              <w:ind w:left="0"/>
              <w:rPr>
                <w:rFonts w:asciiTheme="minorHAnsi" w:hAnsiTheme="minorHAnsi"/>
                <w:sz w:val="22"/>
                <w:szCs w:val="22"/>
              </w:rPr>
            </w:pPr>
            <w:r w:rsidRPr="009C0388">
              <w:rPr>
                <w:rFonts w:asciiTheme="minorHAnsi" w:hAnsiTheme="minorHAnsi"/>
                <w:sz w:val="22"/>
                <w:szCs w:val="22"/>
              </w:rPr>
              <w:t>6</w:t>
            </w:r>
          </w:p>
        </w:tc>
        <w:tc>
          <w:tcPr>
            <w:tcW w:w="1559" w:type="dxa"/>
            <w:tcBorders>
              <w:bottom w:val="single" w:sz="8" w:space="0" w:color="E8E8E8" w:themeColor="background2"/>
            </w:tcBorders>
          </w:tcPr>
          <w:p w14:paraId="28A3F3D4"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Produced electricity delivered directly to nearby facility</w:t>
            </w:r>
          </w:p>
        </w:tc>
        <w:tc>
          <w:tcPr>
            <w:tcW w:w="2835" w:type="dxa"/>
            <w:tcBorders>
              <w:bottom w:val="single" w:sz="8" w:space="0" w:color="E8E8E8" w:themeColor="background2"/>
            </w:tcBorders>
          </w:tcPr>
          <w:p w14:paraId="34CDC483"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2835" w:type="dxa"/>
            <w:tcBorders>
              <w:bottom w:val="single" w:sz="8" w:space="0" w:color="E8E8E8" w:themeColor="background2"/>
            </w:tcBorders>
          </w:tcPr>
          <w:p w14:paraId="54F8ADC8"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Electricity produced ‘for use outside the operation of the facility other than for the supply to an electricity transmission or distribution network’</w:t>
            </w:r>
            <w:r>
              <w:rPr>
                <w:rFonts w:asciiTheme="minorHAnsi" w:hAnsiTheme="minorHAnsi"/>
                <w:sz w:val="22"/>
                <w:szCs w:val="22"/>
              </w:rPr>
              <w:t xml:space="preserve"> - that is,</w:t>
            </w:r>
            <w:r w:rsidRPr="009C0388">
              <w:rPr>
                <w:rFonts w:asciiTheme="minorHAnsi" w:hAnsiTheme="minorHAnsi"/>
                <w:sz w:val="22"/>
                <w:szCs w:val="22"/>
              </w:rPr>
              <w:t xml:space="preserve"> for ‘use offsite, not supplied to network’</w:t>
            </w:r>
          </w:p>
        </w:tc>
        <w:tc>
          <w:tcPr>
            <w:tcW w:w="2977" w:type="dxa"/>
            <w:tcBorders>
              <w:bottom w:val="single" w:sz="8" w:space="0" w:color="E8E8E8" w:themeColor="background2"/>
            </w:tcBorders>
          </w:tcPr>
          <w:p w14:paraId="632FA37A"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2835" w:type="dxa"/>
            <w:tcBorders>
              <w:bottom w:val="single" w:sz="8" w:space="0" w:color="E8E8E8" w:themeColor="background2"/>
            </w:tcBorders>
          </w:tcPr>
          <w:p w14:paraId="359F66A6"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The amount of electricity </w:t>
            </w:r>
            <w:r w:rsidRPr="009C0388" w:rsidDel="00EC08C0">
              <w:rPr>
                <w:rFonts w:asciiTheme="minorHAnsi" w:hAnsiTheme="minorHAnsi"/>
                <w:sz w:val="22"/>
                <w:szCs w:val="22"/>
              </w:rPr>
              <w:t xml:space="preserve">should </w:t>
            </w:r>
            <w:r w:rsidRPr="009C0388">
              <w:rPr>
                <w:rFonts w:asciiTheme="minorHAnsi" w:hAnsiTheme="minorHAnsi"/>
                <w:sz w:val="22"/>
                <w:szCs w:val="22"/>
              </w:rPr>
              <w:t>be measured as delivered (as close to boundary as possible)</w:t>
            </w:r>
          </w:p>
          <w:p w14:paraId="3F31B44A" w14:textId="77777777" w:rsidR="00913E4B"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That other facility </w:t>
            </w:r>
            <w:r w:rsidRPr="009C0388" w:rsidDel="00EC08C0">
              <w:rPr>
                <w:rFonts w:asciiTheme="minorHAnsi" w:hAnsiTheme="minorHAnsi"/>
                <w:sz w:val="22"/>
                <w:szCs w:val="22"/>
              </w:rPr>
              <w:t xml:space="preserve">should </w:t>
            </w:r>
            <w:r w:rsidRPr="009C0388">
              <w:rPr>
                <w:rFonts w:asciiTheme="minorHAnsi" w:hAnsiTheme="minorHAnsi"/>
                <w:sz w:val="22"/>
                <w:szCs w:val="22"/>
              </w:rPr>
              <w:t>report this electricity use as scope 2 emission (provided it is acquired through a commercial transaction)</w:t>
            </w:r>
          </w:p>
          <w:p w14:paraId="70DE4762" w14:textId="77777777" w:rsidR="00913E4B" w:rsidRPr="009C0388" w:rsidRDefault="00913E4B"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The gas-fired power station should preferably provide the other facility with the emissions factor for the produced electricity</w:t>
            </w:r>
          </w:p>
        </w:tc>
      </w:tr>
      <w:tr w:rsidR="00913E4B" w:rsidRPr="00FF338C" w14:paraId="6F5FACF5" w14:textId="77777777" w:rsidTr="00D0524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1" w:type="dxa"/>
            <w:tcBorders>
              <w:top w:val="single" w:sz="8" w:space="0" w:color="E8E8E8" w:themeColor="background2"/>
              <w:bottom w:val="single" w:sz="4" w:space="0" w:color="FCBA5C" w:themeColor="accent2"/>
            </w:tcBorders>
          </w:tcPr>
          <w:p w14:paraId="3F030697" w14:textId="77777777" w:rsidR="00913E4B" w:rsidRPr="009C0388" w:rsidRDefault="00913E4B" w:rsidP="00D549C7">
            <w:pPr>
              <w:pStyle w:val="Body"/>
              <w:ind w:left="0"/>
              <w:rPr>
                <w:rFonts w:asciiTheme="minorHAnsi" w:hAnsiTheme="minorHAnsi"/>
                <w:sz w:val="22"/>
                <w:szCs w:val="22"/>
              </w:rPr>
            </w:pPr>
            <w:r w:rsidRPr="009C0388">
              <w:rPr>
                <w:rFonts w:asciiTheme="minorHAnsi" w:hAnsiTheme="minorHAnsi"/>
                <w:sz w:val="22"/>
                <w:szCs w:val="22"/>
              </w:rPr>
              <w:t>7</w:t>
            </w:r>
          </w:p>
        </w:tc>
        <w:tc>
          <w:tcPr>
            <w:tcW w:w="1559" w:type="dxa"/>
            <w:tcBorders>
              <w:top w:val="single" w:sz="8" w:space="0" w:color="E8E8E8" w:themeColor="background2"/>
              <w:bottom w:val="single" w:sz="4" w:space="0" w:color="FCBA5C" w:themeColor="accent2"/>
            </w:tcBorders>
          </w:tcPr>
          <w:p w14:paraId="7220A71E"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Electricity transferred to an electricity network</w:t>
            </w:r>
          </w:p>
        </w:tc>
        <w:tc>
          <w:tcPr>
            <w:tcW w:w="2835" w:type="dxa"/>
            <w:tcBorders>
              <w:top w:val="single" w:sz="8" w:space="0" w:color="E8E8E8" w:themeColor="background2"/>
              <w:bottom w:val="single" w:sz="4" w:space="0" w:color="FCBA5C" w:themeColor="accent2"/>
            </w:tcBorders>
          </w:tcPr>
          <w:p w14:paraId="69B8290D"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2835" w:type="dxa"/>
            <w:tcBorders>
              <w:top w:val="single" w:sz="8" w:space="0" w:color="E8E8E8" w:themeColor="background2"/>
              <w:bottom w:val="single" w:sz="4" w:space="0" w:color="FCBA5C" w:themeColor="accent2"/>
            </w:tcBorders>
          </w:tcPr>
          <w:p w14:paraId="590BBB00"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Electricity produced ‘for use outside the operation of the facility for supply to an electricity transmission or distribution network’ – </w:t>
            </w:r>
            <w:r>
              <w:rPr>
                <w:rFonts w:asciiTheme="minorHAnsi" w:hAnsiTheme="minorHAnsi"/>
                <w:sz w:val="22"/>
                <w:szCs w:val="22"/>
              </w:rPr>
              <w:t xml:space="preserve">that is, </w:t>
            </w:r>
            <w:r w:rsidRPr="009C0388">
              <w:rPr>
                <w:rFonts w:asciiTheme="minorHAnsi" w:hAnsiTheme="minorHAnsi"/>
                <w:sz w:val="22"/>
                <w:szCs w:val="22"/>
              </w:rPr>
              <w:t>‘for use offsite, supplied to network’</w:t>
            </w:r>
          </w:p>
        </w:tc>
        <w:tc>
          <w:tcPr>
            <w:tcW w:w="2977" w:type="dxa"/>
            <w:tcBorders>
              <w:top w:val="single" w:sz="8" w:space="0" w:color="E8E8E8" w:themeColor="background2"/>
              <w:bottom w:val="single" w:sz="4" w:space="0" w:color="FCBA5C" w:themeColor="accent2"/>
            </w:tcBorders>
          </w:tcPr>
          <w:p w14:paraId="3211E2B1"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2835" w:type="dxa"/>
            <w:tcBorders>
              <w:top w:val="single" w:sz="8" w:space="0" w:color="E8E8E8" w:themeColor="background2"/>
              <w:bottom w:val="single" w:sz="4" w:space="0" w:color="FCBA5C" w:themeColor="accent2"/>
            </w:tcBorders>
          </w:tcPr>
          <w:p w14:paraId="73326528" w14:textId="77777777" w:rsidR="00913E4B" w:rsidRPr="009C0388" w:rsidRDefault="00913E4B"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Electricity transferred to the electricity network </w:t>
            </w:r>
            <w:r>
              <w:rPr>
                <w:rFonts w:asciiTheme="minorHAnsi" w:hAnsiTheme="minorHAnsi"/>
                <w:sz w:val="22"/>
                <w:szCs w:val="22"/>
              </w:rPr>
              <w:t>must</w:t>
            </w:r>
            <w:r w:rsidRPr="009C0388">
              <w:rPr>
                <w:rFonts w:asciiTheme="minorHAnsi" w:hAnsiTheme="minorHAnsi"/>
                <w:sz w:val="22"/>
                <w:szCs w:val="22"/>
              </w:rPr>
              <w:t xml:space="preserve"> be metered at the network connection point by the distributor</w:t>
            </w:r>
            <w:r>
              <w:rPr>
                <w:rFonts w:asciiTheme="minorHAnsi" w:hAnsiTheme="minorHAnsi"/>
                <w:sz w:val="22"/>
                <w:szCs w:val="22"/>
              </w:rPr>
              <w:t xml:space="preserve"> - see </w:t>
            </w:r>
            <w:hyperlink w:anchor="_Quantifying_electricity_consumption" w:history="1">
              <w:r w:rsidRPr="0077628F">
                <w:rPr>
                  <w:rStyle w:val="Hyperlink"/>
                  <w:rFonts w:asciiTheme="minorHAnsi" w:hAnsiTheme="minorHAnsi"/>
                  <w:szCs w:val="22"/>
                </w:rPr>
                <w:t>chapter 7.3.1</w:t>
              </w:r>
            </w:hyperlink>
            <w:r w:rsidRPr="009C0388">
              <w:rPr>
                <w:rFonts w:asciiTheme="minorHAnsi" w:hAnsiTheme="minorHAnsi"/>
                <w:sz w:val="22"/>
                <w:szCs w:val="22"/>
              </w:rPr>
              <w:t xml:space="preserve"> of this guideline</w:t>
            </w:r>
          </w:p>
        </w:tc>
      </w:tr>
    </w:tbl>
    <w:p w14:paraId="1ECF1108" w14:textId="77777777" w:rsidR="00913E4B" w:rsidRDefault="00913E4B" w:rsidP="00913E4B">
      <w:pPr>
        <w:spacing w:after="0"/>
        <w:sectPr w:rsidR="00913E4B" w:rsidSect="006358AF">
          <w:headerReference w:type="default" r:id="rId67"/>
          <w:headerReference w:type="first" r:id="rId68"/>
          <w:pgSz w:w="16840" w:h="11900" w:orient="landscape" w:code="9"/>
          <w:pgMar w:top="1080" w:right="889" w:bottom="1080" w:left="993" w:header="397" w:footer="113" w:gutter="0"/>
          <w:cols w:space="708"/>
          <w:titlePg/>
          <w:docGrid w:linePitch="326"/>
        </w:sectPr>
      </w:pPr>
    </w:p>
    <w:p w14:paraId="768EA6DC" w14:textId="77777777" w:rsidR="004B02E8" w:rsidRPr="00FF338C" w:rsidRDefault="004B02E8" w:rsidP="004B02E8">
      <w:pPr>
        <w:pStyle w:val="Heading3"/>
        <w:rPr>
          <w:lang w:val="en-GB"/>
        </w:rPr>
      </w:pPr>
      <w:bookmarkStart w:id="533" w:name="_Toc512010431"/>
      <w:bookmarkStart w:id="534" w:name="_Toc512339631"/>
      <w:bookmarkStart w:id="535" w:name="_Toc107922610"/>
      <w:r w:rsidRPr="00FF338C">
        <w:rPr>
          <w:lang w:val="en-GB"/>
        </w:rPr>
        <w:t>Case example 2: Hydro power plant</w:t>
      </w:r>
      <w:bookmarkEnd w:id="533"/>
      <w:bookmarkEnd w:id="534"/>
      <w:bookmarkEnd w:id="535"/>
    </w:p>
    <w:p w14:paraId="59A43CD5" w14:textId="77777777" w:rsidR="004B02E8" w:rsidRPr="00FF338C" w:rsidRDefault="004B02E8" w:rsidP="004B02E8">
      <w:pPr>
        <w:pStyle w:val="Body"/>
        <w:ind w:left="0"/>
        <w:rPr>
          <w:rFonts w:asciiTheme="minorHAnsi" w:hAnsiTheme="minorHAnsi"/>
          <w:sz w:val="22"/>
          <w:szCs w:val="20"/>
        </w:rPr>
      </w:pPr>
      <w:r>
        <w:rPr>
          <w:rFonts w:asciiTheme="minorHAnsi" w:hAnsiTheme="minorHAnsi"/>
          <w:sz w:val="22"/>
          <w:szCs w:val="20"/>
        </w:rPr>
        <w:fldChar w:fldCharType="begin"/>
      </w:r>
      <w:r>
        <w:rPr>
          <w:rFonts w:asciiTheme="minorHAnsi" w:hAnsiTheme="minorHAnsi"/>
          <w:sz w:val="22"/>
          <w:szCs w:val="20"/>
        </w:rPr>
        <w:instrText xml:space="preserve"> REF _Ref71290455 </w:instrText>
      </w:r>
      <w:r>
        <w:rPr>
          <w:rFonts w:asciiTheme="minorHAnsi" w:hAnsiTheme="minorHAnsi"/>
          <w:sz w:val="22"/>
          <w:szCs w:val="20"/>
        </w:rPr>
        <w:fldChar w:fldCharType="separate"/>
      </w:r>
      <w:r w:rsidRPr="00FF338C">
        <w:t xml:space="preserve">Figure </w:t>
      </w:r>
      <w:r>
        <w:rPr>
          <w:rFonts w:asciiTheme="minorHAnsi" w:hAnsiTheme="minorHAnsi"/>
          <w:sz w:val="22"/>
          <w:szCs w:val="20"/>
        </w:rPr>
        <w:fldChar w:fldCharType="end"/>
      </w:r>
      <w:r>
        <w:rPr>
          <w:rFonts w:asciiTheme="minorHAnsi" w:hAnsiTheme="minorHAnsi"/>
          <w:sz w:val="22"/>
          <w:szCs w:val="20"/>
        </w:rPr>
        <w:t xml:space="preserve">9 </w:t>
      </w:r>
      <w:r w:rsidRPr="00FF338C">
        <w:rPr>
          <w:rFonts w:asciiTheme="minorHAnsi" w:hAnsiTheme="minorHAnsi"/>
          <w:sz w:val="22"/>
          <w:szCs w:val="20"/>
        </w:rPr>
        <w:t>shows an overview of the main types of energy production and consumption processes at a hydro power plant. Each circled number on the diagram relates to a main process point.</w:t>
      </w:r>
    </w:p>
    <w:p w14:paraId="0CBE9B69" w14:textId="77777777" w:rsidR="004B02E8" w:rsidRPr="00FF338C" w:rsidRDefault="004B02E8" w:rsidP="004B02E8">
      <w:pPr>
        <w:pStyle w:val="Body"/>
        <w:ind w:left="0"/>
        <w:rPr>
          <w:rFonts w:asciiTheme="minorHAnsi" w:hAnsiTheme="minorHAnsi"/>
          <w:sz w:val="22"/>
          <w:szCs w:val="22"/>
        </w:rPr>
      </w:pPr>
      <w:r w:rsidRPr="00FF338C">
        <w:rPr>
          <w:rFonts w:asciiTheme="minorHAnsi" w:hAnsiTheme="minorHAnsi"/>
          <w:sz w:val="22"/>
          <w:szCs w:val="22"/>
        </w:rPr>
        <w:fldChar w:fldCharType="begin"/>
      </w:r>
      <w:r w:rsidRPr="00FF338C">
        <w:rPr>
          <w:rFonts w:asciiTheme="minorHAnsi" w:hAnsiTheme="minorHAnsi"/>
          <w:sz w:val="22"/>
          <w:szCs w:val="22"/>
        </w:rPr>
        <w:instrText xml:space="preserve"> REF _Ref512341046 \h  \* MERGEFORMAT </w:instrText>
      </w:r>
      <w:r w:rsidRPr="00FF338C">
        <w:rPr>
          <w:rFonts w:asciiTheme="minorHAnsi" w:hAnsiTheme="minorHAnsi"/>
          <w:sz w:val="22"/>
          <w:szCs w:val="22"/>
        </w:rPr>
      </w:r>
      <w:r w:rsidRPr="00FF338C">
        <w:rPr>
          <w:rFonts w:asciiTheme="minorHAnsi" w:hAnsiTheme="minorHAnsi"/>
          <w:sz w:val="22"/>
          <w:szCs w:val="22"/>
        </w:rPr>
        <w:fldChar w:fldCharType="separate"/>
      </w:r>
      <w:r w:rsidRPr="001732B7">
        <w:rPr>
          <w:rFonts w:asciiTheme="minorHAnsi" w:hAnsiTheme="minorHAnsi"/>
          <w:sz w:val="22"/>
          <w:szCs w:val="22"/>
        </w:rPr>
        <w:t xml:space="preserve">Table </w:t>
      </w:r>
      <w:r w:rsidRPr="00FF338C">
        <w:rPr>
          <w:rFonts w:asciiTheme="minorHAnsi" w:hAnsiTheme="minorHAnsi"/>
          <w:sz w:val="22"/>
          <w:szCs w:val="22"/>
        </w:rPr>
        <w:fldChar w:fldCharType="end"/>
      </w:r>
      <w:r w:rsidRPr="00FF338C">
        <w:rPr>
          <w:rFonts w:asciiTheme="minorHAnsi" w:hAnsiTheme="minorHAnsi"/>
          <w:sz w:val="22"/>
          <w:szCs w:val="22"/>
        </w:rPr>
        <w:t xml:space="preserve"> shows the emissions, energy consumption, energy production, and additional reporting requirements associated with each of these process points.</w:t>
      </w:r>
    </w:p>
    <w:p w14:paraId="075CD16E" w14:textId="77777777" w:rsidR="004B02E8" w:rsidRPr="00FF338C" w:rsidRDefault="004B02E8" w:rsidP="004B02E8">
      <w:pPr>
        <w:pStyle w:val="Heading4"/>
      </w:pPr>
      <w:bookmarkStart w:id="536" w:name="_Toc107922611"/>
      <w:r w:rsidRPr="00FF338C">
        <w:t>NGER activities and industry sector</w:t>
      </w:r>
      <w:bookmarkEnd w:id="536"/>
    </w:p>
    <w:p w14:paraId="0EDB2AFA" w14:textId="77777777" w:rsidR="004B02E8" w:rsidRPr="00FF338C" w:rsidRDefault="004B02E8" w:rsidP="004B02E8">
      <w:pPr>
        <w:pStyle w:val="Body"/>
        <w:ind w:left="0"/>
        <w:rPr>
          <w:rFonts w:asciiTheme="minorHAnsi" w:hAnsiTheme="minorHAnsi"/>
          <w:sz w:val="22"/>
          <w:szCs w:val="22"/>
        </w:rPr>
      </w:pPr>
      <w:r w:rsidRPr="00FF338C">
        <w:rPr>
          <w:rFonts w:asciiTheme="minorHAnsi" w:hAnsiTheme="minorHAnsi"/>
          <w:sz w:val="22"/>
          <w:szCs w:val="22"/>
        </w:rPr>
        <w:t>The hydro power plant facility has been classified as a single facility for NGER reporting purposes. The correct ANZSIC code is ‘261 Electricity generation’. It includes the following reportable activities:</w:t>
      </w:r>
    </w:p>
    <w:p w14:paraId="090C6D46" w14:textId="77777777" w:rsidR="004B02E8" w:rsidRDefault="004B02E8" w:rsidP="00B3330E">
      <w:pPr>
        <w:numPr>
          <w:ilvl w:val="0"/>
          <w:numId w:val="1"/>
        </w:numPr>
        <w:spacing w:before="120" w:after="120"/>
        <w:rPr>
          <w:szCs w:val="22"/>
        </w:rPr>
      </w:pPr>
      <w:r w:rsidRPr="00FF338C">
        <w:rPr>
          <w:b/>
          <w:szCs w:val="22"/>
        </w:rPr>
        <w:t>Energy reporting for electricity produced</w:t>
      </w:r>
      <w:r w:rsidRPr="00FF338C">
        <w:rPr>
          <w:szCs w:val="22"/>
        </w:rPr>
        <w:t xml:space="preserve">: </w:t>
      </w:r>
    </w:p>
    <w:p w14:paraId="3CC8CF9A" w14:textId="77777777" w:rsidR="004B02E8" w:rsidRDefault="004B02E8" w:rsidP="00B3330E">
      <w:pPr>
        <w:pStyle w:val="Sub-para"/>
        <w:numPr>
          <w:ilvl w:val="1"/>
          <w:numId w:val="1"/>
        </w:numPr>
      </w:pPr>
      <w:r w:rsidRPr="00FF338C">
        <w:t>Electricity is produced in a turbine (</w:t>
      </w:r>
      <w:r>
        <w:t xml:space="preserve">number </w:t>
      </w:r>
      <w:r w:rsidRPr="00FF338C">
        <w:t xml:space="preserve">3 as metered at </w:t>
      </w:r>
      <w:r>
        <w:t xml:space="preserve">number </w:t>
      </w:r>
      <w:r w:rsidRPr="00FF338C">
        <w:t xml:space="preserve">4). </w:t>
      </w:r>
    </w:p>
    <w:p w14:paraId="7ED1111F" w14:textId="77777777" w:rsidR="004B02E8" w:rsidRDefault="004B02E8" w:rsidP="00B3330E">
      <w:pPr>
        <w:pStyle w:val="Sub-para"/>
        <w:numPr>
          <w:ilvl w:val="1"/>
          <w:numId w:val="1"/>
        </w:numPr>
      </w:pPr>
      <w:r w:rsidRPr="00FF338C">
        <w:t>A portion of the electricity generated is fed back into the facility for plant operations (</w:t>
      </w:r>
      <w:r>
        <w:t xml:space="preserve">number </w:t>
      </w:r>
      <w:r w:rsidRPr="00FF338C">
        <w:t>5), and some is lost in a 50 km transmission line to the delivery point to the electricity network (</w:t>
      </w:r>
      <w:r>
        <w:t xml:space="preserve">number </w:t>
      </w:r>
      <w:r w:rsidRPr="00FF338C">
        <w:t xml:space="preserve">6). </w:t>
      </w:r>
    </w:p>
    <w:p w14:paraId="358ACBB9" w14:textId="77777777" w:rsidR="004B02E8" w:rsidRPr="00FF338C" w:rsidRDefault="004B02E8" w:rsidP="00B3330E">
      <w:pPr>
        <w:pStyle w:val="Sub-para"/>
        <w:numPr>
          <w:ilvl w:val="1"/>
          <w:numId w:val="1"/>
        </w:numPr>
      </w:pPr>
      <w:r w:rsidRPr="00FF338C">
        <w:t>The remaining electricity generated is transferred to an electricity network (</w:t>
      </w:r>
      <w:r>
        <w:t xml:space="preserve">number </w:t>
      </w:r>
      <w:r w:rsidRPr="00FF338C">
        <w:t xml:space="preserve">7). </w:t>
      </w:r>
    </w:p>
    <w:p w14:paraId="28B63C9E" w14:textId="77777777" w:rsidR="004B02E8" w:rsidRPr="00FF338C" w:rsidRDefault="004B02E8" w:rsidP="004B02E8">
      <w:pPr>
        <w:spacing w:before="120" w:after="120"/>
        <w:rPr>
          <w:szCs w:val="22"/>
        </w:rPr>
      </w:pPr>
      <w:r>
        <w:rPr>
          <w:szCs w:val="22"/>
        </w:rPr>
        <w:t xml:space="preserve">See </w:t>
      </w:r>
      <w:hyperlink w:anchor="_Energy_production_and" w:history="1">
        <w:r w:rsidRPr="0077628F">
          <w:rPr>
            <w:rStyle w:val="Hyperlink"/>
            <w:rFonts w:asciiTheme="minorHAnsi" w:hAnsiTheme="minorHAnsi"/>
            <w:szCs w:val="22"/>
          </w:rPr>
          <w:t>chapter 7</w:t>
        </w:r>
      </w:hyperlink>
      <w:r>
        <w:rPr>
          <w:szCs w:val="22"/>
        </w:rPr>
        <w:t xml:space="preserve"> </w:t>
      </w:r>
      <w:r w:rsidRPr="00FF338C">
        <w:rPr>
          <w:szCs w:val="22"/>
        </w:rPr>
        <w:t>of this guideline for reporting of electricity production and for electricity produced for use onsite.</w:t>
      </w:r>
    </w:p>
    <w:p w14:paraId="72404D04" w14:textId="77777777" w:rsidR="004B02E8" w:rsidRPr="00FF338C" w:rsidRDefault="004B02E8" w:rsidP="004B02E8">
      <w:pPr>
        <w:pStyle w:val="Body"/>
        <w:ind w:left="0"/>
        <w:rPr>
          <w:rFonts w:asciiTheme="minorHAnsi" w:hAnsiTheme="minorHAnsi"/>
          <w:sz w:val="22"/>
          <w:szCs w:val="22"/>
        </w:rPr>
      </w:pPr>
      <w:r w:rsidRPr="00FF338C">
        <w:rPr>
          <w:rFonts w:asciiTheme="minorHAnsi" w:hAnsiTheme="minorHAnsi"/>
          <w:sz w:val="22"/>
          <w:szCs w:val="22"/>
        </w:rPr>
        <w:t>Other reportable NGER activities not included in the example are likely to occur, including:</w:t>
      </w:r>
    </w:p>
    <w:p w14:paraId="27D78791" w14:textId="77777777" w:rsidR="004B02E8" w:rsidRPr="00FF338C" w:rsidRDefault="004B02E8" w:rsidP="00B3330E">
      <w:pPr>
        <w:pStyle w:val="CERbullets"/>
        <w:numPr>
          <w:ilvl w:val="0"/>
          <w:numId w:val="7"/>
        </w:numPr>
      </w:pPr>
      <w:r w:rsidRPr="00FF338C">
        <w:t>Scope 1 fuel combustion emissions from transport, stationary energy purposes (other than electricity generation) – for example, liquid fuel combustion in light vehicles.</w:t>
      </w:r>
    </w:p>
    <w:p w14:paraId="12789BEC" w14:textId="77777777" w:rsidR="004B02E8" w:rsidRPr="00FF338C" w:rsidRDefault="004B02E8" w:rsidP="00B3330E">
      <w:pPr>
        <w:pStyle w:val="ListParagraph"/>
        <w:numPr>
          <w:ilvl w:val="0"/>
          <w:numId w:val="7"/>
        </w:numPr>
      </w:pPr>
      <w:r w:rsidRPr="00FF338C">
        <w:t xml:space="preserve">The consumption of </w:t>
      </w:r>
      <w:r w:rsidRPr="00FD22FB">
        <w:t>PBOGs</w:t>
      </w:r>
      <w:r w:rsidRPr="00FF338C">
        <w:t>.</w:t>
      </w:r>
    </w:p>
    <w:p w14:paraId="380262D5" w14:textId="77777777" w:rsidR="004B02E8" w:rsidRPr="00FF338C" w:rsidRDefault="004B02E8" w:rsidP="00B3330E">
      <w:pPr>
        <w:pStyle w:val="CERbullets"/>
        <w:numPr>
          <w:ilvl w:val="0"/>
          <w:numId w:val="7"/>
        </w:numPr>
      </w:pPr>
      <w:r w:rsidRPr="00FF338C">
        <w:t>Contractor energy and emissions data if part of the facility’s production process under the operational control of the facility (likely to include fuel combustion emissions and consumption, if occurring).</w:t>
      </w:r>
    </w:p>
    <w:p w14:paraId="447B35E7" w14:textId="4DD27B3F" w:rsidR="00913E4B" w:rsidRPr="00FF338C" w:rsidRDefault="00913E4B" w:rsidP="00913E4B">
      <w:pPr>
        <w:spacing w:after="0"/>
        <w:sectPr w:rsidR="00913E4B" w:rsidRPr="00FF338C" w:rsidSect="001A4441">
          <w:pgSz w:w="11900" w:h="16840" w:code="9"/>
          <w:pgMar w:top="889" w:right="1080" w:bottom="993" w:left="1080" w:header="397" w:footer="113" w:gutter="0"/>
          <w:cols w:space="708"/>
          <w:titlePg/>
          <w:docGrid w:linePitch="326"/>
        </w:sectPr>
      </w:pPr>
    </w:p>
    <w:p w14:paraId="12558296" w14:textId="77777777" w:rsidR="001E6E16" w:rsidRPr="00FF338C" w:rsidRDefault="001E6E16" w:rsidP="001E6E16">
      <w:pPr>
        <w:pStyle w:val="Caption"/>
        <w:sectPr w:rsidR="001E6E16" w:rsidRPr="00FF338C" w:rsidSect="006358AF">
          <w:headerReference w:type="first" r:id="rId69"/>
          <w:pgSz w:w="16840" w:h="11900" w:orient="landscape" w:code="9"/>
          <w:pgMar w:top="1080" w:right="889" w:bottom="1080" w:left="993" w:header="397" w:footer="113" w:gutter="0"/>
          <w:cols w:space="708"/>
          <w:titlePg/>
          <w:docGrid w:linePitch="326"/>
        </w:sectPr>
      </w:pPr>
      <w:bookmarkStart w:id="537" w:name="_Ref71290455"/>
      <w:r w:rsidRPr="00FF338C">
        <w:rPr>
          <w:noProof/>
          <w:lang w:eastAsia="en-AU"/>
        </w:rPr>
        <w:drawing>
          <wp:anchor distT="0" distB="0" distL="114300" distR="114300" simplePos="0" relativeHeight="251682816" behindDoc="0" locked="0" layoutInCell="1" allowOverlap="1" wp14:anchorId="5F766359" wp14:editId="5BCE3448">
            <wp:simplePos x="0" y="0"/>
            <wp:positionH relativeFrom="margin">
              <wp:align>left</wp:align>
            </wp:positionH>
            <wp:positionV relativeFrom="paragraph">
              <wp:posOffset>367665</wp:posOffset>
            </wp:positionV>
            <wp:extent cx="9498330" cy="3211830"/>
            <wp:effectExtent l="0" t="0" r="7620" b="762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DR99 NGER Diagram-dam electricity.jpg"/>
                    <pic:cNvPicPr/>
                  </pic:nvPicPr>
                  <pic:blipFill>
                    <a:blip r:embed="rId70">
                      <a:extLst>
                        <a:ext uri="{28A0092B-C50C-407E-A947-70E740481C1C}">
                          <a14:useLocalDpi xmlns:a14="http://schemas.microsoft.com/office/drawing/2010/main" val="0"/>
                        </a:ext>
                      </a:extLst>
                    </a:blip>
                    <a:stretch>
                      <a:fillRect/>
                    </a:stretch>
                  </pic:blipFill>
                  <pic:spPr>
                    <a:xfrm>
                      <a:off x="0" y="0"/>
                      <a:ext cx="9498330" cy="3211830"/>
                    </a:xfrm>
                    <a:prstGeom prst="rect">
                      <a:avLst/>
                    </a:prstGeom>
                  </pic:spPr>
                </pic:pic>
              </a:graphicData>
            </a:graphic>
            <wp14:sizeRelH relativeFrom="page">
              <wp14:pctWidth>0</wp14:pctWidth>
            </wp14:sizeRelH>
            <wp14:sizeRelV relativeFrom="page">
              <wp14:pctHeight>0</wp14:pctHeight>
            </wp14:sizeRelV>
          </wp:anchor>
        </w:drawing>
      </w:r>
      <w:r w:rsidRPr="00FF338C">
        <w:t xml:space="preserve">Figure </w:t>
      </w:r>
      <w:bookmarkEnd w:id="537"/>
      <w:r>
        <w:t>9</w:t>
      </w:r>
      <w:r w:rsidRPr="00FF338C">
        <w:t xml:space="preserve"> – Hydro power plant diagram</w:t>
      </w:r>
    </w:p>
    <w:p w14:paraId="757F7467" w14:textId="77777777" w:rsidR="001E6E16" w:rsidRPr="00FF338C" w:rsidRDefault="001E6E16" w:rsidP="001E6E16">
      <w:pPr>
        <w:pStyle w:val="Body"/>
        <w:ind w:left="0"/>
      </w:pPr>
    </w:p>
    <w:p w14:paraId="35A1914C" w14:textId="77777777" w:rsidR="001E6E16" w:rsidRPr="00FF338C" w:rsidRDefault="001E6E16" w:rsidP="001E6E16">
      <w:pPr>
        <w:pStyle w:val="Caption"/>
      </w:pPr>
      <w:bookmarkStart w:id="538" w:name="_Ref511122076"/>
      <w:bookmarkStart w:id="539" w:name="_Ref512341046"/>
      <w:r w:rsidRPr="00FF338C">
        <w:t xml:space="preserve">Table </w:t>
      </w:r>
      <w:bookmarkEnd w:id="538"/>
      <w:bookmarkEnd w:id="539"/>
      <w:r>
        <w:t>18</w:t>
      </w:r>
      <w:r w:rsidRPr="00FF338C">
        <w:t xml:space="preserve"> – Energy summary for hydro power plant</w:t>
      </w:r>
    </w:p>
    <w:tbl>
      <w:tblPr>
        <w:tblStyle w:val="CERTable"/>
        <w:tblW w:w="14879" w:type="dxa"/>
        <w:tblLook w:val="04A0" w:firstRow="1" w:lastRow="0" w:firstColumn="1" w:lastColumn="0" w:noHBand="0" w:noVBand="1"/>
      </w:tblPr>
      <w:tblGrid>
        <w:gridCol w:w="562"/>
        <w:gridCol w:w="2127"/>
        <w:gridCol w:w="2825"/>
        <w:gridCol w:w="2986"/>
        <w:gridCol w:w="6379"/>
      </w:tblGrid>
      <w:tr w:rsidR="001E6E16" w:rsidRPr="00C64711" w14:paraId="1D0A491B" w14:textId="77777777" w:rsidTr="009F2A5F">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2689" w:type="dxa"/>
            <w:gridSpan w:val="2"/>
          </w:tcPr>
          <w:p w14:paraId="124FF072" w14:textId="77777777" w:rsidR="001E6E16" w:rsidRPr="009C0388" w:rsidRDefault="001E6E16" w:rsidP="00D549C7">
            <w:pPr>
              <w:pStyle w:val="Body"/>
              <w:ind w:left="0"/>
              <w:rPr>
                <w:rFonts w:asciiTheme="minorHAnsi" w:hAnsiTheme="minorHAnsi"/>
                <w:sz w:val="22"/>
                <w:szCs w:val="22"/>
              </w:rPr>
            </w:pPr>
            <w:r w:rsidRPr="009C0388">
              <w:rPr>
                <w:rFonts w:asciiTheme="minorHAnsi" w:hAnsiTheme="minorHAnsi"/>
                <w:sz w:val="22"/>
                <w:szCs w:val="22"/>
              </w:rPr>
              <w:t>Process point</w:t>
            </w:r>
          </w:p>
        </w:tc>
        <w:tc>
          <w:tcPr>
            <w:tcW w:w="2825" w:type="dxa"/>
          </w:tcPr>
          <w:p w14:paraId="1FC8051B" w14:textId="77777777" w:rsidR="001E6E16" w:rsidRPr="009C0388" w:rsidRDefault="001E6E16"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Reportable energy production</w:t>
            </w:r>
          </w:p>
        </w:tc>
        <w:tc>
          <w:tcPr>
            <w:tcW w:w="2986" w:type="dxa"/>
          </w:tcPr>
          <w:p w14:paraId="57789F6B" w14:textId="77777777" w:rsidR="001E6E16" w:rsidRPr="009C0388" w:rsidRDefault="001E6E16"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Reportable energy consumption</w:t>
            </w:r>
          </w:p>
        </w:tc>
        <w:tc>
          <w:tcPr>
            <w:tcW w:w="6379" w:type="dxa"/>
          </w:tcPr>
          <w:p w14:paraId="4988B811" w14:textId="77777777" w:rsidR="001E6E16" w:rsidRPr="009C0388" w:rsidRDefault="001E6E16" w:rsidP="00D549C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Notes</w:t>
            </w:r>
          </w:p>
        </w:tc>
      </w:tr>
      <w:tr w:rsidR="001E6E16" w:rsidRPr="00C64711" w14:paraId="5374D2CD" w14:textId="77777777" w:rsidTr="009F2A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tcPr>
          <w:p w14:paraId="2EA35DFC" w14:textId="77777777" w:rsidR="001E6E16" w:rsidRPr="009C0388" w:rsidRDefault="001E6E16" w:rsidP="00D549C7">
            <w:pPr>
              <w:pStyle w:val="Body"/>
              <w:ind w:left="0"/>
              <w:rPr>
                <w:rFonts w:asciiTheme="minorHAnsi" w:hAnsiTheme="minorHAnsi"/>
                <w:sz w:val="22"/>
                <w:szCs w:val="22"/>
              </w:rPr>
            </w:pPr>
            <w:r w:rsidRPr="009C0388">
              <w:rPr>
                <w:rFonts w:asciiTheme="minorHAnsi" w:hAnsiTheme="minorHAnsi"/>
                <w:sz w:val="22"/>
                <w:szCs w:val="22"/>
              </w:rPr>
              <w:t>1</w:t>
            </w:r>
          </w:p>
        </w:tc>
        <w:tc>
          <w:tcPr>
            <w:tcW w:w="2127" w:type="dxa"/>
          </w:tcPr>
          <w:p w14:paraId="4C5969D5"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Water retained by dam</w:t>
            </w:r>
          </w:p>
        </w:tc>
        <w:tc>
          <w:tcPr>
            <w:tcW w:w="2825" w:type="dxa"/>
            <w:vMerge w:val="restart"/>
          </w:tcPr>
          <w:p w14:paraId="1D3DEFB1"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2986" w:type="dxa"/>
            <w:vMerge w:val="restart"/>
          </w:tcPr>
          <w:p w14:paraId="6C210E93"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6379" w:type="dxa"/>
            <w:vMerge w:val="restart"/>
          </w:tcPr>
          <w:p w14:paraId="4B38FCDC"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The water stored at elevation by a dam contains the potential energy used to generate electricity</w:t>
            </w:r>
            <w:r>
              <w:rPr>
                <w:rFonts w:asciiTheme="minorHAnsi" w:hAnsiTheme="minorHAnsi"/>
                <w:sz w:val="22"/>
                <w:szCs w:val="22"/>
              </w:rPr>
              <w:t xml:space="preserve"> - t</w:t>
            </w:r>
            <w:r w:rsidRPr="009C0388">
              <w:rPr>
                <w:rFonts w:asciiTheme="minorHAnsi" w:hAnsiTheme="minorHAnsi"/>
                <w:sz w:val="22"/>
                <w:szCs w:val="22"/>
              </w:rPr>
              <w:t>his is not reportable</w:t>
            </w:r>
          </w:p>
          <w:p w14:paraId="64496DA5"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‘Water energy for electricity generation’ is defined as an energy commodity defined in Schedule 1 of the NGER Regulations but is only reportable as an energy consumption when used to generate electricity</w:t>
            </w:r>
          </w:p>
          <w:p w14:paraId="70003818"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The energy consumption in </w:t>
            </w:r>
            <w:r>
              <w:rPr>
                <w:rFonts w:asciiTheme="minorHAnsi" w:hAnsiTheme="minorHAnsi"/>
                <w:sz w:val="22"/>
                <w:szCs w:val="22"/>
              </w:rPr>
              <w:t xml:space="preserve">number </w:t>
            </w:r>
            <w:r w:rsidRPr="009C0388">
              <w:rPr>
                <w:rFonts w:asciiTheme="minorHAnsi" w:hAnsiTheme="minorHAnsi"/>
                <w:sz w:val="22"/>
                <w:szCs w:val="22"/>
              </w:rPr>
              <w:t xml:space="preserve">3 can be assumed to be equal to the electricity energy produced as metered at </w:t>
            </w:r>
            <w:r>
              <w:rPr>
                <w:rFonts w:asciiTheme="minorHAnsi" w:hAnsiTheme="minorHAnsi"/>
                <w:sz w:val="22"/>
                <w:szCs w:val="22"/>
              </w:rPr>
              <w:t xml:space="preserve">number </w:t>
            </w:r>
            <w:r w:rsidRPr="009C0388">
              <w:rPr>
                <w:rFonts w:asciiTheme="minorHAnsi" w:hAnsiTheme="minorHAnsi"/>
                <w:sz w:val="22"/>
                <w:szCs w:val="22"/>
              </w:rPr>
              <w:t>4</w:t>
            </w:r>
            <w:r>
              <w:rPr>
                <w:rFonts w:asciiTheme="minorHAnsi" w:hAnsiTheme="minorHAnsi"/>
                <w:sz w:val="22"/>
                <w:szCs w:val="22"/>
              </w:rPr>
              <w:t xml:space="preserve"> - see </w:t>
            </w:r>
            <w:hyperlink w:anchor="_Renewable_energy_commodity" w:history="1">
              <w:r w:rsidRPr="0077628F">
                <w:rPr>
                  <w:rStyle w:val="Hyperlink"/>
                  <w:rFonts w:asciiTheme="minorHAnsi" w:hAnsiTheme="minorHAnsi"/>
                  <w:szCs w:val="22"/>
                </w:rPr>
                <w:t>chapter 7.4</w:t>
              </w:r>
            </w:hyperlink>
            <w:r>
              <w:rPr>
                <w:rFonts w:asciiTheme="minorHAnsi" w:hAnsiTheme="minorHAnsi"/>
                <w:sz w:val="22"/>
                <w:szCs w:val="22"/>
              </w:rPr>
              <w:t xml:space="preserve"> </w:t>
            </w:r>
            <w:r w:rsidRPr="009C0388">
              <w:rPr>
                <w:rFonts w:asciiTheme="minorHAnsi" w:hAnsiTheme="minorHAnsi"/>
                <w:sz w:val="22"/>
                <w:szCs w:val="22"/>
              </w:rPr>
              <w:t>of this guideline</w:t>
            </w:r>
          </w:p>
        </w:tc>
      </w:tr>
      <w:tr w:rsidR="001E6E16" w:rsidRPr="00C64711" w14:paraId="126AD41C" w14:textId="77777777" w:rsidTr="009F2A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tcPr>
          <w:p w14:paraId="43C7D378" w14:textId="77777777" w:rsidR="001E6E16" w:rsidRPr="009C0388" w:rsidRDefault="001E6E16" w:rsidP="00D549C7">
            <w:pPr>
              <w:pStyle w:val="Body"/>
              <w:ind w:left="0"/>
              <w:rPr>
                <w:rFonts w:asciiTheme="minorHAnsi" w:hAnsiTheme="minorHAnsi"/>
                <w:sz w:val="22"/>
                <w:szCs w:val="22"/>
              </w:rPr>
            </w:pPr>
            <w:r w:rsidRPr="009C0388">
              <w:rPr>
                <w:rFonts w:asciiTheme="minorHAnsi" w:hAnsiTheme="minorHAnsi"/>
                <w:sz w:val="22"/>
                <w:szCs w:val="22"/>
              </w:rPr>
              <w:t>2</w:t>
            </w:r>
          </w:p>
        </w:tc>
        <w:tc>
          <w:tcPr>
            <w:tcW w:w="2127" w:type="dxa"/>
          </w:tcPr>
          <w:p w14:paraId="640889FE" w14:textId="77777777" w:rsidR="001E6E16" w:rsidRPr="009C0388" w:rsidRDefault="001E6E16"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Water transferred through dam</w:t>
            </w:r>
          </w:p>
        </w:tc>
        <w:tc>
          <w:tcPr>
            <w:tcW w:w="2825" w:type="dxa"/>
            <w:vMerge/>
          </w:tcPr>
          <w:p w14:paraId="36A2C897" w14:textId="77777777" w:rsidR="001E6E16" w:rsidRPr="009C0388" w:rsidRDefault="001E6E16"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986" w:type="dxa"/>
            <w:vMerge/>
          </w:tcPr>
          <w:p w14:paraId="1DF6113D" w14:textId="77777777" w:rsidR="001E6E16" w:rsidRPr="009C0388" w:rsidRDefault="001E6E16"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6379" w:type="dxa"/>
            <w:vMerge/>
          </w:tcPr>
          <w:p w14:paraId="04001679" w14:textId="77777777" w:rsidR="001E6E16" w:rsidRPr="009C0388" w:rsidRDefault="001E6E16"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r>
      <w:tr w:rsidR="001E6E16" w:rsidRPr="00C64711" w14:paraId="52B8095E" w14:textId="77777777" w:rsidTr="009F2A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tcPr>
          <w:p w14:paraId="2757F9D5" w14:textId="77777777" w:rsidR="001E6E16" w:rsidRPr="009C0388" w:rsidRDefault="001E6E16" w:rsidP="00D549C7">
            <w:pPr>
              <w:pStyle w:val="Body"/>
              <w:ind w:left="0"/>
              <w:rPr>
                <w:rFonts w:asciiTheme="minorHAnsi" w:hAnsiTheme="minorHAnsi"/>
                <w:sz w:val="22"/>
                <w:szCs w:val="22"/>
              </w:rPr>
            </w:pPr>
            <w:r w:rsidRPr="009C0388">
              <w:rPr>
                <w:rFonts w:asciiTheme="minorHAnsi" w:hAnsiTheme="minorHAnsi"/>
                <w:sz w:val="22"/>
                <w:szCs w:val="22"/>
              </w:rPr>
              <w:t>3</w:t>
            </w:r>
          </w:p>
        </w:tc>
        <w:tc>
          <w:tcPr>
            <w:tcW w:w="2127" w:type="dxa"/>
          </w:tcPr>
          <w:p w14:paraId="75183B0A"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Water turning turbine</w:t>
            </w:r>
          </w:p>
        </w:tc>
        <w:tc>
          <w:tcPr>
            <w:tcW w:w="2825" w:type="dxa"/>
          </w:tcPr>
          <w:p w14:paraId="3D9DE698"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2986" w:type="dxa"/>
          </w:tcPr>
          <w:p w14:paraId="6DA427B6"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‘Water energy for electricity generation’ is consumed through non-combustion</w:t>
            </w:r>
          </w:p>
        </w:tc>
        <w:tc>
          <w:tcPr>
            <w:tcW w:w="6379" w:type="dxa"/>
            <w:vMerge/>
          </w:tcPr>
          <w:p w14:paraId="4D9470CB"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1E6E16" w:rsidRPr="00C64711" w14:paraId="2AE817FC" w14:textId="77777777" w:rsidTr="009F2A5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tcPr>
          <w:p w14:paraId="794C2B05" w14:textId="77777777" w:rsidR="001E6E16" w:rsidRPr="009C0388" w:rsidRDefault="001E6E16" w:rsidP="00D549C7">
            <w:pPr>
              <w:pStyle w:val="Body"/>
              <w:ind w:left="0"/>
              <w:rPr>
                <w:rFonts w:asciiTheme="minorHAnsi" w:hAnsiTheme="minorHAnsi"/>
                <w:sz w:val="22"/>
                <w:szCs w:val="22"/>
              </w:rPr>
            </w:pPr>
            <w:r w:rsidRPr="009C0388">
              <w:rPr>
                <w:rFonts w:asciiTheme="minorHAnsi" w:hAnsiTheme="minorHAnsi"/>
                <w:sz w:val="22"/>
                <w:szCs w:val="22"/>
              </w:rPr>
              <w:t>4</w:t>
            </w:r>
          </w:p>
        </w:tc>
        <w:tc>
          <w:tcPr>
            <w:tcW w:w="2127" w:type="dxa"/>
          </w:tcPr>
          <w:p w14:paraId="7A1B50C7" w14:textId="77777777" w:rsidR="001E6E16" w:rsidRPr="009C0388" w:rsidRDefault="001E6E16"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Electricity generated</w:t>
            </w:r>
          </w:p>
        </w:tc>
        <w:tc>
          <w:tcPr>
            <w:tcW w:w="2825" w:type="dxa"/>
          </w:tcPr>
          <w:p w14:paraId="04F6ED24" w14:textId="77777777" w:rsidR="001E6E16" w:rsidRPr="009C0388" w:rsidRDefault="001E6E16"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p w14:paraId="0FF42186" w14:textId="77777777" w:rsidR="001E6E16" w:rsidRPr="009C0388" w:rsidRDefault="001E6E16"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‘Electricity’ is produced from the turbine and generator</w:t>
            </w:r>
            <w:r>
              <w:rPr>
                <w:rFonts w:asciiTheme="minorHAnsi" w:hAnsiTheme="minorHAnsi"/>
                <w:sz w:val="22"/>
                <w:szCs w:val="22"/>
              </w:rPr>
              <w:t xml:space="preserve"> </w:t>
            </w:r>
            <w:r w:rsidRPr="009C0388">
              <w:rPr>
                <w:rFonts w:asciiTheme="minorHAnsi" w:hAnsiTheme="minorHAnsi"/>
                <w:sz w:val="22"/>
                <w:szCs w:val="22"/>
              </w:rPr>
              <w:t xml:space="preserve">but is reported in </w:t>
            </w:r>
            <w:r>
              <w:rPr>
                <w:rFonts w:asciiTheme="minorHAnsi" w:hAnsiTheme="minorHAnsi"/>
                <w:sz w:val="22"/>
                <w:szCs w:val="22"/>
              </w:rPr>
              <w:t xml:space="preserve">number </w:t>
            </w:r>
            <w:r w:rsidRPr="009C0388">
              <w:rPr>
                <w:rFonts w:asciiTheme="minorHAnsi" w:hAnsiTheme="minorHAnsi"/>
                <w:sz w:val="22"/>
                <w:szCs w:val="22"/>
              </w:rPr>
              <w:t>5</w:t>
            </w:r>
            <w:r>
              <w:rPr>
                <w:rFonts w:asciiTheme="minorHAnsi" w:hAnsiTheme="minorHAnsi"/>
                <w:sz w:val="22"/>
                <w:szCs w:val="22"/>
              </w:rPr>
              <w:t xml:space="preserve"> to </w:t>
            </w:r>
            <w:r w:rsidRPr="009C0388">
              <w:rPr>
                <w:rFonts w:asciiTheme="minorHAnsi" w:hAnsiTheme="minorHAnsi"/>
                <w:sz w:val="22"/>
                <w:szCs w:val="22"/>
              </w:rPr>
              <w:t>7.</w:t>
            </w:r>
          </w:p>
        </w:tc>
        <w:tc>
          <w:tcPr>
            <w:tcW w:w="2986" w:type="dxa"/>
          </w:tcPr>
          <w:p w14:paraId="23B6C1F0" w14:textId="77777777" w:rsidR="001E6E16" w:rsidRPr="009C0388" w:rsidRDefault="001E6E16"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6379" w:type="dxa"/>
          </w:tcPr>
          <w:p w14:paraId="353AC6C4" w14:textId="77777777" w:rsidR="001E6E16" w:rsidRPr="009C0388" w:rsidRDefault="001E6E16"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Electricity produced </w:t>
            </w:r>
            <w:r w:rsidRPr="009C0388" w:rsidDel="005535FB">
              <w:rPr>
                <w:rFonts w:asciiTheme="minorHAnsi" w:hAnsiTheme="minorHAnsi"/>
                <w:sz w:val="22"/>
                <w:szCs w:val="22"/>
              </w:rPr>
              <w:t xml:space="preserve">should </w:t>
            </w:r>
            <w:r w:rsidRPr="009C0388">
              <w:rPr>
                <w:rFonts w:asciiTheme="minorHAnsi" w:hAnsiTheme="minorHAnsi"/>
                <w:sz w:val="22"/>
                <w:szCs w:val="22"/>
              </w:rPr>
              <w:t>be metered at the terminal directly after the turbin</w:t>
            </w:r>
            <w:r>
              <w:rPr>
                <w:rFonts w:asciiTheme="minorHAnsi" w:hAnsiTheme="minorHAnsi"/>
                <w:sz w:val="22"/>
                <w:szCs w:val="22"/>
              </w:rPr>
              <w:t xml:space="preserve">e - see </w:t>
            </w:r>
            <w:hyperlink w:anchor="_Quantifying_electricity_consumption" w:history="1">
              <w:r w:rsidRPr="0077628F">
                <w:rPr>
                  <w:rStyle w:val="Hyperlink"/>
                  <w:rFonts w:asciiTheme="minorHAnsi" w:hAnsiTheme="minorHAnsi"/>
                  <w:szCs w:val="22"/>
                </w:rPr>
                <w:t>chapter 7.3.1</w:t>
              </w:r>
            </w:hyperlink>
            <w:r w:rsidRPr="009C0388">
              <w:rPr>
                <w:rFonts w:asciiTheme="minorHAnsi" w:hAnsiTheme="minorHAnsi"/>
                <w:sz w:val="22"/>
                <w:szCs w:val="22"/>
              </w:rPr>
              <w:t xml:space="preserve"> of this guideline</w:t>
            </w:r>
          </w:p>
        </w:tc>
      </w:tr>
      <w:tr w:rsidR="001E6E16" w:rsidRPr="00C64711" w14:paraId="39CD617D" w14:textId="77777777" w:rsidTr="009F2A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tcPr>
          <w:p w14:paraId="24ECDCAA" w14:textId="77777777" w:rsidR="001E6E16" w:rsidRPr="009C0388" w:rsidRDefault="001E6E16" w:rsidP="00D549C7">
            <w:pPr>
              <w:pStyle w:val="Body"/>
              <w:ind w:left="0"/>
              <w:rPr>
                <w:rFonts w:asciiTheme="minorHAnsi" w:hAnsiTheme="minorHAnsi"/>
                <w:sz w:val="22"/>
                <w:szCs w:val="22"/>
              </w:rPr>
            </w:pPr>
            <w:r w:rsidRPr="009C0388">
              <w:rPr>
                <w:rFonts w:asciiTheme="minorHAnsi" w:hAnsiTheme="minorHAnsi"/>
                <w:sz w:val="22"/>
                <w:szCs w:val="22"/>
              </w:rPr>
              <w:t>5</w:t>
            </w:r>
          </w:p>
        </w:tc>
        <w:tc>
          <w:tcPr>
            <w:tcW w:w="2127" w:type="dxa"/>
          </w:tcPr>
          <w:p w14:paraId="2DDA2F7D"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Electricity consumed by plant</w:t>
            </w:r>
          </w:p>
        </w:tc>
        <w:tc>
          <w:tcPr>
            <w:tcW w:w="2825" w:type="dxa"/>
            <w:vMerge w:val="restart"/>
          </w:tcPr>
          <w:p w14:paraId="265C9E10"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Electricity produced ‘for use for the purpose of the operation of the facility’</w:t>
            </w:r>
          </w:p>
          <w:p w14:paraId="4A288283"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Calculated as residual amount of </w:t>
            </w:r>
            <w:r>
              <w:rPr>
                <w:rFonts w:asciiTheme="minorHAnsi" w:hAnsiTheme="minorHAnsi"/>
                <w:sz w:val="22"/>
                <w:szCs w:val="22"/>
              </w:rPr>
              <w:t xml:space="preserve">number </w:t>
            </w:r>
            <w:r w:rsidRPr="009C0388">
              <w:rPr>
                <w:rFonts w:asciiTheme="minorHAnsi" w:hAnsiTheme="minorHAnsi"/>
                <w:sz w:val="22"/>
                <w:szCs w:val="22"/>
              </w:rPr>
              <w:t xml:space="preserve">4 not delivered at </w:t>
            </w:r>
            <w:r>
              <w:rPr>
                <w:rFonts w:asciiTheme="minorHAnsi" w:hAnsiTheme="minorHAnsi"/>
                <w:sz w:val="22"/>
                <w:szCs w:val="22"/>
              </w:rPr>
              <w:t xml:space="preserve">number </w:t>
            </w:r>
            <w:r w:rsidRPr="009C0388">
              <w:rPr>
                <w:rFonts w:asciiTheme="minorHAnsi" w:hAnsiTheme="minorHAnsi"/>
                <w:sz w:val="22"/>
                <w:szCs w:val="22"/>
              </w:rPr>
              <w:t>7</w:t>
            </w:r>
          </w:p>
        </w:tc>
        <w:tc>
          <w:tcPr>
            <w:tcW w:w="2986" w:type="dxa"/>
            <w:vMerge w:val="restart"/>
          </w:tcPr>
          <w:p w14:paraId="0F23A5FF"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Electricity production for use onsite is consumed</w:t>
            </w:r>
          </w:p>
          <w:p w14:paraId="65A3E946"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All produced electricity consumed or lost between production at the terminals and delivered to other facilities or network </w:t>
            </w:r>
            <w:r w:rsidRPr="009C0388" w:rsidDel="005D1712">
              <w:rPr>
                <w:rFonts w:asciiTheme="minorHAnsi" w:hAnsiTheme="minorHAnsi"/>
                <w:sz w:val="22"/>
                <w:szCs w:val="22"/>
              </w:rPr>
              <w:t xml:space="preserve">should </w:t>
            </w:r>
            <w:r w:rsidRPr="009C0388">
              <w:rPr>
                <w:rFonts w:asciiTheme="minorHAnsi" w:hAnsiTheme="minorHAnsi"/>
                <w:sz w:val="22"/>
                <w:szCs w:val="22"/>
              </w:rPr>
              <w:t>be reported as ‘consumed by own facility’</w:t>
            </w:r>
          </w:p>
        </w:tc>
        <w:tc>
          <w:tcPr>
            <w:tcW w:w="6379" w:type="dxa"/>
            <w:vMerge w:val="restart"/>
          </w:tcPr>
          <w:p w14:paraId="5C3900C3"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Own produced electricity consumed by own facility should be calculated as per </w:t>
            </w:r>
            <w:hyperlink w:anchor="_Quantifying_electricity_consumption" w:history="1">
              <w:r w:rsidRPr="0077628F">
                <w:rPr>
                  <w:rStyle w:val="Hyperlink"/>
                  <w:rFonts w:asciiTheme="minorHAnsi" w:hAnsiTheme="minorHAnsi"/>
                  <w:szCs w:val="22"/>
                </w:rPr>
                <w:t>chapter 7.3.1</w:t>
              </w:r>
            </w:hyperlink>
            <w:r w:rsidRPr="009C0388">
              <w:rPr>
                <w:rFonts w:asciiTheme="minorHAnsi" w:hAnsiTheme="minorHAnsi"/>
                <w:sz w:val="22"/>
                <w:szCs w:val="22"/>
              </w:rPr>
              <w:t xml:space="preserve"> of this guideline</w:t>
            </w:r>
          </w:p>
          <w:p w14:paraId="11DF2CFB"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All produced electricity </w:t>
            </w:r>
            <w:r>
              <w:rPr>
                <w:rFonts w:asciiTheme="minorHAnsi" w:hAnsiTheme="minorHAnsi"/>
                <w:sz w:val="22"/>
                <w:szCs w:val="22"/>
              </w:rPr>
              <w:t xml:space="preserve">that is </w:t>
            </w:r>
            <w:r w:rsidRPr="009C0388">
              <w:rPr>
                <w:rFonts w:asciiTheme="minorHAnsi" w:hAnsiTheme="minorHAnsi"/>
                <w:sz w:val="22"/>
                <w:szCs w:val="22"/>
              </w:rPr>
              <w:t xml:space="preserve">consumed or lost between production at the terminals and delivered to network </w:t>
            </w:r>
            <w:r w:rsidRPr="009C0388" w:rsidDel="005D1712">
              <w:rPr>
                <w:rFonts w:asciiTheme="minorHAnsi" w:hAnsiTheme="minorHAnsi"/>
                <w:sz w:val="22"/>
                <w:szCs w:val="22"/>
              </w:rPr>
              <w:t xml:space="preserve">should </w:t>
            </w:r>
            <w:r w:rsidRPr="009C0388">
              <w:rPr>
                <w:rFonts w:asciiTheme="minorHAnsi" w:hAnsiTheme="minorHAnsi"/>
                <w:sz w:val="22"/>
                <w:szCs w:val="22"/>
              </w:rPr>
              <w:t>be reported as ‘consumed by own facility’</w:t>
            </w:r>
          </w:p>
        </w:tc>
      </w:tr>
      <w:tr w:rsidR="001E6E16" w:rsidRPr="00C64711" w14:paraId="477E7FB0" w14:textId="77777777" w:rsidTr="00D052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tcBorders>
              <w:bottom w:val="single" w:sz="8" w:space="0" w:color="E8E8E8" w:themeColor="background2"/>
            </w:tcBorders>
          </w:tcPr>
          <w:p w14:paraId="1721DD1E" w14:textId="77777777" w:rsidR="001E6E16" w:rsidRPr="009C0388" w:rsidRDefault="001E6E16" w:rsidP="00D549C7">
            <w:pPr>
              <w:pStyle w:val="Body"/>
              <w:ind w:left="0"/>
              <w:rPr>
                <w:rFonts w:asciiTheme="minorHAnsi" w:hAnsiTheme="minorHAnsi"/>
                <w:sz w:val="22"/>
                <w:szCs w:val="22"/>
              </w:rPr>
            </w:pPr>
            <w:r w:rsidRPr="009C0388">
              <w:rPr>
                <w:rFonts w:asciiTheme="minorHAnsi" w:hAnsiTheme="minorHAnsi"/>
                <w:sz w:val="22"/>
                <w:szCs w:val="22"/>
              </w:rPr>
              <w:t>6</w:t>
            </w:r>
          </w:p>
        </w:tc>
        <w:tc>
          <w:tcPr>
            <w:tcW w:w="2127" w:type="dxa"/>
            <w:tcBorders>
              <w:bottom w:val="single" w:sz="8" w:space="0" w:color="E8E8E8" w:themeColor="background2"/>
            </w:tcBorders>
          </w:tcPr>
          <w:p w14:paraId="092C802C" w14:textId="77777777" w:rsidR="001E6E16" w:rsidRPr="009C0388" w:rsidRDefault="001E6E16"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Transmission line losses</w:t>
            </w:r>
          </w:p>
        </w:tc>
        <w:tc>
          <w:tcPr>
            <w:tcW w:w="2825" w:type="dxa"/>
            <w:vMerge/>
            <w:tcBorders>
              <w:bottom w:val="single" w:sz="8" w:space="0" w:color="E8E8E8" w:themeColor="background2"/>
            </w:tcBorders>
          </w:tcPr>
          <w:p w14:paraId="0B3DDB46" w14:textId="77777777" w:rsidR="001E6E16" w:rsidRPr="009C0388" w:rsidRDefault="001E6E16"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986" w:type="dxa"/>
            <w:vMerge/>
            <w:tcBorders>
              <w:bottom w:val="single" w:sz="8" w:space="0" w:color="E8E8E8" w:themeColor="background2"/>
            </w:tcBorders>
          </w:tcPr>
          <w:p w14:paraId="5F11C440" w14:textId="77777777" w:rsidR="001E6E16" w:rsidRPr="009C0388" w:rsidRDefault="001E6E16"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6379" w:type="dxa"/>
            <w:vMerge/>
            <w:tcBorders>
              <w:bottom w:val="single" w:sz="8" w:space="0" w:color="E8E8E8" w:themeColor="background2"/>
            </w:tcBorders>
          </w:tcPr>
          <w:p w14:paraId="47A2B174" w14:textId="77777777" w:rsidR="001E6E16" w:rsidRPr="009C0388" w:rsidRDefault="001E6E16" w:rsidP="00D549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r>
      <w:tr w:rsidR="001E6E16" w:rsidRPr="00C64711" w14:paraId="06D4459C" w14:textId="77777777" w:rsidTr="00D052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2" w:type="dxa"/>
            <w:tcBorders>
              <w:top w:val="single" w:sz="8" w:space="0" w:color="E8E8E8" w:themeColor="background2"/>
              <w:bottom w:val="single" w:sz="4" w:space="0" w:color="FCBA5C" w:themeColor="accent2"/>
            </w:tcBorders>
          </w:tcPr>
          <w:p w14:paraId="5AF566E4" w14:textId="77777777" w:rsidR="001E6E16" w:rsidRPr="009C0388" w:rsidRDefault="001E6E16" w:rsidP="00D549C7">
            <w:pPr>
              <w:pStyle w:val="Body"/>
              <w:ind w:left="0"/>
              <w:rPr>
                <w:rFonts w:asciiTheme="minorHAnsi" w:hAnsiTheme="minorHAnsi"/>
                <w:sz w:val="22"/>
                <w:szCs w:val="22"/>
              </w:rPr>
            </w:pPr>
            <w:r w:rsidRPr="009C0388">
              <w:rPr>
                <w:rFonts w:asciiTheme="minorHAnsi" w:hAnsiTheme="minorHAnsi"/>
                <w:sz w:val="22"/>
                <w:szCs w:val="22"/>
              </w:rPr>
              <w:t>7</w:t>
            </w:r>
          </w:p>
        </w:tc>
        <w:tc>
          <w:tcPr>
            <w:tcW w:w="2127" w:type="dxa"/>
            <w:tcBorders>
              <w:top w:val="single" w:sz="8" w:space="0" w:color="E8E8E8" w:themeColor="background2"/>
              <w:bottom w:val="single" w:sz="4" w:space="0" w:color="FCBA5C" w:themeColor="accent2"/>
            </w:tcBorders>
          </w:tcPr>
          <w:p w14:paraId="13791E82"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Electricity transferred to an electricity network</w:t>
            </w:r>
          </w:p>
        </w:tc>
        <w:tc>
          <w:tcPr>
            <w:tcW w:w="2825" w:type="dxa"/>
            <w:tcBorders>
              <w:top w:val="single" w:sz="8" w:space="0" w:color="E8E8E8" w:themeColor="background2"/>
              <w:bottom w:val="single" w:sz="4" w:space="0" w:color="FCBA5C" w:themeColor="accent2"/>
            </w:tcBorders>
          </w:tcPr>
          <w:p w14:paraId="2894275C"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Electricity produced ‘for use outside the operation of the facility for supply to an electricity transmission or distribution network’</w:t>
            </w:r>
          </w:p>
        </w:tc>
        <w:tc>
          <w:tcPr>
            <w:tcW w:w="2986" w:type="dxa"/>
            <w:tcBorders>
              <w:top w:val="single" w:sz="8" w:space="0" w:color="E8E8E8" w:themeColor="background2"/>
              <w:bottom w:val="single" w:sz="4" w:space="0" w:color="FCBA5C" w:themeColor="accent2"/>
            </w:tcBorders>
          </w:tcPr>
          <w:p w14:paraId="56B6CEDC"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6379" w:type="dxa"/>
            <w:tcBorders>
              <w:top w:val="single" w:sz="8" w:space="0" w:color="E8E8E8" w:themeColor="background2"/>
              <w:bottom w:val="single" w:sz="4" w:space="0" w:color="FCBA5C" w:themeColor="accent2"/>
            </w:tcBorders>
          </w:tcPr>
          <w:p w14:paraId="3E2AB0FA" w14:textId="77777777" w:rsidR="001E6E16" w:rsidRPr="009C0388" w:rsidRDefault="001E6E16" w:rsidP="00D549C7">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Electricity transferred to the electricity network </w:t>
            </w:r>
            <w:r>
              <w:rPr>
                <w:rFonts w:asciiTheme="minorHAnsi" w:hAnsiTheme="minorHAnsi"/>
                <w:sz w:val="22"/>
                <w:szCs w:val="22"/>
              </w:rPr>
              <w:t>must</w:t>
            </w:r>
            <w:r w:rsidRPr="009C0388">
              <w:rPr>
                <w:rFonts w:asciiTheme="minorHAnsi" w:hAnsiTheme="minorHAnsi"/>
                <w:sz w:val="22"/>
                <w:szCs w:val="22"/>
              </w:rPr>
              <w:t xml:space="preserve"> be metered at the network connection point by the distributor</w:t>
            </w:r>
            <w:r>
              <w:rPr>
                <w:rFonts w:asciiTheme="minorHAnsi" w:hAnsiTheme="minorHAnsi"/>
                <w:sz w:val="22"/>
                <w:szCs w:val="22"/>
              </w:rPr>
              <w:t xml:space="preserve"> - see </w:t>
            </w:r>
            <w:hyperlink w:anchor="_Quantifying_electricity_consumption" w:history="1">
              <w:r w:rsidRPr="0077628F">
                <w:rPr>
                  <w:rStyle w:val="Hyperlink"/>
                  <w:rFonts w:asciiTheme="minorHAnsi" w:hAnsiTheme="minorHAnsi"/>
                  <w:szCs w:val="22"/>
                </w:rPr>
                <w:t>chapter 7.3.1</w:t>
              </w:r>
            </w:hyperlink>
            <w:r w:rsidRPr="009C0388">
              <w:rPr>
                <w:rFonts w:asciiTheme="minorHAnsi" w:hAnsiTheme="minorHAnsi"/>
                <w:sz w:val="22"/>
                <w:szCs w:val="22"/>
              </w:rPr>
              <w:t xml:space="preserve"> of this guideline</w:t>
            </w:r>
          </w:p>
        </w:tc>
      </w:tr>
    </w:tbl>
    <w:p w14:paraId="187F1C89" w14:textId="77777777" w:rsidR="001E6E16" w:rsidRPr="00FF338C" w:rsidRDefault="001E6E16" w:rsidP="001E6E16"/>
    <w:p w14:paraId="0F8A1AD7" w14:textId="40346BBE" w:rsidR="00A57A5C" w:rsidRDefault="00A57A5C" w:rsidP="00235142">
      <w:pPr>
        <w:spacing w:after="0"/>
      </w:pPr>
    </w:p>
    <w:sectPr w:rsidR="00A57A5C" w:rsidSect="006358AF">
      <w:headerReference w:type="default" r:id="rId71"/>
      <w:headerReference w:type="first" r:id="rId72"/>
      <w:pgSz w:w="16840" w:h="11900" w:orient="landscape" w:code="9"/>
      <w:pgMar w:top="1080" w:right="889" w:bottom="1080" w:left="993" w:header="397" w:footer="113"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354D" w14:textId="77777777" w:rsidR="00E93756" w:rsidRDefault="00E93756" w:rsidP="00176C28">
      <w:r>
        <w:separator/>
      </w:r>
    </w:p>
    <w:p w14:paraId="5642A3FD" w14:textId="77777777" w:rsidR="00E93756" w:rsidRDefault="00E93756"/>
  </w:endnote>
  <w:endnote w:type="continuationSeparator" w:id="0">
    <w:p w14:paraId="0DFEF764" w14:textId="77777777" w:rsidR="00E93756" w:rsidRDefault="00E93756" w:rsidP="00176C28">
      <w:r>
        <w:continuationSeparator/>
      </w:r>
    </w:p>
    <w:p w14:paraId="09658170" w14:textId="77777777" w:rsidR="00E93756" w:rsidRDefault="00E937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Gothic UI Semilight">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A1920" w14:textId="040D060B" w:rsidR="009633DE" w:rsidRDefault="009633DE" w:rsidP="009E2E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02A7BEB" w14:textId="105A5E38" w:rsidR="00977234" w:rsidRDefault="00977234" w:rsidP="009633DE">
    <w:pPr>
      <w:pStyle w:val="Footer"/>
      <w:ind w:right="360"/>
      <w:rPr>
        <w:rStyle w:val="PageNumber"/>
      </w:rPr>
    </w:pPr>
  </w:p>
  <w:p w14:paraId="302821B3" w14:textId="77777777" w:rsidR="00977234" w:rsidRDefault="00977234" w:rsidP="009633DE">
    <w:pPr>
      <w:pStyle w:val="Footer"/>
    </w:pPr>
  </w:p>
  <w:p w14:paraId="4C431A8C"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3D5A3" w14:textId="56D3EA65" w:rsidR="006E3CA9" w:rsidRPr="00B50E27" w:rsidRDefault="002D18F3" w:rsidP="00C73199">
    <w:pPr>
      <w:pStyle w:val="Footer"/>
      <w:tabs>
        <w:tab w:val="clear" w:pos="2694"/>
        <w:tab w:val="clear" w:pos="3969"/>
        <w:tab w:val="clear" w:pos="6946"/>
        <w:tab w:val="clear" w:pos="9498"/>
        <w:tab w:val="center" w:pos="9639"/>
      </w:tabs>
      <w:spacing w:before="360" w:after="0"/>
      <w:ind w:left="0"/>
    </w:pPr>
    <w:r w:rsidRPr="002D18F3">
      <w:rPr>
        <w:b/>
        <w:bCs/>
      </w:rPr>
      <w:t>W:</w:t>
    </w:r>
    <w:r w:rsidRPr="002D18F3">
      <w:t xml:space="preserve"> </w:t>
    </w:r>
    <w:r w:rsidR="006E3CA9" w:rsidRPr="002D18F3">
      <w:t>www.cleanenergyregulator.gov.au</w:t>
    </w:r>
    <w:r w:rsidR="006E3CA9" w:rsidRPr="002D18F3">
      <w:rPr>
        <w:rStyle w:val="PageNumber"/>
      </w:rPr>
      <w:t xml:space="preserve"> </w:t>
    </w:r>
    <w:r w:rsidR="00223676" w:rsidRPr="002D18F3">
      <w:rPr>
        <w:rStyle w:val="PageNumber"/>
      </w:rPr>
      <w:t xml:space="preserve">| </w:t>
    </w:r>
    <w:r w:rsidR="00223676" w:rsidRPr="002D18F3">
      <w:rPr>
        <w:rStyle w:val="PageNumber"/>
        <w:b/>
        <w:bCs/>
      </w:rPr>
      <w:t>T:</w:t>
    </w:r>
    <w:r w:rsidR="00223676" w:rsidRPr="002D18F3">
      <w:rPr>
        <w:rStyle w:val="PageNumber"/>
      </w:rPr>
      <w:t xml:space="preserve"> 1300 553 542</w:t>
    </w:r>
    <w:r w:rsidRPr="002D18F3">
      <w:rPr>
        <w:rStyle w:val="PageNumber"/>
      </w:rPr>
      <w:t xml:space="preserve"> | </w:t>
    </w:r>
    <w:r w:rsidRPr="002D18F3">
      <w:rPr>
        <w:rStyle w:val="PageNumber"/>
        <w:b/>
        <w:bCs/>
      </w:rPr>
      <w:t>E:</w:t>
    </w:r>
    <w:r w:rsidRPr="002D18F3">
      <w:rPr>
        <w:rStyle w:val="PageNumber"/>
      </w:rPr>
      <w:t xml:space="preserve"> enquiries@cleanenergyregulator.gov.au</w:t>
    </w:r>
    <w:r w:rsidR="006E3CA9">
      <w:rPr>
        <w:rStyle w:val="PageNumber"/>
      </w:rPr>
      <w:tab/>
    </w:r>
    <w:sdt>
      <w:sdtPr>
        <w:rPr>
          <w:rStyle w:val="PageNumber"/>
        </w:rPr>
        <w:id w:val="1597057790"/>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349EF">
          <w:rPr>
            <w:rStyle w:val="PageNumber"/>
            <w:sz w:val="20"/>
            <w:szCs w:val="20"/>
          </w:rPr>
          <w:instrText xml:space="preserve"> PAGE </w:instrText>
        </w:r>
        <w:r w:rsidR="006E3CA9" w:rsidRPr="00E349EF">
          <w:rPr>
            <w:rStyle w:val="PageNumber"/>
            <w:sz w:val="20"/>
            <w:szCs w:val="20"/>
          </w:rPr>
          <w:fldChar w:fldCharType="separate"/>
        </w:r>
        <w:r w:rsidR="006E3CA9">
          <w:rPr>
            <w:rStyle w:val="PageNumber"/>
            <w:sz w:val="20"/>
            <w:szCs w:val="20"/>
          </w:rPr>
          <w:t>3</w:t>
        </w:r>
        <w:r w:rsidR="006E3CA9" w:rsidRPr="00E349EF">
          <w:rPr>
            <w:rStyle w:val="PageNumber"/>
            <w:sz w:val="20"/>
            <w:szCs w:val="20"/>
          </w:rPr>
          <w:fldChar w:fldCharType="end"/>
        </w:r>
      </w:sdtContent>
    </w:sdt>
  </w:p>
  <w:p w14:paraId="788087B7" w14:textId="467C511A" w:rsidR="00F76419" w:rsidRPr="009633DE" w:rsidRDefault="00F76419" w:rsidP="00E349EF">
    <w:pPr>
      <w:pStyle w:val="Footer"/>
      <w:spacing w:before="60"/>
      <w:jc w:val="center"/>
      <w:rPr>
        <w:rStyle w:val="Protectivemark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D8CCF" w14:textId="7839AB4F" w:rsidR="0065750A" w:rsidRPr="009C30B4" w:rsidRDefault="00862D08" w:rsidP="00AA2792">
    <w:pPr>
      <w:tabs>
        <w:tab w:val="left" w:pos="2694"/>
        <w:tab w:val="left" w:pos="3969"/>
        <w:tab w:val="left" w:pos="6946"/>
        <w:tab w:val="right" w:pos="9498"/>
      </w:tabs>
      <w:spacing w:after="720"/>
      <w:ind w:right="242"/>
      <w:rPr>
        <w:color w:val="005874"/>
        <w:sz w:val="16"/>
        <w:szCs w:val="16"/>
      </w:rPr>
    </w:pPr>
    <w:r w:rsidRPr="00862D08">
      <w:t xml:space="preserve"> </w:t>
    </w:r>
    <w:r>
      <w:rPr>
        <w:noProof/>
      </w:rPr>
      <w:drawing>
        <wp:inline distT="0" distB="0" distL="0" distR="0" wp14:anchorId="24F8CBCA" wp14:editId="1428B1CC">
          <wp:extent cx="2097679" cy="6381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8425" cy="65357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C86C9" w14:textId="77777777" w:rsidR="00E93756" w:rsidRDefault="00E93756" w:rsidP="00176C28">
      <w:r>
        <w:separator/>
      </w:r>
    </w:p>
    <w:p w14:paraId="7D3B87D6" w14:textId="77777777" w:rsidR="00E93756" w:rsidRDefault="00E93756"/>
  </w:footnote>
  <w:footnote w:type="continuationSeparator" w:id="0">
    <w:p w14:paraId="281FBCE0" w14:textId="77777777" w:rsidR="00E93756" w:rsidRDefault="00E93756" w:rsidP="00176C28">
      <w:r>
        <w:continuationSeparator/>
      </w:r>
    </w:p>
    <w:p w14:paraId="649DAA06" w14:textId="77777777" w:rsidR="00E93756" w:rsidRDefault="00E93756"/>
  </w:footnote>
  <w:footnote w:id="1">
    <w:p w14:paraId="405B7CF6" w14:textId="77777777" w:rsidR="001B624B" w:rsidRPr="001166CF" w:rsidRDefault="001B624B" w:rsidP="001B624B">
      <w:pPr>
        <w:pStyle w:val="FootnoteText"/>
        <w:rPr>
          <w:lang w:val="en-AU"/>
        </w:rPr>
      </w:pPr>
      <w:r w:rsidRPr="009037E6">
        <w:rPr>
          <w:rStyle w:val="FootnoteReference"/>
        </w:rPr>
        <w:footnoteRef/>
      </w:r>
      <w:r w:rsidRPr="00DE2AFF">
        <w:t xml:space="preserve"> </w:t>
      </w:r>
      <w:hyperlink r:id="rId1" w:history="1">
        <w:r w:rsidRPr="00B85497">
          <w:rPr>
            <w:rStyle w:val="Hyperlink"/>
            <w:sz w:val="20"/>
          </w:rPr>
          <w:t>https://www.legislation.gov.au/Series/C2007A00175</w:t>
        </w:r>
      </w:hyperlink>
      <w:r w:rsidRPr="00DE2AFF">
        <w:t xml:space="preserve"> </w:t>
      </w:r>
    </w:p>
  </w:footnote>
  <w:footnote w:id="2">
    <w:p w14:paraId="10D5C9A7" w14:textId="77777777" w:rsidR="001B624B" w:rsidRPr="00DE2AFF" w:rsidRDefault="001B624B" w:rsidP="001B624B">
      <w:pPr>
        <w:pStyle w:val="FootnoteText"/>
        <w:rPr>
          <w:lang w:val="en-AU"/>
        </w:rPr>
      </w:pPr>
      <w:r w:rsidRPr="00DE2AFF">
        <w:rPr>
          <w:rStyle w:val="FootnoteReference"/>
        </w:rPr>
        <w:footnoteRef/>
      </w:r>
      <w:r w:rsidRPr="00DE2AFF">
        <w:t xml:space="preserve"> </w:t>
      </w:r>
      <w:hyperlink r:id="rId2" w:history="1">
        <w:r w:rsidRPr="00B85497">
          <w:rPr>
            <w:rStyle w:val="Hyperlink"/>
            <w:sz w:val="20"/>
          </w:rPr>
          <w:t>https://www.legislation.gov.au/Series/F2008L0223</w:t>
        </w:r>
      </w:hyperlink>
    </w:p>
  </w:footnote>
  <w:footnote w:id="3">
    <w:p w14:paraId="74A5CECD" w14:textId="77777777" w:rsidR="001B624B" w:rsidRPr="001166CF" w:rsidRDefault="001B624B" w:rsidP="001B624B">
      <w:pPr>
        <w:pStyle w:val="FootnoteText"/>
        <w:rPr>
          <w:lang w:val="en-AU"/>
        </w:rPr>
      </w:pPr>
      <w:r w:rsidRPr="00DE2AFF">
        <w:rPr>
          <w:rStyle w:val="FootnoteReference"/>
        </w:rPr>
        <w:footnoteRef/>
      </w:r>
      <w:r w:rsidRPr="00DE2AFF">
        <w:t xml:space="preserve"> </w:t>
      </w:r>
      <w:hyperlink r:id="rId3" w:history="1">
        <w:r w:rsidRPr="00B85497">
          <w:rPr>
            <w:rStyle w:val="Hyperlink"/>
            <w:sz w:val="20"/>
          </w:rPr>
          <w:t>https://www.legislation.gov.au/Series/F2008L02309</w:t>
        </w:r>
      </w:hyperlink>
      <w:r w:rsidRPr="00DE2AFF">
        <w:t xml:space="preserve"> </w:t>
      </w:r>
    </w:p>
  </w:footnote>
  <w:footnote w:id="4">
    <w:p w14:paraId="17FB8516" w14:textId="77777777" w:rsidR="001B624B" w:rsidRPr="00740092" w:rsidRDefault="001B624B" w:rsidP="001B624B">
      <w:pPr>
        <w:pStyle w:val="FootnoteText"/>
        <w:rPr>
          <w:lang w:val="en-AU"/>
        </w:rPr>
      </w:pPr>
      <w:r w:rsidRPr="00DE2AFF">
        <w:rPr>
          <w:rStyle w:val="FootnoteReference"/>
        </w:rPr>
        <w:footnoteRef/>
      </w:r>
      <w:r w:rsidRPr="00DE2AFF">
        <w:t xml:space="preserve"> </w:t>
      </w:r>
      <w:hyperlink r:id="rId4" w:history="1">
        <w:r w:rsidRPr="00B85497">
          <w:rPr>
            <w:rStyle w:val="Hyperlink"/>
            <w:sz w:val="20"/>
          </w:rPr>
          <w:t>http://www.cleanenergyregulator.gov.au/NGER/Pages/default.aspx</w:t>
        </w:r>
      </w:hyperlink>
    </w:p>
  </w:footnote>
  <w:footnote w:id="5">
    <w:p w14:paraId="043FAEB4" w14:textId="77777777" w:rsidR="004A2E03" w:rsidRPr="00E84BDE" w:rsidRDefault="004A2E03" w:rsidP="004A2E03">
      <w:pPr>
        <w:pStyle w:val="FootnoteText"/>
        <w:rPr>
          <w:lang w:val="en-AU"/>
        </w:rPr>
      </w:pPr>
      <w:r>
        <w:rPr>
          <w:rStyle w:val="FootnoteReference"/>
        </w:rPr>
        <w:footnoteRef/>
      </w:r>
      <w:r>
        <w:t xml:space="preserve"> </w:t>
      </w:r>
      <w:hyperlink r:id="rId5" w:history="1">
        <w:r w:rsidRPr="001C7E83">
          <w:rPr>
            <w:rStyle w:val="Hyperlink"/>
            <w:rFonts w:asciiTheme="minorHAnsi" w:hAnsiTheme="minorHAnsi"/>
            <w:sz w:val="20"/>
          </w:rPr>
          <w:t>https://www.legislation.gov.au/Series/F2015L01637</w:t>
        </w:r>
      </w:hyperlink>
      <w:r>
        <w:t xml:space="preserve"> </w:t>
      </w:r>
    </w:p>
  </w:footnote>
  <w:footnote w:id="6">
    <w:p w14:paraId="1A1DF4ED" w14:textId="77777777" w:rsidR="004A2E03" w:rsidRPr="00E84BDE" w:rsidRDefault="004A2E03" w:rsidP="004A2E03">
      <w:pPr>
        <w:pStyle w:val="FootnoteText"/>
        <w:rPr>
          <w:lang w:val="en-AU"/>
        </w:rPr>
      </w:pPr>
      <w:r>
        <w:rPr>
          <w:rStyle w:val="FootnoteReference"/>
        </w:rPr>
        <w:footnoteRef/>
      </w:r>
      <w:r>
        <w:t xml:space="preserve"> </w:t>
      </w:r>
      <w:hyperlink r:id="rId6" w:history="1">
        <w:r w:rsidRPr="00356E54">
          <w:rPr>
            <w:rStyle w:val="Hyperlink"/>
            <w:rFonts w:asciiTheme="minorHAnsi" w:hAnsiTheme="minorHAnsi"/>
            <w:sz w:val="20"/>
          </w:rPr>
          <w:t>http://www.cleanenergyregulator.gov.au/DocumentAssets/Pages/Reporting-Hydrofluorocarbons-and-Sulphur-Hexafluoride-gases-guideline.aspx</w:t>
        </w:r>
      </w:hyperlink>
      <w:r>
        <w:t xml:space="preserve"> </w:t>
      </w:r>
    </w:p>
  </w:footnote>
  <w:footnote w:id="7">
    <w:p w14:paraId="0A49F128" w14:textId="77777777" w:rsidR="004A2E03" w:rsidRPr="00A54316" w:rsidRDefault="004A2E03" w:rsidP="004A2E03">
      <w:pPr>
        <w:pStyle w:val="FootnoteText"/>
        <w:rPr>
          <w:lang w:val="en-AU"/>
        </w:rPr>
      </w:pPr>
      <w:r>
        <w:rPr>
          <w:rStyle w:val="FootnoteReference"/>
        </w:rPr>
        <w:footnoteRef/>
      </w:r>
      <w:r>
        <w:t xml:space="preserve"> </w:t>
      </w:r>
      <w:hyperlink r:id="rId7" w:history="1">
        <w:r w:rsidRPr="00E84BDE">
          <w:rPr>
            <w:rStyle w:val="Hyperlink"/>
            <w:sz w:val="20"/>
          </w:rPr>
          <w:t>http://www.cleanenergyregulator.gov.au/NGER/Forms-and-resources</w:t>
        </w:r>
      </w:hyperlink>
    </w:p>
  </w:footnote>
  <w:footnote w:id="8">
    <w:p w14:paraId="51B542D4" w14:textId="77777777" w:rsidR="004A2E03" w:rsidRPr="00E84BDE" w:rsidRDefault="004A2E03" w:rsidP="004A2E03">
      <w:pPr>
        <w:pStyle w:val="FootnoteText"/>
        <w:rPr>
          <w:lang w:val="en-AU"/>
        </w:rPr>
      </w:pPr>
      <w:r>
        <w:rPr>
          <w:rStyle w:val="FootnoteReference"/>
        </w:rPr>
        <w:footnoteRef/>
      </w:r>
      <w:r>
        <w:t xml:space="preserve"> </w:t>
      </w:r>
      <w:hyperlink r:id="rId8" w:history="1">
        <w:r w:rsidRPr="00356E54">
          <w:rPr>
            <w:rStyle w:val="Hyperlink"/>
            <w:rFonts w:asciiTheme="minorHAnsi" w:hAnsiTheme="minorHAnsi"/>
            <w:sz w:val="20"/>
          </w:rPr>
          <w:t>http://www.cleanenergyregulator.gov.au/DocumentAssets/Pages/Reporting-Hydrofluorocarbons-and-Sulphur-Hexafluoride-gases-guideline.aspx</w:t>
        </w:r>
      </w:hyperlink>
      <w:r>
        <w:t xml:space="preserve"> </w:t>
      </w:r>
    </w:p>
  </w:footnote>
  <w:footnote w:id="9">
    <w:p w14:paraId="31D19ACE" w14:textId="77777777" w:rsidR="004A2E03" w:rsidRPr="005160D3" w:rsidRDefault="004A2E03" w:rsidP="004A2E03">
      <w:pPr>
        <w:pStyle w:val="FootnoteText"/>
        <w:rPr>
          <w:lang w:val="en-US"/>
        </w:rPr>
      </w:pPr>
      <w:r>
        <w:rPr>
          <w:rStyle w:val="FootnoteReference"/>
        </w:rPr>
        <w:footnoteRef/>
      </w:r>
      <w:r>
        <w:t xml:space="preserve"> This requirement applies to the combustion of solid and gaseous fuels. </w:t>
      </w:r>
      <w:r>
        <w:rPr>
          <w:lang w:val="en-US"/>
        </w:rPr>
        <w:t>See section 2.3(3) and section 2.19(3) of the NGER Measurement Determination relating to the combustion of solid and gaseous fuels.</w:t>
      </w:r>
    </w:p>
  </w:footnote>
  <w:footnote w:id="10">
    <w:p w14:paraId="512C97DE" w14:textId="77777777" w:rsidR="004A2E03" w:rsidRDefault="004A2E03" w:rsidP="004A2E03">
      <w:pPr>
        <w:pStyle w:val="FootnoteText"/>
      </w:pPr>
      <w:r>
        <w:rPr>
          <w:rStyle w:val="FootnoteReference"/>
        </w:rPr>
        <w:footnoteRef/>
      </w:r>
      <w:r>
        <w:t xml:space="preserve"> </w:t>
      </w:r>
      <w:hyperlink r:id="rId9" w:history="1">
        <w:r w:rsidRPr="005F05C0">
          <w:rPr>
            <w:rStyle w:val="Hyperlink"/>
            <w:rFonts w:asciiTheme="minorHAnsi" w:hAnsiTheme="minorHAnsi"/>
            <w:sz w:val="20"/>
          </w:rPr>
          <w:t>http://www.cleanenergyregulator.gov.au/DocumentAssets/Pages/Reporting-uncertainty-guideline.aspx</w:t>
        </w:r>
      </w:hyperlink>
      <w:r>
        <w:t xml:space="preserve"> </w:t>
      </w:r>
    </w:p>
  </w:footnote>
  <w:footnote w:id="11">
    <w:p w14:paraId="36CB00FB" w14:textId="77777777" w:rsidR="004A2E03" w:rsidRPr="00E84BDE" w:rsidRDefault="004A2E03" w:rsidP="004A2E03">
      <w:pPr>
        <w:pStyle w:val="FootnoteText"/>
        <w:rPr>
          <w:b/>
          <w:bCs/>
        </w:rPr>
      </w:pPr>
      <w:r>
        <w:rPr>
          <w:rStyle w:val="FootnoteReference"/>
        </w:rPr>
        <w:footnoteRef/>
      </w:r>
      <w:r>
        <w:t xml:space="preserve"> Schedule 2 of the NGER Regulations provides the meaning of industry sector under the NGER legislation, including an ANZSIC code (261) for ‘Electricity generation’. Subsections 2.3(3)(a) for solid fuels and 2.19(3)(a) for gaseous fuels of the NGER Measurement Determination only apply to the ANZSIC Class code (2611) for ‘Fossil Fuel Electricity Generation’ which is within the ANZSIC Group 261. Facilities classed as 2611 for ‘Fossil Fuel Electricity Generation’ must not use method 1 to estimate emissions from their main fuel combusted to operate the facility.</w:t>
      </w:r>
    </w:p>
  </w:footnote>
  <w:footnote w:id="12">
    <w:p w14:paraId="06DDC77B" w14:textId="77777777" w:rsidR="00A57A5C" w:rsidRPr="00BF49F3" w:rsidRDefault="00A57A5C" w:rsidP="00A57A5C">
      <w:pPr>
        <w:pStyle w:val="FootnoteText"/>
        <w:rPr>
          <w:lang w:val="en-AU"/>
        </w:rPr>
      </w:pPr>
      <w:r>
        <w:rPr>
          <w:rStyle w:val="FootnoteReference"/>
        </w:rPr>
        <w:footnoteRef/>
      </w:r>
      <w:r>
        <w:t xml:space="preserve"> Generator Efficiency Standards program was released in December 2006 by the former Australian Greenhouse Office, Department of Environment and Heritage</w:t>
      </w:r>
    </w:p>
  </w:footnote>
  <w:footnote w:id="13">
    <w:p w14:paraId="053A5D0E" w14:textId="77777777" w:rsidR="00A57A5C" w:rsidRPr="009C0388" w:rsidRDefault="00A57A5C" w:rsidP="00A57A5C">
      <w:pPr>
        <w:pStyle w:val="FootnoteText"/>
        <w:rPr>
          <w:lang w:val="en-AU"/>
        </w:rPr>
      </w:pPr>
      <w:r>
        <w:rPr>
          <w:rStyle w:val="FootnoteReference"/>
        </w:rPr>
        <w:footnoteRef/>
      </w:r>
      <w:r>
        <w:t xml:space="preserve"> </w:t>
      </w:r>
      <w:hyperlink r:id="rId10" w:history="1">
        <w:r w:rsidRPr="00F979D1">
          <w:rPr>
            <w:rStyle w:val="Hyperlink"/>
            <w:rFonts w:asciiTheme="minorHAnsi" w:hAnsiTheme="minorHAnsi"/>
            <w:sz w:val="20"/>
          </w:rPr>
          <w:t>http://www.cleanenergyregulator.gov.au/About/Contact-us</w:t>
        </w:r>
      </w:hyperlink>
      <w:r>
        <w:t xml:space="preserve"> </w:t>
      </w:r>
    </w:p>
  </w:footnote>
  <w:footnote w:id="14">
    <w:p w14:paraId="2B108B5F" w14:textId="77777777" w:rsidR="00A57A5C" w:rsidRDefault="00A57A5C" w:rsidP="00A57A5C">
      <w:pPr>
        <w:pStyle w:val="FootnoteText"/>
      </w:pPr>
      <w:r>
        <w:rPr>
          <w:rStyle w:val="FootnoteReference"/>
        </w:rPr>
        <w:footnoteRef/>
      </w:r>
      <w:r>
        <w:t xml:space="preserve"> </w:t>
      </w:r>
      <w:hyperlink r:id="rId11" w:history="1">
        <w:r w:rsidRPr="00667130">
          <w:rPr>
            <w:rStyle w:val="Hyperlink"/>
            <w:rFonts w:asciiTheme="minorHAnsi" w:hAnsiTheme="minorHAnsi"/>
            <w:sz w:val="20"/>
          </w:rPr>
          <w:t>http://www.cleanenergyregulator.gov.au/DocumentAssets/Pages/Petroleum-based-oils-and-greases-guideline.aspx</w:t>
        </w:r>
      </w:hyperlink>
      <w:r>
        <w:t xml:space="preserve"> </w:t>
      </w:r>
    </w:p>
  </w:footnote>
  <w:footnote w:id="15">
    <w:p w14:paraId="34BF9893" w14:textId="77777777" w:rsidR="00A57A5C" w:rsidRDefault="00A57A5C" w:rsidP="00A57A5C">
      <w:pPr>
        <w:pStyle w:val="FootnoteText"/>
      </w:pPr>
      <w:r>
        <w:rPr>
          <w:rStyle w:val="FootnoteReference"/>
        </w:rPr>
        <w:footnoteRef/>
      </w:r>
      <w:r>
        <w:t xml:space="preserve"> </w:t>
      </w:r>
      <w:hyperlink r:id="rId12" w:history="1">
        <w:r w:rsidRPr="00667130">
          <w:rPr>
            <w:rStyle w:val="Hyperlink"/>
            <w:rFonts w:asciiTheme="minorHAnsi" w:hAnsiTheme="minorHAnsi"/>
            <w:sz w:val="20"/>
          </w:rPr>
          <w:t>http://www.cleanenergyregulator.gov.au/DocumentAssets/Pages/Reporting-Hydrofluorocarbons-and-Sulphur-Hexafluoride-gases-guideline.aspx</w:t>
        </w:r>
      </w:hyperlink>
      <w:r>
        <w:t xml:space="preserve"> </w:t>
      </w:r>
    </w:p>
  </w:footnote>
  <w:footnote w:id="16">
    <w:p w14:paraId="354D09CF" w14:textId="77777777" w:rsidR="00A57A5C" w:rsidRPr="00872A70" w:rsidRDefault="00A57A5C" w:rsidP="00A57A5C">
      <w:pPr>
        <w:pStyle w:val="FootnoteText"/>
        <w:rPr>
          <w:lang w:val="en-AU"/>
        </w:rPr>
      </w:pPr>
      <w:r>
        <w:rPr>
          <w:rStyle w:val="FootnoteReference"/>
        </w:rPr>
        <w:footnoteRef/>
      </w:r>
      <w:r>
        <w:t xml:space="preserve"> </w:t>
      </w:r>
      <w:hyperlink r:id="rId13" w:history="1">
        <w:r w:rsidRPr="00CC51C5">
          <w:rPr>
            <w:rStyle w:val="Hyperlink"/>
            <w:rFonts w:asciiTheme="minorHAnsi" w:hAnsiTheme="minorHAnsi"/>
            <w:sz w:val="20"/>
          </w:rPr>
          <w:t>https://www.aemc.gov.au/regulation/energy-rules/national-electricity-rules/current</w:t>
        </w:r>
      </w:hyperlink>
      <w:r>
        <w:t xml:space="preserve"> </w:t>
      </w:r>
    </w:p>
  </w:footnote>
  <w:footnote w:id="17">
    <w:p w14:paraId="677E0BD6" w14:textId="77777777" w:rsidR="00A57A5C" w:rsidRDefault="00A57A5C" w:rsidP="00A57A5C">
      <w:pPr>
        <w:pStyle w:val="FootnoteText"/>
      </w:pPr>
      <w:r>
        <w:rPr>
          <w:rStyle w:val="FootnoteReference"/>
        </w:rPr>
        <w:footnoteRef/>
      </w:r>
      <w:r>
        <w:t xml:space="preserve"> </w:t>
      </w:r>
      <w:hyperlink r:id="rId14" w:history="1">
        <w:r w:rsidRPr="00F979D1">
          <w:rPr>
            <w:rStyle w:val="Hyperlink"/>
            <w:rFonts w:asciiTheme="minorHAnsi" w:hAnsiTheme="minorHAnsi"/>
            <w:sz w:val="20"/>
          </w:rPr>
          <w:t>http://www.cleanenergyregulator.gov.au/DocumentAssets/Pages/Reporting-energy-production-and-consumption-guideline.aspx</w:t>
        </w:r>
      </w:hyperlink>
      <w:r>
        <w:t xml:space="preserve"> </w:t>
      </w:r>
    </w:p>
  </w:footnote>
  <w:footnote w:id="18">
    <w:p w14:paraId="6998EF13" w14:textId="77777777" w:rsidR="00A57A5C" w:rsidRPr="009C0388" w:rsidRDefault="00A57A5C" w:rsidP="00A57A5C">
      <w:pPr>
        <w:pStyle w:val="FootnoteText"/>
        <w:rPr>
          <w:lang w:val="en-AU"/>
        </w:rPr>
      </w:pPr>
      <w:r>
        <w:rPr>
          <w:rStyle w:val="FootnoteReference"/>
        </w:rPr>
        <w:footnoteRef/>
      </w:r>
      <w:r>
        <w:t xml:space="preserve"> </w:t>
      </w:r>
      <w:hyperlink r:id="rId15" w:anchor="How-do-I-report-consumption-of-electricity-that-was-produced-for-use-during-the-operation-of-the-facility" w:history="1">
        <w:r w:rsidRPr="00F979D1">
          <w:rPr>
            <w:rStyle w:val="Hyperlink"/>
            <w:rFonts w:asciiTheme="minorHAnsi" w:hAnsiTheme="minorHAnsi"/>
            <w:sz w:val="20"/>
          </w:rPr>
          <w:t>http://www.cleanenergyregulator.gov.au/OSR/EERS/Tools-to-assist-you/Frequently-asked-questions#How-do-I-report-consumption-of-electricity-that-was-produced-for-use-during-the-operation-of-the-facility</w:t>
        </w:r>
      </w:hyperlink>
      <w:r>
        <w:t xml:space="preserve"> </w:t>
      </w:r>
    </w:p>
  </w:footnote>
  <w:footnote w:id="19">
    <w:p w14:paraId="2B18A00B" w14:textId="77777777" w:rsidR="00A57A5C" w:rsidRPr="009C0388" w:rsidRDefault="00A57A5C" w:rsidP="00A57A5C">
      <w:pPr>
        <w:pStyle w:val="FootnoteText"/>
        <w:rPr>
          <w:lang w:val="en-AU"/>
        </w:rPr>
      </w:pPr>
      <w:r>
        <w:rPr>
          <w:rStyle w:val="FootnoteReference"/>
        </w:rPr>
        <w:footnoteRef/>
      </w:r>
      <w:r>
        <w:t xml:space="preserve"> </w:t>
      </w:r>
      <w:hyperlink r:id="rId16" w:history="1">
        <w:r w:rsidRPr="00CC51C5">
          <w:rPr>
            <w:rStyle w:val="Hyperlink"/>
            <w:rFonts w:asciiTheme="minorHAnsi" w:hAnsiTheme="minorHAnsi"/>
            <w:sz w:val="20"/>
          </w:rPr>
          <w:t>https://www.aemc.gov.au/regulation/energy-rules/national-electricity-rules/current</w:t>
        </w:r>
      </w:hyperlink>
      <w:r>
        <w:t xml:space="preserve"> </w:t>
      </w:r>
    </w:p>
  </w:footnote>
  <w:footnote w:id="20">
    <w:p w14:paraId="6AC08E4D" w14:textId="77777777" w:rsidR="00A57A5C" w:rsidRPr="009C0388" w:rsidRDefault="00A57A5C" w:rsidP="00A57A5C">
      <w:pPr>
        <w:pStyle w:val="FootnoteText"/>
        <w:rPr>
          <w:lang w:val="en-AU"/>
        </w:rPr>
      </w:pPr>
      <w:r>
        <w:rPr>
          <w:rStyle w:val="FootnoteReference"/>
        </w:rPr>
        <w:footnoteRef/>
      </w:r>
      <w:r>
        <w:t xml:space="preserve"> </w:t>
      </w:r>
      <w:hyperlink r:id="rId17" w:history="1">
        <w:r w:rsidRPr="00F979D1">
          <w:rPr>
            <w:rStyle w:val="Hyperlink"/>
            <w:rFonts w:asciiTheme="minorHAnsi" w:hAnsiTheme="minorHAnsi"/>
            <w:sz w:val="20"/>
          </w:rPr>
          <w:t>https://www.ghgprotocol.org/sites/default/files/ghgp/CHP_guidance_v1.0.pdf</w:t>
        </w:r>
      </w:hyperlink>
      <w:r>
        <w:t xml:space="preserve"> </w:t>
      </w:r>
    </w:p>
  </w:footnote>
  <w:footnote w:id="21">
    <w:p w14:paraId="782004AC" w14:textId="77777777" w:rsidR="00A57A5C" w:rsidRPr="009C0388" w:rsidRDefault="00A57A5C" w:rsidP="00A57A5C">
      <w:pPr>
        <w:pStyle w:val="FootnoteText"/>
        <w:rPr>
          <w:lang w:val="en-AU"/>
        </w:rPr>
      </w:pPr>
      <w:r>
        <w:rPr>
          <w:rStyle w:val="FootnoteReference"/>
        </w:rPr>
        <w:footnoteRef/>
      </w:r>
      <w:r>
        <w:t xml:space="preserve"> </w:t>
      </w:r>
      <w:hyperlink r:id="rId18" w:history="1">
        <w:r w:rsidRPr="00F979D1">
          <w:rPr>
            <w:rStyle w:val="Hyperlink"/>
            <w:rFonts w:asciiTheme="minorHAnsi" w:hAnsiTheme="minorHAnsi"/>
            <w:sz w:val="20"/>
          </w:rPr>
          <w:t>https://ghgprotocol.org/calculation-tools</w:t>
        </w:r>
      </w:hyperlink>
      <w:r>
        <w:t xml:space="preserve"> </w:t>
      </w:r>
    </w:p>
  </w:footnote>
  <w:footnote w:id="22">
    <w:p w14:paraId="7F603F7B" w14:textId="77777777" w:rsidR="00A57A5C" w:rsidRPr="009C0388" w:rsidRDefault="00A57A5C" w:rsidP="00A57A5C">
      <w:pPr>
        <w:pStyle w:val="FootnoteText"/>
        <w:rPr>
          <w:lang w:val="en-AU"/>
        </w:rPr>
      </w:pPr>
      <w:r>
        <w:rPr>
          <w:rStyle w:val="FootnoteReference"/>
        </w:rPr>
        <w:footnoteRef/>
      </w:r>
      <w:r>
        <w:t xml:space="preserve"> </w:t>
      </w:r>
      <w:hyperlink r:id="rId19" w:anchor="How-do-I-report-consumption-of-renewable-energy-commodities-for-electricity-generation" w:history="1">
        <w:r w:rsidRPr="00F979D1">
          <w:rPr>
            <w:rStyle w:val="Hyperlink"/>
            <w:rFonts w:asciiTheme="minorHAnsi" w:hAnsiTheme="minorHAnsi"/>
            <w:sz w:val="20"/>
          </w:rPr>
          <w:t>http://www.cleanenergyregulator.gov.au/OSR/EERS/Tools-to-assist-you/Frequently-asked-questions#How-do-I-report-consumption-of-renewable-energy-commodities-for-electricity-generation</w:t>
        </w:r>
      </w:hyperlink>
      <w:r>
        <w:t xml:space="preserve"> </w:t>
      </w:r>
    </w:p>
  </w:footnote>
  <w:footnote w:id="23">
    <w:p w14:paraId="2A703B69" w14:textId="77777777" w:rsidR="00A57A5C" w:rsidRDefault="00A57A5C" w:rsidP="00A57A5C">
      <w:pPr>
        <w:pStyle w:val="FootnoteText"/>
      </w:pPr>
      <w:r>
        <w:rPr>
          <w:rStyle w:val="FootnoteReference"/>
        </w:rPr>
        <w:footnoteRef/>
      </w:r>
      <w:r>
        <w:t xml:space="preserve"> </w:t>
      </w:r>
      <w:hyperlink r:id="rId20" w:history="1">
        <w:r w:rsidRPr="00106884">
          <w:rPr>
            <w:rStyle w:val="Hyperlink"/>
            <w:rFonts w:asciiTheme="minorHAnsi" w:hAnsiTheme="minorHAnsi"/>
            <w:sz w:val="20"/>
          </w:rPr>
          <w:t>http://www.cleanenergyregulator.gov.au/DocumentAssets/Pages/Reporting-blended-fuels-other-fuel-mixes-and-bitumen-guidelin.aspx</w:t>
        </w:r>
      </w:hyperlink>
      <w:r>
        <w:t xml:space="preserve">  </w:t>
      </w:r>
      <w:r w:rsidRPr="00C84028" w:rsidDel="00C84028">
        <w:t xml:space="preserve"> </w:t>
      </w:r>
      <w:r>
        <w:t xml:space="preserve"> </w:t>
      </w:r>
    </w:p>
  </w:footnote>
  <w:footnote w:id="24">
    <w:p w14:paraId="2EA3EA03" w14:textId="77777777" w:rsidR="00A57A5C" w:rsidRDefault="00A57A5C" w:rsidP="00A57A5C">
      <w:pPr>
        <w:pStyle w:val="FootnoteText"/>
        <w:rPr>
          <w:lang w:val="en-US"/>
        </w:rPr>
      </w:pPr>
      <w:r>
        <w:rPr>
          <w:rStyle w:val="FootnoteReference"/>
        </w:rPr>
        <w:footnoteRef/>
      </w:r>
      <w:r>
        <w:t xml:space="preserve"> </w:t>
      </w:r>
      <w:hyperlink r:id="rId21" w:history="1">
        <w:r w:rsidRPr="00106884">
          <w:rPr>
            <w:rStyle w:val="Hyperlink"/>
            <w:rFonts w:asciiTheme="minorHAnsi" w:hAnsiTheme="minorHAnsi"/>
            <w:sz w:val="20"/>
          </w:rPr>
          <w:t>http://www.cleanenergyregulator.gov.au/DocumentAssets/Pages/Methods-and-measurements-criteria-guideline.aspx</w:t>
        </w:r>
      </w:hyperlink>
      <w:r>
        <w:t xml:space="preserve"> </w:t>
      </w:r>
    </w:p>
    <w:p w14:paraId="615537C6" w14:textId="77777777" w:rsidR="00A57A5C" w:rsidRPr="00AF1FB2" w:rsidRDefault="00A57A5C" w:rsidP="00A57A5C">
      <w:pPr>
        <w:pStyle w:val="FootnoteText"/>
        <w:rPr>
          <w:lang w:val="en-US"/>
        </w:rPr>
      </w:pPr>
    </w:p>
  </w:footnote>
  <w:footnote w:id="25">
    <w:p w14:paraId="1D499A19" w14:textId="77777777" w:rsidR="00A57A5C" w:rsidRPr="009C0388" w:rsidRDefault="00A57A5C" w:rsidP="00A57A5C">
      <w:pPr>
        <w:pStyle w:val="FootnoteText"/>
        <w:rPr>
          <w:lang w:val="en-AU"/>
        </w:rPr>
      </w:pPr>
      <w:r>
        <w:rPr>
          <w:rStyle w:val="FootnoteReference"/>
        </w:rPr>
        <w:footnoteRef/>
      </w:r>
      <w:r>
        <w:t xml:space="preserve"> </w:t>
      </w:r>
      <w:hyperlink r:id="rId22" w:history="1">
        <w:r w:rsidRPr="00F979D1">
          <w:rPr>
            <w:rStyle w:val="Hyperlink"/>
            <w:rFonts w:asciiTheme="minorHAnsi" w:hAnsiTheme="minorHAnsi"/>
            <w:sz w:val="20"/>
          </w:rPr>
          <w:t>https://www.legislation.gov.au/Series/C2007A00175</w:t>
        </w:r>
      </w:hyperlink>
      <w:r>
        <w:t xml:space="preserve"> </w:t>
      </w:r>
    </w:p>
  </w:footnote>
  <w:footnote w:id="26">
    <w:p w14:paraId="2BA96B87" w14:textId="77777777" w:rsidR="00A57A5C" w:rsidRPr="009C0388" w:rsidRDefault="00A57A5C" w:rsidP="00A57A5C">
      <w:pPr>
        <w:pStyle w:val="FootnoteText"/>
        <w:rPr>
          <w:lang w:val="en-AU"/>
        </w:rPr>
      </w:pPr>
      <w:r>
        <w:rPr>
          <w:rStyle w:val="FootnoteReference"/>
        </w:rPr>
        <w:footnoteRef/>
      </w:r>
      <w:r>
        <w:t xml:space="preserve"> </w:t>
      </w:r>
      <w:hyperlink r:id="rId23" w:history="1">
        <w:r w:rsidRPr="004410BD">
          <w:rPr>
            <w:rStyle w:val="Hyperlink"/>
            <w:rFonts w:asciiTheme="minorHAnsi" w:hAnsiTheme="minorHAnsi"/>
            <w:sz w:val="20"/>
          </w:rPr>
          <w:t>https://www.legislation.gov.au/Series/F2008L02230</w:t>
        </w:r>
      </w:hyperlink>
    </w:p>
  </w:footnote>
  <w:footnote w:id="27">
    <w:p w14:paraId="1D8EE799" w14:textId="77777777" w:rsidR="00A57A5C" w:rsidRPr="009C0388" w:rsidRDefault="00A57A5C" w:rsidP="00A57A5C">
      <w:pPr>
        <w:pStyle w:val="FootnoteText"/>
        <w:rPr>
          <w:lang w:val="en-AU"/>
        </w:rPr>
      </w:pPr>
      <w:r>
        <w:rPr>
          <w:rStyle w:val="FootnoteReference"/>
        </w:rPr>
        <w:footnoteRef/>
      </w:r>
      <w:r>
        <w:t xml:space="preserve"> </w:t>
      </w:r>
      <w:hyperlink r:id="rId24" w:history="1">
        <w:r w:rsidRPr="00F979D1">
          <w:rPr>
            <w:rStyle w:val="Hyperlink"/>
            <w:rFonts w:asciiTheme="minorHAnsi" w:hAnsiTheme="minorHAnsi"/>
            <w:sz w:val="20"/>
          </w:rPr>
          <w:t>https://www.legislation.gov.au/Series/F2008L02309</w:t>
        </w:r>
      </w:hyperlink>
      <w:r>
        <w:t xml:space="preserve"> </w:t>
      </w:r>
    </w:p>
  </w:footnote>
  <w:footnote w:id="28">
    <w:p w14:paraId="0E578BFC" w14:textId="77777777" w:rsidR="00A57A5C" w:rsidRPr="009C0388" w:rsidRDefault="00A57A5C" w:rsidP="00A57A5C">
      <w:pPr>
        <w:pStyle w:val="FootnoteText"/>
        <w:rPr>
          <w:lang w:val="en-AU"/>
        </w:rPr>
      </w:pPr>
      <w:r>
        <w:rPr>
          <w:rStyle w:val="FootnoteReference"/>
        </w:rPr>
        <w:footnoteRef/>
      </w:r>
      <w:r>
        <w:t xml:space="preserve"> </w:t>
      </w:r>
      <w:hyperlink r:id="rId25" w:history="1">
        <w:r>
          <w:rPr>
            <w:rStyle w:val="Hyperlink"/>
            <w:rFonts w:asciiTheme="minorHAnsi" w:hAnsiTheme="minorHAnsi"/>
            <w:sz w:val="20"/>
          </w:rPr>
          <w:t>http://www.cleanenergyregulator.gov.au/NGER/Forms-and-resources/Guidelines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C533" w14:textId="356F53BB" w:rsidR="00D81782" w:rsidRPr="00BE0DA3" w:rsidRDefault="00407A97" w:rsidP="00E349EF">
    <w:pPr>
      <w:pStyle w:val="LegislativesecrecyACT"/>
    </w:pPr>
    <w:r>
      <w:rPr>
        <w:noProof/>
      </w:rPr>
      <w:drawing>
        <wp:anchor distT="0" distB="0" distL="114300" distR="114300" simplePos="0" relativeHeight="251658240" behindDoc="0" locked="0" layoutInCell="1" allowOverlap="1" wp14:anchorId="31857C65" wp14:editId="5825DF61">
          <wp:simplePos x="0" y="0"/>
          <wp:positionH relativeFrom="margin">
            <wp:align>right</wp:align>
          </wp:positionH>
          <wp:positionV relativeFrom="paragraph">
            <wp:posOffset>22151</wp:posOffset>
          </wp:positionV>
          <wp:extent cx="1424451" cy="469454"/>
          <wp:effectExtent l="0" t="0" r="4445" b="698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E3326" w14:textId="33E264B4" w:rsidR="00CA2954" w:rsidRDefault="008352D1" w:rsidP="00E349EF">
    <w:pPr>
      <w:pStyle w:val="Header"/>
      <w:spacing w:before="600"/>
    </w:pPr>
    <w:r>
      <w:rPr>
        <w:noProof/>
      </w:rPr>
      <w:t xml:space="preserve">  </w:t>
    </w:r>
    <w:r w:rsidR="00CA2954">
      <w:rPr>
        <w:noProof/>
      </w:rPr>
      <w:drawing>
        <wp:inline distT="0" distB="0" distL="0" distR="0" wp14:anchorId="5D91E6F5" wp14:editId="0F3E109B">
          <wp:extent cx="2628000" cy="617737"/>
          <wp:effectExtent l="0" t="0" r="1270" b="5080"/>
          <wp:docPr id="4" name="Picture 4"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754D4" w14:textId="77777777" w:rsidR="00913E4B" w:rsidRDefault="00913E4B" w:rsidP="00176C28">
    <w:pPr>
      <w:pStyle w:val="Header"/>
    </w:pPr>
    <w:r w:rsidRPr="00B325DC">
      <w:rPr>
        <w:noProof/>
        <w:lang w:eastAsia="en-AU"/>
      </w:rPr>
      <w:drawing>
        <wp:anchor distT="0" distB="0" distL="114300" distR="114300" simplePos="0" relativeHeight="251661312" behindDoc="0" locked="0" layoutInCell="1" allowOverlap="1" wp14:anchorId="2113E977" wp14:editId="13F0399F">
          <wp:simplePos x="0" y="0"/>
          <wp:positionH relativeFrom="margin">
            <wp:posOffset>-809625</wp:posOffset>
          </wp:positionH>
          <wp:positionV relativeFrom="paragraph">
            <wp:posOffset>-2620645</wp:posOffset>
          </wp:positionV>
          <wp:extent cx="10674985" cy="914400"/>
          <wp:effectExtent l="0" t="0" r="0" b="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b="9152"/>
                  <a:stretch/>
                </pic:blipFill>
                <pic:spPr bwMode="auto">
                  <a:xfrm>
                    <a:off x="0" y="0"/>
                    <a:ext cx="1067498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D8913" w14:textId="23F80EE9" w:rsidR="00913E4B" w:rsidRDefault="00913E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89E07" w14:textId="0A0EC94D" w:rsidR="001E6E16" w:rsidRDefault="001E6E1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455F" w14:textId="2D076FC1" w:rsidR="000D1A50" w:rsidRDefault="009519EC" w:rsidP="00176C28">
    <w:pPr>
      <w:pStyle w:val="Header"/>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72D8E" w14:textId="36CC370E" w:rsidR="000D1A50" w:rsidRDefault="000D1A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0492"/>
    <w:multiLevelType w:val="hybridMultilevel"/>
    <w:tmpl w:val="7CD43BE6"/>
    <w:lvl w:ilvl="0" w:tplc="32D0A1EA">
      <w:start w:val="1"/>
      <w:numFmt w:val="bullet"/>
      <w:lvlText w:val=""/>
      <w:lvlJc w:val="left"/>
      <w:pPr>
        <w:ind w:left="360" w:hanging="360"/>
      </w:pPr>
      <w:rPr>
        <w:rFonts w:ascii="Symbol" w:hAnsi="Symbol" w:hint="default"/>
        <w:color w:val="006EA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3846C51"/>
    <w:multiLevelType w:val="multilevel"/>
    <w:tmpl w:val="4F062ADC"/>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2C63DBB"/>
    <w:multiLevelType w:val="multilevel"/>
    <w:tmpl w:val="4F062ADC"/>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E9556E5"/>
    <w:multiLevelType w:val="hybridMultilevel"/>
    <w:tmpl w:val="12B057AC"/>
    <w:lvl w:ilvl="0" w:tplc="90209EEC">
      <w:start w:val="1"/>
      <w:numFmt w:val="bullet"/>
      <w:pStyle w:val="Bullet2"/>
      <w:lvlText w:val="–"/>
      <w:lvlJc w:val="left"/>
      <w:pPr>
        <w:tabs>
          <w:tab w:val="num" w:pos="1134"/>
        </w:tabs>
        <w:ind w:left="1361" w:hanging="227"/>
      </w:pPr>
      <w:rPr>
        <w:rFonts w:ascii="Arial" w:hAnsi="Arial" w:cs="Aria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C200A7"/>
    <w:multiLevelType w:val="multilevel"/>
    <w:tmpl w:val="116CD9DE"/>
    <w:styleLink w:val="CERbulletlist"/>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C5352BE"/>
    <w:multiLevelType w:val="hybridMultilevel"/>
    <w:tmpl w:val="00D8C46A"/>
    <w:lvl w:ilvl="0" w:tplc="32D0A1EA">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05A5609"/>
    <w:multiLevelType w:val="hybridMultilevel"/>
    <w:tmpl w:val="9DCC2A04"/>
    <w:lvl w:ilvl="0" w:tplc="32D0A1EA">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EA0C97"/>
    <w:multiLevelType w:val="multilevel"/>
    <w:tmpl w:val="5ECE68B6"/>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CFD18CA"/>
    <w:multiLevelType w:val="multilevel"/>
    <w:tmpl w:val="D5A239B8"/>
    <w:lvl w:ilvl="0">
      <w:start w:val="1"/>
      <w:numFmt w:val="decimal"/>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8956C20"/>
    <w:multiLevelType w:val="multilevel"/>
    <w:tmpl w:val="116CD9D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1605312"/>
    <w:multiLevelType w:val="hybridMultilevel"/>
    <w:tmpl w:val="058C3F8C"/>
    <w:lvl w:ilvl="0" w:tplc="6ABE5874">
      <w:start w:val="1"/>
      <w:numFmt w:val="bullet"/>
      <w:lvlText w:val=""/>
      <w:lvlJc w:val="left"/>
      <w:pPr>
        <w:ind w:left="360" w:hanging="360"/>
      </w:pPr>
      <w:rPr>
        <w:rFonts w:ascii="Symbol" w:hAnsi="Symbol" w:hint="default"/>
        <w:color w:val="006EA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9DB23C0"/>
    <w:multiLevelType w:val="multilevel"/>
    <w:tmpl w:val="11A43BFC"/>
    <w:name w:val="CERBullets22"/>
    <w:lvl w:ilvl="0">
      <w:start w:val="1"/>
      <w:numFmt w:val="bullet"/>
      <w:pStyle w:val="CERbullets"/>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E096033"/>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16896475">
    <w:abstractNumId w:val="13"/>
  </w:num>
  <w:num w:numId="2" w16cid:durableId="1716151732">
    <w:abstractNumId w:val="10"/>
  </w:num>
  <w:num w:numId="3" w16cid:durableId="1734280859">
    <w:abstractNumId w:val="14"/>
  </w:num>
  <w:num w:numId="4" w16cid:durableId="561984527">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11733602">
    <w:abstractNumId w:val="4"/>
  </w:num>
  <w:num w:numId="6" w16cid:durableId="519439705">
    <w:abstractNumId w:val="0"/>
  </w:num>
  <w:num w:numId="7" w16cid:durableId="226846549">
    <w:abstractNumId w:val="12"/>
  </w:num>
  <w:num w:numId="8" w16cid:durableId="1202281538">
    <w:abstractNumId w:val="9"/>
  </w:num>
  <w:num w:numId="9" w16cid:durableId="418719345">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386943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6628838">
    <w:abstractNumId w:val="5"/>
  </w:num>
  <w:num w:numId="12" w16cid:durableId="136849915">
    <w:abstractNumId w:val="11"/>
    <w:lvlOverride w:ilvl="0">
      <w:lvl w:ilvl="0">
        <w:start w:val="1"/>
        <w:numFmt w:val="bullet"/>
        <w:lvlText w:val=""/>
        <w:lvlJc w:val="left"/>
        <w:pPr>
          <w:ind w:left="360" w:hanging="360"/>
        </w:pPr>
        <w:rPr>
          <w:rFonts w:ascii="Symbol" w:hAnsi="Symbol" w:hint="default"/>
          <w:color w:val="005874"/>
        </w:rPr>
      </w:lvl>
    </w:lvlOverride>
    <w:lvlOverride w:ilvl="1">
      <w:lvl w:ilvl="1">
        <w:start w:val="1"/>
        <w:numFmt w:val="bullet"/>
        <w:lvlText w:val="»"/>
        <w:lvlJc w:val="left"/>
        <w:pPr>
          <w:ind w:left="720" w:hanging="360"/>
        </w:pPr>
        <w:rPr>
          <w:rFonts w:ascii="Arial" w:hAnsi="Arial" w:hint="default"/>
          <w:color w:val="005874"/>
        </w:rPr>
      </w:lvl>
    </w:lvlOverride>
    <w:lvlOverride w:ilvl="2">
      <w:lvl w:ilvl="2">
        <w:start w:val="1"/>
        <w:numFmt w:val="bullet"/>
        <w:lvlText w:val="›"/>
        <w:lvlJc w:val="left"/>
        <w:pPr>
          <w:ind w:left="1080" w:hanging="360"/>
        </w:pPr>
        <w:rPr>
          <w:rFonts w:ascii="Arial" w:hAnsi="Arial" w:hint="default"/>
          <w:color w:val="005874"/>
        </w:rPr>
      </w:lvl>
    </w:lvlOverride>
  </w:num>
  <w:num w:numId="13" w16cid:durableId="1083180467">
    <w:abstractNumId w:val="7"/>
  </w:num>
  <w:num w:numId="14" w16cid:durableId="1997494569">
    <w:abstractNumId w:val="8"/>
  </w:num>
  <w:num w:numId="15" w16cid:durableId="797456441">
    <w:abstractNumId w:val="1"/>
  </w:num>
  <w:num w:numId="16" w16cid:durableId="945037382">
    <w:abstractNumId w:val="2"/>
  </w:num>
  <w:num w:numId="17" w16cid:durableId="1438256204">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B2"/>
    <w:rsid w:val="0002468B"/>
    <w:rsid w:val="00027727"/>
    <w:rsid w:val="00031090"/>
    <w:rsid w:val="00035321"/>
    <w:rsid w:val="0003582F"/>
    <w:rsid w:val="000378B6"/>
    <w:rsid w:val="000442F7"/>
    <w:rsid w:val="00056FF0"/>
    <w:rsid w:val="00060CCF"/>
    <w:rsid w:val="000678AA"/>
    <w:rsid w:val="00083FFC"/>
    <w:rsid w:val="000873E6"/>
    <w:rsid w:val="000906DE"/>
    <w:rsid w:val="00096878"/>
    <w:rsid w:val="000A0DD5"/>
    <w:rsid w:val="000B2225"/>
    <w:rsid w:val="000C7DB2"/>
    <w:rsid w:val="000D1A50"/>
    <w:rsid w:val="000E5A13"/>
    <w:rsid w:val="000F6B44"/>
    <w:rsid w:val="001115C2"/>
    <w:rsid w:val="00112E29"/>
    <w:rsid w:val="001276AA"/>
    <w:rsid w:val="00140939"/>
    <w:rsid w:val="00146FC8"/>
    <w:rsid w:val="001512C0"/>
    <w:rsid w:val="00157175"/>
    <w:rsid w:val="001651F7"/>
    <w:rsid w:val="00166FC1"/>
    <w:rsid w:val="00172F37"/>
    <w:rsid w:val="00176871"/>
    <w:rsid w:val="00176C28"/>
    <w:rsid w:val="001813DE"/>
    <w:rsid w:val="001848D4"/>
    <w:rsid w:val="0018495B"/>
    <w:rsid w:val="00193A6C"/>
    <w:rsid w:val="00197F43"/>
    <w:rsid w:val="001A4441"/>
    <w:rsid w:val="001B624B"/>
    <w:rsid w:val="001B66AA"/>
    <w:rsid w:val="001C191F"/>
    <w:rsid w:val="001D2DB3"/>
    <w:rsid w:val="001D5E01"/>
    <w:rsid w:val="001E6E16"/>
    <w:rsid w:val="001F41A3"/>
    <w:rsid w:val="002118E5"/>
    <w:rsid w:val="00216E5D"/>
    <w:rsid w:val="0021782A"/>
    <w:rsid w:val="00223676"/>
    <w:rsid w:val="00235142"/>
    <w:rsid w:val="00235B98"/>
    <w:rsid w:val="002537CF"/>
    <w:rsid w:val="00253FFC"/>
    <w:rsid w:val="00256727"/>
    <w:rsid w:val="002622E9"/>
    <w:rsid w:val="00270902"/>
    <w:rsid w:val="00290E3D"/>
    <w:rsid w:val="0029262D"/>
    <w:rsid w:val="002A7EA6"/>
    <w:rsid w:val="002B4789"/>
    <w:rsid w:val="002C19F9"/>
    <w:rsid w:val="002C427B"/>
    <w:rsid w:val="002C702A"/>
    <w:rsid w:val="002D18F3"/>
    <w:rsid w:val="002D30B2"/>
    <w:rsid w:val="002F1986"/>
    <w:rsid w:val="00302E97"/>
    <w:rsid w:val="00303251"/>
    <w:rsid w:val="00337CCB"/>
    <w:rsid w:val="003456B2"/>
    <w:rsid w:val="00346AEF"/>
    <w:rsid w:val="00365CD3"/>
    <w:rsid w:val="00370CE8"/>
    <w:rsid w:val="00371059"/>
    <w:rsid w:val="003A0D22"/>
    <w:rsid w:val="003A5739"/>
    <w:rsid w:val="003A760B"/>
    <w:rsid w:val="003D2D57"/>
    <w:rsid w:val="003D5C96"/>
    <w:rsid w:val="00400BA0"/>
    <w:rsid w:val="00400D4D"/>
    <w:rsid w:val="00404940"/>
    <w:rsid w:val="00407A97"/>
    <w:rsid w:val="00420BC9"/>
    <w:rsid w:val="00420BF6"/>
    <w:rsid w:val="00424CC6"/>
    <w:rsid w:val="00426275"/>
    <w:rsid w:val="0043773A"/>
    <w:rsid w:val="004458B4"/>
    <w:rsid w:val="00455455"/>
    <w:rsid w:val="004559EF"/>
    <w:rsid w:val="00465287"/>
    <w:rsid w:val="00471682"/>
    <w:rsid w:val="00480154"/>
    <w:rsid w:val="0048085B"/>
    <w:rsid w:val="00494F07"/>
    <w:rsid w:val="004A2E03"/>
    <w:rsid w:val="004A581F"/>
    <w:rsid w:val="004A5F95"/>
    <w:rsid w:val="004B028F"/>
    <w:rsid w:val="004B02E8"/>
    <w:rsid w:val="004B6AF5"/>
    <w:rsid w:val="004C6DF4"/>
    <w:rsid w:val="004D0162"/>
    <w:rsid w:val="004D3F8B"/>
    <w:rsid w:val="004D70CF"/>
    <w:rsid w:val="004F323B"/>
    <w:rsid w:val="00516089"/>
    <w:rsid w:val="00521016"/>
    <w:rsid w:val="005230BD"/>
    <w:rsid w:val="0052457E"/>
    <w:rsid w:val="00531F3B"/>
    <w:rsid w:val="0054199F"/>
    <w:rsid w:val="005430A4"/>
    <w:rsid w:val="00565531"/>
    <w:rsid w:val="005800E5"/>
    <w:rsid w:val="00585D42"/>
    <w:rsid w:val="005A266D"/>
    <w:rsid w:val="005B2609"/>
    <w:rsid w:val="005C0A94"/>
    <w:rsid w:val="005D4D95"/>
    <w:rsid w:val="005F4BE4"/>
    <w:rsid w:val="00602E93"/>
    <w:rsid w:val="00605F76"/>
    <w:rsid w:val="0061010A"/>
    <w:rsid w:val="0062080A"/>
    <w:rsid w:val="00621859"/>
    <w:rsid w:val="00622DA5"/>
    <w:rsid w:val="00632E89"/>
    <w:rsid w:val="006423DF"/>
    <w:rsid w:val="006530B0"/>
    <w:rsid w:val="0065750A"/>
    <w:rsid w:val="00662ED8"/>
    <w:rsid w:val="00674932"/>
    <w:rsid w:val="00680B5A"/>
    <w:rsid w:val="0068486A"/>
    <w:rsid w:val="006971C9"/>
    <w:rsid w:val="006A1906"/>
    <w:rsid w:val="006A37D7"/>
    <w:rsid w:val="006A7A4E"/>
    <w:rsid w:val="006B1FD6"/>
    <w:rsid w:val="006C121A"/>
    <w:rsid w:val="006C58B9"/>
    <w:rsid w:val="006C673D"/>
    <w:rsid w:val="006E20EA"/>
    <w:rsid w:val="006E3CA9"/>
    <w:rsid w:val="00702D68"/>
    <w:rsid w:val="00703446"/>
    <w:rsid w:val="00717F5E"/>
    <w:rsid w:val="00724B10"/>
    <w:rsid w:val="007270A5"/>
    <w:rsid w:val="00733C45"/>
    <w:rsid w:val="0076397A"/>
    <w:rsid w:val="00767FAB"/>
    <w:rsid w:val="007773D1"/>
    <w:rsid w:val="007813EC"/>
    <w:rsid w:val="00786E16"/>
    <w:rsid w:val="00790E79"/>
    <w:rsid w:val="007A5CF8"/>
    <w:rsid w:val="007B2652"/>
    <w:rsid w:val="007B31E7"/>
    <w:rsid w:val="007B6EED"/>
    <w:rsid w:val="007C310C"/>
    <w:rsid w:val="007C7046"/>
    <w:rsid w:val="007D40F4"/>
    <w:rsid w:val="007F3928"/>
    <w:rsid w:val="00801EDE"/>
    <w:rsid w:val="00805956"/>
    <w:rsid w:val="00816D8B"/>
    <w:rsid w:val="00817934"/>
    <w:rsid w:val="00826A84"/>
    <w:rsid w:val="008352D1"/>
    <w:rsid w:val="00837A9B"/>
    <w:rsid w:val="008444A8"/>
    <w:rsid w:val="008554CE"/>
    <w:rsid w:val="00862D08"/>
    <w:rsid w:val="00882515"/>
    <w:rsid w:val="00885AB6"/>
    <w:rsid w:val="00890472"/>
    <w:rsid w:val="008A4F2A"/>
    <w:rsid w:val="008B0D79"/>
    <w:rsid w:val="008B434A"/>
    <w:rsid w:val="008C63A1"/>
    <w:rsid w:val="008D7149"/>
    <w:rsid w:val="008E15DF"/>
    <w:rsid w:val="008E6CE0"/>
    <w:rsid w:val="008F277C"/>
    <w:rsid w:val="008F548E"/>
    <w:rsid w:val="008F6BA7"/>
    <w:rsid w:val="00906DED"/>
    <w:rsid w:val="00913E4B"/>
    <w:rsid w:val="0092568B"/>
    <w:rsid w:val="00930D2E"/>
    <w:rsid w:val="0093226C"/>
    <w:rsid w:val="009519EC"/>
    <w:rsid w:val="009633DE"/>
    <w:rsid w:val="009757EB"/>
    <w:rsid w:val="00977234"/>
    <w:rsid w:val="009801E4"/>
    <w:rsid w:val="00990C52"/>
    <w:rsid w:val="009A2199"/>
    <w:rsid w:val="009A2E7F"/>
    <w:rsid w:val="009C094A"/>
    <w:rsid w:val="009C30B4"/>
    <w:rsid w:val="009D01EB"/>
    <w:rsid w:val="009D4D75"/>
    <w:rsid w:val="009F2A5F"/>
    <w:rsid w:val="009F4AB1"/>
    <w:rsid w:val="009F7785"/>
    <w:rsid w:val="00A114F2"/>
    <w:rsid w:val="00A23C1D"/>
    <w:rsid w:val="00A41A11"/>
    <w:rsid w:val="00A44C0C"/>
    <w:rsid w:val="00A50A9D"/>
    <w:rsid w:val="00A57A5C"/>
    <w:rsid w:val="00AA2792"/>
    <w:rsid w:val="00AA574B"/>
    <w:rsid w:val="00AA705A"/>
    <w:rsid w:val="00AB04A4"/>
    <w:rsid w:val="00AB1D66"/>
    <w:rsid w:val="00AC2F10"/>
    <w:rsid w:val="00AD1541"/>
    <w:rsid w:val="00AD3999"/>
    <w:rsid w:val="00AD649E"/>
    <w:rsid w:val="00AF5B63"/>
    <w:rsid w:val="00AF5F77"/>
    <w:rsid w:val="00B16D30"/>
    <w:rsid w:val="00B3330E"/>
    <w:rsid w:val="00B4052B"/>
    <w:rsid w:val="00B42777"/>
    <w:rsid w:val="00B44434"/>
    <w:rsid w:val="00B44479"/>
    <w:rsid w:val="00B45921"/>
    <w:rsid w:val="00B531D4"/>
    <w:rsid w:val="00B832A4"/>
    <w:rsid w:val="00B85497"/>
    <w:rsid w:val="00BA3D6B"/>
    <w:rsid w:val="00BC1A51"/>
    <w:rsid w:val="00BD5ED5"/>
    <w:rsid w:val="00C033D8"/>
    <w:rsid w:val="00C067A3"/>
    <w:rsid w:val="00C06FDE"/>
    <w:rsid w:val="00C13A44"/>
    <w:rsid w:val="00C27341"/>
    <w:rsid w:val="00C3122E"/>
    <w:rsid w:val="00C33420"/>
    <w:rsid w:val="00C371E3"/>
    <w:rsid w:val="00C40CF0"/>
    <w:rsid w:val="00C47609"/>
    <w:rsid w:val="00C73199"/>
    <w:rsid w:val="00C75083"/>
    <w:rsid w:val="00C86B48"/>
    <w:rsid w:val="00CA2954"/>
    <w:rsid w:val="00CA3DBC"/>
    <w:rsid w:val="00CA63D2"/>
    <w:rsid w:val="00CB7ED6"/>
    <w:rsid w:val="00CE3E30"/>
    <w:rsid w:val="00CE7D0D"/>
    <w:rsid w:val="00CF18F4"/>
    <w:rsid w:val="00D05244"/>
    <w:rsid w:val="00D07937"/>
    <w:rsid w:val="00D102D0"/>
    <w:rsid w:val="00D12436"/>
    <w:rsid w:val="00D435BB"/>
    <w:rsid w:val="00D5130D"/>
    <w:rsid w:val="00D66352"/>
    <w:rsid w:val="00D722FC"/>
    <w:rsid w:val="00D81782"/>
    <w:rsid w:val="00DB16FB"/>
    <w:rsid w:val="00DB4B56"/>
    <w:rsid w:val="00DC3A30"/>
    <w:rsid w:val="00DD61F7"/>
    <w:rsid w:val="00DF0F4C"/>
    <w:rsid w:val="00DF4814"/>
    <w:rsid w:val="00E116BD"/>
    <w:rsid w:val="00E12286"/>
    <w:rsid w:val="00E17A35"/>
    <w:rsid w:val="00E349EF"/>
    <w:rsid w:val="00E6587E"/>
    <w:rsid w:val="00E71BAE"/>
    <w:rsid w:val="00E770EC"/>
    <w:rsid w:val="00E85BF6"/>
    <w:rsid w:val="00E93756"/>
    <w:rsid w:val="00E94FFF"/>
    <w:rsid w:val="00E956A9"/>
    <w:rsid w:val="00EA7A28"/>
    <w:rsid w:val="00EB0A89"/>
    <w:rsid w:val="00EB73C5"/>
    <w:rsid w:val="00EB7F5F"/>
    <w:rsid w:val="00EC0480"/>
    <w:rsid w:val="00ED20ED"/>
    <w:rsid w:val="00EE1211"/>
    <w:rsid w:val="00F1084B"/>
    <w:rsid w:val="00F220E4"/>
    <w:rsid w:val="00F2767A"/>
    <w:rsid w:val="00F32404"/>
    <w:rsid w:val="00F3522B"/>
    <w:rsid w:val="00F353EB"/>
    <w:rsid w:val="00F67F4E"/>
    <w:rsid w:val="00F70B17"/>
    <w:rsid w:val="00F71D97"/>
    <w:rsid w:val="00F76419"/>
    <w:rsid w:val="00F8070C"/>
    <w:rsid w:val="00F831A1"/>
    <w:rsid w:val="00F94571"/>
    <w:rsid w:val="00FA7635"/>
    <w:rsid w:val="00FB26CE"/>
    <w:rsid w:val="00FB5D2B"/>
    <w:rsid w:val="00FC0CE2"/>
    <w:rsid w:val="00FC20CB"/>
    <w:rsid w:val="00FC3CD6"/>
    <w:rsid w:val="00FC5CAA"/>
    <w:rsid w:val="00FD2635"/>
    <w:rsid w:val="00FE07BB"/>
    <w:rsid w:val="00FE08CE"/>
    <w:rsid w:val="00FE2F68"/>
    <w:rsid w:val="0965AF4E"/>
    <w:rsid w:val="7205AF69"/>
  </w:rsids>
  <m:mathPr>
    <m:mathFont m:val="Cambria Math"/>
    <m:brkBin m:val="before"/>
    <m:brkBinSub m:val="--"/>
    <m:smallFrac m:val="0"/>
    <m:dispDef m:val="0"/>
    <m:lMargin m:val="0"/>
    <m:rMargin m:val="0"/>
    <m:defJc m:val="centerGroup"/>
    <m:wrapRight/>
    <m:intLim m:val="subSup"/>
    <m:naryLim m:val="subSup"/>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0DD3A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A7635"/>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H1"/>
    <w:basedOn w:val="Contents"/>
    <w:next w:val="Heading2"/>
    <w:link w:val="Heading1Char"/>
    <w:qFormat/>
    <w:rsid w:val="002D18F3"/>
    <w:pPr>
      <w:spacing w:before="360" w:after="0"/>
      <w:outlineLvl w:val="0"/>
    </w:pPr>
    <w:rPr>
      <w:b/>
      <w:bCs/>
    </w:rPr>
  </w:style>
  <w:style w:type="paragraph" w:styleId="Heading2">
    <w:name w:val="heading 2"/>
    <w:aliases w:val="CER Heading 2,H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H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H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H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H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1"/>
      </w:numPr>
      <w:spacing w:before="120" w:after="120"/>
      <w:ind w:left="357" w:hanging="357"/>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uiPriority w:val="39"/>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blBorders>
        <w:left w:val="single" w:sz="24" w:space="0" w:color="9FB76F"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9FB76F" w:themeColor="accent1"/>
          <w:bottom w:val="nil"/>
          <w:right w:val="nil"/>
          <w:insideH w:val="nil"/>
          <w:insideV w:val="nil"/>
          <w:tl2br w:val="nil"/>
          <w:tr2bl w:val="nil"/>
        </w:tcBorders>
        <w:noWrap/>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CERbullets"/>
    <w:link w:val="CERnumberingChar"/>
    <w:uiPriority w:val="8"/>
    <w:qFormat/>
    <w:rsid w:val="00FE2F68"/>
    <w:pPr>
      <w:numPr>
        <w:numId w:val="0"/>
      </w:numPr>
    </w:pPr>
    <w:rPr>
      <w:lang w:val="en-US"/>
    </w:r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FE2F68"/>
    <w:rPr>
      <w:rFonts w:asciiTheme="minorHAnsi" w:hAnsiTheme="minorHAnsi" w:cstheme="minorHAnsi"/>
      <w:sz w:val="22"/>
      <w:szCs w:val="24"/>
      <w:lang w:val="en-US"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9633DE"/>
    <w:rPr>
      <w:rFonts w:asciiTheme="minorHAnsi" w:hAnsiTheme="minorHAnsi"/>
      <w:b/>
      <w:color w:val="FF0000"/>
      <w:sz w:val="24"/>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056FF0"/>
    <w:pPr>
      <w:spacing w:after="100"/>
      <w:ind w:left="220"/>
    </w:pPr>
  </w:style>
  <w:style w:type="paragraph" w:styleId="TOC1">
    <w:name w:val="toc 1"/>
    <w:basedOn w:val="Normal"/>
    <w:next w:val="Normal"/>
    <w:autoRedefine/>
    <w:uiPriority w:val="39"/>
    <w:unhideWhenUsed/>
    <w:rsid w:val="007270A5"/>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39"/>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paragraph" w:styleId="ListParagraph">
    <w:name w:val="List Paragraph"/>
    <w:basedOn w:val="Normal"/>
    <w:link w:val="ListParagraphChar"/>
    <w:uiPriority w:val="34"/>
    <w:qFormat/>
    <w:rsid w:val="00235142"/>
    <w:pPr>
      <w:ind w:left="720"/>
      <w:contextualSpacing/>
    </w:pPr>
    <w:rPr>
      <w:lang w:val="en-GB"/>
    </w:rPr>
  </w:style>
  <w:style w:type="character" w:styleId="CommentReference">
    <w:name w:val="annotation reference"/>
    <w:basedOn w:val="DefaultParagraphFont"/>
    <w:uiPriority w:val="99"/>
    <w:unhideWhenUsed/>
    <w:rsid w:val="00235142"/>
    <w:rPr>
      <w:sz w:val="16"/>
      <w:szCs w:val="16"/>
    </w:rPr>
  </w:style>
  <w:style w:type="paragraph" w:styleId="CommentText">
    <w:name w:val="annotation text"/>
    <w:basedOn w:val="Normal"/>
    <w:link w:val="CommentTextChar"/>
    <w:uiPriority w:val="99"/>
    <w:unhideWhenUsed/>
    <w:rsid w:val="00235142"/>
    <w:rPr>
      <w:sz w:val="20"/>
      <w:szCs w:val="20"/>
      <w:lang w:val="en-GB"/>
    </w:rPr>
  </w:style>
  <w:style w:type="character" w:customStyle="1" w:styleId="CommentTextChar">
    <w:name w:val="Comment Text Char"/>
    <w:basedOn w:val="DefaultParagraphFont"/>
    <w:link w:val="CommentText"/>
    <w:uiPriority w:val="99"/>
    <w:rsid w:val="00235142"/>
    <w:rPr>
      <w:rFonts w:asciiTheme="minorHAnsi" w:hAnsiTheme="minorHAnsi" w:cstheme="minorHAnsi"/>
      <w:color w:val="000000" w:themeColor="text1"/>
      <w:lang w:val="en-GB" w:eastAsia="en-US"/>
    </w:rPr>
  </w:style>
  <w:style w:type="paragraph" w:styleId="FootnoteText">
    <w:name w:val="footnote text"/>
    <w:basedOn w:val="Normal"/>
    <w:link w:val="FootnoteTextChar"/>
    <w:uiPriority w:val="99"/>
    <w:semiHidden/>
    <w:unhideWhenUsed/>
    <w:rsid w:val="00235142"/>
    <w:pPr>
      <w:spacing w:after="0"/>
    </w:pPr>
    <w:rPr>
      <w:sz w:val="20"/>
      <w:szCs w:val="20"/>
      <w:lang w:val="en-GB"/>
    </w:rPr>
  </w:style>
  <w:style w:type="character" w:customStyle="1" w:styleId="FootnoteTextChar">
    <w:name w:val="Footnote Text Char"/>
    <w:basedOn w:val="DefaultParagraphFont"/>
    <w:link w:val="FootnoteText"/>
    <w:uiPriority w:val="99"/>
    <w:semiHidden/>
    <w:rsid w:val="00235142"/>
    <w:rPr>
      <w:rFonts w:asciiTheme="minorHAnsi" w:hAnsiTheme="minorHAnsi" w:cstheme="minorHAnsi"/>
      <w:color w:val="000000" w:themeColor="text1"/>
      <w:lang w:val="en-GB" w:eastAsia="en-US"/>
    </w:rPr>
  </w:style>
  <w:style w:type="character" w:styleId="FootnoteReference">
    <w:name w:val="footnote reference"/>
    <w:basedOn w:val="DefaultParagraphFont"/>
    <w:uiPriority w:val="99"/>
    <w:unhideWhenUsed/>
    <w:rsid w:val="00235142"/>
    <w:rPr>
      <w:vertAlign w:val="superscript"/>
    </w:rPr>
  </w:style>
  <w:style w:type="table" w:customStyle="1" w:styleId="CERTable2">
    <w:name w:val="CER Table2"/>
    <w:basedOn w:val="TableNormal"/>
    <w:uiPriority w:val="99"/>
    <w:rsid w:val="002B4789"/>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Yu Gothic UI Semilight" w:hAnsi="@Yu Gothic UI Semilight"/>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Yu Gothic UI Semilight" w:hAnsi="@Yu Gothic UI Semilight"/>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character" w:styleId="Mention">
    <w:name w:val="Mention"/>
    <w:basedOn w:val="DefaultParagraphFont"/>
    <w:uiPriority w:val="99"/>
    <w:unhideWhenUsed/>
    <w:rsid w:val="002B4789"/>
    <w:rPr>
      <w:color w:val="2B579A"/>
      <w:shd w:val="clear" w:color="auto" w:fill="E1DFDD"/>
    </w:rPr>
  </w:style>
  <w:style w:type="paragraph" w:customStyle="1" w:styleId="Body">
    <w:name w:val="Body"/>
    <w:basedOn w:val="Normal"/>
    <w:link w:val="BodyChar"/>
    <w:rsid w:val="004A2E03"/>
    <w:pPr>
      <w:spacing w:before="60" w:after="120" w:line="280" w:lineRule="atLeast"/>
      <w:ind w:left="567"/>
    </w:pPr>
    <w:rPr>
      <w:rFonts w:ascii="Arial" w:eastAsia="Times New Roman" w:hAnsi="Arial" w:cs="Times New Roman"/>
      <w:color w:val="auto"/>
      <w:sz w:val="20"/>
      <w:lang w:val="en-GB"/>
    </w:rPr>
  </w:style>
  <w:style w:type="character" w:customStyle="1" w:styleId="BodyChar">
    <w:name w:val="Body Char"/>
    <w:link w:val="Body"/>
    <w:rsid w:val="004A2E03"/>
    <w:rPr>
      <w:rFonts w:ascii="Arial" w:eastAsia="Times New Roman" w:hAnsi="Arial"/>
      <w:szCs w:val="24"/>
      <w:lang w:val="en-GB" w:eastAsia="en-US"/>
    </w:rPr>
  </w:style>
  <w:style w:type="paragraph" w:customStyle="1" w:styleId="Bullet">
    <w:name w:val="Bullet"/>
    <w:aliases w:val="b1"/>
    <w:basedOn w:val="Body"/>
    <w:rsid w:val="004A2E03"/>
    <w:pPr>
      <w:tabs>
        <w:tab w:val="num" w:pos="-1097"/>
        <w:tab w:val="left" w:pos="964"/>
      </w:tabs>
      <w:ind w:left="-1097" w:hanging="37"/>
    </w:pPr>
  </w:style>
  <w:style w:type="paragraph" w:styleId="CommentSubject">
    <w:name w:val="annotation subject"/>
    <w:basedOn w:val="CommentText"/>
    <w:next w:val="CommentText"/>
    <w:link w:val="CommentSubjectChar"/>
    <w:uiPriority w:val="99"/>
    <w:semiHidden/>
    <w:unhideWhenUsed/>
    <w:rsid w:val="004A2E03"/>
    <w:rPr>
      <w:b/>
      <w:bCs/>
    </w:rPr>
  </w:style>
  <w:style w:type="character" w:customStyle="1" w:styleId="CommentSubjectChar">
    <w:name w:val="Comment Subject Char"/>
    <w:basedOn w:val="CommentTextChar"/>
    <w:link w:val="CommentSubject"/>
    <w:uiPriority w:val="99"/>
    <w:semiHidden/>
    <w:rsid w:val="004A2E03"/>
    <w:rPr>
      <w:rFonts w:asciiTheme="minorHAnsi" w:hAnsiTheme="minorHAnsi" w:cstheme="minorHAnsi"/>
      <w:b/>
      <w:bCs/>
      <w:color w:val="000000" w:themeColor="text1"/>
      <w:lang w:val="en-GB" w:eastAsia="en-US"/>
    </w:rPr>
  </w:style>
  <w:style w:type="paragraph" w:styleId="BalloonText">
    <w:name w:val="Balloon Text"/>
    <w:basedOn w:val="Normal"/>
    <w:link w:val="BalloonTextChar"/>
    <w:semiHidden/>
    <w:unhideWhenUsed/>
    <w:rsid w:val="004A2E03"/>
    <w:pPr>
      <w:spacing w:after="0"/>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4A2E03"/>
    <w:rPr>
      <w:rFonts w:ascii="Segoe UI" w:hAnsi="Segoe UI" w:cs="Segoe UI"/>
      <w:color w:val="000000" w:themeColor="text1"/>
      <w:sz w:val="18"/>
      <w:szCs w:val="18"/>
      <w:lang w:val="en-GB" w:eastAsia="en-US"/>
    </w:rPr>
  </w:style>
  <w:style w:type="paragraph" w:customStyle="1" w:styleId="Bold-ItalicHeading">
    <w:name w:val="Bold-Italic_Heading"/>
    <w:basedOn w:val="Body"/>
    <w:next w:val="Body"/>
    <w:rsid w:val="004A2E03"/>
    <w:pPr>
      <w:keepNext/>
      <w:spacing w:before="200"/>
    </w:pPr>
    <w:rPr>
      <w:b/>
      <w:i/>
      <w:color w:val="0065A4"/>
    </w:rPr>
  </w:style>
  <w:style w:type="paragraph" w:customStyle="1" w:styleId="Bullet2">
    <w:name w:val="Bullet 2"/>
    <w:aliases w:val="b2"/>
    <w:basedOn w:val="Body"/>
    <w:rsid w:val="004A2E03"/>
    <w:pPr>
      <w:numPr>
        <w:numId w:val="5"/>
      </w:numPr>
      <w:tabs>
        <w:tab w:val="clear" w:pos="1134"/>
        <w:tab w:val="left" w:pos="1417"/>
      </w:tabs>
      <w:spacing w:before="0" w:after="60"/>
      <w:ind w:left="360" w:hanging="360"/>
    </w:pPr>
  </w:style>
  <w:style w:type="table" w:customStyle="1" w:styleId="Table-Style3">
    <w:name w:val="Table-Style3"/>
    <w:basedOn w:val="TableNormal"/>
    <w:rsid w:val="004A2E03"/>
    <w:rPr>
      <w:rFonts w:ascii="Arial" w:eastAsia="Times New Roman"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customStyle="1" w:styleId="Default">
    <w:name w:val="Default"/>
    <w:rsid w:val="004A2E03"/>
    <w:pPr>
      <w:autoSpaceDE w:val="0"/>
      <w:autoSpaceDN w:val="0"/>
      <w:adjustRightInd w:val="0"/>
    </w:pPr>
    <w:rPr>
      <w:rFonts w:ascii="Calibri" w:hAnsi="Calibri" w:cs="Calibri"/>
      <w:color w:val="000000"/>
      <w:sz w:val="24"/>
      <w:szCs w:val="24"/>
    </w:rPr>
  </w:style>
  <w:style w:type="table" w:customStyle="1" w:styleId="CoverTable">
    <w:name w:val="CoverTable"/>
    <w:basedOn w:val="TableNormal"/>
    <w:rsid w:val="004A2E03"/>
    <w:rPr>
      <w:rFonts w:ascii="Arial" w:eastAsia="Times New Roman" w:hAnsi="Arial"/>
    </w:rPr>
    <w:tblPr/>
    <w:tcPr>
      <w:shd w:val="clear" w:color="auto" w:fill="auto"/>
    </w:tcPr>
  </w:style>
  <w:style w:type="table" w:customStyle="1" w:styleId="CERTable1">
    <w:name w:val="CER Table1"/>
    <w:basedOn w:val="TableNormal"/>
    <w:uiPriority w:val="99"/>
    <w:rsid w:val="004A2E03"/>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Myanmar Text" w:hAnsi="Myanmar Text"/>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Myanmar Text" w:hAnsi="Myanmar Text"/>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paragraph" w:styleId="TOCHeading">
    <w:name w:val="TOC Heading"/>
    <w:basedOn w:val="Heading1"/>
    <w:next w:val="Normal"/>
    <w:uiPriority w:val="39"/>
    <w:unhideWhenUsed/>
    <w:qFormat/>
    <w:rsid w:val="004A2E03"/>
    <w:pPr>
      <w:keepNext/>
      <w:keepLines/>
      <w:spacing w:before="240" w:line="259" w:lineRule="auto"/>
      <w:outlineLvl w:val="9"/>
    </w:pPr>
    <w:rPr>
      <w:rFonts w:asciiTheme="majorHAnsi" w:eastAsiaTheme="majorEastAsia" w:hAnsiTheme="majorHAnsi" w:cstheme="majorBidi"/>
      <w:b w:val="0"/>
      <w:bCs w:val="0"/>
      <w:color w:val="7A9249" w:themeColor="accent1" w:themeShade="BF"/>
      <w:kern w:val="0"/>
      <w:sz w:val="32"/>
      <w:szCs w:val="32"/>
      <w:lang w:val="en-US"/>
    </w:rPr>
  </w:style>
  <w:style w:type="paragraph" w:styleId="Revision">
    <w:name w:val="Revision"/>
    <w:hidden/>
    <w:semiHidden/>
    <w:rsid w:val="004A2E03"/>
    <w:rPr>
      <w:rFonts w:asciiTheme="minorHAnsi" w:hAnsiTheme="minorHAnsi" w:cstheme="minorHAnsi"/>
      <w:color w:val="000000" w:themeColor="text1"/>
      <w:sz w:val="22"/>
      <w:szCs w:val="24"/>
      <w:lang w:eastAsia="en-US"/>
    </w:rPr>
  </w:style>
  <w:style w:type="paragraph" w:customStyle="1" w:styleId="Sub-para">
    <w:name w:val="Sub-para"/>
    <w:basedOn w:val="Normal"/>
    <w:uiPriority w:val="8"/>
    <w:qFormat/>
    <w:rsid w:val="004A2E03"/>
    <w:pPr>
      <w:spacing w:before="120" w:after="120"/>
      <w:ind w:left="720" w:hanging="360"/>
    </w:pPr>
    <w:rPr>
      <w:color w:val="auto"/>
      <w:lang w:val="en-GB"/>
    </w:rPr>
  </w:style>
  <w:style w:type="paragraph" w:customStyle="1" w:styleId="R2">
    <w:name w:val="R2"/>
    <w:aliases w:val="(2)"/>
    <w:basedOn w:val="Normal"/>
    <w:uiPriority w:val="99"/>
    <w:rsid w:val="004A2E03"/>
    <w:pPr>
      <w:keepLines/>
      <w:tabs>
        <w:tab w:val="right" w:pos="794"/>
      </w:tabs>
      <w:spacing w:before="180" w:after="120" w:line="260" w:lineRule="exact"/>
      <w:ind w:left="964" w:hanging="964"/>
      <w:jc w:val="both"/>
    </w:pPr>
    <w:rPr>
      <w:rFonts w:ascii="Times New Roman" w:eastAsia="Times New Roman" w:hAnsi="Times New Roman" w:cs="Times New Roman"/>
      <w:color w:val="auto"/>
      <w:sz w:val="24"/>
      <w:lang w:eastAsia="en-AU"/>
    </w:rPr>
  </w:style>
  <w:style w:type="paragraph" w:customStyle="1" w:styleId="Text">
    <w:name w:val="Text"/>
    <w:link w:val="TextChar"/>
    <w:rsid w:val="004A2E03"/>
    <w:pPr>
      <w:spacing w:before="240" w:after="120" w:line="312" w:lineRule="auto"/>
    </w:pPr>
    <w:rPr>
      <w:rFonts w:ascii="Times New Roman" w:eastAsia="Times New Roman" w:hAnsi="Times New Roman"/>
      <w:lang w:eastAsia="en-US"/>
    </w:rPr>
  </w:style>
  <w:style w:type="character" w:customStyle="1" w:styleId="TextChar">
    <w:name w:val="Text Char"/>
    <w:basedOn w:val="DefaultParagraphFont"/>
    <w:link w:val="Text"/>
    <w:locked/>
    <w:rsid w:val="004A2E03"/>
    <w:rPr>
      <w:rFonts w:ascii="Times New Roman" w:eastAsia="Times New Roman" w:hAnsi="Times New Roman"/>
      <w:lang w:eastAsia="en-US"/>
    </w:rPr>
  </w:style>
  <w:style w:type="character" w:styleId="UnresolvedMention">
    <w:name w:val="Unresolved Mention"/>
    <w:basedOn w:val="DefaultParagraphFont"/>
    <w:uiPriority w:val="99"/>
    <w:unhideWhenUsed/>
    <w:rsid w:val="004A2E03"/>
    <w:rPr>
      <w:color w:val="605E5C"/>
      <w:shd w:val="clear" w:color="auto" w:fill="E1DFDD"/>
    </w:rPr>
  </w:style>
  <w:style w:type="character" w:customStyle="1" w:styleId="ListParagraphChar">
    <w:name w:val="List Paragraph Char"/>
    <w:link w:val="ListParagraph"/>
    <w:uiPriority w:val="34"/>
    <w:rsid w:val="004A2E03"/>
    <w:rPr>
      <w:rFonts w:asciiTheme="minorHAnsi" w:hAnsiTheme="minorHAnsi" w:cstheme="minorHAnsi"/>
      <w:color w:val="000000" w:themeColor="text1"/>
      <w:sz w:val="22"/>
      <w:szCs w:val="24"/>
      <w:lang w:val="en-GB" w:eastAsia="en-US"/>
    </w:rPr>
  </w:style>
  <w:style w:type="table" w:customStyle="1" w:styleId="CERCallout1">
    <w:name w:val="CER Callout1"/>
    <w:basedOn w:val="TableNormal"/>
    <w:uiPriority w:val="99"/>
    <w:rsid w:val="004A2E03"/>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paragraph" w:customStyle="1" w:styleId="R1">
    <w:name w:val="R1"/>
    <w:aliases w:val="1. or 1.(1)"/>
    <w:basedOn w:val="Normal"/>
    <w:next w:val="R2"/>
    <w:rsid w:val="004A2E03"/>
    <w:pPr>
      <w:keepLines/>
      <w:tabs>
        <w:tab w:val="right" w:pos="794"/>
      </w:tabs>
      <w:spacing w:before="120" w:after="120" w:line="260" w:lineRule="exact"/>
      <w:ind w:left="964" w:hanging="964"/>
      <w:jc w:val="both"/>
    </w:pPr>
    <w:rPr>
      <w:rFonts w:ascii="Times New Roman" w:eastAsia="Times New Roman" w:hAnsi="Times New Roman" w:cs="Times New Roman"/>
      <w:color w:val="auto"/>
      <w:sz w:val="24"/>
      <w:lang w:eastAsia="en-AU"/>
    </w:rPr>
  </w:style>
  <w:style w:type="numbering" w:customStyle="1" w:styleId="CERbulletlist">
    <w:name w:val="CER bullet list"/>
    <w:uiPriority w:val="99"/>
    <w:rsid w:val="004A2E03"/>
    <w:pPr>
      <w:numPr>
        <w:numId w:val="11"/>
      </w:numPr>
    </w:pPr>
  </w:style>
  <w:style w:type="paragraph" w:customStyle="1" w:styleId="subsection">
    <w:name w:val="subsection"/>
    <w:basedOn w:val="Normal"/>
    <w:rsid w:val="004A2E03"/>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paragraph">
    <w:name w:val="paragraph"/>
    <w:basedOn w:val="Normal"/>
    <w:rsid w:val="004A2E03"/>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paragraphsub">
    <w:name w:val="paragraphsub"/>
    <w:basedOn w:val="Normal"/>
    <w:rsid w:val="004A2E03"/>
    <w:pPr>
      <w:spacing w:before="100" w:beforeAutospacing="1" w:after="100" w:afterAutospacing="1"/>
    </w:pPr>
    <w:rPr>
      <w:rFonts w:ascii="Times New Roman" w:eastAsia="Times New Roman" w:hAnsi="Times New Roman" w:cs="Times New Roman"/>
      <w:color w:val="auto"/>
      <w:sz w:val="24"/>
      <w:lang w:eastAsia="en-AU"/>
    </w:rPr>
  </w:style>
  <w:style w:type="character" w:customStyle="1" w:styleId="normaltextrun">
    <w:name w:val="normaltextrun"/>
    <w:basedOn w:val="DefaultParagraphFont"/>
    <w:rsid w:val="004A2E03"/>
  </w:style>
  <w:style w:type="paragraph" w:styleId="TOC5">
    <w:name w:val="toc 5"/>
    <w:basedOn w:val="Normal"/>
    <w:next w:val="Normal"/>
    <w:autoRedefine/>
    <w:uiPriority w:val="39"/>
    <w:unhideWhenUsed/>
    <w:rsid w:val="00027727"/>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Series/C2007A00175" TargetMode="External"/><Relationship Id="rId21" Type="http://schemas.openxmlformats.org/officeDocument/2006/relationships/image" Target="media/image10.png"/><Relationship Id="rId42" Type="http://schemas.openxmlformats.org/officeDocument/2006/relationships/hyperlink" Target="http://www.cleanenergyregulator.gov.au/DocumentAssets/Pages/Reporting-Hydrofluorocarbons-and-Sulphur-Hexafluoride-gases-guideline.aspx" TargetMode="External"/><Relationship Id="rId47" Type="http://schemas.openxmlformats.org/officeDocument/2006/relationships/hyperlink" Target="https://www.aemc.gov.au/regulation/energy-rules/national-electricity-rules/current" TargetMode="External"/><Relationship Id="rId63" Type="http://schemas.openxmlformats.org/officeDocument/2006/relationships/footer" Target="footer2.xml"/><Relationship Id="rId6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cleanenergyregulator.gov.au/NGER/Pages/default.aspx" TargetMode="External"/><Relationship Id="rId11" Type="http://schemas.openxmlformats.org/officeDocument/2006/relationships/endnotes" Target="endnotes.xml"/><Relationship Id="rId24" Type="http://schemas.openxmlformats.org/officeDocument/2006/relationships/image" Target="media/image12.svg"/><Relationship Id="rId32" Type="http://schemas.openxmlformats.org/officeDocument/2006/relationships/hyperlink" Target="http://www.cleanenergyregulator.gov.au/NGER/Forms-and-resources" TargetMode="External"/><Relationship Id="rId37" Type="http://schemas.openxmlformats.org/officeDocument/2006/relationships/image" Target="media/image15.png"/><Relationship Id="rId40" Type="http://schemas.openxmlformats.org/officeDocument/2006/relationships/hyperlink" Target="http://www.cleanenergyregulator.gov.au/DocumentAssets/Pages/Petroleum-based-oils-and-greases-guideline.aspx" TargetMode="External"/><Relationship Id="rId45" Type="http://schemas.openxmlformats.org/officeDocument/2006/relationships/hyperlink" Target="http://www.cleanenergyregulator.gov.au/DocumentAssets/Pages/Reporting-energy-production-and-consumption-guideline.aspx" TargetMode="External"/><Relationship Id="rId53" Type="http://schemas.openxmlformats.org/officeDocument/2006/relationships/image" Target="media/image19.png"/><Relationship Id="rId58" Type="http://schemas.openxmlformats.org/officeDocument/2006/relationships/hyperlink" Target="https://www.legislation.gov.au/Series/F2008L02230" TargetMode="External"/><Relationship Id="rId66" Type="http://schemas.openxmlformats.org/officeDocument/2006/relationships/image" Target="media/image23.jpg"/><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8.svg"/><Relationship Id="rId14" Type="http://schemas.openxmlformats.org/officeDocument/2006/relationships/image" Target="media/image3.png"/><Relationship Id="rId22" Type="http://schemas.microsoft.com/office/2007/relationships/hdphoto" Target="media/hdphoto1.wdp"/><Relationship Id="rId27" Type="http://schemas.openxmlformats.org/officeDocument/2006/relationships/hyperlink" Target="https://www.legislation.gov.au/Series/F2008L02230" TargetMode="External"/><Relationship Id="rId30" Type="http://schemas.openxmlformats.org/officeDocument/2006/relationships/hyperlink" Target="https://www.legislation.gov.au/Series/F2015L01637" TargetMode="External"/><Relationship Id="rId35" Type="http://schemas.openxmlformats.org/officeDocument/2006/relationships/image" Target="media/image13.png"/><Relationship Id="rId43" Type="http://schemas.openxmlformats.org/officeDocument/2006/relationships/hyperlink" Target="https://www.aemc.gov.au/regulation/energy-rules/national-electricity-rules" TargetMode="External"/><Relationship Id="rId48" Type="http://schemas.openxmlformats.org/officeDocument/2006/relationships/hyperlink" Target="https://www.ghgprotocol.org/sites/default/files/ghgp/CHP_guidance_v1.0.pdf" TargetMode="External"/><Relationship Id="rId56" Type="http://schemas.openxmlformats.org/officeDocument/2006/relationships/hyperlink" Target="http://www.cleanenergyregulator.gov.au/" TargetMode="External"/><Relationship Id="rId64" Type="http://schemas.openxmlformats.org/officeDocument/2006/relationships/header" Target="header2.xml"/><Relationship Id="rId69"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yperlink" Target="http://www.cleanenergyregulator.gov.au/DocumentAssets/Pages/Reporting-blended-fuels-other-fuel-mixes-and-bitumen-guidelin.aspx" TargetMode="External"/><Relationship Id="rId72"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hyperlink" Target="http://www.cleanenergyregulator.gov.au/ERF/About-the-Emissions-Reduction-Fund" TargetMode="External"/><Relationship Id="rId33" Type="http://schemas.openxmlformats.org/officeDocument/2006/relationships/hyperlink" Target="http://www.cleanenergyregulator.gov.au/DocumentAssets/Pages/Reporting-Hydrofluorocarbons-and-Sulphur-Hexafluoride-gases-guideline.aspx" TargetMode="External"/><Relationship Id="rId38" Type="http://schemas.openxmlformats.org/officeDocument/2006/relationships/hyperlink" Target="http://www.cleanenergyregulator.gov.au/About/Contact-us" TargetMode="External"/><Relationship Id="rId46" Type="http://schemas.openxmlformats.org/officeDocument/2006/relationships/hyperlink" Target="http://www.cleanenergyregulator.gov.au/OSR/EERS/Tools-to-assist-you/Frequently-asked-questions" TargetMode="External"/><Relationship Id="rId59" Type="http://schemas.openxmlformats.org/officeDocument/2006/relationships/hyperlink" Target="https://www.legislation.gov.au/Series/F2008L02309" TargetMode="External"/><Relationship Id="rId67"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17.png"/><Relationship Id="rId54" Type="http://schemas.openxmlformats.org/officeDocument/2006/relationships/hyperlink" Target="http://www.cleanenergyregulator.gov.au/DocumentAssets/Pages/Methods-and-measurements-criteria-guideline.aspx" TargetMode="External"/><Relationship Id="rId62" Type="http://schemas.openxmlformats.org/officeDocument/2006/relationships/footer" Target="footer1.xml"/><Relationship Id="rId70"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1.png"/><Relationship Id="rId28" Type="http://schemas.openxmlformats.org/officeDocument/2006/relationships/hyperlink" Target="https://www.legislation.gov.au/Series/F2008L02309" TargetMode="External"/><Relationship Id="rId36" Type="http://schemas.openxmlformats.org/officeDocument/2006/relationships/image" Target="media/image14.png"/><Relationship Id="rId49" Type="http://schemas.openxmlformats.org/officeDocument/2006/relationships/hyperlink" Target="https://ghgprotocol.org/calculation-tools" TargetMode="External"/><Relationship Id="rId57" Type="http://schemas.openxmlformats.org/officeDocument/2006/relationships/hyperlink" Target="https://www.legislation.gov.au/Series/C2007A00175" TargetMode="External"/><Relationship Id="rId10" Type="http://schemas.openxmlformats.org/officeDocument/2006/relationships/footnotes" Target="footnotes.xml"/><Relationship Id="rId31" Type="http://schemas.openxmlformats.org/officeDocument/2006/relationships/hyperlink" Target="http://www.cleanenergyregulator.gov.au/DocumentAssets/Pages/Reporting-Hydrofluorocarbons-and-Sulphur-Hexafluoride-gases-guideline.aspx" TargetMode="External"/><Relationship Id="rId44" Type="http://schemas.openxmlformats.org/officeDocument/2006/relationships/hyperlink" Target="https://www.aemc.gov.au/regulation/energy-rules/national-electricity-rules/current" TargetMode="External"/><Relationship Id="rId52" Type="http://schemas.openxmlformats.org/officeDocument/2006/relationships/image" Target="media/image18.png"/><Relationship Id="rId60" Type="http://schemas.openxmlformats.org/officeDocument/2006/relationships/hyperlink" Target="http://www.cleanenergyregulator.gov.au/NGER/Forms-and-resources/Guidelines" TargetMode="External"/><Relationship Id="rId65" Type="http://schemas.openxmlformats.org/officeDocument/2006/relationships/footer" Target="footer3.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39" Type="http://schemas.openxmlformats.org/officeDocument/2006/relationships/image" Target="media/image16.png"/><Relationship Id="rId34" Type="http://schemas.openxmlformats.org/officeDocument/2006/relationships/hyperlink" Target="http://www.cleanenergyregulator.gov.au/DocumentAssets/Pages/Reporting-uncertainty-guideline.aspx" TargetMode="External"/><Relationship Id="rId50" Type="http://schemas.openxmlformats.org/officeDocument/2006/relationships/hyperlink" Target="http://www.cleanenergyregulator.gov.au/OSR/EERS/Tools-to-assist-you/Frequently-asked-questions" TargetMode="External"/><Relationship Id="rId55" Type="http://schemas.openxmlformats.org/officeDocument/2006/relationships/hyperlink" Target="mailto:reporting@cleanenergyregulator.gov.au" TargetMode="External"/><Relationship Id="rId7" Type="http://schemas.openxmlformats.org/officeDocument/2006/relationships/styles" Target="styles.xml"/><Relationship Id="rId71"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footnotes.xml.rels><?xml version="1.0" encoding="UTF-8" standalone="yes"?>
<Relationships xmlns="http://schemas.openxmlformats.org/package/2006/relationships"><Relationship Id="rId8" Type="http://schemas.openxmlformats.org/officeDocument/2006/relationships/hyperlink" Target="http://www.cleanenergyregulator.gov.au/DocumentAssets/Pages/Reporting-Hydrofluorocarbons-and-Sulphur-Hexafluoride-gases-guideline.aspx" TargetMode="External"/><Relationship Id="rId13" Type="http://schemas.openxmlformats.org/officeDocument/2006/relationships/hyperlink" Target="https://www.aemc.gov.au/regulation/energy-rules/national-electricity-rules/current" TargetMode="External"/><Relationship Id="rId18" Type="http://schemas.openxmlformats.org/officeDocument/2006/relationships/hyperlink" Target="https://ghgprotocol.org/calculation-tools" TargetMode="External"/><Relationship Id="rId3" Type="http://schemas.openxmlformats.org/officeDocument/2006/relationships/hyperlink" Target="https://www.legislation.gov.au/Series/F2008L02309" TargetMode="External"/><Relationship Id="rId21" Type="http://schemas.openxmlformats.org/officeDocument/2006/relationships/hyperlink" Target="http://www.cleanenergyregulator.gov.au/DocumentAssets/Pages/Methods-and-measurements-criteria-guideline.aspx" TargetMode="External"/><Relationship Id="rId7" Type="http://schemas.openxmlformats.org/officeDocument/2006/relationships/hyperlink" Target="http://www.cleanenergyregulator.gov.au/NGER/Forms-and-resources" TargetMode="External"/><Relationship Id="rId12" Type="http://schemas.openxmlformats.org/officeDocument/2006/relationships/hyperlink" Target="http://www.cleanenergyregulator.gov.au/DocumentAssets/Pages/Reporting-Hydrofluorocarbons-and-Sulphur-Hexafluoride-gases-guideline.aspx" TargetMode="External"/><Relationship Id="rId17" Type="http://schemas.openxmlformats.org/officeDocument/2006/relationships/hyperlink" Target="https://www.ghgprotocol.org/sites/default/files/ghgp/CHP_guidance_v1.0.pdf" TargetMode="External"/><Relationship Id="rId25" Type="http://schemas.openxmlformats.org/officeDocument/2006/relationships/hyperlink" Target="http://www.cleanenergyregulator.gov.au/NGER/Forms-and-resources/Guidelines" TargetMode="External"/><Relationship Id="rId2" Type="http://schemas.openxmlformats.org/officeDocument/2006/relationships/hyperlink" Target="https://www.legislation.gov.au/Series/F2008L02230" TargetMode="External"/><Relationship Id="rId16" Type="http://schemas.openxmlformats.org/officeDocument/2006/relationships/hyperlink" Target="https://www.aemc.gov.au/regulation/energy-rules/national-electricity-rules/current" TargetMode="External"/><Relationship Id="rId20" Type="http://schemas.openxmlformats.org/officeDocument/2006/relationships/hyperlink" Target="http://www.cleanenergyregulator.gov.au/DocumentAssets/Pages/Reporting-blended-fuels-other-fuel-mixes-and-bitumen-guidelin.aspx" TargetMode="External"/><Relationship Id="rId1" Type="http://schemas.openxmlformats.org/officeDocument/2006/relationships/hyperlink" Target="https://www.legislation.gov.au/Series/C2007A00175" TargetMode="External"/><Relationship Id="rId6" Type="http://schemas.openxmlformats.org/officeDocument/2006/relationships/hyperlink" Target="http://www.cleanenergyregulator.gov.au/DocumentAssets/Pages/Reporting-Hydrofluorocarbons-and-Sulphur-Hexafluoride-gases-guideline.aspx" TargetMode="External"/><Relationship Id="rId11" Type="http://schemas.openxmlformats.org/officeDocument/2006/relationships/hyperlink" Target="http://www.cleanenergyregulator.gov.au/DocumentAssets/Pages/Petroleum-based-oils-and-greases-guideline.aspx" TargetMode="External"/><Relationship Id="rId24" Type="http://schemas.openxmlformats.org/officeDocument/2006/relationships/hyperlink" Target="https://www.legislation.gov.au/Series/F2008L02309" TargetMode="External"/><Relationship Id="rId5" Type="http://schemas.openxmlformats.org/officeDocument/2006/relationships/hyperlink" Target="https://www.legislation.gov.au/Series/F2015L01637" TargetMode="External"/><Relationship Id="rId15" Type="http://schemas.openxmlformats.org/officeDocument/2006/relationships/hyperlink" Target="http://www.cleanenergyregulator.gov.au/OSR/EERS/Tools-to-assist-you/Frequently-asked-questions" TargetMode="External"/><Relationship Id="rId23" Type="http://schemas.openxmlformats.org/officeDocument/2006/relationships/hyperlink" Target="https://www.legislation.gov.au/Series/F2008L02230" TargetMode="External"/><Relationship Id="rId10" Type="http://schemas.openxmlformats.org/officeDocument/2006/relationships/hyperlink" Target="http://www.cleanenergyregulator.gov.au/About/Contact-us" TargetMode="External"/><Relationship Id="rId19" Type="http://schemas.openxmlformats.org/officeDocument/2006/relationships/hyperlink" Target="http://www.cleanenergyregulator.gov.au/OSR/EERS/Tools-to-assist-you/Frequently-asked-questions" TargetMode="External"/><Relationship Id="rId4" Type="http://schemas.openxmlformats.org/officeDocument/2006/relationships/hyperlink" Target="http://www.cleanenergyregulator.gov.au/NGER/Pages/default.aspx" TargetMode="External"/><Relationship Id="rId9" Type="http://schemas.openxmlformats.org/officeDocument/2006/relationships/hyperlink" Target="http://www.cleanenergyregulator.gov.au/DocumentAssets/Pages/Reporting-uncertainty-guideline.aspx" TargetMode="External"/><Relationship Id="rId14" Type="http://schemas.openxmlformats.org/officeDocument/2006/relationships/hyperlink" Target="http://www.cleanenergyregulator.gov.au/DocumentAssets/Pages/Reporting-energy-production-and-consumption-guideline.aspx" TargetMode="External"/><Relationship Id="rId22" Type="http://schemas.openxmlformats.org/officeDocument/2006/relationships/hyperlink" Target="https://www.legislation.gov.au/Series/C2007A001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CER-updated fonts and colours">
  <a:themeElements>
    <a:clrScheme name="CER colour palette">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FA9607"/>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ubmitted_x0020_By xmlns="32e2fb52-454c-4a55-9e7f-b565c4403fdc">
      <UserInfo>
        <DisplayName/>
        <AccountId xsi:nil="true"/>
        <AccountType/>
      </UserInfo>
    </Submitted_x0020_By>
    <CER_x0020_Content_x0020_Approval_x0020_Workflow_x0020_Comments xmlns="32e2fb52-454c-4a55-9e7f-b565c4403fdc" xsi:nil="true"/>
    <CERContentPublishingTaskJobNumber xmlns="32e2fb52-454c-4a55-9e7f-b565c4403fdc">PJ1669</CERContentPublishingTaskJobNumber>
    <Type_x0020_of_x0020_document xmlns="32e2fb52-454c-4a55-9e7f-b565c4403fdc">general</Type_x0020_of_x0020_document>
    <Requires_x0020_Higher_x0020_Approval xmlns="32e2fb52-454c-4a55-9e7f-b565c4403fdc">false</Requires_x0020_Higher_x0020_Approval>
    <PublishingStartDate xmlns="http://schemas.microsoft.com/sharepoint/v3" xsi:nil="true"/>
    <CommonTopic xmlns="32e2fb52-454c-4a55-9e7f-b565c4403fdc">
      <Value>National Greenhouse and Energy Reporting</Value>
    </CommonTopic>
    <Date_x0020_Submitted xmlns="32e2fb52-454c-4a55-9e7f-b565c4403fdc" xsi:nil="true"/>
    <PublishingExpirationDate xmlns="http://schemas.microsoft.com/sharepoint/v3" xsi:nil="true"/>
  </documentManagement>
</p:properties>
</file>

<file path=customXml/item3.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10" ma:contentTypeDescription="Create a new document." ma:contentTypeScope="" ma:versionID="03814bfead9436e28a31b84b03dda2d0">
  <xsd:schema xmlns:xsd="http://www.w3.org/2001/XMLSchema" xmlns:xs="http://www.w3.org/2001/XMLSchema" xmlns:p="http://schemas.microsoft.com/office/2006/metadata/properties" xmlns:ns1="http://schemas.microsoft.com/sharepoint/v3" xmlns:ns2="32e2fb52-454c-4a55-9e7f-b565c4403fdc" xmlns:ns3="28200a5b-dbf5-4d3e-b94c-0c7a404b124e" targetNamespace="http://schemas.microsoft.com/office/2006/metadata/properties" ma:root="true" ma:fieldsID="7b8a28cbba0e079f6ebeffe7bd13215f" ns1:_="" ns2:_="" ns3:_="">
    <xsd:import namespace="http://schemas.microsoft.com/sharepoint/v3"/>
    <xsd:import namespace="32e2fb52-454c-4a55-9e7f-b565c4403fdc"/>
    <xsd:import namespace="28200a5b-dbf5-4d3e-b94c-0c7a404b124e"/>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dexed="true"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xsd="http://www.w3.org/2001/XMLSchema" xmlns:xs="http://www.w3.org/2001/XMLSchema" xmlns:dms="http://schemas.microsoft.com/office/2006/documentManagement/types" xmlns:pc="http://schemas.microsoft.com/office/infopath/2007/PartnerControls" targetNamespace="28200a5b-dbf5-4d3e-b94c-0c7a404b1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D87110-D164-4E67-B315-3178FF39362C}">
  <ds:schemaRefs>
    <ds:schemaRef ds:uri="http://schemas.microsoft.com/office/2006/metadata/properties"/>
    <ds:schemaRef ds:uri="http://schemas.microsoft.com/office/infopath/2007/PartnerControls"/>
    <ds:schemaRef ds:uri="32e2fb52-454c-4a55-9e7f-b565c4403fdc"/>
    <ds:schemaRef ds:uri="http://schemas.microsoft.com/sharepoint/v3"/>
  </ds:schemaRefs>
</ds:datastoreItem>
</file>

<file path=customXml/itemProps3.xml><?xml version="1.0" encoding="utf-8"?>
<ds:datastoreItem xmlns:ds="http://schemas.openxmlformats.org/officeDocument/2006/customXml" ds:itemID="{7F07EE1F-063C-4CDD-A415-F55892DE0EC9}">
  <ds:schemaRefs>
    <ds:schemaRef ds:uri="office.server.policy"/>
  </ds:schemaRefs>
</ds:datastoreItem>
</file>

<file path=customXml/itemProps4.xml><?xml version="1.0" encoding="utf-8"?>
<ds:datastoreItem xmlns:ds="http://schemas.openxmlformats.org/officeDocument/2006/customXml" ds:itemID="{14B1F08F-00DD-4560-93AA-CEEDE7E3CFD3}">
  <ds:schemaRefs>
    <ds:schemaRef ds:uri="http://schemas.microsoft.com/sharepoint/v3/contenttype/forms"/>
  </ds:schemaRefs>
</ds:datastoreItem>
</file>

<file path=customXml/itemProps5.xml><?xml version="1.0" encoding="utf-8"?>
<ds:datastoreItem xmlns:ds="http://schemas.openxmlformats.org/officeDocument/2006/customXml" ds:itemID="{0F54193E-A9EE-4FB8-8176-64279D82E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e2fb52-454c-4a55-9e7f-b565c4403fdc"/>
    <ds:schemaRef ds:uri="28200a5b-dbf5-4d3e-b94c-0c7a404b1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18997</Words>
  <Characters>95938</Characters>
  <Application>Microsoft Office Word</Application>
  <DocSecurity>4</DocSecurity>
  <Lines>5996</Lines>
  <Paragraphs>4788</Paragraphs>
  <ScaleCrop>false</ScaleCrop>
  <Company/>
  <LinksUpToDate>false</LinksUpToDate>
  <CharactersWithSpaces>110147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Estimating emissions and energy in the electricity generation, transmission, and distribution sectors guideline</dc:title>
  <dc:subject/>
  <dc:creator/>
  <cp:lastModifiedBy/>
  <cp:revision>1</cp:revision>
  <dcterms:created xsi:type="dcterms:W3CDTF">2024-05-14T04:09:00Z</dcterms:created>
  <dcterms:modified xsi:type="dcterms:W3CDTF">2024-05-14T04:09:00Z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Discipline">
    <vt:lpwstr/>
  </property>
  <property fmtid="{D5CDD505-2E9C-101B-9397-08002B2CF9AE}" pid="4" name="CER_FileKeywords">
    <vt:lpwstr/>
  </property>
  <property fmtid="{D5CDD505-2E9C-101B-9397-08002B2CF9AE}" pid="5" name="GHDRegion">
    <vt:lpwstr>21;#Australia|4b5dc0ee-7645-4358-b0c1-3ec636294e6b</vt:lpwstr>
  </property>
  <property fmtid="{D5CDD505-2E9C-101B-9397-08002B2CF9AE}" pid="6" name="EDi_DocumentKeywords">
    <vt:lpwstr/>
  </property>
  <property fmtid="{D5CDD505-2E9C-101B-9397-08002B2CF9AE}" pid="7" name="ProjectDocumentCategory">
    <vt:lpwstr>3;#(Not Categorised)|f4f9c753-b57a-44c0-a441-0f219a3b091b</vt:lpwstr>
  </property>
  <property fmtid="{D5CDD505-2E9C-101B-9397-08002B2CF9AE}" pid="8" name="ContentTypeId">
    <vt:lpwstr>0x0101006FEDFF5A17EBFF408172BFDB5CA07867</vt:lpwstr>
  </property>
  <property fmtid="{D5CDD505-2E9C-101B-9397-08002B2CF9AE}" pid="9" name="GHDCountry">
    <vt:lpwstr/>
  </property>
  <property fmtid="{D5CDD505-2E9C-101B-9397-08002B2CF9AE}" pid="10" name="TaxKeywordTaxHTField">
    <vt:lpwstr/>
  </property>
  <property fmtid="{D5CDD505-2E9C-101B-9397-08002B2CF9AE}" pid="11" name="CER_Scheme">
    <vt:lpwstr/>
  </property>
  <property fmtid="{D5CDD505-2E9C-101B-9397-08002B2CF9AE}" pid="12" name="GHDOperatingCentre">
    <vt:lpwstr>20;#Sydney|8a5b634e-fb73-4de9-a0fd-becccec74eb7</vt:lpwstr>
  </property>
  <property fmtid="{D5CDD505-2E9C-101B-9397-08002B2CF9AE}" pid="13" name="_dlc_DocIdItemGuid">
    <vt:lpwstr>7a7a68b9-a818-4160-9443-cd2e26f2e46c</vt:lpwstr>
  </property>
  <property fmtid="{D5CDD505-2E9C-101B-9397-08002B2CF9AE}" pid="14" name="CER_Client">
    <vt:lpwstr/>
  </property>
  <property fmtid="{D5CDD505-2E9C-101B-9397-08002B2CF9AE}" pid="15" name="ProjectDocumentType">
    <vt:lpwstr/>
  </property>
  <property fmtid="{D5CDD505-2E9C-101B-9397-08002B2CF9AE}" pid="16" name="Classification">
    <vt:lpwstr>2;#Unclassified|5bcd1335-87be-43aa-9aa8-adc620b22826</vt:lpwstr>
  </property>
  <property fmtid="{D5CDD505-2E9C-101B-9397-08002B2CF9AE}" pid="17" name="CER_State">
    <vt:lpwstr/>
  </property>
  <property fmtid="{D5CDD505-2E9C-101B-9397-08002B2CF9AE}" pid="18" name="WPCosting">
    <vt:filetime>2018-05-24T05:31:04Z</vt:filetime>
  </property>
  <property fmtid="{D5CDD505-2E9C-101B-9397-08002B2CF9AE}" pid="19" name="CER_Agency">
    <vt:lpwstr/>
  </property>
</Properties>
</file>