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4DE2" w14:textId="17772F26" w:rsidR="00977234" w:rsidRPr="00E56FF0" w:rsidRDefault="00F75C17" w:rsidP="00521016">
      <w:pPr>
        <w:pStyle w:val="CERcovertitle"/>
        <w:rPr>
          <w:sz w:val="48"/>
          <w:szCs w:val="48"/>
        </w:rPr>
      </w:pPr>
      <w:r w:rsidRPr="00E56FF0">
        <w:rPr>
          <w:rFonts w:asciiTheme="minorHAnsi" w:hAnsiTheme="minorHAnsi"/>
          <w:sz w:val="48"/>
          <w:szCs w:val="48"/>
        </w:rPr>
        <w:drawing>
          <wp:anchor distT="0" distB="0" distL="114300" distR="114300" simplePos="0" relativeHeight="251658243" behindDoc="0" locked="0" layoutInCell="1" allowOverlap="1" wp14:anchorId="09508439" wp14:editId="7CF24605">
            <wp:simplePos x="0" y="0"/>
            <wp:positionH relativeFrom="margin">
              <wp:align>right</wp:align>
            </wp:positionH>
            <wp:positionV relativeFrom="paragraph">
              <wp:posOffset>2301875</wp:posOffset>
            </wp:positionV>
            <wp:extent cx="6184900" cy="4619625"/>
            <wp:effectExtent l="0" t="0" r="6350" b="9525"/>
            <wp:wrapNone/>
            <wp:docPr id="36" name="Picture 36">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FF2B5EF4-FFF2-40B4-BE49-F238E27FC236}">
                          <a16:creationId xmlns:a16="http://schemas.microsoft.com/office/drawing/2014/main" id="{D888A290-A10E-4F45-F46F-EC8230CE35CC}"/>
                        </a:ext>
                        <a:ext uri="{C183D7F6-B498-43B3-948B-1728B52AA6E4}">
                          <adec:decorative xmlns:adec="http://schemas.microsoft.com/office/drawing/2017/decorative" val="1"/>
                        </a:ext>
                      </a:extLst>
                    </pic:cNvPr>
                    <pic:cNvPicPr>
                      <a:picLocks noGrp="1" noChangeAspect="1"/>
                    </pic:cNvPicPr>
                  </pic:nvPicPr>
                  <pic:blipFill>
                    <a:blip r:embed="rId9" cstate="screen">
                      <a:extLst>
                        <a:ext uri="{28A0092B-C50C-407E-A947-70E740481C1C}">
                          <a14:useLocalDpi xmlns:a14="http://schemas.microsoft.com/office/drawing/2010/main"/>
                        </a:ext>
                      </a:extLst>
                    </a:blip>
                    <a:srcRect/>
                    <a:stretch>
                      <a:fillRect/>
                    </a:stretch>
                  </pic:blipFill>
                  <pic:spPr>
                    <a:xfrm>
                      <a:off x="0" y="0"/>
                      <a:ext cx="6184900"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anchor>
        </w:drawing>
      </w:r>
      <w:r w:rsidR="00E12286" w:rsidRPr="00E56FF0">
        <w:rPr>
          <w:rFonts w:asciiTheme="minorHAnsi" w:hAnsiTheme="minorHAnsi"/>
          <w:sz w:val="48"/>
          <w:szCs w:val="48"/>
        </w:rPr>
        <mc:AlternateContent>
          <mc:Choice Requires="wps">
            <w:drawing>
              <wp:anchor distT="0" distB="0" distL="114300" distR="114300" simplePos="0" relativeHeight="251658241" behindDoc="0" locked="0" layoutInCell="1" allowOverlap="1" wp14:anchorId="58E14D45" wp14:editId="7C82BD38">
                <wp:simplePos x="0" y="0"/>
                <wp:positionH relativeFrom="column">
                  <wp:posOffset>4660900</wp:posOffset>
                </wp:positionH>
                <wp:positionV relativeFrom="paragraph">
                  <wp:posOffset>736229</wp:posOffset>
                </wp:positionV>
                <wp:extent cx="1519200" cy="1519200"/>
                <wp:effectExtent l="0" t="0" r="24130" b="24130"/>
                <wp:wrapNone/>
                <wp:docPr id="24" name="Freeform: Shape 24">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200" cy="151920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2C35286" id="Freeform: Shape 24" o:spid="_x0000_s1026" alt="&quot;&quot;" style="position:absolute;margin-left:367pt;margin-top:57.95pt;width:119.6pt;height:119.6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" path="m5125,4843r,-4562l4844,,250,,,281,,4843r250,281l4844,5124r281,-281e" fillcolor="#fcba5c [3205]" strokecolor="#fcba5c [3205]">
                <v:path o:connecttype="custom" o:connectlocs="1518904,1435607;1518904,83297;1435623,0;74093,0;0,83297;0,1435607;74093,1518904;1435623,1518904;1518904,1435607" o:connectangles="0,0,0,0,0,0,0,0,0"/>
              </v:shape>
            </w:pict>
          </mc:Fallback>
        </mc:AlternateContent>
      </w:r>
      <w:r>
        <w:rPr>
          <w:rFonts w:asciiTheme="minorHAnsi" w:hAnsiTheme="minorHAnsi"/>
          <w:sz w:val="48"/>
          <w:szCs w:val="48"/>
        </w:rPr>
        <w:t xml:space="preserve">Emissions-intensity determination application guideline </w:t>
      </w:r>
      <w:r w:rsidR="00A8352A">
        <w:rPr>
          <w:rFonts w:asciiTheme="minorHAnsi" w:hAnsiTheme="minorHAnsi"/>
          <w:sz w:val="48"/>
          <w:szCs w:val="48"/>
        </w:rPr>
        <w:t xml:space="preserve"> </w:t>
      </w:r>
    </w:p>
    <w:p w14:paraId="3E80D249" w14:textId="19D18F67" w:rsidR="003A5739" w:rsidRPr="00253FFC" w:rsidRDefault="00F75C17" w:rsidP="00253FFC">
      <w:pPr>
        <w:pStyle w:val="CERcoversubtitle"/>
      </w:pPr>
      <w:r>
        <w:t>Safeguard Mechanism</w:t>
      </w:r>
      <w:r w:rsidR="003A5739" w:rsidRPr="00253FFC">
        <w:t xml:space="preserve"> </w:t>
      </w:r>
    </w:p>
    <w:p w14:paraId="6F1005AC" w14:textId="07C8A9A8" w:rsidR="003A5739" w:rsidRPr="00531F3B" w:rsidRDefault="00975621" w:rsidP="002D18F3">
      <w:pPr>
        <w:pStyle w:val="BodyText1"/>
      </w:pPr>
      <w:r>
        <w:t>Version 1.</w:t>
      </w:r>
      <w:r w:rsidR="00BE2CAE">
        <w:t>3</w:t>
      </w:r>
      <w:r w:rsidR="00D971AD">
        <w:t xml:space="preserve"> – </w:t>
      </w:r>
      <w:r w:rsidR="002B4B69">
        <w:t>September</w:t>
      </w:r>
      <w:r w:rsidR="00BE2CAE">
        <w:t xml:space="preserve"> </w:t>
      </w:r>
      <w:r>
        <w:t>202</w:t>
      </w:r>
      <w:r w:rsidR="00BE2CAE">
        <w:t>5</w:t>
      </w:r>
    </w:p>
    <w:p w14:paraId="4D1FE5A4" w14:textId="480AFF69" w:rsidR="002C702A" w:rsidRPr="00E12286" w:rsidRDefault="00F75C17" w:rsidP="002C702A">
      <w:r w:rsidRPr="00E12286">
        <w:rPr>
          <w:noProof/>
        </w:rPr>
        <mc:AlternateContent>
          <mc:Choice Requires="wps">
            <w:drawing>
              <wp:anchor distT="0" distB="0" distL="114300" distR="114300" simplePos="0" relativeHeight="251658240" behindDoc="0" locked="0" layoutInCell="1" allowOverlap="1" wp14:anchorId="747D8655" wp14:editId="02400BD4">
                <wp:simplePos x="0" y="0"/>
                <wp:positionH relativeFrom="column">
                  <wp:posOffset>4670425</wp:posOffset>
                </wp:positionH>
                <wp:positionV relativeFrom="paragraph">
                  <wp:posOffset>3285490</wp:posOffset>
                </wp:positionV>
                <wp:extent cx="1518920" cy="1515745"/>
                <wp:effectExtent l="0" t="0" r="5080" b="8255"/>
                <wp:wrapNone/>
                <wp:docPr id="19" name="Freeform: Shape 19">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47CAA7D7" id="Freeform: Shape 19" o:spid="_x0000_s1026" alt="&quot;&quot;" style="position:absolute;margin-left:367.75pt;margin-top:258.7pt;width:119.6pt;height:11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" path="m5125,4844r,-4594l4844,,250,,,250,,4844r250,250l4844,5094r281,-250e" fillcolor="#006c93 [3206]" stroked="f">
                <v:path arrowok="t" o:connecttype="custom" o:connectlocs="1518624,1441073;1518624,74374;1435359,0;74079,0;0,74374;0,1441073;74079,1515448;1435359,1515448;1518624,1441073" o:connectangles="0,0,0,0,0,0,0,0,0"/>
              </v:shape>
            </w:pict>
          </mc:Fallback>
        </mc:AlternateContent>
      </w:r>
      <w:r w:rsidRPr="00E12286">
        <w:rPr>
          <w:noProof/>
        </w:rPr>
        <mc:AlternateContent>
          <mc:Choice Requires="wps">
            <w:drawing>
              <wp:anchor distT="0" distB="0" distL="114300" distR="114300" simplePos="0" relativeHeight="251658242" behindDoc="0" locked="0" layoutInCell="1" allowOverlap="1" wp14:anchorId="5EBDBB5C" wp14:editId="1E5371C3">
                <wp:simplePos x="0" y="0"/>
                <wp:positionH relativeFrom="column">
                  <wp:posOffset>3105150</wp:posOffset>
                </wp:positionH>
                <wp:positionV relativeFrom="paragraph">
                  <wp:posOffset>3285490</wp:posOffset>
                </wp:positionV>
                <wp:extent cx="1518920" cy="1518920"/>
                <wp:effectExtent l="0" t="0" r="24130" b="24130"/>
                <wp:wrapNone/>
                <wp:docPr id="29" name="Freeform: Shape 29">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09022416" id="Freeform: Shape 29" o:spid="_x0000_s1026" alt="&quot;&quot;" style="position:absolute;margin-left:244.5pt;margin-top:258.7pt;width:119.6pt;height:119.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" path="m5125,4844r,-4594l4844,,250,,,250,,4844r250,250l4844,5094r281,-250e" fillcolor="#9fb76f [3204]" strokecolor="#9fb76f [3204]">
                <v:path o:connecttype="custom" o:connectlocs="1518624,1444092;1518624,74530;1435359,0;74079,0;0,74530;0,1444092;74079,1518622;1435359,1518622;1518624,1444092" o:connectangles="0,0,0,0,0,0,0,0,0"/>
              </v:shape>
            </w:pict>
          </mc:Fallback>
        </mc:AlternateContent>
      </w:r>
      <w:r w:rsidR="002C702A" w:rsidRPr="00E12286">
        <w:br w:type="page"/>
      </w:r>
    </w:p>
    <w:sdt>
      <w:sdtPr>
        <w:rPr>
          <w:rFonts w:asciiTheme="minorHAnsi" w:eastAsia="Cambria" w:hAnsiTheme="minorHAnsi" w:cstheme="minorBidi"/>
          <w:color w:val="000000" w:themeColor="text1"/>
          <w:sz w:val="22"/>
          <w:szCs w:val="22"/>
          <w:lang w:val="en-AU" w:eastAsia="en-AU"/>
        </w:rPr>
        <w:id w:val="631376380"/>
        <w:docPartObj>
          <w:docPartGallery w:val="Table of Contents"/>
          <w:docPartUnique/>
        </w:docPartObj>
      </w:sdtPr>
      <w:sdtEndPr>
        <w:rPr>
          <w:b/>
          <w:bCs/>
          <w:noProof/>
          <w:color w:val="auto"/>
        </w:rPr>
      </w:sdtEndPr>
      <w:sdtContent>
        <w:p w14:paraId="016A397B" w14:textId="30856B4D" w:rsidR="00A8776F" w:rsidRPr="00443283" w:rsidRDefault="00B85666" w:rsidP="008C5EC4">
          <w:pPr>
            <w:pStyle w:val="TOCHeading"/>
            <w:numPr>
              <w:ilvl w:val="0"/>
              <w:numId w:val="0"/>
            </w:numPr>
            <w:rPr>
              <w:rStyle w:val="Heading1Char"/>
              <w:rFonts w:eastAsiaTheme="majorEastAsia"/>
              <w:color w:val="auto"/>
            </w:rPr>
          </w:pPr>
          <w:r w:rsidRPr="00443283">
            <w:rPr>
              <w:rStyle w:val="Heading1Char"/>
              <w:rFonts w:eastAsiaTheme="majorEastAsia"/>
              <w:color w:val="auto"/>
            </w:rPr>
            <w:t>Contents</w:t>
          </w:r>
        </w:p>
        <w:p w14:paraId="3F811964" w14:textId="68D18902" w:rsidR="00B60182" w:rsidRDefault="003D3049">
          <w:pPr>
            <w:pStyle w:val="TOC1"/>
            <w:rPr>
              <w:rFonts w:asciiTheme="minorHAnsi" w:eastAsiaTheme="minorEastAsia" w:hAnsiTheme="minorHAnsi" w:cstheme="minorBidi"/>
              <w:b w:val="0"/>
              <w:bCs w:val="0"/>
              <w:noProof/>
              <w:kern w:val="2"/>
              <w:sz w:val="24"/>
              <w:szCs w:val="24"/>
              <w14:ligatures w14:val="standardContextual"/>
            </w:rPr>
          </w:pPr>
          <w:r w:rsidRPr="00A526F9">
            <w:rPr>
              <w:caps/>
              <w:sz w:val="22"/>
              <w:szCs w:val="22"/>
            </w:rPr>
            <w:fldChar w:fldCharType="begin"/>
          </w:r>
          <w:r w:rsidRPr="00A526F9">
            <w:rPr>
              <w:caps/>
              <w:sz w:val="22"/>
              <w:szCs w:val="22"/>
            </w:rPr>
            <w:instrText xml:space="preserve"> TOC \o "1-2" \h \z \u </w:instrText>
          </w:r>
          <w:r w:rsidRPr="00A526F9">
            <w:rPr>
              <w:caps/>
              <w:sz w:val="22"/>
              <w:szCs w:val="22"/>
            </w:rPr>
            <w:fldChar w:fldCharType="separate"/>
          </w:r>
          <w:hyperlink w:anchor="_Toc208216260" w:history="1">
            <w:r w:rsidR="00B60182" w:rsidRPr="006D23FC">
              <w:rPr>
                <w:rStyle w:val="Hyperlink"/>
                <w:noProof/>
              </w:rPr>
              <w:t>Disclaimer</w:t>
            </w:r>
            <w:r w:rsidR="00D70E3D">
              <w:rPr>
                <w:rStyle w:val="Hyperlink"/>
                <w:noProof/>
              </w:rPr>
              <w:tab/>
            </w:r>
            <w:r w:rsidR="00B60182">
              <w:rPr>
                <w:noProof/>
                <w:webHidden/>
              </w:rPr>
              <w:tab/>
            </w:r>
            <w:r w:rsidR="00B60182">
              <w:rPr>
                <w:noProof/>
                <w:webHidden/>
              </w:rPr>
              <w:fldChar w:fldCharType="begin"/>
            </w:r>
            <w:r w:rsidR="00B60182">
              <w:rPr>
                <w:noProof/>
                <w:webHidden/>
              </w:rPr>
              <w:instrText xml:space="preserve"> PAGEREF _Toc208216260 \h </w:instrText>
            </w:r>
            <w:r w:rsidR="00B60182">
              <w:rPr>
                <w:noProof/>
                <w:webHidden/>
              </w:rPr>
            </w:r>
            <w:r w:rsidR="00B60182">
              <w:rPr>
                <w:noProof/>
                <w:webHidden/>
              </w:rPr>
              <w:fldChar w:fldCharType="separate"/>
            </w:r>
            <w:r w:rsidR="006E24E5">
              <w:rPr>
                <w:noProof/>
                <w:webHidden/>
              </w:rPr>
              <w:t>3</w:t>
            </w:r>
            <w:r w:rsidR="00B60182">
              <w:rPr>
                <w:noProof/>
                <w:webHidden/>
              </w:rPr>
              <w:fldChar w:fldCharType="end"/>
            </w:r>
          </w:hyperlink>
        </w:p>
        <w:p w14:paraId="56B7FA3A" w14:textId="5498AC62"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61" w:history="1">
            <w:r w:rsidRPr="006D23FC">
              <w:rPr>
                <w:rStyle w:val="Hyperlink"/>
                <w:noProof/>
              </w:rPr>
              <w:t>Definitions and abbreviations</w:t>
            </w:r>
            <w:r>
              <w:rPr>
                <w:noProof/>
                <w:webHidden/>
              </w:rPr>
              <w:tab/>
            </w:r>
            <w:r>
              <w:rPr>
                <w:noProof/>
                <w:webHidden/>
              </w:rPr>
              <w:fldChar w:fldCharType="begin"/>
            </w:r>
            <w:r>
              <w:rPr>
                <w:noProof/>
                <w:webHidden/>
              </w:rPr>
              <w:instrText xml:space="preserve"> PAGEREF _Toc208216261 \h </w:instrText>
            </w:r>
            <w:r>
              <w:rPr>
                <w:noProof/>
                <w:webHidden/>
              </w:rPr>
            </w:r>
            <w:r>
              <w:rPr>
                <w:noProof/>
                <w:webHidden/>
              </w:rPr>
              <w:fldChar w:fldCharType="separate"/>
            </w:r>
            <w:r w:rsidR="006E24E5">
              <w:rPr>
                <w:noProof/>
                <w:webHidden/>
              </w:rPr>
              <w:t>4</w:t>
            </w:r>
            <w:r>
              <w:rPr>
                <w:noProof/>
                <w:webHidden/>
              </w:rPr>
              <w:fldChar w:fldCharType="end"/>
            </w:r>
          </w:hyperlink>
        </w:p>
        <w:p w14:paraId="6B07684C" w14:textId="001A06F2"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62" w:history="1">
            <w:r w:rsidRPr="006D23FC">
              <w:rPr>
                <w:rStyle w:val="Hyperlink"/>
                <w:noProof/>
              </w:rPr>
              <w:t>Revision history</w:t>
            </w:r>
            <w:r>
              <w:rPr>
                <w:noProof/>
                <w:webHidden/>
              </w:rPr>
              <w:tab/>
            </w:r>
            <w:r>
              <w:rPr>
                <w:noProof/>
                <w:webHidden/>
              </w:rPr>
              <w:fldChar w:fldCharType="begin"/>
            </w:r>
            <w:r>
              <w:rPr>
                <w:noProof/>
                <w:webHidden/>
              </w:rPr>
              <w:instrText xml:space="preserve"> PAGEREF _Toc208216262 \h </w:instrText>
            </w:r>
            <w:r>
              <w:rPr>
                <w:noProof/>
                <w:webHidden/>
              </w:rPr>
            </w:r>
            <w:r>
              <w:rPr>
                <w:noProof/>
                <w:webHidden/>
              </w:rPr>
              <w:fldChar w:fldCharType="separate"/>
            </w:r>
            <w:r w:rsidR="006E24E5">
              <w:rPr>
                <w:noProof/>
                <w:webHidden/>
              </w:rPr>
              <w:t>8</w:t>
            </w:r>
            <w:r>
              <w:rPr>
                <w:noProof/>
                <w:webHidden/>
              </w:rPr>
              <w:fldChar w:fldCharType="end"/>
            </w:r>
          </w:hyperlink>
        </w:p>
        <w:p w14:paraId="163914A9" w14:textId="01890F24"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63" w:history="1">
            <w:r w:rsidRPr="006D23FC">
              <w:rPr>
                <w:rStyle w:val="Hyperlink"/>
                <w:noProof/>
              </w:rPr>
              <w:t>Who is this guideline for?</w:t>
            </w:r>
            <w:r>
              <w:rPr>
                <w:noProof/>
                <w:webHidden/>
              </w:rPr>
              <w:tab/>
            </w:r>
            <w:r>
              <w:rPr>
                <w:noProof/>
                <w:webHidden/>
              </w:rPr>
              <w:fldChar w:fldCharType="begin"/>
            </w:r>
            <w:r>
              <w:rPr>
                <w:noProof/>
                <w:webHidden/>
              </w:rPr>
              <w:instrText xml:space="preserve"> PAGEREF _Toc208216263 \h </w:instrText>
            </w:r>
            <w:r>
              <w:rPr>
                <w:noProof/>
                <w:webHidden/>
              </w:rPr>
            </w:r>
            <w:r>
              <w:rPr>
                <w:noProof/>
                <w:webHidden/>
              </w:rPr>
              <w:fldChar w:fldCharType="separate"/>
            </w:r>
            <w:r w:rsidR="006E24E5">
              <w:rPr>
                <w:noProof/>
                <w:webHidden/>
              </w:rPr>
              <w:t>9</w:t>
            </w:r>
            <w:r>
              <w:rPr>
                <w:noProof/>
                <w:webHidden/>
              </w:rPr>
              <w:fldChar w:fldCharType="end"/>
            </w:r>
          </w:hyperlink>
        </w:p>
        <w:p w14:paraId="26DA6459" w14:textId="0216856A"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64" w:history="1">
            <w:r w:rsidRPr="006D23FC">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6D23FC">
              <w:rPr>
                <w:rStyle w:val="Hyperlink"/>
                <w:noProof/>
              </w:rPr>
              <w:t>Overview of the 2023 Safeguard Mechanism reforms</w:t>
            </w:r>
            <w:r>
              <w:rPr>
                <w:noProof/>
                <w:webHidden/>
              </w:rPr>
              <w:tab/>
            </w:r>
            <w:r>
              <w:rPr>
                <w:noProof/>
                <w:webHidden/>
              </w:rPr>
              <w:fldChar w:fldCharType="begin"/>
            </w:r>
            <w:r>
              <w:rPr>
                <w:noProof/>
                <w:webHidden/>
              </w:rPr>
              <w:instrText xml:space="preserve"> PAGEREF _Toc208216264 \h </w:instrText>
            </w:r>
            <w:r>
              <w:rPr>
                <w:noProof/>
                <w:webHidden/>
              </w:rPr>
            </w:r>
            <w:r>
              <w:rPr>
                <w:noProof/>
                <w:webHidden/>
              </w:rPr>
              <w:fldChar w:fldCharType="separate"/>
            </w:r>
            <w:r w:rsidR="006E24E5">
              <w:rPr>
                <w:noProof/>
                <w:webHidden/>
              </w:rPr>
              <w:t>11</w:t>
            </w:r>
            <w:r>
              <w:rPr>
                <w:noProof/>
                <w:webHidden/>
              </w:rPr>
              <w:fldChar w:fldCharType="end"/>
            </w:r>
          </w:hyperlink>
        </w:p>
        <w:p w14:paraId="234872B7" w14:textId="3508F13D"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65" w:history="1">
            <w:r w:rsidRPr="006D23FC">
              <w:rPr>
                <w:rStyle w:val="Hyperlink"/>
                <w:noProof/>
              </w:rPr>
              <w:t>1.1</w:t>
            </w:r>
            <w:r>
              <w:rPr>
                <w:rFonts w:asciiTheme="minorHAnsi" w:eastAsiaTheme="minorEastAsia" w:hAnsiTheme="minorHAnsi" w:cstheme="minorBidi"/>
                <w:noProof/>
                <w:kern w:val="2"/>
                <w:sz w:val="24"/>
                <w:szCs w:val="24"/>
                <w14:ligatures w14:val="standardContextual"/>
              </w:rPr>
              <w:tab/>
            </w:r>
            <w:r w:rsidRPr="006D23FC">
              <w:rPr>
                <w:rStyle w:val="Hyperlink"/>
                <w:noProof/>
              </w:rPr>
              <w:t>Safeguard baseline calculation</w:t>
            </w:r>
            <w:r>
              <w:rPr>
                <w:noProof/>
                <w:webHidden/>
              </w:rPr>
              <w:tab/>
            </w:r>
            <w:r>
              <w:rPr>
                <w:noProof/>
                <w:webHidden/>
              </w:rPr>
              <w:fldChar w:fldCharType="begin"/>
            </w:r>
            <w:r>
              <w:rPr>
                <w:noProof/>
                <w:webHidden/>
              </w:rPr>
              <w:instrText xml:space="preserve"> PAGEREF _Toc208216265 \h </w:instrText>
            </w:r>
            <w:r>
              <w:rPr>
                <w:noProof/>
                <w:webHidden/>
              </w:rPr>
            </w:r>
            <w:r>
              <w:rPr>
                <w:noProof/>
                <w:webHidden/>
              </w:rPr>
              <w:fldChar w:fldCharType="separate"/>
            </w:r>
            <w:r w:rsidR="006E24E5">
              <w:rPr>
                <w:noProof/>
                <w:webHidden/>
              </w:rPr>
              <w:t>11</w:t>
            </w:r>
            <w:r>
              <w:rPr>
                <w:noProof/>
                <w:webHidden/>
              </w:rPr>
              <w:fldChar w:fldCharType="end"/>
            </w:r>
          </w:hyperlink>
        </w:p>
        <w:p w14:paraId="2D659BCA" w14:textId="331B7307"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66" w:history="1">
            <w:r w:rsidRPr="006D23FC">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6D23FC">
              <w:rPr>
                <w:rStyle w:val="Hyperlink"/>
                <w:noProof/>
              </w:rPr>
              <w:t>Application requirements</w:t>
            </w:r>
            <w:r>
              <w:rPr>
                <w:noProof/>
                <w:webHidden/>
              </w:rPr>
              <w:tab/>
            </w:r>
            <w:r>
              <w:rPr>
                <w:noProof/>
                <w:webHidden/>
              </w:rPr>
              <w:fldChar w:fldCharType="begin"/>
            </w:r>
            <w:r>
              <w:rPr>
                <w:noProof/>
                <w:webHidden/>
              </w:rPr>
              <w:instrText xml:space="preserve"> PAGEREF _Toc208216266 \h </w:instrText>
            </w:r>
            <w:r>
              <w:rPr>
                <w:noProof/>
                <w:webHidden/>
              </w:rPr>
            </w:r>
            <w:r>
              <w:rPr>
                <w:noProof/>
                <w:webHidden/>
              </w:rPr>
              <w:fldChar w:fldCharType="separate"/>
            </w:r>
            <w:r w:rsidR="006E24E5">
              <w:rPr>
                <w:noProof/>
                <w:webHidden/>
              </w:rPr>
              <w:t>12</w:t>
            </w:r>
            <w:r>
              <w:rPr>
                <w:noProof/>
                <w:webHidden/>
              </w:rPr>
              <w:fldChar w:fldCharType="end"/>
            </w:r>
          </w:hyperlink>
        </w:p>
        <w:p w14:paraId="2E166EE6" w14:textId="3F18910F"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67" w:history="1">
            <w:r w:rsidRPr="006D23FC">
              <w:rPr>
                <w:rStyle w:val="Hyperlink"/>
                <w:noProof/>
              </w:rPr>
              <w:t>2.1</w:t>
            </w:r>
            <w:r>
              <w:rPr>
                <w:rFonts w:asciiTheme="minorHAnsi" w:eastAsiaTheme="minorEastAsia" w:hAnsiTheme="minorHAnsi" w:cstheme="minorBidi"/>
                <w:noProof/>
                <w:kern w:val="2"/>
                <w:sz w:val="24"/>
                <w:szCs w:val="24"/>
                <w14:ligatures w14:val="standardContextual"/>
              </w:rPr>
              <w:tab/>
            </w:r>
            <w:r w:rsidRPr="006D23FC">
              <w:rPr>
                <w:rStyle w:val="Hyperlink"/>
                <w:noProof/>
              </w:rPr>
              <w:t>Eligibility and application deadlines</w:t>
            </w:r>
            <w:r>
              <w:rPr>
                <w:noProof/>
                <w:webHidden/>
              </w:rPr>
              <w:tab/>
            </w:r>
            <w:r>
              <w:rPr>
                <w:noProof/>
                <w:webHidden/>
              </w:rPr>
              <w:fldChar w:fldCharType="begin"/>
            </w:r>
            <w:r>
              <w:rPr>
                <w:noProof/>
                <w:webHidden/>
              </w:rPr>
              <w:instrText xml:space="preserve"> PAGEREF _Toc208216267 \h </w:instrText>
            </w:r>
            <w:r>
              <w:rPr>
                <w:noProof/>
                <w:webHidden/>
              </w:rPr>
            </w:r>
            <w:r>
              <w:rPr>
                <w:noProof/>
                <w:webHidden/>
              </w:rPr>
              <w:fldChar w:fldCharType="separate"/>
            </w:r>
            <w:r w:rsidR="006E24E5">
              <w:rPr>
                <w:noProof/>
                <w:webHidden/>
              </w:rPr>
              <w:t>12</w:t>
            </w:r>
            <w:r>
              <w:rPr>
                <w:noProof/>
                <w:webHidden/>
              </w:rPr>
              <w:fldChar w:fldCharType="end"/>
            </w:r>
          </w:hyperlink>
        </w:p>
        <w:p w14:paraId="2DA93137" w14:textId="2C81CB29"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68" w:history="1">
            <w:r w:rsidRPr="006D23FC">
              <w:rPr>
                <w:rStyle w:val="Hyperlink"/>
                <w:noProof/>
              </w:rPr>
              <w:t>2.2</w:t>
            </w:r>
            <w:r>
              <w:rPr>
                <w:rFonts w:asciiTheme="minorHAnsi" w:eastAsiaTheme="minorEastAsia" w:hAnsiTheme="minorHAnsi" w:cstheme="minorBidi"/>
                <w:noProof/>
                <w:kern w:val="2"/>
                <w:sz w:val="24"/>
                <w:szCs w:val="24"/>
                <w14:ligatures w14:val="standardContextual"/>
              </w:rPr>
              <w:tab/>
            </w:r>
            <w:r w:rsidRPr="006D23FC">
              <w:rPr>
                <w:rStyle w:val="Hyperlink"/>
                <w:noProof/>
              </w:rPr>
              <w:t>Preparing and submitting the application</w:t>
            </w:r>
            <w:r>
              <w:rPr>
                <w:noProof/>
                <w:webHidden/>
              </w:rPr>
              <w:tab/>
            </w:r>
            <w:r>
              <w:rPr>
                <w:noProof/>
                <w:webHidden/>
              </w:rPr>
              <w:fldChar w:fldCharType="begin"/>
            </w:r>
            <w:r>
              <w:rPr>
                <w:noProof/>
                <w:webHidden/>
              </w:rPr>
              <w:instrText xml:space="preserve"> PAGEREF _Toc208216268 \h </w:instrText>
            </w:r>
            <w:r>
              <w:rPr>
                <w:noProof/>
                <w:webHidden/>
              </w:rPr>
            </w:r>
            <w:r>
              <w:rPr>
                <w:noProof/>
                <w:webHidden/>
              </w:rPr>
              <w:fldChar w:fldCharType="separate"/>
            </w:r>
            <w:r w:rsidR="006E24E5">
              <w:rPr>
                <w:noProof/>
                <w:webHidden/>
              </w:rPr>
              <w:t>13</w:t>
            </w:r>
            <w:r>
              <w:rPr>
                <w:noProof/>
                <w:webHidden/>
              </w:rPr>
              <w:fldChar w:fldCharType="end"/>
            </w:r>
          </w:hyperlink>
        </w:p>
        <w:p w14:paraId="4ED1E5A5" w14:textId="0A5BAE27"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69" w:history="1">
            <w:r w:rsidRPr="006D23FC">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6D23FC">
              <w:rPr>
                <w:rStyle w:val="Hyperlink"/>
                <w:noProof/>
              </w:rPr>
              <w:t>Detailed application requirements</w:t>
            </w:r>
            <w:r>
              <w:rPr>
                <w:noProof/>
                <w:webHidden/>
              </w:rPr>
              <w:tab/>
            </w:r>
            <w:r>
              <w:rPr>
                <w:noProof/>
                <w:webHidden/>
              </w:rPr>
              <w:fldChar w:fldCharType="begin"/>
            </w:r>
            <w:r>
              <w:rPr>
                <w:noProof/>
                <w:webHidden/>
              </w:rPr>
              <w:instrText xml:space="preserve"> PAGEREF _Toc208216269 \h </w:instrText>
            </w:r>
            <w:r>
              <w:rPr>
                <w:noProof/>
                <w:webHidden/>
              </w:rPr>
            </w:r>
            <w:r>
              <w:rPr>
                <w:noProof/>
                <w:webHidden/>
              </w:rPr>
              <w:fldChar w:fldCharType="separate"/>
            </w:r>
            <w:r w:rsidR="006E24E5">
              <w:rPr>
                <w:noProof/>
                <w:webHidden/>
              </w:rPr>
              <w:t>16</w:t>
            </w:r>
            <w:r>
              <w:rPr>
                <w:noProof/>
                <w:webHidden/>
              </w:rPr>
              <w:fldChar w:fldCharType="end"/>
            </w:r>
          </w:hyperlink>
        </w:p>
        <w:p w14:paraId="6563BC89" w14:textId="7A34C1DE"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0" w:history="1">
            <w:r w:rsidRPr="006D23FC">
              <w:rPr>
                <w:rStyle w:val="Hyperlink"/>
                <w:noProof/>
              </w:rPr>
              <w:t>3.1</w:t>
            </w:r>
            <w:r>
              <w:rPr>
                <w:rFonts w:asciiTheme="minorHAnsi" w:eastAsiaTheme="minorEastAsia" w:hAnsiTheme="minorHAnsi" w:cstheme="minorBidi"/>
                <w:noProof/>
                <w:kern w:val="2"/>
                <w:sz w:val="24"/>
                <w:szCs w:val="24"/>
                <w14:ligatures w14:val="standardContextual"/>
              </w:rPr>
              <w:tab/>
            </w:r>
            <w:r w:rsidRPr="006D23FC">
              <w:rPr>
                <w:rStyle w:val="Hyperlink"/>
                <w:noProof/>
              </w:rPr>
              <w:t>Supporting information requirements</w:t>
            </w:r>
            <w:r>
              <w:rPr>
                <w:noProof/>
                <w:webHidden/>
              </w:rPr>
              <w:tab/>
            </w:r>
            <w:r>
              <w:rPr>
                <w:noProof/>
                <w:webHidden/>
              </w:rPr>
              <w:fldChar w:fldCharType="begin"/>
            </w:r>
            <w:r>
              <w:rPr>
                <w:noProof/>
                <w:webHidden/>
              </w:rPr>
              <w:instrText xml:space="preserve"> PAGEREF _Toc208216270 \h </w:instrText>
            </w:r>
            <w:r>
              <w:rPr>
                <w:noProof/>
                <w:webHidden/>
              </w:rPr>
            </w:r>
            <w:r>
              <w:rPr>
                <w:noProof/>
                <w:webHidden/>
              </w:rPr>
              <w:fldChar w:fldCharType="separate"/>
            </w:r>
            <w:r w:rsidR="006E24E5">
              <w:rPr>
                <w:noProof/>
                <w:webHidden/>
              </w:rPr>
              <w:t>16</w:t>
            </w:r>
            <w:r>
              <w:rPr>
                <w:noProof/>
                <w:webHidden/>
              </w:rPr>
              <w:fldChar w:fldCharType="end"/>
            </w:r>
          </w:hyperlink>
        </w:p>
        <w:p w14:paraId="3E44CC8E" w14:textId="54FE4839"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1" w:history="1">
            <w:r w:rsidRPr="006D23FC">
              <w:rPr>
                <w:rStyle w:val="Hyperlink"/>
                <w:noProof/>
              </w:rPr>
              <w:t>3.2</w:t>
            </w:r>
            <w:r>
              <w:rPr>
                <w:rFonts w:asciiTheme="minorHAnsi" w:eastAsiaTheme="minorEastAsia" w:hAnsiTheme="minorHAnsi" w:cstheme="minorBidi"/>
                <w:noProof/>
                <w:kern w:val="2"/>
                <w:sz w:val="24"/>
                <w:szCs w:val="24"/>
                <w14:ligatures w14:val="standardContextual"/>
              </w:rPr>
              <w:tab/>
            </w:r>
            <w:r w:rsidRPr="006D23FC">
              <w:rPr>
                <w:rStyle w:val="Hyperlink"/>
                <w:noProof/>
              </w:rPr>
              <w:t>Responsible emitter</w:t>
            </w:r>
            <w:r>
              <w:rPr>
                <w:noProof/>
                <w:webHidden/>
              </w:rPr>
              <w:tab/>
            </w:r>
            <w:r>
              <w:rPr>
                <w:noProof/>
                <w:webHidden/>
              </w:rPr>
              <w:fldChar w:fldCharType="begin"/>
            </w:r>
            <w:r>
              <w:rPr>
                <w:noProof/>
                <w:webHidden/>
              </w:rPr>
              <w:instrText xml:space="preserve"> PAGEREF _Toc208216271 \h </w:instrText>
            </w:r>
            <w:r>
              <w:rPr>
                <w:noProof/>
                <w:webHidden/>
              </w:rPr>
            </w:r>
            <w:r>
              <w:rPr>
                <w:noProof/>
                <w:webHidden/>
              </w:rPr>
              <w:fldChar w:fldCharType="separate"/>
            </w:r>
            <w:r w:rsidR="006E24E5">
              <w:rPr>
                <w:noProof/>
                <w:webHidden/>
              </w:rPr>
              <w:t>17</w:t>
            </w:r>
            <w:r>
              <w:rPr>
                <w:noProof/>
                <w:webHidden/>
              </w:rPr>
              <w:fldChar w:fldCharType="end"/>
            </w:r>
          </w:hyperlink>
        </w:p>
        <w:p w14:paraId="706835EE" w14:textId="3A25A62C"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2" w:history="1">
            <w:r w:rsidRPr="006D23FC">
              <w:rPr>
                <w:rStyle w:val="Hyperlink"/>
                <w:noProof/>
              </w:rPr>
              <w:t>3.3</w:t>
            </w:r>
            <w:r>
              <w:rPr>
                <w:rFonts w:asciiTheme="minorHAnsi" w:eastAsiaTheme="minorEastAsia" w:hAnsiTheme="minorHAnsi" w:cstheme="minorBidi"/>
                <w:noProof/>
                <w:kern w:val="2"/>
                <w:sz w:val="24"/>
                <w:szCs w:val="24"/>
                <w14:ligatures w14:val="standardContextual"/>
              </w:rPr>
              <w:tab/>
            </w:r>
            <w:r w:rsidRPr="006D23FC">
              <w:rPr>
                <w:rStyle w:val="Hyperlink"/>
                <w:noProof/>
              </w:rPr>
              <w:t>Facility name and details</w:t>
            </w:r>
            <w:r>
              <w:rPr>
                <w:noProof/>
                <w:webHidden/>
              </w:rPr>
              <w:tab/>
            </w:r>
            <w:r>
              <w:rPr>
                <w:noProof/>
                <w:webHidden/>
              </w:rPr>
              <w:fldChar w:fldCharType="begin"/>
            </w:r>
            <w:r>
              <w:rPr>
                <w:noProof/>
                <w:webHidden/>
              </w:rPr>
              <w:instrText xml:space="preserve"> PAGEREF _Toc208216272 \h </w:instrText>
            </w:r>
            <w:r>
              <w:rPr>
                <w:noProof/>
                <w:webHidden/>
              </w:rPr>
            </w:r>
            <w:r>
              <w:rPr>
                <w:noProof/>
                <w:webHidden/>
              </w:rPr>
              <w:fldChar w:fldCharType="separate"/>
            </w:r>
            <w:r w:rsidR="006E24E5">
              <w:rPr>
                <w:noProof/>
                <w:webHidden/>
              </w:rPr>
              <w:t>17</w:t>
            </w:r>
            <w:r>
              <w:rPr>
                <w:noProof/>
                <w:webHidden/>
              </w:rPr>
              <w:fldChar w:fldCharType="end"/>
            </w:r>
          </w:hyperlink>
        </w:p>
        <w:p w14:paraId="68E9DD33" w14:textId="5164BC4D"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3" w:history="1">
            <w:r w:rsidRPr="006D23FC">
              <w:rPr>
                <w:rStyle w:val="Hyperlink"/>
                <w:noProof/>
              </w:rPr>
              <w:t>3.4</w:t>
            </w:r>
            <w:r>
              <w:rPr>
                <w:rFonts w:asciiTheme="minorHAnsi" w:eastAsiaTheme="minorEastAsia" w:hAnsiTheme="minorHAnsi" w:cstheme="minorBidi"/>
                <w:noProof/>
                <w:kern w:val="2"/>
                <w:sz w:val="24"/>
                <w:szCs w:val="24"/>
                <w14:ligatures w14:val="standardContextual"/>
              </w:rPr>
              <w:tab/>
            </w:r>
            <w:r w:rsidRPr="006D23FC">
              <w:rPr>
                <w:rStyle w:val="Hyperlink"/>
                <w:noProof/>
              </w:rPr>
              <w:t>Start date</w:t>
            </w:r>
            <w:r>
              <w:rPr>
                <w:noProof/>
                <w:webHidden/>
              </w:rPr>
              <w:tab/>
            </w:r>
            <w:r>
              <w:rPr>
                <w:noProof/>
                <w:webHidden/>
              </w:rPr>
              <w:fldChar w:fldCharType="begin"/>
            </w:r>
            <w:r>
              <w:rPr>
                <w:noProof/>
                <w:webHidden/>
              </w:rPr>
              <w:instrText xml:space="preserve"> PAGEREF _Toc208216273 \h </w:instrText>
            </w:r>
            <w:r>
              <w:rPr>
                <w:noProof/>
                <w:webHidden/>
              </w:rPr>
            </w:r>
            <w:r>
              <w:rPr>
                <w:noProof/>
                <w:webHidden/>
              </w:rPr>
              <w:fldChar w:fldCharType="separate"/>
            </w:r>
            <w:r w:rsidR="006E24E5">
              <w:rPr>
                <w:noProof/>
                <w:webHidden/>
              </w:rPr>
              <w:t>18</w:t>
            </w:r>
            <w:r>
              <w:rPr>
                <w:noProof/>
                <w:webHidden/>
              </w:rPr>
              <w:fldChar w:fldCharType="end"/>
            </w:r>
          </w:hyperlink>
        </w:p>
        <w:p w14:paraId="6ED7E389" w14:textId="2098B968"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4" w:history="1">
            <w:r w:rsidRPr="006D23FC">
              <w:rPr>
                <w:rStyle w:val="Hyperlink"/>
                <w:noProof/>
              </w:rPr>
              <w:t>3.5</w:t>
            </w:r>
            <w:r>
              <w:rPr>
                <w:rFonts w:asciiTheme="minorHAnsi" w:eastAsiaTheme="minorEastAsia" w:hAnsiTheme="minorHAnsi" w:cstheme="minorBidi"/>
                <w:noProof/>
                <w:kern w:val="2"/>
                <w:sz w:val="24"/>
                <w:szCs w:val="24"/>
                <w14:ligatures w14:val="standardContextual"/>
              </w:rPr>
              <w:tab/>
            </w:r>
            <w:r w:rsidRPr="006D23FC">
              <w:rPr>
                <w:rStyle w:val="Hyperlink"/>
                <w:noProof/>
              </w:rPr>
              <w:t>Production variables</w:t>
            </w:r>
            <w:r>
              <w:rPr>
                <w:noProof/>
                <w:webHidden/>
              </w:rPr>
              <w:tab/>
            </w:r>
            <w:r>
              <w:rPr>
                <w:noProof/>
                <w:webHidden/>
              </w:rPr>
              <w:fldChar w:fldCharType="begin"/>
            </w:r>
            <w:r>
              <w:rPr>
                <w:noProof/>
                <w:webHidden/>
              </w:rPr>
              <w:instrText xml:space="preserve"> PAGEREF _Toc208216274 \h </w:instrText>
            </w:r>
            <w:r>
              <w:rPr>
                <w:noProof/>
                <w:webHidden/>
              </w:rPr>
            </w:r>
            <w:r>
              <w:rPr>
                <w:noProof/>
                <w:webHidden/>
              </w:rPr>
              <w:fldChar w:fldCharType="separate"/>
            </w:r>
            <w:r w:rsidR="006E24E5">
              <w:rPr>
                <w:noProof/>
                <w:webHidden/>
              </w:rPr>
              <w:t>18</w:t>
            </w:r>
            <w:r>
              <w:rPr>
                <w:noProof/>
                <w:webHidden/>
              </w:rPr>
              <w:fldChar w:fldCharType="end"/>
            </w:r>
          </w:hyperlink>
        </w:p>
        <w:p w14:paraId="6B410231" w14:textId="1E0D7FAF"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5" w:history="1">
            <w:r w:rsidRPr="006D23FC">
              <w:rPr>
                <w:rStyle w:val="Hyperlink"/>
                <w:noProof/>
              </w:rPr>
              <w:t>3.6</w:t>
            </w:r>
            <w:r>
              <w:rPr>
                <w:rFonts w:asciiTheme="minorHAnsi" w:eastAsiaTheme="minorEastAsia" w:hAnsiTheme="minorHAnsi" w:cstheme="minorBidi"/>
                <w:noProof/>
                <w:kern w:val="2"/>
                <w:sz w:val="24"/>
                <w:szCs w:val="24"/>
                <w14:ligatures w14:val="standardContextual"/>
              </w:rPr>
              <w:tab/>
            </w:r>
            <w:r w:rsidRPr="006D23FC">
              <w:rPr>
                <w:rStyle w:val="Hyperlink"/>
                <w:noProof/>
              </w:rPr>
              <w:t>Facility historical emissions and production data</w:t>
            </w:r>
            <w:r>
              <w:rPr>
                <w:noProof/>
                <w:webHidden/>
              </w:rPr>
              <w:tab/>
            </w:r>
            <w:r>
              <w:rPr>
                <w:noProof/>
                <w:webHidden/>
              </w:rPr>
              <w:fldChar w:fldCharType="begin"/>
            </w:r>
            <w:r>
              <w:rPr>
                <w:noProof/>
                <w:webHidden/>
              </w:rPr>
              <w:instrText xml:space="preserve"> PAGEREF _Toc208216275 \h </w:instrText>
            </w:r>
            <w:r>
              <w:rPr>
                <w:noProof/>
                <w:webHidden/>
              </w:rPr>
            </w:r>
            <w:r>
              <w:rPr>
                <w:noProof/>
                <w:webHidden/>
              </w:rPr>
              <w:fldChar w:fldCharType="separate"/>
            </w:r>
            <w:r w:rsidR="006E24E5">
              <w:rPr>
                <w:noProof/>
                <w:webHidden/>
              </w:rPr>
              <w:t>24</w:t>
            </w:r>
            <w:r>
              <w:rPr>
                <w:noProof/>
                <w:webHidden/>
              </w:rPr>
              <w:fldChar w:fldCharType="end"/>
            </w:r>
          </w:hyperlink>
        </w:p>
        <w:p w14:paraId="37FE02B8" w14:textId="06E81932"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6" w:history="1">
            <w:r w:rsidRPr="006D23FC">
              <w:rPr>
                <w:rStyle w:val="Hyperlink"/>
                <w:noProof/>
              </w:rPr>
              <w:t>3.7</w:t>
            </w:r>
            <w:r>
              <w:rPr>
                <w:rFonts w:asciiTheme="minorHAnsi" w:eastAsiaTheme="minorEastAsia" w:hAnsiTheme="minorHAnsi" w:cstheme="minorBidi"/>
                <w:noProof/>
                <w:kern w:val="2"/>
                <w:sz w:val="24"/>
                <w:szCs w:val="24"/>
                <w14:ligatures w14:val="standardContextual"/>
              </w:rPr>
              <w:tab/>
            </w:r>
            <w:r w:rsidRPr="006D23FC">
              <w:rPr>
                <w:rStyle w:val="Hyperlink"/>
                <w:noProof/>
              </w:rPr>
              <w:t>Historical production variable information</w:t>
            </w:r>
            <w:r>
              <w:rPr>
                <w:noProof/>
                <w:webHidden/>
              </w:rPr>
              <w:tab/>
            </w:r>
            <w:r>
              <w:rPr>
                <w:noProof/>
                <w:webHidden/>
              </w:rPr>
              <w:fldChar w:fldCharType="begin"/>
            </w:r>
            <w:r>
              <w:rPr>
                <w:noProof/>
                <w:webHidden/>
              </w:rPr>
              <w:instrText xml:space="preserve"> PAGEREF _Toc208216276 \h </w:instrText>
            </w:r>
            <w:r>
              <w:rPr>
                <w:noProof/>
                <w:webHidden/>
              </w:rPr>
            </w:r>
            <w:r>
              <w:rPr>
                <w:noProof/>
                <w:webHidden/>
              </w:rPr>
              <w:fldChar w:fldCharType="separate"/>
            </w:r>
            <w:r w:rsidR="006E24E5">
              <w:rPr>
                <w:noProof/>
                <w:webHidden/>
              </w:rPr>
              <w:t>30</w:t>
            </w:r>
            <w:r>
              <w:rPr>
                <w:noProof/>
                <w:webHidden/>
              </w:rPr>
              <w:fldChar w:fldCharType="end"/>
            </w:r>
          </w:hyperlink>
        </w:p>
        <w:p w14:paraId="26BB1C7F" w14:textId="111B449F"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7" w:history="1">
            <w:r w:rsidRPr="006D23FC">
              <w:rPr>
                <w:rStyle w:val="Hyperlink"/>
                <w:noProof/>
              </w:rPr>
              <w:t>3.8</w:t>
            </w:r>
            <w:r>
              <w:rPr>
                <w:rFonts w:asciiTheme="minorHAnsi" w:eastAsiaTheme="minorEastAsia" w:hAnsiTheme="minorHAnsi" w:cstheme="minorBidi"/>
                <w:noProof/>
                <w:kern w:val="2"/>
                <w:sz w:val="24"/>
                <w:szCs w:val="24"/>
                <w14:ligatures w14:val="standardContextual"/>
              </w:rPr>
              <w:tab/>
            </w:r>
            <w:r w:rsidRPr="006D23FC">
              <w:rPr>
                <w:rStyle w:val="Hyperlink"/>
                <w:noProof/>
              </w:rPr>
              <w:t>Audit report</w:t>
            </w:r>
            <w:r>
              <w:rPr>
                <w:noProof/>
                <w:webHidden/>
              </w:rPr>
              <w:tab/>
            </w:r>
            <w:r>
              <w:rPr>
                <w:noProof/>
                <w:webHidden/>
              </w:rPr>
              <w:fldChar w:fldCharType="begin"/>
            </w:r>
            <w:r>
              <w:rPr>
                <w:noProof/>
                <w:webHidden/>
              </w:rPr>
              <w:instrText xml:space="preserve"> PAGEREF _Toc208216277 \h </w:instrText>
            </w:r>
            <w:r>
              <w:rPr>
                <w:noProof/>
                <w:webHidden/>
              </w:rPr>
            </w:r>
            <w:r>
              <w:rPr>
                <w:noProof/>
                <w:webHidden/>
              </w:rPr>
              <w:fldChar w:fldCharType="separate"/>
            </w:r>
            <w:r w:rsidR="006E24E5">
              <w:rPr>
                <w:noProof/>
                <w:webHidden/>
              </w:rPr>
              <w:t>37</w:t>
            </w:r>
            <w:r>
              <w:rPr>
                <w:noProof/>
                <w:webHidden/>
              </w:rPr>
              <w:fldChar w:fldCharType="end"/>
            </w:r>
          </w:hyperlink>
        </w:p>
        <w:p w14:paraId="7340EAD5" w14:textId="5E2436BE"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78" w:history="1">
            <w:r w:rsidRPr="006D23FC">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6D23FC">
              <w:rPr>
                <w:rStyle w:val="Hyperlink"/>
                <w:noProof/>
              </w:rPr>
              <w:t>Other matters</w:t>
            </w:r>
            <w:r>
              <w:rPr>
                <w:noProof/>
                <w:webHidden/>
              </w:rPr>
              <w:tab/>
            </w:r>
            <w:r>
              <w:rPr>
                <w:noProof/>
                <w:webHidden/>
              </w:rPr>
              <w:fldChar w:fldCharType="begin"/>
            </w:r>
            <w:r>
              <w:rPr>
                <w:noProof/>
                <w:webHidden/>
              </w:rPr>
              <w:instrText xml:space="preserve"> PAGEREF _Toc208216278 \h </w:instrText>
            </w:r>
            <w:r>
              <w:rPr>
                <w:noProof/>
                <w:webHidden/>
              </w:rPr>
            </w:r>
            <w:r>
              <w:rPr>
                <w:noProof/>
                <w:webHidden/>
              </w:rPr>
              <w:fldChar w:fldCharType="separate"/>
            </w:r>
            <w:r w:rsidR="006E24E5">
              <w:rPr>
                <w:noProof/>
                <w:webHidden/>
              </w:rPr>
              <w:t>40</w:t>
            </w:r>
            <w:r>
              <w:rPr>
                <w:noProof/>
                <w:webHidden/>
              </w:rPr>
              <w:fldChar w:fldCharType="end"/>
            </w:r>
          </w:hyperlink>
        </w:p>
        <w:p w14:paraId="1C7DDE26" w14:textId="2E54EC98"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79" w:history="1">
            <w:r w:rsidRPr="006D23FC">
              <w:rPr>
                <w:rStyle w:val="Hyperlink"/>
                <w:noProof/>
              </w:rPr>
              <w:t>4.1</w:t>
            </w:r>
            <w:r>
              <w:rPr>
                <w:rFonts w:asciiTheme="minorHAnsi" w:eastAsiaTheme="minorEastAsia" w:hAnsiTheme="minorHAnsi" w:cstheme="minorBidi"/>
                <w:noProof/>
                <w:kern w:val="2"/>
                <w:sz w:val="24"/>
                <w:szCs w:val="24"/>
                <w14:ligatures w14:val="standardContextual"/>
              </w:rPr>
              <w:tab/>
            </w:r>
            <w:r w:rsidRPr="006D23FC">
              <w:rPr>
                <w:rStyle w:val="Hyperlink"/>
                <w:noProof/>
              </w:rPr>
              <w:t>Processing, decision-making and publication</w:t>
            </w:r>
            <w:r>
              <w:rPr>
                <w:noProof/>
                <w:webHidden/>
              </w:rPr>
              <w:tab/>
            </w:r>
            <w:r>
              <w:rPr>
                <w:noProof/>
                <w:webHidden/>
              </w:rPr>
              <w:fldChar w:fldCharType="begin"/>
            </w:r>
            <w:r>
              <w:rPr>
                <w:noProof/>
                <w:webHidden/>
              </w:rPr>
              <w:instrText xml:space="preserve"> PAGEREF _Toc208216279 \h </w:instrText>
            </w:r>
            <w:r>
              <w:rPr>
                <w:noProof/>
                <w:webHidden/>
              </w:rPr>
            </w:r>
            <w:r>
              <w:rPr>
                <w:noProof/>
                <w:webHidden/>
              </w:rPr>
              <w:fldChar w:fldCharType="separate"/>
            </w:r>
            <w:r w:rsidR="006E24E5">
              <w:rPr>
                <w:noProof/>
                <w:webHidden/>
              </w:rPr>
              <w:t>40</w:t>
            </w:r>
            <w:r>
              <w:rPr>
                <w:noProof/>
                <w:webHidden/>
              </w:rPr>
              <w:fldChar w:fldCharType="end"/>
            </w:r>
          </w:hyperlink>
        </w:p>
        <w:p w14:paraId="23C01985" w14:textId="0B054755"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80" w:history="1">
            <w:r w:rsidRPr="006D23FC">
              <w:rPr>
                <w:rStyle w:val="Hyperlink"/>
                <w:noProof/>
              </w:rPr>
              <w:t>4.2</w:t>
            </w:r>
            <w:r>
              <w:rPr>
                <w:rFonts w:asciiTheme="minorHAnsi" w:eastAsiaTheme="minorEastAsia" w:hAnsiTheme="minorHAnsi" w:cstheme="minorBidi"/>
                <w:noProof/>
                <w:kern w:val="2"/>
                <w:sz w:val="24"/>
                <w:szCs w:val="24"/>
                <w14:ligatures w14:val="standardContextual"/>
              </w:rPr>
              <w:tab/>
            </w:r>
            <w:r w:rsidRPr="006D23FC">
              <w:rPr>
                <w:rStyle w:val="Hyperlink"/>
                <w:noProof/>
              </w:rPr>
              <w:t>Variation of an emissions intensity determination</w:t>
            </w:r>
            <w:r>
              <w:rPr>
                <w:noProof/>
                <w:webHidden/>
              </w:rPr>
              <w:tab/>
            </w:r>
            <w:r>
              <w:rPr>
                <w:noProof/>
                <w:webHidden/>
              </w:rPr>
              <w:fldChar w:fldCharType="begin"/>
            </w:r>
            <w:r>
              <w:rPr>
                <w:noProof/>
                <w:webHidden/>
              </w:rPr>
              <w:instrText xml:space="preserve"> PAGEREF _Toc208216280 \h </w:instrText>
            </w:r>
            <w:r>
              <w:rPr>
                <w:noProof/>
                <w:webHidden/>
              </w:rPr>
            </w:r>
            <w:r>
              <w:rPr>
                <w:noProof/>
                <w:webHidden/>
              </w:rPr>
              <w:fldChar w:fldCharType="separate"/>
            </w:r>
            <w:r w:rsidR="006E24E5">
              <w:rPr>
                <w:noProof/>
                <w:webHidden/>
              </w:rPr>
              <w:t>42</w:t>
            </w:r>
            <w:r>
              <w:rPr>
                <w:noProof/>
                <w:webHidden/>
              </w:rPr>
              <w:fldChar w:fldCharType="end"/>
            </w:r>
          </w:hyperlink>
        </w:p>
        <w:p w14:paraId="1B9FC242" w14:textId="648E3FA0" w:rsidR="00B60182" w:rsidRDefault="00B60182">
          <w:pPr>
            <w:pStyle w:val="TOC2"/>
            <w:rPr>
              <w:rFonts w:asciiTheme="minorHAnsi" w:eastAsiaTheme="minorEastAsia" w:hAnsiTheme="minorHAnsi" w:cstheme="minorBidi"/>
              <w:noProof/>
              <w:kern w:val="2"/>
              <w:sz w:val="24"/>
              <w:szCs w:val="24"/>
              <w14:ligatures w14:val="standardContextual"/>
            </w:rPr>
          </w:pPr>
          <w:hyperlink w:anchor="_Toc208216281" w:history="1">
            <w:r w:rsidRPr="006D23FC">
              <w:rPr>
                <w:rStyle w:val="Hyperlink"/>
                <w:noProof/>
              </w:rPr>
              <w:t>4.3</w:t>
            </w:r>
            <w:r>
              <w:rPr>
                <w:rFonts w:asciiTheme="minorHAnsi" w:eastAsiaTheme="minorEastAsia" w:hAnsiTheme="minorHAnsi" w:cstheme="minorBidi"/>
                <w:noProof/>
                <w:kern w:val="2"/>
                <w:sz w:val="24"/>
                <w:szCs w:val="24"/>
                <w14:ligatures w14:val="standardContextual"/>
              </w:rPr>
              <w:tab/>
            </w:r>
            <w:r w:rsidRPr="006D23FC">
              <w:rPr>
                <w:rStyle w:val="Hyperlink"/>
                <w:noProof/>
              </w:rPr>
              <w:t>Successor emissions-intensity determinations</w:t>
            </w:r>
            <w:r>
              <w:rPr>
                <w:noProof/>
                <w:webHidden/>
              </w:rPr>
              <w:tab/>
            </w:r>
            <w:r>
              <w:rPr>
                <w:noProof/>
                <w:webHidden/>
              </w:rPr>
              <w:fldChar w:fldCharType="begin"/>
            </w:r>
            <w:r>
              <w:rPr>
                <w:noProof/>
                <w:webHidden/>
              </w:rPr>
              <w:instrText xml:space="preserve"> PAGEREF _Toc208216281 \h </w:instrText>
            </w:r>
            <w:r>
              <w:rPr>
                <w:noProof/>
                <w:webHidden/>
              </w:rPr>
            </w:r>
            <w:r>
              <w:rPr>
                <w:noProof/>
                <w:webHidden/>
              </w:rPr>
              <w:fldChar w:fldCharType="separate"/>
            </w:r>
            <w:r w:rsidR="006E24E5">
              <w:rPr>
                <w:noProof/>
                <w:webHidden/>
              </w:rPr>
              <w:t>45</w:t>
            </w:r>
            <w:r>
              <w:rPr>
                <w:noProof/>
                <w:webHidden/>
              </w:rPr>
              <w:fldChar w:fldCharType="end"/>
            </w:r>
          </w:hyperlink>
        </w:p>
        <w:p w14:paraId="5AEC27A1" w14:textId="402BBC5C" w:rsidR="00B60182" w:rsidRDefault="00B60182">
          <w:pPr>
            <w:pStyle w:val="TOC1"/>
            <w:rPr>
              <w:rFonts w:asciiTheme="minorHAnsi" w:eastAsiaTheme="minorEastAsia" w:hAnsiTheme="minorHAnsi" w:cstheme="minorBidi"/>
              <w:b w:val="0"/>
              <w:bCs w:val="0"/>
              <w:noProof/>
              <w:kern w:val="2"/>
              <w:sz w:val="24"/>
              <w:szCs w:val="24"/>
              <w14:ligatures w14:val="standardContextual"/>
            </w:rPr>
          </w:pPr>
          <w:hyperlink w:anchor="_Toc208216282" w:history="1">
            <w:r w:rsidRPr="006D23FC">
              <w:rPr>
                <w:rStyle w:val="Hyperlink"/>
                <w:noProof/>
              </w:rPr>
              <w:t>Appendix A Eligible facility</w:t>
            </w:r>
            <w:r>
              <w:rPr>
                <w:noProof/>
                <w:webHidden/>
              </w:rPr>
              <w:tab/>
            </w:r>
            <w:r>
              <w:rPr>
                <w:noProof/>
                <w:webHidden/>
              </w:rPr>
              <w:fldChar w:fldCharType="begin"/>
            </w:r>
            <w:r>
              <w:rPr>
                <w:noProof/>
                <w:webHidden/>
              </w:rPr>
              <w:instrText xml:space="preserve"> PAGEREF _Toc208216282 \h </w:instrText>
            </w:r>
            <w:r>
              <w:rPr>
                <w:noProof/>
                <w:webHidden/>
              </w:rPr>
            </w:r>
            <w:r>
              <w:rPr>
                <w:noProof/>
                <w:webHidden/>
              </w:rPr>
              <w:fldChar w:fldCharType="separate"/>
            </w:r>
            <w:r w:rsidR="006E24E5">
              <w:rPr>
                <w:noProof/>
                <w:webHidden/>
              </w:rPr>
              <w:t>47</w:t>
            </w:r>
            <w:r>
              <w:rPr>
                <w:noProof/>
                <w:webHidden/>
              </w:rPr>
              <w:fldChar w:fldCharType="end"/>
            </w:r>
          </w:hyperlink>
        </w:p>
        <w:p w14:paraId="632BE77E" w14:textId="06719260" w:rsidR="00A8776F" w:rsidRDefault="003D3049">
          <w:r w:rsidRPr="00A526F9">
            <w:rPr>
              <w:caps/>
            </w:rPr>
            <w:fldChar w:fldCharType="end"/>
          </w:r>
        </w:p>
      </w:sdtContent>
    </w:sdt>
    <w:p w14:paraId="699EEEB5" w14:textId="13501037" w:rsidR="00D63186" w:rsidRDefault="00D63186" w:rsidP="0004192A"/>
    <w:p w14:paraId="6914992D" w14:textId="50E825F8" w:rsidR="001F23F6" w:rsidRPr="00CC0B28" w:rsidRDefault="00BF35F7" w:rsidP="00884306">
      <w:pPr>
        <w:pStyle w:val="Heading1"/>
        <w:numPr>
          <w:ilvl w:val="0"/>
          <w:numId w:val="0"/>
        </w:numPr>
      </w:pPr>
      <w:r>
        <w:br w:type="page"/>
      </w:r>
      <w:bookmarkStart w:id="0" w:name="_Toc138922894"/>
      <w:bookmarkStart w:id="1" w:name="_Toc138922969"/>
      <w:bookmarkStart w:id="2" w:name="_Toc138923033"/>
      <w:bookmarkStart w:id="3" w:name="_Toc143503162"/>
      <w:bookmarkStart w:id="4" w:name="_Toc208216260"/>
      <w:bookmarkStart w:id="5" w:name="_Hlk147848887"/>
      <w:r w:rsidR="002F4F33" w:rsidRPr="00CC0B28">
        <w:lastRenderedPageBreak/>
        <w:t>Disclaimer</w:t>
      </w:r>
      <w:bookmarkEnd w:id="0"/>
      <w:bookmarkEnd w:id="1"/>
      <w:bookmarkEnd w:id="2"/>
      <w:bookmarkEnd w:id="3"/>
      <w:bookmarkEnd w:id="4"/>
    </w:p>
    <w:p w14:paraId="56454B9B" w14:textId="75F60091" w:rsidR="001F23F6" w:rsidRPr="00CC0B28" w:rsidRDefault="001F23F6" w:rsidP="001F23F6">
      <w:pPr>
        <w:rPr>
          <w:u w:val="single"/>
        </w:rPr>
      </w:pPr>
      <w:r w:rsidRPr="00CC0B28">
        <w:t>This guidance has been developed by the Clean Energy Regulator (</w:t>
      </w:r>
      <w:r w:rsidR="00336041" w:rsidRPr="00CC0B28">
        <w:t>CER</w:t>
      </w:r>
      <w:r w:rsidRPr="00CC0B28">
        <w:t>) to assist responsible emitters to apply for a</w:t>
      </w:r>
      <w:r w:rsidR="004D7F08" w:rsidRPr="00CC0B28">
        <w:t>n</w:t>
      </w:r>
      <w:r w:rsidRPr="00CC0B28">
        <w:t xml:space="preserve"> </w:t>
      </w:r>
      <w:r w:rsidR="0095149E" w:rsidRPr="00CC0B28">
        <w:t>emissions-intensity</w:t>
      </w:r>
      <w:r w:rsidR="00DD372B" w:rsidRPr="00CC0B28">
        <w:t xml:space="preserve"> determination</w:t>
      </w:r>
      <w:r w:rsidR="00A95634" w:rsidRPr="00CC0B28">
        <w:t xml:space="preserve"> </w:t>
      </w:r>
      <w:r w:rsidR="006E2DE5" w:rsidRPr="00CC0B28">
        <w:t xml:space="preserve">(EID) </w:t>
      </w:r>
      <w:r w:rsidRPr="00CC0B28">
        <w:t xml:space="preserve">under the </w:t>
      </w:r>
      <w:hyperlink r:id="rId10" w:tooltip="A link to the Australian Government legislation - the National Greenhouse and Energy Reporting (Safeguard Mechanism) Rule 2015" w:history="1">
        <w:r w:rsidRPr="00CC0B28">
          <w:rPr>
            <w:rStyle w:val="Hyperlink"/>
          </w:rPr>
          <w:t>National Greenhouse and Energy Reporting (Safeguard Mechanism</w:t>
        </w:r>
        <w:bookmarkStart w:id="6" w:name="_Hlt139019287"/>
        <w:bookmarkStart w:id="7" w:name="_Hlt139019288"/>
        <w:bookmarkEnd w:id="6"/>
        <w:bookmarkEnd w:id="7"/>
        <w:r w:rsidRPr="00CC0B28">
          <w:rPr>
            <w:rStyle w:val="Hyperlink"/>
          </w:rPr>
          <w:t>) Rule 2015</w:t>
        </w:r>
      </w:hyperlink>
      <w:r w:rsidRPr="00CC0B28">
        <w:rPr>
          <w:rStyle w:val="FootnoteReference"/>
        </w:rPr>
        <w:footnoteReference w:id="2"/>
      </w:r>
      <w:r w:rsidRPr="00CC0B28">
        <w:t xml:space="preserve"> (the Safeguard Rule). This guidance must be read in conjunction with the </w:t>
      </w:r>
      <w:hyperlink r:id="rId11" w:tooltip="A link to the Australian Government legislation - the National Greenhouse and Energy reporting act 2007" w:history="1">
        <w:r w:rsidRPr="00CC0B28">
          <w:rPr>
            <w:rStyle w:val="Hyperlink"/>
            <w:i/>
            <w:iCs/>
          </w:rPr>
          <w:t>National Greenhouse and Energy Reporting Act 2007</w:t>
        </w:r>
      </w:hyperlink>
      <w:r w:rsidRPr="00CC0B28">
        <w:rPr>
          <w:rStyle w:val="FootnoteReference"/>
          <w:i/>
          <w:iCs/>
        </w:rPr>
        <w:footnoteReference w:id="3"/>
      </w:r>
      <w:r w:rsidRPr="00CC0B28">
        <w:t xml:space="preserve"> (the NGER Act), the </w:t>
      </w:r>
      <w:hyperlink r:id="rId12" w:tooltip="A link to the Australian Government legislation - the National Greenhouse and Energy Reporting Regulations 2008">
        <w:r w:rsidRPr="00CC0B28">
          <w:rPr>
            <w:rStyle w:val="Hyperlink"/>
          </w:rPr>
          <w:t>National Greenhouse and Energy Reporting Regulations 2008</w:t>
        </w:r>
      </w:hyperlink>
      <w:r w:rsidRPr="00CC0B28">
        <w:rPr>
          <w:rStyle w:val="FootnoteReference"/>
        </w:rPr>
        <w:footnoteReference w:id="4"/>
      </w:r>
      <w:r w:rsidRPr="00CC0B28">
        <w:t xml:space="preserve"> (the NGER Regulations)</w:t>
      </w:r>
      <w:r w:rsidR="00266EE3" w:rsidRPr="00CC0B28">
        <w:t>,</w:t>
      </w:r>
      <w:r w:rsidRPr="00CC0B28">
        <w:t xml:space="preserve"> </w:t>
      </w:r>
      <w:r w:rsidR="00266EE3" w:rsidRPr="00CC0B28">
        <w:t xml:space="preserve">the Safeguard Rule, the </w:t>
      </w:r>
      <w:bookmarkStart w:id="8" w:name="_Hlk208215841"/>
      <w:r w:rsidR="00266EE3">
        <w:fldChar w:fldCharType="begin"/>
      </w:r>
      <w:r w:rsidR="003A56C9">
        <w:instrText>HYPERLINK "https://www.legislation.gov.au/Series/F2008L02309" \o "A link to the Australian Government legislation - the National Greenhouse and Energy Reporting Measureement Determination 2008"</w:instrText>
      </w:r>
      <w:r w:rsidR="00266EE3">
        <w:fldChar w:fldCharType="separate"/>
      </w:r>
      <w:r w:rsidR="003A56C9" w:rsidRPr="0090418E">
        <w:rPr>
          <w:rStyle w:val="Hyperlink"/>
          <w:rFonts w:asciiTheme="minorHAnsi" w:hAnsiTheme="minorHAnsi"/>
          <w:i/>
          <w:iCs/>
        </w:rPr>
        <w:t>National Greenhouse and Energy Reporting (Measurement) Determination 2008</w:t>
      </w:r>
      <w:r w:rsidR="00266EE3">
        <w:fldChar w:fldCharType="end"/>
      </w:r>
      <w:bookmarkEnd w:id="8"/>
      <w:r w:rsidR="00DB418C">
        <w:rPr>
          <w:rStyle w:val="FootnoteReference"/>
        </w:rPr>
        <w:footnoteReference w:id="5"/>
      </w:r>
      <w:r w:rsidR="003A56C9">
        <w:t xml:space="preserve"> (the NGER Measurement Determination)</w:t>
      </w:r>
      <w:r w:rsidR="00266EE3" w:rsidRPr="00CC0B28">
        <w:t>, and any other legislative instrument referenced in this document in their current form at the time of reading.</w:t>
      </w:r>
    </w:p>
    <w:p w14:paraId="636FA4C2" w14:textId="77777777" w:rsidR="001017C5" w:rsidRPr="00CC0B28" w:rsidRDefault="001F23F6" w:rsidP="001F23F6">
      <w:r w:rsidRPr="00CC0B28">
        <w:t xml:space="preserve">Changes to the legislation may affect the information in this document. It is intended that this document will be updated </w:t>
      </w:r>
      <w:proofErr w:type="gramStart"/>
      <w:r w:rsidRPr="00CC0B28">
        <w:t>in light of</w:t>
      </w:r>
      <w:proofErr w:type="gramEnd"/>
      <w:r w:rsidRPr="00CC0B28">
        <w:t xml:space="preserve"> any legislative changes or if further clarity on a particular issue is required. </w:t>
      </w:r>
    </w:p>
    <w:p w14:paraId="3B72679B" w14:textId="1A705B6A" w:rsidR="001F23F6" w:rsidRPr="00CC0B28" w:rsidRDefault="001F23F6" w:rsidP="001F23F6">
      <w:r w:rsidRPr="00CC0B28">
        <w:t xml:space="preserve">The information contained in this document is provided as guidance only. </w:t>
      </w:r>
    </w:p>
    <w:p w14:paraId="2EFD672C" w14:textId="433341FF" w:rsidR="001F23F6" w:rsidRPr="00CC0B28" w:rsidRDefault="001F23F6" w:rsidP="3FB6375E">
      <w:r w:rsidRPr="00CC0B28">
        <w:t xml:space="preserve">This document is general in nature and does not cover every situation that may arise in relation to </w:t>
      </w:r>
      <w:r w:rsidR="006E2DE5" w:rsidRPr="00CC0B28">
        <w:t>EIDs</w:t>
      </w:r>
      <w:r w:rsidR="00A26AF6" w:rsidRPr="00CC0B28">
        <w:t xml:space="preserve"> or the </w:t>
      </w:r>
      <w:r w:rsidR="00C44F4E" w:rsidRPr="00CC0B28">
        <w:t>S</w:t>
      </w:r>
      <w:r w:rsidRPr="00CC0B28">
        <w:t xml:space="preserve">afeguard </w:t>
      </w:r>
      <w:r w:rsidR="00C44F4E" w:rsidRPr="00CC0B28">
        <w:t>M</w:t>
      </w:r>
      <w:r w:rsidRPr="00CC0B28">
        <w:t>echanism</w:t>
      </w:r>
      <w:r w:rsidR="00A26AF6" w:rsidRPr="00CC0B28">
        <w:t xml:space="preserve"> broadly</w:t>
      </w:r>
      <w:r w:rsidRPr="00CC0B28">
        <w:t xml:space="preserve">. </w:t>
      </w:r>
    </w:p>
    <w:p w14:paraId="1E83DE78" w14:textId="77777777" w:rsidR="00384C7B" w:rsidRPr="00CC0B28" w:rsidRDefault="001F23F6" w:rsidP="001F23F6">
      <w:r w:rsidRPr="00CC0B28">
        <w:t>Responsible emitters are responsible for determining their obligations under the Safeguard Rule, the NGER</w:t>
      </w:r>
      <w:r w:rsidR="00DB30B2" w:rsidRPr="00CC0B28">
        <w:t> </w:t>
      </w:r>
      <w:r w:rsidRPr="00CC0B28">
        <w:t xml:space="preserve">Regulations and the NGER Act and for applying the legislation to their individual circumstances. They should seek professional advice </w:t>
      </w:r>
      <w:r w:rsidR="00384C7B" w:rsidRPr="00CC0B28">
        <w:t xml:space="preserve">relevant to their </w:t>
      </w:r>
      <w:proofErr w:type="gramStart"/>
      <w:r w:rsidR="00384C7B" w:rsidRPr="00CC0B28">
        <w:t>particular circumstances</w:t>
      </w:r>
      <w:proofErr w:type="gramEnd"/>
      <w:r w:rsidR="00384C7B" w:rsidRPr="00CC0B28">
        <w:t xml:space="preserve"> </w:t>
      </w:r>
      <w:r w:rsidRPr="00CC0B28">
        <w:t xml:space="preserve">if they have any concerns. </w:t>
      </w:r>
    </w:p>
    <w:p w14:paraId="4A6BCFDC" w14:textId="1DA00245" w:rsidR="001F23F6" w:rsidRPr="00CC0B28" w:rsidRDefault="001F23F6" w:rsidP="001F23F6">
      <w:r w:rsidRPr="00CC0B28">
        <w:t xml:space="preserve">This document does not contain </w:t>
      </w:r>
      <w:r w:rsidR="00D731DB" w:rsidRPr="00CC0B28">
        <w:t xml:space="preserve">legal advice </w:t>
      </w:r>
      <w:r w:rsidRPr="00CC0B28">
        <w:t>and is not a substitute for independent legal advice.</w:t>
      </w:r>
    </w:p>
    <w:p w14:paraId="65A82806" w14:textId="11BC0C47" w:rsidR="009B5E9A" w:rsidRPr="00CC0B28" w:rsidRDefault="001F23F6" w:rsidP="009B5E9A">
      <w:pPr>
        <w:rPr>
          <w:rFonts w:asciiTheme="majorHAnsi" w:hAnsiTheme="majorHAnsi"/>
          <w:b/>
          <w:bCs/>
          <w:color w:val="000000" w:themeColor="text1"/>
          <w:sz w:val="32"/>
        </w:rPr>
      </w:pPr>
      <w:r w:rsidRPr="00CC0B28">
        <w:t xml:space="preserve">The </w:t>
      </w:r>
      <w:r w:rsidR="00336041" w:rsidRPr="00CC0B28">
        <w:t xml:space="preserve">CER </w:t>
      </w:r>
      <w:r w:rsidRPr="00CC0B28">
        <w:t>and the Commonwealth of Australia will not be liable for any loss or damage from any cause (including negligence) whether arising directly, incidentally, or as consequential loss</w:t>
      </w:r>
      <w:r w:rsidR="00862F41" w:rsidRPr="00CC0B28">
        <w:t xml:space="preserve"> or damage</w:t>
      </w:r>
      <w:r w:rsidRPr="00CC0B28">
        <w:t>, out of or in connection with, any use of this guideline or reliance on it, for any purpose.</w:t>
      </w:r>
    </w:p>
    <w:p w14:paraId="59D999B3" w14:textId="6CF79AC7" w:rsidR="001F23F6" w:rsidRPr="00CC0B28" w:rsidRDefault="001F23F6">
      <w:pPr>
        <w:spacing w:after="0"/>
        <w:rPr>
          <w:rFonts w:asciiTheme="majorHAnsi" w:eastAsia="Times New Roman" w:hAnsiTheme="majorHAnsi"/>
          <w:b/>
          <w:bCs/>
          <w:sz w:val="32"/>
          <w:szCs w:val="32"/>
        </w:rPr>
      </w:pPr>
      <w:r w:rsidRPr="00CC0B28">
        <w:br w:type="page"/>
      </w:r>
    </w:p>
    <w:p w14:paraId="0CEFB056" w14:textId="3E9750FA" w:rsidR="007F0224" w:rsidRPr="00CC0B28" w:rsidRDefault="007F0224" w:rsidP="005C745F">
      <w:pPr>
        <w:pStyle w:val="Heading1"/>
        <w:numPr>
          <w:ilvl w:val="0"/>
          <w:numId w:val="0"/>
        </w:numPr>
        <w:ind w:left="431" w:hanging="431"/>
      </w:pPr>
      <w:bookmarkStart w:id="9" w:name="_Definitions_and_abbreviations"/>
      <w:bookmarkStart w:id="10" w:name="_Toc138918981"/>
      <w:bookmarkStart w:id="11" w:name="_Toc138922895"/>
      <w:bookmarkStart w:id="12" w:name="_Toc138922970"/>
      <w:bookmarkStart w:id="13" w:name="_Toc138923034"/>
      <w:bookmarkStart w:id="14" w:name="_Toc138923291"/>
      <w:bookmarkStart w:id="15" w:name="_Toc143503163"/>
      <w:bookmarkStart w:id="16" w:name="_Toc208216261"/>
      <w:bookmarkEnd w:id="9"/>
      <w:r w:rsidRPr="00CC0B28">
        <w:lastRenderedPageBreak/>
        <w:t>Definitions and abbreviations</w:t>
      </w:r>
      <w:bookmarkEnd w:id="10"/>
      <w:bookmarkEnd w:id="11"/>
      <w:bookmarkEnd w:id="12"/>
      <w:bookmarkEnd w:id="13"/>
      <w:bookmarkEnd w:id="14"/>
      <w:bookmarkEnd w:id="15"/>
      <w:bookmarkEnd w:id="16"/>
    </w:p>
    <w:tbl>
      <w:tblPr>
        <w:tblStyle w:val="CERTable"/>
        <w:tblW w:w="9781" w:type="dxa"/>
        <w:tblLayout w:type="fixed"/>
        <w:tblLook w:val="04A0" w:firstRow="1" w:lastRow="0" w:firstColumn="1" w:lastColumn="0" w:noHBand="0" w:noVBand="1"/>
      </w:tblPr>
      <w:tblGrid>
        <w:gridCol w:w="2552"/>
        <w:gridCol w:w="7229"/>
      </w:tblGrid>
      <w:tr w:rsidR="00C654E5" w:rsidRPr="00CC0B28" w14:paraId="1D062E17" w14:textId="77777777" w:rsidTr="20E8243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552" w:type="dxa"/>
          </w:tcPr>
          <w:p w14:paraId="208D448E" w14:textId="77777777" w:rsidR="00C654E5" w:rsidRPr="00CC0B28" w:rsidRDefault="00C654E5" w:rsidP="00CB69F0">
            <w:r w:rsidRPr="00CC0B28">
              <w:t>Term</w:t>
            </w:r>
          </w:p>
        </w:tc>
        <w:tc>
          <w:tcPr>
            <w:tcW w:w="7229" w:type="dxa"/>
          </w:tcPr>
          <w:p w14:paraId="668BD20D" w14:textId="77777777" w:rsidR="00C654E5" w:rsidRPr="00CC0B28" w:rsidRDefault="00C654E5" w:rsidP="00CB69F0">
            <w:pPr>
              <w:cnfStyle w:val="100000000000" w:firstRow="1" w:lastRow="0" w:firstColumn="0" w:lastColumn="0" w:oddVBand="0" w:evenVBand="0" w:oddHBand="0" w:evenHBand="0" w:firstRowFirstColumn="0" w:firstRowLastColumn="0" w:lastRowFirstColumn="0" w:lastRowLastColumn="0"/>
            </w:pPr>
            <w:r w:rsidRPr="00CC0B28">
              <w:t>Meaning</w:t>
            </w:r>
          </w:p>
        </w:tc>
      </w:tr>
      <w:tr w:rsidR="00C654E5" w:rsidRPr="00CC0B28" w14:paraId="0801EDBF" w14:textId="77777777" w:rsidTr="20E82431">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552" w:type="dxa"/>
          </w:tcPr>
          <w:p w14:paraId="76FD286A" w14:textId="7B69B76B" w:rsidR="00C654E5" w:rsidRPr="00CC0B28" w:rsidRDefault="00C654E5" w:rsidP="008368CE">
            <w:r w:rsidRPr="00CC0B28">
              <w:t>Australian Carbon Credit Unit (ACCU)</w:t>
            </w:r>
          </w:p>
        </w:tc>
        <w:tc>
          <w:tcPr>
            <w:tcW w:w="7229" w:type="dxa"/>
          </w:tcPr>
          <w:p w14:paraId="676AD1DD" w14:textId="31C1BBC3" w:rsidR="00F46EE6" w:rsidRPr="00CC0B28" w:rsidRDefault="000E722E" w:rsidP="00443283">
            <w:pPr>
              <w:spacing w:before="60" w:after="60"/>
              <w:cnfStyle w:val="000000100000" w:firstRow="0" w:lastRow="0" w:firstColumn="0" w:lastColumn="0" w:oddVBand="0" w:evenVBand="0" w:oddHBand="1" w:evenHBand="0" w:firstRowFirstColumn="0" w:firstRowLastColumn="0" w:lastRowFirstColumn="0" w:lastRowLastColumn="0"/>
            </w:pPr>
            <w:r w:rsidRPr="00CC0B28">
              <w:rPr>
                <w:rFonts w:cstheme="minorHAnsi"/>
              </w:rPr>
              <w:t>Each ACCU represents one tonne of carbon dioxide equivalent (tCO</w:t>
            </w:r>
            <w:r w:rsidRPr="00CC0B28">
              <w:rPr>
                <w:rFonts w:cstheme="minorHAnsi"/>
                <w:vertAlign w:val="subscript"/>
              </w:rPr>
              <w:t>2</w:t>
            </w:r>
            <w:r w:rsidRPr="00CC0B28">
              <w:rPr>
                <w:rFonts w:cstheme="minorHAnsi"/>
              </w:rPr>
              <w:t>-e) emissions stored or avoided by an eligible offsets project.</w:t>
            </w:r>
          </w:p>
        </w:tc>
      </w:tr>
      <w:tr w:rsidR="00C654E5" w:rsidRPr="00CC0B28" w14:paraId="0D368C16"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122FB61" w14:textId="21987777" w:rsidR="00C654E5" w:rsidRPr="00CC0B28" w:rsidRDefault="00C654E5" w:rsidP="008368CE">
            <w:r w:rsidRPr="00CC0B28">
              <w:t>Basis of Preparation (</w:t>
            </w:r>
            <w:proofErr w:type="spellStart"/>
            <w:r w:rsidRPr="00CC0B28">
              <w:t>BoP</w:t>
            </w:r>
            <w:proofErr w:type="spellEnd"/>
            <w:r w:rsidRPr="00CC0B28">
              <w:t>)</w:t>
            </w:r>
          </w:p>
        </w:tc>
        <w:tc>
          <w:tcPr>
            <w:tcW w:w="7229" w:type="dxa"/>
          </w:tcPr>
          <w:p w14:paraId="0612759C" w14:textId="5DE1272D" w:rsidR="00C654E5" w:rsidRPr="00CC0B28" w:rsidRDefault="00C654E5" w:rsidP="00443283">
            <w:pPr>
              <w:pStyle w:val="Default"/>
              <w:spacing w:before="60" w:after="60"/>
              <w:cnfStyle w:val="000000010000" w:firstRow="0" w:lastRow="0" w:firstColumn="0" w:lastColumn="0" w:oddVBand="0" w:evenVBand="0" w:oddHBand="0" w:evenHBand="1" w:firstRowFirstColumn="0" w:firstRowLastColumn="0" w:lastRowFirstColumn="0" w:lastRowLastColumn="0"/>
              <w:rPr>
                <w:szCs w:val="22"/>
              </w:rPr>
            </w:pPr>
            <w:r w:rsidRPr="00CC0B28" w:rsidDel="00276841">
              <w:rPr>
                <w:sz w:val="22"/>
                <w:szCs w:val="22"/>
              </w:rPr>
              <w:t xml:space="preserve">A document </w:t>
            </w:r>
            <w:r w:rsidR="00B724D9">
              <w:rPr>
                <w:sz w:val="22"/>
                <w:szCs w:val="22"/>
              </w:rPr>
              <w:t xml:space="preserve">that </w:t>
            </w:r>
            <w:r w:rsidRPr="00CC0B28" w:rsidDel="00276841">
              <w:rPr>
                <w:sz w:val="22"/>
                <w:szCs w:val="22"/>
              </w:rPr>
              <w:t>illustrates the methodology by which an application has been prepared, including details such as data sources, calculation methods, adjustments, assumptions and decisions applied.</w:t>
            </w:r>
          </w:p>
        </w:tc>
      </w:tr>
      <w:tr w:rsidR="00C654E5" w:rsidRPr="00CC0B28" w14:paraId="774BAA1F"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3579C71" w14:textId="566EB60D" w:rsidR="00C654E5" w:rsidRPr="00CC0B28" w:rsidRDefault="00C654E5" w:rsidP="000E3272">
            <w:pPr>
              <w:rPr>
                <w:bCs/>
              </w:rPr>
            </w:pPr>
            <w:r w:rsidRPr="00CC0B28">
              <w:t>Borrowing adjustment</w:t>
            </w:r>
          </w:p>
        </w:tc>
        <w:tc>
          <w:tcPr>
            <w:tcW w:w="7229" w:type="dxa"/>
          </w:tcPr>
          <w:p w14:paraId="784DFF11" w14:textId="77777777" w:rsidR="00276841" w:rsidRPr="00CC0B28" w:rsidRDefault="00276841" w:rsidP="00276841">
            <w:pPr>
              <w:pStyle w:val="Default"/>
              <w:spacing w:after="12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C0B28">
              <w:rPr>
                <w:rFonts w:cstheme="minorHAnsi"/>
                <w:sz w:val="22"/>
                <w:szCs w:val="22"/>
              </w:rPr>
              <w:t xml:space="preserve">To help manage compliance obligations, a facility can ‘borrow’ from its future baseline. </w:t>
            </w:r>
          </w:p>
          <w:p w14:paraId="76F02F18" w14:textId="2A3FAE66" w:rsidR="00C654E5" w:rsidRPr="00CC0B28" w:rsidRDefault="00276841" w:rsidP="00443283">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rFonts w:cstheme="minorHAnsi"/>
                <w:sz w:val="22"/>
                <w:szCs w:val="22"/>
              </w:rPr>
              <w:t xml:space="preserve">The responsible emitter for a facility can </w:t>
            </w:r>
            <w:proofErr w:type="gramStart"/>
            <w:r w:rsidRPr="00CC0B28">
              <w:rPr>
                <w:rFonts w:cstheme="minorHAnsi"/>
                <w:sz w:val="22"/>
                <w:szCs w:val="22"/>
              </w:rPr>
              <w:t>apply</w:t>
            </w:r>
            <w:proofErr w:type="gramEnd"/>
            <w:r w:rsidR="00F01762" w:rsidRPr="00CC0B28">
              <w:rPr>
                <w:rFonts w:cstheme="minorHAnsi"/>
                <w:sz w:val="22"/>
                <w:szCs w:val="22"/>
              </w:rPr>
              <w:t xml:space="preserve"> for a determination</w:t>
            </w:r>
            <w:r w:rsidRPr="00CC0B28">
              <w:rPr>
                <w:rFonts w:cstheme="minorHAnsi"/>
                <w:sz w:val="22"/>
                <w:szCs w:val="22"/>
              </w:rPr>
              <w:t xml:space="preserve"> to borrow up to 10% of the facility’s </w:t>
            </w:r>
            <w:r w:rsidR="00B966BD" w:rsidRPr="00CC0B28">
              <w:rPr>
                <w:rFonts w:cstheme="minorHAnsi"/>
                <w:sz w:val="22"/>
                <w:szCs w:val="22"/>
              </w:rPr>
              <w:t xml:space="preserve">current </w:t>
            </w:r>
            <w:r w:rsidRPr="00CC0B28">
              <w:rPr>
                <w:rFonts w:cstheme="minorHAnsi"/>
                <w:sz w:val="22"/>
                <w:szCs w:val="22"/>
              </w:rPr>
              <w:t xml:space="preserve">baseline </w:t>
            </w:r>
            <w:r w:rsidR="00B966BD" w:rsidRPr="00CC0B28">
              <w:rPr>
                <w:rFonts w:cstheme="minorHAnsi"/>
                <w:sz w:val="22"/>
                <w:szCs w:val="22"/>
              </w:rPr>
              <w:t xml:space="preserve">from its baseline </w:t>
            </w:r>
            <w:r w:rsidRPr="00CC0B28">
              <w:rPr>
                <w:rFonts w:cstheme="minorHAnsi"/>
                <w:sz w:val="22"/>
                <w:szCs w:val="22"/>
              </w:rPr>
              <w:t xml:space="preserve">for </w:t>
            </w:r>
            <w:r w:rsidR="007C0DD5" w:rsidRPr="00CC0B28">
              <w:rPr>
                <w:rFonts w:cstheme="minorHAnsi"/>
                <w:sz w:val="22"/>
                <w:szCs w:val="22"/>
              </w:rPr>
              <w:t xml:space="preserve">the </w:t>
            </w:r>
            <w:r w:rsidR="009A73FA" w:rsidRPr="00CC0B28">
              <w:rPr>
                <w:rFonts w:cstheme="minorHAnsi"/>
                <w:sz w:val="22"/>
                <w:szCs w:val="22"/>
              </w:rPr>
              <w:t>next</w:t>
            </w:r>
            <w:r w:rsidR="000D01C3" w:rsidRPr="00CC0B28">
              <w:rPr>
                <w:rFonts w:cstheme="minorHAnsi"/>
                <w:sz w:val="22"/>
                <w:szCs w:val="22"/>
              </w:rPr>
              <w:t xml:space="preserve"> </w:t>
            </w:r>
            <w:r w:rsidRPr="00CC0B28">
              <w:rPr>
                <w:rFonts w:cstheme="minorHAnsi"/>
                <w:sz w:val="22"/>
                <w:szCs w:val="22"/>
              </w:rPr>
              <w:t xml:space="preserve">financial </w:t>
            </w:r>
            <w:r w:rsidRPr="00591A1E">
              <w:rPr>
                <w:rFonts w:cstheme="minorHAnsi"/>
                <w:sz w:val="22"/>
                <w:szCs w:val="22"/>
              </w:rPr>
              <w:t>year</w:t>
            </w:r>
            <w:r w:rsidR="00CE7643" w:rsidRPr="00591A1E">
              <w:rPr>
                <w:rFonts w:cstheme="minorHAnsi"/>
                <w:sz w:val="22"/>
                <w:szCs w:val="22"/>
              </w:rPr>
              <w:t>.</w:t>
            </w:r>
            <w:r w:rsidR="00550F62" w:rsidRPr="00591A1E">
              <w:rPr>
                <w:rFonts w:cstheme="minorHAnsi"/>
                <w:sz w:val="22"/>
                <w:szCs w:val="22"/>
              </w:rPr>
              <w:t xml:space="preserve"> </w:t>
            </w:r>
            <w:r w:rsidR="009D3C3B" w:rsidRPr="00591A1E">
              <w:rPr>
                <w:rFonts w:cstheme="minorHAnsi"/>
                <w:sz w:val="22"/>
                <w:szCs w:val="22"/>
              </w:rPr>
              <w:t>For the</w:t>
            </w:r>
            <w:r w:rsidR="009D3C3B">
              <w:rPr>
                <w:rFonts w:cstheme="minorHAnsi"/>
                <w:sz w:val="22"/>
                <w:szCs w:val="22"/>
              </w:rPr>
              <w:t xml:space="preserve"> </w:t>
            </w:r>
            <w:r w:rsidR="00544161" w:rsidRPr="00CC0B28">
              <w:rPr>
                <w:rFonts w:cstheme="minorHAnsi"/>
                <w:sz w:val="22"/>
                <w:szCs w:val="22"/>
              </w:rPr>
              <w:t xml:space="preserve">next financial year, </w:t>
            </w:r>
            <w:r w:rsidR="002340CB" w:rsidRPr="00CC0B28">
              <w:rPr>
                <w:rFonts w:cstheme="minorHAnsi"/>
                <w:sz w:val="22"/>
                <w:szCs w:val="22"/>
              </w:rPr>
              <w:t xml:space="preserve">the </w:t>
            </w:r>
            <w:r w:rsidR="009D3C3B" w:rsidRPr="00591A1E">
              <w:rPr>
                <w:rFonts w:cstheme="minorHAnsi"/>
                <w:sz w:val="22"/>
                <w:szCs w:val="22"/>
              </w:rPr>
              <w:t>facility’s</w:t>
            </w:r>
            <w:r w:rsidR="009D3C3B">
              <w:rPr>
                <w:rFonts w:cstheme="minorHAnsi"/>
                <w:sz w:val="22"/>
                <w:szCs w:val="22"/>
              </w:rPr>
              <w:t xml:space="preserve"> </w:t>
            </w:r>
            <w:r w:rsidR="002340CB" w:rsidRPr="00CC0B28">
              <w:rPr>
                <w:rFonts w:cstheme="minorHAnsi"/>
                <w:sz w:val="22"/>
                <w:szCs w:val="22"/>
              </w:rPr>
              <w:t xml:space="preserve">baseline will be reduced by the amount borrowed plus </w:t>
            </w:r>
            <w:r w:rsidRPr="00CC0B28">
              <w:rPr>
                <w:rFonts w:cstheme="minorHAnsi"/>
                <w:sz w:val="22"/>
                <w:szCs w:val="22"/>
              </w:rPr>
              <w:t>2% interest,</w:t>
            </w:r>
            <w:r w:rsidR="00A633B7" w:rsidRPr="00CC0B28">
              <w:rPr>
                <w:rFonts w:cstheme="minorHAnsi"/>
                <w:sz w:val="22"/>
                <w:szCs w:val="22"/>
              </w:rPr>
              <w:t xml:space="preserve"> unless another borrowing adjustment determination applies. Th</w:t>
            </w:r>
            <w:r w:rsidR="00237010" w:rsidRPr="00CC0B28">
              <w:rPr>
                <w:rFonts w:cstheme="minorHAnsi"/>
                <w:sz w:val="22"/>
                <w:szCs w:val="22"/>
              </w:rPr>
              <w:t>e</w:t>
            </w:r>
            <w:r w:rsidR="00A633B7" w:rsidRPr="00CC0B28">
              <w:rPr>
                <w:rFonts w:cstheme="minorHAnsi"/>
                <w:sz w:val="22"/>
                <w:szCs w:val="22"/>
              </w:rPr>
              <w:t xml:space="preserve"> interest rate will</w:t>
            </w:r>
            <w:r w:rsidRPr="00CC0B28">
              <w:rPr>
                <w:rFonts w:cstheme="minorHAnsi"/>
                <w:sz w:val="22"/>
                <w:szCs w:val="22"/>
              </w:rPr>
              <w:t xml:space="preserve"> increas</w:t>
            </w:r>
            <w:r w:rsidR="00A633B7" w:rsidRPr="00CC0B28">
              <w:rPr>
                <w:rFonts w:cstheme="minorHAnsi"/>
                <w:sz w:val="22"/>
                <w:szCs w:val="22"/>
              </w:rPr>
              <w:t>e</w:t>
            </w:r>
            <w:r w:rsidR="00237010" w:rsidRPr="00CC0B28">
              <w:rPr>
                <w:rFonts w:cstheme="minorHAnsi"/>
                <w:sz w:val="22"/>
                <w:szCs w:val="22"/>
              </w:rPr>
              <w:t xml:space="preserve"> from 2%</w:t>
            </w:r>
            <w:r w:rsidRPr="00CC0B28">
              <w:rPr>
                <w:rFonts w:cstheme="minorHAnsi"/>
                <w:sz w:val="22"/>
                <w:szCs w:val="22"/>
              </w:rPr>
              <w:t xml:space="preserve"> to 10% for financial years commencing on or after 1 July 2026.</w:t>
            </w:r>
          </w:p>
        </w:tc>
      </w:tr>
      <w:tr w:rsidR="00C654E5" w:rsidRPr="00CC0B28" w14:paraId="0D717158"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B21CDF9" w14:textId="3458DE0B" w:rsidR="00C654E5" w:rsidRPr="00CC0B28" w:rsidRDefault="00C654E5" w:rsidP="000E3272">
            <w:pPr>
              <w:rPr>
                <w:bCs/>
              </w:rPr>
            </w:pPr>
            <w:r w:rsidRPr="00CC0B28">
              <w:rPr>
                <w:bCs/>
              </w:rPr>
              <w:t>Controlling corporation</w:t>
            </w:r>
          </w:p>
        </w:tc>
        <w:tc>
          <w:tcPr>
            <w:tcW w:w="7229" w:type="dxa"/>
          </w:tcPr>
          <w:p w14:paraId="2AE77B49" w14:textId="09EE582F" w:rsidR="00C654E5" w:rsidRPr="00CC0B28" w:rsidRDefault="00C057FB" w:rsidP="0044328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t>A</w:t>
            </w:r>
            <w:r w:rsidR="008501C3" w:rsidRPr="00CC0B28">
              <w:t xml:space="preserve">s defined in section 7 of </w:t>
            </w:r>
            <w:hyperlink r:id="rId13" w:tooltip="A link to the Australian Government legislation - the National Greenhouse and Energy reporting act 2007" w:history="1">
              <w:r w:rsidR="008501C3" w:rsidRPr="00CC0B28">
                <w:rPr>
                  <w:rStyle w:val="Hyperlink"/>
                </w:rPr>
                <w:t>the NGER Act</w:t>
              </w:r>
            </w:hyperlink>
            <w:r w:rsidR="008501C3" w:rsidRPr="00CC0B28">
              <w:rPr>
                <w:rStyle w:val="FootnoteReference"/>
              </w:rPr>
              <w:footnoteReference w:id="6"/>
            </w:r>
            <w:r>
              <w:t>,</w:t>
            </w:r>
            <w:r w:rsidRPr="00CC0B28">
              <w:t xml:space="preserve"> a</w:t>
            </w:r>
            <w:r w:rsidR="008501C3" w:rsidRPr="00CC0B28">
              <w:t xml:space="preserve"> controlling corporation is a constitutional corporation that does not have a holding company in Australia. It is generally the corporation at the top of the corporate hierarchy in Australia. It can be a 'non</w:t>
            </w:r>
            <w:r w:rsidR="008501C3" w:rsidRPr="00CC0B28">
              <w:rPr>
                <w:rFonts w:ascii="Cambria Math" w:hAnsi="Cambria Math" w:cs="Cambria Math"/>
              </w:rPr>
              <w:t>‑</w:t>
            </w:r>
            <w:r w:rsidR="008501C3" w:rsidRPr="00CC0B28">
              <w:t>operational' holding company. It may also be a foreign incorporated entity that operates directly in Australia (that is, does not operate through an Australian incorporated subsidiary).</w:t>
            </w:r>
            <w:r w:rsidR="00FB127C">
              <w:t xml:space="preserve"> </w:t>
            </w:r>
            <w:r w:rsidRPr="00CC0B28">
              <w:rPr>
                <w:sz w:val="22"/>
                <w:szCs w:val="22"/>
              </w:rPr>
              <w:t xml:space="preserve">A controlling corporation must register and report under the NGER Act. </w:t>
            </w:r>
          </w:p>
        </w:tc>
      </w:tr>
      <w:tr w:rsidR="00C654E5" w:rsidRPr="00CC0B28" w14:paraId="438CC496"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5F83E57" w14:textId="195FDA49" w:rsidR="00C654E5" w:rsidRPr="00CC0B28" w:rsidRDefault="00C654E5" w:rsidP="000E3272">
            <w:pPr>
              <w:rPr>
                <w:color w:val="auto"/>
              </w:rPr>
            </w:pPr>
            <w:r w:rsidRPr="00CC0B28">
              <w:t>Covered emissions</w:t>
            </w:r>
          </w:p>
        </w:tc>
        <w:tc>
          <w:tcPr>
            <w:tcW w:w="7229" w:type="dxa"/>
          </w:tcPr>
          <w:p w14:paraId="1DAE7859" w14:textId="77777777" w:rsidR="00484579" w:rsidRPr="00CC0B28" w:rsidRDefault="00484579" w:rsidP="00484579">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Scope 1 emissions of one or more greenhouse gas, including:</w:t>
            </w:r>
          </w:p>
          <w:p w14:paraId="494B9E10" w14:textId="54A86B57" w:rsidR="00484579" w:rsidRPr="00CC0B28" w:rsidRDefault="00484579" w:rsidP="001F1DCA">
            <w:pPr>
              <w:pStyle w:val="Default"/>
              <w:numPr>
                <w:ilvl w:val="0"/>
                <w:numId w:val="4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direct emissions from fugitive emissions</w:t>
            </w:r>
          </w:p>
          <w:p w14:paraId="74FB9A56" w14:textId="30B013C9" w:rsidR="00484579" w:rsidRPr="00CC0B28" w:rsidRDefault="00484579" w:rsidP="001F1DCA">
            <w:pPr>
              <w:pStyle w:val="Default"/>
              <w:numPr>
                <w:ilvl w:val="0"/>
                <w:numId w:val="4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emissions from fuel combustion</w:t>
            </w:r>
          </w:p>
          <w:p w14:paraId="47C67294" w14:textId="366467CB" w:rsidR="00484579" w:rsidRPr="00CC0B28" w:rsidRDefault="00484579" w:rsidP="2544A356">
            <w:pPr>
              <w:pStyle w:val="Default"/>
              <w:numPr>
                <w:ilvl w:val="0"/>
                <w:numId w:val="4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waste disposal and industrial process such as cement and steel making.</w:t>
            </w:r>
          </w:p>
          <w:p w14:paraId="5F7C6DCA" w14:textId="361610B8" w:rsidR="00C654E5" w:rsidRPr="00CC0B28" w:rsidRDefault="00484579" w:rsidP="00443283">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 xml:space="preserve">Some scope 1 </w:t>
            </w:r>
            <w:proofErr w:type="gramStart"/>
            <w:r w:rsidRPr="00CC0B28">
              <w:rPr>
                <w:sz w:val="22"/>
                <w:szCs w:val="22"/>
              </w:rPr>
              <w:t>emissions</w:t>
            </w:r>
            <w:proofErr w:type="gramEnd"/>
            <w:r w:rsidRPr="00CC0B28">
              <w:rPr>
                <w:sz w:val="22"/>
                <w:szCs w:val="22"/>
              </w:rPr>
              <w:t xml:space="preserve"> are not covered by the Safeguard Mechanism, such as emissions from </w:t>
            </w:r>
            <w:r w:rsidRPr="00591A1E">
              <w:rPr>
                <w:sz w:val="22"/>
                <w:szCs w:val="22"/>
              </w:rPr>
              <w:t xml:space="preserve">landfills associated with </w:t>
            </w:r>
            <w:r w:rsidR="001F6478" w:rsidRPr="00591A1E">
              <w:rPr>
                <w:sz w:val="22"/>
                <w:szCs w:val="22"/>
              </w:rPr>
              <w:t xml:space="preserve">waste </w:t>
            </w:r>
            <w:r w:rsidR="002812E5" w:rsidRPr="00591A1E">
              <w:rPr>
                <w:sz w:val="22"/>
                <w:szCs w:val="22"/>
              </w:rPr>
              <w:t xml:space="preserve">accepted by the landfill before </w:t>
            </w:r>
            <w:r w:rsidRPr="00591A1E">
              <w:rPr>
                <w:sz w:val="22"/>
                <w:szCs w:val="22"/>
              </w:rPr>
              <w:t xml:space="preserve">1 July 2016 and emissions related to the </w:t>
            </w:r>
            <w:r w:rsidR="00E015E0" w:rsidRPr="00591A1E">
              <w:rPr>
                <w:sz w:val="22"/>
                <w:szCs w:val="22"/>
              </w:rPr>
              <w:t xml:space="preserve">generation </w:t>
            </w:r>
            <w:r w:rsidRPr="00591A1E">
              <w:rPr>
                <w:sz w:val="22"/>
                <w:szCs w:val="22"/>
              </w:rPr>
              <w:t>of electricity at a grid-connected</w:t>
            </w:r>
            <w:r w:rsidRPr="00CC0B28">
              <w:rPr>
                <w:sz w:val="22"/>
                <w:szCs w:val="22"/>
              </w:rPr>
              <w:t xml:space="preserve"> electricity generation facility.</w:t>
            </w:r>
          </w:p>
        </w:tc>
      </w:tr>
      <w:tr w:rsidR="00C654E5" w:rsidRPr="00CC0B28" w14:paraId="1A16D35E"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2C9A833" w14:textId="3D258B57" w:rsidR="00C654E5" w:rsidRPr="00CC0B28" w:rsidRDefault="00C654E5" w:rsidP="000E3272">
            <w:pPr>
              <w:rPr>
                <w:color w:val="auto"/>
              </w:rPr>
            </w:pPr>
            <w:r w:rsidRPr="00CC0B28">
              <w:t>Designated historical information</w:t>
            </w:r>
          </w:p>
        </w:tc>
        <w:tc>
          <w:tcPr>
            <w:tcW w:w="7229" w:type="dxa"/>
          </w:tcPr>
          <w:p w14:paraId="5FEE99A1" w14:textId="77777777" w:rsidR="000038BF" w:rsidRPr="00CC0B28" w:rsidRDefault="000038BF" w:rsidP="000038BF">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The following is the designated historical information about a historical production variable for a facility:</w:t>
            </w:r>
          </w:p>
          <w:p w14:paraId="2565EDEA" w14:textId="77777777" w:rsidR="000038BF" w:rsidRPr="00CC0B28" w:rsidRDefault="000038BF" w:rsidP="000038BF">
            <w:pPr>
              <w:pStyle w:val="Default"/>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the quantity of the production variable in each historical financial year that is measured in accordance with any measurement requirements or procedures specified in Schedule 1 of the Safeguard Rule in relation to the production variable.</w:t>
            </w:r>
          </w:p>
          <w:p w14:paraId="00D22D0C" w14:textId="46199ED1" w:rsidR="00C654E5" w:rsidRPr="00CC0B28" w:rsidRDefault="00C654E5" w:rsidP="00443283">
            <w:pPr>
              <w:pStyle w:val="Default"/>
              <w:numPr>
                <w:ilvl w:val="0"/>
                <w:numId w:val="7"/>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sidDel="000038BF">
              <w:rPr>
                <w:sz w:val="22"/>
                <w:szCs w:val="22"/>
              </w:rPr>
              <w:t xml:space="preserve">the </w:t>
            </w:r>
            <w:proofErr w:type="gramStart"/>
            <w:r w:rsidRPr="00CC0B28" w:rsidDel="000038BF">
              <w:rPr>
                <w:sz w:val="22"/>
                <w:szCs w:val="22"/>
              </w:rPr>
              <w:t>amount</w:t>
            </w:r>
            <w:proofErr w:type="gramEnd"/>
            <w:r w:rsidRPr="00CC0B28" w:rsidDel="000038BF">
              <w:rPr>
                <w:sz w:val="22"/>
                <w:szCs w:val="22"/>
              </w:rPr>
              <w:t xml:space="preserve"> of covered emissions of greenhouse gases (in tCO</w:t>
            </w:r>
            <w:r w:rsidRPr="00CC0B28" w:rsidDel="000038BF">
              <w:rPr>
                <w:vertAlign w:val="subscript"/>
              </w:rPr>
              <w:t>2</w:t>
            </w:r>
            <w:r w:rsidRPr="00CC0B28" w:rsidDel="000038BF">
              <w:rPr>
                <w:sz w:val="22"/>
                <w:szCs w:val="22"/>
              </w:rPr>
              <w:t>-e) relevantly associated with the production variable in each historical financial year.</w:t>
            </w:r>
          </w:p>
        </w:tc>
      </w:tr>
      <w:tr w:rsidR="00C654E5" w:rsidRPr="00CC0B28" w14:paraId="4663EEED"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02BAB7E" w14:textId="7139C3FE" w:rsidR="00C654E5" w:rsidRPr="00CC0B28" w:rsidRDefault="00C654E5" w:rsidP="000E3272">
            <w:pPr>
              <w:rPr>
                <w:color w:val="auto"/>
              </w:rPr>
            </w:pPr>
            <w:r w:rsidRPr="00CC0B28">
              <w:t>Eligible facility</w:t>
            </w:r>
          </w:p>
        </w:tc>
        <w:tc>
          <w:tcPr>
            <w:tcW w:w="7229" w:type="dxa"/>
          </w:tcPr>
          <w:p w14:paraId="2B1A1AFF" w14:textId="05C4810A" w:rsidR="00C5160D" w:rsidRPr="00CC0B28" w:rsidRDefault="00C5160D" w:rsidP="00C5160D">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 xml:space="preserve">A facility that meets eligibility criteria in section 58B of </w:t>
            </w:r>
            <w:hyperlink r:id="rId14" w:tooltip="A link to the Australian Government legislation - the Safeguard Rule" w:history="1">
              <w:r w:rsidRPr="007E30D2">
                <w:rPr>
                  <w:rStyle w:val="Hyperlink"/>
                  <w:szCs w:val="22"/>
                </w:rPr>
                <w:t>the Safeguard Rule</w:t>
              </w:r>
            </w:hyperlink>
            <w:r w:rsidR="002B457A" w:rsidRPr="00CC0B28">
              <w:rPr>
                <w:rStyle w:val="FootnoteReference"/>
                <w:sz w:val="22"/>
                <w:szCs w:val="22"/>
              </w:rPr>
              <w:footnoteReference w:id="7"/>
            </w:r>
            <w:r w:rsidRPr="00CC0B28">
              <w:rPr>
                <w:sz w:val="22"/>
                <w:szCs w:val="22"/>
              </w:rPr>
              <w:t>.</w:t>
            </w:r>
          </w:p>
          <w:p w14:paraId="238A7956" w14:textId="77777777" w:rsidR="00C5160D" w:rsidRPr="00CC0B28" w:rsidRDefault="00C5160D" w:rsidP="00C5160D">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p>
          <w:p w14:paraId="5FFB4A72" w14:textId="121209D5" w:rsidR="00C654E5" w:rsidRPr="00CC0B28" w:rsidRDefault="00C5160D" w:rsidP="00443283">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 xml:space="preserve">The responsible emitter for an ‘eligible facility’ </w:t>
            </w:r>
            <w:r w:rsidR="001367F1" w:rsidRPr="00CC0B28">
              <w:rPr>
                <w:sz w:val="22"/>
                <w:szCs w:val="22"/>
              </w:rPr>
              <w:t xml:space="preserve">(refer to Appendix A) </w:t>
            </w:r>
            <w:r w:rsidRPr="00CC0B28">
              <w:rPr>
                <w:sz w:val="22"/>
                <w:szCs w:val="22"/>
              </w:rPr>
              <w:t xml:space="preserve">can be issued with SMCs, after a facility’s emissions drop below the Safeguard threshold, subject to meeting the requirements for issuance under sections 56 or 57 of the Safeguard Rule. </w:t>
            </w:r>
          </w:p>
        </w:tc>
      </w:tr>
      <w:tr w:rsidR="00C654E5" w:rsidRPr="00CC0B28" w14:paraId="647932D9"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7A9D1E3" w14:textId="3BB90E06" w:rsidR="00C654E5" w:rsidRPr="00CC0B28" w:rsidRDefault="00C654E5" w:rsidP="000E3272">
            <w:pPr>
              <w:rPr>
                <w:color w:val="auto"/>
              </w:rPr>
            </w:pPr>
            <w:r w:rsidRPr="00CC0B28">
              <w:t>Existing facility</w:t>
            </w:r>
          </w:p>
        </w:tc>
        <w:tc>
          <w:tcPr>
            <w:tcW w:w="7229" w:type="dxa"/>
          </w:tcPr>
          <w:p w14:paraId="28807E47" w14:textId="22B186C1" w:rsidR="00C654E5" w:rsidRPr="00CC0B28" w:rsidRDefault="00760820" w:rsidP="0044328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 xml:space="preserve">A facility is an existing </w:t>
            </w:r>
            <w:r w:rsidRPr="00591A1E">
              <w:rPr>
                <w:sz w:val="22"/>
                <w:szCs w:val="22"/>
              </w:rPr>
              <w:t xml:space="preserve">facility if </w:t>
            </w:r>
            <w:r w:rsidR="00EC1875" w:rsidRPr="00591A1E">
              <w:rPr>
                <w:sz w:val="22"/>
                <w:szCs w:val="22"/>
              </w:rPr>
              <w:t>any</w:t>
            </w:r>
            <w:r w:rsidRPr="00591A1E">
              <w:rPr>
                <w:sz w:val="22"/>
                <w:szCs w:val="22"/>
              </w:rPr>
              <w:t xml:space="preserve"> historical production variables or transitional production variables </w:t>
            </w:r>
            <w:r w:rsidR="005C0BA4" w:rsidRPr="00591A1E">
              <w:rPr>
                <w:sz w:val="22"/>
                <w:szCs w:val="22"/>
              </w:rPr>
              <w:t>(</w:t>
            </w:r>
            <w:r w:rsidR="0080213C" w:rsidRPr="00591A1E">
              <w:rPr>
                <w:sz w:val="22"/>
                <w:szCs w:val="22"/>
              </w:rPr>
              <w:t xml:space="preserve">that </w:t>
            </w:r>
            <w:r w:rsidR="00EC1875" w:rsidRPr="00591A1E">
              <w:rPr>
                <w:sz w:val="22"/>
                <w:szCs w:val="22"/>
              </w:rPr>
              <w:t xml:space="preserve">are </w:t>
            </w:r>
            <w:r w:rsidR="005C0BA4" w:rsidRPr="00591A1E">
              <w:rPr>
                <w:sz w:val="22"/>
                <w:szCs w:val="22"/>
              </w:rPr>
              <w:t xml:space="preserve">not non-commercial production </w:t>
            </w:r>
            <w:r w:rsidR="008A5115" w:rsidRPr="00591A1E">
              <w:rPr>
                <w:sz w:val="22"/>
                <w:szCs w:val="22"/>
              </w:rPr>
              <w:t>variable</w:t>
            </w:r>
            <w:r w:rsidR="00EC1875" w:rsidRPr="00591A1E">
              <w:rPr>
                <w:sz w:val="22"/>
                <w:szCs w:val="22"/>
              </w:rPr>
              <w:t>s</w:t>
            </w:r>
            <w:r w:rsidR="008A5115" w:rsidRPr="00591A1E">
              <w:rPr>
                <w:sz w:val="22"/>
                <w:szCs w:val="22"/>
              </w:rPr>
              <w:t xml:space="preserve"> </w:t>
            </w:r>
            <w:r w:rsidR="0080213C" w:rsidRPr="00591A1E">
              <w:rPr>
                <w:sz w:val="22"/>
                <w:szCs w:val="22"/>
              </w:rPr>
              <w:t xml:space="preserve">and </w:t>
            </w:r>
            <w:r w:rsidR="000E5261" w:rsidRPr="00591A1E">
              <w:rPr>
                <w:sz w:val="22"/>
                <w:szCs w:val="22"/>
              </w:rPr>
              <w:t>that</w:t>
            </w:r>
            <w:r w:rsidR="0080213C" w:rsidRPr="00591A1E">
              <w:rPr>
                <w:sz w:val="22"/>
                <w:szCs w:val="22"/>
              </w:rPr>
              <w:t xml:space="preserve"> apply to the</w:t>
            </w:r>
            <w:r w:rsidR="00D85431" w:rsidRPr="00591A1E">
              <w:rPr>
                <w:sz w:val="22"/>
                <w:szCs w:val="22"/>
              </w:rPr>
              <w:t xml:space="preserve"> facility</w:t>
            </w:r>
            <w:r w:rsidRPr="00591A1E">
              <w:rPr>
                <w:sz w:val="22"/>
                <w:szCs w:val="22"/>
              </w:rPr>
              <w:t xml:space="preserve"> in the 2022-23 financial year</w:t>
            </w:r>
            <w:r w:rsidR="00D85431" w:rsidRPr="00591A1E">
              <w:rPr>
                <w:sz w:val="22"/>
                <w:szCs w:val="22"/>
              </w:rPr>
              <w:t xml:space="preserve">) </w:t>
            </w:r>
            <w:r w:rsidR="005C0BA4" w:rsidRPr="00591A1E">
              <w:rPr>
                <w:sz w:val="22"/>
                <w:szCs w:val="22"/>
              </w:rPr>
              <w:t>apply to the facility</w:t>
            </w:r>
            <w:r w:rsidRPr="00591A1E">
              <w:rPr>
                <w:sz w:val="22"/>
                <w:szCs w:val="22"/>
              </w:rPr>
              <w:t>.</w:t>
            </w:r>
          </w:p>
        </w:tc>
      </w:tr>
      <w:tr w:rsidR="00C654E5" w:rsidRPr="00CC0B28" w14:paraId="09C53009"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96061DB" w14:textId="45396140" w:rsidR="00C654E5" w:rsidRPr="00CC0B28" w:rsidRDefault="0095149E" w:rsidP="000E3272">
            <w:pPr>
              <w:rPr>
                <w:color w:val="auto"/>
              </w:rPr>
            </w:pPr>
            <w:r w:rsidRPr="00CC0B28">
              <w:t>Emissions-intensity</w:t>
            </w:r>
            <w:r w:rsidR="00C654E5" w:rsidRPr="00CC0B28">
              <w:t xml:space="preserve"> (EI)</w:t>
            </w:r>
          </w:p>
        </w:tc>
        <w:tc>
          <w:tcPr>
            <w:tcW w:w="7229" w:type="dxa"/>
          </w:tcPr>
          <w:p w14:paraId="319705C5" w14:textId="0F78A433" w:rsidR="00C654E5" w:rsidRPr="00CC0B28" w:rsidRDefault="00470F14" w:rsidP="00470F14">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Emissions-intensity for a production variable means the emissions released, in tCO</w:t>
            </w:r>
            <w:r w:rsidRPr="00CC0B28">
              <w:rPr>
                <w:sz w:val="22"/>
                <w:szCs w:val="22"/>
                <w:vertAlign w:val="subscript"/>
              </w:rPr>
              <w:t>2</w:t>
            </w:r>
            <w:r w:rsidRPr="00CC0B28">
              <w:rPr>
                <w:sz w:val="22"/>
                <w:szCs w:val="22"/>
              </w:rPr>
              <w:t xml:space="preserve">-e, per unit of the production variable. Production variables are set out in Schedule 1 of </w:t>
            </w:r>
            <w:hyperlink r:id="rId15" w:tooltip="A link to the Australian Government legislation - the Safeguard Rule" w:history="1">
              <w:r w:rsidRPr="00CC0B28">
                <w:rPr>
                  <w:rStyle w:val="Hyperlink"/>
                  <w:szCs w:val="22"/>
                </w:rPr>
                <w:t>the Safeguard Rule</w:t>
              </w:r>
            </w:hyperlink>
            <w:r w:rsidR="00C0207C">
              <w:rPr>
                <w:sz w:val="22"/>
                <w:szCs w:val="22"/>
                <w:vertAlign w:val="superscript"/>
              </w:rPr>
              <w:t>6</w:t>
            </w:r>
            <w:r w:rsidRPr="00CC0B28">
              <w:rPr>
                <w:sz w:val="22"/>
                <w:szCs w:val="22"/>
              </w:rPr>
              <w:t>.</w:t>
            </w:r>
          </w:p>
        </w:tc>
      </w:tr>
      <w:tr w:rsidR="00C654E5" w:rsidRPr="00CC0B28" w14:paraId="6A562396" w14:textId="77777777" w:rsidTr="20E82431">
        <w:trPr>
          <w:cnfStyle w:val="000000010000" w:firstRow="0" w:lastRow="0" w:firstColumn="0" w:lastColumn="0" w:oddVBand="0" w:evenVBand="0" w:oddHBand="0" w:evenHBand="1"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552" w:type="dxa"/>
          </w:tcPr>
          <w:p w14:paraId="32E2EEB3" w14:textId="006E5472" w:rsidR="00C654E5" w:rsidRPr="00CC0B28" w:rsidRDefault="00C654E5" w:rsidP="00CB69F0">
            <w:pPr>
              <w:rPr>
                <w:color w:val="auto"/>
              </w:rPr>
            </w:pPr>
            <w:r w:rsidRPr="00CC0B28">
              <w:t>Executive officer (EO)</w:t>
            </w:r>
          </w:p>
        </w:tc>
        <w:tc>
          <w:tcPr>
            <w:tcW w:w="7229" w:type="dxa"/>
          </w:tcPr>
          <w:p w14:paraId="38147C74" w14:textId="77777777" w:rsidR="00397311" w:rsidRPr="00CC0B28" w:rsidRDefault="00397311" w:rsidP="00397311">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An executive officer is defined as a:</w:t>
            </w:r>
          </w:p>
          <w:p w14:paraId="04F7351A" w14:textId="38AC0530" w:rsidR="00397311" w:rsidRPr="00CC0B28" w:rsidRDefault="00397311" w:rsidP="001F1DCA">
            <w:pPr>
              <w:pStyle w:val="Default"/>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Director</w:t>
            </w:r>
          </w:p>
          <w:p w14:paraId="1ABCDA73" w14:textId="7608633B" w:rsidR="00397311" w:rsidRPr="00CC0B28" w:rsidRDefault="00397311" w:rsidP="001F1DCA">
            <w:pPr>
              <w:pStyle w:val="Default"/>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Chief Executive Officer (however described)</w:t>
            </w:r>
          </w:p>
          <w:p w14:paraId="5A152380" w14:textId="7CBA86DA" w:rsidR="00397311" w:rsidRPr="00CC0B28" w:rsidRDefault="00397311" w:rsidP="001F1DCA">
            <w:pPr>
              <w:pStyle w:val="Default"/>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Chief Financial Officer (however described)</w:t>
            </w:r>
          </w:p>
          <w:p w14:paraId="46EC17B4" w14:textId="2CB68BA2" w:rsidR="00C654E5" w:rsidRPr="00CC0B28" w:rsidRDefault="00397311" w:rsidP="009E424F">
            <w:pPr>
              <w:pStyle w:val="Default"/>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Company Secretary</w:t>
            </w:r>
          </w:p>
        </w:tc>
      </w:tr>
      <w:tr w:rsidR="00C654E5" w:rsidRPr="00CC0B28" w14:paraId="08FA3DB9" w14:textId="77777777" w:rsidTr="20E82431">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2552" w:type="dxa"/>
          </w:tcPr>
          <w:p w14:paraId="092A5AE3" w14:textId="575431E5" w:rsidR="00C654E5" w:rsidRPr="00CC0B28" w:rsidRDefault="00C654E5">
            <w:pPr>
              <w:rPr>
                <w:color w:val="auto"/>
              </w:rPr>
            </w:pPr>
            <w:r w:rsidRPr="00CC0B28">
              <w:t>Facility</w:t>
            </w:r>
          </w:p>
        </w:tc>
        <w:tc>
          <w:tcPr>
            <w:tcW w:w="7229" w:type="dxa"/>
          </w:tcPr>
          <w:p w14:paraId="1C63924F" w14:textId="76E15BA9" w:rsidR="00E65A39" w:rsidRPr="00CC0B28" w:rsidRDefault="00E65A39" w:rsidP="00E65A39">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 xml:space="preserve">Under section 9 of </w:t>
            </w:r>
            <w:hyperlink r:id="rId16" w:tooltip="A link to the Australian Government legislation - the National Greenhouse and Energy reporting act 2007" w:history="1">
              <w:r w:rsidRPr="00CC0B28">
                <w:rPr>
                  <w:rStyle w:val="Hyperlink"/>
                  <w:szCs w:val="22"/>
                </w:rPr>
                <w:t>the NGER Ac</w:t>
              </w:r>
              <w:r w:rsidRPr="00CC0B28">
                <w:rPr>
                  <w:rStyle w:val="Hyperlink"/>
                  <w:rFonts w:asciiTheme="minorHAnsi" w:hAnsiTheme="minorHAnsi"/>
                  <w:szCs w:val="22"/>
                </w:rPr>
                <w:t>t</w:t>
              </w:r>
            </w:hyperlink>
            <w:r w:rsidRPr="00CC0B28">
              <w:rPr>
                <w:rStyle w:val="FootnoteReference"/>
                <w:sz w:val="22"/>
                <w:szCs w:val="22"/>
              </w:rPr>
              <w:footnoteReference w:id="8"/>
            </w:r>
            <w:r w:rsidRPr="00CC0B28">
              <w:rPr>
                <w:sz w:val="22"/>
                <w:szCs w:val="22"/>
              </w:rPr>
              <w:t xml:space="preserve"> a facility is an activity, or a series of activities (including ancillary activities), that involve greenhouse gas emissions, the production of energy or the consumption of energy and that:</w:t>
            </w:r>
          </w:p>
          <w:p w14:paraId="32F097C6" w14:textId="5FDD9CF6" w:rsidR="00E65A39" w:rsidRPr="00CC0B28" w:rsidRDefault="00E65A39" w:rsidP="001F1DCA">
            <w:pPr>
              <w:pStyle w:val="Default"/>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 xml:space="preserve">form a single undertaking or enterprise and meet the requirements of the </w:t>
            </w:r>
            <w:hyperlink r:id="rId17" w:tooltip="A link to the Australian Government legislation - the National Greenhouse and Energy regulations 2008" w:history="1">
              <w:r w:rsidRPr="00CC0B28">
                <w:rPr>
                  <w:rStyle w:val="Hyperlink"/>
                  <w:szCs w:val="22"/>
                </w:rPr>
                <w:t>NGER Regulations</w:t>
              </w:r>
            </w:hyperlink>
            <w:r w:rsidRPr="00CC0B28">
              <w:rPr>
                <w:rStyle w:val="FootnoteReference"/>
                <w:sz w:val="22"/>
                <w:szCs w:val="22"/>
              </w:rPr>
              <w:footnoteReference w:id="9"/>
            </w:r>
            <w:r w:rsidRPr="00CC0B28">
              <w:rPr>
                <w:sz w:val="22"/>
                <w:szCs w:val="22"/>
              </w:rPr>
              <w:t>, or</w:t>
            </w:r>
          </w:p>
          <w:p w14:paraId="38ED76FB" w14:textId="5D6BDA86" w:rsidR="00C654E5" w:rsidRPr="00CC0B28" w:rsidRDefault="00E65A39" w:rsidP="009E424F">
            <w:pPr>
              <w:pStyle w:val="Default"/>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C0B28">
              <w:rPr>
                <w:sz w:val="22"/>
                <w:szCs w:val="22"/>
              </w:rPr>
              <w:t xml:space="preserve">are declared to be a facility under section 54, 54A or 54B of </w:t>
            </w:r>
            <w:hyperlink r:id="rId18" w:tooltip="A link to the Australian Government legislation - the National Greenhouse and Energy reporting act 2007" w:history="1">
              <w:r w:rsidRPr="00CC0B28">
                <w:rPr>
                  <w:rStyle w:val="Hyperlink"/>
                  <w:szCs w:val="22"/>
                </w:rPr>
                <w:t xml:space="preserve">the NGER </w:t>
              </w:r>
              <w:r w:rsidR="00C654E5" w:rsidRPr="00CC0B28">
                <w:rPr>
                  <w:rStyle w:val="Hyperlink"/>
                  <w:rFonts w:asciiTheme="minorHAnsi" w:hAnsiTheme="minorHAnsi"/>
                  <w:szCs w:val="22"/>
                </w:rPr>
                <w:t>Act</w:t>
              </w:r>
            </w:hyperlink>
            <w:r w:rsidR="00B51F3C">
              <w:rPr>
                <w:rStyle w:val="FootnoteReference"/>
                <w:sz w:val="22"/>
                <w:szCs w:val="22"/>
              </w:rPr>
              <w:t>7</w:t>
            </w:r>
            <w:r w:rsidR="232CF259" w:rsidRPr="41256CDA">
              <w:rPr>
                <w:sz w:val="22"/>
                <w:szCs w:val="22"/>
              </w:rPr>
              <w:t>.</w:t>
            </w:r>
          </w:p>
        </w:tc>
      </w:tr>
      <w:tr w:rsidR="00C654E5" w:rsidRPr="00CC0B28" w14:paraId="013A20D7" w14:textId="77777777" w:rsidTr="20E82431">
        <w:trPr>
          <w:cnfStyle w:val="000000010000" w:firstRow="0" w:lastRow="0" w:firstColumn="0" w:lastColumn="0" w:oddVBand="0" w:evenVBand="0" w:oddHBand="0" w:evenHBand="1" w:firstRowFirstColumn="0" w:firstRowLastColumn="0" w:lastRowFirstColumn="0" w:lastRowLastColumn="0"/>
          <w:trHeight w:val="2207"/>
        </w:trPr>
        <w:tc>
          <w:tcPr>
            <w:cnfStyle w:val="001000000000" w:firstRow="0" w:lastRow="0" w:firstColumn="1" w:lastColumn="0" w:oddVBand="0" w:evenVBand="0" w:oddHBand="0" w:evenHBand="0" w:firstRowFirstColumn="0" w:firstRowLastColumn="0" w:lastRowFirstColumn="0" w:lastRowLastColumn="0"/>
            <w:tcW w:w="2552" w:type="dxa"/>
          </w:tcPr>
          <w:p w14:paraId="7617DB0C" w14:textId="4F513D14" w:rsidR="00C654E5" w:rsidRPr="00CC0B28" w:rsidRDefault="00C654E5">
            <w:pPr>
              <w:rPr>
                <w:color w:val="auto"/>
              </w:rPr>
            </w:pPr>
            <w:r w:rsidRPr="00CC0B28">
              <w:t>Historical financial year</w:t>
            </w:r>
          </w:p>
        </w:tc>
        <w:tc>
          <w:tcPr>
            <w:tcW w:w="7229" w:type="dxa"/>
          </w:tcPr>
          <w:p w14:paraId="617415DA" w14:textId="77777777" w:rsidR="005C0140" w:rsidRPr="00CC0B28" w:rsidRDefault="005C0140" w:rsidP="005C0140">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A historical financial year is:</w:t>
            </w:r>
          </w:p>
          <w:p w14:paraId="3D77243D" w14:textId="3DAA35EC" w:rsidR="005C0140" w:rsidRPr="00CC0B28" w:rsidRDefault="005C0140" w:rsidP="001F1DCA">
            <w:pPr>
              <w:pStyle w:val="Default"/>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the financial year beginning on 1 July 2017, or</w:t>
            </w:r>
          </w:p>
          <w:p w14:paraId="1EB5FC0C" w14:textId="564A70E4" w:rsidR="005C0140" w:rsidRPr="00CC0B28" w:rsidRDefault="005C0140" w:rsidP="001F1DCA">
            <w:pPr>
              <w:pStyle w:val="Default"/>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the financial year beginning on 1 July 2018, or</w:t>
            </w:r>
          </w:p>
          <w:p w14:paraId="46932190" w14:textId="245C8ED0" w:rsidR="005C0140" w:rsidRPr="00CC0B28" w:rsidRDefault="005C0140" w:rsidP="001F1DCA">
            <w:pPr>
              <w:pStyle w:val="Default"/>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the financial year beginning on 1 July 2019, or</w:t>
            </w:r>
          </w:p>
          <w:p w14:paraId="157B7CEA" w14:textId="785A2490" w:rsidR="005C0140" w:rsidRPr="00CC0B28" w:rsidRDefault="005C0140" w:rsidP="001F1DCA">
            <w:pPr>
              <w:pStyle w:val="Default"/>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Pr>
                <w:sz w:val="22"/>
                <w:szCs w:val="22"/>
              </w:rPr>
              <w:t>the financial year beginning on 1 July 2020, or</w:t>
            </w:r>
          </w:p>
          <w:p w14:paraId="5AF84349" w14:textId="60C54F08" w:rsidR="00C654E5" w:rsidRPr="00CC0B28" w:rsidRDefault="00C654E5" w:rsidP="00230783">
            <w:pPr>
              <w:pStyle w:val="Default"/>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C0B28" w:rsidDel="005C0140">
              <w:rPr>
                <w:sz w:val="22"/>
                <w:szCs w:val="22"/>
              </w:rPr>
              <w:t>the financial year beginning on 1 July 2021.</w:t>
            </w:r>
          </w:p>
        </w:tc>
      </w:tr>
      <w:tr w:rsidR="00C654E5" w:rsidRPr="00CC0B28" w14:paraId="13CEA7EC"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3CB5BA2F" w14:textId="5671BDEA" w:rsidR="00C654E5" w:rsidRPr="00CC0B28" w:rsidRDefault="00C654E5">
            <w:r w:rsidRPr="00CC0B28">
              <w:t xml:space="preserve">Historical production variable </w:t>
            </w:r>
          </w:p>
        </w:tc>
        <w:tc>
          <w:tcPr>
            <w:tcW w:w="7229" w:type="dxa"/>
          </w:tcPr>
          <w:p w14:paraId="39FEF191" w14:textId="77777777" w:rsidR="007C13FC" w:rsidRPr="00CC0B28" w:rsidRDefault="007C13FC" w:rsidP="007C13FC">
            <w:pPr>
              <w:spacing w:before="60" w:after="60"/>
              <w:cnfStyle w:val="000000100000" w:firstRow="0" w:lastRow="0" w:firstColumn="0" w:lastColumn="0" w:oddVBand="0" w:evenVBand="0" w:oddHBand="1" w:evenHBand="0" w:firstRowFirstColumn="0" w:firstRowLastColumn="0" w:lastRowFirstColumn="0" w:lastRowLastColumn="0"/>
            </w:pPr>
            <w:r w:rsidRPr="00CC0B28">
              <w:t>A historical production variable, for a facility, is a production variable that:</w:t>
            </w:r>
          </w:p>
          <w:p w14:paraId="04862D0F" w14:textId="0F8B69FD" w:rsidR="007C13FC" w:rsidRPr="00C90972" w:rsidRDefault="007C13FC" w:rsidP="001F1DCA">
            <w:pPr>
              <w:pStyle w:val="ListParagraph"/>
              <w:numPr>
                <w:ilvl w:val="0"/>
                <w:numId w:val="47"/>
              </w:numPr>
              <w:spacing w:before="60" w:after="60"/>
              <w:cnfStyle w:val="000000100000" w:firstRow="0" w:lastRow="0" w:firstColumn="0" w:lastColumn="0" w:oddVBand="0" w:evenVBand="0" w:oddHBand="1" w:evenHBand="0" w:firstRowFirstColumn="0" w:firstRowLastColumn="0" w:lastRowFirstColumn="0" w:lastRowLastColumn="0"/>
            </w:pPr>
            <w:r w:rsidRPr="00CC0B28">
              <w:t xml:space="preserve">was applicable to the facility, in </w:t>
            </w:r>
            <w:r w:rsidRPr="00C90972">
              <w:t>accordance with Schedule 1 of the Safeguard Rule, at any time during a historical financial year, and</w:t>
            </w:r>
          </w:p>
          <w:p w14:paraId="019031AF" w14:textId="726DDA83" w:rsidR="00C654E5" w:rsidRPr="00CC0B28" w:rsidRDefault="00C654E5" w:rsidP="00230783">
            <w:pPr>
              <w:pStyle w:val="ListParagraph"/>
              <w:numPr>
                <w:ilvl w:val="0"/>
                <w:numId w:val="47"/>
              </w:numPr>
              <w:spacing w:before="60" w:after="60"/>
              <w:cnfStyle w:val="000000100000" w:firstRow="0" w:lastRow="0" w:firstColumn="0" w:lastColumn="0" w:oddVBand="0" w:evenVBand="0" w:oddHBand="1" w:evenHBand="0" w:firstRowFirstColumn="0" w:firstRowLastColumn="0" w:lastRowFirstColumn="0" w:lastRowLastColumn="0"/>
            </w:pPr>
            <w:r w:rsidRPr="00C90972" w:rsidDel="007C13FC">
              <w:t xml:space="preserve">was not a non-commercial production variable for the facility for </w:t>
            </w:r>
            <w:r w:rsidR="00EB2C4E" w:rsidRPr="00C90972">
              <w:t>the</w:t>
            </w:r>
            <w:r w:rsidR="00EB2C4E" w:rsidRPr="00C90972" w:rsidDel="007C13FC">
              <w:t xml:space="preserve"> </w:t>
            </w:r>
            <w:r w:rsidRPr="00C90972" w:rsidDel="007C13FC">
              <w:t>historical financial year.</w:t>
            </w:r>
          </w:p>
        </w:tc>
      </w:tr>
      <w:tr w:rsidR="00C654E5" w:rsidRPr="00CC0B28" w14:paraId="48FDA8C6"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79827982" w14:textId="45FA8B22" w:rsidR="00C654E5" w:rsidRPr="00CC0B28" w:rsidRDefault="00C654E5">
            <w:r w:rsidRPr="00CC0B28">
              <w:t>Net emissions number</w:t>
            </w:r>
          </w:p>
        </w:tc>
        <w:tc>
          <w:tcPr>
            <w:tcW w:w="7229" w:type="dxa"/>
          </w:tcPr>
          <w:p w14:paraId="1D7C6A10" w14:textId="3724BBF0" w:rsidR="00F5069E" w:rsidRPr="00CC0B28" w:rsidRDefault="00CB3AF3" w:rsidP="00443283">
            <w:pPr>
              <w:spacing w:before="60" w:after="60"/>
              <w:cnfStyle w:val="000000010000" w:firstRow="0" w:lastRow="0" w:firstColumn="0" w:lastColumn="0" w:oddVBand="0" w:evenVBand="0" w:oddHBand="0" w:evenHBand="1" w:firstRowFirstColumn="0" w:firstRowLastColumn="0" w:lastRowFirstColumn="0" w:lastRowLastColumn="0"/>
            </w:pPr>
            <w:r w:rsidRPr="00CC0B28">
              <w:t>The total amount of covered emissions in tCO</w:t>
            </w:r>
            <w:r w:rsidRPr="00CC0B28">
              <w:rPr>
                <w:vertAlign w:val="subscript"/>
              </w:rPr>
              <w:t>2</w:t>
            </w:r>
            <w:r w:rsidRPr="00CC0B28">
              <w:t>-e for a facility during a period plus any ACCUs issued in relation to the facility during that period minus any ACCUs and/or SMCs surrendered for the facility for that</w:t>
            </w:r>
            <w:r w:rsidR="00997C59" w:rsidRPr="00CC0B28">
              <w:t xml:space="preserve"> </w:t>
            </w:r>
            <w:r w:rsidRPr="00CC0B28">
              <w:t>period.</w:t>
            </w:r>
          </w:p>
        </w:tc>
      </w:tr>
      <w:tr w:rsidR="00C654E5" w:rsidRPr="00CC0B28" w14:paraId="5C1169BD"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78B5DB30" w14:textId="13C107DE" w:rsidR="00C654E5" w:rsidRPr="00CC0B28" w:rsidRDefault="00C654E5">
            <w:r w:rsidRPr="00CC0B28">
              <w:t>NGER Report</w:t>
            </w:r>
          </w:p>
        </w:tc>
        <w:tc>
          <w:tcPr>
            <w:tcW w:w="7229" w:type="dxa"/>
          </w:tcPr>
          <w:p w14:paraId="73A6AB95" w14:textId="189D0CE4" w:rsidR="00C654E5" w:rsidRPr="00CC0B28" w:rsidRDefault="00B1638E" w:rsidP="00B1638E">
            <w:pPr>
              <w:spacing w:before="60" w:after="60"/>
              <w:cnfStyle w:val="000000100000" w:firstRow="0" w:lastRow="0" w:firstColumn="0" w:lastColumn="0" w:oddVBand="0" w:evenVBand="0" w:oddHBand="1" w:evenHBand="0" w:firstRowFirstColumn="0" w:firstRowLastColumn="0" w:lastRowFirstColumn="0" w:lastRowLastColumn="0"/>
            </w:pPr>
            <w:r w:rsidRPr="00CC0B28">
              <w:t>A submission of energy and emissions information required under the NGER Act</w:t>
            </w:r>
            <w:r w:rsidRPr="00CC0B28">
              <w:rPr>
                <w:rStyle w:val="FootnoteReference"/>
              </w:rPr>
              <w:footnoteReference w:id="10"/>
            </w:r>
            <w:r w:rsidRPr="00CC0B28">
              <w:t>.</w:t>
            </w:r>
          </w:p>
        </w:tc>
      </w:tr>
      <w:tr w:rsidR="00B92450" w:rsidRPr="00CC0B28" w14:paraId="2298DE54"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B7061B2" w14:textId="3F8625DE" w:rsidR="00B92450" w:rsidRPr="00CC0B28" w:rsidRDefault="00B92450">
            <w:r w:rsidRPr="00CC0B28">
              <w:t>New facility</w:t>
            </w:r>
          </w:p>
        </w:tc>
        <w:tc>
          <w:tcPr>
            <w:tcW w:w="7229" w:type="dxa"/>
          </w:tcPr>
          <w:p w14:paraId="71609DF6" w14:textId="4AB61EB5" w:rsidR="00B92450" w:rsidRPr="00CC0B28" w:rsidRDefault="00B92450" w:rsidP="00B1638E">
            <w:pPr>
              <w:spacing w:before="60" w:after="60"/>
              <w:cnfStyle w:val="000000010000" w:firstRow="0" w:lastRow="0" w:firstColumn="0" w:lastColumn="0" w:oddVBand="0" w:evenVBand="0" w:oddHBand="0" w:evenHBand="1" w:firstRowFirstColumn="0" w:firstRowLastColumn="0" w:lastRowFirstColumn="0" w:lastRowLastColumn="0"/>
            </w:pPr>
            <w:r w:rsidRPr="00CC0B28">
              <w:t xml:space="preserve">A facility </w:t>
            </w:r>
            <w:r w:rsidR="001D45DB" w:rsidRPr="00CC0B28">
              <w:t xml:space="preserve">for which </w:t>
            </w:r>
            <w:r w:rsidR="001D45DB" w:rsidRPr="00C90972">
              <w:t xml:space="preserve">there </w:t>
            </w:r>
            <w:r w:rsidR="005970DA" w:rsidRPr="00C90972">
              <w:t xml:space="preserve">are </w:t>
            </w:r>
            <w:r w:rsidR="001D45DB" w:rsidRPr="00C90972">
              <w:t>no historical production variables or transitional production variables.</w:t>
            </w:r>
          </w:p>
        </w:tc>
      </w:tr>
      <w:tr w:rsidR="00C654E5" w:rsidRPr="00CC0B28" w14:paraId="4846BDF6"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5A03179" w14:textId="6E767ED5" w:rsidR="00C654E5" w:rsidRPr="00CC0B28" w:rsidRDefault="00C654E5" w:rsidP="00CB69F0">
            <w:r w:rsidRPr="00CC0B28">
              <w:t xml:space="preserve">Operational control </w:t>
            </w:r>
          </w:p>
        </w:tc>
        <w:tc>
          <w:tcPr>
            <w:tcW w:w="7229" w:type="dxa"/>
          </w:tcPr>
          <w:p w14:paraId="4349C779" w14:textId="51579B35" w:rsidR="00B02FA6" w:rsidRPr="00CC0B28" w:rsidRDefault="00B02FA6" w:rsidP="00B02FA6">
            <w:pPr>
              <w:spacing w:before="60" w:after="60"/>
              <w:cnfStyle w:val="000000100000" w:firstRow="0" w:lastRow="0" w:firstColumn="0" w:lastColumn="0" w:oddVBand="0" w:evenVBand="0" w:oddHBand="1" w:evenHBand="0" w:firstRowFirstColumn="0" w:firstRowLastColumn="0" w:lastRowFirstColumn="0" w:lastRowLastColumn="0"/>
            </w:pPr>
            <w:r w:rsidRPr="00CC0B28">
              <w:t xml:space="preserve">A person is considered to have operational control over a facility if that person has authority to introduce and implement operating, health and safety, and/or environmental policies, or if the CER declares </w:t>
            </w:r>
            <w:r w:rsidR="00D45839" w:rsidRPr="00CC0B28">
              <w:t xml:space="preserve">under section 55 or 55A of </w:t>
            </w:r>
            <w:hyperlink r:id="rId19" w:tooltip="A link to the Australian Government legislation - the National Greenhouse and Energy reporting act 2007" w:history="1">
              <w:r w:rsidR="00D45839" w:rsidRPr="00CC0B28">
                <w:rPr>
                  <w:rStyle w:val="Hyperlink"/>
                </w:rPr>
                <w:t>the NGER Act</w:t>
              </w:r>
            </w:hyperlink>
            <w:r w:rsidR="00D45839" w:rsidRPr="00CC0B28">
              <w:rPr>
                <w:vertAlign w:val="superscript"/>
              </w:rPr>
              <w:t xml:space="preserve">9 </w:t>
            </w:r>
            <w:r w:rsidRPr="00CC0B28">
              <w:t xml:space="preserve">the person has operational control over the facility. </w:t>
            </w:r>
          </w:p>
          <w:p w14:paraId="007640BB" w14:textId="77777777" w:rsidR="00B02FA6" w:rsidRPr="00CC0B28" w:rsidRDefault="00B02FA6" w:rsidP="00B02FA6">
            <w:pPr>
              <w:spacing w:before="60" w:after="60"/>
              <w:cnfStyle w:val="000000100000" w:firstRow="0" w:lastRow="0" w:firstColumn="0" w:lastColumn="0" w:oddVBand="0" w:evenVBand="0" w:oddHBand="1" w:evenHBand="0" w:firstRowFirstColumn="0" w:firstRowLastColumn="0" w:lastRowFirstColumn="0" w:lastRowLastColumn="0"/>
            </w:pPr>
          </w:p>
          <w:p w14:paraId="539DFC41" w14:textId="28EA306C" w:rsidR="00B02FA6" w:rsidRPr="00CC0B28" w:rsidRDefault="00B02FA6" w:rsidP="00B02FA6">
            <w:pPr>
              <w:spacing w:before="60" w:after="60"/>
              <w:cnfStyle w:val="000000100000" w:firstRow="0" w:lastRow="0" w:firstColumn="0" w:lastColumn="0" w:oddVBand="0" w:evenVBand="0" w:oddHBand="1" w:evenHBand="0" w:firstRowFirstColumn="0" w:firstRowLastColumn="0" w:lastRowFirstColumn="0" w:lastRowLastColumn="0"/>
            </w:pPr>
            <w:r w:rsidRPr="00CC0B28">
              <w:t>If there is uncertainty about which person has operational control over a facility and the agency has not made a declaration under section 55 or 55A of the NGER Act</w:t>
            </w:r>
            <w:r w:rsidR="00230783" w:rsidRPr="00CC0B28">
              <w:rPr>
                <w:vertAlign w:val="superscript"/>
              </w:rPr>
              <w:t>9</w:t>
            </w:r>
            <w:r w:rsidRPr="00CC0B28">
              <w:t>, the person with the greatest authority to introduce and implement operating and environmental policies in relation to the facility</w:t>
            </w:r>
            <w:r w:rsidR="002309CA">
              <w:t xml:space="preserve"> is taken to have operational control</w:t>
            </w:r>
            <w:r w:rsidRPr="00CC0B28">
              <w:t xml:space="preserve">. </w:t>
            </w:r>
          </w:p>
          <w:p w14:paraId="6EE33DE7" w14:textId="77777777" w:rsidR="00B02FA6" w:rsidRPr="00CC0B28" w:rsidRDefault="00B02FA6" w:rsidP="00B02FA6">
            <w:pPr>
              <w:spacing w:before="60" w:after="60"/>
              <w:cnfStyle w:val="000000100000" w:firstRow="0" w:lastRow="0" w:firstColumn="0" w:lastColumn="0" w:oddVBand="0" w:evenVBand="0" w:oddHBand="1" w:evenHBand="0" w:firstRowFirstColumn="0" w:firstRowLastColumn="0" w:lastRowFirstColumn="0" w:lastRowLastColumn="0"/>
            </w:pPr>
          </w:p>
          <w:p w14:paraId="7CCAB03C" w14:textId="18C60523" w:rsidR="00C14F1B" w:rsidRPr="00CC0B28" w:rsidRDefault="00B02FA6" w:rsidP="00443283">
            <w:pPr>
              <w:spacing w:before="60" w:after="60"/>
              <w:cnfStyle w:val="000000100000" w:firstRow="0" w:lastRow="0" w:firstColumn="0" w:lastColumn="0" w:oddVBand="0" w:evenVBand="0" w:oddHBand="1" w:evenHBand="0" w:firstRowFirstColumn="0" w:firstRowLastColumn="0" w:lastRowFirstColumn="0" w:lastRowLastColumn="0"/>
            </w:pPr>
            <w:r w:rsidRPr="00CC0B28">
              <w:t xml:space="preserve">If among </w:t>
            </w:r>
            <w:r w:rsidR="001070E9">
              <w:t>2</w:t>
            </w:r>
            <w:r w:rsidR="001070E9" w:rsidRPr="00CC0B28">
              <w:t xml:space="preserve"> </w:t>
            </w:r>
            <w:r w:rsidRPr="00CC0B28">
              <w:t>or more persons neither has the greatest authority to introduce and implement operating and environmental policies in relation to a facility, and the CER has not made a declaration under section 55 of 55A of the NGER Act</w:t>
            </w:r>
            <w:r w:rsidR="00230783" w:rsidRPr="00CC0B28">
              <w:rPr>
                <w:vertAlign w:val="superscript"/>
              </w:rPr>
              <w:t>9</w:t>
            </w:r>
            <w:r w:rsidR="00C14F1B" w:rsidRPr="00CC0B28">
              <w:t xml:space="preserve">: </w:t>
            </w:r>
          </w:p>
          <w:p w14:paraId="185BCC3F" w14:textId="77777777" w:rsidR="00C357AB" w:rsidRPr="00CC0B28" w:rsidRDefault="00C357AB" w:rsidP="00C357AB">
            <w:pPr>
              <w:pStyle w:val="CERbullets"/>
              <w:numPr>
                <w:ilvl w:val="0"/>
                <w:numId w:val="47"/>
              </w:numPr>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color w:val="000000"/>
              </w:rPr>
            </w:pPr>
            <w:r w:rsidRPr="007E30D2">
              <w:rPr>
                <w:rStyle w:val="normaltextrun"/>
                <w:rFonts w:cs="Calibri"/>
                <w:color w:val="000000"/>
              </w:rPr>
              <w:t>if a nomination by those persons is in force, then the nominated person will be taken to have operational control, or</w:t>
            </w:r>
          </w:p>
          <w:p w14:paraId="6D96ABB9" w14:textId="7FBFDA7D" w:rsidR="00C654E5" w:rsidRPr="00CC0B28" w:rsidRDefault="00C357AB" w:rsidP="006C3ACD">
            <w:pPr>
              <w:pStyle w:val="ListParagraph"/>
              <w:numPr>
                <w:ilvl w:val="0"/>
                <w:numId w:val="47"/>
              </w:numPr>
              <w:spacing w:before="60" w:after="60"/>
              <w:cnfStyle w:val="000000100000" w:firstRow="0" w:lastRow="0" w:firstColumn="0" w:lastColumn="0" w:oddVBand="0" w:evenVBand="0" w:oddHBand="1" w:evenHBand="0" w:firstRowFirstColumn="0" w:firstRowLastColumn="0" w:lastRowFirstColumn="0" w:lastRowLastColumn="0"/>
            </w:pPr>
            <w:r w:rsidRPr="007E30D2">
              <w:rPr>
                <w:rStyle w:val="normaltextrun"/>
                <w:rFonts w:cs="Calibri"/>
                <w:color w:val="000000"/>
              </w:rPr>
              <w:t>if there is no nomination in force</w:t>
            </w:r>
            <w:r w:rsidR="00426826" w:rsidRPr="00CC0B28" w:rsidDel="00B02FA6">
              <w:t>, each of those persons will be taken to have operational control over the facility.</w:t>
            </w:r>
          </w:p>
        </w:tc>
      </w:tr>
      <w:tr w:rsidR="00C654E5" w:rsidRPr="00CC0B28" w14:paraId="1BC8A249"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328305D" w14:textId="022B5A09" w:rsidR="00C654E5" w:rsidRPr="00CC0B28" w:rsidRDefault="00C654E5" w:rsidP="00CB69F0">
            <w:r w:rsidRPr="00CC0B28">
              <w:t xml:space="preserve">Prescribed carbon unit </w:t>
            </w:r>
          </w:p>
        </w:tc>
        <w:tc>
          <w:tcPr>
            <w:tcW w:w="7229" w:type="dxa"/>
          </w:tcPr>
          <w:p w14:paraId="1B4CD2E5" w14:textId="34899167" w:rsidR="00D31A29" w:rsidRPr="00CC0B28" w:rsidRDefault="00D31A29" w:rsidP="00D31A29">
            <w:pPr>
              <w:spacing w:before="60" w:after="60"/>
              <w:cnfStyle w:val="000000010000" w:firstRow="0" w:lastRow="0" w:firstColumn="0" w:lastColumn="0" w:oddVBand="0" w:evenVBand="0" w:oddHBand="0" w:evenHBand="1" w:firstRowFirstColumn="0" w:firstRowLastColumn="0" w:lastRowFirstColumn="0" w:lastRowLastColumn="0"/>
              <w:rPr>
                <w:rStyle w:val="cf01"/>
                <w:rFonts w:asciiTheme="minorHAnsi" w:hAnsiTheme="minorHAnsi" w:cstheme="minorHAnsi"/>
                <w:sz w:val="22"/>
                <w:szCs w:val="22"/>
              </w:rPr>
            </w:pPr>
            <w:r w:rsidRPr="00CC0B28">
              <w:rPr>
                <w:rStyle w:val="cf01"/>
                <w:rFonts w:asciiTheme="minorHAnsi" w:hAnsiTheme="minorHAnsi" w:cstheme="minorHAnsi"/>
                <w:sz w:val="22"/>
                <w:szCs w:val="22"/>
              </w:rPr>
              <w:t xml:space="preserve">For the purposes of </w:t>
            </w:r>
            <w:hyperlink r:id="rId20" w:tooltip="A link to the Australian Government legislation - the National Greenhouse and Energy reporting act 2007" w:history="1">
              <w:r w:rsidRPr="007E30D2">
                <w:rPr>
                  <w:rStyle w:val="Hyperlink"/>
                  <w:rFonts w:asciiTheme="minorHAnsi" w:hAnsiTheme="minorHAnsi" w:cstheme="minorHAnsi"/>
                </w:rPr>
                <w:t>the NGER Act</w:t>
              </w:r>
            </w:hyperlink>
            <w:r w:rsidR="00B51F3C">
              <w:rPr>
                <w:rStyle w:val="FootnoteReference"/>
              </w:rPr>
              <w:footnoteReference w:id="11"/>
            </w:r>
            <w:r w:rsidRPr="00CC0B28">
              <w:rPr>
                <w:rStyle w:val="cf01"/>
                <w:rFonts w:asciiTheme="minorHAnsi" w:hAnsiTheme="minorHAnsi" w:cstheme="minorHAnsi"/>
                <w:sz w:val="22"/>
                <w:szCs w:val="22"/>
              </w:rPr>
              <w:t xml:space="preserve"> a prescribed carbon unit is:</w:t>
            </w:r>
          </w:p>
          <w:p w14:paraId="6D43607F" w14:textId="532863C8" w:rsidR="00D31A29" w:rsidRPr="00CC0B28" w:rsidRDefault="00D31A29" w:rsidP="001F1DCA">
            <w:pPr>
              <w:pStyle w:val="ListParagraph"/>
              <w:numPr>
                <w:ilvl w:val="0"/>
                <w:numId w:val="48"/>
              </w:numPr>
              <w:spacing w:before="60" w:after="60"/>
              <w:cnfStyle w:val="000000010000" w:firstRow="0" w:lastRow="0" w:firstColumn="0" w:lastColumn="0" w:oddVBand="0" w:evenVBand="0" w:oddHBand="0" w:evenHBand="1" w:firstRowFirstColumn="0" w:firstRowLastColumn="0" w:lastRowFirstColumn="0" w:lastRowLastColumn="0"/>
              <w:rPr>
                <w:rStyle w:val="cf01"/>
                <w:rFonts w:asciiTheme="minorHAnsi" w:hAnsiTheme="minorHAnsi" w:cstheme="minorHAnsi"/>
                <w:color w:val="auto"/>
                <w:kern w:val="0"/>
                <w:sz w:val="22"/>
                <w:szCs w:val="22"/>
              </w:rPr>
            </w:pPr>
            <w:r w:rsidRPr="00CC0B28">
              <w:rPr>
                <w:rStyle w:val="cf01"/>
                <w:rFonts w:asciiTheme="minorHAnsi" w:hAnsiTheme="minorHAnsi" w:cstheme="minorHAnsi"/>
                <w:sz w:val="22"/>
                <w:szCs w:val="22"/>
              </w:rPr>
              <w:t>an Australian carbon credit unit (ACCU)</w:t>
            </w:r>
          </w:p>
          <w:p w14:paraId="6F835108" w14:textId="23E789DC" w:rsidR="00C654E5" w:rsidRPr="00CC0B28" w:rsidRDefault="00D31A29" w:rsidP="00230783">
            <w:pPr>
              <w:pStyle w:val="ListParagraph"/>
              <w:numPr>
                <w:ilvl w:val="0"/>
                <w:numId w:val="48"/>
              </w:numPr>
              <w:spacing w:before="60" w:after="60"/>
              <w:cnfStyle w:val="000000010000" w:firstRow="0" w:lastRow="0" w:firstColumn="0" w:lastColumn="0" w:oddVBand="0" w:evenVBand="0" w:oddHBand="0" w:evenHBand="1" w:firstRowFirstColumn="0" w:firstRowLastColumn="0" w:lastRowFirstColumn="0" w:lastRowLastColumn="0"/>
              <w:rPr>
                <w:rStyle w:val="cf01"/>
                <w:rFonts w:asciiTheme="minorHAnsi" w:hAnsiTheme="minorHAnsi" w:cstheme="minorHAnsi"/>
                <w:color w:val="auto"/>
                <w:kern w:val="0"/>
                <w:sz w:val="22"/>
                <w:szCs w:val="22"/>
              </w:rPr>
            </w:pPr>
            <w:r w:rsidRPr="00CC0B28">
              <w:rPr>
                <w:rStyle w:val="cf01"/>
                <w:rFonts w:asciiTheme="minorHAnsi" w:hAnsiTheme="minorHAnsi" w:cstheme="minorHAnsi"/>
                <w:sz w:val="22"/>
                <w:szCs w:val="22"/>
              </w:rPr>
              <w:t>a Safeguard Mechanism credit unit (SMC).</w:t>
            </w:r>
          </w:p>
        </w:tc>
      </w:tr>
      <w:tr w:rsidR="00C654E5" w:rsidRPr="00CC0B28" w14:paraId="00C69234"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71EE7CF" w14:textId="4973B5CC" w:rsidR="00C654E5" w:rsidRPr="00CC0B28" w:rsidRDefault="00C654E5" w:rsidP="00CB69F0">
            <w:r w:rsidRPr="00CC0B28">
              <w:t>Production variable</w:t>
            </w:r>
          </w:p>
        </w:tc>
        <w:tc>
          <w:tcPr>
            <w:tcW w:w="7229" w:type="dxa"/>
          </w:tcPr>
          <w:p w14:paraId="5658A523" w14:textId="77777777" w:rsidR="00AF35C1" w:rsidRPr="00CC0B28" w:rsidRDefault="00AF35C1" w:rsidP="00AF35C1">
            <w:pPr>
              <w:spacing w:before="60" w:after="60"/>
              <w:cnfStyle w:val="000000100000" w:firstRow="0" w:lastRow="0" w:firstColumn="0" w:lastColumn="0" w:oddVBand="0" w:evenVBand="0" w:oddHBand="1" w:evenHBand="0" w:firstRowFirstColumn="0" w:firstRowLastColumn="0" w:lastRowFirstColumn="0" w:lastRowLastColumn="0"/>
              <w:rPr>
                <w:rStyle w:val="cf01"/>
                <w:rFonts w:asciiTheme="minorHAnsi" w:hAnsiTheme="minorHAnsi" w:cstheme="minorHAnsi"/>
                <w:sz w:val="22"/>
                <w:szCs w:val="22"/>
              </w:rPr>
            </w:pPr>
            <w:r w:rsidRPr="00CC0B28">
              <w:rPr>
                <w:rStyle w:val="cf01"/>
                <w:rFonts w:asciiTheme="minorHAnsi" w:hAnsiTheme="minorHAnsi" w:cstheme="minorHAnsi"/>
                <w:sz w:val="22"/>
                <w:szCs w:val="22"/>
              </w:rPr>
              <w:t xml:space="preserve">A production variable is a metric that generally represents the productive output of the facility. In some cases, the output may be an intermediate product or waste product. </w:t>
            </w:r>
          </w:p>
          <w:p w14:paraId="07AFDD39" w14:textId="443D2543" w:rsidR="00C654E5" w:rsidRPr="00CC0B28" w:rsidRDefault="00AF35C1" w:rsidP="00443283">
            <w:pPr>
              <w:spacing w:before="60" w:after="60"/>
              <w:cnfStyle w:val="000000100000" w:firstRow="0" w:lastRow="0" w:firstColumn="0" w:lastColumn="0" w:oddVBand="0" w:evenVBand="0" w:oddHBand="1" w:evenHBand="0" w:firstRowFirstColumn="0" w:firstRowLastColumn="0" w:lastRowFirstColumn="0" w:lastRowLastColumn="0"/>
            </w:pPr>
            <w:r w:rsidRPr="00CC0B28">
              <w:rPr>
                <w:rStyle w:val="cf01"/>
                <w:rFonts w:asciiTheme="minorHAnsi" w:hAnsiTheme="minorHAnsi" w:cstheme="minorHAnsi"/>
                <w:sz w:val="22"/>
                <w:szCs w:val="22"/>
              </w:rPr>
              <w:t xml:space="preserve">Only production variables listed in Schedule 1 of </w:t>
            </w:r>
            <w:hyperlink r:id="rId21" w:tooltip="A link to the Australian Government legislation - the Safeguard Rule" w:history="1">
              <w:r w:rsidRPr="007E30D2">
                <w:rPr>
                  <w:rStyle w:val="Hyperlink"/>
                  <w:rFonts w:asciiTheme="minorHAnsi" w:hAnsiTheme="minorHAnsi" w:cstheme="minorHAnsi"/>
                </w:rPr>
                <w:t>the Safeguard Rule</w:t>
              </w:r>
            </w:hyperlink>
            <w:r w:rsidRPr="00CC0B28">
              <w:rPr>
                <w:rStyle w:val="FootnoteReference"/>
                <w:rFonts w:cstheme="minorHAnsi"/>
              </w:rPr>
              <w:footnoteReference w:id="12"/>
            </w:r>
            <w:r w:rsidRPr="00CC0B28">
              <w:rPr>
                <w:rStyle w:val="cf01"/>
                <w:rFonts w:asciiTheme="minorHAnsi" w:hAnsiTheme="minorHAnsi" w:cstheme="minorHAnsi"/>
                <w:sz w:val="22"/>
                <w:szCs w:val="22"/>
              </w:rPr>
              <w:t xml:space="preserve"> (previously known as ‘prescribed’ production variables listed in </w:t>
            </w:r>
            <w:r w:rsidRPr="00E177E6">
              <w:rPr>
                <w:rStyle w:val="cf01"/>
                <w:rFonts w:asciiTheme="minorHAnsi" w:hAnsiTheme="minorHAnsi" w:cstheme="minorHAnsi"/>
                <w:sz w:val="22"/>
                <w:szCs w:val="22"/>
              </w:rPr>
              <w:t>Schedule</w:t>
            </w:r>
            <w:r w:rsidR="001270B4" w:rsidRPr="00E177E6">
              <w:rPr>
                <w:rStyle w:val="cf01"/>
                <w:rFonts w:asciiTheme="minorHAnsi" w:hAnsiTheme="minorHAnsi" w:cstheme="minorHAnsi"/>
                <w:sz w:val="22"/>
                <w:szCs w:val="22"/>
              </w:rPr>
              <w:t>s</w:t>
            </w:r>
            <w:r w:rsidRPr="00E177E6">
              <w:rPr>
                <w:rStyle w:val="cf01"/>
                <w:rFonts w:asciiTheme="minorHAnsi" w:hAnsiTheme="minorHAnsi" w:cstheme="minorHAnsi"/>
                <w:sz w:val="22"/>
                <w:szCs w:val="22"/>
              </w:rPr>
              <w:t xml:space="preserve"> 2</w:t>
            </w:r>
            <w:r w:rsidRPr="00CC0B28">
              <w:rPr>
                <w:rStyle w:val="cf01"/>
                <w:rFonts w:asciiTheme="minorHAnsi" w:hAnsiTheme="minorHAnsi" w:cstheme="minorHAnsi"/>
                <w:sz w:val="22"/>
                <w:szCs w:val="22"/>
              </w:rPr>
              <w:t xml:space="preserve"> and 3) can be used in an emissions-intensity determination application for financial years commencing on or after 1 July 2023.</w:t>
            </w:r>
          </w:p>
        </w:tc>
      </w:tr>
      <w:tr w:rsidR="00C654E5" w:rsidRPr="00CC0B28" w14:paraId="6F404112"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65F41F0" w14:textId="0D3AD45D" w:rsidR="00C654E5" w:rsidRPr="00CC0B28" w:rsidRDefault="00C654E5" w:rsidP="00CB69F0">
            <w:r w:rsidRPr="00CC0B28">
              <w:t>Responsible emitter</w:t>
            </w:r>
          </w:p>
        </w:tc>
        <w:tc>
          <w:tcPr>
            <w:tcW w:w="7229" w:type="dxa"/>
          </w:tcPr>
          <w:p w14:paraId="4D03C450" w14:textId="7E2DF840" w:rsidR="007B0FD2" w:rsidRPr="00CC0B28" w:rsidRDefault="007B0FD2" w:rsidP="007B0FD2">
            <w:pPr>
              <w:spacing w:before="60" w:after="60"/>
              <w:cnfStyle w:val="000000010000" w:firstRow="0" w:lastRow="0" w:firstColumn="0" w:lastColumn="0" w:oddVBand="0" w:evenVBand="0" w:oddHBand="0" w:evenHBand="1" w:firstRowFirstColumn="0" w:firstRowLastColumn="0" w:lastRowFirstColumn="0" w:lastRowLastColumn="0"/>
            </w:pPr>
            <w:r w:rsidRPr="00CC0B28">
              <w:t xml:space="preserve">The person with operational control of a Safeguard facility. The responsible emitter is responsible for meeting the Safeguard Mechanism requirements if the facility exceeds the safeguard threshold for a financial year and </w:t>
            </w:r>
            <w:r w:rsidR="00174E65" w:rsidRPr="00CC0B28">
              <w:t xml:space="preserve">must ensure </w:t>
            </w:r>
            <w:r w:rsidRPr="00CC0B28">
              <w:t xml:space="preserve">its net emissions number for the responsible emitter’s monitoring period </w:t>
            </w:r>
            <w:r w:rsidR="0073212C" w:rsidRPr="00CC0B28">
              <w:t xml:space="preserve">do not </w:t>
            </w:r>
            <w:r w:rsidRPr="00CC0B28">
              <w:t>exceed its baseline for that period.</w:t>
            </w:r>
          </w:p>
          <w:p w14:paraId="6F71791D" w14:textId="33606540" w:rsidR="00C654E5" w:rsidRPr="00CC0B28" w:rsidRDefault="00C654E5" w:rsidP="00443283">
            <w:pPr>
              <w:spacing w:before="60" w:after="60"/>
              <w:cnfStyle w:val="000000010000" w:firstRow="0" w:lastRow="0" w:firstColumn="0" w:lastColumn="0" w:oddVBand="0" w:evenVBand="0" w:oddHBand="0" w:evenHBand="1" w:firstRowFirstColumn="0" w:firstRowLastColumn="0" w:lastRowFirstColumn="0" w:lastRowLastColumn="0"/>
            </w:pPr>
            <w:r w:rsidRPr="00CC0B28" w:rsidDel="007B0FD2">
              <w:t>The responsible emitter may be an individual, a body corporate, a trust, a corporation sole, a body politic or a local governing body.</w:t>
            </w:r>
          </w:p>
        </w:tc>
      </w:tr>
      <w:tr w:rsidR="00C654E5" w:rsidRPr="00CC0B28" w14:paraId="0423DEC6"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5185C9F2" w14:textId="090392BE" w:rsidR="00C654E5" w:rsidRPr="00CC0B28" w:rsidRDefault="00C654E5" w:rsidP="00CB69F0">
            <w:r w:rsidRPr="00CC0B28">
              <w:t>Safeguard threshold</w:t>
            </w:r>
          </w:p>
        </w:tc>
        <w:tc>
          <w:tcPr>
            <w:tcW w:w="7229" w:type="dxa"/>
          </w:tcPr>
          <w:p w14:paraId="14A11EB6" w14:textId="0030184F" w:rsidR="00C654E5" w:rsidRPr="00CC0B28" w:rsidRDefault="00B00BEE" w:rsidP="00443283">
            <w:pPr>
              <w:spacing w:before="60" w:after="60"/>
              <w:cnfStyle w:val="000000100000" w:firstRow="0" w:lastRow="0" w:firstColumn="0" w:lastColumn="0" w:oddVBand="0" w:evenVBand="0" w:oddHBand="1" w:evenHBand="0" w:firstRowFirstColumn="0" w:firstRowLastColumn="0" w:lastRowFirstColumn="0" w:lastRowLastColumn="0"/>
            </w:pPr>
            <w:r w:rsidRPr="00CC0B28">
              <w:t>The number beyond which covered emissions produced by a facility in a financial year would cause it to be a designated large facility and therefore covered by the Safeguard Mechanism. The threshold is currently 100,000 tonnes of CO</w:t>
            </w:r>
            <w:r w:rsidRPr="00CC0B28">
              <w:rPr>
                <w:vertAlign w:val="subscript"/>
              </w:rPr>
              <w:t>2</w:t>
            </w:r>
            <w:r w:rsidRPr="00CC0B28">
              <w:t>-e in a financial year.</w:t>
            </w:r>
          </w:p>
        </w:tc>
      </w:tr>
      <w:tr w:rsidR="00C654E5" w:rsidRPr="00CC0B28" w14:paraId="06C4E85B"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9C555C2" w14:textId="338D53EB" w:rsidR="00C654E5" w:rsidRPr="00CC0B28" w:rsidRDefault="00C654E5" w:rsidP="00CB69F0">
            <w:r w:rsidRPr="00CC0B28">
              <w:t xml:space="preserve">Safeguard Mechanism </w:t>
            </w:r>
            <w:r w:rsidR="00A526F9" w:rsidRPr="00CC0B28">
              <w:t>c</w:t>
            </w:r>
            <w:r w:rsidRPr="00CC0B28">
              <w:t>redit unit</w:t>
            </w:r>
            <w:r w:rsidR="00A526F9" w:rsidRPr="00CC0B28">
              <w:t>s</w:t>
            </w:r>
            <w:r w:rsidRPr="00CC0B28">
              <w:t xml:space="preserve"> (SMC</w:t>
            </w:r>
            <w:r w:rsidR="003D74E9" w:rsidRPr="00CC0B28">
              <w:t>s</w:t>
            </w:r>
            <w:r w:rsidRPr="00CC0B28">
              <w:t>)</w:t>
            </w:r>
          </w:p>
        </w:tc>
        <w:tc>
          <w:tcPr>
            <w:tcW w:w="7229" w:type="dxa"/>
          </w:tcPr>
          <w:p w14:paraId="40AB7228" w14:textId="77777777" w:rsidR="00727562" w:rsidRPr="00CC0B28" w:rsidRDefault="00727562" w:rsidP="00727562">
            <w:pPr>
              <w:spacing w:before="60" w:after="60"/>
              <w:cnfStyle w:val="000000010000" w:firstRow="0" w:lastRow="0" w:firstColumn="0" w:lastColumn="0" w:oddVBand="0" w:evenVBand="0" w:oddHBand="0" w:evenHBand="1" w:firstRowFirstColumn="0" w:firstRowLastColumn="0" w:lastRowFirstColumn="0" w:lastRowLastColumn="0"/>
            </w:pPr>
            <w:r w:rsidRPr="00CC0B28">
              <w:t>A type of credit unit that may be issued to a responsible emitter for each tonne of emissions (CO</w:t>
            </w:r>
            <w:r w:rsidRPr="00CC0B28">
              <w:rPr>
                <w:vertAlign w:val="subscript"/>
              </w:rPr>
              <w:t>2</w:t>
            </w:r>
            <w:r w:rsidRPr="00CC0B28">
              <w:t>-e) that a facility’s covered emissions are below its baseline. These credits can be surrendered to meet Safeguard compliance obligations, sold, or retained for future use.</w:t>
            </w:r>
          </w:p>
          <w:p w14:paraId="0C474FF0" w14:textId="77777777" w:rsidR="00727562" w:rsidRPr="00CC0B28" w:rsidRDefault="00727562" w:rsidP="00727562">
            <w:pPr>
              <w:spacing w:before="60" w:after="60"/>
              <w:cnfStyle w:val="000000010000" w:firstRow="0" w:lastRow="0" w:firstColumn="0" w:lastColumn="0" w:oddVBand="0" w:evenVBand="0" w:oddHBand="0" w:evenHBand="1" w:firstRowFirstColumn="0" w:firstRowLastColumn="0" w:lastRowFirstColumn="0" w:lastRowLastColumn="0"/>
            </w:pPr>
            <w:r w:rsidRPr="00CC0B28">
              <w:t>SMCs incentivise facilities to reduce their emissions below their baselines, including ongoing emissions reduction once a facility has dropped below the Safeguard threshold.</w:t>
            </w:r>
          </w:p>
          <w:p w14:paraId="4277BE1B" w14:textId="42916E88" w:rsidR="00C654E5" w:rsidRPr="00CC0B28" w:rsidRDefault="00727562" w:rsidP="00033E92">
            <w:pPr>
              <w:spacing w:before="60" w:after="60"/>
              <w:cnfStyle w:val="000000010000" w:firstRow="0" w:lastRow="0" w:firstColumn="0" w:lastColumn="0" w:oddVBand="0" w:evenVBand="0" w:oddHBand="0" w:evenHBand="1" w:firstRowFirstColumn="0" w:firstRowLastColumn="0" w:lastRowFirstColumn="0" w:lastRowLastColumn="0"/>
            </w:pPr>
            <w:r w:rsidRPr="00CC0B28">
              <w:t>SMCs are not offsets.</w:t>
            </w:r>
          </w:p>
        </w:tc>
      </w:tr>
      <w:tr w:rsidR="00C654E5" w:rsidRPr="00CC0B28" w14:paraId="17565EBA" w14:textId="77777777" w:rsidTr="20E824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B57A46B" w14:textId="52D0823D" w:rsidR="00C654E5" w:rsidRPr="00CC0B28" w:rsidRDefault="00C654E5" w:rsidP="00CB69F0">
            <w:r w:rsidRPr="00CC0B28">
              <w:t xml:space="preserve">Safeguard Mechanism </w:t>
            </w:r>
            <w:r w:rsidR="00A526F9" w:rsidRPr="00CC0B28">
              <w:t>d</w:t>
            </w:r>
            <w:r w:rsidRPr="00CC0B28">
              <w:t>ocument</w:t>
            </w:r>
          </w:p>
        </w:tc>
        <w:tc>
          <w:tcPr>
            <w:tcW w:w="7229" w:type="dxa"/>
          </w:tcPr>
          <w:p w14:paraId="40DA720E" w14:textId="44999F6B" w:rsidR="00C654E5" w:rsidRPr="00CC0B28" w:rsidRDefault="00721F9A" w:rsidP="00721F9A">
            <w:pPr>
              <w:spacing w:before="60" w:after="60"/>
              <w:cnfStyle w:val="000000100000" w:firstRow="0" w:lastRow="0" w:firstColumn="0" w:lastColumn="0" w:oddVBand="0" w:evenVBand="0" w:oddHBand="1" w:evenHBand="0" w:firstRowFirstColumn="0" w:firstRowLastColumn="0" w:lastRowFirstColumn="0" w:lastRowLastColumn="0"/>
            </w:pPr>
            <w:hyperlink r:id="rId22" w:anchor=":~:text=The%20Safeguard%20Mechanism%20and%20National,report%20and%20manage%20their%20emissions" w:tooltip="A link to the The Safeguard Mechanism: presecribed production variables and default emissions-intensities on the Department of Climate Change, Energy the Environment and Water's webiste" w:history="1">
              <w:r w:rsidRPr="00CC0B28">
                <w:rPr>
                  <w:rStyle w:val="Hyperlink"/>
                </w:rPr>
                <w:t xml:space="preserve">The Safeguard Mechanism: Prescribed production variables and default </w:t>
              </w:r>
              <w:r w:rsidRPr="00CC0B28">
                <w:rPr>
                  <w:rStyle w:val="Hyperlink"/>
                  <w:rFonts w:asciiTheme="minorHAnsi" w:hAnsiTheme="minorHAnsi"/>
                </w:rPr>
                <w:t>emissions-intensities document</w:t>
              </w:r>
            </w:hyperlink>
            <w:r w:rsidRPr="00CC0B28">
              <w:rPr>
                <w:rStyle w:val="FootnoteReference"/>
              </w:rPr>
              <w:footnoteReference w:id="13"/>
            </w:r>
            <w:r w:rsidRPr="00CC0B28">
              <w:t>, published on the Department of Climate Change, Energy, the Environment and Water</w:t>
            </w:r>
            <w:r w:rsidR="003E6423">
              <w:t xml:space="preserve"> (DCCEEW)</w:t>
            </w:r>
            <w:r w:rsidRPr="00CC0B28">
              <w:t xml:space="preserve"> website, provides further details on the production variables set out in Schedule 1 of the Safeguard Rule and associated emissions-intensity values and forms part of the Safeguard </w:t>
            </w:r>
            <w:r w:rsidRPr="00E177E6">
              <w:t>Rule</w:t>
            </w:r>
            <w:r w:rsidR="0043147E" w:rsidRPr="00E177E6">
              <w:t xml:space="preserve"> for specified purposes</w:t>
            </w:r>
            <w:r w:rsidRPr="00E177E6">
              <w:t>.</w:t>
            </w:r>
          </w:p>
        </w:tc>
      </w:tr>
      <w:tr w:rsidR="00C654E5" w:rsidRPr="00CC0B28" w14:paraId="54A412EF" w14:textId="77777777" w:rsidTr="20E8243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7A7A1DB" w14:textId="19D05FD5" w:rsidR="00C654E5" w:rsidRPr="00CC0B28" w:rsidRDefault="00C654E5" w:rsidP="00CB69F0">
            <w:r w:rsidRPr="00CC0B28">
              <w:t>Scope 1 emissions</w:t>
            </w:r>
          </w:p>
        </w:tc>
        <w:tc>
          <w:tcPr>
            <w:tcW w:w="7229" w:type="dxa"/>
          </w:tcPr>
          <w:p w14:paraId="6E19C053" w14:textId="73FA324D" w:rsidR="00DF23C7" w:rsidRPr="00CC0B28" w:rsidRDefault="00DF23C7" w:rsidP="00DF23C7">
            <w:pPr>
              <w:cnfStyle w:val="000000010000" w:firstRow="0" w:lastRow="0" w:firstColumn="0" w:lastColumn="0" w:oddVBand="0" w:evenVBand="0" w:oddHBand="0" w:evenHBand="1" w:firstRowFirstColumn="0" w:firstRowLastColumn="0" w:lastRowFirstColumn="0" w:lastRowLastColumn="0"/>
              <w:rPr>
                <w:color w:val="auto"/>
                <w:kern w:val="0"/>
              </w:rPr>
            </w:pPr>
            <w:r w:rsidRPr="007E30D2">
              <w:t xml:space="preserve">Emissions of greenhouse gases released into the atmosphere as a direct result of the activity or activities at a facility level such </w:t>
            </w:r>
            <w:hyperlink r:id="rId23" w:anchor="types-of-emissions" w:tooltip="A link to the Types of emissions page of the Clean Energy Regulator website" w:history="1">
              <w:r w:rsidRPr="007E30D2">
                <w:rPr>
                  <w:rStyle w:val="Hyperlink"/>
                </w:rPr>
                <w:t>as fuel combustion for electricity generation or cement production</w:t>
              </w:r>
            </w:hyperlink>
            <w:r w:rsidRPr="007E30D2">
              <w:rPr>
                <w:rStyle w:val="FootnoteReference"/>
              </w:rPr>
              <w:footnoteReference w:id="14"/>
            </w:r>
            <w:r w:rsidRPr="007E30D2">
              <w:t>.</w:t>
            </w:r>
          </w:p>
          <w:p w14:paraId="06CBD481" w14:textId="0F2139FC" w:rsidR="00C654E5" w:rsidRPr="00CC0B28" w:rsidRDefault="00DF23C7" w:rsidP="001F1DCA">
            <w:pPr>
              <w:cnfStyle w:val="000000010000" w:firstRow="0" w:lastRow="0" w:firstColumn="0" w:lastColumn="0" w:oddVBand="0" w:evenVBand="0" w:oddHBand="0" w:evenHBand="1" w:firstRowFirstColumn="0" w:firstRowLastColumn="0" w:lastRowFirstColumn="0" w:lastRowLastColumn="0"/>
              <w:rPr>
                <w:color w:val="auto"/>
                <w:kern w:val="0"/>
              </w:rPr>
            </w:pPr>
            <w:r w:rsidRPr="007E30D2">
              <w:t xml:space="preserve">Some scope 1 </w:t>
            </w:r>
            <w:proofErr w:type="gramStart"/>
            <w:r w:rsidRPr="007E30D2">
              <w:t>emissions</w:t>
            </w:r>
            <w:proofErr w:type="gramEnd"/>
            <w:r w:rsidRPr="007E30D2">
              <w:t xml:space="preserve"> are not covered by the Safeguard Mechanism (see definition of covered emissions above).</w:t>
            </w:r>
          </w:p>
        </w:tc>
      </w:tr>
    </w:tbl>
    <w:p w14:paraId="28D7567B" w14:textId="1ED287DC" w:rsidR="00444ABE" w:rsidRPr="00CC0B28" w:rsidRDefault="00444ABE" w:rsidP="005C745F">
      <w:pPr>
        <w:pStyle w:val="Heading1"/>
        <w:numPr>
          <w:ilvl w:val="0"/>
          <w:numId w:val="0"/>
        </w:numPr>
        <w:ind w:left="432" w:hanging="432"/>
      </w:pPr>
      <w:bookmarkStart w:id="17" w:name="_Toc208216262"/>
      <w:bookmarkStart w:id="18" w:name="_Toc138922896"/>
      <w:bookmarkStart w:id="19" w:name="_Toc138922971"/>
      <w:bookmarkStart w:id="20" w:name="_Toc138923035"/>
      <w:bookmarkStart w:id="21" w:name="_Toc138923292"/>
      <w:bookmarkStart w:id="22" w:name="_Toc143503164"/>
      <w:r w:rsidRPr="00CC0B28">
        <w:t>Revision history</w:t>
      </w:r>
      <w:bookmarkEnd w:id="17"/>
    </w:p>
    <w:tbl>
      <w:tblPr>
        <w:tblStyle w:val="CERTable"/>
        <w:tblW w:w="0" w:type="auto"/>
        <w:tblLook w:val="04A0" w:firstRow="1" w:lastRow="0" w:firstColumn="1" w:lastColumn="0" w:noHBand="0" w:noVBand="1"/>
      </w:tblPr>
      <w:tblGrid>
        <w:gridCol w:w="1843"/>
        <w:gridCol w:w="7893"/>
      </w:tblGrid>
      <w:tr w:rsidR="0022294B" w:rsidRPr="00CC0B28" w14:paraId="17B097D4" w14:textId="77777777" w:rsidTr="1A612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65AFD26" w14:textId="55543C91" w:rsidR="0022294B" w:rsidRPr="00CC0B28" w:rsidRDefault="0022294B" w:rsidP="00404AE1">
            <w:pPr>
              <w:pStyle w:val="BodyText1"/>
              <w:rPr>
                <w:sz w:val="22"/>
                <w:lang w:eastAsia="en-US"/>
              </w:rPr>
            </w:pPr>
            <w:r w:rsidRPr="00CC0B28">
              <w:rPr>
                <w:lang w:eastAsia="en-US"/>
              </w:rPr>
              <w:t>Date</w:t>
            </w:r>
          </w:p>
        </w:tc>
        <w:tc>
          <w:tcPr>
            <w:tcW w:w="7893" w:type="dxa"/>
          </w:tcPr>
          <w:p w14:paraId="6BAE4597" w14:textId="7EBC6FAA" w:rsidR="0022294B" w:rsidRPr="00CC0B28" w:rsidRDefault="0022294B" w:rsidP="00404AE1">
            <w:pPr>
              <w:pStyle w:val="BodyText1"/>
              <w:cnfStyle w:val="100000000000" w:firstRow="1" w:lastRow="0" w:firstColumn="0" w:lastColumn="0" w:oddVBand="0" w:evenVBand="0" w:oddHBand="0" w:evenHBand="0" w:firstRowFirstColumn="0" w:firstRowLastColumn="0" w:lastRowFirstColumn="0" w:lastRowLastColumn="0"/>
              <w:rPr>
                <w:sz w:val="22"/>
                <w:lang w:eastAsia="en-US"/>
              </w:rPr>
            </w:pPr>
            <w:r w:rsidRPr="00CC0B28">
              <w:rPr>
                <w:lang w:eastAsia="en-US"/>
              </w:rPr>
              <w:t>Description</w:t>
            </w:r>
          </w:p>
        </w:tc>
      </w:tr>
      <w:tr w:rsidR="009E06A7" w14:paraId="4A43354F" w14:textId="77777777" w:rsidTr="1A61220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43" w:type="dxa"/>
          </w:tcPr>
          <w:p w14:paraId="0B11C3D0" w14:textId="1C18AFC4" w:rsidR="009E06A7" w:rsidRPr="00093DA7" w:rsidRDefault="0002750F" w:rsidP="00404AE1">
            <w:pPr>
              <w:pStyle w:val="BodyText1"/>
              <w:rPr>
                <w:lang w:eastAsia="en-US"/>
              </w:rPr>
            </w:pPr>
            <w:r>
              <w:rPr>
                <w:lang w:eastAsia="en-US"/>
              </w:rPr>
              <w:t xml:space="preserve">10 </w:t>
            </w:r>
            <w:r w:rsidR="00B60182">
              <w:rPr>
                <w:lang w:eastAsia="en-US"/>
              </w:rPr>
              <w:t>September</w:t>
            </w:r>
            <w:r w:rsidR="004E611F" w:rsidRPr="00CC0B28">
              <w:rPr>
                <w:lang w:eastAsia="en-US"/>
              </w:rPr>
              <w:t xml:space="preserve"> </w:t>
            </w:r>
            <w:r w:rsidR="009F4F0F" w:rsidRPr="00CC0B28">
              <w:rPr>
                <w:lang w:eastAsia="en-US"/>
              </w:rPr>
              <w:t>2025</w:t>
            </w:r>
          </w:p>
        </w:tc>
        <w:tc>
          <w:tcPr>
            <w:tcW w:w="7893" w:type="dxa"/>
          </w:tcPr>
          <w:p w14:paraId="5B936C13" w14:textId="2AE191F8" w:rsidR="009E06A7" w:rsidRPr="00CC0B28" w:rsidRDefault="009F4F0F" w:rsidP="004953DB">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Updated guidance in relation t</w:t>
            </w:r>
            <w:r w:rsidR="009A19E7" w:rsidRPr="00CC0B28">
              <w:rPr>
                <w:lang w:eastAsia="en-US"/>
              </w:rPr>
              <w:t xml:space="preserve">o </w:t>
            </w:r>
            <w:r w:rsidRPr="00CC0B28">
              <w:rPr>
                <w:lang w:eastAsia="en-US"/>
              </w:rPr>
              <w:t xml:space="preserve">user </w:t>
            </w:r>
            <w:r w:rsidR="006C7D19" w:rsidRPr="00CC0B28">
              <w:rPr>
                <w:lang w:eastAsia="en-US"/>
              </w:rPr>
              <w:t xml:space="preserve">access permissions </w:t>
            </w:r>
            <w:r w:rsidR="009A19E7" w:rsidRPr="00CC0B28">
              <w:rPr>
                <w:lang w:eastAsia="en-US"/>
              </w:rPr>
              <w:t>for completing, signing, and submitting the form.</w:t>
            </w:r>
            <w:r w:rsidR="007607CC" w:rsidRPr="00CC0B28">
              <w:rPr>
                <w:lang w:eastAsia="en-US"/>
              </w:rPr>
              <w:t xml:space="preserve"> (</w:t>
            </w:r>
            <w:r w:rsidR="0020185C">
              <w:rPr>
                <w:lang w:eastAsia="en-US"/>
              </w:rPr>
              <w:t>2.2</w:t>
            </w:r>
            <w:r w:rsidR="007D79F3" w:rsidRPr="00CC0B28">
              <w:rPr>
                <w:lang w:eastAsia="en-US"/>
              </w:rPr>
              <w:t>)</w:t>
            </w:r>
            <w:r w:rsidR="00C828A2" w:rsidRPr="00CC0B28">
              <w:rPr>
                <w:lang w:eastAsia="en-US"/>
              </w:rPr>
              <w:t>.</w:t>
            </w:r>
          </w:p>
          <w:p w14:paraId="0626BC51" w14:textId="469D248C" w:rsidR="007607CC" w:rsidRPr="00CC0B28" w:rsidRDefault="007607CC" w:rsidP="004953DB">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Updated guidance in relation to variations and successor determinations (</w:t>
            </w:r>
            <w:r w:rsidR="00FC61CF">
              <w:rPr>
                <w:lang w:eastAsia="en-US"/>
              </w:rPr>
              <w:t>4.2 and 4.3</w:t>
            </w:r>
            <w:r w:rsidRPr="00CC0B28">
              <w:rPr>
                <w:lang w:eastAsia="en-US"/>
              </w:rPr>
              <w:t>)</w:t>
            </w:r>
            <w:r w:rsidR="00B23C03" w:rsidRPr="00CC0B28">
              <w:rPr>
                <w:lang w:eastAsia="en-US"/>
              </w:rPr>
              <w:t>.</w:t>
            </w:r>
          </w:p>
          <w:p w14:paraId="4391C519" w14:textId="3ECFE3BF" w:rsidR="001B0F8A" w:rsidRPr="00CC0B28" w:rsidRDefault="001B0F8A" w:rsidP="004953DB">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Added Appendix A defining an ‘eligible facility’</w:t>
            </w:r>
            <w:r w:rsidR="00B23C03" w:rsidRPr="00CC0B28">
              <w:rPr>
                <w:lang w:eastAsia="en-US"/>
              </w:rPr>
              <w:t>.</w:t>
            </w:r>
          </w:p>
        </w:tc>
      </w:tr>
      <w:tr w:rsidR="00636943" w14:paraId="58C1C424" w14:textId="77777777" w:rsidTr="1A61220C">
        <w:trPr>
          <w:cnfStyle w:val="000000010000" w:firstRow="0" w:lastRow="0" w:firstColumn="0" w:lastColumn="0" w:oddVBand="0" w:evenVBand="0" w:oddHBand="0" w:evenHBand="1"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43" w:type="dxa"/>
          </w:tcPr>
          <w:p w14:paraId="6679687D" w14:textId="73F41853" w:rsidR="00636943" w:rsidRPr="00CC0B28" w:rsidRDefault="00636943" w:rsidP="00636943">
            <w:pPr>
              <w:pStyle w:val="BodyText1"/>
              <w:rPr>
                <w:lang w:eastAsia="en-US"/>
              </w:rPr>
            </w:pPr>
            <w:r w:rsidRPr="00CC0B28">
              <w:rPr>
                <w:lang w:eastAsia="en-US"/>
              </w:rPr>
              <w:t>29 April 2024</w:t>
            </w:r>
          </w:p>
        </w:tc>
        <w:tc>
          <w:tcPr>
            <w:tcW w:w="7893" w:type="dxa"/>
          </w:tcPr>
          <w:p w14:paraId="5AAA77C6" w14:textId="765621D5" w:rsidR="00636943" w:rsidRPr="00CC0B28" w:rsidRDefault="00636943" w:rsidP="00636943">
            <w:pPr>
              <w:pStyle w:val="BodyText1"/>
              <w:numPr>
                <w:ilvl w:val="0"/>
                <w:numId w:val="9"/>
              </w:numPr>
              <w:cnfStyle w:val="000000010000" w:firstRow="0" w:lastRow="0" w:firstColumn="0" w:lastColumn="0" w:oddVBand="0" w:evenVBand="0" w:oddHBand="0" w:evenHBand="1" w:firstRowFirstColumn="0" w:firstRowLastColumn="0" w:lastRowFirstColumn="0" w:lastRowLastColumn="0"/>
              <w:rPr>
                <w:lang w:eastAsia="en-US"/>
              </w:rPr>
            </w:pPr>
            <w:r w:rsidRPr="00CC0B28">
              <w:rPr>
                <w:lang w:eastAsia="en-US"/>
              </w:rPr>
              <w:t>Updated guidance in relation to a facility not receiving an EID in a financial year (</w:t>
            </w:r>
            <w:r>
              <w:rPr>
                <w:lang w:eastAsia="en-US"/>
              </w:rPr>
              <w:t>2.1.3</w:t>
            </w:r>
            <w:r w:rsidRPr="00CC0B28">
              <w:rPr>
                <w:lang w:eastAsia="en-US"/>
              </w:rPr>
              <w:t>).</w:t>
            </w:r>
          </w:p>
        </w:tc>
      </w:tr>
      <w:tr w:rsidR="00636943" w14:paraId="3F12901B" w14:textId="77777777" w:rsidTr="1A61220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43" w:type="dxa"/>
          </w:tcPr>
          <w:p w14:paraId="3AB8F56E" w14:textId="5067EF7F" w:rsidR="00636943" w:rsidRPr="00CC0B28" w:rsidRDefault="00636943" w:rsidP="00636943">
            <w:pPr>
              <w:pStyle w:val="BodyText1"/>
              <w:rPr>
                <w:lang w:eastAsia="en-US"/>
              </w:rPr>
            </w:pPr>
            <w:r w:rsidRPr="00CC0B28">
              <w:rPr>
                <w:lang w:eastAsia="en-US"/>
              </w:rPr>
              <w:t>26 February 2024</w:t>
            </w:r>
          </w:p>
        </w:tc>
        <w:tc>
          <w:tcPr>
            <w:tcW w:w="7893" w:type="dxa"/>
          </w:tcPr>
          <w:p w14:paraId="3E5BBAAC" w14:textId="77777777" w:rsidR="00636943" w:rsidRPr="00CC0B28" w:rsidRDefault="00636943" w:rsidP="00636943">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Include definition of an ACCU (</w:t>
            </w:r>
            <w:r>
              <w:rPr>
                <w:lang w:eastAsia="en-US"/>
              </w:rPr>
              <w:t>definition and abbreviations</w:t>
            </w:r>
            <w:r w:rsidRPr="00CC0B28">
              <w:rPr>
                <w:lang w:eastAsia="en-US"/>
              </w:rPr>
              <w:t>)</w:t>
            </w:r>
          </w:p>
          <w:p w14:paraId="601522A9" w14:textId="77777777" w:rsidR="00636943" w:rsidRPr="00CC0B28" w:rsidRDefault="00636943" w:rsidP="00636943">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Update to the net emissions number definition (</w:t>
            </w:r>
            <w:r>
              <w:rPr>
                <w:lang w:eastAsia="en-US"/>
              </w:rPr>
              <w:t>definition and abbreviations</w:t>
            </w:r>
            <w:r w:rsidRPr="00CC0B28">
              <w:rPr>
                <w:lang w:eastAsia="en-US"/>
              </w:rPr>
              <w:t>)</w:t>
            </w:r>
          </w:p>
          <w:p w14:paraId="25DFA6DB" w14:textId="77777777" w:rsidR="00636943" w:rsidRPr="00CC0B28" w:rsidRDefault="00636943" w:rsidP="00636943">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Add information regarding late applications (</w:t>
            </w:r>
            <w:r>
              <w:rPr>
                <w:lang w:eastAsia="en-US"/>
              </w:rPr>
              <w:t>2.1.2.1</w:t>
            </w:r>
            <w:r w:rsidRPr="00CC0B28">
              <w:rPr>
                <w:lang w:eastAsia="en-US"/>
              </w:rPr>
              <w:t>)</w:t>
            </w:r>
          </w:p>
          <w:p w14:paraId="1010E3E5" w14:textId="77777777" w:rsidR="00636943" w:rsidRPr="00CC0B28" w:rsidRDefault="00636943" w:rsidP="00636943">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 xml:space="preserve">Updated guidance in relation to the audit of the </w:t>
            </w:r>
            <w:proofErr w:type="gramStart"/>
            <w:r w:rsidRPr="00CC0B28">
              <w:rPr>
                <w:lang w:eastAsia="en-US"/>
              </w:rPr>
              <w:t>amount</w:t>
            </w:r>
            <w:proofErr w:type="gramEnd"/>
            <w:r w:rsidRPr="00CC0B28">
              <w:rPr>
                <w:lang w:eastAsia="en-US"/>
              </w:rPr>
              <w:t xml:space="preserve"> of covered emissions for the facility in each historical financial year (</w:t>
            </w:r>
            <w:r>
              <w:rPr>
                <w:lang w:eastAsia="en-US"/>
              </w:rPr>
              <w:t>3.6.1.3</w:t>
            </w:r>
            <w:r w:rsidRPr="00CC0B28">
              <w:rPr>
                <w:lang w:eastAsia="en-US"/>
              </w:rPr>
              <w:t>).</w:t>
            </w:r>
          </w:p>
          <w:p w14:paraId="730394D7" w14:textId="77777777" w:rsidR="00636943" w:rsidRPr="00CC0B28" w:rsidRDefault="00636943" w:rsidP="00636943">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Updated guidance in relation to use of previous audit reports where the previous audit report does not specify the facility as the audit subject (</w:t>
            </w:r>
            <w:r>
              <w:rPr>
                <w:lang w:eastAsia="en-US"/>
              </w:rPr>
              <w:t>3.8.2</w:t>
            </w:r>
            <w:r w:rsidRPr="00CC0B28">
              <w:rPr>
                <w:lang w:eastAsia="en-US"/>
              </w:rPr>
              <w:t>).</w:t>
            </w:r>
          </w:p>
          <w:p w14:paraId="64AC3FA5" w14:textId="6B71F556" w:rsidR="00636943" w:rsidRPr="00CC0B28" w:rsidRDefault="00636943" w:rsidP="00636943">
            <w:pPr>
              <w:pStyle w:val="BodyText1"/>
              <w:numPr>
                <w:ilvl w:val="0"/>
                <w:numId w:val="9"/>
              </w:numPr>
              <w:cnfStyle w:val="000000100000" w:firstRow="0" w:lastRow="0" w:firstColumn="0" w:lastColumn="0" w:oddVBand="0" w:evenVBand="0" w:oddHBand="1" w:evenHBand="0" w:firstRowFirstColumn="0" w:firstRowLastColumn="0" w:lastRowFirstColumn="0" w:lastRowLastColumn="0"/>
              <w:rPr>
                <w:lang w:eastAsia="en-US"/>
              </w:rPr>
            </w:pPr>
            <w:r w:rsidRPr="00CC0B28">
              <w:rPr>
                <w:lang w:eastAsia="en-US"/>
              </w:rPr>
              <w:t>Removal of section indicating CER can refuse an application and required resubmission.</w:t>
            </w:r>
          </w:p>
        </w:tc>
      </w:tr>
    </w:tbl>
    <w:p w14:paraId="0318D561" w14:textId="53F4D19B" w:rsidR="00AF0A9C" w:rsidRDefault="00AF0A9C">
      <w:pPr>
        <w:spacing w:after="0"/>
        <w:rPr>
          <w:rFonts w:eastAsia="Times New Roman" w:cs="Calibri"/>
          <w:b/>
          <w:bCs/>
          <w:kern w:val="32"/>
          <w:sz w:val="40"/>
          <w:szCs w:val="24"/>
          <w:lang w:eastAsia="en-US"/>
        </w:rPr>
      </w:pPr>
      <w:r>
        <w:br w:type="page"/>
      </w:r>
    </w:p>
    <w:p w14:paraId="6D91682D" w14:textId="66F293B1" w:rsidR="00AE64F4" w:rsidRPr="009F4403" w:rsidRDefault="00AE64F4" w:rsidP="005C745F">
      <w:pPr>
        <w:pStyle w:val="Heading1"/>
        <w:numPr>
          <w:ilvl w:val="0"/>
          <w:numId w:val="0"/>
        </w:numPr>
        <w:ind w:left="432" w:hanging="432"/>
      </w:pPr>
      <w:bookmarkStart w:id="23" w:name="_Toc208216263"/>
      <w:r w:rsidRPr="3FB6375E">
        <w:t xml:space="preserve">Who </w:t>
      </w:r>
      <w:r w:rsidR="00592960">
        <w:t xml:space="preserve">is this </w:t>
      </w:r>
      <w:r w:rsidR="003F1317">
        <w:t>guideline</w:t>
      </w:r>
      <w:r w:rsidR="00592960">
        <w:t xml:space="preserve"> for</w:t>
      </w:r>
      <w:r w:rsidRPr="3FB6375E">
        <w:t>?</w:t>
      </w:r>
      <w:bookmarkEnd w:id="18"/>
      <w:bookmarkEnd w:id="19"/>
      <w:bookmarkEnd w:id="20"/>
      <w:bookmarkEnd w:id="21"/>
      <w:bookmarkEnd w:id="22"/>
      <w:bookmarkEnd w:id="23"/>
    </w:p>
    <w:p w14:paraId="38DCDB3D" w14:textId="1261AEC4" w:rsidR="00B97AE5" w:rsidRDefault="00AE64F4" w:rsidP="3FB6375E">
      <w:r>
        <w:t xml:space="preserve">This document provides </w:t>
      </w:r>
      <w:r w:rsidR="003F1317">
        <w:t xml:space="preserve">guidelines </w:t>
      </w:r>
      <w:r>
        <w:t xml:space="preserve">about </w:t>
      </w:r>
      <w:r w:rsidR="00BC608F">
        <w:t xml:space="preserve">applying for an </w:t>
      </w:r>
      <w:r w:rsidR="001D1CBD">
        <w:t>EID</w:t>
      </w:r>
      <w:r w:rsidR="001A67F0">
        <w:t xml:space="preserve"> </w:t>
      </w:r>
      <w:r w:rsidR="00BC608F">
        <w:t xml:space="preserve">for an </w:t>
      </w:r>
      <w:hyperlink w:anchor="_Definition_of_an" w:history="1">
        <w:r w:rsidR="00BC608F" w:rsidRPr="3FB6375E">
          <w:rPr>
            <w:rStyle w:val="Hyperlink"/>
            <w:rFonts w:asciiTheme="minorHAnsi" w:hAnsiTheme="minorHAnsi"/>
          </w:rPr>
          <w:t>existing</w:t>
        </w:r>
        <w:r w:rsidR="00DF11E4" w:rsidRPr="3FB6375E">
          <w:rPr>
            <w:rStyle w:val="Hyperlink"/>
            <w:rFonts w:asciiTheme="minorHAnsi" w:hAnsiTheme="minorHAnsi"/>
          </w:rPr>
          <w:t> </w:t>
        </w:r>
        <w:r w:rsidR="00BC608F" w:rsidRPr="3FB6375E">
          <w:rPr>
            <w:rStyle w:val="Hyperlink"/>
            <w:rFonts w:asciiTheme="minorHAnsi" w:hAnsiTheme="minorHAnsi"/>
          </w:rPr>
          <w:t>facility</w:t>
        </w:r>
      </w:hyperlink>
      <w:r>
        <w:t xml:space="preserve"> under the</w:t>
      </w:r>
      <w:r w:rsidR="004E1472">
        <w:t xml:space="preserve"> section</w:t>
      </w:r>
      <w:r>
        <w:t xml:space="preserve"> </w:t>
      </w:r>
      <w:r w:rsidR="000B7D97">
        <w:t xml:space="preserve">14 </w:t>
      </w:r>
      <w:r w:rsidR="004E1472" w:rsidRPr="3FB6375E">
        <w:t>of the Safeguard Rule.</w:t>
      </w:r>
      <w:r w:rsidR="000638DD">
        <w:t xml:space="preserve"> </w:t>
      </w:r>
      <w:r w:rsidR="00B97AE5" w:rsidRPr="3FB6375E">
        <w:t xml:space="preserve">An </w:t>
      </w:r>
      <w:r w:rsidR="001D1CBD">
        <w:t>EID</w:t>
      </w:r>
      <w:r w:rsidR="00B97AE5" w:rsidRPr="3FB6375E">
        <w:t xml:space="preserve"> </w:t>
      </w:r>
      <w:r w:rsidR="004229DF" w:rsidRPr="3FB6375E">
        <w:t xml:space="preserve">(determination) </w:t>
      </w:r>
      <w:r w:rsidR="00B97AE5" w:rsidRPr="3FB6375E">
        <w:t xml:space="preserve">is available </w:t>
      </w:r>
      <w:r w:rsidR="006F5E0B" w:rsidRPr="3FB6375E">
        <w:t xml:space="preserve">for financial years commencing on or after 1 July 2023. </w:t>
      </w:r>
    </w:p>
    <w:p w14:paraId="49B70023" w14:textId="186AF40E" w:rsidR="008209B8" w:rsidRDefault="007A257F" w:rsidP="00E12B0B">
      <w:pPr>
        <w:spacing w:after="120"/>
      </w:pPr>
      <w:r w:rsidRPr="000D1DC9">
        <w:rPr>
          <w:bCs/>
        </w:rPr>
        <w:t>The Clean Energy Regulator (</w:t>
      </w:r>
      <w:r w:rsidR="002D5F4A">
        <w:rPr>
          <w:bCs/>
        </w:rPr>
        <w:t>CER</w:t>
      </w:r>
      <w:r w:rsidRPr="000D1DC9">
        <w:rPr>
          <w:bCs/>
        </w:rPr>
        <w:t xml:space="preserve">) recommends </w:t>
      </w:r>
      <w:r w:rsidR="003535B3">
        <w:rPr>
          <w:bCs/>
        </w:rPr>
        <w:t xml:space="preserve">that </w:t>
      </w:r>
      <w:r w:rsidR="003A0006">
        <w:rPr>
          <w:bCs/>
        </w:rPr>
        <w:t xml:space="preserve">parties involved in </w:t>
      </w:r>
      <w:r w:rsidR="005F3D2E">
        <w:rPr>
          <w:bCs/>
        </w:rPr>
        <w:t xml:space="preserve">an </w:t>
      </w:r>
      <w:r w:rsidR="001153D0">
        <w:t>EID</w:t>
      </w:r>
      <w:r w:rsidR="003A0006">
        <w:rPr>
          <w:bCs/>
        </w:rPr>
        <w:t xml:space="preserve"> application process consider this </w:t>
      </w:r>
      <w:r w:rsidR="008D2976">
        <w:rPr>
          <w:bCs/>
        </w:rPr>
        <w:t>guideline document</w:t>
      </w:r>
      <w:r w:rsidRPr="00F15E3F">
        <w:rPr>
          <w:bCs/>
        </w:rPr>
        <w:t>.</w:t>
      </w:r>
      <w:r w:rsidR="00E35B0D">
        <w:t xml:space="preserve"> </w:t>
      </w:r>
      <w:proofErr w:type="gramStart"/>
      <w:r w:rsidR="00E35B0D">
        <w:t>In particular, t</w:t>
      </w:r>
      <w:r w:rsidR="000F3D43">
        <w:t>his</w:t>
      </w:r>
      <w:proofErr w:type="gramEnd"/>
      <w:r w:rsidR="000F3D43">
        <w:t xml:space="preserve"> </w:t>
      </w:r>
      <w:r w:rsidR="008D2976">
        <w:t xml:space="preserve">guideline </w:t>
      </w:r>
      <w:r w:rsidR="000F3D43">
        <w:t>is for:</w:t>
      </w:r>
    </w:p>
    <w:p w14:paraId="2C38E7BA" w14:textId="7D3E8EC3" w:rsidR="00A76BD0" w:rsidRDefault="008766C9" w:rsidP="00FA4242">
      <w:pPr>
        <w:pStyle w:val="CERbullets"/>
      </w:pPr>
      <w:r>
        <w:t>r</w:t>
      </w:r>
      <w:r w:rsidR="000F3D43">
        <w:t xml:space="preserve">esponsible emitters for </w:t>
      </w:r>
      <w:r w:rsidR="00870E08">
        <w:t xml:space="preserve">existing </w:t>
      </w:r>
      <w:r w:rsidR="00E11FD9">
        <w:t>Safeguard facilities</w:t>
      </w:r>
      <w:r w:rsidR="006303F2">
        <w:t xml:space="preserve"> </w:t>
      </w:r>
      <w:r w:rsidR="00F90819">
        <w:t xml:space="preserve">(excluding landfills and new facilities) </w:t>
      </w:r>
      <w:r>
        <w:t>that expect</w:t>
      </w:r>
      <w:r w:rsidR="003C56AB">
        <w:t xml:space="preserve"> to exceed the Safeguard threshold of </w:t>
      </w:r>
      <w:r w:rsidR="00E11FD9">
        <w:t>100,000 tCO</w:t>
      </w:r>
      <w:r w:rsidR="00E11FD9" w:rsidRPr="006A6D32">
        <w:rPr>
          <w:vertAlign w:val="subscript"/>
        </w:rPr>
        <w:t>2</w:t>
      </w:r>
      <w:r w:rsidR="00E11FD9">
        <w:t xml:space="preserve">-e </w:t>
      </w:r>
      <w:r w:rsidR="008D1ED2">
        <w:t>of covered emissions</w:t>
      </w:r>
      <w:r w:rsidR="007D68CB">
        <w:t xml:space="preserve"> in a financial ye</w:t>
      </w:r>
      <w:r w:rsidR="007D68CB" w:rsidRPr="00C94C11">
        <w:t xml:space="preserve">ar </w:t>
      </w:r>
      <w:r w:rsidR="00CF5890" w:rsidRPr="00C94C11">
        <w:t xml:space="preserve">commencing </w:t>
      </w:r>
      <w:r w:rsidR="007D68CB" w:rsidRPr="00C94C11">
        <w:t>on</w:t>
      </w:r>
      <w:r w:rsidR="007D68CB">
        <w:t xml:space="preserve"> or after 1 July 2023.</w:t>
      </w:r>
    </w:p>
    <w:p w14:paraId="19E55C83" w14:textId="0A34C2FE" w:rsidR="00A726B0" w:rsidRDefault="008D1ED2" w:rsidP="00DA2F1D">
      <w:pPr>
        <w:pStyle w:val="CERbullets"/>
      </w:pPr>
      <w:r>
        <w:t>r</w:t>
      </w:r>
      <w:r w:rsidR="00A726B0">
        <w:t xml:space="preserve">esponsible emitters for </w:t>
      </w:r>
      <w:r w:rsidR="00A726B0" w:rsidRPr="00E12B0B">
        <w:t>eligible</w:t>
      </w:r>
      <w:r w:rsidR="00951118">
        <w:t xml:space="preserve"> </w:t>
      </w:r>
      <w:r w:rsidR="00A726B0">
        <w:t>facilities</w:t>
      </w:r>
      <w:r w:rsidR="00C56DF5">
        <w:t xml:space="preserve"> that </w:t>
      </w:r>
      <w:r w:rsidR="00A726B0">
        <w:t xml:space="preserve">have previously been a Safeguard covered facility and </w:t>
      </w:r>
      <w:r w:rsidR="00C56DF5">
        <w:t xml:space="preserve">may be eligible to </w:t>
      </w:r>
      <w:r w:rsidR="00A726B0">
        <w:t xml:space="preserve">receive </w:t>
      </w:r>
      <w:r w:rsidR="00DD048E">
        <w:t>SMCs</w:t>
      </w:r>
    </w:p>
    <w:p w14:paraId="74A09190" w14:textId="51FEBDEE" w:rsidR="00A726B0" w:rsidRPr="003C1238" w:rsidRDefault="00811E61" w:rsidP="00B84DCF">
      <w:pPr>
        <w:pStyle w:val="CERbullets"/>
      </w:pPr>
      <w:r w:rsidRPr="003C1238">
        <w:t>a</w:t>
      </w:r>
      <w:r w:rsidR="00E5537F" w:rsidRPr="003C1238">
        <w:t>uditors</w:t>
      </w:r>
      <w:r w:rsidR="0057032C" w:rsidRPr="003C1238">
        <w:t xml:space="preserve"> who are undertaking audits of </w:t>
      </w:r>
      <w:r w:rsidR="00FA2008">
        <w:t>EID</w:t>
      </w:r>
      <w:r w:rsidR="0057032C" w:rsidRPr="003C1238">
        <w:t xml:space="preserve"> applications</w:t>
      </w:r>
    </w:p>
    <w:p w14:paraId="39AA6853" w14:textId="67E97A6B" w:rsidR="00AA586A" w:rsidRPr="003C1238" w:rsidRDefault="00811E61" w:rsidP="00B84DCF">
      <w:pPr>
        <w:pStyle w:val="ListParagraph"/>
        <w:numPr>
          <w:ilvl w:val="0"/>
          <w:numId w:val="27"/>
        </w:numPr>
      </w:pPr>
      <w:r w:rsidRPr="003C1238">
        <w:t>f</w:t>
      </w:r>
      <w:r w:rsidR="00AA586A" w:rsidRPr="003C1238">
        <w:t xml:space="preserve">or specific information relating to </w:t>
      </w:r>
      <w:r w:rsidR="00092BB0" w:rsidRPr="003C1238">
        <w:t xml:space="preserve">audits see </w:t>
      </w:r>
      <w:hyperlink w:anchor="_Audit_report" w:history="1">
        <w:r w:rsidR="00537B3F" w:rsidRPr="00003A84">
          <w:rPr>
            <w:rStyle w:val="Hyperlink"/>
          </w:rPr>
          <w:t xml:space="preserve">Part </w:t>
        </w:r>
        <w:r w:rsidR="00D17FFC" w:rsidRPr="00003A84">
          <w:rPr>
            <w:rStyle w:val="Hyperlink"/>
          </w:rPr>
          <w:t>3.8</w:t>
        </w:r>
        <w:r w:rsidR="009575DA" w:rsidRPr="00003A84">
          <w:rPr>
            <w:rStyle w:val="Hyperlink"/>
          </w:rPr>
          <w:t xml:space="preserve"> A</w:t>
        </w:r>
        <w:r w:rsidR="00726B3F" w:rsidRPr="00003A84">
          <w:rPr>
            <w:rStyle w:val="Hyperlink"/>
          </w:rPr>
          <w:t>udit report</w:t>
        </w:r>
      </w:hyperlink>
      <w:r w:rsidR="00BC53ED" w:rsidRPr="003C1238">
        <w:t xml:space="preserve"> </w:t>
      </w:r>
    </w:p>
    <w:p w14:paraId="0D910E8C" w14:textId="78179C4D" w:rsidR="006016D4" w:rsidRPr="000F3D43" w:rsidRDefault="00811E61" w:rsidP="006016D4">
      <w:pPr>
        <w:pStyle w:val="CERbullets"/>
        <w:spacing w:after="240"/>
        <w:ind w:left="357" w:hanging="357"/>
      </w:pPr>
      <w:r>
        <w:t>a</w:t>
      </w:r>
      <w:r w:rsidR="00AA586A">
        <w:t>ny other parties assisting</w:t>
      </w:r>
      <w:r w:rsidR="0057032C">
        <w:t xml:space="preserve"> a responsible emitter </w:t>
      </w:r>
      <w:r w:rsidR="00B3625F">
        <w:t xml:space="preserve">in </w:t>
      </w:r>
      <w:r w:rsidR="0057032C">
        <w:t>prepar</w:t>
      </w:r>
      <w:r w:rsidR="008D1ED2">
        <w:t>ing</w:t>
      </w:r>
      <w:r w:rsidR="0057032C">
        <w:t xml:space="preserve"> </w:t>
      </w:r>
      <w:r w:rsidR="008D1ED2">
        <w:t xml:space="preserve">an </w:t>
      </w:r>
      <w:r w:rsidR="0057032C">
        <w:t>application</w:t>
      </w:r>
      <w:r w:rsidR="003B1598">
        <w:t>.</w:t>
      </w:r>
    </w:p>
    <w:p w14:paraId="736BCF9F" w14:textId="5720FEEA" w:rsidR="00D835F8" w:rsidRDefault="00912C9D" w:rsidP="00AE64F4">
      <w:r>
        <w:t>The following</w:t>
      </w:r>
      <w:r w:rsidR="00E76B74">
        <w:t xml:space="preserve"> </w:t>
      </w:r>
      <w:r w:rsidR="00A953F1">
        <w:t>facility types</w:t>
      </w:r>
      <w:r>
        <w:t xml:space="preserve"> are not eligible to apply</w:t>
      </w:r>
      <w:r w:rsidR="00D835F8">
        <w:t xml:space="preserve"> </w:t>
      </w:r>
      <w:r w:rsidR="00C271F5">
        <w:t>and have separate baseline setting arrangements:</w:t>
      </w:r>
    </w:p>
    <w:p w14:paraId="765A6F14" w14:textId="6EB691C8" w:rsidR="00250FDA" w:rsidRDefault="00C271F5" w:rsidP="00815505">
      <w:pPr>
        <w:pStyle w:val="CERbullets"/>
      </w:pPr>
      <w:r>
        <w:t xml:space="preserve">facilities that commenced commercial production </w:t>
      </w:r>
      <w:r w:rsidR="00B44337">
        <w:t xml:space="preserve">during financial years commencing on or after 1 July </w:t>
      </w:r>
      <w:r>
        <w:t>202</w:t>
      </w:r>
      <w:r w:rsidR="008F4190">
        <w:t>3</w:t>
      </w:r>
      <w:r w:rsidR="00E161EA">
        <w:t xml:space="preserve"> </w:t>
      </w:r>
    </w:p>
    <w:p w14:paraId="6EF7818E" w14:textId="1F5CCBFE" w:rsidR="00C271F5" w:rsidRDefault="00E160CA" w:rsidP="00AE64F4">
      <w:pPr>
        <w:pStyle w:val="CERbullets"/>
      </w:pPr>
      <w:r>
        <w:t>l</w:t>
      </w:r>
      <w:r w:rsidR="00C271F5">
        <w:t>andfill facilities</w:t>
      </w:r>
    </w:p>
    <w:p w14:paraId="01CA9352" w14:textId="0B046BA7" w:rsidR="00262546" w:rsidRDefault="00E160CA" w:rsidP="00262546">
      <w:pPr>
        <w:pStyle w:val="CERbullets"/>
      </w:pPr>
      <w:r>
        <w:t>g</w:t>
      </w:r>
      <w:r w:rsidR="00191D07">
        <w:t>rid-connected electricity generator facil</w:t>
      </w:r>
      <w:r w:rsidR="00262546">
        <w:t>ities</w:t>
      </w:r>
      <w:r w:rsidR="00E161EA">
        <w:t xml:space="preserve"> covered by the sectoral baseline</w:t>
      </w:r>
      <w:r w:rsidR="000012E9">
        <w:t xml:space="preserve"> where the sectoral baseline has not been exceeded</w:t>
      </w:r>
      <w:r w:rsidR="004F5A2C">
        <w:t>.</w:t>
      </w:r>
    </w:p>
    <w:p w14:paraId="57D436D2" w14:textId="33485705" w:rsidR="00AE64F4" w:rsidRDefault="00AE64F4" w:rsidP="3BB7C2CB">
      <w:pPr>
        <w:spacing w:before="240"/>
        <w:rPr>
          <w:highlight w:val="lightGray"/>
        </w:rPr>
      </w:pPr>
      <w:r>
        <w:t xml:space="preserve">Visit </w:t>
      </w:r>
      <w:hyperlink r:id="rId24" w:tooltip="A link to the Clean Energy Regulator website, the page titled Safeguard Mechanism for financial years commencing on or after 1 July 2023" w:history="1">
        <w:r w:rsidR="00583792" w:rsidRPr="3BB7C2CB">
          <w:rPr>
            <w:rStyle w:val="Hyperlink"/>
            <w:rFonts w:asciiTheme="minorHAnsi" w:hAnsiTheme="minorHAnsi"/>
          </w:rPr>
          <w:t>The Safeguard Mechanism</w:t>
        </w:r>
      </w:hyperlink>
      <w:r w:rsidR="005F211E" w:rsidRPr="3BB7C2CB">
        <w:rPr>
          <w:rStyle w:val="FootnoteReference"/>
          <w:rFonts w:asciiTheme="minorHAnsi" w:hAnsiTheme="minorHAnsi"/>
          <w:color w:val="006C93" w:themeColor="accent3"/>
          <w:u w:val="single"/>
        </w:rPr>
        <w:footnoteReference w:id="15"/>
      </w:r>
      <w:r w:rsidR="00583792">
        <w:t xml:space="preserve"> </w:t>
      </w:r>
      <w:r>
        <w:t xml:space="preserve">for more </w:t>
      </w:r>
      <w:r w:rsidR="00233075">
        <w:t>i</w:t>
      </w:r>
      <w:r>
        <w:t>nformation abou</w:t>
      </w:r>
      <w:r w:rsidR="00A50E3E">
        <w:t>t the</w:t>
      </w:r>
      <w:r>
        <w:t xml:space="preserve"> Safeguard Mechanism</w:t>
      </w:r>
      <w:r w:rsidR="00DA2F1D">
        <w:t xml:space="preserve"> </w:t>
      </w:r>
      <w:r w:rsidR="00A50E3E">
        <w:t>including how baselines are calculated</w:t>
      </w:r>
      <w:r w:rsidR="00B3683B">
        <w:t>.</w:t>
      </w:r>
    </w:p>
    <w:p w14:paraId="6A9CEB74" w14:textId="0D222C81" w:rsidR="00895F5C" w:rsidRDefault="00AE64F4" w:rsidP="00895F5C">
      <w:r w:rsidRPr="003E5783">
        <w:t xml:space="preserve">All references to legislative provisions in this </w:t>
      </w:r>
      <w:r w:rsidR="008B1412">
        <w:t>guideline</w:t>
      </w:r>
      <w:r w:rsidR="008B1412" w:rsidRPr="003E5783">
        <w:t xml:space="preserve"> </w:t>
      </w:r>
      <w:r w:rsidRPr="003E5783">
        <w:t>document relate to</w:t>
      </w:r>
      <w:r w:rsidR="00B468FF" w:rsidRPr="00B468FF">
        <w:t xml:space="preserve"> </w:t>
      </w:r>
      <w:r w:rsidR="00A526F9">
        <w:t xml:space="preserve">the </w:t>
      </w:r>
      <w:r w:rsidR="003605FE">
        <w:t>Safeguard Rule</w:t>
      </w:r>
      <w:r>
        <w:t xml:space="preserve"> unless otherwise indicated.</w:t>
      </w:r>
      <w:r w:rsidR="009C5B50">
        <w:t xml:space="preserve"> </w:t>
      </w:r>
    </w:p>
    <w:p w14:paraId="690D9A2E" w14:textId="60053113" w:rsidR="00700CC2" w:rsidRDefault="00700CC2">
      <w:pPr>
        <w:spacing w:after="0"/>
      </w:pPr>
      <w:r>
        <w:br w:type="page"/>
      </w:r>
    </w:p>
    <w:tbl>
      <w:tblPr>
        <w:tblStyle w:val="CERCallout"/>
        <w:tblW w:w="0" w:type="auto"/>
        <w:tblLook w:val="04A0" w:firstRow="1" w:lastRow="0" w:firstColumn="1" w:lastColumn="0" w:noHBand="0" w:noVBand="1"/>
      </w:tblPr>
      <w:tblGrid>
        <w:gridCol w:w="9716"/>
      </w:tblGrid>
      <w:tr w:rsidR="00C06169" w14:paraId="63516A0E" w14:textId="31A01320" w:rsidTr="39F26418">
        <w:trPr>
          <w:cnfStyle w:val="100000000000" w:firstRow="1" w:lastRow="0" w:firstColumn="0" w:lastColumn="0" w:oddVBand="0" w:evenVBand="0" w:oddHBand="0" w:evenHBand="0" w:firstRowFirstColumn="0" w:firstRowLastColumn="0" w:lastRowFirstColumn="0" w:lastRowLastColumn="0"/>
          <w:trHeight w:val="8235"/>
        </w:trPr>
        <w:tc>
          <w:tcPr>
            <w:tcW w:w="9730" w:type="dxa"/>
          </w:tcPr>
          <w:p w14:paraId="519BB2A1" w14:textId="0D2D92E1" w:rsidR="006A6D32" w:rsidRPr="000D1DC9" w:rsidRDefault="006A6D32" w:rsidP="00E83362">
            <w:pPr>
              <w:pStyle w:val="CERbullets"/>
              <w:numPr>
                <w:ilvl w:val="0"/>
                <w:numId w:val="0"/>
              </w:numPr>
              <w:spacing w:before="0" w:beforeAutospacing="0"/>
              <w:ind w:left="357" w:hanging="357"/>
            </w:pPr>
            <w:r w:rsidRPr="000D1DC9">
              <w:t>Important information</w:t>
            </w:r>
          </w:p>
          <w:p w14:paraId="3D2C5FCC" w14:textId="793F2178" w:rsidR="005F5296" w:rsidRPr="003F5C62" w:rsidRDefault="30666192" w:rsidP="3FB6375E">
            <w:pPr>
              <w:pStyle w:val="CERbullets"/>
              <w:spacing w:before="240" w:beforeAutospacing="0" w:after="240"/>
              <w:ind w:left="357" w:hanging="357"/>
              <w:rPr>
                <w:b w:val="0"/>
                <w:sz w:val="22"/>
              </w:rPr>
            </w:pPr>
            <w:r w:rsidRPr="003F5C62">
              <w:rPr>
                <w:b w:val="0"/>
                <w:sz w:val="22"/>
              </w:rPr>
              <w:t>This</w:t>
            </w:r>
            <w:r w:rsidR="00C74534" w:rsidRPr="003F5C62">
              <w:rPr>
                <w:b w:val="0"/>
                <w:sz w:val="22"/>
              </w:rPr>
              <w:t xml:space="preserve"> application</w:t>
            </w:r>
            <w:r w:rsidRPr="003F5C62">
              <w:rPr>
                <w:b w:val="0"/>
                <w:sz w:val="22"/>
              </w:rPr>
              <w:t xml:space="preserve"> </w:t>
            </w:r>
            <w:r w:rsidR="008B1412" w:rsidRPr="003F5C62">
              <w:rPr>
                <w:b w:val="0"/>
                <w:sz w:val="22"/>
              </w:rPr>
              <w:t>guideline</w:t>
            </w:r>
            <w:r w:rsidRPr="003F5C62">
              <w:rPr>
                <w:b w:val="0"/>
                <w:sz w:val="22"/>
              </w:rPr>
              <w:t xml:space="preserve"> is </w:t>
            </w:r>
            <w:r w:rsidRPr="003F5C62">
              <w:rPr>
                <w:sz w:val="22"/>
              </w:rPr>
              <w:t>not</w:t>
            </w:r>
            <w:r w:rsidRPr="003F5C62">
              <w:rPr>
                <w:b w:val="0"/>
                <w:sz w:val="22"/>
              </w:rPr>
              <w:t xml:space="preserve"> applicable for </w:t>
            </w:r>
            <w:r w:rsidR="4FE23069" w:rsidRPr="003F5C62">
              <w:rPr>
                <w:b w:val="0"/>
                <w:sz w:val="22"/>
              </w:rPr>
              <w:t>new</w:t>
            </w:r>
            <w:r w:rsidR="2A977A94" w:rsidRPr="003F5C62">
              <w:rPr>
                <w:b w:val="0"/>
                <w:sz w:val="22"/>
              </w:rPr>
              <w:t xml:space="preserve"> facilities</w:t>
            </w:r>
            <w:r w:rsidR="4FE23069" w:rsidRPr="003F5C62">
              <w:rPr>
                <w:b w:val="0"/>
                <w:sz w:val="22"/>
              </w:rPr>
              <w:t>, landfill</w:t>
            </w:r>
            <w:r w:rsidR="089ECB15" w:rsidRPr="003F5C62">
              <w:rPr>
                <w:b w:val="0"/>
                <w:sz w:val="22"/>
              </w:rPr>
              <w:t xml:space="preserve"> </w:t>
            </w:r>
            <w:r w:rsidR="2A977A94" w:rsidRPr="003F5C62">
              <w:rPr>
                <w:b w:val="0"/>
                <w:sz w:val="22"/>
              </w:rPr>
              <w:t xml:space="preserve">facilities </w:t>
            </w:r>
            <w:r w:rsidR="4FE23069" w:rsidRPr="003F5C62">
              <w:rPr>
                <w:b w:val="0"/>
                <w:sz w:val="22"/>
              </w:rPr>
              <w:t xml:space="preserve">and grid-connected </w:t>
            </w:r>
            <w:r w:rsidR="0BDCB19A" w:rsidRPr="003F5C62">
              <w:rPr>
                <w:b w:val="0"/>
                <w:sz w:val="22"/>
              </w:rPr>
              <w:t>generator facilities</w:t>
            </w:r>
            <w:r w:rsidR="06529AE7" w:rsidRPr="003F5C62">
              <w:rPr>
                <w:b w:val="0"/>
                <w:sz w:val="22"/>
              </w:rPr>
              <w:t xml:space="preserve"> subject to a sectoral baseline</w:t>
            </w:r>
            <w:r w:rsidR="00965ED4">
              <w:rPr>
                <w:b w:val="0"/>
                <w:sz w:val="22"/>
              </w:rPr>
              <w:t xml:space="preserve"> (except </w:t>
            </w:r>
            <w:r w:rsidR="0047679C">
              <w:rPr>
                <w:b w:val="0"/>
                <w:sz w:val="22"/>
              </w:rPr>
              <w:t>when</w:t>
            </w:r>
            <w:r w:rsidR="00965ED4">
              <w:rPr>
                <w:b w:val="0"/>
                <w:sz w:val="22"/>
              </w:rPr>
              <w:t xml:space="preserve"> it has non-exempt emissions</w:t>
            </w:r>
            <w:r w:rsidR="06529AE7" w:rsidRPr="003F5C62">
              <w:rPr>
                <w:b w:val="0"/>
                <w:sz w:val="22"/>
              </w:rPr>
              <w:t>)</w:t>
            </w:r>
            <w:r w:rsidR="0BDCB19A" w:rsidRPr="003F5C62">
              <w:rPr>
                <w:b w:val="0"/>
                <w:sz w:val="22"/>
              </w:rPr>
              <w:t>.</w:t>
            </w:r>
          </w:p>
          <w:p w14:paraId="776D13E2" w14:textId="7D889AAE" w:rsidR="00A800E4" w:rsidRPr="003F5C62" w:rsidRDefault="00C12321" w:rsidP="004C048D">
            <w:pPr>
              <w:pStyle w:val="CERbullets"/>
              <w:spacing w:before="240" w:beforeAutospacing="0" w:after="240"/>
              <w:ind w:left="357" w:hanging="357"/>
              <w:rPr>
                <w:b w:val="0"/>
                <w:bCs/>
                <w:sz w:val="22"/>
              </w:rPr>
            </w:pPr>
            <w:r w:rsidRPr="003F5C62">
              <w:rPr>
                <w:b w:val="0"/>
                <w:bCs/>
                <w:sz w:val="22"/>
              </w:rPr>
              <w:t>S</w:t>
            </w:r>
            <w:r w:rsidR="00A443A8" w:rsidRPr="003F5C62">
              <w:rPr>
                <w:b w:val="0"/>
                <w:bCs/>
                <w:sz w:val="22"/>
              </w:rPr>
              <w:t xml:space="preserve">hale gas extraction </w:t>
            </w:r>
            <w:r w:rsidR="00A61C58" w:rsidRPr="003F5C62">
              <w:rPr>
                <w:b w:val="0"/>
                <w:bCs/>
                <w:sz w:val="22"/>
              </w:rPr>
              <w:t>facilities</w:t>
            </w:r>
            <w:r w:rsidRPr="003F5C62">
              <w:rPr>
                <w:b w:val="0"/>
                <w:bCs/>
                <w:sz w:val="22"/>
              </w:rPr>
              <w:t xml:space="preserve"> may apply for </w:t>
            </w:r>
            <w:r w:rsidR="00D34769" w:rsidRPr="003F5C62">
              <w:rPr>
                <w:b w:val="0"/>
                <w:bCs/>
                <w:sz w:val="22"/>
              </w:rPr>
              <w:t xml:space="preserve">a </w:t>
            </w:r>
            <w:proofErr w:type="gramStart"/>
            <w:r w:rsidRPr="003F5C62">
              <w:rPr>
                <w:b w:val="0"/>
                <w:bCs/>
                <w:sz w:val="22"/>
              </w:rPr>
              <w:t>determination</w:t>
            </w:r>
            <w:r w:rsidR="00A526F9" w:rsidRPr="003F5C62">
              <w:rPr>
                <w:b w:val="0"/>
                <w:bCs/>
                <w:sz w:val="22"/>
              </w:rPr>
              <w:t>,</w:t>
            </w:r>
            <w:proofErr w:type="gramEnd"/>
            <w:r w:rsidR="00A61C58" w:rsidRPr="003F5C62">
              <w:rPr>
                <w:b w:val="0"/>
                <w:bCs/>
                <w:sz w:val="22"/>
              </w:rPr>
              <w:t xml:space="preserve"> however </w:t>
            </w:r>
            <w:r w:rsidR="0054378A" w:rsidRPr="003F5C62">
              <w:rPr>
                <w:b w:val="0"/>
                <w:bCs/>
                <w:sz w:val="22"/>
              </w:rPr>
              <w:t xml:space="preserve">section 10(2) of the </w:t>
            </w:r>
            <w:r w:rsidRPr="003F5C62">
              <w:rPr>
                <w:b w:val="0"/>
                <w:bCs/>
                <w:sz w:val="22"/>
              </w:rPr>
              <w:t xml:space="preserve">Safeguard </w:t>
            </w:r>
            <w:r w:rsidR="0054378A" w:rsidRPr="003F5C62">
              <w:rPr>
                <w:b w:val="0"/>
                <w:bCs/>
                <w:sz w:val="22"/>
              </w:rPr>
              <w:t xml:space="preserve">Rule sets shale gas extraction baselines to ‘zero’ </w:t>
            </w:r>
            <w:r w:rsidR="00A33E05" w:rsidRPr="003F5C62">
              <w:rPr>
                <w:b w:val="0"/>
                <w:bCs/>
                <w:sz w:val="22"/>
              </w:rPr>
              <w:t xml:space="preserve">regardless </w:t>
            </w:r>
            <w:r w:rsidR="0054378A" w:rsidRPr="003F5C62">
              <w:rPr>
                <w:b w:val="0"/>
                <w:bCs/>
                <w:sz w:val="22"/>
              </w:rPr>
              <w:t xml:space="preserve">of </w:t>
            </w:r>
            <w:r w:rsidR="00D34769" w:rsidRPr="003F5C62">
              <w:rPr>
                <w:b w:val="0"/>
                <w:bCs/>
                <w:sz w:val="22"/>
              </w:rPr>
              <w:t xml:space="preserve">a </w:t>
            </w:r>
            <w:r w:rsidR="0054378A" w:rsidRPr="003F5C62">
              <w:rPr>
                <w:b w:val="0"/>
                <w:bCs/>
                <w:sz w:val="22"/>
              </w:rPr>
              <w:t>determination.</w:t>
            </w:r>
            <w:r w:rsidR="00F33100" w:rsidRPr="003F5C62">
              <w:rPr>
                <w:b w:val="0"/>
                <w:bCs/>
                <w:sz w:val="22"/>
              </w:rPr>
              <w:t xml:space="preserve"> </w:t>
            </w:r>
          </w:p>
          <w:p w14:paraId="5DD96F37" w14:textId="1A168CA3" w:rsidR="002A4BC4" w:rsidRPr="003F5C62" w:rsidRDefault="003E2DD1" w:rsidP="009953CF">
            <w:pPr>
              <w:pStyle w:val="CERbullets"/>
              <w:spacing w:before="240" w:after="240"/>
              <w:ind w:left="357" w:hanging="357"/>
              <w:rPr>
                <w:b w:val="0"/>
                <w:bCs/>
                <w:sz w:val="22"/>
              </w:rPr>
            </w:pPr>
            <w:r w:rsidRPr="003F5C62">
              <w:rPr>
                <w:b w:val="0"/>
                <w:bCs/>
                <w:sz w:val="22"/>
              </w:rPr>
              <w:t xml:space="preserve">The </w:t>
            </w:r>
            <w:r w:rsidR="000B68D4" w:rsidRPr="003F5C62">
              <w:rPr>
                <w:b w:val="0"/>
                <w:bCs/>
                <w:sz w:val="22"/>
              </w:rPr>
              <w:t>DCCEEW</w:t>
            </w:r>
            <w:r w:rsidRPr="003F5C62">
              <w:rPr>
                <w:b w:val="0"/>
                <w:bCs/>
                <w:sz w:val="22"/>
              </w:rPr>
              <w:t xml:space="preserve"> has </w:t>
            </w:r>
            <w:r w:rsidR="00BD1CB4" w:rsidRPr="003F5C62">
              <w:rPr>
                <w:b w:val="0"/>
                <w:bCs/>
                <w:sz w:val="22"/>
              </w:rPr>
              <w:t xml:space="preserve">completed a </w:t>
            </w:r>
            <w:r w:rsidRPr="003F5C62">
              <w:rPr>
                <w:b w:val="0"/>
                <w:bCs/>
                <w:sz w:val="22"/>
              </w:rPr>
              <w:t>revie</w:t>
            </w:r>
            <w:r w:rsidR="00BD1CB4" w:rsidRPr="003F5C62">
              <w:rPr>
                <w:b w:val="0"/>
                <w:bCs/>
                <w:sz w:val="22"/>
              </w:rPr>
              <w:t xml:space="preserve">w of </w:t>
            </w:r>
            <w:r w:rsidRPr="003F5C62">
              <w:rPr>
                <w:b w:val="0"/>
                <w:bCs/>
                <w:sz w:val="22"/>
              </w:rPr>
              <w:t xml:space="preserve">production variables. This was to ensure a comprehensive set of production variables for the reformed Safeguard Mechanism. </w:t>
            </w:r>
            <w:r w:rsidR="004C048D" w:rsidRPr="003F5C62">
              <w:rPr>
                <w:b w:val="0"/>
                <w:bCs/>
                <w:sz w:val="22"/>
              </w:rPr>
              <w:t xml:space="preserve">A current list of production variables under review is available on page 1 of the online application in </w:t>
            </w:r>
            <w:hyperlink r:id="rId25" w:anchor=":~:text=via%20Online%20Services-,Online%20Services,-ACCU%20Scheme%20transition" w:tooltip="A link to the Online Services page of the Clean Energy Regulator website" w:history="1">
              <w:r w:rsidR="004C048D" w:rsidRPr="003F5C62">
                <w:rPr>
                  <w:rStyle w:val="Hyperlink"/>
                  <w:rFonts w:asciiTheme="minorHAnsi" w:hAnsiTheme="minorHAnsi"/>
                  <w:b w:val="0"/>
                  <w:bCs/>
                </w:rPr>
                <w:t>Online Services</w:t>
              </w:r>
            </w:hyperlink>
            <w:r w:rsidR="001E0D00">
              <w:rPr>
                <w:rStyle w:val="FootnoteReference"/>
                <w:bCs/>
                <w:color w:val="006C93" w:themeColor="accent3"/>
                <w:sz w:val="22"/>
                <w:u w:val="single"/>
              </w:rPr>
              <w:footnoteReference w:id="16"/>
            </w:r>
            <w:r w:rsidR="004C048D" w:rsidRPr="003F5C62">
              <w:rPr>
                <w:b w:val="0"/>
                <w:bCs/>
                <w:sz w:val="22"/>
              </w:rPr>
              <w:t>.</w:t>
            </w:r>
          </w:p>
          <w:p w14:paraId="57DBD84A" w14:textId="6554A54A" w:rsidR="00B37B20" w:rsidRPr="003F5C62" w:rsidRDefault="00B37B20" w:rsidP="002E5FEC">
            <w:pPr>
              <w:pStyle w:val="CERbullets"/>
              <w:spacing w:before="240" w:beforeAutospacing="0" w:after="240"/>
              <w:ind w:left="357" w:hanging="357"/>
              <w:rPr>
                <w:b w:val="0"/>
                <w:bCs/>
                <w:sz w:val="22"/>
              </w:rPr>
            </w:pPr>
            <w:r w:rsidRPr="003F5C62">
              <w:rPr>
                <w:b w:val="0"/>
                <w:sz w:val="22"/>
              </w:rPr>
              <w:t xml:space="preserve">If </w:t>
            </w:r>
            <w:r w:rsidR="00E02406" w:rsidRPr="003F5C62">
              <w:rPr>
                <w:b w:val="0"/>
                <w:sz w:val="22"/>
              </w:rPr>
              <w:t>the facility has a form of production that is not capture</w:t>
            </w:r>
            <w:r w:rsidR="00BB1BF7" w:rsidRPr="003F5C62">
              <w:rPr>
                <w:b w:val="0"/>
                <w:sz w:val="22"/>
              </w:rPr>
              <w:t xml:space="preserve">d by the production variables </w:t>
            </w:r>
            <w:r w:rsidR="00967F36" w:rsidRPr="003F5C62">
              <w:rPr>
                <w:b w:val="0"/>
                <w:sz w:val="22"/>
              </w:rPr>
              <w:t xml:space="preserve">found in </w:t>
            </w:r>
            <w:r w:rsidR="00F21868" w:rsidRPr="003F5C62">
              <w:rPr>
                <w:b w:val="0"/>
                <w:sz w:val="22"/>
              </w:rPr>
              <w:t>Schedule 1 of the Safeguard Rule</w:t>
            </w:r>
            <w:r w:rsidR="00967F36" w:rsidRPr="003F5C62">
              <w:rPr>
                <w:b w:val="0"/>
                <w:sz w:val="22"/>
              </w:rPr>
              <w:t xml:space="preserve">, please contact </w:t>
            </w:r>
            <w:r w:rsidR="001B596E" w:rsidRPr="003F5C62">
              <w:rPr>
                <w:b w:val="0"/>
                <w:sz w:val="22"/>
              </w:rPr>
              <w:t>DCCEEW (</w:t>
            </w:r>
            <w:hyperlink r:id="rId26" w:tgtFrame="_blank" w:history="1">
              <w:r w:rsidR="001B596E" w:rsidRPr="003F5C62">
                <w:rPr>
                  <w:rStyle w:val="Hyperlink"/>
                  <w:rFonts w:asciiTheme="minorHAnsi" w:hAnsiTheme="minorHAnsi"/>
                  <w:b w:val="0"/>
                </w:rPr>
                <w:t>Safeguard.Mechanism@dcceew.gov.au</w:t>
              </w:r>
            </w:hyperlink>
            <w:r w:rsidR="001B596E" w:rsidRPr="003F5C62">
              <w:rPr>
                <w:b w:val="0"/>
                <w:sz w:val="22"/>
              </w:rPr>
              <w:t xml:space="preserve">) </w:t>
            </w:r>
            <w:r w:rsidR="00CB74DD" w:rsidRPr="003F5C62">
              <w:rPr>
                <w:b w:val="0"/>
                <w:sz w:val="22"/>
              </w:rPr>
              <w:t xml:space="preserve">to discuss </w:t>
            </w:r>
            <w:r w:rsidR="00476118" w:rsidRPr="003F5C62">
              <w:rPr>
                <w:b w:val="0"/>
                <w:sz w:val="22"/>
              </w:rPr>
              <w:t xml:space="preserve">if a new variable </w:t>
            </w:r>
            <w:r w:rsidR="004E6EB1" w:rsidRPr="003F5C62">
              <w:rPr>
                <w:b w:val="0"/>
                <w:sz w:val="22"/>
              </w:rPr>
              <w:t>is needed.</w:t>
            </w:r>
          </w:p>
          <w:p w14:paraId="5D209EDB" w14:textId="4D20818E" w:rsidR="006A6D32" w:rsidRPr="003F5C62" w:rsidRDefault="00CB0340" w:rsidP="002E5FEC">
            <w:pPr>
              <w:pStyle w:val="CERbullets"/>
              <w:spacing w:before="240" w:beforeAutospacing="0" w:after="240"/>
              <w:ind w:left="357" w:hanging="357"/>
              <w:rPr>
                <w:b w:val="0"/>
                <w:bCs/>
                <w:sz w:val="22"/>
              </w:rPr>
            </w:pPr>
            <w:r w:rsidRPr="003F5C62">
              <w:rPr>
                <w:b w:val="0"/>
                <w:bCs/>
                <w:sz w:val="22"/>
              </w:rPr>
              <w:t>Apply</w:t>
            </w:r>
            <w:r w:rsidR="006A6D32" w:rsidRPr="003F5C62">
              <w:rPr>
                <w:b w:val="0"/>
                <w:bCs/>
                <w:sz w:val="22"/>
              </w:rPr>
              <w:t xml:space="preserve"> using </w:t>
            </w:r>
            <w:hyperlink r:id="rId27" w:anchor="online-services" w:tooltip="A link to the Online Services page of the Clean Energy Regulator website" w:history="1">
              <w:r w:rsidR="00D06293" w:rsidRPr="003F5C62">
                <w:rPr>
                  <w:rStyle w:val="Hyperlink"/>
                  <w:rFonts w:asciiTheme="minorHAnsi" w:hAnsiTheme="minorHAnsi"/>
                  <w:b w:val="0"/>
                  <w:bCs/>
                </w:rPr>
                <w:t>Online Services</w:t>
              </w:r>
            </w:hyperlink>
            <w:r w:rsidR="00091D4F" w:rsidRPr="00091D4F">
              <w:rPr>
                <w:b w:val="0"/>
                <w:bCs/>
                <w:sz w:val="22"/>
                <w:szCs w:val="20"/>
                <w:vertAlign w:val="superscript"/>
              </w:rPr>
              <w:t>15</w:t>
            </w:r>
            <w:r w:rsidR="00DB7EF8" w:rsidRPr="003F5C62">
              <w:rPr>
                <w:b w:val="0"/>
                <w:bCs/>
                <w:sz w:val="22"/>
              </w:rPr>
              <w:t>.</w:t>
            </w:r>
          </w:p>
          <w:p w14:paraId="71DBD6D3" w14:textId="2FCC346F" w:rsidR="000D1DC9" w:rsidRPr="0032683C" w:rsidRDefault="00EF430C" w:rsidP="002E5FEC">
            <w:pPr>
              <w:pStyle w:val="CERbullets"/>
              <w:spacing w:before="240" w:beforeAutospacing="0" w:after="240"/>
              <w:ind w:left="357" w:hanging="357"/>
              <w:rPr>
                <w:b w:val="0"/>
                <w:bCs/>
                <w:sz w:val="22"/>
              </w:rPr>
            </w:pPr>
            <w:r w:rsidRPr="003F5C62">
              <w:rPr>
                <w:b w:val="0"/>
                <w:bCs/>
                <w:sz w:val="22"/>
              </w:rPr>
              <w:t xml:space="preserve">For an </w:t>
            </w:r>
            <w:r w:rsidR="00E01765">
              <w:rPr>
                <w:b w:val="0"/>
                <w:bCs/>
                <w:sz w:val="22"/>
              </w:rPr>
              <w:t>EID</w:t>
            </w:r>
            <w:r w:rsidRPr="003F5C62">
              <w:rPr>
                <w:b w:val="0"/>
                <w:bCs/>
                <w:sz w:val="22"/>
              </w:rPr>
              <w:t xml:space="preserve"> </w:t>
            </w:r>
            <w:r w:rsidR="00317DE2">
              <w:rPr>
                <w:b w:val="0"/>
                <w:bCs/>
                <w:sz w:val="22"/>
              </w:rPr>
              <w:t>to commence in a parti</w:t>
            </w:r>
            <w:r w:rsidR="00DF6265">
              <w:rPr>
                <w:b w:val="0"/>
                <w:bCs/>
                <w:sz w:val="22"/>
              </w:rPr>
              <w:t>cular</w:t>
            </w:r>
            <w:r w:rsidR="000D1DC9" w:rsidRPr="003F5C62">
              <w:rPr>
                <w:b w:val="0"/>
                <w:bCs/>
                <w:sz w:val="22"/>
              </w:rPr>
              <w:t xml:space="preserve"> </w:t>
            </w:r>
            <w:r w:rsidR="00EC6625" w:rsidRPr="003F5C62">
              <w:rPr>
                <w:b w:val="0"/>
                <w:bCs/>
                <w:sz w:val="22"/>
              </w:rPr>
              <w:t>financial year</w:t>
            </w:r>
            <w:r w:rsidR="00D72547" w:rsidRPr="003F5C62">
              <w:rPr>
                <w:b w:val="0"/>
                <w:bCs/>
                <w:sz w:val="22"/>
              </w:rPr>
              <w:t xml:space="preserve">, </w:t>
            </w:r>
            <w:r w:rsidR="00DA6D3D" w:rsidRPr="003F5C62">
              <w:rPr>
                <w:b w:val="0"/>
                <w:bCs/>
                <w:sz w:val="22"/>
              </w:rPr>
              <w:t>a</w:t>
            </w:r>
            <w:r w:rsidR="00DF6265">
              <w:rPr>
                <w:b w:val="0"/>
                <w:bCs/>
                <w:sz w:val="22"/>
              </w:rPr>
              <w:t>n application</w:t>
            </w:r>
            <w:r w:rsidR="00DA6D3D" w:rsidRPr="003F5C62">
              <w:rPr>
                <w:b w:val="0"/>
                <w:bCs/>
                <w:sz w:val="22"/>
              </w:rPr>
              <w:t xml:space="preserve"> </w:t>
            </w:r>
            <w:r w:rsidR="000D1DC9" w:rsidRPr="003F5C62">
              <w:rPr>
                <w:b w:val="0"/>
                <w:bCs/>
                <w:sz w:val="22"/>
              </w:rPr>
              <w:t xml:space="preserve">must </w:t>
            </w:r>
            <w:r w:rsidR="00DF6265">
              <w:rPr>
                <w:b w:val="0"/>
                <w:bCs/>
                <w:sz w:val="22"/>
              </w:rPr>
              <w:t xml:space="preserve">be submitted </w:t>
            </w:r>
            <w:r w:rsidR="000D1DC9" w:rsidRPr="003F5C62">
              <w:rPr>
                <w:b w:val="0"/>
                <w:bCs/>
                <w:sz w:val="22"/>
              </w:rPr>
              <w:t xml:space="preserve">by </w:t>
            </w:r>
            <w:r w:rsidR="006F3391">
              <w:rPr>
                <w:b w:val="0"/>
                <w:bCs/>
                <w:sz w:val="22"/>
              </w:rPr>
              <w:t xml:space="preserve">the </w:t>
            </w:r>
            <w:r w:rsidR="000D1DC9" w:rsidRPr="003F5C62">
              <w:rPr>
                <w:b w:val="0"/>
                <w:bCs/>
                <w:sz w:val="22"/>
              </w:rPr>
              <w:t>3</w:t>
            </w:r>
            <w:r w:rsidR="00317DE2">
              <w:rPr>
                <w:b w:val="0"/>
                <w:bCs/>
                <w:sz w:val="22"/>
              </w:rPr>
              <w:t>1</w:t>
            </w:r>
            <w:r w:rsidR="00C86883" w:rsidRPr="003F5C62">
              <w:rPr>
                <w:b w:val="0"/>
                <w:bCs/>
                <w:sz w:val="22"/>
              </w:rPr>
              <w:t> </w:t>
            </w:r>
            <w:r w:rsidR="00317DE2">
              <w:rPr>
                <w:b w:val="0"/>
                <w:bCs/>
                <w:sz w:val="22"/>
              </w:rPr>
              <w:t>October</w:t>
            </w:r>
            <w:r w:rsidR="00317DE2" w:rsidRPr="003F5C62" w:rsidDel="00317DE2">
              <w:rPr>
                <w:b w:val="0"/>
                <w:bCs/>
                <w:sz w:val="22"/>
              </w:rPr>
              <w:t xml:space="preserve"> </w:t>
            </w:r>
            <w:r w:rsidR="006F3391">
              <w:rPr>
                <w:b w:val="0"/>
                <w:bCs/>
                <w:sz w:val="22"/>
              </w:rPr>
              <w:t>immediately following the end of that financial year</w:t>
            </w:r>
            <w:r w:rsidR="000D1DC9" w:rsidRPr="003F5C62">
              <w:rPr>
                <w:b w:val="0"/>
                <w:bCs/>
                <w:sz w:val="22"/>
              </w:rPr>
              <w:t>.</w:t>
            </w:r>
          </w:p>
          <w:p w14:paraId="4AA43490" w14:textId="00E5BD76" w:rsidR="0020035E" w:rsidRPr="00CB2E49" w:rsidRDefault="00044B9C" w:rsidP="00344DFC">
            <w:pPr>
              <w:pStyle w:val="CERbullets"/>
              <w:spacing w:before="240" w:after="240"/>
              <w:ind w:left="357" w:hanging="357"/>
              <w:rPr>
                <w:b w:val="0"/>
                <w:bCs/>
                <w:sz w:val="22"/>
              </w:rPr>
            </w:pPr>
            <w:r w:rsidRPr="00344DFC">
              <w:rPr>
                <w:bCs/>
                <w:sz w:val="22"/>
              </w:rPr>
              <w:t>If you believe that you may be unable to meet this deadline, contact the CER as soon as possible</w:t>
            </w:r>
            <w:r w:rsidRPr="00344DFC">
              <w:rPr>
                <w:b w:val="0"/>
                <w:bCs/>
                <w:sz w:val="22"/>
              </w:rPr>
              <w:t xml:space="preserve"> (see page</w:t>
            </w:r>
            <w:r w:rsidR="00972D64" w:rsidRPr="00344DFC">
              <w:rPr>
                <w:b w:val="0"/>
                <w:bCs/>
              </w:rPr>
              <w:t xml:space="preserve">s </w:t>
            </w:r>
            <w:r w:rsidR="00972D64" w:rsidRPr="005D0AAF">
              <w:rPr>
                <w:b w:val="0"/>
                <w:bCs/>
                <w:sz w:val="22"/>
              </w:rPr>
              <w:t>13-14</w:t>
            </w:r>
            <w:r w:rsidRPr="00344DFC">
              <w:rPr>
                <w:b w:val="0"/>
                <w:bCs/>
                <w:sz w:val="22"/>
              </w:rPr>
              <w:t xml:space="preserve"> for more information)</w:t>
            </w:r>
            <w:r w:rsidR="002A4E1A" w:rsidRPr="00344DFC">
              <w:rPr>
                <w:b w:val="0"/>
                <w:bCs/>
                <w:sz w:val="22"/>
              </w:rPr>
              <w:t>.</w:t>
            </w:r>
          </w:p>
          <w:p w14:paraId="7356C85C" w14:textId="403426E4" w:rsidR="006A6D32" w:rsidRPr="00A526F9" w:rsidRDefault="009543C4" w:rsidP="00A526F9">
            <w:pPr>
              <w:pStyle w:val="CERbullets"/>
              <w:spacing w:before="240" w:after="240"/>
              <w:rPr>
                <w:b w:val="0"/>
                <w:bCs/>
              </w:rPr>
            </w:pPr>
            <w:r w:rsidRPr="003F5C62">
              <w:rPr>
                <w:b w:val="0"/>
                <w:bCs/>
                <w:sz w:val="22"/>
              </w:rPr>
              <w:t xml:space="preserve">An application must be submitted with an audit report </w:t>
            </w:r>
            <w:r w:rsidR="00670CE2" w:rsidRPr="003F5C62">
              <w:rPr>
                <w:b w:val="0"/>
                <w:bCs/>
                <w:sz w:val="22"/>
              </w:rPr>
              <w:t xml:space="preserve">that meets the requirements of the Safeguard </w:t>
            </w:r>
            <w:proofErr w:type="gramStart"/>
            <w:r w:rsidR="00670CE2" w:rsidRPr="003F5C62">
              <w:rPr>
                <w:b w:val="0"/>
                <w:bCs/>
                <w:sz w:val="22"/>
              </w:rPr>
              <w:t>Rule</w:t>
            </w:r>
            <w:proofErr w:type="gramEnd"/>
            <w:r w:rsidR="00670CE2" w:rsidRPr="003F5C62">
              <w:rPr>
                <w:b w:val="0"/>
                <w:bCs/>
                <w:sz w:val="22"/>
              </w:rPr>
              <w:t xml:space="preserve"> </w:t>
            </w:r>
            <w:r w:rsidRPr="003F5C62">
              <w:rPr>
                <w:b w:val="0"/>
                <w:bCs/>
                <w:sz w:val="22"/>
              </w:rPr>
              <w:t xml:space="preserve">and it is recommended that </w:t>
            </w:r>
            <w:r w:rsidR="00CB0340" w:rsidRPr="003F5C62">
              <w:rPr>
                <w:b w:val="0"/>
                <w:bCs/>
                <w:sz w:val="22"/>
              </w:rPr>
              <w:t xml:space="preserve">responsible emitters </w:t>
            </w:r>
            <w:r w:rsidRPr="003F5C62">
              <w:rPr>
                <w:b w:val="0"/>
                <w:bCs/>
                <w:sz w:val="22"/>
              </w:rPr>
              <w:t xml:space="preserve">engage an auditor as soon as </w:t>
            </w:r>
            <w:r w:rsidR="00C02B35" w:rsidRPr="003F5C62">
              <w:rPr>
                <w:b w:val="0"/>
                <w:bCs/>
                <w:sz w:val="22"/>
              </w:rPr>
              <w:t xml:space="preserve">feasible. </w:t>
            </w:r>
            <w:r w:rsidR="00A04136" w:rsidRPr="003F5C62">
              <w:rPr>
                <w:b w:val="0"/>
                <w:bCs/>
                <w:sz w:val="22"/>
              </w:rPr>
              <w:t>S</w:t>
            </w:r>
            <w:r w:rsidR="000803F6" w:rsidRPr="003F5C62">
              <w:rPr>
                <w:b w:val="0"/>
                <w:bCs/>
                <w:sz w:val="22"/>
              </w:rPr>
              <w:t xml:space="preserve">ee </w:t>
            </w:r>
            <w:hyperlink w:anchor="_Audit_report" w:history="1">
              <w:r w:rsidR="00B67185" w:rsidRPr="003F5C62">
                <w:rPr>
                  <w:rStyle w:val="Hyperlink"/>
                  <w:rFonts w:asciiTheme="minorHAnsi" w:hAnsiTheme="minorHAnsi"/>
                  <w:b w:val="0"/>
                  <w:bCs/>
                </w:rPr>
                <w:t xml:space="preserve">Part </w:t>
              </w:r>
              <w:r w:rsidR="00BB2538" w:rsidRPr="003F5C62">
                <w:rPr>
                  <w:rStyle w:val="Hyperlink"/>
                  <w:rFonts w:asciiTheme="minorHAnsi" w:hAnsiTheme="minorHAnsi"/>
                  <w:b w:val="0"/>
                  <w:bCs/>
                </w:rPr>
                <w:t>3.8</w:t>
              </w:r>
              <w:r w:rsidR="000803F6" w:rsidRPr="003F5C62">
                <w:rPr>
                  <w:rStyle w:val="Hyperlink"/>
                  <w:rFonts w:asciiTheme="minorHAnsi" w:hAnsiTheme="minorHAnsi"/>
                  <w:b w:val="0"/>
                  <w:bCs/>
                </w:rPr>
                <w:t xml:space="preserve"> Audit report</w:t>
              </w:r>
            </w:hyperlink>
            <w:r w:rsidR="000803F6" w:rsidRPr="003F5C62">
              <w:rPr>
                <w:rStyle w:val="Hyperlink"/>
                <w:rFonts w:asciiTheme="minorHAnsi" w:hAnsiTheme="minorHAnsi"/>
                <w:b w:val="0"/>
                <w:bCs/>
                <w:color w:val="auto"/>
              </w:rPr>
              <w:t xml:space="preserve"> </w:t>
            </w:r>
            <w:r w:rsidR="00A04136" w:rsidRPr="003F5C62">
              <w:rPr>
                <w:b w:val="0"/>
                <w:bCs/>
                <w:sz w:val="22"/>
              </w:rPr>
              <w:t xml:space="preserve">for </w:t>
            </w:r>
            <w:r w:rsidR="00C02B35" w:rsidRPr="003F5C62">
              <w:rPr>
                <w:b w:val="0"/>
                <w:bCs/>
                <w:sz w:val="22"/>
              </w:rPr>
              <w:t xml:space="preserve">audit </w:t>
            </w:r>
            <w:r w:rsidR="0024162A" w:rsidRPr="003F5C62">
              <w:rPr>
                <w:b w:val="0"/>
                <w:bCs/>
                <w:sz w:val="22"/>
              </w:rPr>
              <w:t>re</w:t>
            </w:r>
            <w:r w:rsidR="00F00EDF" w:rsidRPr="003F5C62">
              <w:rPr>
                <w:b w:val="0"/>
                <w:bCs/>
                <w:sz w:val="22"/>
              </w:rPr>
              <w:t>port re</w:t>
            </w:r>
            <w:r w:rsidR="0024162A" w:rsidRPr="003F5C62">
              <w:rPr>
                <w:b w:val="0"/>
                <w:bCs/>
                <w:sz w:val="22"/>
              </w:rPr>
              <w:t>quirements</w:t>
            </w:r>
            <w:r w:rsidR="00D45F94" w:rsidRPr="003F5C62">
              <w:rPr>
                <w:b w:val="0"/>
                <w:bCs/>
                <w:sz w:val="22"/>
              </w:rPr>
              <w:t>.</w:t>
            </w:r>
          </w:p>
        </w:tc>
      </w:tr>
    </w:tbl>
    <w:p w14:paraId="4CCD73D9" w14:textId="376FE0B1" w:rsidR="006016D4" w:rsidRDefault="006016D4" w:rsidP="006016D4">
      <w:pPr>
        <w:spacing w:after="0"/>
      </w:pPr>
    </w:p>
    <w:p w14:paraId="70E050EE" w14:textId="68F4CAC0" w:rsidR="00DE49D3" w:rsidRDefault="00DE49D3">
      <w:pPr>
        <w:spacing w:after="0"/>
      </w:pPr>
      <w:r>
        <w:br w:type="page"/>
      </w:r>
    </w:p>
    <w:p w14:paraId="5862BC0C" w14:textId="5ED3C709" w:rsidR="00AE64F4" w:rsidRPr="009B5E9A" w:rsidRDefault="003A121B" w:rsidP="007C05DA">
      <w:pPr>
        <w:pStyle w:val="Heading1"/>
        <w:numPr>
          <w:ilvl w:val="6"/>
          <w:numId w:val="1"/>
        </w:numPr>
        <w:ind w:left="680" w:hanging="680"/>
      </w:pPr>
      <w:bookmarkStart w:id="24" w:name="_Toc138922897"/>
      <w:bookmarkStart w:id="25" w:name="_Toc138922972"/>
      <w:bookmarkStart w:id="26" w:name="_Toc138923036"/>
      <w:bookmarkStart w:id="27" w:name="_Toc138923293"/>
      <w:bookmarkStart w:id="28" w:name="_Toc143503165"/>
      <w:bookmarkStart w:id="29" w:name="_Toc208216264"/>
      <w:r w:rsidRPr="009B5E9A">
        <w:t xml:space="preserve">Overview of the </w:t>
      </w:r>
      <w:r w:rsidR="00451568" w:rsidRPr="009B5E9A">
        <w:t xml:space="preserve">2023 </w:t>
      </w:r>
      <w:r w:rsidRPr="009B5E9A">
        <w:t>Safeguard Mechanism</w:t>
      </w:r>
      <w:r w:rsidR="00F7246D" w:rsidRPr="009B5E9A">
        <w:t xml:space="preserve"> reforms</w:t>
      </w:r>
      <w:bookmarkEnd w:id="24"/>
      <w:bookmarkEnd w:id="25"/>
      <w:bookmarkEnd w:id="26"/>
      <w:bookmarkEnd w:id="27"/>
      <w:bookmarkEnd w:id="28"/>
      <w:bookmarkEnd w:id="29"/>
      <w:r w:rsidR="00F7246D" w:rsidRPr="009B5E9A">
        <w:t xml:space="preserve"> </w:t>
      </w:r>
    </w:p>
    <w:p w14:paraId="6E36B00F" w14:textId="2CB2D8D1" w:rsidR="00EA27B7" w:rsidRDefault="002B149E" w:rsidP="00C376AB">
      <w:pPr>
        <w:autoSpaceDE w:val="0"/>
        <w:autoSpaceDN w:val="0"/>
        <w:adjustRightInd w:val="0"/>
        <w:spacing w:before="200"/>
        <w:rPr>
          <w:rFonts w:cs="Calibri"/>
        </w:rPr>
      </w:pPr>
      <w:r w:rsidRPr="002B149E">
        <w:rPr>
          <w:rFonts w:cs="Calibri"/>
        </w:rPr>
        <w:t xml:space="preserve">The Safeguard Mechanism </w:t>
      </w:r>
      <w:r w:rsidR="005B6EE8">
        <w:rPr>
          <w:rFonts w:cs="Calibri"/>
        </w:rPr>
        <w:t>was</w:t>
      </w:r>
      <w:r w:rsidRPr="002B149E">
        <w:rPr>
          <w:rFonts w:cs="Calibri"/>
        </w:rPr>
        <w:t xml:space="preserve"> reformed following a consultation process undertaken by the </w:t>
      </w:r>
      <w:r w:rsidR="003E6423">
        <w:rPr>
          <w:rFonts w:cs="Calibri"/>
        </w:rPr>
        <w:t>DCCEEW</w:t>
      </w:r>
      <w:r w:rsidRPr="002B149E">
        <w:rPr>
          <w:rFonts w:cs="Calibri"/>
        </w:rPr>
        <w:t>.</w:t>
      </w:r>
      <w:r>
        <w:rPr>
          <w:rFonts w:cs="Calibri"/>
        </w:rPr>
        <w:t xml:space="preserve"> </w:t>
      </w:r>
      <w:r w:rsidRPr="002B149E">
        <w:rPr>
          <w:rFonts w:cs="Calibri"/>
        </w:rPr>
        <w:t>New obligations and reporting requirements apply to Safeguard facilit</w:t>
      </w:r>
      <w:r w:rsidR="004312F6">
        <w:rPr>
          <w:rFonts w:cs="Calibri"/>
        </w:rPr>
        <w:t>ies</w:t>
      </w:r>
      <w:r w:rsidRPr="002B149E">
        <w:rPr>
          <w:rFonts w:cs="Calibri"/>
        </w:rPr>
        <w:t xml:space="preserve"> </w:t>
      </w:r>
      <w:r w:rsidR="00147B44">
        <w:rPr>
          <w:rFonts w:cs="Calibri"/>
        </w:rPr>
        <w:t xml:space="preserve">for </w:t>
      </w:r>
      <w:r w:rsidRPr="002B149E">
        <w:rPr>
          <w:rFonts w:cs="Calibri"/>
        </w:rPr>
        <w:t>financial years commencing on or after 1 July 2023</w:t>
      </w:r>
      <w:r>
        <w:rPr>
          <w:rFonts w:cs="Calibri"/>
        </w:rPr>
        <w:t>.</w:t>
      </w:r>
    </w:p>
    <w:p w14:paraId="751D56AD" w14:textId="643490CE" w:rsidR="005C288E" w:rsidRDefault="005C288E" w:rsidP="005C288E">
      <w:r w:rsidRPr="006840C5">
        <w:t>Apart from the sectoral baseline for grid-connected electricity generators, baseline determinations made before 1</w:t>
      </w:r>
      <w:r>
        <w:t xml:space="preserve"> July 2023 </w:t>
      </w:r>
      <w:r w:rsidRPr="00E5724D">
        <w:t>cease</w:t>
      </w:r>
      <w:r w:rsidR="005B6EE8">
        <w:t>d</w:t>
      </w:r>
      <w:r w:rsidRPr="00E5724D">
        <w:t xml:space="preserve"> to be in force from </w:t>
      </w:r>
      <w:r>
        <w:t>1 July 2023.</w:t>
      </w:r>
      <w:r w:rsidR="00F33100">
        <w:t xml:space="preserve"> </w:t>
      </w:r>
    </w:p>
    <w:p w14:paraId="7AE364F8" w14:textId="4FA42898" w:rsidR="00884509" w:rsidRDefault="002B149E" w:rsidP="00C376AB">
      <w:pPr>
        <w:autoSpaceDE w:val="0"/>
        <w:autoSpaceDN w:val="0"/>
        <w:adjustRightInd w:val="0"/>
        <w:spacing w:before="200"/>
      </w:pPr>
      <w:r>
        <w:rPr>
          <w:rFonts w:cs="Calibri"/>
        </w:rPr>
        <w:t xml:space="preserve">The reformed Safeguard Mechanism scheme </w:t>
      </w:r>
      <w:r w:rsidR="005C2D4A">
        <w:rPr>
          <w:rFonts w:cs="Calibri"/>
        </w:rPr>
        <w:t xml:space="preserve">includes </w:t>
      </w:r>
      <w:r w:rsidR="00E0472B">
        <w:rPr>
          <w:rFonts w:cs="Calibri"/>
        </w:rPr>
        <w:t>new baseline</w:t>
      </w:r>
      <w:r w:rsidR="001A3548">
        <w:rPr>
          <w:rFonts w:cs="Calibri"/>
        </w:rPr>
        <w:t xml:space="preserve">s, </w:t>
      </w:r>
      <w:r w:rsidR="007132BA">
        <w:rPr>
          <w:rFonts w:cs="Calibri"/>
        </w:rPr>
        <w:t xml:space="preserve">flexible mechanisms to manage </w:t>
      </w:r>
      <w:r w:rsidR="003F2149">
        <w:rPr>
          <w:rFonts w:cs="Calibri"/>
        </w:rPr>
        <w:t>net</w:t>
      </w:r>
      <w:r w:rsidR="7389B1F1">
        <w:rPr>
          <w:rFonts w:cs="Calibri"/>
        </w:rPr>
        <w:t xml:space="preserve"> </w:t>
      </w:r>
      <w:r w:rsidR="003F2149">
        <w:rPr>
          <w:rFonts w:cs="Calibri"/>
        </w:rPr>
        <w:t xml:space="preserve">emissions </w:t>
      </w:r>
      <w:r w:rsidR="001E3F97">
        <w:rPr>
          <w:rFonts w:cs="Calibri"/>
        </w:rPr>
        <w:t>and additional publication requirements</w:t>
      </w:r>
      <w:r w:rsidR="00884509">
        <w:rPr>
          <w:rFonts w:cs="Calibri"/>
        </w:rPr>
        <w:t>.</w:t>
      </w:r>
      <w:r w:rsidR="00804809" w:rsidRPr="00804809">
        <w:t xml:space="preserve"> </w:t>
      </w:r>
      <w:r w:rsidR="00804809" w:rsidRPr="00E5724D">
        <w:t xml:space="preserve">Baselines will decline each year in line with Australia’s legislated commitments to reduce </w:t>
      </w:r>
      <w:r w:rsidR="009C6992">
        <w:t xml:space="preserve">net </w:t>
      </w:r>
      <w:r w:rsidR="00804809" w:rsidRPr="00E5724D">
        <w:t xml:space="preserve">greenhouse gas emissions by 43 percent </w:t>
      </w:r>
      <w:r w:rsidR="002901B1">
        <w:t xml:space="preserve">below </w:t>
      </w:r>
      <w:r w:rsidR="008712CB">
        <w:t xml:space="preserve">2005 levels </w:t>
      </w:r>
      <w:r w:rsidR="00804809" w:rsidRPr="00E5724D">
        <w:t xml:space="preserve">by 2030 and to </w:t>
      </w:r>
      <w:r w:rsidR="00E170F2">
        <w:t xml:space="preserve">achieve </w:t>
      </w:r>
      <w:r w:rsidR="00804809" w:rsidRPr="00E5724D">
        <w:t>net</w:t>
      </w:r>
      <w:r w:rsidR="1D88233A" w:rsidRPr="00E5724D">
        <w:t xml:space="preserve"> </w:t>
      </w:r>
      <w:r w:rsidR="00F64094">
        <w:noBreakHyphen/>
      </w:r>
      <w:r w:rsidR="00804809" w:rsidRPr="00E5724D">
        <w:t>zero by 2050.</w:t>
      </w:r>
    </w:p>
    <w:p w14:paraId="50286653" w14:textId="67B62F6D" w:rsidR="00D6448A" w:rsidRPr="004F1ACC" w:rsidRDefault="00D6448A" w:rsidP="00C376AB">
      <w:pPr>
        <w:spacing w:before="200"/>
        <w:rPr>
          <w:rFonts w:eastAsia="Calibri"/>
        </w:rPr>
      </w:pPr>
      <w:r w:rsidRPr="004F1ACC">
        <w:rPr>
          <w:rFonts w:eastAsia="Times New Roman"/>
        </w:rPr>
        <w:t xml:space="preserve">Safeguard facilities that exceed their </w:t>
      </w:r>
      <w:r w:rsidR="005A70A8">
        <w:rPr>
          <w:rFonts w:eastAsia="Times New Roman"/>
        </w:rPr>
        <w:t xml:space="preserve">annual </w:t>
      </w:r>
      <w:r w:rsidRPr="004F1ACC">
        <w:rPr>
          <w:rFonts w:eastAsia="Times New Roman"/>
        </w:rPr>
        <w:t xml:space="preserve">baseline for financial years commencing on or after 1 July 2023 must </w:t>
      </w:r>
      <w:r w:rsidR="00A1328C">
        <w:rPr>
          <w:rFonts w:eastAsia="Times New Roman"/>
        </w:rPr>
        <w:t xml:space="preserve">manage their emissions </w:t>
      </w:r>
      <w:r w:rsidR="001C0C56">
        <w:rPr>
          <w:rFonts w:eastAsia="Calibri"/>
        </w:rPr>
        <w:t>befor</w:t>
      </w:r>
      <w:r w:rsidR="001C0C56" w:rsidRPr="00180082">
        <w:rPr>
          <w:rFonts w:eastAsia="Calibri"/>
        </w:rPr>
        <w:t>e</w:t>
      </w:r>
      <w:r w:rsidR="008A554D" w:rsidRPr="00180082">
        <w:rPr>
          <w:rFonts w:eastAsia="Calibri"/>
        </w:rPr>
        <w:t xml:space="preserve"> the first</w:t>
      </w:r>
      <w:r w:rsidRPr="004F1ACC">
        <w:rPr>
          <w:rFonts w:eastAsia="Calibri"/>
        </w:rPr>
        <w:t xml:space="preserve"> </w:t>
      </w:r>
      <w:r w:rsidRPr="00526B4F">
        <w:rPr>
          <w:rFonts w:eastAsia="Times New Roman"/>
        </w:rPr>
        <w:t>1 April</w:t>
      </w:r>
      <w:r w:rsidR="008A554D" w:rsidRPr="00526B4F">
        <w:rPr>
          <w:rFonts w:eastAsia="Times New Roman"/>
        </w:rPr>
        <w:t xml:space="preserve"> following the end of </w:t>
      </w:r>
      <w:r w:rsidR="00216DC4">
        <w:rPr>
          <w:rFonts w:eastAsia="Times New Roman"/>
        </w:rPr>
        <w:t>a</w:t>
      </w:r>
      <w:r w:rsidR="008A554D" w:rsidRPr="00526B4F">
        <w:rPr>
          <w:rFonts w:eastAsia="Times New Roman"/>
        </w:rPr>
        <w:t xml:space="preserve"> financial year</w:t>
      </w:r>
      <w:r w:rsidRPr="00526B4F">
        <w:rPr>
          <w:rFonts w:eastAsia="Times New Roman"/>
        </w:rPr>
        <w:t xml:space="preserve"> </w:t>
      </w:r>
      <w:r w:rsidRPr="004F1ACC">
        <w:rPr>
          <w:rFonts w:eastAsia="Times New Roman"/>
        </w:rPr>
        <w:t>by</w:t>
      </w:r>
      <w:r w:rsidR="00614C33" w:rsidRPr="004F1ACC">
        <w:rPr>
          <w:rFonts w:eastAsia="Times New Roman"/>
        </w:rPr>
        <w:t xml:space="preserve"> </w:t>
      </w:r>
      <w:r w:rsidR="00AD21AA">
        <w:rPr>
          <w:rFonts w:eastAsia="Times New Roman"/>
        </w:rPr>
        <w:t>using</w:t>
      </w:r>
      <w:r w:rsidR="00614C33" w:rsidRPr="004F1ACC">
        <w:rPr>
          <w:rFonts w:eastAsia="Times New Roman"/>
        </w:rPr>
        <w:t xml:space="preserve"> </w:t>
      </w:r>
      <w:r w:rsidR="00E63054">
        <w:rPr>
          <w:rFonts w:eastAsia="Times New Roman"/>
        </w:rPr>
        <w:t xml:space="preserve">the </w:t>
      </w:r>
      <w:r w:rsidR="00513702">
        <w:rPr>
          <w:rFonts w:eastAsia="Times New Roman"/>
        </w:rPr>
        <w:t xml:space="preserve">available </w:t>
      </w:r>
      <w:r w:rsidR="007849D9">
        <w:rPr>
          <w:rFonts w:eastAsia="Times New Roman"/>
        </w:rPr>
        <w:t xml:space="preserve">options for managing excess emissions. </w:t>
      </w:r>
    </w:p>
    <w:p w14:paraId="4AFC4D36" w14:textId="4CCAA16F" w:rsidR="00920A13" w:rsidRPr="004F1ACC" w:rsidRDefault="00920A13" w:rsidP="00297C01">
      <w:pPr>
        <w:pStyle w:val="Heading2"/>
      </w:pPr>
      <w:bookmarkStart w:id="30" w:name="_Toc138247412"/>
      <w:bookmarkStart w:id="31" w:name="_Toc138922898"/>
      <w:bookmarkStart w:id="32" w:name="_Toc138922973"/>
      <w:bookmarkStart w:id="33" w:name="_Toc138923037"/>
      <w:bookmarkStart w:id="34" w:name="_Toc138923294"/>
      <w:bookmarkStart w:id="35" w:name="_Toc143503166"/>
      <w:bookmarkStart w:id="36" w:name="_Toc208216265"/>
      <w:bookmarkEnd w:id="30"/>
      <w:r>
        <w:t>Safeguard baseline</w:t>
      </w:r>
      <w:r w:rsidR="004535D3">
        <w:t xml:space="preserve"> calculation</w:t>
      </w:r>
      <w:bookmarkEnd w:id="31"/>
      <w:bookmarkEnd w:id="32"/>
      <w:bookmarkEnd w:id="33"/>
      <w:bookmarkEnd w:id="34"/>
      <w:bookmarkEnd w:id="35"/>
      <w:bookmarkEnd w:id="36"/>
      <w:r w:rsidR="004535D3">
        <w:t xml:space="preserve"> </w:t>
      </w:r>
    </w:p>
    <w:p w14:paraId="4C2AFAB7" w14:textId="53464B21" w:rsidR="00920A13" w:rsidRPr="004F1ACC" w:rsidRDefault="00920A13" w:rsidP="007C05DA">
      <w:pPr>
        <w:spacing w:before="240"/>
      </w:pPr>
      <w:r w:rsidRPr="004F1ACC">
        <w:t>Any facility that exceeds the Safeguard Mechanism threshold of 100,000 tCO</w:t>
      </w:r>
      <w:r w:rsidRPr="004F1ACC">
        <w:rPr>
          <w:vertAlign w:val="subscript"/>
        </w:rPr>
        <w:t>2</w:t>
      </w:r>
      <w:r w:rsidRPr="004F1ACC">
        <w:t xml:space="preserve">-e of covered emissions in a given financial year will have a baseline </w:t>
      </w:r>
      <w:r w:rsidR="00956883">
        <w:t xml:space="preserve">emissions </w:t>
      </w:r>
      <w:r w:rsidRPr="004F1ACC">
        <w:t xml:space="preserve">number calculated for that financial year. This baseline </w:t>
      </w:r>
      <w:r w:rsidR="00956883">
        <w:t xml:space="preserve">emissions </w:t>
      </w:r>
      <w:r w:rsidRPr="004F1ACC">
        <w:t xml:space="preserve">number is annually adjusted for production, based on production quantities of production variables reported under the NGER scheme multiplied by an </w:t>
      </w:r>
      <w:r w:rsidR="0095149E">
        <w:t>emissions-intensity</w:t>
      </w:r>
      <w:r w:rsidRPr="004F1ACC">
        <w:t xml:space="preserve"> number for each applicable production variable</w:t>
      </w:r>
      <w:r w:rsidR="00B83CB8">
        <w:t xml:space="preserve">. For existing </w:t>
      </w:r>
      <w:r w:rsidR="000A5D5F">
        <w:t xml:space="preserve">Safeguard </w:t>
      </w:r>
      <w:proofErr w:type="gramStart"/>
      <w:r w:rsidR="000A5D5F">
        <w:t>facilities</w:t>
      </w:r>
      <w:proofErr w:type="gramEnd"/>
      <w:r w:rsidR="000A5D5F">
        <w:t xml:space="preserve"> the applicable emissions-intensity</w:t>
      </w:r>
      <w:r w:rsidR="000A5D5F" w:rsidRPr="004F1ACC">
        <w:t xml:space="preserve"> number</w:t>
      </w:r>
      <w:r w:rsidR="0011277F">
        <w:t xml:space="preserve"> will be</w:t>
      </w:r>
      <w:r w:rsidRPr="004F1ACC">
        <w:t xml:space="preserve"> either:</w:t>
      </w:r>
    </w:p>
    <w:p w14:paraId="2707F17A" w14:textId="75881E78" w:rsidR="00A42699" w:rsidRPr="006840C5" w:rsidRDefault="00A42699" w:rsidP="0004751C">
      <w:pPr>
        <w:pStyle w:val="ListParagraph"/>
        <w:numPr>
          <w:ilvl w:val="0"/>
          <w:numId w:val="8"/>
        </w:numPr>
        <w:ind w:left="357" w:hanging="357"/>
        <w:contextualSpacing w:val="0"/>
      </w:pPr>
      <w:r w:rsidRPr="006840C5">
        <w:t xml:space="preserve">A hybrid </w:t>
      </w:r>
      <w:r w:rsidR="00B6335F">
        <w:t>emissions-intensity</w:t>
      </w:r>
      <w:r w:rsidRPr="006840C5">
        <w:t xml:space="preserve"> number for existing production variables at existing facilities – this is a combination of </w:t>
      </w:r>
      <w:r w:rsidR="00082FEF" w:rsidRPr="004F1ACC">
        <w:t xml:space="preserve">Facility-specific emissions intensities </w:t>
      </w:r>
      <w:r w:rsidR="00082FEF">
        <w:t xml:space="preserve">(FSEI) </w:t>
      </w:r>
      <w:r w:rsidRPr="006840C5">
        <w:t xml:space="preserve">numbers as set out in an </w:t>
      </w:r>
      <w:r w:rsidR="00155ED7">
        <w:t xml:space="preserve">EID </w:t>
      </w:r>
      <w:r w:rsidRPr="006840C5">
        <w:t xml:space="preserve">and industry-average ‘default’ </w:t>
      </w:r>
      <w:r w:rsidR="00B6335F">
        <w:t>emissions-intensity</w:t>
      </w:r>
      <w:r w:rsidRPr="006840C5">
        <w:t xml:space="preserve"> numbers. This combination will be initially weighted towards </w:t>
      </w:r>
      <w:r w:rsidR="00155ED7">
        <w:t>FSEI</w:t>
      </w:r>
      <w:r w:rsidRPr="006840C5">
        <w:t xml:space="preserve"> </w:t>
      </w:r>
      <w:proofErr w:type="gramStart"/>
      <w:r w:rsidRPr="006840C5">
        <w:t>numbers, but</w:t>
      </w:r>
      <w:proofErr w:type="gramEnd"/>
      <w:r w:rsidRPr="006840C5">
        <w:t xml:space="preserve"> will progressively transition to default </w:t>
      </w:r>
      <w:r w:rsidR="00B6335F">
        <w:t>emissions-intensity</w:t>
      </w:r>
      <w:r w:rsidRPr="006840C5">
        <w:t xml:space="preserve"> numbers by the financial year commencing 1 July 2029. </w:t>
      </w:r>
    </w:p>
    <w:p w14:paraId="443612EC" w14:textId="153FE540" w:rsidR="00CD762D" w:rsidRDefault="00A42699" w:rsidP="0004751C">
      <w:pPr>
        <w:pStyle w:val="ListParagraph"/>
        <w:numPr>
          <w:ilvl w:val="0"/>
          <w:numId w:val="8"/>
        </w:numPr>
        <w:ind w:left="357" w:hanging="357"/>
        <w:contextualSpacing w:val="0"/>
      </w:pPr>
      <w:r w:rsidRPr="006840C5">
        <w:t xml:space="preserve">The international best-practice </w:t>
      </w:r>
      <w:r w:rsidR="00B6335F">
        <w:t>emissions-intensity</w:t>
      </w:r>
      <w:r w:rsidRPr="004F1ACC">
        <w:t xml:space="preserve"> number</w:t>
      </w:r>
      <w:r>
        <w:t>, if applicable</w:t>
      </w:r>
      <w:r w:rsidR="00641035">
        <w:t>.</w:t>
      </w:r>
      <w:r>
        <w:t xml:space="preserve"> </w:t>
      </w:r>
      <w:r w:rsidR="00BA11AC">
        <w:t>B</w:t>
      </w:r>
      <w:r>
        <w:t xml:space="preserve">est-practice values </w:t>
      </w:r>
      <w:r w:rsidR="00442A78">
        <w:t xml:space="preserve">will apply to </w:t>
      </w:r>
      <w:r w:rsidR="00CD762D">
        <w:t xml:space="preserve">‘new’ </w:t>
      </w:r>
      <w:r w:rsidR="00015990">
        <w:t>production variable</w:t>
      </w:r>
      <w:r w:rsidR="001652E8">
        <w:t>s at existing facilities</w:t>
      </w:r>
      <w:r w:rsidR="0065543B">
        <w:t xml:space="preserve"> (i.e</w:t>
      </w:r>
      <w:r w:rsidR="00AE51EB">
        <w:t>.</w:t>
      </w:r>
      <w:r w:rsidR="0065543B">
        <w:t xml:space="preserve"> production variables that are not </w:t>
      </w:r>
      <w:r w:rsidR="0065543B" w:rsidRPr="00C90972">
        <w:t>historical production variables or transitional production variables</w:t>
      </w:r>
      <w:r w:rsidR="001E35ED">
        <w:t>)</w:t>
      </w:r>
      <w:r w:rsidR="006A0A34">
        <w:t xml:space="preserve"> </w:t>
      </w:r>
      <w:r w:rsidR="001D07DB">
        <w:t xml:space="preserve">and </w:t>
      </w:r>
      <w:r w:rsidR="006A0A34">
        <w:t xml:space="preserve">to </w:t>
      </w:r>
      <w:r w:rsidR="00580368">
        <w:t>historical production variables where an FSEI has not been</w:t>
      </w:r>
      <w:r w:rsidR="00E97893">
        <w:t xml:space="preserve"> determined</w:t>
      </w:r>
      <w:r w:rsidR="00CD762D">
        <w:t>.</w:t>
      </w:r>
    </w:p>
    <w:p w14:paraId="13527864" w14:textId="485C9FCB" w:rsidR="000334BC" w:rsidRDefault="00706113" w:rsidP="009F5E11">
      <w:pPr>
        <w:pStyle w:val="CERbullets"/>
        <w:numPr>
          <w:ilvl w:val="1"/>
          <w:numId w:val="1"/>
        </w:numPr>
      </w:pPr>
      <w:r>
        <w:t xml:space="preserve">If a </w:t>
      </w:r>
      <w:r w:rsidRPr="00E306F9">
        <w:t>best-practice value</w:t>
      </w:r>
      <w:r w:rsidR="00015990">
        <w:t xml:space="preserve"> </w:t>
      </w:r>
      <w:r>
        <w:t>has not been prescribed</w:t>
      </w:r>
      <w:r w:rsidR="00B5478C">
        <w:t xml:space="preserve"> </w:t>
      </w:r>
      <w:r w:rsidR="00C3349C">
        <w:t xml:space="preserve">by DCCEEW in </w:t>
      </w:r>
      <w:r w:rsidR="00A114EA">
        <w:t xml:space="preserve">relation to a new production </w:t>
      </w:r>
      <w:r w:rsidR="00015990">
        <w:t xml:space="preserve">variable </w:t>
      </w:r>
      <w:r w:rsidR="00A114EA">
        <w:t>at a facility</w:t>
      </w:r>
      <w:r w:rsidR="000334BC">
        <w:t xml:space="preserve">, the industry-average default values apply. </w:t>
      </w:r>
    </w:p>
    <w:p w14:paraId="76C79F46" w14:textId="291F9061" w:rsidR="00A42699" w:rsidRPr="004F1ACC" w:rsidRDefault="005525F6" w:rsidP="005B202B">
      <w:pPr>
        <w:pStyle w:val="CERbullets"/>
        <w:numPr>
          <w:ilvl w:val="1"/>
          <w:numId w:val="1"/>
        </w:numPr>
      </w:pPr>
      <w:r>
        <w:t xml:space="preserve">If a </w:t>
      </w:r>
      <w:r w:rsidRPr="00E306F9">
        <w:t>best-practice value</w:t>
      </w:r>
      <w:r>
        <w:t xml:space="preserve"> has not been prescribed by DCCEEW in relation to </w:t>
      </w:r>
      <w:r w:rsidR="00574B18">
        <w:t>a historical</w:t>
      </w:r>
      <w:r w:rsidR="00015990" w:rsidRPr="00E306F9">
        <w:t xml:space="preserve"> </w:t>
      </w:r>
      <w:r w:rsidR="00FD61F0" w:rsidRPr="00E306F9">
        <w:t>production variable</w:t>
      </w:r>
      <w:r w:rsidR="00574B18">
        <w:t xml:space="preserve"> that does not have a FSEI, </w:t>
      </w:r>
      <w:r w:rsidR="0017091F" w:rsidRPr="00E306F9">
        <w:t>the emissions intensity value for the historical production variable will be zero</w:t>
      </w:r>
      <w:r w:rsidR="00A42699" w:rsidRPr="004F1ACC">
        <w:t>.</w:t>
      </w:r>
      <w:r w:rsidR="00A25F40">
        <w:t xml:space="preserve"> </w:t>
      </w:r>
    </w:p>
    <w:p w14:paraId="604E33E2" w14:textId="34F0D53C" w:rsidR="00920A13" w:rsidRPr="004F1ACC" w:rsidRDefault="00B6686B" w:rsidP="00920A13">
      <w:r>
        <w:t xml:space="preserve">FSEI </w:t>
      </w:r>
      <w:r w:rsidR="00920A13" w:rsidRPr="004F1ACC">
        <w:t>are calculated based on recent historical production and emissions data at the facility, whereas industry</w:t>
      </w:r>
      <w:r w:rsidR="00B03E6A">
        <w:t>-</w:t>
      </w:r>
      <w:r w:rsidR="00920A13" w:rsidRPr="004F1ACC">
        <w:t xml:space="preserve">average </w:t>
      </w:r>
      <w:r w:rsidR="004E4A79">
        <w:t>‘</w:t>
      </w:r>
      <w:r w:rsidR="007D210B">
        <w:t>default</w:t>
      </w:r>
      <w:r w:rsidR="004E4A79">
        <w:t>’</w:t>
      </w:r>
      <w:r w:rsidR="007D210B">
        <w:t xml:space="preserve"> </w:t>
      </w:r>
      <w:r w:rsidR="00920A13" w:rsidRPr="004F1ACC">
        <w:t>emissions intensities are fixed values determined by</w:t>
      </w:r>
      <w:r w:rsidR="00920A13" w:rsidRPr="004F1ACC" w:rsidDel="00DD301E">
        <w:t xml:space="preserve"> </w:t>
      </w:r>
      <w:r w:rsidR="00DD301E" w:rsidRPr="004F1ACC">
        <w:t xml:space="preserve">analysis conducted by </w:t>
      </w:r>
      <w:r w:rsidR="000F6B9C">
        <w:t>DCCEEW</w:t>
      </w:r>
      <w:r w:rsidR="00645033">
        <w:t xml:space="preserve"> </w:t>
      </w:r>
      <w:r w:rsidR="00DD301E" w:rsidRPr="004F1ACC">
        <w:t xml:space="preserve">of historical emissions performance of like facilities across Australia. These </w:t>
      </w:r>
      <w:r w:rsidR="00F52200">
        <w:t>latter</w:t>
      </w:r>
      <w:r w:rsidR="00DD301E" w:rsidRPr="004F1ACC">
        <w:t xml:space="preserve"> values are</w:t>
      </w:r>
      <w:r w:rsidR="00920A13" w:rsidRPr="004F1ACC" w:rsidDel="00DD301E">
        <w:t xml:space="preserve"> </w:t>
      </w:r>
      <w:r w:rsidR="00920A13" w:rsidRPr="004F1ACC">
        <w:t xml:space="preserve">set out in </w:t>
      </w:r>
      <w:r w:rsidR="00C32D6B">
        <w:t xml:space="preserve">Schedule 1 of the </w:t>
      </w:r>
      <w:r w:rsidR="0015346A">
        <w:t>Safeguard</w:t>
      </w:r>
      <w:r w:rsidR="00C32D6B">
        <w:t xml:space="preserve"> Rule. </w:t>
      </w:r>
    </w:p>
    <w:p w14:paraId="33295A4B" w14:textId="78390BBA" w:rsidR="00920A13" w:rsidRPr="004F1ACC" w:rsidRDefault="00920A13" w:rsidP="00920A13">
      <w:r w:rsidRPr="004F1ACC">
        <w:t xml:space="preserve">International best-practice emissions intensities are fixed values determined by </w:t>
      </w:r>
      <w:r w:rsidR="00DD301E" w:rsidRPr="004F1ACC">
        <w:t xml:space="preserve">analysis conducted by </w:t>
      </w:r>
      <w:r w:rsidR="0008729A">
        <w:t>DCCEEW</w:t>
      </w:r>
      <w:r w:rsidR="00DD301E" w:rsidRPr="004F1ACC">
        <w:t xml:space="preserve"> of comparative historical emissions performance of like facilities internationally then adjusted for an Australian context. </w:t>
      </w:r>
    </w:p>
    <w:p w14:paraId="5479BD05" w14:textId="2958FB7F" w:rsidR="00920A13" w:rsidRPr="004F1ACC" w:rsidRDefault="00920A13" w:rsidP="00920A13">
      <w:r w:rsidRPr="004F1ACC">
        <w:t>A decline rate is also applied to the initial baseline</w:t>
      </w:r>
      <w:r w:rsidR="00956883">
        <w:t xml:space="preserve"> emissions</w:t>
      </w:r>
      <w:r w:rsidRPr="004F1ACC">
        <w:t xml:space="preserve"> number to arrive at the baseline </w:t>
      </w:r>
      <w:r w:rsidR="00956883">
        <w:t xml:space="preserve">emissions </w:t>
      </w:r>
      <w:r w:rsidRPr="004F1ACC">
        <w:t>number for the facility</w:t>
      </w:r>
      <w:r w:rsidR="00673B15">
        <w:t xml:space="preserve"> for a financial year</w:t>
      </w:r>
      <w:r w:rsidRPr="004F1ACC">
        <w:t>. Baselines are set at a minimum of 100,000 tCO</w:t>
      </w:r>
      <w:r w:rsidRPr="009E4FBD">
        <w:rPr>
          <w:vertAlign w:val="subscript"/>
        </w:rPr>
        <w:t>2</w:t>
      </w:r>
      <w:r w:rsidRPr="004F1ACC">
        <w:t>-e</w:t>
      </w:r>
      <w:r w:rsidR="004F7009">
        <w:t xml:space="preserve"> unless </w:t>
      </w:r>
      <w:r w:rsidR="00C22A6D">
        <w:t xml:space="preserve">there is </w:t>
      </w:r>
      <w:r w:rsidR="004F7009">
        <w:t xml:space="preserve">a borrowing adjustment </w:t>
      </w:r>
      <w:r w:rsidR="0053692D">
        <w:t xml:space="preserve">in </w:t>
      </w:r>
      <w:r w:rsidR="00C22A6D">
        <w:t xml:space="preserve">which case </w:t>
      </w:r>
      <w:r w:rsidR="0053692D">
        <w:t xml:space="preserve">a baseline </w:t>
      </w:r>
      <w:r w:rsidR="00C22A6D">
        <w:t>can be</w:t>
      </w:r>
      <w:r w:rsidR="0053692D">
        <w:t xml:space="preserve"> less than 100,000 tCO</w:t>
      </w:r>
      <w:r w:rsidR="0053692D" w:rsidRPr="00DB22E8">
        <w:rPr>
          <w:vertAlign w:val="subscript"/>
        </w:rPr>
        <w:t>2</w:t>
      </w:r>
      <w:r w:rsidR="0053692D">
        <w:t>-e</w:t>
      </w:r>
      <w:r w:rsidR="004F7009">
        <w:t xml:space="preserve"> </w:t>
      </w:r>
      <w:r w:rsidR="00C22A6D">
        <w:t>in a financial year</w:t>
      </w:r>
      <w:r w:rsidR="0092309F">
        <w:t xml:space="preserve"> or the facility is a shale gas extract</w:t>
      </w:r>
      <w:r w:rsidR="00CF4E1B">
        <w:t>ion</w:t>
      </w:r>
      <w:r w:rsidR="0092309F">
        <w:t xml:space="preserve"> facility, which must have a baseline of zero</w:t>
      </w:r>
      <w:r w:rsidRPr="004F1ACC">
        <w:t xml:space="preserve">. This annual baseline </w:t>
      </w:r>
      <w:r w:rsidR="00956883">
        <w:t xml:space="preserve">emissions </w:t>
      </w:r>
      <w:r w:rsidRPr="004F1ACC">
        <w:t xml:space="preserve">number is calculated by the </w:t>
      </w:r>
      <w:r w:rsidR="00E336C2">
        <w:t>CER</w:t>
      </w:r>
      <w:r w:rsidR="00FB3868">
        <w:t>,</w:t>
      </w:r>
      <w:r w:rsidRPr="004F1ACC">
        <w:t xml:space="preserve"> </w:t>
      </w:r>
      <w:r w:rsidR="00FB3868">
        <w:t xml:space="preserve">following the submission and assessment of production data, </w:t>
      </w:r>
      <w:r w:rsidRPr="004F1ACC">
        <w:t xml:space="preserve">and </w:t>
      </w:r>
      <w:r w:rsidR="00FB3868">
        <w:t>is</w:t>
      </w:r>
      <w:r w:rsidRPr="004F1ACC">
        <w:t xml:space="preserve"> issued to a facility</w:t>
      </w:r>
      <w:r w:rsidR="00C834D1" w:rsidRPr="004F1ACC">
        <w:t xml:space="preserve"> a</w:t>
      </w:r>
      <w:r w:rsidR="00FD7B71" w:rsidRPr="004F1ACC">
        <w:t>s part of a</w:t>
      </w:r>
      <w:r w:rsidR="0035405B" w:rsidRPr="004F1ACC">
        <w:t xml:space="preserve">n </w:t>
      </w:r>
      <w:r w:rsidR="00A60DB0" w:rsidRPr="004F1ACC">
        <w:t xml:space="preserve">annual position statement </w:t>
      </w:r>
      <w:r w:rsidR="00FD7B71" w:rsidRPr="004F1ACC">
        <w:t xml:space="preserve">which also sets out the facility’s covered </w:t>
      </w:r>
      <w:r w:rsidR="00673B15">
        <w:t xml:space="preserve">emissions </w:t>
      </w:r>
      <w:r w:rsidR="00FD7B71" w:rsidRPr="004F1ACC">
        <w:t>and net emissions</w:t>
      </w:r>
      <w:r w:rsidR="0035405B" w:rsidRPr="004F1ACC">
        <w:t xml:space="preserve"> number</w:t>
      </w:r>
      <w:r w:rsidR="00FD7B71" w:rsidRPr="004F1ACC">
        <w:t xml:space="preserve"> for the year.</w:t>
      </w:r>
    </w:p>
    <w:p w14:paraId="7EDD6190" w14:textId="5311B877" w:rsidR="003B1B19" w:rsidRPr="009E4FBD" w:rsidRDefault="0095149E" w:rsidP="006129C4">
      <w:pPr>
        <w:pStyle w:val="Heading4"/>
        <w:numPr>
          <w:ilvl w:val="0"/>
          <w:numId w:val="0"/>
        </w:numPr>
      </w:pPr>
      <w:r>
        <w:t>Emissions-intensity</w:t>
      </w:r>
      <w:r w:rsidR="003B1B19" w:rsidRPr="009E4FBD">
        <w:t xml:space="preserve"> determination</w:t>
      </w:r>
    </w:p>
    <w:p w14:paraId="417E1AF8" w14:textId="625558AE" w:rsidR="00EA5BFC" w:rsidRPr="00B70CD6" w:rsidRDefault="00EA5BFC" w:rsidP="003A5EDC">
      <w:pPr>
        <w:spacing w:before="60" w:after="120"/>
      </w:pPr>
      <w:r>
        <w:t xml:space="preserve">An </w:t>
      </w:r>
      <w:r w:rsidR="008926F0">
        <w:t>EID</w:t>
      </w:r>
      <w:r>
        <w:t xml:space="preserve"> will set out a </w:t>
      </w:r>
      <w:r w:rsidR="005C34C4">
        <w:t>FSEI</w:t>
      </w:r>
      <w:r w:rsidRPr="00E5724D">
        <w:t xml:space="preserve"> number</w:t>
      </w:r>
      <w:r>
        <w:t xml:space="preserve"> </w:t>
      </w:r>
      <w:r w:rsidR="003A5EDC">
        <w:t xml:space="preserve">for an existing </w:t>
      </w:r>
      <w:r>
        <w:t xml:space="preserve">production variable </w:t>
      </w:r>
      <w:r w:rsidR="003A5EDC">
        <w:t>at a</w:t>
      </w:r>
      <w:r w:rsidR="007C7028">
        <w:t>n existing</w:t>
      </w:r>
      <w:r w:rsidR="003A5EDC">
        <w:t xml:space="preserve"> facility. This </w:t>
      </w:r>
      <w:r w:rsidR="0095149E">
        <w:t>emissions-intensity</w:t>
      </w:r>
      <w:r w:rsidR="003A5EDC">
        <w:t xml:space="preserve"> number </w:t>
      </w:r>
      <w:r w:rsidR="003A5EDC" w:rsidRPr="00E5724D">
        <w:t>will be used</w:t>
      </w:r>
      <w:r w:rsidRPr="00E5724D">
        <w:t xml:space="preserve"> </w:t>
      </w:r>
      <w:r>
        <w:t>in</w:t>
      </w:r>
      <w:r w:rsidRPr="00E5724D">
        <w:t xml:space="preserve"> </w:t>
      </w:r>
      <w:r w:rsidR="003A5EDC">
        <w:t>annual</w:t>
      </w:r>
      <w:r w:rsidR="003A5EDC" w:rsidRPr="00E5724D">
        <w:t xml:space="preserve"> baseline </w:t>
      </w:r>
      <w:r w:rsidR="00956883">
        <w:t xml:space="preserve">emissions </w:t>
      </w:r>
      <w:r w:rsidR="003A5EDC">
        <w:t>n</w:t>
      </w:r>
      <w:r w:rsidR="003A5EDC" w:rsidRPr="006840C5">
        <w:t>umber calculations</w:t>
      </w:r>
      <w:r w:rsidRPr="006840C5">
        <w:t xml:space="preserve"> </w:t>
      </w:r>
      <w:r w:rsidR="00B246D6" w:rsidRPr="006840C5">
        <w:t xml:space="preserve">for the first financial year for which an </w:t>
      </w:r>
      <w:r w:rsidR="005C34C4">
        <w:t xml:space="preserve">EID </w:t>
      </w:r>
      <w:r w:rsidR="00B246D6" w:rsidRPr="006840C5">
        <w:t>application is made and will apply for each subsequent financial year</w:t>
      </w:r>
      <w:r w:rsidR="003A5EDC" w:rsidRPr="006840C5">
        <w:t>.</w:t>
      </w:r>
      <w:r w:rsidRPr="00B70CD6">
        <w:t xml:space="preserve"> </w:t>
      </w:r>
    </w:p>
    <w:p w14:paraId="54F60263" w14:textId="71A327A7" w:rsidR="00BD2CF6" w:rsidRDefault="0008729A" w:rsidP="003A5EDC">
      <w:r>
        <w:t>To</w:t>
      </w:r>
      <w:r w:rsidR="00EA5BFC" w:rsidRPr="00B70CD6">
        <w:t xml:space="preserve"> calculate </w:t>
      </w:r>
      <w:r w:rsidR="00FC48F8">
        <w:t>FSEI</w:t>
      </w:r>
      <w:r w:rsidR="00EA5BFC" w:rsidRPr="00B70CD6">
        <w:t xml:space="preserve"> numbers for each historical production variable, facilities are required to provide</w:t>
      </w:r>
      <w:r w:rsidR="0065799B">
        <w:t>,</w:t>
      </w:r>
      <w:r w:rsidR="00B872B5">
        <w:t xml:space="preserve"> </w:t>
      </w:r>
      <w:r w:rsidR="0065799B">
        <w:t xml:space="preserve">amongst other information, </w:t>
      </w:r>
      <w:r w:rsidR="00EA5BFC" w:rsidRPr="00B70CD6">
        <w:t xml:space="preserve">historical production quantities and apportioned covered emissions </w:t>
      </w:r>
      <w:r w:rsidR="009043B6">
        <w:t>for</w:t>
      </w:r>
      <w:r w:rsidR="00EA5BFC">
        <w:t xml:space="preserve"> each </w:t>
      </w:r>
      <w:r w:rsidR="00EA5BFC" w:rsidRPr="00B70CD6">
        <w:t xml:space="preserve">production variable for the </w:t>
      </w:r>
      <w:r w:rsidR="00144119">
        <w:t>historical</w:t>
      </w:r>
      <w:r w:rsidR="00144119" w:rsidRPr="00B70CD6">
        <w:t xml:space="preserve"> </w:t>
      </w:r>
      <w:r w:rsidR="00EA5BFC" w:rsidRPr="00B70CD6">
        <w:t>financial years.</w:t>
      </w:r>
      <w:r w:rsidR="00BE48B2">
        <w:t xml:space="preserve"> </w:t>
      </w:r>
      <w:r w:rsidR="00E351CC">
        <w:t>See</w:t>
      </w:r>
      <w:r w:rsidR="00BE48B2">
        <w:t xml:space="preserve"> </w:t>
      </w:r>
      <w:hyperlink w:anchor="_Facility_historical_emissions" w:history="1">
        <w:r w:rsidR="001050DF" w:rsidRPr="001050DF">
          <w:rPr>
            <w:rStyle w:val="Hyperlink"/>
            <w:rFonts w:asciiTheme="minorHAnsi" w:hAnsiTheme="minorHAnsi"/>
          </w:rPr>
          <w:t xml:space="preserve">Part </w:t>
        </w:r>
        <w:r w:rsidR="008E4E09">
          <w:rPr>
            <w:rStyle w:val="Hyperlink"/>
            <w:rFonts w:asciiTheme="minorHAnsi" w:hAnsiTheme="minorHAnsi"/>
          </w:rPr>
          <w:t>3.6</w:t>
        </w:r>
        <w:r w:rsidR="001050DF" w:rsidRPr="001050DF">
          <w:rPr>
            <w:rStyle w:val="Hyperlink"/>
            <w:rFonts w:asciiTheme="minorHAnsi" w:hAnsiTheme="minorHAnsi"/>
          </w:rPr>
          <w:t xml:space="preserve"> Facility historical emissions and production data</w:t>
        </w:r>
      </w:hyperlink>
      <w:r w:rsidR="001050DF" w:rsidRPr="001050DF" w:rsidDel="001050DF">
        <w:t xml:space="preserve"> </w:t>
      </w:r>
      <w:r w:rsidR="00BE48B2">
        <w:t xml:space="preserve">for more detail on what is required to calculate a </w:t>
      </w:r>
      <w:r w:rsidR="00B6666D">
        <w:t>FSEI</w:t>
      </w:r>
      <w:r w:rsidR="00BE48B2">
        <w:t xml:space="preserve"> number. </w:t>
      </w:r>
    </w:p>
    <w:p w14:paraId="41263443" w14:textId="0012C927" w:rsidR="001D3723" w:rsidRDefault="00476605" w:rsidP="00B60182">
      <w:pPr>
        <w:rPr>
          <w:highlight w:val="yellow"/>
        </w:rPr>
      </w:pPr>
      <w:r w:rsidRPr="3FB6375E">
        <w:t xml:space="preserve">Factors that will affect baseline </w:t>
      </w:r>
      <w:r w:rsidR="00BE48B2" w:rsidRPr="3FB6375E">
        <w:t>emissions number</w:t>
      </w:r>
      <w:r w:rsidR="08834C82" w:rsidRPr="3FB6375E">
        <w:t>s</w:t>
      </w:r>
      <w:r w:rsidR="00BE48B2" w:rsidRPr="3FB6375E">
        <w:t xml:space="preserve"> </w:t>
      </w:r>
      <w:r w:rsidRPr="3FB6375E">
        <w:t xml:space="preserve">include </w:t>
      </w:r>
      <w:r w:rsidR="00D001B6" w:rsidRPr="3FB6375E">
        <w:t xml:space="preserve">the </w:t>
      </w:r>
      <w:r w:rsidR="003C4C1A" w:rsidRPr="3FB6375E">
        <w:t xml:space="preserve">annual </w:t>
      </w:r>
      <w:r w:rsidR="00D001B6" w:rsidRPr="3FB6375E">
        <w:t xml:space="preserve">quantity of each type of production, the </w:t>
      </w:r>
      <w:r w:rsidR="00F63D4C" w:rsidRPr="3FB6375E">
        <w:t>changing w</w:t>
      </w:r>
      <w:r w:rsidR="003C4C1A" w:rsidRPr="3FB6375E">
        <w:t>e</w:t>
      </w:r>
      <w:r w:rsidR="00F63D4C" w:rsidRPr="3FB6375E">
        <w:t xml:space="preserve">ights used in </w:t>
      </w:r>
      <w:r w:rsidR="003C4C1A" w:rsidRPr="3FB6375E">
        <w:t xml:space="preserve">the </w:t>
      </w:r>
      <w:r w:rsidR="0041706F" w:rsidRPr="3FB6375E">
        <w:t>hybrid-</w:t>
      </w:r>
      <w:r w:rsidR="0095149E">
        <w:t>emissions-intensity</w:t>
      </w:r>
      <w:r w:rsidR="008100B3" w:rsidRPr="3FB6375E">
        <w:t xml:space="preserve"> model</w:t>
      </w:r>
      <w:r w:rsidR="0041706F" w:rsidRPr="3FB6375E">
        <w:t xml:space="preserve">, </w:t>
      </w:r>
      <w:r w:rsidR="00805349" w:rsidRPr="3FB6375E">
        <w:t xml:space="preserve">the baseline decline </w:t>
      </w:r>
      <w:r w:rsidR="008100B3" w:rsidRPr="3FB6375E">
        <w:t xml:space="preserve">rate </w:t>
      </w:r>
      <w:r w:rsidR="00805349" w:rsidRPr="3FB6375E">
        <w:t xml:space="preserve">and </w:t>
      </w:r>
      <w:r w:rsidR="003C4C1A" w:rsidRPr="3FB6375E">
        <w:t xml:space="preserve">possible </w:t>
      </w:r>
      <w:r w:rsidR="00B163DA" w:rsidRPr="3FB6375E">
        <w:t xml:space="preserve">flexibility </w:t>
      </w:r>
      <w:r w:rsidR="00690129" w:rsidRPr="3FB6375E">
        <w:t>measures</w:t>
      </w:r>
      <w:r w:rsidR="00B163DA" w:rsidRPr="3FB6375E">
        <w:t xml:space="preserve"> such as </w:t>
      </w:r>
      <w:r w:rsidR="00CA04F5" w:rsidRPr="3FB6375E">
        <w:t xml:space="preserve">‘borrowing’ of baselines </w:t>
      </w:r>
      <w:r w:rsidR="003C4C1A" w:rsidRPr="3FB6375E">
        <w:t>or</w:t>
      </w:r>
      <w:r w:rsidR="00CA04F5" w:rsidRPr="3FB6375E">
        <w:t xml:space="preserve"> </w:t>
      </w:r>
      <w:r w:rsidR="005F5C15" w:rsidRPr="3FB6375E">
        <w:t xml:space="preserve">updated decline rates </w:t>
      </w:r>
      <w:proofErr w:type="gramStart"/>
      <w:r w:rsidR="005F5C15" w:rsidRPr="3FB6375E">
        <w:t>as a result of</w:t>
      </w:r>
      <w:proofErr w:type="gramEnd"/>
      <w:r w:rsidR="005F5C15" w:rsidRPr="3FB6375E">
        <w:t xml:space="preserve"> a Trade-</w:t>
      </w:r>
      <w:r w:rsidR="009D1396" w:rsidRPr="3FB6375E">
        <w:t>e</w:t>
      </w:r>
      <w:r w:rsidR="00E1241B" w:rsidRPr="3FB6375E">
        <w:t>xposed</w:t>
      </w:r>
      <w:r w:rsidR="002C35C2" w:rsidRPr="3FB6375E">
        <w:t xml:space="preserve"> </w:t>
      </w:r>
      <w:r w:rsidR="009D1396" w:rsidRPr="3FB6375E">
        <w:t>b</w:t>
      </w:r>
      <w:r w:rsidR="002C35C2" w:rsidRPr="3FB6375E">
        <w:t xml:space="preserve">aseline </w:t>
      </w:r>
      <w:r w:rsidR="009D1396" w:rsidRPr="3FB6375E">
        <w:t>a</w:t>
      </w:r>
      <w:r w:rsidR="002C35C2" w:rsidRPr="3FB6375E">
        <w:t xml:space="preserve">djusted </w:t>
      </w:r>
      <w:r w:rsidR="009D1396" w:rsidRPr="3FB6375E">
        <w:t>determination.</w:t>
      </w:r>
    </w:p>
    <w:p w14:paraId="615E6F9F" w14:textId="4EC0391E" w:rsidR="000921C3" w:rsidRPr="00D1601A" w:rsidRDefault="001D3723" w:rsidP="003F1D1F">
      <w:pPr>
        <w:pStyle w:val="Heading1"/>
      </w:pPr>
      <w:bookmarkStart w:id="37" w:name="_Toc138918985"/>
      <w:bookmarkStart w:id="38" w:name="_Toc138922899"/>
      <w:bookmarkStart w:id="39" w:name="_Toc138922974"/>
      <w:bookmarkStart w:id="40" w:name="_Toc138923038"/>
      <w:bookmarkStart w:id="41" w:name="_Toc138923295"/>
      <w:bookmarkStart w:id="42" w:name="_Toc143503167"/>
      <w:bookmarkStart w:id="43" w:name="_Toc208216266"/>
      <w:r w:rsidRPr="29264F97">
        <w:t>Application requirements</w:t>
      </w:r>
      <w:bookmarkEnd w:id="37"/>
      <w:bookmarkEnd w:id="38"/>
      <w:bookmarkEnd w:id="39"/>
      <w:bookmarkEnd w:id="40"/>
      <w:bookmarkEnd w:id="41"/>
      <w:bookmarkEnd w:id="42"/>
      <w:bookmarkEnd w:id="43"/>
      <w:r w:rsidR="00FA3762" w:rsidRPr="29264F97">
        <w:t xml:space="preserve"> </w:t>
      </w:r>
    </w:p>
    <w:p w14:paraId="14825643" w14:textId="31AD90CE" w:rsidR="00FA3762" w:rsidRPr="003D3699" w:rsidRDefault="00FA3762" w:rsidP="00D1601A">
      <w:pPr>
        <w:pStyle w:val="Heading2"/>
      </w:pPr>
      <w:bookmarkStart w:id="44" w:name="_Toc138918986"/>
      <w:bookmarkStart w:id="45" w:name="_Toc138922900"/>
      <w:bookmarkStart w:id="46" w:name="_Toc138922975"/>
      <w:bookmarkStart w:id="47" w:name="_Toc138923039"/>
      <w:bookmarkStart w:id="48" w:name="_Toc138923296"/>
      <w:bookmarkStart w:id="49" w:name="_Toc143503168"/>
      <w:bookmarkStart w:id="50" w:name="_Toc208216267"/>
      <w:r>
        <w:t xml:space="preserve">Eligibility and </w:t>
      </w:r>
      <w:r w:rsidR="00D94216">
        <w:t>a</w:t>
      </w:r>
      <w:r>
        <w:t xml:space="preserve">pplication </w:t>
      </w:r>
      <w:r w:rsidR="001325C3">
        <w:t>d</w:t>
      </w:r>
      <w:r>
        <w:t>eadlines</w:t>
      </w:r>
      <w:bookmarkEnd w:id="44"/>
      <w:bookmarkEnd w:id="45"/>
      <w:bookmarkEnd w:id="46"/>
      <w:bookmarkEnd w:id="47"/>
      <w:bookmarkEnd w:id="48"/>
      <w:bookmarkEnd w:id="49"/>
      <w:bookmarkEnd w:id="50"/>
    </w:p>
    <w:p w14:paraId="67340B8C" w14:textId="33D8072C" w:rsidR="00FA3762" w:rsidRPr="003D3699" w:rsidRDefault="00FA3762" w:rsidP="00376145">
      <w:pPr>
        <w:spacing w:before="240"/>
      </w:pPr>
      <w:r>
        <w:t xml:space="preserve">The responsible emitter for an </w:t>
      </w:r>
      <w:r w:rsidRPr="00981723">
        <w:t>existing</w:t>
      </w:r>
      <w:r>
        <w:t xml:space="preserve"> facility (see definition below) can apply for an </w:t>
      </w:r>
      <w:r w:rsidR="00111EF3">
        <w:t>EID</w:t>
      </w:r>
      <w:r w:rsidR="00DC62F2" w:rsidDel="001A1458">
        <w:t xml:space="preserve"> </w:t>
      </w:r>
      <w:r w:rsidR="007B5365" w:rsidRPr="000D1DC9">
        <w:rPr>
          <w:bCs/>
        </w:rPr>
        <w:t>using</w:t>
      </w:r>
      <w:r w:rsidR="00D21C75" w:rsidDel="001A1458">
        <w:t xml:space="preserve"> </w:t>
      </w:r>
      <w:hyperlink r:id="rId28" w:anchor="online-services" w:tooltip="A link to the Online Services page of the Clean Energy Regulator website" w:history="1">
        <w:r w:rsidR="00D06293" w:rsidRPr="00B35704">
          <w:rPr>
            <w:rStyle w:val="Hyperlink"/>
            <w:rFonts w:asciiTheme="minorHAnsi" w:hAnsiTheme="minorHAnsi"/>
          </w:rPr>
          <w:t>Online Services</w:t>
        </w:r>
      </w:hyperlink>
      <w:r w:rsidR="00AA6AA0" w:rsidRPr="00832815">
        <w:rPr>
          <w:rStyle w:val="FootnoteReference"/>
        </w:rPr>
        <w:footnoteReference w:id="17"/>
      </w:r>
      <w:r w:rsidR="00D21C75" w:rsidRPr="00A04136">
        <w:t>.</w:t>
      </w:r>
    </w:p>
    <w:p w14:paraId="78E305FA" w14:textId="65B72A46" w:rsidR="006337C8" w:rsidRDefault="009D6003" w:rsidP="00D1601A">
      <w:pPr>
        <w:pStyle w:val="Heading3"/>
      </w:pPr>
      <w:r>
        <w:t xml:space="preserve"> </w:t>
      </w:r>
      <w:bookmarkStart w:id="51" w:name="_Toc138922901"/>
      <w:bookmarkStart w:id="52" w:name="_Toc138922976"/>
      <w:bookmarkStart w:id="53" w:name="_Toc138923040"/>
      <w:bookmarkStart w:id="54" w:name="_Toc138923297"/>
      <w:bookmarkStart w:id="55" w:name="_Toc143503169"/>
      <w:r w:rsidR="006337C8">
        <w:t>Eligibility</w:t>
      </w:r>
      <w:bookmarkEnd w:id="51"/>
      <w:bookmarkEnd w:id="52"/>
      <w:bookmarkEnd w:id="53"/>
      <w:bookmarkEnd w:id="54"/>
      <w:bookmarkEnd w:id="55"/>
    </w:p>
    <w:p w14:paraId="676B9707" w14:textId="4948C565" w:rsidR="00945780" w:rsidRPr="006840C5" w:rsidRDefault="00FA3762" w:rsidP="00376145">
      <w:pPr>
        <w:spacing w:before="240"/>
        <w:rPr>
          <w:rFonts w:cstheme="minorBidi"/>
        </w:rPr>
      </w:pPr>
      <w:r>
        <w:t>Any facility that</w:t>
      </w:r>
      <w:r w:rsidR="7FADFDA1" w:rsidRPr="0888F8BA">
        <w:rPr>
          <w:rFonts w:ascii="Segoe UI" w:eastAsia="Segoe UI" w:hAnsi="Segoe UI" w:cs="Segoe UI"/>
          <w:color w:val="333333"/>
          <w:sz w:val="18"/>
          <w:szCs w:val="18"/>
        </w:rPr>
        <w:t xml:space="preserve"> </w:t>
      </w:r>
      <w:r w:rsidR="7FADFDA1" w:rsidRPr="00242653">
        <w:rPr>
          <w:rFonts w:cstheme="minorBidi"/>
        </w:rPr>
        <w:t>expect</w:t>
      </w:r>
      <w:r w:rsidR="7FADFDA1" w:rsidRPr="305BA81D">
        <w:rPr>
          <w:rFonts w:cstheme="minorBidi"/>
        </w:rPr>
        <w:t>s</w:t>
      </w:r>
      <w:r w:rsidR="7FADFDA1" w:rsidRPr="00242653">
        <w:rPr>
          <w:rFonts w:cstheme="minorBidi"/>
        </w:rPr>
        <w:t xml:space="preserve"> to exceed the Safeguard thr</w:t>
      </w:r>
      <w:r w:rsidR="7FADFDA1" w:rsidRPr="000F2F9A">
        <w:rPr>
          <w:rFonts w:cstheme="minorBidi"/>
        </w:rPr>
        <w:t xml:space="preserve">eshold </w:t>
      </w:r>
      <w:r w:rsidR="00B551F7" w:rsidRPr="000F2F9A">
        <w:rPr>
          <w:rFonts w:cstheme="minorBidi"/>
        </w:rPr>
        <w:t xml:space="preserve">of </w:t>
      </w:r>
      <w:r w:rsidR="000F1793" w:rsidRPr="000F2F9A">
        <w:rPr>
          <w:rFonts w:cstheme="minorBidi"/>
        </w:rPr>
        <w:t>100,000 tCO</w:t>
      </w:r>
      <w:r w:rsidR="000F1793" w:rsidRPr="000F2F9A">
        <w:rPr>
          <w:rFonts w:cstheme="minorBidi"/>
          <w:vertAlign w:val="subscript"/>
        </w:rPr>
        <w:t>2</w:t>
      </w:r>
      <w:r w:rsidR="000F1793" w:rsidRPr="000F2F9A">
        <w:rPr>
          <w:rFonts w:cstheme="minorBidi"/>
        </w:rPr>
        <w:t xml:space="preserve">-e </w:t>
      </w:r>
      <w:r w:rsidR="7FADFDA1" w:rsidRPr="000F2F9A">
        <w:rPr>
          <w:rFonts w:cstheme="minorBidi"/>
        </w:rPr>
        <w:t xml:space="preserve">covered emissions in </w:t>
      </w:r>
      <w:r w:rsidR="002C24CC" w:rsidRPr="000F2F9A">
        <w:rPr>
          <w:rFonts w:cstheme="minorBidi"/>
        </w:rPr>
        <w:t xml:space="preserve">a financial </w:t>
      </w:r>
      <w:proofErr w:type="gramStart"/>
      <w:r w:rsidR="002C24CC" w:rsidRPr="000F2F9A">
        <w:rPr>
          <w:rFonts w:cstheme="minorBidi"/>
        </w:rPr>
        <w:t>year</w:t>
      </w:r>
      <w:r w:rsidR="009328FD">
        <w:rPr>
          <w:rFonts w:cstheme="minorBidi"/>
        </w:rPr>
        <w:t>,</w:t>
      </w:r>
      <w:r w:rsidR="3BB04DEB" w:rsidRPr="305BA81D">
        <w:rPr>
          <w:rFonts w:cstheme="minorBidi"/>
        </w:rPr>
        <w:t xml:space="preserve"> </w:t>
      </w:r>
      <w:r w:rsidR="3BB04DEB" w:rsidRPr="76582B64">
        <w:rPr>
          <w:rFonts w:cstheme="minorBidi"/>
        </w:rPr>
        <w:t>and</w:t>
      </w:r>
      <w:proofErr w:type="gramEnd"/>
      <w:r w:rsidR="3BB04DEB" w:rsidRPr="76582B64">
        <w:rPr>
          <w:rFonts w:cstheme="minorBidi"/>
        </w:rPr>
        <w:t xml:space="preserve"> </w:t>
      </w:r>
      <w:r w:rsidR="3BB04DEB" w:rsidRPr="006840C5">
        <w:rPr>
          <w:rFonts w:cstheme="minorBidi"/>
        </w:rPr>
        <w:t xml:space="preserve">meets the definition of an </w:t>
      </w:r>
      <w:r w:rsidR="3BB04DEB" w:rsidRPr="006840C5">
        <w:rPr>
          <w:rFonts w:cstheme="minorBidi"/>
          <w:i/>
        </w:rPr>
        <w:t>existing facility</w:t>
      </w:r>
      <w:r w:rsidR="3BB04DEB" w:rsidRPr="006840C5">
        <w:rPr>
          <w:rFonts w:cstheme="minorBidi"/>
        </w:rPr>
        <w:t xml:space="preserve"> </w:t>
      </w:r>
      <w:r w:rsidR="00287CE2" w:rsidRPr="006840C5">
        <w:rPr>
          <w:rFonts w:cstheme="minorBidi"/>
        </w:rPr>
        <w:t>under section 12 of the Safeguard Rule</w:t>
      </w:r>
      <w:r w:rsidR="009328FD">
        <w:rPr>
          <w:rFonts w:cstheme="minorBidi"/>
        </w:rPr>
        <w:t>,</w:t>
      </w:r>
      <w:r w:rsidR="00287CE2" w:rsidRPr="006840C5">
        <w:rPr>
          <w:rFonts w:cstheme="minorBidi"/>
        </w:rPr>
        <w:t xml:space="preserve"> </w:t>
      </w:r>
      <w:r w:rsidR="0FC68793" w:rsidRPr="006840C5">
        <w:t xml:space="preserve">may </w:t>
      </w:r>
      <w:r w:rsidR="00087A28">
        <w:t xml:space="preserve">be eligible </w:t>
      </w:r>
      <w:r w:rsidR="00087A28" w:rsidRPr="00376A0B">
        <w:t>for</w:t>
      </w:r>
      <w:r w:rsidR="00945780" w:rsidRPr="00376A0B">
        <w:t xml:space="preserve"> an </w:t>
      </w:r>
      <w:r w:rsidR="00120CA3" w:rsidRPr="00376A0B">
        <w:t>EID</w:t>
      </w:r>
      <w:r w:rsidR="0040210B" w:rsidRPr="00376A0B">
        <w:t xml:space="preserve"> applying from the financial year for which the responsible emitter for the facility applies for </w:t>
      </w:r>
      <w:r w:rsidR="00AD6659" w:rsidRPr="00376A0B">
        <w:t xml:space="preserve">the </w:t>
      </w:r>
      <w:r w:rsidR="0040210B" w:rsidRPr="00376A0B">
        <w:t>EID</w:t>
      </w:r>
      <w:r w:rsidR="00945780" w:rsidRPr="00376A0B">
        <w:t>.</w:t>
      </w:r>
    </w:p>
    <w:p w14:paraId="2784A081" w14:textId="5FB00EFC" w:rsidR="006337C8" w:rsidRPr="0023352E" w:rsidRDefault="009005A0" w:rsidP="00EB125D">
      <w:pPr>
        <w:pStyle w:val="Heading4"/>
      </w:pPr>
      <w:bookmarkStart w:id="56" w:name="_Definition_of_an"/>
      <w:bookmarkEnd w:id="56"/>
      <w:r>
        <w:t>E</w:t>
      </w:r>
      <w:r w:rsidR="006337C8" w:rsidRPr="0023352E">
        <w:t>xisting facility</w:t>
      </w:r>
    </w:p>
    <w:p w14:paraId="0D27C9FD" w14:textId="74CCB1C8" w:rsidR="006337C8" w:rsidRDefault="00625C3A" w:rsidP="00376145">
      <w:pPr>
        <w:spacing w:before="240"/>
      </w:pPr>
      <w:r w:rsidRPr="00737BB4">
        <w:t>A facility is an existing facility if any historical production variables or transitional production variables (that are not non-commercial production variables and that apply to the facility in the 2022-23 financial year) apply to the facility</w:t>
      </w:r>
      <w:r w:rsidR="00B646FD" w:rsidRPr="00737BB4">
        <w:t>.</w:t>
      </w:r>
      <w:r w:rsidR="00912F34" w:rsidRPr="00737BB4">
        <w:t xml:space="preserve"> </w:t>
      </w:r>
      <w:r w:rsidR="006337C8" w:rsidRPr="00737BB4">
        <w:t>See</w:t>
      </w:r>
      <w:hyperlink w:anchor="_Production_variables" w:history="1">
        <w:r w:rsidR="007842B3" w:rsidRPr="00737BB4">
          <w:rPr>
            <w:rStyle w:val="Hyperlink"/>
            <w:rFonts w:asciiTheme="minorHAnsi" w:hAnsiTheme="minorHAnsi"/>
          </w:rPr>
          <w:t xml:space="preserve"> </w:t>
        </w:r>
        <w:r w:rsidR="00A56EA4" w:rsidRPr="00737BB4">
          <w:rPr>
            <w:rStyle w:val="Hyperlink"/>
            <w:rFonts w:asciiTheme="minorHAnsi" w:hAnsiTheme="minorHAnsi"/>
          </w:rPr>
          <w:t xml:space="preserve">Part 3.5 </w:t>
        </w:r>
        <w:r w:rsidR="00B95B26" w:rsidRPr="00737BB4">
          <w:rPr>
            <w:rStyle w:val="Hyperlink"/>
            <w:rFonts w:asciiTheme="minorHAnsi" w:hAnsiTheme="minorHAnsi"/>
          </w:rPr>
          <w:t>Production</w:t>
        </w:r>
        <w:r w:rsidR="00A56EA4" w:rsidRPr="00737BB4">
          <w:rPr>
            <w:rStyle w:val="Hyperlink"/>
            <w:rFonts w:asciiTheme="minorHAnsi" w:hAnsiTheme="minorHAnsi"/>
          </w:rPr>
          <w:t xml:space="preserve"> variables</w:t>
        </w:r>
      </w:hyperlink>
      <w:r w:rsidR="00A56EA4" w:rsidRPr="00737BB4">
        <w:t xml:space="preserve"> </w:t>
      </w:r>
      <w:r w:rsidR="00B95B26" w:rsidRPr="00737BB4">
        <w:t>for more information on production variables.</w:t>
      </w:r>
      <w:r w:rsidR="00A56EA4">
        <w:t xml:space="preserve"> </w:t>
      </w:r>
    </w:p>
    <w:p w14:paraId="343FF58F" w14:textId="77777777" w:rsidR="006337C8" w:rsidRPr="00C2075F" w:rsidRDefault="006337C8" w:rsidP="00EA1F9A">
      <w:pPr>
        <w:pStyle w:val="Heading3"/>
      </w:pPr>
      <w:bookmarkStart w:id="57" w:name="_Toc138922902"/>
      <w:bookmarkStart w:id="58" w:name="_Toc138922977"/>
      <w:bookmarkStart w:id="59" w:name="_Toc138923041"/>
      <w:bookmarkStart w:id="60" w:name="_Toc138923298"/>
      <w:bookmarkStart w:id="61" w:name="_Toc143503170"/>
      <w:r w:rsidRPr="00C2075F">
        <w:t>Application deadlines</w:t>
      </w:r>
      <w:bookmarkEnd w:id="57"/>
      <w:bookmarkEnd w:id="58"/>
      <w:bookmarkEnd w:id="59"/>
      <w:bookmarkEnd w:id="60"/>
      <w:bookmarkEnd w:id="61"/>
    </w:p>
    <w:p w14:paraId="7B7E8678" w14:textId="62680697" w:rsidR="00BE789B" w:rsidRPr="00C2075F" w:rsidRDefault="00BE789B" w:rsidP="00376145">
      <w:pPr>
        <w:spacing w:before="240"/>
      </w:pPr>
      <w:r w:rsidRPr="00C2075F">
        <w:t xml:space="preserve">For </w:t>
      </w:r>
      <w:r w:rsidR="006B7860" w:rsidRPr="00C2075F">
        <w:t>EIDs</w:t>
      </w:r>
      <w:r w:rsidRPr="00C2075F">
        <w:t xml:space="preserve"> commencing </w:t>
      </w:r>
      <w:r w:rsidR="00957232" w:rsidRPr="00C2075F">
        <w:t>from 2024-25 or</w:t>
      </w:r>
      <w:r w:rsidRPr="00C2075F">
        <w:t xml:space="preserve"> a later financial year, the deadline to </w:t>
      </w:r>
      <w:proofErr w:type="gramStart"/>
      <w:r w:rsidRPr="00C2075F">
        <w:t xml:space="preserve">submit </w:t>
      </w:r>
      <w:r w:rsidR="00CC2E8C" w:rsidRPr="00C2075F">
        <w:t xml:space="preserve">an </w:t>
      </w:r>
      <w:r w:rsidRPr="00C2075F">
        <w:t>application</w:t>
      </w:r>
      <w:proofErr w:type="gramEnd"/>
      <w:r w:rsidRPr="00C2075F">
        <w:t xml:space="preserve"> is by the first 31 October after the end of that financial year (</w:t>
      </w:r>
      <w:r w:rsidR="006129C4" w:rsidRPr="00C2075F">
        <w:t>for example,</w:t>
      </w:r>
      <w:r w:rsidRPr="00C2075F">
        <w:t xml:space="preserve"> 31 October 2025 for a determination commencing </w:t>
      </w:r>
      <w:r w:rsidR="008344E3" w:rsidRPr="00C2075F">
        <w:t xml:space="preserve">from </w:t>
      </w:r>
      <w:r w:rsidR="001F3FFB" w:rsidRPr="00C2075F">
        <w:t xml:space="preserve">the </w:t>
      </w:r>
      <w:r w:rsidRPr="00C2075F">
        <w:t>2024-25</w:t>
      </w:r>
      <w:r w:rsidR="001F3FFB" w:rsidRPr="00C2075F">
        <w:t xml:space="preserve"> financial year</w:t>
      </w:r>
      <w:r w:rsidRPr="00C2075F">
        <w:t>).</w:t>
      </w:r>
    </w:p>
    <w:p w14:paraId="0CD90A06" w14:textId="42340E8A" w:rsidR="0049242D" w:rsidRDefault="006A1C5F" w:rsidP="00FA3762">
      <w:r w:rsidRPr="00C2075F">
        <w:t>I</w:t>
      </w:r>
      <w:r w:rsidR="0049242D" w:rsidRPr="00C2075F">
        <w:t xml:space="preserve">f a submission deadline falls on a Saturday, Sunday or Public Holiday in the Australian Capital Territory then the application can be submitted on the next business day, in accordance with subsection 36(2) of the </w:t>
      </w:r>
      <w:r w:rsidR="0049242D" w:rsidRPr="00C2075F">
        <w:rPr>
          <w:i/>
        </w:rPr>
        <w:t>Acts Interpretation Act 1901</w:t>
      </w:r>
      <w:r w:rsidR="0049242D" w:rsidRPr="00C2075F">
        <w:t>.</w:t>
      </w:r>
    </w:p>
    <w:p w14:paraId="36741EFF" w14:textId="77777777" w:rsidR="00813D55" w:rsidRPr="00C2075F" w:rsidRDefault="00813D55">
      <w:pPr>
        <w:pStyle w:val="Heading4"/>
      </w:pPr>
      <w:r w:rsidRPr="00857CE9">
        <w:t>L</w:t>
      </w:r>
      <w:r w:rsidRPr="00C2075F">
        <w:t>ate applications</w:t>
      </w:r>
    </w:p>
    <w:p w14:paraId="05A60EBF" w14:textId="2A1DF3A7" w:rsidR="000E4A37" w:rsidRPr="00C2075F" w:rsidRDefault="000E4A37" w:rsidP="000E4A37">
      <w:pPr>
        <w:pStyle w:val="xmsonormal"/>
        <w:shd w:val="clear" w:color="auto" w:fill="FFFFFF"/>
        <w:spacing w:before="180" w:beforeAutospacing="0" w:after="180" w:afterAutospacing="0"/>
        <w:rPr>
          <w:rFonts w:asciiTheme="minorHAnsi" w:hAnsiTheme="minorHAnsi" w:cstheme="minorHAnsi"/>
          <w:sz w:val="22"/>
          <w:szCs w:val="22"/>
          <w:bdr w:val="none" w:sz="0" w:space="0" w:color="auto" w:frame="1"/>
        </w:rPr>
      </w:pPr>
      <w:r w:rsidRPr="00C2075F">
        <w:rPr>
          <w:rFonts w:asciiTheme="minorHAnsi" w:hAnsiTheme="minorHAnsi" w:cstheme="minorHAnsi"/>
          <w:sz w:val="22"/>
          <w:szCs w:val="22"/>
          <w:bdr w:val="none" w:sz="0" w:space="0" w:color="auto" w:frame="1"/>
        </w:rPr>
        <w:t xml:space="preserve">If you believe that you may be unable to meet </w:t>
      </w:r>
      <w:r w:rsidR="006D46B8" w:rsidRPr="00C2075F">
        <w:rPr>
          <w:rFonts w:asciiTheme="minorHAnsi" w:hAnsiTheme="minorHAnsi" w:cstheme="minorHAnsi"/>
          <w:sz w:val="22"/>
          <w:szCs w:val="22"/>
          <w:bdr w:val="none" w:sz="0" w:space="0" w:color="auto" w:frame="1"/>
        </w:rPr>
        <w:t xml:space="preserve">the </w:t>
      </w:r>
      <w:r w:rsidR="00042734" w:rsidRPr="00C2075F">
        <w:rPr>
          <w:rFonts w:asciiTheme="minorHAnsi" w:hAnsiTheme="minorHAnsi" w:cstheme="minorHAnsi"/>
          <w:sz w:val="22"/>
          <w:szCs w:val="22"/>
          <w:bdr w:val="none" w:sz="0" w:space="0" w:color="auto" w:frame="1"/>
        </w:rPr>
        <w:t xml:space="preserve">31 October </w:t>
      </w:r>
      <w:r w:rsidRPr="00C2075F">
        <w:rPr>
          <w:rFonts w:asciiTheme="minorHAnsi" w:hAnsiTheme="minorHAnsi" w:cstheme="minorHAnsi"/>
          <w:sz w:val="22"/>
          <w:szCs w:val="22"/>
          <w:bdr w:val="none" w:sz="0" w:space="0" w:color="auto" w:frame="1"/>
        </w:rPr>
        <w:t>deadline</w:t>
      </w:r>
      <w:r w:rsidR="00B32F79" w:rsidRPr="00C2075F">
        <w:rPr>
          <w:rFonts w:asciiTheme="minorHAnsi" w:hAnsiTheme="minorHAnsi" w:cstheme="minorHAnsi"/>
          <w:sz w:val="22"/>
          <w:szCs w:val="22"/>
          <w:bdr w:val="none" w:sz="0" w:space="0" w:color="auto" w:frame="1"/>
        </w:rPr>
        <w:t xml:space="preserve"> </w:t>
      </w:r>
      <w:r w:rsidR="00042734" w:rsidRPr="00C2075F">
        <w:rPr>
          <w:rFonts w:asciiTheme="minorHAnsi" w:hAnsiTheme="minorHAnsi" w:cstheme="minorHAnsi"/>
          <w:sz w:val="22"/>
          <w:szCs w:val="22"/>
          <w:bdr w:val="none" w:sz="0" w:space="0" w:color="auto" w:frame="1"/>
        </w:rPr>
        <w:t>(of the relevant year</w:t>
      </w:r>
      <w:r w:rsidR="00B32F79" w:rsidRPr="00C2075F">
        <w:rPr>
          <w:rFonts w:asciiTheme="minorHAnsi" w:hAnsiTheme="minorHAnsi" w:cstheme="minorHAnsi"/>
          <w:sz w:val="22"/>
          <w:szCs w:val="22"/>
          <w:bdr w:val="none" w:sz="0" w:space="0" w:color="auto" w:frame="1"/>
        </w:rPr>
        <w:t>)</w:t>
      </w:r>
      <w:r w:rsidRPr="00C2075F">
        <w:rPr>
          <w:rFonts w:asciiTheme="minorHAnsi" w:hAnsiTheme="minorHAnsi" w:cstheme="minorHAnsi"/>
          <w:sz w:val="22"/>
          <w:szCs w:val="22"/>
          <w:bdr w:val="none" w:sz="0" w:space="0" w:color="auto" w:frame="1"/>
        </w:rPr>
        <w:t>, contact the CER as soon as possible.</w:t>
      </w:r>
    </w:p>
    <w:p w14:paraId="4E905EAC" w14:textId="1A4A7BF9" w:rsidR="000E4A37" w:rsidRPr="00C2075F" w:rsidRDefault="000E4A37" w:rsidP="000E4A37">
      <w:pPr>
        <w:pStyle w:val="xmsonormal"/>
        <w:shd w:val="clear" w:color="auto" w:fill="FFFFFF" w:themeFill="background1"/>
        <w:spacing w:before="180" w:beforeAutospacing="0" w:after="180" w:afterAutospacing="0"/>
        <w:rPr>
          <w:rFonts w:asciiTheme="minorHAnsi" w:hAnsiTheme="minorHAnsi" w:cstheme="minorBidi"/>
          <w:sz w:val="22"/>
          <w:szCs w:val="22"/>
          <w:bdr w:val="none" w:sz="0" w:space="0" w:color="auto" w:frame="1"/>
        </w:rPr>
      </w:pPr>
      <w:r w:rsidRPr="00C2075F">
        <w:rPr>
          <w:rFonts w:asciiTheme="minorHAnsi" w:hAnsiTheme="minorHAnsi" w:cstheme="minorBidi"/>
          <w:sz w:val="22"/>
          <w:szCs w:val="22"/>
          <w:bdr w:val="none" w:sz="0" w:space="0" w:color="auto" w:frame="1"/>
        </w:rPr>
        <w:t xml:space="preserve">The Safeguard Mechanism legislation gives the CER discretion to accept an </w:t>
      </w:r>
      <w:r w:rsidR="00780AC4" w:rsidRPr="00C2075F">
        <w:rPr>
          <w:rFonts w:asciiTheme="minorHAnsi" w:hAnsiTheme="minorHAnsi" w:cstheme="minorBidi"/>
          <w:sz w:val="22"/>
          <w:szCs w:val="22"/>
          <w:bdr w:val="none" w:sz="0" w:space="0" w:color="auto" w:frame="1"/>
        </w:rPr>
        <w:t xml:space="preserve">EID </w:t>
      </w:r>
      <w:r w:rsidRPr="00C2075F">
        <w:rPr>
          <w:rFonts w:asciiTheme="minorHAnsi" w:hAnsiTheme="minorHAnsi" w:cstheme="minorBidi"/>
          <w:sz w:val="22"/>
          <w:szCs w:val="22"/>
          <w:bdr w:val="none" w:sz="0" w:space="0" w:color="auto" w:frame="1"/>
        </w:rPr>
        <w:t>application submitted after the deadline.</w:t>
      </w:r>
      <w:r w:rsidR="004D7CC3" w:rsidRPr="00C2075F">
        <w:rPr>
          <w:rFonts w:asciiTheme="minorHAnsi" w:hAnsiTheme="minorHAnsi" w:cstheme="minorBidi"/>
          <w:sz w:val="22"/>
          <w:szCs w:val="22"/>
          <w:bdr w:val="none" w:sz="0" w:space="0" w:color="auto" w:frame="1"/>
        </w:rPr>
        <w:t xml:space="preserve"> These extensions will only be granted in </w:t>
      </w:r>
      <w:r w:rsidR="00FA5335" w:rsidRPr="00C2075F">
        <w:rPr>
          <w:rFonts w:asciiTheme="minorHAnsi" w:hAnsiTheme="minorHAnsi" w:cstheme="minorBidi"/>
          <w:sz w:val="22"/>
          <w:szCs w:val="22"/>
          <w:bdr w:val="none" w:sz="0" w:space="0" w:color="auto" w:frame="1"/>
        </w:rPr>
        <w:t>exceptional circumstances and should be raised with the CER well in advance of the deadline.</w:t>
      </w:r>
    </w:p>
    <w:p w14:paraId="4AD179B3" w14:textId="22F2DD95" w:rsidR="000E4A37" w:rsidRPr="006876B4" w:rsidRDefault="000E4A37" w:rsidP="000E4A37">
      <w:pPr>
        <w:pStyle w:val="xmsonormal"/>
        <w:shd w:val="clear" w:color="auto" w:fill="FFFFFF"/>
        <w:spacing w:before="180" w:beforeAutospacing="0" w:after="180" w:afterAutospacing="0"/>
        <w:rPr>
          <w:rFonts w:asciiTheme="minorHAnsi" w:hAnsiTheme="minorHAnsi" w:cstheme="minorHAnsi"/>
          <w:sz w:val="22"/>
          <w:szCs w:val="22"/>
          <w:bdr w:val="none" w:sz="0" w:space="0" w:color="auto" w:frame="1"/>
        </w:rPr>
      </w:pPr>
      <w:r w:rsidRPr="00C2075F">
        <w:rPr>
          <w:rFonts w:asciiTheme="minorHAnsi" w:hAnsiTheme="minorHAnsi" w:cstheme="minorHAnsi"/>
          <w:sz w:val="22"/>
          <w:szCs w:val="22"/>
          <w:bdr w:val="none" w:sz="0" w:space="0" w:color="auto" w:frame="1"/>
        </w:rPr>
        <w:t xml:space="preserve">The extension request should be emailed to </w:t>
      </w:r>
      <w:hyperlink r:id="rId29" w:history="1">
        <w:r w:rsidRPr="00C2075F">
          <w:rPr>
            <w:rStyle w:val="Hyperlink"/>
            <w:rFonts w:asciiTheme="minorHAnsi" w:hAnsiTheme="minorHAnsi" w:cstheme="minorHAnsi"/>
            <w:szCs w:val="22"/>
          </w:rPr>
          <w:t>cer-safeguardbaselines@cer.gov.au</w:t>
        </w:r>
      </w:hyperlink>
      <w:r w:rsidRPr="00C2075F">
        <w:rPr>
          <w:rStyle w:val="Hyperlink"/>
          <w:rFonts w:asciiTheme="minorHAnsi" w:hAnsiTheme="minorHAnsi" w:cstheme="minorHAnsi"/>
          <w:szCs w:val="22"/>
        </w:rPr>
        <w:t xml:space="preserve"> </w:t>
      </w:r>
      <w:r w:rsidRPr="00C2075F">
        <w:rPr>
          <w:rStyle w:val="Hyperlink"/>
          <w:rFonts w:asciiTheme="minorHAnsi" w:hAnsiTheme="minorHAnsi" w:cstheme="minorHAnsi"/>
          <w:color w:val="auto"/>
          <w:szCs w:val="22"/>
          <w:u w:val="none"/>
        </w:rPr>
        <w:t xml:space="preserve">by the nominated contact person </w:t>
      </w:r>
      <w:r w:rsidRPr="00C2075F">
        <w:rPr>
          <w:rFonts w:asciiTheme="minorHAnsi" w:hAnsiTheme="minorHAnsi" w:cstheme="minorHAnsi"/>
          <w:sz w:val="22"/>
          <w:szCs w:val="22"/>
          <w:bdr w:val="none" w:sz="0" w:space="0" w:color="auto" w:frame="1"/>
        </w:rPr>
        <w:t>for the applicant.</w:t>
      </w:r>
      <w:r w:rsidRPr="006876B4">
        <w:rPr>
          <w:rFonts w:asciiTheme="minorHAnsi" w:hAnsiTheme="minorHAnsi" w:cstheme="minorHAnsi"/>
          <w:bdr w:val="none" w:sz="0" w:space="0" w:color="auto" w:frame="1"/>
        </w:rPr>
        <w:t xml:space="preserve"> </w:t>
      </w:r>
    </w:p>
    <w:p w14:paraId="7D5DAF8C" w14:textId="7DE44F53" w:rsidR="0053173A" w:rsidRPr="008453C8" w:rsidRDefault="0053173A" w:rsidP="0053173A">
      <w:pPr>
        <w:pStyle w:val="Heading3"/>
      </w:pPr>
      <w:bookmarkStart w:id="62" w:name="_Toc138922903"/>
      <w:bookmarkStart w:id="63" w:name="_Toc138922978"/>
      <w:bookmarkStart w:id="64" w:name="_Toc138923042"/>
      <w:bookmarkStart w:id="65" w:name="_Toc138923299"/>
      <w:bookmarkStart w:id="66" w:name="_Toc143503171"/>
      <w:r>
        <w:t xml:space="preserve">What happens if I do not apply for an </w:t>
      </w:r>
      <w:r w:rsidR="0095149E">
        <w:t>emissions-intensity</w:t>
      </w:r>
      <w:r>
        <w:t xml:space="preserve"> determination?</w:t>
      </w:r>
      <w:bookmarkEnd w:id="62"/>
      <w:bookmarkEnd w:id="63"/>
      <w:bookmarkEnd w:id="64"/>
      <w:bookmarkEnd w:id="65"/>
      <w:bookmarkEnd w:id="66"/>
    </w:p>
    <w:p w14:paraId="229A5738" w14:textId="5604BAA4" w:rsidR="007E1A1B" w:rsidRDefault="007E1A1B" w:rsidP="00376145">
      <w:pPr>
        <w:spacing w:before="240"/>
      </w:pPr>
      <w:r>
        <w:t xml:space="preserve">Following the legislative amendment </w:t>
      </w:r>
      <w:r w:rsidR="00686AB7">
        <w:t xml:space="preserve">which </w:t>
      </w:r>
      <w:r>
        <w:t xml:space="preserve">commenced on </w:t>
      </w:r>
      <w:r w:rsidR="003A3425">
        <w:t>27</w:t>
      </w:r>
      <w:r w:rsidRPr="00557813">
        <w:t xml:space="preserve"> April 2024</w:t>
      </w:r>
      <w:r>
        <w:t xml:space="preserve">, </w:t>
      </w:r>
      <w:bookmarkStart w:id="67" w:name="_Hlk165020680"/>
      <w:r>
        <w:t xml:space="preserve">a historical production variable for an existing facility which does not have an </w:t>
      </w:r>
      <w:r w:rsidR="00611B7A">
        <w:t>EID</w:t>
      </w:r>
      <w:r>
        <w:t xml:space="preserve"> for a financial year will receive an emissions intensity number of either:</w:t>
      </w:r>
    </w:p>
    <w:p w14:paraId="1610B6DE" w14:textId="77777777" w:rsidR="007E1A1B" w:rsidRDefault="007E1A1B" w:rsidP="00FE2099">
      <w:pPr>
        <w:pStyle w:val="CERbullets"/>
      </w:pPr>
      <w:r>
        <w:t>If a best practice emissions intensity number has been legislated for that historical production variable, that number, or</w:t>
      </w:r>
    </w:p>
    <w:p w14:paraId="1A442CFB" w14:textId="77777777" w:rsidR="007E1A1B" w:rsidRDefault="007E1A1B" w:rsidP="00FE2099">
      <w:pPr>
        <w:pStyle w:val="CERbullets"/>
      </w:pPr>
      <w:r>
        <w:t xml:space="preserve">If a best practice emissions intensity number has not been legislated for that historical production variable, zero. </w:t>
      </w:r>
    </w:p>
    <w:p w14:paraId="447E53DA" w14:textId="242D6DA2" w:rsidR="007E1A1B" w:rsidRDefault="007E1A1B" w:rsidP="007E1A1B">
      <w:r>
        <w:t xml:space="preserve">This will result in a historical production variable receiving a zero as its emissions intensity number if there is no legislated best practice emissions-intensity number for that production variable, and there is no </w:t>
      </w:r>
      <w:r w:rsidR="00F1324F">
        <w:t>EID</w:t>
      </w:r>
      <w:r>
        <w:t xml:space="preserve"> for that existing facility. </w:t>
      </w:r>
    </w:p>
    <w:p w14:paraId="3D63B4A7" w14:textId="19E1BCF2" w:rsidR="007E1A1B" w:rsidRDefault="007E1A1B" w:rsidP="007E1A1B">
      <w:r>
        <w:t>If the baseline emissions number is calculated to be less than 100,000</w:t>
      </w:r>
      <w:r w:rsidR="00453EE9">
        <w:t xml:space="preserve"> </w:t>
      </w:r>
      <w:r>
        <w:t>tCO</w:t>
      </w:r>
      <w:r w:rsidRPr="3BE10350">
        <w:rPr>
          <w:vertAlign w:val="subscript"/>
        </w:rPr>
        <w:t>2</w:t>
      </w:r>
      <w:r>
        <w:t xml:space="preserve">-e then the minimum baseline rule will take </w:t>
      </w:r>
      <w:proofErr w:type="gramStart"/>
      <w:r>
        <w:t>effect</w:t>
      </w:r>
      <w:proofErr w:type="gramEnd"/>
      <w:r>
        <w:t xml:space="preserve"> and the annual baseline emissions number would be rounded up to 100,000</w:t>
      </w:r>
      <w:r w:rsidR="00453EE9">
        <w:t xml:space="preserve"> </w:t>
      </w:r>
      <w:r>
        <w:t>tCO</w:t>
      </w:r>
      <w:r w:rsidRPr="3BE10350">
        <w:rPr>
          <w:vertAlign w:val="subscript"/>
        </w:rPr>
        <w:t>2</w:t>
      </w:r>
      <w:r>
        <w:t xml:space="preserve">-e. </w:t>
      </w:r>
    </w:p>
    <w:bookmarkEnd w:id="67"/>
    <w:p w14:paraId="5423244C" w14:textId="72D030EE" w:rsidR="009D7AA0" w:rsidRDefault="00FA4E74" w:rsidP="00400757">
      <w:r>
        <w:t xml:space="preserve">For new production variables at an existing facility, </w:t>
      </w:r>
      <w:r w:rsidR="002E64F8">
        <w:t>if a best practice emissions-intensity is not legislated</w:t>
      </w:r>
      <w:r w:rsidR="002E64F8" w:rsidDel="00FA4E74">
        <w:t xml:space="preserve"> </w:t>
      </w:r>
      <w:r>
        <w:t>t</w:t>
      </w:r>
      <w:r w:rsidR="2B74B873">
        <w:t>he industry</w:t>
      </w:r>
      <w:r w:rsidR="00D20F96">
        <w:t>-</w:t>
      </w:r>
      <w:r w:rsidR="007D210B">
        <w:t>average</w:t>
      </w:r>
      <w:r w:rsidR="2B74B873">
        <w:t xml:space="preserve"> </w:t>
      </w:r>
      <w:r w:rsidR="00D20F96">
        <w:t>‘</w:t>
      </w:r>
      <w:r w:rsidR="001E557F">
        <w:t>default</w:t>
      </w:r>
      <w:r w:rsidR="00D20F96">
        <w:t>’</w:t>
      </w:r>
      <w:r w:rsidR="001E557F">
        <w:t xml:space="preserve"> </w:t>
      </w:r>
      <w:r w:rsidR="0095149E">
        <w:t>emissions-intensity</w:t>
      </w:r>
      <w:r w:rsidR="2B74B873">
        <w:t xml:space="preserve"> </w:t>
      </w:r>
      <w:r w:rsidR="009D43A4">
        <w:t>will apply</w:t>
      </w:r>
      <w:r w:rsidR="00886B7D">
        <w:t xml:space="preserve">. </w:t>
      </w:r>
    </w:p>
    <w:p w14:paraId="6A2A2B1B" w14:textId="3C680F0D" w:rsidR="00AC086F" w:rsidRPr="00895F5C" w:rsidRDefault="00D37954" w:rsidP="00400757">
      <w:r>
        <w:t xml:space="preserve">Note </w:t>
      </w:r>
      <w:r w:rsidRPr="00770FEF">
        <w:t xml:space="preserve">that </w:t>
      </w:r>
      <w:r w:rsidR="008361CA" w:rsidRPr="00770FEF">
        <w:t xml:space="preserve">if </w:t>
      </w:r>
      <w:r w:rsidR="00171314" w:rsidRPr="00770FEF">
        <w:t xml:space="preserve">an existing </w:t>
      </w:r>
      <w:r w:rsidR="009A2565" w:rsidRPr="00770FEF">
        <w:t>facility does not have an</w:t>
      </w:r>
      <w:r w:rsidR="00957FE2" w:rsidRPr="00770FEF">
        <w:t xml:space="preserve"> </w:t>
      </w:r>
      <w:r w:rsidR="007A1266" w:rsidRPr="00770FEF">
        <w:t>EID</w:t>
      </w:r>
      <w:r w:rsidR="00957FE2" w:rsidRPr="00770FEF">
        <w:t xml:space="preserve"> </w:t>
      </w:r>
      <w:r w:rsidR="007D1E98" w:rsidRPr="00770FEF">
        <w:t>for a financial year</w:t>
      </w:r>
      <w:r w:rsidR="003617A6" w:rsidRPr="00770FEF">
        <w:t>,</w:t>
      </w:r>
      <w:r w:rsidR="007D1E98" w:rsidRPr="00770FEF">
        <w:t xml:space="preserve"> </w:t>
      </w:r>
      <w:r w:rsidR="00AE655F" w:rsidRPr="00770FEF">
        <w:t>the facilit</w:t>
      </w:r>
      <w:r w:rsidR="00817EA1" w:rsidRPr="00770FEF">
        <w:t xml:space="preserve">y </w:t>
      </w:r>
      <w:r w:rsidR="006C5DB0" w:rsidRPr="00770FEF">
        <w:t xml:space="preserve">will not </w:t>
      </w:r>
      <w:r w:rsidR="00FF0188" w:rsidRPr="00770FEF">
        <w:t>meet the</w:t>
      </w:r>
      <w:r w:rsidR="00DD2CEF" w:rsidRPr="00770FEF">
        <w:t xml:space="preserve"> </w:t>
      </w:r>
      <w:r w:rsidR="00DD2CEF" w:rsidRPr="00770FEF">
        <w:rPr>
          <w:i/>
          <w:iCs/>
        </w:rPr>
        <w:t>eligible facility</w:t>
      </w:r>
      <w:r w:rsidR="00FF0188" w:rsidRPr="00770FEF">
        <w:rPr>
          <w:i/>
          <w:iCs/>
        </w:rPr>
        <w:t xml:space="preserve"> criteria </w:t>
      </w:r>
      <w:r w:rsidR="00DD2CEF" w:rsidRPr="00770FEF">
        <w:t>unde</w:t>
      </w:r>
      <w:r w:rsidR="00884E77" w:rsidRPr="00770FEF">
        <w:t xml:space="preserve">r </w:t>
      </w:r>
      <w:r w:rsidR="00DD2CEF" w:rsidRPr="00770FEF">
        <w:t>section 58</w:t>
      </w:r>
      <w:proofErr w:type="gramStart"/>
      <w:r w:rsidR="00BD0007" w:rsidRPr="00770FEF">
        <w:t>B</w:t>
      </w:r>
      <w:r w:rsidR="00FE588E" w:rsidRPr="00770FEF">
        <w:t>(</w:t>
      </w:r>
      <w:proofErr w:type="gramEnd"/>
      <w:r w:rsidR="00713AD3" w:rsidRPr="00770FEF">
        <w:t>3</w:t>
      </w:r>
      <w:r w:rsidR="00FE588E" w:rsidRPr="00770FEF">
        <w:t>)</w:t>
      </w:r>
      <w:r w:rsidR="00DD2CEF" w:rsidRPr="00770FEF">
        <w:t xml:space="preserve"> of the Safeguard Rule</w:t>
      </w:r>
      <w:r w:rsidR="00B61850" w:rsidRPr="00770FEF">
        <w:t xml:space="preserve"> for that financial year</w:t>
      </w:r>
      <w:r w:rsidR="0017548F" w:rsidRPr="00770FEF">
        <w:t>. Being an eligible facility allows a facility whose emissions drop below the coverage threshold to be issued Safeguard Mechanism Credits, subject to meeting the requirements</w:t>
      </w:r>
      <w:r w:rsidR="00721E6B" w:rsidRPr="00770FEF">
        <w:t xml:space="preserve"> for issuance under </w:t>
      </w:r>
      <w:r w:rsidR="0080280D" w:rsidRPr="00770FEF">
        <w:t>section</w:t>
      </w:r>
      <w:r w:rsidR="002777C4" w:rsidRPr="00770FEF">
        <w:t>s</w:t>
      </w:r>
      <w:r w:rsidR="0080280D" w:rsidRPr="00770FEF">
        <w:t xml:space="preserve"> 5</w:t>
      </w:r>
      <w:r w:rsidR="0022641C" w:rsidRPr="00770FEF">
        <w:t>6</w:t>
      </w:r>
      <w:r w:rsidR="000C2916" w:rsidRPr="00770FEF">
        <w:t xml:space="preserve"> or</w:t>
      </w:r>
      <w:r w:rsidR="00346629" w:rsidRPr="00770FEF">
        <w:t xml:space="preserve"> 57</w:t>
      </w:r>
      <w:r w:rsidR="002777C4" w:rsidRPr="00770FEF">
        <w:t xml:space="preserve"> and </w:t>
      </w:r>
      <w:r w:rsidR="00346629" w:rsidRPr="00770FEF">
        <w:t>58B</w:t>
      </w:r>
      <w:r w:rsidR="0080280D" w:rsidRPr="00770FEF">
        <w:t>.</w:t>
      </w:r>
    </w:p>
    <w:p w14:paraId="562C7E03" w14:textId="29560DA4" w:rsidR="00ED0369" w:rsidRPr="00C2075F" w:rsidRDefault="00ED0369" w:rsidP="000C20F0">
      <w:pPr>
        <w:pStyle w:val="Heading2"/>
      </w:pPr>
      <w:bookmarkStart w:id="68" w:name="_Toc138922904"/>
      <w:bookmarkStart w:id="69" w:name="_Toc138922979"/>
      <w:bookmarkStart w:id="70" w:name="_Toc138923043"/>
      <w:bookmarkStart w:id="71" w:name="_Toc138923300"/>
      <w:bookmarkStart w:id="72" w:name="_Toc143503172"/>
      <w:bookmarkStart w:id="73" w:name="_Toc208216268"/>
      <w:r w:rsidRPr="00C2075F">
        <w:t xml:space="preserve">Preparing </w:t>
      </w:r>
      <w:r w:rsidR="00DC6478" w:rsidRPr="00C2075F">
        <w:t xml:space="preserve">and submitting </w:t>
      </w:r>
      <w:r w:rsidRPr="00C2075F">
        <w:t>the application</w:t>
      </w:r>
      <w:bookmarkEnd w:id="68"/>
      <w:bookmarkEnd w:id="69"/>
      <w:bookmarkEnd w:id="70"/>
      <w:bookmarkEnd w:id="71"/>
      <w:bookmarkEnd w:id="72"/>
      <w:bookmarkEnd w:id="73"/>
    </w:p>
    <w:p w14:paraId="0358AB14" w14:textId="0CFFA965" w:rsidR="006E4DB5" w:rsidRPr="006E4DB5" w:rsidRDefault="006E4DB5" w:rsidP="00376145">
      <w:pPr>
        <w:spacing w:before="240"/>
      </w:pPr>
      <w:r w:rsidRPr="00C2075F">
        <w:t xml:space="preserve">An application for an </w:t>
      </w:r>
      <w:r w:rsidR="00A059CA" w:rsidRPr="00C2075F">
        <w:t>EID</w:t>
      </w:r>
      <w:r w:rsidRPr="00C2075F">
        <w:t xml:space="preserve"> is submitted online by the responsible emitter for a facility.</w:t>
      </w:r>
    </w:p>
    <w:p w14:paraId="564980FD" w14:textId="7C9276BA" w:rsidR="00E57E11" w:rsidRDefault="009D6003" w:rsidP="00ED0369">
      <w:pPr>
        <w:pStyle w:val="Heading3"/>
        <w:rPr>
          <w:rFonts w:eastAsia="MS Gothic"/>
        </w:rPr>
      </w:pPr>
      <w:r w:rsidRPr="29264F97">
        <w:rPr>
          <w:rFonts w:eastAsia="MS Gothic"/>
        </w:rPr>
        <w:t xml:space="preserve"> </w:t>
      </w:r>
      <w:bookmarkStart w:id="74" w:name="_Toc138922905"/>
      <w:bookmarkStart w:id="75" w:name="_Toc138922980"/>
      <w:bookmarkStart w:id="76" w:name="_Toc138923044"/>
      <w:bookmarkStart w:id="77" w:name="_Toc138923301"/>
      <w:bookmarkStart w:id="78" w:name="_Toc143503173"/>
      <w:r w:rsidR="00E57E11" w:rsidRPr="29264F97">
        <w:rPr>
          <w:rFonts w:eastAsia="MS Gothic"/>
        </w:rPr>
        <w:t>Accessing the application form</w:t>
      </w:r>
      <w:bookmarkEnd w:id="74"/>
      <w:bookmarkEnd w:id="75"/>
      <w:bookmarkEnd w:id="76"/>
      <w:bookmarkEnd w:id="77"/>
      <w:bookmarkEnd w:id="78"/>
    </w:p>
    <w:p w14:paraId="5A55CF85" w14:textId="1DCE81B6" w:rsidR="00080BD5" w:rsidRDefault="00E57E11" w:rsidP="00376145">
      <w:pPr>
        <w:spacing w:before="240"/>
      </w:pPr>
      <w:r>
        <w:t>The application form is accessed through the</w:t>
      </w:r>
      <w:r w:rsidR="00316D0E">
        <w:t xml:space="preserve"> </w:t>
      </w:r>
      <w:hyperlink r:id="rId30" w:anchor="online-services" w:tooltip="A link to the Online Services page of the Clean Energy Regulator website" w:history="1">
        <w:r w:rsidR="00D06293" w:rsidRPr="00F84B66">
          <w:rPr>
            <w:rStyle w:val="Hyperlink"/>
            <w:rFonts w:asciiTheme="minorHAnsi" w:hAnsiTheme="minorHAnsi"/>
          </w:rPr>
          <w:t>Online Services</w:t>
        </w:r>
      </w:hyperlink>
      <w:r w:rsidR="00DB225E" w:rsidRPr="00812766">
        <w:rPr>
          <w:rStyle w:val="FootnoteReference"/>
        </w:rPr>
        <w:footnoteReference w:id="18"/>
      </w:r>
      <w:r w:rsidR="00316D0E" w:rsidRPr="00812766">
        <w:t>.</w:t>
      </w:r>
    </w:p>
    <w:p w14:paraId="34F48EEF" w14:textId="53087C0A" w:rsidR="00E4732E" w:rsidRPr="00760670" w:rsidRDefault="4EBEE0EF" w:rsidP="00E4732E">
      <w:pPr>
        <w:pStyle w:val="CERbullets"/>
        <w:numPr>
          <w:ilvl w:val="0"/>
          <w:numId w:val="0"/>
        </w:numPr>
      </w:pPr>
      <w:r w:rsidRPr="008E43E1">
        <w:t>An</w:t>
      </w:r>
      <w:r w:rsidRPr="00565CAC">
        <w:t xml:space="preserve"> Online Services user linked to the responsible emitter</w:t>
      </w:r>
      <w:r>
        <w:t xml:space="preserve"> </w:t>
      </w:r>
      <w:r w:rsidRPr="00565CAC">
        <w:t>with</w:t>
      </w:r>
      <w:r>
        <w:t xml:space="preserve"> the ‘manage facilities’ permission </w:t>
      </w:r>
      <w:r w:rsidRPr="00565CAC">
        <w:t>can prepare and edit a draft application form before</w:t>
      </w:r>
      <w:r w:rsidR="453A9875">
        <w:t xml:space="preserve"> submission</w:t>
      </w:r>
      <w:r>
        <w:t>.</w:t>
      </w:r>
      <w:r w:rsidRPr="00565CAC" w:rsidDel="00E345C4">
        <w:t xml:space="preserve"> </w:t>
      </w:r>
      <w:r>
        <w:t>The ‘manage facilities’ permission is found in the ‘NGER’ permissions tab within the ‘manage user’ function in Online Services. For information on how to update user permissions please</w:t>
      </w:r>
      <w:r w:rsidRPr="002F4ABF">
        <w:t xml:space="preserve"> see the </w:t>
      </w:r>
      <w:hyperlink r:id="rId31" w:tooltip="A link to the NGER Online Services user guide on the Clean Energy Regulator website" w:history="1">
        <w:r w:rsidRPr="000C767D">
          <w:rPr>
            <w:rStyle w:val="Hyperlink"/>
          </w:rPr>
          <w:t xml:space="preserve">NGER </w:t>
        </w:r>
        <w:r w:rsidR="056F0DDF">
          <w:rPr>
            <w:rStyle w:val="Hyperlink"/>
          </w:rPr>
          <w:t>Online Services</w:t>
        </w:r>
        <w:r w:rsidRPr="000C767D">
          <w:rPr>
            <w:rStyle w:val="Hyperlink"/>
          </w:rPr>
          <w:t xml:space="preserve"> </w:t>
        </w:r>
        <w:r w:rsidR="453A9875">
          <w:rPr>
            <w:rStyle w:val="Hyperlink"/>
          </w:rPr>
          <w:t>user g</w:t>
        </w:r>
        <w:r w:rsidRPr="000C767D">
          <w:rPr>
            <w:rStyle w:val="Hyperlink"/>
          </w:rPr>
          <w:t>uide</w:t>
        </w:r>
      </w:hyperlink>
      <w:r w:rsidR="00E4732E" w:rsidRPr="00F619D0">
        <w:rPr>
          <w:rStyle w:val="FootnoteReference"/>
        </w:rPr>
        <w:footnoteReference w:id="19"/>
      </w:r>
      <w:r w:rsidRPr="49B0CE61">
        <w:rPr>
          <w:rStyle w:val="Hyperlink"/>
        </w:rPr>
        <w:t>.</w:t>
      </w:r>
    </w:p>
    <w:p w14:paraId="61550EAD" w14:textId="4442D88A" w:rsidR="001F2971" w:rsidRPr="008E1601" w:rsidRDefault="00BF6E3B" w:rsidP="003D3699">
      <w:pPr>
        <w:pStyle w:val="CERbullets"/>
        <w:numPr>
          <w:ilvl w:val="0"/>
          <w:numId w:val="0"/>
        </w:numPr>
      </w:pPr>
      <w:r>
        <w:t>The</w:t>
      </w:r>
      <w:r w:rsidRPr="00BF6E3B">
        <w:t xml:space="preserve"> </w:t>
      </w:r>
      <w:r w:rsidRPr="003D3699">
        <w:t xml:space="preserve">application form </w:t>
      </w:r>
      <w:r w:rsidR="001F2971" w:rsidRPr="003D3699">
        <w:t>can</w:t>
      </w:r>
      <w:r>
        <w:t xml:space="preserve"> be</w:t>
      </w:r>
      <w:r w:rsidR="001F2971" w:rsidRPr="003D3699">
        <w:t xml:space="preserve"> save</w:t>
      </w:r>
      <w:r>
        <w:t>d</w:t>
      </w:r>
      <w:r w:rsidR="001F2971" w:rsidRPr="003D3699">
        <w:t xml:space="preserve"> at any point and </w:t>
      </w:r>
      <w:r w:rsidR="00066EE3">
        <w:t>continued</w:t>
      </w:r>
      <w:r w:rsidR="001F2971" w:rsidRPr="003D3699">
        <w:t xml:space="preserve"> later</w:t>
      </w:r>
      <w:r w:rsidR="00C05785">
        <w:t>,</w:t>
      </w:r>
      <w:r w:rsidR="001F2971" w:rsidRPr="003D3699">
        <w:t xml:space="preserve"> and a</w:t>
      </w:r>
      <w:r w:rsidR="001D41D5" w:rsidRPr="003D3699">
        <w:t xml:space="preserve"> </w:t>
      </w:r>
      <w:r w:rsidR="001F2971" w:rsidRPr="003D3699">
        <w:t xml:space="preserve">copy of the application form can be saved </w:t>
      </w:r>
      <w:r w:rsidR="001D41D5" w:rsidRPr="003D3699">
        <w:t xml:space="preserve">as a </w:t>
      </w:r>
      <w:r w:rsidR="00590F72">
        <w:t>PDF</w:t>
      </w:r>
      <w:r w:rsidR="00590F72" w:rsidRPr="003D3699">
        <w:t xml:space="preserve"> </w:t>
      </w:r>
      <w:r w:rsidR="001F2971" w:rsidRPr="003D3699">
        <w:t>and printed at any stage.</w:t>
      </w:r>
    </w:p>
    <w:p w14:paraId="0126AF22" w14:textId="6C7C785E" w:rsidR="006855B2" w:rsidRPr="00C2075F" w:rsidRDefault="00E57E11" w:rsidP="00292F41">
      <w:pPr>
        <w:pStyle w:val="Heading3"/>
        <w:rPr>
          <w:rFonts w:eastAsia="MS Gothic"/>
        </w:rPr>
      </w:pPr>
      <w:r w:rsidRPr="00C2075F">
        <w:rPr>
          <w:rFonts w:eastAsia="MS Gothic"/>
        </w:rPr>
        <w:t xml:space="preserve">Application </w:t>
      </w:r>
      <w:r w:rsidR="009A050D" w:rsidRPr="00C2075F">
        <w:rPr>
          <w:rFonts w:eastAsia="MS Gothic"/>
        </w:rPr>
        <w:t>information requirements</w:t>
      </w:r>
    </w:p>
    <w:p w14:paraId="11FC1663" w14:textId="246A4BF8" w:rsidR="006855B2" w:rsidRPr="00C2075F" w:rsidRDefault="006855B2" w:rsidP="00376145">
      <w:pPr>
        <w:spacing w:before="240"/>
      </w:pPr>
      <w:r w:rsidRPr="00C2075F">
        <w:t>The application consist</w:t>
      </w:r>
      <w:r w:rsidR="002271DA" w:rsidRPr="00C2075F">
        <w:t>s</w:t>
      </w:r>
      <w:r w:rsidRPr="00C2075F">
        <w:t xml:space="preserve"> of 3 parts:</w:t>
      </w:r>
    </w:p>
    <w:p w14:paraId="0EF37DC7" w14:textId="30C05C9A" w:rsidR="006855B2" w:rsidRPr="00C2075F" w:rsidRDefault="006855B2" w:rsidP="006855B2">
      <w:pPr>
        <w:pStyle w:val="CERbullets"/>
      </w:pPr>
      <w:r w:rsidRPr="00C2075F">
        <w:rPr>
          <w:b/>
          <w:bCs/>
        </w:rPr>
        <w:t xml:space="preserve">Application form </w:t>
      </w:r>
      <w:r w:rsidRPr="00C2075F">
        <w:t xml:space="preserve">consisting of information and data required to calculate </w:t>
      </w:r>
      <w:r w:rsidR="00F0638D" w:rsidRPr="00C2075F">
        <w:t>FSEI</w:t>
      </w:r>
      <w:r w:rsidR="00FF129F" w:rsidRPr="00C2075F">
        <w:t xml:space="preserve"> </w:t>
      </w:r>
      <w:r w:rsidRPr="00C2075F">
        <w:t xml:space="preserve">values for the facility’s production variables (see </w:t>
      </w:r>
      <w:hyperlink w:anchor="_Facility_historical_emissions" w:history="1">
        <w:r w:rsidRPr="00C2075F">
          <w:rPr>
            <w:rStyle w:val="Hyperlink"/>
            <w:rFonts w:asciiTheme="minorHAnsi" w:hAnsiTheme="minorHAnsi"/>
          </w:rPr>
          <w:t xml:space="preserve">Part </w:t>
        </w:r>
        <w:r w:rsidR="008E4E09" w:rsidRPr="00C2075F">
          <w:rPr>
            <w:rStyle w:val="Hyperlink"/>
            <w:rFonts w:asciiTheme="minorHAnsi" w:hAnsiTheme="minorHAnsi"/>
          </w:rPr>
          <w:t>3.6</w:t>
        </w:r>
        <w:r w:rsidRPr="00C2075F">
          <w:rPr>
            <w:rStyle w:val="Hyperlink"/>
            <w:rFonts w:asciiTheme="minorHAnsi" w:hAnsiTheme="minorHAnsi"/>
          </w:rPr>
          <w:t xml:space="preserve"> </w:t>
        </w:r>
        <w:r w:rsidR="003F2103" w:rsidRPr="00C2075F">
          <w:rPr>
            <w:rStyle w:val="Hyperlink"/>
            <w:rFonts w:asciiTheme="minorHAnsi" w:hAnsiTheme="minorHAnsi"/>
          </w:rPr>
          <w:t>Facility h</w:t>
        </w:r>
        <w:r w:rsidRPr="00C2075F">
          <w:rPr>
            <w:rStyle w:val="Hyperlink"/>
            <w:rFonts w:asciiTheme="minorHAnsi" w:hAnsiTheme="minorHAnsi"/>
          </w:rPr>
          <w:t xml:space="preserve">istorical </w:t>
        </w:r>
        <w:r w:rsidR="003F2103" w:rsidRPr="00C2075F">
          <w:rPr>
            <w:rStyle w:val="Hyperlink"/>
            <w:rFonts w:asciiTheme="minorHAnsi" w:hAnsiTheme="minorHAnsi"/>
          </w:rPr>
          <w:t>emissions and production data</w:t>
        </w:r>
      </w:hyperlink>
      <w:r w:rsidR="008521FD" w:rsidRPr="00C2075F">
        <w:t xml:space="preserve"> for more information</w:t>
      </w:r>
      <w:r w:rsidRPr="00C2075F">
        <w:t>)</w:t>
      </w:r>
      <w:r w:rsidR="009F2D6E" w:rsidRPr="00C2075F">
        <w:t>. This information is entered directly into the online application form.</w:t>
      </w:r>
    </w:p>
    <w:p w14:paraId="624E3CA7" w14:textId="6126E55E" w:rsidR="00BB01DE" w:rsidRPr="00C2075F" w:rsidRDefault="006855B2" w:rsidP="00BB01DE">
      <w:pPr>
        <w:pStyle w:val="CERbullets"/>
      </w:pPr>
      <w:r w:rsidRPr="00C2075F">
        <w:rPr>
          <w:b/>
          <w:bCs/>
        </w:rPr>
        <w:t>Supporting information document</w:t>
      </w:r>
      <w:r w:rsidR="00BB01DE" w:rsidRPr="00C2075F">
        <w:rPr>
          <w:b/>
          <w:bCs/>
        </w:rPr>
        <w:t>(</w:t>
      </w:r>
      <w:r w:rsidRPr="00C2075F">
        <w:rPr>
          <w:b/>
          <w:bCs/>
        </w:rPr>
        <w:t>s</w:t>
      </w:r>
      <w:r w:rsidR="00BB01DE" w:rsidRPr="00C2075F">
        <w:rPr>
          <w:b/>
          <w:bCs/>
        </w:rPr>
        <w:t>)</w:t>
      </w:r>
      <w:r w:rsidRPr="00C2075F">
        <w:t xml:space="preserve"> covering other information</w:t>
      </w:r>
      <w:r w:rsidR="00BB01DE" w:rsidRPr="00C2075F">
        <w:t xml:space="preserve"> and evidence</w:t>
      </w:r>
      <w:r w:rsidRPr="00C2075F">
        <w:t xml:space="preserve"> require</w:t>
      </w:r>
      <w:r w:rsidR="00BB01DE" w:rsidRPr="00C2075F">
        <w:t>ments</w:t>
      </w:r>
      <w:r w:rsidRPr="00C2075F">
        <w:t xml:space="preserve"> (see</w:t>
      </w:r>
      <w:r w:rsidR="00BC13CD" w:rsidRPr="00C2075F">
        <w:t xml:space="preserve"> </w:t>
      </w:r>
      <w:hyperlink w:anchor="_Supporting_information_requirements_1" w:history="1">
        <w:r w:rsidR="00FF54DD" w:rsidRPr="00C2075F">
          <w:rPr>
            <w:rStyle w:val="Hyperlink"/>
            <w:rFonts w:asciiTheme="minorHAnsi" w:hAnsiTheme="minorHAnsi"/>
          </w:rPr>
          <w:t>Part</w:t>
        </w:r>
        <w:r w:rsidR="00706B67" w:rsidRPr="00C2075F">
          <w:rPr>
            <w:rStyle w:val="Hyperlink"/>
            <w:rFonts w:asciiTheme="minorHAnsi" w:hAnsiTheme="minorHAnsi"/>
          </w:rPr>
          <w:t> </w:t>
        </w:r>
        <w:r w:rsidR="00FF54DD" w:rsidRPr="00C2075F">
          <w:rPr>
            <w:rStyle w:val="Hyperlink"/>
            <w:rFonts w:asciiTheme="minorHAnsi" w:hAnsiTheme="minorHAnsi"/>
          </w:rPr>
          <w:t>3</w:t>
        </w:r>
        <w:r w:rsidR="008460AF" w:rsidRPr="00C2075F">
          <w:rPr>
            <w:rStyle w:val="Hyperlink"/>
            <w:rFonts w:asciiTheme="minorHAnsi" w:hAnsiTheme="minorHAnsi"/>
          </w:rPr>
          <w:t>.</w:t>
        </w:r>
        <w:r w:rsidR="00A54711" w:rsidRPr="00C2075F">
          <w:rPr>
            <w:rStyle w:val="Hyperlink"/>
            <w:rFonts w:asciiTheme="minorHAnsi" w:hAnsiTheme="minorHAnsi"/>
          </w:rPr>
          <w:t>1</w:t>
        </w:r>
        <w:r w:rsidR="008460AF" w:rsidRPr="00C2075F">
          <w:rPr>
            <w:rStyle w:val="Hyperlink"/>
            <w:rFonts w:asciiTheme="minorHAnsi" w:hAnsiTheme="minorHAnsi"/>
          </w:rPr>
          <w:t xml:space="preserve"> supporting information requirements</w:t>
        </w:r>
      </w:hyperlink>
      <w:r w:rsidR="00C77E05" w:rsidRPr="00C2075F">
        <w:t xml:space="preserve"> for more information).</w:t>
      </w:r>
      <w:r w:rsidR="008460AF" w:rsidRPr="00C2075F">
        <w:t xml:space="preserve"> </w:t>
      </w:r>
      <w:r w:rsidR="00CA5579" w:rsidRPr="00C2075F">
        <w:t>These documents are attached to the online application form.</w:t>
      </w:r>
    </w:p>
    <w:p w14:paraId="7FBF6D1C" w14:textId="4D52789B" w:rsidR="00481FC6" w:rsidRPr="00C2075F" w:rsidRDefault="006855B2" w:rsidP="00D56463">
      <w:pPr>
        <w:pStyle w:val="CERbullets"/>
        <w:spacing w:before="0" w:after="0"/>
        <w:ind w:left="357" w:hanging="357"/>
        <w:rPr>
          <w:sz w:val="24"/>
        </w:rPr>
      </w:pPr>
      <w:r w:rsidRPr="00C2075F">
        <w:rPr>
          <w:b/>
          <w:bCs/>
        </w:rPr>
        <w:t>Audit report</w:t>
      </w:r>
      <w:r w:rsidRPr="00C2075F">
        <w:t xml:space="preserve"> containing an auditor’s </w:t>
      </w:r>
      <w:r w:rsidR="001400D5" w:rsidRPr="00C2075F">
        <w:t xml:space="preserve">conclusion </w:t>
      </w:r>
      <w:r w:rsidRPr="00C2075F">
        <w:t>on the required reasonable and limited assurance</w:t>
      </w:r>
      <w:r w:rsidR="003117B5" w:rsidRPr="00C2075F">
        <w:t xml:space="preserve"> matters </w:t>
      </w:r>
      <w:r w:rsidRPr="00C2075F">
        <w:t>(se</w:t>
      </w:r>
      <w:r w:rsidR="00BC13CD" w:rsidRPr="00C2075F">
        <w:t xml:space="preserve">e </w:t>
      </w:r>
      <w:hyperlink w:anchor="_Audit_report" w:history="1">
        <w:r w:rsidR="00B760C5" w:rsidRPr="00C2075F">
          <w:rPr>
            <w:rStyle w:val="Hyperlink"/>
            <w:rFonts w:asciiTheme="minorHAnsi" w:hAnsiTheme="minorHAnsi"/>
          </w:rPr>
          <w:t xml:space="preserve">Part </w:t>
        </w:r>
        <w:r w:rsidR="00BE43BD" w:rsidRPr="00C2075F">
          <w:rPr>
            <w:rStyle w:val="Hyperlink"/>
            <w:rFonts w:asciiTheme="minorHAnsi" w:hAnsiTheme="minorHAnsi"/>
          </w:rPr>
          <w:t>3</w:t>
        </w:r>
        <w:r w:rsidR="008E4E09" w:rsidRPr="00C2075F">
          <w:rPr>
            <w:rStyle w:val="Hyperlink"/>
            <w:rFonts w:asciiTheme="minorHAnsi" w:hAnsiTheme="minorHAnsi"/>
          </w:rPr>
          <w:t>.8</w:t>
        </w:r>
        <w:r w:rsidR="006B6029" w:rsidRPr="00C2075F">
          <w:rPr>
            <w:rStyle w:val="Hyperlink"/>
            <w:rFonts w:asciiTheme="minorHAnsi" w:hAnsiTheme="minorHAnsi"/>
          </w:rPr>
          <w:t xml:space="preserve"> </w:t>
        </w:r>
        <w:r w:rsidR="00BE43BD" w:rsidRPr="00C2075F">
          <w:rPr>
            <w:rStyle w:val="Hyperlink"/>
            <w:rFonts w:asciiTheme="minorHAnsi" w:hAnsiTheme="minorHAnsi"/>
          </w:rPr>
          <w:t>Audit report</w:t>
        </w:r>
      </w:hyperlink>
      <w:r w:rsidR="00C77E05" w:rsidRPr="00C2075F">
        <w:t xml:space="preserve"> for more information</w:t>
      </w:r>
      <w:r w:rsidR="006B6029" w:rsidRPr="00C2075F">
        <w:t>)</w:t>
      </w:r>
      <w:r w:rsidR="00CA5579" w:rsidRPr="00C2075F">
        <w:t>. The audit report is attached to the online application form.</w:t>
      </w:r>
    </w:p>
    <w:p w14:paraId="596A111F" w14:textId="7577BD34" w:rsidR="005D2542" w:rsidRPr="00631E59" w:rsidRDefault="00615920" w:rsidP="005D2542">
      <w:pPr>
        <w:pStyle w:val="CERbullets"/>
        <w:numPr>
          <w:ilvl w:val="0"/>
          <w:numId w:val="0"/>
        </w:numPr>
      </w:pPr>
      <w:hyperlink w:anchor="_Detailed_application_requirements" w:history="1">
        <w:r w:rsidRPr="00C2075F">
          <w:rPr>
            <w:rStyle w:val="Hyperlink"/>
            <w:rFonts w:asciiTheme="minorHAnsi" w:hAnsiTheme="minorHAnsi"/>
          </w:rPr>
          <w:t xml:space="preserve">Part </w:t>
        </w:r>
        <w:r w:rsidR="00256B62" w:rsidRPr="00C2075F">
          <w:rPr>
            <w:rStyle w:val="Hyperlink"/>
            <w:rFonts w:asciiTheme="minorHAnsi" w:hAnsiTheme="minorHAnsi"/>
          </w:rPr>
          <w:t>3 Detailed application requirements</w:t>
        </w:r>
      </w:hyperlink>
      <w:r w:rsidRPr="00C2075F">
        <w:t xml:space="preserve"> provid</w:t>
      </w:r>
      <w:r w:rsidR="00F63DD4" w:rsidRPr="00C2075F">
        <w:t>es</w:t>
      </w:r>
      <w:r w:rsidRPr="00C2075F">
        <w:t xml:space="preserve"> further details on each application requirement.</w:t>
      </w:r>
    </w:p>
    <w:tbl>
      <w:tblPr>
        <w:tblStyle w:val="CERCallout"/>
        <w:tblW w:w="10602" w:type="dxa"/>
        <w:jc w:val="center"/>
        <w:tblLook w:val="04A0" w:firstRow="1" w:lastRow="0" w:firstColumn="1" w:lastColumn="0" w:noHBand="0" w:noVBand="1"/>
      </w:tblPr>
      <w:tblGrid>
        <w:gridCol w:w="10602"/>
      </w:tblGrid>
      <w:tr w:rsidR="00C06169" w14:paraId="16FFDA3A" w14:textId="77777777" w:rsidTr="00C714C3">
        <w:trPr>
          <w:cnfStyle w:val="100000000000" w:firstRow="1" w:lastRow="0" w:firstColumn="0" w:lastColumn="0" w:oddVBand="0" w:evenVBand="0" w:oddHBand="0" w:evenHBand="0" w:firstRowFirstColumn="0" w:firstRowLastColumn="0" w:lastRowFirstColumn="0" w:lastRowLastColumn="0"/>
          <w:trHeight w:val="13325"/>
          <w:jc w:val="center"/>
        </w:trPr>
        <w:tc>
          <w:tcPr>
            <w:tcW w:w="10602" w:type="dxa"/>
          </w:tcPr>
          <w:p w14:paraId="5F1EC243" w14:textId="45E85224" w:rsidR="00EC7126" w:rsidRPr="003D3699" w:rsidRDefault="00EC7126" w:rsidP="00552D92">
            <w:pPr>
              <w:pStyle w:val="Caption"/>
              <w:keepNext/>
              <w:spacing w:before="0" w:beforeAutospacing="0" w:after="0"/>
              <w:ind w:left="0"/>
              <w:rPr>
                <w:rFonts w:asciiTheme="minorHAnsi" w:hAnsiTheme="minorHAnsi" w:cstheme="minorHAnsi"/>
                <w:i w:val="0"/>
                <w:iCs w:val="0"/>
                <w:sz w:val="24"/>
                <w:szCs w:val="24"/>
              </w:rPr>
            </w:pPr>
            <w:r w:rsidRPr="003D3699">
              <w:rPr>
                <w:rFonts w:asciiTheme="minorHAnsi" w:hAnsiTheme="minorHAnsi" w:cstheme="minorHAnsi"/>
                <w:i w:val="0"/>
                <w:iCs w:val="0"/>
                <w:sz w:val="24"/>
                <w:szCs w:val="24"/>
              </w:rPr>
              <w:t>Summary of application form information and data requirements</w:t>
            </w:r>
          </w:p>
          <w:p w14:paraId="7C681F45" w14:textId="68B768AC" w:rsidR="006A4F25" w:rsidRPr="00BA5486" w:rsidRDefault="004D55D1" w:rsidP="00376145">
            <w:pPr>
              <w:spacing w:before="240" w:beforeAutospacing="0" w:after="120"/>
              <w:ind w:left="0"/>
              <w:rPr>
                <w:b w:val="0"/>
                <w:sz w:val="22"/>
              </w:rPr>
            </w:pPr>
            <w:r w:rsidRPr="00BA5486">
              <w:rPr>
                <w:b w:val="0"/>
                <w:sz w:val="22"/>
              </w:rPr>
              <w:t>The applicant is</w:t>
            </w:r>
            <w:r w:rsidR="003A5650" w:rsidRPr="00BA5486">
              <w:rPr>
                <w:b w:val="0"/>
                <w:sz w:val="22"/>
              </w:rPr>
              <w:t xml:space="preserve"> </w:t>
            </w:r>
            <w:r w:rsidR="00B513E0" w:rsidRPr="00BA5486">
              <w:rPr>
                <w:b w:val="0"/>
                <w:sz w:val="22"/>
              </w:rPr>
              <w:t>r</w:t>
            </w:r>
            <w:r w:rsidR="006A4F25" w:rsidRPr="00BA5486">
              <w:rPr>
                <w:b w:val="0"/>
                <w:sz w:val="22"/>
              </w:rPr>
              <w:t>equired to provide the following preliminary information in the online application</w:t>
            </w:r>
            <w:r w:rsidR="005E4D27" w:rsidRPr="00BA5486">
              <w:rPr>
                <w:b w:val="0"/>
                <w:sz w:val="22"/>
              </w:rPr>
              <w:t xml:space="preserve"> </w:t>
            </w:r>
            <w:r w:rsidR="006A4F25" w:rsidRPr="00BA5486">
              <w:rPr>
                <w:b w:val="0"/>
                <w:sz w:val="22"/>
              </w:rPr>
              <w:t>form:</w:t>
            </w:r>
          </w:p>
          <w:p w14:paraId="4184A13D" w14:textId="6B661D18" w:rsidR="006A4F25" w:rsidRPr="00BA5486" w:rsidRDefault="00CB6600" w:rsidP="00D047F1">
            <w:pPr>
              <w:pStyle w:val="CERbullets"/>
              <w:numPr>
                <w:ilvl w:val="0"/>
                <w:numId w:val="3"/>
              </w:numPr>
              <w:spacing w:beforeAutospacing="0"/>
              <w:ind w:left="357" w:hanging="357"/>
              <w:rPr>
                <w:b w:val="0"/>
                <w:bCs/>
                <w:sz w:val="22"/>
              </w:rPr>
            </w:pPr>
            <w:r w:rsidRPr="00BA5486">
              <w:rPr>
                <w:b w:val="0"/>
                <w:bCs/>
                <w:sz w:val="22"/>
              </w:rPr>
              <w:t>R</w:t>
            </w:r>
            <w:r w:rsidR="006A4F25" w:rsidRPr="00BA5486">
              <w:rPr>
                <w:b w:val="0"/>
                <w:bCs/>
                <w:sz w:val="22"/>
              </w:rPr>
              <w:t>esponsible emitter for the facility</w:t>
            </w:r>
          </w:p>
          <w:p w14:paraId="7846FAB0" w14:textId="62D140D5" w:rsidR="009B4886" w:rsidRPr="00BA5486" w:rsidRDefault="009B4886" w:rsidP="155074D7">
            <w:pPr>
              <w:spacing w:before="0" w:beforeAutospacing="0" w:after="120"/>
              <w:ind w:left="357"/>
              <w:rPr>
                <w:b w:val="0"/>
                <w:sz w:val="22"/>
              </w:rPr>
            </w:pPr>
            <w:r w:rsidRPr="155074D7">
              <w:rPr>
                <w:rFonts w:eastAsiaTheme="minorEastAsia"/>
                <w:b w:val="0"/>
                <w:sz w:val="22"/>
              </w:rPr>
              <w:t>The application will be pre-filled with responsible emitter details</w:t>
            </w:r>
            <w:r w:rsidR="1144629F" w:rsidRPr="155074D7">
              <w:rPr>
                <w:rFonts w:eastAsiaTheme="minorEastAsia"/>
                <w:b w:val="0"/>
                <w:sz w:val="22"/>
              </w:rPr>
              <w:t>.</w:t>
            </w:r>
            <w:r w:rsidR="00F33100" w:rsidRPr="155074D7">
              <w:rPr>
                <w:rFonts w:eastAsiaTheme="minorEastAsia"/>
                <w:b w:val="0"/>
                <w:sz w:val="22"/>
              </w:rPr>
              <w:t xml:space="preserve"> </w:t>
            </w:r>
            <w:r w:rsidRPr="155074D7">
              <w:rPr>
                <w:rFonts w:eastAsiaTheme="minorEastAsia"/>
                <w:b w:val="0"/>
                <w:sz w:val="22"/>
              </w:rPr>
              <w:t>If an applicant needs to change to a different responsible emitter</w:t>
            </w:r>
            <w:r w:rsidR="00B46941" w:rsidRPr="155074D7">
              <w:rPr>
                <w:rFonts w:eastAsiaTheme="minorEastAsia"/>
                <w:b w:val="0"/>
                <w:sz w:val="22"/>
              </w:rPr>
              <w:t xml:space="preserve">, </w:t>
            </w:r>
            <w:r w:rsidRPr="155074D7">
              <w:rPr>
                <w:rFonts w:eastAsiaTheme="minorEastAsia"/>
                <w:b w:val="0"/>
                <w:sz w:val="22"/>
              </w:rPr>
              <w:t xml:space="preserve">see </w:t>
            </w:r>
            <w:hyperlink w:anchor="_Responsible_emitter">
              <w:r w:rsidRPr="155074D7">
                <w:rPr>
                  <w:rStyle w:val="Hyperlink"/>
                  <w:b w:val="0"/>
                </w:rPr>
                <w:t>Part</w:t>
              </w:r>
              <w:r w:rsidRPr="155074D7">
                <w:rPr>
                  <w:rStyle w:val="Hyperlink"/>
                  <w:rFonts w:asciiTheme="minorHAnsi" w:hAnsiTheme="minorHAnsi"/>
                  <w:b w:val="0"/>
                </w:rPr>
                <w:t xml:space="preserve"> 3.2 </w:t>
              </w:r>
            </w:hyperlink>
            <w:bookmarkStart w:id="79" w:name="_Hlt147385170"/>
            <w:r w:rsidR="00490F6A" w:rsidRPr="155074D7">
              <w:rPr>
                <w:rStyle w:val="Hyperlink"/>
                <w:rFonts w:asciiTheme="minorHAnsi" w:hAnsiTheme="minorHAnsi"/>
                <w:b w:val="0"/>
              </w:rPr>
              <w:t>R</w:t>
            </w:r>
            <w:r w:rsidRPr="155074D7">
              <w:rPr>
                <w:rStyle w:val="Hyperlink"/>
                <w:rFonts w:asciiTheme="minorHAnsi" w:hAnsiTheme="minorHAnsi"/>
                <w:b w:val="0"/>
              </w:rPr>
              <w:t>e</w:t>
            </w:r>
            <w:bookmarkEnd w:id="79"/>
            <w:r w:rsidRPr="155074D7">
              <w:rPr>
                <w:rStyle w:val="Hyperlink"/>
                <w:rFonts w:asciiTheme="minorHAnsi" w:hAnsiTheme="minorHAnsi"/>
                <w:b w:val="0"/>
              </w:rPr>
              <w:t>sponsible emitter</w:t>
            </w:r>
            <w:r w:rsidRPr="155074D7">
              <w:rPr>
                <w:rStyle w:val="Hyperlink"/>
                <w:rFonts w:asciiTheme="minorHAnsi" w:hAnsiTheme="minorHAnsi"/>
                <w:b w:val="0"/>
                <w:color w:val="auto"/>
                <w:u w:val="none"/>
              </w:rPr>
              <w:t xml:space="preserve"> f</w:t>
            </w:r>
            <w:r w:rsidRPr="155074D7">
              <w:rPr>
                <w:rFonts w:eastAsiaTheme="minorEastAsia"/>
                <w:b w:val="0"/>
                <w:sz w:val="22"/>
              </w:rPr>
              <w:t>or more information.</w:t>
            </w:r>
          </w:p>
          <w:p w14:paraId="2EE615E2" w14:textId="4776FFC1" w:rsidR="006A4F25" w:rsidRPr="00BA5486" w:rsidRDefault="00CB6600" w:rsidP="00D047F1">
            <w:pPr>
              <w:pStyle w:val="CERbullets"/>
              <w:numPr>
                <w:ilvl w:val="0"/>
                <w:numId w:val="3"/>
              </w:numPr>
              <w:spacing w:before="240" w:beforeAutospacing="0"/>
              <w:ind w:left="357" w:hanging="357"/>
              <w:rPr>
                <w:b w:val="0"/>
                <w:bCs/>
                <w:sz w:val="22"/>
              </w:rPr>
            </w:pPr>
            <w:r w:rsidRPr="00BA5486">
              <w:rPr>
                <w:b w:val="0"/>
                <w:bCs/>
                <w:sz w:val="22"/>
              </w:rPr>
              <w:t>F</w:t>
            </w:r>
            <w:r w:rsidR="006A4F25" w:rsidRPr="00BA5486">
              <w:rPr>
                <w:b w:val="0"/>
                <w:bCs/>
                <w:sz w:val="22"/>
              </w:rPr>
              <w:t>acility name</w:t>
            </w:r>
          </w:p>
          <w:p w14:paraId="35343992" w14:textId="77777777" w:rsidR="00735D01" w:rsidRPr="00BA5486" w:rsidRDefault="00735D01" w:rsidP="00DB5DFB">
            <w:pPr>
              <w:spacing w:before="0" w:beforeAutospacing="0" w:after="120"/>
              <w:ind w:left="357"/>
              <w:rPr>
                <w:sz w:val="22"/>
              </w:rPr>
            </w:pPr>
            <w:r w:rsidRPr="00BA5486">
              <w:rPr>
                <w:rFonts w:eastAsiaTheme="minorHAnsi"/>
                <w:b w:val="0"/>
                <w:bCs/>
                <w:sz w:val="22"/>
              </w:rPr>
              <w:t>If a facility isn’t listed, first check that the correct responsible emitter has been selected. Contact the CER if the relevant facility is not listed.</w:t>
            </w:r>
          </w:p>
          <w:p w14:paraId="43364159" w14:textId="7F16434E" w:rsidR="006A4F25" w:rsidRPr="00BA5486" w:rsidRDefault="00E33856" w:rsidP="3FB6375E">
            <w:pPr>
              <w:pStyle w:val="CERbullets"/>
              <w:numPr>
                <w:ilvl w:val="0"/>
                <w:numId w:val="3"/>
              </w:numPr>
              <w:spacing w:beforeAutospacing="0"/>
              <w:rPr>
                <w:b w:val="0"/>
                <w:sz w:val="22"/>
              </w:rPr>
            </w:pPr>
            <w:r w:rsidRPr="00BA5486">
              <w:rPr>
                <w:b w:val="0"/>
                <w:sz w:val="22"/>
              </w:rPr>
              <w:t>T</w:t>
            </w:r>
            <w:r w:rsidR="59C97F98" w:rsidRPr="00BA5486">
              <w:rPr>
                <w:b w:val="0"/>
                <w:sz w:val="22"/>
              </w:rPr>
              <w:t xml:space="preserve">he </w:t>
            </w:r>
            <w:r w:rsidR="1591C17F" w:rsidRPr="00BA5486">
              <w:rPr>
                <w:b w:val="0"/>
                <w:sz w:val="22"/>
              </w:rPr>
              <w:t>first</w:t>
            </w:r>
            <w:r w:rsidR="59C97F98" w:rsidRPr="00BA5486">
              <w:rPr>
                <w:b w:val="0"/>
                <w:sz w:val="22"/>
              </w:rPr>
              <w:t xml:space="preserve"> financial year </w:t>
            </w:r>
            <w:r w:rsidR="2193BEBE" w:rsidRPr="00BA5486">
              <w:rPr>
                <w:b w:val="0"/>
                <w:sz w:val="22"/>
              </w:rPr>
              <w:t>to</w:t>
            </w:r>
            <w:r w:rsidR="59C97F98" w:rsidRPr="00BA5486">
              <w:rPr>
                <w:b w:val="0"/>
                <w:sz w:val="22"/>
              </w:rPr>
              <w:t xml:space="preserve"> which the determination is to </w:t>
            </w:r>
            <w:r w:rsidR="31B04417" w:rsidRPr="00BA5486">
              <w:rPr>
                <w:b w:val="0"/>
                <w:sz w:val="22"/>
              </w:rPr>
              <w:t>apply</w:t>
            </w:r>
            <w:r w:rsidR="59C97F98" w:rsidRPr="00BA5486">
              <w:rPr>
                <w:b w:val="0"/>
                <w:sz w:val="22"/>
              </w:rPr>
              <w:t xml:space="preserve"> (</w:t>
            </w:r>
            <w:r w:rsidR="00F33100" w:rsidRPr="00BA5486">
              <w:rPr>
                <w:b w:val="0"/>
                <w:sz w:val="22"/>
              </w:rPr>
              <w:t xml:space="preserve">for example, </w:t>
            </w:r>
            <w:r w:rsidR="00554394" w:rsidRPr="00770FEF">
              <w:t>2024-25</w:t>
            </w:r>
            <w:r w:rsidR="59C97F98" w:rsidRPr="00770FEF">
              <w:rPr>
                <w:b w:val="0"/>
                <w:sz w:val="22"/>
              </w:rPr>
              <w:t>)</w:t>
            </w:r>
          </w:p>
          <w:p w14:paraId="1375C130" w14:textId="04C21429" w:rsidR="006A4F25" w:rsidRPr="00BA5486" w:rsidRDefault="006A4F25" w:rsidP="00E33856">
            <w:pPr>
              <w:pStyle w:val="CERbullets"/>
              <w:numPr>
                <w:ilvl w:val="0"/>
                <w:numId w:val="0"/>
              </w:numPr>
              <w:spacing w:before="240" w:beforeAutospacing="0"/>
              <w:rPr>
                <w:b w:val="0"/>
                <w:bCs/>
                <w:sz w:val="22"/>
              </w:rPr>
            </w:pPr>
            <w:r w:rsidRPr="00BA5486">
              <w:rPr>
                <w:b w:val="0"/>
                <w:bCs/>
                <w:sz w:val="22"/>
              </w:rPr>
              <w:t xml:space="preserve">Once </w:t>
            </w:r>
            <w:r w:rsidR="009D3998" w:rsidRPr="00BA5486">
              <w:rPr>
                <w:b w:val="0"/>
                <w:bCs/>
                <w:sz w:val="22"/>
              </w:rPr>
              <w:t xml:space="preserve">the applicant has </w:t>
            </w:r>
            <w:r w:rsidRPr="00BA5486">
              <w:rPr>
                <w:b w:val="0"/>
                <w:bCs/>
                <w:sz w:val="22"/>
              </w:rPr>
              <w:t xml:space="preserve">entered the above information, </w:t>
            </w:r>
            <w:r w:rsidR="009D3998" w:rsidRPr="00BA5486">
              <w:rPr>
                <w:b w:val="0"/>
                <w:bCs/>
                <w:sz w:val="22"/>
              </w:rPr>
              <w:t xml:space="preserve">they </w:t>
            </w:r>
            <w:r w:rsidRPr="00BA5486">
              <w:rPr>
                <w:b w:val="0"/>
                <w:bCs/>
                <w:sz w:val="22"/>
              </w:rPr>
              <w:t>will need to provide the following</w:t>
            </w:r>
            <w:r w:rsidR="008A6172" w:rsidRPr="00BA5486">
              <w:rPr>
                <w:b w:val="0"/>
                <w:bCs/>
                <w:sz w:val="22"/>
              </w:rPr>
              <w:t xml:space="preserve"> </w:t>
            </w:r>
            <w:r w:rsidR="009E2A70" w:rsidRPr="00BA5486">
              <w:rPr>
                <w:b w:val="0"/>
                <w:bCs/>
                <w:sz w:val="22"/>
              </w:rPr>
              <w:t xml:space="preserve">historical </w:t>
            </w:r>
            <w:r w:rsidRPr="00BA5486">
              <w:rPr>
                <w:b w:val="0"/>
                <w:bCs/>
                <w:sz w:val="22"/>
              </w:rPr>
              <w:t>production variable and emissions data</w:t>
            </w:r>
            <w:r w:rsidR="008A6172" w:rsidRPr="00BA5486">
              <w:rPr>
                <w:b w:val="0"/>
                <w:bCs/>
                <w:sz w:val="22"/>
              </w:rPr>
              <w:t xml:space="preserve"> </w:t>
            </w:r>
            <w:r w:rsidRPr="00BA5486">
              <w:rPr>
                <w:b w:val="0"/>
                <w:bCs/>
                <w:sz w:val="22"/>
              </w:rPr>
              <w:t>in the online application form</w:t>
            </w:r>
            <w:r w:rsidR="00B546E6" w:rsidRPr="00BA5486">
              <w:rPr>
                <w:b w:val="0"/>
                <w:bCs/>
                <w:sz w:val="22"/>
              </w:rPr>
              <w:t>:</w:t>
            </w:r>
          </w:p>
          <w:p w14:paraId="2780F75A" w14:textId="1E5E387D" w:rsidR="006A4F25" w:rsidRPr="00BA5486" w:rsidRDefault="00CB6600" w:rsidP="3FB6375E">
            <w:pPr>
              <w:pStyle w:val="CERbullets"/>
              <w:numPr>
                <w:ilvl w:val="0"/>
                <w:numId w:val="3"/>
              </w:numPr>
              <w:spacing w:beforeAutospacing="0"/>
              <w:rPr>
                <w:b w:val="0"/>
                <w:sz w:val="22"/>
              </w:rPr>
            </w:pPr>
            <w:r w:rsidRPr="00BA5486">
              <w:rPr>
                <w:b w:val="0"/>
                <w:sz w:val="22"/>
              </w:rPr>
              <w:t>P</w:t>
            </w:r>
            <w:r w:rsidR="59C97F98" w:rsidRPr="00BA5486">
              <w:rPr>
                <w:b w:val="0"/>
                <w:sz w:val="22"/>
              </w:rPr>
              <w:t>roduction variables</w:t>
            </w:r>
            <w:r w:rsidR="4B23055F" w:rsidRPr="00BA5486">
              <w:rPr>
                <w:b w:val="0"/>
                <w:sz w:val="22"/>
              </w:rPr>
              <w:t xml:space="preserve"> </w:t>
            </w:r>
            <w:r w:rsidR="59C97F98" w:rsidRPr="00BA5486">
              <w:rPr>
                <w:b w:val="0"/>
                <w:sz w:val="22"/>
              </w:rPr>
              <w:t>applicable to the facility</w:t>
            </w:r>
            <w:r w:rsidR="2DF830DE" w:rsidRPr="00BA5486">
              <w:rPr>
                <w:b w:val="0"/>
                <w:sz w:val="22"/>
              </w:rPr>
              <w:t xml:space="preserve"> </w:t>
            </w:r>
            <w:r w:rsidR="007C48FE" w:rsidRPr="00BA5486">
              <w:rPr>
                <w:b w:val="0"/>
                <w:sz w:val="22"/>
              </w:rPr>
              <w:t>(</w:t>
            </w:r>
            <w:r w:rsidR="2DF830DE" w:rsidRPr="00BA5486">
              <w:rPr>
                <w:b w:val="0"/>
                <w:sz w:val="22"/>
              </w:rPr>
              <w:t xml:space="preserve">see </w:t>
            </w:r>
            <w:hyperlink w:anchor="_Production_variables" w:history="1">
              <w:r w:rsidR="2DF830DE" w:rsidRPr="00BA5486">
                <w:rPr>
                  <w:rStyle w:val="Hyperlink"/>
                  <w:rFonts w:asciiTheme="minorHAnsi" w:hAnsiTheme="minorHAnsi"/>
                  <w:b w:val="0"/>
                </w:rPr>
                <w:t xml:space="preserve">Part </w:t>
              </w:r>
              <w:r w:rsidR="5752EADB" w:rsidRPr="00BA5486">
                <w:rPr>
                  <w:rStyle w:val="Hyperlink"/>
                  <w:rFonts w:asciiTheme="minorHAnsi" w:hAnsiTheme="minorHAnsi"/>
                  <w:b w:val="0"/>
                </w:rPr>
                <w:t>3.5</w:t>
              </w:r>
              <w:r w:rsidR="3AE309CB" w:rsidRPr="00BA5486">
                <w:rPr>
                  <w:rStyle w:val="Hyperlink"/>
                  <w:rFonts w:asciiTheme="minorHAnsi" w:hAnsiTheme="minorHAnsi"/>
                  <w:b w:val="0"/>
                </w:rPr>
                <w:t xml:space="preserve"> </w:t>
              </w:r>
              <w:r w:rsidR="00490F6A" w:rsidRPr="00BA5486">
                <w:rPr>
                  <w:rStyle w:val="Hyperlink"/>
                  <w:rFonts w:asciiTheme="minorHAnsi" w:hAnsiTheme="minorHAnsi"/>
                  <w:b w:val="0"/>
                </w:rPr>
                <w:t>P</w:t>
              </w:r>
              <w:r w:rsidR="3AE309CB" w:rsidRPr="00BA5486">
                <w:rPr>
                  <w:rStyle w:val="Hyperlink"/>
                  <w:rFonts w:asciiTheme="minorHAnsi" w:hAnsiTheme="minorHAnsi"/>
                  <w:b w:val="0"/>
                </w:rPr>
                <w:t>rod</w:t>
              </w:r>
              <w:bookmarkStart w:id="80" w:name="_Hlt147385174"/>
              <w:r w:rsidR="3AE309CB" w:rsidRPr="00BA5486">
                <w:rPr>
                  <w:rStyle w:val="Hyperlink"/>
                  <w:rFonts w:asciiTheme="minorHAnsi" w:hAnsiTheme="minorHAnsi"/>
                  <w:b w:val="0"/>
                </w:rPr>
                <w:t>u</w:t>
              </w:r>
              <w:bookmarkEnd w:id="80"/>
              <w:r w:rsidR="3AE309CB" w:rsidRPr="00BA5486">
                <w:rPr>
                  <w:rStyle w:val="Hyperlink"/>
                  <w:rFonts w:asciiTheme="minorHAnsi" w:hAnsiTheme="minorHAnsi"/>
                  <w:b w:val="0"/>
                </w:rPr>
                <w:t>ction variables</w:t>
              </w:r>
            </w:hyperlink>
            <w:r w:rsidR="21CC2B82" w:rsidRPr="00BA5486">
              <w:rPr>
                <w:b w:val="0"/>
                <w:sz w:val="22"/>
              </w:rPr>
              <w:t xml:space="preserve"> for </w:t>
            </w:r>
            <w:r w:rsidR="272F2469" w:rsidRPr="00BA5486">
              <w:rPr>
                <w:b w:val="0"/>
                <w:sz w:val="22"/>
              </w:rPr>
              <w:t xml:space="preserve">more </w:t>
            </w:r>
            <w:r w:rsidR="21CC2B82" w:rsidRPr="00BA5486">
              <w:rPr>
                <w:b w:val="0"/>
                <w:sz w:val="22"/>
              </w:rPr>
              <w:t>information</w:t>
            </w:r>
            <w:r w:rsidR="2BA8162F" w:rsidRPr="00BA5486">
              <w:rPr>
                <w:b w:val="0"/>
                <w:sz w:val="22"/>
              </w:rPr>
              <w:t>)</w:t>
            </w:r>
            <w:r w:rsidR="51660244" w:rsidRPr="00BA5486">
              <w:rPr>
                <w:b w:val="0"/>
                <w:sz w:val="22"/>
              </w:rPr>
              <w:t>, including:</w:t>
            </w:r>
          </w:p>
          <w:p w14:paraId="199DF1EB" w14:textId="4F88491C" w:rsidR="006A4F25" w:rsidRPr="00BA5486" w:rsidRDefault="006A4F25" w:rsidP="009E5F8C">
            <w:pPr>
              <w:pStyle w:val="CERbullets"/>
              <w:numPr>
                <w:ilvl w:val="1"/>
                <w:numId w:val="1"/>
              </w:numPr>
              <w:spacing w:beforeAutospacing="0"/>
              <w:rPr>
                <w:b w:val="0"/>
                <w:bCs/>
                <w:sz w:val="22"/>
              </w:rPr>
            </w:pPr>
            <w:r w:rsidRPr="00BA5486">
              <w:rPr>
                <w:b w:val="0"/>
                <w:bCs/>
                <w:sz w:val="22"/>
              </w:rPr>
              <w:t>historical production variables (if any)</w:t>
            </w:r>
          </w:p>
          <w:p w14:paraId="1E3F6DF8" w14:textId="0A6D899F" w:rsidR="00380FEC" w:rsidRPr="00BA5486" w:rsidRDefault="00380FEC" w:rsidP="00380FEC">
            <w:pPr>
              <w:pStyle w:val="CERbullets"/>
              <w:numPr>
                <w:ilvl w:val="1"/>
                <w:numId w:val="1"/>
              </w:numPr>
              <w:spacing w:beforeAutospacing="0"/>
              <w:rPr>
                <w:b w:val="0"/>
                <w:bCs/>
                <w:sz w:val="22"/>
              </w:rPr>
            </w:pPr>
            <w:r w:rsidRPr="00BA5486">
              <w:rPr>
                <w:b w:val="0"/>
                <w:bCs/>
                <w:sz w:val="22"/>
              </w:rPr>
              <w:t>related production variables (if any)</w:t>
            </w:r>
          </w:p>
          <w:p w14:paraId="2006E895" w14:textId="389F27BB" w:rsidR="006A4F25" w:rsidRPr="00BA5486" w:rsidRDefault="006A4F25" w:rsidP="009E5F8C">
            <w:pPr>
              <w:pStyle w:val="CERbullets"/>
              <w:numPr>
                <w:ilvl w:val="1"/>
                <w:numId w:val="1"/>
              </w:numPr>
              <w:spacing w:beforeAutospacing="0"/>
              <w:rPr>
                <w:b w:val="0"/>
                <w:sz w:val="22"/>
              </w:rPr>
            </w:pPr>
            <w:r w:rsidRPr="00BA5486">
              <w:rPr>
                <w:b w:val="0"/>
                <w:bCs/>
                <w:sz w:val="22"/>
              </w:rPr>
              <w:t>transitional production variables (if any)</w:t>
            </w:r>
          </w:p>
          <w:p w14:paraId="03EBB8D5" w14:textId="09468660" w:rsidR="006A4F25" w:rsidRPr="00BA5486" w:rsidRDefault="00CB6600" w:rsidP="00D047F1">
            <w:pPr>
              <w:pStyle w:val="CERbullets"/>
              <w:numPr>
                <w:ilvl w:val="0"/>
                <w:numId w:val="3"/>
              </w:numPr>
              <w:spacing w:before="240" w:beforeAutospacing="0"/>
              <w:ind w:left="357" w:hanging="357"/>
              <w:rPr>
                <w:b w:val="0"/>
                <w:bCs/>
                <w:sz w:val="22"/>
              </w:rPr>
            </w:pPr>
            <w:r w:rsidRPr="00BA5486">
              <w:rPr>
                <w:b w:val="0"/>
                <w:bCs/>
                <w:sz w:val="22"/>
              </w:rPr>
              <w:t>F</w:t>
            </w:r>
            <w:r w:rsidR="006A4F25" w:rsidRPr="00BA5486">
              <w:rPr>
                <w:b w:val="0"/>
                <w:bCs/>
                <w:sz w:val="22"/>
              </w:rPr>
              <w:t xml:space="preserve">acility </w:t>
            </w:r>
            <w:r w:rsidR="009E2A70" w:rsidRPr="00BA5486">
              <w:rPr>
                <w:b w:val="0"/>
                <w:bCs/>
                <w:sz w:val="22"/>
              </w:rPr>
              <w:t>historical</w:t>
            </w:r>
            <w:r w:rsidR="006A4F25" w:rsidRPr="00BA5486">
              <w:rPr>
                <w:b w:val="0"/>
                <w:bCs/>
                <w:sz w:val="22"/>
              </w:rPr>
              <w:t xml:space="preserve"> total covered emissions data</w:t>
            </w:r>
            <w:r w:rsidR="00F13434" w:rsidRPr="00BA5486">
              <w:rPr>
                <w:b w:val="0"/>
                <w:bCs/>
                <w:sz w:val="22"/>
              </w:rPr>
              <w:t xml:space="preserve">, </w:t>
            </w:r>
            <w:r w:rsidR="00D96745" w:rsidRPr="00BA5486">
              <w:rPr>
                <w:b w:val="0"/>
                <w:bCs/>
                <w:sz w:val="22"/>
              </w:rPr>
              <w:t xml:space="preserve">see </w:t>
            </w:r>
            <w:hyperlink w:anchor="_Facility_historical_emissions" w:history="1">
              <w:r w:rsidR="00D96745" w:rsidRPr="00BA5486">
                <w:rPr>
                  <w:rStyle w:val="Hyperlink"/>
                  <w:rFonts w:asciiTheme="minorHAnsi" w:hAnsiTheme="minorHAnsi"/>
                  <w:b w:val="0"/>
                  <w:bCs/>
                </w:rPr>
                <w:t>P</w:t>
              </w:r>
              <w:r w:rsidR="00BF0803" w:rsidRPr="00BA5486">
                <w:rPr>
                  <w:rStyle w:val="Hyperlink"/>
                  <w:rFonts w:asciiTheme="minorHAnsi" w:hAnsiTheme="minorHAnsi"/>
                  <w:b w:val="0"/>
                  <w:bCs/>
                </w:rPr>
                <w:t xml:space="preserve">art </w:t>
              </w:r>
              <w:r w:rsidR="008E4E09" w:rsidRPr="00BA5486">
                <w:rPr>
                  <w:rStyle w:val="Hyperlink"/>
                  <w:rFonts w:asciiTheme="minorHAnsi" w:hAnsiTheme="minorHAnsi"/>
                  <w:b w:val="0"/>
                  <w:bCs/>
                </w:rPr>
                <w:t>3.6</w:t>
              </w:r>
              <w:r w:rsidR="00771B50" w:rsidRPr="00BA5486">
                <w:rPr>
                  <w:rStyle w:val="Hyperlink"/>
                  <w:rFonts w:asciiTheme="minorHAnsi" w:hAnsiTheme="minorHAnsi"/>
                  <w:b w:val="0"/>
                  <w:bCs/>
                </w:rPr>
                <w:t xml:space="preserve"> </w:t>
              </w:r>
              <w:r w:rsidR="00490F6A" w:rsidRPr="00BA5486">
                <w:rPr>
                  <w:rStyle w:val="Hyperlink"/>
                  <w:rFonts w:asciiTheme="minorHAnsi" w:hAnsiTheme="minorHAnsi"/>
                  <w:b w:val="0"/>
                  <w:bCs/>
                </w:rPr>
                <w:t>F</w:t>
              </w:r>
              <w:r w:rsidR="00E119DF" w:rsidRPr="00BA5486">
                <w:rPr>
                  <w:rStyle w:val="Hyperlink"/>
                  <w:rFonts w:asciiTheme="minorHAnsi" w:hAnsiTheme="minorHAnsi"/>
                  <w:b w:val="0"/>
                  <w:bCs/>
                </w:rPr>
                <w:t xml:space="preserve">acility </w:t>
              </w:r>
              <w:r w:rsidR="00FC2D27" w:rsidRPr="00BA5486">
                <w:rPr>
                  <w:rStyle w:val="Hyperlink"/>
                  <w:rFonts w:asciiTheme="minorHAnsi" w:hAnsiTheme="minorHAnsi"/>
                  <w:b w:val="0"/>
                  <w:bCs/>
                </w:rPr>
                <w:t xml:space="preserve">historical </w:t>
              </w:r>
              <w:r w:rsidR="00DA4937" w:rsidRPr="00BA5486">
                <w:rPr>
                  <w:rStyle w:val="Hyperlink"/>
                  <w:rFonts w:asciiTheme="minorHAnsi" w:hAnsiTheme="minorHAnsi"/>
                  <w:b w:val="0"/>
                  <w:bCs/>
                </w:rPr>
                <w:t>emissions and</w:t>
              </w:r>
              <w:r w:rsidR="00FC2D27" w:rsidRPr="00BA5486">
                <w:rPr>
                  <w:rStyle w:val="Hyperlink"/>
                  <w:rFonts w:asciiTheme="minorHAnsi" w:hAnsiTheme="minorHAnsi"/>
                  <w:b w:val="0"/>
                  <w:bCs/>
                </w:rPr>
                <w:t xml:space="preserve"> </w:t>
              </w:r>
              <w:r w:rsidR="003632E1" w:rsidRPr="00BA5486">
                <w:rPr>
                  <w:rStyle w:val="Hyperlink"/>
                  <w:rFonts w:asciiTheme="minorHAnsi" w:hAnsiTheme="minorHAnsi"/>
                  <w:b w:val="0"/>
                  <w:bCs/>
                </w:rPr>
                <w:t>production data</w:t>
              </w:r>
            </w:hyperlink>
            <w:r w:rsidR="00DF7A4B" w:rsidRPr="00BA5486">
              <w:rPr>
                <w:b w:val="0"/>
                <w:bCs/>
                <w:sz w:val="22"/>
              </w:rPr>
              <w:t xml:space="preserve"> for </w:t>
            </w:r>
            <w:r w:rsidR="008521F1" w:rsidRPr="00BA5486">
              <w:rPr>
                <w:b w:val="0"/>
                <w:sz w:val="22"/>
              </w:rPr>
              <w:t xml:space="preserve">more </w:t>
            </w:r>
            <w:r w:rsidR="00DF7A4B" w:rsidRPr="00BA5486">
              <w:rPr>
                <w:b w:val="0"/>
                <w:sz w:val="22"/>
              </w:rPr>
              <w:t>information</w:t>
            </w:r>
            <w:r w:rsidR="0081411F">
              <w:rPr>
                <w:b w:val="0"/>
                <w:sz w:val="22"/>
              </w:rPr>
              <w:t>.</w:t>
            </w:r>
          </w:p>
          <w:p w14:paraId="051E8253" w14:textId="3D6E27FB" w:rsidR="006A4F25" w:rsidRPr="00BA5486" w:rsidRDefault="006A4F25" w:rsidP="00EA169F">
            <w:pPr>
              <w:spacing w:before="0" w:beforeAutospacing="0" w:after="120"/>
              <w:ind w:left="357"/>
              <w:rPr>
                <w:b w:val="0"/>
                <w:i/>
                <w:iCs/>
                <w:sz w:val="22"/>
              </w:rPr>
            </w:pPr>
            <w:r w:rsidRPr="00BA5486">
              <w:rPr>
                <w:b w:val="0"/>
                <w:i/>
                <w:iCs/>
                <w:sz w:val="22"/>
              </w:rPr>
              <w:t xml:space="preserve">Note – </w:t>
            </w:r>
            <w:r w:rsidRPr="00BA5486">
              <w:rPr>
                <w:b w:val="0"/>
                <w:sz w:val="22"/>
              </w:rPr>
              <w:t>this</w:t>
            </w:r>
            <w:r w:rsidRPr="00BA5486">
              <w:rPr>
                <w:b w:val="0"/>
                <w:bCs/>
                <w:sz w:val="22"/>
              </w:rPr>
              <w:t xml:space="preserve"> </w:t>
            </w:r>
            <w:r w:rsidR="00194AB8" w:rsidRPr="00BA5486">
              <w:rPr>
                <w:b w:val="0"/>
                <w:bCs/>
                <w:sz w:val="22"/>
              </w:rPr>
              <w:t>will</w:t>
            </w:r>
            <w:r w:rsidRPr="00BA5486">
              <w:rPr>
                <w:b w:val="0"/>
                <w:sz w:val="22"/>
              </w:rPr>
              <w:t xml:space="preserve"> be automatically calculated for </w:t>
            </w:r>
            <w:r w:rsidR="00E76A8A" w:rsidRPr="00BA5486">
              <w:rPr>
                <w:b w:val="0"/>
                <w:bCs/>
                <w:sz w:val="22"/>
              </w:rPr>
              <w:t xml:space="preserve">confirmation </w:t>
            </w:r>
            <w:r w:rsidRPr="00BA5486">
              <w:rPr>
                <w:b w:val="0"/>
                <w:bCs/>
                <w:sz w:val="22"/>
              </w:rPr>
              <w:t xml:space="preserve">for </w:t>
            </w:r>
            <w:r w:rsidRPr="00BA5486">
              <w:rPr>
                <w:b w:val="0"/>
                <w:sz w:val="22"/>
              </w:rPr>
              <w:t>each historical financial year based on entered covered emissions associated with each production variable (see below)</w:t>
            </w:r>
            <w:r w:rsidR="0081411F">
              <w:rPr>
                <w:b w:val="0"/>
                <w:sz w:val="22"/>
              </w:rPr>
              <w:t>.</w:t>
            </w:r>
          </w:p>
          <w:p w14:paraId="7E7A4D71" w14:textId="28BF3507" w:rsidR="006A4F25" w:rsidRPr="00BA5486" w:rsidRDefault="00CB6600" w:rsidP="00D047F1">
            <w:pPr>
              <w:pStyle w:val="CERbullets"/>
              <w:numPr>
                <w:ilvl w:val="0"/>
                <w:numId w:val="3"/>
              </w:numPr>
              <w:spacing w:before="240" w:beforeAutospacing="0"/>
              <w:ind w:left="357" w:hanging="357"/>
              <w:rPr>
                <w:b w:val="0"/>
                <w:bCs/>
                <w:sz w:val="22"/>
              </w:rPr>
            </w:pPr>
            <w:r w:rsidRPr="00BA5486">
              <w:rPr>
                <w:b w:val="0"/>
                <w:bCs/>
                <w:sz w:val="22"/>
              </w:rPr>
              <w:t>H</w:t>
            </w:r>
            <w:r w:rsidR="006A4F25" w:rsidRPr="00BA5486">
              <w:rPr>
                <w:b w:val="0"/>
                <w:bCs/>
                <w:sz w:val="22"/>
              </w:rPr>
              <w:t>istorical</w:t>
            </w:r>
            <w:r w:rsidR="004271C6" w:rsidRPr="00BA5486">
              <w:rPr>
                <w:b w:val="0"/>
                <w:bCs/>
                <w:sz w:val="22"/>
              </w:rPr>
              <w:t xml:space="preserve"> production variable </w:t>
            </w:r>
            <w:r w:rsidR="006A4F25" w:rsidRPr="00BA5486">
              <w:rPr>
                <w:b w:val="0"/>
                <w:bCs/>
                <w:sz w:val="22"/>
              </w:rPr>
              <w:t>information</w:t>
            </w:r>
            <w:r w:rsidR="00433CB4" w:rsidRPr="00BA5486">
              <w:rPr>
                <w:b w:val="0"/>
                <w:bCs/>
                <w:sz w:val="22"/>
              </w:rPr>
              <w:t xml:space="preserve"> (‘designated historical information’)</w:t>
            </w:r>
          </w:p>
          <w:p w14:paraId="34F9D718" w14:textId="5CD83A3A" w:rsidR="006A4F25" w:rsidRPr="00BA5486" w:rsidRDefault="006A4F25" w:rsidP="009E5F8C">
            <w:pPr>
              <w:pStyle w:val="CERbullets"/>
              <w:numPr>
                <w:ilvl w:val="1"/>
                <w:numId w:val="1"/>
              </w:numPr>
              <w:spacing w:beforeAutospacing="0"/>
              <w:rPr>
                <w:b w:val="0"/>
                <w:bCs/>
                <w:sz w:val="22"/>
              </w:rPr>
            </w:pPr>
            <w:r w:rsidRPr="00BA5486">
              <w:rPr>
                <w:b w:val="0"/>
                <w:bCs/>
                <w:sz w:val="22"/>
              </w:rPr>
              <w:t>production quantities for each historical production variable produced in each historical financial year</w:t>
            </w:r>
            <w:r w:rsidR="002F484C" w:rsidRPr="00BA5486">
              <w:rPr>
                <w:b w:val="0"/>
                <w:bCs/>
                <w:sz w:val="22"/>
              </w:rPr>
              <w:t xml:space="preserve"> (</w:t>
            </w:r>
            <w:r w:rsidR="00F33100" w:rsidRPr="00BA5486">
              <w:rPr>
                <w:b w:val="0"/>
                <w:bCs/>
                <w:sz w:val="22"/>
              </w:rPr>
              <w:t>that is,</w:t>
            </w:r>
            <w:r w:rsidR="002F484C" w:rsidRPr="00BA5486">
              <w:rPr>
                <w:b w:val="0"/>
                <w:bCs/>
                <w:sz w:val="22"/>
              </w:rPr>
              <w:t xml:space="preserve"> 2017-18 to 2021-22)</w:t>
            </w:r>
            <w:r w:rsidR="00A60CEE" w:rsidRPr="00BA5486">
              <w:rPr>
                <w:b w:val="0"/>
                <w:bCs/>
                <w:sz w:val="22"/>
              </w:rPr>
              <w:t xml:space="preserve">, see </w:t>
            </w:r>
            <w:hyperlink w:anchor="_Production_quantities" w:history="1">
              <w:r w:rsidR="00A60CEE" w:rsidRPr="00BA5486" w:rsidDel="008521F1">
                <w:rPr>
                  <w:rStyle w:val="Hyperlink"/>
                  <w:b w:val="0"/>
                </w:rPr>
                <w:t>Part</w:t>
              </w:r>
              <w:r w:rsidR="00A12BE8" w:rsidRPr="00BA5486">
                <w:rPr>
                  <w:rStyle w:val="Hyperlink"/>
                  <w:rFonts w:asciiTheme="minorHAnsi" w:hAnsiTheme="minorHAnsi"/>
                  <w:b w:val="0"/>
                </w:rPr>
                <w:t xml:space="preserve"> </w:t>
              </w:r>
              <w:r w:rsidR="00A74E0E" w:rsidRPr="00BA5486">
                <w:rPr>
                  <w:rStyle w:val="Hyperlink"/>
                  <w:rFonts w:asciiTheme="minorHAnsi" w:hAnsiTheme="minorHAnsi"/>
                  <w:b w:val="0"/>
                </w:rPr>
                <w:t>3.7.2</w:t>
              </w:r>
              <w:r w:rsidR="003E2657" w:rsidRPr="00BA5486">
                <w:rPr>
                  <w:rStyle w:val="Hyperlink"/>
                  <w:rFonts w:asciiTheme="minorHAnsi" w:hAnsiTheme="minorHAnsi"/>
                  <w:b w:val="0"/>
                  <w:bCs/>
                </w:rPr>
                <w:t xml:space="preserve"> </w:t>
              </w:r>
              <w:r w:rsidR="00490F6A" w:rsidRPr="00BA5486">
                <w:rPr>
                  <w:rStyle w:val="Hyperlink"/>
                  <w:rFonts w:asciiTheme="minorHAnsi" w:hAnsiTheme="minorHAnsi"/>
                  <w:b w:val="0"/>
                  <w:bCs/>
                </w:rPr>
                <w:t>P</w:t>
              </w:r>
              <w:r w:rsidR="003E2657" w:rsidRPr="00BA5486">
                <w:rPr>
                  <w:rStyle w:val="Hyperlink"/>
                  <w:rFonts w:asciiTheme="minorHAnsi" w:hAnsiTheme="minorHAnsi"/>
                  <w:b w:val="0"/>
                  <w:bCs/>
                </w:rPr>
                <w:t>roduction quantities</w:t>
              </w:r>
            </w:hyperlink>
            <w:r w:rsidR="003E2657" w:rsidRPr="00BA5486">
              <w:rPr>
                <w:b w:val="0"/>
                <w:bCs/>
                <w:sz w:val="22"/>
              </w:rPr>
              <w:t xml:space="preserve"> for </w:t>
            </w:r>
            <w:r w:rsidR="008521F1" w:rsidRPr="00BA5486">
              <w:rPr>
                <w:b w:val="0"/>
                <w:bCs/>
                <w:sz w:val="22"/>
              </w:rPr>
              <w:t xml:space="preserve">more </w:t>
            </w:r>
            <w:r w:rsidR="003E2657" w:rsidRPr="00BA5486">
              <w:rPr>
                <w:b w:val="0"/>
                <w:bCs/>
                <w:sz w:val="22"/>
              </w:rPr>
              <w:t>information</w:t>
            </w:r>
            <w:r w:rsidR="0081411F">
              <w:rPr>
                <w:b w:val="0"/>
                <w:bCs/>
                <w:sz w:val="22"/>
              </w:rPr>
              <w:t>.</w:t>
            </w:r>
          </w:p>
          <w:p w14:paraId="6FBD950C" w14:textId="0C03ACF6" w:rsidR="006A4F25" w:rsidRPr="00BA5486" w:rsidRDefault="037DEAFD" w:rsidP="3FB6375E">
            <w:pPr>
              <w:pStyle w:val="CERbullets"/>
              <w:numPr>
                <w:ilvl w:val="1"/>
                <w:numId w:val="1"/>
              </w:numPr>
              <w:spacing w:beforeAutospacing="0"/>
              <w:rPr>
                <w:b w:val="0"/>
                <w:bCs/>
                <w:sz w:val="22"/>
              </w:rPr>
            </w:pPr>
            <w:r w:rsidRPr="00BA5486">
              <w:rPr>
                <w:b w:val="0"/>
                <w:sz w:val="22"/>
              </w:rPr>
              <w:t xml:space="preserve">the amount of </w:t>
            </w:r>
            <w:r w:rsidR="59C97F98" w:rsidRPr="00BA5486">
              <w:rPr>
                <w:b w:val="0"/>
                <w:sz w:val="22"/>
              </w:rPr>
              <w:t>covered emissions</w:t>
            </w:r>
            <w:r w:rsidR="34A9F2DD" w:rsidRPr="00BA5486">
              <w:rPr>
                <w:b w:val="0"/>
                <w:sz w:val="22"/>
              </w:rPr>
              <w:t xml:space="preserve"> relevantly</w:t>
            </w:r>
            <w:r w:rsidR="59C97F98" w:rsidRPr="00BA5486">
              <w:rPr>
                <w:b w:val="0"/>
                <w:sz w:val="22"/>
              </w:rPr>
              <w:t xml:space="preserve"> associated with each historical production variable in tCO</w:t>
            </w:r>
            <w:r w:rsidR="59C97F98" w:rsidRPr="00BA5486">
              <w:rPr>
                <w:b w:val="0"/>
                <w:sz w:val="22"/>
                <w:vertAlign w:val="subscript"/>
              </w:rPr>
              <w:t>2</w:t>
            </w:r>
            <w:r w:rsidR="59C97F98" w:rsidRPr="00BA5486">
              <w:rPr>
                <w:b w:val="0"/>
                <w:sz w:val="22"/>
              </w:rPr>
              <w:t>-e in each historical financial year</w:t>
            </w:r>
            <w:r w:rsidR="34CFC848" w:rsidRPr="00BA5486">
              <w:rPr>
                <w:b w:val="0"/>
                <w:sz w:val="22"/>
              </w:rPr>
              <w:t xml:space="preserve">, see </w:t>
            </w:r>
            <w:hyperlink w:anchor="_Covered_emissions_relevantly" w:history="1">
              <w:r w:rsidR="34CFC848" w:rsidRPr="00BA5486">
                <w:rPr>
                  <w:rStyle w:val="Hyperlink"/>
                  <w:rFonts w:asciiTheme="minorHAnsi" w:hAnsiTheme="minorHAnsi"/>
                  <w:b w:val="0"/>
                  <w:bCs/>
                </w:rPr>
                <w:t xml:space="preserve">Part </w:t>
              </w:r>
              <w:r w:rsidR="00A74E0E" w:rsidRPr="00BA5486">
                <w:rPr>
                  <w:rStyle w:val="Hyperlink"/>
                  <w:rFonts w:asciiTheme="minorHAnsi" w:hAnsiTheme="minorHAnsi"/>
                  <w:b w:val="0"/>
                  <w:bCs/>
                </w:rPr>
                <w:t>3.7.3</w:t>
              </w:r>
              <w:r w:rsidR="34CFC848" w:rsidRPr="00BA5486">
                <w:rPr>
                  <w:rStyle w:val="Hyperlink"/>
                  <w:rFonts w:asciiTheme="minorHAnsi" w:hAnsiTheme="minorHAnsi"/>
                  <w:b w:val="0"/>
                  <w:bCs/>
                </w:rPr>
                <w:t xml:space="preserve"> </w:t>
              </w:r>
              <w:bookmarkStart w:id="81" w:name="_Hlt147385224"/>
              <w:r w:rsidR="00490F6A" w:rsidRPr="00BA5486">
                <w:rPr>
                  <w:rStyle w:val="Hyperlink"/>
                  <w:rFonts w:asciiTheme="minorHAnsi" w:hAnsiTheme="minorHAnsi"/>
                  <w:b w:val="0"/>
                  <w:bCs/>
                </w:rPr>
                <w:t>C</w:t>
              </w:r>
              <w:r w:rsidR="2656A005" w:rsidRPr="00BA5486">
                <w:rPr>
                  <w:rStyle w:val="Hyperlink"/>
                  <w:rFonts w:asciiTheme="minorHAnsi" w:hAnsiTheme="minorHAnsi"/>
                  <w:b w:val="0"/>
                  <w:bCs/>
                </w:rPr>
                <w:t>o</w:t>
              </w:r>
              <w:bookmarkEnd w:id="81"/>
              <w:r w:rsidR="2656A005" w:rsidRPr="00BA5486">
                <w:rPr>
                  <w:rStyle w:val="Hyperlink"/>
                  <w:rFonts w:asciiTheme="minorHAnsi" w:hAnsiTheme="minorHAnsi"/>
                  <w:b w:val="0"/>
                  <w:bCs/>
                </w:rPr>
                <w:t>vered emissions</w:t>
              </w:r>
              <w:r w:rsidR="00B61742" w:rsidRPr="00BA5486">
                <w:rPr>
                  <w:rStyle w:val="Hyperlink"/>
                  <w:rFonts w:asciiTheme="minorHAnsi" w:hAnsiTheme="minorHAnsi"/>
                  <w:b w:val="0"/>
                  <w:bCs/>
                </w:rPr>
                <w:t xml:space="preserve"> re</w:t>
              </w:r>
              <w:r w:rsidR="00D7688C" w:rsidRPr="00BA5486">
                <w:rPr>
                  <w:rStyle w:val="Hyperlink"/>
                  <w:rFonts w:asciiTheme="minorHAnsi" w:hAnsiTheme="minorHAnsi"/>
                  <w:b w:val="0"/>
                  <w:bCs/>
                </w:rPr>
                <w:t>levantly</w:t>
              </w:r>
              <w:r w:rsidR="2656A005" w:rsidRPr="00BA5486">
                <w:rPr>
                  <w:rStyle w:val="Hyperlink"/>
                  <w:rFonts w:asciiTheme="minorHAnsi" w:hAnsiTheme="minorHAnsi"/>
                  <w:b w:val="0"/>
                  <w:bCs/>
                </w:rPr>
                <w:t xml:space="preserve"> associated with each historical production variable</w:t>
              </w:r>
            </w:hyperlink>
            <w:r w:rsidR="34CFC848" w:rsidRPr="00BA5486">
              <w:rPr>
                <w:b w:val="0"/>
                <w:bCs/>
                <w:sz w:val="22"/>
              </w:rPr>
              <w:t xml:space="preserve"> for </w:t>
            </w:r>
            <w:r w:rsidR="175344A9" w:rsidRPr="00BA5486">
              <w:rPr>
                <w:b w:val="0"/>
                <w:bCs/>
                <w:sz w:val="22"/>
              </w:rPr>
              <w:t xml:space="preserve">more </w:t>
            </w:r>
            <w:r w:rsidR="34CFC848" w:rsidRPr="00BA5486">
              <w:rPr>
                <w:b w:val="0"/>
                <w:bCs/>
                <w:sz w:val="22"/>
              </w:rPr>
              <w:t>information</w:t>
            </w:r>
            <w:r w:rsidR="0081411F">
              <w:rPr>
                <w:b w:val="0"/>
                <w:bCs/>
                <w:sz w:val="22"/>
              </w:rPr>
              <w:t>.</w:t>
            </w:r>
          </w:p>
          <w:p w14:paraId="570BEBB0" w14:textId="055FB11A" w:rsidR="006A4F25" w:rsidRPr="00BA5486" w:rsidRDefault="00CB6600" w:rsidP="00F45264">
            <w:pPr>
              <w:pStyle w:val="CERbullets"/>
              <w:numPr>
                <w:ilvl w:val="0"/>
                <w:numId w:val="3"/>
              </w:numPr>
              <w:spacing w:before="240" w:beforeAutospacing="0"/>
              <w:ind w:left="357" w:hanging="357"/>
              <w:rPr>
                <w:b w:val="0"/>
                <w:sz w:val="22"/>
              </w:rPr>
            </w:pPr>
            <w:r w:rsidRPr="00BA5486">
              <w:rPr>
                <w:b w:val="0"/>
                <w:sz w:val="22"/>
              </w:rPr>
              <w:t>W</w:t>
            </w:r>
            <w:r w:rsidR="5B058ECA" w:rsidRPr="00BA5486">
              <w:rPr>
                <w:b w:val="0"/>
                <w:sz w:val="22"/>
              </w:rPr>
              <w:t xml:space="preserve">here applicable, </w:t>
            </w:r>
            <w:r w:rsidR="59C97F98" w:rsidRPr="00BA5486">
              <w:rPr>
                <w:b w:val="0"/>
                <w:sz w:val="22"/>
              </w:rPr>
              <w:t xml:space="preserve">an explanation for why any </w:t>
            </w:r>
            <w:r w:rsidR="3243930F" w:rsidRPr="00BA5486">
              <w:rPr>
                <w:b w:val="0"/>
                <w:sz w:val="22"/>
              </w:rPr>
              <w:t xml:space="preserve">designated </w:t>
            </w:r>
            <w:r w:rsidR="59C97F98" w:rsidRPr="00BA5486">
              <w:rPr>
                <w:b w:val="0"/>
                <w:sz w:val="22"/>
              </w:rPr>
              <w:t xml:space="preserve">historical information </w:t>
            </w:r>
            <w:r w:rsidR="59C97F98" w:rsidRPr="00BA5486">
              <w:rPr>
                <w:bCs/>
                <w:sz w:val="22"/>
              </w:rPr>
              <w:t xml:space="preserve">has </w:t>
            </w:r>
            <w:r w:rsidR="00E02792" w:rsidRPr="00BA5486">
              <w:rPr>
                <w:bCs/>
                <w:sz w:val="22"/>
              </w:rPr>
              <w:t>not</w:t>
            </w:r>
            <w:r w:rsidR="00E02792" w:rsidRPr="00BA5486">
              <w:rPr>
                <w:b w:val="0"/>
                <w:sz w:val="22"/>
              </w:rPr>
              <w:t xml:space="preserve"> </w:t>
            </w:r>
            <w:r w:rsidR="00E02792" w:rsidRPr="00BA5486" w:rsidDel="59C97F98">
              <w:rPr>
                <w:b w:val="0"/>
                <w:sz w:val="22"/>
              </w:rPr>
              <w:t xml:space="preserve">been </w:t>
            </w:r>
            <w:r w:rsidR="00E02792" w:rsidRPr="00BA5486">
              <w:rPr>
                <w:b w:val="0"/>
                <w:sz w:val="22"/>
              </w:rPr>
              <w:t>included</w:t>
            </w:r>
            <w:r w:rsidR="00F13434" w:rsidRPr="00BA5486">
              <w:rPr>
                <w:b w:val="0"/>
                <w:sz w:val="22"/>
              </w:rPr>
              <w:t xml:space="preserve">, </w:t>
            </w:r>
            <w:r w:rsidR="38335674" w:rsidRPr="00BA5486">
              <w:rPr>
                <w:b w:val="0"/>
                <w:sz w:val="22"/>
              </w:rPr>
              <w:t>see</w:t>
            </w:r>
            <w:hyperlink w:anchor="_Exclusion_of_historical" w:history="1">
              <w:r w:rsidR="17D82B7E" w:rsidRPr="00BA5486">
                <w:rPr>
                  <w:b w:val="0"/>
                  <w:sz w:val="22"/>
                </w:rPr>
                <w:t xml:space="preserve"> </w:t>
              </w:r>
              <w:r w:rsidR="4F93724D" w:rsidRPr="00BA5486">
                <w:rPr>
                  <w:rStyle w:val="Hyperlink"/>
                  <w:rFonts w:asciiTheme="minorHAnsi" w:hAnsiTheme="minorHAnsi"/>
                  <w:b w:val="0"/>
                </w:rPr>
                <w:t xml:space="preserve">Part </w:t>
              </w:r>
              <w:r w:rsidR="004B029E" w:rsidRPr="00BA5486">
                <w:rPr>
                  <w:rStyle w:val="Hyperlink"/>
                  <w:rFonts w:asciiTheme="minorHAnsi" w:hAnsiTheme="minorHAnsi"/>
                  <w:b w:val="0"/>
                </w:rPr>
                <w:t>3.7.1</w:t>
              </w:r>
              <w:r w:rsidR="2FA41DF6" w:rsidRPr="00BA5486">
                <w:rPr>
                  <w:rStyle w:val="Hyperlink"/>
                  <w:rFonts w:asciiTheme="minorHAnsi" w:hAnsiTheme="minorHAnsi"/>
                  <w:b w:val="0"/>
                </w:rPr>
                <w:t xml:space="preserve"> </w:t>
              </w:r>
              <w:r w:rsidR="00490F6A" w:rsidRPr="00BA5486">
                <w:rPr>
                  <w:rStyle w:val="Hyperlink"/>
                  <w:rFonts w:asciiTheme="minorHAnsi" w:hAnsiTheme="minorHAnsi"/>
                  <w:b w:val="0"/>
                </w:rPr>
                <w:t>E</w:t>
              </w:r>
              <w:r w:rsidR="2FA41DF6" w:rsidRPr="00BA5486">
                <w:rPr>
                  <w:rStyle w:val="Hyperlink"/>
                  <w:rFonts w:asciiTheme="minorHAnsi" w:hAnsiTheme="minorHAnsi"/>
                  <w:b w:val="0"/>
                </w:rPr>
                <w:t>xclusion of</w:t>
              </w:r>
              <w:r w:rsidR="008D2810" w:rsidRPr="00BA5486">
                <w:rPr>
                  <w:rStyle w:val="Hyperlink"/>
                  <w:rFonts w:asciiTheme="minorHAnsi" w:hAnsiTheme="minorHAnsi"/>
                  <w:b w:val="0"/>
                  <w:bCs/>
                </w:rPr>
                <w:t xml:space="preserve"> designated</w:t>
              </w:r>
              <w:r w:rsidR="2FA41DF6" w:rsidRPr="00BA5486">
                <w:rPr>
                  <w:rStyle w:val="Hyperlink"/>
                  <w:rFonts w:asciiTheme="minorHAnsi" w:hAnsiTheme="minorHAnsi"/>
                  <w:b w:val="0"/>
                </w:rPr>
                <w:t xml:space="preserve"> historic information</w:t>
              </w:r>
            </w:hyperlink>
            <w:r w:rsidR="59C97F98" w:rsidRPr="00BA5486">
              <w:rPr>
                <w:b w:val="0"/>
                <w:sz w:val="22"/>
              </w:rPr>
              <w:t xml:space="preserve"> </w:t>
            </w:r>
            <w:r w:rsidR="17D82B7E" w:rsidRPr="00BA5486">
              <w:rPr>
                <w:b w:val="0"/>
                <w:sz w:val="22"/>
              </w:rPr>
              <w:t xml:space="preserve">for </w:t>
            </w:r>
            <w:r w:rsidR="175344A9" w:rsidRPr="00BA5486">
              <w:rPr>
                <w:b w:val="0"/>
                <w:sz w:val="22"/>
              </w:rPr>
              <w:t xml:space="preserve">more </w:t>
            </w:r>
            <w:r w:rsidR="17D82B7E" w:rsidRPr="00BA5486">
              <w:rPr>
                <w:b w:val="0"/>
                <w:sz w:val="22"/>
              </w:rPr>
              <w:t>information</w:t>
            </w:r>
            <w:r w:rsidR="175344A9" w:rsidRPr="00BA5486">
              <w:rPr>
                <w:b w:val="0"/>
                <w:sz w:val="22"/>
              </w:rPr>
              <w:t>.</w:t>
            </w:r>
          </w:p>
          <w:p w14:paraId="7F5DA25D" w14:textId="51ECFF0B" w:rsidR="006A4F25" w:rsidRPr="00BA5486" w:rsidRDefault="00CB6600" w:rsidP="3FB6375E">
            <w:pPr>
              <w:pStyle w:val="CERbullets"/>
              <w:numPr>
                <w:ilvl w:val="0"/>
                <w:numId w:val="3"/>
              </w:numPr>
              <w:spacing w:before="240" w:beforeAutospacing="0"/>
              <w:ind w:left="357" w:hanging="357"/>
              <w:rPr>
                <w:b w:val="0"/>
                <w:sz w:val="22"/>
              </w:rPr>
            </w:pPr>
            <w:r w:rsidRPr="00BA5486">
              <w:rPr>
                <w:b w:val="0"/>
                <w:sz w:val="22"/>
              </w:rPr>
              <w:t>T</w:t>
            </w:r>
            <w:r w:rsidR="24FECDDA" w:rsidRPr="00BA5486">
              <w:rPr>
                <w:b w:val="0"/>
                <w:sz w:val="22"/>
              </w:rPr>
              <w:t xml:space="preserve">he amount of any </w:t>
            </w:r>
            <w:r w:rsidR="59C97F98" w:rsidRPr="00BA5486">
              <w:rPr>
                <w:b w:val="0"/>
                <w:sz w:val="22"/>
              </w:rPr>
              <w:t>non</w:t>
            </w:r>
            <w:r w:rsidR="009921AA" w:rsidRPr="00BA5486">
              <w:rPr>
                <w:b w:val="0"/>
                <w:sz w:val="22"/>
              </w:rPr>
              <w:t xml:space="preserve">-carbon dioxide </w:t>
            </w:r>
            <w:r w:rsidR="529C217C" w:rsidRPr="00BA5486">
              <w:rPr>
                <w:b w:val="0"/>
                <w:sz w:val="22"/>
              </w:rPr>
              <w:t>(CO</w:t>
            </w:r>
            <w:r w:rsidR="529C217C" w:rsidRPr="00BA5486">
              <w:rPr>
                <w:b w:val="0"/>
                <w:sz w:val="22"/>
                <w:vertAlign w:val="subscript"/>
              </w:rPr>
              <w:t>2</w:t>
            </w:r>
            <w:r w:rsidR="529C217C" w:rsidRPr="00BA5486">
              <w:rPr>
                <w:b w:val="0"/>
                <w:sz w:val="22"/>
              </w:rPr>
              <w:t xml:space="preserve">) </w:t>
            </w:r>
            <w:r w:rsidR="009921AA" w:rsidRPr="00BA5486">
              <w:rPr>
                <w:b w:val="0"/>
                <w:sz w:val="22"/>
              </w:rPr>
              <w:t>greenhouse gas</w:t>
            </w:r>
            <w:r w:rsidR="59C97F98" w:rsidRPr="00BA5486">
              <w:rPr>
                <w:b w:val="0"/>
                <w:sz w:val="22"/>
              </w:rPr>
              <w:t xml:space="preserve"> emissions </w:t>
            </w:r>
            <w:r w:rsidR="34A9F2DD" w:rsidRPr="00BA5486">
              <w:rPr>
                <w:b w:val="0"/>
                <w:sz w:val="22"/>
              </w:rPr>
              <w:t xml:space="preserve">relevantly </w:t>
            </w:r>
            <w:r w:rsidR="59C97F98" w:rsidRPr="00BA5486">
              <w:rPr>
                <w:b w:val="0"/>
                <w:sz w:val="22"/>
              </w:rPr>
              <w:t>associated with each historical production variable in tCO</w:t>
            </w:r>
            <w:r w:rsidR="59C97F98" w:rsidRPr="00BA5486">
              <w:rPr>
                <w:b w:val="0"/>
                <w:sz w:val="22"/>
                <w:vertAlign w:val="subscript"/>
              </w:rPr>
              <w:t>2</w:t>
            </w:r>
            <w:r w:rsidR="59C97F98" w:rsidRPr="00BA5486">
              <w:rPr>
                <w:b w:val="0"/>
                <w:sz w:val="22"/>
              </w:rPr>
              <w:t>-e in each</w:t>
            </w:r>
            <w:r w:rsidR="00F33100" w:rsidRPr="00BA5486">
              <w:rPr>
                <w:b w:val="0"/>
                <w:sz w:val="22"/>
              </w:rPr>
              <w:t xml:space="preserve"> </w:t>
            </w:r>
            <w:r w:rsidR="59C97F98" w:rsidRPr="00BA5486">
              <w:rPr>
                <w:b w:val="0"/>
                <w:sz w:val="22"/>
              </w:rPr>
              <w:t>historical financial year (</w:t>
            </w:r>
            <w:r w:rsidR="006A4F25" w:rsidRPr="00BA5486" w:rsidDel="1F3EC893">
              <w:rPr>
                <w:b w:val="0"/>
                <w:sz w:val="22"/>
              </w:rPr>
              <w:t>only</w:t>
            </w:r>
            <w:r w:rsidR="006A4F25" w:rsidRPr="00BA5486" w:rsidDel="59C97F98">
              <w:rPr>
                <w:b w:val="0"/>
                <w:sz w:val="22"/>
              </w:rPr>
              <w:t xml:space="preserve"> required</w:t>
            </w:r>
            <w:r w:rsidR="006A4F25" w:rsidRPr="00BA5486" w:rsidDel="1F3EC893">
              <w:rPr>
                <w:b w:val="0"/>
                <w:sz w:val="22"/>
              </w:rPr>
              <w:t xml:space="preserve"> </w:t>
            </w:r>
            <w:r w:rsidR="1F3EC893" w:rsidRPr="00BA5486">
              <w:rPr>
                <w:b w:val="0"/>
                <w:sz w:val="22"/>
              </w:rPr>
              <w:t xml:space="preserve">if </w:t>
            </w:r>
            <w:r w:rsidR="529C217C" w:rsidRPr="00BA5486">
              <w:rPr>
                <w:b w:val="0"/>
                <w:sz w:val="22"/>
              </w:rPr>
              <w:t>a non-CO</w:t>
            </w:r>
            <w:r w:rsidR="529C217C" w:rsidRPr="00BA5486">
              <w:rPr>
                <w:b w:val="0"/>
                <w:sz w:val="22"/>
                <w:vertAlign w:val="subscript"/>
              </w:rPr>
              <w:t>2</w:t>
            </w:r>
            <w:r w:rsidR="00F33100" w:rsidRPr="00BA5486">
              <w:rPr>
                <w:b w:val="0"/>
                <w:sz w:val="22"/>
                <w:vertAlign w:val="subscript"/>
              </w:rPr>
              <w:t xml:space="preserve"> </w:t>
            </w:r>
            <w:r w:rsidR="63C6FB8D" w:rsidRPr="00BA5486">
              <w:rPr>
                <w:b w:val="0"/>
                <w:sz w:val="22"/>
              </w:rPr>
              <w:t>greenhouse gas</w:t>
            </w:r>
            <w:r w:rsidR="7DF45FFC" w:rsidRPr="00BA5486">
              <w:rPr>
                <w:b w:val="0"/>
                <w:sz w:val="22"/>
              </w:rPr>
              <w:t xml:space="preserve"> </w:t>
            </w:r>
            <w:r w:rsidR="63FDD85A" w:rsidRPr="00BA5486">
              <w:rPr>
                <w:b w:val="0"/>
                <w:sz w:val="22"/>
              </w:rPr>
              <w:t xml:space="preserve">accounts for </w:t>
            </w:r>
            <w:r w:rsidR="7DF45FFC" w:rsidRPr="00BA5486">
              <w:rPr>
                <w:b w:val="0"/>
                <w:sz w:val="22"/>
              </w:rPr>
              <w:t xml:space="preserve">more than 1% of covered emissions </w:t>
            </w:r>
            <w:r w:rsidR="1E5C2519" w:rsidRPr="00BA5486">
              <w:rPr>
                <w:b w:val="0"/>
                <w:sz w:val="22"/>
              </w:rPr>
              <w:t>for</w:t>
            </w:r>
            <w:r w:rsidR="4DB4AE79" w:rsidRPr="00BA5486">
              <w:rPr>
                <w:b w:val="0"/>
                <w:sz w:val="22"/>
              </w:rPr>
              <w:t xml:space="preserve"> a production variable </w:t>
            </w:r>
            <w:r w:rsidR="328D694C" w:rsidRPr="00BA5486">
              <w:rPr>
                <w:b w:val="0"/>
                <w:sz w:val="22"/>
              </w:rPr>
              <w:t>in a historical financial year</w:t>
            </w:r>
            <w:r w:rsidR="59C97F98" w:rsidRPr="00BA5486">
              <w:rPr>
                <w:b w:val="0"/>
                <w:sz w:val="22"/>
              </w:rPr>
              <w:t>)</w:t>
            </w:r>
            <w:r w:rsidR="2FA41DF6" w:rsidRPr="00BA5486">
              <w:rPr>
                <w:b w:val="0"/>
                <w:sz w:val="22"/>
              </w:rPr>
              <w:t xml:space="preserve">, see </w:t>
            </w:r>
            <w:hyperlink w:anchor="_Non-carbon_dioxide_greenhouse" w:history="1">
              <w:r w:rsidR="4F93724D" w:rsidRPr="00BA5486">
                <w:rPr>
                  <w:rStyle w:val="Hyperlink"/>
                  <w:rFonts w:asciiTheme="minorHAnsi" w:hAnsiTheme="minorHAnsi"/>
                  <w:b w:val="0"/>
                </w:rPr>
                <w:t xml:space="preserve">Part </w:t>
              </w:r>
              <w:r w:rsidR="004B029E" w:rsidRPr="00BA5486">
                <w:rPr>
                  <w:rStyle w:val="Hyperlink"/>
                  <w:rFonts w:asciiTheme="minorHAnsi" w:hAnsiTheme="minorHAnsi"/>
                  <w:b w:val="0"/>
                </w:rPr>
                <w:t>3.7.3.2</w:t>
              </w:r>
              <w:r w:rsidR="53B1B99A" w:rsidRPr="00BA5486">
                <w:rPr>
                  <w:rStyle w:val="Hyperlink"/>
                  <w:rFonts w:asciiTheme="minorHAnsi" w:hAnsiTheme="minorHAnsi"/>
                  <w:b w:val="0"/>
                </w:rPr>
                <w:t xml:space="preserve"> </w:t>
              </w:r>
              <w:r w:rsidR="00490F6A" w:rsidRPr="00BA5486">
                <w:rPr>
                  <w:rStyle w:val="Hyperlink"/>
                  <w:rFonts w:asciiTheme="minorHAnsi" w:hAnsiTheme="minorHAnsi"/>
                  <w:b w:val="0"/>
                </w:rPr>
                <w:t>N</w:t>
              </w:r>
              <w:r w:rsidR="53B1B99A" w:rsidRPr="00BA5486">
                <w:rPr>
                  <w:rStyle w:val="Hyperlink"/>
                  <w:rFonts w:asciiTheme="minorHAnsi" w:hAnsiTheme="minorHAnsi"/>
                  <w:b w:val="0"/>
                </w:rPr>
                <w:t>on-carbon dioxide greenhouse gas emissions</w:t>
              </w:r>
            </w:hyperlink>
            <w:r w:rsidR="53B1B99A" w:rsidRPr="00BA5486">
              <w:rPr>
                <w:b w:val="0"/>
                <w:sz w:val="22"/>
              </w:rPr>
              <w:t xml:space="preserve"> for </w:t>
            </w:r>
            <w:r w:rsidR="175344A9" w:rsidRPr="00BA5486">
              <w:rPr>
                <w:b w:val="0"/>
                <w:sz w:val="22"/>
              </w:rPr>
              <w:t xml:space="preserve">more </w:t>
            </w:r>
            <w:r w:rsidR="53B1B99A" w:rsidRPr="00BA5486">
              <w:rPr>
                <w:b w:val="0"/>
                <w:sz w:val="22"/>
              </w:rPr>
              <w:t>information</w:t>
            </w:r>
            <w:r w:rsidR="175344A9" w:rsidRPr="00BA5486">
              <w:rPr>
                <w:b w:val="0"/>
                <w:sz w:val="22"/>
              </w:rPr>
              <w:t>.</w:t>
            </w:r>
            <w:r w:rsidR="53B1B99A" w:rsidRPr="00BA5486">
              <w:rPr>
                <w:b w:val="0"/>
                <w:sz w:val="22"/>
              </w:rPr>
              <w:t xml:space="preserve"> </w:t>
            </w:r>
          </w:p>
          <w:p w14:paraId="7B9B7C63" w14:textId="5EA055FD" w:rsidR="00855975" w:rsidRPr="0044562E" w:rsidRDefault="006A4F25" w:rsidP="2990BC92">
            <w:pPr>
              <w:pStyle w:val="CERbullets"/>
              <w:numPr>
                <w:ilvl w:val="0"/>
                <w:numId w:val="0"/>
              </w:numPr>
              <w:spacing w:before="240" w:beforeAutospacing="0"/>
              <w:rPr>
                <w:bCs/>
              </w:rPr>
            </w:pPr>
            <w:r w:rsidRPr="00BA5486">
              <w:rPr>
                <w:b w:val="0"/>
                <w:bCs/>
                <w:sz w:val="22"/>
              </w:rPr>
              <w:t xml:space="preserve">Once </w:t>
            </w:r>
            <w:r w:rsidR="005726A2" w:rsidRPr="00BA5486">
              <w:rPr>
                <w:b w:val="0"/>
                <w:bCs/>
                <w:sz w:val="22"/>
              </w:rPr>
              <w:t>the applicant has</w:t>
            </w:r>
            <w:r w:rsidRPr="00BA5486">
              <w:rPr>
                <w:b w:val="0"/>
                <w:bCs/>
                <w:sz w:val="22"/>
              </w:rPr>
              <w:t xml:space="preserve"> entered all historical production and emissions data in the application, draft </w:t>
            </w:r>
            <w:r w:rsidR="008A58C8">
              <w:rPr>
                <w:b w:val="0"/>
                <w:bCs/>
                <w:sz w:val="22"/>
              </w:rPr>
              <w:t xml:space="preserve">FSEI </w:t>
            </w:r>
            <w:r w:rsidRPr="00BA5486">
              <w:rPr>
                <w:b w:val="0"/>
                <w:bCs/>
                <w:sz w:val="22"/>
              </w:rPr>
              <w:t>values for</w:t>
            </w:r>
            <w:r w:rsidRPr="2990BC92">
              <w:rPr>
                <w:b w:val="0"/>
                <w:sz w:val="22"/>
              </w:rPr>
              <w:t xml:space="preserve"> each production variable will be provided</w:t>
            </w:r>
            <w:r w:rsidR="00725762" w:rsidRPr="00BA5486">
              <w:rPr>
                <w:b w:val="0"/>
                <w:bCs/>
                <w:sz w:val="22"/>
              </w:rPr>
              <w:t xml:space="preserve"> in advance of </w:t>
            </w:r>
            <w:r w:rsidR="00433797" w:rsidRPr="00BA5486">
              <w:rPr>
                <w:b w:val="0"/>
                <w:bCs/>
                <w:sz w:val="22"/>
              </w:rPr>
              <w:t xml:space="preserve">the </w:t>
            </w:r>
            <w:r w:rsidR="00BF532F" w:rsidRPr="00BA5486">
              <w:rPr>
                <w:b w:val="0"/>
                <w:bCs/>
                <w:sz w:val="22"/>
              </w:rPr>
              <w:t xml:space="preserve">CER </w:t>
            </w:r>
            <w:r w:rsidR="00433797" w:rsidRPr="00BA5486">
              <w:rPr>
                <w:b w:val="0"/>
                <w:bCs/>
                <w:sz w:val="22"/>
              </w:rPr>
              <w:t xml:space="preserve">considering and approving </w:t>
            </w:r>
            <w:r w:rsidR="00B71EBF" w:rsidRPr="00BA5486">
              <w:rPr>
                <w:b w:val="0"/>
                <w:bCs/>
                <w:sz w:val="22"/>
              </w:rPr>
              <w:t xml:space="preserve">the </w:t>
            </w:r>
            <w:r w:rsidR="00640892" w:rsidRPr="00BA5486">
              <w:rPr>
                <w:b w:val="0"/>
                <w:bCs/>
                <w:sz w:val="22"/>
              </w:rPr>
              <w:t>application</w:t>
            </w:r>
            <w:r w:rsidRPr="00BA5486">
              <w:rPr>
                <w:b w:val="0"/>
                <w:bCs/>
                <w:sz w:val="22"/>
              </w:rPr>
              <w:t>.</w:t>
            </w:r>
            <w:r w:rsidRPr="2990BC92">
              <w:rPr>
                <w:b w:val="0"/>
                <w:sz w:val="22"/>
              </w:rPr>
              <w:t xml:space="preserve"> </w:t>
            </w:r>
            <w:r w:rsidR="1B964218" w:rsidRPr="2990BC92">
              <w:rPr>
                <w:b w:val="0"/>
                <w:sz w:val="22"/>
              </w:rPr>
              <w:t>See</w:t>
            </w:r>
            <w:hyperlink w:anchor="_Calculating_facility-specific_emiss">
              <w:r w:rsidR="68BA5F84" w:rsidRPr="2990BC92">
                <w:rPr>
                  <w:rStyle w:val="Hyperlink"/>
                  <w:b w:val="0"/>
                  <w:u w:val="none"/>
                </w:rPr>
                <w:t xml:space="preserve">  </w:t>
              </w:r>
              <w:r w:rsidR="561C0830" w:rsidRPr="2990BC92">
                <w:rPr>
                  <w:rStyle w:val="Hyperlink"/>
                  <w:rFonts w:asciiTheme="minorHAnsi" w:hAnsiTheme="minorHAnsi"/>
                  <w:b w:val="0"/>
                </w:rPr>
                <w:t>Par</w:t>
              </w:r>
              <w:r w:rsidR="78B463B9" w:rsidRPr="2990BC92">
                <w:rPr>
                  <w:rStyle w:val="Hyperlink"/>
                  <w:rFonts w:asciiTheme="minorHAnsi" w:hAnsiTheme="minorHAnsi"/>
                  <w:b w:val="0"/>
                </w:rPr>
                <w:t>t</w:t>
              </w:r>
              <w:r w:rsidR="561C0830" w:rsidRPr="2990BC92">
                <w:rPr>
                  <w:rStyle w:val="Hyperlink"/>
                  <w:rFonts w:asciiTheme="minorHAnsi" w:hAnsiTheme="minorHAnsi"/>
                  <w:b w:val="0"/>
                </w:rPr>
                <w:t xml:space="preserve"> </w:t>
              </w:r>
              <w:r w:rsidR="30238197" w:rsidRPr="2990BC92">
                <w:rPr>
                  <w:rStyle w:val="Hyperlink"/>
                  <w:rFonts w:asciiTheme="minorHAnsi" w:hAnsiTheme="minorHAnsi"/>
                  <w:b w:val="0"/>
                </w:rPr>
                <w:t>3.7.4</w:t>
              </w:r>
              <w:r w:rsidR="2C527E6B" w:rsidRPr="2990BC92">
                <w:rPr>
                  <w:rStyle w:val="Hyperlink"/>
                  <w:rFonts w:asciiTheme="minorHAnsi" w:hAnsiTheme="minorHAnsi"/>
                  <w:b w:val="0"/>
                </w:rPr>
                <w:t xml:space="preserve"> </w:t>
              </w:r>
              <w:r w:rsidR="30238197" w:rsidRPr="2990BC92">
                <w:rPr>
                  <w:rStyle w:val="Hyperlink"/>
                  <w:rFonts w:asciiTheme="minorHAnsi" w:hAnsiTheme="minorHAnsi"/>
                  <w:b w:val="0"/>
                </w:rPr>
                <w:t>C</w:t>
              </w:r>
              <w:r w:rsidR="2C527E6B" w:rsidRPr="2990BC92">
                <w:rPr>
                  <w:rStyle w:val="Hyperlink"/>
                  <w:rFonts w:asciiTheme="minorHAnsi" w:hAnsiTheme="minorHAnsi"/>
                  <w:b w:val="0"/>
                </w:rPr>
                <w:t>alculating facility-specific emissions intensities</w:t>
              </w:r>
            </w:hyperlink>
            <w:r w:rsidR="1B964218" w:rsidRPr="2990BC92">
              <w:rPr>
                <w:b w:val="0"/>
                <w:sz w:val="22"/>
              </w:rPr>
              <w:t xml:space="preserve"> for </w:t>
            </w:r>
            <w:r w:rsidR="28D0331E" w:rsidRPr="2990BC92">
              <w:rPr>
                <w:b w:val="0"/>
                <w:sz w:val="22"/>
              </w:rPr>
              <w:t xml:space="preserve">more </w:t>
            </w:r>
            <w:r w:rsidR="1B964218" w:rsidRPr="2990BC92">
              <w:rPr>
                <w:b w:val="0"/>
                <w:sz w:val="22"/>
              </w:rPr>
              <w:t>information.</w:t>
            </w:r>
            <w:r w:rsidR="1B964218">
              <w:rPr>
                <w:b w:val="0"/>
              </w:rPr>
              <w:t xml:space="preserve"> </w:t>
            </w:r>
          </w:p>
        </w:tc>
      </w:tr>
    </w:tbl>
    <w:p w14:paraId="5E21BC8B" w14:textId="1EA69E2B" w:rsidR="00ED0369" w:rsidRPr="009F4403" w:rsidRDefault="00660654" w:rsidP="003D3699">
      <w:pPr>
        <w:pStyle w:val="Heading3"/>
      </w:pPr>
      <w:bookmarkStart w:id="82" w:name="_Toc138922906"/>
      <w:bookmarkStart w:id="83" w:name="_Toc138922981"/>
      <w:bookmarkStart w:id="84" w:name="_Toc138923045"/>
      <w:bookmarkStart w:id="85" w:name="_Toc138923302"/>
      <w:bookmarkStart w:id="86" w:name="_Toc143503174"/>
      <w:r>
        <w:t>S</w:t>
      </w:r>
      <w:r w:rsidR="00ED0369">
        <w:t>ubmitting the application</w:t>
      </w:r>
      <w:bookmarkEnd w:id="82"/>
      <w:bookmarkEnd w:id="83"/>
      <w:bookmarkEnd w:id="84"/>
      <w:bookmarkEnd w:id="85"/>
      <w:bookmarkEnd w:id="86"/>
    </w:p>
    <w:p w14:paraId="0D7AA400" w14:textId="154995A7" w:rsidR="00ED0369" w:rsidRPr="008C314E" w:rsidRDefault="00ED0369" w:rsidP="00376145">
      <w:pPr>
        <w:spacing w:before="240"/>
      </w:pPr>
      <w:r w:rsidRPr="004E54FB">
        <w:t xml:space="preserve">Once all sections of the application are complete </w:t>
      </w:r>
      <w:r w:rsidR="001D41D5" w:rsidRPr="003D3699">
        <w:t xml:space="preserve">and the required audit report and supporting information </w:t>
      </w:r>
      <w:r w:rsidR="005F086B">
        <w:t>has been attached</w:t>
      </w:r>
      <w:r w:rsidR="00E555F8">
        <w:t>,</w:t>
      </w:r>
      <w:r w:rsidR="001D41D5" w:rsidRPr="003D3699">
        <w:t xml:space="preserve"> </w:t>
      </w:r>
      <w:r w:rsidRPr="004E54FB">
        <w:t xml:space="preserve">an </w:t>
      </w:r>
      <w:r w:rsidR="00117223" w:rsidRPr="000159A1">
        <w:t>e</w:t>
      </w:r>
      <w:r w:rsidRPr="000159A1">
        <w:t xml:space="preserve">xecutive </w:t>
      </w:r>
      <w:r w:rsidR="00117223" w:rsidRPr="000159A1">
        <w:t>o</w:t>
      </w:r>
      <w:r w:rsidRPr="000159A1">
        <w:t>fficer</w:t>
      </w:r>
      <w:r w:rsidRPr="004E54FB">
        <w:t xml:space="preserve"> is required to </w:t>
      </w:r>
      <w:r w:rsidR="007E5C6D">
        <w:t>acknowledge</w:t>
      </w:r>
      <w:r w:rsidR="006E2C1F">
        <w:t xml:space="preserve"> and sign</w:t>
      </w:r>
      <w:r w:rsidR="007E5C6D">
        <w:t xml:space="preserve"> the declaration</w:t>
      </w:r>
      <w:r w:rsidRPr="004E54FB">
        <w:t xml:space="preserve"> that, among other things, the information supplied is true and </w:t>
      </w:r>
      <w:r w:rsidR="004F1FE4">
        <w:t>not misleading</w:t>
      </w:r>
      <w:r w:rsidRPr="004E54FB">
        <w:t>.</w:t>
      </w:r>
    </w:p>
    <w:p w14:paraId="5BACE197" w14:textId="77777777" w:rsidR="000159A1" w:rsidRPr="002B6F67" w:rsidRDefault="000159A1" w:rsidP="000159A1">
      <w:r w:rsidRPr="002B6F67">
        <w:t xml:space="preserve">There are two options to sign and </w:t>
      </w:r>
      <w:proofErr w:type="gramStart"/>
      <w:r w:rsidRPr="002B6F67">
        <w:t>submit an application</w:t>
      </w:r>
      <w:proofErr w:type="gramEnd"/>
      <w:r w:rsidRPr="002B6F67">
        <w:t xml:space="preserve"> form.</w:t>
      </w:r>
    </w:p>
    <w:p w14:paraId="12573A82" w14:textId="7884A4E6" w:rsidR="000159A1" w:rsidRDefault="00E54943" w:rsidP="000159A1">
      <w:pPr>
        <w:pStyle w:val="CERbullets"/>
        <w:numPr>
          <w:ilvl w:val="0"/>
          <w:numId w:val="41"/>
        </w:numPr>
      </w:pPr>
      <w:r>
        <w:t>An Online Service</w:t>
      </w:r>
      <w:r w:rsidR="008A661C">
        <w:t>s</w:t>
      </w:r>
      <w:r w:rsidRPr="002B6F67">
        <w:t xml:space="preserve"> </w:t>
      </w:r>
      <w:r w:rsidR="000159A1">
        <w:t xml:space="preserve">user </w:t>
      </w:r>
      <w:r w:rsidR="001300F2">
        <w:t>who is an</w:t>
      </w:r>
      <w:r w:rsidR="000159A1">
        <w:t xml:space="preserve"> executive officer </w:t>
      </w:r>
      <w:r w:rsidR="001300F2">
        <w:t>of</w:t>
      </w:r>
      <w:r w:rsidR="000159A1">
        <w:t xml:space="preserve"> the responsible emitter and </w:t>
      </w:r>
      <w:r w:rsidR="001300F2">
        <w:t xml:space="preserve">holds </w:t>
      </w:r>
      <w:r w:rsidR="000159A1">
        <w:t>the ‘manage facilities’ user permission,</w:t>
      </w:r>
      <w:r w:rsidR="000159A1" w:rsidRPr="002B6F67">
        <w:t xml:space="preserve"> can log in to </w:t>
      </w:r>
      <w:hyperlink r:id="rId32" w:anchor="online-services:~:text=via%20Online%20Services-,Online%20Services,-ACCU%20Scheme%20transition" w:tooltip="A link to the Online Services page of the Clean Energy Regulator webiste">
        <w:r w:rsidR="000159A1" w:rsidRPr="002B6F67">
          <w:rPr>
            <w:rStyle w:val="Hyperlink"/>
          </w:rPr>
          <w:t>Online Services</w:t>
        </w:r>
      </w:hyperlink>
      <w:r w:rsidR="00036A3A">
        <w:rPr>
          <w:rStyle w:val="FootnoteReference"/>
        </w:rPr>
        <w:footnoteReference w:id="20"/>
      </w:r>
      <w:r w:rsidR="000159A1" w:rsidRPr="002B6F67">
        <w:t xml:space="preserve">, open </w:t>
      </w:r>
      <w:r w:rsidR="000159A1">
        <w:t>the</w:t>
      </w:r>
      <w:r w:rsidR="000159A1" w:rsidRPr="002B6F67">
        <w:t xml:space="preserve"> draft version of the application, review the declaration and submit the application</w:t>
      </w:r>
      <w:r w:rsidR="000159A1">
        <w:t xml:space="preserve"> online</w:t>
      </w:r>
      <w:r w:rsidR="000159A1" w:rsidRPr="002B6F67">
        <w:t>.</w:t>
      </w:r>
    </w:p>
    <w:p w14:paraId="376C4486" w14:textId="77777777" w:rsidR="000159A1" w:rsidRPr="002B6F67" w:rsidRDefault="000159A1" w:rsidP="000159A1">
      <w:pPr>
        <w:pStyle w:val="CERbullets"/>
        <w:numPr>
          <w:ilvl w:val="0"/>
          <w:numId w:val="0"/>
        </w:numPr>
        <w:ind w:left="360"/>
      </w:pPr>
      <w:r>
        <w:t>OR</w:t>
      </w:r>
    </w:p>
    <w:p w14:paraId="4F8DA477" w14:textId="38BA1FC1" w:rsidR="000159A1" w:rsidRDefault="000159A1" w:rsidP="000159A1">
      <w:pPr>
        <w:pStyle w:val="CERbullets"/>
        <w:numPr>
          <w:ilvl w:val="0"/>
          <w:numId w:val="41"/>
        </w:numPr>
      </w:pPr>
      <w:r w:rsidRPr="002B6F67">
        <w:t xml:space="preserve">An Online Services </w:t>
      </w:r>
      <w:r>
        <w:t>user with the ‘manage facilities’ user permission</w:t>
      </w:r>
      <w:r w:rsidRPr="002B6F67">
        <w:t xml:space="preserve"> for the responsible emitter can open the draft form and print a PDF copy of the application. </w:t>
      </w:r>
      <w:r w:rsidR="001300F2">
        <w:t>A</w:t>
      </w:r>
      <w:r>
        <w:t xml:space="preserve">n executive officer </w:t>
      </w:r>
      <w:r w:rsidR="001300F2">
        <w:t xml:space="preserve">of </w:t>
      </w:r>
      <w:r>
        <w:t>the responsible emitter</w:t>
      </w:r>
      <w:r w:rsidRPr="002B6F67">
        <w:t xml:space="preserve"> can then sign the form (electronic signature is acceptable)</w:t>
      </w:r>
      <w:r>
        <w:t>. T</w:t>
      </w:r>
      <w:r w:rsidRPr="002B6F67">
        <w:t xml:space="preserve">he </w:t>
      </w:r>
      <w:r w:rsidR="00517FD9">
        <w:t>user with ‘manage facilities’ access permission</w:t>
      </w:r>
      <w:r w:rsidR="00517FD9" w:rsidRPr="002B6F67">
        <w:t xml:space="preserve"> </w:t>
      </w:r>
      <w:r w:rsidR="00517FD9">
        <w:t xml:space="preserve">can upload the </w:t>
      </w:r>
      <w:r w:rsidRPr="002B6F67">
        <w:t>signed PDF to the online application form</w:t>
      </w:r>
      <w:r>
        <w:t xml:space="preserve"> and </w:t>
      </w:r>
      <w:r w:rsidRPr="002B6F67">
        <w:t>submit</w:t>
      </w:r>
      <w:r w:rsidR="00F74D47">
        <w:t xml:space="preserve"> the </w:t>
      </w:r>
      <w:r w:rsidR="00427262">
        <w:t>application</w:t>
      </w:r>
      <w:r w:rsidRPr="002B6F67" w:rsidDel="00511F8D">
        <w:t>.</w:t>
      </w:r>
    </w:p>
    <w:p w14:paraId="6EE79684" w14:textId="57610BE0" w:rsidR="00D84CD0" w:rsidRPr="00AE4673" w:rsidRDefault="000159A1" w:rsidP="000159A1">
      <w:pPr>
        <w:spacing w:after="0"/>
      </w:pPr>
      <w:r w:rsidRPr="008A7371">
        <w:t>If you are having difficulty accessing, completing or submitting the online form</w:t>
      </w:r>
      <w:r>
        <w:t>,</w:t>
      </w:r>
      <w:r w:rsidRPr="008A7371">
        <w:t xml:space="preserve"> </w:t>
      </w:r>
      <w:r w:rsidRPr="00162DE4">
        <w:t xml:space="preserve">please contact the CER via </w:t>
      </w:r>
      <w:hyperlink r:id="rId33">
        <w:r w:rsidRPr="5F77A8D9">
          <w:rPr>
            <w:rStyle w:val="Hyperlink"/>
            <w:rFonts w:asciiTheme="minorHAnsi" w:hAnsiTheme="minorHAnsi"/>
          </w:rPr>
          <w:t>cer-safeguardbaselines@cer.gov.au</w:t>
        </w:r>
      </w:hyperlink>
      <w:r w:rsidRPr="00162DE4">
        <w:t>.</w:t>
      </w:r>
    </w:p>
    <w:p w14:paraId="72115462" w14:textId="3F351E90" w:rsidR="006A7D6F" w:rsidRPr="00731DBB" w:rsidRDefault="00B70908" w:rsidP="000C20F0">
      <w:pPr>
        <w:pStyle w:val="Heading1"/>
      </w:pPr>
      <w:bookmarkStart w:id="87" w:name="_Detailed_application_requirements"/>
      <w:bookmarkStart w:id="88" w:name="_Toc138922907"/>
      <w:bookmarkStart w:id="89" w:name="_Toc138922982"/>
      <w:bookmarkStart w:id="90" w:name="_Toc138923046"/>
      <w:bookmarkStart w:id="91" w:name="_Toc138923303"/>
      <w:bookmarkStart w:id="92" w:name="_Toc143503175"/>
      <w:bookmarkStart w:id="93" w:name="_Toc208216269"/>
      <w:bookmarkEnd w:id="87"/>
      <w:r w:rsidRPr="00731DBB">
        <w:t>Detailed application requirements</w:t>
      </w:r>
      <w:bookmarkEnd w:id="88"/>
      <w:bookmarkEnd w:id="89"/>
      <w:bookmarkEnd w:id="90"/>
      <w:bookmarkEnd w:id="91"/>
      <w:bookmarkEnd w:id="92"/>
      <w:bookmarkEnd w:id="93"/>
    </w:p>
    <w:p w14:paraId="37BC00E4" w14:textId="590B7FEC" w:rsidR="009606BE" w:rsidRPr="00A05C94" w:rsidRDefault="00F80C0F" w:rsidP="00413459">
      <w:r w:rsidRPr="00A05C94">
        <w:t xml:space="preserve">Part </w:t>
      </w:r>
      <w:r w:rsidR="001202CF" w:rsidRPr="00A05C94">
        <w:t>3</w:t>
      </w:r>
      <w:r w:rsidR="00413459" w:rsidRPr="00A05C94">
        <w:t xml:space="preserve"> </w:t>
      </w:r>
      <w:r w:rsidR="008420EA" w:rsidRPr="00A05C94">
        <w:t xml:space="preserve">provides </w:t>
      </w:r>
      <w:r w:rsidR="00EA3E36" w:rsidRPr="00A05C94">
        <w:t xml:space="preserve">detailed </w:t>
      </w:r>
      <w:r w:rsidR="00745C62" w:rsidRPr="00A05C94">
        <w:t xml:space="preserve">guidelines </w:t>
      </w:r>
      <w:r w:rsidR="00371299" w:rsidRPr="00A05C94">
        <w:t>on</w:t>
      </w:r>
      <w:r w:rsidR="00594D97" w:rsidRPr="00A05C94">
        <w:t xml:space="preserve"> </w:t>
      </w:r>
      <w:r w:rsidR="00E81A0F" w:rsidRPr="00A05C94">
        <w:t>application</w:t>
      </w:r>
      <w:r w:rsidR="00916885" w:rsidRPr="00A05C94">
        <w:t xml:space="preserve"> </w:t>
      </w:r>
      <w:r w:rsidR="00E81A0F" w:rsidRPr="00A05C94">
        <w:t>requirements including</w:t>
      </w:r>
      <w:r w:rsidR="00D974C7" w:rsidRPr="00A05C94">
        <w:t xml:space="preserve"> for each</w:t>
      </w:r>
      <w:r w:rsidR="000C332E" w:rsidRPr="00A05C94">
        <w:t xml:space="preserve"> </w:t>
      </w:r>
      <w:r w:rsidR="00D974C7" w:rsidRPr="00A05C94">
        <w:t>requirement:</w:t>
      </w:r>
    </w:p>
    <w:p w14:paraId="4D148E01" w14:textId="35F13F61" w:rsidR="009B266B" w:rsidRPr="00A05C94" w:rsidRDefault="00A619BE" w:rsidP="00274597">
      <w:pPr>
        <w:pStyle w:val="CERbullets"/>
      </w:pPr>
      <w:r w:rsidRPr="00A05C94">
        <w:t xml:space="preserve">what </w:t>
      </w:r>
      <w:r w:rsidR="00495553" w:rsidRPr="00A05C94">
        <w:t>supporting information and evidence is required</w:t>
      </w:r>
      <w:r w:rsidR="0DD04200" w:rsidRPr="00A05C94">
        <w:t>, and</w:t>
      </w:r>
      <w:r w:rsidR="001F0101" w:rsidRPr="00A05C94">
        <w:t xml:space="preserve"> </w:t>
      </w:r>
    </w:p>
    <w:p w14:paraId="6C0E4901" w14:textId="475D9D68" w:rsidR="004855B7" w:rsidRPr="00A05C94" w:rsidRDefault="00D974C7" w:rsidP="006C206C">
      <w:pPr>
        <w:pStyle w:val="CERbullets"/>
      </w:pPr>
      <w:r w:rsidRPr="00A05C94">
        <w:t>whether</w:t>
      </w:r>
      <w:r w:rsidR="00367E8A" w:rsidRPr="00A05C94">
        <w:t xml:space="preserve"> </w:t>
      </w:r>
      <w:r w:rsidR="005207C5" w:rsidRPr="00A05C94">
        <w:t>the requirement is an</w:t>
      </w:r>
      <w:r w:rsidR="007B0456" w:rsidRPr="00A05C94">
        <w:t xml:space="preserve"> a</w:t>
      </w:r>
      <w:r w:rsidR="00464886" w:rsidRPr="00A05C94">
        <w:t>ssurance</w:t>
      </w:r>
      <w:r w:rsidR="007B0456" w:rsidRPr="00A05C94">
        <w:t xml:space="preserve"> matter</w:t>
      </w:r>
      <w:r w:rsidR="00464886" w:rsidRPr="00A05C94">
        <w:t xml:space="preserve"> for auditors</w:t>
      </w:r>
      <w:r w:rsidR="007B0456" w:rsidRPr="00A05C94">
        <w:t xml:space="preserve"> and the </w:t>
      </w:r>
      <w:r w:rsidR="001E2C98" w:rsidRPr="00A05C94">
        <w:t>type of assurance required (</w:t>
      </w:r>
      <w:r w:rsidR="006129C4" w:rsidRPr="00A05C94">
        <w:t>that is,</w:t>
      </w:r>
      <w:r w:rsidR="001E2C98" w:rsidRPr="00A05C94">
        <w:t xml:space="preserve"> reasonable or limited).</w:t>
      </w:r>
    </w:p>
    <w:p w14:paraId="18456AE4" w14:textId="664F1B2D" w:rsidR="008E268F" w:rsidRDefault="001202CF" w:rsidP="00F76F02">
      <w:pPr>
        <w:pStyle w:val="Heading2"/>
      </w:pPr>
      <w:bookmarkStart w:id="94" w:name="_Supporting_information_requirements_1"/>
      <w:bookmarkEnd w:id="94"/>
      <w:r>
        <w:t xml:space="preserve"> </w:t>
      </w:r>
      <w:bookmarkStart w:id="95" w:name="_Toc138922908"/>
      <w:bookmarkStart w:id="96" w:name="_Toc138922983"/>
      <w:bookmarkStart w:id="97" w:name="_Toc138923047"/>
      <w:bookmarkStart w:id="98" w:name="_Toc138923304"/>
      <w:bookmarkStart w:id="99" w:name="_Toc143503176"/>
      <w:bookmarkStart w:id="100" w:name="_Toc208216270"/>
      <w:r w:rsidR="008E268F">
        <w:t>Supporting information requirements</w:t>
      </w:r>
      <w:bookmarkEnd w:id="95"/>
      <w:bookmarkEnd w:id="96"/>
      <w:bookmarkEnd w:id="97"/>
      <w:bookmarkEnd w:id="98"/>
      <w:bookmarkEnd w:id="99"/>
      <w:bookmarkEnd w:id="100"/>
    </w:p>
    <w:p w14:paraId="0E7EA522" w14:textId="01D3C5C2" w:rsidR="00281A24" w:rsidRDefault="009C0110" w:rsidP="00376145">
      <w:pPr>
        <w:spacing w:before="240"/>
      </w:pPr>
      <w:r w:rsidRPr="003D3699">
        <w:t>T</w:t>
      </w:r>
      <w:r w:rsidR="00281A24" w:rsidRPr="003D3699">
        <w:t xml:space="preserve">he </w:t>
      </w:r>
      <w:r w:rsidR="002A6B4D">
        <w:t>CER</w:t>
      </w:r>
      <w:r w:rsidR="002A6B4D" w:rsidRPr="003D3699">
        <w:t xml:space="preserve"> </w:t>
      </w:r>
      <w:r w:rsidRPr="003D3699">
        <w:t>can o</w:t>
      </w:r>
      <w:r>
        <w:t xml:space="preserve">nly </w:t>
      </w:r>
      <w:r w:rsidR="00281A24">
        <w:t xml:space="preserve">approve an application </w:t>
      </w:r>
      <w:r>
        <w:t xml:space="preserve">if </w:t>
      </w:r>
      <w:r w:rsidR="00281A24">
        <w:t xml:space="preserve">satisfied that information in the application is correct and certain </w:t>
      </w:r>
      <w:r w:rsidR="00277FC3">
        <w:t>aspects of the application</w:t>
      </w:r>
      <w:r w:rsidR="00630919">
        <w:t xml:space="preserve"> and data</w:t>
      </w:r>
      <w:r w:rsidR="00281A24">
        <w:t xml:space="preserve"> are reasonable and meet legislative requirements. </w:t>
      </w:r>
      <w:r w:rsidR="00281A24" w:rsidRPr="00A56F33">
        <w:t xml:space="preserve">See </w:t>
      </w:r>
      <w:hyperlink w:anchor="_Decision_to_make" w:history="1">
        <w:r w:rsidR="00D66466">
          <w:rPr>
            <w:rStyle w:val="Hyperlink"/>
            <w:rFonts w:asciiTheme="minorHAnsi" w:hAnsiTheme="minorHAnsi"/>
          </w:rPr>
          <w:t>Part</w:t>
        </w:r>
        <w:r w:rsidR="009202BE">
          <w:rPr>
            <w:rStyle w:val="Hyperlink"/>
            <w:rFonts w:asciiTheme="minorHAnsi" w:hAnsiTheme="minorHAnsi"/>
          </w:rPr>
          <w:t xml:space="preserve"> </w:t>
        </w:r>
        <w:r w:rsidR="00E20707">
          <w:rPr>
            <w:rStyle w:val="Hyperlink"/>
            <w:rFonts w:asciiTheme="minorHAnsi" w:hAnsiTheme="minorHAnsi"/>
          </w:rPr>
          <w:t>4</w:t>
        </w:r>
        <w:r w:rsidR="0074404B" w:rsidRPr="00A56F33">
          <w:rPr>
            <w:rStyle w:val="Hyperlink"/>
            <w:rFonts w:asciiTheme="minorHAnsi" w:hAnsiTheme="minorHAnsi"/>
          </w:rPr>
          <w:t>.1</w:t>
        </w:r>
        <w:r w:rsidR="00DF49CB" w:rsidRPr="00A56F33">
          <w:rPr>
            <w:rStyle w:val="Hyperlink"/>
            <w:rFonts w:asciiTheme="minorHAnsi" w:hAnsiTheme="minorHAnsi"/>
          </w:rPr>
          <w:t xml:space="preserve">.2 </w:t>
        </w:r>
        <w:r w:rsidR="00D07127" w:rsidRPr="00A56F33">
          <w:rPr>
            <w:rStyle w:val="Hyperlink"/>
            <w:rFonts w:asciiTheme="minorHAnsi" w:hAnsiTheme="minorHAnsi"/>
          </w:rPr>
          <w:t xml:space="preserve">Decision to make an </w:t>
        </w:r>
        <w:r w:rsidR="0095149E">
          <w:rPr>
            <w:rStyle w:val="Hyperlink"/>
            <w:rFonts w:asciiTheme="minorHAnsi" w:hAnsiTheme="minorHAnsi"/>
          </w:rPr>
          <w:t>emissions-intensity</w:t>
        </w:r>
        <w:r w:rsidR="00D07127" w:rsidRPr="00A56F33">
          <w:rPr>
            <w:rStyle w:val="Hyperlink"/>
            <w:rFonts w:asciiTheme="minorHAnsi" w:hAnsiTheme="minorHAnsi"/>
          </w:rPr>
          <w:t xml:space="preserve"> determination</w:t>
        </w:r>
      </w:hyperlink>
      <w:r w:rsidR="00D07127" w:rsidRPr="00D07127">
        <w:t xml:space="preserve"> fo</w:t>
      </w:r>
      <w:r w:rsidR="00281A24" w:rsidRPr="00A56F33">
        <w:t xml:space="preserve">r </w:t>
      </w:r>
      <w:r w:rsidR="00114205">
        <w:t>more</w:t>
      </w:r>
      <w:r w:rsidR="00114205" w:rsidRPr="00A56F33">
        <w:t xml:space="preserve"> </w:t>
      </w:r>
      <w:r w:rsidR="00281A24" w:rsidRPr="00A56F33">
        <w:t>information.</w:t>
      </w:r>
    </w:p>
    <w:p w14:paraId="4266BCFE" w14:textId="00DD5364" w:rsidR="00281A24" w:rsidRPr="00281A24" w:rsidRDefault="00281A24" w:rsidP="001C1299">
      <w:r>
        <w:t xml:space="preserve">To assist the </w:t>
      </w:r>
      <w:r w:rsidR="002A6B4D">
        <w:t xml:space="preserve">CER </w:t>
      </w:r>
      <w:r>
        <w:t>in making its decision, supporting information</w:t>
      </w:r>
      <w:r w:rsidR="001B1CB9">
        <w:t xml:space="preserve"> and evidence</w:t>
      </w:r>
      <w:r>
        <w:t xml:space="preserve"> is required to be submitted with an application. </w:t>
      </w:r>
      <w:r w:rsidR="00FF0C00">
        <w:t xml:space="preserve">The </w:t>
      </w:r>
      <w:r w:rsidR="002A6B4D">
        <w:t xml:space="preserve">CER </w:t>
      </w:r>
      <w:r w:rsidR="00FF0C00">
        <w:t xml:space="preserve">will use this information in conjunction with </w:t>
      </w:r>
      <w:r w:rsidR="00D04E82">
        <w:t>responses to the</w:t>
      </w:r>
      <w:r w:rsidR="00FF0C00">
        <w:t xml:space="preserve"> application </w:t>
      </w:r>
      <w:r w:rsidR="00D04E82">
        <w:t>questions</w:t>
      </w:r>
      <w:r w:rsidR="00FF0C00">
        <w:t xml:space="preserve"> and audit report </w:t>
      </w:r>
      <w:r w:rsidR="00A20040">
        <w:t xml:space="preserve">to </w:t>
      </w:r>
      <w:proofErr w:type="gramStart"/>
      <w:r w:rsidR="00A20040">
        <w:t>make a decision</w:t>
      </w:r>
      <w:proofErr w:type="gramEnd"/>
      <w:r w:rsidR="00A20040">
        <w:t xml:space="preserve"> on the application.</w:t>
      </w:r>
    </w:p>
    <w:p w14:paraId="6A1CD0FC" w14:textId="79BB2F87" w:rsidR="00E77B48" w:rsidRDefault="00D50D0C" w:rsidP="00B82D50">
      <w:pPr>
        <w:pStyle w:val="CERbullets"/>
        <w:numPr>
          <w:ilvl w:val="0"/>
          <w:numId w:val="0"/>
        </w:numPr>
      </w:pPr>
      <w:r>
        <w:t>The exact content and format of the supporting information and evidence is at the discretion of the applicant. However, generally s</w:t>
      </w:r>
      <w:r w:rsidR="008F6EBE">
        <w:t xml:space="preserve">upporting information and evidence </w:t>
      </w:r>
      <w:r>
        <w:t>should</w:t>
      </w:r>
      <w:r w:rsidR="00A44C29">
        <w:t xml:space="preserve"> be </w:t>
      </w:r>
      <w:r w:rsidR="00A659A3">
        <w:t>in</w:t>
      </w:r>
      <w:r w:rsidR="00A44C29">
        <w:t xml:space="preserve"> the for</w:t>
      </w:r>
      <w:r w:rsidR="0024094B">
        <w:t>m</w:t>
      </w:r>
      <w:r w:rsidR="00A44C29">
        <w:t xml:space="preserve"> of a </w:t>
      </w:r>
      <w:r w:rsidR="000A2BDC" w:rsidRPr="006462E4">
        <w:t>‘</w:t>
      </w:r>
      <w:r w:rsidR="00A44C29" w:rsidRPr="006462E4">
        <w:t>Basis</w:t>
      </w:r>
      <w:r w:rsidR="000A2BDC" w:rsidRPr="006462E4">
        <w:t> </w:t>
      </w:r>
      <w:r w:rsidR="00A44C29" w:rsidRPr="006462E4">
        <w:t>of</w:t>
      </w:r>
      <w:r w:rsidR="000A2BDC" w:rsidRPr="006462E4">
        <w:t> </w:t>
      </w:r>
      <w:r w:rsidR="00A44C29" w:rsidRPr="006462E4">
        <w:t>preparation</w:t>
      </w:r>
      <w:r w:rsidR="000A2BDC" w:rsidRPr="006462E4">
        <w:t>’</w:t>
      </w:r>
      <w:r w:rsidR="00A44C29" w:rsidRPr="006462E4">
        <w:t xml:space="preserve"> document</w:t>
      </w:r>
      <w:r w:rsidR="00174EEE" w:rsidRPr="006462E4">
        <w:t xml:space="preserve"> </w:t>
      </w:r>
      <w:r w:rsidR="008359FA" w:rsidRPr="006462E4">
        <w:t>with</w:t>
      </w:r>
      <w:r w:rsidR="00174EEE" w:rsidRPr="006462E4">
        <w:t xml:space="preserve"> </w:t>
      </w:r>
      <w:r w:rsidR="006364DE" w:rsidRPr="006462E4">
        <w:t xml:space="preserve">relevant </w:t>
      </w:r>
      <w:r w:rsidR="00F0457B" w:rsidRPr="006462E4">
        <w:t>data and calculations in an excel spreadsheet</w:t>
      </w:r>
      <w:r w:rsidR="00F0457B">
        <w:t>.</w:t>
      </w:r>
      <w:r w:rsidR="00494989">
        <w:t xml:space="preserve"> These documents </w:t>
      </w:r>
      <w:r w:rsidR="005B0290">
        <w:t>should be</w:t>
      </w:r>
      <w:r w:rsidR="00494989">
        <w:t xml:space="preserve"> attached to the application form before submission in </w:t>
      </w:r>
      <w:r w:rsidR="00D85ADB">
        <w:t>Online Services</w:t>
      </w:r>
      <w:r w:rsidR="005B0290">
        <w:t xml:space="preserve">. </w:t>
      </w:r>
      <w:r w:rsidR="00494989">
        <w:t xml:space="preserve">Accepted formats are </w:t>
      </w:r>
      <w:r w:rsidR="185876C6">
        <w:t>Microsoft W</w:t>
      </w:r>
      <w:r w:rsidR="00494989">
        <w:t>ord</w:t>
      </w:r>
      <w:r w:rsidR="0006658B">
        <w:t xml:space="preserve"> (</w:t>
      </w:r>
      <w:r w:rsidR="00775F9C">
        <w:t>.doc and .docx)</w:t>
      </w:r>
      <w:r w:rsidR="00494989">
        <w:t xml:space="preserve">, </w:t>
      </w:r>
      <w:r w:rsidR="5B423CAB">
        <w:t>Microsoft E</w:t>
      </w:r>
      <w:r w:rsidR="00494989">
        <w:t xml:space="preserve">xcel </w:t>
      </w:r>
      <w:r w:rsidR="00775F9C">
        <w:t>(.</w:t>
      </w:r>
      <w:proofErr w:type="spellStart"/>
      <w:r w:rsidR="00775F9C">
        <w:t>xls</w:t>
      </w:r>
      <w:proofErr w:type="spellEnd"/>
      <w:r w:rsidR="00775F9C">
        <w:t xml:space="preserve"> and .xlsx) </w:t>
      </w:r>
      <w:r w:rsidR="005B0290">
        <w:t>and</w:t>
      </w:r>
      <w:r w:rsidR="00494989">
        <w:t xml:space="preserve"> PDF documents. </w:t>
      </w:r>
    </w:p>
    <w:p w14:paraId="6D1D979C" w14:textId="52DCCD39" w:rsidR="009F4E6F" w:rsidRDefault="0059467C" w:rsidP="009B2890">
      <w:pPr>
        <w:pStyle w:val="CERbullets"/>
        <w:numPr>
          <w:ilvl w:val="0"/>
          <w:numId w:val="0"/>
        </w:numPr>
      </w:pPr>
      <w:r w:rsidRPr="00BE15B0">
        <w:t xml:space="preserve">The level of detail required in relation to each matter will </w:t>
      </w:r>
      <w:r w:rsidRPr="004201BD">
        <w:t xml:space="preserve">vary depending on the complexity of activities at </w:t>
      </w:r>
      <w:r w:rsidR="00280DB8" w:rsidRPr="004201BD">
        <w:t xml:space="preserve">the </w:t>
      </w:r>
      <w:r w:rsidRPr="004201BD">
        <w:t>facility.</w:t>
      </w:r>
      <w:r w:rsidR="00963CA0">
        <w:t xml:space="preserve"> </w:t>
      </w:r>
    </w:p>
    <w:p w14:paraId="3A976617" w14:textId="6EFC6431" w:rsidR="009F4E6F" w:rsidRDefault="00174A29" w:rsidP="009B2890">
      <w:pPr>
        <w:pStyle w:val="CERbullets"/>
        <w:numPr>
          <w:ilvl w:val="0"/>
          <w:numId w:val="0"/>
        </w:numPr>
      </w:pPr>
      <w:r>
        <w:t>I</w:t>
      </w:r>
      <w:r w:rsidR="009F4E6F">
        <w:t xml:space="preserve">f additional information is required at any point to inform the decision-making process, the </w:t>
      </w:r>
      <w:r w:rsidR="00BF532F" w:rsidRPr="00F84B66">
        <w:t>CER</w:t>
      </w:r>
      <w:r w:rsidR="00BF532F">
        <w:rPr>
          <w:bCs/>
        </w:rPr>
        <w:t xml:space="preserve"> </w:t>
      </w:r>
      <w:r w:rsidR="009F4E6F">
        <w:t xml:space="preserve">may request </w:t>
      </w:r>
      <w:r>
        <w:t xml:space="preserve">such </w:t>
      </w:r>
      <w:r w:rsidR="009F4E6F">
        <w:t>information.</w:t>
      </w:r>
      <w:r w:rsidR="00AE4B4F">
        <w:t xml:space="preserve"> See </w:t>
      </w:r>
      <w:hyperlink w:anchor="_Requests_for_further" w:history="1">
        <w:r w:rsidR="00A56F33">
          <w:rPr>
            <w:rStyle w:val="Hyperlink"/>
            <w:rFonts w:asciiTheme="minorHAnsi" w:hAnsiTheme="minorHAnsi"/>
          </w:rPr>
          <w:t xml:space="preserve">Part </w:t>
        </w:r>
        <w:r w:rsidR="00E20707">
          <w:rPr>
            <w:rStyle w:val="Hyperlink"/>
            <w:rFonts w:asciiTheme="minorHAnsi" w:hAnsiTheme="minorHAnsi"/>
          </w:rPr>
          <w:t>4</w:t>
        </w:r>
        <w:r w:rsidR="00765FA0" w:rsidRPr="00AE563D">
          <w:rPr>
            <w:rStyle w:val="Hyperlink"/>
            <w:rFonts w:asciiTheme="minorHAnsi" w:hAnsiTheme="minorHAnsi"/>
          </w:rPr>
          <w:t>.</w:t>
        </w:r>
        <w:r w:rsidR="00AE563D" w:rsidRPr="00AE563D">
          <w:rPr>
            <w:rStyle w:val="Hyperlink"/>
            <w:rFonts w:asciiTheme="minorHAnsi" w:hAnsiTheme="minorHAnsi"/>
          </w:rPr>
          <w:t xml:space="preserve">1.1.1 </w:t>
        </w:r>
        <w:r w:rsidR="00D25DC0">
          <w:rPr>
            <w:rStyle w:val="Hyperlink"/>
            <w:rFonts w:asciiTheme="minorHAnsi" w:hAnsiTheme="minorHAnsi"/>
          </w:rPr>
          <w:t>R</w:t>
        </w:r>
        <w:r w:rsidR="00AE563D" w:rsidRPr="00AE563D">
          <w:rPr>
            <w:rStyle w:val="Hyperlink"/>
            <w:rFonts w:asciiTheme="minorHAnsi" w:hAnsiTheme="minorHAnsi"/>
          </w:rPr>
          <w:t>eq</w:t>
        </w:r>
        <w:bookmarkStart w:id="101" w:name="_Hlt147385295"/>
        <w:r w:rsidR="00AE563D" w:rsidRPr="00AE563D">
          <w:rPr>
            <w:rStyle w:val="Hyperlink"/>
            <w:rFonts w:asciiTheme="minorHAnsi" w:hAnsiTheme="minorHAnsi"/>
          </w:rPr>
          <w:t>u</w:t>
        </w:r>
        <w:bookmarkEnd w:id="101"/>
        <w:r w:rsidR="00AE563D" w:rsidRPr="00AE563D">
          <w:rPr>
            <w:rStyle w:val="Hyperlink"/>
            <w:rFonts w:asciiTheme="minorHAnsi" w:hAnsiTheme="minorHAnsi"/>
          </w:rPr>
          <w:t>ests for further information</w:t>
        </w:r>
      </w:hyperlink>
      <w:r w:rsidR="00AE4B4F">
        <w:t xml:space="preserve"> </w:t>
      </w:r>
      <w:r w:rsidR="00AE563D">
        <w:t xml:space="preserve">for </w:t>
      </w:r>
      <w:r w:rsidR="008A07B4">
        <w:t>details</w:t>
      </w:r>
      <w:r w:rsidR="00AE4B4F">
        <w:t>.</w:t>
      </w:r>
    </w:p>
    <w:p w14:paraId="7BAD7498" w14:textId="6349AB49" w:rsidR="005347F8" w:rsidRPr="005347F8" w:rsidRDefault="1E2DB15B" w:rsidP="009B2890">
      <w:pPr>
        <w:pStyle w:val="CERbullets"/>
        <w:numPr>
          <w:ilvl w:val="0"/>
          <w:numId w:val="0"/>
        </w:numPr>
      </w:pPr>
      <w:r>
        <w:t>Responsible emitters must</w:t>
      </w:r>
      <w:r w:rsidR="6B7AE75D">
        <w:t xml:space="preserve"> retain all </w:t>
      </w:r>
      <w:r w:rsidR="007F572A">
        <w:t>s</w:t>
      </w:r>
      <w:r w:rsidR="005347F8">
        <w:t xml:space="preserve">upporting </w:t>
      </w:r>
      <w:r w:rsidR="00462BCB">
        <w:t>information and evidence</w:t>
      </w:r>
      <w:r w:rsidR="6376A6AC">
        <w:t>, make it</w:t>
      </w:r>
      <w:r w:rsidR="005347F8">
        <w:t xml:space="preserve"> available to auditors before submission</w:t>
      </w:r>
      <w:r w:rsidR="38F678C2">
        <w:t>, and retain these records</w:t>
      </w:r>
      <w:r w:rsidR="005347F8">
        <w:t xml:space="preserve">. The NGER Act requires responsible emitters to </w:t>
      </w:r>
      <w:r w:rsidR="009F5C55">
        <w:t>retain</w:t>
      </w:r>
      <w:r w:rsidR="77B219BC">
        <w:t xml:space="preserve"> </w:t>
      </w:r>
      <w:r w:rsidR="005347F8">
        <w:t>records of their activities</w:t>
      </w:r>
      <w:r w:rsidR="005347F8" w:rsidDel="005347F8">
        <w:t xml:space="preserve"> that are relevant to compliance and allow for accurate reporting</w:t>
      </w:r>
      <w:r w:rsidR="72414918">
        <w:t>,</w:t>
      </w:r>
      <w:r w:rsidR="005347F8">
        <w:t xml:space="preserve"> for five years </w:t>
      </w:r>
      <w:r w:rsidR="003A6652">
        <w:t xml:space="preserve">from </w:t>
      </w:r>
      <w:r w:rsidR="005347F8">
        <w:t>the end of the year in which the activity took place.</w:t>
      </w:r>
    </w:p>
    <w:p w14:paraId="565B592E" w14:textId="60CF5525" w:rsidR="00DC6478" w:rsidRPr="005C745F" w:rsidRDefault="00DC6478" w:rsidP="00DC6478">
      <w:pPr>
        <w:pStyle w:val="Heading2"/>
      </w:pPr>
      <w:bookmarkStart w:id="102" w:name="_Responsible_emitter"/>
      <w:bookmarkStart w:id="103" w:name="_Toc138922909"/>
      <w:bookmarkStart w:id="104" w:name="_Toc138922984"/>
      <w:bookmarkStart w:id="105" w:name="_Toc138923048"/>
      <w:bookmarkStart w:id="106" w:name="_Toc138923305"/>
      <w:bookmarkStart w:id="107" w:name="_Toc143503177"/>
      <w:bookmarkStart w:id="108" w:name="_Toc208216271"/>
      <w:bookmarkEnd w:id="102"/>
      <w:r>
        <w:t>Responsible emitter</w:t>
      </w:r>
      <w:bookmarkEnd w:id="103"/>
      <w:bookmarkEnd w:id="104"/>
      <w:bookmarkEnd w:id="105"/>
      <w:bookmarkEnd w:id="106"/>
      <w:bookmarkEnd w:id="107"/>
      <w:bookmarkEnd w:id="108"/>
    </w:p>
    <w:p w14:paraId="5ACA9932" w14:textId="30990277" w:rsidR="00DC6478" w:rsidRDefault="00DC6478" w:rsidP="00376145">
      <w:pPr>
        <w:spacing w:before="240"/>
      </w:pPr>
      <w:r>
        <w:t>The application must be submitted by the current responsible emitter for the facility</w:t>
      </w:r>
      <w:r w:rsidDel="00251E7F">
        <w:t>.</w:t>
      </w:r>
      <w:r>
        <w:t xml:space="preserve"> The responsible emitter for a facility is the person (individual, body corporate, trust, corporation sole, body politic or local</w:t>
      </w:r>
      <w:r w:rsidR="004E7653">
        <w:t> </w:t>
      </w:r>
      <w:r>
        <w:t xml:space="preserve">governing body) with </w:t>
      </w:r>
      <w:hyperlink r:id="rId34" w:anchor="n3-2" w:tooltip="A link to the Reporting thresholds page of the Clean Energy Regulator webiste" w:history="1">
        <w:r w:rsidRPr="00355D67">
          <w:rPr>
            <w:rStyle w:val="Hyperlink"/>
            <w:rFonts w:asciiTheme="minorHAnsi" w:hAnsiTheme="minorHAnsi"/>
          </w:rPr>
          <w:t>operational control</w:t>
        </w:r>
      </w:hyperlink>
      <w:r w:rsidR="00DB225E" w:rsidRPr="00812766">
        <w:rPr>
          <w:rStyle w:val="FootnoteReference"/>
        </w:rPr>
        <w:footnoteReference w:id="21"/>
      </w:r>
      <w:r>
        <w:t xml:space="preserve"> of the facility</w:t>
      </w:r>
      <w:r w:rsidR="00BA210C">
        <w:t>.</w:t>
      </w:r>
      <w:r>
        <w:t xml:space="preserve"> </w:t>
      </w:r>
    </w:p>
    <w:p w14:paraId="7CD7D9E2" w14:textId="17DF62EF" w:rsidR="00473D65" w:rsidRDefault="000D50B0" w:rsidP="00D7643F">
      <w:r>
        <w:t>The application form will be pre</w:t>
      </w:r>
      <w:r w:rsidR="00447420">
        <w:t>-</w:t>
      </w:r>
      <w:r>
        <w:t xml:space="preserve">filled with responsible emitter details based on the </w:t>
      </w:r>
      <w:r w:rsidR="00047431">
        <w:t>organisation identified in th</w:t>
      </w:r>
      <w:r w:rsidR="00E22827">
        <w:t xml:space="preserve">e user and organisation profile icon in </w:t>
      </w:r>
      <w:r w:rsidR="00047431">
        <w:t xml:space="preserve">top </w:t>
      </w:r>
      <w:r w:rsidR="00047431" w:rsidDel="00F50905">
        <w:t>right</w:t>
      </w:r>
      <w:r w:rsidR="00F50905">
        <w:t>-hand</w:t>
      </w:r>
      <w:r w:rsidR="00047431">
        <w:t xml:space="preserve"> corner of the </w:t>
      </w:r>
      <w:r w:rsidR="00046432">
        <w:t xml:space="preserve">Online Services </w:t>
      </w:r>
      <w:r w:rsidR="00F50A96">
        <w:t xml:space="preserve">dashboard </w:t>
      </w:r>
      <w:r w:rsidR="00047431">
        <w:t>page.</w:t>
      </w:r>
      <w:r w:rsidR="00597B96">
        <w:t xml:space="preserve"> If </w:t>
      </w:r>
      <w:r w:rsidR="00567FA4">
        <w:t xml:space="preserve">an applicant </w:t>
      </w:r>
      <w:r w:rsidR="00597B96">
        <w:t>need</w:t>
      </w:r>
      <w:r w:rsidR="00567FA4">
        <w:t>s</w:t>
      </w:r>
      <w:r w:rsidR="00597B96">
        <w:t xml:space="preserve"> to change to a different responsible emitter,</w:t>
      </w:r>
      <w:r w:rsidR="000823B2">
        <w:t xml:space="preserve"> click on the user and organisation profile icon and select ‘Switch</w:t>
      </w:r>
      <w:r w:rsidR="00B50AC0">
        <w:t> </w:t>
      </w:r>
      <w:r w:rsidR="00E01643">
        <w:t>account’</w:t>
      </w:r>
      <w:r w:rsidR="000823B2">
        <w:t xml:space="preserve">. </w:t>
      </w:r>
      <w:r w:rsidR="00826863">
        <w:t xml:space="preserve">If the required responsible emitter doesn’t appear, contact someone in the organisation that </w:t>
      </w:r>
      <w:r w:rsidR="00E33F16">
        <w:t xml:space="preserve">has ‘admin’ </w:t>
      </w:r>
      <w:r w:rsidR="00826863">
        <w:t>access</w:t>
      </w:r>
      <w:r w:rsidR="00096066">
        <w:t xml:space="preserve">, they </w:t>
      </w:r>
      <w:r w:rsidR="00826863">
        <w:t xml:space="preserve">can </w:t>
      </w:r>
      <w:r w:rsidR="00BF415D">
        <w:t xml:space="preserve">assign the required </w:t>
      </w:r>
      <w:r w:rsidR="00D7643F">
        <w:t xml:space="preserve">access </w:t>
      </w:r>
      <w:r w:rsidR="00C3134A" w:rsidRPr="004201BD">
        <w:t>(see</w:t>
      </w:r>
      <w:r w:rsidR="00453984" w:rsidRPr="004201BD">
        <w:t xml:space="preserve"> </w:t>
      </w:r>
      <w:hyperlink r:id="rId35" w:tooltip="A link to the NGER Online Services user guide on the Clean Energy Regulator webiste" w:history="1">
        <w:r w:rsidR="00182912" w:rsidRPr="004201BD">
          <w:rPr>
            <w:rStyle w:val="Hyperlink"/>
          </w:rPr>
          <w:t>NGER Online Services user guide</w:t>
        </w:r>
      </w:hyperlink>
      <w:r w:rsidR="00182912" w:rsidRPr="004201BD">
        <w:rPr>
          <w:rStyle w:val="FootnoteReference"/>
        </w:rPr>
        <w:footnoteReference w:id="22"/>
      </w:r>
      <w:r w:rsidR="00182912" w:rsidRPr="00BF415D" w:rsidDel="00182912">
        <w:t xml:space="preserve"> </w:t>
      </w:r>
      <w:r w:rsidR="00453984" w:rsidRPr="00812766">
        <w:t xml:space="preserve"> </w:t>
      </w:r>
      <w:r w:rsidR="00453984">
        <w:t>for more information</w:t>
      </w:r>
      <w:r w:rsidR="00C3134A">
        <w:t>).</w:t>
      </w:r>
    </w:p>
    <w:p w14:paraId="38F6DDFC" w14:textId="77777777" w:rsidR="004D4A54" w:rsidRDefault="00DC6478" w:rsidP="00DC6478">
      <w:r>
        <w:t xml:space="preserve">If a responsible emitter is not already registered under the NGER Act, and it is </w:t>
      </w:r>
      <w:r w:rsidRPr="00B60182">
        <w:rPr>
          <w:b/>
        </w:rPr>
        <w:t>not</w:t>
      </w:r>
      <w:r>
        <w:t xml:space="preserve"> a controlling corporation, it must </w:t>
      </w:r>
      <w:r w:rsidR="000A376D">
        <w:t xml:space="preserve">apply to </w:t>
      </w:r>
      <w:r>
        <w:t>register under section 15B of the NGER Act</w:t>
      </w:r>
      <w:r w:rsidR="00505BE1">
        <w:t>.</w:t>
      </w:r>
      <w:r>
        <w:t xml:space="preserve"> </w:t>
      </w:r>
    </w:p>
    <w:p w14:paraId="20DCD781" w14:textId="449DECB6" w:rsidR="00777B8F" w:rsidRDefault="00F200D0" w:rsidP="00DC6478">
      <w:r w:rsidRPr="00F200D0">
        <w:t xml:space="preserve">If </w:t>
      </w:r>
      <w:r>
        <w:t xml:space="preserve">a responsible emitter is not already registered under the NGER </w:t>
      </w:r>
      <w:r w:rsidR="00777B8F">
        <w:t>Act but</w:t>
      </w:r>
      <w:r w:rsidR="004D4A54">
        <w:t xml:space="preserve"> is both a responsible emitter </w:t>
      </w:r>
      <w:r w:rsidR="00777B8F" w:rsidRPr="00B60182">
        <w:rPr>
          <w:b/>
          <w:bCs/>
        </w:rPr>
        <w:t>and</w:t>
      </w:r>
      <w:r w:rsidR="004D4A54">
        <w:t xml:space="preserve"> </w:t>
      </w:r>
      <w:r w:rsidRPr="00F200D0">
        <w:t>a controlling corporation,</w:t>
      </w:r>
      <w:r w:rsidR="00777B8F">
        <w:t xml:space="preserve"> it must apply to</w:t>
      </w:r>
      <w:r w:rsidRPr="00F200D0">
        <w:t xml:space="preserve"> register under section 12 of the</w:t>
      </w:r>
      <w:r w:rsidR="00777B8F">
        <w:t xml:space="preserve"> NGER</w:t>
      </w:r>
      <w:r w:rsidRPr="00F200D0">
        <w:t xml:space="preserve"> Act. </w:t>
      </w:r>
    </w:p>
    <w:p w14:paraId="7AAA63F8" w14:textId="418489EA" w:rsidR="00DC6478" w:rsidRDefault="00DC6478" w:rsidP="00DC6478">
      <w:r>
        <w:t xml:space="preserve">For more information on how to identify the responsible emitter for a facility and apply for registration please see </w:t>
      </w:r>
      <w:hyperlink r:id="rId36" w:tooltip="A link to the Register and Deregister page on the Clean Energy Regulator webiste" w:history="1">
        <w:r w:rsidR="00202AC0" w:rsidRPr="3FB6375E">
          <w:rPr>
            <w:rStyle w:val="Hyperlink"/>
            <w:rFonts w:asciiTheme="minorHAnsi" w:hAnsiTheme="minorHAnsi"/>
          </w:rPr>
          <w:t>Registration</w:t>
        </w:r>
      </w:hyperlink>
      <w:r w:rsidR="00DB225E" w:rsidRPr="00812766">
        <w:rPr>
          <w:rStyle w:val="FootnoteReference"/>
        </w:rPr>
        <w:footnoteReference w:id="23"/>
      </w:r>
      <w:r>
        <w:t>.</w:t>
      </w:r>
    </w:p>
    <w:p w14:paraId="4E4C1996" w14:textId="41116545" w:rsidR="003F7907" w:rsidRDefault="00265323" w:rsidP="00D84CD0">
      <w:r>
        <w:t>Note that i</w:t>
      </w:r>
      <w:r w:rsidR="00DC6478" w:rsidRPr="00341708">
        <w:t xml:space="preserve">f </w:t>
      </w:r>
      <w:r w:rsidR="00F214BB">
        <w:t>a</w:t>
      </w:r>
      <w:r w:rsidR="00F214BB" w:rsidRPr="00341708">
        <w:t xml:space="preserve"> </w:t>
      </w:r>
      <w:r w:rsidR="00DC6478" w:rsidRPr="00341708">
        <w:t xml:space="preserve">facility has changed responsible emitters </w:t>
      </w:r>
      <w:r w:rsidR="00614677">
        <w:t xml:space="preserve">during the historical </w:t>
      </w:r>
      <w:r w:rsidR="000A376D" w:rsidRPr="6817EF4F">
        <w:t>financial years</w:t>
      </w:r>
      <w:r w:rsidR="00614677">
        <w:t xml:space="preserve"> (</w:t>
      </w:r>
      <w:r w:rsidR="006129C4">
        <w:t>that is,</w:t>
      </w:r>
      <w:r w:rsidR="00614677">
        <w:t xml:space="preserve"> 2017</w:t>
      </w:r>
      <w:r w:rsidR="00DC724A">
        <w:noBreakHyphen/>
      </w:r>
      <w:r w:rsidR="00614677">
        <w:t>18 to 2021</w:t>
      </w:r>
      <w:r w:rsidR="00DC724A">
        <w:noBreakHyphen/>
      </w:r>
      <w:r w:rsidR="00614677">
        <w:t>22)</w:t>
      </w:r>
      <w:r w:rsidR="001D176E">
        <w:t xml:space="preserve"> </w:t>
      </w:r>
      <w:r w:rsidR="00F214BB">
        <w:t>the responsible emitter is</w:t>
      </w:r>
      <w:r w:rsidR="00870051">
        <w:t xml:space="preserve"> still required to provide </w:t>
      </w:r>
      <w:r w:rsidR="00876A14">
        <w:t>al</w:t>
      </w:r>
      <w:r w:rsidR="00F71C37">
        <w:t>l</w:t>
      </w:r>
      <w:r w:rsidR="00876A14">
        <w:t xml:space="preserve"> </w:t>
      </w:r>
      <w:r w:rsidR="00870051">
        <w:t>historical production and emissions data</w:t>
      </w:r>
      <w:r w:rsidR="00323729">
        <w:t xml:space="preserve"> </w:t>
      </w:r>
      <w:r w:rsidR="00975F04">
        <w:t>unless it is not reasonably practical</w:t>
      </w:r>
      <w:r w:rsidR="00575305">
        <w:t xml:space="preserve"> </w:t>
      </w:r>
      <w:r w:rsidR="00975F04">
        <w:t>to do so</w:t>
      </w:r>
      <w:r w:rsidR="00CF1C81" w:rsidRPr="002D5688">
        <w:t>.</w:t>
      </w:r>
      <w:r w:rsidR="00295EB3" w:rsidRPr="002D5688">
        <w:t xml:space="preserve"> </w:t>
      </w:r>
      <w:r w:rsidR="00035403" w:rsidRPr="002D5688">
        <w:t>Generally</w:t>
      </w:r>
      <w:r w:rsidR="003767C3">
        <w:t>,</w:t>
      </w:r>
      <w:r w:rsidR="00035403" w:rsidRPr="002D5688">
        <w:t xml:space="preserve"> the </w:t>
      </w:r>
      <w:r w:rsidR="00BF532F" w:rsidRPr="00F84B66">
        <w:t>CER</w:t>
      </w:r>
      <w:r w:rsidR="00BF532F">
        <w:rPr>
          <w:bCs/>
        </w:rPr>
        <w:t xml:space="preserve"> </w:t>
      </w:r>
      <w:r w:rsidR="005D1663" w:rsidRPr="002D5688">
        <w:t>can</w:t>
      </w:r>
      <w:r w:rsidR="00035403" w:rsidRPr="002D5688">
        <w:t xml:space="preserve"> provide </w:t>
      </w:r>
      <w:r w:rsidR="000D5F3A" w:rsidRPr="002D5688">
        <w:t>historical</w:t>
      </w:r>
      <w:r w:rsidR="004D5473" w:rsidRPr="002D5688">
        <w:t xml:space="preserve"> NGER </w:t>
      </w:r>
      <w:r w:rsidR="000D5F3A" w:rsidRPr="002D5688">
        <w:t xml:space="preserve">reports </w:t>
      </w:r>
      <w:r w:rsidR="00031F8A" w:rsidRPr="002D5688">
        <w:t>for a facility</w:t>
      </w:r>
      <w:r w:rsidR="00782BA0">
        <w:t>,</w:t>
      </w:r>
      <w:r w:rsidR="00DC7EFB">
        <w:t xml:space="preserve"> under </w:t>
      </w:r>
      <w:r w:rsidR="006C17B6">
        <w:t>sub-</w:t>
      </w:r>
      <w:r w:rsidR="00DC7EFB">
        <w:t>section 71</w:t>
      </w:r>
      <w:r w:rsidR="006C17B6">
        <w:t>(4)</w:t>
      </w:r>
      <w:r w:rsidR="00DC7EFB">
        <w:t xml:space="preserve"> of the Safeguard Rule</w:t>
      </w:r>
      <w:r w:rsidR="00782BA0">
        <w:t>,</w:t>
      </w:r>
      <w:r w:rsidR="00031F8A" w:rsidRPr="002D5688">
        <w:t xml:space="preserve"> </w:t>
      </w:r>
      <w:r w:rsidR="000D5F3A" w:rsidRPr="002D5688">
        <w:t xml:space="preserve">to the </w:t>
      </w:r>
      <w:r w:rsidR="00482926">
        <w:t>entity</w:t>
      </w:r>
      <w:r w:rsidR="00482926" w:rsidRPr="002D5688">
        <w:t xml:space="preserve"> </w:t>
      </w:r>
      <w:r w:rsidR="0098364E" w:rsidRPr="002D5688">
        <w:t>that submitted the report and</w:t>
      </w:r>
      <w:r w:rsidR="00035403" w:rsidRPr="002D5688">
        <w:t xml:space="preserve"> </w:t>
      </w:r>
      <w:r w:rsidR="00A71F87" w:rsidRPr="002D5688">
        <w:t>to</w:t>
      </w:r>
      <w:r w:rsidR="00CF1C81" w:rsidRPr="002D5688">
        <w:t xml:space="preserve"> applicants that did not submit the </w:t>
      </w:r>
      <w:r w:rsidR="00DD61D6" w:rsidRPr="002D5688">
        <w:t>NGER report</w:t>
      </w:r>
      <w:r w:rsidR="00194725">
        <w:t>. S</w:t>
      </w:r>
      <w:r w:rsidR="00975F04" w:rsidRPr="002D5688">
        <w:t xml:space="preserve">ee </w:t>
      </w:r>
      <w:hyperlink w:anchor="_Exclusion_of_historical" w:history="1">
        <w:r w:rsidR="003239C6" w:rsidRPr="6817EF4F">
          <w:rPr>
            <w:rStyle w:val="Hyperlink"/>
            <w:rFonts w:asciiTheme="minorHAnsi" w:hAnsiTheme="minorHAnsi"/>
          </w:rPr>
          <w:t xml:space="preserve">Part </w:t>
        </w:r>
        <w:r w:rsidR="009C535C">
          <w:rPr>
            <w:rStyle w:val="Hyperlink"/>
            <w:rFonts w:asciiTheme="minorHAnsi" w:hAnsiTheme="minorHAnsi"/>
          </w:rPr>
          <w:t>3.7.1</w:t>
        </w:r>
        <w:r w:rsidR="009A4D44" w:rsidRPr="6817EF4F">
          <w:rPr>
            <w:rStyle w:val="Hyperlink"/>
            <w:rFonts w:asciiTheme="minorHAnsi" w:hAnsiTheme="minorHAnsi"/>
          </w:rPr>
          <w:t xml:space="preserve"> </w:t>
        </w:r>
        <w:r w:rsidR="00544CEC" w:rsidRPr="6817EF4F">
          <w:rPr>
            <w:rStyle w:val="Hyperlink"/>
            <w:rFonts w:asciiTheme="minorHAnsi" w:hAnsiTheme="minorHAnsi"/>
          </w:rPr>
          <w:t>E</w:t>
        </w:r>
        <w:r w:rsidR="009A4D44" w:rsidRPr="6817EF4F">
          <w:rPr>
            <w:rStyle w:val="Hyperlink"/>
            <w:rFonts w:asciiTheme="minorHAnsi" w:hAnsiTheme="minorHAnsi"/>
          </w:rPr>
          <w:t xml:space="preserve">xclusion of </w:t>
        </w:r>
        <w:r w:rsidR="009C535C">
          <w:rPr>
            <w:rStyle w:val="Hyperlink"/>
            <w:rFonts w:asciiTheme="minorHAnsi" w:hAnsiTheme="minorHAnsi"/>
          </w:rPr>
          <w:t xml:space="preserve">designated </w:t>
        </w:r>
        <w:r w:rsidR="009A4D44" w:rsidRPr="6817EF4F">
          <w:rPr>
            <w:rStyle w:val="Hyperlink"/>
            <w:rFonts w:asciiTheme="minorHAnsi" w:hAnsiTheme="minorHAnsi"/>
          </w:rPr>
          <w:t>historic information</w:t>
        </w:r>
      </w:hyperlink>
      <w:r w:rsidR="009A4D44" w:rsidRPr="002D5688">
        <w:t xml:space="preserve"> for </w:t>
      </w:r>
      <w:r w:rsidR="00FF7500" w:rsidRPr="002D5688">
        <w:t xml:space="preserve">more </w:t>
      </w:r>
      <w:r w:rsidR="009A4D44" w:rsidRPr="002D5688">
        <w:t>information</w:t>
      </w:r>
      <w:r w:rsidR="009A4D44">
        <w:t xml:space="preserve">. </w:t>
      </w:r>
    </w:p>
    <w:p w14:paraId="44CC674B" w14:textId="7DE7D049" w:rsidR="00472EAE" w:rsidRPr="00573F4C" w:rsidRDefault="00472EAE" w:rsidP="006129C4">
      <w:pPr>
        <w:pStyle w:val="Heading4"/>
        <w:numPr>
          <w:ilvl w:val="0"/>
          <w:numId w:val="0"/>
        </w:numPr>
        <w:rPr>
          <w:bCs/>
        </w:rPr>
      </w:pPr>
      <w:r w:rsidRPr="00A91744">
        <w:t>Supporting information requirement</w:t>
      </w:r>
    </w:p>
    <w:p w14:paraId="6B9DDAAD" w14:textId="5BC0FE77" w:rsidR="00A724A1" w:rsidRPr="00472EAE" w:rsidRDefault="00FA5FFB" w:rsidP="00472EAE">
      <w:r>
        <w:t xml:space="preserve">If there has been a change in responsible emitter </w:t>
      </w:r>
      <w:r w:rsidR="00FA7DC3">
        <w:t xml:space="preserve">for </w:t>
      </w:r>
      <w:r w:rsidR="00F214BB">
        <w:t xml:space="preserve">a </w:t>
      </w:r>
      <w:r w:rsidR="00FA7DC3">
        <w:t xml:space="preserve">facility </w:t>
      </w:r>
      <w:r w:rsidR="0063093C">
        <w:t xml:space="preserve">since </w:t>
      </w:r>
      <w:r w:rsidR="00F079AA">
        <w:t xml:space="preserve">1 July 2017, </w:t>
      </w:r>
      <w:r w:rsidR="00F16657">
        <w:t xml:space="preserve">please provide a brief explanation </w:t>
      </w:r>
      <w:r w:rsidR="00A724A1">
        <w:t xml:space="preserve">of </w:t>
      </w:r>
      <w:r w:rsidR="00F16657">
        <w:t>the change.</w:t>
      </w:r>
    </w:p>
    <w:p w14:paraId="40CBBD8F" w14:textId="136FE3C4" w:rsidR="00DC6478" w:rsidRDefault="001202CF" w:rsidP="00863AAD">
      <w:pPr>
        <w:pStyle w:val="Heading2"/>
      </w:pPr>
      <w:r>
        <w:t xml:space="preserve"> </w:t>
      </w:r>
      <w:bookmarkStart w:id="109" w:name="_Toc138922910"/>
      <w:bookmarkStart w:id="110" w:name="_Toc138922985"/>
      <w:bookmarkStart w:id="111" w:name="_Toc138923049"/>
      <w:bookmarkStart w:id="112" w:name="_Toc138923306"/>
      <w:bookmarkStart w:id="113" w:name="_Toc143503178"/>
      <w:bookmarkStart w:id="114" w:name="_Toc208216272"/>
      <w:r w:rsidR="004855B7">
        <w:t>Facility</w:t>
      </w:r>
      <w:r w:rsidR="00EC52CE">
        <w:t xml:space="preserve"> name and </w:t>
      </w:r>
      <w:r w:rsidR="00843430">
        <w:t>details</w:t>
      </w:r>
      <w:bookmarkEnd w:id="109"/>
      <w:bookmarkEnd w:id="110"/>
      <w:bookmarkEnd w:id="111"/>
      <w:bookmarkEnd w:id="112"/>
      <w:bookmarkEnd w:id="113"/>
      <w:bookmarkEnd w:id="114"/>
    </w:p>
    <w:p w14:paraId="55B3E9D7" w14:textId="07E3F614" w:rsidR="00A34D5B" w:rsidRPr="00A34D5B" w:rsidRDefault="00A34D5B" w:rsidP="00376145">
      <w:pPr>
        <w:spacing w:before="240"/>
      </w:pPr>
      <w:r w:rsidRPr="00A34D5B">
        <w:t>The application form will</w:t>
      </w:r>
      <w:r w:rsidR="00656BCF">
        <w:t xml:space="preserve"> provide a list of safeguard facilities under the</w:t>
      </w:r>
      <w:r w:rsidR="00275A37">
        <w:t xml:space="preserve"> selected</w:t>
      </w:r>
      <w:r w:rsidR="00656BCF">
        <w:t xml:space="preserve"> responsible emitter</w:t>
      </w:r>
      <w:r w:rsidR="00863AAD">
        <w:t xml:space="preserve"> for </w:t>
      </w:r>
      <w:r w:rsidR="004943B7">
        <w:t xml:space="preserve">the facility </w:t>
      </w:r>
      <w:r w:rsidR="00863AAD">
        <w:t>to choose from.</w:t>
      </w:r>
      <w:r w:rsidR="00656BCF">
        <w:t xml:space="preserve"> </w:t>
      </w:r>
      <w:r w:rsidR="006C1C6A">
        <w:t xml:space="preserve">If you need to make an application for a facility that is not </w:t>
      </w:r>
      <w:r w:rsidR="00F54B13">
        <w:t>listed,</w:t>
      </w:r>
      <w:r w:rsidR="006C1C6A">
        <w:t xml:space="preserve"> please contact the </w:t>
      </w:r>
      <w:r w:rsidR="00BF532F" w:rsidRPr="00F84B66">
        <w:t>CER</w:t>
      </w:r>
      <w:r w:rsidR="006C1C6A">
        <w:t xml:space="preserve">. </w:t>
      </w:r>
    </w:p>
    <w:p w14:paraId="2287AA9A" w14:textId="3D41BCA1" w:rsidR="00275A37" w:rsidRPr="007235EF" w:rsidRDefault="00275A37" w:rsidP="006129C4">
      <w:pPr>
        <w:pStyle w:val="Heading4"/>
        <w:numPr>
          <w:ilvl w:val="0"/>
          <w:numId w:val="0"/>
        </w:numPr>
      </w:pPr>
      <w:r w:rsidRPr="00A91744">
        <w:t>Supporting information requirement</w:t>
      </w:r>
    </w:p>
    <w:p w14:paraId="0819868F" w14:textId="246111DD" w:rsidR="003F7907" w:rsidRPr="00A92EC7" w:rsidRDefault="00275A37" w:rsidP="003F7907">
      <w:r>
        <w:t>Please g</w:t>
      </w:r>
      <w:r w:rsidR="003F7907" w:rsidRPr="00A92EC7">
        <w:t>ive a brief description of</w:t>
      </w:r>
      <w:r>
        <w:t xml:space="preserve"> </w:t>
      </w:r>
      <w:r w:rsidR="00D03BF4">
        <w:t xml:space="preserve">the </w:t>
      </w:r>
      <w:r>
        <w:t>facility including activities undertaken,</w:t>
      </w:r>
      <w:r w:rsidR="003F7907" w:rsidRPr="00A92EC7">
        <w:t xml:space="preserve"> location and boundary</w:t>
      </w:r>
      <w:r>
        <w:t>.</w:t>
      </w:r>
      <w:r w:rsidR="003F7907" w:rsidRPr="00A92EC7">
        <w:t xml:space="preserve"> </w:t>
      </w:r>
    </w:p>
    <w:p w14:paraId="478F69C2" w14:textId="6E957159" w:rsidR="004A5A10" w:rsidRDefault="00275A37" w:rsidP="003F7907">
      <w:r>
        <w:t>If there have been any s</w:t>
      </w:r>
      <w:r w:rsidR="003F7907" w:rsidRPr="00A92EC7">
        <w:t>ignificant changes to the facility</w:t>
      </w:r>
      <w:r w:rsidR="005D51C3">
        <w:t>’s</w:t>
      </w:r>
      <w:r w:rsidR="003F7907" w:rsidRPr="00A92EC7">
        <w:t xml:space="preserve"> </w:t>
      </w:r>
      <w:r w:rsidR="002739DB">
        <w:t>activities and</w:t>
      </w:r>
      <w:r w:rsidR="005D51C3">
        <w:t>/or</w:t>
      </w:r>
      <w:r w:rsidR="002739DB">
        <w:t xml:space="preserve"> boundaries </w:t>
      </w:r>
      <w:r w:rsidR="0063093C">
        <w:t xml:space="preserve">since </w:t>
      </w:r>
      <w:r w:rsidR="00414852">
        <w:t>1 July 2017</w:t>
      </w:r>
      <w:r w:rsidR="00722D5E">
        <w:t xml:space="preserve"> </w:t>
      </w:r>
      <w:r w:rsidR="006129C4">
        <w:t>(for example,</w:t>
      </w:r>
      <w:r w:rsidR="005D51C3">
        <w:t xml:space="preserve"> the facility has merged with another facilit</w:t>
      </w:r>
      <w:r w:rsidR="00EF52FA">
        <w:t xml:space="preserve">y or </w:t>
      </w:r>
      <w:r w:rsidR="004417D0">
        <w:t xml:space="preserve">has been split into separate facilities) </w:t>
      </w:r>
      <w:r w:rsidR="006D65FE">
        <w:t xml:space="preserve">the application </w:t>
      </w:r>
      <w:r w:rsidR="00163A04">
        <w:t xml:space="preserve">should explain the changes </w:t>
      </w:r>
      <w:r w:rsidR="00995028">
        <w:t xml:space="preserve">and </w:t>
      </w:r>
      <w:r w:rsidR="00C14101">
        <w:t xml:space="preserve">why they were made. </w:t>
      </w:r>
    </w:p>
    <w:p w14:paraId="231CD764" w14:textId="4A3AA801" w:rsidR="00812766" w:rsidRDefault="004D6395" w:rsidP="004855B7">
      <w:r>
        <w:t xml:space="preserve">Note that if there have been significant changes at </w:t>
      </w:r>
      <w:r w:rsidR="006D65FE">
        <w:t xml:space="preserve">a </w:t>
      </w:r>
      <w:r>
        <w:t>facility</w:t>
      </w:r>
      <w:r w:rsidR="00D2687C">
        <w:t xml:space="preserve">, the application </w:t>
      </w:r>
      <w:r w:rsidR="00174E1F">
        <w:t xml:space="preserve">may </w:t>
      </w:r>
      <w:r w:rsidR="00771229">
        <w:t xml:space="preserve">need to take </w:t>
      </w:r>
      <w:r w:rsidR="00E43917">
        <w:t>these changes</w:t>
      </w:r>
      <w:r w:rsidR="00771229">
        <w:t xml:space="preserve"> into account when providing</w:t>
      </w:r>
      <w:r w:rsidR="009E1E73">
        <w:t xml:space="preserve"> historical information for production variables, production quantities and covered emissions. </w:t>
      </w:r>
    </w:p>
    <w:p w14:paraId="4F599FFB" w14:textId="520225B2" w:rsidR="00BE5F19" w:rsidRPr="00A92EC7" w:rsidRDefault="00BE5F19" w:rsidP="00911C3D">
      <w:pPr>
        <w:pStyle w:val="Heading3"/>
      </w:pPr>
      <w:bookmarkStart w:id="115" w:name="_Toc143503179"/>
      <w:r>
        <w:t>Anti-avoidance measures</w:t>
      </w:r>
      <w:bookmarkEnd w:id="115"/>
      <w:r>
        <w:t xml:space="preserve"> </w:t>
      </w:r>
    </w:p>
    <w:p w14:paraId="72A96436" w14:textId="41D4F565" w:rsidR="00EC762E" w:rsidRDefault="003D3C1F" w:rsidP="00376145">
      <w:pPr>
        <w:spacing w:before="240"/>
      </w:pPr>
      <w:r>
        <w:t>N</w:t>
      </w:r>
      <w:r w:rsidR="00EC762E">
        <w:t xml:space="preserve">ew anti-avoidance measures have been introduced </w:t>
      </w:r>
      <w:r w:rsidR="003F2998">
        <w:t xml:space="preserve">in </w:t>
      </w:r>
      <w:r w:rsidR="00777927">
        <w:t xml:space="preserve">the NGER </w:t>
      </w:r>
      <w:r w:rsidR="00917ABF">
        <w:t>A</w:t>
      </w:r>
      <w:r w:rsidR="00777927">
        <w:t>ct (section 54B)</w:t>
      </w:r>
      <w:r w:rsidR="0070264B">
        <w:t xml:space="preserve"> to</w:t>
      </w:r>
      <w:r w:rsidR="00EC762E" w:rsidRPr="003159C3">
        <w:t xml:space="preserve"> prevent a business from defining, or redefining, a facility with the </w:t>
      </w:r>
      <w:r w:rsidR="00261A54">
        <w:t xml:space="preserve">sole or substantial </w:t>
      </w:r>
      <w:r w:rsidR="00BD1A27">
        <w:t xml:space="preserve">purpose of </w:t>
      </w:r>
      <w:r w:rsidR="00EC762E" w:rsidRPr="003159C3">
        <w:t xml:space="preserve">avoiding </w:t>
      </w:r>
      <w:r w:rsidR="003E3AD8">
        <w:t xml:space="preserve">or reducing </w:t>
      </w:r>
      <w:r w:rsidR="004D7962">
        <w:t>S</w:t>
      </w:r>
      <w:r w:rsidR="00EC762E" w:rsidRPr="003159C3">
        <w:t xml:space="preserve">afeguard </w:t>
      </w:r>
      <w:r w:rsidR="004D7962">
        <w:t>M</w:t>
      </w:r>
      <w:r w:rsidR="00EC762E" w:rsidRPr="003159C3">
        <w:t>echanism obligations.</w:t>
      </w:r>
      <w:r w:rsidR="00EC762E">
        <w:t xml:space="preserve"> </w:t>
      </w:r>
      <w:r w:rsidR="00A403BF">
        <w:t>T</w:t>
      </w:r>
      <w:r w:rsidR="00A403BF" w:rsidRPr="00A403BF">
        <w:t xml:space="preserve">he </w:t>
      </w:r>
      <w:r w:rsidR="002A6B4D">
        <w:t>CER</w:t>
      </w:r>
      <w:r w:rsidR="00A403BF" w:rsidRPr="00A403BF">
        <w:t xml:space="preserve"> may, on its own initiative, declare that </w:t>
      </w:r>
      <w:r w:rsidR="009F72C8">
        <w:t>an</w:t>
      </w:r>
      <w:r w:rsidR="00A403BF" w:rsidRPr="00A403BF">
        <w:t xml:space="preserve"> expected undertaking or enterprise is a facility under these circumstances.</w:t>
      </w:r>
    </w:p>
    <w:p w14:paraId="67766B71" w14:textId="00246FB7" w:rsidR="00EC762E" w:rsidRDefault="00EC762E" w:rsidP="007235EF">
      <w:pPr>
        <w:spacing w:after="120"/>
      </w:pPr>
      <w:r>
        <w:t>These provisions include scenarios such as (re)defining facility boundaries for the</w:t>
      </w:r>
      <w:r w:rsidR="00B62610">
        <w:t xml:space="preserve"> sole or</w:t>
      </w:r>
      <w:r>
        <w:t xml:space="preserve"> substantial purpose of</w:t>
      </w:r>
      <w:r w:rsidR="00B62610">
        <w:t xml:space="preserve"> achieving the below results</w:t>
      </w:r>
      <w:r>
        <w:t xml:space="preserve">: </w:t>
      </w:r>
    </w:p>
    <w:p w14:paraId="4504C9C2" w14:textId="4BB3A75F" w:rsidR="00EC762E" w:rsidRDefault="00EC762E" w:rsidP="00D047F1">
      <w:pPr>
        <w:pStyle w:val="ListParagraph"/>
        <w:numPr>
          <w:ilvl w:val="0"/>
          <w:numId w:val="5"/>
        </w:numPr>
        <w:spacing w:after="120"/>
        <w:ind w:left="357" w:hanging="357"/>
      </w:pPr>
      <w:r>
        <w:t xml:space="preserve">avoiding the </w:t>
      </w:r>
      <w:r w:rsidR="00E82969">
        <w:t>safeguard</w:t>
      </w:r>
      <w:r>
        <w:t xml:space="preserve"> threshold </w:t>
      </w:r>
      <w:r w:rsidR="00E82969">
        <w:t>(</w:t>
      </w:r>
      <w:r w:rsidR="006129C4">
        <w:t xml:space="preserve">that is, </w:t>
      </w:r>
      <w:r w:rsidR="00E82969">
        <w:t>100,000 tCO</w:t>
      </w:r>
      <w:r w:rsidR="00E82969" w:rsidRPr="00FE2099">
        <w:rPr>
          <w:vertAlign w:val="subscript"/>
        </w:rPr>
        <w:t>2</w:t>
      </w:r>
      <w:r w:rsidR="00E82969">
        <w:t>-e)</w:t>
      </w:r>
      <w:r>
        <w:t xml:space="preserve"> for one or more facilities</w:t>
      </w:r>
      <w:r w:rsidR="00B62610">
        <w:t xml:space="preserve"> so that the relevant activities are not a designated large facility, as defined in the NGER Act</w:t>
      </w:r>
    </w:p>
    <w:p w14:paraId="627A1DAA" w14:textId="44380AF8" w:rsidR="004373E3" w:rsidRDefault="0DA76C9D" w:rsidP="3FB6375E">
      <w:pPr>
        <w:pStyle w:val="ListParagraph"/>
        <w:numPr>
          <w:ilvl w:val="0"/>
          <w:numId w:val="5"/>
        </w:numPr>
        <w:spacing w:after="120"/>
        <w:ind w:left="357" w:hanging="357"/>
      </w:pPr>
      <w:r>
        <w:t>achieving</w:t>
      </w:r>
      <w:r w:rsidR="00EC762E">
        <w:t xml:space="preserve"> a higher </w:t>
      </w:r>
      <w:r w:rsidR="4FE79BFD">
        <w:t>baseline</w:t>
      </w:r>
      <w:r w:rsidR="00AA6BEA">
        <w:t xml:space="preserve"> emissions</w:t>
      </w:r>
      <w:r w:rsidR="00EC762E">
        <w:t xml:space="preserve"> number</w:t>
      </w:r>
      <w:r w:rsidR="00604557">
        <w:t>,</w:t>
      </w:r>
      <w:r w:rsidR="5C31A947">
        <w:t xml:space="preserve"> or reduced </w:t>
      </w:r>
      <w:proofErr w:type="gramStart"/>
      <w:r w:rsidR="66D3F913">
        <w:t>amount</w:t>
      </w:r>
      <w:proofErr w:type="gramEnd"/>
      <w:r w:rsidR="66D3F913">
        <w:t xml:space="preserve"> of </w:t>
      </w:r>
      <w:r w:rsidR="5C31A947">
        <w:t>covered emissions</w:t>
      </w:r>
      <w:r w:rsidR="4509F90E">
        <w:t>,</w:t>
      </w:r>
      <w:r w:rsidR="5C31A947">
        <w:t xml:space="preserve"> or</w:t>
      </w:r>
    </w:p>
    <w:p w14:paraId="18213A37" w14:textId="5EFF3FEC" w:rsidR="00FB4044" w:rsidRPr="00812766" w:rsidRDefault="00F01E52" w:rsidP="3FB6375E">
      <w:pPr>
        <w:pStyle w:val="ListParagraph"/>
        <w:numPr>
          <w:ilvl w:val="0"/>
          <w:numId w:val="5"/>
        </w:numPr>
        <w:spacing w:after="120"/>
        <w:ind w:left="357" w:hanging="357"/>
      </w:pPr>
      <w:r>
        <w:t>changing</w:t>
      </w:r>
      <w:r w:rsidR="00AE1022">
        <w:t xml:space="preserve"> </w:t>
      </w:r>
      <w:r w:rsidR="0013024B">
        <w:t xml:space="preserve">the </w:t>
      </w:r>
      <w:r w:rsidR="00AE1022">
        <w:t>industry sector</w:t>
      </w:r>
      <w:r w:rsidR="00234B64">
        <w:t xml:space="preserve"> </w:t>
      </w:r>
      <w:r w:rsidR="0013024B">
        <w:t xml:space="preserve">the facility </w:t>
      </w:r>
      <w:r w:rsidR="00784305">
        <w:t>is attributed to</w:t>
      </w:r>
      <w:r w:rsidR="003B5489">
        <w:t>.</w:t>
      </w:r>
    </w:p>
    <w:p w14:paraId="47B9D56E" w14:textId="7E02A5D4" w:rsidR="000C4A6E" w:rsidRPr="00147D50" w:rsidRDefault="000C4A6E" w:rsidP="004B557E">
      <w:pPr>
        <w:pStyle w:val="Heading2"/>
      </w:pPr>
      <w:bookmarkStart w:id="116" w:name="_Toc138922911"/>
      <w:bookmarkStart w:id="117" w:name="_Toc138922986"/>
      <w:bookmarkStart w:id="118" w:name="_Toc138923050"/>
      <w:bookmarkStart w:id="119" w:name="_Toc138923307"/>
      <w:bookmarkStart w:id="120" w:name="_Toc143503180"/>
      <w:bookmarkStart w:id="121" w:name="_Toc208216273"/>
      <w:r w:rsidRPr="00147D50">
        <w:t>Start date</w:t>
      </w:r>
      <w:bookmarkEnd w:id="116"/>
      <w:bookmarkEnd w:id="117"/>
      <w:bookmarkEnd w:id="118"/>
      <w:bookmarkEnd w:id="119"/>
      <w:bookmarkEnd w:id="120"/>
      <w:bookmarkEnd w:id="121"/>
    </w:p>
    <w:p w14:paraId="31E5CD66" w14:textId="553BFB76" w:rsidR="004855B7" w:rsidRPr="00A92EC7" w:rsidRDefault="00380569" w:rsidP="00376145">
      <w:pPr>
        <w:spacing w:before="240"/>
      </w:pPr>
      <w:r w:rsidRPr="00147D50">
        <w:t xml:space="preserve">Select the financial year </w:t>
      </w:r>
      <w:r w:rsidR="00860784" w:rsidRPr="00147D50">
        <w:t>for which</w:t>
      </w:r>
      <w:r w:rsidR="00CC7E63" w:rsidRPr="00147D50">
        <w:t xml:space="preserve"> the </w:t>
      </w:r>
      <w:r w:rsidR="000846D4" w:rsidRPr="00147D50">
        <w:t>EID</w:t>
      </w:r>
      <w:r w:rsidR="00CC7E63" w:rsidRPr="00147D50">
        <w:t xml:space="preserve"> is to commence from the 1 July. For example, if the </w:t>
      </w:r>
      <w:r w:rsidR="000C6C42" w:rsidRPr="00147D50">
        <w:t>determination is to commence 1 July 2024, select the 2024-25 financial year.</w:t>
      </w:r>
    </w:p>
    <w:p w14:paraId="47F9FAB3" w14:textId="1CF4556E" w:rsidR="00413459" w:rsidRDefault="00AE64F4" w:rsidP="00F71F83">
      <w:pPr>
        <w:pStyle w:val="Heading2"/>
      </w:pPr>
      <w:bookmarkStart w:id="122" w:name="_Production_variables"/>
      <w:bookmarkStart w:id="123" w:name="_Toc138922912"/>
      <w:bookmarkStart w:id="124" w:name="_Toc138922987"/>
      <w:bookmarkStart w:id="125" w:name="_Toc138923051"/>
      <w:bookmarkStart w:id="126" w:name="_Toc138923308"/>
      <w:bookmarkStart w:id="127" w:name="_Toc143503181"/>
      <w:bookmarkStart w:id="128" w:name="_Toc208216274"/>
      <w:bookmarkEnd w:id="122"/>
      <w:r>
        <w:t>Production variables</w:t>
      </w:r>
      <w:bookmarkEnd w:id="123"/>
      <w:bookmarkEnd w:id="124"/>
      <w:bookmarkEnd w:id="125"/>
      <w:bookmarkEnd w:id="126"/>
      <w:bookmarkEnd w:id="127"/>
      <w:bookmarkEnd w:id="128"/>
    </w:p>
    <w:p w14:paraId="7A07BA38" w14:textId="186A3805" w:rsidR="00D149DD" w:rsidRPr="00D149DD" w:rsidRDefault="00D149DD" w:rsidP="00376145">
      <w:pPr>
        <w:spacing w:before="240"/>
      </w:pPr>
      <w:r>
        <w:t>The following section provides information to</w:t>
      </w:r>
      <w:r w:rsidR="003772B0">
        <w:t xml:space="preserve"> assist in</w:t>
      </w:r>
      <w:r>
        <w:t xml:space="preserve"> identifying </w:t>
      </w:r>
      <w:r w:rsidR="000851BE">
        <w:t xml:space="preserve">the </w:t>
      </w:r>
      <w:r>
        <w:t xml:space="preserve">relevant production variables for </w:t>
      </w:r>
      <w:r w:rsidR="000851BE">
        <w:t xml:space="preserve">a </w:t>
      </w:r>
      <w:r>
        <w:t>facility</w:t>
      </w:r>
      <w:r w:rsidR="003772B0">
        <w:t xml:space="preserve"> and what information </w:t>
      </w:r>
      <w:r w:rsidR="000851BE">
        <w:t xml:space="preserve">needs to be </w:t>
      </w:r>
      <w:r w:rsidR="003772B0">
        <w:t>provide</w:t>
      </w:r>
      <w:r w:rsidR="000851BE">
        <w:t>d</w:t>
      </w:r>
      <w:r w:rsidR="003772B0">
        <w:t xml:space="preserve"> in </w:t>
      </w:r>
      <w:r w:rsidR="0053028B">
        <w:t xml:space="preserve">an </w:t>
      </w:r>
      <w:r w:rsidR="003772B0">
        <w:t>application.</w:t>
      </w:r>
    </w:p>
    <w:p w14:paraId="6F14624E" w14:textId="247CB039" w:rsidR="00EF1151" w:rsidRPr="00EF1151" w:rsidRDefault="00EF1151" w:rsidP="003E5B86">
      <w:pPr>
        <w:pStyle w:val="Heading3"/>
      </w:pPr>
      <w:bookmarkStart w:id="129" w:name="_Toc138922913"/>
      <w:bookmarkStart w:id="130" w:name="_Toc138922988"/>
      <w:bookmarkStart w:id="131" w:name="_Toc138923052"/>
      <w:bookmarkStart w:id="132" w:name="_Toc138923309"/>
      <w:bookmarkStart w:id="133" w:name="_Toc143503182"/>
      <w:r>
        <w:t>Production variable introduction</w:t>
      </w:r>
      <w:bookmarkEnd w:id="129"/>
      <w:bookmarkEnd w:id="130"/>
      <w:bookmarkEnd w:id="131"/>
      <w:bookmarkEnd w:id="132"/>
      <w:bookmarkEnd w:id="133"/>
    </w:p>
    <w:p w14:paraId="524F1ACA" w14:textId="724CA3B2" w:rsidR="003D1E08" w:rsidRDefault="00C571B6" w:rsidP="00376145">
      <w:pPr>
        <w:spacing w:before="240"/>
      </w:pPr>
      <w:r w:rsidRPr="09D65D44">
        <w:rPr>
          <w:rStyle w:val="cf01"/>
          <w:rFonts w:asciiTheme="minorHAnsi" w:hAnsiTheme="minorHAnsi" w:cstheme="minorBidi"/>
          <w:sz w:val="22"/>
          <w:szCs w:val="22"/>
        </w:rPr>
        <w:t>Production</w:t>
      </w:r>
      <w:r w:rsidRPr="09D65D44">
        <w:rPr>
          <w:rStyle w:val="cf11"/>
          <w:rFonts w:asciiTheme="minorHAnsi" w:hAnsiTheme="minorHAnsi" w:cstheme="minorBidi"/>
          <w:sz w:val="22"/>
          <w:szCs w:val="22"/>
        </w:rPr>
        <w:t xml:space="preserve"> variables are metrics that </w:t>
      </w:r>
      <w:r>
        <w:t>generally</w:t>
      </w:r>
      <w:r w:rsidRPr="09D65D44">
        <w:rPr>
          <w:rStyle w:val="cf11"/>
          <w:rFonts w:asciiTheme="minorHAnsi" w:hAnsiTheme="minorHAnsi" w:cstheme="minorBidi"/>
          <w:sz w:val="22"/>
          <w:szCs w:val="22"/>
        </w:rPr>
        <w:t xml:space="preserve"> represent the productive output of the facility</w:t>
      </w:r>
      <w:r>
        <w:t xml:space="preserve">. </w:t>
      </w:r>
      <w:r w:rsidR="000C6C52" w:rsidRPr="00802E4B">
        <w:t>In some cases</w:t>
      </w:r>
      <w:r w:rsidR="00AC2AF7">
        <w:t>,</w:t>
      </w:r>
      <w:r w:rsidR="000C6C52" w:rsidRPr="00802E4B">
        <w:t xml:space="preserve"> the output may be a</w:t>
      </w:r>
      <w:r w:rsidR="00802E4B" w:rsidRPr="00A018CF">
        <w:t>n</w:t>
      </w:r>
      <w:r w:rsidR="00306646" w:rsidRPr="00802E4B">
        <w:t xml:space="preserve"> intermediate product or waste product.</w:t>
      </w:r>
      <w:r w:rsidR="00DA3A0B">
        <w:t xml:space="preserve"> </w:t>
      </w:r>
    </w:p>
    <w:p w14:paraId="5FA2AEA8" w14:textId="3EDFA714" w:rsidR="00DA3A0B" w:rsidRDefault="00DA3A0B" w:rsidP="00DA3A0B">
      <w:r>
        <w:t xml:space="preserve">Only production variables </w:t>
      </w:r>
      <w:r w:rsidR="003D1E08">
        <w:t>listed in Schedule 1 of the Safeguard Rule</w:t>
      </w:r>
      <w:r w:rsidR="00C84B87">
        <w:t xml:space="preserve"> (</w:t>
      </w:r>
      <w:r w:rsidR="00626AE2">
        <w:t>previously</w:t>
      </w:r>
      <w:r w:rsidR="00C84B87">
        <w:t xml:space="preserve"> known as ‘prescribed’ production variables</w:t>
      </w:r>
      <w:r w:rsidR="00005925">
        <w:t xml:space="preserve"> listed in Schedule 2 and 3</w:t>
      </w:r>
      <w:r w:rsidR="00C84B87">
        <w:t>)</w:t>
      </w:r>
      <w:r w:rsidR="003D1E08">
        <w:t xml:space="preserve"> </w:t>
      </w:r>
      <w:r w:rsidR="00C356C3">
        <w:t xml:space="preserve">can be used in an </w:t>
      </w:r>
      <w:r w:rsidR="003527B3">
        <w:t>EID</w:t>
      </w:r>
      <w:r w:rsidR="00C356C3">
        <w:t xml:space="preserve"> application</w:t>
      </w:r>
      <w:r w:rsidR="008A1C36">
        <w:t>.</w:t>
      </w:r>
      <w:r w:rsidR="0052725B">
        <w:t xml:space="preserve"> </w:t>
      </w:r>
    </w:p>
    <w:p w14:paraId="230667BB" w14:textId="0A2BA547" w:rsidR="001F2573" w:rsidRDefault="001F2573" w:rsidP="00DA3A0B">
      <w:r w:rsidRPr="00CF330D">
        <w:t xml:space="preserve">These production variables have been developed by </w:t>
      </w:r>
      <w:r w:rsidR="00CF330D">
        <w:t xml:space="preserve">the </w:t>
      </w:r>
      <w:r w:rsidR="000F6B9C">
        <w:t>DCCEEW</w:t>
      </w:r>
      <w:r w:rsidRPr="00CF330D">
        <w:t xml:space="preserve"> in consultation with industry using the principles that they should be effective, consistent, practical</w:t>
      </w:r>
      <w:r w:rsidR="000F0C94" w:rsidRPr="00CF330D">
        <w:t>,</w:t>
      </w:r>
      <w:r w:rsidRPr="00CF330D">
        <w:t xml:space="preserve"> and robust.</w:t>
      </w:r>
    </w:p>
    <w:p w14:paraId="557C6646" w14:textId="40F44508" w:rsidR="0083667A" w:rsidRPr="000873C9" w:rsidRDefault="008B4FC8" w:rsidP="00A92EC7">
      <w:r w:rsidRPr="3FB6375E">
        <w:t>The</w:t>
      </w:r>
      <w:hyperlink r:id="rId37" w:tooltip="A link to the The Safeguard Mechanism: presecribed production variables and default emissions-intensities on the Department of Climate Change, Energy the Environment and Water's webiste" w:history="1">
        <w:r w:rsidRPr="3FB6375E">
          <w:rPr>
            <w:rStyle w:val="Hyperlink"/>
          </w:rPr>
          <w:t xml:space="preserve"> Safeguard Mechanism: Prescribed production variables and default </w:t>
        </w:r>
        <w:r w:rsidR="0095149E">
          <w:rPr>
            <w:rStyle w:val="Hyperlink"/>
          </w:rPr>
          <w:t>emissions-intensit</w:t>
        </w:r>
        <w:r w:rsidR="007A0A05">
          <w:rPr>
            <w:rStyle w:val="Hyperlink"/>
          </w:rPr>
          <w:t>ies</w:t>
        </w:r>
      </w:hyperlink>
      <w:r w:rsidR="007777A9" w:rsidRPr="3FB6375E">
        <w:rPr>
          <w:rStyle w:val="FootnoteReference"/>
        </w:rPr>
        <w:footnoteReference w:id="24"/>
      </w:r>
      <w:r w:rsidRPr="3FB6375E">
        <w:t xml:space="preserve"> document</w:t>
      </w:r>
      <w:r w:rsidR="00F7226E" w:rsidRPr="3FB6375E">
        <w:t xml:space="preserve"> (Safeguard Mechanism document)</w:t>
      </w:r>
      <w:r w:rsidRPr="3FB6375E">
        <w:t xml:space="preserve">, published on the </w:t>
      </w:r>
      <w:r w:rsidR="00CF330D" w:rsidRPr="3FB6375E">
        <w:t>DCCEEW</w:t>
      </w:r>
      <w:r w:rsidRPr="3FB6375E">
        <w:t xml:space="preserve"> website, provides further details on production variables and </w:t>
      </w:r>
      <w:r w:rsidRPr="000873C9">
        <w:t xml:space="preserve">associated </w:t>
      </w:r>
      <w:r w:rsidR="0095149E">
        <w:t>emissions-intensity</w:t>
      </w:r>
      <w:r w:rsidRPr="000873C9">
        <w:t xml:space="preserve"> values</w:t>
      </w:r>
      <w:r w:rsidR="393B4969" w:rsidRPr="000873C9">
        <w:t>,</w:t>
      </w:r>
      <w:r w:rsidRPr="000873C9">
        <w:t xml:space="preserve"> and forms part of the Safeguard Rule. </w:t>
      </w:r>
    </w:p>
    <w:p w14:paraId="0FB7A791" w14:textId="441C9895" w:rsidR="00D732BB" w:rsidRDefault="00D732BB" w:rsidP="00A92EC7">
      <w:pPr>
        <w:pStyle w:val="Heading3"/>
      </w:pPr>
      <w:bookmarkStart w:id="134" w:name="_Toc138922914"/>
      <w:bookmarkStart w:id="135" w:name="_Toc138922989"/>
      <w:bookmarkStart w:id="136" w:name="_Toc138923053"/>
      <w:bookmarkStart w:id="137" w:name="_Toc138923310"/>
      <w:bookmarkStart w:id="138" w:name="_Toc143503183"/>
      <w:r>
        <w:t>Production variable categories</w:t>
      </w:r>
      <w:bookmarkEnd w:id="134"/>
      <w:bookmarkEnd w:id="135"/>
      <w:bookmarkEnd w:id="136"/>
      <w:bookmarkEnd w:id="137"/>
      <w:bookmarkEnd w:id="138"/>
    </w:p>
    <w:p w14:paraId="66244F78" w14:textId="69DF276F" w:rsidR="00413459" w:rsidRPr="00F71F83" w:rsidRDefault="000873C9" w:rsidP="00376145">
      <w:pPr>
        <w:spacing w:before="240"/>
        <w:rPr>
          <w:color w:val="92D050"/>
        </w:rPr>
      </w:pPr>
      <w:r>
        <w:t>T</w:t>
      </w:r>
      <w:r w:rsidR="008E1365">
        <w:t xml:space="preserve">here are </w:t>
      </w:r>
      <w:r w:rsidR="006F030A">
        <w:t>four</w:t>
      </w:r>
      <w:r w:rsidR="008E1365">
        <w:t xml:space="preserve"> </w:t>
      </w:r>
      <w:r w:rsidR="00CB30DF">
        <w:t xml:space="preserve">categories </w:t>
      </w:r>
      <w:r w:rsidR="008E1365">
        <w:t>of p</w:t>
      </w:r>
      <w:r w:rsidR="00413459">
        <w:t xml:space="preserve">roduction variables </w:t>
      </w:r>
      <w:r w:rsidR="00C96E0D">
        <w:t>–</w:t>
      </w:r>
      <w:r w:rsidR="00413459">
        <w:t xml:space="preserve"> historical</w:t>
      </w:r>
      <w:r w:rsidR="00C96E0D">
        <w:t>, related</w:t>
      </w:r>
      <w:r w:rsidR="006F030A">
        <w:t xml:space="preserve">, </w:t>
      </w:r>
      <w:r w:rsidR="00413459">
        <w:t>transitional</w:t>
      </w:r>
      <w:r w:rsidR="006F030A">
        <w:t xml:space="preserve">, and new. Only the first three are applicable to </w:t>
      </w:r>
      <w:r w:rsidR="0064078B">
        <w:t xml:space="preserve">an </w:t>
      </w:r>
      <w:r w:rsidR="00E10D00">
        <w:t>EID</w:t>
      </w:r>
      <w:r w:rsidR="0CACF490">
        <w:t xml:space="preserve"> </w:t>
      </w:r>
      <w:r w:rsidR="006F030A">
        <w:t>application.</w:t>
      </w:r>
    </w:p>
    <w:p w14:paraId="29B4C230" w14:textId="57636431" w:rsidR="00413459" w:rsidRDefault="00413459" w:rsidP="00A92EC7">
      <w:pPr>
        <w:pStyle w:val="Heading4"/>
      </w:pPr>
      <w:r w:rsidRPr="00F71F83">
        <w:t>Historical</w:t>
      </w:r>
      <w:r w:rsidR="00AE7148">
        <w:t xml:space="preserve"> </w:t>
      </w:r>
      <w:r w:rsidRPr="00F71F83">
        <w:t>production variables</w:t>
      </w:r>
    </w:p>
    <w:p w14:paraId="6DCC280A" w14:textId="7C27994A" w:rsidR="003B066D" w:rsidRDefault="0047665E" w:rsidP="00376145">
      <w:pPr>
        <w:spacing w:before="240"/>
      </w:pPr>
      <w:r w:rsidRPr="002702C9">
        <w:t>A p</w:t>
      </w:r>
      <w:r w:rsidR="00413459" w:rsidRPr="002702C9">
        <w:t xml:space="preserve">roduction variable </w:t>
      </w:r>
      <w:r w:rsidRPr="002702C9">
        <w:t>is</w:t>
      </w:r>
      <w:r w:rsidR="00A456F2" w:rsidRPr="002702C9">
        <w:t xml:space="preserve"> historical if </w:t>
      </w:r>
      <w:r w:rsidRPr="002702C9">
        <w:t>it was</w:t>
      </w:r>
      <w:r w:rsidR="00A456F2" w:rsidRPr="002702C9">
        <w:t xml:space="preserve"> produced by the </w:t>
      </w:r>
      <w:r w:rsidR="00413459" w:rsidRPr="002702C9">
        <w:t xml:space="preserve">facility </w:t>
      </w:r>
      <w:r w:rsidR="00C307ED" w:rsidRPr="002702C9">
        <w:t>during any of the historical financial years (</w:t>
      </w:r>
      <w:r w:rsidR="00F33100">
        <w:t xml:space="preserve">that is, </w:t>
      </w:r>
      <w:r w:rsidR="00C307ED" w:rsidRPr="002702C9">
        <w:t xml:space="preserve">2017-18 to 2021-22) </w:t>
      </w:r>
      <w:r w:rsidR="00413459" w:rsidRPr="002702C9">
        <w:t xml:space="preserve">and </w:t>
      </w:r>
      <w:r w:rsidR="7A0ECD89" w:rsidRPr="002702C9">
        <w:t>it</w:t>
      </w:r>
      <w:r w:rsidR="00465BBB" w:rsidRPr="002702C9">
        <w:t xml:space="preserve"> was not </w:t>
      </w:r>
      <w:r w:rsidR="7FFBC6B5" w:rsidRPr="002702C9">
        <w:t xml:space="preserve">in </w:t>
      </w:r>
      <w:r w:rsidR="00413459" w:rsidRPr="002702C9">
        <w:t>non-commercial produc</w:t>
      </w:r>
      <w:r w:rsidR="00A456F2" w:rsidRPr="002702C9">
        <w:t>tion</w:t>
      </w:r>
      <w:r w:rsidR="00413459" w:rsidRPr="002702C9">
        <w:t xml:space="preserve"> </w:t>
      </w:r>
      <w:r w:rsidR="00923441" w:rsidRPr="002702C9">
        <w:t xml:space="preserve">for </w:t>
      </w:r>
      <w:r w:rsidR="00815128">
        <w:t xml:space="preserve">that </w:t>
      </w:r>
      <w:r w:rsidR="00B63EFB" w:rsidRPr="002702C9">
        <w:t xml:space="preserve">historical </w:t>
      </w:r>
      <w:r w:rsidR="003363D5" w:rsidRPr="002702C9">
        <w:t xml:space="preserve">financial </w:t>
      </w:r>
      <w:r w:rsidR="00B63EFB" w:rsidRPr="002702C9">
        <w:t>year</w:t>
      </w:r>
      <w:r w:rsidR="00B63EFB" w:rsidRPr="002355BC">
        <w:t>.</w:t>
      </w:r>
      <w:r w:rsidR="00413459" w:rsidRPr="002355BC">
        <w:t xml:space="preserve"> </w:t>
      </w:r>
    </w:p>
    <w:p w14:paraId="5035E7B3" w14:textId="680F41E6" w:rsidR="003B066D" w:rsidRDefault="003B066D" w:rsidP="00413459">
      <w:r>
        <w:t>Non-</w:t>
      </w:r>
      <w:r w:rsidR="00466901">
        <w:t>commercial</w:t>
      </w:r>
      <w:r>
        <w:t xml:space="preserve"> production</w:t>
      </w:r>
      <w:r w:rsidR="00482069">
        <w:t xml:space="preserve"> </w:t>
      </w:r>
      <w:r w:rsidR="00466901">
        <w:t>involves production</w:t>
      </w:r>
      <w:r w:rsidR="00E570A6">
        <w:t xml:space="preserve"> where the product </w:t>
      </w:r>
      <w:r w:rsidR="00B65570">
        <w:t xml:space="preserve">is not produced for </w:t>
      </w:r>
      <w:r w:rsidR="00EF6772">
        <w:t>sale but</w:t>
      </w:r>
      <w:r w:rsidR="6A50FAE7">
        <w:t xml:space="preserve"> is only produced </w:t>
      </w:r>
      <w:proofErr w:type="gramStart"/>
      <w:r w:rsidR="6A50FAE7">
        <w:t>in the course of</w:t>
      </w:r>
      <w:proofErr w:type="gramEnd"/>
      <w:r w:rsidR="6A50FAE7">
        <w:t xml:space="preserve"> testing and pilot activities</w:t>
      </w:r>
      <w:r w:rsidR="00E570A6">
        <w:t xml:space="preserve">. Examples include </w:t>
      </w:r>
      <w:r w:rsidR="00A31A53">
        <w:t xml:space="preserve">production where the facility is in exploration phase, </w:t>
      </w:r>
      <w:r w:rsidR="00E570A6">
        <w:t xml:space="preserve">plant </w:t>
      </w:r>
      <w:r w:rsidR="00482069">
        <w:t>commissioning, piloting or testing of a new product</w:t>
      </w:r>
      <w:r w:rsidR="00444707">
        <w:t>.</w:t>
      </w:r>
    </w:p>
    <w:p w14:paraId="47E9950A" w14:textId="01B0805A" w:rsidR="0046756D" w:rsidRDefault="000C060A" w:rsidP="00413459">
      <w:r>
        <w:t xml:space="preserve">Historical </w:t>
      </w:r>
      <w:r w:rsidR="00413459">
        <w:t xml:space="preserve">production variables will have a </w:t>
      </w:r>
      <w:r w:rsidR="00E10D00">
        <w:t>FSEI</w:t>
      </w:r>
      <w:r w:rsidR="00413459">
        <w:t xml:space="preserve"> </w:t>
      </w:r>
      <w:r w:rsidR="005A2291">
        <w:t>value</w:t>
      </w:r>
      <w:r w:rsidR="00413459">
        <w:t xml:space="preserve"> </w:t>
      </w:r>
      <w:r w:rsidR="00E433F2">
        <w:t>s</w:t>
      </w:r>
      <w:r w:rsidR="008A65FF">
        <w:t xml:space="preserve">et </w:t>
      </w:r>
      <w:r w:rsidR="1063EACD">
        <w:t xml:space="preserve">out in the </w:t>
      </w:r>
      <w:r w:rsidR="00E10D00">
        <w:t>EID</w:t>
      </w:r>
      <w:r w:rsidR="1063EACD">
        <w:t xml:space="preserve">, </w:t>
      </w:r>
      <w:r w:rsidR="008A65FF">
        <w:t>using historical production and emissions data provided in the application.</w:t>
      </w:r>
    </w:p>
    <w:p w14:paraId="05BD6ABE" w14:textId="55B26DA7" w:rsidR="00435650" w:rsidRDefault="00435650" w:rsidP="003E5B86">
      <w:pPr>
        <w:pStyle w:val="Heading4"/>
      </w:pPr>
      <w:r w:rsidRPr="00435650">
        <w:t xml:space="preserve">Related production variables </w:t>
      </w:r>
    </w:p>
    <w:p w14:paraId="3D13AA20" w14:textId="4F3836B2" w:rsidR="008246F5" w:rsidRDefault="26AE7326" w:rsidP="00376145">
      <w:pPr>
        <w:spacing w:before="240" w:line="259" w:lineRule="auto"/>
      </w:pPr>
      <w:r>
        <w:t xml:space="preserve">An </w:t>
      </w:r>
      <w:r w:rsidR="00E10D00">
        <w:t>EID</w:t>
      </w:r>
      <w:r w:rsidR="71919E41">
        <w:t xml:space="preserve"> application</w:t>
      </w:r>
      <w:r>
        <w:t xml:space="preserve"> may</w:t>
      </w:r>
      <w:r w:rsidR="3D9DDD21">
        <w:t xml:space="preserve"> include a</w:t>
      </w:r>
      <w:r>
        <w:t xml:space="preserve"> request that </w:t>
      </w:r>
      <w:r w:rsidR="6077E23A">
        <w:t xml:space="preserve">a </w:t>
      </w:r>
      <w:r>
        <w:t xml:space="preserve">facility’s </w:t>
      </w:r>
      <w:r w:rsidR="00782D50">
        <w:t>EID</w:t>
      </w:r>
      <w:r>
        <w:t xml:space="preserve"> states that a particular production variable for the facility is a </w:t>
      </w:r>
      <w:r w:rsidRPr="00175AD1">
        <w:rPr>
          <w:i/>
          <w:iCs/>
        </w:rPr>
        <w:t>related</w:t>
      </w:r>
      <w:r>
        <w:t xml:space="preserve"> production variable, and another specified production variable for the facility is a </w:t>
      </w:r>
      <w:r w:rsidRPr="000A29DB">
        <w:rPr>
          <w:i/>
          <w:iCs/>
        </w:rPr>
        <w:t>comparative</w:t>
      </w:r>
      <w:r>
        <w:t xml:space="preserve"> production variable for that </w:t>
      </w:r>
      <w:r w:rsidRPr="002702C9">
        <w:rPr>
          <w:i/>
          <w:iCs/>
        </w:rPr>
        <w:t>related</w:t>
      </w:r>
      <w:r>
        <w:t xml:space="preserve"> production variable. </w:t>
      </w:r>
      <w:r w:rsidR="008246F5">
        <w:t xml:space="preserve">A related production variable </w:t>
      </w:r>
      <w:r w:rsidR="4FC13EC2">
        <w:t xml:space="preserve">has the same </w:t>
      </w:r>
      <w:r w:rsidR="00782D50">
        <w:t>FSEI</w:t>
      </w:r>
      <w:r w:rsidR="4FC13EC2">
        <w:t xml:space="preserve"> number as the comparative production variable. </w:t>
      </w:r>
      <w:r w:rsidR="53880995">
        <w:t xml:space="preserve">The </w:t>
      </w:r>
      <w:r w:rsidR="00BF532F" w:rsidRPr="00F84B66">
        <w:t>CER</w:t>
      </w:r>
      <w:r w:rsidR="00BF532F">
        <w:rPr>
          <w:bCs/>
        </w:rPr>
        <w:t xml:space="preserve"> </w:t>
      </w:r>
      <w:r w:rsidR="53880995">
        <w:t xml:space="preserve">determines whether to include </w:t>
      </w:r>
      <w:r w:rsidR="3C135202">
        <w:t xml:space="preserve">the requested statement in the </w:t>
      </w:r>
      <w:r w:rsidR="00D311FD">
        <w:t>EID</w:t>
      </w:r>
      <w:r w:rsidR="1BE0A785">
        <w:t>.</w:t>
      </w:r>
      <w:r w:rsidR="4FC13EC2">
        <w:t xml:space="preserve"> </w:t>
      </w:r>
    </w:p>
    <w:p w14:paraId="6BA8B202" w14:textId="53DBD4F9" w:rsidR="006D1930" w:rsidRDefault="00DA1420" w:rsidP="3FB6375E">
      <w:pPr>
        <w:rPr>
          <w:rStyle w:val="normaltextrun"/>
          <w:rFonts w:cs="Calibri"/>
          <w:color w:val="000000"/>
        </w:rPr>
      </w:pPr>
      <w:r>
        <w:t xml:space="preserve">A related production variable may be applicable where a </w:t>
      </w:r>
      <w:r w:rsidR="00C249E7">
        <w:t xml:space="preserve">facility </w:t>
      </w:r>
      <w:r w:rsidR="008A65FF">
        <w:t>start</w:t>
      </w:r>
      <w:r>
        <w:t>s</w:t>
      </w:r>
      <w:r w:rsidR="00C249E7">
        <w:t xml:space="preserve"> producing a new product</w:t>
      </w:r>
      <w:r w:rsidR="58BA121A">
        <w:t>ion variable</w:t>
      </w:r>
      <w:r w:rsidR="00197D47">
        <w:t xml:space="preserve"> (related production variable)</w:t>
      </w:r>
      <w:r w:rsidR="00C249E7">
        <w:t xml:space="preserve"> that is substantially </w:t>
      </w:r>
      <w:proofErr w:type="gramStart"/>
      <w:r w:rsidR="00C249E7">
        <w:t>similar to</w:t>
      </w:r>
      <w:proofErr w:type="gramEnd"/>
      <w:r w:rsidR="00C249E7">
        <w:t xml:space="preserve"> </w:t>
      </w:r>
      <w:r w:rsidR="000D4103">
        <w:t>an existing</w:t>
      </w:r>
      <w:r w:rsidR="00C249E7">
        <w:t xml:space="preserve"> product</w:t>
      </w:r>
      <w:r w:rsidR="3364C584">
        <w:t>ion variable produced by the facility</w:t>
      </w:r>
      <w:r w:rsidR="00930103">
        <w:t xml:space="preserve"> (comparative production variable)</w:t>
      </w:r>
      <w:r w:rsidR="000D4103">
        <w:t xml:space="preserve">. </w:t>
      </w:r>
      <w:r w:rsidR="00A55777" w:rsidRPr="3FB6375E">
        <w:rPr>
          <w:rStyle w:val="normaltextrun"/>
          <w:rFonts w:cs="Calibri"/>
        </w:rPr>
        <w:t xml:space="preserve">The related production variable concept is intended to allow a new </w:t>
      </w:r>
      <w:r w:rsidR="00D068C7" w:rsidRPr="3FB6375E">
        <w:rPr>
          <w:rStyle w:val="normaltextrun"/>
          <w:rFonts w:cs="Calibri"/>
        </w:rPr>
        <w:t xml:space="preserve">related </w:t>
      </w:r>
      <w:r w:rsidR="00A55777" w:rsidRPr="3FB6375E">
        <w:rPr>
          <w:rStyle w:val="normaltextrun"/>
          <w:rFonts w:cs="Calibri"/>
        </w:rPr>
        <w:t xml:space="preserve">production variable to have its </w:t>
      </w:r>
      <w:r w:rsidR="00D311FD">
        <w:rPr>
          <w:rStyle w:val="normaltextrun"/>
          <w:rFonts w:cs="Calibri"/>
        </w:rPr>
        <w:t>FSEI</w:t>
      </w:r>
      <w:r w:rsidR="00A55777" w:rsidRPr="3FB6375E">
        <w:rPr>
          <w:rStyle w:val="normaltextrun"/>
          <w:rFonts w:cs="Calibri"/>
        </w:rPr>
        <w:t xml:space="preserve"> set to the same value as the existing production variable</w:t>
      </w:r>
      <w:r w:rsidR="00D068C7" w:rsidRPr="3FB6375E">
        <w:rPr>
          <w:rStyle w:val="normaltextrun"/>
          <w:rFonts w:cs="Calibri"/>
        </w:rPr>
        <w:t xml:space="preserve"> due to its similar nature</w:t>
      </w:r>
      <w:r w:rsidR="006D1930" w:rsidRPr="3FB6375E">
        <w:rPr>
          <w:rStyle w:val="normaltextrun"/>
          <w:rFonts w:cs="Calibri"/>
        </w:rPr>
        <w:t>.</w:t>
      </w:r>
    </w:p>
    <w:p w14:paraId="72FCCFFA" w14:textId="543D1F81" w:rsidR="00A55777" w:rsidRDefault="0D5D1382" w:rsidP="3FB6375E">
      <w:pPr>
        <w:rPr>
          <w:rStyle w:val="eop"/>
          <w:rFonts w:cs="Calibri"/>
          <w:color w:val="000000"/>
        </w:rPr>
      </w:pPr>
      <w:r w:rsidRPr="3FB6375E">
        <w:rPr>
          <w:rStyle w:val="normaltextrun"/>
          <w:rFonts w:cs="Calibri"/>
        </w:rPr>
        <w:t>If</w:t>
      </w:r>
      <w:r w:rsidR="00D70079" w:rsidRPr="3FB6375E">
        <w:rPr>
          <w:rStyle w:val="normaltextrun"/>
          <w:rFonts w:cs="Calibri"/>
        </w:rPr>
        <w:t xml:space="preserve"> </w:t>
      </w:r>
      <w:r w:rsidR="006853BF" w:rsidRPr="3FB6375E">
        <w:rPr>
          <w:rStyle w:val="normaltextrun"/>
          <w:rFonts w:cs="Calibri"/>
        </w:rPr>
        <w:t xml:space="preserve">the </w:t>
      </w:r>
      <w:r w:rsidR="000D212C" w:rsidRPr="3FB6375E">
        <w:rPr>
          <w:rStyle w:val="normaltextrun"/>
          <w:rFonts w:cs="Calibri"/>
        </w:rPr>
        <w:t>new (related)</w:t>
      </w:r>
      <w:r w:rsidR="0010018A" w:rsidRPr="3FB6375E">
        <w:rPr>
          <w:rStyle w:val="normaltextrun"/>
          <w:rFonts w:cs="Calibri"/>
        </w:rPr>
        <w:t xml:space="preserve"> production variable is </w:t>
      </w:r>
      <w:r w:rsidR="0010018A" w:rsidRPr="3FB6375E">
        <w:rPr>
          <w:rStyle w:val="normaltextrun"/>
          <w:rFonts w:cs="Calibri"/>
          <w:i/>
          <w:iCs/>
        </w:rPr>
        <w:t>tonnes of reservoir CO</w:t>
      </w:r>
      <w:r w:rsidR="0010018A" w:rsidRPr="3FB6375E">
        <w:rPr>
          <w:rStyle w:val="normaltextrun"/>
          <w:rFonts w:cs="Calibri"/>
          <w:i/>
          <w:iCs/>
          <w:vertAlign w:val="subscript"/>
        </w:rPr>
        <w:t>2</w:t>
      </w:r>
      <w:r w:rsidR="0010018A" w:rsidRPr="3FB6375E">
        <w:rPr>
          <w:rStyle w:val="eop"/>
          <w:rFonts w:cs="Calibri"/>
          <w:i/>
          <w:iCs/>
        </w:rPr>
        <w:t xml:space="preserve"> from new gas field</w:t>
      </w:r>
      <w:r w:rsidR="0017444E" w:rsidRPr="3FB6375E">
        <w:rPr>
          <w:rStyle w:val="eop"/>
          <w:rFonts w:cs="Calibri"/>
          <w:i/>
          <w:iCs/>
        </w:rPr>
        <w:t>s</w:t>
      </w:r>
      <w:r w:rsidR="006D1930" w:rsidRPr="3FB6375E">
        <w:rPr>
          <w:rStyle w:val="eop"/>
          <w:rFonts w:cs="Calibri"/>
        </w:rPr>
        <w:t xml:space="preserve"> then </w:t>
      </w:r>
      <w:r w:rsidR="000D212C" w:rsidRPr="3FB6375E">
        <w:rPr>
          <w:rStyle w:val="eop"/>
          <w:rFonts w:cs="Calibri"/>
        </w:rPr>
        <w:t xml:space="preserve">the </w:t>
      </w:r>
      <w:r w:rsidR="00B36B2C" w:rsidRPr="3FB6375E">
        <w:rPr>
          <w:rStyle w:val="eop"/>
          <w:rFonts w:cs="Calibri"/>
        </w:rPr>
        <w:t>Safeguard Rule (see s</w:t>
      </w:r>
      <w:r w:rsidR="00DC7752" w:rsidRPr="3FB6375E">
        <w:rPr>
          <w:rStyle w:val="eop"/>
          <w:rFonts w:cs="Calibri"/>
        </w:rPr>
        <w:t>ub-section 2</w:t>
      </w:r>
      <w:r w:rsidR="00F677A2">
        <w:rPr>
          <w:rStyle w:val="eop"/>
          <w:rFonts w:cs="Calibri"/>
        </w:rPr>
        <w:t>0</w:t>
      </w:r>
      <w:r w:rsidR="00DC7752" w:rsidRPr="3FB6375E">
        <w:rPr>
          <w:rStyle w:val="eop"/>
          <w:rFonts w:cs="Calibri"/>
        </w:rPr>
        <w:t>(5))</w:t>
      </w:r>
      <w:r w:rsidR="00F85A0F" w:rsidRPr="3FB6375E">
        <w:rPr>
          <w:rStyle w:val="eop"/>
          <w:rFonts w:cs="Calibri"/>
        </w:rPr>
        <w:t xml:space="preserve"> requires the </w:t>
      </w:r>
      <w:r w:rsidR="002A6B4D">
        <w:rPr>
          <w:rStyle w:val="eop"/>
          <w:rFonts w:cs="Calibri"/>
        </w:rPr>
        <w:t>CER</w:t>
      </w:r>
      <w:r w:rsidR="002A6B4D" w:rsidRPr="3FB6375E">
        <w:rPr>
          <w:rStyle w:val="eop"/>
          <w:rFonts w:cs="Calibri"/>
        </w:rPr>
        <w:t xml:space="preserve"> </w:t>
      </w:r>
      <w:r w:rsidR="00F85A0F" w:rsidRPr="3FB6375E">
        <w:rPr>
          <w:rStyle w:val="eop"/>
          <w:rFonts w:cs="Calibri"/>
        </w:rPr>
        <w:t xml:space="preserve">to set the </w:t>
      </w:r>
      <w:r w:rsidR="00D311FD">
        <w:rPr>
          <w:rStyle w:val="eop"/>
          <w:rFonts w:cs="Calibri"/>
        </w:rPr>
        <w:t>FSEI</w:t>
      </w:r>
      <w:r w:rsidR="00F85A0F" w:rsidRPr="3FB6375E">
        <w:rPr>
          <w:rStyle w:val="eop"/>
          <w:rFonts w:cs="Calibri"/>
        </w:rPr>
        <w:t xml:space="preserve"> value to zero.</w:t>
      </w:r>
    </w:p>
    <w:p w14:paraId="3B51D8AD" w14:textId="3488B70E" w:rsidR="00B3097F" w:rsidRDefault="00B3097F" w:rsidP="00C249E7">
      <w:r>
        <w:t>For a production variable to be a related production variable the following criteria must be met:</w:t>
      </w:r>
    </w:p>
    <w:p w14:paraId="48ECB9FC" w14:textId="213C5BB0" w:rsidR="00F138CF" w:rsidRDefault="11F6C35D">
      <w:pPr>
        <w:pStyle w:val="CERbullets"/>
      </w:pPr>
      <w:r>
        <w:t xml:space="preserve">the production variable is not a historical production variable, or, </w:t>
      </w:r>
      <w:r w:rsidR="00F138CF">
        <w:t>if it is a historical production variable</w:t>
      </w:r>
      <w:r w:rsidR="00D44F53">
        <w:t xml:space="preserve"> –</w:t>
      </w:r>
      <w:r w:rsidR="00F138CF">
        <w:t xml:space="preserve"> it was not reasonably practical </w:t>
      </w:r>
      <w:r w:rsidR="00D44F53">
        <w:t xml:space="preserve">to include </w:t>
      </w:r>
      <w:r w:rsidR="00540C39">
        <w:t>the designated historical informati</w:t>
      </w:r>
      <w:r w:rsidR="00540C39" w:rsidRPr="00AA35C8">
        <w:t>on</w:t>
      </w:r>
      <w:r w:rsidR="00A20BA8" w:rsidRPr="00736338">
        <w:t xml:space="preserve"> about that production variable</w:t>
      </w:r>
      <w:r w:rsidR="00540C39" w:rsidRPr="00AA35C8">
        <w:t>,</w:t>
      </w:r>
      <w:r w:rsidR="00540C39">
        <w:t xml:space="preserve"> including </w:t>
      </w:r>
      <w:r w:rsidR="00D44F53">
        <w:t>historical production and emissions data</w:t>
      </w:r>
      <w:r w:rsidR="00540C39">
        <w:t>,</w:t>
      </w:r>
      <w:r w:rsidR="00D44F53">
        <w:t xml:space="preserve"> for the facility </w:t>
      </w:r>
      <w:r w:rsidR="006A4FFA">
        <w:t xml:space="preserve">in the </w:t>
      </w:r>
      <w:r w:rsidR="00D311FD">
        <w:t>EID</w:t>
      </w:r>
      <w:r w:rsidR="006A4FFA">
        <w:t xml:space="preserve"> application</w:t>
      </w:r>
      <w:r w:rsidR="00EDE076">
        <w:t>, and</w:t>
      </w:r>
      <w:r w:rsidR="00D44F53">
        <w:t xml:space="preserve"> </w:t>
      </w:r>
    </w:p>
    <w:p w14:paraId="37EA9B8C" w14:textId="12280032" w:rsidR="00D44F53" w:rsidRDefault="001716C3" w:rsidP="00D44F53">
      <w:pPr>
        <w:pStyle w:val="CERbullets"/>
      </w:pPr>
      <w:r>
        <w:t xml:space="preserve">the related production variable is substantially </w:t>
      </w:r>
      <w:proofErr w:type="gramStart"/>
      <w:r>
        <w:t>similar to</w:t>
      </w:r>
      <w:proofErr w:type="gramEnd"/>
      <w:r w:rsidR="0A22ABC3">
        <w:t xml:space="preserve"> another production variable applicable to the facility</w:t>
      </w:r>
      <w:r>
        <w:t xml:space="preserve"> </w:t>
      </w:r>
      <w:r w:rsidR="5D2C23B5">
        <w:t>(the comparative production variable)</w:t>
      </w:r>
      <w:r w:rsidR="311378CB">
        <w:t>, and</w:t>
      </w:r>
      <w:r>
        <w:t xml:space="preserve"> </w:t>
      </w:r>
    </w:p>
    <w:p w14:paraId="649411C9" w14:textId="3C964878" w:rsidR="001716C3" w:rsidRDefault="001716C3" w:rsidP="00D44F53">
      <w:pPr>
        <w:pStyle w:val="CERbullets"/>
      </w:pPr>
      <w:r>
        <w:t xml:space="preserve">both production variables </w:t>
      </w:r>
      <w:r w:rsidR="00325C40">
        <w:t>are measured using the same units o</w:t>
      </w:r>
      <w:r w:rsidR="001E1A71">
        <w:t>r</w:t>
      </w:r>
      <w:r w:rsidR="00325C40">
        <w:t xml:space="preserve"> mutually convertible units</w:t>
      </w:r>
      <w:r w:rsidR="5A69B15F">
        <w:t>, and</w:t>
      </w:r>
    </w:p>
    <w:p w14:paraId="760CB133" w14:textId="4623493B" w:rsidR="00D423FA" w:rsidRDefault="00387102" w:rsidP="7E39E102">
      <w:pPr>
        <w:pStyle w:val="CERbullets"/>
      </w:pPr>
      <w:r>
        <w:t xml:space="preserve">the facility’s production of the related production variable does not involve the installation of new equipment that is likely to increase the facility’s capacity to </w:t>
      </w:r>
      <w:r w:rsidR="00DC2444">
        <w:t xml:space="preserve">increase total production of both production variables by more than 20% (relative to the quantity in the last financial year before the equipment is installed) in any of the years to which the </w:t>
      </w:r>
      <w:r w:rsidR="001F16CB">
        <w:t>EID</w:t>
      </w:r>
      <w:r w:rsidR="00DC2444">
        <w:t xml:space="preserve"> </w:t>
      </w:r>
      <w:r w:rsidR="00C97BF8">
        <w:t>is to apply</w:t>
      </w:r>
      <w:r w:rsidR="00DC2444">
        <w:t>.</w:t>
      </w:r>
    </w:p>
    <w:p w14:paraId="4DAE11C1" w14:textId="5DB3BCB9" w:rsidR="5C78335C" w:rsidRDefault="5C78335C" w:rsidP="5C78335C">
      <w:pPr>
        <w:pStyle w:val="CERbullets"/>
        <w:numPr>
          <w:ilvl w:val="0"/>
          <w:numId w:val="0"/>
        </w:numPr>
        <w:ind w:left="360"/>
      </w:pPr>
    </w:p>
    <w:tbl>
      <w:tblPr>
        <w:tblStyle w:val="CERCallout"/>
        <w:tblW w:w="0" w:type="auto"/>
        <w:tblLook w:val="04A0" w:firstRow="1" w:lastRow="0" w:firstColumn="1" w:lastColumn="0" w:noHBand="0" w:noVBand="1"/>
      </w:tblPr>
      <w:tblGrid>
        <w:gridCol w:w="9716"/>
      </w:tblGrid>
      <w:tr w:rsidR="00C06169" w14:paraId="13A53448" w14:textId="77777777" w:rsidTr="009B5E9A">
        <w:trPr>
          <w:cnfStyle w:val="100000000000" w:firstRow="1" w:lastRow="0" w:firstColumn="0" w:lastColumn="0" w:oddVBand="0" w:evenVBand="0" w:oddHBand="0" w:evenHBand="0" w:firstRowFirstColumn="0" w:firstRowLastColumn="0" w:lastRowFirstColumn="0" w:lastRowLastColumn="0"/>
          <w:trHeight w:val="3816"/>
        </w:trPr>
        <w:tc>
          <w:tcPr>
            <w:tcW w:w="9730" w:type="dxa"/>
          </w:tcPr>
          <w:p w14:paraId="4A5A6BA2" w14:textId="77777777" w:rsidR="002F484C" w:rsidRPr="00C375A7" w:rsidRDefault="002F484C" w:rsidP="002F484C">
            <w:pPr>
              <w:pStyle w:val="CERbullets"/>
              <w:numPr>
                <w:ilvl w:val="0"/>
                <w:numId w:val="0"/>
              </w:numPr>
            </w:pPr>
            <w:r w:rsidRPr="00643458">
              <w:t>Related production variable examples</w:t>
            </w:r>
          </w:p>
          <w:p w14:paraId="09E00769" w14:textId="7ABD5E7F" w:rsidR="002F484C" w:rsidRPr="009B5E9A" w:rsidRDefault="34D1C6DD" w:rsidP="3FB6375E">
            <w:pPr>
              <w:pStyle w:val="CERbullets"/>
              <w:numPr>
                <w:ilvl w:val="0"/>
                <w:numId w:val="0"/>
              </w:numPr>
              <w:rPr>
                <w:b w:val="0"/>
                <w:sz w:val="22"/>
                <w:szCs w:val="20"/>
              </w:rPr>
            </w:pPr>
            <w:r w:rsidRPr="009B5E9A">
              <w:rPr>
                <w:b w:val="0"/>
                <w:sz w:val="22"/>
                <w:szCs w:val="20"/>
              </w:rPr>
              <w:t>If a facility that produces ethanol-95 starts producing beverage grade ethanol, the two products are both concentrated ethanol and have similar material properties and are produced using similar methods, so can be considered ‘substantially similar’. Provided all relevant related production variable criteria are met,</w:t>
            </w:r>
            <w:r w:rsidR="4DBC350E" w:rsidRPr="009B5E9A">
              <w:rPr>
                <w:b w:val="0"/>
                <w:sz w:val="22"/>
                <w:szCs w:val="20"/>
              </w:rPr>
              <w:t xml:space="preserve"> the responsible emitter can request a statement that the</w:t>
            </w:r>
            <w:r w:rsidRPr="009B5E9A">
              <w:rPr>
                <w:b w:val="0"/>
                <w:sz w:val="22"/>
                <w:szCs w:val="20"/>
              </w:rPr>
              <w:t xml:space="preserve"> beverage grade ethanol </w:t>
            </w:r>
            <w:r w:rsidR="58320583" w:rsidRPr="009B5E9A">
              <w:rPr>
                <w:b w:val="0"/>
                <w:sz w:val="22"/>
                <w:szCs w:val="20"/>
              </w:rPr>
              <w:t xml:space="preserve">is a related production variable, with the ethanol-95 being the comparative production variable. </w:t>
            </w:r>
            <w:r w:rsidR="43CD72C2" w:rsidRPr="009B5E9A">
              <w:rPr>
                <w:b w:val="0"/>
                <w:sz w:val="22"/>
                <w:szCs w:val="20"/>
              </w:rPr>
              <w:t>The statement</w:t>
            </w:r>
            <w:r w:rsidR="58320583" w:rsidRPr="009B5E9A">
              <w:rPr>
                <w:b w:val="0"/>
                <w:sz w:val="22"/>
                <w:szCs w:val="20"/>
              </w:rPr>
              <w:t xml:space="preserve"> will enable</w:t>
            </w:r>
            <w:r w:rsidRPr="009B5E9A">
              <w:rPr>
                <w:b w:val="0"/>
                <w:sz w:val="22"/>
                <w:szCs w:val="20"/>
              </w:rPr>
              <w:t xml:space="preserve"> the </w:t>
            </w:r>
            <w:r w:rsidR="001F16CB">
              <w:rPr>
                <w:b w:val="0"/>
                <w:sz w:val="22"/>
                <w:szCs w:val="20"/>
              </w:rPr>
              <w:t>FSEI</w:t>
            </w:r>
            <w:r w:rsidRPr="009B5E9A">
              <w:rPr>
                <w:b w:val="0"/>
                <w:sz w:val="22"/>
                <w:szCs w:val="20"/>
              </w:rPr>
              <w:t xml:space="preserve"> value for ethanol-95</w:t>
            </w:r>
            <w:r w:rsidR="71808687" w:rsidRPr="009B5E9A">
              <w:rPr>
                <w:b w:val="0"/>
                <w:sz w:val="22"/>
                <w:szCs w:val="20"/>
              </w:rPr>
              <w:t xml:space="preserve"> to also be applied to the </w:t>
            </w:r>
            <w:r w:rsidR="443C3B6C" w:rsidRPr="009B5E9A">
              <w:rPr>
                <w:b w:val="0"/>
                <w:sz w:val="22"/>
                <w:szCs w:val="20"/>
              </w:rPr>
              <w:t>beverage grade ethanol</w:t>
            </w:r>
            <w:r w:rsidRPr="009B5E9A">
              <w:rPr>
                <w:b w:val="0"/>
                <w:sz w:val="22"/>
                <w:szCs w:val="20"/>
              </w:rPr>
              <w:t>.</w:t>
            </w:r>
          </w:p>
          <w:p w14:paraId="2416A42E" w14:textId="05BE1C8B" w:rsidR="002F484C" w:rsidRPr="00A92EC7" w:rsidRDefault="34D1C6DD" w:rsidP="3FB6375E">
            <w:pPr>
              <w:pStyle w:val="CERbullets"/>
              <w:numPr>
                <w:ilvl w:val="0"/>
                <w:numId w:val="0"/>
              </w:numPr>
              <w:rPr>
                <w:b w:val="0"/>
              </w:rPr>
            </w:pPr>
            <w:r w:rsidRPr="009B5E9A">
              <w:rPr>
                <w:b w:val="0"/>
                <w:sz w:val="22"/>
                <w:szCs w:val="20"/>
              </w:rPr>
              <w:t xml:space="preserve">An example of two production variables that are not substantially similar </w:t>
            </w:r>
            <w:proofErr w:type="gramStart"/>
            <w:r w:rsidRPr="009B5E9A">
              <w:rPr>
                <w:b w:val="0"/>
                <w:sz w:val="22"/>
                <w:szCs w:val="20"/>
              </w:rPr>
              <w:t>would be</w:t>
            </w:r>
            <w:proofErr w:type="gramEnd"/>
            <w:r w:rsidRPr="009B5E9A">
              <w:rPr>
                <w:b w:val="0"/>
                <w:sz w:val="22"/>
                <w:szCs w:val="20"/>
              </w:rPr>
              <w:t xml:space="preserve"> iron ore and manganese ore. These production variables have some similarities, for example they both are applicable to facilities that conduct an activity through the physical extraction of mineral ores that contain a metal; they both are measured in tonnes; and they both must be of a saleable quality. </w:t>
            </w:r>
            <w:r w:rsidR="3E0B6DF7" w:rsidRPr="009B5E9A">
              <w:rPr>
                <w:b w:val="0"/>
                <w:sz w:val="22"/>
                <w:szCs w:val="20"/>
              </w:rPr>
              <w:t>However,</w:t>
            </w:r>
            <w:r w:rsidRPr="009B5E9A">
              <w:rPr>
                <w:b w:val="0"/>
                <w:sz w:val="22"/>
                <w:szCs w:val="20"/>
              </w:rPr>
              <w:t xml:space="preserve"> they are not substantially similar because they consist of different elements.</w:t>
            </w:r>
          </w:p>
        </w:tc>
      </w:tr>
    </w:tbl>
    <w:p w14:paraId="08F5A047" w14:textId="577923BB" w:rsidR="005F3A8C" w:rsidRPr="001F5EA8" w:rsidRDefault="28C92319" w:rsidP="00A92EC7">
      <w:pPr>
        <w:spacing w:before="240"/>
      </w:pPr>
      <w:r w:rsidRPr="3FB6375E">
        <w:t>If</w:t>
      </w:r>
      <w:r w:rsidR="005F3A8C" w:rsidRPr="3FB6375E">
        <w:t xml:space="preserve"> a facility commence</w:t>
      </w:r>
      <w:r w:rsidR="2474CD46" w:rsidRPr="3FB6375E">
        <w:t>s</w:t>
      </w:r>
      <w:r w:rsidR="005F3A8C" w:rsidRPr="3FB6375E">
        <w:t xml:space="preserve"> production of a new production variable that is substantially </w:t>
      </w:r>
      <w:proofErr w:type="gramStart"/>
      <w:r w:rsidR="005F3A8C" w:rsidRPr="3FB6375E">
        <w:t>similar to</w:t>
      </w:r>
      <w:proofErr w:type="gramEnd"/>
      <w:r w:rsidR="005F3A8C" w:rsidRPr="3FB6375E">
        <w:t xml:space="preserve"> a historical </w:t>
      </w:r>
      <w:r w:rsidR="00533930" w:rsidRPr="3FB6375E">
        <w:t xml:space="preserve">or transitional </w:t>
      </w:r>
      <w:r w:rsidR="005F3A8C" w:rsidRPr="3FB6375E">
        <w:t xml:space="preserve">production variable </w:t>
      </w:r>
      <w:r w:rsidR="035A9E04" w:rsidRPr="3FB6375E">
        <w:t>when</w:t>
      </w:r>
      <w:r w:rsidR="005F3A8C" w:rsidRPr="3FB6375E">
        <w:t xml:space="preserve"> an </w:t>
      </w:r>
      <w:r w:rsidR="00071399">
        <w:t>EID</w:t>
      </w:r>
      <w:r w:rsidR="005F3A8C" w:rsidRPr="3FB6375E">
        <w:t xml:space="preserve"> </w:t>
      </w:r>
      <w:r w:rsidR="2987B4C2" w:rsidRPr="3FB6375E">
        <w:t>is already in force</w:t>
      </w:r>
      <w:r w:rsidR="00432927" w:rsidRPr="3FB6375E">
        <w:t>,</w:t>
      </w:r>
      <w:r w:rsidR="005F3A8C" w:rsidRPr="3FB6375E">
        <w:t xml:space="preserve"> the responsible emitter may request that the </w:t>
      </w:r>
      <w:r w:rsidR="00071399">
        <w:t>EID</w:t>
      </w:r>
      <w:r w:rsidR="00837082" w:rsidRPr="3FB6375E">
        <w:t xml:space="preserve"> is varied to include a statement that </w:t>
      </w:r>
      <w:r w:rsidR="00C10EE6">
        <w:t xml:space="preserve">the </w:t>
      </w:r>
      <w:r w:rsidR="005F3A8C" w:rsidRPr="3FB6375E">
        <w:t xml:space="preserve">new production variable </w:t>
      </w:r>
      <w:r w:rsidR="00837082" w:rsidRPr="3FB6375E">
        <w:t>is</w:t>
      </w:r>
      <w:r w:rsidR="005F3A8C" w:rsidRPr="3FB6375E">
        <w:t xml:space="preserve"> a related production variable </w:t>
      </w:r>
      <w:r w:rsidR="005A464C" w:rsidRPr="3FB6375E">
        <w:t xml:space="preserve">and the substantially similar production variable is the comparative production variable. If the </w:t>
      </w:r>
      <w:r w:rsidR="00336041">
        <w:t>CER</w:t>
      </w:r>
      <w:r w:rsidR="005A464C" w:rsidRPr="3FB6375E">
        <w:t xml:space="preserve"> makes the variation, subject to meeting the requirements, </w:t>
      </w:r>
      <w:r w:rsidR="00703EF9" w:rsidRPr="3FB6375E">
        <w:t xml:space="preserve">the </w:t>
      </w:r>
      <w:r w:rsidR="00953776" w:rsidRPr="3FB6375E">
        <w:t>related</w:t>
      </w:r>
      <w:r w:rsidR="00703EF9" w:rsidRPr="3FB6375E">
        <w:t xml:space="preserve"> production variable can</w:t>
      </w:r>
      <w:r w:rsidR="005F3A8C" w:rsidRPr="3FB6375E">
        <w:t xml:space="preserve"> use the </w:t>
      </w:r>
      <w:r w:rsidR="00071399">
        <w:t>FSEI</w:t>
      </w:r>
      <w:r w:rsidR="005F3A8C" w:rsidRPr="3FB6375E">
        <w:t xml:space="preserve"> of the </w:t>
      </w:r>
      <w:r w:rsidR="00703EF9" w:rsidRPr="3FB6375E">
        <w:t>comparative production variable.</w:t>
      </w:r>
      <w:r w:rsidR="00432927" w:rsidRPr="3FB6375E">
        <w:t xml:space="preserve"> </w:t>
      </w:r>
      <w:r w:rsidR="00194725">
        <w:t>S</w:t>
      </w:r>
      <w:r w:rsidR="00432927">
        <w:t xml:space="preserve">ee </w:t>
      </w:r>
      <w:hyperlink w:anchor="_Calculating_facility-specific_emiss" w:history="1">
        <w:r w:rsidR="00706E10" w:rsidRPr="50710CF9">
          <w:rPr>
            <w:rStyle w:val="Hyperlink"/>
            <w:rFonts w:asciiTheme="minorHAnsi" w:hAnsiTheme="minorHAnsi"/>
          </w:rPr>
          <w:t>Part</w:t>
        </w:r>
        <w:r w:rsidR="00D2521F" w:rsidRPr="50710CF9">
          <w:rPr>
            <w:rStyle w:val="Hyperlink"/>
            <w:rFonts w:asciiTheme="minorHAnsi" w:hAnsiTheme="minorHAnsi"/>
          </w:rPr>
          <w:t> </w:t>
        </w:r>
        <w:r w:rsidR="005909CB" w:rsidRPr="50710CF9">
          <w:rPr>
            <w:rStyle w:val="Hyperlink"/>
            <w:rFonts w:asciiTheme="minorHAnsi" w:hAnsiTheme="minorHAnsi"/>
          </w:rPr>
          <w:t xml:space="preserve">3.7.4 </w:t>
        </w:r>
        <w:r w:rsidR="009C535C" w:rsidRPr="50710CF9">
          <w:rPr>
            <w:rStyle w:val="Hyperlink"/>
            <w:rFonts w:asciiTheme="minorHAnsi" w:hAnsiTheme="minorHAnsi"/>
          </w:rPr>
          <w:t>C</w:t>
        </w:r>
        <w:r w:rsidR="00B409C9" w:rsidRPr="50710CF9">
          <w:rPr>
            <w:rStyle w:val="Hyperlink"/>
            <w:rFonts w:asciiTheme="minorHAnsi" w:hAnsiTheme="minorHAnsi"/>
          </w:rPr>
          <w:t>alculating facility-specific emissions intensities</w:t>
        </w:r>
      </w:hyperlink>
      <w:r w:rsidR="00194725" w:rsidRPr="50710CF9">
        <w:rPr>
          <w:rStyle w:val="Hyperlink"/>
          <w:rFonts w:asciiTheme="minorHAnsi" w:hAnsiTheme="minorHAnsi"/>
          <w:color w:val="auto"/>
          <w:u w:val="none"/>
        </w:rPr>
        <w:t xml:space="preserve"> for more information.</w:t>
      </w:r>
    </w:p>
    <w:p w14:paraId="0558CF4D" w14:textId="629EE934" w:rsidR="00413459" w:rsidRPr="00A95515" w:rsidRDefault="00413459" w:rsidP="00A92EC7">
      <w:pPr>
        <w:pStyle w:val="Heading4"/>
      </w:pPr>
      <w:r w:rsidRPr="00A95515">
        <w:t>Transitiona</w:t>
      </w:r>
      <w:r w:rsidR="00AE7148" w:rsidRPr="00A95515">
        <w:t>l</w:t>
      </w:r>
      <w:r w:rsidRPr="00A95515">
        <w:t xml:space="preserve"> production variables</w:t>
      </w:r>
    </w:p>
    <w:p w14:paraId="5C9B105F" w14:textId="7800D827" w:rsidR="002F10B6" w:rsidRDefault="0047665E" w:rsidP="00376145">
      <w:pPr>
        <w:keepNext/>
        <w:spacing w:before="240"/>
      </w:pPr>
      <w:r w:rsidRPr="00A95515">
        <w:t>A p</w:t>
      </w:r>
      <w:r w:rsidR="00413459" w:rsidRPr="00A95515">
        <w:t xml:space="preserve">roduction variable </w:t>
      </w:r>
      <w:r w:rsidRPr="00A95515">
        <w:t>is</w:t>
      </w:r>
      <w:r w:rsidR="00026700" w:rsidRPr="00A95515">
        <w:t xml:space="preserve"> transitional if </w:t>
      </w:r>
      <w:r w:rsidRPr="00A95515">
        <w:t>it</w:t>
      </w:r>
      <w:r w:rsidR="00026700" w:rsidRPr="00A95515">
        <w:t xml:space="preserve"> w</w:t>
      </w:r>
      <w:r w:rsidRPr="00A95515">
        <w:t>as</w:t>
      </w:r>
      <w:r w:rsidR="00026700" w:rsidRPr="00A95515">
        <w:t xml:space="preserve"> first commercially produced by the facility </w:t>
      </w:r>
      <w:r w:rsidR="00697E9F" w:rsidRPr="00A95515">
        <w:t xml:space="preserve">in </w:t>
      </w:r>
      <w:r w:rsidR="003D4BC0" w:rsidRPr="00A95515">
        <w:t xml:space="preserve">the </w:t>
      </w:r>
      <w:r w:rsidR="00413459" w:rsidRPr="00A95515">
        <w:t>2022-23</w:t>
      </w:r>
      <w:r w:rsidR="003D4BC0" w:rsidRPr="00A95515">
        <w:t xml:space="preserve"> financial year</w:t>
      </w:r>
      <w:r w:rsidR="00FF61B8" w:rsidRPr="00A95515">
        <w:t xml:space="preserve">. </w:t>
      </w:r>
    </w:p>
    <w:p w14:paraId="3CA79E7E" w14:textId="12E50F96" w:rsidR="000D70E3" w:rsidRPr="00561948" w:rsidRDefault="00C0661E" w:rsidP="000519F5">
      <w:pPr>
        <w:keepNext/>
      </w:pPr>
      <w:r w:rsidRPr="00561948">
        <w:t xml:space="preserve">For a production variable to be a transitional </w:t>
      </w:r>
      <w:r w:rsidR="000D70E3" w:rsidRPr="00561948">
        <w:t xml:space="preserve">production variable </w:t>
      </w:r>
      <w:r w:rsidRPr="00561948">
        <w:t xml:space="preserve">it </w:t>
      </w:r>
      <w:r w:rsidR="000D70E3" w:rsidRPr="00561948">
        <w:t>must:</w:t>
      </w:r>
    </w:p>
    <w:p w14:paraId="2306ED0A" w14:textId="6E829260" w:rsidR="000D70E3" w:rsidRPr="00561948" w:rsidRDefault="005D1AF1" w:rsidP="004C7B49">
      <w:pPr>
        <w:pStyle w:val="CERbullets"/>
      </w:pPr>
      <w:r w:rsidRPr="00561948">
        <w:t>n</w:t>
      </w:r>
      <w:r w:rsidR="000D70E3" w:rsidRPr="00561948">
        <w:t xml:space="preserve">ot have </w:t>
      </w:r>
      <w:r w:rsidR="00AD5BB9" w:rsidRPr="00561948">
        <w:t xml:space="preserve">been applicable to the facility at any time in a historical financial year </w:t>
      </w:r>
    </w:p>
    <w:p w14:paraId="731C0308" w14:textId="49807B7A" w:rsidR="00AD5BB9" w:rsidRPr="00561948" w:rsidRDefault="005D1AF1" w:rsidP="004C7B49">
      <w:pPr>
        <w:pStyle w:val="CERbullets"/>
      </w:pPr>
      <w:r w:rsidRPr="00561948">
        <w:t>b</w:t>
      </w:r>
      <w:r w:rsidR="00EC6995" w:rsidRPr="00561948">
        <w:t>e applicable to the facility at any time in the 2022-23 financial year</w:t>
      </w:r>
      <w:r w:rsidRPr="00561948">
        <w:t xml:space="preserve">, and </w:t>
      </w:r>
    </w:p>
    <w:p w14:paraId="7E201D7B" w14:textId="4FF7B5E0" w:rsidR="00EC6995" w:rsidRPr="00561948" w:rsidRDefault="005D1AF1" w:rsidP="004C7B49">
      <w:pPr>
        <w:pStyle w:val="CERbullets"/>
      </w:pPr>
      <w:r w:rsidRPr="00561948">
        <w:t>n</w:t>
      </w:r>
      <w:r w:rsidR="00EC6995" w:rsidRPr="00561948">
        <w:t xml:space="preserve">ot be a </w:t>
      </w:r>
      <w:r w:rsidR="00C0661E" w:rsidRPr="00561948">
        <w:t>non-</w:t>
      </w:r>
      <w:r w:rsidR="00EC6995" w:rsidRPr="00561948">
        <w:t xml:space="preserve">commercial production variable </w:t>
      </w:r>
      <w:r w:rsidR="00C0661E" w:rsidRPr="00561948">
        <w:t>in the 2022-23 financial year</w:t>
      </w:r>
      <w:r w:rsidR="002F0E05" w:rsidRPr="00561948">
        <w:t>.</w:t>
      </w:r>
    </w:p>
    <w:p w14:paraId="0FA5BB9E" w14:textId="701CA260" w:rsidR="00E41844" w:rsidRPr="004B1872" w:rsidRDefault="00302751" w:rsidP="003E59B6">
      <w:r>
        <w:t>T</w:t>
      </w:r>
      <w:r w:rsidR="004B1872" w:rsidRPr="003E59B6">
        <w:t xml:space="preserve">he </w:t>
      </w:r>
      <w:r w:rsidR="00071399">
        <w:t>FSEI</w:t>
      </w:r>
      <w:r w:rsidR="004B1872" w:rsidRPr="003E59B6">
        <w:t xml:space="preserve"> value for a transitional production variable, other than ROM coal, is set to the default value applicable </w:t>
      </w:r>
      <w:r w:rsidR="00392606">
        <w:t>for</w:t>
      </w:r>
      <w:r w:rsidR="004B1872" w:rsidRPr="003E59B6">
        <w:t xml:space="preserve"> the 2022-23 financial year according to Schedule 1 of the Safeguard Rule. For ROM coal, the default emissions-intensity value used is the value applicable </w:t>
      </w:r>
      <w:r w:rsidR="0037536C">
        <w:t>for</w:t>
      </w:r>
      <w:r w:rsidR="004B1872" w:rsidRPr="003E59B6">
        <w:t xml:space="preserve"> the 2023</w:t>
      </w:r>
      <w:r w:rsidR="00392606">
        <w:t>-</w:t>
      </w:r>
      <w:r w:rsidR="004B1872" w:rsidRPr="003E59B6">
        <w:t>24 financial year.</w:t>
      </w:r>
    </w:p>
    <w:p w14:paraId="574CC8F0" w14:textId="5BA1F63B" w:rsidR="00680C3A" w:rsidRDefault="00680C3A" w:rsidP="00413459">
      <w:r w:rsidRPr="00250990">
        <w:t>If</w:t>
      </w:r>
      <w:r w:rsidRPr="00250990">
        <w:rPr>
          <w:rFonts w:eastAsia="Times New Roman" w:cs="Calibri"/>
        </w:rPr>
        <w:t xml:space="preserve"> an application includes a transitional production variable you need to provide supporting information demonstrating</w:t>
      </w:r>
      <w:r w:rsidR="003E7C6C" w:rsidRPr="00250990">
        <w:rPr>
          <w:rFonts w:eastAsia="Times New Roman" w:cs="Calibri"/>
        </w:rPr>
        <w:t xml:space="preserve"> </w:t>
      </w:r>
      <w:r w:rsidRPr="00250990">
        <w:t>the production variable was produced commercially for the first time in the 2022-23 financial year</w:t>
      </w:r>
      <w:r w:rsidR="003E7C6C" w:rsidRPr="00250990">
        <w:t>.</w:t>
      </w:r>
    </w:p>
    <w:p w14:paraId="2362FCD4" w14:textId="01990756" w:rsidR="006F030A" w:rsidRPr="006F030A" w:rsidRDefault="006F030A" w:rsidP="003E5B86">
      <w:pPr>
        <w:pStyle w:val="Heading4"/>
      </w:pPr>
      <w:r w:rsidRPr="006F030A">
        <w:t>New production variables</w:t>
      </w:r>
    </w:p>
    <w:p w14:paraId="705BDBEA" w14:textId="1630A040" w:rsidR="00CD4482" w:rsidRDefault="00B4221C" w:rsidP="00376145">
      <w:pPr>
        <w:spacing w:before="240"/>
      </w:pPr>
      <w:proofErr w:type="gramStart"/>
      <w:r w:rsidRPr="3FB6375E">
        <w:t>For the purpose of</w:t>
      </w:r>
      <w:proofErr w:type="gramEnd"/>
      <w:r w:rsidRPr="3FB6375E">
        <w:t xml:space="preserve"> the </w:t>
      </w:r>
      <w:r w:rsidR="00071399">
        <w:t>EID</w:t>
      </w:r>
      <w:r w:rsidR="001D64A4" w:rsidRPr="3FB6375E">
        <w:t xml:space="preserve"> </w:t>
      </w:r>
      <w:r w:rsidRPr="3FB6375E">
        <w:t xml:space="preserve">application, </w:t>
      </w:r>
      <w:r w:rsidR="00A468EE" w:rsidRPr="3FB6375E">
        <w:t>a</w:t>
      </w:r>
      <w:r w:rsidR="00413459" w:rsidRPr="3FB6375E">
        <w:t xml:space="preserve"> production</w:t>
      </w:r>
      <w:r w:rsidR="00A24652" w:rsidRPr="3FB6375E">
        <w:t xml:space="preserve"> variable is </w:t>
      </w:r>
      <w:r w:rsidR="00080136" w:rsidRPr="3FB6375E">
        <w:t>‘</w:t>
      </w:r>
      <w:r w:rsidR="00A24652" w:rsidRPr="3FB6375E">
        <w:t>new</w:t>
      </w:r>
      <w:r w:rsidR="00080136" w:rsidRPr="3FB6375E">
        <w:t>’</w:t>
      </w:r>
      <w:r w:rsidR="00A24652" w:rsidRPr="3FB6375E">
        <w:t xml:space="preserve"> if it was first commer</w:t>
      </w:r>
      <w:r w:rsidR="00697E9F" w:rsidRPr="3FB6375E">
        <w:t>cially produced</w:t>
      </w:r>
      <w:r w:rsidR="0099388A" w:rsidRPr="3FB6375E">
        <w:t xml:space="preserve"> at an existing facility</w:t>
      </w:r>
      <w:r w:rsidR="0031492A" w:rsidRPr="3FB6375E">
        <w:t xml:space="preserve"> </w:t>
      </w:r>
      <w:r w:rsidR="551165BF" w:rsidRPr="3FB6375E">
        <w:t xml:space="preserve">in </w:t>
      </w:r>
      <w:r w:rsidR="00B46787" w:rsidRPr="3FB6375E">
        <w:t xml:space="preserve">the financial year commencing on or after </w:t>
      </w:r>
      <w:r w:rsidR="008C7188" w:rsidRPr="3FB6375E">
        <w:t>1 July 2023.</w:t>
      </w:r>
      <w:r w:rsidR="00CA5177" w:rsidRPr="3FB6375E">
        <w:t xml:space="preserve"> This </w:t>
      </w:r>
      <w:r w:rsidR="00413459" w:rsidRPr="3FB6375E">
        <w:t>includ</w:t>
      </w:r>
      <w:r w:rsidR="00CA5177" w:rsidRPr="3FB6375E">
        <w:t>es</w:t>
      </w:r>
      <w:r w:rsidR="00413459" w:rsidRPr="3FB6375E">
        <w:t xml:space="preserve"> </w:t>
      </w:r>
      <w:r w:rsidR="00CA5177" w:rsidRPr="3FB6375E">
        <w:t xml:space="preserve">where a production variable was produced </w:t>
      </w:r>
      <w:r w:rsidR="0099388A" w:rsidRPr="3FB6375E">
        <w:t xml:space="preserve">in </w:t>
      </w:r>
      <w:r w:rsidR="001D42AA">
        <w:t xml:space="preserve">the </w:t>
      </w:r>
      <w:r w:rsidR="0099388A" w:rsidRPr="3FB6375E">
        <w:t>2016-17</w:t>
      </w:r>
      <w:r w:rsidR="00780BC0" w:rsidRPr="3FB6375E">
        <w:t xml:space="preserve"> </w:t>
      </w:r>
      <w:r w:rsidR="00385D3F" w:rsidRPr="3FB6375E">
        <w:t xml:space="preserve">financial year </w:t>
      </w:r>
      <w:r w:rsidR="00780BC0" w:rsidRPr="3FB6375E">
        <w:t xml:space="preserve">or earlier but was not produced in </w:t>
      </w:r>
      <w:r w:rsidR="009B1FE0" w:rsidRPr="3FB6375E">
        <w:t xml:space="preserve">the financial years between </w:t>
      </w:r>
      <w:r w:rsidR="00780BC0" w:rsidRPr="3FB6375E">
        <w:t>2017-1</w:t>
      </w:r>
      <w:r w:rsidR="0099388A" w:rsidRPr="3FB6375E">
        <w:t xml:space="preserve">8 </w:t>
      </w:r>
      <w:r w:rsidR="009B1FE0" w:rsidRPr="3FB6375E">
        <w:t xml:space="preserve">and </w:t>
      </w:r>
      <w:r w:rsidR="0099388A" w:rsidRPr="3FB6375E">
        <w:t>2022-23</w:t>
      </w:r>
      <w:r w:rsidR="001D42AA">
        <w:t xml:space="preserve"> (both inclusive)</w:t>
      </w:r>
      <w:r w:rsidR="0099388A" w:rsidRPr="3FB6375E">
        <w:t>.</w:t>
      </w:r>
    </w:p>
    <w:p w14:paraId="02884576" w14:textId="62806E2C" w:rsidR="00D84CD0" w:rsidRDefault="0099388A" w:rsidP="00D84CD0">
      <w:r w:rsidRPr="3FB6375E">
        <w:t>A new</w:t>
      </w:r>
      <w:r w:rsidR="00413459" w:rsidRPr="3FB6375E">
        <w:t xml:space="preserve"> production variable will </w:t>
      </w:r>
      <w:r w:rsidRPr="3FB6375E">
        <w:t>use</w:t>
      </w:r>
      <w:r w:rsidR="00413459" w:rsidRPr="3FB6375E">
        <w:t xml:space="preserve"> the best</w:t>
      </w:r>
      <w:r w:rsidR="009B1FE0" w:rsidRPr="3FB6375E">
        <w:t>-</w:t>
      </w:r>
      <w:r w:rsidR="00413459" w:rsidRPr="3FB6375E">
        <w:t xml:space="preserve">practice </w:t>
      </w:r>
      <w:r w:rsidR="0095149E">
        <w:t>emissions-intensity</w:t>
      </w:r>
      <w:r w:rsidR="6A2418FA" w:rsidRPr="3FB6375E">
        <w:t xml:space="preserve"> if one is </w:t>
      </w:r>
      <w:r w:rsidR="65787A69" w:rsidRPr="3FB6375E">
        <w:t>in force for the financial year</w:t>
      </w:r>
      <w:r w:rsidR="6A2418FA" w:rsidRPr="3FB6375E">
        <w:t xml:space="preserve"> and otherwise will use the industry-average </w:t>
      </w:r>
      <w:r w:rsidR="00E04F15">
        <w:t>‘</w:t>
      </w:r>
      <w:r w:rsidR="00BC5F47">
        <w:t>default</w:t>
      </w:r>
      <w:r w:rsidR="00E04F15">
        <w:t>’</w:t>
      </w:r>
      <w:r w:rsidR="00BC5F47">
        <w:t xml:space="preserve"> </w:t>
      </w:r>
      <w:r w:rsidR="0095149E">
        <w:t>emissions-intensity</w:t>
      </w:r>
      <w:r w:rsidR="6A2418FA" w:rsidRPr="3FB6375E">
        <w:t xml:space="preserve"> value</w:t>
      </w:r>
      <w:r w:rsidRPr="3FB6375E">
        <w:t>.</w:t>
      </w:r>
    </w:p>
    <w:p w14:paraId="73DA3036" w14:textId="5DFA8AFC" w:rsidR="00CD4482" w:rsidRDefault="00CF51E7" w:rsidP="00D84CD0">
      <w:r w:rsidRPr="3FB6375E">
        <w:t>New production variables do not need to be identified in th</w:t>
      </w:r>
      <w:r w:rsidR="0524D3EB" w:rsidRPr="3FB6375E">
        <w:t xml:space="preserve">e </w:t>
      </w:r>
      <w:r w:rsidR="00071399">
        <w:t>EID</w:t>
      </w:r>
      <w:r w:rsidRPr="3FB6375E">
        <w:t xml:space="preserve"> application. </w:t>
      </w:r>
      <w:r w:rsidR="00CD4482" w:rsidRPr="3FB6375E">
        <w:t>Instead</w:t>
      </w:r>
      <w:r w:rsidR="008D5253" w:rsidRPr="3FB6375E">
        <w:t>, from 2023-2</w:t>
      </w:r>
      <w:r w:rsidR="00F460E1" w:rsidRPr="3FB6375E">
        <w:t>4</w:t>
      </w:r>
      <w:r w:rsidR="008D5253" w:rsidRPr="3FB6375E">
        <w:t xml:space="preserve"> onwards</w:t>
      </w:r>
      <w:r w:rsidR="00CD4482" w:rsidRPr="3FB6375E">
        <w:t xml:space="preserve"> the </w:t>
      </w:r>
      <w:r w:rsidR="00BF532F">
        <w:t>CER</w:t>
      </w:r>
      <w:r w:rsidR="00BF532F" w:rsidRPr="3FB6375E">
        <w:t xml:space="preserve"> </w:t>
      </w:r>
      <w:r w:rsidR="00CD4482" w:rsidRPr="3FB6375E">
        <w:t xml:space="preserve">will use </w:t>
      </w:r>
      <w:r w:rsidR="005C193D" w:rsidRPr="3FB6375E">
        <w:t xml:space="preserve">production variable data provided in the relevant NGER report </w:t>
      </w:r>
      <w:r w:rsidR="008C357A" w:rsidRPr="3FB6375E">
        <w:t>to incorporate</w:t>
      </w:r>
      <w:r w:rsidR="036FD234" w:rsidRPr="3FB6375E">
        <w:t xml:space="preserve"> new production variables into</w:t>
      </w:r>
      <w:r w:rsidR="001A2A2B" w:rsidRPr="3FB6375E">
        <w:t xml:space="preserve"> the facility’s annual baseline </w:t>
      </w:r>
      <w:r w:rsidR="009B1FE0" w:rsidRPr="3FB6375E">
        <w:t xml:space="preserve">emissions </w:t>
      </w:r>
      <w:r w:rsidR="001A2A2B" w:rsidRPr="3FB6375E">
        <w:t>number.</w:t>
      </w:r>
      <w:r w:rsidR="46ED51DF" w:rsidRPr="3FB6375E">
        <w:t xml:space="preserve"> The </w:t>
      </w:r>
      <w:r w:rsidR="00BF532F">
        <w:t>CER</w:t>
      </w:r>
      <w:r w:rsidR="00BF532F" w:rsidRPr="3FB6375E">
        <w:t xml:space="preserve"> </w:t>
      </w:r>
      <w:r w:rsidR="46ED51DF" w:rsidRPr="3FB6375E">
        <w:t>may request that the responsible emitter provide relevant information to inform this action.</w:t>
      </w:r>
    </w:p>
    <w:p w14:paraId="1FF5A8C4" w14:textId="75F03AB3" w:rsidR="004B514A" w:rsidRDefault="004B514A" w:rsidP="3FB6375E">
      <w:r w:rsidRPr="3FB6375E">
        <w:t xml:space="preserve">Note that a new facility that commenced first commercial production </w:t>
      </w:r>
      <w:r w:rsidR="2E143892" w:rsidRPr="3FB6375E">
        <w:t>in a</w:t>
      </w:r>
      <w:r w:rsidR="00B46787" w:rsidRPr="3FB6375E">
        <w:t xml:space="preserve"> financial year commencing on or after 1 July </w:t>
      </w:r>
      <w:r w:rsidR="00385D3F" w:rsidRPr="3FB6375E">
        <w:t xml:space="preserve">2023 </w:t>
      </w:r>
      <w:r w:rsidRPr="3FB6375E">
        <w:t xml:space="preserve">will be classified as a new facility (as opposed to an existing facility) </w:t>
      </w:r>
      <w:r w:rsidR="00F953FD" w:rsidRPr="3FB6375E">
        <w:t xml:space="preserve">and </w:t>
      </w:r>
      <w:r w:rsidR="3141D0CB" w:rsidRPr="3FB6375E">
        <w:t>its</w:t>
      </w:r>
      <w:r w:rsidR="00F953FD" w:rsidRPr="3FB6375E">
        <w:t xml:space="preserve"> production variable</w:t>
      </w:r>
      <w:r w:rsidR="00157478" w:rsidRPr="3FB6375E">
        <w:t>(s)</w:t>
      </w:r>
      <w:r w:rsidR="00F953FD" w:rsidRPr="3FB6375E">
        <w:t xml:space="preserve"> will be classified as new production variable</w:t>
      </w:r>
      <w:r w:rsidR="55E8FDC4" w:rsidRPr="3FB6375E">
        <w:t>s</w:t>
      </w:r>
      <w:r w:rsidR="00F953FD" w:rsidRPr="3FB6375E">
        <w:t xml:space="preserve">. </w:t>
      </w:r>
    </w:p>
    <w:p w14:paraId="1B265D83" w14:textId="31BDC0DC" w:rsidR="00466DD5" w:rsidRDefault="00466DD5" w:rsidP="00A92EC7">
      <w:pPr>
        <w:pStyle w:val="Heading3"/>
      </w:pPr>
      <w:bookmarkStart w:id="139" w:name="_Toc138922915"/>
      <w:bookmarkStart w:id="140" w:name="_Toc138922990"/>
      <w:bookmarkStart w:id="141" w:name="_Toc138923054"/>
      <w:bookmarkStart w:id="142" w:name="_Toc138923311"/>
      <w:bookmarkStart w:id="143" w:name="_Toc143503184"/>
      <w:r>
        <w:t>Other important information</w:t>
      </w:r>
      <w:bookmarkEnd w:id="139"/>
      <w:bookmarkEnd w:id="140"/>
      <w:bookmarkEnd w:id="141"/>
      <w:bookmarkEnd w:id="142"/>
      <w:bookmarkEnd w:id="143"/>
    </w:p>
    <w:p w14:paraId="47FABBA8" w14:textId="77777777" w:rsidR="00466DD5" w:rsidRDefault="00466DD5" w:rsidP="00376145">
      <w:pPr>
        <w:spacing w:before="240"/>
      </w:pPr>
      <w:r>
        <w:t>Note that:</w:t>
      </w:r>
    </w:p>
    <w:p w14:paraId="78FE0993" w14:textId="202C6E9D" w:rsidR="00466DD5" w:rsidRDefault="00466DD5" w:rsidP="00466DD5">
      <w:pPr>
        <w:pStyle w:val="CERbullets"/>
      </w:pPr>
      <w:r>
        <w:t xml:space="preserve">facility-specific (also known as site-specific) production variables </w:t>
      </w:r>
      <w:r w:rsidR="00CB6C57">
        <w:t xml:space="preserve">that </w:t>
      </w:r>
      <w:r w:rsidR="00DA47C7">
        <w:t xml:space="preserve">have been utilised for other baseline types </w:t>
      </w:r>
      <w:r>
        <w:t xml:space="preserve">cannot be used in an </w:t>
      </w:r>
      <w:r w:rsidR="00071399">
        <w:t>EID</w:t>
      </w:r>
      <w:r>
        <w:t xml:space="preserve"> application. Only production variables </w:t>
      </w:r>
      <w:r w:rsidR="00BA3331">
        <w:t xml:space="preserve">set out in Schedule 1 of the Safeguard Rule </w:t>
      </w:r>
      <w:r>
        <w:t>can be used.</w:t>
      </w:r>
    </w:p>
    <w:p w14:paraId="44C23BAC" w14:textId="5CEAE17E" w:rsidR="00466DD5" w:rsidRDefault="00466DD5" w:rsidP="00466DD5">
      <w:pPr>
        <w:pStyle w:val="CERbullets"/>
      </w:pPr>
      <w:r>
        <w:t xml:space="preserve">a production variable </w:t>
      </w:r>
      <w:r w:rsidR="002036F3">
        <w:t>can</w:t>
      </w:r>
      <w:r>
        <w:t xml:space="preserve"> </w:t>
      </w:r>
      <w:r w:rsidR="00D708E7">
        <w:t xml:space="preserve">be </w:t>
      </w:r>
      <w:r>
        <w:t xml:space="preserve">applicable to a facility in a </w:t>
      </w:r>
      <w:r w:rsidR="4A377FDE">
        <w:t xml:space="preserve">historical </w:t>
      </w:r>
      <w:r>
        <w:t>financial year even if the facility was not covered under</w:t>
      </w:r>
      <w:r w:rsidR="00BA3331">
        <w:t xml:space="preserve"> the</w:t>
      </w:r>
      <w:r>
        <w:t xml:space="preserve"> Safeguard </w:t>
      </w:r>
      <w:r w:rsidR="00BA3331">
        <w:t xml:space="preserve">Mechanism </w:t>
      </w:r>
      <w:r>
        <w:t>at the time or did not have a baseline in force.</w:t>
      </w:r>
    </w:p>
    <w:p w14:paraId="6A780548" w14:textId="557B3D18" w:rsidR="00466DD5" w:rsidRDefault="00466DD5" w:rsidP="00466DD5">
      <w:pPr>
        <w:pStyle w:val="CERbullets"/>
      </w:pPr>
      <w:r>
        <w:t xml:space="preserve">a production variable is </w:t>
      </w:r>
      <w:r w:rsidR="6B01D8A9">
        <w:t xml:space="preserve">applicable </w:t>
      </w:r>
      <w:r>
        <w:t xml:space="preserve">to a facility in </w:t>
      </w:r>
      <w:r w:rsidR="50153883">
        <w:t>a</w:t>
      </w:r>
      <w:r>
        <w:t xml:space="preserve"> historical financial year even if the production variable was not listed in the Safeguard Rule at that time.</w:t>
      </w:r>
    </w:p>
    <w:p w14:paraId="196F8628" w14:textId="4172852F" w:rsidR="00466DD5" w:rsidRPr="00CD2762" w:rsidRDefault="00466DD5" w:rsidP="00466DD5">
      <w:pPr>
        <w:pStyle w:val="CERbullets"/>
      </w:pPr>
      <w:r w:rsidRPr="005F26B8">
        <w:t xml:space="preserve">many facilities will produce minor outputs, intermediate products, by-products and waste products </w:t>
      </w:r>
      <w:r w:rsidR="00781B45" w:rsidRPr="00736338">
        <w:t>that are not a production variable specified in Schedule 1 of the Safeguard Rule</w:t>
      </w:r>
      <w:r w:rsidR="6FDA97AC" w:rsidRPr="005F26B8">
        <w:t>.</w:t>
      </w:r>
      <w:r w:rsidRPr="005F26B8">
        <w:t xml:space="preserve"> </w:t>
      </w:r>
      <w:r w:rsidR="510133EC" w:rsidRPr="005F26B8">
        <w:t>T</w:t>
      </w:r>
      <w:r>
        <w:t>hese products do not need to be identified in a</w:t>
      </w:r>
      <w:r w:rsidR="002D539B">
        <w:t>n</w:t>
      </w:r>
      <w:r w:rsidR="6F9CD4A1">
        <w:t xml:space="preserve"> </w:t>
      </w:r>
      <w:r w:rsidR="00FF5E76">
        <w:t>EID</w:t>
      </w:r>
      <w:r>
        <w:t xml:space="preserve"> application</w:t>
      </w:r>
      <w:r w:rsidR="2CAB6C60">
        <w:t>,</w:t>
      </w:r>
      <w:r>
        <w:t xml:space="preserve"> and generally emissions related to these products are accounted for in the included covered emissions for the production variables </w:t>
      </w:r>
      <w:r w:rsidR="483E5AD3">
        <w:t xml:space="preserve">applicable </w:t>
      </w:r>
      <w:r>
        <w:t xml:space="preserve">to the facility. </w:t>
      </w:r>
      <w:r w:rsidDel="00466DD5">
        <w:t>The</w:t>
      </w:r>
      <w:r>
        <w:t xml:space="preserve"> </w:t>
      </w:r>
      <w:hyperlink r:id="rId38" w:tooltip="A link to the The Safeguard Mechanism: presecribed production variables and default emissions-intensities on the Department of Climate Change, Energy the Environment and Water's webiste" w:history="1">
        <w:r w:rsidRPr="1F1F8E47">
          <w:rPr>
            <w:rStyle w:val="Hyperlink"/>
            <w:rFonts w:asciiTheme="minorHAnsi" w:hAnsiTheme="minorHAnsi"/>
          </w:rPr>
          <w:t xml:space="preserve">Safeguard Mechanism </w:t>
        </w:r>
        <w:r w:rsidR="006129C4">
          <w:rPr>
            <w:rStyle w:val="Hyperlink"/>
            <w:rFonts w:asciiTheme="minorHAnsi" w:hAnsiTheme="minorHAnsi"/>
          </w:rPr>
          <w:t>d</w:t>
        </w:r>
        <w:r w:rsidRPr="1F1F8E47">
          <w:rPr>
            <w:rStyle w:val="Hyperlink"/>
            <w:rFonts w:asciiTheme="minorHAnsi" w:hAnsiTheme="minorHAnsi"/>
          </w:rPr>
          <w:t>ocument</w:t>
        </w:r>
      </w:hyperlink>
      <w:r w:rsidR="007777A9" w:rsidRPr="007E3D4C">
        <w:rPr>
          <w:rStyle w:val="FootnoteReference"/>
        </w:rPr>
        <w:footnoteReference w:id="25"/>
      </w:r>
      <w:r w:rsidRPr="006A2F1C">
        <w:t xml:space="preserve"> </w:t>
      </w:r>
      <w:r>
        <w:t xml:space="preserve">provides a list of included emissions sources for each production variable. See </w:t>
      </w:r>
      <w:hyperlink w:anchor="_How_to_apportion" w:history="1">
        <w:r w:rsidR="00A56F33" w:rsidRPr="1F1F8E47">
          <w:rPr>
            <w:rStyle w:val="Hyperlink"/>
            <w:rFonts w:asciiTheme="minorHAnsi" w:hAnsiTheme="minorHAnsi"/>
          </w:rPr>
          <w:t xml:space="preserve">Part </w:t>
        </w:r>
        <w:bookmarkStart w:id="144" w:name="_Hlt138940856"/>
        <w:bookmarkEnd w:id="144"/>
        <w:r w:rsidR="00DA570A">
          <w:rPr>
            <w:rStyle w:val="Hyperlink"/>
            <w:rFonts w:asciiTheme="minorHAnsi" w:hAnsiTheme="minorHAnsi"/>
          </w:rPr>
          <w:t xml:space="preserve">3.7.3.1 </w:t>
        </w:r>
        <w:r w:rsidR="005909CB">
          <w:rPr>
            <w:rStyle w:val="Hyperlink"/>
            <w:rFonts w:asciiTheme="minorHAnsi" w:hAnsiTheme="minorHAnsi"/>
          </w:rPr>
          <w:t>H</w:t>
        </w:r>
        <w:r w:rsidR="008F1149" w:rsidRPr="1F1F8E47">
          <w:rPr>
            <w:rStyle w:val="Hyperlink"/>
            <w:rFonts w:asciiTheme="minorHAnsi" w:hAnsiTheme="minorHAnsi"/>
          </w:rPr>
          <w:t>ow to apportion covered emissions</w:t>
        </w:r>
      </w:hyperlink>
      <w:r w:rsidRPr="00CD2762">
        <w:t xml:space="preserve"> for </w:t>
      </w:r>
      <w:r w:rsidR="008F1149">
        <w:t>more</w:t>
      </w:r>
      <w:r w:rsidR="008F1149" w:rsidRPr="00CD2762">
        <w:t xml:space="preserve"> </w:t>
      </w:r>
      <w:r w:rsidRPr="00CD2762">
        <w:t>information.</w:t>
      </w:r>
      <w:r w:rsidR="005C6856">
        <w:t xml:space="preserve"> </w:t>
      </w:r>
    </w:p>
    <w:p w14:paraId="0A58D1A9" w14:textId="26E679D1" w:rsidR="00466DD5" w:rsidRPr="00466DD5" w:rsidRDefault="00466DD5" w:rsidP="000E1FD4">
      <w:pPr>
        <w:pStyle w:val="CERbullets"/>
        <w:spacing w:before="240"/>
        <w:ind w:left="357" w:hanging="357"/>
      </w:pPr>
      <w:r>
        <w:t xml:space="preserve">If </w:t>
      </w:r>
      <w:r w:rsidR="00663E0C">
        <w:t xml:space="preserve">a responsible emitter is </w:t>
      </w:r>
      <w:r>
        <w:t xml:space="preserve">unable to find a production variable for </w:t>
      </w:r>
      <w:r w:rsidR="00663E0C">
        <w:t>its</w:t>
      </w:r>
      <w:r w:rsidR="006254CE">
        <w:t xml:space="preserve"> </w:t>
      </w:r>
      <w:r>
        <w:t xml:space="preserve">facility or </w:t>
      </w:r>
      <w:r w:rsidR="00663E0C">
        <w:t>is</w:t>
      </w:r>
      <w:r w:rsidR="00A533DA">
        <w:t xml:space="preserve"> </w:t>
      </w:r>
      <w:r>
        <w:t xml:space="preserve">unsure if </w:t>
      </w:r>
      <w:r w:rsidR="00CD1455">
        <w:t>the</w:t>
      </w:r>
      <w:r w:rsidR="00663E0C">
        <w:t xml:space="preserve"> </w:t>
      </w:r>
      <w:r>
        <w:t xml:space="preserve">facility produces a product that meets the specifications of a production variable please contact the </w:t>
      </w:r>
      <w:r w:rsidR="00BF532F">
        <w:t>CER</w:t>
      </w:r>
      <w:r w:rsidR="00BF532F" w:rsidRPr="3FB6375E">
        <w:t xml:space="preserve"> </w:t>
      </w:r>
      <w:r>
        <w:t xml:space="preserve">as soon as </w:t>
      </w:r>
      <w:r w:rsidR="00EE5B9A">
        <w:t>possible</w:t>
      </w:r>
      <w:r w:rsidR="00663E0C">
        <w:t xml:space="preserve"> </w:t>
      </w:r>
      <w:r w:rsidR="002756EB">
        <w:t xml:space="preserve">via </w:t>
      </w:r>
      <w:hyperlink r:id="rId39">
        <w:r w:rsidR="00FB52B0" w:rsidRPr="42F13D29">
          <w:rPr>
            <w:rStyle w:val="Hyperlink"/>
            <w:rFonts w:asciiTheme="minorHAnsi" w:hAnsiTheme="minorHAnsi"/>
          </w:rPr>
          <w:t>cer-safeguardbaselines@cer.gov.au</w:t>
        </w:r>
      </w:hyperlink>
      <w:r w:rsidR="008D2F21">
        <w:t>.</w:t>
      </w:r>
    </w:p>
    <w:p w14:paraId="4EBE6E3E" w14:textId="23FE58A9" w:rsidR="00523632" w:rsidRPr="00D84CD0" w:rsidRDefault="00DA7369" w:rsidP="00DB404D">
      <w:pPr>
        <w:pStyle w:val="Heading3"/>
      </w:pPr>
      <w:bookmarkStart w:id="145" w:name="_Toc138922916"/>
      <w:bookmarkStart w:id="146" w:name="_Toc138922991"/>
      <w:bookmarkStart w:id="147" w:name="_Toc138923055"/>
      <w:bookmarkStart w:id="148" w:name="_Toc138923312"/>
      <w:bookmarkStart w:id="149" w:name="_Toc143503185"/>
      <w:r>
        <w:t>Production variable application information</w:t>
      </w:r>
      <w:bookmarkEnd w:id="145"/>
      <w:bookmarkEnd w:id="146"/>
      <w:bookmarkEnd w:id="147"/>
      <w:bookmarkEnd w:id="148"/>
      <w:bookmarkEnd w:id="149"/>
    </w:p>
    <w:p w14:paraId="423ED720" w14:textId="689DB1AC" w:rsidR="00157478" w:rsidRDefault="00D719A9" w:rsidP="00376145">
      <w:pPr>
        <w:spacing w:before="240"/>
      </w:pPr>
      <w:r>
        <w:t xml:space="preserve">An </w:t>
      </w:r>
      <w:r w:rsidR="005C138D">
        <w:t>application must identify</w:t>
      </w:r>
      <w:r w:rsidR="00157478">
        <w:t>:</w:t>
      </w:r>
    </w:p>
    <w:p w14:paraId="528899A2" w14:textId="727E7D69" w:rsidR="00157478" w:rsidRDefault="005C138D" w:rsidP="00157478">
      <w:pPr>
        <w:pStyle w:val="CERbullets"/>
      </w:pPr>
      <w:r>
        <w:t xml:space="preserve">the production variables relevant to </w:t>
      </w:r>
      <w:r w:rsidR="00D719A9">
        <w:t xml:space="preserve">the </w:t>
      </w:r>
      <w:r>
        <w:t>facility</w:t>
      </w:r>
    </w:p>
    <w:p w14:paraId="7887CEF6" w14:textId="4BF037B0" w:rsidR="00006F7B" w:rsidRDefault="00006F7B" w:rsidP="00157478">
      <w:pPr>
        <w:pStyle w:val="CERbullets"/>
      </w:pPr>
      <w:r>
        <w:t>what type each production variable is</w:t>
      </w:r>
      <w:r w:rsidR="002352C7">
        <w:t xml:space="preserve"> (</w:t>
      </w:r>
      <w:r w:rsidR="006129C4">
        <w:t>that is,</w:t>
      </w:r>
      <w:r w:rsidR="002352C7">
        <w:t xml:space="preserve"> historical, or </w:t>
      </w:r>
      <w:r w:rsidR="00611BF0">
        <w:t>transitional</w:t>
      </w:r>
      <w:r w:rsidR="04C1F70C">
        <w:t>, or a request for a production variable to be a related production variable</w:t>
      </w:r>
      <w:r w:rsidR="00611BF0">
        <w:t>)</w:t>
      </w:r>
    </w:p>
    <w:p w14:paraId="2769688E" w14:textId="13CB6AFB" w:rsidR="004C1714" w:rsidRDefault="004C1714" w:rsidP="00157478">
      <w:pPr>
        <w:pStyle w:val="CERbullets"/>
      </w:pPr>
      <w:r>
        <w:t xml:space="preserve">the historical financial years </w:t>
      </w:r>
      <w:r w:rsidR="00997F25">
        <w:t xml:space="preserve">where production </w:t>
      </w:r>
      <w:r w:rsidR="001B4C74">
        <w:t>occurred</w:t>
      </w:r>
      <w:r w:rsidR="006129C4">
        <w:t>.</w:t>
      </w:r>
    </w:p>
    <w:p w14:paraId="2A125C11" w14:textId="7F329573" w:rsidR="002A79B6" w:rsidRDefault="002A79B6" w:rsidP="002A79B6">
      <w:pPr>
        <w:pStyle w:val="CERbullets"/>
        <w:numPr>
          <w:ilvl w:val="0"/>
          <w:numId w:val="0"/>
        </w:numPr>
      </w:pPr>
      <w:r>
        <w:t>In the application form, historical production variable</w:t>
      </w:r>
      <w:r w:rsidR="003E55DF">
        <w:t>s</w:t>
      </w:r>
      <w:r>
        <w:t xml:space="preserve"> are identified on the Production Variables page and transitional production variable</w:t>
      </w:r>
      <w:r w:rsidR="00C524E4">
        <w:t>s</w:t>
      </w:r>
      <w:r>
        <w:t xml:space="preserve"> are identified on the Additional Information page.</w:t>
      </w:r>
    </w:p>
    <w:p w14:paraId="0C00669D" w14:textId="0986CF4D" w:rsidR="002352C7" w:rsidRDefault="002352C7" w:rsidP="00611BF0">
      <w:pPr>
        <w:pStyle w:val="CERbullets"/>
        <w:numPr>
          <w:ilvl w:val="0"/>
          <w:numId w:val="0"/>
        </w:numPr>
      </w:pPr>
      <w:r>
        <w:t>I</w:t>
      </w:r>
      <w:r w:rsidRPr="00A92EC7">
        <w:t xml:space="preserve">f </w:t>
      </w:r>
      <w:r w:rsidR="00D719A9">
        <w:t xml:space="preserve">a </w:t>
      </w:r>
      <w:r w:rsidR="00D36F05">
        <w:t>facility</w:t>
      </w:r>
      <w:r w:rsidRPr="00A92EC7">
        <w:t xml:space="preserve"> ha</w:t>
      </w:r>
      <w:r w:rsidR="00D36F05">
        <w:t>s</w:t>
      </w:r>
      <w:r w:rsidRPr="00A92EC7">
        <w:t xml:space="preserve"> previously had a baseline (</w:t>
      </w:r>
      <w:r w:rsidR="006129C4">
        <w:t>for example,</w:t>
      </w:r>
      <w:r w:rsidRPr="00A92EC7">
        <w:t xml:space="preserve"> a calculated or production-adjusted),</w:t>
      </w:r>
      <w:r w:rsidR="00A27399">
        <w:t xml:space="preserve"> historical</w:t>
      </w:r>
      <w:r w:rsidRPr="00A92EC7">
        <w:t xml:space="preserve"> production variable</w:t>
      </w:r>
      <w:r w:rsidR="00A27399">
        <w:t>s</w:t>
      </w:r>
      <w:r w:rsidRPr="00A92EC7">
        <w:t xml:space="preserve"> may be pre-filled in </w:t>
      </w:r>
      <w:r w:rsidR="00D36F05">
        <w:t>the</w:t>
      </w:r>
      <w:r w:rsidRPr="00A92EC7">
        <w:t xml:space="preserve"> application. However, this information </w:t>
      </w:r>
      <w:r w:rsidR="00144561">
        <w:t xml:space="preserve">should be reviewed and </w:t>
      </w:r>
      <w:r w:rsidRPr="00A92EC7">
        <w:t>can be edited if it needs to be updated.</w:t>
      </w:r>
      <w:r w:rsidR="00611BF0">
        <w:t xml:space="preserve"> </w:t>
      </w:r>
    </w:p>
    <w:p w14:paraId="6AE7DCF1" w14:textId="5C4E31A2" w:rsidR="005C138D" w:rsidRPr="005C138D" w:rsidRDefault="004156CD" w:rsidP="005C138D">
      <w:pPr>
        <w:pStyle w:val="Heading4"/>
      </w:pPr>
      <w:bookmarkStart w:id="150" w:name="_Identifying_production_variables"/>
      <w:bookmarkEnd w:id="150"/>
      <w:r>
        <w:t>Identifying</w:t>
      </w:r>
      <w:r w:rsidR="00AE64F4" w:rsidRPr="00E132FC">
        <w:t xml:space="preserve"> production variables </w:t>
      </w:r>
      <w:r w:rsidR="00DB404D">
        <w:t xml:space="preserve">applicable to </w:t>
      </w:r>
      <w:r w:rsidR="00D719A9">
        <w:t xml:space="preserve">a </w:t>
      </w:r>
      <w:r>
        <w:t>facility</w:t>
      </w:r>
    </w:p>
    <w:p w14:paraId="66C93909" w14:textId="3ED2F662" w:rsidR="002D2ADF" w:rsidRDefault="002D2ADF" w:rsidP="00376145">
      <w:pPr>
        <w:spacing w:before="240"/>
      </w:pPr>
      <w:r>
        <w:t xml:space="preserve">There </w:t>
      </w:r>
      <w:r w:rsidRPr="00E3686D">
        <w:t xml:space="preserve">are </w:t>
      </w:r>
      <w:r w:rsidRPr="00A92EC7">
        <w:t>3</w:t>
      </w:r>
      <w:r w:rsidRPr="00E3686D">
        <w:t xml:space="preserve"> steps to id</w:t>
      </w:r>
      <w:r>
        <w:t xml:space="preserve">entifying </w:t>
      </w:r>
      <w:r w:rsidR="00AB309D">
        <w:t xml:space="preserve">production variables applicable to </w:t>
      </w:r>
      <w:r w:rsidR="00D719A9">
        <w:t xml:space="preserve">a </w:t>
      </w:r>
      <w:r w:rsidR="00AB309D">
        <w:t>facility.</w:t>
      </w:r>
    </w:p>
    <w:p w14:paraId="3D65991E" w14:textId="49CE6569" w:rsidR="00AB309D" w:rsidRPr="00A92EC7" w:rsidRDefault="00AB309D" w:rsidP="009B5E9A">
      <w:pPr>
        <w:pStyle w:val="Heading5"/>
        <w:numPr>
          <w:ilvl w:val="0"/>
          <w:numId w:val="0"/>
        </w:numPr>
      </w:pPr>
      <w:r w:rsidRPr="3FB6375E">
        <w:t>Step 1</w:t>
      </w:r>
      <w:r w:rsidR="00122F04" w:rsidRPr="3FB6375E">
        <w:t xml:space="preserve"> – </w:t>
      </w:r>
      <w:r w:rsidR="00B56C41" w:rsidRPr="3FB6375E">
        <w:t>I</w:t>
      </w:r>
      <w:r w:rsidR="00122F04" w:rsidRPr="3FB6375E">
        <w:t xml:space="preserve">dentify </w:t>
      </w:r>
      <w:r w:rsidR="7F61A611" w:rsidRPr="3FB6375E">
        <w:t xml:space="preserve">all </w:t>
      </w:r>
      <w:r w:rsidR="00122F04" w:rsidRPr="3FB6375E">
        <w:t>applicable production variables</w:t>
      </w:r>
    </w:p>
    <w:p w14:paraId="5FE9A446" w14:textId="02DCF8FD" w:rsidR="00810D9D" w:rsidRDefault="00413459" w:rsidP="00413459">
      <w:r>
        <w:t xml:space="preserve">The first step is to identify </w:t>
      </w:r>
      <w:r w:rsidR="674D82A2">
        <w:t xml:space="preserve">all </w:t>
      </w:r>
      <w:r>
        <w:t>the production variables applicable to the facility.</w:t>
      </w:r>
      <w:r w:rsidR="0078209F">
        <w:t xml:space="preserve"> </w:t>
      </w:r>
    </w:p>
    <w:p w14:paraId="0936A3CB" w14:textId="3660CE4D" w:rsidR="00B5534D" w:rsidRDefault="00D24722" w:rsidP="00413459">
      <w:r>
        <w:t xml:space="preserve">A production variable can be </w:t>
      </w:r>
      <w:r w:rsidR="007C7305">
        <w:t xml:space="preserve">included in an application </w:t>
      </w:r>
      <w:r>
        <w:t>if applicable to the facility and</w:t>
      </w:r>
      <w:r w:rsidR="009B3D72">
        <w:t xml:space="preserve"> if it</w:t>
      </w:r>
      <w:r>
        <w:t xml:space="preserve"> match</w:t>
      </w:r>
      <w:r w:rsidR="009B3D72">
        <w:t>es</w:t>
      </w:r>
      <w:r>
        <w:t xml:space="preserve"> the facility’s product in terms of the metric, description, units, and measurement requirements set out in Schedule </w:t>
      </w:r>
      <w:r w:rsidR="00AE7513">
        <w:t>1</w:t>
      </w:r>
      <w:r w:rsidR="008B4FC8">
        <w:t xml:space="preserve"> of the Safeguard Rule.</w:t>
      </w:r>
    </w:p>
    <w:p w14:paraId="59C92D11" w14:textId="6DFA709F" w:rsidR="00057443" w:rsidRDefault="00057443" w:rsidP="00413459">
      <w:r>
        <w:t xml:space="preserve">Note that some production variables specify </w:t>
      </w:r>
      <w:r w:rsidR="00325C9E">
        <w:t>certain</w:t>
      </w:r>
      <w:r>
        <w:t xml:space="preserve"> grade or concentration </w:t>
      </w:r>
      <w:r w:rsidR="00123C5A">
        <w:t>specifications,</w:t>
      </w:r>
      <w:r>
        <w:t xml:space="preserve"> and </w:t>
      </w:r>
      <w:r w:rsidR="00325C9E">
        <w:t xml:space="preserve">some </w:t>
      </w:r>
      <w:r>
        <w:t xml:space="preserve">are </w:t>
      </w:r>
      <w:r w:rsidR="00AC206E">
        <w:t>restricted for use by facilities that undertake certain specified activities.</w:t>
      </w:r>
    </w:p>
    <w:p w14:paraId="47AAAA0E" w14:textId="4D9CB8F8" w:rsidR="00B5534D" w:rsidRDefault="00F7226E" w:rsidP="00B5534D">
      <w:pPr>
        <w:pStyle w:val="Default"/>
        <w:rPr>
          <w:sz w:val="22"/>
          <w:szCs w:val="22"/>
        </w:rPr>
      </w:pPr>
      <w:r>
        <w:rPr>
          <w:sz w:val="22"/>
          <w:szCs w:val="22"/>
        </w:rPr>
        <w:t xml:space="preserve">As noted above, the </w:t>
      </w:r>
      <w:hyperlink r:id="rId40" w:tooltip="A link to the The Safeguard Mechanism: presecribed production variables and default emissions-intensities on the Department of Climate Change, Energy the Environment and Water's webiste" w:history="1">
        <w:r w:rsidRPr="00F7226E">
          <w:rPr>
            <w:rStyle w:val="Hyperlink"/>
            <w:szCs w:val="22"/>
          </w:rPr>
          <w:t xml:space="preserve">Safeguard Mechanism </w:t>
        </w:r>
        <w:r w:rsidR="006129C4">
          <w:rPr>
            <w:rStyle w:val="Hyperlink"/>
            <w:szCs w:val="22"/>
          </w:rPr>
          <w:t>d</w:t>
        </w:r>
        <w:r w:rsidRPr="00F7226E">
          <w:rPr>
            <w:rStyle w:val="Hyperlink"/>
            <w:szCs w:val="22"/>
          </w:rPr>
          <w:t>ocument</w:t>
        </w:r>
      </w:hyperlink>
      <w:r w:rsidR="007777A9" w:rsidRPr="00974015">
        <w:rPr>
          <w:rStyle w:val="FootnoteReference"/>
          <w:color w:val="auto"/>
          <w:sz w:val="22"/>
          <w:szCs w:val="22"/>
        </w:rPr>
        <w:footnoteReference w:id="26"/>
      </w:r>
      <w:r>
        <w:rPr>
          <w:sz w:val="22"/>
          <w:szCs w:val="22"/>
        </w:rPr>
        <w:t xml:space="preserve"> </w:t>
      </w:r>
      <w:r w:rsidR="00B5534D">
        <w:rPr>
          <w:sz w:val="22"/>
          <w:szCs w:val="22"/>
        </w:rPr>
        <w:t>provides further details on production variables</w:t>
      </w:r>
      <w:r>
        <w:rPr>
          <w:sz w:val="22"/>
          <w:szCs w:val="22"/>
        </w:rPr>
        <w:t>.</w:t>
      </w:r>
    </w:p>
    <w:p w14:paraId="10099536" w14:textId="77777777" w:rsidR="00B5534D" w:rsidRDefault="00B5534D" w:rsidP="00413459"/>
    <w:tbl>
      <w:tblPr>
        <w:tblStyle w:val="CERCallout"/>
        <w:tblW w:w="9609" w:type="dxa"/>
        <w:tblLook w:val="04A0" w:firstRow="1" w:lastRow="0" w:firstColumn="1" w:lastColumn="0" w:noHBand="0" w:noVBand="1"/>
      </w:tblPr>
      <w:tblGrid>
        <w:gridCol w:w="9609"/>
      </w:tblGrid>
      <w:tr w:rsidR="006C087F" w14:paraId="51821FAF" w14:textId="77777777" w:rsidTr="00FE2099">
        <w:trPr>
          <w:cnfStyle w:val="100000000000" w:firstRow="1" w:lastRow="0" w:firstColumn="0" w:lastColumn="0" w:oddVBand="0" w:evenVBand="0" w:oddHBand="0" w:evenHBand="0" w:firstRowFirstColumn="0" w:firstRowLastColumn="0" w:lastRowFirstColumn="0" w:lastRowLastColumn="0"/>
          <w:trHeight w:val="7229"/>
        </w:trPr>
        <w:tc>
          <w:tcPr>
            <w:tcW w:w="9609" w:type="dxa"/>
          </w:tcPr>
          <w:p w14:paraId="05821AB8" w14:textId="14FB0ED3" w:rsidR="00AE1015" w:rsidRPr="00AE1015" w:rsidRDefault="00AE1015" w:rsidP="00C665E9">
            <w:pPr>
              <w:keepNext/>
              <w:rPr>
                <w:bCs/>
              </w:rPr>
            </w:pPr>
            <w:r w:rsidRPr="00AE1015">
              <w:rPr>
                <w:bCs/>
              </w:rPr>
              <w:t>Example</w:t>
            </w:r>
            <w:r w:rsidR="00E8317B">
              <w:rPr>
                <w:bCs/>
              </w:rPr>
              <w:t>s</w:t>
            </w:r>
            <w:r w:rsidRPr="00AE1015">
              <w:rPr>
                <w:bCs/>
              </w:rPr>
              <w:t xml:space="preserve"> of a Schedule 1 production variable </w:t>
            </w:r>
          </w:p>
          <w:p w14:paraId="08CA574A" w14:textId="63028B6F" w:rsidR="00AE1015" w:rsidRPr="00A92EC7" w:rsidRDefault="00AE1015" w:rsidP="00C665E9">
            <w:pPr>
              <w:keepNext/>
              <w:spacing w:before="120" w:beforeAutospacing="0" w:after="120"/>
              <w:rPr>
                <w:i/>
                <w:iCs/>
              </w:rPr>
            </w:pPr>
            <w:r w:rsidRPr="00657EEE">
              <w:rPr>
                <w:i/>
                <w:iCs/>
              </w:rPr>
              <w:t xml:space="preserve">Iron Ore </w:t>
            </w:r>
            <w:r w:rsidR="009E34BD" w:rsidRPr="00A92EC7">
              <w:rPr>
                <w:i/>
                <w:iCs/>
              </w:rPr>
              <w:t>production variable</w:t>
            </w:r>
          </w:p>
          <w:p w14:paraId="40C04ACB" w14:textId="77777777" w:rsidR="00DB7C54" w:rsidRPr="009B5E9A" w:rsidRDefault="00AE1015" w:rsidP="00A92EC7">
            <w:pPr>
              <w:spacing w:before="120" w:beforeAutospacing="0" w:after="120"/>
              <w:rPr>
                <w:bCs/>
                <w:sz w:val="22"/>
                <w:szCs w:val="20"/>
              </w:rPr>
            </w:pPr>
            <w:r w:rsidRPr="009B5E9A">
              <w:rPr>
                <w:sz w:val="22"/>
                <w:szCs w:val="20"/>
              </w:rPr>
              <w:t>Applicable to</w:t>
            </w:r>
            <w:r w:rsidR="00536D98" w:rsidRPr="009B5E9A">
              <w:rPr>
                <w:sz w:val="22"/>
                <w:szCs w:val="20"/>
              </w:rPr>
              <w:t xml:space="preserve"> </w:t>
            </w:r>
            <w:r w:rsidR="00B71A1C" w:rsidRPr="009B5E9A">
              <w:rPr>
                <w:sz w:val="22"/>
                <w:szCs w:val="20"/>
              </w:rPr>
              <w:t>a facility that</w:t>
            </w:r>
            <w:r w:rsidR="00BB6933" w:rsidRPr="009B5E9A">
              <w:rPr>
                <w:b w:val="0"/>
                <w:bCs/>
                <w:sz w:val="22"/>
                <w:szCs w:val="20"/>
              </w:rPr>
              <w:t>:</w:t>
            </w:r>
            <w:r w:rsidR="00B71A1C" w:rsidRPr="009B5E9A">
              <w:rPr>
                <w:b w:val="0"/>
                <w:bCs/>
                <w:sz w:val="22"/>
                <w:szCs w:val="20"/>
              </w:rPr>
              <w:t xml:space="preserve"> conducts the activity of mining iron ore. </w:t>
            </w:r>
          </w:p>
          <w:p w14:paraId="3B82B606" w14:textId="02072BC6" w:rsidR="000C75E1" w:rsidRPr="009B5E9A" w:rsidRDefault="00303CD8" w:rsidP="00A92EC7">
            <w:pPr>
              <w:spacing w:before="120" w:beforeAutospacing="0" w:after="120"/>
              <w:rPr>
                <w:bCs/>
                <w:sz w:val="22"/>
                <w:szCs w:val="20"/>
              </w:rPr>
            </w:pPr>
            <w:r w:rsidRPr="009B5E9A">
              <w:rPr>
                <w:b w:val="0"/>
                <w:sz w:val="22"/>
                <w:szCs w:val="20"/>
              </w:rPr>
              <w:t xml:space="preserve">Emissions </w:t>
            </w:r>
            <w:r w:rsidR="00905721" w:rsidRPr="009B5E9A">
              <w:rPr>
                <w:b w:val="0"/>
                <w:sz w:val="22"/>
                <w:szCs w:val="20"/>
              </w:rPr>
              <w:t xml:space="preserve">included in this activity </w:t>
            </w:r>
            <w:r w:rsidR="005E00D4" w:rsidRPr="009B5E9A">
              <w:rPr>
                <w:b w:val="0"/>
                <w:sz w:val="22"/>
                <w:szCs w:val="20"/>
              </w:rPr>
              <w:t xml:space="preserve">may be from </w:t>
            </w:r>
            <w:r w:rsidR="000C75E1" w:rsidRPr="009B5E9A">
              <w:rPr>
                <w:b w:val="0"/>
                <w:bCs/>
                <w:sz w:val="22"/>
                <w:szCs w:val="20"/>
              </w:rPr>
              <w:t xml:space="preserve">the physical extraction of mineral ores containing iron </w:t>
            </w:r>
            <w:r w:rsidR="00BB3D9D">
              <w:rPr>
                <w:b w:val="0"/>
                <w:bCs/>
                <w:sz w:val="22"/>
                <w:szCs w:val="20"/>
              </w:rPr>
              <w:t xml:space="preserve">ore </w:t>
            </w:r>
            <w:r w:rsidR="000C75E1" w:rsidRPr="009B5E9A">
              <w:rPr>
                <w:b w:val="0"/>
                <w:bCs/>
                <w:sz w:val="22"/>
                <w:szCs w:val="20"/>
              </w:rPr>
              <w:t>metal</w:t>
            </w:r>
            <w:r w:rsidR="00C524E4" w:rsidRPr="009B5E9A">
              <w:rPr>
                <w:b w:val="0"/>
                <w:bCs/>
                <w:sz w:val="22"/>
                <w:szCs w:val="20"/>
              </w:rPr>
              <w:t>,</w:t>
            </w:r>
            <w:r w:rsidR="000C75E1" w:rsidRPr="009B5E9A">
              <w:rPr>
                <w:b w:val="0"/>
                <w:bCs/>
                <w:sz w:val="22"/>
                <w:szCs w:val="20"/>
              </w:rPr>
              <w:t xml:space="preserve"> </w:t>
            </w:r>
            <w:r w:rsidR="00546BC8" w:rsidRPr="009B5E9A">
              <w:rPr>
                <w:b w:val="0"/>
                <w:bCs/>
                <w:sz w:val="22"/>
                <w:szCs w:val="20"/>
              </w:rPr>
              <w:t xml:space="preserve">and the processing of the extracted ores to produce </w:t>
            </w:r>
            <w:r w:rsidR="002C3F21" w:rsidRPr="009B5E9A">
              <w:rPr>
                <w:b w:val="0"/>
                <w:bCs/>
                <w:sz w:val="22"/>
                <w:szCs w:val="20"/>
              </w:rPr>
              <w:t xml:space="preserve">an iron ore product of saleable quality. </w:t>
            </w:r>
          </w:p>
          <w:p w14:paraId="5DC2D5B0" w14:textId="6A751F79" w:rsidR="00E535B7" w:rsidRPr="009B5E9A" w:rsidRDefault="00E535B7" w:rsidP="00A92EC7">
            <w:pPr>
              <w:spacing w:before="120" w:beforeAutospacing="0" w:after="120"/>
              <w:rPr>
                <w:bCs/>
                <w:sz w:val="22"/>
                <w:szCs w:val="20"/>
              </w:rPr>
            </w:pPr>
            <w:r w:rsidRPr="009B5E9A">
              <w:rPr>
                <w:bCs/>
                <w:sz w:val="22"/>
                <w:szCs w:val="20"/>
              </w:rPr>
              <w:t>Metric</w:t>
            </w:r>
            <w:r w:rsidRPr="009B5E9A">
              <w:rPr>
                <w:b w:val="0"/>
                <w:sz w:val="22"/>
                <w:szCs w:val="20"/>
              </w:rPr>
              <w:t xml:space="preserve">: </w:t>
            </w:r>
            <w:r w:rsidR="000F6BAD" w:rsidRPr="009B5E9A">
              <w:rPr>
                <w:b w:val="0"/>
                <w:sz w:val="22"/>
                <w:szCs w:val="20"/>
              </w:rPr>
              <w:t>t</w:t>
            </w:r>
            <w:r w:rsidRPr="009B5E9A">
              <w:rPr>
                <w:b w:val="0"/>
                <w:sz w:val="22"/>
                <w:szCs w:val="20"/>
              </w:rPr>
              <w:t>onnes of</w:t>
            </w:r>
            <w:r w:rsidRPr="009B5E9A">
              <w:rPr>
                <w:bCs/>
                <w:sz w:val="22"/>
                <w:szCs w:val="20"/>
              </w:rPr>
              <w:t xml:space="preserve"> </w:t>
            </w:r>
            <w:r w:rsidRPr="009B5E9A">
              <w:rPr>
                <w:b w:val="0"/>
                <w:bCs/>
                <w:sz w:val="22"/>
                <w:szCs w:val="20"/>
              </w:rPr>
              <w:t>saleable quality iron ore measured on a wet basis that is produced as part of carrying on the iron ore mining activity</w:t>
            </w:r>
            <w:r w:rsidR="00C524E4" w:rsidRPr="009B5E9A">
              <w:rPr>
                <w:b w:val="0"/>
                <w:bCs/>
                <w:sz w:val="22"/>
                <w:szCs w:val="20"/>
              </w:rPr>
              <w:t>.</w:t>
            </w:r>
          </w:p>
          <w:p w14:paraId="65F1DAD3" w14:textId="4957DA6A" w:rsidR="00C524E4" w:rsidRPr="009B5E9A" w:rsidRDefault="00AE1015" w:rsidP="00A92EC7">
            <w:pPr>
              <w:spacing w:before="120" w:beforeAutospacing="0" w:after="120"/>
              <w:rPr>
                <w:bCs/>
                <w:sz w:val="22"/>
                <w:szCs w:val="20"/>
              </w:rPr>
            </w:pPr>
            <w:r w:rsidRPr="009B5E9A">
              <w:rPr>
                <w:sz w:val="22"/>
                <w:szCs w:val="20"/>
              </w:rPr>
              <w:t>Unit of measurement</w:t>
            </w:r>
            <w:r w:rsidR="00CF7DFB" w:rsidRPr="009B5E9A">
              <w:rPr>
                <w:b w:val="0"/>
                <w:bCs/>
                <w:sz w:val="22"/>
                <w:szCs w:val="20"/>
              </w:rPr>
              <w:t xml:space="preserve">: </w:t>
            </w:r>
            <w:r w:rsidR="000F6BAD" w:rsidRPr="009B5E9A">
              <w:rPr>
                <w:b w:val="0"/>
                <w:bCs/>
                <w:sz w:val="22"/>
                <w:szCs w:val="20"/>
              </w:rPr>
              <w:t>t</w:t>
            </w:r>
            <w:r w:rsidR="00CF7DFB" w:rsidRPr="009B5E9A">
              <w:rPr>
                <w:b w:val="0"/>
                <w:bCs/>
                <w:sz w:val="22"/>
                <w:szCs w:val="20"/>
              </w:rPr>
              <w:t>onnes</w:t>
            </w:r>
          </w:p>
          <w:p w14:paraId="69AFEFDE" w14:textId="406B6608" w:rsidR="007A520D" w:rsidRPr="007A520D" w:rsidRDefault="00C65956" w:rsidP="00A92EC7">
            <w:pPr>
              <w:spacing w:before="240" w:beforeAutospacing="0" w:after="120"/>
              <w:rPr>
                <w:b w:val="0"/>
              </w:rPr>
            </w:pPr>
            <w:r w:rsidRPr="00A92EC7">
              <w:rPr>
                <w:i/>
                <w:iCs/>
              </w:rPr>
              <w:t>Ammonia</w:t>
            </w:r>
            <w:r w:rsidR="003C4C23" w:rsidRPr="00A92EC7">
              <w:rPr>
                <w:i/>
                <w:iCs/>
              </w:rPr>
              <w:t xml:space="preserve"> production</w:t>
            </w:r>
            <w:r w:rsidR="007B7E0C">
              <w:rPr>
                <w:i/>
                <w:iCs/>
              </w:rPr>
              <w:t xml:space="preserve"> variable</w:t>
            </w:r>
          </w:p>
          <w:p w14:paraId="462890A0" w14:textId="40379D5E" w:rsidR="007A520D" w:rsidRPr="009B5E9A" w:rsidRDefault="007A520D" w:rsidP="00A92EC7">
            <w:pPr>
              <w:spacing w:before="120" w:beforeAutospacing="0" w:after="120"/>
              <w:rPr>
                <w:b w:val="0"/>
                <w:bCs/>
                <w:sz w:val="22"/>
                <w:szCs w:val="20"/>
              </w:rPr>
            </w:pPr>
            <w:r w:rsidRPr="009B5E9A">
              <w:rPr>
                <w:sz w:val="22"/>
                <w:szCs w:val="20"/>
              </w:rPr>
              <w:t>Applicable to a facility that</w:t>
            </w:r>
            <w:r w:rsidR="00BB6933" w:rsidRPr="009B5E9A">
              <w:rPr>
                <w:sz w:val="22"/>
                <w:szCs w:val="20"/>
              </w:rPr>
              <w:t>:</w:t>
            </w:r>
            <w:r w:rsidR="00BB6933" w:rsidRPr="009B5E9A">
              <w:rPr>
                <w:b w:val="0"/>
                <w:bCs/>
                <w:sz w:val="22"/>
                <w:szCs w:val="20"/>
              </w:rPr>
              <w:t xml:space="preserve"> C</w:t>
            </w:r>
            <w:r w:rsidRPr="009B5E9A">
              <w:rPr>
                <w:b w:val="0"/>
                <w:bCs/>
                <w:sz w:val="22"/>
                <w:szCs w:val="20"/>
              </w:rPr>
              <w:t>onducts the activity of producing ammonia through the chemical transformation of hydrocarbons (or other hydrogen feedstock) to hydrogen (H2) that is subsequently reacted with nitrogen (N2) to produce anhydrous ammonia (NH3) that has a concentration of ammonia (NH3) equal to or greater than 98%.</w:t>
            </w:r>
          </w:p>
          <w:p w14:paraId="18AB7F9B" w14:textId="737E10E0" w:rsidR="007A520D" w:rsidRPr="009B5E9A" w:rsidRDefault="007A520D" w:rsidP="00A92EC7">
            <w:pPr>
              <w:spacing w:before="120" w:beforeAutospacing="0" w:after="120"/>
              <w:rPr>
                <w:sz w:val="22"/>
                <w:szCs w:val="20"/>
              </w:rPr>
            </w:pPr>
            <w:r w:rsidRPr="009B5E9A">
              <w:rPr>
                <w:b w:val="0"/>
                <w:sz w:val="22"/>
                <w:szCs w:val="20"/>
              </w:rPr>
              <w:t xml:space="preserve">Emissions included in this activity may be from </w:t>
            </w:r>
            <w:r w:rsidR="0057120C" w:rsidRPr="009B5E9A">
              <w:rPr>
                <w:b w:val="0"/>
                <w:sz w:val="22"/>
                <w:szCs w:val="20"/>
              </w:rPr>
              <w:t>the chemical process of creating</w:t>
            </w:r>
            <w:r w:rsidR="006368A5" w:rsidRPr="009B5E9A">
              <w:rPr>
                <w:b w:val="0"/>
                <w:sz w:val="22"/>
                <w:szCs w:val="20"/>
              </w:rPr>
              <w:t xml:space="preserve"> ammonia, refrigerat</w:t>
            </w:r>
            <w:r w:rsidR="00E535B7" w:rsidRPr="009B5E9A">
              <w:rPr>
                <w:b w:val="0"/>
                <w:sz w:val="22"/>
                <w:szCs w:val="20"/>
              </w:rPr>
              <w:t xml:space="preserve">ed </w:t>
            </w:r>
            <w:r w:rsidR="006368A5" w:rsidRPr="009B5E9A">
              <w:rPr>
                <w:b w:val="0"/>
                <w:sz w:val="22"/>
                <w:szCs w:val="20"/>
              </w:rPr>
              <w:t>stor</w:t>
            </w:r>
            <w:r w:rsidR="00E535B7" w:rsidRPr="009B5E9A">
              <w:rPr>
                <w:b w:val="0"/>
                <w:sz w:val="22"/>
                <w:szCs w:val="20"/>
              </w:rPr>
              <w:t>age of</w:t>
            </w:r>
            <w:r w:rsidR="006368A5" w:rsidRPr="009B5E9A">
              <w:rPr>
                <w:b w:val="0"/>
                <w:sz w:val="22"/>
                <w:szCs w:val="20"/>
              </w:rPr>
              <w:t xml:space="preserve"> ammonia, vehicle and machinery used</w:t>
            </w:r>
            <w:r w:rsidR="00D55AE9" w:rsidRPr="009B5E9A">
              <w:rPr>
                <w:b w:val="0"/>
                <w:sz w:val="22"/>
                <w:szCs w:val="20"/>
              </w:rPr>
              <w:t>,</w:t>
            </w:r>
            <w:r w:rsidR="006368A5" w:rsidRPr="009B5E9A">
              <w:rPr>
                <w:b w:val="0"/>
                <w:sz w:val="22"/>
                <w:szCs w:val="20"/>
              </w:rPr>
              <w:t xml:space="preserve"> </w:t>
            </w:r>
            <w:r w:rsidR="00043F40" w:rsidRPr="009B5E9A">
              <w:rPr>
                <w:b w:val="0"/>
                <w:sz w:val="22"/>
                <w:szCs w:val="20"/>
              </w:rPr>
              <w:t>and processing waste materials from conducting the activity</w:t>
            </w:r>
            <w:r w:rsidR="00851300" w:rsidRPr="009B5E9A">
              <w:rPr>
                <w:b w:val="0"/>
                <w:sz w:val="22"/>
                <w:szCs w:val="20"/>
              </w:rPr>
              <w:t xml:space="preserve"> and other emissions sources relevantly associated in ammonia production</w:t>
            </w:r>
            <w:r w:rsidR="00043F40" w:rsidRPr="009B5E9A">
              <w:rPr>
                <w:b w:val="0"/>
                <w:sz w:val="22"/>
                <w:szCs w:val="20"/>
              </w:rPr>
              <w:t xml:space="preserve">. </w:t>
            </w:r>
          </w:p>
          <w:p w14:paraId="21CF82E4" w14:textId="4694961F" w:rsidR="00E535B7" w:rsidRPr="009B5E9A" w:rsidRDefault="00E535B7" w:rsidP="00A92EC7">
            <w:pPr>
              <w:spacing w:before="120" w:beforeAutospacing="0" w:after="120"/>
              <w:rPr>
                <w:b w:val="0"/>
                <w:sz w:val="22"/>
                <w:szCs w:val="20"/>
              </w:rPr>
            </w:pPr>
            <w:r w:rsidRPr="009B5E9A">
              <w:rPr>
                <w:sz w:val="22"/>
                <w:szCs w:val="20"/>
              </w:rPr>
              <w:t>Metric</w:t>
            </w:r>
            <w:r w:rsidRPr="009B5E9A">
              <w:rPr>
                <w:b w:val="0"/>
                <w:sz w:val="22"/>
                <w:szCs w:val="20"/>
              </w:rPr>
              <w:t xml:space="preserve">: Tonnes </w:t>
            </w:r>
            <w:r w:rsidR="008A75A0" w:rsidRPr="009B5E9A">
              <w:rPr>
                <w:b w:val="0"/>
                <w:bCs/>
                <w:sz w:val="22"/>
                <w:szCs w:val="20"/>
              </w:rPr>
              <w:t>of 100% equivalent anhydrous ammonia (NH3) contained within anhydrous ammonia that</w:t>
            </w:r>
            <w:r w:rsidR="00713CE1" w:rsidRPr="009B5E9A">
              <w:rPr>
                <w:b w:val="0"/>
                <w:bCs/>
                <w:sz w:val="22"/>
                <w:szCs w:val="20"/>
              </w:rPr>
              <w:t xml:space="preserve"> has a </w:t>
            </w:r>
            <w:r w:rsidR="0014004C" w:rsidRPr="009B5E9A">
              <w:rPr>
                <w:b w:val="0"/>
                <w:sz w:val="22"/>
                <w:szCs w:val="20"/>
              </w:rPr>
              <w:t>concentration of ammonia equal to or greater than 98%</w:t>
            </w:r>
            <w:r w:rsidR="00307F61" w:rsidRPr="009B5E9A">
              <w:rPr>
                <w:b w:val="0"/>
                <w:sz w:val="22"/>
                <w:szCs w:val="20"/>
              </w:rPr>
              <w:t>,</w:t>
            </w:r>
            <w:r w:rsidR="005E6BD2">
              <w:rPr>
                <w:b w:val="0"/>
                <w:sz w:val="22"/>
                <w:szCs w:val="20"/>
              </w:rPr>
              <w:t xml:space="preserve"> </w:t>
            </w:r>
            <w:r w:rsidR="0014004C" w:rsidRPr="009B5E9A">
              <w:rPr>
                <w:b w:val="0"/>
                <w:sz w:val="22"/>
                <w:szCs w:val="20"/>
              </w:rPr>
              <w:t>is of saleable quality</w:t>
            </w:r>
            <w:r w:rsidR="00307F61" w:rsidRPr="009B5E9A">
              <w:rPr>
                <w:b w:val="0"/>
                <w:sz w:val="22"/>
                <w:szCs w:val="20"/>
              </w:rPr>
              <w:t>, and is produced as part of carrying on the ammonia production activity at the facility</w:t>
            </w:r>
            <w:r w:rsidR="0014004C" w:rsidRPr="009B5E9A">
              <w:rPr>
                <w:b w:val="0"/>
                <w:sz w:val="22"/>
                <w:szCs w:val="20"/>
              </w:rPr>
              <w:t>.</w:t>
            </w:r>
          </w:p>
          <w:p w14:paraId="29CDA6BB" w14:textId="74AE80EA" w:rsidR="00E8317B" w:rsidRPr="00AE1015" w:rsidRDefault="00851300" w:rsidP="00A92EC7">
            <w:pPr>
              <w:spacing w:before="120" w:beforeAutospacing="0" w:after="120"/>
              <w:rPr>
                <w:b w:val="0"/>
              </w:rPr>
            </w:pPr>
            <w:r w:rsidRPr="009B5E9A">
              <w:rPr>
                <w:sz w:val="22"/>
                <w:szCs w:val="20"/>
              </w:rPr>
              <w:t>Unit of measurement</w:t>
            </w:r>
            <w:r w:rsidRPr="009B5E9A">
              <w:rPr>
                <w:b w:val="0"/>
                <w:sz w:val="22"/>
                <w:szCs w:val="20"/>
              </w:rPr>
              <w:t>:</w:t>
            </w:r>
            <w:r w:rsidR="008A75A0" w:rsidRPr="009B5E9A">
              <w:rPr>
                <w:sz w:val="22"/>
                <w:szCs w:val="20"/>
              </w:rPr>
              <w:t xml:space="preserve"> </w:t>
            </w:r>
            <w:r w:rsidR="000F6BAD" w:rsidRPr="009B5E9A">
              <w:rPr>
                <w:b w:val="0"/>
                <w:sz w:val="22"/>
                <w:szCs w:val="20"/>
              </w:rPr>
              <w:t>t</w:t>
            </w:r>
            <w:r w:rsidR="008A75A0" w:rsidRPr="009B5E9A">
              <w:rPr>
                <w:b w:val="0"/>
                <w:sz w:val="22"/>
                <w:szCs w:val="20"/>
              </w:rPr>
              <w:t>onnes</w:t>
            </w:r>
          </w:p>
        </w:tc>
      </w:tr>
    </w:tbl>
    <w:p w14:paraId="32B88E71" w14:textId="1EAB83B1" w:rsidR="00AB309D" w:rsidRPr="00A92EC7" w:rsidRDefault="00AB309D" w:rsidP="009B5E9A">
      <w:pPr>
        <w:pStyle w:val="Heading5"/>
        <w:numPr>
          <w:ilvl w:val="0"/>
          <w:numId w:val="0"/>
        </w:numPr>
      </w:pPr>
      <w:r w:rsidRPr="00A92EC7">
        <w:t>Step 2</w:t>
      </w:r>
      <w:r w:rsidR="00122F04" w:rsidRPr="00A92EC7">
        <w:t xml:space="preserve"> – </w:t>
      </w:r>
      <w:r w:rsidR="00B56C41">
        <w:t>I</w:t>
      </w:r>
      <w:r w:rsidR="00122F04" w:rsidRPr="00A92EC7">
        <w:t>dentify production variable category</w:t>
      </w:r>
    </w:p>
    <w:p w14:paraId="7C2442D7" w14:textId="4F89E240" w:rsidR="003B0502" w:rsidRDefault="00037F99" w:rsidP="00A92EC7">
      <w:pPr>
        <w:spacing w:after="120"/>
      </w:pPr>
      <w:r w:rsidRPr="3FB6375E">
        <w:t xml:space="preserve">The second step is </w:t>
      </w:r>
      <w:r w:rsidR="00AB309D" w:rsidRPr="3FB6375E">
        <w:t xml:space="preserve">to identify the category of each production variable </w:t>
      </w:r>
      <w:r w:rsidR="00A93C17" w:rsidRPr="3FB6375E">
        <w:t>(</w:t>
      </w:r>
      <w:r w:rsidR="00F33100">
        <w:t xml:space="preserve">that is, </w:t>
      </w:r>
      <w:r w:rsidR="00A93C17" w:rsidRPr="3FB6375E">
        <w:t>historical or transitional)</w:t>
      </w:r>
      <w:r w:rsidR="21DFBF99" w:rsidRPr="3FB6375E">
        <w:t xml:space="preserve">, and any production variables to request </w:t>
      </w:r>
      <w:r w:rsidR="00416B22">
        <w:t xml:space="preserve">to </w:t>
      </w:r>
      <w:r w:rsidR="21DFBF99" w:rsidRPr="3FB6375E">
        <w:t>be declared a related production variable</w:t>
      </w:r>
      <w:r w:rsidR="00A93C17" w:rsidRPr="3FB6375E">
        <w:t>.</w:t>
      </w:r>
      <w:r w:rsidR="00761CF7" w:rsidRPr="3FB6375E">
        <w:t xml:space="preserve"> </w:t>
      </w:r>
      <w:r w:rsidR="00656AB9" w:rsidRPr="3FB6375E">
        <w:t>Use the information above to</w:t>
      </w:r>
      <w:r w:rsidR="00761CF7" w:rsidRPr="3FB6375E">
        <w:t xml:space="preserve"> assist </w:t>
      </w:r>
      <w:r w:rsidR="00C613E8" w:rsidRPr="3FB6375E">
        <w:t xml:space="preserve">in </w:t>
      </w:r>
      <w:r w:rsidR="00761CF7" w:rsidRPr="3FB6375E">
        <w:t>identify</w:t>
      </w:r>
      <w:r w:rsidR="00C613E8" w:rsidRPr="3FB6375E">
        <w:t>ing</w:t>
      </w:r>
      <w:r w:rsidR="00761CF7" w:rsidRPr="3FB6375E">
        <w:t xml:space="preserve"> </w:t>
      </w:r>
      <w:r w:rsidR="002E7BCD" w:rsidRPr="3FB6375E">
        <w:t>the category of each production variable.</w:t>
      </w:r>
    </w:p>
    <w:p w14:paraId="7290A765" w14:textId="6F44EA9D" w:rsidR="00A93C17" w:rsidRPr="00A92EC7" w:rsidRDefault="00A93C17" w:rsidP="009B5E9A">
      <w:pPr>
        <w:pStyle w:val="Heading5"/>
        <w:numPr>
          <w:ilvl w:val="0"/>
          <w:numId w:val="0"/>
        </w:numPr>
      </w:pPr>
      <w:r w:rsidRPr="00A92EC7">
        <w:t>Step 3</w:t>
      </w:r>
      <w:r w:rsidR="00122F04" w:rsidRPr="00A92EC7">
        <w:t xml:space="preserve"> – </w:t>
      </w:r>
      <w:r w:rsidR="00B56C41">
        <w:t>I</w:t>
      </w:r>
      <w:r w:rsidR="00122F04" w:rsidRPr="00A92EC7">
        <w:t xml:space="preserve">dentify historical financial years of production </w:t>
      </w:r>
    </w:p>
    <w:p w14:paraId="50A7086E" w14:textId="2DFD5B6F" w:rsidR="00A93C17" w:rsidRDefault="00A93C17" w:rsidP="00AB309D">
      <w:pPr>
        <w:spacing w:after="120"/>
      </w:pPr>
      <w:r w:rsidRPr="00A93C17">
        <w:t xml:space="preserve">The third step is to identify the </w:t>
      </w:r>
      <w:r>
        <w:t>historical financial years (</w:t>
      </w:r>
      <w:r w:rsidR="006129C4">
        <w:t>that is,</w:t>
      </w:r>
      <w:r>
        <w:t xml:space="preserve"> 2017-18 to 2021-22) where the facility was commercially producing each applicable historical production variable. </w:t>
      </w:r>
    </w:p>
    <w:p w14:paraId="6DFE2799" w14:textId="77777777" w:rsidR="00B90561" w:rsidRDefault="00605C83" w:rsidP="009B5E9A">
      <w:pPr>
        <w:pStyle w:val="Heading4"/>
        <w:numPr>
          <w:ilvl w:val="0"/>
          <w:numId w:val="0"/>
        </w:numPr>
      </w:pPr>
      <w:r w:rsidRPr="008A609D">
        <w:t>Audit requirement</w:t>
      </w:r>
    </w:p>
    <w:p w14:paraId="11B859FF" w14:textId="7D29F842" w:rsidR="00E32442" w:rsidRPr="00B90561" w:rsidRDefault="00A54ACE" w:rsidP="005C6856">
      <w:pPr>
        <w:pStyle w:val="CERbullets"/>
        <w:numPr>
          <w:ilvl w:val="0"/>
          <w:numId w:val="0"/>
        </w:numPr>
        <w:spacing w:before="0"/>
      </w:pPr>
      <w:r>
        <w:t>Whether, in all material respects</w:t>
      </w:r>
      <w:r w:rsidR="003F572B">
        <w:t>,</w:t>
      </w:r>
      <w:r w:rsidR="00E32442">
        <w:t xml:space="preserve"> an application correctly specifies </w:t>
      </w:r>
      <w:r w:rsidR="00F94D34">
        <w:t xml:space="preserve">the historical </w:t>
      </w:r>
      <w:r w:rsidR="00FA6CE3">
        <w:t xml:space="preserve">and transitional production variables </w:t>
      </w:r>
      <w:r w:rsidR="00B90561">
        <w:t xml:space="preserve">is a </w:t>
      </w:r>
      <w:r w:rsidR="00F52A7D">
        <w:t>‘</w:t>
      </w:r>
      <w:r w:rsidR="00605C83" w:rsidRPr="00F317B2">
        <w:t>reasonable assurance</w:t>
      </w:r>
      <w:r w:rsidR="00F52A7D">
        <w:t>’</w:t>
      </w:r>
      <w:r w:rsidR="00605C83">
        <w:t xml:space="preserve"> matter for auditors.</w:t>
      </w:r>
    </w:p>
    <w:p w14:paraId="76434D18" w14:textId="2E293EEF" w:rsidR="00E9679B" w:rsidRPr="006574E4" w:rsidRDefault="00104D33" w:rsidP="009B5E9A">
      <w:pPr>
        <w:pStyle w:val="Heading4"/>
        <w:numPr>
          <w:ilvl w:val="0"/>
          <w:numId w:val="0"/>
        </w:numPr>
        <w:rPr>
          <w:rFonts w:asciiTheme="minorHAnsi" w:hAnsiTheme="minorHAnsi"/>
        </w:rPr>
      </w:pPr>
      <w:bookmarkStart w:id="151" w:name="_Toc138922917"/>
      <w:bookmarkStart w:id="152" w:name="_Toc138922992"/>
      <w:bookmarkStart w:id="153" w:name="_Toc138923056"/>
      <w:bookmarkStart w:id="154" w:name="_Toc138923313"/>
      <w:bookmarkStart w:id="155" w:name="_Toc143503186"/>
      <w:r w:rsidRPr="29264F97">
        <w:t>Supporting information re</w:t>
      </w:r>
      <w:r w:rsidRPr="29264F97">
        <w:rPr>
          <w:rFonts w:asciiTheme="minorHAnsi" w:hAnsiTheme="minorHAnsi"/>
        </w:rPr>
        <w:t>quirements</w:t>
      </w:r>
      <w:bookmarkEnd w:id="151"/>
      <w:bookmarkEnd w:id="152"/>
      <w:bookmarkEnd w:id="153"/>
      <w:bookmarkEnd w:id="154"/>
      <w:bookmarkEnd w:id="155"/>
      <w:r w:rsidRPr="29264F97">
        <w:rPr>
          <w:rFonts w:asciiTheme="minorHAnsi" w:hAnsiTheme="minorHAnsi"/>
        </w:rPr>
        <w:t xml:space="preserve"> </w:t>
      </w:r>
    </w:p>
    <w:p w14:paraId="30EDF171" w14:textId="028BC7D5" w:rsidR="00C5629D" w:rsidRPr="00E3686D" w:rsidRDefault="00325C9E" w:rsidP="002829AD">
      <w:r>
        <w:t>F</w:t>
      </w:r>
      <w:r w:rsidR="00C5629D">
        <w:t xml:space="preserve">or all </w:t>
      </w:r>
      <w:r w:rsidR="0011128D">
        <w:t xml:space="preserve">historical and transitional production variables </w:t>
      </w:r>
      <w:r w:rsidR="00C5629D">
        <w:t>please provide supporting information</w:t>
      </w:r>
      <w:r w:rsidR="009166F1">
        <w:t xml:space="preserve"> showing</w:t>
      </w:r>
      <w:r w:rsidR="00C5629D">
        <w:t>:</w:t>
      </w:r>
    </w:p>
    <w:p w14:paraId="0AC327AD" w14:textId="663BC8B0" w:rsidR="002829AD" w:rsidRPr="00E3686D" w:rsidRDefault="00DB5533" w:rsidP="00E3686D">
      <w:pPr>
        <w:pStyle w:val="CERbullets"/>
      </w:pPr>
      <w:r>
        <w:t>how</w:t>
      </w:r>
      <w:r w:rsidR="002829AD">
        <w:t xml:space="preserve"> the production variables selected in the application are applicable to the facility</w:t>
      </w:r>
      <w:r w:rsidR="00C502CF">
        <w:t>.</w:t>
      </w:r>
      <w:r w:rsidR="00C5629D">
        <w:t xml:space="preserve"> </w:t>
      </w:r>
    </w:p>
    <w:p w14:paraId="5D169C74" w14:textId="71E51B06" w:rsidR="00F02D7E" w:rsidRDefault="00DB5533" w:rsidP="00FD56F8">
      <w:pPr>
        <w:pStyle w:val="CERbullets"/>
      </w:pPr>
      <w:r>
        <w:t xml:space="preserve">that the facility’s product(s) </w:t>
      </w:r>
      <w:r w:rsidR="006D4E38">
        <w:t>match</w:t>
      </w:r>
      <w:r w:rsidR="00F60E23">
        <w:t xml:space="preserve"> the relevant</w:t>
      </w:r>
      <w:r w:rsidR="006D4E38">
        <w:t xml:space="preserve"> production variable(s) in </w:t>
      </w:r>
      <w:r w:rsidR="00F02D7E">
        <w:t xml:space="preserve">terms of the metric, description, units, and </w:t>
      </w:r>
      <w:r w:rsidR="006D4E38">
        <w:t xml:space="preserve">any </w:t>
      </w:r>
      <w:r w:rsidR="00F02D7E">
        <w:t>measurement</w:t>
      </w:r>
      <w:r w:rsidR="006D4E38">
        <w:t xml:space="preserve"> requirements</w:t>
      </w:r>
      <w:r w:rsidR="00D76AC0">
        <w:t xml:space="preserve"> specified</w:t>
      </w:r>
      <w:r w:rsidR="008353D4">
        <w:t xml:space="preserve"> in Schedule 1 of the Safeguard Rule</w:t>
      </w:r>
      <w:r w:rsidR="0072696C">
        <w:t>.</w:t>
      </w:r>
    </w:p>
    <w:p w14:paraId="64318940" w14:textId="284FECE9" w:rsidR="005C3D12" w:rsidRDefault="005C3D12" w:rsidP="00FD56F8">
      <w:pPr>
        <w:pStyle w:val="CERbullets"/>
      </w:pPr>
      <w:r>
        <w:t>that each prod</w:t>
      </w:r>
      <w:r w:rsidR="0029624E">
        <w:t>uction variable is either a historic</w:t>
      </w:r>
      <w:r w:rsidR="007477AC">
        <w:t>al</w:t>
      </w:r>
      <w:r w:rsidR="0029624E">
        <w:t xml:space="preserve">, </w:t>
      </w:r>
      <w:r w:rsidR="00BE7308">
        <w:t>transitional or related (noting the additional information requirements for a related production variable noted above).</w:t>
      </w:r>
    </w:p>
    <w:p w14:paraId="658CA2E8" w14:textId="485C2273" w:rsidR="00E73BD8" w:rsidRPr="00440B00" w:rsidRDefault="00E73BD8" w:rsidP="00A92EC7">
      <w:pPr>
        <w:pStyle w:val="Heading3"/>
      </w:pPr>
      <w:bookmarkStart w:id="156" w:name="_Toc138922918"/>
      <w:bookmarkStart w:id="157" w:name="_Toc138922993"/>
      <w:bookmarkStart w:id="158" w:name="_Toc138923057"/>
      <w:bookmarkStart w:id="159" w:name="_Toc138923314"/>
      <w:bookmarkStart w:id="160" w:name="_Toc143503187"/>
      <w:r>
        <w:t>Next steps</w:t>
      </w:r>
      <w:bookmarkEnd w:id="156"/>
      <w:bookmarkEnd w:id="157"/>
      <w:bookmarkEnd w:id="158"/>
      <w:bookmarkEnd w:id="159"/>
      <w:bookmarkEnd w:id="160"/>
    </w:p>
    <w:p w14:paraId="278D36CC" w14:textId="150C8AEB" w:rsidR="00E73BD8" w:rsidRPr="00A92EC7" w:rsidRDefault="00E73BD8" w:rsidP="00376145">
      <w:pPr>
        <w:spacing w:before="240" w:after="120"/>
      </w:pPr>
      <w:r w:rsidRPr="00440B00">
        <w:t xml:space="preserve">Once you have identified applicable historical production variables </w:t>
      </w:r>
      <w:r w:rsidR="00BC1132" w:rsidRPr="00440B00">
        <w:t xml:space="preserve">for </w:t>
      </w:r>
      <w:r w:rsidR="00A917DB" w:rsidRPr="00440B00">
        <w:t>a</w:t>
      </w:r>
      <w:r w:rsidR="00BC1132" w:rsidRPr="00440B00">
        <w:t xml:space="preserve"> facility</w:t>
      </w:r>
      <w:r w:rsidRPr="00440B00">
        <w:t xml:space="preserve"> and the </w:t>
      </w:r>
      <w:r w:rsidR="00F81D60">
        <w:t>applicable</w:t>
      </w:r>
      <w:r w:rsidR="00F81D60" w:rsidRPr="00440B00">
        <w:t xml:space="preserve"> </w:t>
      </w:r>
      <w:r w:rsidR="00FA73A3" w:rsidRPr="00440B00">
        <w:t>historical</w:t>
      </w:r>
      <w:r w:rsidRPr="00440B00">
        <w:t xml:space="preserve"> financial years you need to calculate </w:t>
      </w:r>
      <w:r w:rsidR="00610449" w:rsidRPr="00440B00">
        <w:t xml:space="preserve">facility total covered emissions, </w:t>
      </w:r>
      <w:r w:rsidRPr="00440B00">
        <w:t>production quantities and associated covered emissions for each historical</w:t>
      </w:r>
      <w:r>
        <w:t xml:space="preserve"> production variable for all historical financial years.</w:t>
      </w:r>
    </w:p>
    <w:p w14:paraId="588A16ED" w14:textId="14BBE9DC" w:rsidR="00FD4FF5" w:rsidRPr="00A92EC7" w:rsidRDefault="00FD4FF5" w:rsidP="00736338">
      <w:pPr>
        <w:pStyle w:val="Heading2"/>
      </w:pPr>
      <w:bookmarkStart w:id="161" w:name="_Facility_historical_emissions"/>
      <w:bookmarkStart w:id="162" w:name="_Toc138922919"/>
      <w:bookmarkStart w:id="163" w:name="_Toc138922994"/>
      <w:bookmarkStart w:id="164" w:name="_Toc138923058"/>
      <w:bookmarkStart w:id="165" w:name="_Toc138923315"/>
      <w:bookmarkStart w:id="166" w:name="_Toc143503188"/>
      <w:bookmarkStart w:id="167" w:name="_Toc208216275"/>
      <w:bookmarkEnd w:id="161"/>
      <w:r w:rsidRPr="29264F97">
        <w:t>Facility historical emissions and production data</w:t>
      </w:r>
      <w:bookmarkEnd w:id="162"/>
      <w:bookmarkEnd w:id="163"/>
      <w:bookmarkEnd w:id="164"/>
      <w:bookmarkEnd w:id="165"/>
      <w:bookmarkEnd w:id="166"/>
      <w:bookmarkEnd w:id="167"/>
    </w:p>
    <w:p w14:paraId="73C8D28D" w14:textId="5591E255" w:rsidR="004E2811" w:rsidRDefault="00B06086" w:rsidP="00376145">
      <w:pPr>
        <w:spacing w:before="240"/>
      </w:pPr>
      <w:r w:rsidRPr="3FB6375E">
        <w:t xml:space="preserve">If </w:t>
      </w:r>
      <w:r w:rsidR="7AD4EB05" w:rsidRPr="3FB6375E">
        <w:t>a production variable was produced commercially by the facility</w:t>
      </w:r>
      <w:r w:rsidRPr="3FB6375E">
        <w:t xml:space="preserve"> in a</w:t>
      </w:r>
      <w:r w:rsidR="00A078A9" w:rsidRPr="3FB6375E">
        <w:t>ny</w:t>
      </w:r>
      <w:r w:rsidRPr="3FB6375E">
        <w:t xml:space="preserve"> historical financial year (</w:t>
      </w:r>
      <w:r w:rsidR="006129C4">
        <w:t>that is,</w:t>
      </w:r>
      <w:r w:rsidRPr="3FB6375E">
        <w:t xml:space="preserve"> 2017-18 to 2021-22) </w:t>
      </w:r>
      <w:r w:rsidR="00F63EFE" w:rsidRPr="3FB6375E">
        <w:t xml:space="preserve">the application </w:t>
      </w:r>
      <w:r w:rsidRPr="3FB6375E">
        <w:t>will need to provide the following information</w:t>
      </w:r>
      <w:r w:rsidR="004E2811" w:rsidRPr="3FB6375E">
        <w:t>:</w:t>
      </w:r>
    </w:p>
    <w:p w14:paraId="06A4F516" w14:textId="3347070A" w:rsidR="00B06086" w:rsidRPr="00E3686D" w:rsidRDefault="00B06086" w:rsidP="00B06086">
      <w:pPr>
        <w:pStyle w:val="CERbullets"/>
      </w:pPr>
      <w:r>
        <w:t>facility total covered emissions in tCO</w:t>
      </w:r>
      <w:r w:rsidRPr="3FB6375E">
        <w:rPr>
          <w:vertAlign w:val="subscript"/>
        </w:rPr>
        <w:t>2</w:t>
      </w:r>
      <w:r>
        <w:t>-e</w:t>
      </w:r>
      <w:r w:rsidR="0076795D">
        <w:t xml:space="preserve"> </w:t>
      </w:r>
      <w:r w:rsidR="004E2811">
        <w:t xml:space="preserve">for </w:t>
      </w:r>
      <w:r w:rsidR="1E3529AC">
        <w:t>each</w:t>
      </w:r>
      <w:r w:rsidR="004E2811">
        <w:t xml:space="preserve"> historical financial year (</w:t>
      </w:r>
      <w:r w:rsidR="006129C4">
        <w:t>that is,</w:t>
      </w:r>
      <w:r w:rsidR="004E2811">
        <w:t xml:space="preserve"> 2017-18 to 2021-22) even if there was no commercial production occurring at the facility in a particular financial year </w:t>
      </w:r>
      <w:r w:rsidR="00D82BDB">
        <w:t xml:space="preserve">(see </w:t>
      </w:r>
      <w:hyperlink w:anchor="_Facility_total_covered" w:history="1">
        <w:r w:rsidR="005B4C27" w:rsidRPr="3FB6375E">
          <w:rPr>
            <w:rStyle w:val="Hyperlink"/>
            <w:rFonts w:asciiTheme="minorHAnsi" w:hAnsiTheme="minorHAnsi"/>
          </w:rPr>
          <w:t>Part</w:t>
        </w:r>
        <w:r w:rsidR="00DA570A">
          <w:rPr>
            <w:rStyle w:val="Hyperlink"/>
            <w:rFonts w:asciiTheme="minorHAnsi" w:hAnsiTheme="minorHAnsi"/>
          </w:rPr>
          <w:t xml:space="preserve"> </w:t>
        </w:r>
        <w:r w:rsidR="00225097">
          <w:rPr>
            <w:rStyle w:val="Hyperlink"/>
            <w:rFonts w:asciiTheme="minorHAnsi" w:hAnsiTheme="minorHAnsi"/>
          </w:rPr>
          <w:t xml:space="preserve">3.6.1 </w:t>
        </w:r>
        <w:r w:rsidR="00DA570A">
          <w:rPr>
            <w:rStyle w:val="Hyperlink"/>
            <w:rFonts w:asciiTheme="minorHAnsi" w:hAnsiTheme="minorHAnsi"/>
          </w:rPr>
          <w:t>F</w:t>
        </w:r>
        <w:r w:rsidR="00963B36" w:rsidRPr="3FB6375E">
          <w:rPr>
            <w:rStyle w:val="Hyperlink"/>
            <w:rFonts w:asciiTheme="minorHAnsi" w:hAnsiTheme="minorHAnsi"/>
          </w:rPr>
          <w:t>acility total covered emissions data</w:t>
        </w:r>
      </w:hyperlink>
      <w:r w:rsidR="00963B36">
        <w:t>)</w:t>
      </w:r>
      <w:r w:rsidR="21615851">
        <w:t>, calculated in accordance with section 15 of the Safeguard Rule</w:t>
      </w:r>
    </w:p>
    <w:p w14:paraId="5953C6E5" w14:textId="66D83082" w:rsidR="00B3CAEA" w:rsidRDefault="00A73C50" w:rsidP="3FB6375E">
      <w:pPr>
        <w:pStyle w:val="CERbullets"/>
        <w:rPr>
          <w:rFonts w:cs="Calibri"/>
        </w:rPr>
      </w:pPr>
      <w:r>
        <w:rPr>
          <w:rFonts w:cs="Calibri"/>
        </w:rPr>
        <w:t>i</w:t>
      </w:r>
      <w:r w:rsidR="00B3CAEA" w:rsidRPr="1F1F8E47">
        <w:rPr>
          <w:rFonts w:cs="Calibri"/>
        </w:rPr>
        <w:t xml:space="preserve">nformation about </w:t>
      </w:r>
      <w:r w:rsidR="31538360" w:rsidRPr="1F1F8E47">
        <w:rPr>
          <w:rFonts w:cs="Calibri"/>
        </w:rPr>
        <w:t>any estimates and assumptions made</w:t>
      </w:r>
      <w:r w:rsidR="65EEF131" w:rsidRPr="1F1F8E47">
        <w:rPr>
          <w:rFonts w:cs="Calibri"/>
        </w:rPr>
        <w:t xml:space="preserve"> in </w:t>
      </w:r>
      <w:r w:rsidR="68796A43" w:rsidRPr="1F1F8E47">
        <w:rPr>
          <w:rFonts w:cs="Calibri"/>
        </w:rPr>
        <w:t xml:space="preserve">accordance with section 15(3) of the Safeguard Rule in </w:t>
      </w:r>
      <w:r w:rsidR="65EEF131" w:rsidRPr="1F1F8E47">
        <w:rPr>
          <w:rFonts w:cs="Calibri"/>
        </w:rPr>
        <w:t xml:space="preserve">the calculation of facility </w:t>
      </w:r>
      <w:r w:rsidR="3FB8A4DD" w:rsidRPr="1F1F8E47">
        <w:rPr>
          <w:rFonts w:cs="Calibri"/>
        </w:rPr>
        <w:t>total covered emissions</w:t>
      </w:r>
    </w:p>
    <w:p w14:paraId="5827ED13" w14:textId="46D487DE" w:rsidR="0076795D" w:rsidRDefault="004A256C" w:rsidP="00B06086">
      <w:pPr>
        <w:pStyle w:val="CERbullets"/>
      </w:pPr>
      <w:r>
        <w:t xml:space="preserve">for each </w:t>
      </w:r>
      <w:r w:rsidR="0076795D">
        <w:t xml:space="preserve">historical production variable </w:t>
      </w:r>
      <w:r w:rsidR="00084062">
        <w:t xml:space="preserve">for each historical </w:t>
      </w:r>
      <w:r w:rsidR="00BB2271">
        <w:t>financial year</w:t>
      </w:r>
      <w:r w:rsidR="0076795D">
        <w:t xml:space="preserve"> (</w:t>
      </w:r>
      <w:r w:rsidR="00BE080B">
        <w:t xml:space="preserve">see </w:t>
      </w:r>
      <w:hyperlink w:anchor="_Historical_production_variable">
        <w:r w:rsidR="005B4C27" w:rsidRPr="42F13D29">
          <w:rPr>
            <w:rStyle w:val="Hyperlink"/>
            <w:rFonts w:asciiTheme="minorHAnsi" w:hAnsiTheme="minorHAnsi"/>
          </w:rPr>
          <w:t>Part</w:t>
        </w:r>
        <w:r w:rsidR="00225097">
          <w:rPr>
            <w:rStyle w:val="Hyperlink"/>
            <w:rFonts w:asciiTheme="minorHAnsi" w:hAnsiTheme="minorHAnsi"/>
          </w:rPr>
          <w:t xml:space="preserve"> </w:t>
        </w:r>
        <w:r w:rsidR="00F126B4">
          <w:rPr>
            <w:rStyle w:val="Hyperlink"/>
            <w:rFonts w:asciiTheme="minorHAnsi" w:hAnsiTheme="minorHAnsi"/>
          </w:rPr>
          <w:t xml:space="preserve">3.7 </w:t>
        </w:r>
        <w:r w:rsidR="00225097">
          <w:rPr>
            <w:rStyle w:val="Hyperlink"/>
            <w:rFonts w:asciiTheme="minorHAnsi" w:hAnsiTheme="minorHAnsi"/>
          </w:rPr>
          <w:t>H</w:t>
        </w:r>
        <w:r w:rsidR="00A31DD2" w:rsidRPr="42F13D29">
          <w:rPr>
            <w:rStyle w:val="Hyperlink"/>
            <w:rFonts w:asciiTheme="minorHAnsi" w:hAnsiTheme="minorHAnsi"/>
          </w:rPr>
          <w:t>istorical production variable information</w:t>
        </w:r>
      </w:hyperlink>
      <w:r w:rsidR="0076795D">
        <w:t>)</w:t>
      </w:r>
    </w:p>
    <w:p w14:paraId="2CDE5B44" w14:textId="10A6D48B" w:rsidR="005A55EA" w:rsidRPr="00CF50EB" w:rsidRDefault="005A55EA" w:rsidP="009E5F8C">
      <w:pPr>
        <w:pStyle w:val="CERbullets"/>
        <w:numPr>
          <w:ilvl w:val="1"/>
          <w:numId w:val="1"/>
        </w:numPr>
      </w:pPr>
      <w:r w:rsidRPr="00E3686D">
        <w:t>production quantities</w:t>
      </w:r>
      <w:r w:rsidR="00166B25">
        <w:t xml:space="preserve"> of each historical production variable</w:t>
      </w:r>
      <w:r w:rsidR="0076795D">
        <w:t xml:space="preserve"> (</w:t>
      </w:r>
      <w:r w:rsidR="00A31DD2">
        <w:t xml:space="preserve">see </w:t>
      </w:r>
      <w:hyperlink w:anchor="_Production_quantities" w:history="1">
        <w:r w:rsidR="005B4C27">
          <w:rPr>
            <w:rStyle w:val="Hyperlink"/>
            <w:rFonts w:asciiTheme="minorHAnsi" w:hAnsiTheme="minorHAnsi"/>
          </w:rPr>
          <w:t xml:space="preserve">Part </w:t>
        </w:r>
        <w:r w:rsidR="008A3039">
          <w:rPr>
            <w:rStyle w:val="Hyperlink"/>
            <w:rFonts w:asciiTheme="minorHAnsi" w:hAnsiTheme="minorHAnsi"/>
          </w:rPr>
          <w:t xml:space="preserve">3.7.2 </w:t>
        </w:r>
        <w:r w:rsidR="00F126B4">
          <w:rPr>
            <w:rStyle w:val="Hyperlink"/>
            <w:rFonts w:asciiTheme="minorHAnsi" w:hAnsiTheme="minorHAnsi"/>
          </w:rPr>
          <w:t>P</w:t>
        </w:r>
        <w:r w:rsidR="00827DCA" w:rsidRPr="00827DCA">
          <w:rPr>
            <w:rStyle w:val="Hyperlink"/>
            <w:rFonts w:asciiTheme="minorHAnsi" w:hAnsiTheme="minorHAnsi"/>
          </w:rPr>
          <w:t>roduction quantities</w:t>
        </w:r>
      </w:hyperlink>
      <w:r w:rsidR="00A31DD2">
        <w:t>)</w:t>
      </w:r>
    </w:p>
    <w:p w14:paraId="4967E484" w14:textId="55D40041" w:rsidR="002E2A7E" w:rsidRPr="002E2A7E" w:rsidRDefault="56739F9D" w:rsidP="009E5F8C">
      <w:pPr>
        <w:pStyle w:val="CERbullets"/>
        <w:numPr>
          <w:ilvl w:val="1"/>
          <w:numId w:val="1"/>
        </w:numPr>
      </w:pPr>
      <w:r>
        <w:t xml:space="preserve">the </w:t>
      </w:r>
      <w:proofErr w:type="gramStart"/>
      <w:r>
        <w:t>amount</w:t>
      </w:r>
      <w:proofErr w:type="gramEnd"/>
      <w:r>
        <w:t xml:space="preserve"> of </w:t>
      </w:r>
      <w:r w:rsidR="00594E77">
        <w:t xml:space="preserve">covered emissions </w:t>
      </w:r>
      <w:r w:rsidR="006047A4">
        <w:t xml:space="preserve">relevantly </w:t>
      </w:r>
      <w:r w:rsidR="00594E77">
        <w:t>associated with</w:t>
      </w:r>
      <w:r w:rsidR="00B06086">
        <w:t xml:space="preserve"> each </w:t>
      </w:r>
      <w:r w:rsidR="00594E77">
        <w:t xml:space="preserve">historical </w:t>
      </w:r>
      <w:r w:rsidR="00B06086">
        <w:t>production variable in tCO</w:t>
      </w:r>
      <w:r w:rsidR="00B06086" w:rsidRPr="3FB6375E">
        <w:rPr>
          <w:vertAlign w:val="subscript"/>
        </w:rPr>
        <w:t>2</w:t>
      </w:r>
      <w:r w:rsidR="00B06086">
        <w:t>-e</w:t>
      </w:r>
      <w:r w:rsidR="0076795D">
        <w:t xml:space="preserve"> </w:t>
      </w:r>
      <w:r w:rsidR="00827DCA">
        <w:t xml:space="preserve">(see </w:t>
      </w:r>
      <w:hyperlink w:anchor="_Covered_emissions_relevantly" w:history="1">
        <w:r w:rsidR="005B4C27" w:rsidRPr="3FB6375E">
          <w:rPr>
            <w:rStyle w:val="Hyperlink"/>
            <w:rFonts w:asciiTheme="minorHAnsi" w:hAnsiTheme="minorHAnsi"/>
          </w:rPr>
          <w:t>Part</w:t>
        </w:r>
        <w:r w:rsidR="006F6EC5" w:rsidRPr="3FB6375E">
          <w:rPr>
            <w:rStyle w:val="Hyperlink"/>
            <w:rFonts w:asciiTheme="minorHAnsi" w:hAnsiTheme="minorHAnsi"/>
          </w:rPr>
          <w:t> </w:t>
        </w:r>
        <w:r w:rsidR="005C5C1E">
          <w:rPr>
            <w:rStyle w:val="Hyperlink"/>
            <w:rFonts w:asciiTheme="minorHAnsi" w:hAnsiTheme="minorHAnsi"/>
          </w:rPr>
          <w:t xml:space="preserve">3.7.3 </w:t>
        </w:r>
        <w:r w:rsidR="008A3039">
          <w:rPr>
            <w:rStyle w:val="Hyperlink"/>
            <w:rFonts w:asciiTheme="minorHAnsi" w:hAnsiTheme="minorHAnsi"/>
          </w:rPr>
          <w:t>C</w:t>
        </w:r>
        <w:r w:rsidR="00827DCA" w:rsidRPr="3FB6375E">
          <w:rPr>
            <w:rStyle w:val="Hyperlink"/>
            <w:rFonts w:asciiTheme="minorHAnsi" w:hAnsiTheme="minorHAnsi"/>
          </w:rPr>
          <w:t xml:space="preserve">overed emissions </w:t>
        </w:r>
        <w:r w:rsidR="00B86A36">
          <w:rPr>
            <w:rStyle w:val="Hyperlink"/>
            <w:rFonts w:asciiTheme="minorHAnsi" w:hAnsiTheme="minorHAnsi"/>
          </w:rPr>
          <w:t xml:space="preserve">relevantly </w:t>
        </w:r>
        <w:r w:rsidR="00827DCA" w:rsidRPr="3FB6375E">
          <w:rPr>
            <w:rStyle w:val="Hyperlink"/>
            <w:rFonts w:asciiTheme="minorHAnsi" w:hAnsiTheme="minorHAnsi"/>
          </w:rPr>
          <w:t>associated with each historical production variable</w:t>
        </w:r>
      </w:hyperlink>
      <w:r w:rsidR="0076795D">
        <w:t>)</w:t>
      </w:r>
    </w:p>
    <w:p w14:paraId="2C1F5E63" w14:textId="32511D1B" w:rsidR="00F46DF8" w:rsidRPr="007367AC" w:rsidRDefault="00771D33" w:rsidP="00736338">
      <w:pPr>
        <w:pStyle w:val="Heading3"/>
      </w:pPr>
      <w:bookmarkStart w:id="168" w:name="_Facility_total_covered"/>
      <w:bookmarkEnd w:id="168"/>
      <w:r>
        <w:t xml:space="preserve"> </w:t>
      </w:r>
      <w:bookmarkStart w:id="169" w:name="_Toc138922920"/>
      <w:bookmarkStart w:id="170" w:name="_Toc138922995"/>
      <w:bookmarkStart w:id="171" w:name="_Toc138923059"/>
      <w:bookmarkStart w:id="172" w:name="_Toc138923316"/>
      <w:bookmarkStart w:id="173" w:name="_Toc143503189"/>
      <w:r w:rsidR="00B439C6">
        <w:t xml:space="preserve">Facility </w:t>
      </w:r>
      <w:r w:rsidR="00B03F94">
        <w:t xml:space="preserve">total </w:t>
      </w:r>
      <w:r w:rsidR="00B439C6">
        <w:t>c</w:t>
      </w:r>
      <w:r w:rsidR="00F46DF8">
        <w:t>overed emissions</w:t>
      </w:r>
      <w:r w:rsidR="002D0BB6">
        <w:t xml:space="preserve"> data</w:t>
      </w:r>
      <w:bookmarkEnd w:id="169"/>
      <w:bookmarkEnd w:id="170"/>
      <w:bookmarkEnd w:id="171"/>
      <w:bookmarkEnd w:id="172"/>
      <w:bookmarkEnd w:id="173"/>
    </w:p>
    <w:p w14:paraId="4CAF236D" w14:textId="554E6FD8" w:rsidR="0096485D" w:rsidRDefault="001629DC" w:rsidP="00376145">
      <w:pPr>
        <w:spacing w:before="240"/>
      </w:pPr>
      <w:r>
        <w:t xml:space="preserve">The application </w:t>
      </w:r>
      <w:r w:rsidR="00784151">
        <w:t>must provide f</w:t>
      </w:r>
      <w:r w:rsidR="00611CCB">
        <w:t>acility</w:t>
      </w:r>
      <w:r w:rsidR="00784151">
        <w:t xml:space="preserve"> level</w:t>
      </w:r>
      <w:r w:rsidR="00611CCB">
        <w:t xml:space="preserve"> total c</w:t>
      </w:r>
      <w:r w:rsidR="002E5F4C">
        <w:t>overed emissions</w:t>
      </w:r>
      <w:r w:rsidR="00611CCB">
        <w:t xml:space="preserve"> for each historical financial year</w:t>
      </w:r>
      <w:r w:rsidR="00764488">
        <w:t xml:space="preserve"> even if there was no commercial production occurring at the fa</w:t>
      </w:r>
      <w:r w:rsidR="00764488" w:rsidRPr="00736338">
        <w:t xml:space="preserve">cility in a particular </w:t>
      </w:r>
      <w:r w:rsidR="008C2F12" w:rsidRPr="00736338">
        <w:t xml:space="preserve">historical </w:t>
      </w:r>
      <w:r w:rsidR="00764488" w:rsidRPr="00736338">
        <w:t>fina</w:t>
      </w:r>
      <w:r w:rsidR="00764488">
        <w:t>ncial year.</w:t>
      </w:r>
    </w:p>
    <w:p w14:paraId="2ED6FF82" w14:textId="0D07FEAE" w:rsidR="00356CD4" w:rsidRDefault="00784151" w:rsidP="002E5F4C">
      <w:r>
        <w:t xml:space="preserve">Covered emissions </w:t>
      </w:r>
      <w:r w:rsidR="00604294">
        <w:t>must be</w:t>
      </w:r>
      <w:r w:rsidR="002E5F4C">
        <w:t xml:space="preserve"> calculated consistently across </w:t>
      </w:r>
      <w:r w:rsidR="001C5992">
        <w:t xml:space="preserve">historical </w:t>
      </w:r>
      <w:r w:rsidR="002E5F4C">
        <w:t>financial years</w:t>
      </w:r>
      <w:r w:rsidR="00E4623E">
        <w:t xml:space="preserve"> </w:t>
      </w:r>
      <w:r w:rsidR="00525BBA">
        <w:t xml:space="preserve">to ensure that </w:t>
      </w:r>
      <w:r w:rsidR="00EE4403">
        <w:t>FSEI</w:t>
      </w:r>
      <w:r w:rsidR="00525BBA">
        <w:t xml:space="preserve"> values are calculated on the same basis as which covered emissions are reported in an NGER report. </w:t>
      </w:r>
    </w:p>
    <w:p w14:paraId="48E3510C" w14:textId="4C798D6C" w:rsidR="002E5F4C" w:rsidRDefault="00E076B4" w:rsidP="002E5F4C">
      <w:r>
        <w:t xml:space="preserve">Section 15 of the Safeguard Rule </w:t>
      </w:r>
      <w:r w:rsidR="00BB4C6A">
        <w:t>requires that</w:t>
      </w:r>
      <w:r w:rsidR="008C160A">
        <w:t xml:space="preserve"> historical</w:t>
      </w:r>
      <w:r w:rsidR="00BB4C6A">
        <w:t xml:space="preserve"> </w:t>
      </w:r>
      <w:r w:rsidR="002E5F4C">
        <w:t>covered emissions must be calculated using:</w:t>
      </w:r>
    </w:p>
    <w:p w14:paraId="53A90470" w14:textId="6B7D7782" w:rsidR="002E5F4C" w:rsidRDefault="00B459F1" w:rsidP="002E5F4C">
      <w:pPr>
        <w:pStyle w:val="CERbullets"/>
      </w:pPr>
      <w:r w:rsidRPr="00736338">
        <w:t>the most recent version of</w:t>
      </w:r>
      <w:r>
        <w:t xml:space="preserve"> </w:t>
      </w:r>
      <w:r w:rsidR="002E5F4C">
        <w:t xml:space="preserve">the </w:t>
      </w:r>
      <w:hyperlink r:id="rId41" w:tooltip="A link to the Australian Government legislation - the National Greenhouse and Energy Measurement Determination" w:history="1">
        <w:r w:rsidR="00C10D87" w:rsidRPr="1F1F8E47">
          <w:rPr>
            <w:rStyle w:val="Hyperlink"/>
            <w:rFonts w:asciiTheme="minorHAnsi" w:hAnsiTheme="minorHAnsi"/>
          </w:rPr>
          <w:t>NGER Measurement Determination</w:t>
        </w:r>
      </w:hyperlink>
      <w:r w:rsidR="009E66DB" w:rsidRPr="00663B2C">
        <w:rPr>
          <w:rStyle w:val="FootnoteReference"/>
        </w:rPr>
        <w:footnoteReference w:id="27"/>
      </w:r>
      <w:r w:rsidR="00747993">
        <w:t xml:space="preserve"> (see </w:t>
      </w:r>
      <w:hyperlink w:anchor="_NGER_Measurement_Determination" w:history="1">
        <w:r w:rsidR="005B4C27" w:rsidRPr="1F1F8E47">
          <w:rPr>
            <w:rStyle w:val="Hyperlink"/>
            <w:rFonts w:asciiTheme="minorHAnsi" w:hAnsiTheme="minorHAnsi"/>
          </w:rPr>
          <w:t xml:space="preserve">Part </w:t>
        </w:r>
        <w:r w:rsidR="00E54BB2">
          <w:rPr>
            <w:rStyle w:val="Hyperlink"/>
            <w:rFonts w:asciiTheme="minorHAnsi" w:hAnsiTheme="minorHAnsi"/>
          </w:rPr>
          <w:t>3.6.</w:t>
        </w:r>
        <w:r w:rsidR="00CA0220">
          <w:rPr>
            <w:rStyle w:val="Hyperlink"/>
            <w:rFonts w:asciiTheme="minorHAnsi" w:hAnsiTheme="minorHAnsi"/>
          </w:rPr>
          <w:t>1.1</w:t>
        </w:r>
        <w:r w:rsidR="00266336" w:rsidRPr="1F1F8E47">
          <w:rPr>
            <w:rStyle w:val="Hyperlink"/>
            <w:rFonts w:asciiTheme="minorHAnsi" w:hAnsiTheme="minorHAnsi"/>
          </w:rPr>
          <w:t xml:space="preserve"> NGER </w:t>
        </w:r>
        <w:r w:rsidR="003374EA" w:rsidRPr="1F1F8E47">
          <w:rPr>
            <w:rStyle w:val="Hyperlink"/>
            <w:rFonts w:asciiTheme="minorHAnsi" w:hAnsiTheme="minorHAnsi"/>
          </w:rPr>
          <w:t>Measurement Determination adjustments</w:t>
        </w:r>
      </w:hyperlink>
      <w:r w:rsidR="00747993">
        <w:t>)</w:t>
      </w:r>
    </w:p>
    <w:p w14:paraId="161C16AE" w14:textId="50F95422" w:rsidR="002E5F4C" w:rsidRDefault="002E5F4C" w:rsidP="00775E12">
      <w:pPr>
        <w:pStyle w:val="CERbullets"/>
      </w:pPr>
      <w:r w:rsidRPr="00736338">
        <w:t>the</w:t>
      </w:r>
      <w:r w:rsidRPr="00736338" w:rsidDel="002E5F4C">
        <w:t xml:space="preserve"> </w:t>
      </w:r>
      <w:r w:rsidR="0035021D" w:rsidRPr="00736338">
        <w:t>most up</w:t>
      </w:r>
      <w:r w:rsidR="009A260C" w:rsidRPr="00736338">
        <w:t>-</w:t>
      </w:r>
      <w:r w:rsidR="0035021D" w:rsidRPr="00736338">
        <w:t>to</w:t>
      </w:r>
      <w:r w:rsidR="009A260C" w:rsidRPr="00736338">
        <w:t>-</w:t>
      </w:r>
      <w:r w:rsidR="0035021D" w:rsidRPr="00736338">
        <w:t xml:space="preserve">date </w:t>
      </w:r>
      <w:r w:rsidRPr="00736338">
        <w:t>gl</w:t>
      </w:r>
      <w:r>
        <w:t>obal warming potentials</w:t>
      </w:r>
      <w:r w:rsidR="00D1529E">
        <w:t xml:space="preserve"> (GWP)</w:t>
      </w:r>
      <w:r>
        <w:t xml:space="preserve"> in the </w:t>
      </w:r>
      <w:hyperlink r:id="rId42" w:tooltip="A link to the Australian Government legislation - the National Greenhouse and Energy regulations 2008" w:history="1">
        <w:r w:rsidRPr="1F1F8E47">
          <w:rPr>
            <w:rStyle w:val="Hyperlink"/>
            <w:rFonts w:asciiTheme="minorHAnsi" w:hAnsiTheme="minorHAnsi"/>
          </w:rPr>
          <w:t>NGER Regulations</w:t>
        </w:r>
      </w:hyperlink>
      <w:r w:rsidR="001E5BA2" w:rsidRPr="00900F55">
        <w:rPr>
          <w:rStyle w:val="FootnoteReference"/>
        </w:rPr>
        <w:footnoteReference w:id="28"/>
      </w:r>
      <w:r w:rsidR="00747993" w:rsidRPr="004575CE">
        <w:t xml:space="preserve"> </w:t>
      </w:r>
      <w:r w:rsidR="00747993">
        <w:t xml:space="preserve">(see </w:t>
      </w:r>
      <w:hyperlink w:anchor="_Global_warming_potential" w:history="1">
        <w:r w:rsidR="005B4C27" w:rsidRPr="1F1F8E47">
          <w:rPr>
            <w:rStyle w:val="Hyperlink"/>
            <w:rFonts w:asciiTheme="minorHAnsi" w:hAnsiTheme="minorHAnsi"/>
          </w:rPr>
          <w:t xml:space="preserve">Part </w:t>
        </w:r>
        <w:r w:rsidR="00200B87">
          <w:rPr>
            <w:rStyle w:val="Hyperlink"/>
            <w:rFonts w:asciiTheme="minorHAnsi" w:hAnsiTheme="minorHAnsi"/>
          </w:rPr>
          <w:t>3.6.1.2</w:t>
        </w:r>
        <w:r w:rsidR="00E31898" w:rsidRPr="1F1F8E47">
          <w:rPr>
            <w:rStyle w:val="Hyperlink"/>
            <w:rFonts w:asciiTheme="minorHAnsi" w:hAnsiTheme="minorHAnsi"/>
          </w:rPr>
          <w:t xml:space="preserve"> Global warming potential (GWP) adjustments</w:t>
        </w:r>
      </w:hyperlink>
      <w:r w:rsidR="00E31898">
        <w:t>)</w:t>
      </w:r>
    </w:p>
    <w:p w14:paraId="36994F21" w14:textId="4A7CCF63" w:rsidR="000B6DF8" w:rsidRDefault="002E5F4C" w:rsidP="00775E12">
      <w:pPr>
        <w:pStyle w:val="CERbullets"/>
      </w:pPr>
      <w:r>
        <w:t xml:space="preserve">the same method </w:t>
      </w:r>
      <w:r w:rsidR="00C35295">
        <w:t>(</w:t>
      </w:r>
      <w:r w:rsidR="006129C4">
        <w:t>that is,</w:t>
      </w:r>
      <w:r w:rsidR="00C35295">
        <w:t xml:space="preserve"> method 1, 2, 3, or 4) </w:t>
      </w:r>
      <w:r>
        <w:t xml:space="preserve">of calculating </w:t>
      </w:r>
      <w:r w:rsidR="007C0845">
        <w:t xml:space="preserve">covered </w:t>
      </w:r>
      <w:r>
        <w:t>emissions as in the most recent NGER Report submitted for the facility</w:t>
      </w:r>
      <w:r w:rsidR="00747993">
        <w:t xml:space="preserve"> (s</w:t>
      </w:r>
      <w:r w:rsidR="00747993" w:rsidRPr="00E20707">
        <w:t xml:space="preserve">ee </w:t>
      </w:r>
      <w:hyperlink w:anchor="_Method_adjustments">
        <w:r w:rsidR="005B4C27" w:rsidRPr="00E20707">
          <w:rPr>
            <w:rStyle w:val="Hyperlink"/>
            <w:rFonts w:asciiTheme="minorHAnsi" w:hAnsiTheme="minorHAnsi"/>
          </w:rPr>
          <w:t xml:space="preserve">Part </w:t>
        </w:r>
        <w:r w:rsidR="00200B87">
          <w:rPr>
            <w:rStyle w:val="Hyperlink"/>
            <w:rFonts w:asciiTheme="minorHAnsi" w:hAnsiTheme="minorHAnsi"/>
          </w:rPr>
          <w:t xml:space="preserve">3.6.1.3 </w:t>
        </w:r>
        <w:r w:rsidR="00AD5BFF" w:rsidRPr="00E20707">
          <w:rPr>
            <w:rStyle w:val="Hyperlink"/>
            <w:rFonts w:asciiTheme="minorHAnsi" w:hAnsiTheme="minorHAnsi"/>
          </w:rPr>
          <w:t>Method adjustments</w:t>
        </w:r>
      </w:hyperlink>
      <w:r w:rsidR="00775E12">
        <w:t>)</w:t>
      </w:r>
    </w:p>
    <w:p w14:paraId="2B300C3A" w14:textId="5E73DB16" w:rsidR="00D57AFD" w:rsidRPr="00467E49" w:rsidRDefault="00467E49" w:rsidP="00116DCC">
      <w:pPr>
        <w:pStyle w:val="CERbullets"/>
        <w:numPr>
          <w:ilvl w:val="0"/>
          <w:numId w:val="0"/>
        </w:numPr>
      </w:pPr>
      <w:r w:rsidRPr="004171AE">
        <w:t>For the avoidance of doubt, these calculations must be made using currently in force</w:t>
      </w:r>
      <w:r w:rsidRPr="00467E49">
        <w:t xml:space="preserve"> </w:t>
      </w:r>
      <w:r w:rsidRPr="004171AE">
        <w:t xml:space="preserve">versions of the relevant legislative instruments, and not the versions that were in force during the </w:t>
      </w:r>
      <w:r w:rsidR="008456A0">
        <w:t>applicable</w:t>
      </w:r>
      <w:r w:rsidR="00554303">
        <w:t xml:space="preserve"> </w:t>
      </w:r>
      <w:r w:rsidRPr="004171AE">
        <w:t>historical financial years.</w:t>
      </w:r>
    </w:p>
    <w:p w14:paraId="030D84BA" w14:textId="6A87E278" w:rsidR="000E4C8E" w:rsidRDefault="003245B4" w:rsidP="00116DCC">
      <w:pPr>
        <w:pStyle w:val="CERbullets"/>
        <w:numPr>
          <w:ilvl w:val="0"/>
          <w:numId w:val="0"/>
        </w:numPr>
      </w:pPr>
      <w:r>
        <w:t xml:space="preserve">This means </w:t>
      </w:r>
      <w:r w:rsidR="00793C97">
        <w:t xml:space="preserve">that </w:t>
      </w:r>
      <w:r w:rsidR="00130350">
        <w:t xml:space="preserve">the applicant </w:t>
      </w:r>
      <w:r>
        <w:t xml:space="preserve">may be required </w:t>
      </w:r>
      <w:r w:rsidRPr="00520182">
        <w:t xml:space="preserve">to </w:t>
      </w:r>
      <w:proofErr w:type="gramStart"/>
      <w:r w:rsidRPr="00520182">
        <w:t>make adjustments</w:t>
      </w:r>
      <w:r>
        <w:t xml:space="preserve"> to</w:t>
      </w:r>
      <w:proofErr w:type="gramEnd"/>
      <w:r>
        <w:t xml:space="preserve"> historical covered emissions data</w:t>
      </w:r>
      <w:r w:rsidR="00087A0B">
        <w:t>.</w:t>
      </w:r>
    </w:p>
    <w:p w14:paraId="1A0449CF" w14:textId="215F1203" w:rsidR="00F00A8C" w:rsidRDefault="00F00A8C" w:rsidP="00F00A8C">
      <w:pPr>
        <w:pStyle w:val="CERbullets"/>
        <w:numPr>
          <w:ilvl w:val="0"/>
          <w:numId w:val="0"/>
        </w:numPr>
      </w:pPr>
      <w:r>
        <w:t xml:space="preserve">If </w:t>
      </w:r>
      <w:r w:rsidR="00096B5C">
        <w:t>the</w:t>
      </w:r>
      <w:r>
        <w:t xml:space="preserve"> </w:t>
      </w:r>
      <w:r w:rsidR="00F06C85">
        <w:t>facility</w:t>
      </w:r>
      <w:r>
        <w:t xml:space="preserve"> ha</w:t>
      </w:r>
      <w:r w:rsidR="00F06C85">
        <w:t>s</w:t>
      </w:r>
      <w:r>
        <w:t xml:space="preserve"> more than one production variable it is recommended that </w:t>
      </w:r>
      <w:r w:rsidR="00F55907">
        <w:t xml:space="preserve">the </w:t>
      </w:r>
      <w:r w:rsidR="007044ED">
        <w:t xml:space="preserve">applicant </w:t>
      </w:r>
      <w:r>
        <w:t>make</w:t>
      </w:r>
      <w:r w:rsidR="007044ED">
        <w:t>s</w:t>
      </w:r>
      <w:r>
        <w:t xml:space="preserve"> the required adjustments to covered emissions at the facility level first before apportioning emissions to the relevant production variables</w:t>
      </w:r>
      <w:r w:rsidR="000A36AC">
        <w:t>. S</w:t>
      </w:r>
      <w:r w:rsidR="00481950">
        <w:t xml:space="preserve">ee </w:t>
      </w:r>
      <w:hyperlink w:anchor="_Covered_emissions_relevantly" w:history="1">
        <w:r w:rsidR="005B4C27" w:rsidRPr="00E20707">
          <w:rPr>
            <w:rStyle w:val="Hyperlink"/>
            <w:rFonts w:asciiTheme="minorHAnsi" w:hAnsiTheme="minorHAnsi"/>
          </w:rPr>
          <w:t xml:space="preserve">Part </w:t>
        </w:r>
        <w:r w:rsidR="00200B87">
          <w:rPr>
            <w:rStyle w:val="Hyperlink"/>
            <w:rFonts w:asciiTheme="minorHAnsi" w:hAnsiTheme="minorHAnsi"/>
          </w:rPr>
          <w:t>3.7.3</w:t>
        </w:r>
        <w:r w:rsidR="00363931" w:rsidRPr="00E20707">
          <w:rPr>
            <w:rStyle w:val="Hyperlink"/>
            <w:rFonts w:asciiTheme="minorHAnsi" w:hAnsiTheme="minorHAnsi"/>
          </w:rPr>
          <w:t xml:space="preserve"> Covered emissions </w:t>
        </w:r>
        <w:r w:rsidR="00287F14" w:rsidRPr="00E20707">
          <w:rPr>
            <w:rStyle w:val="Hyperlink"/>
            <w:rFonts w:asciiTheme="minorHAnsi" w:hAnsiTheme="minorHAnsi"/>
          </w:rPr>
          <w:t xml:space="preserve">relevantly </w:t>
        </w:r>
        <w:r w:rsidR="00363931" w:rsidRPr="00E20707">
          <w:rPr>
            <w:rStyle w:val="Hyperlink"/>
            <w:rFonts w:asciiTheme="minorHAnsi" w:hAnsiTheme="minorHAnsi"/>
          </w:rPr>
          <w:t>associated with each historical production variable</w:t>
        </w:r>
      </w:hyperlink>
      <w:r w:rsidR="00537B3F">
        <w:t xml:space="preserve"> for more information</w:t>
      </w:r>
      <w:r w:rsidR="00302CA5">
        <w:t>.</w:t>
      </w:r>
    </w:p>
    <w:p w14:paraId="372059D2" w14:textId="7B4188FD" w:rsidR="008A3EA5" w:rsidRDefault="008A3EA5" w:rsidP="008A3EA5">
      <w:r w:rsidRPr="023F9C8C">
        <w:t xml:space="preserve">When </w:t>
      </w:r>
      <w:proofErr w:type="gramStart"/>
      <w:r w:rsidRPr="023F9C8C">
        <w:t>making adjustments to</w:t>
      </w:r>
      <w:proofErr w:type="gramEnd"/>
      <w:r w:rsidRPr="023F9C8C">
        <w:t xml:space="preserve"> covered emissions for historical years, each calculated amount of a greenhouse gas type under a method should be rounded to the nearest whole number</w:t>
      </w:r>
      <w:r w:rsidR="00E108BE" w:rsidRPr="023F9C8C">
        <w:t xml:space="preserve"> (</w:t>
      </w:r>
      <w:r w:rsidR="00F67102" w:rsidRPr="023F9C8C">
        <w:t xml:space="preserve">converted to </w:t>
      </w:r>
      <w:r w:rsidR="007E1222" w:rsidRPr="023F9C8C">
        <w:t>CO</w:t>
      </w:r>
      <w:r w:rsidR="00236B4E" w:rsidRPr="023F9C8C">
        <w:rPr>
          <w:vertAlign w:val="subscript"/>
        </w:rPr>
        <w:t>2</w:t>
      </w:r>
      <w:r w:rsidR="00236B4E" w:rsidRPr="023F9C8C">
        <w:t>-e</w:t>
      </w:r>
      <w:r w:rsidR="00F67102" w:rsidRPr="023F9C8C">
        <w:t>)</w:t>
      </w:r>
      <w:r w:rsidR="48616EB5" w:rsidRPr="023F9C8C">
        <w:t>,</w:t>
      </w:r>
      <w:r w:rsidRPr="023F9C8C">
        <w:t xml:space="preserve"> consistent with rounding of calculated emissions under section 1.16 of the NGER Measurement Determination</w:t>
      </w:r>
      <w:r>
        <w:t>.</w:t>
      </w:r>
      <w:r w:rsidR="10070BBE">
        <w:t xml:space="preserve"> Note under this approach, a number is to be rounded up to the next whole number if the number at the first decimal place equals or exceeds 5.</w:t>
      </w:r>
    </w:p>
    <w:p w14:paraId="18D275D6" w14:textId="77777777" w:rsidR="000906E4" w:rsidRPr="00A92EC7" w:rsidRDefault="000906E4" w:rsidP="009B5E9A">
      <w:pPr>
        <w:pStyle w:val="Heading5"/>
        <w:numPr>
          <w:ilvl w:val="0"/>
          <w:numId w:val="0"/>
        </w:numPr>
      </w:pPr>
      <w:r w:rsidRPr="00A92EC7">
        <w:t>Facility restructure adjustments</w:t>
      </w:r>
    </w:p>
    <w:p w14:paraId="5BB52250" w14:textId="68630AB5" w:rsidR="000906E4" w:rsidRPr="00A92EC7" w:rsidRDefault="00574795" w:rsidP="00A92EC7">
      <w:r>
        <w:t>I</w:t>
      </w:r>
      <w:r w:rsidR="000906E4" w:rsidRPr="00A92EC7">
        <w:t xml:space="preserve">f </w:t>
      </w:r>
      <w:r>
        <w:t>a</w:t>
      </w:r>
      <w:r w:rsidR="000906E4" w:rsidRPr="00A92EC7">
        <w:t xml:space="preserve"> facility has restructured </w:t>
      </w:r>
      <w:r w:rsidR="00F67B94">
        <w:t xml:space="preserve">since </w:t>
      </w:r>
      <w:r w:rsidR="00963BC3">
        <w:t xml:space="preserve">the </w:t>
      </w:r>
      <w:r w:rsidR="00F67B94">
        <w:t>2017-18</w:t>
      </w:r>
      <w:r w:rsidR="00963BC3">
        <w:t xml:space="preserve"> financial year</w:t>
      </w:r>
      <w:r w:rsidR="001916BA">
        <w:t xml:space="preserve">, </w:t>
      </w:r>
      <w:r w:rsidR="00BA3F75">
        <w:t xml:space="preserve">submitted </w:t>
      </w:r>
      <w:r w:rsidR="001916BA">
        <w:t xml:space="preserve">data </w:t>
      </w:r>
      <w:r w:rsidR="000906E4" w:rsidRPr="00A92EC7">
        <w:t xml:space="preserve">should align </w:t>
      </w:r>
      <w:r w:rsidR="009A25D3">
        <w:t xml:space="preserve">with the </w:t>
      </w:r>
      <w:r w:rsidR="000906E4" w:rsidRPr="00A92EC7">
        <w:t xml:space="preserve">current </w:t>
      </w:r>
      <w:r w:rsidR="009A25D3">
        <w:t xml:space="preserve">facility </w:t>
      </w:r>
      <w:r w:rsidR="000906E4" w:rsidRPr="00A92EC7">
        <w:t>structure</w:t>
      </w:r>
      <w:r w:rsidR="000906E4" w:rsidRPr="006A0DFE">
        <w:t>.</w:t>
      </w:r>
      <w:r w:rsidR="00576E2B" w:rsidRPr="006A0DFE">
        <w:t xml:space="preserve"> </w:t>
      </w:r>
      <w:r w:rsidR="009A25D3">
        <w:t xml:space="preserve">For example, if part of the </w:t>
      </w:r>
      <w:r w:rsidR="00F57AA4">
        <w:t xml:space="preserve">facility was sold, </w:t>
      </w:r>
      <w:r w:rsidR="00945745">
        <w:t xml:space="preserve">the </w:t>
      </w:r>
      <w:r w:rsidR="005320EF" w:rsidRPr="6D90B782">
        <w:t>historical</w:t>
      </w:r>
      <w:r w:rsidR="7698AF8F" w:rsidRPr="6D90B782">
        <w:t xml:space="preserve"> </w:t>
      </w:r>
      <w:r w:rsidR="00945745">
        <w:t xml:space="preserve">data associated </w:t>
      </w:r>
      <w:r w:rsidR="00991512">
        <w:t xml:space="preserve">with the sold portion does not need to be </w:t>
      </w:r>
      <w:r w:rsidR="00384414">
        <w:t>included in the application</w:t>
      </w:r>
      <w:r w:rsidR="00D95321">
        <w:t>.</w:t>
      </w:r>
      <w:r w:rsidR="00576E2B" w:rsidRPr="006A0DFE">
        <w:t xml:space="preserve"> This will ensure that </w:t>
      </w:r>
      <w:r w:rsidR="00F74EB1">
        <w:t>FSEI</w:t>
      </w:r>
      <w:r w:rsidR="00844D2D" w:rsidRPr="006A0DFE">
        <w:t xml:space="preserve"> values are set consistently with the current facility structure.</w:t>
      </w:r>
    </w:p>
    <w:p w14:paraId="1D061F2B" w14:textId="5598A314" w:rsidR="00E25E48" w:rsidRPr="00A92EC7" w:rsidRDefault="00E25E48" w:rsidP="009B5E9A">
      <w:pPr>
        <w:pStyle w:val="Heading5"/>
        <w:numPr>
          <w:ilvl w:val="0"/>
          <w:numId w:val="0"/>
        </w:numPr>
      </w:pPr>
      <w:r w:rsidRPr="000A29DB">
        <w:t>Making estimates and assumptions</w:t>
      </w:r>
    </w:p>
    <w:p w14:paraId="14DB9EE5" w14:textId="7688F985" w:rsidR="006D3C8E" w:rsidRDefault="00FC141C" w:rsidP="00AA6BE4">
      <w:r w:rsidRPr="00A92EC7">
        <w:t>If required</w:t>
      </w:r>
      <w:r w:rsidR="00BE125E" w:rsidRPr="00A92EC7">
        <w:t>,</w:t>
      </w:r>
      <w:r w:rsidRPr="00A92EC7">
        <w:t xml:space="preserve"> </w:t>
      </w:r>
      <w:r w:rsidR="008A3EA5" w:rsidRPr="00A92EC7">
        <w:t xml:space="preserve">estimates </w:t>
      </w:r>
      <w:r w:rsidR="00364E49" w:rsidRPr="00A92EC7">
        <w:t>and</w:t>
      </w:r>
      <w:r w:rsidR="008A3EA5" w:rsidRPr="00A92EC7">
        <w:t xml:space="preserve"> assumptions</w:t>
      </w:r>
      <w:r w:rsidR="008721EB" w:rsidRPr="00A92EC7">
        <w:t xml:space="preserve"> may be made</w:t>
      </w:r>
      <w:r w:rsidR="008A3EA5" w:rsidRPr="00A92EC7">
        <w:t xml:space="preserve"> </w:t>
      </w:r>
      <w:r w:rsidR="008721EB" w:rsidRPr="00A92EC7">
        <w:t>when making any of the adjustments noted above to historical covered emissions</w:t>
      </w:r>
      <w:r w:rsidR="00FC7E61" w:rsidRPr="00A92EC7">
        <w:t>.</w:t>
      </w:r>
      <w:r w:rsidR="001C22BD" w:rsidRPr="00A92EC7">
        <w:t xml:space="preserve"> An example of where estimate</w:t>
      </w:r>
      <w:r w:rsidR="00B350A7" w:rsidRPr="00A92EC7">
        <w:t>s and assumptions</w:t>
      </w:r>
      <w:r w:rsidR="001C22BD" w:rsidRPr="00A92EC7">
        <w:t xml:space="preserve"> may be required is where a facility has moved to a higher order method (</w:t>
      </w:r>
      <w:r w:rsidR="00F33100">
        <w:t xml:space="preserve">for example, </w:t>
      </w:r>
      <w:r w:rsidR="00205F76" w:rsidRPr="00A92EC7">
        <w:t>from method 1 to</w:t>
      </w:r>
      <w:r w:rsidR="001C22BD" w:rsidRPr="00A92EC7">
        <w:t xml:space="preserve"> method 2</w:t>
      </w:r>
      <w:r w:rsidR="00205F76" w:rsidRPr="00A92EC7">
        <w:t xml:space="preserve"> for combustion of a fuel</w:t>
      </w:r>
      <w:r w:rsidR="00C11F4E" w:rsidRPr="00A92EC7">
        <w:t xml:space="preserve"> type</w:t>
      </w:r>
      <w:r w:rsidR="001C22BD" w:rsidRPr="00A92EC7">
        <w:t xml:space="preserve">) and </w:t>
      </w:r>
      <w:r w:rsidR="00A84DF4">
        <w:t xml:space="preserve">the </w:t>
      </w:r>
      <w:r w:rsidR="00381543" w:rsidRPr="00A92EC7">
        <w:t>required data doesn’t exist</w:t>
      </w:r>
      <w:r w:rsidR="00FE3EF4" w:rsidRPr="00A92EC7">
        <w:t xml:space="preserve"> (or only partially exists)</w:t>
      </w:r>
      <w:r w:rsidR="00381543" w:rsidRPr="00A92EC7">
        <w:t xml:space="preserve"> to </w:t>
      </w:r>
      <w:r w:rsidR="00B350A7" w:rsidRPr="00A92EC7">
        <w:t xml:space="preserve">adjust historical covered emissions </w:t>
      </w:r>
      <w:r w:rsidR="006A4750" w:rsidRPr="00A92EC7">
        <w:t>so that it is calculated using method 2.</w:t>
      </w:r>
      <w:r w:rsidR="004B4227">
        <w:t xml:space="preserve"> </w:t>
      </w:r>
    </w:p>
    <w:p w14:paraId="0DDD11A4" w14:textId="5905FEE7" w:rsidR="00494ED2" w:rsidRDefault="00494ED2" w:rsidP="00AA6BE4">
      <w:r>
        <w:t xml:space="preserve">Note that if </w:t>
      </w:r>
      <w:r w:rsidR="00B07431">
        <w:t>the required data is available to make the required adjustment</w:t>
      </w:r>
      <w:r w:rsidR="633D3C01">
        <w:t>,</w:t>
      </w:r>
      <w:r w:rsidR="00B07431">
        <w:t xml:space="preserve"> that data </w:t>
      </w:r>
      <w:r w:rsidR="001A32B0">
        <w:t>must</w:t>
      </w:r>
      <w:r w:rsidR="00B07431">
        <w:t xml:space="preserve"> be used</w:t>
      </w:r>
      <w:r w:rsidR="51855389">
        <w:t>,</w:t>
      </w:r>
      <w:r w:rsidR="00B07431">
        <w:t xml:space="preserve"> </w:t>
      </w:r>
      <w:r w:rsidR="001A32B0">
        <w:t>an</w:t>
      </w:r>
      <w:r w:rsidR="003E19BC">
        <w:t>d</w:t>
      </w:r>
      <w:r w:rsidR="001A32B0">
        <w:t xml:space="preserve"> alternate </w:t>
      </w:r>
      <w:r w:rsidR="003E19BC">
        <w:t>adjustments relying on estimates and assumptions are</w:t>
      </w:r>
      <w:r w:rsidR="00780BC1">
        <w:t xml:space="preserve"> not acceptable.</w:t>
      </w:r>
    </w:p>
    <w:p w14:paraId="040710F4" w14:textId="3F29D371" w:rsidR="000906E4" w:rsidRDefault="000D5D0B" w:rsidP="00AA6BE4">
      <w:r>
        <w:t>Where</w:t>
      </w:r>
      <w:r w:rsidR="005210E3">
        <w:t xml:space="preserve"> estimate</w:t>
      </w:r>
      <w:r w:rsidR="000D2CB6">
        <w:t>s</w:t>
      </w:r>
      <w:r w:rsidR="005210E3">
        <w:t xml:space="preserve"> and assumptions </w:t>
      </w:r>
      <w:r w:rsidR="000D2CB6">
        <w:t>have been made</w:t>
      </w:r>
      <w:r w:rsidR="00A46FA8">
        <w:t>,</w:t>
      </w:r>
      <w:r w:rsidR="000D2CB6">
        <w:t xml:space="preserve"> </w:t>
      </w:r>
      <w:r w:rsidR="00403C75">
        <w:t xml:space="preserve">the application </w:t>
      </w:r>
      <w:r w:rsidR="005C0199">
        <w:t xml:space="preserve">should </w:t>
      </w:r>
      <w:r w:rsidR="000D2CB6">
        <w:t>explain the</w:t>
      </w:r>
      <w:r w:rsidR="004B4227" w:rsidRPr="00C375A7">
        <w:t xml:space="preserve"> estimates and assumptions made and why they were required</w:t>
      </w:r>
      <w:r w:rsidR="00F70344">
        <w:t xml:space="preserve">. </w:t>
      </w:r>
      <w:r w:rsidR="000906E4">
        <w:t>Further information is below to assist in identifying what adjustments (if any) are necessary and how the adjustments can be made.</w:t>
      </w:r>
    </w:p>
    <w:p w14:paraId="2A2D37D8" w14:textId="7E6C4155" w:rsidR="00F316ED" w:rsidRPr="008A609D" w:rsidRDefault="00AA5241" w:rsidP="009B5E9A">
      <w:pPr>
        <w:pStyle w:val="Heading5"/>
        <w:numPr>
          <w:ilvl w:val="0"/>
          <w:numId w:val="0"/>
        </w:numPr>
      </w:pPr>
      <w:r>
        <w:t>Adjustments that are not considered reasonable</w:t>
      </w:r>
    </w:p>
    <w:p w14:paraId="76F86749" w14:textId="32E177E3" w:rsidR="000A3671" w:rsidRPr="008A609D" w:rsidRDefault="005752CD" w:rsidP="00C36DED">
      <w:pPr>
        <w:spacing w:after="120"/>
      </w:pPr>
      <w:r w:rsidRPr="008A609D">
        <w:t xml:space="preserve">Note that </w:t>
      </w:r>
      <w:r w:rsidR="004D1B44">
        <w:t>applicants</w:t>
      </w:r>
      <w:r w:rsidR="002C4D2F">
        <w:t xml:space="preserve"> </w:t>
      </w:r>
      <w:r w:rsidRPr="008A609D">
        <w:t>are not</w:t>
      </w:r>
      <w:r w:rsidR="000A3671" w:rsidRPr="008A609D">
        <w:t xml:space="preserve"> </w:t>
      </w:r>
      <w:r w:rsidRPr="008A609D">
        <w:t xml:space="preserve">permitted to </w:t>
      </w:r>
      <w:proofErr w:type="gramStart"/>
      <w:r w:rsidRPr="008A609D">
        <w:t>make adjustment</w:t>
      </w:r>
      <w:r w:rsidR="002907CC" w:rsidRPr="008A609D">
        <w:t>s</w:t>
      </w:r>
      <w:r w:rsidRPr="008A609D">
        <w:t xml:space="preserve"> to</w:t>
      </w:r>
      <w:proofErr w:type="gramEnd"/>
      <w:r w:rsidRPr="008A609D">
        <w:t xml:space="preserve"> historical </w:t>
      </w:r>
      <w:r w:rsidR="00C14056">
        <w:t xml:space="preserve">facility </w:t>
      </w:r>
      <w:r w:rsidRPr="008A609D">
        <w:t>covered emissions</w:t>
      </w:r>
      <w:r w:rsidR="00B63958" w:rsidRPr="008A609D">
        <w:t xml:space="preserve"> for other reasons such as</w:t>
      </w:r>
      <w:r w:rsidR="004178AD" w:rsidRPr="008A609D">
        <w:t>:</w:t>
      </w:r>
    </w:p>
    <w:p w14:paraId="6F6ABA80" w14:textId="5186BA2B" w:rsidR="004178AD" w:rsidRPr="008A609D" w:rsidRDefault="0015045C" w:rsidP="00A95640">
      <w:pPr>
        <w:pStyle w:val="CERbullets"/>
      </w:pPr>
      <w:r>
        <w:t>changes in fuel types (</w:t>
      </w:r>
      <w:r w:rsidR="006129C4">
        <w:t xml:space="preserve">that is, </w:t>
      </w:r>
      <w:r w:rsidR="004178AD">
        <w:t>new fuel type used</w:t>
      </w:r>
      <w:r w:rsidR="00447B7C">
        <w:t>,</w:t>
      </w:r>
      <w:r w:rsidR="004178AD">
        <w:t xml:space="preserve"> </w:t>
      </w:r>
      <w:r>
        <w:t>no longer being used</w:t>
      </w:r>
      <w:r w:rsidR="00447B7C">
        <w:t>,</w:t>
      </w:r>
      <w:r>
        <w:t xml:space="preserve"> or a</w:t>
      </w:r>
      <w:r w:rsidR="007E198F">
        <w:t xml:space="preserve"> </w:t>
      </w:r>
      <w:r w:rsidR="004178AD">
        <w:t>replacement of one fuel type with another fuel type</w:t>
      </w:r>
      <w:r>
        <w:t>) unless the change in fuel types w</w:t>
      </w:r>
      <w:r w:rsidR="006859B0">
        <w:t>as required due to change in fuel types in the NGER Measurement Determination (</w:t>
      </w:r>
      <w:r w:rsidR="00F33100">
        <w:t xml:space="preserve">for example, </w:t>
      </w:r>
      <w:r w:rsidR="002D4948">
        <w:t xml:space="preserve">where a fuel type is split into </w:t>
      </w:r>
      <w:r w:rsidR="00A95640">
        <w:t>different fuel types or a new fuel type replaces and old fuel type)</w:t>
      </w:r>
    </w:p>
    <w:p w14:paraId="6779B1DA" w14:textId="35BE6DDD" w:rsidR="00480723" w:rsidRPr="008A609D" w:rsidRDefault="00C44FF4" w:rsidP="005752CD">
      <w:pPr>
        <w:pStyle w:val="CERbullets"/>
      </w:pPr>
      <w:r>
        <w:t xml:space="preserve">any of the </w:t>
      </w:r>
      <w:r w:rsidR="00C61097">
        <w:t>reasons listed</w:t>
      </w:r>
      <w:r w:rsidR="004E0E35">
        <w:t xml:space="preserve"> as not eligible for exclusion</w:t>
      </w:r>
      <w:r w:rsidR="00C61097">
        <w:t xml:space="preserve"> </w:t>
      </w:r>
      <w:r w:rsidR="00BD3767" w:rsidRPr="00117BA2">
        <w:t>under</w:t>
      </w:r>
      <w:r w:rsidR="00BD3767">
        <w:t xml:space="preserve"> </w:t>
      </w:r>
      <w:hyperlink w:anchor="_Exclusion_of_historical">
        <w:r w:rsidR="00087611" w:rsidRPr="00117BA2">
          <w:rPr>
            <w:rStyle w:val="Hyperlink"/>
            <w:rFonts w:asciiTheme="minorHAnsi" w:hAnsiTheme="minorHAnsi"/>
          </w:rPr>
          <w:t>P</w:t>
        </w:r>
        <w:r w:rsidR="006F5002" w:rsidRPr="00117BA2">
          <w:rPr>
            <w:rStyle w:val="Hyperlink"/>
            <w:rFonts w:asciiTheme="minorHAnsi" w:hAnsiTheme="minorHAnsi"/>
          </w:rPr>
          <w:t xml:space="preserve">art </w:t>
        </w:r>
        <w:r w:rsidR="00117BA2" w:rsidRPr="00117BA2">
          <w:rPr>
            <w:rStyle w:val="Hyperlink"/>
            <w:rFonts w:asciiTheme="minorHAnsi" w:hAnsiTheme="minorHAnsi"/>
          </w:rPr>
          <w:t>3</w:t>
        </w:r>
        <w:r w:rsidR="00117BA2">
          <w:rPr>
            <w:rStyle w:val="Hyperlink"/>
            <w:rFonts w:asciiTheme="minorHAnsi" w:hAnsiTheme="minorHAnsi"/>
          </w:rPr>
          <w:t>.7.1</w:t>
        </w:r>
        <w:r w:rsidR="006F5002" w:rsidRPr="42F13D29">
          <w:rPr>
            <w:rStyle w:val="Hyperlink"/>
            <w:rFonts w:asciiTheme="minorHAnsi" w:hAnsiTheme="minorHAnsi"/>
          </w:rPr>
          <w:t xml:space="preserve"> Exclusion of historical information</w:t>
        </w:r>
      </w:hyperlink>
      <w:r w:rsidR="006F5002">
        <w:t xml:space="preserve"> </w:t>
      </w:r>
      <w:proofErr w:type="gramStart"/>
      <w:r w:rsidR="00087611">
        <w:t>with the exception of</w:t>
      </w:r>
      <w:proofErr w:type="gramEnd"/>
      <w:r w:rsidR="00087611">
        <w:t xml:space="preserve"> changes in NGER reporting methods </w:t>
      </w:r>
    </w:p>
    <w:p w14:paraId="38198C00" w14:textId="19EB9368" w:rsidR="00CB7D27" w:rsidRDefault="00DF592E" w:rsidP="002E5F4C">
      <w:r>
        <w:t>Further i</w:t>
      </w:r>
      <w:r w:rsidR="00284AE0">
        <w:t xml:space="preserve">nformation </w:t>
      </w:r>
      <w:r>
        <w:t xml:space="preserve">is below </w:t>
      </w:r>
      <w:r w:rsidR="00284AE0">
        <w:t xml:space="preserve">to assist in identifying what adjustments </w:t>
      </w:r>
      <w:r w:rsidR="000834E1">
        <w:t xml:space="preserve">(if any) </w:t>
      </w:r>
      <w:r w:rsidR="00284AE0">
        <w:t xml:space="preserve">are necessary </w:t>
      </w:r>
      <w:r>
        <w:t xml:space="preserve">and </w:t>
      </w:r>
      <w:r w:rsidR="00284AE0">
        <w:t>how the adjustments can be made</w:t>
      </w:r>
      <w:r>
        <w:t>.</w:t>
      </w:r>
    </w:p>
    <w:p w14:paraId="3201504C" w14:textId="47D94298" w:rsidR="00284AE0" w:rsidRDefault="00284AE0" w:rsidP="00FE0E50">
      <w:pPr>
        <w:pStyle w:val="Heading4"/>
      </w:pPr>
      <w:bookmarkStart w:id="174" w:name="_NGER_Measurement_Determination"/>
      <w:bookmarkStart w:id="175" w:name="_Toc138922921"/>
      <w:bookmarkStart w:id="176" w:name="_Toc138922996"/>
      <w:bookmarkStart w:id="177" w:name="_Toc138923060"/>
      <w:bookmarkStart w:id="178" w:name="_Toc138923317"/>
      <w:bookmarkStart w:id="179" w:name="_Toc143503190"/>
      <w:bookmarkEnd w:id="174"/>
      <w:r>
        <w:t xml:space="preserve">NGER Measurement Determination </w:t>
      </w:r>
      <w:r w:rsidR="00D1774B">
        <w:t>adjustments</w:t>
      </w:r>
      <w:bookmarkEnd w:id="175"/>
      <w:bookmarkEnd w:id="176"/>
      <w:bookmarkEnd w:id="177"/>
      <w:bookmarkEnd w:id="178"/>
      <w:bookmarkEnd w:id="179"/>
    </w:p>
    <w:p w14:paraId="652DACD3" w14:textId="66020F52" w:rsidR="00193644" w:rsidRPr="00770FEF" w:rsidRDefault="00E43D5B" w:rsidP="00193644">
      <w:pPr>
        <w:pStyle w:val="CERbullets"/>
        <w:numPr>
          <w:ilvl w:val="0"/>
          <w:numId w:val="0"/>
        </w:numPr>
      </w:pPr>
      <w:r w:rsidRPr="00770FEF">
        <w:t>Covered emissions for each historical financial year (</w:t>
      </w:r>
      <w:r w:rsidR="006129C4" w:rsidRPr="00770FEF">
        <w:t xml:space="preserve">that is, </w:t>
      </w:r>
      <w:r w:rsidRPr="00770FEF">
        <w:t xml:space="preserve">2017-18 to 2021-22) </w:t>
      </w:r>
      <w:r w:rsidR="00193644" w:rsidRPr="00770FEF">
        <w:t>must be calculated using the</w:t>
      </w:r>
      <w:r w:rsidRPr="00770FEF">
        <w:t xml:space="preserve"> </w:t>
      </w:r>
      <w:r w:rsidR="00193644" w:rsidRPr="00770FEF">
        <w:t xml:space="preserve">most recent </w:t>
      </w:r>
      <w:r w:rsidRPr="00770FEF">
        <w:t xml:space="preserve">version of the </w:t>
      </w:r>
      <w:hyperlink r:id="rId43" w:tooltip="A link to the Australian Government legislation - the National Greenhouse and Energy regulations 2008" w:history="1">
        <w:r w:rsidRPr="00770FEF">
          <w:rPr>
            <w:rStyle w:val="Hyperlink"/>
            <w:rFonts w:asciiTheme="minorHAnsi" w:hAnsiTheme="minorHAnsi"/>
          </w:rPr>
          <w:t>NGER Measurement Determination</w:t>
        </w:r>
      </w:hyperlink>
      <w:r w:rsidR="00721433" w:rsidRPr="00770FEF">
        <w:rPr>
          <w:rStyle w:val="FootnoteReference"/>
        </w:rPr>
        <w:footnoteReference w:id="29"/>
      </w:r>
      <w:r w:rsidR="00096E0A" w:rsidRPr="00770FEF">
        <w:t xml:space="preserve"> unless </w:t>
      </w:r>
      <w:r w:rsidR="00A56D30" w:rsidRPr="00770FEF">
        <w:t>a provision in</w:t>
      </w:r>
      <w:r w:rsidR="00096E0A" w:rsidRPr="00770FEF">
        <w:t xml:space="preserve"> </w:t>
      </w:r>
      <w:r w:rsidR="002E7108" w:rsidRPr="00770FEF">
        <w:t xml:space="preserve">Chapter 9 of </w:t>
      </w:r>
      <w:r w:rsidR="00096E0A" w:rsidRPr="00770FEF">
        <w:t xml:space="preserve">the determination says </w:t>
      </w:r>
      <w:r w:rsidR="002E7108" w:rsidRPr="00770FEF">
        <w:t xml:space="preserve">that a particular provision of the determination </w:t>
      </w:r>
      <w:r w:rsidR="00096E0A" w:rsidRPr="00770FEF">
        <w:t>will apply from a later financial year</w:t>
      </w:r>
      <w:r w:rsidR="00193644" w:rsidRPr="00770FEF">
        <w:t xml:space="preserve">. </w:t>
      </w:r>
    </w:p>
    <w:p w14:paraId="3C89C69A" w14:textId="0DF9CCC2" w:rsidR="004575CE" w:rsidRDefault="00BD3F9A" w:rsidP="00193644">
      <w:pPr>
        <w:pStyle w:val="CERbullets"/>
        <w:numPr>
          <w:ilvl w:val="0"/>
          <w:numId w:val="0"/>
        </w:numPr>
      </w:pPr>
      <w:r w:rsidRPr="00770FEF">
        <w:t>This means i</w:t>
      </w:r>
      <w:r w:rsidR="00E43D5B" w:rsidRPr="00770FEF">
        <w:t xml:space="preserve">f </w:t>
      </w:r>
      <w:r w:rsidR="008A5AAB" w:rsidRPr="00770FEF">
        <w:t xml:space="preserve">an application is </w:t>
      </w:r>
      <w:r w:rsidR="00B07A7B" w:rsidRPr="00770FEF">
        <w:t xml:space="preserve">for </w:t>
      </w:r>
      <w:r w:rsidR="0025534E" w:rsidRPr="00770FEF">
        <w:t xml:space="preserve">a </w:t>
      </w:r>
      <w:r w:rsidR="00B07A7B" w:rsidRPr="00770FEF">
        <w:t xml:space="preserve">determination </w:t>
      </w:r>
      <w:r w:rsidRPr="00770FEF">
        <w:t xml:space="preserve">commencing in the </w:t>
      </w:r>
      <w:r w:rsidR="004E13F5" w:rsidRPr="00770FEF">
        <w:t>2024-25</w:t>
      </w:r>
      <w:r w:rsidRPr="00770FEF">
        <w:t xml:space="preserve"> financial year, </w:t>
      </w:r>
      <w:r w:rsidR="00D87856" w:rsidRPr="00770FEF">
        <w:t>the application</w:t>
      </w:r>
      <w:r w:rsidR="00E43D5B" w:rsidRPr="00770FEF">
        <w:t xml:space="preserve"> must us</w:t>
      </w:r>
      <w:r w:rsidR="00DF648F" w:rsidRPr="00770FEF">
        <w:t xml:space="preserve">e </w:t>
      </w:r>
      <w:r w:rsidR="00E43D5B" w:rsidRPr="00770FEF">
        <w:t xml:space="preserve">the version </w:t>
      </w:r>
      <w:r w:rsidR="00DF648F" w:rsidRPr="00770FEF">
        <w:t xml:space="preserve">of the NGER Measurement Determination </w:t>
      </w:r>
      <w:r w:rsidR="00AF4ABC" w:rsidRPr="00770FEF">
        <w:t xml:space="preserve">applicable to the </w:t>
      </w:r>
      <w:r w:rsidR="004E13F5" w:rsidRPr="00770FEF">
        <w:t>2024-25</w:t>
      </w:r>
      <w:r w:rsidR="00AF4ABC" w:rsidRPr="00770FEF">
        <w:t xml:space="preserve"> reporting period (</w:t>
      </w:r>
      <w:r w:rsidR="006129C4" w:rsidRPr="00770FEF">
        <w:t xml:space="preserve">that is, </w:t>
      </w:r>
      <w:r w:rsidR="00AF4ABC" w:rsidRPr="00770FEF">
        <w:t xml:space="preserve">the version identified with a start date of 1 July </w:t>
      </w:r>
      <w:r w:rsidR="004E13F5" w:rsidRPr="00770FEF">
        <w:t>2024</w:t>
      </w:r>
      <w:r w:rsidR="00AF4ABC" w:rsidRPr="00770FEF">
        <w:t>)</w:t>
      </w:r>
      <w:r w:rsidR="00EC5567" w:rsidRPr="00770FEF">
        <w:t xml:space="preserve"> unless the </w:t>
      </w:r>
      <w:r w:rsidR="008A2EDB" w:rsidRPr="00770FEF">
        <w:t xml:space="preserve">version applicable to the </w:t>
      </w:r>
      <w:r w:rsidR="00EA31AB" w:rsidRPr="00770FEF">
        <w:t>2025-26</w:t>
      </w:r>
      <w:r w:rsidR="008A2EDB" w:rsidRPr="00770FEF">
        <w:t xml:space="preserve"> financial year </w:t>
      </w:r>
      <w:r w:rsidR="00AB15B8" w:rsidRPr="00770FEF">
        <w:t>is available</w:t>
      </w:r>
      <w:r w:rsidR="00AF4ABC" w:rsidRPr="00770FEF">
        <w:t>.</w:t>
      </w:r>
    </w:p>
    <w:tbl>
      <w:tblPr>
        <w:tblStyle w:val="CERCallout"/>
        <w:tblW w:w="9609" w:type="dxa"/>
        <w:tblLook w:val="04A0" w:firstRow="1" w:lastRow="0" w:firstColumn="1" w:lastColumn="0" w:noHBand="0" w:noVBand="1"/>
      </w:tblPr>
      <w:tblGrid>
        <w:gridCol w:w="9609"/>
      </w:tblGrid>
      <w:tr w:rsidR="00C85CF8" w14:paraId="4BA553F6" w14:textId="77777777" w:rsidTr="00FE2099">
        <w:trPr>
          <w:cnfStyle w:val="100000000000" w:firstRow="1" w:lastRow="0" w:firstColumn="0" w:lastColumn="0" w:oddVBand="0" w:evenVBand="0" w:oddHBand="0" w:evenHBand="0" w:firstRowFirstColumn="0" w:firstRowLastColumn="0" w:lastRowFirstColumn="0" w:lastRowLastColumn="0"/>
          <w:trHeight w:val="6833"/>
        </w:trPr>
        <w:tc>
          <w:tcPr>
            <w:tcW w:w="0" w:type="dxa"/>
          </w:tcPr>
          <w:p w14:paraId="1C460321" w14:textId="18548687" w:rsidR="00CF3667" w:rsidRPr="00CF3667" w:rsidRDefault="00CF3667" w:rsidP="0023106D">
            <w:pPr>
              <w:pStyle w:val="CERbullets"/>
              <w:keepNext/>
              <w:numPr>
                <w:ilvl w:val="0"/>
                <w:numId w:val="0"/>
              </w:numPr>
              <w:spacing w:before="100"/>
            </w:pPr>
            <w:r w:rsidRPr="00CF3667">
              <w:t>What is the NGER Measurement Determination</w:t>
            </w:r>
          </w:p>
          <w:p w14:paraId="44F2CBAD" w14:textId="77777777" w:rsidR="00CF3667" w:rsidRPr="009B5E9A" w:rsidRDefault="00CF3667" w:rsidP="00C36DED">
            <w:pPr>
              <w:pStyle w:val="CERbullets"/>
              <w:numPr>
                <w:ilvl w:val="0"/>
                <w:numId w:val="0"/>
              </w:numPr>
              <w:spacing w:beforeAutospacing="0"/>
              <w:rPr>
                <w:b w:val="0"/>
                <w:sz w:val="22"/>
              </w:rPr>
            </w:pPr>
            <w:r w:rsidRPr="009B5E9A">
              <w:rPr>
                <w:b w:val="0"/>
                <w:sz w:val="22"/>
              </w:rPr>
              <w:t>The NGER Measurement Determination provides methods, criteria and measurement standards for calculating and reporting greenhouse gas emissions and energy data under the NGER Scheme. It covers scope 1 and scope 2 emissions and energy production and consumption.</w:t>
            </w:r>
          </w:p>
          <w:p w14:paraId="317C78A6" w14:textId="77777777" w:rsidR="00CF3667" w:rsidRPr="009B5E9A" w:rsidRDefault="00CF3667" w:rsidP="00C36DED">
            <w:pPr>
              <w:pStyle w:val="CERbullets"/>
              <w:numPr>
                <w:ilvl w:val="0"/>
                <w:numId w:val="0"/>
              </w:numPr>
              <w:spacing w:beforeAutospacing="0"/>
              <w:rPr>
                <w:b w:val="0"/>
                <w:sz w:val="22"/>
              </w:rPr>
            </w:pPr>
            <w:r w:rsidRPr="009B5E9A">
              <w:rPr>
                <w:b w:val="0"/>
                <w:sz w:val="22"/>
              </w:rPr>
              <w:t>Scope 1 emissions sources are categorised under:</w:t>
            </w:r>
          </w:p>
          <w:p w14:paraId="0F2D591E" w14:textId="5031C7A3" w:rsidR="00CF3667" w:rsidRPr="009B5E9A" w:rsidRDefault="37CEF153" w:rsidP="000672A4">
            <w:pPr>
              <w:pStyle w:val="CERbullets"/>
              <w:spacing w:beforeAutospacing="0"/>
              <w:ind w:left="357" w:hanging="357"/>
              <w:rPr>
                <w:b w:val="0"/>
                <w:sz w:val="22"/>
              </w:rPr>
            </w:pPr>
            <w:r w:rsidRPr="009B5E9A">
              <w:rPr>
                <w:b w:val="0"/>
                <w:sz w:val="22"/>
              </w:rPr>
              <w:t>fuel combustion</w:t>
            </w:r>
          </w:p>
          <w:p w14:paraId="59C07B16" w14:textId="3DD9E9AF" w:rsidR="00CF3667" w:rsidRPr="009B5E9A" w:rsidRDefault="37CEF153" w:rsidP="000672A4">
            <w:pPr>
              <w:pStyle w:val="CERbullets"/>
              <w:spacing w:beforeAutospacing="0"/>
              <w:ind w:left="357" w:hanging="357"/>
              <w:rPr>
                <w:b w:val="0"/>
                <w:sz w:val="22"/>
              </w:rPr>
            </w:pPr>
            <w:r w:rsidRPr="009B5E9A">
              <w:rPr>
                <w:b w:val="0"/>
                <w:sz w:val="22"/>
              </w:rPr>
              <w:t>fugitive emissions</w:t>
            </w:r>
          </w:p>
          <w:p w14:paraId="483ED4C2" w14:textId="17575809" w:rsidR="00CF3667" w:rsidRPr="009B5E9A" w:rsidRDefault="37CEF153" w:rsidP="000672A4">
            <w:pPr>
              <w:pStyle w:val="CERbullets"/>
              <w:spacing w:beforeAutospacing="0"/>
              <w:ind w:left="357" w:hanging="357"/>
              <w:rPr>
                <w:b w:val="0"/>
                <w:sz w:val="22"/>
              </w:rPr>
            </w:pPr>
            <w:r w:rsidRPr="009B5E9A">
              <w:rPr>
                <w:b w:val="0"/>
                <w:sz w:val="22"/>
              </w:rPr>
              <w:t>industrial processes</w:t>
            </w:r>
          </w:p>
          <w:p w14:paraId="45EEA3DC" w14:textId="6DC38223" w:rsidR="00CF3667" w:rsidRPr="009B5E9A" w:rsidRDefault="37CEF153" w:rsidP="000672A4">
            <w:pPr>
              <w:pStyle w:val="CERbullets"/>
              <w:spacing w:beforeAutospacing="0"/>
              <w:ind w:left="357" w:hanging="357"/>
              <w:rPr>
                <w:b w:val="0"/>
                <w:bCs/>
                <w:sz w:val="22"/>
              </w:rPr>
            </w:pPr>
            <w:r w:rsidRPr="009B5E9A">
              <w:rPr>
                <w:b w:val="0"/>
                <w:sz w:val="22"/>
              </w:rPr>
              <w:t xml:space="preserve">waste. </w:t>
            </w:r>
          </w:p>
          <w:p w14:paraId="77EF7F38" w14:textId="4D014CDD" w:rsidR="00CF3667" w:rsidRPr="009B5E9A" w:rsidRDefault="00CF3667" w:rsidP="00C36DED">
            <w:pPr>
              <w:pStyle w:val="CERbullets"/>
              <w:numPr>
                <w:ilvl w:val="0"/>
                <w:numId w:val="0"/>
              </w:numPr>
              <w:spacing w:beforeAutospacing="0"/>
              <w:rPr>
                <w:b w:val="0"/>
                <w:sz w:val="22"/>
              </w:rPr>
            </w:pPr>
            <w:r w:rsidRPr="009B5E9A">
              <w:rPr>
                <w:b w:val="0"/>
                <w:sz w:val="22"/>
              </w:rPr>
              <w:t xml:space="preserve">Each scope 1 emissions source generally has various sub-sources – for example fuel combustion is split into the following sub-sources: emissions from combustion of solid fuels, from gaseous fuels and from liquid fuels. </w:t>
            </w:r>
          </w:p>
          <w:p w14:paraId="39F07B8F" w14:textId="77777777" w:rsidR="00CF3667" w:rsidRPr="009B5E9A" w:rsidRDefault="00CF3667" w:rsidP="00C36DED">
            <w:pPr>
              <w:pStyle w:val="CERbullets"/>
              <w:numPr>
                <w:ilvl w:val="0"/>
                <w:numId w:val="0"/>
              </w:numPr>
              <w:spacing w:beforeAutospacing="0"/>
              <w:rPr>
                <w:b w:val="0"/>
                <w:sz w:val="22"/>
              </w:rPr>
            </w:pPr>
            <w:r w:rsidRPr="009B5E9A">
              <w:rPr>
                <w:b w:val="0"/>
                <w:sz w:val="22"/>
              </w:rPr>
              <w:t xml:space="preserve">Sub-source can then be further categorised – for example liquid fuel combustion for the purpose of producing electricity, for transport and for other stationary purposes. </w:t>
            </w:r>
          </w:p>
          <w:p w14:paraId="59C0EC4C" w14:textId="286737E6" w:rsidR="00CF3667" w:rsidRPr="009B5E9A" w:rsidRDefault="00CF3667" w:rsidP="00C36DED">
            <w:pPr>
              <w:pStyle w:val="CERbullets"/>
              <w:numPr>
                <w:ilvl w:val="0"/>
                <w:numId w:val="0"/>
              </w:numPr>
              <w:spacing w:beforeAutospacing="0"/>
              <w:rPr>
                <w:b w:val="0"/>
                <w:sz w:val="22"/>
              </w:rPr>
            </w:pPr>
            <w:r w:rsidRPr="009B5E9A">
              <w:rPr>
                <w:b w:val="0"/>
                <w:sz w:val="22"/>
              </w:rPr>
              <w:t xml:space="preserve">Generally, the calculation of emissions is made at various sub-source levels. To calculate emissions, the </w:t>
            </w:r>
            <w:r w:rsidR="003A56C9">
              <w:rPr>
                <w:b w:val="0"/>
                <w:sz w:val="22"/>
              </w:rPr>
              <w:t xml:space="preserve">NGER </w:t>
            </w:r>
            <w:r w:rsidRPr="009B5E9A">
              <w:rPr>
                <w:b w:val="0"/>
                <w:sz w:val="22"/>
              </w:rPr>
              <w:t xml:space="preserve">Measurement Determination provides a hierarchy of emissions calculation methods to accommodate the circumstances of individual </w:t>
            </w:r>
            <w:r w:rsidRPr="009B5E9A">
              <w:rPr>
                <w:b w:val="0"/>
                <w:bCs/>
                <w:sz w:val="22"/>
              </w:rPr>
              <w:t>reporter</w:t>
            </w:r>
            <w:r w:rsidR="001F6A20" w:rsidRPr="009B5E9A">
              <w:rPr>
                <w:b w:val="0"/>
                <w:bCs/>
                <w:sz w:val="22"/>
              </w:rPr>
              <w:t>s</w:t>
            </w:r>
            <w:r w:rsidRPr="009B5E9A">
              <w:rPr>
                <w:b w:val="0"/>
                <w:sz w:val="22"/>
              </w:rPr>
              <w:t xml:space="preserve"> (</w:t>
            </w:r>
            <w:r w:rsidR="006129C4" w:rsidRPr="009B5E9A">
              <w:rPr>
                <w:b w:val="0"/>
                <w:bCs/>
                <w:sz w:val="22"/>
              </w:rPr>
              <w:t>that is,</w:t>
            </w:r>
            <w:r w:rsidR="006129C4" w:rsidRPr="009B5E9A">
              <w:rPr>
                <w:sz w:val="22"/>
              </w:rPr>
              <w:t xml:space="preserve"> </w:t>
            </w:r>
            <w:r w:rsidRPr="009B5E9A">
              <w:rPr>
                <w:b w:val="0"/>
                <w:sz w:val="22"/>
              </w:rPr>
              <w:t>methods 1, 2, 3 and 4) – see</w:t>
            </w:r>
            <w:r w:rsidR="00D3502C" w:rsidRPr="009B5E9A">
              <w:rPr>
                <w:b w:val="0"/>
                <w:sz w:val="22"/>
              </w:rPr>
              <w:t xml:space="preserve"> </w:t>
            </w:r>
            <w:hyperlink w:anchor="_Method_adjustments" w:history="1">
              <w:r w:rsidR="00D3502C" w:rsidRPr="009B5E9A">
                <w:rPr>
                  <w:rStyle w:val="Hyperlink"/>
                  <w:rFonts w:asciiTheme="minorHAnsi" w:hAnsiTheme="minorHAnsi"/>
                  <w:b w:val="0"/>
                  <w:bCs/>
                </w:rPr>
                <w:t>Part</w:t>
              </w:r>
              <w:r w:rsidR="00487BED" w:rsidRPr="009B5E9A">
                <w:rPr>
                  <w:rStyle w:val="Hyperlink"/>
                  <w:rFonts w:asciiTheme="minorHAnsi" w:hAnsiTheme="minorHAnsi"/>
                  <w:b w:val="0"/>
                  <w:bCs/>
                </w:rPr>
                <w:t> </w:t>
              </w:r>
              <w:r w:rsidR="00117BA2" w:rsidRPr="009B5E9A">
                <w:rPr>
                  <w:rStyle w:val="Hyperlink"/>
                  <w:rFonts w:asciiTheme="minorHAnsi" w:hAnsiTheme="minorHAnsi"/>
                  <w:b w:val="0"/>
                  <w:bCs/>
                </w:rPr>
                <w:t>3.6.1.3</w:t>
              </w:r>
              <w:r w:rsidR="00C278E5" w:rsidRPr="009B5E9A">
                <w:rPr>
                  <w:rStyle w:val="Hyperlink"/>
                  <w:rFonts w:asciiTheme="minorHAnsi" w:hAnsiTheme="minorHAnsi"/>
                  <w:b w:val="0"/>
                  <w:bCs/>
                </w:rPr>
                <w:t> </w:t>
              </w:r>
              <w:r w:rsidR="009447A2" w:rsidRPr="009B5E9A">
                <w:rPr>
                  <w:rStyle w:val="Hyperlink"/>
                  <w:rFonts w:asciiTheme="minorHAnsi" w:hAnsiTheme="minorHAnsi"/>
                  <w:b w:val="0"/>
                  <w:bCs/>
                </w:rPr>
                <w:t>M</w:t>
              </w:r>
              <w:r w:rsidR="009D3613" w:rsidRPr="009B5E9A">
                <w:rPr>
                  <w:rStyle w:val="Hyperlink"/>
                  <w:rFonts w:asciiTheme="minorHAnsi" w:hAnsiTheme="minorHAnsi"/>
                  <w:b w:val="0"/>
                  <w:bCs/>
                </w:rPr>
                <w:t>ethod adjustments</w:t>
              </w:r>
            </w:hyperlink>
            <w:r w:rsidR="009D3613" w:rsidRPr="009B5E9A">
              <w:rPr>
                <w:b w:val="0"/>
                <w:sz w:val="22"/>
              </w:rPr>
              <w:t xml:space="preserve"> </w:t>
            </w:r>
            <w:r w:rsidR="00F9267A" w:rsidRPr="009B5E9A">
              <w:rPr>
                <w:b w:val="0"/>
                <w:sz w:val="22"/>
              </w:rPr>
              <w:t>f</w:t>
            </w:r>
            <w:r w:rsidRPr="009B5E9A">
              <w:rPr>
                <w:b w:val="0"/>
                <w:sz w:val="22"/>
              </w:rPr>
              <w:t>or further information.</w:t>
            </w:r>
          </w:p>
          <w:p w14:paraId="326E46F8" w14:textId="3B343F3D" w:rsidR="00122F04" w:rsidRPr="008A609D" w:rsidRDefault="00CF3667" w:rsidP="00C36DED">
            <w:pPr>
              <w:pStyle w:val="CERbullets"/>
              <w:numPr>
                <w:ilvl w:val="0"/>
                <w:numId w:val="0"/>
              </w:numPr>
              <w:spacing w:beforeAutospacing="0"/>
              <w:rPr>
                <w:b w:val="0"/>
                <w:bCs/>
              </w:rPr>
            </w:pPr>
            <w:r w:rsidRPr="009B5E9A">
              <w:rPr>
                <w:b w:val="0"/>
                <w:bCs/>
                <w:sz w:val="22"/>
              </w:rPr>
              <w:t xml:space="preserve">The </w:t>
            </w:r>
            <w:r w:rsidR="003A56C9">
              <w:rPr>
                <w:b w:val="0"/>
                <w:bCs/>
                <w:sz w:val="22"/>
              </w:rPr>
              <w:t xml:space="preserve">NGER </w:t>
            </w:r>
            <w:r w:rsidRPr="009B5E9A">
              <w:rPr>
                <w:b w:val="0"/>
                <w:bCs/>
                <w:sz w:val="22"/>
              </w:rPr>
              <w:t xml:space="preserve">Measurement Determination is updated annually to reflect improvements in emission estimation methods. Amendments, compilations and explanatory memoranda for each year can be found on the on the </w:t>
            </w:r>
            <w:hyperlink r:id="rId44" w:anchor="legislative-framework" w:tooltip="A link to the NGER legislation page of the Clean Energy Regulator website" w:history="1">
              <w:r w:rsidRPr="009B5E9A">
                <w:rPr>
                  <w:rStyle w:val="Hyperlink"/>
                  <w:rFonts w:asciiTheme="minorHAnsi" w:hAnsiTheme="minorHAnsi"/>
                  <w:b w:val="0"/>
                </w:rPr>
                <w:t>NGER legislation</w:t>
              </w:r>
            </w:hyperlink>
            <w:r w:rsidR="004704B3" w:rsidRPr="009B5E9A">
              <w:rPr>
                <w:rStyle w:val="FootnoteReference"/>
                <w:sz w:val="22"/>
              </w:rPr>
              <w:footnoteReference w:id="30"/>
            </w:r>
            <w:r w:rsidRPr="009B5E9A">
              <w:rPr>
                <w:b w:val="0"/>
                <w:bCs/>
                <w:sz w:val="22"/>
              </w:rPr>
              <w:t xml:space="preserve"> page or on the </w:t>
            </w:r>
            <w:hyperlink r:id="rId45" w:tooltip="A link to the Australian Government legislation website" w:history="1">
              <w:r w:rsidRPr="009B5E9A">
                <w:rPr>
                  <w:rStyle w:val="Hyperlink"/>
                  <w:rFonts w:asciiTheme="minorHAnsi" w:hAnsiTheme="minorHAnsi"/>
                  <w:b w:val="0"/>
                </w:rPr>
                <w:t>Federal Register of Legislation</w:t>
              </w:r>
            </w:hyperlink>
            <w:r w:rsidR="0096165B" w:rsidRPr="009B5E9A">
              <w:rPr>
                <w:rStyle w:val="FootnoteReference"/>
                <w:b w:val="0"/>
                <w:sz w:val="22"/>
              </w:rPr>
              <w:footnoteReference w:id="31"/>
            </w:r>
            <w:r w:rsidRPr="009B5E9A">
              <w:rPr>
                <w:b w:val="0"/>
                <w:bCs/>
                <w:sz w:val="22"/>
              </w:rPr>
              <w:t>.</w:t>
            </w:r>
          </w:p>
        </w:tc>
      </w:tr>
    </w:tbl>
    <w:p w14:paraId="70EFE8D6" w14:textId="5C72D23F" w:rsidR="009C4DFD" w:rsidRDefault="00054063" w:rsidP="008A609D">
      <w:pPr>
        <w:spacing w:before="240"/>
      </w:pPr>
      <w:proofErr w:type="gramStart"/>
      <w:r w:rsidRPr="4C95239C">
        <w:t>For the purpose of</w:t>
      </w:r>
      <w:proofErr w:type="gramEnd"/>
      <w:r w:rsidRPr="4C95239C">
        <w:t xml:space="preserve"> </w:t>
      </w:r>
      <w:r w:rsidR="001C3E2C">
        <w:t xml:space="preserve">calculating the </w:t>
      </w:r>
      <w:r w:rsidRPr="4C95239C">
        <w:t>updat</w:t>
      </w:r>
      <w:r w:rsidR="001C3E2C">
        <w:t xml:space="preserve">ed </w:t>
      </w:r>
      <w:r w:rsidRPr="4C95239C">
        <w:t>covered emissions</w:t>
      </w:r>
      <w:r w:rsidR="00BE3599">
        <w:t xml:space="preserve"> for each historical financial year</w:t>
      </w:r>
      <w:r w:rsidR="63FE0D25" w:rsidRPr="4C95239C">
        <w:t>,</w:t>
      </w:r>
      <w:r w:rsidRPr="4C95239C">
        <w:t xml:space="preserve"> relevant c</w:t>
      </w:r>
      <w:r w:rsidR="00244BB7" w:rsidRPr="4C95239C">
        <w:t>hanges to the NGER Measurement Determination</w:t>
      </w:r>
      <w:r w:rsidR="00085CCF" w:rsidRPr="4C95239C">
        <w:t xml:space="preserve"> include </w:t>
      </w:r>
      <w:r w:rsidR="009C4DFD" w:rsidRPr="4C95239C">
        <w:t>chan</w:t>
      </w:r>
      <w:r w:rsidRPr="4C95239C">
        <w:t>ges</w:t>
      </w:r>
      <w:r w:rsidR="009C4DFD" w:rsidRPr="4C95239C">
        <w:t xml:space="preserve"> to:</w:t>
      </w:r>
    </w:p>
    <w:p w14:paraId="3264C83D" w14:textId="7F93ABBA" w:rsidR="009C4DFD" w:rsidRDefault="00244BB7" w:rsidP="4C95239C">
      <w:pPr>
        <w:pStyle w:val="CERbullets"/>
      </w:pPr>
      <w:r>
        <w:t>emissions sources</w:t>
      </w:r>
      <w:r w:rsidR="00C94AEB">
        <w:t xml:space="preserve"> (including sub-sources)</w:t>
      </w:r>
    </w:p>
    <w:p w14:paraId="38D8E962" w14:textId="433DD686" w:rsidR="009C4DFD" w:rsidRDefault="005D2D16" w:rsidP="4C95239C">
      <w:pPr>
        <w:pStyle w:val="CERbullets"/>
      </w:pPr>
      <w:r>
        <w:t xml:space="preserve">emissions calculation </w:t>
      </w:r>
      <w:r w:rsidR="00054063">
        <w:t>methodologies</w:t>
      </w:r>
      <w:r w:rsidR="0039486B">
        <w:t xml:space="preserve"> and formulas</w:t>
      </w:r>
      <w:r w:rsidR="00054063">
        <w:t xml:space="preserve"> to </w:t>
      </w:r>
      <w:r w:rsidR="009C4DFD">
        <w:t>calculate emissions</w:t>
      </w:r>
      <w:r w:rsidR="00E00092">
        <w:t xml:space="preserve"> for </w:t>
      </w:r>
      <w:proofErr w:type="gramStart"/>
      <w:r w:rsidR="00054063">
        <w:t>particular emissions sources/sub-</w:t>
      </w:r>
      <w:proofErr w:type="gramEnd"/>
      <w:r w:rsidR="00054063">
        <w:t>sources</w:t>
      </w:r>
    </w:p>
    <w:p w14:paraId="43731B37" w14:textId="422B9564" w:rsidR="007C5DB6" w:rsidRDefault="009C4DFD" w:rsidP="4C95239C">
      <w:pPr>
        <w:pStyle w:val="CERbullets"/>
      </w:pPr>
      <w:r>
        <w:t xml:space="preserve">energy </w:t>
      </w:r>
      <w:r w:rsidR="00CB60C0">
        <w:t xml:space="preserve">content, emissions and other factors/values used in </w:t>
      </w:r>
      <w:r w:rsidR="000065EC">
        <w:t>calculating emissions.</w:t>
      </w:r>
    </w:p>
    <w:p w14:paraId="6AAEF31B" w14:textId="7AA8A8B4" w:rsidR="00BE511E" w:rsidRDefault="0031741F" w:rsidP="00D1774B">
      <w:r w:rsidRPr="4C95239C">
        <w:t xml:space="preserve">If the </w:t>
      </w:r>
      <w:r w:rsidR="00F93EEC">
        <w:t>facility</w:t>
      </w:r>
      <w:r w:rsidR="00F93EEC" w:rsidRPr="4C95239C">
        <w:t xml:space="preserve"> </w:t>
      </w:r>
      <w:r w:rsidRPr="4C95239C">
        <w:t xml:space="preserve">has been affected by a </w:t>
      </w:r>
      <w:r w:rsidR="00FF35C0" w:rsidRPr="4C95239C">
        <w:t xml:space="preserve">NGER Measurement Determination </w:t>
      </w:r>
      <w:r w:rsidR="00345115" w:rsidRPr="4C95239C">
        <w:t xml:space="preserve">change </w:t>
      </w:r>
      <w:r w:rsidR="000C2E24" w:rsidRPr="4C95239C">
        <w:t xml:space="preserve">that requires an adjustment to historical </w:t>
      </w:r>
      <w:r w:rsidR="00D34C9F" w:rsidRPr="4C95239C">
        <w:t xml:space="preserve">covered emissions </w:t>
      </w:r>
      <w:r w:rsidR="00295247" w:rsidRPr="4C95239C">
        <w:t xml:space="preserve">for </w:t>
      </w:r>
      <w:r w:rsidR="00840D40" w:rsidRPr="4C95239C">
        <w:t>a particular</w:t>
      </w:r>
      <w:r w:rsidR="00D34C9F" w:rsidRPr="4C95239C">
        <w:t xml:space="preserve"> emissions source</w:t>
      </w:r>
      <w:r w:rsidR="00840D40" w:rsidRPr="4C95239C">
        <w:t>/sub-source</w:t>
      </w:r>
      <w:r w:rsidRPr="4C95239C">
        <w:t xml:space="preserve">, </w:t>
      </w:r>
      <w:r w:rsidR="009E6A5E" w:rsidRPr="4C95239C">
        <w:t>all historical covered emissions for that source</w:t>
      </w:r>
      <w:r w:rsidR="00626B12" w:rsidRPr="4C95239C">
        <w:t>/sub-source</w:t>
      </w:r>
      <w:r w:rsidR="009E6A5E" w:rsidRPr="4C95239C">
        <w:t xml:space="preserve"> </w:t>
      </w:r>
      <w:r w:rsidR="005739B5" w:rsidRPr="4C95239C">
        <w:t xml:space="preserve">will need to be calculated/estimated </w:t>
      </w:r>
      <w:r w:rsidR="009E6A5E" w:rsidRPr="4C95239C">
        <w:t>using the</w:t>
      </w:r>
      <w:r w:rsidR="00F56300" w:rsidRPr="4C95239C">
        <w:t xml:space="preserve"> </w:t>
      </w:r>
      <w:r w:rsidR="004510CC" w:rsidRPr="4C95239C">
        <w:t xml:space="preserve">latest version of the NGER Measurement Determination. </w:t>
      </w:r>
    </w:p>
    <w:p w14:paraId="44D1E71C" w14:textId="4319B198" w:rsidR="00387B30" w:rsidRDefault="00387B30" w:rsidP="00D1774B">
      <w:r>
        <w:t xml:space="preserve">If there has been more than one </w:t>
      </w:r>
      <w:r w:rsidR="009C3DF4">
        <w:t xml:space="preserve">NGER Measurement Determination </w:t>
      </w:r>
      <w:r>
        <w:t xml:space="preserve">change </w:t>
      </w:r>
      <w:r w:rsidRPr="060F49EF">
        <w:t>to</w:t>
      </w:r>
      <w:r>
        <w:t xml:space="preserve"> </w:t>
      </w:r>
      <w:r w:rsidR="00C2371E">
        <w:t>an emission source/sub-source</w:t>
      </w:r>
      <w:r w:rsidR="00CD50C5">
        <w:t>,</w:t>
      </w:r>
      <w:r w:rsidR="00C2371E">
        <w:t xml:space="preserve"> </w:t>
      </w:r>
      <w:r w:rsidR="002B1545">
        <w:t xml:space="preserve">the </w:t>
      </w:r>
      <w:r w:rsidR="00FC63D7">
        <w:t>applicable methodology</w:t>
      </w:r>
      <w:r w:rsidR="00CD50C5">
        <w:t xml:space="preserve"> or</w:t>
      </w:r>
      <w:r w:rsidR="00FC63D7">
        <w:t xml:space="preserve"> factor etc</w:t>
      </w:r>
      <w:r w:rsidR="00756C5E">
        <w:t>.</w:t>
      </w:r>
      <w:r w:rsidR="00FC63D7">
        <w:t xml:space="preserve"> in the latest version of the NGER Measurement Determination</w:t>
      </w:r>
      <w:r w:rsidR="002B1545">
        <w:t xml:space="preserve"> should be used</w:t>
      </w:r>
      <w:r w:rsidR="00FC63D7">
        <w:t>.</w:t>
      </w:r>
    </w:p>
    <w:p w14:paraId="65F261D5" w14:textId="36A934A2" w:rsidR="009B124B" w:rsidRPr="009B5E9A" w:rsidRDefault="009B124B" w:rsidP="00D1774B">
      <w:pPr>
        <w:rPr>
          <w:iCs/>
        </w:rPr>
      </w:pPr>
      <w:r w:rsidRPr="009B5E9A">
        <w:rPr>
          <w:iCs/>
        </w:rPr>
        <w:t>Note that</w:t>
      </w:r>
      <w:r w:rsidR="004A184D" w:rsidRPr="009B5E9A">
        <w:rPr>
          <w:iCs/>
        </w:rPr>
        <w:t xml:space="preserve"> updates to the</w:t>
      </w:r>
      <w:r w:rsidRPr="009B5E9A">
        <w:rPr>
          <w:iCs/>
        </w:rPr>
        <w:t xml:space="preserve"> NGER Measurement Determination </w:t>
      </w:r>
      <w:r w:rsidR="004A184D" w:rsidRPr="009B5E9A">
        <w:rPr>
          <w:iCs/>
        </w:rPr>
        <w:t>for the</w:t>
      </w:r>
      <w:r w:rsidR="00BA011A" w:rsidRPr="009B5E9A">
        <w:rPr>
          <w:iCs/>
        </w:rPr>
        <w:t xml:space="preserve"> 2020-21 </w:t>
      </w:r>
      <w:r w:rsidR="004A184D" w:rsidRPr="009B5E9A">
        <w:rPr>
          <w:iCs/>
        </w:rPr>
        <w:t xml:space="preserve">reporting period </w:t>
      </w:r>
      <w:r w:rsidR="00BA011A" w:rsidRPr="009B5E9A">
        <w:rPr>
          <w:iCs/>
        </w:rPr>
        <w:t>contain</w:t>
      </w:r>
      <w:r w:rsidR="007A2BEF" w:rsidRPr="009B5E9A">
        <w:rPr>
          <w:iCs/>
        </w:rPr>
        <w:t>s</w:t>
      </w:r>
      <w:r w:rsidR="00BA011A" w:rsidRPr="009B5E9A">
        <w:rPr>
          <w:iCs/>
        </w:rPr>
        <w:t xml:space="preserve"> </w:t>
      </w:r>
      <w:proofErr w:type="gramStart"/>
      <w:r w:rsidR="001D4776" w:rsidRPr="009B5E9A">
        <w:rPr>
          <w:iCs/>
        </w:rPr>
        <w:t>a large number of</w:t>
      </w:r>
      <w:proofErr w:type="gramEnd"/>
      <w:r w:rsidR="001D4776" w:rsidRPr="009B5E9A">
        <w:rPr>
          <w:iCs/>
        </w:rPr>
        <w:t xml:space="preserve"> changes </w:t>
      </w:r>
      <w:r w:rsidR="00041A8A" w:rsidRPr="009B5E9A">
        <w:rPr>
          <w:iCs/>
        </w:rPr>
        <w:t>to</w:t>
      </w:r>
      <w:r w:rsidR="005D2D16" w:rsidRPr="009B5E9A">
        <w:rPr>
          <w:iCs/>
        </w:rPr>
        <w:t xml:space="preserve"> emissions calculation</w:t>
      </w:r>
      <w:r w:rsidR="00041A8A" w:rsidRPr="009B5E9A">
        <w:rPr>
          <w:iCs/>
        </w:rPr>
        <w:t xml:space="preserve"> methodologies</w:t>
      </w:r>
      <w:r w:rsidR="005D2D16" w:rsidRPr="009B5E9A">
        <w:rPr>
          <w:iCs/>
        </w:rPr>
        <w:t xml:space="preserve"> and emissions factors </w:t>
      </w:r>
      <w:r w:rsidR="00E036CD" w:rsidRPr="009B5E9A">
        <w:rPr>
          <w:iCs/>
        </w:rPr>
        <w:t>to account for changes in</w:t>
      </w:r>
      <w:r w:rsidR="001D4776" w:rsidRPr="009B5E9A">
        <w:rPr>
          <w:iCs/>
        </w:rPr>
        <w:t xml:space="preserve"> global warming potential values</w:t>
      </w:r>
      <w:r w:rsidR="005149A3" w:rsidRPr="009B5E9A">
        <w:rPr>
          <w:iCs/>
        </w:rPr>
        <w:t xml:space="preserve"> (GWPs)</w:t>
      </w:r>
      <w:r w:rsidR="001D4776" w:rsidRPr="009B5E9A">
        <w:rPr>
          <w:iCs/>
        </w:rPr>
        <w:t xml:space="preserve"> of </w:t>
      </w:r>
      <w:r w:rsidR="00940805" w:rsidRPr="009B5E9A">
        <w:rPr>
          <w:iCs/>
        </w:rPr>
        <w:t>some</w:t>
      </w:r>
      <w:r w:rsidR="001D4776" w:rsidRPr="009B5E9A">
        <w:rPr>
          <w:iCs/>
        </w:rPr>
        <w:t xml:space="preserve"> non-carbon dioxide greenhouse gases.</w:t>
      </w:r>
      <w:r w:rsidR="00B97124" w:rsidRPr="009B5E9A">
        <w:rPr>
          <w:iCs/>
        </w:rPr>
        <w:t xml:space="preserve"> Further</w:t>
      </w:r>
      <w:r w:rsidR="001D06F8" w:rsidRPr="009B5E9A">
        <w:rPr>
          <w:iCs/>
        </w:rPr>
        <w:t xml:space="preserve"> </w:t>
      </w:r>
      <w:r w:rsidR="00B97124" w:rsidRPr="009B5E9A">
        <w:rPr>
          <w:iCs/>
        </w:rPr>
        <w:t>i</w:t>
      </w:r>
      <w:r w:rsidR="001D06F8" w:rsidRPr="009B5E9A">
        <w:rPr>
          <w:iCs/>
        </w:rPr>
        <w:t xml:space="preserve">nformation on GWP adjustments </w:t>
      </w:r>
      <w:r w:rsidR="00B97124" w:rsidRPr="009B5E9A">
        <w:rPr>
          <w:iCs/>
        </w:rPr>
        <w:t>and available methods to adjust for GWP changes is below.</w:t>
      </w:r>
      <w:r w:rsidR="00420EE1" w:rsidRPr="009B5E9A">
        <w:rPr>
          <w:iCs/>
        </w:rPr>
        <w:t xml:space="preserve"> </w:t>
      </w:r>
    </w:p>
    <w:p w14:paraId="481C717A" w14:textId="37FA5B65" w:rsidR="008151BF" w:rsidRDefault="00BD528E" w:rsidP="00D1774B">
      <w:pPr>
        <w:rPr>
          <w:color w:val="383A42"/>
        </w:rPr>
      </w:pPr>
      <w:r>
        <w:t xml:space="preserve">The </w:t>
      </w:r>
      <w:r w:rsidR="00BF532F">
        <w:t>CER</w:t>
      </w:r>
      <w:r w:rsidR="00BF532F" w:rsidRPr="3FB6375E">
        <w:t xml:space="preserve"> </w:t>
      </w:r>
      <w:r>
        <w:t xml:space="preserve">publishes a summary of annual changes to the NGER Measurement Determination on the </w:t>
      </w:r>
      <w:hyperlink r:id="rId46" w:tooltip="A link to the Australian Government legislation - the National Greenhouse and Energy Measurement Determination" w:history="1">
        <w:r w:rsidR="00F116E3">
          <w:rPr>
            <w:rStyle w:val="Hyperlink"/>
            <w:rFonts w:asciiTheme="minorHAnsi" w:hAnsiTheme="minorHAnsi"/>
          </w:rPr>
          <w:t>a</w:t>
        </w:r>
        <w:r w:rsidR="005B713C">
          <w:rPr>
            <w:rStyle w:val="Hyperlink"/>
            <w:rFonts w:asciiTheme="minorHAnsi" w:hAnsiTheme="minorHAnsi"/>
          </w:rPr>
          <w:t>mendments to national greenhouse and energy reporting legislation</w:t>
        </w:r>
      </w:hyperlink>
      <w:r w:rsidR="00FE5293" w:rsidRPr="00CD6406">
        <w:rPr>
          <w:rStyle w:val="FootnoteReference"/>
        </w:rPr>
        <w:footnoteReference w:id="32"/>
      </w:r>
      <w:r w:rsidR="00161651" w:rsidRPr="00CD6406">
        <w:t xml:space="preserve"> </w:t>
      </w:r>
      <w:r w:rsidR="00D00AED">
        <w:t>page</w:t>
      </w:r>
      <w:r>
        <w:rPr>
          <w:color w:val="383A42"/>
        </w:rPr>
        <w:t>.</w:t>
      </w:r>
      <w:r w:rsidRPr="00396970">
        <w:t xml:space="preserve"> </w:t>
      </w:r>
      <w:r w:rsidR="00503AC8">
        <w:t>D</w:t>
      </w:r>
      <w:r w:rsidR="00644300" w:rsidRPr="00396970">
        <w:t>etails of</w:t>
      </w:r>
      <w:r w:rsidR="00503AC8">
        <w:t xml:space="preserve"> all</w:t>
      </w:r>
      <w:r w:rsidR="00644300" w:rsidRPr="00396970">
        <w:t xml:space="preserve"> changes</w:t>
      </w:r>
      <w:r w:rsidR="00FE7DA9" w:rsidRPr="00396970">
        <w:t xml:space="preserve"> to the </w:t>
      </w:r>
      <w:r w:rsidR="00CD6406" w:rsidRPr="00396970">
        <w:t>NGER Measurement Determination</w:t>
      </w:r>
      <w:r w:rsidR="00644300" w:rsidRPr="00396970">
        <w:t xml:space="preserve"> for each financial year </w:t>
      </w:r>
      <w:r w:rsidR="000A087C" w:rsidRPr="00396970">
        <w:t xml:space="preserve">are published </w:t>
      </w:r>
      <w:r w:rsidR="00B1600F" w:rsidRPr="00396970">
        <w:t>on the</w:t>
      </w:r>
      <w:r w:rsidR="00B1600F">
        <w:t xml:space="preserve"> </w:t>
      </w:r>
      <w:hyperlink r:id="rId47" w:tooltip="A link to the Australian Government legislation - the National Greenhouse and Energy Act" w:history="1">
        <w:r w:rsidR="00417858" w:rsidRPr="00417858">
          <w:rPr>
            <w:rStyle w:val="Hyperlink"/>
            <w:rFonts w:asciiTheme="minorHAnsi" w:hAnsiTheme="minorHAnsi"/>
          </w:rPr>
          <w:t xml:space="preserve">Federal </w:t>
        </w:r>
        <w:bookmarkStart w:id="180" w:name="_Hlt138946156"/>
        <w:bookmarkEnd w:id="180"/>
        <w:r w:rsidR="00417858" w:rsidRPr="00417858">
          <w:rPr>
            <w:rStyle w:val="Hyperlink"/>
            <w:rFonts w:asciiTheme="minorHAnsi" w:hAnsiTheme="minorHAnsi"/>
          </w:rPr>
          <w:t>Register of Legislation</w:t>
        </w:r>
      </w:hyperlink>
      <w:r w:rsidR="007E3E30">
        <w:rPr>
          <w:rStyle w:val="FootnoteReference"/>
        </w:rPr>
        <w:footnoteReference w:id="33"/>
      </w:r>
      <w:r w:rsidR="00CD6406">
        <w:t>.</w:t>
      </w:r>
      <w:r w:rsidR="00B1600F">
        <w:t xml:space="preserve"> </w:t>
      </w:r>
      <w:r w:rsidR="00401294">
        <w:t xml:space="preserve">The </w:t>
      </w:r>
      <w:r w:rsidR="007F1F75">
        <w:t>Explanatory</w:t>
      </w:r>
      <w:r w:rsidR="00401294">
        <w:t xml:space="preserve"> Statement for each year’s amendments provide further information on </w:t>
      </w:r>
      <w:r w:rsidR="008B17D9">
        <w:t>each year’s</w:t>
      </w:r>
      <w:r w:rsidR="00396970">
        <w:t xml:space="preserve"> changes.</w:t>
      </w:r>
    </w:p>
    <w:p w14:paraId="00E9049A" w14:textId="6542D891" w:rsidR="00D1774B" w:rsidRPr="008A609D" w:rsidRDefault="00333D0A" w:rsidP="00FE0E50">
      <w:pPr>
        <w:pStyle w:val="Heading4"/>
        <w:rPr>
          <w:rStyle w:val="Emphasis"/>
          <w:i w:val="0"/>
          <w:iCs w:val="0"/>
        </w:rPr>
      </w:pPr>
      <w:bookmarkStart w:id="181" w:name="_Global_warming_potential"/>
      <w:bookmarkStart w:id="182" w:name="_Toc138922922"/>
      <w:bookmarkStart w:id="183" w:name="_Toc138922997"/>
      <w:bookmarkStart w:id="184" w:name="_Toc138923061"/>
      <w:bookmarkStart w:id="185" w:name="_Toc138923318"/>
      <w:bookmarkStart w:id="186" w:name="_Toc143503191"/>
      <w:bookmarkEnd w:id="181"/>
      <w:r w:rsidRPr="29264F97">
        <w:rPr>
          <w:rStyle w:val="Emphasis"/>
          <w:i w:val="0"/>
          <w:iCs w:val="0"/>
        </w:rPr>
        <w:t>Global warming potential (GWP) adjustments</w:t>
      </w:r>
      <w:bookmarkEnd w:id="182"/>
      <w:bookmarkEnd w:id="183"/>
      <w:bookmarkEnd w:id="184"/>
      <w:bookmarkEnd w:id="185"/>
      <w:bookmarkEnd w:id="186"/>
    </w:p>
    <w:p w14:paraId="62C4EE98" w14:textId="0CECDA19" w:rsidR="002E3AA9" w:rsidRPr="00C50595" w:rsidRDefault="00362D7D" w:rsidP="00F116E3">
      <w:pPr>
        <w:spacing w:before="240"/>
        <w:rPr>
          <w:shd w:val="clear" w:color="auto" w:fill="FFFFFF"/>
        </w:rPr>
      </w:pPr>
      <w:r w:rsidRPr="00C50595">
        <w:rPr>
          <w:shd w:val="clear" w:color="auto" w:fill="FFFFFF"/>
        </w:rPr>
        <w:t>GWPs</w:t>
      </w:r>
      <w:r w:rsidR="002E3AA9" w:rsidRPr="00C50595">
        <w:rPr>
          <w:shd w:val="clear" w:color="auto" w:fill="FFFFFF"/>
        </w:rPr>
        <w:t xml:space="preserve"> are values that allow direct comparison of the impact of different greenhouse gases</w:t>
      </w:r>
      <w:r w:rsidR="0019350E" w:rsidRPr="00C50595">
        <w:rPr>
          <w:shd w:val="clear" w:color="auto" w:fill="FFFFFF"/>
        </w:rPr>
        <w:t xml:space="preserve"> (</w:t>
      </w:r>
      <w:r w:rsidR="00F33100">
        <w:rPr>
          <w:shd w:val="clear" w:color="auto" w:fill="FFFFFF"/>
        </w:rPr>
        <w:t xml:space="preserve">for example, </w:t>
      </w:r>
      <w:r w:rsidR="0019350E" w:rsidRPr="00C50595">
        <w:rPr>
          <w:shd w:val="clear" w:color="auto" w:fill="FFFFFF"/>
        </w:rPr>
        <w:t xml:space="preserve">methane </w:t>
      </w:r>
      <w:r w:rsidR="00DF1CEB">
        <w:rPr>
          <w:shd w:val="clear" w:color="auto" w:fill="FFFFFF"/>
        </w:rPr>
        <w:t>or</w:t>
      </w:r>
      <w:r w:rsidR="0019350E" w:rsidRPr="00C50595">
        <w:rPr>
          <w:shd w:val="clear" w:color="auto" w:fill="FFFFFF"/>
        </w:rPr>
        <w:t xml:space="preserve"> nitrous oxide)</w:t>
      </w:r>
      <w:r w:rsidR="002E3AA9" w:rsidRPr="00C50595">
        <w:rPr>
          <w:shd w:val="clear" w:color="auto" w:fill="FFFFFF"/>
        </w:rPr>
        <w:t xml:space="preserve"> in the atmosphere by comparing how much energy one tonne of a gas will absorb compared to one tonne of carbon dioxide.</w:t>
      </w:r>
    </w:p>
    <w:p w14:paraId="56B1F19E" w14:textId="31939521" w:rsidR="00E45D24" w:rsidRPr="008A609D" w:rsidRDefault="60F594F4" w:rsidP="00A8517A">
      <w:r w:rsidRPr="4602E7DC">
        <w:rPr>
          <w:shd w:val="clear" w:color="auto" w:fill="FFFFFF"/>
        </w:rPr>
        <w:t>T</w:t>
      </w:r>
      <w:r w:rsidR="00E45D24" w:rsidRPr="4602E7DC">
        <w:rPr>
          <w:shd w:val="clear" w:color="auto" w:fill="FFFFFF"/>
        </w:rPr>
        <w:t xml:space="preserve">hese values are periodically </w:t>
      </w:r>
      <w:r w:rsidR="76756500" w:rsidRPr="0B8B92C9">
        <w:rPr>
          <w:shd w:val="clear" w:color="auto" w:fill="FFFFFF"/>
        </w:rPr>
        <w:t>updated</w:t>
      </w:r>
      <w:r w:rsidR="009F5EC9">
        <w:rPr>
          <w:shd w:val="clear" w:color="auto" w:fill="FFFFFF"/>
        </w:rPr>
        <w:t xml:space="preserve"> by amendment to the </w:t>
      </w:r>
      <w:r w:rsidR="002C2E47">
        <w:rPr>
          <w:shd w:val="clear" w:color="auto" w:fill="FFFFFF"/>
        </w:rPr>
        <w:t>legislation</w:t>
      </w:r>
      <w:r w:rsidR="00E53794" w:rsidRPr="4602E7DC">
        <w:rPr>
          <w:shd w:val="clear" w:color="auto" w:fill="FFFFFF"/>
        </w:rPr>
        <w:t xml:space="preserve"> </w:t>
      </w:r>
      <w:r w:rsidR="00362D7D" w:rsidRPr="4602E7DC">
        <w:rPr>
          <w:shd w:val="clear" w:color="auto" w:fill="FFFFFF"/>
        </w:rPr>
        <w:t xml:space="preserve">for the purpose of reporting scope 1 emissions under the NGER Scheme. For further information on </w:t>
      </w:r>
      <w:r w:rsidR="009A04BF" w:rsidRPr="4602E7DC">
        <w:rPr>
          <w:shd w:val="clear" w:color="auto" w:fill="FFFFFF"/>
        </w:rPr>
        <w:t xml:space="preserve">GWP values and updates see </w:t>
      </w:r>
      <w:hyperlink r:id="rId48" w:history="1">
        <w:r w:rsidR="009E0E47" w:rsidRPr="4602E7DC">
          <w:rPr>
            <w:rStyle w:val="Hyperlink"/>
            <w:rFonts w:asciiTheme="minorHAnsi" w:hAnsiTheme="minorHAnsi"/>
            <w:shd w:val="clear" w:color="auto" w:fill="FFFFFF"/>
          </w:rPr>
          <w:t xml:space="preserve">Global </w:t>
        </w:r>
        <w:r w:rsidR="000939CE" w:rsidRPr="4602E7DC">
          <w:rPr>
            <w:rStyle w:val="Hyperlink"/>
            <w:rFonts w:asciiTheme="minorHAnsi" w:hAnsiTheme="minorHAnsi"/>
            <w:shd w:val="clear" w:color="auto" w:fill="FFFFFF"/>
          </w:rPr>
          <w:t>w</w:t>
        </w:r>
        <w:r w:rsidR="009E0E47" w:rsidRPr="4602E7DC">
          <w:rPr>
            <w:rStyle w:val="Hyperlink"/>
            <w:rFonts w:asciiTheme="minorHAnsi" w:hAnsiTheme="minorHAnsi"/>
            <w:shd w:val="clear" w:color="auto" w:fill="FFFFFF"/>
          </w:rPr>
          <w:t>arming</w:t>
        </w:r>
        <w:r w:rsidR="000939CE" w:rsidRPr="4602E7DC">
          <w:rPr>
            <w:rStyle w:val="Hyperlink"/>
            <w:rFonts w:asciiTheme="minorHAnsi" w:hAnsiTheme="minorHAnsi"/>
            <w:shd w:val="clear" w:color="auto" w:fill="FFFFFF"/>
          </w:rPr>
          <w:t xml:space="preserve"> potentials</w:t>
        </w:r>
      </w:hyperlink>
      <w:r w:rsidR="0096165B" w:rsidRPr="4602E7DC">
        <w:rPr>
          <w:rStyle w:val="FootnoteReference"/>
          <w:shd w:val="clear" w:color="auto" w:fill="FFFFFF"/>
        </w:rPr>
        <w:footnoteReference w:id="34"/>
      </w:r>
      <w:r w:rsidR="000939CE" w:rsidRPr="4602E7DC">
        <w:rPr>
          <w:shd w:val="clear" w:color="auto" w:fill="FFFFFF"/>
        </w:rPr>
        <w:t>.</w:t>
      </w:r>
      <w:r w:rsidR="009E0E47" w:rsidRPr="4602E7DC">
        <w:rPr>
          <w:shd w:val="clear" w:color="auto" w:fill="FFFFFF"/>
        </w:rPr>
        <w:t xml:space="preserve"> </w:t>
      </w:r>
    </w:p>
    <w:p w14:paraId="328E12A2" w14:textId="20C6DFD6" w:rsidR="000F55FE" w:rsidRDefault="00397A37" w:rsidP="000F55FE">
      <w:r>
        <w:t xml:space="preserve">GWP values </w:t>
      </w:r>
      <w:r w:rsidR="003E0D7A" w:rsidRPr="00E5688B">
        <w:t>(</w:t>
      </w:r>
      <w:r w:rsidR="009F5A70">
        <w:t xml:space="preserve">also known as </w:t>
      </w:r>
      <w:r w:rsidR="003E0D7A" w:rsidRPr="00C36DED">
        <w:t>carbon dioxide equivalence</w:t>
      </w:r>
      <w:r w:rsidR="003E0D7A" w:rsidRPr="00E5688B">
        <w:t xml:space="preserve">) </w:t>
      </w:r>
      <w:r w:rsidR="00665AC4">
        <w:t xml:space="preserve">are set out in the </w:t>
      </w:r>
      <w:r w:rsidR="003E0D7A" w:rsidRPr="00E5688B">
        <w:t xml:space="preserve">NGER Regulations. </w:t>
      </w:r>
      <w:r w:rsidR="00057016">
        <w:t>Note tha</w:t>
      </w:r>
      <w:r w:rsidR="0081516E">
        <w:t xml:space="preserve">t </w:t>
      </w:r>
      <w:r w:rsidR="00E82F8E">
        <w:t xml:space="preserve">GWP value </w:t>
      </w:r>
      <w:r w:rsidR="003261F9">
        <w:t>updates are generally accounted for in updates to any emissions calculation methodolog</w:t>
      </w:r>
      <w:r w:rsidR="00010E6B">
        <w:t>ies</w:t>
      </w:r>
      <w:r w:rsidR="003261F9">
        <w:t xml:space="preserve"> </w:t>
      </w:r>
      <w:r w:rsidR="00C16475">
        <w:t>and/</w:t>
      </w:r>
      <w:r w:rsidR="003261F9">
        <w:t>or emissions factor</w:t>
      </w:r>
      <w:r w:rsidR="00C16475">
        <w:t>s</w:t>
      </w:r>
      <w:r w:rsidR="003261F9">
        <w:t xml:space="preserve"> </w:t>
      </w:r>
      <w:r w:rsidR="00C30719">
        <w:t>for non-carbon dioxide greenhouse gas such as methane and nitrous oxide.</w:t>
      </w:r>
      <w:r w:rsidR="000F55FE">
        <w:t xml:space="preserve"> </w:t>
      </w:r>
    </w:p>
    <w:p w14:paraId="645F32CF" w14:textId="3691B4BD" w:rsidR="00BE01D8" w:rsidRPr="009E352B" w:rsidRDefault="00BE01D8" w:rsidP="000F55FE">
      <w:r>
        <w:t>For the 2020-21 reporting period, GWP values for methane, nitrous oxide and othe</w:t>
      </w:r>
      <w:r w:rsidR="00010E6B">
        <w:t>r minor greenhouse gas</w:t>
      </w:r>
      <w:r w:rsidR="00757353">
        <w:t>es</w:t>
      </w:r>
      <w:r w:rsidR="00010E6B">
        <w:t xml:space="preserve"> were update</w:t>
      </w:r>
      <w:r w:rsidR="004716D2">
        <w:t>d</w:t>
      </w:r>
      <w:r w:rsidR="00010E6B">
        <w:t xml:space="preserve"> in the NGER Regulations and accounted for in updates to methodologies and </w:t>
      </w:r>
      <w:r w:rsidR="00A074FD">
        <w:t xml:space="preserve">emissions </w:t>
      </w:r>
      <w:r w:rsidR="00010E6B">
        <w:t>factors in the NGER Measurement Determination.</w:t>
      </w:r>
    </w:p>
    <w:p w14:paraId="65A37338" w14:textId="78A27BA4" w:rsidR="00587E6B" w:rsidRPr="009E352B" w:rsidRDefault="00587E6B" w:rsidP="00587E6B">
      <w:r>
        <w:t xml:space="preserve">This update in 2020-21 </w:t>
      </w:r>
      <w:r w:rsidR="005C2341">
        <w:t xml:space="preserve">reporting period </w:t>
      </w:r>
      <w:r>
        <w:t xml:space="preserve">means </w:t>
      </w:r>
      <w:r w:rsidRPr="00C375A7">
        <w:t xml:space="preserve">that any facility that </w:t>
      </w:r>
      <w:r>
        <w:t>emitted a non-carbon dioxide greenhouse gas</w:t>
      </w:r>
      <w:r w:rsidRPr="00C375A7">
        <w:t xml:space="preserve"> </w:t>
      </w:r>
      <w:r>
        <w:t xml:space="preserve">will likely be required to </w:t>
      </w:r>
      <w:proofErr w:type="gramStart"/>
      <w:r>
        <w:t>make adjustments to</w:t>
      </w:r>
      <w:proofErr w:type="gramEnd"/>
      <w:r>
        <w:t xml:space="preserve"> their </w:t>
      </w:r>
      <w:r w:rsidRPr="00C375A7">
        <w:t xml:space="preserve">2017-18, 2018-19 and 2019-20 covered emissions </w:t>
      </w:r>
      <w:r>
        <w:t>as rep</w:t>
      </w:r>
      <w:r w:rsidR="002F1915">
        <w:t xml:space="preserve">orted in the facility’s NGER report. </w:t>
      </w:r>
      <w:r w:rsidR="00F00F41">
        <w:t xml:space="preserve">This is to ensure that </w:t>
      </w:r>
      <w:r w:rsidR="0011638D">
        <w:t xml:space="preserve">historical </w:t>
      </w:r>
      <w:r w:rsidR="00F00F41">
        <w:t xml:space="preserve">covered emissions used to set production variable </w:t>
      </w:r>
      <w:r w:rsidR="00EE4403">
        <w:t>FSEI</w:t>
      </w:r>
      <w:r w:rsidR="00F00F41">
        <w:t xml:space="preserve"> values </w:t>
      </w:r>
      <w:r w:rsidR="0011638D">
        <w:t xml:space="preserve">are </w:t>
      </w:r>
      <w:r w:rsidR="00DA3357">
        <w:t>calculated using the same GWP value.</w:t>
      </w:r>
    </w:p>
    <w:p w14:paraId="38AE9442" w14:textId="3B11A7EF" w:rsidR="00CF745D" w:rsidRDefault="00B91BF8" w:rsidP="003E0D7A">
      <w:r>
        <w:t>T</w:t>
      </w:r>
      <w:r w:rsidR="005739E2">
        <w:t xml:space="preserve">o </w:t>
      </w:r>
      <w:proofErr w:type="gramStart"/>
      <w:r w:rsidR="005739E2">
        <w:t>make adjustments to</w:t>
      </w:r>
      <w:proofErr w:type="gramEnd"/>
      <w:r w:rsidR="005739E2">
        <w:t xml:space="preserve"> historical covered emissions for </w:t>
      </w:r>
      <w:r w:rsidR="005C2341">
        <w:t xml:space="preserve">the </w:t>
      </w:r>
      <w:r w:rsidR="005739E2" w:rsidRPr="00C375A7">
        <w:t>2017-18, 2018-19 and 2019-20</w:t>
      </w:r>
      <w:r w:rsidR="005739E2">
        <w:t xml:space="preserve"> </w:t>
      </w:r>
      <w:r w:rsidR="005C2341">
        <w:t xml:space="preserve">financial years </w:t>
      </w:r>
      <w:r w:rsidR="00BC13DC">
        <w:t xml:space="preserve">to account for GWP value changes </w:t>
      </w:r>
      <w:r w:rsidR="005739E2">
        <w:t xml:space="preserve">two methods </w:t>
      </w:r>
      <w:r w:rsidR="00DE76D8">
        <w:t>can be used: the ratio method and the calculation method.</w:t>
      </w:r>
    </w:p>
    <w:p w14:paraId="4E08E67F" w14:textId="1D68F1C1" w:rsidR="00905672" w:rsidRPr="008A609D" w:rsidRDefault="00905672" w:rsidP="009B5E9A">
      <w:pPr>
        <w:pStyle w:val="Heading5"/>
        <w:numPr>
          <w:ilvl w:val="0"/>
          <w:numId w:val="0"/>
        </w:numPr>
      </w:pPr>
      <w:r w:rsidRPr="008A609D">
        <w:t>The ratio method</w:t>
      </w:r>
    </w:p>
    <w:p w14:paraId="56B5C6AA" w14:textId="75E12C91" w:rsidR="004F0867" w:rsidRDefault="004F0867" w:rsidP="0071396B">
      <w:r>
        <w:t>The ratio method is suitable where</w:t>
      </w:r>
      <w:r w:rsidR="00CC41C8">
        <w:t xml:space="preserve"> only </w:t>
      </w:r>
      <w:r w:rsidR="001A2897">
        <w:t xml:space="preserve">GWP adjustments are required to historical covered emissions. </w:t>
      </w:r>
      <w:r w:rsidR="00434156">
        <w:t xml:space="preserve">Information on using the ratio method is available on our website </w:t>
      </w:r>
      <w:r w:rsidR="006C4CA9">
        <w:t xml:space="preserve">(see </w:t>
      </w:r>
      <w:hyperlink r:id="rId49" w:tooltip="A link to the Global warming potentials page of the Clean Energy Regulator website" w:history="1">
        <w:r w:rsidR="00141BFF" w:rsidRPr="00415585">
          <w:rPr>
            <w:rStyle w:val="Hyperlink"/>
            <w:rFonts w:asciiTheme="minorHAnsi" w:hAnsiTheme="minorHAnsi"/>
          </w:rPr>
          <w:t>How to convert historical emissions data to the current GWPs for trend analysis</w:t>
        </w:r>
      </w:hyperlink>
      <w:r w:rsidR="002759D9" w:rsidRPr="00EA0FD2">
        <w:rPr>
          <w:rStyle w:val="FootnoteReference"/>
        </w:rPr>
        <w:footnoteReference w:id="35"/>
      </w:r>
      <w:r w:rsidR="00141BFF">
        <w:t>).</w:t>
      </w:r>
    </w:p>
    <w:p w14:paraId="17A4AFC9" w14:textId="7B5317D7" w:rsidR="00EE602E" w:rsidRPr="00BC66F5" w:rsidRDefault="00862328" w:rsidP="00C41F4C">
      <w:r>
        <w:t>Before us</w:t>
      </w:r>
      <w:r w:rsidR="00B41DA1">
        <w:t>ing</w:t>
      </w:r>
      <w:r>
        <w:t xml:space="preserve"> this method</w:t>
      </w:r>
      <w:r w:rsidR="003E354E">
        <w:t>,</w:t>
      </w:r>
      <w:r>
        <w:t xml:space="preserve"> </w:t>
      </w:r>
      <w:r w:rsidR="00B41DA1">
        <w:t xml:space="preserve">it is recommended to </w:t>
      </w:r>
      <w:r w:rsidR="00DE48D0">
        <w:t xml:space="preserve">determine if any other adjustments are required relating </w:t>
      </w:r>
      <w:r w:rsidR="00F83D8E">
        <w:t>to non-GWP value updates.</w:t>
      </w:r>
      <w:r w:rsidR="00C06C4F">
        <w:t xml:space="preserve"> If other adjustments are </w:t>
      </w:r>
      <w:r w:rsidR="00EE602E">
        <w:t>required,</w:t>
      </w:r>
      <w:r w:rsidR="00C06C4F">
        <w:t xml:space="preserve"> it is recommended </w:t>
      </w:r>
      <w:r w:rsidR="00EE602E">
        <w:t>that</w:t>
      </w:r>
      <w:r w:rsidR="00C06C4F">
        <w:t xml:space="preserve"> </w:t>
      </w:r>
      <w:r w:rsidR="00C06C4F" w:rsidRPr="008A609D">
        <w:rPr>
          <w:i/>
          <w:iCs/>
        </w:rPr>
        <w:t xml:space="preserve">the calculation </w:t>
      </w:r>
      <w:r w:rsidR="00500300" w:rsidRPr="008A609D">
        <w:rPr>
          <w:i/>
          <w:iCs/>
        </w:rPr>
        <w:t>method</w:t>
      </w:r>
      <w:r w:rsidR="00500300">
        <w:t xml:space="preserve"> is</w:t>
      </w:r>
      <w:r w:rsidR="00EE602E">
        <w:t xml:space="preserve"> used, </w:t>
      </w:r>
      <w:r w:rsidR="00C06C4F">
        <w:t>see below.</w:t>
      </w:r>
    </w:p>
    <w:p w14:paraId="74BF6C6D" w14:textId="366F1284" w:rsidR="004F0867" w:rsidRPr="008A609D" w:rsidRDefault="004F0867" w:rsidP="009B5E9A">
      <w:pPr>
        <w:pStyle w:val="Heading5"/>
        <w:numPr>
          <w:ilvl w:val="0"/>
          <w:numId w:val="0"/>
        </w:numPr>
      </w:pPr>
      <w:r w:rsidRPr="008A609D">
        <w:t>The calculation method</w:t>
      </w:r>
    </w:p>
    <w:p w14:paraId="1C7B6164" w14:textId="56A71A88" w:rsidR="00AC0456" w:rsidRDefault="0049013B" w:rsidP="008A609D">
      <w:r>
        <w:t>This method should</w:t>
      </w:r>
      <w:r w:rsidR="00410F40">
        <w:t xml:space="preserve"> </w:t>
      </w:r>
      <w:r>
        <w:t xml:space="preserve">be used where there are </w:t>
      </w:r>
      <w:r w:rsidR="00D2294B">
        <w:t xml:space="preserve">GWP and </w:t>
      </w:r>
      <w:r w:rsidDel="0049013B">
        <w:t>other</w:t>
      </w:r>
      <w:r>
        <w:t xml:space="preserve"> </w:t>
      </w:r>
      <w:r w:rsidR="00BD1D59">
        <w:t xml:space="preserve">non-GWP </w:t>
      </w:r>
      <w:r w:rsidR="00E159BC">
        <w:t xml:space="preserve">NGER Measurement Determination changes </w:t>
      </w:r>
      <w:r w:rsidR="00957AB2">
        <w:t xml:space="preserve">requiring adjustments to </w:t>
      </w:r>
      <w:r w:rsidR="00B561B7">
        <w:t>historical covered emissions</w:t>
      </w:r>
      <w:r w:rsidR="00AD454C">
        <w:t xml:space="preserve"> for </w:t>
      </w:r>
      <w:r w:rsidR="00CE412E">
        <w:t xml:space="preserve">a </w:t>
      </w:r>
      <w:r w:rsidR="00AD454C">
        <w:t>facility.</w:t>
      </w:r>
    </w:p>
    <w:p w14:paraId="4D508EBB" w14:textId="2C1ACB1C" w:rsidR="00AC0456" w:rsidRDefault="00AC0456" w:rsidP="008A609D">
      <w:r>
        <w:t xml:space="preserve">This method requires any </w:t>
      </w:r>
      <w:r w:rsidR="00795CA0">
        <w:t>GWP adjustments</w:t>
      </w:r>
      <w:r>
        <w:t xml:space="preserve"> to </w:t>
      </w:r>
      <w:r w:rsidR="007314B6">
        <w:t xml:space="preserve">be made to </w:t>
      </w:r>
      <w:r>
        <w:t xml:space="preserve">historical covered emissions </w:t>
      </w:r>
      <w:r w:rsidR="00B3102D">
        <w:t>by</w:t>
      </w:r>
      <w:r>
        <w:t xml:space="preserve"> </w:t>
      </w:r>
      <w:r w:rsidR="009B1299">
        <w:t>using the updated 2020-21</w:t>
      </w:r>
      <w:r w:rsidR="00B76AE2">
        <w:t xml:space="preserve"> </w:t>
      </w:r>
      <w:r w:rsidR="00AC1FDC">
        <w:t>methodology</w:t>
      </w:r>
      <w:r w:rsidR="00F276DE">
        <w:t>,</w:t>
      </w:r>
      <w:r w:rsidR="0038242A">
        <w:t xml:space="preserve"> formula,</w:t>
      </w:r>
      <w:r w:rsidR="00F276DE">
        <w:t xml:space="preserve"> factors etc</w:t>
      </w:r>
      <w:r w:rsidR="00AC1FDC">
        <w:t xml:space="preserve"> for each </w:t>
      </w:r>
      <w:proofErr w:type="gramStart"/>
      <w:r w:rsidR="00AC1FDC">
        <w:t>particular emissions source/sub-</w:t>
      </w:r>
      <w:proofErr w:type="gramEnd"/>
      <w:r w:rsidR="00AC1FDC">
        <w:t>source</w:t>
      </w:r>
      <w:r w:rsidR="00252782">
        <w:t xml:space="preserve"> as set out in the 2020-21 NGER Measurement Determination.</w:t>
      </w:r>
    </w:p>
    <w:p w14:paraId="40A4AD09" w14:textId="0682A29E" w:rsidR="00B561B7" w:rsidRDefault="00AC1FDC" w:rsidP="008A609D">
      <w:r>
        <w:t>Th</w:t>
      </w:r>
      <w:r w:rsidR="00F276DE">
        <w:t>is</w:t>
      </w:r>
      <w:r w:rsidR="003F5123">
        <w:t xml:space="preserve"> is the same </w:t>
      </w:r>
      <w:r w:rsidR="00A1081E">
        <w:t xml:space="preserve">method used to make other non-GWP change </w:t>
      </w:r>
      <w:r w:rsidR="002806C6">
        <w:t>updates to historical covered emissions resulting from changes to the</w:t>
      </w:r>
      <w:r w:rsidR="008B1C69">
        <w:t xml:space="preserve"> NGER Measurement Determination</w:t>
      </w:r>
      <w:r w:rsidR="00F9267A">
        <w:t xml:space="preserve">. </w:t>
      </w:r>
      <w:hyperlink w:anchor="_NGER_Measurement_Determination" w:history="1">
        <w:r w:rsidR="00F9267A">
          <w:rPr>
            <w:rStyle w:val="Hyperlink"/>
            <w:rFonts w:asciiTheme="minorHAnsi" w:hAnsiTheme="minorHAnsi"/>
            <w:color w:val="auto"/>
            <w:u w:val="none"/>
          </w:rPr>
          <w:t>S</w:t>
        </w:r>
        <w:r w:rsidR="002806C6" w:rsidRPr="000672A4">
          <w:rPr>
            <w:rStyle w:val="Hyperlink"/>
            <w:rFonts w:asciiTheme="minorHAnsi" w:hAnsiTheme="minorHAnsi"/>
            <w:color w:val="auto"/>
            <w:u w:val="none"/>
          </w:rPr>
          <w:t>ee</w:t>
        </w:r>
        <w:r w:rsidR="00A756F7" w:rsidRPr="000672A4">
          <w:rPr>
            <w:rStyle w:val="Hyperlink"/>
            <w:rFonts w:asciiTheme="minorHAnsi" w:hAnsiTheme="minorHAnsi"/>
            <w:color w:val="auto"/>
            <w:u w:val="none"/>
          </w:rPr>
          <w:t xml:space="preserve"> </w:t>
        </w:r>
        <w:r w:rsidR="00882174">
          <w:rPr>
            <w:rStyle w:val="Hyperlink"/>
            <w:rFonts w:asciiTheme="minorHAnsi" w:hAnsiTheme="minorHAnsi"/>
          </w:rPr>
          <w:t xml:space="preserve">Part </w:t>
        </w:r>
        <w:r w:rsidR="00141B53">
          <w:rPr>
            <w:rStyle w:val="Hyperlink"/>
            <w:rFonts w:asciiTheme="minorHAnsi" w:hAnsiTheme="minorHAnsi"/>
          </w:rPr>
          <w:t>3.6.1.1</w:t>
        </w:r>
        <w:r w:rsidR="005D2B7C" w:rsidRPr="000672A4">
          <w:rPr>
            <w:rStyle w:val="Hyperlink"/>
            <w:rFonts w:asciiTheme="minorHAnsi" w:hAnsiTheme="minorHAnsi"/>
          </w:rPr>
          <w:t xml:space="preserve"> NGER Measurement Determination </w:t>
        </w:r>
        <w:r w:rsidR="00130880" w:rsidRPr="000672A4">
          <w:rPr>
            <w:rStyle w:val="Hyperlink"/>
            <w:rFonts w:asciiTheme="minorHAnsi" w:hAnsiTheme="minorHAnsi"/>
          </w:rPr>
          <w:t>adjustments</w:t>
        </w:r>
      </w:hyperlink>
      <w:r w:rsidR="00113574">
        <w:t xml:space="preserve"> for more information</w:t>
      </w:r>
      <w:r w:rsidR="005B3ED0">
        <w:t>.</w:t>
      </w:r>
    </w:p>
    <w:p w14:paraId="714F3D7A" w14:textId="0E2018A8" w:rsidR="005F42A5" w:rsidRDefault="008307FA" w:rsidP="008A609D">
      <w:r>
        <w:t xml:space="preserve">It is important to ensure that when </w:t>
      </w:r>
      <w:proofErr w:type="gramStart"/>
      <w:r>
        <w:t xml:space="preserve">making adjustments </w:t>
      </w:r>
      <w:r w:rsidR="009E5238">
        <w:t>to</w:t>
      </w:r>
      <w:proofErr w:type="gramEnd"/>
      <w:r w:rsidR="009E5238">
        <w:t xml:space="preserve"> historical covered emissions </w:t>
      </w:r>
      <w:r w:rsidR="00940E3C">
        <w:t xml:space="preserve">all </w:t>
      </w:r>
      <w:r w:rsidR="009E5238">
        <w:t xml:space="preserve">applicable changes </w:t>
      </w:r>
      <w:r w:rsidR="0088451E">
        <w:t xml:space="preserve">relevant to the emissions sources/sub-sources </w:t>
      </w:r>
      <w:r w:rsidR="0080786F">
        <w:t xml:space="preserve">are identified and </w:t>
      </w:r>
      <w:r w:rsidR="0088451E">
        <w:t xml:space="preserve">reported </w:t>
      </w:r>
      <w:r w:rsidR="006904D8">
        <w:t xml:space="preserve">in </w:t>
      </w:r>
      <w:r w:rsidR="00F540D5">
        <w:t xml:space="preserve">the facility’s application. </w:t>
      </w:r>
      <w:r w:rsidR="00926FF5">
        <w:t xml:space="preserve">As noted above in Part 4.1.1, if there has been more than one NGER Measurement Determination change to an emission source/sub-source </w:t>
      </w:r>
      <w:r w:rsidR="00E62C9A">
        <w:t xml:space="preserve">the </w:t>
      </w:r>
      <w:r w:rsidR="00926FF5">
        <w:t>latest version of the NGER Measurement Determination</w:t>
      </w:r>
      <w:r w:rsidR="00E62C9A">
        <w:t xml:space="preserve"> should be used</w:t>
      </w:r>
      <w:r w:rsidR="00926FF5">
        <w:t>.</w:t>
      </w:r>
    </w:p>
    <w:p w14:paraId="00C9415A" w14:textId="025F9CB0" w:rsidR="00333D0A" w:rsidRDefault="00333D0A" w:rsidP="00FE0E50">
      <w:pPr>
        <w:pStyle w:val="Heading4"/>
      </w:pPr>
      <w:bookmarkStart w:id="187" w:name="_Method_adjustments"/>
      <w:bookmarkStart w:id="188" w:name="_Toc138922923"/>
      <w:bookmarkStart w:id="189" w:name="_Toc138922998"/>
      <w:bookmarkStart w:id="190" w:name="_Toc138923062"/>
      <w:bookmarkStart w:id="191" w:name="_Toc138923319"/>
      <w:bookmarkStart w:id="192" w:name="_Toc143503192"/>
      <w:bookmarkEnd w:id="187"/>
      <w:r>
        <w:t>Method adjustments</w:t>
      </w:r>
      <w:bookmarkEnd w:id="188"/>
      <w:bookmarkEnd w:id="189"/>
      <w:bookmarkEnd w:id="190"/>
      <w:bookmarkEnd w:id="191"/>
      <w:bookmarkEnd w:id="192"/>
    </w:p>
    <w:p w14:paraId="00606AF8" w14:textId="123AFD00" w:rsidR="005C3B1B" w:rsidRDefault="005C3B1B" w:rsidP="00F116E3">
      <w:pPr>
        <w:shd w:val="clear" w:color="auto" w:fill="FFFFFF"/>
        <w:spacing w:before="240" w:after="120"/>
        <w:rPr>
          <w:color w:val="000000"/>
          <w:shd w:val="clear" w:color="auto" w:fill="FFFFFF"/>
        </w:rPr>
      </w:pPr>
      <w:bookmarkStart w:id="193" w:name="_Toc381887671"/>
      <w:r>
        <w:t>To calculate emissions</w:t>
      </w:r>
      <w:r w:rsidR="00450C79">
        <w:t xml:space="preserve"> for NGER reporting purposes</w:t>
      </w:r>
      <w:r>
        <w:t xml:space="preserve">, the </w:t>
      </w:r>
      <w:r w:rsidR="00450C79">
        <w:t xml:space="preserve">NGER </w:t>
      </w:r>
      <w:r>
        <w:t xml:space="preserve">Measurement Determination provides </w:t>
      </w:r>
      <w:r w:rsidRPr="008A609D">
        <w:rPr>
          <w:color w:val="000000"/>
          <w:shd w:val="clear" w:color="auto" w:fill="FFFFFF"/>
        </w:rPr>
        <w:t xml:space="preserve">a hierarchy of emissions calculation methods to accommodate the circumstances of individual </w:t>
      </w:r>
      <w:r w:rsidR="00A22EFA">
        <w:rPr>
          <w:color w:val="000000"/>
          <w:shd w:val="clear" w:color="auto" w:fill="FFFFFF"/>
        </w:rPr>
        <w:t xml:space="preserve">NGER </w:t>
      </w:r>
      <w:r w:rsidRPr="008A609D">
        <w:rPr>
          <w:color w:val="000000"/>
          <w:shd w:val="clear" w:color="auto" w:fill="FFFFFF"/>
        </w:rPr>
        <w:t>reporter</w:t>
      </w:r>
      <w:r w:rsidR="00C16956">
        <w:rPr>
          <w:color w:val="000000"/>
          <w:shd w:val="clear" w:color="auto" w:fill="FFFFFF"/>
        </w:rPr>
        <w:t>s</w:t>
      </w:r>
      <w:r w:rsidR="00DF0828">
        <w:rPr>
          <w:color w:val="000000"/>
          <w:shd w:val="clear" w:color="auto" w:fill="FFFFFF"/>
        </w:rPr>
        <w:t>:</w:t>
      </w:r>
    </w:p>
    <w:p w14:paraId="13AC443C" w14:textId="3FD6E3C8" w:rsidR="00DE297A" w:rsidRPr="00AA6BE4" w:rsidRDefault="00DE297A" w:rsidP="00D047F1">
      <w:pPr>
        <w:pStyle w:val="ListParagraph"/>
        <w:numPr>
          <w:ilvl w:val="0"/>
          <w:numId w:val="6"/>
        </w:numPr>
        <w:shd w:val="clear" w:color="auto" w:fill="FFFFFF"/>
        <w:spacing w:before="120" w:after="120"/>
        <w:contextualSpacing w:val="0"/>
        <w:rPr>
          <w:rFonts w:eastAsia="Times New Roman"/>
          <w:color w:val="000000"/>
        </w:rPr>
      </w:pPr>
      <w:r w:rsidRPr="00AA6BE4">
        <w:rPr>
          <w:rFonts w:eastAsia="Times New Roman"/>
          <w:color w:val="000000"/>
        </w:rPr>
        <w:t>Method 1 </w:t>
      </w:r>
      <w:r w:rsidR="00565D18">
        <w:rPr>
          <w:rFonts w:eastAsia="Times New Roman"/>
          <w:color w:val="000000"/>
        </w:rPr>
        <w:t>–</w:t>
      </w:r>
      <w:r w:rsidRPr="00AA6BE4">
        <w:rPr>
          <w:rFonts w:eastAsia="Times New Roman"/>
          <w:color w:val="000000"/>
        </w:rPr>
        <w:t xml:space="preserve"> the default method and specifies the use of default emission factors in the estimation of emissions</w:t>
      </w:r>
      <w:bookmarkEnd w:id="193"/>
    </w:p>
    <w:p w14:paraId="52C28065" w14:textId="0C4219E4" w:rsidR="00DE297A" w:rsidRPr="00AA6BE4" w:rsidRDefault="00DE297A" w:rsidP="00D047F1">
      <w:pPr>
        <w:pStyle w:val="ListParagraph"/>
        <w:numPr>
          <w:ilvl w:val="0"/>
          <w:numId w:val="6"/>
        </w:numPr>
        <w:shd w:val="clear" w:color="auto" w:fill="FFFFFF"/>
        <w:spacing w:before="120" w:after="120"/>
        <w:contextualSpacing w:val="0"/>
        <w:rPr>
          <w:rFonts w:eastAsia="Times New Roman"/>
          <w:color w:val="000000"/>
        </w:rPr>
      </w:pPr>
      <w:r w:rsidRPr="00AA6BE4">
        <w:rPr>
          <w:rFonts w:eastAsia="Times New Roman"/>
          <w:color w:val="000000"/>
        </w:rPr>
        <w:t>Method 2</w:t>
      </w:r>
      <w:r w:rsidR="00565D18">
        <w:rPr>
          <w:rFonts w:eastAsia="Times New Roman"/>
          <w:color w:val="000000"/>
        </w:rPr>
        <w:t xml:space="preserve"> –</w:t>
      </w:r>
      <w:r w:rsidR="00565D18" w:rsidRPr="00C375A7">
        <w:rPr>
          <w:rFonts w:eastAsia="Times New Roman"/>
          <w:color w:val="000000"/>
        </w:rPr>
        <w:t xml:space="preserve"> </w:t>
      </w:r>
      <w:r w:rsidRPr="00AA6BE4">
        <w:rPr>
          <w:rFonts w:eastAsia="Times New Roman"/>
          <w:color w:val="000000"/>
        </w:rPr>
        <w:t>where available, is a facility-specific method, for example using industry sampling and Australian or international standards to provide more accurate estimates of emissions at facility level</w:t>
      </w:r>
    </w:p>
    <w:p w14:paraId="0AC4914A" w14:textId="51899B9D" w:rsidR="00DE297A" w:rsidRPr="00AA6BE4" w:rsidRDefault="00DE297A" w:rsidP="00D047F1">
      <w:pPr>
        <w:pStyle w:val="ListParagraph"/>
        <w:numPr>
          <w:ilvl w:val="0"/>
          <w:numId w:val="6"/>
        </w:numPr>
        <w:shd w:val="clear" w:color="auto" w:fill="FFFFFF"/>
        <w:spacing w:before="120" w:after="120"/>
        <w:contextualSpacing w:val="0"/>
        <w:rPr>
          <w:rFonts w:eastAsia="Times New Roman"/>
          <w:color w:val="000000"/>
        </w:rPr>
      </w:pPr>
      <w:r w:rsidRPr="00AA6BE4">
        <w:rPr>
          <w:rFonts w:eastAsia="Times New Roman"/>
          <w:color w:val="000000"/>
        </w:rPr>
        <w:t>Method 3</w:t>
      </w:r>
      <w:r w:rsidR="00565D18">
        <w:rPr>
          <w:rFonts w:eastAsia="Times New Roman"/>
          <w:color w:val="000000"/>
        </w:rPr>
        <w:t xml:space="preserve"> –</w:t>
      </w:r>
      <w:r w:rsidRPr="00AA6BE4">
        <w:rPr>
          <w:rFonts w:eastAsia="Times New Roman"/>
          <w:color w:val="000000"/>
        </w:rPr>
        <w:t xml:space="preserve"> where available, is a higher-level facility-specific method, for instance using Australian or international standards for both sampling and analysis of fuels and raw materials</w:t>
      </w:r>
    </w:p>
    <w:p w14:paraId="2FAB485C" w14:textId="2723A53C" w:rsidR="00DE297A" w:rsidRDefault="00DE297A" w:rsidP="00D047F1">
      <w:pPr>
        <w:pStyle w:val="ListParagraph"/>
        <w:numPr>
          <w:ilvl w:val="0"/>
          <w:numId w:val="6"/>
        </w:numPr>
        <w:shd w:val="clear" w:color="auto" w:fill="FFFFFF"/>
        <w:spacing w:before="120" w:after="120"/>
        <w:contextualSpacing w:val="0"/>
      </w:pPr>
      <w:r w:rsidRPr="00AA6BE4">
        <w:rPr>
          <w:rFonts w:eastAsia="Times New Roman"/>
          <w:color w:val="000000"/>
        </w:rPr>
        <w:t>Method 4</w:t>
      </w:r>
      <w:r w:rsidR="00565D18">
        <w:rPr>
          <w:rFonts w:eastAsia="Times New Roman"/>
          <w:color w:val="000000"/>
        </w:rPr>
        <w:t xml:space="preserve"> –</w:t>
      </w:r>
      <w:r w:rsidRPr="00AA6BE4">
        <w:rPr>
          <w:rFonts w:eastAsia="Times New Roman"/>
          <w:color w:val="000000"/>
        </w:rPr>
        <w:t xml:space="preserve"> where available, provides for direct monitoring of emission systems, either on a continuous or periodic basis.</w:t>
      </w:r>
    </w:p>
    <w:p w14:paraId="7D1B3442" w14:textId="3311607F" w:rsidR="00A22EFA" w:rsidRPr="003E6039" w:rsidRDefault="00A22EFA" w:rsidP="00AA6BE4">
      <w:pPr>
        <w:pStyle w:val="CERbullets"/>
        <w:numPr>
          <w:ilvl w:val="0"/>
          <w:numId w:val="0"/>
        </w:numPr>
      </w:pPr>
      <w:r w:rsidRPr="008C663E">
        <w:t>NGER reporters have flexibility in</w:t>
      </w:r>
      <w:r w:rsidR="00855B33" w:rsidRPr="008C663E">
        <w:t xml:space="preserve"> choosing wh</w:t>
      </w:r>
      <w:r w:rsidR="005671A0" w:rsidRPr="008C663E">
        <w:t xml:space="preserve">ich </w:t>
      </w:r>
      <w:r w:rsidR="00855B33" w:rsidRPr="008C663E">
        <w:t xml:space="preserve">method they </w:t>
      </w:r>
      <w:r w:rsidR="000B5B03" w:rsidRPr="008C663E">
        <w:t>use to calculate and report emission</w:t>
      </w:r>
      <w:r w:rsidR="00545866" w:rsidRPr="008C663E">
        <w:t xml:space="preserve">s </w:t>
      </w:r>
      <w:r w:rsidR="004C375A" w:rsidRPr="008A609D">
        <w:t>and an NGER reporter</w:t>
      </w:r>
      <w:r w:rsidR="000B5B03" w:rsidRPr="008C663E">
        <w:t xml:space="preserve"> may </w:t>
      </w:r>
      <w:r w:rsidR="008C663E" w:rsidRPr="008A609D">
        <w:t xml:space="preserve">after </w:t>
      </w:r>
      <w:proofErr w:type="gramStart"/>
      <w:r w:rsidR="008C663E" w:rsidRPr="008A609D">
        <w:t>a period of time</w:t>
      </w:r>
      <w:proofErr w:type="gramEnd"/>
      <w:r w:rsidR="008C663E" w:rsidRPr="008A609D">
        <w:t xml:space="preserve"> </w:t>
      </w:r>
      <w:r w:rsidR="000B5B03" w:rsidRPr="008C663E">
        <w:t>move from a lower order method (</w:t>
      </w:r>
      <w:r w:rsidR="006129C4">
        <w:t>for example,</w:t>
      </w:r>
      <w:r w:rsidR="000B5B03" w:rsidRPr="008C663E">
        <w:t xml:space="preserve"> method 1) to a higher order method (</w:t>
      </w:r>
      <w:r w:rsidR="00F33100">
        <w:t xml:space="preserve">for example, </w:t>
      </w:r>
      <w:r w:rsidR="000B5B03" w:rsidRPr="008C663E">
        <w:t>method 2)</w:t>
      </w:r>
      <w:r w:rsidR="000417CA" w:rsidRPr="008C663E">
        <w:t>.</w:t>
      </w:r>
    </w:p>
    <w:p w14:paraId="3523A991" w14:textId="3B9ABD8C" w:rsidR="003144D1" w:rsidRDefault="00BB3E97" w:rsidP="00AA6BE4">
      <w:pPr>
        <w:pStyle w:val="CERbullets"/>
        <w:numPr>
          <w:ilvl w:val="0"/>
          <w:numId w:val="0"/>
        </w:numPr>
      </w:pPr>
      <w:r>
        <w:t xml:space="preserve">When calculating historical covered emissions for </w:t>
      </w:r>
      <w:r w:rsidR="0036474A">
        <w:t>a</w:t>
      </w:r>
      <w:r w:rsidR="00120D43">
        <w:t xml:space="preserve">n </w:t>
      </w:r>
      <w:r w:rsidR="00917023">
        <w:t>application</w:t>
      </w:r>
      <w:r w:rsidR="00906CCC">
        <w:t xml:space="preserve">, </w:t>
      </w:r>
      <w:r w:rsidR="00CF73A7">
        <w:t xml:space="preserve">the same method </w:t>
      </w:r>
      <w:r w:rsidR="006129C4">
        <w:t>(that is,</w:t>
      </w:r>
      <w:r w:rsidR="00CF73A7">
        <w:t xml:space="preserve"> method 1, 2, 3, or 4) of calculating emissions as </w:t>
      </w:r>
      <w:r w:rsidR="00120D43">
        <w:t xml:space="preserve">was used </w:t>
      </w:r>
      <w:r w:rsidR="00CF73A7">
        <w:t>in the most recent</w:t>
      </w:r>
      <w:r w:rsidR="00C943E3">
        <w:t>ly submitted</w:t>
      </w:r>
      <w:r w:rsidR="00CF73A7">
        <w:t xml:space="preserve"> NGER Report </w:t>
      </w:r>
      <w:r w:rsidR="00120D43">
        <w:t>must be used</w:t>
      </w:r>
      <w:r w:rsidR="00CF73A7">
        <w:t xml:space="preserve"> (</w:t>
      </w:r>
      <w:r w:rsidR="00F33100">
        <w:t xml:space="preserve">for example, </w:t>
      </w:r>
      <w:r w:rsidR="00CF73A7">
        <w:t xml:space="preserve">if </w:t>
      </w:r>
      <w:r w:rsidR="0014480B">
        <w:t xml:space="preserve">an application is </w:t>
      </w:r>
      <w:r w:rsidR="00CF73A7">
        <w:t>submit</w:t>
      </w:r>
      <w:r w:rsidR="0014480B">
        <w:t>ted</w:t>
      </w:r>
      <w:r w:rsidR="008F6158">
        <w:t xml:space="preserve"> for a facility</w:t>
      </w:r>
      <w:r w:rsidR="0014480B">
        <w:t xml:space="preserve"> </w:t>
      </w:r>
      <w:r w:rsidR="00CF73A7">
        <w:t xml:space="preserve">before </w:t>
      </w:r>
      <w:r w:rsidR="00990D2F">
        <w:t>its</w:t>
      </w:r>
      <w:r w:rsidR="008F6158">
        <w:t xml:space="preserve"> </w:t>
      </w:r>
      <w:r w:rsidR="00CF73A7">
        <w:t>2022-23 NGER report</w:t>
      </w:r>
      <w:r w:rsidR="00F5206A">
        <w:t>,</w:t>
      </w:r>
      <w:r w:rsidR="00CF73A7">
        <w:t xml:space="preserve"> covered emissions in the application must be calculated using the same method </w:t>
      </w:r>
      <w:r w:rsidR="00990D2F">
        <w:t xml:space="preserve">as in </w:t>
      </w:r>
      <w:r w:rsidR="00CF73A7">
        <w:t>the 202</w:t>
      </w:r>
      <w:r w:rsidR="001C7325">
        <w:t>1</w:t>
      </w:r>
      <w:r w:rsidR="00CF73A7">
        <w:t>-2</w:t>
      </w:r>
      <w:r w:rsidR="001C7325">
        <w:t>2</w:t>
      </w:r>
      <w:r w:rsidR="00CF73A7">
        <w:t xml:space="preserve"> </w:t>
      </w:r>
      <w:r w:rsidR="009B688D">
        <w:t xml:space="preserve">NGER </w:t>
      </w:r>
      <w:r w:rsidR="00CF73A7">
        <w:t>report</w:t>
      </w:r>
      <w:r w:rsidR="001F0E4E">
        <w:t>)</w:t>
      </w:r>
      <w:r w:rsidR="00CF73A7">
        <w:t>.</w:t>
      </w:r>
    </w:p>
    <w:p w14:paraId="55D1A775" w14:textId="08C30FC6" w:rsidR="00AD6635" w:rsidRDefault="00FF6C14" w:rsidP="00FF6C14">
      <w:r w:rsidRPr="00E5688B">
        <w:t>Changes in method</w:t>
      </w:r>
      <w:r w:rsidR="008923CD">
        <w:t>s</w:t>
      </w:r>
      <w:r w:rsidRPr="00E5688B">
        <w:t xml:space="preserve"> can in some instances significantly impact the reported emissions profile of a facility. </w:t>
      </w:r>
      <w:r w:rsidR="00C67744">
        <w:t xml:space="preserve">Therefore, it is important that </w:t>
      </w:r>
      <w:r w:rsidR="00A254FA">
        <w:t>historical covered emissions are adjusted to align with the</w:t>
      </w:r>
      <w:r w:rsidR="00F33100">
        <w:t xml:space="preserve"> </w:t>
      </w:r>
      <w:r w:rsidR="00A254FA">
        <w:t>method used in the most rec</w:t>
      </w:r>
      <w:r w:rsidR="00357E81">
        <w:t>ently submitted NGER report.</w:t>
      </w:r>
    </w:p>
    <w:p w14:paraId="35518BD8" w14:textId="38EE0739" w:rsidR="00E610DF" w:rsidRDefault="006F7945" w:rsidP="00FF6C14">
      <w:r>
        <w:t xml:space="preserve">There may be cases where </w:t>
      </w:r>
      <w:r w:rsidR="002838B9">
        <w:t xml:space="preserve">data is not available to </w:t>
      </w:r>
      <w:r w:rsidR="008E08DE">
        <w:t xml:space="preserve">adjust historical covered emissions to align with the current method. </w:t>
      </w:r>
      <w:r w:rsidR="00FF6C14" w:rsidRPr="00E5688B">
        <w:t>This is particularly the case when a facility moves from a lower order method to a higher order method</w:t>
      </w:r>
      <w:r w:rsidR="00B76A0D">
        <w:t xml:space="preserve"> (</w:t>
      </w:r>
      <w:r w:rsidR="006129C4">
        <w:t>for example,</w:t>
      </w:r>
      <w:r w:rsidR="00B76A0D">
        <w:t xml:space="preserve"> from method 1 to method 2)</w:t>
      </w:r>
      <w:r w:rsidR="00FF6C14" w:rsidRPr="00E5688B">
        <w:t xml:space="preserve">. </w:t>
      </w:r>
    </w:p>
    <w:p w14:paraId="1749547F" w14:textId="48F8DEBF" w:rsidR="00743E8D" w:rsidRPr="000672A4" w:rsidRDefault="002B0A0F" w:rsidP="00FF6C14">
      <w:r>
        <w:t xml:space="preserve">If </w:t>
      </w:r>
      <w:r w:rsidR="00C04184">
        <w:t>a facility does</w:t>
      </w:r>
      <w:r>
        <w:t xml:space="preserve"> not have all available data required to </w:t>
      </w:r>
      <w:r w:rsidR="00B71308">
        <w:t xml:space="preserve">calculate covered emissions for a historical financial year using </w:t>
      </w:r>
      <w:r w:rsidR="00444A15">
        <w:t xml:space="preserve">the </w:t>
      </w:r>
      <w:r w:rsidR="00743E8D">
        <w:t>current method</w:t>
      </w:r>
      <w:r w:rsidR="001E195B">
        <w:t>,</w:t>
      </w:r>
      <w:r w:rsidR="00743E8D">
        <w:t xml:space="preserve"> </w:t>
      </w:r>
      <w:r w:rsidR="00B72782">
        <w:t xml:space="preserve">reasonable </w:t>
      </w:r>
      <w:r w:rsidR="00743E8D">
        <w:t xml:space="preserve">estimates </w:t>
      </w:r>
      <w:r w:rsidR="00743E8D" w:rsidRPr="008A609D">
        <w:t>and assumptions can be made</w:t>
      </w:r>
      <w:r w:rsidR="00E9740B" w:rsidRPr="008A609D">
        <w:t xml:space="preserve"> as noted </w:t>
      </w:r>
      <w:r w:rsidR="00FC5CCF" w:rsidRPr="008A609D">
        <w:t xml:space="preserve">above </w:t>
      </w:r>
      <w:r w:rsidR="00CB3D05">
        <w:t>–</w:t>
      </w:r>
      <w:r w:rsidR="00FC5CCF" w:rsidRPr="008A609D">
        <w:t xml:space="preserve"> see</w:t>
      </w:r>
      <w:r w:rsidR="00E9740B" w:rsidRPr="008A609D">
        <w:t xml:space="preserve"> </w:t>
      </w:r>
      <w:r w:rsidR="00FC5CCF" w:rsidRPr="000672A4">
        <w:rPr>
          <w:i/>
        </w:rPr>
        <w:t>Making estimates and assumptions</w:t>
      </w:r>
      <w:r w:rsidR="00FC6A23">
        <w:t xml:space="preserve"> </w:t>
      </w:r>
      <w:r w:rsidR="003E5A6D">
        <w:t xml:space="preserve">under </w:t>
      </w:r>
      <w:hyperlink w:anchor="_Facility_total_covered" w:history="1">
        <w:r w:rsidR="003E5A6D" w:rsidRPr="00C82DC6">
          <w:rPr>
            <w:rStyle w:val="Hyperlink"/>
            <w:rFonts w:asciiTheme="minorHAnsi" w:hAnsiTheme="minorHAnsi"/>
          </w:rPr>
          <w:t>Part</w:t>
        </w:r>
        <w:r w:rsidR="00141B53">
          <w:rPr>
            <w:rStyle w:val="Hyperlink"/>
            <w:rFonts w:asciiTheme="minorHAnsi" w:hAnsiTheme="minorHAnsi"/>
          </w:rPr>
          <w:t xml:space="preserve"> 3.6.1 F</w:t>
        </w:r>
        <w:r w:rsidR="003E5A6D" w:rsidRPr="00C82DC6">
          <w:rPr>
            <w:rStyle w:val="Hyperlink"/>
            <w:rFonts w:asciiTheme="minorHAnsi" w:hAnsiTheme="minorHAnsi"/>
          </w:rPr>
          <w:t xml:space="preserve">acility total </w:t>
        </w:r>
        <w:r w:rsidR="00C82DC6" w:rsidRPr="00C82DC6">
          <w:rPr>
            <w:rStyle w:val="Hyperlink"/>
            <w:rFonts w:asciiTheme="minorHAnsi" w:hAnsiTheme="minorHAnsi"/>
          </w:rPr>
          <w:t>covered emission data</w:t>
        </w:r>
      </w:hyperlink>
      <w:r w:rsidR="00C82DC6">
        <w:t xml:space="preserve"> </w:t>
      </w:r>
      <w:r w:rsidR="00FC6A23">
        <w:t>for more information</w:t>
      </w:r>
      <w:r w:rsidR="00FC5CCF" w:rsidRPr="008A609D">
        <w:t>.</w:t>
      </w:r>
    </w:p>
    <w:p w14:paraId="3206C522" w14:textId="3E5A9A7E" w:rsidR="00317D18" w:rsidRDefault="00CE6382" w:rsidP="00B439C6">
      <w:r>
        <w:t>Where estimates and assumptions have been made</w:t>
      </w:r>
      <w:r w:rsidR="000E5048">
        <w:t xml:space="preserve">, the application </w:t>
      </w:r>
      <w:r w:rsidRPr="00C375A7">
        <w:t>will</w:t>
      </w:r>
      <w:r w:rsidR="00CC2D46">
        <w:t xml:space="preserve"> need to</w:t>
      </w:r>
      <w:r>
        <w:t xml:space="preserve"> explain </w:t>
      </w:r>
      <w:r w:rsidR="002349BB">
        <w:t xml:space="preserve">what </w:t>
      </w:r>
      <w:r w:rsidRPr="00C375A7">
        <w:t xml:space="preserve">estimates and assumptions </w:t>
      </w:r>
      <w:r w:rsidR="002349BB">
        <w:t xml:space="preserve">have been </w:t>
      </w:r>
      <w:r w:rsidRPr="00C375A7">
        <w:t>made and why they were required</w:t>
      </w:r>
      <w:r w:rsidR="0078063A">
        <w:t>, and why they are reasonable</w:t>
      </w:r>
      <w:r>
        <w:t>.</w:t>
      </w:r>
    </w:p>
    <w:p w14:paraId="09B677E9" w14:textId="2EFF9412" w:rsidR="00317D18" w:rsidRPr="00C25A6E" w:rsidRDefault="00B55FAB" w:rsidP="009A21CF">
      <w:pPr>
        <w:spacing w:after="0"/>
      </w:pPr>
      <w:bookmarkStart w:id="194" w:name="_Supporting_information_requirements"/>
      <w:bookmarkEnd w:id="194"/>
      <w:r w:rsidRPr="009A21CF">
        <w:rPr>
          <w:b/>
        </w:rPr>
        <w:t>Supporting information requirements</w:t>
      </w:r>
    </w:p>
    <w:p w14:paraId="4440373C" w14:textId="003832A0" w:rsidR="00791AFD" w:rsidRDefault="00FA1CBF" w:rsidP="00A87F9C">
      <w:r>
        <w:t>S</w:t>
      </w:r>
      <w:r w:rsidR="00A87F9C">
        <w:t>ufficient information</w:t>
      </w:r>
      <w:r w:rsidR="00FD76D4">
        <w:t xml:space="preserve"> and evidence</w:t>
      </w:r>
      <w:r w:rsidR="00A87F9C">
        <w:t xml:space="preserve"> </w:t>
      </w:r>
      <w:r>
        <w:t>must be provided</w:t>
      </w:r>
      <w:r w:rsidR="00A87F9C">
        <w:t xml:space="preserve"> to allow the </w:t>
      </w:r>
      <w:r w:rsidR="00BF532F">
        <w:t>CER</w:t>
      </w:r>
      <w:r w:rsidR="00BF532F" w:rsidRPr="3FB6375E">
        <w:t xml:space="preserve"> </w:t>
      </w:r>
      <w:r w:rsidR="00A87F9C">
        <w:t xml:space="preserve">to be satisfied that the totals of covered emissions in the application </w:t>
      </w:r>
      <w:r w:rsidR="00A87F9C" w:rsidRPr="00FE0E50">
        <w:t xml:space="preserve">form </w:t>
      </w:r>
      <w:r w:rsidR="00131D6F" w:rsidRPr="00FE0E50">
        <w:t>meet the requirements of section 15 of the Safeguard Rule</w:t>
      </w:r>
      <w:r w:rsidR="00547DC4" w:rsidRPr="00FE0E50">
        <w:t>.</w:t>
      </w:r>
      <w:r w:rsidR="00890C68" w:rsidRPr="00FE0E50">
        <w:t xml:space="preserve"> </w:t>
      </w:r>
      <w:r w:rsidR="00A87F9C" w:rsidRPr="00FE0E50">
        <w:t>T</w:t>
      </w:r>
      <w:r w:rsidR="00A87F9C">
        <w:t xml:space="preserve">his includes details of any required adjustments </w:t>
      </w:r>
      <w:r w:rsidR="006D242C">
        <w:t xml:space="preserve">made </w:t>
      </w:r>
      <w:r w:rsidR="00A87F9C">
        <w:t>as well as</w:t>
      </w:r>
      <w:r w:rsidR="00890C68">
        <w:t xml:space="preserve"> any</w:t>
      </w:r>
      <w:r w:rsidR="00A87F9C">
        <w:t xml:space="preserve"> estimates and assumptions </w:t>
      </w:r>
      <w:r w:rsidR="00890C68">
        <w:t xml:space="preserve">made. </w:t>
      </w:r>
      <w:r w:rsidR="00121AD1">
        <w:t xml:space="preserve">The applicant </w:t>
      </w:r>
      <w:r w:rsidR="00CF685A">
        <w:t xml:space="preserve">may wish to provide this information in an excel spreadsheet setting out historical covered emissions data, </w:t>
      </w:r>
      <w:r w:rsidR="001B6699">
        <w:t xml:space="preserve">adjustments and calculations and </w:t>
      </w:r>
      <w:r w:rsidR="00B14172">
        <w:t>adjusted historical covered emissions data.</w:t>
      </w:r>
    </w:p>
    <w:p w14:paraId="61B4D1DC" w14:textId="2E2AC37E" w:rsidR="009E0FA4" w:rsidRDefault="002814C9" w:rsidP="00C36DED">
      <w:pPr>
        <w:pStyle w:val="CERbullets"/>
        <w:numPr>
          <w:ilvl w:val="0"/>
          <w:numId w:val="0"/>
        </w:numPr>
      </w:pPr>
      <w:r>
        <w:t>The level of supporting information need</w:t>
      </w:r>
      <w:r w:rsidR="004B2A78">
        <w:t>ed</w:t>
      </w:r>
      <w:r>
        <w:t xml:space="preserve"> will d</w:t>
      </w:r>
      <w:r w:rsidRPr="00C375A7">
        <w:t xml:space="preserve">epend on the complexity of </w:t>
      </w:r>
      <w:r w:rsidR="00066E52">
        <w:t xml:space="preserve">the </w:t>
      </w:r>
      <w:r w:rsidRPr="00C375A7">
        <w:t>facility’s activities and emissions sources</w:t>
      </w:r>
      <w:r>
        <w:t xml:space="preserve">. </w:t>
      </w:r>
      <w:proofErr w:type="gramStart"/>
      <w:r>
        <w:t>In particular, where</w:t>
      </w:r>
      <w:proofErr w:type="gramEnd"/>
      <w:r w:rsidR="00747A8D">
        <w:t xml:space="preserve"> </w:t>
      </w:r>
      <w:r w:rsidR="003B41B2">
        <w:t>multiple adjustments</w:t>
      </w:r>
      <w:r w:rsidR="000727DC">
        <w:t xml:space="preserve">, </w:t>
      </w:r>
      <w:r w:rsidR="00970E94">
        <w:t xml:space="preserve">estimates and assumptions </w:t>
      </w:r>
      <w:r w:rsidR="000727DC">
        <w:t>have been made</w:t>
      </w:r>
      <w:r w:rsidR="00882C3E">
        <w:t xml:space="preserve">, </w:t>
      </w:r>
      <w:r>
        <w:t xml:space="preserve">the </w:t>
      </w:r>
      <w:r w:rsidR="00BF532F">
        <w:t>CER</w:t>
      </w:r>
      <w:r w:rsidR="00BF532F" w:rsidRPr="3FB6375E">
        <w:t xml:space="preserve"> </w:t>
      </w:r>
      <w:r>
        <w:t xml:space="preserve">will need sufficient information to </w:t>
      </w:r>
      <w:r w:rsidR="003B45A2">
        <w:t>determine that the</w:t>
      </w:r>
      <w:r w:rsidR="00D77D6F">
        <w:t>se</w:t>
      </w:r>
      <w:r w:rsidR="003B45A2">
        <w:t xml:space="preserve"> are</w:t>
      </w:r>
      <w:r>
        <w:t xml:space="preserve"> reasonable</w:t>
      </w:r>
      <w:r w:rsidR="00454604">
        <w:t>.</w:t>
      </w:r>
      <w:r w:rsidR="009E0FA4">
        <w:t xml:space="preserve"> </w:t>
      </w:r>
    </w:p>
    <w:p w14:paraId="2CF021F9" w14:textId="1207F542" w:rsidR="00043474" w:rsidRDefault="002814C9" w:rsidP="00EB6ECD">
      <w:r w:rsidRPr="009E0FA4">
        <w:t>Generally, supporting information should include:</w:t>
      </w:r>
      <w:r w:rsidR="00AD282B">
        <w:t xml:space="preserve"> </w:t>
      </w:r>
    </w:p>
    <w:p w14:paraId="5F548713" w14:textId="6441C591" w:rsidR="007E08D6" w:rsidRPr="00E571AA" w:rsidRDefault="00317D18" w:rsidP="00043474">
      <w:pPr>
        <w:pStyle w:val="CERbullets"/>
      </w:pPr>
      <w:r>
        <w:t>identifi</w:t>
      </w:r>
      <w:r w:rsidR="00FF19B6">
        <w:t>cation</w:t>
      </w:r>
      <w:r>
        <w:t xml:space="preserve"> </w:t>
      </w:r>
      <w:r w:rsidR="00BD612B">
        <w:t>of applicable</w:t>
      </w:r>
      <w:r>
        <w:t xml:space="preserve"> emissions sources</w:t>
      </w:r>
      <w:r w:rsidR="00476A2D">
        <w:t xml:space="preserve"> and values</w:t>
      </w:r>
      <w:r w:rsidR="007E1D2F">
        <w:t xml:space="preserve"> as reported in the </w:t>
      </w:r>
      <w:r w:rsidR="007E08D6">
        <w:t>relevant NGER report for each historical financial year</w:t>
      </w:r>
    </w:p>
    <w:p w14:paraId="1814D63D" w14:textId="543A950B" w:rsidR="00AA24AB" w:rsidRDefault="00543654" w:rsidP="00317D18">
      <w:pPr>
        <w:pStyle w:val="CERbullets"/>
      </w:pPr>
      <w:r>
        <w:t>information regarding</w:t>
      </w:r>
      <w:r w:rsidR="009F40F8">
        <w:t xml:space="preserve"> any adjustments required to be made to </w:t>
      </w:r>
      <w:r w:rsidR="005F271C">
        <w:t>historical covered emissions</w:t>
      </w:r>
      <w:r w:rsidR="00FD0901">
        <w:t xml:space="preserve"> sources</w:t>
      </w:r>
      <w:r w:rsidR="005F271C">
        <w:t xml:space="preserve"> </w:t>
      </w:r>
      <w:r w:rsidR="00F90981">
        <w:t>including</w:t>
      </w:r>
      <w:r w:rsidR="00AA24AB">
        <w:t>:</w:t>
      </w:r>
    </w:p>
    <w:p w14:paraId="668B80A3" w14:textId="77777777" w:rsidR="00543654" w:rsidRDefault="00F90981" w:rsidP="00AA24AB">
      <w:pPr>
        <w:pStyle w:val="CERbullets"/>
        <w:numPr>
          <w:ilvl w:val="1"/>
          <w:numId w:val="1"/>
        </w:numPr>
      </w:pPr>
      <w:r w:rsidRPr="00E571AA">
        <w:t xml:space="preserve">the type of adjustment </w:t>
      </w:r>
      <w:r w:rsidR="003359BB" w:rsidRPr="00E571AA">
        <w:t>(</w:t>
      </w:r>
      <w:r w:rsidRPr="00E571AA">
        <w:t>referen</w:t>
      </w:r>
      <w:r w:rsidR="00993D72" w:rsidRPr="00E571AA">
        <w:t>cing</w:t>
      </w:r>
      <w:r w:rsidRPr="00E571AA">
        <w:t xml:space="preserve"> </w:t>
      </w:r>
      <w:r w:rsidR="00513895" w:rsidRPr="00E571AA">
        <w:t>the</w:t>
      </w:r>
      <w:r w:rsidRPr="00E571AA">
        <w:t xml:space="preserve"> </w:t>
      </w:r>
      <w:r w:rsidR="00993D72" w:rsidRPr="00E571AA">
        <w:t>relevant section of</w:t>
      </w:r>
      <w:r w:rsidRPr="00E571AA">
        <w:t xml:space="preserve"> the </w:t>
      </w:r>
      <w:r w:rsidR="00C74AFD" w:rsidRPr="00E571AA">
        <w:t xml:space="preserve">NGER Measurement Determination </w:t>
      </w:r>
      <w:r w:rsidR="00A97299" w:rsidRPr="00E571AA">
        <w:t>if</w:t>
      </w:r>
      <w:r w:rsidR="00C74AFD" w:rsidRPr="00E571AA">
        <w:t xml:space="preserve"> applicable</w:t>
      </w:r>
      <w:r w:rsidR="003359BB" w:rsidRPr="00E571AA">
        <w:t>)</w:t>
      </w:r>
    </w:p>
    <w:p w14:paraId="3D9BDC34" w14:textId="35E23EB8" w:rsidR="00B11C2A" w:rsidRDefault="00CC7387" w:rsidP="00AA24AB">
      <w:pPr>
        <w:pStyle w:val="CERbullets"/>
        <w:numPr>
          <w:ilvl w:val="1"/>
          <w:numId w:val="1"/>
        </w:numPr>
      </w:pPr>
      <w:r>
        <w:t xml:space="preserve">description of the </w:t>
      </w:r>
      <w:r w:rsidR="0064004A">
        <w:t>adjustment</w:t>
      </w:r>
      <w:r>
        <w:t xml:space="preserve"> </w:t>
      </w:r>
      <w:r w:rsidR="00EE28F6">
        <w:t>and</w:t>
      </w:r>
      <w:r>
        <w:t xml:space="preserve"> </w:t>
      </w:r>
      <w:r w:rsidR="00543654">
        <w:t>calculations</w:t>
      </w:r>
    </w:p>
    <w:p w14:paraId="17C15213" w14:textId="44B8F04B" w:rsidR="00CC7387" w:rsidRPr="00E571AA" w:rsidRDefault="00BE0EF7" w:rsidP="009E0FA4">
      <w:pPr>
        <w:pStyle w:val="CERbullets"/>
        <w:numPr>
          <w:ilvl w:val="1"/>
          <w:numId w:val="1"/>
        </w:numPr>
      </w:pPr>
      <w:r w:rsidRPr="00E571AA">
        <w:t xml:space="preserve">the </w:t>
      </w:r>
      <w:r w:rsidR="006D642B" w:rsidRPr="00E571AA">
        <w:t>adjusted covered emissions values</w:t>
      </w:r>
    </w:p>
    <w:p w14:paraId="01B1C8CA" w14:textId="562584DA" w:rsidR="00694D66" w:rsidRDefault="00C45C30" w:rsidP="00B70336">
      <w:pPr>
        <w:pStyle w:val="CERbullets"/>
      </w:pPr>
      <w:r>
        <w:t>where there has been a change in method</w:t>
      </w:r>
      <w:r w:rsidR="00FF5503">
        <w:t xml:space="preserve"> (</w:t>
      </w:r>
      <w:r w:rsidR="00F33100">
        <w:t xml:space="preserve">for example, </w:t>
      </w:r>
      <w:r w:rsidR="00FF5503">
        <w:t>method 1 to 2</w:t>
      </w:r>
      <w:r w:rsidR="00B70336">
        <w:t>)</w:t>
      </w:r>
      <w:r w:rsidR="00C704CE">
        <w:t>,</w:t>
      </w:r>
      <w:r w:rsidR="00B70336">
        <w:t xml:space="preserve"> </w:t>
      </w:r>
      <w:r w:rsidR="00C704CE">
        <w:t>a description</w:t>
      </w:r>
      <w:r w:rsidR="00B70336">
        <w:t xml:space="preserve"> </w:t>
      </w:r>
      <w:r w:rsidR="00C704CE">
        <w:t xml:space="preserve">of how the </w:t>
      </w:r>
      <w:r w:rsidR="002F5CAE">
        <w:t>current method was used to calculate historical covered emissions</w:t>
      </w:r>
    </w:p>
    <w:p w14:paraId="49B4C540" w14:textId="77777777" w:rsidR="003733E2" w:rsidRDefault="00F77A03" w:rsidP="004904C1">
      <w:pPr>
        <w:pStyle w:val="CERbullets"/>
      </w:pPr>
      <w:r>
        <w:t>if any estimates and assumptions were made to adjust historical covered emissions data</w:t>
      </w:r>
      <w:r w:rsidR="003733E2">
        <w:t>:</w:t>
      </w:r>
    </w:p>
    <w:p w14:paraId="79D4E39C" w14:textId="3DCE402B" w:rsidR="003F3425" w:rsidRDefault="00EF0C8D" w:rsidP="003733E2">
      <w:pPr>
        <w:pStyle w:val="CERbullets"/>
        <w:numPr>
          <w:ilvl w:val="1"/>
          <w:numId w:val="1"/>
        </w:numPr>
      </w:pPr>
      <w:r>
        <w:t>an explanation as to wh</w:t>
      </w:r>
      <w:r w:rsidR="00A5740B">
        <w:t>at</w:t>
      </w:r>
      <w:r>
        <w:t xml:space="preserve"> estimates and assumptions were required</w:t>
      </w:r>
      <w:r w:rsidR="00A5740B">
        <w:t xml:space="preserve"> and why</w:t>
      </w:r>
    </w:p>
    <w:p w14:paraId="18C35982" w14:textId="6467AC29" w:rsidR="00212298" w:rsidRDefault="0073287F" w:rsidP="003733E2">
      <w:pPr>
        <w:pStyle w:val="CERbullets"/>
        <w:numPr>
          <w:ilvl w:val="1"/>
          <w:numId w:val="1"/>
        </w:numPr>
      </w:pPr>
      <w:r>
        <w:t>i</w:t>
      </w:r>
      <w:r w:rsidR="00212298">
        <w:t xml:space="preserve">nformation </w:t>
      </w:r>
      <w:r w:rsidR="000A33A2">
        <w:t xml:space="preserve">describing </w:t>
      </w:r>
      <w:r w:rsidR="005B4D3F">
        <w:t xml:space="preserve">how the adjustments were made </w:t>
      </w:r>
      <w:r w:rsidR="00CD328B">
        <w:t xml:space="preserve">and what data was used </w:t>
      </w:r>
      <w:r>
        <w:t>to make the estimates</w:t>
      </w:r>
    </w:p>
    <w:p w14:paraId="22600D7C" w14:textId="78F03F48" w:rsidR="00EF0C8D" w:rsidRPr="00E571AA" w:rsidRDefault="00F54FDF" w:rsidP="00E571AA">
      <w:pPr>
        <w:pStyle w:val="CERbullets"/>
        <w:numPr>
          <w:ilvl w:val="1"/>
          <w:numId w:val="1"/>
        </w:numPr>
      </w:pPr>
      <w:r>
        <w:t>why they are reasonable.</w:t>
      </w:r>
    </w:p>
    <w:p w14:paraId="7676D985" w14:textId="6987F897" w:rsidR="00477AF5" w:rsidRPr="00E571AA" w:rsidRDefault="002C41C3" w:rsidP="00E571AA">
      <w:pPr>
        <w:pStyle w:val="CERbullets"/>
      </w:pPr>
      <w:r>
        <w:t xml:space="preserve">if </w:t>
      </w:r>
      <w:r w:rsidR="00C474DB">
        <w:t>an error has been identified in historically reported covered emissions</w:t>
      </w:r>
      <w:r w:rsidR="002A10D6">
        <w:t xml:space="preserve"> and </w:t>
      </w:r>
      <w:r w:rsidR="00394E2C">
        <w:t>the figure has been updated</w:t>
      </w:r>
      <w:r w:rsidR="00AC6742">
        <w:t xml:space="preserve"> for the purpose of this application – please provide an explanation </w:t>
      </w:r>
      <w:r w:rsidR="00BC2F41">
        <w:t>regarding the</w:t>
      </w:r>
      <w:r w:rsidR="00AC6742">
        <w:t xml:space="preserve"> </w:t>
      </w:r>
      <w:r w:rsidR="00C126A2">
        <w:t xml:space="preserve">differences and why the new figure is correctly stated. </w:t>
      </w:r>
      <w:r w:rsidR="004A4945">
        <w:t>Note that w</w:t>
      </w:r>
      <w:r w:rsidR="002B743A">
        <w:t>h</w:t>
      </w:r>
      <w:r w:rsidR="004A4945">
        <w:t>ere an error has been detected in historically reported covered emissions</w:t>
      </w:r>
      <w:r w:rsidR="002B743A">
        <w:t xml:space="preserve">, the </w:t>
      </w:r>
      <w:r w:rsidR="00094EA2">
        <w:t>reportin</w:t>
      </w:r>
      <w:r w:rsidR="00E91F56">
        <w:t>g</w:t>
      </w:r>
      <w:r w:rsidR="00094EA2">
        <w:t xml:space="preserve"> entity</w:t>
      </w:r>
      <w:r w:rsidR="002B743A">
        <w:t xml:space="preserve"> </w:t>
      </w:r>
      <w:r w:rsidR="003F0840">
        <w:t>may be required to resubmit the relevant NGER report. If this is the case</w:t>
      </w:r>
      <w:r w:rsidR="004C6057">
        <w:t xml:space="preserve"> the </w:t>
      </w:r>
      <w:r w:rsidR="00BF532F">
        <w:t>CER</w:t>
      </w:r>
      <w:r w:rsidR="00BF532F" w:rsidRPr="3FB6375E">
        <w:t xml:space="preserve"> </w:t>
      </w:r>
      <w:r w:rsidR="004C6057">
        <w:t xml:space="preserve">may request further information and will notify </w:t>
      </w:r>
      <w:r w:rsidR="00376180">
        <w:t xml:space="preserve">the responsible emitter </w:t>
      </w:r>
      <w:r w:rsidR="004C6057">
        <w:t>of any requirement to resubmit an NGER report to correct any errors.</w:t>
      </w:r>
      <w:r w:rsidR="087FE8D2">
        <w:t xml:space="preserve"> </w:t>
      </w:r>
    </w:p>
    <w:p w14:paraId="15DE4F12" w14:textId="1C09B417" w:rsidR="3B3AA13A" w:rsidRDefault="518C560B" w:rsidP="009B5E9A">
      <w:pPr>
        <w:pStyle w:val="Heading4"/>
        <w:numPr>
          <w:ilvl w:val="0"/>
          <w:numId w:val="0"/>
        </w:numPr>
      </w:pPr>
      <w:r w:rsidRPr="0088154E">
        <w:t>Audit requirement</w:t>
      </w:r>
    </w:p>
    <w:p w14:paraId="696A916F" w14:textId="669F1B52" w:rsidR="006D1AC2" w:rsidRDefault="00525137" w:rsidP="00336D47">
      <w:pPr>
        <w:pStyle w:val="CERbullets"/>
        <w:numPr>
          <w:ilvl w:val="0"/>
          <w:numId w:val="0"/>
        </w:numPr>
        <w:spacing w:before="0"/>
      </w:pPr>
      <w:r>
        <w:t>Whether</w:t>
      </w:r>
      <w:r w:rsidR="006F1CB0">
        <w:t>, in all material respects,</w:t>
      </w:r>
      <w:r>
        <w:t xml:space="preserve"> </w:t>
      </w:r>
      <w:r w:rsidR="00B92F54">
        <w:t>a</w:t>
      </w:r>
      <w:r w:rsidR="00167905">
        <w:t>n</w:t>
      </w:r>
      <w:r w:rsidR="00B92F54">
        <w:t xml:space="preserve"> application </w:t>
      </w:r>
      <w:r>
        <w:t xml:space="preserve">correctly specifies the </w:t>
      </w:r>
      <w:proofErr w:type="gramStart"/>
      <w:r w:rsidR="00B2029A">
        <w:t>amount</w:t>
      </w:r>
      <w:proofErr w:type="gramEnd"/>
      <w:r w:rsidR="00B2029A">
        <w:t xml:space="preserve"> of</w:t>
      </w:r>
      <w:r w:rsidR="00DE36FA">
        <w:t xml:space="preserve"> covered emissions </w:t>
      </w:r>
      <w:r w:rsidR="00B2029A">
        <w:t>for the facility in eac</w:t>
      </w:r>
      <w:r w:rsidR="00B92F54">
        <w:t>h</w:t>
      </w:r>
      <w:r>
        <w:t xml:space="preserve"> historical financial year</w:t>
      </w:r>
      <w:r w:rsidR="008A6738">
        <w:t xml:space="preserve"> </w:t>
      </w:r>
      <w:r>
        <w:t>is a ‘</w:t>
      </w:r>
      <w:r w:rsidRPr="00F317B2">
        <w:t>reasonable assurance</w:t>
      </w:r>
      <w:r>
        <w:t>’ matter for auditors.</w:t>
      </w:r>
    </w:p>
    <w:p w14:paraId="62AA49F1" w14:textId="04A22378" w:rsidR="002A211D" w:rsidRDefault="003C6749" w:rsidP="006840C5">
      <w:pPr>
        <w:pStyle w:val="CERbullets"/>
        <w:numPr>
          <w:ilvl w:val="0"/>
          <w:numId w:val="0"/>
        </w:numPr>
        <w:spacing w:before="0"/>
        <w:rPr>
          <w:rStyle w:val="normaltextrun"/>
          <w:color w:val="000000"/>
          <w:shd w:val="clear" w:color="auto" w:fill="FFFFFF"/>
        </w:rPr>
      </w:pPr>
      <w:r>
        <w:t>Whether, in all material respects,</w:t>
      </w:r>
      <w:r w:rsidR="009128CB">
        <w:t xml:space="preserve"> </w:t>
      </w:r>
      <w:r w:rsidR="006C7281">
        <w:rPr>
          <w:rStyle w:val="normaltextrun"/>
          <w:color w:val="000000"/>
          <w:shd w:val="clear" w:color="auto" w:fill="FFFFFF"/>
        </w:rPr>
        <w:t xml:space="preserve">calculations of amounts of covered emissions of greenhouse gases </w:t>
      </w:r>
      <w:r w:rsidR="008E748F">
        <w:rPr>
          <w:rStyle w:val="normaltextrun"/>
          <w:color w:val="000000"/>
          <w:shd w:val="clear" w:color="auto" w:fill="FFFFFF"/>
        </w:rPr>
        <w:t>for the</w:t>
      </w:r>
      <w:r w:rsidR="006C7281">
        <w:rPr>
          <w:rStyle w:val="normaltextrun"/>
          <w:color w:val="000000"/>
          <w:shd w:val="clear" w:color="auto" w:fill="FFFFFF"/>
        </w:rPr>
        <w:t xml:space="preserve"> facility that are included in the application meet the requirements specified in section 15 of the Safeguard Rule</w:t>
      </w:r>
      <w:r w:rsidR="00E47374">
        <w:rPr>
          <w:rStyle w:val="normaltextrun"/>
          <w:color w:val="000000"/>
          <w:shd w:val="clear" w:color="auto" w:fill="FFFFFF"/>
        </w:rPr>
        <w:t xml:space="preserve"> is a ‘limited assurance’ matter for auditors.</w:t>
      </w:r>
    </w:p>
    <w:p w14:paraId="0FD2D2D0" w14:textId="7B191DEE" w:rsidR="00AA3816" w:rsidRDefault="00AA3816" w:rsidP="0072414F">
      <w:pPr>
        <w:rPr>
          <w:rStyle w:val="normaltextrun"/>
          <w:color w:val="000000"/>
          <w:shd w:val="clear" w:color="auto" w:fill="FFFFFF"/>
        </w:rPr>
      </w:pPr>
      <w:r>
        <w:rPr>
          <w:rStyle w:val="normaltextrun"/>
          <w:color w:val="000000"/>
          <w:shd w:val="clear" w:color="auto" w:fill="FFFFFF"/>
        </w:rPr>
        <w:t xml:space="preserve">Note the reasonable assurance matter refers to the </w:t>
      </w:r>
      <w:proofErr w:type="gramStart"/>
      <w:r>
        <w:rPr>
          <w:rStyle w:val="normaltextrun"/>
          <w:color w:val="000000"/>
          <w:shd w:val="clear" w:color="auto" w:fill="FFFFFF"/>
        </w:rPr>
        <w:t>amount</w:t>
      </w:r>
      <w:proofErr w:type="gramEnd"/>
      <w:r>
        <w:rPr>
          <w:rStyle w:val="normaltextrun"/>
          <w:color w:val="000000"/>
          <w:shd w:val="clear" w:color="auto" w:fill="FFFFFF"/>
        </w:rPr>
        <w:t xml:space="preserve"> of covered emissions in the application calculated </w:t>
      </w:r>
      <w:r w:rsidR="00D41DA8">
        <w:rPr>
          <w:rStyle w:val="normaltextrun"/>
          <w:color w:val="000000"/>
          <w:shd w:val="clear" w:color="auto" w:fill="FFFFFF"/>
        </w:rPr>
        <w:t>under</w:t>
      </w:r>
      <w:r>
        <w:rPr>
          <w:rStyle w:val="normaltextrun"/>
          <w:color w:val="000000"/>
          <w:shd w:val="clear" w:color="auto" w:fill="FFFFFF"/>
        </w:rPr>
        <w:t xml:space="preserve"> section 15 of the Safeguard Rule. </w:t>
      </w:r>
      <w:r w:rsidR="00D80EB4">
        <w:rPr>
          <w:rStyle w:val="normaltextrun"/>
          <w:color w:val="000000"/>
          <w:shd w:val="clear" w:color="auto" w:fill="FFFFFF"/>
        </w:rPr>
        <w:t>It</w:t>
      </w:r>
      <w:r w:rsidR="008E22B8">
        <w:rPr>
          <w:rStyle w:val="normaltextrun"/>
          <w:color w:val="000000"/>
          <w:shd w:val="clear" w:color="auto" w:fill="FFFFFF"/>
        </w:rPr>
        <w:t xml:space="preserve"> does not relate to the historical ‘as reported’ in an NGER report covered emissions amount</w:t>
      </w:r>
      <w:r w:rsidR="0072414F">
        <w:rPr>
          <w:rStyle w:val="normaltextrun"/>
          <w:color w:val="000000"/>
          <w:shd w:val="clear" w:color="auto" w:fill="FFFFFF"/>
        </w:rPr>
        <w:t>.</w:t>
      </w:r>
    </w:p>
    <w:p w14:paraId="36F6EAE9" w14:textId="38376D85" w:rsidR="00C30F35" w:rsidRPr="00FD5408" w:rsidRDefault="00C30F35" w:rsidP="00AE59BD">
      <w:r>
        <w:rPr>
          <w:rStyle w:val="normaltextrun"/>
          <w:color w:val="000000"/>
          <w:shd w:val="clear" w:color="auto" w:fill="FFFFFF"/>
        </w:rPr>
        <w:t>On that basis, if the audit cover</w:t>
      </w:r>
      <w:r w:rsidR="00E66D5C">
        <w:rPr>
          <w:rStyle w:val="normaltextrun"/>
          <w:color w:val="000000"/>
          <w:shd w:val="clear" w:color="auto" w:fill="FFFFFF"/>
        </w:rPr>
        <w:t>s</w:t>
      </w:r>
      <w:r>
        <w:rPr>
          <w:rStyle w:val="normaltextrun"/>
          <w:color w:val="000000"/>
          <w:shd w:val="clear" w:color="auto" w:fill="FFFFFF"/>
        </w:rPr>
        <w:t xml:space="preserve"> the reasonable assurance matter</w:t>
      </w:r>
      <w:r w:rsidR="009077AE">
        <w:rPr>
          <w:rStyle w:val="normaltextrun"/>
          <w:color w:val="000000"/>
          <w:shd w:val="clear" w:color="auto" w:fill="FFFFFF"/>
        </w:rPr>
        <w:t xml:space="preserve"> </w:t>
      </w:r>
      <w:r w:rsidR="002F00DA">
        <w:rPr>
          <w:rStyle w:val="normaltextrun"/>
          <w:color w:val="000000"/>
          <w:shd w:val="clear" w:color="auto" w:fill="FFFFFF"/>
        </w:rPr>
        <w:t>for</w:t>
      </w:r>
      <w:r w:rsidR="009077AE">
        <w:rPr>
          <w:rStyle w:val="normaltextrun"/>
          <w:color w:val="000000"/>
          <w:shd w:val="clear" w:color="auto" w:fill="FFFFFF"/>
        </w:rPr>
        <w:t xml:space="preserve"> covered emissions</w:t>
      </w:r>
      <w:r w:rsidR="00283193">
        <w:rPr>
          <w:rStyle w:val="normaltextrun"/>
          <w:color w:val="000000"/>
          <w:shd w:val="clear" w:color="auto" w:fill="FFFFFF"/>
        </w:rPr>
        <w:t xml:space="preserve"> for the facility in each </w:t>
      </w:r>
      <w:r w:rsidR="006F1C96">
        <w:rPr>
          <w:rStyle w:val="normaltextrun"/>
          <w:color w:val="000000"/>
          <w:shd w:val="clear" w:color="auto" w:fill="FFFFFF"/>
        </w:rPr>
        <w:t>historical financial year</w:t>
      </w:r>
      <w:r w:rsidR="005901B9">
        <w:rPr>
          <w:rStyle w:val="normaltextrun"/>
          <w:color w:val="000000"/>
          <w:shd w:val="clear" w:color="auto" w:fill="FFFFFF"/>
        </w:rPr>
        <w:t>,</w:t>
      </w:r>
      <w:r w:rsidR="009077AE">
        <w:rPr>
          <w:rStyle w:val="normaltextrun"/>
          <w:color w:val="000000"/>
          <w:shd w:val="clear" w:color="auto" w:fill="FFFFFF"/>
        </w:rPr>
        <w:t xml:space="preserve"> then </w:t>
      </w:r>
      <w:r w:rsidR="0010791F">
        <w:rPr>
          <w:rStyle w:val="normaltextrun"/>
          <w:color w:val="000000"/>
          <w:shd w:val="clear" w:color="auto" w:fill="FFFFFF"/>
        </w:rPr>
        <w:t>it also covers</w:t>
      </w:r>
      <w:r w:rsidR="008B5561">
        <w:rPr>
          <w:rStyle w:val="normaltextrun"/>
          <w:color w:val="000000"/>
          <w:shd w:val="clear" w:color="auto" w:fill="FFFFFF"/>
        </w:rPr>
        <w:t xml:space="preserve"> </w:t>
      </w:r>
      <w:r w:rsidR="009077AE">
        <w:rPr>
          <w:rStyle w:val="normaltextrun"/>
          <w:color w:val="000000"/>
          <w:shd w:val="clear" w:color="auto" w:fill="FFFFFF"/>
        </w:rPr>
        <w:t>the</w:t>
      </w:r>
      <w:r w:rsidR="006F1C96">
        <w:rPr>
          <w:rStyle w:val="normaltextrun"/>
          <w:color w:val="000000"/>
          <w:shd w:val="clear" w:color="auto" w:fill="FFFFFF"/>
        </w:rPr>
        <w:t xml:space="preserve"> related </w:t>
      </w:r>
      <w:r w:rsidR="009077AE">
        <w:rPr>
          <w:rStyle w:val="normaltextrun"/>
          <w:color w:val="000000"/>
          <w:shd w:val="clear" w:color="auto" w:fill="FFFFFF"/>
        </w:rPr>
        <w:t>limited assurance matter</w:t>
      </w:r>
      <w:r w:rsidR="00D65C21">
        <w:rPr>
          <w:rStyle w:val="normaltextrun"/>
          <w:color w:val="000000"/>
          <w:shd w:val="clear" w:color="auto" w:fill="FFFFFF"/>
        </w:rPr>
        <w:t>.</w:t>
      </w:r>
      <w:r w:rsidR="00762904">
        <w:rPr>
          <w:rStyle w:val="normaltextrun"/>
          <w:color w:val="000000"/>
          <w:shd w:val="clear" w:color="auto" w:fill="FFFFFF"/>
        </w:rPr>
        <w:t xml:space="preserve"> </w:t>
      </w:r>
    </w:p>
    <w:p w14:paraId="2C8FFF8A" w14:textId="3BFEBCC5" w:rsidR="004A30C7" w:rsidRPr="00E5688B" w:rsidRDefault="00AE64F4" w:rsidP="008A609D">
      <w:pPr>
        <w:pStyle w:val="Heading2"/>
      </w:pPr>
      <w:bookmarkStart w:id="195" w:name="_Historical_production_variable"/>
      <w:bookmarkStart w:id="196" w:name="_Toc138922924"/>
      <w:bookmarkStart w:id="197" w:name="_Toc138922999"/>
      <w:bookmarkStart w:id="198" w:name="_Toc138923063"/>
      <w:bookmarkStart w:id="199" w:name="_Toc138923320"/>
      <w:bookmarkStart w:id="200" w:name="_Toc143503193"/>
      <w:bookmarkStart w:id="201" w:name="_Toc208216276"/>
      <w:bookmarkEnd w:id="195"/>
      <w:r>
        <w:t xml:space="preserve">Historical </w:t>
      </w:r>
      <w:r w:rsidR="001038B8">
        <w:t xml:space="preserve">production </w:t>
      </w:r>
      <w:r w:rsidR="00B439C6">
        <w:t xml:space="preserve">variable </w:t>
      </w:r>
      <w:r w:rsidR="004A30C7">
        <w:t>information</w:t>
      </w:r>
      <w:bookmarkEnd w:id="196"/>
      <w:bookmarkEnd w:id="197"/>
      <w:bookmarkEnd w:id="198"/>
      <w:bookmarkEnd w:id="199"/>
      <w:bookmarkEnd w:id="200"/>
      <w:bookmarkEnd w:id="201"/>
    </w:p>
    <w:p w14:paraId="7370B6A0" w14:textId="6949F80C" w:rsidR="004A30C7" w:rsidRPr="00E200FE" w:rsidRDefault="00E200FE" w:rsidP="00376145">
      <w:pPr>
        <w:pStyle w:val="CERbullets"/>
        <w:numPr>
          <w:ilvl w:val="0"/>
          <w:numId w:val="0"/>
        </w:numPr>
        <w:rPr>
          <w:b/>
        </w:rPr>
      </w:pPr>
      <w:r w:rsidRPr="008A609D">
        <w:rPr>
          <w:bCs/>
        </w:rPr>
        <w:t xml:space="preserve">As noted above, for each </w:t>
      </w:r>
      <w:r w:rsidR="00D02560">
        <w:rPr>
          <w:bCs/>
        </w:rPr>
        <w:t>historical</w:t>
      </w:r>
      <w:r w:rsidRPr="008A609D">
        <w:rPr>
          <w:bCs/>
        </w:rPr>
        <w:t xml:space="preserve"> production variable </w:t>
      </w:r>
      <w:r w:rsidR="06F88266">
        <w:t>that was commercially produced</w:t>
      </w:r>
      <w:r w:rsidRPr="008A609D">
        <w:rPr>
          <w:bCs/>
        </w:rPr>
        <w:t xml:space="preserve"> in a </w:t>
      </w:r>
      <w:r w:rsidR="004A30C7" w:rsidRPr="00E200FE">
        <w:rPr>
          <w:bCs/>
        </w:rPr>
        <w:t xml:space="preserve">historical </w:t>
      </w:r>
      <w:r w:rsidRPr="008A609D">
        <w:t>financial year (</w:t>
      </w:r>
      <w:r w:rsidR="006129C4">
        <w:t xml:space="preserve">that is, </w:t>
      </w:r>
      <w:r w:rsidRPr="008A609D">
        <w:t>2017-18 to 2021-22)</w:t>
      </w:r>
      <w:r w:rsidR="00E053FA">
        <w:t xml:space="preserve"> </w:t>
      </w:r>
      <w:r w:rsidR="00FC2671">
        <w:t>the applica</w:t>
      </w:r>
      <w:r w:rsidR="000926D9">
        <w:t>nt</w:t>
      </w:r>
      <w:r w:rsidR="00FC2671">
        <w:t xml:space="preserve"> </w:t>
      </w:r>
      <w:r w:rsidR="00C863E7">
        <w:t xml:space="preserve">is </w:t>
      </w:r>
      <w:r w:rsidR="00E053FA">
        <w:t xml:space="preserve">required to provide </w:t>
      </w:r>
      <w:r w:rsidR="00AA37A2">
        <w:t xml:space="preserve">the following </w:t>
      </w:r>
      <w:r w:rsidR="006E7715">
        <w:t xml:space="preserve">‘designated </w:t>
      </w:r>
      <w:r w:rsidR="00035EC4">
        <w:t>historical</w:t>
      </w:r>
      <w:r w:rsidR="00AA37A2">
        <w:t xml:space="preserve"> information</w:t>
      </w:r>
      <w:r w:rsidR="006E7715">
        <w:t>’</w:t>
      </w:r>
      <w:r w:rsidR="00AA37A2">
        <w:t>:</w:t>
      </w:r>
    </w:p>
    <w:p w14:paraId="461B0166" w14:textId="12E2D9E3" w:rsidR="004A30C7" w:rsidRPr="00E200FE" w:rsidRDefault="004A30C7" w:rsidP="001B527E">
      <w:pPr>
        <w:pStyle w:val="CERbullets"/>
        <w:rPr>
          <w:b/>
        </w:rPr>
      </w:pPr>
      <w:r>
        <w:t xml:space="preserve">production quantities for each historical production variable produced in each historical financial year </w:t>
      </w:r>
    </w:p>
    <w:p w14:paraId="151187D7" w14:textId="1DC7DEB2" w:rsidR="004A30C7" w:rsidRPr="00E200FE" w:rsidRDefault="497A9BB3" w:rsidP="001B527E">
      <w:pPr>
        <w:pStyle w:val="CERbullets"/>
        <w:rPr>
          <w:b/>
        </w:rPr>
      </w:pPr>
      <w:r>
        <w:t xml:space="preserve">the </w:t>
      </w:r>
      <w:proofErr w:type="gramStart"/>
      <w:r>
        <w:t>amount</w:t>
      </w:r>
      <w:proofErr w:type="gramEnd"/>
      <w:r>
        <w:t xml:space="preserve"> of </w:t>
      </w:r>
      <w:r w:rsidR="004A30C7">
        <w:t>covered emissions associated with each historical production variable in tCO</w:t>
      </w:r>
      <w:r w:rsidR="004A30C7" w:rsidRPr="1F1F8E47">
        <w:rPr>
          <w:vertAlign w:val="subscript"/>
        </w:rPr>
        <w:t>2</w:t>
      </w:r>
      <w:r w:rsidR="004A30C7">
        <w:t xml:space="preserve">-e in each historical financial year </w:t>
      </w:r>
    </w:p>
    <w:p w14:paraId="01C1556C" w14:textId="51D9B2E0" w:rsidR="00B91E88" w:rsidRPr="00B90561" w:rsidRDefault="006A2AA6" w:rsidP="00923C13">
      <w:r>
        <w:t xml:space="preserve">This information is required to determine the </w:t>
      </w:r>
      <w:r w:rsidR="00EE4403">
        <w:t>FSEI</w:t>
      </w:r>
      <w:r>
        <w:t xml:space="preserve"> value for </w:t>
      </w:r>
      <w:r w:rsidR="000749C5">
        <w:t xml:space="preserve">each historical </w:t>
      </w:r>
      <w:r>
        <w:t>production variable</w:t>
      </w:r>
      <w:r w:rsidR="000749C5">
        <w:t xml:space="preserve"> identified in </w:t>
      </w:r>
      <w:r w:rsidR="00821944">
        <w:t xml:space="preserve">the </w:t>
      </w:r>
      <w:r w:rsidR="000749C5">
        <w:t>application.</w:t>
      </w:r>
    </w:p>
    <w:p w14:paraId="51536238" w14:textId="6231C5B5" w:rsidR="000E6194" w:rsidRDefault="00613F14" w:rsidP="00425AAC">
      <w:pPr>
        <w:pStyle w:val="Heading3"/>
      </w:pPr>
      <w:bookmarkStart w:id="202" w:name="_Exclusion_of_historical"/>
      <w:bookmarkEnd w:id="202"/>
      <w:r>
        <w:t xml:space="preserve">Exclusion of </w:t>
      </w:r>
      <w:r w:rsidR="008D2810">
        <w:t xml:space="preserve">designated </w:t>
      </w:r>
      <w:r>
        <w:t>historical information</w:t>
      </w:r>
    </w:p>
    <w:p w14:paraId="64996F2F" w14:textId="421A133A" w:rsidR="003A3374" w:rsidRDefault="003A3374" w:rsidP="00376145">
      <w:pPr>
        <w:spacing w:before="240"/>
        <w:rPr>
          <w:bCs/>
        </w:rPr>
      </w:pPr>
      <w:r>
        <w:rPr>
          <w:bCs/>
        </w:rPr>
        <w:t>Under limited circumstances, where it is not reasonably practical to include certain historical production variable information in an application it can be excluded from the application.</w:t>
      </w:r>
    </w:p>
    <w:p w14:paraId="75A87C60" w14:textId="77777777" w:rsidR="00494857" w:rsidRDefault="006C65DE" w:rsidP="006C65DE">
      <w:pPr>
        <w:pStyle w:val="CERbullets"/>
        <w:numPr>
          <w:ilvl w:val="0"/>
          <w:numId w:val="0"/>
        </w:numPr>
      </w:pPr>
      <w:r w:rsidRPr="001D55E4">
        <w:t xml:space="preserve">The scenarios in which historical information can be excluded </w:t>
      </w:r>
      <w:r>
        <w:t xml:space="preserve">are limited and primarily relate to where the relevant historical data is not available to the applicant. </w:t>
      </w:r>
    </w:p>
    <w:p w14:paraId="4FE4C806" w14:textId="07201A95" w:rsidR="006C65DE" w:rsidRDefault="006C65DE" w:rsidP="006C65DE">
      <w:pPr>
        <w:pStyle w:val="CERbullets"/>
        <w:numPr>
          <w:ilvl w:val="0"/>
          <w:numId w:val="0"/>
        </w:numPr>
      </w:pPr>
      <w:r>
        <w:t xml:space="preserve">Some examples include where the information: </w:t>
      </w:r>
    </w:p>
    <w:p w14:paraId="16DA60C1" w14:textId="77777777" w:rsidR="006C65DE" w:rsidRDefault="006C65DE" w:rsidP="006C65DE">
      <w:pPr>
        <w:pStyle w:val="CERbullets"/>
      </w:pPr>
      <w:r>
        <w:t>has been lost and attempts to locate and retrieve the information is not reasonably practical</w:t>
      </w:r>
    </w:p>
    <w:p w14:paraId="52BE8608" w14:textId="11235D77" w:rsidR="006C65DE" w:rsidRDefault="006C65DE" w:rsidP="006C65DE">
      <w:pPr>
        <w:pStyle w:val="CERbullets"/>
      </w:pPr>
      <w:r>
        <w:t>is materially incomplete</w:t>
      </w:r>
    </w:p>
    <w:p w14:paraId="7228CA67" w14:textId="62250E7C" w:rsidR="006C65DE" w:rsidRDefault="006C65DE" w:rsidP="006C65DE">
      <w:pPr>
        <w:pStyle w:val="CERbullets"/>
      </w:pPr>
      <w:r>
        <w:t>is not held by the applicant and the applicant has no right of access to the data (</w:t>
      </w:r>
      <w:r w:rsidR="00F33100">
        <w:t xml:space="preserve">for example, </w:t>
      </w:r>
      <w:r>
        <w:t>due to a change in ownership or responsible emitter for the facility)</w:t>
      </w:r>
      <w:r w:rsidR="00F33100">
        <w:t>.</w:t>
      </w:r>
    </w:p>
    <w:p w14:paraId="20ABA310" w14:textId="18ADAB10" w:rsidR="006C65DE" w:rsidRPr="0099124B" w:rsidRDefault="006C65DE" w:rsidP="006C65DE">
      <w:pPr>
        <w:pStyle w:val="CERbullets"/>
        <w:numPr>
          <w:ilvl w:val="0"/>
          <w:numId w:val="0"/>
        </w:numPr>
      </w:pPr>
      <w:r>
        <w:t xml:space="preserve">There may be other scenarios where an applicant </w:t>
      </w:r>
      <w:r w:rsidR="000A2BE8">
        <w:t>determines that</w:t>
      </w:r>
      <w:r>
        <w:t xml:space="preserve"> it is not reasonably practical to provide historical information – </w:t>
      </w:r>
      <w:r w:rsidR="00F33100">
        <w:t xml:space="preserve">for example, </w:t>
      </w:r>
      <w:r>
        <w:t>where a facility has undergone a significant change in activities or restructure.</w:t>
      </w:r>
      <w:r w:rsidR="002C4625">
        <w:t xml:space="preserve"> </w:t>
      </w:r>
      <w:r>
        <w:t xml:space="preserve">However, the </w:t>
      </w:r>
      <w:r w:rsidR="00BF532F">
        <w:t>CER</w:t>
      </w:r>
      <w:r w:rsidR="00BF532F" w:rsidRPr="3FB6375E">
        <w:t xml:space="preserve"> </w:t>
      </w:r>
      <w:r>
        <w:t>generally expect</w:t>
      </w:r>
      <w:r w:rsidR="3C9F3FD9">
        <w:t>s</w:t>
      </w:r>
      <w:r>
        <w:t xml:space="preserve"> that an applicant has access to historical production and emissions data</w:t>
      </w:r>
      <w:r w:rsidR="0061255A">
        <w:t xml:space="preserve"> for </w:t>
      </w:r>
      <w:r w:rsidR="00FF6A92">
        <w:t>the facility(s)</w:t>
      </w:r>
      <w:r w:rsidR="000559BF">
        <w:t>.</w:t>
      </w:r>
    </w:p>
    <w:p w14:paraId="739B7394" w14:textId="3C9D0EFD" w:rsidR="006C65DE" w:rsidRPr="001D55E4" w:rsidRDefault="008900D2" w:rsidP="006C65DE">
      <w:r>
        <w:t>T</w:t>
      </w:r>
      <w:r w:rsidR="006C65DE">
        <w:t xml:space="preserve">he </w:t>
      </w:r>
      <w:r w:rsidR="00BF532F">
        <w:t>CER</w:t>
      </w:r>
      <w:r w:rsidR="00BF532F" w:rsidRPr="3FB6375E">
        <w:t xml:space="preserve"> </w:t>
      </w:r>
      <w:r w:rsidR="006C65DE">
        <w:t xml:space="preserve">can generally provide historical NGER reports and related information for facilities to the organisation that submitted the NGER report. </w:t>
      </w:r>
      <w:r w:rsidR="00D3707C">
        <w:t xml:space="preserve">Section 71 of the </w:t>
      </w:r>
      <w:r w:rsidR="006C65DE">
        <w:t>Safeguard Rule</w:t>
      </w:r>
      <w:r w:rsidR="00F33100">
        <w:t xml:space="preserve"> </w:t>
      </w:r>
      <w:r w:rsidR="006C65DE">
        <w:t xml:space="preserve">permits the </w:t>
      </w:r>
      <w:r w:rsidR="00BF532F">
        <w:t>CER</w:t>
      </w:r>
      <w:r w:rsidR="00BF532F" w:rsidRPr="3FB6375E">
        <w:t xml:space="preserve"> </w:t>
      </w:r>
      <w:r w:rsidR="006C65DE">
        <w:t xml:space="preserve">to disclose historical NGER data to applicants </w:t>
      </w:r>
      <w:r w:rsidR="002A37AD">
        <w:t>that are not the organisation that submitted the NGER report</w:t>
      </w:r>
      <w:r w:rsidR="006C65DE">
        <w:t xml:space="preserve"> for the purpose of preparing a baseline application. If you are having difficulty locating or accessing data required for </w:t>
      </w:r>
      <w:r w:rsidR="007A28DA">
        <w:t xml:space="preserve">an </w:t>
      </w:r>
      <w:r w:rsidR="00F33100">
        <w:t>application,</w:t>
      </w:r>
      <w:r w:rsidR="006C65DE">
        <w:t xml:space="preserve"> please contact </w:t>
      </w:r>
      <w:r w:rsidR="003600F6">
        <w:t xml:space="preserve">the </w:t>
      </w:r>
      <w:r w:rsidR="00BF532F">
        <w:t>CER</w:t>
      </w:r>
      <w:r w:rsidR="003600F6">
        <w:t>.</w:t>
      </w:r>
      <w:r w:rsidR="00D3707C" w:rsidRPr="00D3707C">
        <w:t xml:space="preserve"> </w:t>
      </w:r>
    </w:p>
    <w:p w14:paraId="20F2C9FA" w14:textId="424422C5" w:rsidR="008323D8" w:rsidRDefault="00702BE0" w:rsidP="00B04EEB">
      <w:pPr>
        <w:rPr>
          <w:bCs/>
        </w:rPr>
      </w:pPr>
      <w:r>
        <w:rPr>
          <w:bCs/>
        </w:rPr>
        <w:t>The CER</w:t>
      </w:r>
      <w:r w:rsidR="00012513">
        <w:rPr>
          <w:bCs/>
        </w:rPr>
        <w:t xml:space="preserve"> </w:t>
      </w:r>
      <w:r w:rsidR="00AF2083">
        <w:rPr>
          <w:bCs/>
        </w:rPr>
        <w:t>does not consider the following to</w:t>
      </w:r>
      <w:r w:rsidR="00DB01F9">
        <w:rPr>
          <w:bCs/>
        </w:rPr>
        <w:t xml:space="preserve"> </w:t>
      </w:r>
      <w:r w:rsidR="006A6237">
        <w:rPr>
          <w:bCs/>
        </w:rPr>
        <w:t>be</w:t>
      </w:r>
      <w:r w:rsidR="000066B0">
        <w:rPr>
          <w:bCs/>
        </w:rPr>
        <w:t xml:space="preserve"> </w:t>
      </w:r>
      <w:r w:rsidR="005808B4">
        <w:rPr>
          <w:bCs/>
        </w:rPr>
        <w:t>acceptable</w:t>
      </w:r>
      <w:r w:rsidR="006A6237">
        <w:rPr>
          <w:bCs/>
        </w:rPr>
        <w:t xml:space="preserve"> </w:t>
      </w:r>
      <w:r w:rsidR="009D013D">
        <w:rPr>
          <w:bCs/>
        </w:rPr>
        <w:t>reasons</w:t>
      </w:r>
      <w:r w:rsidR="006A6237">
        <w:rPr>
          <w:bCs/>
        </w:rPr>
        <w:t xml:space="preserve"> for excluding designated historical information: </w:t>
      </w:r>
    </w:p>
    <w:p w14:paraId="44B2B6E5" w14:textId="14507EDD" w:rsidR="00B04EEB" w:rsidRDefault="00A54945" w:rsidP="008323D8">
      <w:pPr>
        <w:pStyle w:val="CERbullets"/>
      </w:pPr>
      <w:r>
        <w:t xml:space="preserve">where </w:t>
      </w:r>
      <w:r w:rsidR="00A720CE">
        <w:t>the facility underwent significant shutdown</w:t>
      </w:r>
      <w:r w:rsidR="0045046F">
        <w:t>s</w:t>
      </w:r>
      <w:r w:rsidR="00A720CE">
        <w:t xml:space="preserve"> </w:t>
      </w:r>
      <w:r w:rsidR="008323D8">
        <w:t>and/</w:t>
      </w:r>
      <w:r w:rsidR="00A720CE">
        <w:t xml:space="preserve">or maintenance periods </w:t>
      </w:r>
      <w:r w:rsidR="0045046F">
        <w:t>(planned or unplanned)</w:t>
      </w:r>
      <w:r w:rsidR="00A720CE">
        <w:t xml:space="preserve"> </w:t>
      </w:r>
      <w:r w:rsidR="008323D8">
        <w:t>in a financial year</w:t>
      </w:r>
    </w:p>
    <w:p w14:paraId="20B06196" w14:textId="2B0252F5" w:rsidR="008323D8" w:rsidRDefault="00CF624C" w:rsidP="008323D8">
      <w:pPr>
        <w:pStyle w:val="CERbullets"/>
      </w:pPr>
      <w:r>
        <w:t>where production</w:t>
      </w:r>
      <w:r w:rsidR="00596853">
        <w:t>,</w:t>
      </w:r>
      <w:r>
        <w:t xml:space="preserve"> emissions </w:t>
      </w:r>
      <w:r w:rsidR="009947BE">
        <w:t xml:space="preserve">and/or emissions intensities were not representative of normal steady state operations at the facility </w:t>
      </w:r>
    </w:p>
    <w:p w14:paraId="43DF1B61" w14:textId="1955E1E5" w:rsidR="00214DAE" w:rsidRDefault="00214DAE" w:rsidP="008323D8">
      <w:pPr>
        <w:pStyle w:val="CERbullets"/>
      </w:pPr>
      <w:r>
        <w:t>equipment failures</w:t>
      </w:r>
    </w:p>
    <w:p w14:paraId="58C7DB6F" w14:textId="5AD0DAD4" w:rsidR="00214DAE" w:rsidRDefault="00313AE5" w:rsidP="008323D8">
      <w:pPr>
        <w:pStyle w:val="CERbullets"/>
      </w:pPr>
      <w:r>
        <w:t xml:space="preserve">natural </w:t>
      </w:r>
      <w:r w:rsidR="009947BE">
        <w:t>variability</w:t>
      </w:r>
      <w:r>
        <w:t xml:space="preserve"> in emissions</w:t>
      </w:r>
      <w:r w:rsidR="009947BE">
        <w:t xml:space="preserve"> (</w:t>
      </w:r>
      <w:r w:rsidR="006129C4">
        <w:t>for example,</w:t>
      </w:r>
      <w:r w:rsidR="009947BE">
        <w:t xml:space="preserve"> gas content in </w:t>
      </w:r>
      <w:r w:rsidR="005B3285">
        <w:t>coal</w:t>
      </w:r>
      <w:r w:rsidR="00231377">
        <w:t>)</w:t>
      </w:r>
    </w:p>
    <w:p w14:paraId="5439B05D" w14:textId="43813CA8" w:rsidR="00720C35" w:rsidRDefault="00720C35" w:rsidP="001B527E">
      <w:pPr>
        <w:pStyle w:val="CERbullets"/>
      </w:pPr>
      <w:r>
        <w:t>environmental or operating factors</w:t>
      </w:r>
    </w:p>
    <w:p w14:paraId="1DB383F2" w14:textId="1967F07A" w:rsidR="00122C7A" w:rsidRDefault="00CB5B12" w:rsidP="001B527E">
      <w:pPr>
        <w:pStyle w:val="CERbullets"/>
      </w:pPr>
      <w:r>
        <w:t>c</w:t>
      </w:r>
      <w:r w:rsidR="00122C7A">
        <w:t>hanges in activities at the facility (</w:t>
      </w:r>
      <w:r w:rsidR="006129C4">
        <w:t xml:space="preserve">that is, </w:t>
      </w:r>
      <w:r w:rsidR="00122C7A">
        <w:t>new equipment, change in fuel types</w:t>
      </w:r>
      <w:r w:rsidR="00E84FC4">
        <w:t>, changes in NGER reporting methods)</w:t>
      </w:r>
      <w:r w:rsidR="006129C4">
        <w:t>.</w:t>
      </w:r>
    </w:p>
    <w:p w14:paraId="3ADE8DBB" w14:textId="58222122" w:rsidR="00A72153" w:rsidRDefault="009D013D" w:rsidP="001B527E">
      <w:r>
        <w:t xml:space="preserve">The above list is non-exhaustive. If </w:t>
      </w:r>
      <w:r w:rsidR="0054661E">
        <w:t xml:space="preserve">the applicant is unsure about excluding historical </w:t>
      </w:r>
      <w:proofErr w:type="gramStart"/>
      <w:r w:rsidR="0054661E">
        <w:t>information</w:t>
      </w:r>
      <w:proofErr w:type="gramEnd"/>
      <w:r w:rsidR="001B0129">
        <w:t xml:space="preserve"> please contact the CER.</w:t>
      </w:r>
      <w:r w:rsidR="00A72153">
        <w:t xml:space="preserve"> </w:t>
      </w:r>
    </w:p>
    <w:p w14:paraId="5587D32E" w14:textId="3898AC33" w:rsidR="00752EC6" w:rsidRDefault="00396F88" w:rsidP="001B527E">
      <w:r>
        <w:t xml:space="preserve">If </w:t>
      </w:r>
      <w:r w:rsidR="00181F76">
        <w:t xml:space="preserve">the applicant </w:t>
      </w:r>
      <w:r>
        <w:t>decide</w:t>
      </w:r>
      <w:r w:rsidR="00181F76">
        <w:t>s</w:t>
      </w:r>
      <w:r>
        <w:t xml:space="preserve"> to exclude information on the basis that it is not reasonably practical to provide the </w:t>
      </w:r>
      <w:r w:rsidR="0090625A">
        <w:t>information</w:t>
      </w:r>
      <w:r w:rsidR="00181F76">
        <w:t xml:space="preserve">, the application </w:t>
      </w:r>
      <w:r w:rsidR="00282425">
        <w:t>must</w:t>
      </w:r>
      <w:r w:rsidR="00D569D3">
        <w:t xml:space="preserve"> include an explanation</w:t>
      </w:r>
      <w:r w:rsidR="004E1205">
        <w:t xml:space="preserve"> </w:t>
      </w:r>
      <w:r w:rsidR="005C3EF4">
        <w:t xml:space="preserve">of </w:t>
      </w:r>
      <w:r w:rsidR="004E1205">
        <w:t xml:space="preserve">why </w:t>
      </w:r>
      <w:r w:rsidR="00561EBF">
        <w:t>the</w:t>
      </w:r>
      <w:r w:rsidR="004E1205">
        <w:t xml:space="preserve"> information has </w:t>
      </w:r>
      <w:r w:rsidR="00561EBF">
        <w:t>not be</w:t>
      </w:r>
      <w:r w:rsidR="006A7927">
        <w:t>en</w:t>
      </w:r>
      <w:r w:rsidR="00561EBF">
        <w:t xml:space="preserve"> included. </w:t>
      </w:r>
      <w:r w:rsidR="00B175FC">
        <w:t xml:space="preserve">Any explanation should </w:t>
      </w:r>
      <w:r w:rsidR="007E7EF3">
        <w:t>cover the following</w:t>
      </w:r>
      <w:r w:rsidR="002D17D3">
        <w:t>:</w:t>
      </w:r>
      <w:r w:rsidR="00A72153">
        <w:t xml:space="preserve"> </w:t>
      </w:r>
    </w:p>
    <w:p w14:paraId="72323B09" w14:textId="76CA9A21" w:rsidR="002D17D3" w:rsidRDefault="00A34E9D" w:rsidP="002D17D3">
      <w:pPr>
        <w:pStyle w:val="CERbullets"/>
      </w:pPr>
      <w:r>
        <w:t>why it is not reasonably practical to provide the information</w:t>
      </w:r>
    </w:p>
    <w:p w14:paraId="5F4DB584" w14:textId="7A290D1B" w:rsidR="00752EC6" w:rsidRDefault="00752EC6" w:rsidP="002D17D3">
      <w:pPr>
        <w:pStyle w:val="CERbullets"/>
      </w:pPr>
      <w:r>
        <w:t>why the applicant does not have the required information</w:t>
      </w:r>
    </w:p>
    <w:p w14:paraId="1FB66E8D" w14:textId="52B1C6ED" w:rsidR="00752EC6" w:rsidRDefault="00752EC6" w:rsidP="001B527E">
      <w:pPr>
        <w:pStyle w:val="CERbullets"/>
      </w:pPr>
      <w:r>
        <w:t>what if any steps have been taken to gain access to the data</w:t>
      </w:r>
    </w:p>
    <w:p w14:paraId="41DF82A2" w14:textId="7B4AF6C8" w:rsidR="00563929" w:rsidRPr="008A609D" w:rsidRDefault="00563929" w:rsidP="001B527E">
      <w:pPr>
        <w:pStyle w:val="CERbullets"/>
      </w:pPr>
      <w:r>
        <w:t xml:space="preserve">any estimates if available </w:t>
      </w:r>
      <w:r w:rsidR="00042C8D">
        <w:t xml:space="preserve">of the impact </w:t>
      </w:r>
      <w:r w:rsidR="00CB42E0">
        <w:t xml:space="preserve">of not providing </w:t>
      </w:r>
      <w:r w:rsidR="001B258A">
        <w:t xml:space="preserve">certain information </w:t>
      </w:r>
      <w:r w:rsidR="00042C8D">
        <w:t xml:space="preserve">on the </w:t>
      </w:r>
      <w:r w:rsidR="00F74EB1">
        <w:t>FSEI</w:t>
      </w:r>
      <w:r w:rsidR="000814F9">
        <w:t xml:space="preserve"> </w:t>
      </w:r>
      <w:r w:rsidR="003F0FD5">
        <w:t xml:space="preserve">of each production variable </w:t>
      </w:r>
    </w:p>
    <w:p w14:paraId="1D4ECB07" w14:textId="6006ECD6" w:rsidR="0075434E" w:rsidRPr="00A23E6F" w:rsidRDefault="0075434E" w:rsidP="001B527E">
      <w:pPr>
        <w:pStyle w:val="CERbullets"/>
      </w:pPr>
      <w:r>
        <w:t xml:space="preserve">any other information the applicant feels is necessary to explain why it was not reasonably practical </w:t>
      </w:r>
      <w:r w:rsidR="007B262C">
        <w:t>to provide the information.</w:t>
      </w:r>
    </w:p>
    <w:p w14:paraId="09BAA0F5" w14:textId="4AAAE2C4" w:rsidR="0023291C" w:rsidRDefault="006C65DE" w:rsidP="008A609D">
      <w:r>
        <w:t>Note that b</w:t>
      </w:r>
      <w:r w:rsidR="00081F9E" w:rsidRPr="0099124B">
        <w:t xml:space="preserve">efore </w:t>
      </w:r>
      <w:proofErr w:type="gramStart"/>
      <w:r w:rsidR="00B561BA">
        <w:t>making a determination</w:t>
      </w:r>
      <w:proofErr w:type="gramEnd"/>
      <w:r w:rsidR="00B561BA">
        <w:t>,</w:t>
      </w:r>
      <w:r w:rsidR="00081F9E" w:rsidRPr="0099124B">
        <w:t xml:space="preserve"> the </w:t>
      </w:r>
      <w:r w:rsidR="00336041">
        <w:t>CER</w:t>
      </w:r>
      <w:r w:rsidR="00336041" w:rsidRPr="0099124B">
        <w:t xml:space="preserve"> </w:t>
      </w:r>
      <w:r w:rsidR="00081F9E" w:rsidRPr="0099124B">
        <w:t xml:space="preserve">needs to be satisfied that </w:t>
      </w:r>
      <w:r w:rsidR="00A142DA">
        <w:t>the</w:t>
      </w:r>
      <w:r w:rsidR="00081F9E">
        <w:t xml:space="preserve"> </w:t>
      </w:r>
      <w:r w:rsidR="00081F9E" w:rsidRPr="0099124B">
        <w:t>explanation is reasonable (see</w:t>
      </w:r>
      <w:r w:rsidR="004A3A2D">
        <w:t xml:space="preserve"> </w:t>
      </w:r>
      <w:hyperlink w:anchor="_Decision_to_make" w:history="1">
        <w:r w:rsidR="004A3A2D" w:rsidRPr="00837BF1">
          <w:rPr>
            <w:rStyle w:val="Hyperlink"/>
            <w:rFonts w:asciiTheme="minorHAnsi" w:hAnsiTheme="minorHAnsi"/>
          </w:rPr>
          <w:t xml:space="preserve">Part </w:t>
        </w:r>
        <w:r w:rsidR="00E20707" w:rsidRPr="00E20707">
          <w:rPr>
            <w:rStyle w:val="Hyperlink"/>
            <w:rFonts w:asciiTheme="minorHAnsi" w:hAnsiTheme="minorHAnsi"/>
          </w:rPr>
          <w:t>4</w:t>
        </w:r>
        <w:r w:rsidR="00037744" w:rsidRPr="00E20707">
          <w:rPr>
            <w:rStyle w:val="Hyperlink"/>
            <w:rFonts w:asciiTheme="minorHAnsi" w:hAnsiTheme="minorHAnsi"/>
          </w:rPr>
          <w:t>.1.2 D</w:t>
        </w:r>
        <w:r w:rsidR="00037744" w:rsidRPr="00837BF1">
          <w:rPr>
            <w:rStyle w:val="Hyperlink"/>
            <w:rFonts w:asciiTheme="minorHAnsi" w:hAnsiTheme="minorHAnsi"/>
          </w:rPr>
          <w:t xml:space="preserve">ecision to make an </w:t>
        </w:r>
        <w:r w:rsidR="0095149E">
          <w:rPr>
            <w:rStyle w:val="Hyperlink"/>
            <w:rFonts w:asciiTheme="minorHAnsi" w:hAnsiTheme="minorHAnsi"/>
          </w:rPr>
          <w:t>emissions-intensity</w:t>
        </w:r>
        <w:r w:rsidR="00037744" w:rsidRPr="00837BF1">
          <w:rPr>
            <w:rStyle w:val="Hyperlink"/>
            <w:rFonts w:asciiTheme="minorHAnsi" w:hAnsiTheme="minorHAnsi"/>
          </w:rPr>
          <w:t xml:space="preserve"> determination</w:t>
        </w:r>
      </w:hyperlink>
      <w:r w:rsidR="00037744">
        <w:t xml:space="preserve"> for more information</w:t>
      </w:r>
      <w:r w:rsidR="00081F9E" w:rsidRPr="0099124B">
        <w:t>).</w:t>
      </w:r>
      <w:r w:rsidR="003356BA">
        <w:t xml:space="preserve"> If the </w:t>
      </w:r>
      <w:r w:rsidR="00336041">
        <w:t xml:space="preserve">CER </w:t>
      </w:r>
      <w:r w:rsidR="003356BA">
        <w:t>is not satisfied with the explanation</w:t>
      </w:r>
      <w:r w:rsidR="00E21477">
        <w:t>,</w:t>
      </w:r>
      <w:r w:rsidR="003356BA">
        <w:t xml:space="preserve"> further information will be requested before </w:t>
      </w:r>
      <w:proofErr w:type="gramStart"/>
      <w:r w:rsidR="003356BA">
        <w:t>making a decision</w:t>
      </w:r>
      <w:proofErr w:type="gramEnd"/>
      <w:r w:rsidR="003356BA">
        <w:t>.</w:t>
      </w:r>
    </w:p>
    <w:p w14:paraId="5AFACBA2" w14:textId="162EA9D1" w:rsidR="00AE64F4" w:rsidRDefault="00AE64F4" w:rsidP="00B55FAB">
      <w:pPr>
        <w:pStyle w:val="Heading3"/>
      </w:pPr>
      <w:bookmarkStart w:id="203" w:name="_Production_quantities"/>
      <w:bookmarkStart w:id="204" w:name="_Toc138922925"/>
      <w:bookmarkStart w:id="205" w:name="_Toc138923000"/>
      <w:bookmarkStart w:id="206" w:name="_Toc138923064"/>
      <w:bookmarkStart w:id="207" w:name="_Toc138923321"/>
      <w:bookmarkStart w:id="208" w:name="_Toc143503194"/>
      <w:bookmarkEnd w:id="203"/>
      <w:r>
        <w:t>Production quantities</w:t>
      </w:r>
      <w:bookmarkEnd w:id="204"/>
      <w:bookmarkEnd w:id="205"/>
      <w:bookmarkEnd w:id="206"/>
      <w:bookmarkEnd w:id="207"/>
      <w:bookmarkEnd w:id="208"/>
    </w:p>
    <w:p w14:paraId="754219F1" w14:textId="4CED1949" w:rsidR="005E7ABE" w:rsidRDefault="00AE64F4" w:rsidP="00376145">
      <w:pPr>
        <w:spacing w:before="240"/>
      </w:pPr>
      <w:r>
        <w:t>For each</w:t>
      </w:r>
      <w:r w:rsidRPr="00540DC2">
        <w:t xml:space="preserve"> </w:t>
      </w:r>
      <w:r w:rsidRPr="008A609D">
        <w:t>historical</w:t>
      </w:r>
      <w:r w:rsidRPr="00540DC2">
        <w:t xml:space="preserve"> </w:t>
      </w:r>
      <w:r>
        <w:t>production variable</w:t>
      </w:r>
      <w:r w:rsidR="00174214">
        <w:t>,</w:t>
      </w:r>
      <w:r>
        <w:t xml:space="preserve"> </w:t>
      </w:r>
      <w:r w:rsidR="00FD29DC">
        <w:t xml:space="preserve">the applicant </w:t>
      </w:r>
      <w:r>
        <w:t xml:space="preserve">will need to provide the total quantity </w:t>
      </w:r>
      <w:r w:rsidR="000B187A">
        <w:t>produced</w:t>
      </w:r>
      <w:r w:rsidR="00CC5B18">
        <w:t xml:space="preserve"> at the facility</w:t>
      </w:r>
      <w:r>
        <w:t xml:space="preserve"> in each</w:t>
      </w:r>
      <w:r w:rsidR="00CC5B18">
        <w:t xml:space="preserve"> </w:t>
      </w:r>
      <w:r w:rsidR="009202EC">
        <w:t xml:space="preserve">historical </w:t>
      </w:r>
      <w:r>
        <w:t>financial year.</w:t>
      </w:r>
      <w:r w:rsidR="00651177">
        <w:t xml:space="preserve"> </w:t>
      </w:r>
    </w:p>
    <w:p w14:paraId="177DFB5A" w14:textId="40E6306F" w:rsidR="00DE3A2D" w:rsidRDefault="00DD3CD2" w:rsidP="00DE3A2D">
      <w:r>
        <w:t>Pr</w:t>
      </w:r>
      <w:r w:rsidR="00DE3A2D">
        <w:t xml:space="preserve">oduction quantities </w:t>
      </w:r>
      <w:r w:rsidR="00DA29EC">
        <w:t>must be in</w:t>
      </w:r>
      <w:r w:rsidR="00DE3A2D">
        <w:t xml:space="preserve"> the same units and measured according to any requirements specified in </w:t>
      </w:r>
      <w:r w:rsidR="00DE3A2D" w:rsidRPr="009A21CF">
        <w:t xml:space="preserve">Schedule 1 of the </w:t>
      </w:r>
      <w:r w:rsidR="00DE3A2D" w:rsidRPr="009A21CF" w:rsidDel="00362FD5">
        <w:t xml:space="preserve">Safeguard </w:t>
      </w:r>
      <w:r w:rsidR="00DE3A2D" w:rsidRPr="009A21CF">
        <w:t>Rule.</w:t>
      </w:r>
      <w:r w:rsidR="00DE3A2D">
        <w:t xml:space="preserve"> The </w:t>
      </w:r>
      <w:hyperlink r:id="rId50" w:tooltip="A link to the The Safeguard Mechanism: presecribed production variables and default emissions-intensities on the Department of Climate Change, Energy the Environment and Water's webiste" w:history="1">
        <w:r w:rsidR="00DE3A2D" w:rsidRPr="009A22FF">
          <w:rPr>
            <w:rStyle w:val="Hyperlink"/>
            <w:rFonts w:asciiTheme="minorHAnsi" w:hAnsiTheme="minorHAnsi"/>
          </w:rPr>
          <w:t>Safeguard Mechanism document</w:t>
        </w:r>
      </w:hyperlink>
      <w:r w:rsidR="00362FD5">
        <w:rPr>
          <w:rStyle w:val="FootnoteReference"/>
        </w:rPr>
        <w:footnoteReference w:id="36"/>
      </w:r>
      <w:r w:rsidR="00DE3A2D">
        <w:t xml:space="preserve"> provides additional information regarding measurement requirements and standards for some production variables.</w:t>
      </w:r>
    </w:p>
    <w:p w14:paraId="1977FCA3" w14:textId="1F2D87F6" w:rsidR="00A63215" w:rsidRPr="004656F0" w:rsidRDefault="00A63215" w:rsidP="00A63215">
      <w:r w:rsidRPr="0099124B">
        <w:rPr>
          <w:rStyle w:val="cf01"/>
          <w:rFonts w:asciiTheme="minorHAnsi" w:hAnsiTheme="minorHAnsi" w:cstheme="minorHAnsi"/>
          <w:sz w:val="22"/>
          <w:szCs w:val="22"/>
        </w:rPr>
        <w:t>For some production variables, production is measured in accordance with NGER legislative requirements (</w:t>
      </w:r>
      <w:r w:rsidR="00F33100">
        <w:rPr>
          <w:rStyle w:val="cf01"/>
          <w:rFonts w:asciiTheme="minorHAnsi" w:hAnsiTheme="minorHAnsi" w:cstheme="minorHAnsi"/>
          <w:sz w:val="22"/>
          <w:szCs w:val="22"/>
        </w:rPr>
        <w:t xml:space="preserve">for example, </w:t>
      </w:r>
      <w:r w:rsidRPr="0099124B">
        <w:rPr>
          <w:rStyle w:val="cf01"/>
          <w:rFonts w:asciiTheme="minorHAnsi" w:hAnsiTheme="minorHAnsi" w:cstheme="minorHAnsi"/>
          <w:sz w:val="22"/>
          <w:szCs w:val="22"/>
        </w:rPr>
        <w:t>coal industry production variables)</w:t>
      </w:r>
      <w:r w:rsidRPr="004656F0">
        <w:rPr>
          <w:rStyle w:val="cf01"/>
          <w:rFonts w:asciiTheme="minorHAnsi" w:hAnsiTheme="minorHAnsi" w:cstheme="minorHAnsi"/>
          <w:sz w:val="22"/>
          <w:szCs w:val="22"/>
        </w:rPr>
        <w:t>.</w:t>
      </w:r>
    </w:p>
    <w:p w14:paraId="10CD42B4" w14:textId="5E336043" w:rsidR="00DE3A2D" w:rsidRDefault="00DE3A2D" w:rsidP="00DE3A2D">
      <w:pPr>
        <w:rPr>
          <w:rStyle w:val="cf01"/>
          <w:rFonts w:asciiTheme="minorHAnsi" w:hAnsiTheme="minorHAnsi" w:cstheme="minorHAnsi"/>
          <w:sz w:val="22"/>
          <w:szCs w:val="22"/>
        </w:rPr>
      </w:pPr>
      <w:r w:rsidRPr="0099124B">
        <w:rPr>
          <w:rStyle w:val="cf01"/>
          <w:rFonts w:asciiTheme="minorHAnsi" w:hAnsiTheme="minorHAnsi" w:cstheme="minorHAnsi"/>
          <w:sz w:val="22"/>
          <w:szCs w:val="22"/>
        </w:rPr>
        <w:t>Unless otherwise specified</w:t>
      </w:r>
      <w:r>
        <w:rPr>
          <w:rStyle w:val="cf01"/>
          <w:rFonts w:asciiTheme="minorHAnsi" w:hAnsiTheme="minorHAnsi" w:cstheme="minorHAnsi"/>
          <w:sz w:val="22"/>
          <w:szCs w:val="22"/>
        </w:rPr>
        <w:t xml:space="preserve"> in the legislation</w:t>
      </w:r>
      <w:r w:rsidRPr="0099124B">
        <w:rPr>
          <w:rStyle w:val="cf01"/>
          <w:rFonts w:asciiTheme="minorHAnsi" w:hAnsiTheme="minorHAnsi" w:cstheme="minorHAnsi"/>
          <w:sz w:val="22"/>
          <w:szCs w:val="22"/>
        </w:rPr>
        <w:t>, measurement of production variables is generally expected to be based on records of the quantity of product produced using calibrated instruments or other industry standards as applicable. Evidence of the measurement would generally be internal company production records but could also include other evidence such as third</w:t>
      </w:r>
      <w:r w:rsidR="0037107A">
        <w:rPr>
          <w:rStyle w:val="cf01"/>
          <w:rFonts w:asciiTheme="minorHAnsi" w:hAnsiTheme="minorHAnsi" w:cstheme="minorHAnsi"/>
          <w:sz w:val="22"/>
          <w:szCs w:val="22"/>
        </w:rPr>
        <w:t>-</w:t>
      </w:r>
      <w:r w:rsidRPr="0099124B">
        <w:rPr>
          <w:rStyle w:val="cf01"/>
          <w:rFonts w:asciiTheme="minorHAnsi" w:hAnsiTheme="minorHAnsi" w:cstheme="minorHAnsi"/>
          <w:sz w:val="22"/>
          <w:szCs w:val="22"/>
        </w:rPr>
        <w:t xml:space="preserve">party transport bill of lading records. </w:t>
      </w:r>
    </w:p>
    <w:p w14:paraId="78267E95" w14:textId="1B6A29FE" w:rsidR="00DE3A2D" w:rsidRPr="008A609D" w:rsidRDefault="00DE3A2D" w:rsidP="00AE64F4">
      <w:r>
        <w:t>For some production variables such as manganese ore, run-of-mine coal and bauxite, production is based on the amount of saleable product produced in a financial year where the product has been physically extracted and subsequently processed (if required) at the facility. Ore that is extracted from a different facility and processed at the facility should not be counted.</w:t>
      </w:r>
    </w:p>
    <w:p w14:paraId="52869CCA" w14:textId="4E543147" w:rsidR="00687580" w:rsidRDefault="00687580" w:rsidP="00AE64F4">
      <w:r>
        <w:t>Note that</w:t>
      </w:r>
      <w:r w:rsidR="00F05989">
        <w:t xml:space="preserve"> in the online application form</w:t>
      </w:r>
      <w:r w:rsidDel="00F05989">
        <w:t>:</w:t>
      </w:r>
    </w:p>
    <w:p w14:paraId="7EBAC561" w14:textId="3EC99B09" w:rsidR="00687580" w:rsidRDefault="00687580" w:rsidP="00687580">
      <w:pPr>
        <w:pStyle w:val="CERbullets"/>
      </w:pPr>
      <w:r>
        <w:t xml:space="preserve">historical production variables may be pre-filled </w:t>
      </w:r>
      <w:r w:rsidR="00801C7B">
        <w:t xml:space="preserve">based on information the </w:t>
      </w:r>
      <w:r w:rsidR="00BF532F">
        <w:t>CER</w:t>
      </w:r>
      <w:r w:rsidR="00BF532F" w:rsidRPr="3FB6375E">
        <w:t xml:space="preserve"> </w:t>
      </w:r>
      <w:r w:rsidR="00375841">
        <w:t>has about the facility</w:t>
      </w:r>
      <w:r>
        <w:t>. However, this information can be edited if it needs to be updated.</w:t>
      </w:r>
    </w:p>
    <w:p w14:paraId="5319E97B" w14:textId="5B56A632" w:rsidR="00DD49F6" w:rsidRPr="009A21CF" w:rsidRDefault="002E7ECF" w:rsidP="00AE64F4">
      <w:pPr>
        <w:pStyle w:val="CERbullets"/>
      </w:pPr>
      <w:r>
        <w:t>i</w:t>
      </w:r>
      <w:r w:rsidR="00687580">
        <w:t>f there was no production in a historical financial year</w:t>
      </w:r>
      <w:r w:rsidR="0052282F">
        <w:t>(s)</w:t>
      </w:r>
      <w:r w:rsidR="000973A2">
        <w:t xml:space="preserve"> please </w:t>
      </w:r>
      <w:r w:rsidR="009C492D">
        <w:t xml:space="preserve">delete the production variable </w:t>
      </w:r>
      <w:r w:rsidR="00DD49F6">
        <w:t>for that financial year</w:t>
      </w:r>
    </w:p>
    <w:p w14:paraId="0D9C0602" w14:textId="587F4F2D" w:rsidR="002E7ECF" w:rsidRPr="009A21CF" w:rsidRDefault="00F257F7" w:rsidP="00AE64F4">
      <w:pPr>
        <w:pStyle w:val="CERbullets"/>
      </w:pPr>
      <w:r>
        <w:t>if there was non-</w:t>
      </w:r>
      <w:r w:rsidR="00687580">
        <w:t>commercial production in a historical financial year</w:t>
      </w:r>
      <w:r w:rsidR="0052282F">
        <w:t>(s)</w:t>
      </w:r>
      <w:r w:rsidR="000973A2">
        <w:t xml:space="preserve"> </w:t>
      </w:r>
      <w:r w:rsidR="0022481F">
        <w:t xml:space="preserve">and there are </w:t>
      </w:r>
      <w:r w:rsidR="000B1CD3">
        <w:t xml:space="preserve">covered </w:t>
      </w:r>
      <w:r w:rsidR="0022481F">
        <w:t>emissions associated with that production please</w:t>
      </w:r>
      <w:r w:rsidR="00351A48">
        <w:t xml:space="preserve"> enter </w:t>
      </w:r>
      <w:r w:rsidR="0022481F">
        <w:t xml:space="preserve">a value of </w:t>
      </w:r>
      <w:r w:rsidR="00684DE0">
        <w:t xml:space="preserve">zero </w:t>
      </w:r>
      <w:r w:rsidR="00DB5AF2">
        <w:t xml:space="preserve">for </w:t>
      </w:r>
      <w:r w:rsidR="00A748F9">
        <w:t xml:space="preserve">production </w:t>
      </w:r>
      <w:r w:rsidR="0022481F">
        <w:t>and</w:t>
      </w:r>
      <w:r w:rsidR="002E7ECF">
        <w:t xml:space="preserve"> the </w:t>
      </w:r>
      <w:r w:rsidR="00F00930">
        <w:t>value for covered</w:t>
      </w:r>
      <w:r w:rsidR="005A6DA7">
        <w:t xml:space="preserve"> emissions</w:t>
      </w:r>
      <w:r w:rsidR="00F00930">
        <w:t>.</w:t>
      </w:r>
      <w:r w:rsidR="0052282F">
        <w:t xml:space="preserve"> </w:t>
      </w:r>
    </w:p>
    <w:p w14:paraId="7058A266" w14:textId="01278BF1" w:rsidR="001A381B" w:rsidRDefault="001A381B" w:rsidP="0023645F">
      <w:pPr>
        <w:pStyle w:val="CERbullets"/>
      </w:pPr>
      <w:r>
        <w:t xml:space="preserve">production quantities can be </w:t>
      </w:r>
      <w:r w:rsidR="002C763E">
        <w:t xml:space="preserve">entered </w:t>
      </w:r>
      <w:r>
        <w:t>to 3 decimal places if required.</w:t>
      </w:r>
    </w:p>
    <w:p w14:paraId="4A37B3C8" w14:textId="1BCAD70C" w:rsidR="00937703" w:rsidRPr="009A21CF" w:rsidRDefault="00937703" w:rsidP="0088433F">
      <w:pPr>
        <w:pStyle w:val="Heading4"/>
        <w:numPr>
          <w:ilvl w:val="0"/>
          <w:numId w:val="0"/>
        </w:numPr>
      </w:pPr>
      <w:r w:rsidRPr="009A21CF">
        <w:t>Saleable quality</w:t>
      </w:r>
    </w:p>
    <w:p w14:paraId="288FB7C3" w14:textId="5D9A3211" w:rsidR="00D81591" w:rsidRPr="00A23E6F" w:rsidRDefault="00C810FE" w:rsidP="006D3752">
      <w:pPr>
        <w:keepNext/>
      </w:pPr>
      <w:r w:rsidRPr="008A609D">
        <w:t>Production</w:t>
      </w:r>
      <w:r w:rsidR="00937703" w:rsidRPr="008A609D">
        <w:t xml:space="preserve"> for most production variables is</w:t>
      </w:r>
      <w:r w:rsidRPr="008A609D">
        <w:t xml:space="preserve"> measured on a saleable </w:t>
      </w:r>
      <w:r w:rsidR="00D81591" w:rsidRPr="003867FD">
        <w:t>quality basis.</w:t>
      </w:r>
      <w:r w:rsidR="00937703" w:rsidRPr="003867FD">
        <w:t xml:space="preserve"> </w:t>
      </w:r>
      <w:r w:rsidR="00D81591" w:rsidRPr="008A609D">
        <w:rPr>
          <w:rFonts w:eastAsia="Times New Roman"/>
        </w:rPr>
        <w:t xml:space="preserve">A product is </w:t>
      </w:r>
      <w:r w:rsidR="00937703" w:rsidRPr="008A609D">
        <w:rPr>
          <w:rFonts w:eastAsia="Times New Roman"/>
        </w:rPr>
        <w:t>of</w:t>
      </w:r>
      <w:r w:rsidR="00D81591" w:rsidRPr="008A609D">
        <w:rPr>
          <w:rFonts w:eastAsia="Times New Roman"/>
        </w:rPr>
        <w:t xml:space="preserve"> saleable quality if it is produced to a level at which it would ordinarily be considered by participants in the relevant </w:t>
      </w:r>
      <w:r w:rsidR="00D81591" w:rsidRPr="00A23E6F">
        <w:rPr>
          <w:rFonts w:eastAsia="Times New Roman"/>
        </w:rPr>
        <w:t>market:</w:t>
      </w:r>
    </w:p>
    <w:p w14:paraId="2C896F09" w14:textId="7054DE64" w:rsidR="00D81591" w:rsidRPr="003867FD" w:rsidRDefault="00D81591" w:rsidP="00A23E6F">
      <w:pPr>
        <w:pStyle w:val="CERbullets"/>
      </w:pPr>
      <w:r w:rsidRPr="1F1F8E47">
        <w:t>to be the output of a process carried on as part of the relevant activity the constitutes the facility</w:t>
      </w:r>
      <w:r w:rsidR="00F33100">
        <w:t>,</w:t>
      </w:r>
      <w:r w:rsidR="00AE35BF" w:rsidRPr="1F1F8E47">
        <w:t xml:space="preserve"> </w:t>
      </w:r>
      <w:r w:rsidRPr="1F1F8E47">
        <w:t>and</w:t>
      </w:r>
    </w:p>
    <w:p w14:paraId="2F7572C7" w14:textId="32B4C81B" w:rsidR="00D81591" w:rsidRPr="003867FD" w:rsidRDefault="00D81591" w:rsidP="00A23E6F">
      <w:pPr>
        <w:pStyle w:val="CERbullets"/>
      </w:pPr>
      <w:r w:rsidRPr="1F1F8E47">
        <w:t>to have a commercial value as that output.</w:t>
      </w:r>
    </w:p>
    <w:p w14:paraId="70D35A4E" w14:textId="77777777" w:rsidR="00BD40A3" w:rsidRDefault="00CE5103" w:rsidP="00BD40A3">
      <w:r w:rsidRPr="00A23E6F">
        <w:t>Note that</w:t>
      </w:r>
      <w:r w:rsidR="00BD40A3">
        <w:t>:</w:t>
      </w:r>
    </w:p>
    <w:p w14:paraId="47C11336" w14:textId="561638AD" w:rsidR="00D81591" w:rsidRPr="00A23E6F" w:rsidRDefault="00CE5103" w:rsidP="00A23E6F">
      <w:pPr>
        <w:pStyle w:val="CERbullets"/>
      </w:pPr>
      <w:r>
        <w:t>saleable quality may be based on</w:t>
      </w:r>
      <w:r w:rsidR="00D81591">
        <w:t xml:space="preserve"> </w:t>
      </w:r>
      <w:proofErr w:type="gramStart"/>
      <w:r w:rsidR="00D81591">
        <w:t>particular industry</w:t>
      </w:r>
      <w:proofErr w:type="gramEnd"/>
      <w:r w:rsidR="00D81591">
        <w:t xml:space="preserve"> standards or specifications (either general specifications or those set by </w:t>
      </w:r>
      <w:proofErr w:type="gramStart"/>
      <w:r w:rsidR="00D81591">
        <w:t>particular customers</w:t>
      </w:r>
      <w:proofErr w:type="gramEnd"/>
      <w:r w:rsidR="00D81591">
        <w:t xml:space="preserve">). It may also meet internal standards by which it can be used by the </w:t>
      </w:r>
      <w:r w:rsidR="00317D64">
        <w:t>business</w:t>
      </w:r>
      <w:r w:rsidR="00D81591">
        <w:t xml:space="preserve"> as part of another process conducted by the </w:t>
      </w:r>
      <w:r w:rsidR="00D94F29">
        <w:t>business</w:t>
      </w:r>
      <w:r w:rsidR="00D81591">
        <w:t>.</w:t>
      </w:r>
    </w:p>
    <w:p w14:paraId="550ACD11" w14:textId="22F7DB00" w:rsidR="00D81591" w:rsidRDefault="00BD40A3" w:rsidP="00BD40A3">
      <w:pPr>
        <w:pStyle w:val="CERbullets"/>
      </w:pPr>
      <w:r>
        <w:t>products</w:t>
      </w:r>
      <w:r w:rsidR="00D81591">
        <w:t xml:space="preserve"> that are of saleable quality do not need to be sold in the year of production. Therefore, an output that is produced and entered on an inventory can be of saleable quality.</w:t>
      </w:r>
    </w:p>
    <w:p w14:paraId="445C35F7" w14:textId="4CFD3AB0" w:rsidR="00FD32A1" w:rsidRPr="00A23E6F" w:rsidRDefault="00FD32A1" w:rsidP="00A23E6F">
      <w:pPr>
        <w:rPr>
          <w:rFonts w:eastAsia="Times New Roman"/>
        </w:rPr>
      </w:pPr>
      <w:r w:rsidRPr="00A23E6F">
        <w:rPr>
          <w:rFonts w:eastAsia="Times New Roman"/>
        </w:rPr>
        <w:t>The following production is not considered of saleable quality</w:t>
      </w:r>
      <w:r w:rsidR="004F26F2" w:rsidRPr="003867FD">
        <w:rPr>
          <w:rFonts w:eastAsia="Times New Roman"/>
        </w:rPr>
        <w:t xml:space="preserve"> </w:t>
      </w:r>
      <w:r w:rsidR="00D26961" w:rsidRPr="003867FD">
        <w:rPr>
          <w:rFonts w:eastAsia="Times New Roman"/>
        </w:rPr>
        <w:t xml:space="preserve">and </w:t>
      </w:r>
      <w:r w:rsidR="004F26F2" w:rsidRPr="003867FD">
        <w:rPr>
          <w:rFonts w:eastAsia="Times New Roman"/>
        </w:rPr>
        <w:t>must not be included i</w:t>
      </w:r>
      <w:r w:rsidR="003867FD" w:rsidRPr="003867FD">
        <w:rPr>
          <w:rFonts w:eastAsia="Times New Roman"/>
        </w:rPr>
        <w:t xml:space="preserve">n an </w:t>
      </w:r>
      <w:r w:rsidR="004F26F2" w:rsidRPr="003867FD">
        <w:rPr>
          <w:rFonts w:eastAsia="Times New Roman"/>
        </w:rPr>
        <w:t>amount of product used in an application</w:t>
      </w:r>
      <w:r w:rsidRPr="00A23E6F">
        <w:rPr>
          <w:rFonts w:eastAsia="Times New Roman"/>
        </w:rPr>
        <w:t xml:space="preserve">: </w:t>
      </w:r>
    </w:p>
    <w:p w14:paraId="7C4D7C1D" w14:textId="133C2978" w:rsidR="0030211B" w:rsidRPr="003867FD" w:rsidRDefault="00207FA7" w:rsidP="0030211B">
      <w:pPr>
        <w:pStyle w:val="CERbullets"/>
      </w:pPr>
      <w:r w:rsidRPr="1F1F8E47">
        <w:t>product</w:t>
      </w:r>
      <w:r w:rsidR="00FD32A1" w:rsidRPr="1F1F8E47">
        <w:t xml:space="preserve"> that </w:t>
      </w:r>
      <w:r w:rsidRPr="1F1F8E47">
        <w:t>is</w:t>
      </w:r>
      <w:r w:rsidR="00FD32A1" w:rsidRPr="1F1F8E47">
        <w:t xml:space="preserve"> sub-standard</w:t>
      </w:r>
      <w:r w:rsidR="0018242D" w:rsidRPr="1F1F8E47">
        <w:t xml:space="preserve"> and discarded</w:t>
      </w:r>
      <w:r w:rsidR="005F6AA7">
        <w:t>.</w:t>
      </w:r>
    </w:p>
    <w:p w14:paraId="672A8B8A" w14:textId="61373ECF" w:rsidR="00D81591" w:rsidRPr="00A23E6F" w:rsidRDefault="00D81591" w:rsidP="00A23E6F">
      <w:pPr>
        <w:pStyle w:val="CERbullets"/>
        <w:rPr>
          <w:rFonts w:eastAsia="Times New Roman"/>
        </w:rPr>
      </w:pPr>
      <w:r w:rsidRPr="1F1F8E47">
        <w:rPr>
          <w:rFonts w:eastAsia="Times New Roman"/>
        </w:rPr>
        <w:t xml:space="preserve">product that is recycled back into the same activity </w:t>
      </w:r>
      <w:r w:rsidR="00CB3CAE" w:rsidRPr="1F1F8E47">
        <w:rPr>
          <w:rFonts w:eastAsia="Times New Roman"/>
        </w:rPr>
        <w:t xml:space="preserve">to produce the same product </w:t>
      </w:r>
      <w:r w:rsidR="008456D8" w:rsidRPr="1F1F8E47">
        <w:rPr>
          <w:rFonts w:eastAsia="Times New Roman"/>
        </w:rPr>
        <w:t>if it has already been counted as a saleable quality amount. For example,</w:t>
      </w:r>
      <w:r w:rsidRPr="1F1F8E47">
        <w:rPr>
          <w:rFonts w:eastAsia="Times New Roman"/>
        </w:rPr>
        <w:t> </w:t>
      </w:r>
      <w:r w:rsidR="008456D8" w:rsidRPr="1F1F8E47">
        <w:rPr>
          <w:rFonts w:eastAsia="Times New Roman"/>
        </w:rPr>
        <w:t>p</w:t>
      </w:r>
      <w:r w:rsidRPr="1F1F8E47">
        <w:rPr>
          <w:rFonts w:eastAsia="Times New Roman"/>
        </w:rPr>
        <w:t>aper that is reinputted into a paper making process.</w:t>
      </w:r>
    </w:p>
    <w:p w14:paraId="30257E34" w14:textId="6B42A1FD" w:rsidR="009E00A3" w:rsidRPr="008A609D" w:rsidRDefault="004F26F2" w:rsidP="00A23E6F">
      <w:pPr>
        <w:pStyle w:val="CERbullets"/>
      </w:pPr>
      <w:r w:rsidRPr="1F1F8E47">
        <w:t>p</w:t>
      </w:r>
      <w:r w:rsidR="002A726F" w:rsidRPr="1F1F8E47">
        <w:t>roduct of saleable quality but is scrapped or lost before packaged</w:t>
      </w:r>
      <w:r w:rsidR="002C284C" w:rsidRPr="1F1F8E47">
        <w:t>.</w:t>
      </w:r>
    </w:p>
    <w:p w14:paraId="0C954B8C" w14:textId="7A1872F2" w:rsidR="006231B1" w:rsidRPr="006231B1" w:rsidRDefault="00F317B2" w:rsidP="0088433F">
      <w:pPr>
        <w:pStyle w:val="Heading4"/>
        <w:numPr>
          <w:ilvl w:val="0"/>
          <w:numId w:val="0"/>
        </w:numPr>
      </w:pPr>
      <w:r w:rsidRPr="006231B1">
        <w:t xml:space="preserve">Audit </w:t>
      </w:r>
      <w:r w:rsidR="00C226EC" w:rsidRPr="006231B1">
        <w:t>requirement</w:t>
      </w:r>
    </w:p>
    <w:p w14:paraId="389465C9" w14:textId="02A3363A" w:rsidR="00BC08BA" w:rsidRPr="006231B1" w:rsidRDefault="00167905" w:rsidP="006D3752">
      <w:pPr>
        <w:pStyle w:val="CERbullets"/>
        <w:numPr>
          <w:ilvl w:val="0"/>
          <w:numId w:val="0"/>
        </w:numPr>
        <w:spacing w:before="0"/>
      </w:pPr>
      <w:r>
        <w:t>Whether, in all material respects, an application</w:t>
      </w:r>
      <w:r w:rsidR="00BC08BA">
        <w:t xml:space="preserve"> correctly specifies the historical production quantities </w:t>
      </w:r>
      <w:r w:rsidR="00B47CFC">
        <w:t xml:space="preserve">of each historical production variable for each historical financial year is </w:t>
      </w:r>
      <w:r w:rsidR="00BC08BA">
        <w:t xml:space="preserve">a </w:t>
      </w:r>
      <w:r w:rsidR="001D119B">
        <w:t>‘</w:t>
      </w:r>
      <w:r w:rsidR="00BC08BA" w:rsidRPr="00F317B2">
        <w:t>reasonable assurance</w:t>
      </w:r>
      <w:r w:rsidR="001D119B">
        <w:t>’</w:t>
      </w:r>
      <w:r w:rsidR="00BC08BA">
        <w:t xml:space="preserve"> matter for auditors.</w:t>
      </w:r>
    </w:p>
    <w:p w14:paraId="152A85F1" w14:textId="13AB2EE4" w:rsidR="00445041" w:rsidRPr="009A21CF" w:rsidRDefault="00445041" w:rsidP="0088433F">
      <w:pPr>
        <w:pStyle w:val="Heading4"/>
        <w:numPr>
          <w:ilvl w:val="0"/>
          <w:numId w:val="0"/>
        </w:numPr>
      </w:pPr>
      <w:r w:rsidRPr="003A3EB6">
        <w:t xml:space="preserve">Supporting information requirements </w:t>
      </w:r>
    </w:p>
    <w:p w14:paraId="10F9908E" w14:textId="539CDE43" w:rsidR="005472E2" w:rsidRPr="00A23E6F" w:rsidRDefault="0033798F" w:rsidP="00A23E6F">
      <w:r>
        <w:t xml:space="preserve">Applications </w:t>
      </w:r>
      <w:r w:rsidR="000E1AF0">
        <w:t>need to provide</w:t>
      </w:r>
      <w:r w:rsidR="00C77E92" w:rsidRPr="00A23E6F">
        <w:t xml:space="preserve"> supporting</w:t>
      </w:r>
      <w:r w:rsidR="009612AA" w:rsidRPr="00A23E6F">
        <w:t xml:space="preserve"> </w:t>
      </w:r>
      <w:r w:rsidR="00C70817" w:rsidRPr="00A23E6F">
        <w:t>information demonstrating</w:t>
      </w:r>
      <w:r w:rsidR="002829AD" w:rsidRPr="00CF2C2E">
        <w:t xml:space="preserve"> that production </w:t>
      </w:r>
      <w:r w:rsidR="00C77E92" w:rsidRPr="00A23E6F">
        <w:t>is measured in accordance with Schedule 1</w:t>
      </w:r>
      <w:r w:rsidR="003A2256">
        <w:t xml:space="preserve"> </w:t>
      </w:r>
      <w:r w:rsidR="006701B9">
        <w:t xml:space="preserve">of the Safeguard Rule </w:t>
      </w:r>
      <w:r w:rsidR="003A2256">
        <w:t>and that production amounts are accurate</w:t>
      </w:r>
      <w:r w:rsidR="007E235E" w:rsidRPr="00A23E6F">
        <w:t>.</w:t>
      </w:r>
      <w:r w:rsidR="004A1C93" w:rsidRPr="00A23E6F">
        <w:t xml:space="preserve"> This should include: </w:t>
      </w:r>
    </w:p>
    <w:p w14:paraId="0B24A27A" w14:textId="72D2324B" w:rsidR="00C77E92" w:rsidRDefault="006B3D07" w:rsidP="004A1C93">
      <w:pPr>
        <w:pStyle w:val="CERbullets"/>
      </w:pPr>
      <w:r>
        <w:t>a</w:t>
      </w:r>
      <w:r w:rsidR="00E4041D">
        <w:t xml:space="preserve"> brief</w:t>
      </w:r>
      <w:r>
        <w:t xml:space="preserve"> description of how production is measured at the facility</w:t>
      </w:r>
      <w:r w:rsidR="00CF74D1">
        <w:t xml:space="preserve">, what </w:t>
      </w:r>
      <w:r w:rsidR="004F1F5F">
        <w:t>measurement equipment and</w:t>
      </w:r>
      <w:r w:rsidR="00CF74D1">
        <w:t xml:space="preserve"> standards are used, </w:t>
      </w:r>
      <w:r w:rsidR="0023737E">
        <w:t xml:space="preserve">and how </w:t>
      </w:r>
      <w:r w:rsidR="00FC5E48">
        <w:t>measurement of the product</w:t>
      </w:r>
      <w:r w:rsidR="0023737E">
        <w:t xml:space="preserve"> meets the requirements in Schedule 1</w:t>
      </w:r>
    </w:p>
    <w:p w14:paraId="4249C868" w14:textId="6D4CA642" w:rsidR="004F1F5F" w:rsidRPr="00A23E6F" w:rsidRDefault="00B41B79" w:rsidP="00A23E6F">
      <w:pPr>
        <w:pStyle w:val="CERbullets"/>
      </w:pPr>
      <w:r>
        <w:t xml:space="preserve">a brief explanation </w:t>
      </w:r>
      <w:r w:rsidR="00230BB0">
        <w:t xml:space="preserve">as to how company records of production are </w:t>
      </w:r>
      <w:r w:rsidR="00936837">
        <w:t>prepared,</w:t>
      </w:r>
      <w:r w:rsidR="00230BB0">
        <w:t xml:space="preserve"> maintained and </w:t>
      </w:r>
      <w:r w:rsidR="00911F20">
        <w:t>verified</w:t>
      </w:r>
    </w:p>
    <w:p w14:paraId="05ECEBBB" w14:textId="77777777" w:rsidR="00DE0E77" w:rsidRDefault="004A1C93" w:rsidP="00DE0E77">
      <w:pPr>
        <w:pStyle w:val="CERbullets"/>
      </w:pPr>
      <w:r>
        <w:t xml:space="preserve">information regarding </w:t>
      </w:r>
      <w:r w:rsidR="0009062B">
        <w:t xml:space="preserve">any </w:t>
      </w:r>
      <w:r w:rsidR="005B2F27">
        <w:t>estimates, assumptions, conversions or unit changes</w:t>
      </w:r>
      <w:r w:rsidR="00DE0E77">
        <w:t xml:space="preserve"> applied </w:t>
      </w:r>
    </w:p>
    <w:p w14:paraId="4C0575F0" w14:textId="4F7EB371" w:rsidR="00B566B3" w:rsidRPr="00A23E6F" w:rsidRDefault="00B566B3" w:rsidP="009E5F8C">
      <w:pPr>
        <w:pStyle w:val="CERbullets"/>
        <w:numPr>
          <w:ilvl w:val="1"/>
          <w:numId w:val="1"/>
        </w:numPr>
      </w:pPr>
      <w:r>
        <w:t>generally</w:t>
      </w:r>
      <w:r w:rsidR="001F6E46">
        <w:t>,</w:t>
      </w:r>
      <w:r>
        <w:t xml:space="preserve"> estimates </w:t>
      </w:r>
      <w:r w:rsidR="000F02D8">
        <w:t xml:space="preserve">of production </w:t>
      </w:r>
      <w:r>
        <w:t xml:space="preserve">are </w:t>
      </w:r>
      <w:r w:rsidR="000F02D8">
        <w:t xml:space="preserve">not acceptable </w:t>
      </w:r>
      <w:r w:rsidR="00234482">
        <w:t xml:space="preserve">– the </w:t>
      </w:r>
      <w:r w:rsidR="00BF532F">
        <w:t>CER</w:t>
      </w:r>
      <w:r w:rsidR="00BF532F" w:rsidRPr="3FB6375E">
        <w:t xml:space="preserve"> </w:t>
      </w:r>
      <w:r w:rsidR="00234482">
        <w:t>can discuss specific scenarios with applicants</w:t>
      </w:r>
    </w:p>
    <w:p w14:paraId="57382939" w14:textId="771FB323" w:rsidR="001B058D" w:rsidRDefault="00C42F61" w:rsidP="00DE0E77">
      <w:pPr>
        <w:pStyle w:val="CERbullets"/>
      </w:pPr>
      <w:r>
        <w:t>i</w:t>
      </w:r>
      <w:r w:rsidR="001B058D">
        <w:t xml:space="preserve">f </w:t>
      </w:r>
      <w:r w:rsidR="00792A60">
        <w:t xml:space="preserve">production differs from </w:t>
      </w:r>
      <w:r w:rsidR="007F0DEA">
        <w:t xml:space="preserve">figures provided to the </w:t>
      </w:r>
      <w:r w:rsidR="00BF532F">
        <w:t>CER</w:t>
      </w:r>
      <w:r w:rsidR="00BF532F" w:rsidRPr="3FB6375E">
        <w:t xml:space="preserve"> </w:t>
      </w:r>
      <w:r w:rsidR="007F0DEA">
        <w:t>in any previous application and/or NGER report</w:t>
      </w:r>
      <w:r w:rsidR="00303D09">
        <w:t xml:space="preserve">, an </w:t>
      </w:r>
      <w:r w:rsidR="00754418">
        <w:t>explanation</w:t>
      </w:r>
      <w:r w:rsidR="00F9281E">
        <w:t xml:space="preserve"> </w:t>
      </w:r>
      <w:r w:rsidR="00303D09">
        <w:t xml:space="preserve">is required </w:t>
      </w:r>
      <w:r w:rsidR="00F9281E">
        <w:t>for the differences</w:t>
      </w:r>
    </w:p>
    <w:p w14:paraId="25F279EF" w14:textId="2058AB59" w:rsidR="006F36FA" w:rsidRPr="00A772B0" w:rsidRDefault="006F36FA" w:rsidP="006F36FA">
      <w:pPr>
        <w:pStyle w:val="CERbullets"/>
      </w:pPr>
      <w:r w:rsidRPr="1F1F8E47">
        <w:rPr>
          <w:rStyle w:val="cf01"/>
          <w:rFonts w:asciiTheme="minorHAnsi" w:hAnsiTheme="minorHAnsi" w:cstheme="minorBidi"/>
          <w:sz w:val="22"/>
          <w:szCs w:val="22"/>
        </w:rPr>
        <w:t>if production differ</w:t>
      </w:r>
      <w:r w:rsidR="005E4194" w:rsidRPr="1F1F8E47">
        <w:rPr>
          <w:rStyle w:val="cf01"/>
          <w:rFonts w:asciiTheme="minorHAnsi" w:hAnsiTheme="minorHAnsi" w:cstheme="minorBidi"/>
          <w:sz w:val="22"/>
          <w:szCs w:val="22"/>
        </w:rPr>
        <w:t>s</w:t>
      </w:r>
      <w:r w:rsidRPr="1F1F8E47">
        <w:rPr>
          <w:rStyle w:val="cf01"/>
          <w:rFonts w:asciiTheme="minorHAnsi" w:hAnsiTheme="minorHAnsi" w:cstheme="minorBidi"/>
          <w:sz w:val="22"/>
          <w:szCs w:val="22"/>
        </w:rPr>
        <w:t xml:space="preserve"> from </w:t>
      </w:r>
      <w:r w:rsidR="00F5585D" w:rsidRPr="1F1F8E47">
        <w:rPr>
          <w:rStyle w:val="cf01"/>
          <w:rFonts w:asciiTheme="minorHAnsi" w:hAnsiTheme="minorHAnsi" w:cstheme="minorBidi"/>
          <w:sz w:val="22"/>
          <w:szCs w:val="22"/>
        </w:rPr>
        <w:t xml:space="preserve">figures </w:t>
      </w:r>
      <w:r w:rsidRPr="1F1F8E47">
        <w:rPr>
          <w:rStyle w:val="cf01"/>
          <w:rFonts w:asciiTheme="minorHAnsi" w:hAnsiTheme="minorHAnsi" w:cstheme="minorBidi"/>
          <w:sz w:val="22"/>
          <w:szCs w:val="22"/>
        </w:rPr>
        <w:t xml:space="preserve">provided to other </w:t>
      </w:r>
      <w:r w:rsidR="003D7128">
        <w:rPr>
          <w:rStyle w:val="cf01"/>
          <w:rFonts w:asciiTheme="minorHAnsi" w:hAnsiTheme="minorHAnsi" w:cstheme="minorBidi"/>
          <w:sz w:val="22"/>
          <w:szCs w:val="22"/>
        </w:rPr>
        <w:t>g</w:t>
      </w:r>
      <w:r w:rsidRPr="1F1F8E47">
        <w:rPr>
          <w:rStyle w:val="cf01"/>
          <w:rFonts w:asciiTheme="minorHAnsi" w:hAnsiTheme="minorHAnsi" w:cstheme="minorBidi"/>
          <w:sz w:val="22"/>
          <w:szCs w:val="22"/>
        </w:rPr>
        <w:t xml:space="preserve">overnment entities or </w:t>
      </w:r>
      <w:r w:rsidR="00B676E2" w:rsidRPr="1F1F8E47">
        <w:rPr>
          <w:rStyle w:val="cf01"/>
          <w:rFonts w:asciiTheme="minorHAnsi" w:hAnsiTheme="minorHAnsi" w:cstheme="minorBidi"/>
          <w:sz w:val="22"/>
          <w:szCs w:val="22"/>
        </w:rPr>
        <w:t xml:space="preserve">to figures </w:t>
      </w:r>
      <w:r w:rsidRPr="1F1F8E47">
        <w:rPr>
          <w:rStyle w:val="cf01"/>
          <w:rFonts w:asciiTheme="minorHAnsi" w:hAnsiTheme="minorHAnsi" w:cstheme="minorBidi"/>
          <w:sz w:val="22"/>
          <w:szCs w:val="22"/>
        </w:rPr>
        <w:t>publicly reported by the applicant or a related entity</w:t>
      </w:r>
      <w:r w:rsidR="00EE5022" w:rsidRPr="1F1F8E47">
        <w:rPr>
          <w:rStyle w:val="cf01"/>
          <w:rFonts w:asciiTheme="minorHAnsi" w:hAnsiTheme="minorHAnsi" w:cstheme="minorBidi"/>
          <w:sz w:val="22"/>
          <w:szCs w:val="22"/>
        </w:rPr>
        <w:t xml:space="preserve">, </w:t>
      </w:r>
      <w:r w:rsidRPr="1F1F8E47">
        <w:rPr>
          <w:rStyle w:val="cf01"/>
          <w:rFonts w:asciiTheme="minorHAnsi" w:hAnsiTheme="minorHAnsi" w:cstheme="minorBidi"/>
          <w:sz w:val="22"/>
          <w:szCs w:val="22"/>
        </w:rPr>
        <w:t>provide an explanation</w:t>
      </w:r>
      <w:r w:rsidR="00240286" w:rsidRPr="1F1F8E47">
        <w:rPr>
          <w:rStyle w:val="cf01"/>
          <w:rFonts w:asciiTheme="minorHAnsi" w:hAnsiTheme="minorHAnsi" w:cstheme="minorBidi"/>
          <w:sz w:val="22"/>
          <w:szCs w:val="22"/>
        </w:rPr>
        <w:t xml:space="preserve"> for the differences</w:t>
      </w:r>
    </w:p>
    <w:p w14:paraId="571DC61C" w14:textId="4B01FE9B" w:rsidR="002829AD" w:rsidRPr="00A53F0A" w:rsidRDefault="00AF1B7C" w:rsidP="00FD3C55">
      <w:pPr>
        <w:pStyle w:val="CERbullets"/>
      </w:pPr>
      <w:r>
        <w:t xml:space="preserve">if </w:t>
      </w:r>
      <w:r w:rsidR="000B2C57">
        <w:t xml:space="preserve">the measurement method </w:t>
      </w:r>
      <w:r w:rsidR="00CA6F5C">
        <w:t>has changed in a way that materially impacts production figures (but continues to meet the requirements in Schedule 1</w:t>
      </w:r>
      <w:r w:rsidR="002164F0">
        <w:t xml:space="preserve"> of the Safeguard Rule</w:t>
      </w:r>
      <w:r w:rsidR="00CA6F5C">
        <w:t>) an explanation of this</w:t>
      </w:r>
    </w:p>
    <w:p w14:paraId="7F9C7A23" w14:textId="3BACD331" w:rsidR="00520B02" w:rsidRDefault="002303E0" w:rsidP="001E0553">
      <w:pPr>
        <w:pStyle w:val="CERbullets"/>
      </w:pPr>
      <w:r w:rsidRPr="1F1F8E47">
        <w:rPr>
          <w:rStyle w:val="cf01"/>
          <w:rFonts w:asciiTheme="minorHAnsi" w:hAnsiTheme="minorHAnsi" w:cstheme="minorBidi"/>
          <w:sz w:val="22"/>
          <w:szCs w:val="22"/>
        </w:rPr>
        <w:t>i</w:t>
      </w:r>
      <w:r w:rsidR="00F51C06" w:rsidRPr="1F1F8E47">
        <w:rPr>
          <w:rStyle w:val="cf01"/>
          <w:rFonts w:asciiTheme="minorHAnsi" w:hAnsiTheme="minorHAnsi" w:cstheme="minorBidi"/>
          <w:sz w:val="22"/>
          <w:szCs w:val="22"/>
        </w:rPr>
        <w:t>f production is measured in different ways for different purposes</w:t>
      </w:r>
      <w:r w:rsidR="00C81513" w:rsidRPr="1F1F8E47">
        <w:rPr>
          <w:rStyle w:val="cf01"/>
          <w:rFonts w:asciiTheme="minorHAnsi" w:hAnsiTheme="minorHAnsi" w:cstheme="minorBidi"/>
          <w:sz w:val="22"/>
          <w:szCs w:val="22"/>
        </w:rPr>
        <w:t xml:space="preserve">, </w:t>
      </w:r>
      <w:r w:rsidR="00F51C06">
        <w:t xml:space="preserve">explain why </w:t>
      </w:r>
      <w:r w:rsidR="00CF04D2">
        <w:t>a</w:t>
      </w:r>
      <w:r w:rsidR="00F51C06">
        <w:t xml:space="preserve"> particular method was selected </w:t>
      </w:r>
      <w:r w:rsidR="00CF04D2">
        <w:t xml:space="preserve">for the application </w:t>
      </w:r>
      <w:r w:rsidR="00F51C06">
        <w:t xml:space="preserve">and advise of </w:t>
      </w:r>
      <w:r w:rsidR="006F36FA">
        <w:t xml:space="preserve">any </w:t>
      </w:r>
      <w:r w:rsidR="00F51C06">
        <w:t xml:space="preserve">production variance to </w:t>
      </w:r>
      <w:r w:rsidR="006F36FA">
        <w:t xml:space="preserve">the </w:t>
      </w:r>
      <w:r w:rsidR="00F51C06">
        <w:t>other methods.</w:t>
      </w:r>
    </w:p>
    <w:p w14:paraId="08F538F0" w14:textId="2491F333" w:rsidR="00476909" w:rsidRPr="00476909" w:rsidRDefault="00476909" w:rsidP="00520B02">
      <w:pPr>
        <w:pStyle w:val="Heading3"/>
      </w:pPr>
      <w:bookmarkStart w:id="209" w:name="_Covered_emissions_relevantly"/>
      <w:bookmarkStart w:id="210" w:name="_Toc138922926"/>
      <w:bookmarkStart w:id="211" w:name="_Toc138923001"/>
      <w:bookmarkStart w:id="212" w:name="_Toc138923065"/>
      <w:bookmarkStart w:id="213" w:name="_Toc138923322"/>
      <w:bookmarkStart w:id="214" w:name="_Toc143503195"/>
      <w:bookmarkEnd w:id="209"/>
      <w:r>
        <w:t xml:space="preserve">Covered emissions </w:t>
      </w:r>
      <w:r w:rsidR="002164F0">
        <w:t xml:space="preserve">relevantly </w:t>
      </w:r>
      <w:r>
        <w:t>associated with each historical production variable</w:t>
      </w:r>
      <w:bookmarkEnd w:id="210"/>
      <w:bookmarkEnd w:id="211"/>
      <w:bookmarkEnd w:id="212"/>
      <w:bookmarkEnd w:id="213"/>
      <w:bookmarkEnd w:id="214"/>
    </w:p>
    <w:p w14:paraId="23CCDD10" w14:textId="53F5CB74" w:rsidR="00E101DE" w:rsidRPr="00E961CC" w:rsidRDefault="00781EFE" w:rsidP="00376145">
      <w:pPr>
        <w:spacing w:before="240"/>
      </w:pPr>
      <w:r w:rsidRPr="00E961CC">
        <w:t>To</w:t>
      </w:r>
      <w:r w:rsidR="00E101DE" w:rsidRPr="00E961CC">
        <w:t xml:space="preserve"> calculate </w:t>
      </w:r>
      <w:r w:rsidR="00EE4403">
        <w:t>FSEI</w:t>
      </w:r>
      <w:r w:rsidR="00E101DE" w:rsidRPr="00E961CC">
        <w:t xml:space="preserve"> value</w:t>
      </w:r>
      <w:r w:rsidR="001639A6">
        <w:t>s</w:t>
      </w:r>
      <w:r w:rsidR="00E101DE" w:rsidRPr="00E961CC">
        <w:t xml:space="preserve"> for </w:t>
      </w:r>
      <w:r w:rsidR="1542765E">
        <w:t xml:space="preserve">historical </w:t>
      </w:r>
      <w:r w:rsidR="00E101DE">
        <w:t xml:space="preserve">production </w:t>
      </w:r>
      <w:r w:rsidR="00E101DE" w:rsidRPr="00E961CC">
        <w:t>variable</w:t>
      </w:r>
      <w:r w:rsidR="001639A6">
        <w:t>s</w:t>
      </w:r>
      <w:r w:rsidR="00E101DE" w:rsidRPr="00E961CC">
        <w:t xml:space="preserve">, covered emissions </w:t>
      </w:r>
      <w:r w:rsidR="002164F0">
        <w:t xml:space="preserve">relevantly </w:t>
      </w:r>
      <w:r w:rsidR="00E101DE" w:rsidRPr="00E961CC">
        <w:t>associated with each production variable need to be identified</w:t>
      </w:r>
      <w:r w:rsidR="009714AC">
        <w:t xml:space="preserve"> and apportioned.</w:t>
      </w:r>
    </w:p>
    <w:p w14:paraId="6B5697F7" w14:textId="0837DF69" w:rsidR="00F94A59" w:rsidRDefault="00593662" w:rsidP="006E5DF8">
      <w:r>
        <w:t>A</w:t>
      </w:r>
      <w:r w:rsidR="00A66CCF">
        <w:t>pplica</w:t>
      </w:r>
      <w:r w:rsidR="002164F0">
        <w:t>nts</w:t>
      </w:r>
      <w:r w:rsidR="00A66CCF">
        <w:t xml:space="preserve"> are </w:t>
      </w:r>
      <w:r w:rsidR="00767ADE">
        <w:t>required</w:t>
      </w:r>
      <w:r w:rsidR="006E5DF8" w:rsidRPr="008A609D">
        <w:t xml:space="preserve"> to </w:t>
      </w:r>
      <w:r w:rsidR="00045F2F">
        <w:t xml:space="preserve">apportion </w:t>
      </w:r>
      <w:r w:rsidR="006E5DF8" w:rsidRPr="008A609D">
        <w:t xml:space="preserve">emissions </w:t>
      </w:r>
      <w:r w:rsidR="00045F2F">
        <w:t>between</w:t>
      </w:r>
      <w:r w:rsidR="006E5DF8" w:rsidRPr="008A609D">
        <w:t xml:space="preserve"> production variables </w:t>
      </w:r>
      <w:r w:rsidR="00045F2F">
        <w:t>consiste</w:t>
      </w:r>
      <w:r w:rsidR="00861768">
        <w:t>ntly with how emissions</w:t>
      </w:r>
      <w:r w:rsidR="00317A88">
        <w:t xml:space="preserve"> were </w:t>
      </w:r>
      <w:r w:rsidR="00861768">
        <w:t xml:space="preserve">apportioned </w:t>
      </w:r>
      <w:r w:rsidR="00130655">
        <w:t xml:space="preserve">when </w:t>
      </w:r>
      <w:r w:rsidR="00A82234">
        <w:t xml:space="preserve">industry-average </w:t>
      </w:r>
      <w:r w:rsidR="001A5A58">
        <w:t>‘</w:t>
      </w:r>
      <w:r w:rsidR="00130655">
        <w:t>default</w:t>
      </w:r>
      <w:r w:rsidR="001A5A58">
        <w:t>’</w:t>
      </w:r>
      <w:r w:rsidR="00130655">
        <w:t xml:space="preserve"> </w:t>
      </w:r>
      <w:r w:rsidR="0095149E">
        <w:t>emissions-intensity</w:t>
      </w:r>
      <w:r w:rsidR="00130655">
        <w:t xml:space="preserve"> values were calculated. </w:t>
      </w:r>
      <w:r w:rsidR="00F94A59">
        <w:t>This ensure</w:t>
      </w:r>
      <w:r w:rsidR="00BB3F07">
        <w:t>s</w:t>
      </w:r>
      <w:r w:rsidR="00F94A59">
        <w:t xml:space="preserve"> </w:t>
      </w:r>
      <w:r w:rsidR="00EE4403">
        <w:t>FSEI</w:t>
      </w:r>
      <w:r w:rsidR="000845AB">
        <w:t xml:space="preserve"> values</w:t>
      </w:r>
      <w:r w:rsidR="00F94A59">
        <w:t xml:space="preserve"> are calculated </w:t>
      </w:r>
      <w:r w:rsidR="008C6963">
        <w:t>in the</w:t>
      </w:r>
      <w:r w:rsidR="00F94A59">
        <w:t xml:space="preserve"> same way</w:t>
      </w:r>
      <w:r w:rsidR="000845AB">
        <w:t xml:space="preserve"> as the industry-average </w:t>
      </w:r>
      <w:r w:rsidR="00C56D1C">
        <w:t>‘</w:t>
      </w:r>
      <w:r w:rsidR="00BC23AB">
        <w:t>default</w:t>
      </w:r>
      <w:r w:rsidR="00C56D1C">
        <w:t>’</w:t>
      </w:r>
      <w:r w:rsidR="00BC23AB">
        <w:t xml:space="preserve"> </w:t>
      </w:r>
      <w:r w:rsidR="000845AB">
        <w:t>values</w:t>
      </w:r>
      <w:r w:rsidR="00DB1848">
        <w:t xml:space="preserve"> and reflect actual emissions </w:t>
      </w:r>
      <w:r w:rsidR="00976B1D">
        <w:t>relat</w:t>
      </w:r>
      <w:r w:rsidR="009C0720">
        <w:t>ed to production</w:t>
      </w:r>
      <w:r w:rsidR="00B05321">
        <w:t xml:space="preserve"> of the production variable.</w:t>
      </w:r>
    </w:p>
    <w:p w14:paraId="7EA6099C" w14:textId="04B23DCB" w:rsidR="003355F8" w:rsidRDefault="00C61A0C" w:rsidP="003355F8">
      <w:r>
        <w:t xml:space="preserve">The </w:t>
      </w:r>
      <w:hyperlink r:id="rId51" w:anchor=":~:text=The%20Safeguard%20Mechanism%20and%20National,calculations%20under%20the%20Safeguard%20Mechanism" w:tooltip="A link to the The Safeguard Mechanism: presecribed production variables and default emissions-intensities on the Department of Climate Change, Energy the Environment and Water's webiste" w:history="1">
        <w:r w:rsidR="0060689E">
          <w:rPr>
            <w:rStyle w:val="Hyperlink"/>
            <w:rFonts w:asciiTheme="minorHAnsi" w:hAnsiTheme="minorHAnsi"/>
          </w:rPr>
          <w:t>Safeguard Mechanism document</w:t>
        </w:r>
      </w:hyperlink>
      <w:r w:rsidR="00362FD5" w:rsidRPr="00FC0CE8">
        <w:rPr>
          <w:rStyle w:val="FootnoteReference"/>
        </w:rPr>
        <w:footnoteReference w:id="37"/>
      </w:r>
      <w:r>
        <w:t xml:space="preserve"> </w:t>
      </w:r>
      <w:r w:rsidR="003355F8" w:rsidRPr="00EA1E58">
        <w:t>set</w:t>
      </w:r>
      <w:r w:rsidR="000D215C">
        <w:t>s</w:t>
      </w:r>
      <w:r w:rsidR="003355F8" w:rsidRPr="00EA1E58">
        <w:t xml:space="preserve"> out the emissions sources that were either included in</w:t>
      </w:r>
      <w:r w:rsidR="00E61ABC">
        <w:t>,</w:t>
      </w:r>
      <w:r w:rsidR="003355F8" w:rsidRPr="00EA1E58">
        <w:t xml:space="preserve"> or excluded from</w:t>
      </w:r>
      <w:r w:rsidR="00E61ABC">
        <w:t>,</w:t>
      </w:r>
      <w:r w:rsidR="003355F8" w:rsidRPr="00EA1E58">
        <w:t xml:space="preserve"> </w:t>
      </w:r>
      <w:r w:rsidR="00482C73">
        <w:t>industry-average</w:t>
      </w:r>
      <w:r w:rsidR="003355F8" w:rsidRPr="00EA1E58">
        <w:t xml:space="preserve"> </w:t>
      </w:r>
      <w:r w:rsidR="0095149E">
        <w:t>emissions-intensity</w:t>
      </w:r>
      <w:r w:rsidR="003355F8">
        <w:t xml:space="preserve"> calculations</w:t>
      </w:r>
      <w:r w:rsidR="003355F8" w:rsidRPr="00EA1E58">
        <w:t xml:space="preserve">, </w:t>
      </w:r>
      <w:r w:rsidR="003355F8">
        <w:t>and</w:t>
      </w:r>
      <w:r w:rsidR="003355F8" w:rsidRPr="00EA1E58">
        <w:t xml:space="preserve"> specify which emissions sources can be included in the calculation of</w:t>
      </w:r>
      <w:r w:rsidR="00F966B5">
        <w:t xml:space="preserve"> facility-specific</w:t>
      </w:r>
      <w:r w:rsidR="003355F8" w:rsidRPr="00EA1E58">
        <w:t xml:space="preserve"> </w:t>
      </w:r>
      <w:r w:rsidR="0095149E">
        <w:t>emissions-intensity</w:t>
      </w:r>
      <w:r w:rsidR="003355F8" w:rsidRPr="00EA1E58">
        <w:t xml:space="preserve"> value for a production variable. </w:t>
      </w:r>
    </w:p>
    <w:p w14:paraId="6FAB8442" w14:textId="77777777" w:rsidR="004903C0" w:rsidRDefault="00D523B0" w:rsidP="00D523B0">
      <w:pPr>
        <w:pStyle w:val="Bullet"/>
        <w:tabs>
          <w:tab w:val="clear" w:pos="604"/>
        </w:tabs>
        <w:ind w:left="0" w:firstLine="0"/>
        <w:rPr>
          <w:lang w:val="en"/>
        </w:rPr>
      </w:pPr>
      <w:r w:rsidRPr="00EA1E58">
        <w:rPr>
          <w:lang w:val="en"/>
        </w:rPr>
        <w:t>It is intended that all scope 1 NGER</w:t>
      </w:r>
      <w:r w:rsidR="00862E3F">
        <w:rPr>
          <w:lang w:val="en"/>
        </w:rPr>
        <w:t xml:space="preserve"> </w:t>
      </w:r>
      <w:r w:rsidRPr="00EA1E58">
        <w:rPr>
          <w:lang w:val="en"/>
        </w:rPr>
        <w:t>reported emissions from a facility can be assigned to a production variable</w:t>
      </w:r>
      <w:r>
        <w:rPr>
          <w:lang w:val="en"/>
        </w:rPr>
        <w:t>.</w:t>
      </w:r>
      <w:r w:rsidRPr="00EA1E58">
        <w:rPr>
          <w:lang w:val="en"/>
        </w:rPr>
        <w:t xml:space="preserve"> </w:t>
      </w:r>
    </w:p>
    <w:p w14:paraId="2CABDD61" w14:textId="13FF0C45" w:rsidR="00C403CE" w:rsidRDefault="00D523B0" w:rsidP="008A609D">
      <w:pPr>
        <w:pStyle w:val="Bullet"/>
        <w:tabs>
          <w:tab w:val="clear" w:pos="604"/>
        </w:tabs>
        <w:ind w:left="0" w:firstLine="0"/>
        <w:rPr>
          <w:lang w:val="en"/>
        </w:rPr>
      </w:pPr>
      <w:r>
        <w:rPr>
          <w:lang w:val="en"/>
        </w:rPr>
        <w:t>W</w:t>
      </w:r>
      <w:r w:rsidRPr="00EA1E58">
        <w:rPr>
          <w:lang w:val="en"/>
        </w:rPr>
        <w:t>here a</w:t>
      </w:r>
      <w:r w:rsidR="00FF24D0">
        <w:rPr>
          <w:lang w:val="en"/>
        </w:rPr>
        <w:t>n emissions source spans multiple production variables</w:t>
      </w:r>
      <w:r w:rsidR="00245625">
        <w:rPr>
          <w:lang w:val="en"/>
        </w:rPr>
        <w:t>,</w:t>
      </w:r>
      <w:r w:rsidRPr="00EA1E58">
        <w:rPr>
          <w:lang w:val="en"/>
        </w:rPr>
        <w:t xml:space="preserve"> emissions must be apportioned</w:t>
      </w:r>
      <w:r w:rsidR="005B3CEE">
        <w:rPr>
          <w:lang w:val="en"/>
        </w:rPr>
        <w:t xml:space="preserve"> between</w:t>
      </w:r>
      <w:r w:rsidR="00DF53E9">
        <w:rPr>
          <w:lang w:val="en"/>
        </w:rPr>
        <w:t xml:space="preserve"> production variables</w:t>
      </w:r>
      <w:r w:rsidR="00C737A2">
        <w:rPr>
          <w:lang w:val="en"/>
        </w:rPr>
        <w:t>. S</w:t>
      </w:r>
      <w:r w:rsidR="00C403CE">
        <w:rPr>
          <w:lang w:val="en"/>
        </w:rPr>
        <w:t xml:space="preserve">ee </w:t>
      </w:r>
      <w:hyperlink w:anchor="_How_to_apportion_1" w:history="1">
        <w:r w:rsidR="004400DB">
          <w:rPr>
            <w:rStyle w:val="Hyperlink"/>
            <w:rFonts w:asciiTheme="minorHAnsi" w:hAnsiTheme="minorHAnsi"/>
            <w:lang w:val="en"/>
          </w:rPr>
          <w:t xml:space="preserve">Part 3.7.3.1 </w:t>
        </w:r>
        <w:r w:rsidR="00141B53">
          <w:rPr>
            <w:rStyle w:val="Hyperlink"/>
            <w:rFonts w:asciiTheme="minorHAnsi" w:hAnsiTheme="minorHAnsi"/>
            <w:lang w:val="en"/>
          </w:rPr>
          <w:t>H</w:t>
        </w:r>
        <w:r w:rsidR="00FE7185" w:rsidRPr="00FE7185">
          <w:rPr>
            <w:rStyle w:val="Hyperlink"/>
            <w:rFonts w:asciiTheme="minorHAnsi" w:hAnsiTheme="minorHAnsi"/>
            <w:lang w:val="en"/>
          </w:rPr>
          <w:t>ow to apportion covered emissions</w:t>
        </w:r>
      </w:hyperlink>
      <w:r w:rsidR="00FE7185">
        <w:rPr>
          <w:lang w:val="en"/>
        </w:rPr>
        <w:t xml:space="preserve"> </w:t>
      </w:r>
      <w:r w:rsidR="00C403CE">
        <w:rPr>
          <w:lang w:val="en"/>
        </w:rPr>
        <w:t xml:space="preserve">for more information. </w:t>
      </w:r>
    </w:p>
    <w:p w14:paraId="015D5121" w14:textId="2D317055" w:rsidR="006231B1" w:rsidRDefault="00C403CE" w:rsidP="007235EF">
      <w:pPr>
        <w:pStyle w:val="Bullet"/>
        <w:tabs>
          <w:tab w:val="clear" w:pos="604"/>
        </w:tabs>
        <w:ind w:left="0" w:firstLine="0"/>
      </w:pPr>
      <w:r>
        <w:rPr>
          <w:lang w:val="en"/>
        </w:rPr>
        <w:t>I</w:t>
      </w:r>
      <w:r w:rsidR="00BF7A8C">
        <w:rPr>
          <w:lang w:val="en"/>
        </w:rPr>
        <w:t xml:space="preserve">f </w:t>
      </w:r>
      <w:r w:rsidR="00BF7A8C">
        <w:t xml:space="preserve">a facility </w:t>
      </w:r>
      <w:r w:rsidR="003A0345">
        <w:t xml:space="preserve">has minor emissions sources </w:t>
      </w:r>
      <w:r w:rsidR="00D20CFD">
        <w:t>not associated with a</w:t>
      </w:r>
      <w:r w:rsidR="005F01C3">
        <w:t>ny</w:t>
      </w:r>
      <w:r w:rsidR="00D20CFD">
        <w:t xml:space="preserve"> production variable</w:t>
      </w:r>
      <w:r w:rsidR="005F01C3">
        <w:t>s</w:t>
      </w:r>
      <w:r>
        <w:t>,</w:t>
      </w:r>
      <w:r w:rsidR="00D20CFD">
        <w:t xml:space="preserve"> they can be apportioned to one or more production variables </w:t>
      </w:r>
      <w:r w:rsidR="005F01C3">
        <w:t>appliable to the facility</w:t>
      </w:r>
      <w:r>
        <w:t xml:space="preserve">, </w:t>
      </w:r>
      <w:r w:rsidR="006B6C40">
        <w:t xml:space="preserve">see </w:t>
      </w:r>
      <w:r w:rsidR="00F74007" w:rsidRPr="00F74007">
        <w:rPr>
          <w:i/>
          <w:iCs/>
        </w:rPr>
        <w:t xml:space="preserve">Step 4 </w:t>
      </w:r>
      <w:r w:rsidR="00F74007">
        <w:rPr>
          <w:i/>
          <w:iCs/>
        </w:rPr>
        <w:t>– m</w:t>
      </w:r>
      <w:r w:rsidR="00F74007" w:rsidRPr="00F74007">
        <w:rPr>
          <w:i/>
          <w:iCs/>
        </w:rPr>
        <w:t>inor emissions sources</w:t>
      </w:r>
      <w:r w:rsidR="00F74007">
        <w:t xml:space="preserve"> section on </w:t>
      </w:r>
      <w:r w:rsidR="00F74007" w:rsidRPr="008E5402">
        <w:t xml:space="preserve">page </w:t>
      </w:r>
      <w:r w:rsidR="00F16E3F" w:rsidRPr="008E5402">
        <w:t>3</w:t>
      </w:r>
      <w:r w:rsidR="0081482B">
        <w:t>6</w:t>
      </w:r>
      <w:r w:rsidR="007F7B2D" w:rsidRPr="008E5402">
        <w:t xml:space="preserve"> for more information</w:t>
      </w:r>
      <w:r w:rsidRPr="008E5402">
        <w:t>.</w:t>
      </w:r>
    </w:p>
    <w:p w14:paraId="783D7DA0" w14:textId="0491397A" w:rsidR="00AF0A6B" w:rsidRPr="00C36DED" w:rsidRDefault="00AF0A6B" w:rsidP="00C36DED">
      <w:bookmarkStart w:id="215" w:name="_How_to_apportion"/>
      <w:bookmarkEnd w:id="215"/>
      <w:r w:rsidRPr="00C36DED">
        <w:t xml:space="preserve">Note that if there was no commercial production in a historical financial year </w:t>
      </w:r>
      <w:r w:rsidR="00B176F2" w:rsidRPr="00C36DED">
        <w:t xml:space="preserve">but the facility still emitted covered greenhouse gas emissions, </w:t>
      </w:r>
      <w:r w:rsidRPr="00C36DED">
        <w:t xml:space="preserve">those emissions should still be </w:t>
      </w:r>
      <w:r w:rsidR="000F17BA" w:rsidRPr="00C36DED">
        <w:t>identified against the relevant production variable</w:t>
      </w:r>
      <w:r w:rsidRPr="00C36DED">
        <w:t xml:space="preserve"> in the </w:t>
      </w:r>
      <w:r w:rsidR="000F17BA" w:rsidRPr="00C36DED">
        <w:t xml:space="preserve">online </w:t>
      </w:r>
      <w:r w:rsidRPr="00C36DED">
        <w:t xml:space="preserve">application form when prompted. These emissions will appear in the facility emissions totals for that </w:t>
      </w:r>
      <w:r w:rsidR="00CD16EC" w:rsidRPr="00C36DED">
        <w:t>financial year in the online application form</w:t>
      </w:r>
      <w:r w:rsidRPr="00C36DED">
        <w:t xml:space="preserve"> but will not be included in calculating a</w:t>
      </w:r>
      <w:r w:rsidR="00CD16EC" w:rsidRPr="00C36DED">
        <w:t xml:space="preserve"> </w:t>
      </w:r>
      <w:r w:rsidR="00EE4403">
        <w:t>FSEI</w:t>
      </w:r>
      <w:r w:rsidR="00CD16EC" w:rsidRPr="00C36DED">
        <w:t xml:space="preserve"> for a production variable.</w:t>
      </w:r>
    </w:p>
    <w:p w14:paraId="6A965527" w14:textId="38C47FF6" w:rsidR="00CA5E9F" w:rsidRDefault="003D7E26" w:rsidP="008A609D">
      <w:pPr>
        <w:pStyle w:val="Heading4"/>
      </w:pPr>
      <w:bookmarkStart w:id="216" w:name="_How_to_apportion_1"/>
      <w:bookmarkEnd w:id="216"/>
      <w:r>
        <w:t xml:space="preserve">How to </w:t>
      </w:r>
      <w:r w:rsidR="00CA5E9F">
        <w:t>apportion</w:t>
      </w:r>
      <w:r w:rsidR="00A26F76">
        <w:t xml:space="preserve"> covered</w:t>
      </w:r>
      <w:r w:rsidR="00CA5E9F">
        <w:t xml:space="preserve"> emissions</w:t>
      </w:r>
    </w:p>
    <w:p w14:paraId="581C6222" w14:textId="19437157" w:rsidR="00E3298F" w:rsidRDefault="003D7E26" w:rsidP="00376145">
      <w:pPr>
        <w:spacing w:before="240"/>
      </w:pPr>
      <w:r>
        <w:t xml:space="preserve">There are </w:t>
      </w:r>
      <w:r w:rsidR="00F00228">
        <w:t>four</w:t>
      </w:r>
      <w:r>
        <w:t xml:space="preserve"> steps </w:t>
      </w:r>
      <w:r w:rsidR="00A26F76">
        <w:t>to apportion covered emissions between</w:t>
      </w:r>
      <w:r w:rsidR="00736ADF">
        <w:t xml:space="preserve"> historical</w:t>
      </w:r>
      <w:r w:rsidR="00A26F76">
        <w:t xml:space="preserve"> production variables: </w:t>
      </w:r>
    </w:p>
    <w:p w14:paraId="517B7345" w14:textId="78DB3AC4" w:rsidR="00A26F76" w:rsidRPr="00E97D88" w:rsidRDefault="00A26F76" w:rsidP="009B5E9A">
      <w:pPr>
        <w:pStyle w:val="Heading5"/>
        <w:numPr>
          <w:ilvl w:val="0"/>
          <w:numId w:val="0"/>
        </w:numPr>
        <w:rPr>
          <w:bCs/>
        </w:rPr>
      </w:pPr>
      <w:r w:rsidRPr="008A609D">
        <w:t>Step 1</w:t>
      </w:r>
      <w:r w:rsidR="0035767F" w:rsidRPr="00E97D88">
        <w:t xml:space="preserve"> – adjust </w:t>
      </w:r>
      <w:r w:rsidR="00AF527D" w:rsidRPr="00E97D88">
        <w:t xml:space="preserve">facility total </w:t>
      </w:r>
      <w:r w:rsidR="00355EEC" w:rsidRPr="00E97D88">
        <w:t>covered emissions</w:t>
      </w:r>
    </w:p>
    <w:p w14:paraId="4B7C4872" w14:textId="512FB322" w:rsidR="003B248A" w:rsidRDefault="007153E1" w:rsidP="003B248A">
      <w:r>
        <w:t xml:space="preserve">If a facility has more than one production variable it is recommend that any required adjustments to facility total covered emissions are applied first </w:t>
      </w:r>
      <w:r w:rsidR="00084AE2">
        <w:t>(</w:t>
      </w:r>
      <w:r w:rsidR="00537CC6">
        <w:t xml:space="preserve">see </w:t>
      </w:r>
      <w:hyperlink w:anchor="_Facility_total_covered" w:history="1">
        <w:r w:rsidR="004400DB">
          <w:rPr>
            <w:rStyle w:val="Hyperlink"/>
            <w:rFonts w:asciiTheme="minorHAnsi" w:hAnsiTheme="minorHAnsi"/>
          </w:rPr>
          <w:t>Part</w:t>
        </w:r>
        <w:r w:rsidR="00EC1E97">
          <w:rPr>
            <w:rStyle w:val="Hyperlink"/>
            <w:rFonts w:asciiTheme="minorHAnsi" w:hAnsiTheme="minorHAnsi"/>
          </w:rPr>
          <w:t xml:space="preserve"> 3.6.1</w:t>
        </w:r>
        <w:r w:rsidR="004400DB">
          <w:rPr>
            <w:rStyle w:val="Hyperlink"/>
            <w:rFonts w:asciiTheme="minorHAnsi" w:hAnsiTheme="minorHAnsi"/>
          </w:rPr>
          <w:t xml:space="preserve"> </w:t>
        </w:r>
        <w:r w:rsidR="00F51FD1" w:rsidRPr="00F51FD1">
          <w:rPr>
            <w:rStyle w:val="Hyperlink"/>
            <w:rFonts w:asciiTheme="minorHAnsi" w:hAnsiTheme="minorHAnsi"/>
          </w:rPr>
          <w:t>Facility total covered emission</w:t>
        </w:r>
        <w:r w:rsidR="001652F4">
          <w:rPr>
            <w:rStyle w:val="Hyperlink"/>
            <w:rFonts w:asciiTheme="minorHAnsi" w:hAnsiTheme="minorHAnsi"/>
          </w:rPr>
          <w:t>s data</w:t>
        </w:r>
      </w:hyperlink>
      <w:r w:rsidR="00F51FD1">
        <w:t>).</w:t>
      </w:r>
    </w:p>
    <w:p w14:paraId="093CB6EB" w14:textId="56053CB0" w:rsidR="00C51F7E" w:rsidRPr="00E97D88" w:rsidRDefault="00A26F76" w:rsidP="009B5E9A">
      <w:pPr>
        <w:pStyle w:val="Heading5"/>
        <w:numPr>
          <w:ilvl w:val="0"/>
          <w:numId w:val="0"/>
        </w:numPr>
      </w:pPr>
      <w:r w:rsidRPr="00E97D88">
        <w:t>Step 2</w:t>
      </w:r>
      <w:r w:rsidR="00314E15" w:rsidRPr="00E97D88">
        <w:t xml:space="preserve"> – identify included emissions source</w:t>
      </w:r>
      <w:r w:rsidR="00445698" w:rsidRPr="00E97D88">
        <w:t>s</w:t>
      </w:r>
    </w:p>
    <w:p w14:paraId="28722410" w14:textId="02784A3E" w:rsidR="004B1E2D" w:rsidRDefault="002C62E3" w:rsidP="00D84CD0">
      <w:r>
        <w:t xml:space="preserve">Identify </w:t>
      </w:r>
      <w:r w:rsidR="00B242D4">
        <w:t xml:space="preserve">included emissions sources for each production variable </w:t>
      </w:r>
      <w:r w:rsidR="008F185B">
        <w:t xml:space="preserve">referring to </w:t>
      </w:r>
      <w:r w:rsidR="00B242D4">
        <w:t xml:space="preserve">the </w:t>
      </w:r>
      <w:hyperlink r:id="rId52" w:anchor=":~:text=The%20Safeguard%20Mechanism%20and%20National,calculations%20under%20the%20Safeguard%20Mechanism" w:tooltip="A link to the The Safeguard Mechanism: presecribed production variables and default emissions-intensities on the Department of Climate Change, Energy the Environment and Water's webiste" w:history="1">
        <w:r w:rsidR="00303ACE" w:rsidRPr="00B23AD7">
          <w:rPr>
            <w:rStyle w:val="Hyperlink"/>
            <w:rFonts w:asciiTheme="minorHAnsi" w:hAnsiTheme="minorHAnsi"/>
          </w:rPr>
          <w:t>Safeguard Mechanism document</w:t>
        </w:r>
      </w:hyperlink>
      <w:r w:rsidR="00DC60CB">
        <w:rPr>
          <w:rStyle w:val="FootnoteReference"/>
        </w:rPr>
        <w:footnoteReference w:id="38"/>
      </w:r>
      <w:r w:rsidR="00B242D4">
        <w:t>.</w:t>
      </w:r>
      <w:r w:rsidR="005613AA">
        <w:t xml:space="preserve"> </w:t>
      </w:r>
    </w:p>
    <w:p w14:paraId="17B4AB8C" w14:textId="29ECA8A4" w:rsidR="000A59BA" w:rsidRDefault="000A59BA" w:rsidP="00D84CD0">
      <w:r>
        <w:t xml:space="preserve">If </w:t>
      </w:r>
      <w:r w:rsidR="001F4097">
        <w:t xml:space="preserve">an </w:t>
      </w:r>
      <w:r w:rsidR="004726FB">
        <w:t xml:space="preserve">emissions source is only </w:t>
      </w:r>
      <w:r w:rsidR="007D144F">
        <w:t xml:space="preserve">associated with one production </w:t>
      </w:r>
      <w:proofErr w:type="gramStart"/>
      <w:r w:rsidR="007D144F">
        <w:t>variable</w:t>
      </w:r>
      <w:proofErr w:type="gramEnd"/>
      <w:r w:rsidR="007D144F">
        <w:t xml:space="preserve"> </w:t>
      </w:r>
      <w:r w:rsidR="001F4097">
        <w:t>then all emissions from that source are apportioned to that production variable</w:t>
      </w:r>
      <w:r w:rsidR="00F36F77">
        <w:t xml:space="preserve"> (</w:t>
      </w:r>
      <w:r w:rsidR="00F33100">
        <w:t xml:space="preserve">for example, </w:t>
      </w:r>
      <w:r w:rsidR="00DD0767">
        <w:t xml:space="preserve">all </w:t>
      </w:r>
      <w:r w:rsidR="005A0044">
        <w:t>diesel fuel combustion emissions related to</w:t>
      </w:r>
      <w:r w:rsidR="00DD0767">
        <w:t xml:space="preserve"> generating electricity </w:t>
      </w:r>
      <w:r w:rsidR="008B2EE6">
        <w:t>are apportioned to the electricity generation production variable)</w:t>
      </w:r>
      <w:r w:rsidR="005A0044">
        <w:t>.</w:t>
      </w:r>
    </w:p>
    <w:p w14:paraId="3266FAA3" w14:textId="69A1C760" w:rsidR="001F4097" w:rsidRDefault="001F4097" w:rsidP="00D84CD0">
      <w:r>
        <w:t xml:space="preserve">If an emissions source </w:t>
      </w:r>
      <w:r w:rsidR="00C65807">
        <w:t xml:space="preserve">spans </w:t>
      </w:r>
      <w:r w:rsidR="00831933">
        <w:t>multiple</w:t>
      </w:r>
      <w:r>
        <w:t xml:space="preserve"> production </w:t>
      </w:r>
      <w:r w:rsidR="00EB67AA">
        <w:t>variable,</w:t>
      </w:r>
      <w:r>
        <w:t xml:space="preserve"> then </w:t>
      </w:r>
      <w:r w:rsidR="0034654F">
        <w:t>emissions source</w:t>
      </w:r>
      <w:r w:rsidR="001F52D3">
        <w:t>s need to be apportioned</w:t>
      </w:r>
      <w:r w:rsidR="0034654F">
        <w:t xml:space="preserve"> </w:t>
      </w:r>
      <w:r w:rsidR="003978A3">
        <w:t>between the production variable</w:t>
      </w:r>
      <w:r w:rsidR="00831933">
        <w:t>s</w:t>
      </w:r>
      <w:r w:rsidR="003978A3">
        <w:t xml:space="preserve"> – see </w:t>
      </w:r>
      <w:r w:rsidR="003978A3" w:rsidRPr="00E97D88">
        <w:rPr>
          <w:b/>
          <w:bCs/>
        </w:rPr>
        <w:t>Step 3</w:t>
      </w:r>
      <w:r w:rsidR="003978A3">
        <w:t>.</w:t>
      </w:r>
    </w:p>
    <w:p w14:paraId="4ADF4976" w14:textId="31AC6C86" w:rsidR="00B242D4" w:rsidRDefault="001F4097" w:rsidP="00D84CD0">
      <w:r>
        <w:t xml:space="preserve">If an emissions source is </w:t>
      </w:r>
      <w:r w:rsidR="007C45E7">
        <w:t xml:space="preserve">not listed as an included emissions source in the </w:t>
      </w:r>
      <w:hyperlink r:id="rId53" w:anchor=":~:text=The%20Safeguard%20Mechanism%20and%20National,calculations%20under%20the%20Safeguard%20Mechanism" w:tooltip="A link to the The Safeguard Mechanism: presecribed production variables and default emissions-intensities on the Department of Climate Change, Energy the Environment and Water's webiste" w:history="1">
        <w:r w:rsidR="00303ACE" w:rsidRPr="00197044">
          <w:rPr>
            <w:rStyle w:val="Hyperlink"/>
            <w:rFonts w:asciiTheme="minorHAnsi" w:hAnsiTheme="minorHAnsi"/>
          </w:rPr>
          <w:t>Safeguard Mechanism document</w:t>
        </w:r>
      </w:hyperlink>
      <w:r w:rsidR="00645DC2" w:rsidRPr="00645DC2">
        <w:rPr>
          <w:vertAlign w:val="superscript"/>
        </w:rPr>
        <w:t>37</w:t>
      </w:r>
      <w:r w:rsidR="007C45E7">
        <w:t xml:space="preserve"> for any</w:t>
      </w:r>
      <w:r w:rsidR="007C45E7" w:rsidRPr="007C45E7">
        <w:t xml:space="preserve"> </w:t>
      </w:r>
      <w:r w:rsidR="00E52DE7" w:rsidRPr="007C45E7">
        <w:t xml:space="preserve">production variables </w:t>
      </w:r>
      <w:r w:rsidR="005E3F64" w:rsidRPr="007C45E7">
        <w:t>ap</w:t>
      </w:r>
      <w:r w:rsidR="005E3F64">
        <w:t xml:space="preserve">plicable to </w:t>
      </w:r>
      <w:r w:rsidR="005005C2">
        <w:t xml:space="preserve">the </w:t>
      </w:r>
      <w:r w:rsidR="005E3F64">
        <w:t xml:space="preserve">facility </w:t>
      </w:r>
      <w:r w:rsidR="00E52DE7">
        <w:t>and it is a minor emissions source</w:t>
      </w:r>
      <w:r w:rsidR="005005C2">
        <w:t xml:space="preserve">, it </w:t>
      </w:r>
      <w:r w:rsidR="00FC5C8A">
        <w:t xml:space="preserve">may </w:t>
      </w:r>
      <w:r w:rsidR="0003594D">
        <w:t>possible to</w:t>
      </w:r>
      <w:r w:rsidR="00FC5C8A">
        <w:t xml:space="preserve"> </w:t>
      </w:r>
      <w:r w:rsidR="00332DFB">
        <w:t>allocate</w:t>
      </w:r>
      <w:r w:rsidR="00BA4BA7">
        <w:t xml:space="preserve"> those minor</w:t>
      </w:r>
      <w:r w:rsidR="00332DFB">
        <w:t xml:space="preserve"> emissions </w:t>
      </w:r>
      <w:r w:rsidR="00A63237">
        <w:t xml:space="preserve">to </w:t>
      </w:r>
      <w:r w:rsidR="00BA4BA7">
        <w:t xml:space="preserve">one or more </w:t>
      </w:r>
      <w:r w:rsidR="00700488">
        <w:t xml:space="preserve">applicable </w:t>
      </w:r>
      <w:r w:rsidR="00BA4BA7">
        <w:t xml:space="preserve">production variables – see </w:t>
      </w:r>
      <w:r w:rsidR="00BA4BA7" w:rsidRPr="00E97D88">
        <w:rPr>
          <w:b/>
          <w:bCs/>
        </w:rPr>
        <w:t>Step 4</w:t>
      </w:r>
      <w:r w:rsidR="00BA4BA7">
        <w:t>.</w:t>
      </w:r>
    </w:p>
    <w:p w14:paraId="4F8BC5D8" w14:textId="007CA3CD" w:rsidR="00A26F76" w:rsidRPr="00E97D88" w:rsidRDefault="00A26F76" w:rsidP="009B5E9A">
      <w:pPr>
        <w:pStyle w:val="Heading5"/>
        <w:numPr>
          <w:ilvl w:val="0"/>
          <w:numId w:val="0"/>
        </w:numPr>
      </w:pPr>
      <w:r w:rsidRPr="00E97D88">
        <w:t>Step 3</w:t>
      </w:r>
      <w:r w:rsidR="00BA4BA7" w:rsidRPr="00E97D88">
        <w:t xml:space="preserve"> – </w:t>
      </w:r>
      <w:r w:rsidR="00CF6DCD" w:rsidRPr="00E97D88">
        <w:t>a</w:t>
      </w:r>
      <w:r w:rsidR="00BA4BA7" w:rsidRPr="00E97D88">
        <w:t>pport</w:t>
      </w:r>
      <w:r w:rsidR="00D5252D" w:rsidRPr="00E97D88">
        <w:t>ion</w:t>
      </w:r>
      <w:r w:rsidR="00BA4BA7" w:rsidRPr="00E97D88">
        <w:t xml:space="preserve">ing an emissions source </w:t>
      </w:r>
      <w:r w:rsidR="001F1D27">
        <w:t xml:space="preserve">relevantly </w:t>
      </w:r>
      <w:r w:rsidR="00BA4BA7" w:rsidRPr="00E97D88">
        <w:t>associated with more than one production variable</w:t>
      </w:r>
    </w:p>
    <w:p w14:paraId="2CDEC2A7" w14:textId="0A4818BD" w:rsidR="00877FA6" w:rsidRDefault="00837512" w:rsidP="00E97D88">
      <w:pPr>
        <w:pStyle w:val="Bullet"/>
        <w:tabs>
          <w:tab w:val="clear" w:pos="604"/>
        </w:tabs>
        <w:spacing w:before="0" w:after="200"/>
        <w:ind w:left="0" w:firstLine="0"/>
      </w:pPr>
      <w:r>
        <w:rPr>
          <w:lang w:val="en"/>
        </w:rPr>
        <w:t>W</w:t>
      </w:r>
      <w:r w:rsidRPr="00EA1E58">
        <w:rPr>
          <w:lang w:val="en"/>
        </w:rPr>
        <w:t>here a</w:t>
      </w:r>
      <w:r>
        <w:rPr>
          <w:lang w:val="en"/>
        </w:rPr>
        <w:t>n emissions source spans multiple production variables</w:t>
      </w:r>
      <w:r w:rsidRPr="00EA1E58">
        <w:rPr>
          <w:lang w:val="en"/>
        </w:rPr>
        <w:t xml:space="preserve">, emissions must be apportioned </w:t>
      </w:r>
      <w:r w:rsidR="00B6236D">
        <w:rPr>
          <w:lang w:val="en"/>
        </w:rPr>
        <w:t>to production variables</w:t>
      </w:r>
      <w:r w:rsidR="00877FA6" w:rsidRPr="00EA1E58">
        <w:rPr>
          <w:lang w:val="en"/>
        </w:rPr>
        <w:t xml:space="preserve"> </w:t>
      </w:r>
      <w:r w:rsidRPr="00EA1E58">
        <w:rPr>
          <w:lang w:val="en"/>
        </w:rPr>
        <w:t>in a justifiable manner, making sure no emissions are counted more than once</w:t>
      </w:r>
      <w:r>
        <w:t>.</w:t>
      </w:r>
    </w:p>
    <w:p w14:paraId="4528FB24" w14:textId="0B92209B" w:rsidR="00D373A8" w:rsidRDefault="00D373A8" w:rsidP="00F20515">
      <w:r w:rsidRPr="00E97D88">
        <w:t>Apportioning of emissions must fairly represent the actual emissions attributable to the production variable</w:t>
      </w:r>
      <w:r w:rsidRPr="003B17AF">
        <w:t>. For example, covered emissions should not be attributed to a production variable when they could</w:t>
      </w:r>
      <w:r w:rsidR="00B0201A">
        <w:t>,</w:t>
      </w:r>
      <w:r w:rsidRPr="003B17AF">
        <w:t xml:space="preserve"> with greater justification</w:t>
      </w:r>
      <w:r w:rsidR="00B0201A">
        <w:t>,</w:t>
      </w:r>
      <w:r w:rsidRPr="003B17AF">
        <w:t xml:space="preserve"> be attributed to another of the facility’s production variables.</w:t>
      </w:r>
      <w:r>
        <w:t xml:space="preserve"> </w:t>
      </w:r>
    </w:p>
    <w:p w14:paraId="135B5A02" w14:textId="34E8E9BA" w:rsidR="003A18E2" w:rsidRPr="00D6331E" w:rsidRDefault="003A18E2" w:rsidP="003A18E2">
      <w:r w:rsidRPr="00D6331E">
        <w:t>Methods of apportionment may be based on normal industry practice, internal processes or consistent with the method used in a previous baseline application.</w:t>
      </w:r>
    </w:p>
    <w:p w14:paraId="274D7B26" w14:textId="2B8DF1D2" w:rsidR="003A18E2" w:rsidRDefault="003A18E2" w:rsidP="003A18E2">
      <w:r w:rsidRPr="001A622C">
        <w:t xml:space="preserve">Note, that if </w:t>
      </w:r>
      <w:r w:rsidR="00C361D0">
        <w:t>a</w:t>
      </w:r>
      <w:r w:rsidR="00D50D4F">
        <w:t xml:space="preserve"> facility</w:t>
      </w:r>
      <w:r w:rsidRPr="001A622C">
        <w:t xml:space="preserve"> h</w:t>
      </w:r>
      <w:r w:rsidR="00D50D4F">
        <w:t>as</w:t>
      </w:r>
      <w:r w:rsidRPr="001A622C">
        <w:t xml:space="preserve"> previously had a baseline determination with a </w:t>
      </w:r>
      <w:r w:rsidR="00EE4403">
        <w:t>FSEI</w:t>
      </w:r>
      <w:r w:rsidRPr="001A622C">
        <w:t xml:space="preserve"> value for a prescribed production variable (from 1 July 2023 known as a production variable) </w:t>
      </w:r>
      <w:r w:rsidR="00D12B10">
        <w:t xml:space="preserve">emissions </w:t>
      </w:r>
      <w:r w:rsidRPr="001A622C">
        <w:t xml:space="preserve">should continue to </w:t>
      </w:r>
      <w:r w:rsidR="00D12B10">
        <w:t xml:space="preserve">be </w:t>
      </w:r>
      <w:r w:rsidRPr="001A622C">
        <w:t>apportion</w:t>
      </w:r>
      <w:r w:rsidR="00D12B10">
        <w:t xml:space="preserve">ed </w:t>
      </w:r>
      <w:r w:rsidRPr="001A622C">
        <w:t>between production variables on the same basis unless a different method results in more accurately apportioned emissions.</w:t>
      </w:r>
    </w:p>
    <w:p w14:paraId="04D0599B" w14:textId="16096E28" w:rsidR="00A356BC" w:rsidRPr="00E97D88" w:rsidRDefault="00D12B10" w:rsidP="00911B45">
      <w:r>
        <w:t xml:space="preserve">The applicant </w:t>
      </w:r>
      <w:r w:rsidR="00A356BC" w:rsidRPr="00E97D88">
        <w:t xml:space="preserve">may choose the method for apportioning an emissions source between production </w:t>
      </w:r>
      <w:r w:rsidR="00D40E75" w:rsidRPr="00D40E75">
        <w:t>variables unless</w:t>
      </w:r>
      <w:r w:rsidR="00A356BC" w:rsidRPr="00E97D88">
        <w:t xml:space="preserve"> the </w:t>
      </w:r>
      <w:hyperlink r:id="rId54" w:anchor=":~:text=The%20Safeguard%20Mechanism%20and%20National,calculations%20under%20the%20Safeguard%20Mechanism" w:tooltip="A link to the The Safeguard Mechanism: presecribed production variables and default emissions-intensities on the Department of Climate Change, Energy the Environment and Water's webiste" w:history="1">
        <w:r w:rsidR="00474764" w:rsidRPr="00197044">
          <w:rPr>
            <w:rStyle w:val="Hyperlink"/>
            <w:rFonts w:asciiTheme="minorHAnsi" w:hAnsiTheme="minorHAnsi"/>
          </w:rPr>
          <w:t>Safeguard Mechanism document</w:t>
        </w:r>
      </w:hyperlink>
      <w:r w:rsidR="00645DC2" w:rsidRPr="00645DC2">
        <w:rPr>
          <w:vertAlign w:val="superscript"/>
        </w:rPr>
        <w:t>37</w:t>
      </w:r>
      <w:r w:rsidR="00A356BC" w:rsidRPr="00E97D88">
        <w:t xml:space="preserve"> specifies a method for apportioning an emissions source between production variables (</w:t>
      </w:r>
      <w:r w:rsidR="00F33100">
        <w:t xml:space="preserve">for example, </w:t>
      </w:r>
      <w:r w:rsidR="00A356BC" w:rsidRPr="00E97D88">
        <w:t xml:space="preserve">oil and gas industry production variables). </w:t>
      </w:r>
    </w:p>
    <w:p w14:paraId="5C6D7A9C" w14:textId="549759EC" w:rsidR="0044562E" w:rsidRPr="00911B45" w:rsidRDefault="00D12B10" w:rsidP="00911B45">
      <w:r>
        <w:t xml:space="preserve">The </w:t>
      </w:r>
      <w:r w:rsidR="00911B45" w:rsidRPr="00E97D88">
        <w:t xml:space="preserve">chosen method </w:t>
      </w:r>
      <w:r w:rsidR="00182122">
        <w:t xml:space="preserve">must </w:t>
      </w:r>
      <w:r w:rsidR="00911B45" w:rsidRPr="00E97D88">
        <w:t xml:space="preserve">fairly represent the actual emissions related to producing the production variables. If there are multiple methods that could be used, then the one chosen must most accurately represent the actual emissions related to a production variable. </w:t>
      </w:r>
    </w:p>
    <w:tbl>
      <w:tblPr>
        <w:tblStyle w:val="CERCallout"/>
        <w:tblW w:w="9634" w:type="dxa"/>
        <w:tblLook w:val="04A0" w:firstRow="1" w:lastRow="0" w:firstColumn="1" w:lastColumn="0" w:noHBand="0" w:noVBand="1"/>
      </w:tblPr>
      <w:tblGrid>
        <w:gridCol w:w="9634"/>
      </w:tblGrid>
      <w:tr w:rsidR="00FE091C" w14:paraId="4A110BCC" w14:textId="77777777" w:rsidTr="00FE2099">
        <w:trPr>
          <w:cnfStyle w:val="100000000000" w:firstRow="1" w:lastRow="0" w:firstColumn="0" w:lastColumn="0" w:oddVBand="0" w:evenVBand="0" w:oddHBand="0" w:evenHBand="0" w:firstRowFirstColumn="0" w:firstRowLastColumn="0" w:lastRowFirstColumn="0" w:lastRowLastColumn="0"/>
          <w:trHeight w:val="150"/>
        </w:trPr>
        <w:tc>
          <w:tcPr>
            <w:tcW w:w="9634" w:type="dxa"/>
          </w:tcPr>
          <w:p w14:paraId="6AA66CD4" w14:textId="49E74217" w:rsidR="002107CD" w:rsidRPr="00E97D88" w:rsidRDefault="002107CD" w:rsidP="00E97D88">
            <w:pPr>
              <w:ind w:left="0"/>
            </w:pPr>
            <w:r w:rsidRPr="00E97D88">
              <w:t xml:space="preserve">Example of </w:t>
            </w:r>
            <w:r w:rsidR="00824A05" w:rsidRPr="00E97D88">
              <w:t>emissions source that spans multiple production variables</w:t>
            </w:r>
          </w:p>
          <w:p w14:paraId="17C55167" w14:textId="33245615" w:rsidR="00824A05" w:rsidRPr="009B5E9A" w:rsidRDefault="001C13DA" w:rsidP="00C36DED">
            <w:pPr>
              <w:spacing w:before="120" w:beforeAutospacing="0" w:after="120"/>
              <w:ind w:left="0"/>
              <w:rPr>
                <w:b w:val="0"/>
                <w:bCs/>
                <w:sz w:val="22"/>
              </w:rPr>
            </w:pPr>
            <w:r w:rsidRPr="009B5E9A">
              <w:rPr>
                <w:b w:val="0"/>
                <w:bCs/>
                <w:sz w:val="22"/>
              </w:rPr>
              <w:t>A</w:t>
            </w:r>
            <w:r w:rsidR="00C7147B" w:rsidRPr="009B5E9A">
              <w:rPr>
                <w:b w:val="0"/>
                <w:bCs/>
                <w:sz w:val="22"/>
              </w:rPr>
              <w:t xml:space="preserve"> manufacturing facility</w:t>
            </w:r>
            <w:r w:rsidR="002E0C42" w:rsidRPr="009B5E9A">
              <w:rPr>
                <w:b w:val="0"/>
                <w:bCs/>
                <w:sz w:val="22"/>
              </w:rPr>
              <w:t xml:space="preserve"> </w:t>
            </w:r>
            <w:r w:rsidR="00C7147B" w:rsidRPr="009B5E9A">
              <w:rPr>
                <w:b w:val="0"/>
                <w:bCs/>
                <w:sz w:val="22"/>
              </w:rPr>
              <w:t xml:space="preserve">combusts natural gas </w:t>
            </w:r>
            <w:r w:rsidR="000A665E" w:rsidRPr="009B5E9A">
              <w:rPr>
                <w:b w:val="0"/>
                <w:bCs/>
                <w:sz w:val="22"/>
              </w:rPr>
              <w:t>in a boiler</w:t>
            </w:r>
            <w:r w:rsidR="00C7147B" w:rsidRPr="009B5E9A">
              <w:rPr>
                <w:b w:val="0"/>
                <w:bCs/>
                <w:sz w:val="22"/>
              </w:rPr>
              <w:t xml:space="preserve"> </w:t>
            </w:r>
            <w:r w:rsidR="00947B85" w:rsidRPr="009B5E9A">
              <w:rPr>
                <w:b w:val="0"/>
                <w:bCs/>
                <w:sz w:val="22"/>
              </w:rPr>
              <w:t xml:space="preserve">to </w:t>
            </w:r>
            <w:r w:rsidR="00C7147B" w:rsidRPr="009B5E9A">
              <w:rPr>
                <w:b w:val="0"/>
                <w:bCs/>
                <w:sz w:val="22"/>
              </w:rPr>
              <w:t>produce</w:t>
            </w:r>
            <w:r w:rsidR="00770F7C" w:rsidRPr="009B5E9A">
              <w:rPr>
                <w:b w:val="0"/>
                <w:bCs/>
                <w:sz w:val="22"/>
              </w:rPr>
              <w:t xml:space="preserve"> steam</w:t>
            </w:r>
            <w:r w:rsidR="00947B85" w:rsidRPr="009B5E9A">
              <w:rPr>
                <w:b w:val="0"/>
                <w:bCs/>
                <w:sz w:val="22"/>
              </w:rPr>
              <w:t>,</w:t>
            </w:r>
            <w:r w:rsidR="00C7147B" w:rsidRPr="009B5E9A">
              <w:rPr>
                <w:b w:val="0"/>
                <w:bCs/>
                <w:sz w:val="22"/>
              </w:rPr>
              <w:t xml:space="preserve"> </w:t>
            </w:r>
            <w:r w:rsidR="009B0D41" w:rsidRPr="009B5E9A">
              <w:rPr>
                <w:b w:val="0"/>
                <w:bCs/>
                <w:sz w:val="22"/>
              </w:rPr>
              <w:t>heat</w:t>
            </w:r>
            <w:r w:rsidR="00E13DEE" w:rsidRPr="009B5E9A">
              <w:rPr>
                <w:b w:val="0"/>
                <w:bCs/>
                <w:sz w:val="22"/>
              </w:rPr>
              <w:t xml:space="preserve">, </w:t>
            </w:r>
            <w:r w:rsidR="009B0D41" w:rsidRPr="009B5E9A">
              <w:rPr>
                <w:b w:val="0"/>
                <w:bCs/>
                <w:sz w:val="22"/>
              </w:rPr>
              <w:t xml:space="preserve">and electricity for use </w:t>
            </w:r>
            <w:r w:rsidR="00947B85" w:rsidRPr="009B5E9A">
              <w:rPr>
                <w:b w:val="0"/>
                <w:bCs/>
                <w:sz w:val="22"/>
              </w:rPr>
              <w:t xml:space="preserve">in </w:t>
            </w:r>
            <w:r w:rsidR="008D0FED" w:rsidRPr="009B5E9A">
              <w:rPr>
                <w:b w:val="0"/>
                <w:bCs/>
                <w:sz w:val="22"/>
              </w:rPr>
              <w:t>production lines</w:t>
            </w:r>
            <w:r w:rsidR="00CB41DA" w:rsidRPr="009B5E9A">
              <w:rPr>
                <w:b w:val="0"/>
                <w:bCs/>
                <w:sz w:val="22"/>
              </w:rPr>
              <w:t xml:space="preserve"> to produce </w:t>
            </w:r>
            <w:r w:rsidR="008D0FED" w:rsidRPr="009B5E9A">
              <w:rPr>
                <w:b w:val="0"/>
                <w:bCs/>
                <w:sz w:val="22"/>
              </w:rPr>
              <w:t>different production variables</w:t>
            </w:r>
            <w:r w:rsidR="007827AE" w:rsidRPr="009B5E9A">
              <w:rPr>
                <w:b w:val="0"/>
                <w:bCs/>
                <w:sz w:val="22"/>
              </w:rPr>
              <w:t xml:space="preserve"> (product A and product B)</w:t>
            </w:r>
            <w:r w:rsidR="008D0FED" w:rsidRPr="009B5E9A">
              <w:rPr>
                <w:b w:val="0"/>
                <w:bCs/>
                <w:sz w:val="22"/>
              </w:rPr>
              <w:t xml:space="preserve">. </w:t>
            </w:r>
          </w:p>
          <w:p w14:paraId="07682C2F" w14:textId="0B805DA8" w:rsidR="0033313D" w:rsidRPr="009B5E9A" w:rsidRDefault="00B34DAD" w:rsidP="00C36DED">
            <w:pPr>
              <w:spacing w:before="120" w:beforeAutospacing="0" w:after="120"/>
              <w:ind w:left="0"/>
              <w:rPr>
                <w:b w:val="0"/>
                <w:bCs/>
                <w:sz w:val="22"/>
              </w:rPr>
            </w:pPr>
            <w:r w:rsidRPr="009B5E9A">
              <w:rPr>
                <w:b w:val="0"/>
                <w:bCs/>
                <w:sz w:val="22"/>
              </w:rPr>
              <w:t>Firstly, n</w:t>
            </w:r>
            <w:r w:rsidR="0033313D" w:rsidRPr="009B5E9A">
              <w:rPr>
                <w:b w:val="0"/>
                <w:bCs/>
                <w:sz w:val="22"/>
              </w:rPr>
              <w:t xml:space="preserve">atural gas </w:t>
            </w:r>
            <w:r w:rsidR="0020741D" w:rsidRPr="009B5E9A">
              <w:rPr>
                <w:b w:val="0"/>
                <w:bCs/>
                <w:sz w:val="22"/>
              </w:rPr>
              <w:t xml:space="preserve">use and associated emissions </w:t>
            </w:r>
            <w:r w:rsidR="00745645" w:rsidRPr="009B5E9A">
              <w:rPr>
                <w:b w:val="0"/>
                <w:bCs/>
                <w:sz w:val="22"/>
              </w:rPr>
              <w:t>is</w:t>
            </w:r>
            <w:r w:rsidR="00C06598" w:rsidRPr="009B5E9A">
              <w:rPr>
                <w:b w:val="0"/>
                <w:bCs/>
                <w:sz w:val="22"/>
              </w:rPr>
              <w:t xml:space="preserve"> apportioned between </w:t>
            </w:r>
            <w:r w:rsidR="00537C75" w:rsidRPr="009B5E9A">
              <w:rPr>
                <w:b w:val="0"/>
                <w:bCs/>
                <w:sz w:val="22"/>
              </w:rPr>
              <w:t>electricity generation and other stationary purposes</w:t>
            </w:r>
            <w:r w:rsidR="00A5707C" w:rsidRPr="009B5E9A">
              <w:rPr>
                <w:b w:val="0"/>
                <w:bCs/>
                <w:sz w:val="22"/>
              </w:rPr>
              <w:t xml:space="preserve"> </w:t>
            </w:r>
            <w:r w:rsidR="006129C4" w:rsidRPr="009B5E9A">
              <w:rPr>
                <w:b w:val="0"/>
                <w:bCs/>
                <w:sz w:val="22"/>
              </w:rPr>
              <w:t>(that is,</w:t>
            </w:r>
            <w:r w:rsidR="00A5707C" w:rsidRPr="009B5E9A">
              <w:rPr>
                <w:b w:val="0"/>
                <w:bCs/>
                <w:sz w:val="22"/>
              </w:rPr>
              <w:t xml:space="preserve"> steam and heat)</w:t>
            </w:r>
            <w:r w:rsidR="00537C75" w:rsidRPr="009B5E9A">
              <w:rPr>
                <w:b w:val="0"/>
                <w:bCs/>
                <w:sz w:val="22"/>
              </w:rPr>
              <w:t xml:space="preserve"> consistent with </w:t>
            </w:r>
            <w:r w:rsidR="00A82189" w:rsidRPr="009B5E9A">
              <w:rPr>
                <w:b w:val="0"/>
                <w:bCs/>
                <w:sz w:val="22"/>
              </w:rPr>
              <w:t>requirements under NGER legislation to identify what purpose a fuel is being used for.</w:t>
            </w:r>
          </w:p>
          <w:p w14:paraId="578B3385" w14:textId="6BE21BDE" w:rsidR="00C6336E" w:rsidRPr="009B5E9A" w:rsidRDefault="00A30ADD" w:rsidP="00C36DED">
            <w:pPr>
              <w:spacing w:before="120" w:beforeAutospacing="0" w:after="120"/>
              <w:ind w:left="0"/>
              <w:rPr>
                <w:b w:val="0"/>
                <w:bCs/>
                <w:sz w:val="22"/>
              </w:rPr>
            </w:pPr>
            <w:r w:rsidRPr="009B5E9A">
              <w:rPr>
                <w:b w:val="0"/>
                <w:bCs/>
                <w:sz w:val="22"/>
              </w:rPr>
              <w:t xml:space="preserve">Emissions from natural gas combustion </w:t>
            </w:r>
            <w:r w:rsidR="00372809" w:rsidRPr="009B5E9A">
              <w:rPr>
                <w:b w:val="0"/>
                <w:bCs/>
                <w:sz w:val="22"/>
              </w:rPr>
              <w:t>related to generating electricity are apportioned to the electricity generation production variable.</w:t>
            </w:r>
          </w:p>
          <w:p w14:paraId="69FDD63F" w14:textId="0B87CCE6" w:rsidR="00A82189" w:rsidRDefault="00372809" w:rsidP="00C36DED">
            <w:pPr>
              <w:spacing w:before="120" w:beforeAutospacing="0" w:after="120"/>
              <w:ind w:left="0"/>
            </w:pPr>
            <w:r w:rsidRPr="009B5E9A">
              <w:rPr>
                <w:b w:val="0"/>
                <w:bCs/>
                <w:sz w:val="22"/>
              </w:rPr>
              <w:t xml:space="preserve">The remaining emissions from natural gas </w:t>
            </w:r>
            <w:r w:rsidR="00DD470E" w:rsidRPr="009B5E9A">
              <w:rPr>
                <w:b w:val="0"/>
                <w:bCs/>
                <w:sz w:val="22"/>
              </w:rPr>
              <w:t xml:space="preserve">combustion to </w:t>
            </w:r>
            <w:r w:rsidR="002436CF" w:rsidRPr="009B5E9A">
              <w:rPr>
                <w:b w:val="0"/>
                <w:bCs/>
                <w:sz w:val="22"/>
              </w:rPr>
              <w:t>generat</w:t>
            </w:r>
            <w:r w:rsidR="00DD470E" w:rsidRPr="009B5E9A">
              <w:rPr>
                <w:b w:val="0"/>
                <w:bCs/>
                <w:sz w:val="22"/>
              </w:rPr>
              <w:t>e</w:t>
            </w:r>
            <w:r w:rsidR="002436CF" w:rsidRPr="009B5E9A">
              <w:rPr>
                <w:b w:val="0"/>
                <w:bCs/>
                <w:sz w:val="22"/>
              </w:rPr>
              <w:t xml:space="preserve"> steam and heat need to be apportioned between </w:t>
            </w:r>
            <w:r w:rsidR="00AE6219" w:rsidRPr="009B5E9A">
              <w:rPr>
                <w:b w:val="0"/>
                <w:bCs/>
                <w:sz w:val="22"/>
              </w:rPr>
              <w:t>product A and product B</w:t>
            </w:r>
            <w:r w:rsidR="007751F7" w:rsidRPr="009B5E9A">
              <w:rPr>
                <w:b w:val="0"/>
                <w:bCs/>
                <w:sz w:val="22"/>
              </w:rPr>
              <w:t xml:space="preserve"> using a method </w:t>
            </w:r>
            <w:r w:rsidR="00C81F94" w:rsidRPr="009B5E9A">
              <w:rPr>
                <w:b w:val="0"/>
                <w:bCs/>
                <w:sz w:val="22"/>
              </w:rPr>
              <w:t>that result</w:t>
            </w:r>
            <w:r w:rsidR="00A91D07" w:rsidRPr="009B5E9A">
              <w:rPr>
                <w:b w:val="0"/>
                <w:bCs/>
                <w:sz w:val="22"/>
              </w:rPr>
              <w:t xml:space="preserve">s in emissions be apportioned such they fairly represent </w:t>
            </w:r>
            <w:r w:rsidR="00D219D3" w:rsidRPr="009B5E9A">
              <w:rPr>
                <w:b w:val="0"/>
                <w:bCs/>
                <w:sz w:val="22"/>
              </w:rPr>
              <w:t>the actual emissions attributable to the production variable</w:t>
            </w:r>
            <w:r w:rsidR="00F74EB8" w:rsidRPr="009B5E9A">
              <w:rPr>
                <w:b w:val="0"/>
                <w:bCs/>
                <w:sz w:val="22"/>
              </w:rPr>
              <w:t>.</w:t>
            </w:r>
          </w:p>
        </w:tc>
      </w:tr>
    </w:tbl>
    <w:p w14:paraId="07B23CD1" w14:textId="229F2503" w:rsidR="00A26F76" w:rsidRPr="00E97D88" w:rsidRDefault="00A26F76" w:rsidP="009B5E9A">
      <w:pPr>
        <w:pStyle w:val="Heading5"/>
        <w:numPr>
          <w:ilvl w:val="0"/>
          <w:numId w:val="0"/>
        </w:numPr>
      </w:pPr>
      <w:r w:rsidRPr="00C41F4C">
        <w:t>Step 4</w:t>
      </w:r>
      <w:r w:rsidR="00CF6DCD" w:rsidRPr="00E97D88">
        <w:t xml:space="preserve"> – minor emissions sources</w:t>
      </w:r>
    </w:p>
    <w:p w14:paraId="0782BBB8" w14:textId="77777777" w:rsidR="00CF6DCD" w:rsidRPr="009D3DE3" w:rsidRDefault="00CF6DCD" w:rsidP="00CF6DCD">
      <w:r w:rsidRPr="009D3DE3">
        <w:t>Minor emissions sources are emissions that:</w:t>
      </w:r>
    </w:p>
    <w:p w14:paraId="3D683FA9" w14:textId="3910EFC1" w:rsidR="00CF6DCD" w:rsidRPr="009D3DE3" w:rsidRDefault="00CF6DCD" w:rsidP="00CF6DCD">
      <w:pPr>
        <w:pStyle w:val="CERbullets"/>
      </w:pPr>
      <w:r>
        <w:t xml:space="preserve">are not </w:t>
      </w:r>
      <w:r w:rsidR="0061471E">
        <w:t xml:space="preserve">included </w:t>
      </w:r>
      <w:r>
        <w:t>emissions sources</w:t>
      </w:r>
      <w:r w:rsidR="0061471E">
        <w:t xml:space="preserve"> for any production variable applicable to </w:t>
      </w:r>
      <w:r w:rsidR="00A70DB3">
        <w:t xml:space="preserve">a </w:t>
      </w:r>
      <w:r w:rsidR="0061471E">
        <w:t xml:space="preserve">facility as </w:t>
      </w:r>
      <w:r>
        <w:t xml:space="preserve">set out in the </w:t>
      </w:r>
      <w:hyperlink r:id="rId55" w:anchor=":~:text=The%20Safeguard%20Mechanism%20and%20National,calculations%20under%20the%20Safeguard%20Mechanism" w:history="1">
        <w:r w:rsidRPr="00197044">
          <w:rPr>
            <w:rStyle w:val="Hyperlink"/>
            <w:rFonts w:asciiTheme="minorHAnsi" w:hAnsiTheme="minorHAnsi"/>
          </w:rPr>
          <w:t>Safeguard Mechanism document</w:t>
        </w:r>
      </w:hyperlink>
      <w:r w:rsidR="00645DC2">
        <w:rPr>
          <w:rStyle w:val="FootnoteReference"/>
        </w:rPr>
        <w:footnoteReference w:id="39"/>
      </w:r>
      <w:r w:rsidR="0061471E">
        <w:t>, and</w:t>
      </w:r>
    </w:p>
    <w:p w14:paraId="635F0A9D" w14:textId="0EC4D60A" w:rsidR="00CF6DCD" w:rsidRPr="009D3DE3" w:rsidRDefault="00CF6DCD" w:rsidP="00CF6DCD">
      <w:pPr>
        <w:pStyle w:val="CERbullets"/>
      </w:pPr>
      <w:r>
        <w:t>when added together account for less than 10% of the facility’s total covered emissions</w:t>
      </w:r>
      <w:r w:rsidR="002A09AB">
        <w:t xml:space="preserve"> in that financial year</w:t>
      </w:r>
      <w:r w:rsidR="0061471E">
        <w:t>.</w:t>
      </w:r>
    </w:p>
    <w:p w14:paraId="578499E9" w14:textId="64383A89" w:rsidR="004571E7" w:rsidRPr="009D3DE3" w:rsidRDefault="00CF6DCD" w:rsidP="00CF6DCD">
      <w:r w:rsidRPr="009D3DE3">
        <w:t>If a facility has any minor emissions sources to account for, these should be allocated to production variables in such a way that the emissions fairly represent the actual emissions from the production of that production variable</w:t>
      </w:r>
      <w:r w:rsidR="00955522">
        <w:t>, that is,</w:t>
      </w:r>
      <w:r w:rsidRPr="009D3DE3">
        <w:t xml:space="preserve"> apportioned to whichever production variable the emissions are mostly directly related to or generated by. </w:t>
      </w:r>
    </w:p>
    <w:p w14:paraId="5A012CE3" w14:textId="6DCB1D55" w:rsidR="00F35249" w:rsidRDefault="00CF6DCD" w:rsidP="00CF6DCD">
      <w:r w:rsidRPr="009D3DE3">
        <w:t xml:space="preserve">If </w:t>
      </w:r>
      <w:r w:rsidR="00E22B54">
        <w:t>a</w:t>
      </w:r>
      <w:r w:rsidR="0073299B">
        <w:t xml:space="preserve">n applicant </w:t>
      </w:r>
      <w:r w:rsidRPr="009D3DE3">
        <w:t>believe</w:t>
      </w:r>
      <w:r w:rsidR="00E22B54">
        <w:t>s</w:t>
      </w:r>
      <w:r w:rsidRPr="009D3DE3">
        <w:t xml:space="preserve"> that </w:t>
      </w:r>
      <w:r w:rsidR="00CA21A8">
        <w:t>a</w:t>
      </w:r>
      <w:r w:rsidRPr="009D3DE3">
        <w:t xml:space="preserve"> facility produces emissions not relevant to the setting of any production variable default </w:t>
      </w:r>
      <w:r w:rsidR="0095149E">
        <w:t>emissions-intensity</w:t>
      </w:r>
      <w:r w:rsidR="0039037D">
        <w:t xml:space="preserve"> value</w:t>
      </w:r>
      <w:r w:rsidRPr="009D3DE3">
        <w:t xml:space="preserve"> that total more than 10% of the facility’s covered emissions in a </w:t>
      </w:r>
      <w:r w:rsidR="00871B57">
        <w:t xml:space="preserve">historical financial </w:t>
      </w:r>
      <w:r w:rsidRPr="009D3DE3">
        <w:t xml:space="preserve">year, </w:t>
      </w:r>
      <w:r w:rsidR="009B681E">
        <w:t xml:space="preserve">this should be discussed with the </w:t>
      </w:r>
      <w:r w:rsidR="00DC4A67">
        <w:t>CER</w:t>
      </w:r>
      <w:r w:rsidR="00DC4A67" w:rsidRPr="3FB6375E">
        <w:t xml:space="preserve"> </w:t>
      </w:r>
      <w:r w:rsidR="009B681E">
        <w:t xml:space="preserve">prior to </w:t>
      </w:r>
      <w:r w:rsidR="002238DF">
        <w:t>submitting</w:t>
      </w:r>
      <w:r w:rsidR="00932389">
        <w:t xml:space="preserve"> </w:t>
      </w:r>
      <w:r w:rsidR="002238DF">
        <w:t>the application.</w:t>
      </w:r>
    </w:p>
    <w:p w14:paraId="2D7AF03E" w14:textId="77777777" w:rsidR="00814DD8" w:rsidRPr="006231B1" w:rsidRDefault="00814DD8" w:rsidP="0088433F">
      <w:pPr>
        <w:pStyle w:val="Heading4"/>
        <w:numPr>
          <w:ilvl w:val="0"/>
          <w:numId w:val="0"/>
        </w:numPr>
      </w:pPr>
      <w:r w:rsidRPr="006231B1">
        <w:t>Audit requirement</w:t>
      </w:r>
    </w:p>
    <w:p w14:paraId="3E2F4991" w14:textId="379DEECC" w:rsidR="00814DD8" w:rsidRDefault="00167905" w:rsidP="00526B4F">
      <w:pPr>
        <w:pStyle w:val="CERbullets"/>
        <w:numPr>
          <w:ilvl w:val="0"/>
          <w:numId w:val="0"/>
        </w:numPr>
        <w:spacing w:before="0" w:after="200"/>
      </w:pPr>
      <w:r>
        <w:t xml:space="preserve">Whether, in all material respects, an application </w:t>
      </w:r>
      <w:r w:rsidR="00931CD1" w:rsidRPr="00931CD1">
        <w:t>correctly specifies the</w:t>
      </w:r>
      <w:r w:rsidR="00931CD1" w:rsidRPr="00A57585">
        <w:t xml:space="preserve"> c</w:t>
      </w:r>
      <w:r w:rsidR="00814DD8" w:rsidRPr="00931CD1">
        <w:t xml:space="preserve">overed emissions </w:t>
      </w:r>
      <w:r w:rsidR="002A09AB" w:rsidRPr="00931CD1">
        <w:t xml:space="preserve">relevantly </w:t>
      </w:r>
      <w:r w:rsidR="00814DD8" w:rsidRPr="00931CD1">
        <w:t xml:space="preserve">associated with each historical production variable for each historical financial year </w:t>
      </w:r>
      <w:r w:rsidR="00537759" w:rsidRPr="00931CD1">
        <w:t xml:space="preserve">is </w:t>
      </w:r>
      <w:r w:rsidR="00814DD8" w:rsidRPr="00931CD1">
        <w:t xml:space="preserve">a </w:t>
      </w:r>
      <w:r w:rsidR="002238DF" w:rsidRPr="00931CD1">
        <w:t>‘</w:t>
      </w:r>
      <w:r w:rsidR="00537759" w:rsidRPr="00931CD1">
        <w:t xml:space="preserve">limited </w:t>
      </w:r>
      <w:r w:rsidR="00814DD8" w:rsidRPr="00931CD1">
        <w:t>assurance</w:t>
      </w:r>
      <w:r w:rsidR="002238DF" w:rsidRPr="00931CD1">
        <w:t>’</w:t>
      </w:r>
      <w:r w:rsidR="00814DD8" w:rsidRPr="00931CD1">
        <w:t xml:space="preserve"> matter for auditors.</w:t>
      </w:r>
    </w:p>
    <w:p w14:paraId="7CD3A6C4" w14:textId="0BE624B8" w:rsidR="003542F6" w:rsidRPr="00526B4F" w:rsidRDefault="00533D83" w:rsidP="00526B4F">
      <w:pPr>
        <w:pStyle w:val="CERbullets"/>
        <w:numPr>
          <w:ilvl w:val="0"/>
          <w:numId w:val="0"/>
        </w:numPr>
        <w:spacing w:before="0" w:after="200"/>
      </w:pPr>
      <w:r>
        <w:t>Whether, in all material respects,</w:t>
      </w:r>
      <w:r w:rsidR="00C7131B">
        <w:t xml:space="preserve"> </w:t>
      </w:r>
      <w:r w:rsidR="004B0E84">
        <w:t xml:space="preserve">any </w:t>
      </w:r>
      <w:r w:rsidR="00C7131B">
        <w:t xml:space="preserve">estimates and assumptions </w:t>
      </w:r>
      <w:r w:rsidR="003E63CA">
        <w:t xml:space="preserve">made </w:t>
      </w:r>
      <w:r w:rsidR="004A136E">
        <w:t>in accordance</w:t>
      </w:r>
      <w:r w:rsidR="003E63CA">
        <w:t xml:space="preserve"> </w:t>
      </w:r>
      <w:r w:rsidR="00E56C58">
        <w:t xml:space="preserve">with </w:t>
      </w:r>
      <w:r w:rsidR="003E63CA">
        <w:t>section 15(3) of the Safeguard Rule</w:t>
      </w:r>
      <w:r w:rsidR="0093406E">
        <w:t xml:space="preserve"> are reasonable</w:t>
      </w:r>
      <w:r w:rsidR="003E63CA">
        <w:t xml:space="preserve"> </w:t>
      </w:r>
      <w:r w:rsidR="006A6CA4">
        <w:t>is a ‘limited assurance’ matter for auditors.</w:t>
      </w:r>
    </w:p>
    <w:p w14:paraId="02A00D98" w14:textId="0721F17C" w:rsidR="00C31B0D" w:rsidRPr="009A21CF" w:rsidRDefault="0047054F" w:rsidP="0088433F">
      <w:pPr>
        <w:pStyle w:val="Heading4"/>
        <w:numPr>
          <w:ilvl w:val="0"/>
          <w:numId w:val="0"/>
        </w:numPr>
      </w:pPr>
      <w:r w:rsidRPr="009A21CF">
        <w:t>Supporting information</w:t>
      </w:r>
      <w:r w:rsidR="00520B02" w:rsidRPr="009A21CF">
        <w:t xml:space="preserve"> requirements</w:t>
      </w:r>
    </w:p>
    <w:p w14:paraId="5F2C5D5F" w14:textId="06E9431C" w:rsidR="007A3595" w:rsidRDefault="00C31B0D" w:rsidP="007A3595">
      <w:r w:rsidRPr="00E97D88">
        <w:t xml:space="preserve">If </w:t>
      </w:r>
      <w:r w:rsidR="002238DF">
        <w:t>a</w:t>
      </w:r>
      <w:r w:rsidR="002238DF" w:rsidRPr="00E97D88">
        <w:t xml:space="preserve"> </w:t>
      </w:r>
      <w:r w:rsidRPr="00E97D88">
        <w:t xml:space="preserve">facility </w:t>
      </w:r>
      <w:r w:rsidR="006C686C" w:rsidRPr="00E97D88">
        <w:t>has more than</w:t>
      </w:r>
      <w:r w:rsidRPr="00E97D88">
        <w:t xml:space="preserve"> one production variable, </w:t>
      </w:r>
      <w:r w:rsidR="002238DF">
        <w:t xml:space="preserve">the application must </w:t>
      </w:r>
      <w:r w:rsidRPr="00D47F6E">
        <w:t xml:space="preserve">provide </w:t>
      </w:r>
      <w:r w:rsidR="006C686C" w:rsidRPr="00E97D88">
        <w:t xml:space="preserve">supporting information </w:t>
      </w:r>
      <w:r w:rsidRPr="00D47F6E">
        <w:t>to allow the</w:t>
      </w:r>
      <w:r w:rsidR="00DA55CF" w:rsidRPr="00D47F6E">
        <w:t xml:space="preserve"> </w:t>
      </w:r>
      <w:r w:rsidR="00DC4A67">
        <w:t>CER</w:t>
      </w:r>
      <w:r w:rsidR="00DC4A67" w:rsidRPr="3FB6375E">
        <w:t xml:space="preserve"> </w:t>
      </w:r>
      <w:r w:rsidRPr="00D47F6E">
        <w:t xml:space="preserve">to be satisfied that the amounts of covered emissions apportioned to each production variable are </w:t>
      </w:r>
      <w:r w:rsidR="00A7535B">
        <w:t>accurate</w:t>
      </w:r>
      <w:r w:rsidR="00D06FC0">
        <w:t>,</w:t>
      </w:r>
      <w:r w:rsidR="007A3595">
        <w:t xml:space="preserve"> including that:</w:t>
      </w:r>
    </w:p>
    <w:p w14:paraId="1B819210" w14:textId="6584016A" w:rsidR="00D43103" w:rsidRDefault="00C31B0D" w:rsidP="007A3595">
      <w:pPr>
        <w:pStyle w:val="CERbullets"/>
      </w:pPr>
      <w:r>
        <w:t xml:space="preserve">all emissions sources relevant to calculating the default </w:t>
      </w:r>
      <w:r w:rsidR="0095149E">
        <w:t>emissions-intensity</w:t>
      </w:r>
      <w:r>
        <w:t xml:space="preserve"> for a production variable are assigned to that production variable</w:t>
      </w:r>
    </w:p>
    <w:p w14:paraId="53AA2559" w14:textId="7CFED34D" w:rsidR="003D1919" w:rsidRDefault="00756257" w:rsidP="00052260">
      <w:pPr>
        <w:pStyle w:val="CERbullets"/>
      </w:pPr>
      <w:r>
        <w:t>w</w:t>
      </w:r>
      <w:r w:rsidR="00D43103">
        <w:t>here an emission source spans multiple production variables</w:t>
      </w:r>
      <w:r w:rsidR="00717383">
        <w:t>, the apportioned emissions are reasonable</w:t>
      </w:r>
    </w:p>
    <w:p w14:paraId="74C0BAF6" w14:textId="3852A0DD" w:rsidR="000F56F3" w:rsidRDefault="004D7FED" w:rsidP="00D43103">
      <w:pPr>
        <w:pStyle w:val="CERbullets"/>
      </w:pPr>
      <w:r>
        <w:t>any</w:t>
      </w:r>
      <w:r w:rsidR="00C31B0D">
        <w:t xml:space="preserve"> minor emissions sources are attributed to the most appropriate production variable</w:t>
      </w:r>
      <w:r w:rsidR="00EE6BC9">
        <w:t>(s)</w:t>
      </w:r>
      <w:r w:rsidR="00C31B0D">
        <w:t xml:space="preserve">. </w:t>
      </w:r>
    </w:p>
    <w:p w14:paraId="003E5FFF" w14:textId="775798BA" w:rsidR="00694621" w:rsidRDefault="00942B51" w:rsidP="00942B51">
      <w:pPr>
        <w:pStyle w:val="CERbullets"/>
        <w:numPr>
          <w:ilvl w:val="0"/>
          <w:numId w:val="0"/>
        </w:numPr>
      </w:pPr>
      <w:r>
        <w:t xml:space="preserve">The level of supporting information </w:t>
      </w:r>
      <w:r w:rsidR="005959A0">
        <w:t>that should be</w:t>
      </w:r>
      <w:r>
        <w:t xml:space="preserve"> provide will d</w:t>
      </w:r>
      <w:r w:rsidRPr="00C375A7">
        <w:t xml:space="preserve">epend on the complexity of </w:t>
      </w:r>
      <w:r w:rsidR="002238DF">
        <w:t xml:space="preserve">the </w:t>
      </w:r>
      <w:r w:rsidRPr="00C375A7">
        <w:t>facility’s activities and emissions sources</w:t>
      </w:r>
      <w:r>
        <w:t xml:space="preserve">. </w:t>
      </w:r>
    </w:p>
    <w:p w14:paraId="10D8C1DD" w14:textId="2D5E0D32" w:rsidR="00942B51" w:rsidRPr="00D47F6E" w:rsidRDefault="00942B51" w:rsidP="00B03D49">
      <w:pPr>
        <w:pStyle w:val="CERbullets"/>
        <w:numPr>
          <w:ilvl w:val="0"/>
          <w:numId w:val="0"/>
        </w:numPr>
      </w:pPr>
      <w:proofErr w:type="gramStart"/>
      <w:r>
        <w:t>In particular, where</w:t>
      </w:r>
      <w:proofErr w:type="gramEnd"/>
      <w:r>
        <w:t xml:space="preserve"> emissions source</w:t>
      </w:r>
      <w:r w:rsidR="00AB5C1D">
        <w:t>s have been apportioned</w:t>
      </w:r>
      <w:r>
        <w:t xml:space="preserve"> between multiple production variables</w:t>
      </w:r>
      <w:r w:rsidR="00EE226E">
        <w:t xml:space="preserve">, </w:t>
      </w:r>
      <w:r>
        <w:t xml:space="preserve">the </w:t>
      </w:r>
      <w:r w:rsidR="00DC4A67">
        <w:t>CER</w:t>
      </w:r>
      <w:r w:rsidR="00DC4A67" w:rsidRPr="3FB6375E">
        <w:t xml:space="preserve"> </w:t>
      </w:r>
      <w:r>
        <w:t>will need sufficient information to determine if the method of apportionment is reasonable and the resulting emissions allocation fairly represents actual emissions for each production variable.</w:t>
      </w:r>
    </w:p>
    <w:p w14:paraId="350DFF65" w14:textId="25229945" w:rsidR="00B32115" w:rsidRPr="00E97D88" w:rsidRDefault="00CA5418" w:rsidP="001A43F0">
      <w:pPr>
        <w:pStyle w:val="CERbullets"/>
        <w:numPr>
          <w:ilvl w:val="0"/>
          <w:numId w:val="0"/>
        </w:numPr>
      </w:pPr>
      <w:r>
        <w:t>Generally, s</w:t>
      </w:r>
      <w:r w:rsidR="009A7736">
        <w:t>upporting information should include:</w:t>
      </w:r>
    </w:p>
    <w:p w14:paraId="750B9D94" w14:textId="353E0467" w:rsidR="00B32115" w:rsidRDefault="009A7736" w:rsidP="00B32115">
      <w:pPr>
        <w:pStyle w:val="CERbullets"/>
      </w:pPr>
      <w:r>
        <w:t>b</w:t>
      </w:r>
      <w:r w:rsidR="007C4EFC">
        <w:t>rief d</w:t>
      </w:r>
      <w:r w:rsidR="00B32115">
        <w:t xml:space="preserve">escriptions of the </w:t>
      </w:r>
      <w:r w:rsidR="009D7316">
        <w:t xml:space="preserve">facility’s </w:t>
      </w:r>
      <w:r w:rsidR="00B32115">
        <w:t>emissions sources and</w:t>
      </w:r>
      <w:r w:rsidR="007C621B">
        <w:t xml:space="preserve"> what</w:t>
      </w:r>
      <w:r w:rsidR="00B32115">
        <w:t xml:space="preserve"> production variables</w:t>
      </w:r>
      <w:r w:rsidR="007C621B">
        <w:t xml:space="preserve"> </w:t>
      </w:r>
      <w:r w:rsidR="00A92D64">
        <w:t>they relate</w:t>
      </w:r>
      <w:r w:rsidR="0062646D">
        <w:t xml:space="preserve"> to</w:t>
      </w:r>
    </w:p>
    <w:p w14:paraId="26B52878" w14:textId="684ACF8E" w:rsidR="00F76842" w:rsidRDefault="00E240E3" w:rsidP="009E5F8C">
      <w:pPr>
        <w:pStyle w:val="CERbullets"/>
        <w:numPr>
          <w:ilvl w:val="1"/>
          <w:numId w:val="1"/>
        </w:numPr>
      </w:pPr>
      <w:r>
        <w:t xml:space="preserve">this could be </w:t>
      </w:r>
      <w:r w:rsidR="00641EF8">
        <w:t xml:space="preserve">presented </w:t>
      </w:r>
      <w:r>
        <w:t>in the form of a table listing each emissions source</w:t>
      </w:r>
      <w:r w:rsidR="00907C13">
        <w:t xml:space="preserve">, </w:t>
      </w:r>
      <w:r w:rsidR="000C057B">
        <w:t>relevant</w:t>
      </w:r>
      <w:r>
        <w:t xml:space="preserve"> production variable </w:t>
      </w:r>
      <w:r w:rsidR="000C057B">
        <w:t xml:space="preserve">and </w:t>
      </w:r>
      <w:r w:rsidR="00024A5A">
        <w:t>the name of the</w:t>
      </w:r>
      <w:r w:rsidR="000C057B">
        <w:t xml:space="preserve"> </w:t>
      </w:r>
      <w:r w:rsidR="00165A4F">
        <w:t xml:space="preserve">‘included’ emission source as set out in the </w:t>
      </w:r>
      <w:hyperlink r:id="rId56" w:anchor=":~:text=The%20Safeguard%20Mechanism%20and%20National,calculations%20under%20the%20Safeguard%20Mechanism" w:tooltip="A link to the The Safeguard Mechanism: presecribed production variables and default emissions-intensities on the Department of Climate Change, Energy the Environment and Water's webiste" w:history="1">
        <w:r w:rsidR="00165A4F" w:rsidRPr="009B27FE">
          <w:rPr>
            <w:rStyle w:val="Hyperlink"/>
            <w:rFonts w:asciiTheme="minorHAnsi" w:hAnsiTheme="minorHAnsi"/>
          </w:rPr>
          <w:t>Safeguard Mechanism document</w:t>
        </w:r>
      </w:hyperlink>
      <w:r w:rsidR="00182F07" w:rsidRPr="009A21CF">
        <w:rPr>
          <w:rStyle w:val="FootnoteReference"/>
        </w:rPr>
        <w:footnoteReference w:id="40"/>
      </w:r>
    </w:p>
    <w:p w14:paraId="5800010A" w14:textId="1E0D484B" w:rsidR="00E240E3" w:rsidRDefault="0037148D" w:rsidP="009E5F8C">
      <w:pPr>
        <w:pStyle w:val="CERbullets"/>
        <w:numPr>
          <w:ilvl w:val="1"/>
          <w:numId w:val="1"/>
        </w:numPr>
      </w:pPr>
      <w:r>
        <w:t xml:space="preserve">it is recommended that each </w:t>
      </w:r>
      <w:r w:rsidR="001677CA">
        <w:t xml:space="preserve">emissions source </w:t>
      </w:r>
      <w:r w:rsidR="002B798F">
        <w:t>is labelled with the</w:t>
      </w:r>
      <w:r w:rsidR="001677CA">
        <w:t xml:space="preserve"> relevant NGER </w:t>
      </w:r>
      <w:r w:rsidR="005862CD">
        <w:t xml:space="preserve">Measurement Determination </w:t>
      </w:r>
      <w:r w:rsidR="0098313C">
        <w:t>source/</w:t>
      </w:r>
      <w:r w:rsidR="009B27FE">
        <w:t>sub-source name</w:t>
      </w:r>
    </w:p>
    <w:p w14:paraId="0FE51A52" w14:textId="56FD2257" w:rsidR="00660822" w:rsidRDefault="00A92D64" w:rsidP="000B280A">
      <w:pPr>
        <w:pStyle w:val="CERbullets"/>
      </w:pPr>
      <w:r>
        <w:t>i</w:t>
      </w:r>
      <w:r w:rsidR="00764A82">
        <w:t>nformation regarding</w:t>
      </w:r>
      <w:r w:rsidR="00B32115">
        <w:t xml:space="preserve"> calculations</w:t>
      </w:r>
      <w:r w:rsidR="00D7485D">
        <w:t xml:space="preserve"> and </w:t>
      </w:r>
      <w:r w:rsidR="00BB23C1">
        <w:t>measurements</w:t>
      </w:r>
      <w:r w:rsidR="00B32115">
        <w:t xml:space="preserve">, including estimates and assumptions, used to apportion </w:t>
      </w:r>
      <w:r w:rsidR="00371862">
        <w:t xml:space="preserve">an </w:t>
      </w:r>
      <w:r w:rsidR="00B32115">
        <w:t>emission</w:t>
      </w:r>
      <w:r w:rsidR="00371862">
        <w:t xml:space="preserve"> source</w:t>
      </w:r>
      <w:r w:rsidR="00B32115">
        <w:t xml:space="preserve"> to production variables</w:t>
      </w:r>
    </w:p>
    <w:p w14:paraId="682F1D65" w14:textId="1437220B" w:rsidR="002221B7" w:rsidRDefault="00865D46">
      <w:pPr>
        <w:pStyle w:val="CERbullets"/>
      </w:pPr>
      <w:r>
        <w:t xml:space="preserve">a description </w:t>
      </w:r>
      <w:r w:rsidR="001C4631">
        <w:t xml:space="preserve">of any minor emissions sources that have been allocated to </w:t>
      </w:r>
      <w:r w:rsidR="00213B53">
        <w:t>a</w:t>
      </w:r>
      <w:r w:rsidR="00683A08">
        <w:t xml:space="preserve"> production variable</w:t>
      </w:r>
      <w:r w:rsidR="00213B53">
        <w:t xml:space="preserve"> </w:t>
      </w:r>
    </w:p>
    <w:p w14:paraId="295BBD7B" w14:textId="37FE9437" w:rsidR="002221B7" w:rsidRDefault="002221B7" w:rsidP="009E5F8C">
      <w:pPr>
        <w:pStyle w:val="CERbullets"/>
        <w:numPr>
          <w:ilvl w:val="1"/>
          <w:numId w:val="1"/>
        </w:numPr>
      </w:pPr>
      <w:r>
        <w:t xml:space="preserve">this should include </w:t>
      </w:r>
      <w:r w:rsidR="00C33E10">
        <w:t xml:space="preserve">the basis for </w:t>
      </w:r>
      <w:r>
        <w:t>allocating this source to a production variable</w:t>
      </w:r>
      <w:r w:rsidR="007277AE">
        <w:t>,</w:t>
      </w:r>
      <w:r>
        <w:t xml:space="preserve"> and</w:t>
      </w:r>
    </w:p>
    <w:p w14:paraId="10B95910" w14:textId="5B81C2DF" w:rsidR="00751387" w:rsidRPr="003D15D8" w:rsidRDefault="00C33E10" w:rsidP="009E5F8C">
      <w:pPr>
        <w:pStyle w:val="CERbullets"/>
        <w:numPr>
          <w:ilvl w:val="1"/>
          <w:numId w:val="1"/>
        </w:numPr>
      </w:pPr>
      <w:r>
        <w:t xml:space="preserve">information that demonstrates that </w:t>
      </w:r>
      <w:r w:rsidR="002221B7">
        <w:t xml:space="preserve">the sum of </w:t>
      </w:r>
      <w:r w:rsidR="004C1B19">
        <w:t xml:space="preserve">all </w:t>
      </w:r>
      <w:r>
        <w:t xml:space="preserve">minor emissions </w:t>
      </w:r>
      <w:r w:rsidR="002221B7">
        <w:t>source</w:t>
      </w:r>
      <w:r>
        <w:t xml:space="preserve"> </w:t>
      </w:r>
      <w:r w:rsidR="00D90633">
        <w:t>combined is</w:t>
      </w:r>
      <w:r w:rsidR="001D485F">
        <w:t xml:space="preserve"> less than 10% of the facility’s covered emissions</w:t>
      </w:r>
      <w:r w:rsidR="00D90633">
        <w:t>,</w:t>
      </w:r>
      <w:r w:rsidR="001D485F">
        <w:t xml:space="preserve"> in </w:t>
      </w:r>
      <w:r w:rsidR="00213B53">
        <w:t>each</w:t>
      </w:r>
      <w:r w:rsidR="001D485F">
        <w:t xml:space="preserve"> given financial year.</w:t>
      </w:r>
    </w:p>
    <w:p w14:paraId="4B874FD5" w14:textId="652D4036" w:rsidR="00D965A9" w:rsidRDefault="00AE64F4" w:rsidP="00E97D88">
      <w:pPr>
        <w:pStyle w:val="Heading4"/>
      </w:pPr>
      <w:bookmarkStart w:id="217" w:name="_Non-carbon_dioxide_greenhouse"/>
      <w:bookmarkEnd w:id="217"/>
      <w:r w:rsidRPr="0023352E">
        <w:t>No</w:t>
      </w:r>
      <w:r w:rsidR="00CD28DC">
        <w:t>n-carbon dioxide</w:t>
      </w:r>
      <w:r w:rsidR="00EB4A98">
        <w:t xml:space="preserve"> greenhouse gas</w:t>
      </w:r>
      <w:r w:rsidRPr="0023352E">
        <w:t xml:space="preserve"> emissions</w:t>
      </w:r>
      <w:r w:rsidR="00CF1689">
        <w:t xml:space="preserve"> (if required)</w:t>
      </w:r>
    </w:p>
    <w:p w14:paraId="339C5189" w14:textId="1D171583" w:rsidR="00FE0A0C" w:rsidRDefault="00D965A9" w:rsidP="00376145">
      <w:pPr>
        <w:spacing w:before="240"/>
      </w:pPr>
      <w:r>
        <w:t>If a greenhouse gas other than carbon dioxide</w:t>
      </w:r>
      <w:r w:rsidR="00101D6B">
        <w:t xml:space="preserve"> (</w:t>
      </w:r>
      <w:r w:rsidR="00F33100">
        <w:t xml:space="preserve">for example, </w:t>
      </w:r>
      <w:r w:rsidR="00101D6B">
        <w:t>methane and nitrous oxide)</w:t>
      </w:r>
      <w:r>
        <w:t xml:space="preserve"> </w:t>
      </w:r>
      <w:r w:rsidR="00101D6B">
        <w:t xml:space="preserve">comprises more than </w:t>
      </w:r>
      <w:r>
        <w:t xml:space="preserve">1% of </w:t>
      </w:r>
      <w:r w:rsidR="00B66951">
        <w:t xml:space="preserve">the covered emissions </w:t>
      </w:r>
      <w:r w:rsidR="00416B4B">
        <w:t xml:space="preserve">relevantly associated with </w:t>
      </w:r>
      <w:r w:rsidR="00117430">
        <w:t xml:space="preserve">a </w:t>
      </w:r>
      <w:r w:rsidR="00B66951">
        <w:t>production variable in a historical financial year,</w:t>
      </w:r>
      <w:r>
        <w:t xml:space="preserve"> </w:t>
      </w:r>
      <w:r w:rsidR="00926B6D">
        <w:t xml:space="preserve">the application </w:t>
      </w:r>
      <w:r>
        <w:t xml:space="preserve">will need to </w:t>
      </w:r>
      <w:r w:rsidR="00967090">
        <w:t xml:space="preserve">separately </w:t>
      </w:r>
      <w:r>
        <w:t>provide the amount</w:t>
      </w:r>
      <w:r w:rsidR="004863F9">
        <w:t xml:space="preserve"> of that gas </w:t>
      </w:r>
      <w:r>
        <w:t>in tCO</w:t>
      </w:r>
      <w:r w:rsidRPr="001C785B">
        <w:rPr>
          <w:vertAlign w:val="subscript"/>
        </w:rPr>
        <w:t>2</w:t>
      </w:r>
      <w:r>
        <w:t>-e</w:t>
      </w:r>
      <w:r w:rsidR="00315C09">
        <w:t>.</w:t>
      </w:r>
    </w:p>
    <w:p w14:paraId="10B5D4AF" w14:textId="575CE492" w:rsidR="00FE0A0C" w:rsidRDefault="00E528D7" w:rsidP="00AE64F4">
      <w:pPr>
        <w:rPr>
          <w:strike/>
        </w:rPr>
      </w:pPr>
      <w:r>
        <w:t xml:space="preserve">This information </w:t>
      </w:r>
      <w:r w:rsidR="009F23F4">
        <w:t>will enable the</w:t>
      </w:r>
      <w:r>
        <w:t xml:space="preserve"> </w:t>
      </w:r>
      <w:r w:rsidR="00DC4A67">
        <w:t>CER</w:t>
      </w:r>
      <w:r w:rsidR="00DC4A67" w:rsidRPr="3FB6375E">
        <w:t xml:space="preserve"> </w:t>
      </w:r>
      <w:r w:rsidR="00306230">
        <w:t xml:space="preserve">to </w:t>
      </w:r>
      <w:r w:rsidR="00070FC7">
        <w:t xml:space="preserve">vary </w:t>
      </w:r>
      <w:r w:rsidR="00DF5832">
        <w:t xml:space="preserve">an </w:t>
      </w:r>
      <w:r w:rsidR="00EE4403">
        <w:t>EID</w:t>
      </w:r>
      <w:r>
        <w:t xml:space="preserve"> </w:t>
      </w:r>
      <w:r w:rsidR="00A108DE">
        <w:t xml:space="preserve">if there is a </w:t>
      </w:r>
      <w:r w:rsidR="00DF5832">
        <w:t xml:space="preserve">future </w:t>
      </w:r>
      <w:r w:rsidR="00A108DE">
        <w:t>change to the Global Warming Potential (GWP) values of any non-carbon dioxide greenhouse gas</w:t>
      </w:r>
      <w:r w:rsidR="00060510">
        <w:t xml:space="preserve"> (see </w:t>
      </w:r>
      <w:hyperlink w:anchor="_Variations,_remaking_or" w:history="1">
        <w:r w:rsidR="0072280D" w:rsidRPr="00E20707">
          <w:rPr>
            <w:rStyle w:val="Hyperlink"/>
            <w:rFonts w:asciiTheme="minorHAnsi" w:hAnsiTheme="minorHAnsi"/>
          </w:rPr>
          <w:t>Part</w:t>
        </w:r>
        <w:r w:rsidR="00AE197E" w:rsidRPr="00E20707">
          <w:rPr>
            <w:rStyle w:val="Hyperlink"/>
            <w:rFonts w:asciiTheme="minorHAnsi" w:hAnsiTheme="minorHAnsi"/>
          </w:rPr>
          <w:t> </w:t>
        </w:r>
        <w:r w:rsidR="00E20707" w:rsidRPr="00E20707">
          <w:rPr>
            <w:rStyle w:val="Hyperlink"/>
            <w:rFonts w:asciiTheme="minorHAnsi" w:hAnsiTheme="minorHAnsi"/>
          </w:rPr>
          <w:t>4</w:t>
        </w:r>
        <w:r w:rsidR="0072280D" w:rsidRPr="00E20707">
          <w:rPr>
            <w:rStyle w:val="Hyperlink"/>
            <w:rFonts w:asciiTheme="minorHAnsi" w:hAnsiTheme="minorHAnsi"/>
          </w:rPr>
          <w:t>.2 V</w:t>
        </w:r>
        <w:r w:rsidR="0072280D" w:rsidRPr="009A2757">
          <w:rPr>
            <w:rStyle w:val="Hyperlink"/>
            <w:rFonts w:asciiTheme="minorHAnsi" w:hAnsiTheme="minorHAnsi"/>
          </w:rPr>
          <w:t xml:space="preserve">ariations, remaking or replacing </w:t>
        </w:r>
        <w:r w:rsidR="0095149E">
          <w:rPr>
            <w:rStyle w:val="Hyperlink"/>
            <w:rFonts w:asciiTheme="minorHAnsi" w:hAnsiTheme="minorHAnsi"/>
          </w:rPr>
          <w:t>emissions-intensity</w:t>
        </w:r>
        <w:r w:rsidR="0072280D" w:rsidRPr="009A2757">
          <w:rPr>
            <w:rStyle w:val="Hyperlink"/>
            <w:rFonts w:asciiTheme="minorHAnsi" w:hAnsiTheme="minorHAnsi"/>
          </w:rPr>
          <w:t xml:space="preserve"> determinations</w:t>
        </w:r>
      </w:hyperlink>
      <w:r w:rsidR="00DA355C">
        <w:t xml:space="preserve"> for more information)</w:t>
      </w:r>
      <w:r w:rsidR="00A108DE">
        <w:t>.</w:t>
      </w:r>
    </w:p>
    <w:p w14:paraId="508DFDBC" w14:textId="74DFAE45" w:rsidR="000B0017" w:rsidRPr="00D965A9" w:rsidRDefault="00FE0A0C" w:rsidP="009A683A">
      <w:r>
        <w:t xml:space="preserve">The </w:t>
      </w:r>
      <w:proofErr w:type="gramStart"/>
      <w:r>
        <w:t>amount</w:t>
      </w:r>
      <w:proofErr w:type="gramEnd"/>
      <w:r>
        <w:t xml:space="preserve"> of covered emissions of the non-carbon dioxide greenhouse gas must be </w:t>
      </w:r>
      <w:r w:rsidR="00662815">
        <w:t xml:space="preserve">the </w:t>
      </w:r>
      <w:r w:rsidR="0033356F">
        <w:t>adjusted covered emissions amount (se</w:t>
      </w:r>
      <w:r w:rsidR="0033356F" w:rsidRPr="00340D9A">
        <w:t xml:space="preserve">e </w:t>
      </w:r>
      <w:hyperlink w:anchor="_Facility_total_covered" w:history="1">
        <w:r w:rsidR="002D099F" w:rsidRPr="00340D9A">
          <w:rPr>
            <w:rStyle w:val="Hyperlink"/>
            <w:rFonts w:asciiTheme="minorHAnsi" w:hAnsiTheme="minorHAnsi"/>
          </w:rPr>
          <w:t xml:space="preserve">Part </w:t>
        </w:r>
        <w:r w:rsidR="00340D9A" w:rsidRPr="00340D9A">
          <w:rPr>
            <w:rStyle w:val="Hyperlink"/>
            <w:rFonts w:asciiTheme="minorHAnsi" w:hAnsiTheme="minorHAnsi"/>
          </w:rPr>
          <w:t>3.6.1</w:t>
        </w:r>
        <w:r w:rsidR="002A63F1" w:rsidRPr="00340D9A">
          <w:rPr>
            <w:rStyle w:val="Hyperlink"/>
            <w:rFonts w:asciiTheme="minorHAnsi" w:hAnsiTheme="minorHAnsi"/>
          </w:rPr>
          <w:t xml:space="preserve"> </w:t>
        </w:r>
        <w:r w:rsidR="00CF2523" w:rsidRPr="00340D9A">
          <w:rPr>
            <w:rStyle w:val="Hyperlink"/>
            <w:rFonts w:asciiTheme="minorHAnsi" w:hAnsiTheme="minorHAnsi"/>
          </w:rPr>
          <w:t>Facility total covered emission</w:t>
        </w:r>
        <w:r w:rsidR="00340D9A" w:rsidRPr="00340D9A">
          <w:rPr>
            <w:rStyle w:val="Hyperlink"/>
            <w:rFonts w:asciiTheme="minorHAnsi" w:hAnsiTheme="minorHAnsi"/>
          </w:rPr>
          <w:t xml:space="preserve"> data</w:t>
        </w:r>
      </w:hyperlink>
      <w:r w:rsidR="00CF2523">
        <w:t xml:space="preserve"> </w:t>
      </w:r>
      <w:r w:rsidR="00BD54C2">
        <w:t>for more information</w:t>
      </w:r>
      <w:r w:rsidR="00062242">
        <w:t>).</w:t>
      </w:r>
    </w:p>
    <w:p w14:paraId="07E1CC8F" w14:textId="52C4310A" w:rsidR="00926B6D" w:rsidRDefault="000B0017" w:rsidP="00AE64F4">
      <w:r>
        <w:t xml:space="preserve">This information can be provided </w:t>
      </w:r>
      <w:r w:rsidR="00BF3FA6">
        <w:t xml:space="preserve">in the online form in a free text field response. The following format must be used: facility name/production variable name/financial year </w:t>
      </w:r>
      <w:r w:rsidR="00F33100">
        <w:t xml:space="preserve">for example, </w:t>
      </w:r>
      <w:r w:rsidR="00BF3FA6">
        <w:t>2020-21/</w:t>
      </w:r>
      <w:r w:rsidR="00A717DA">
        <w:t>greenhouse gas type/emissions amount in tCO</w:t>
      </w:r>
      <w:r w:rsidR="00A717DA" w:rsidRPr="0099737D">
        <w:rPr>
          <w:vertAlign w:val="subscript"/>
        </w:rPr>
        <w:t>2</w:t>
      </w:r>
      <w:r w:rsidR="00A717DA">
        <w:t>-e.</w:t>
      </w:r>
      <w:r w:rsidR="009921AA">
        <w:t xml:space="preserve"> </w:t>
      </w:r>
    </w:p>
    <w:p w14:paraId="5864B503" w14:textId="580C0026" w:rsidR="000B0017" w:rsidRPr="009A683A" w:rsidRDefault="00A717DA" w:rsidP="00AE64F4">
      <w:pPr>
        <w:rPr>
          <w:strike/>
        </w:rPr>
      </w:pPr>
      <w:r>
        <w:t xml:space="preserve">Alternatively, </w:t>
      </w:r>
      <w:r w:rsidR="00926B6D">
        <w:t xml:space="preserve">this information </w:t>
      </w:r>
      <w:r>
        <w:t xml:space="preserve">can </w:t>
      </w:r>
      <w:r w:rsidR="00926B6D">
        <w:t xml:space="preserve">be </w:t>
      </w:r>
      <w:r>
        <w:t>provide</w:t>
      </w:r>
      <w:r w:rsidR="00926B6D">
        <w:t>d</w:t>
      </w:r>
      <w:r>
        <w:t xml:space="preserve"> in </w:t>
      </w:r>
      <w:r w:rsidR="00926B6D">
        <w:t xml:space="preserve">a </w:t>
      </w:r>
      <w:r>
        <w:t>supporting information document(s).</w:t>
      </w:r>
    </w:p>
    <w:p w14:paraId="177FF0EF" w14:textId="032855F8" w:rsidR="00AE64F4" w:rsidRPr="009F4403" w:rsidRDefault="00AE64F4" w:rsidP="009A683A">
      <w:pPr>
        <w:pStyle w:val="Heading3"/>
      </w:pPr>
      <w:bookmarkStart w:id="218" w:name="_Calculating_facility-specific_emiss"/>
      <w:bookmarkStart w:id="219" w:name="_Toc138922927"/>
      <w:bookmarkStart w:id="220" w:name="_Toc138923002"/>
      <w:bookmarkStart w:id="221" w:name="_Toc138923066"/>
      <w:bookmarkStart w:id="222" w:name="_Toc138923323"/>
      <w:bookmarkStart w:id="223" w:name="_Toc143503196"/>
      <w:bookmarkEnd w:id="218"/>
      <w:r>
        <w:t>Calculating facility-specific emissions intensities</w:t>
      </w:r>
      <w:bookmarkEnd w:id="219"/>
      <w:bookmarkEnd w:id="220"/>
      <w:bookmarkEnd w:id="221"/>
      <w:bookmarkEnd w:id="222"/>
      <w:bookmarkEnd w:id="223"/>
    </w:p>
    <w:p w14:paraId="01A960AC" w14:textId="66D35D99" w:rsidR="006A2CB7" w:rsidRDefault="006A2CB7" w:rsidP="00376145">
      <w:pPr>
        <w:spacing w:before="240"/>
      </w:pPr>
      <w:r>
        <w:t xml:space="preserve">Facility-specific </w:t>
      </w:r>
      <w:r w:rsidR="0095149E">
        <w:t>emissions-intensity</w:t>
      </w:r>
      <w:r>
        <w:t xml:space="preserve"> values are set by the </w:t>
      </w:r>
      <w:r w:rsidR="00336041">
        <w:t xml:space="preserve">CER </w:t>
      </w:r>
      <w:r>
        <w:t xml:space="preserve">as part of making </w:t>
      </w:r>
      <w:r w:rsidR="000C76E8">
        <w:t>an</w:t>
      </w:r>
      <w:r>
        <w:t xml:space="preserve"> </w:t>
      </w:r>
      <w:r w:rsidR="00EE4403">
        <w:t>EID</w:t>
      </w:r>
      <w:r>
        <w:t xml:space="preserve"> (see</w:t>
      </w:r>
      <w:r w:rsidR="008E6244">
        <w:t xml:space="preserve"> </w:t>
      </w:r>
      <w:hyperlink w:anchor="_Decision_to_make" w:history="1">
        <w:r w:rsidR="008E6244">
          <w:rPr>
            <w:rStyle w:val="Hyperlink"/>
            <w:rFonts w:asciiTheme="minorHAnsi" w:hAnsiTheme="minorHAnsi"/>
          </w:rPr>
          <w:t xml:space="preserve">Part </w:t>
        </w:r>
        <w:r w:rsidR="00E20707" w:rsidRPr="00E20707">
          <w:rPr>
            <w:rStyle w:val="Hyperlink"/>
            <w:rFonts w:asciiTheme="minorHAnsi" w:hAnsiTheme="minorHAnsi"/>
          </w:rPr>
          <w:t>4</w:t>
        </w:r>
        <w:r w:rsidR="002A6510" w:rsidRPr="00E20707">
          <w:rPr>
            <w:rStyle w:val="Hyperlink"/>
            <w:rFonts w:asciiTheme="minorHAnsi" w:hAnsiTheme="minorHAnsi"/>
          </w:rPr>
          <w:t>.</w:t>
        </w:r>
        <w:r w:rsidR="005A7C35" w:rsidRPr="00E20707">
          <w:rPr>
            <w:rStyle w:val="Hyperlink"/>
            <w:rFonts w:asciiTheme="minorHAnsi" w:hAnsiTheme="minorHAnsi"/>
          </w:rPr>
          <w:t>1</w:t>
        </w:r>
        <w:r w:rsidR="008F68C4" w:rsidRPr="00E20707">
          <w:rPr>
            <w:rStyle w:val="Hyperlink"/>
            <w:rFonts w:asciiTheme="minorHAnsi" w:hAnsiTheme="minorHAnsi"/>
          </w:rPr>
          <w:t xml:space="preserve">.2 </w:t>
        </w:r>
        <w:r w:rsidR="005D6724">
          <w:rPr>
            <w:rStyle w:val="Hyperlink"/>
            <w:rFonts w:asciiTheme="minorHAnsi" w:hAnsiTheme="minorHAnsi"/>
          </w:rPr>
          <w:t>D</w:t>
        </w:r>
        <w:r w:rsidR="008F68C4" w:rsidRPr="008F68C4">
          <w:rPr>
            <w:rStyle w:val="Hyperlink"/>
            <w:rFonts w:asciiTheme="minorHAnsi" w:hAnsiTheme="minorHAnsi"/>
          </w:rPr>
          <w:t xml:space="preserve">ecision to make an </w:t>
        </w:r>
        <w:r w:rsidR="0095149E">
          <w:rPr>
            <w:rStyle w:val="Hyperlink"/>
            <w:rFonts w:asciiTheme="minorHAnsi" w:hAnsiTheme="minorHAnsi"/>
          </w:rPr>
          <w:t>emissions-intensity</w:t>
        </w:r>
        <w:r w:rsidR="008F68C4" w:rsidRPr="008F68C4">
          <w:rPr>
            <w:rStyle w:val="Hyperlink"/>
            <w:rFonts w:asciiTheme="minorHAnsi" w:hAnsiTheme="minorHAnsi"/>
          </w:rPr>
          <w:t xml:space="preserve"> determination</w:t>
        </w:r>
      </w:hyperlink>
      <w:r w:rsidR="008F68C4">
        <w:t xml:space="preserve"> for more information</w:t>
      </w:r>
      <w:r>
        <w:t>).</w:t>
      </w:r>
    </w:p>
    <w:p w14:paraId="6A44D377" w14:textId="12BA428F" w:rsidR="0092388A" w:rsidRDefault="0092388A" w:rsidP="0012457F">
      <w:r>
        <w:t xml:space="preserve">If the </w:t>
      </w:r>
      <w:r w:rsidR="00336041">
        <w:t xml:space="preserve">CER </w:t>
      </w:r>
      <w:r>
        <w:t xml:space="preserve">decides to </w:t>
      </w:r>
      <w:proofErr w:type="gramStart"/>
      <w:r>
        <w:t>make a determination</w:t>
      </w:r>
      <w:proofErr w:type="gramEnd"/>
      <w:r>
        <w:t xml:space="preserve"> it will use </w:t>
      </w:r>
      <w:r w:rsidR="00D15981">
        <w:t xml:space="preserve">data provided in the application </w:t>
      </w:r>
      <w:r w:rsidR="000C76E8">
        <w:t>in conjunction with the calcu</w:t>
      </w:r>
      <w:r w:rsidR="00A35667">
        <w:t xml:space="preserve">lation rules specified below </w:t>
      </w:r>
      <w:r w:rsidR="00D15981">
        <w:t xml:space="preserve">to </w:t>
      </w:r>
      <w:r w:rsidR="00A35667">
        <w:t xml:space="preserve">calculate </w:t>
      </w:r>
      <w:r w:rsidR="003A3984">
        <w:t>FSEI</w:t>
      </w:r>
      <w:r w:rsidR="00D15981">
        <w:t xml:space="preserve"> value for each </w:t>
      </w:r>
      <w:r w:rsidR="00D15981" w:rsidRPr="009A683A">
        <w:t xml:space="preserve">historical </w:t>
      </w:r>
      <w:r w:rsidR="00D15981">
        <w:t>production variable.</w:t>
      </w:r>
    </w:p>
    <w:p w14:paraId="160343E1" w14:textId="77E5595F" w:rsidR="00FB0C0C" w:rsidRPr="00407272" w:rsidRDefault="00D4731D" w:rsidP="0012457F">
      <w:r>
        <w:t xml:space="preserve">The application </w:t>
      </w:r>
      <w:r w:rsidR="00825E33">
        <w:t xml:space="preserve">does not </w:t>
      </w:r>
      <w:r w:rsidR="00FB0C0C" w:rsidRPr="001F5EA8">
        <w:t xml:space="preserve">require </w:t>
      </w:r>
      <w:r w:rsidR="00825E33">
        <w:t>an</w:t>
      </w:r>
      <w:r w:rsidR="00FB0C0C" w:rsidRPr="001F5EA8">
        <w:t xml:space="preserve"> estimate of the </w:t>
      </w:r>
      <w:r w:rsidR="003A3984">
        <w:t>FSEI</w:t>
      </w:r>
      <w:r w:rsidR="00E13542">
        <w:t xml:space="preserve"> for each production </w:t>
      </w:r>
      <w:proofErr w:type="gramStart"/>
      <w:r w:rsidR="00E13542">
        <w:t>variable</w:t>
      </w:r>
      <w:proofErr w:type="gramEnd"/>
      <w:r w:rsidR="00FB0C0C" w:rsidRPr="001F5EA8">
        <w:t xml:space="preserve"> </w:t>
      </w:r>
      <w:r w:rsidR="00FB0C0C">
        <w:t xml:space="preserve">and </w:t>
      </w:r>
      <w:r w:rsidR="00E13542">
        <w:t>it</w:t>
      </w:r>
      <w:r w:rsidR="00FB0C0C">
        <w:t xml:space="preserve"> is not an audit matter.</w:t>
      </w:r>
      <w:r w:rsidR="002218BE">
        <w:t xml:space="preserve"> However, a</w:t>
      </w:r>
      <w:r w:rsidR="00783A82">
        <w:t xml:space="preserve"> draft</w:t>
      </w:r>
      <w:r w:rsidR="0012457F" w:rsidRPr="001F5EA8">
        <w:t xml:space="preserve"> </w:t>
      </w:r>
      <w:r w:rsidR="003A3984">
        <w:t>FSEI</w:t>
      </w:r>
      <w:r w:rsidR="00F961A1">
        <w:t xml:space="preserve"> value</w:t>
      </w:r>
      <w:r w:rsidR="0012457F" w:rsidRPr="001F5EA8">
        <w:t xml:space="preserve"> for each </w:t>
      </w:r>
      <w:r w:rsidR="00F961A1" w:rsidRPr="00C41F4C">
        <w:t>historical</w:t>
      </w:r>
      <w:r w:rsidR="00F961A1" w:rsidRPr="00407272">
        <w:t xml:space="preserve"> </w:t>
      </w:r>
      <w:r w:rsidR="0012457F" w:rsidRPr="00407272">
        <w:t xml:space="preserve">production variable </w:t>
      </w:r>
      <w:r w:rsidR="003D36D9" w:rsidRPr="00407272">
        <w:t xml:space="preserve">will be provided </w:t>
      </w:r>
      <w:r w:rsidR="007B5150" w:rsidRPr="00407272">
        <w:t xml:space="preserve">in the application form </w:t>
      </w:r>
      <w:r w:rsidR="0012457F" w:rsidRPr="00407272">
        <w:t xml:space="preserve">automatically based </w:t>
      </w:r>
      <w:r w:rsidR="2D52A30C" w:rsidRPr="65963B86">
        <w:t xml:space="preserve">on </w:t>
      </w:r>
      <w:r w:rsidR="2D52A30C" w:rsidRPr="2B3D5656">
        <w:t xml:space="preserve">the </w:t>
      </w:r>
      <w:r w:rsidR="00F961A1" w:rsidRPr="65963B86">
        <w:t>data</w:t>
      </w:r>
      <w:r w:rsidR="00F961A1" w:rsidRPr="00407272">
        <w:t xml:space="preserve"> provided</w:t>
      </w:r>
      <w:r w:rsidR="007B5150" w:rsidRPr="00407272">
        <w:t>.</w:t>
      </w:r>
      <w:r w:rsidR="00F33100">
        <w:t xml:space="preserve"> </w:t>
      </w:r>
    </w:p>
    <w:p w14:paraId="523D8D10" w14:textId="5C720327" w:rsidR="00FB0C0C" w:rsidRPr="00407272" w:rsidRDefault="003A3984" w:rsidP="0012457F">
      <w:r>
        <w:t>FSEI</w:t>
      </w:r>
      <w:r w:rsidR="00FB0C0C" w:rsidRPr="00407272">
        <w:t xml:space="preserve"> values will be rounded to four significant figures in the application form.</w:t>
      </w:r>
    </w:p>
    <w:p w14:paraId="58E421AA" w14:textId="395A9CBB" w:rsidR="00D15981" w:rsidRPr="00FB0C0C" w:rsidRDefault="00D15981" w:rsidP="0012457F">
      <w:r w:rsidRPr="00407272">
        <w:t xml:space="preserve">Note that if an application has a </w:t>
      </w:r>
      <w:r w:rsidRPr="00C41F4C">
        <w:t>transitional</w:t>
      </w:r>
      <w:r w:rsidRPr="00407272">
        <w:t xml:space="preserve"> pr</w:t>
      </w:r>
      <w:r>
        <w:t xml:space="preserve">oduction variable, the </w:t>
      </w:r>
      <w:r w:rsidR="00336041">
        <w:t xml:space="preserve">CER </w:t>
      </w:r>
      <w:r>
        <w:t xml:space="preserve">will set a </w:t>
      </w:r>
      <w:r w:rsidR="003A3984">
        <w:t>FSEI</w:t>
      </w:r>
      <w:r>
        <w:t xml:space="preserve"> value to the industry</w:t>
      </w:r>
      <w:r w:rsidR="00A66604">
        <w:t>-</w:t>
      </w:r>
      <w:r>
        <w:t xml:space="preserve">average </w:t>
      </w:r>
      <w:r w:rsidR="001A5A58">
        <w:t>‘</w:t>
      </w:r>
      <w:r>
        <w:t>default</w:t>
      </w:r>
      <w:r w:rsidR="001A5A58">
        <w:t>’</w:t>
      </w:r>
      <w:r>
        <w:t xml:space="preserve"> value</w:t>
      </w:r>
      <w:r w:rsidR="008857ED">
        <w:t xml:space="preserve"> applicable to the 2022-23 financial year</w:t>
      </w:r>
      <w:r>
        <w:t xml:space="preserve"> </w:t>
      </w:r>
      <w:r w:rsidR="00822BD7">
        <w:t xml:space="preserve">according to </w:t>
      </w:r>
      <w:r w:rsidR="00EE208A" w:rsidRPr="00822BD7">
        <w:t xml:space="preserve">Schedule 1 </w:t>
      </w:r>
      <w:r w:rsidR="00822BD7" w:rsidRPr="00822BD7">
        <w:t>of the</w:t>
      </w:r>
      <w:r w:rsidR="00822BD7">
        <w:t xml:space="preserve"> </w:t>
      </w:r>
      <w:r w:rsidR="009A21CF">
        <w:t>Safeguard</w:t>
      </w:r>
      <w:r w:rsidR="009E31E3">
        <w:t> </w:t>
      </w:r>
      <w:r w:rsidR="00822BD7">
        <w:t>Rule</w:t>
      </w:r>
      <w:r>
        <w:t>.</w:t>
      </w:r>
    </w:p>
    <w:p w14:paraId="053F8FE5" w14:textId="3EC286E9" w:rsidR="00A35667" w:rsidRDefault="00A35667" w:rsidP="002218BE">
      <w:pPr>
        <w:pStyle w:val="Heading4"/>
      </w:pPr>
      <w:r>
        <w:t>Calculation rules</w:t>
      </w:r>
    </w:p>
    <w:p w14:paraId="5994FD35" w14:textId="5AAD6544" w:rsidR="00413459" w:rsidRDefault="00AE64F4" w:rsidP="00376145">
      <w:pPr>
        <w:spacing w:before="240"/>
      </w:pPr>
      <w:r>
        <w:t xml:space="preserve">The </w:t>
      </w:r>
      <w:r w:rsidR="003A3984">
        <w:t>FSEI</w:t>
      </w:r>
      <w:r>
        <w:t xml:space="preserve"> </w:t>
      </w:r>
      <w:r w:rsidR="00105E72">
        <w:t xml:space="preserve">value </w:t>
      </w:r>
      <w:r>
        <w:t xml:space="preserve">for a historical production variable is calculated depending on the number of </w:t>
      </w:r>
      <w:r w:rsidR="009D3B17">
        <w:t xml:space="preserve">historical </w:t>
      </w:r>
      <w:r>
        <w:t xml:space="preserve">financial years </w:t>
      </w:r>
      <w:r w:rsidR="196942E1">
        <w:t>for which</w:t>
      </w:r>
      <w:r>
        <w:t xml:space="preserve"> information is provided </w:t>
      </w:r>
      <w:r w:rsidR="4E445B5F">
        <w:t>in the application</w:t>
      </w:r>
      <w:r>
        <w:t xml:space="preserve">. </w:t>
      </w:r>
    </w:p>
    <w:p w14:paraId="224ACB4E" w14:textId="088C39E5" w:rsidR="00AE64F4" w:rsidRDefault="00AE64F4" w:rsidP="00AE64F4">
      <w:r w:rsidRPr="00C36DED">
        <w:t xml:space="preserve">If </w:t>
      </w:r>
      <w:r w:rsidR="009D3B17">
        <w:t xml:space="preserve">the required information on </w:t>
      </w:r>
      <w:r w:rsidRPr="00C36DED">
        <w:t xml:space="preserve">all 5 </w:t>
      </w:r>
      <w:r w:rsidR="009D3B17">
        <w:t xml:space="preserve">historical </w:t>
      </w:r>
      <w:r w:rsidRPr="00C36DED">
        <w:t xml:space="preserve">financial years </w:t>
      </w:r>
      <w:r w:rsidR="009D3B17">
        <w:t>is</w:t>
      </w:r>
      <w:r w:rsidR="009D3B17" w:rsidRPr="00C36DED">
        <w:t xml:space="preserve"> </w:t>
      </w:r>
      <w:r w:rsidR="00D3203E" w:rsidRPr="00C36DED">
        <w:t>provided</w:t>
      </w:r>
      <w:r w:rsidRPr="00C36DED">
        <w:t xml:space="preserve">, the </w:t>
      </w:r>
      <w:r w:rsidR="003A3984">
        <w:t>FSEI</w:t>
      </w:r>
      <w:r>
        <w:t xml:space="preserve"> </w:t>
      </w:r>
      <w:r w:rsidR="00B50A22">
        <w:t>value</w:t>
      </w:r>
      <w:r w:rsidRPr="00C36DED">
        <w:t xml:space="preserve"> </w:t>
      </w:r>
      <w:r w:rsidR="00914D77">
        <w:t xml:space="preserve">for a historical production variable </w:t>
      </w:r>
      <w:r w:rsidRPr="00C36DED">
        <w:t xml:space="preserve">is determined </w:t>
      </w:r>
      <w:r w:rsidR="00AB422D" w:rsidRPr="00C36DED">
        <w:t>as follows</w:t>
      </w:r>
      <w:r w:rsidRPr="00C36DED">
        <w:t>:</w:t>
      </w:r>
    </w:p>
    <w:p w14:paraId="2A6637F1" w14:textId="7397F7D5" w:rsidR="00AE64F4" w:rsidRDefault="00B50A22" w:rsidP="0088433F">
      <w:pPr>
        <w:pStyle w:val="CERbullets"/>
        <w:numPr>
          <w:ilvl w:val="0"/>
          <w:numId w:val="31"/>
        </w:numPr>
        <w:ind w:left="709" w:hanging="709"/>
      </w:pPr>
      <w:r>
        <w:t>C</w:t>
      </w:r>
      <w:r w:rsidR="00AE64F4" w:rsidRPr="00E16D2C">
        <w:t>alculat</w:t>
      </w:r>
      <w:r w:rsidR="00AB422D">
        <w:t>e</w:t>
      </w:r>
      <w:r w:rsidR="00AE64F4">
        <w:t xml:space="preserve"> the </w:t>
      </w:r>
      <w:r w:rsidR="0095149E">
        <w:t>emissions-intensity</w:t>
      </w:r>
      <w:r w:rsidR="00AE64F4">
        <w:t xml:space="preserve"> for each financial year</w:t>
      </w:r>
    </w:p>
    <w:p w14:paraId="2E7CF2C4" w14:textId="1764A4B2" w:rsidR="00AE64F4" w:rsidRPr="00C36DED" w:rsidRDefault="00B50A22" w:rsidP="0088433F">
      <w:pPr>
        <w:pStyle w:val="CERbullets"/>
        <w:numPr>
          <w:ilvl w:val="0"/>
          <w:numId w:val="31"/>
        </w:numPr>
        <w:ind w:left="709" w:hanging="709"/>
      </w:pPr>
      <w:r>
        <w:t>E</w:t>
      </w:r>
      <w:r w:rsidR="00AE64F4" w:rsidRPr="00E16D2C">
        <w:t>xclud</w:t>
      </w:r>
      <w:r w:rsidR="00AB422D">
        <w:t>e</w:t>
      </w:r>
      <w:r w:rsidR="00AE64F4">
        <w:t xml:space="preserve"> the years with the highest and lowest </w:t>
      </w:r>
      <w:r w:rsidR="0095149E">
        <w:t>emissions-intensity</w:t>
      </w:r>
      <w:r w:rsidR="00077BE3">
        <w:t xml:space="preserve"> </w:t>
      </w:r>
      <w:r w:rsidR="007D3164">
        <w:t>values</w:t>
      </w:r>
    </w:p>
    <w:p w14:paraId="0A7A175B" w14:textId="0B0EEEE6" w:rsidR="00AE64F4" w:rsidRDefault="00B50A22" w:rsidP="0088433F">
      <w:pPr>
        <w:pStyle w:val="CERbullets"/>
        <w:numPr>
          <w:ilvl w:val="0"/>
          <w:numId w:val="31"/>
        </w:numPr>
        <w:ind w:left="709" w:hanging="709"/>
      </w:pPr>
      <w:r>
        <w:t>A</w:t>
      </w:r>
      <w:r w:rsidR="00AE64F4" w:rsidRPr="00E16D2C">
        <w:t>dd</w:t>
      </w:r>
      <w:r w:rsidR="00AE64F4">
        <w:t xml:space="preserve"> production </w:t>
      </w:r>
      <w:r w:rsidR="00375682">
        <w:t xml:space="preserve">quantities </w:t>
      </w:r>
      <w:r w:rsidR="00AE64F4">
        <w:t xml:space="preserve">for the three remaining financial </w:t>
      </w:r>
      <w:r w:rsidR="00AE64F4" w:rsidRPr="00E16D2C">
        <w:t>year</w:t>
      </w:r>
      <w:r w:rsidR="00AB422D">
        <w:t>s</w:t>
      </w:r>
    </w:p>
    <w:p w14:paraId="08DEC2D9" w14:textId="3B2C9432" w:rsidR="00AE64F4" w:rsidRDefault="00B50A22" w:rsidP="0088433F">
      <w:pPr>
        <w:pStyle w:val="CERbullets"/>
        <w:numPr>
          <w:ilvl w:val="0"/>
          <w:numId w:val="31"/>
        </w:numPr>
        <w:ind w:left="709" w:hanging="709"/>
      </w:pPr>
      <w:r>
        <w:t>A</w:t>
      </w:r>
      <w:r w:rsidR="00AE64F4" w:rsidRPr="00E16D2C">
        <w:t>dd</w:t>
      </w:r>
      <w:r w:rsidR="00AE64F4">
        <w:t xml:space="preserve"> the relevant covered emissions for that production variable for the three remaining financial years</w:t>
      </w:r>
    </w:p>
    <w:p w14:paraId="64E5A891" w14:textId="426BDCCB" w:rsidR="00AE64F4" w:rsidRDefault="00B50A22" w:rsidP="0088433F">
      <w:pPr>
        <w:pStyle w:val="CERbullets"/>
        <w:numPr>
          <w:ilvl w:val="0"/>
          <w:numId w:val="31"/>
        </w:numPr>
        <w:ind w:left="709" w:hanging="709"/>
      </w:pPr>
      <w:r>
        <w:t>D</w:t>
      </w:r>
      <w:r w:rsidR="00AE64F4">
        <w:t>ivid</w:t>
      </w:r>
      <w:r w:rsidR="00AB422D">
        <w:t>e</w:t>
      </w:r>
      <w:r w:rsidR="00AE64F4">
        <w:t xml:space="preserve"> the sum of relevant covered emissions by the sum of production</w:t>
      </w:r>
      <w:r w:rsidR="00375682">
        <w:t xml:space="preserve"> quantities</w:t>
      </w:r>
    </w:p>
    <w:p w14:paraId="5980A32F" w14:textId="384E6ED0" w:rsidR="00AE64F4" w:rsidRDefault="00AE64F4" w:rsidP="00AE64F4">
      <w:r>
        <w:t xml:space="preserve">If information for any historical years has </w:t>
      </w:r>
      <w:r w:rsidR="00600F18">
        <w:t xml:space="preserve">not been </w:t>
      </w:r>
      <w:r w:rsidR="001548E8">
        <w:t>provided (</w:t>
      </w:r>
      <w:r w:rsidR="00955522">
        <w:t xml:space="preserve">that is, </w:t>
      </w:r>
      <w:r w:rsidR="001548E8">
        <w:t>due to exclu</w:t>
      </w:r>
      <w:r w:rsidR="00375682">
        <w:t>sion</w:t>
      </w:r>
      <w:r w:rsidR="001548E8">
        <w:t xml:space="preserve"> </w:t>
      </w:r>
      <w:r w:rsidR="00375682">
        <w:t>of certain</w:t>
      </w:r>
      <w:r w:rsidR="001548E8">
        <w:t xml:space="preserve"> </w:t>
      </w:r>
      <w:r w:rsidR="000F0C93">
        <w:t>information</w:t>
      </w:r>
      <w:r w:rsidR="00FE78FA">
        <w:t xml:space="preserve"> or the facility was only producing for 1 to 4 </w:t>
      </w:r>
      <w:r w:rsidR="009D3B17">
        <w:t xml:space="preserve">historical financial </w:t>
      </w:r>
      <w:r w:rsidR="00FE78FA">
        <w:t>years</w:t>
      </w:r>
      <w:r w:rsidR="00D02155">
        <w:t>)</w:t>
      </w:r>
      <w:r>
        <w:t xml:space="preserve">, the </w:t>
      </w:r>
      <w:r w:rsidR="003A3984">
        <w:t>FSEI</w:t>
      </w:r>
      <w:r>
        <w:t xml:space="preserve"> is determined according to the following:</w:t>
      </w:r>
    </w:p>
    <w:p w14:paraId="37011A1E" w14:textId="22FD5E4B" w:rsidR="00AE64F4" w:rsidRPr="00DE4B5B" w:rsidRDefault="00AE64F4" w:rsidP="00481A71">
      <w:pPr>
        <w:pStyle w:val="CERbullets"/>
      </w:pPr>
      <w:r w:rsidRPr="1F1F8E47">
        <w:rPr>
          <w:i/>
          <w:iCs/>
        </w:rPr>
        <w:t>4 years available</w:t>
      </w:r>
      <w:r>
        <w:t xml:space="preserve">: exclude the financial years with the highest and lowest </w:t>
      </w:r>
      <w:r w:rsidR="0095149E">
        <w:t>emissions-intensity</w:t>
      </w:r>
      <w:r>
        <w:t>, sum the production and relevant covered emissions of the remaining two years and divide the sum of covered emissions by the sum of production</w:t>
      </w:r>
      <w:r w:rsidR="001E3EB6">
        <w:t>.</w:t>
      </w:r>
    </w:p>
    <w:p w14:paraId="4053B4C9" w14:textId="2F2D8B10" w:rsidR="00AE64F4" w:rsidRDefault="00AE64F4" w:rsidP="00481A71">
      <w:pPr>
        <w:pStyle w:val="CERbullets"/>
      </w:pPr>
      <w:r w:rsidRPr="1F1F8E47">
        <w:rPr>
          <w:i/>
          <w:iCs/>
        </w:rPr>
        <w:t>3 years available</w:t>
      </w:r>
      <w:r>
        <w:t xml:space="preserve">: exclude the financial year with the highest </w:t>
      </w:r>
      <w:r w:rsidR="0095149E">
        <w:t>emissions-intensity</w:t>
      </w:r>
      <w:r>
        <w:t>, sum the production and relevant covered emissions of the remaining two years and divide the sum of covered emissions by the sum of production</w:t>
      </w:r>
      <w:r w:rsidR="001E3EB6">
        <w:t>.</w:t>
      </w:r>
    </w:p>
    <w:p w14:paraId="664B4C39" w14:textId="0D6049D1" w:rsidR="00AE64F4" w:rsidRDefault="00AE64F4" w:rsidP="00481A71">
      <w:pPr>
        <w:pStyle w:val="CERbullets"/>
      </w:pPr>
      <w:r w:rsidRPr="1F1F8E47">
        <w:rPr>
          <w:i/>
          <w:iCs/>
        </w:rPr>
        <w:t>2 years available</w:t>
      </w:r>
      <w:r>
        <w:t xml:space="preserve">: exclude the financial year with the highest </w:t>
      </w:r>
      <w:r w:rsidR="0095149E">
        <w:t>emissions-intensity</w:t>
      </w:r>
      <w:r>
        <w:t xml:space="preserve"> and take the </w:t>
      </w:r>
      <w:r w:rsidR="0095149E">
        <w:t>emissions-intensity</w:t>
      </w:r>
      <w:r>
        <w:t xml:space="preserve"> of the remaining year</w:t>
      </w:r>
      <w:r w:rsidR="00015013">
        <w:t>.</w:t>
      </w:r>
      <w:r w:rsidR="01C3539A">
        <w:t xml:space="preserve"> </w:t>
      </w:r>
    </w:p>
    <w:p w14:paraId="71B8124D" w14:textId="65A8C690" w:rsidR="00AE64F4" w:rsidRDefault="00AE64F4" w:rsidP="00481A71">
      <w:pPr>
        <w:pStyle w:val="CERbullets"/>
      </w:pPr>
      <w:r w:rsidRPr="1F1F8E47">
        <w:rPr>
          <w:i/>
          <w:iCs/>
        </w:rPr>
        <w:t>1 year available</w:t>
      </w:r>
      <w:r>
        <w:t xml:space="preserve">: take the </w:t>
      </w:r>
      <w:r w:rsidR="0095149E">
        <w:t>emissions-intensity</w:t>
      </w:r>
      <w:r>
        <w:t xml:space="preserve"> of that financial year</w:t>
      </w:r>
      <w:r w:rsidR="001E3EB6">
        <w:t>.</w:t>
      </w:r>
    </w:p>
    <w:p w14:paraId="3F1676B3" w14:textId="57C83070" w:rsidR="000A2B01" w:rsidRPr="003D15D8" w:rsidRDefault="000A2B01" w:rsidP="00C41F4C">
      <w:pPr>
        <w:pStyle w:val="Heading2"/>
      </w:pPr>
      <w:bookmarkStart w:id="224" w:name="_Audit_report"/>
      <w:bookmarkStart w:id="225" w:name="_Toc138919014"/>
      <w:bookmarkStart w:id="226" w:name="_Toc138922928"/>
      <w:bookmarkStart w:id="227" w:name="_Toc138923003"/>
      <w:bookmarkStart w:id="228" w:name="_Toc138923067"/>
      <w:bookmarkStart w:id="229" w:name="_Toc138923324"/>
      <w:bookmarkStart w:id="230" w:name="_Toc143503197"/>
      <w:bookmarkStart w:id="231" w:name="_Toc208216277"/>
      <w:bookmarkEnd w:id="224"/>
      <w:r>
        <w:t>Audit report</w:t>
      </w:r>
      <w:bookmarkEnd w:id="225"/>
      <w:bookmarkEnd w:id="226"/>
      <w:bookmarkEnd w:id="227"/>
      <w:bookmarkEnd w:id="228"/>
      <w:bookmarkEnd w:id="229"/>
      <w:bookmarkEnd w:id="230"/>
      <w:bookmarkEnd w:id="231"/>
    </w:p>
    <w:p w14:paraId="5BD492E2" w14:textId="44F93AA9" w:rsidR="000A2B01" w:rsidRDefault="000A2B01" w:rsidP="00376145">
      <w:pPr>
        <w:spacing w:before="240"/>
      </w:pPr>
      <w:r>
        <w:t>An application must be accompanied by an audit report</w:t>
      </w:r>
      <w:r w:rsidR="009815CB">
        <w:t>,</w:t>
      </w:r>
      <w:r>
        <w:t xml:space="preserve"> which can be attached to the application form in </w:t>
      </w:r>
      <w:hyperlink r:id="rId57" w:anchor="online-services" w:tooltip="A link to the Online Services page of the Clean Energy Regulator's website" w:history="1">
        <w:r w:rsidR="00D06293" w:rsidRPr="00F84B66">
          <w:rPr>
            <w:rStyle w:val="Hyperlink"/>
            <w:rFonts w:asciiTheme="minorHAnsi" w:hAnsiTheme="minorHAnsi"/>
          </w:rPr>
          <w:t>Online Services</w:t>
        </w:r>
      </w:hyperlink>
      <w:r w:rsidR="009B587F" w:rsidRPr="006B1C45">
        <w:rPr>
          <w:rStyle w:val="FootnoteReference"/>
        </w:rPr>
        <w:footnoteReference w:id="41"/>
      </w:r>
      <w:r w:rsidR="006B1C45" w:rsidRPr="006B1C45">
        <w:t>.</w:t>
      </w:r>
      <w:r w:rsidR="00C92A68" w:rsidRPr="006B1C45">
        <w:t xml:space="preserve"> </w:t>
      </w:r>
    </w:p>
    <w:p w14:paraId="2F95426F" w14:textId="61930D83" w:rsidR="00C104CE" w:rsidRDefault="000A2B01" w:rsidP="000A2B01">
      <w:r>
        <w:t>The audit must be carried out by an audit team led by a registered Category 2 auditor under sub</w:t>
      </w:r>
      <w:r w:rsidR="00BE6AE9">
        <w:t>-</w:t>
      </w:r>
      <w:r>
        <w:t xml:space="preserve">regulation 6.25(3) of the NGER Regulations. </w:t>
      </w:r>
      <w:r w:rsidR="00BE6AE9">
        <w:t xml:space="preserve">See </w:t>
      </w:r>
      <w:hyperlink r:id="rId58" w:tooltip="A link to the Auditors page of the Clean Energy Regulator's website" w:history="1">
        <w:r w:rsidR="00BE6AE9" w:rsidRPr="00BE6AE9">
          <w:rPr>
            <w:rStyle w:val="Hyperlink"/>
            <w:rFonts w:asciiTheme="minorHAnsi" w:hAnsiTheme="minorHAnsi"/>
          </w:rPr>
          <w:t>Register of Auditors</w:t>
        </w:r>
        <w:r w:rsidR="009B587F" w:rsidRPr="009A21CF">
          <w:rPr>
            <w:rStyle w:val="FootnoteReference"/>
          </w:rPr>
          <w:footnoteReference w:id="42"/>
        </w:r>
        <w:r w:rsidR="00BE6AE9" w:rsidRPr="009A21CF">
          <w:rPr>
            <w:rStyle w:val="Hyperlink"/>
            <w:rFonts w:asciiTheme="minorHAnsi" w:hAnsiTheme="minorHAnsi"/>
            <w:color w:val="auto"/>
            <w:u w:val="none"/>
          </w:rPr>
          <w:t xml:space="preserve"> </w:t>
        </w:r>
      </w:hyperlink>
      <w:r w:rsidR="00BE6AE9">
        <w:t xml:space="preserve">for a list </w:t>
      </w:r>
      <w:r>
        <w:t>of accredited Greenhouse and Energy auditors and information on engaging an audit team</w:t>
      </w:r>
      <w:r w:rsidR="00BD2691">
        <w:t>.</w:t>
      </w:r>
    </w:p>
    <w:p w14:paraId="0513CA7D" w14:textId="4505359F" w:rsidR="000A2B01" w:rsidRDefault="00C104CE" w:rsidP="0006560F">
      <w:r>
        <w:t xml:space="preserve">The matters to be audited and covered by the audit report are the reasonable and limited assurance matters outlined below. </w:t>
      </w:r>
      <w:r w:rsidR="008378D1">
        <w:t>The audit report must als</w:t>
      </w:r>
      <w:r>
        <w:t>o</w:t>
      </w:r>
      <w:r w:rsidR="0006560F">
        <w:t xml:space="preserve"> </w:t>
      </w:r>
      <w:r>
        <w:t xml:space="preserve">comply with the relevant requirements for reasonable and limited assurance engagements under the </w:t>
      </w:r>
      <w:hyperlink r:id="rId59" w:history="1">
        <w:r w:rsidRPr="006B043E">
          <w:rPr>
            <w:rStyle w:val="Hyperlink"/>
          </w:rPr>
          <w:t>National Greenhouse and Energy (Audit) Determination 2009</w:t>
        </w:r>
      </w:hyperlink>
      <w:r w:rsidR="0006560F">
        <w:t>.</w:t>
      </w:r>
    </w:p>
    <w:p w14:paraId="561B3D46" w14:textId="77777777" w:rsidR="001C79CB" w:rsidRPr="00A53F0A" w:rsidRDefault="001C79CB" w:rsidP="001C79CB">
      <w:r w:rsidRPr="00A53F0A">
        <w:t>The audit report should also contain details of checks carried out by the auditor, and of any issues with the application that were identified and investigated or corrected by the auditor in the process of preparing the report.</w:t>
      </w:r>
    </w:p>
    <w:p w14:paraId="30ECB708" w14:textId="16A54CCC" w:rsidR="001C79CB" w:rsidRDefault="001C79CB" w:rsidP="001C79CB">
      <w:pPr>
        <w:pStyle w:val="CERbullets"/>
        <w:numPr>
          <w:ilvl w:val="0"/>
          <w:numId w:val="0"/>
        </w:numPr>
      </w:pPr>
      <w:r w:rsidRPr="00136955">
        <w:t>For additional information relating to the preparation of the audit report</w:t>
      </w:r>
      <w:r>
        <w:t xml:space="preserve"> including an audit template</w:t>
      </w:r>
      <w:r w:rsidRPr="00136955">
        <w:t xml:space="preserve"> see </w:t>
      </w:r>
      <w:r w:rsidR="005305C4">
        <w:t xml:space="preserve">the </w:t>
      </w:r>
      <w:hyperlink r:id="rId60" w:tooltip="A link to the Safeguard Mechanim emissions intensity audit report template on f the Clean Energy Regulator's website" w:history="1">
        <w:r w:rsidR="003D31B3" w:rsidRPr="00D971AD">
          <w:rPr>
            <w:rStyle w:val="Hyperlink"/>
          </w:rPr>
          <w:t xml:space="preserve">Safeguard </w:t>
        </w:r>
        <w:r w:rsidR="003F5C62" w:rsidRPr="00D971AD">
          <w:rPr>
            <w:rStyle w:val="Hyperlink"/>
          </w:rPr>
          <w:t>M</w:t>
        </w:r>
        <w:r w:rsidR="003D31B3" w:rsidRPr="00D971AD">
          <w:rPr>
            <w:rStyle w:val="Hyperlink"/>
          </w:rPr>
          <w:t>ech</w:t>
        </w:r>
        <w:r w:rsidR="004E303A" w:rsidRPr="00D971AD">
          <w:rPr>
            <w:rStyle w:val="Hyperlink"/>
          </w:rPr>
          <w:t xml:space="preserve">anism </w:t>
        </w:r>
        <w:r w:rsidR="00D971AD" w:rsidRPr="00D971AD">
          <w:rPr>
            <w:rStyle w:val="Hyperlink"/>
          </w:rPr>
          <w:t>- E</w:t>
        </w:r>
        <w:r w:rsidR="00B6335F" w:rsidRPr="00D971AD">
          <w:rPr>
            <w:rStyle w:val="Hyperlink"/>
          </w:rPr>
          <w:t>missions-intensity</w:t>
        </w:r>
        <w:r w:rsidR="004E303A" w:rsidRPr="00D971AD">
          <w:rPr>
            <w:rStyle w:val="Hyperlink"/>
          </w:rPr>
          <w:t xml:space="preserve"> audit report template</w:t>
        </w:r>
      </w:hyperlink>
      <w:r w:rsidR="00D971AD">
        <w:rPr>
          <w:rStyle w:val="FootnoteReference"/>
        </w:rPr>
        <w:footnoteReference w:id="43"/>
      </w:r>
      <w:r w:rsidR="004E303A">
        <w:t>.</w:t>
      </w:r>
    </w:p>
    <w:p w14:paraId="4197AA66" w14:textId="6D9B65EC" w:rsidR="006E08B2" w:rsidRDefault="006E08B2" w:rsidP="00C41F4C">
      <w:pPr>
        <w:pStyle w:val="Heading3"/>
      </w:pPr>
      <w:bookmarkStart w:id="232" w:name="_Toc138922929"/>
      <w:bookmarkStart w:id="233" w:name="_Toc138923004"/>
      <w:bookmarkStart w:id="234" w:name="_Toc138923068"/>
      <w:bookmarkStart w:id="235" w:name="_Toc138923325"/>
      <w:bookmarkStart w:id="236" w:name="_Toc143503198"/>
      <w:r>
        <w:t>Reasonable assurance matters</w:t>
      </w:r>
      <w:bookmarkEnd w:id="232"/>
      <w:bookmarkEnd w:id="233"/>
      <w:bookmarkEnd w:id="234"/>
      <w:bookmarkEnd w:id="235"/>
      <w:bookmarkEnd w:id="236"/>
    </w:p>
    <w:p w14:paraId="07FD856E" w14:textId="6F0597AC" w:rsidR="002D64B3" w:rsidRPr="00C41F4C" w:rsidRDefault="0044562E" w:rsidP="002D64B3">
      <w:pPr>
        <w:pStyle w:val="subsection"/>
        <w:rPr>
          <w:rFonts w:asciiTheme="minorHAnsi" w:hAnsiTheme="minorHAnsi" w:cstheme="minorHAnsi"/>
        </w:rPr>
      </w:pPr>
      <w:r>
        <w:rPr>
          <w:rFonts w:asciiTheme="minorHAnsi" w:hAnsiTheme="minorHAnsi" w:cstheme="minorHAnsi"/>
        </w:rPr>
        <w:softHyphen/>
      </w:r>
      <w:r w:rsidR="002D64B3" w:rsidRPr="00C41F4C">
        <w:rPr>
          <w:rFonts w:asciiTheme="minorHAnsi" w:hAnsiTheme="minorHAnsi" w:cstheme="minorHAnsi"/>
        </w:rPr>
        <w:t>The audit report must include a conclusion in relation to each of the following matters:</w:t>
      </w:r>
    </w:p>
    <w:p w14:paraId="498EAF5B" w14:textId="19FA73C3" w:rsidR="002D64B3" w:rsidRPr="007E73C3" w:rsidRDefault="0088433F" w:rsidP="002D64B3">
      <w:pPr>
        <w:pStyle w:val="CERbullets"/>
        <w:rPr>
          <w:color w:val="000000" w:themeColor="text1"/>
        </w:rPr>
      </w:pPr>
      <w:r>
        <w:rPr>
          <w:color w:val="000000" w:themeColor="text1"/>
        </w:rPr>
        <w:t>W</w:t>
      </w:r>
      <w:r w:rsidR="002D64B3" w:rsidRPr="1F1F8E47">
        <w:rPr>
          <w:color w:val="000000" w:themeColor="text1"/>
        </w:rPr>
        <w:t>hether, in all material respects, the application correctly specifies the historical production variables (if any) for the facility</w:t>
      </w:r>
      <w:r w:rsidR="00776C16" w:rsidRPr="1F1F8E47">
        <w:rPr>
          <w:color w:val="000000" w:themeColor="text1"/>
        </w:rPr>
        <w:t>.</w:t>
      </w:r>
    </w:p>
    <w:p w14:paraId="5ABDCA74" w14:textId="4F39D5D1" w:rsidR="002D64B3" w:rsidRPr="007E73C3" w:rsidRDefault="0088433F" w:rsidP="002D64B3">
      <w:pPr>
        <w:pStyle w:val="CERbullets"/>
        <w:rPr>
          <w:color w:val="000000" w:themeColor="text1"/>
        </w:rPr>
      </w:pPr>
      <w:r>
        <w:rPr>
          <w:color w:val="000000" w:themeColor="text1"/>
        </w:rPr>
        <w:t>I</w:t>
      </w:r>
      <w:r w:rsidR="002D64B3" w:rsidRPr="1F1F8E47">
        <w:rPr>
          <w:color w:val="000000" w:themeColor="text1"/>
        </w:rPr>
        <w:t>f the application includes the designated historical information about a historical production variable for the facility for a historical financial year—whether, in all material respects, the application correctly specifies the quantity of the historical production variable in the historical financial year</w:t>
      </w:r>
      <w:r w:rsidR="00776C16" w:rsidRPr="1F1F8E47">
        <w:rPr>
          <w:color w:val="000000" w:themeColor="text1"/>
        </w:rPr>
        <w:t>.</w:t>
      </w:r>
    </w:p>
    <w:p w14:paraId="372494BC" w14:textId="5B5AC033" w:rsidR="002D64B3" w:rsidRPr="007E73C3" w:rsidRDefault="0088433F" w:rsidP="002D64B3">
      <w:pPr>
        <w:pStyle w:val="CERbullets"/>
        <w:rPr>
          <w:color w:val="000000" w:themeColor="text1"/>
        </w:rPr>
      </w:pPr>
      <w:r>
        <w:rPr>
          <w:color w:val="000000" w:themeColor="text1"/>
        </w:rPr>
        <w:t>W</w:t>
      </w:r>
      <w:r w:rsidR="002D64B3" w:rsidRPr="1F1F8E47">
        <w:rPr>
          <w:color w:val="000000" w:themeColor="text1"/>
        </w:rPr>
        <w:t xml:space="preserve">hether, in all material respects, the application correctly specifies the </w:t>
      </w:r>
      <w:proofErr w:type="gramStart"/>
      <w:r w:rsidR="002D64B3" w:rsidRPr="1F1F8E47">
        <w:rPr>
          <w:color w:val="000000" w:themeColor="text1"/>
        </w:rPr>
        <w:t>amount</w:t>
      </w:r>
      <w:proofErr w:type="gramEnd"/>
      <w:r w:rsidR="002D64B3" w:rsidRPr="1F1F8E47">
        <w:rPr>
          <w:color w:val="000000" w:themeColor="text1"/>
        </w:rPr>
        <w:t xml:space="preserve"> of covered emissions for the facility in each historical financial year</w:t>
      </w:r>
      <w:r w:rsidR="00776C16" w:rsidRPr="1F1F8E47">
        <w:rPr>
          <w:color w:val="000000" w:themeColor="text1"/>
        </w:rPr>
        <w:t>.</w:t>
      </w:r>
    </w:p>
    <w:p w14:paraId="63305D30" w14:textId="78E7CF4C" w:rsidR="0030768E" w:rsidRPr="00C41F4C" w:rsidRDefault="0088433F" w:rsidP="00EA6318">
      <w:pPr>
        <w:pStyle w:val="CERbullets"/>
        <w:rPr>
          <w:color w:val="000000" w:themeColor="text1"/>
        </w:rPr>
      </w:pPr>
      <w:r>
        <w:rPr>
          <w:color w:val="000000" w:themeColor="text1"/>
        </w:rPr>
        <w:t>W</w:t>
      </w:r>
      <w:r w:rsidR="002D64B3" w:rsidRPr="1F1F8E47">
        <w:rPr>
          <w:color w:val="000000" w:themeColor="text1"/>
        </w:rPr>
        <w:t>hether, in all material respects, the application correctly specifies the transitional production</w:t>
      </w:r>
      <w:r w:rsidR="002D64B3">
        <w:t xml:space="preserve"> variables (if any) for the facility.</w:t>
      </w:r>
    </w:p>
    <w:p w14:paraId="7F84D803" w14:textId="7DD164D9" w:rsidR="00D5331B" w:rsidRPr="00D5331B" w:rsidRDefault="00D5331B" w:rsidP="00C41F4C">
      <w:pPr>
        <w:pStyle w:val="CERbullets"/>
        <w:numPr>
          <w:ilvl w:val="0"/>
          <w:numId w:val="0"/>
        </w:numPr>
      </w:pPr>
      <w:r>
        <w:t xml:space="preserve">Note that for each matters </w:t>
      </w:r>
      <w:r w:rsidR="007B6AE2">
        <w:t>listed</w:t>
      </w:r>
      <w:r>
        <w:t xml:space="preserve"> above, the audit report must contain a reasonable assurance conclusion (or qualified reasonable assurance conclusion). If </w:t>
      </w:r>
      <w:r w:rsidR="005F47E9">
        <w:t>there is an</w:t>
      </w:r>
      <w:r w:rsidR="000B45CD">
        <w:t xml:space="preserve"> adverse conclusion</w:t>
      </w:r>
      <w:r w:rsidR="005F47E9">
        <w:t xml:space="preserve"> or </w:t>
      </w:r>
      <w:r w:rsidR="000B4AA7">
        <w:t>the auditor</w:t>
      </w:r>
      <w:r w:rsidR="007B6AE2">
        <w:t xml:space="preserve"> is unable to form an opinion about any matter,</w:t>
      </w:r>
      <w:r w:rsidR="000B4AA7">
        <w:t xml:space="preserve"> </w:t>
      </w:r>
      <w:r w:rsidR="005F47E9">
        <w:t xml:space="preserve">the </w:t>
      </w:r>
      <w:r w:rsidR="00336041">
        <w:t xml:space="preserve">CER </w:t>
      </w:r>
      <w:r w:rsidR="008A5B84">
        <w:t>cannot make the determination</w:t>
      </w:r>
      <w:r w:rsidR="00D14CA2">
        <w:t>. S</w:t>
      </w:r>
      <w:r w:rsidR="007B6AE2">
        <w:t>ee</w:t>
      </w:r>
      <w:r w:rsidR="000E4069">
        <w:t xml:space="preserve"> </w:t>
      </w:r>
      <w:hyperlink w:anchor="_Decision_to_refuse" w:history="1">
        <w:r w:rsidR="008F2305">
          <w:rPr>
            <w:rStyle w:val="Hyperlink"/>
            <w:rFonts w:asciiTheme="minorHAnsi" w:hAnsiTheme="minorHAnsi"/>
          </w:rPr>
          <w:t xml:space="preserve">Part </w:t>
        </w:r>
        <w:r w:rsidR="00E20707">
          <w:rPr>
            <w:rStyle w:val="Hyperlink"/>
            <w:rFonts w:asciiTheme="minorHAnsi" w:hAnsiTheme="minorHAnsi"/>
          </w:rPr>
          <w:t>4</w:t>
        </w:r>
        <w:r w:rsidR="000E4069" w:rsidRPr="00972E65">
          <w:rPr>
            <w:rStyle w:val="Hyperlink"/>
            <w:rFonts w:asciiTheme="minorHAnsi" w:hAnsiTheme="minorHAnsi"/>
          </w:rPr>
          <w:t xml:space="preserve">.1.3 </w:t>
        </w:r>
        <w:r w:rsidR="001652F4">
          <w:rPr>
            <w:rStyle w:val="Hyperlink"/>
            <w:rFonts w:asciiTheme="minorHAnsi" w:hAnsiTheme="minorHAnsi"/>
          </w:rPr>
          <w:t>D</w:t>
        </w:r>
        <w:r w:rsidR="000E4069" w:rsidRPr="00972E65">
          <w:rPr>
            <w:rStyle w:val="Hyperlink"/>
            <w:rFonts w:asciiTheme="minorHAnsi" w:hAnsiTheme="minorHAnsi"/>
          </w:rPr>
          <w:t xml:space="preserve">ecision to refuse to make an </w:t>
        </w:r>
        <w:r w:rsidR="0095149E">
          <w:rPr>
            <w:rStyle w:val="Hyperlink"/>
            <w:rFonts w:asciiTheme="minorHAnsi" w:hAnsiTheme="minorHAnsi"/>
          </w:rPr>
          <w:t>emissions-intensity</w:t>
        </w:r>
        <w:r w:rsidR="000E4069" w:rsidRPr="00972E65">
          <w:rPr>
            <w:rStyle w:val="Hyperlink"/>
            <w:rFonts w:asciiTheme="minorHAnsi" w:hAnsiTheme="minorHAnsi"/>
          </w:rPr>
          <w:t xml:space="preserve"> determination</w:t>
        </w:r>
      </w:hyperlink>
      <w:r w:rsidR="000E4069">
        <w:t xml:space="preserve"> for more information</w:t>
      </w:r>
      <w:r w:rsidR="00FD6685">
        <w:t>.</w:t>
      </w:r>
    </w:p>
    <w:p w14:paraId="3CC1EA63" w14:textId="191796AD" w:rsidR="006E08B2" w:rsidRDefault="006E08B2" w:rsidP="00C41F4C">
      <w:pPr>
        <w:pStyle w:val="Heading3"/>
      </w:pPr>
      <w:bookmarkStart w:id="237" w:name="_Toc138922930"/>
      <w:bookmarkStart w:id="238" w:name="_Toc138923005"/>
      <w:bookmarkStart w:id="239" w:name="_Toc138923069"/>
      <w:bookmarkStart w:id="240" w:name="_Toc138923326"/>
      <w:bookmarkStart w:id="241" w:name="_Toc143503199"/>
      <w:r>
        <w:t>Limited assurance matters</w:t>
      </w:r>
      <w:bookmarkEnd w:id="237"/>
      <w:bookmarkEnd w:id="238"/>
      <w:bookmarkEnd w:id="239"/>
      <w:bookmarkEnd w:id="240"/>
      <w:bookmarkEnd w:id="241"/>
    </w:p>
    <w:p w14:paraId="7947D1C5" w14:textId="0751D683" w:rsidR="009F4932" w:rsidRPr="00A23E6F" w:rsidRDefault="009F4932" w:rsidP="006B1C45">
      <w:pPr>
        <w:pStyle w:val="subsection"/>
        <w:keepNext/>
        <w:rPr>
          <w:rFonts w:asciiTheme="minorHAnsi" w:hAnsiTheme="minorHAnsi" w:cstheme="minorHAnsi"/>
        </w:rPr>
      </w:pPr>
      <w:r w:rsidRPr="00560B12">
        <w:tab/>
      </w:r>
      <w:r w:rsidRPr="00C41F4C">
        <w:rPr>
          <w:rFonts w:asciiTheme="minorHAnsi" w:hAnsiTheme="minorHAnsi" w:cstheme="minorHAnsi"/>
        </w:rPr>
        <w:t>The</w:t>
      </w:r>
      <w:r w:rsidRPr="00A23E6F">
        <w:rPr>
          <w:rFonts w:asciiTheme="minorHAnsi" w:hAnsiTheme="minorHAnsi" w:cstheme="minorHAnsi"/>
        </w:rPr>
        <w:t xml:space="preserve"> audit report must include a conclusion in relation to each of the following matters:</w:t>
      </w:r>
    </w:p>
    <w:p w14:paraId="53477A56" w14:textId="2510DE8B" w:rsidR="009F4932" w:rsidRPr="00A23E6F" w:rsidRDefault="00F45271" w:rsidP="00A23E6F">
      <w:pPr>
        <w:pStyle w:val="CERbullets"/>
        <w:rPr>
          <w:color w:val="000000" w:themeColor="text1"/>
        </w:rPr>
      </w:pPr>
      <w:r>
        <w:rPr>
          <w:color w:val="000000" w:themeColor="text1"/>
        </w:rPr>
        <w:t>I</w:t>
      </w:r>
      <w:r w:rsidR="009F4932" w:rsidRPr="1F1F8E47">
        <w:rPr>
          <w:color w:val="000000" w:themeColor="text1"/>
        </w:rPr>
        <w:t xml:space="preserve">f the application specifies one or more historical production variables for the facility—whether, in all material respects, the application correctly specifies the </w:t>
      </w:r>
      <w:proofErr w:type="gramStart"/>
      <w:r w:rsidR="009F4932" w:rsidRPr="1F1F8E47">
        <w:rPr>
          <w:color w:val="000000" w:themeColor="text1"/>
        </w:rPr>
        <w:t>amount</w:t>
      </w:r>
      <w:proofErr w:type="gramEnd"/>
      <w:r w:rsidR="009F4932" w:rsidRPr="1F1F8E47">
        <w:rPr>
          <w:color w:val="000000" w:themeColor="text1"/>
        </w:rPr>
        <w:t xml:space="preserve"> of covered emissions of greenhouse gases from the operation of the facility that are relevantly associated with each of those production variables</w:t>
      </w:r>
    </w:p>
    <w:p w14:paraId="782D142C" w14:textId="1D4204A3" w:rsidR="009F4932" w:rsidRPr="00A23E6F" w:rsidRDefault="00F45271" w:rsidP="00A23E6F">
      <w:pPr>
        <w:pStyle w:val="CERbullets"/>
        <w:rPr>
          <w:color w:val="000000" w:themeColor="text1"/>
        </w:rPr>
      </w:pPr>
      <w:r>
        <w:rPr>
          <w:color w:val="000000" w:themeColor="text1"/>
        </w:rPr>
        <w:t>W</w:t>
      </w:r>
      <w:r w:rsidR="009F4932" w:rsidRPr="1F1F8E47">
        <w:rPr>
          <w:color w:val="000000" w:themeColor="text1"/>
        </w:rPr>
        <w:t>hether, in all material respects, calculations of amounts of covered emissions of greenhouse gases from the operation of the facility that are included in the application meet the requirements specified in section</w:t>
      </w:r>
      <w:r w:rsidR="007E5CE0" w:rsidRPr="1F1F8E47">
        <w:rPr>
          <w:color w:val="000000" w:themeColor="text1"/>
        </w:rPr>
        <w:t> </w:t>
      </w:r>
      <w:r w:rsidR="009F4932" w:rsidRPr="1F1F8E47">
        <w:rPr>
          <w:color w:val="000000" w:themeColor="text1"/>
        </w:rPr>
        <w:t>15</w:t>
      </w:r>
      <w:r w:rsidR="00A80D85">
        <w:rPr>
          <w:color w:val="000000" w:themeColor="text1"/>
        </w:rPr>
        <w:t xml:space="preserve"> of the Safeguard Rule</w:t>
      </w:r>
    </w:p>
    <w:p w14:paraId="746BE181" w14:textId="3600F312" w:rsidR="009F4932" w:rsidRPr="00560B12" w:rsidRDefault="00F45271" w:rsidP="00A23E6F">
      <w:pPr>
        <w:pStyle w:val="CERbullets"/>
      </w:pPr>
      <w:r>
        <w:t>I</w:t>
      </w:r>
      <w:r w:rsidR="009F4932">
        <w:t>f the application includes estimates and assumptions made in accordance with subsection 15(3)</w:t>
      </w:r>
      <w:r w:rsidR="00A80D85">
        <w:t xml:space="preserve"> </w:t>
      </w:r>
      <w:r w:rsidR="00A80D85">
        <w:rPr>
          <w:color w:val="000000" w:themeColor="text1"/>
        </w:rPr>
        <w:t>of the Safeguard Rule</w:t>
      </w:r>
      <w:r w:rsidR="00A80D85">
        <w:t xml:space="preserve"> </w:t>
      </w:r>
      <w:r w:rsidR="009F4932">
        <w:t>—whether, in all material respects, those estimates and assumptions are reasonable.</w:t>
      </w:r>
    </w:p>
    <w:p w14:paraId="5904A4D3" w14:textId="360A3D31" w:rsidR="004C4FB0" w:rsidRDefault="00C874A6">
      <w:pPr>
        <w:pStyle w:val="CERbullets"/>
        <w:numPr>
          <w:ilvl w:val="0"/>
          <w:numId w:val="0"/>
        </w:numPr>
      </w:pPr>
      <w:r>
        <w:t xml:space="preserve">Note that for each </w:t>
      </w:r>
      <w:r w:rsidR="00830512">
        <w:t>matters</w:t>
      </w:r>
      <w:r w:rsidR="007B6AE2">
        <w:t xml:space="preserve"> listed</w:t>
      </w:r>
      <w:r w:rsidR="00830512">
        <w:t xml:space="preserve"> above</w:t>
      </w:r>
      <w:r w:rsidR="00C4339C">
        <w:t xml:space="preserve">, the audit report </w:t>
      </w:r>
      <w:r w:rsidR="00F867AD">
        <w:t>must contain</w:t>
      </w:r>
      <w:r w:rsidR="00A93E77">
        <w:t xml:space="preserve"> a</w:t>
      </w:r>
      <w:r w:rsidR="00F867AD">
        <w:t xml:space="preserve"> </w:t>
      </w:r>
      <w:r w:rsidR="00D5331B">
        <w:t>limited</w:t>
      </w:r>
      <w:r w:rsidR="00F867AD">
        <w:t xml:space="preserve"> </w:t>
      </w:r>
      <w:r w:rsidR="003920E6">
        <w:t xml:space="preserve">assurance conclusion (or qualified </w:t>
      </w:r>
      <w:r w:rsidR="00D5331B">
        <w:t>limited</w:t>
      </w:r>
      <w:r w:rsidR="00830512">
        <w:t xml:space="preserve"> assurance conclusion)</w:t>
      </w:r>
      <w:r w:rsidR="00D5331B">
        <w:t>.</w:t>
      </w:r>
      <w:r w:rsidR="007B6AE2">
        <w:t xml:space="preserve"> If there is an adverse conclusion or the auditor is unable to form an opinion about any matter, the </w:t>
      </w:r>
      <w:r w:rsidR="00336041">
        <w:t xml:space="preserve">CER </w:t>
      </w:r>
      <w:r w:rsidR="008A5B84">
        <w:t>cannot make the determination</w:t>
      </w:r>
      <w:r w:rsidR="00D14CA2">
        <w:t>. S</w:t>
      </w:r>
      <w:r w:rsidR="00972E65">
        <w:t xml:space="preserve">ee </w:t>
      </w:r>
      <w:hyperlink w:anchor="_Decision_to_refuse" w:history="1">
        <w:r w:rsidR="008F2305">
          <w:rPr>
            <w:rStyle w:val="Hyperlink"/>
            <w:rFonts w:asciiTheme="minorHAnsi" w:hAnsiTheme="minorHAnsi"/>
          </w:rPr>
          <w:t xml:space="preserve">Part </w:t>
        </w:r>
        <w:r w:rsidR="00E20707">
          <w:rPr>
            <w:rStyle w:val="Hyperlink"/>
            <w:rFonts w:asciiTheme="minorHAnsi" w:hAnsiTheme="minorHAnsi"/>
          </w:rPr>
          <w:t>4</w:t>
        </w:r>
        <w:r w:rsidR="00972E65" w:rsidRPr="00972E65">
          <w:rPr>
            <w:rStyle w:val="Hyperlink"/>
            <w:rFonts w:asciiTheme="minorHAnsi" w:hAnsiTheme="minorHAnsi"/>
          </w:rPr>
          <w:t xml:space="preserve">.1.3 </w:t>
        </w:r>
        <w:r w:rsidR="001652F4">
          <w:rPr>
            <w:rStyle w:val="Hyperlink"/>
            <w:rFonts w:asciiTheme="minorHAnsi" w:hAnsiTheme="minorHAnsi"/>
          </w:rPr>
          <w:t>D</w:t>
        </w:r>
        <w:r w:rsidR="00972E65" w:rsidRPr="00972E65">
          <w:rPr>
            <w:rStyle w:val="Hyperlink"/>
            <w:rFonts w:asciiTheme="minorHAnsi" w:hAnsiTheme="minorHAnsi"/>
          </w:rPr>
          <w:t xml:space="preserve">ecision to refuse to make an </w:t>
        </w:r>
        <w:r w:rsidR="0095149E">
          <w:rPr>
            <w:rStyle w:val="Hyperlink"/>
            <w:rFonts w:asciiTheme="minorHAnsi" w:hAnsiTheme="minorHAnsi"/>
          </w:rPr>
          <w:t>emissions-intensity</w:t>
        </w:r>
        <w:r w:rsidR="00972E65" w:rsidRPr="00972E65">
          <w:rPr>
            <w:rStyle w:val="Hyperlink"/>
            <w:rFonts w:asciiTheme="minorHAnsi" w:hAnsiTheme="minorHAnsi"/>
          </w:rPr>
          <w:t xml:space="preserve"> determination</w:t>
        </w:r>
      </w:hyperlink>
      <w:r w:rsidR="00972E65">
        <w:t xml:space="preserve"> for more information.</w:t>
      </w:r>
    </w:p>
    <w:p w14:paraId="72AC2DB3" w14:textId="209CAD9D" w:rsidR="00A57950" w:rsidRPr="00560B12" w:rsidRDefault="00A57950" w:rsidP="00C41F4C">
      <w:pPr>
        <w:pStyle w:val="SubsectionHead"/>
        <w:ind w:left="0"/>
      </w:pPr>
      <w:r w:rsidRPr="00C41F4C">
        <w:rPr>
          <w:rFonts w:asciiTheme="majorHAnsi" w:hAnsiTheme="majorHAnsi" w:cstheme="majorHAnsi"/>
          <w:b/>
          <w:bCs/>
          <w:i w:val="0"/>
          <w:color w:val="000000" w:themeColor="text1"/>
          <w:sz w:val="27"/>
          <w:szCs w:val="27"/>
          <w:lang w:eastAsia="en-US"/>
        </w:rPr>
        <w:t>Previously audited matters</w:t>
      </w:r>
    </w:p>
    <w:p w14:paraId="2D76F533" w14:textId="2246022E" w:rsidR="0019164F" w:rsidRDefault="008C1C6F" w:rsidP="00C41F4C">
      <w:pPr>
        <w:pStyle w:val="CERbullets"/>
        <w:numPr>
          <w:ilvl w:val="0"/>
          <w:numId w:val="0"/>
        </w:numPr>
      </w:pPr>
      <w:r w:rsidRPr="009D1FF6">
        <w:t xml:space="preserve">If the responsible emitter </w:t>
      </w:r>
      <w:r w:rsidR="007E39EB" w:rsidRPr="009D1FF6">
        <w:t xml:space="preserve">for a facility has previously provided the </w:t>
      </w:r>
      <w:r w:rsidR="00DC4A67">
        <w:t>CER</w:t>
      </w:r>
      <w:r w:rsidR="00DC4A67" w:rsidRPr="3FB6375E">
        <w:t xml:space="preserve"> </w:t>
      </w:r>
      <w:r w:rsidR="007E39EB" w:rsidRPr="009D1FF6">
        <w:t xml:space="preserve">with an audit report that includes a reasonable assurance conclusion </w:t>
      </w:r>
      <w:r w:rsidR="0019164F" w:rsidRPr="009D1FF6">
        <w:t>for a</w:t>
      </w:r>
      <w:r w:rsidR="009F3CCA" w:rsidRPr="009D1FF6">
        <w:t>ny of the</w:t>
      </w:r>
      <w:r w:rsidR="0019164F" w:rsidRPr="009D1FF6">
        <w:t xml:space="preserve"> reasonable</w:t>
      </w:r>
      <w:r w:rsidR="009F3CCA" w:rsidRPr="009D1FF6">
        <w:t xml:space="preserve"> assurance matters</w:t>
      </w:r>
      <w:r w:rsidR="009D1FF6">
        <w:t xml:space="preserve"> listed</w:t>
      </w:r>
      <w:r w:rsidR="009F3CCA" w:rsidRPr="009D1FF6">
        <w:t xml:space="preserve"> abov</w:t>
      </w:r>
      <w:r w:rsidR="009D1FF6">
        <w:t>e</w:t>
      </w:r>
      <w:r w:rsidR="002E0334" w:rsidRPr="009D1FF6">
        <w:t xml:space="preserve"> and/or a limited assurance conclusion for any of the limited assurance matters </w:t>
      </w:r>
      <w:r w:rsidR="009D1FF6">
        <w:t xml:space="preserve">listed </w:t>
      </w:r>
      <w:r w:rsidR="002E0334" w:rsidRPr="009D1FF6">
        <w:t>above</w:t>
      </w:r>
      <w:r w:rsidR="00675B62">
        <w:t>,</w:t>
      </w:r>
      <w:r w:rsidR="002E0334" w:rsidRPr="009D1FF6">
        <w:t xml:space="preserve"> </w:t>
      </w:r>
      <w:r w:rsidR="009D1FF6">
        <w:t xml:space="preserve">the </w:t>
      </w:r>
      <w:r w:rsidR="00503425">
        <w:t xml:space="preserve">EID </w:t>
      </w:r>
      <w:r w:rsidR="00675B62">
        <w:t xml:space="preserve">application </w:t>
      </w:r>
      <w:r w:rsidR="00D11FA4">
        <w:t>does</w:t>
      </w:r>
      <w:r w:rsidR="00675B62">
        <w:t xml:space="preserve"> not need </w:t>
      </w:r>
      <w:r w:rsidR="007D0261">
        <w:t>to include a conclusion on those matters.</w:t>
      </w:r>
    </w:p>
    <w:p w14:paraId="652CBFB5" w14:textId="704ACC12" w:rsidR="0065200F" w:rsidRPr="009D1FF6" w:rsidRDefault="005C7897" w:rsidP="00C41F4C">
      <w:pPr>
        <w:pStyle w:val="CERbullets"/>
        <w:numPr>
          <w:ilvl w:val="0"/>
          <w:numId w:val="0"/>
        </w:numPr>
      </w:pPr>
      <w:r>
        <w:t xml:space="preserve">If an application decides to rely on a previous audit report </w:t>
      </w:r>
      <w:r w:rsidR="00022AFA">
        <w:t>for any</w:t>
      </w:r>
      <w:r w:rsidR="00993C3B">
        <w:t xml:space="preserve"> of the</w:t>
      </w:r>
      <w:r w:rsidR="00932AF3">
        <w:t xml:space="preserve"> </w:t>
      </w:r>
      <w:r w:rsidR="00503425">
        <w:t>EID</w:t>
      </w:r>
      <w:r w:rsidR="00E25B17">
        <w:t xml:space="preserve"> audit </w:t>
      </w:r>
      <w:r w:rsidR="00932AF3">
        <w:t>matters</w:t>
      </w:r>
      <w:r w:rsidR="005A1974">
        <w:t xml:space="preserve">, </w:t>
      </w:r>
      <w:r w:rsidR="00A44F58">
        <w:t xml:space="preserve">the </w:t>
      </w:r>
      <w:r w:rsidR="00503A45">
        <w:t xml:space="preserve">applicant </w:t>
      </w:r>
      <w:r w:rsidR="00B34622">
        <w:t xml:space="preserve">should </w:t>
      </w:r>
      <w:r w:rsidR="00175987">
        <w:t xml:space="preserve">provide the CER with copies of the </w:t>
      </w:r>
      <w:r w:rsidR="006E3B49">
        <w:t xml:space="preserve">previous audit reports and </w:t>
      </w:r>
      <w:r w:rsidR="00881C12">
        <w:t>indicate</w:t>
      </w:r>
      <w:r w:rsidR="006E3B49">
        <w:t xml:space="preserve"> what </w:t>
      </w:r>
      <w:r w:rsidR="009A6566">
        <w:t>matters they cover.</w:t>
      </w:r>
    </w:p>
    <w:p w14:paraId="59C342A7" w14:textId="77777777" w:rsidR="001C462E" w:rsidRDefault="007D0261">
      <w:pPr>
        <w:pStyle w:val="CERbullets"/>
        <w:numPr>
          <w:ilvl w:val="0"/>
          <w:numId w:val="0"/>
        </w:numPr>
      </w:pPr>
      <w:r>
        <w:t>Note that</w:t>
      </w:r>
      <w:r w:rsidR="001C462E">
        <w:t>:</w:t>
      </w:r>
    </w:p>
    <w:p w14:paraId="56D1D907" w14:textId="551FCD20" w:rsidR="001C462E" w:rsidRDefault="00EA26A0" w:rsidP="001C462E">
      <w:pPr>
        <w:pStyle w:val="CERbullets"/>
      </w:pPr>
      <w:r>
        <w:t xml:space="preserve">qualified conclusions in audit reports previously provided to the </w:t>
      </w:r>
      <w:r w:rsidR="00DC4A67">
        <w:t>CER</w:t>
      </w:r>
      <w:r w:rsidR="00DC4A67" w:rsidRPr="3FB6375E">
        <w:t xml:space="preserve"> </w:t>
      </w:r>
      <w:r>
        <w:t>are not acceptabl</w:t>
      </w:r>
      <w:r w:rsidR="001C462E">
        <w:t>e</w:t>
      </w:r>
      <w:r w:rsidR="000C6D2C">
        <w:t>.</w:t>
      </w:r>
    </w:p>
    <w:p w14:paraId="384E2C97" w14:textId="63C2CA61" w:rsidR="00243152" w:rsidRDefault="0099082B" w:rsidP="001C462E">
      <w:pPr>
        <w:pStyle w:val="CERbullets"/>
      </w:pPr>
      <w:r>
        <w:t xml:space="preserve">if the audit matter </w:t>
      </w:r>
      <w:r w:rsidR="00243152">
        <w:t xml:space="preserve">for the </w:t>
      </w:r>
      <w:r>
        <w:t xml:space="preserve">application requires a reasonable </w:t>
      </w:r>
      <w:r w:rsidR="004C10C8">
        <w:t xml:space="preserve">assurance </w:t>
      </w:r>
      <w:proofErr w:type="gramStart"/>
      <w:r>
        <w:t>conclusion</w:t>
      </w:r>
      <w:proofErr w:type="gramEnd"/>
      <w:r w:rsidR="00A033E8">
        <w:t xml:space="preserve"> then </w:t>
      </w:r>
      <w:r>
        <w:t xml:space="preserve">the previously provided audit must contain a reasonable </w:t>
      </w:r>
      <w:r w:rsidR="00243152">
        <w:t>assurance conclusion</w:t>
      </w:r>
      <w:r w:rsidR="000C6D2C">
        <w:t>.</w:t>
      </w:r>
    </w:p>
    <w:p w14:paraId="2764DF9E" w14:textId="78DE5598" w:rsidR="00A41BC3" w:rsidRDefault="00243152" w:rsidP="001C462E">
      <w:pPr>
        <w:pStyle w:val="CERbullets"/>
      </w:pPr>
      <w:r>
        <w:t xml:space="preserve">if the audit matter for the application requires a </w:t>
      </w:r>
      <w:r w:rsidR="005A475C">
        <w:t>limited</w:t>
      </w:r>
      <w:r>
        <w:t xml:space="preserve"> </w:t>
      </w:r>
      <w:r w:rsidR="004C10C8">
        <w:t xml:space="preserve">assurance </w:t>
      </w:r>
      <w:proofErr w:type="gramStart"/>
      <w:r>
        <w:t>conclusion</w:t>
      </w:r>
      <w:proofErr w:type="gramEnd"/>
      <w:r w:rsidR="00A033E8">
        <w:t xml:space="preserve"> then the previously audit may contain either a limited or reasonable assurance conclusion</w:t>
      </w:r>
      <w:r w:rsidR="000C6D2C">
        <w:t>.</w:t>
      </w:r>
    </w:p>
    <w:p w14:paraId="1EF1BA2C" w14:textId="21905A52" w:rsidR="00500D97" w:rsidRDefault="00ED66CA" w:rsidP="001C462E">
      <w:pPr>
        <w:pStyle w:val="CERbullets"/>
      </w:pPr>
      <w:r>
        <w:t xml:space="preserve">the audit </w:t>
      </w:r>
      <w:r w:rsidR="00500D97">
        <w:t xml:space="preserve">matter </w:t>
      </w:r>
      <w:r w:rsidR="00B66795">
        <w:t xml:space="preserve">in the previous audit report </w:t>
      </w:r>
      <w:r>
        <w:t>must be</w:t>
      </w:r>
      <w:r w:rsidR="00B66795">
        <w:t xml:space="preserve"> </w:t>
      </w:r>
      <w:r w:rsidR="00F970AE">
        <w:t>the same as the</w:t>
      </w:r>
      <w:r w:rsidR="00B26BFF">
        <w:t xml:space="preserve"> </w:t>
      </w:r>
      <w:r w:rsidR="00503425">
        <w:t>EID</w:t>
      </w:r>
      <w:r w:rsidR="00F970AE">
        <w:t xml:space="preserve"> </w:t>
      </w:r>
      <w:r w:rsidR="00B26BFF">
        <w:t xml:space="preserve">audit </w:t>
      </w:r>
      <w:r w:rsidR="00F970AE">
        <w:t>matter</w:t>
      </w:r>
      <w:r w:rsidR="00F45271">
        <w:t>.</w:t>
      </w:r>
    </w:p>
    <w:p w14:paraId="7E09BF90" w14:textId="6DF85ACA" w:rsidR="00F970AE" w:rsidRDefault="00F970AE" w:rsidP="006840C5">
      <w:pPr>
        <w:pStyle w:val="CERbullets"/>
        <w:numPr>
          <w:ilvl w:val="0"/>
          <w:numId w:val="0"/>
        </w:numPr>
        <w:ind w:left="360"/>
      </w:pPr>
      <w:r>
        <w:t xml:space="preserve">For example, </w:t>
      </w:r>
      <w:r w:rsidR="00A41F83">
        <w:t>the audit</w:t>
      </w:r>
      <w:r w:rsidR="00250C88">
        <w:t xml:space="preserve"> of scope 1 emissions in a previous audit report</w:t>
      </w:r>
      <w:r w:rsidR="00A41F83">
        <w:t xml:space="preserve"> will not </w:t>
      </w:r>
      <w:r w:rsidR="00A615CF">
        <w:t xml:space="preserve">be </w:t>
      </w:r>
      <w:r w:rsidR="00C07632">
        <w:t xml:space="preserve">on the same basis </w:t>
      </w:r>
      <w:r w:rsidR="00560D64">
        <w:t xml:space="preserve">as scope 1 covered emissions </w:t>
      </w:r>
      <w:r w:rsidR="003C33AA">
        <w:t>in an</w:t>
      </w:r>
      <w:r w:rsidR="00A41F83">
        <w:t xml:space="preserve"> </w:t>
      </w:r>
      <w:r w:rsidR="00503425">
        <w:t>EID</w:t>
      </w:r>
      <w:r w:rsidR="00A41F83">
        <w:t xml:space="preserve"> application</w:t>
      </w:r>
      <w:r w:rsidR="003C33AA">
        <w:t xml:space="preserve"> where adjustments </w:t>
      </w:r>
      <w:r w:rsidR="003C6A34">
        <w:t>were made</w:t>
      </w:r>
      <w:r w:rsidR="00193AB1">
        <w:t xml:space="preserve"> </w:t>
      </w:r>
      <w:r w:rsidR="002228EB">
        <w:t xml:space="preserve">under </w:t>
      </w:r>
      <w:r w:rsidR="005F05CC">
        <w:t xml:space="preserve">section 15 </w:t>
      </w:r>
      <w:r w:rsidR="00A41F83">
        <w:t>of the Safeguard Rule</w:t>
      </w:r>
      <w:r w:rsidR="000C6D2C">
        <w:t>.</w:t>
      </w:r>
    </w:p>
    <w:p w14:paraId="172CD2BC" w14:textId="77777777" w:rsidR="00FC6E0A" w:rsidRDefault="00723B41" w:rsidP="006D070E">
      <w:pPr>
        <w:pStyle w:val="CERbullets"/>
      </w:pPr>
      <w:r>
        <w:t>the previous audit report can be a</w:t>
      </w:r>
      <w:r w:rsidR="00787B74">
        <w:t>n audit report</w:t>
      </w:r>
      <w:r w:rsidR="00FC6E0A">
        <w:t>:</w:t>
      </w:r>
    </w:p>
    <w:p w14:paraId="063D1A2F" w14:textId="3024909E" w:rsidR="00FC6E0A" w:rsidRDefault="00FC6E0A" w:rsidP="009E5F8C">
      <w:pPr>
        <w:pStyle w:val="CERbullets"/>
        <w:numPr>
          <w:ilvl w:val="1"/>
          <w:numId w:val="1"/>
        </w:numPr>
      </w:pPr>
      <w:r>
        <w:t>for an individual facility or NGER Scheme reporting entity</w:t>
      </w:r>
      <w:r w:rsidR="003C7D54">
        <w:t>,</w:t>
      </w:r>
      <w:r>
        <w:t xml:space="preserve"> which has been </w:t>
      </w:r>
      <w:r w:rsidR="00787B74">
        <w:t xml:space="preserve">voluntarily provided to the </w:t>
      </w:r>
      <w:r w:rsidR="00DC4A67">
        <w:t>CER</w:t>
      </w:r>
      <w:r w:rsidR="00DC4A67" w:rsidRPr="3FB6375E">
        <w:t xml:space="preserve"> </w:t>
      </w:r>
    </w:p>
    <w:p w14:paraId="0F544E40" w14:textId="6B19570A" w:rsidR="003C7D54" w:rsidRDefault="003C7D54" w:rsidP="009E5F8C">
      <w:pPr>
        <w:pStyle w:val="CERbullets"/>
        <w:numPr>
          <w:ilvl w:val="1"/>
          <w:numId w:val="1"/>
        </w:numPr>
      </w:pPr>
      <w:r>
        <w:t>resulting from a section 7</w:t>
      </w:r>
      <w:r w:rsidR="008021E2">
        <w:t xml:space="preserve">3 or </w:t>
      </w:r>
      <w:r>
        <w:t>7</w:t>
      </w:r>
      <w:r w:rsidR="008021E2">
        <w:t>4</w:t>
      </w:r>
      <w:r>
        <w:t xml:space="preserve"> NGER Act audit</w:t>
      </w:r>
    </w:p>
    <w:p w14:paraId="0BE0F12D" w14:textId="2C10CA6B" w:rsidR="009661DD" w:rsidRDefault="009661DD" w:rsidP="009E5F8C">
      <w:pPr>
        <w:pStyle w:val="CERbullets"/>
        <w:numPr>
          <w:ilvl w:val="1"/>
          <w:numId w:val="1"/>
        </w:numPr>
      </w:pPr>
      <w:r>
        <w:t>submitted with a historical application for a production-adjusted or calculated baseline determination</w:t>
      </w:r>
      <w:r w:rsidR="000C6D2C">
        <w:t>.</w:t>
      </w:r>
    </w:p>
    <w:p w14:paraId="4FBDA17F" w14:textId="4D65E06B" w:rsidR="00227891" w:rsidRPr="00E62D31" w:rsidRDefault="005D7018" w:rsidP="00E62D31">
      <w:pPr>
        <w:pStyle w:val="CERbullets"/>
        <w:rPr>
          <w:rFonts w:cs="Calibri"/>
        </w:rPr>
      </w:pPr>
      <w:r>
        <w:t>i</w:t>
      </w:r>
      <w:r w:rsidR="00322379">
        <w:t xml:space="preserve">f </w:t>
      </w:r>
      <w:r w:rsidR="00266207">
        <w:t>the</w:t>
      </w:r>
      <w:r w:rsidR="00CD532B">
        <w:t xml:space="preserve"> previous</w:t>
      </w:r>
      <w:r w:rsidR="00266207">
        <w:t xml:space="preserve"> audit report </w:t>
      </w:r>
      <w:r w:rsidR="00BE2365">
        <w:t xml:space="preserve">does not specify the facility as </w:t>
      </w:r>
      <w:r w:rsidR="00557E04">
        <w:t xml:space="preserve">the </w:t>
      </w:r>
      <w:r w:rsidR="00785AE7">
        <w:t>audit subject (</w:t>
      </w:r>
      <w:r w:rsidR="00F33100">
        <w:t xml:space="preserve">for example, </w:t>
      </w:r>
      <w:r w:rsidR="00816D32">
        <w:t>the</w:t>
      </w:r>
      <w:r w:rsidR="005D0ACC">
        <w:t xml:space="preserve"> audit refers </w:t>
      </w:r>
      <w:r w:rsidR="00435C78">
        <w:t>only to the facility’s</w:t>
      </w:r>
      <w:r w:rsidR="00816D32">
        <w:t xml:space="preserve"> </w:t>
      </w:r>
      <w:r w:rsidR="003D1C5B">
        <w:t xml:space="preserve">NGER Scheme reporting entity </w:t>
      </w:r>
      <w:r w:rsidR="005D0ACC">
        <w:t>as the audit subject</w:t>
      </w:r>
      <w:r w:rsidR="001E563E">
        <w:t>)</w:t>
      </w:r>
      <w:r w:rsidR="00BE2352">
        <w:t xml:space="preserve"> bu</w:t>
      </w:r>
      <w:r w:rsidR="00971847">
        <w:t xml:space="preserve">t </w:t>
      </w:r>
      <w:r w:rsidR="006A6D86">
        <w:t>the audit</w:t>
      </w:r>
      <w:r w:rsidR="0001089A">
        <w:t xml:space="preserve"> </w:t>
      </w:r>
      <w:r w:rsidR="00561EFA">
        <w:t xml:space="preserve">did </w:t>
      </w:r>
      <w:r w:rsidR="005F7680">
        <w:t xml:space="preserve">cover </w:t>
      </w:r>
      <w:r w:rsidR="004A3DEA">
        <w:t xml:space="preserve">the </w:t>
      </w:r>
      <w:r w:rsidR="004A3DEA" w:rsidRPr="009A0A3E">
        <w:t>facility</w:t>
      </w:r>
      <w:r w:rsidR="007E7025" w:rsidRPr="009A0A3E">
        <w:t>’s emissions and energy data</w:t>
      </w:r>
      <w:r w:rsidR="004A3DEA" w:rsidRPr="009A0A3E">
        <w:t xml:space="preserve"> as part of the reporting entity level assurance,</w:t>
      </w:r>
      <w:r w:rsidR="00227891" w:rsidRPr="00E62D31">
        <w:rPr>
          <w:rFonts w:cs="Calibri"/>
        </w:rPr>
        <w:t xml:space="preserve"> the auditor should use their professional judgement in determining whether the level of testing undertaken </w:t>
      </w:r>
      <w:r w:rsidR="00E749F7">
        <w:rPr>
          <w:rFonts w:cs="Calibri"/>
        </w:rPr>
        <w:t>for</w:t>
      </w:r>
      <w:r w:rsidR="00227891" w:rsidRPr="00E62D31">
        <w:rPr>
          <w:rFonts w:cs="Calibri"/>
        </w:rPr>
        <w:t xml:space="preserve"> the previous audit was sufficient to cover the matters in the </w:t>
      </w:r>
      <w:r w:rsidR="00503425">
        <w:rPr>
          <w:rFonts w:cs="Calibri"/>
        </w:rPr>
        <w:t>EID</w:t>
      </w:r>
      <w:r w:rsidR="00227891" w:rsidRPr="00E62D31">
        <w:rPr>
          <w:rFonts w:cs="Calibri"/>
        </w:rPr>
        <w:t xml:space="preserve"> application audit. The auditor should consider such factors as</w:t>
      </w:r>
      <w:r w:rsidR="00795B80" w:rsidRPr="00E62D31">
        <w:rPr>
          <w:rFonts w:cs="Calibri"/>
        </w:rPr>
        <w:t xml:space="preserve"> whether</w:t>
      </w:r>
      <w:r w:rsidR="00227891" w:rsidRPr="00E62D31">
        <w:rPr>
          <w:rFonts w:cs="Calibri"/>
        </w:rPr>
        <w:t>:</w:t>
      </w:r>
    </w:p>
    <w:p w14:paraId="05922858" w14:textId="585F4256" w:rsidR="00E62D31" w:rsidRPr="00E62D31" w:rsidRDefault="00227891" w:rsidP="00E62D31">
      <w:pPr>
        <w:pStyle w:val="CERbullets"/>
        <w:numPr>
          <w:ilvl w:val="1"/>
          <w:numId w:val="1"/>
        </w:numPr>
      </w:pPr>
      <w:r w:rsidRPr="00E62D31">
        <w:t xml:space="preserve">the level of materiality applied to the reporting entity was appropriate to cover the matters in the </w:t>
      </w:r>
      <w:r w:rsidR="00503425">
        <w:t>EID</w:t>
      </w:r>
      <w:r w:rsidRPr="00E62D31">
        <w:t xml:space="preserve"> application specific to the individual facility</w:t>
      </w:r>
      <w:r w:rsidR="00795B80" w:rsidRPr="00E62D31">
        <w:t>,</w:t>
      </w:r>
      <w:r w:rsidRPr="00E62D31">
        <w:t xml:space="preserve"> and</w:t>
      </w:r>
    </w:p>
    <w:p w14:paraId="487CCB6B" w14:textId="5980B26F" w:rsidR="00227891" w:rsidRDefault="00227891" w:rsidP="00E62D31">
      <w:pPr>
        <w:pStyle w:val="CERbullets"/>
        <w:numPr>
          <w:ilvl w:val="1"/>
          <w:numId w:val="1"/>
        </w:numPr>
      </w:pPr>
      <w:r w:rsidRPr="00E62D31">
        <w:t>as part of the audit of the reporting entity there was sufficient sampling and detailed testing u</w:t>
      </w:r>
      <w:r w:rsidRPr="00E62D31">
        <w:rPr>
          <w:rFonts w:cs="Calibri"/>
        </w:rPr>
        <w:t xml:space="preserve">ndertaken for the facility such that the auditor has confidence it supports the conclusion over the matters in the </w:t>
      </w:r>
      <w:r w:rsidR="00503425">
        <w:rPr>
          <w:rFonts w:cs="Calibri"/>
        </w:rPr>
        <w:t>EID</w:t>
      </w:r>
      <w:r w:rsidRPr="00E62D31">
        <w:rPr>
          <w:rFonts w:cs="Calibri"/>
        </w:rPr>
        <w:t xml:space="preserve"> application for the facility</w:t>
      </w:r>
      <w:r w:rsidR="00A83C66" w:rsidRPr="00E62D31">
        <w:rPr>
          <w:rFonts w:cs="Calibri"/>
        </w:rPr>
        <w:t>.</w:t>
      </w:r>
    </w:p>
    <w:p w14:paraId="5B08BFAF" w14:textId="6FAC2823" w:rsidR="00322379" w:rsidRDefault="003E132A" w:rsidP="001C62F9">
      <w:pPr>
        <w:pStyle w:val="CERbullets"/>
      </w:pPr>
      <w:r>
        <w:t>if the previous audit report does</w:t>
      </w:r>
      <w:r w:rsidR="000D1C06">
        <w:t xml:space="preserve"> not</w:t>
      </w:r>
      <w:r w:rsidR="00450537">
        <w:t xml:space="preserve"> </w:t>
      </w:r>
      <w:r w:rsidR="005F5240">
        <w:t xml:space="preserve">specify </w:t>
      </w:r>
      <w:r w:rsidR="00636E57">
        <w:t>a</w:t>
      </w:r>
      <w:r w:rsidR="000E4A2F">
        <w:t xml:space="preserve"> </w:t>
      </w:r>
      <w:r w:rsidR="008132B7">
        <w:t>certain</w:t>
      </w:r>
      <w:r w:rsidR="00952F8C">
        <w:t xml:space="preserve"> </w:t>
      </w:r>
      <w:r w:rsidR="00503425">
        <w:t>EID</w:t>
      </w:r>
      <w:r w:rsidR="0094192B">
        <w:t xml:space="preserve"> </w:t>
      </w:r>
      <w:r w:rsidR="00CD0252">
        <w:t xml:space="preserve">audit matter </w:t>
      </w:r>
      <w:r w:rsidR="00952F8C">
        <w:t>but the</w:t>
      </w:r>
      <w:r w:rsidR="008132B7">
        <w:t xml:space="preserve"> audit did </w:t>
      </w:r>
      <w:r w:rsidR="00E95380">
        <w:t>cover th</w:t>
      </w:r>
      <w:r w:rsidR="00387B07">
        <w:t>at</w:t>
      </w:r>
      <w:r w:rsidR="00E95380">
        <w:t xml:space="preserve"> </w:t>
      </w:r>
      <w:r w:rsidR="00AA6432">
        <w:t>matter, then provided the audit team leader provides a letter</w:t>
      </w:r>
      <w:r w:rsidR="00766A65">
        <w:t xml:space="preserve"> to the CER</w:t>
      </w:r>
      <w:r w:rsidR="00AA6432">
        <w:t xml:space="preserve"> confirming that </w:t>
      </w:r>
      <w:r w:rsidR="00304A12">
        <w:t xml:space="preserve">the </w:t>
      </w:r>
      <w:r w:rsidR="00AA6432">
        <w:t>matter</w:t>
      </w:r>
      <w:r w:rsidR="00A373DB">
        <w:t>(s)</w:t>
      </w:r>
      <w:r w:rsidR="00AA6432">
        <w:t xml:space="preserve"> was </w:t>
      </w:r>
      <w:r w:rsidR="0066269A">
        <w:t>covered</w:t>
      </w:r>
      <w:r w:rsidR="000510F0">
        <w:t>,</w:t>
      </w:r>
      <w:r w:rsidR="0066269A">
        <w:t xml:space="preserve"> the previous audit report can be used</w:t>
      </w:r>
      <w:r w:rsidR="00086C4E">
        <w:t>.</w:t>
      </w:r>
    </w:p>
    <w:p w14:paraId="2BF94784" w14:textId="2EA7B492" w:rsidR="009F2D11" w:rsidRDefault="009F2D11" w:rsidP="006840C5">
      <w:pPr>
        <w:pStyle w:val="CERbullets"/>
        <w:numPr>
          <w:ilvl w:val="0"/>
          <w:numId w:val="0"/>
        </w:numPr>
        <w:ind w:left="360"/>
      </w:pPr>
      <w:r>
        <w:t>For example, tonnes of run-of-mine coal</w:t>
      </w:r>
      <w:r w:rsidR="00A9358E">
        <w:t xml:space="preserve"> extracted at a coal mine facility is</w:t>
      </w:r>
      <w:r w:rsidR="00E80722">
        <w:t xml:space="preserve"> required to be reported </w:t>
      </w:r>
      <w:r w:rsidR="00A9358E">
        <w:t>in an NGER report</w:t>
      </w:r>
      <w:r w:rsidR="0062232C">
        <w:t xml:space="preserve"> and is a production variable listed in Schedule 1 of the Safeguard Rule.</w:t>
      </w:r>
      <w:r w:rsidR="00947313">
        <w:t xml:space="preserve"> </w:t>
      </w:r>
      <w:r w:rsidR="0062232C">
        <w:t>I</w:t>
      </w:r>
      <w:r w:rsidR="001C304F">
        <w:t xml:space="preserve">f tonnes of run-of-mine coal is not </w:t>
      </w:r>
      <w:r w:rsidR="005F5240">
        <w:t xml:space="preserve">specified </w:t>
      </w:r>
      <w:r w:rsidR="00E17D81">
        <w:t>as an audit matter in the previous audit report</w:t>
      </w:r>
      <w:r w:rsidR="00FD1FAA">
        <w:t>, then provided the audit team leader provides a letter to the CER confirming that the matter was covere</w:t>
      </w:r>
      <w:r w:rsidR="003941F3">
        <w:t>d</w:t>
      </w:r>
      <w:r w:rsidR="00FD1FAA">
        <w:t>, the previous audit report can be used</w:t>
      </w:r>
      <w:r w:rsidR="0044562E">
        <w:t>.</w:t>
      </w:r>
    </w:p>
    <w:p w14:paraId="03F2D2C7" w14:textId="663786FC" w:rsidR="00F238D5" w:rsidRDefault="005D7018" w:rsidP="001C62F9">
      <w:pPr>
        <w:pStyle w:val="CERbullets"/>
      </w:pPr>
      <w:r>
        <w:t>i</w:t>
      </w:r>
      <w:r w:rsidR="00665975">
        <w:t xml:space="preserve">f as a part of a previous audit, </w:t>
      </w:r>
      <w:r w:rsidR="008140C5">
        <w:t xml:space="preserve">components of individual application assurance matters were subject of the audit </w:t>
      </w:r>
      <w:r w:rsidR="003B1A19">
        <w:t>then the audit</w:t>
      </w:r>
      <w:r w:rsidR="00160421">
        <w:t xml:space="preserve">or </w:t>
      </w:r>
      <w:r w:rsidR="003B1A19">
        <w:t>can use their professional judgement in de</w:t>
      </w:r>
      <w:r w:rsidR="00160421">
        <w:t xml:space="preserve">termining </w:t>
      </w:r>
      <w:r w:rsidR="00FE1E71">
        <w:t xml:space="preserve">whether the component needs to undergo a re-audit. </w:t>
      </w:r>
    </w:p>
    <w:p w14:paraId="3E564B8C" w14:textId="5ECA89DB" w:rsidR="00D84CD0" w:rsidRDefault="001C62F9" w:rsidP="00B60182">
      <w:pPr>
        <w:pStyle w:val="CERbullets"/>
        <w:numPr>
          <w:ilvl w:val="0"/>
          <w:numId w:val="0"/>
        </w:numPr>
        <w:ind w:left="360"/>
      </w:pPr>
      <w:r>
        <w:t xml:space="preserve">For example, one reasonable assurance matter is </w:t>
      </w:r>
      <w:r w:rsidRPr="001C62F9">
        <w:rPr>
          <w:color w:val="000000" w:themeColor="text1"/>
        </w:rPr>
        <w:t xml:space="preserve">whether, in all material respects, the application correctly specifies the </w:t>
      </w:r>
      <w:proofErr w:type="gramStart"/>
      <w:r w:rsidRPr="001C62F9">
        <w:rPr>
          <w:color w:val="000000" w:themeColor="text1"/>
        </w:rPr>
        <w:t>amount</w:t>
      </w:r>
      <w:proofErr w:type="gramEnd"/>
      <w:r w:rsidRPr="001C62F9">
        <w:rPr>
          <w:color w:val="000000" w:themeColor="text1"/>
        </w:rPr>
        <w:t xml:space="preserve"> of covered emissions for the facility in each historical financial year</w:t>
      </w:r>
      <w:r>
        <w:rPr>
          <w:color w:val="000000" w:themeColor="text1"/>
        </w:rPr>
        <w:t>. Covered emissions required to be provided in the applicatio</w:t>
      </w:r>
      <w:r w:rsidR="009A6011">
        <w:rPr>
          <w:color w:val="000000" w:themeColor="text1"/>
        </w:rPr>
        <w:t xml:space="preserve">n is based </w:t>
      </w:r>
      <w:r w:rsidR="004C10C8">
        <w:rPr>
          <w:color w:val="000000" w:themeColor="text1"/>
        </w:rPr>
        <w:t xml:space="preserve">on </w:t>
      </w:r>
      <w:r w:rsidR="00495244">
        <w:rPr>
          <w:color w:val="000000" w:themeColor="text1"/>
        </w:rPr>
        <w:t>NGER Scheme</w:t>
      </w:r>
      <w:r w:rsidR="009A6011">
        <w:rPr>
          <w:color w:val="000000" w:themeColor="text1"/>
        </w:rPr>
        <w:t xml:space="preserve"> reported </w:t>
      </w:r>
      <w:r w:rsidR="00495244">
        <w:rPr>
          <w:color w:val="000000" w:themeColor="text1"/>
        </w:rPr>
        <w:t xml:space="preserve">covered </w:t>
      </w:r>
      <w:r w:rsidR="009A6011">
        <w:rPr>
          <w:color w:val="000000" w:themeColor="text1"/>
        </w:rPr>
        <w:t xml:space="preserve">emissions and then adjusted </w:t>
      </w:r>
      <w:r w:rsidR="00D5546F">
        <w:rPr>
          <w:color w:val="000000" w:themeColor="text1"/>
        </w:rPr>
        <w:t>to the latest</w:t>
      </w:r>
      <w:r w:rsidR="009A6011">
        <w:rPr>
          <w:color w:val="000000" w:themeColor="text1"/>
        </w:rPr>
        <w:t xml:space="preserve"> </w:t>
      </w:r>
      <w:r w:rsidR="000B577C">
        <w:rPr>
          <w:color w:val="000000" w:themeColor="text1"/>
        </w:rPr>
        <w:t>Global Warming Potential (GWP)</w:t>
      </w:r>
      <w:r w:rsidR="00495244">
        <w:rPr>
          <w:color w:val="000000" w:themeColor="text1"/>
        </w:rPr>
        <w:t xml:space="preserve"> values</w:t>
      </w:r>
      <w:r w:rsidR="000B577C">
        <w:rPr>
          <w:color w:val="000000" w:themeColor="text1"/>
        </w:rPr>
        <w:t xml:space="preserve">, </w:t>
      </w:r>
      <w:r w:rsidR="00D5546F">
        <w:rPr>
          <w:color w:val="000000" w:themeColor="text1"/>
        </w:rPr>
        <w:t>the latest</w:t>
      </w:r>
      <w:r w:rsidR="000B577C">
        <w:rPr>
          <w:color w:val="000000" w:themeColor="text1"/>
        </w:rPr>
        <w:t xml:space="preserve"> the NGER Measurement Determination and </w:t>
      </w:r>
      <w:r w:rsidR="00D5546F">
        <w:rPr>
          <w:color w:val="000000" w:themeColor="text1"/>
        </w:rPr>
        <w:t xml:space="preserve">most recently used </w:t>
      </w:r>
      <w:r w:rsidR="00F238D5">
        <w:rPr>
          <w:color w:val="000000" w:themeColor="text1"/>
        </w:rPr>
        <w:t xml:space="preserve">method in an NGER report. </w:t>
      </w:r>
      <w:r w:rsidR="00495244">
        <w:rPr>
          <w:color w:val="000000" w:themeColor="text1"/>
        </w:rPr>
        <w:t xml:space="preserve">If the NGER Scheme reported covered emissions </w:t>
      </w:r>
      <w:r w:rsidR="00B87B2B">
        <w:rPr>
          <w:color w:val="000000" w:themeColor="text1"/>
        </w:rPr>
        <w:t>data is subject to a previous</w:t>
      </w:r>
      <w:r w:rsidR="001C5148">
        <w:rPr>
          <w:color w:val="000000" w:themeColor="text1"/>
        </w:rPr>
        <w:t xml:space="preserve"> reasonable assurance</w:t>
      </w:r>
      <w:r w:rsidR="00B87B2B">
        <w:rPr>
          <w:color w:val="000000" w:themeColor="text1"/>
        </w:rPr>
        <w:t xml:space="preserve"> </w:t>
      </w:r>
      <w:proofErr w:type="gramStart"/>
      <w:r w:rsidR="00B87B2B">
        <w:rPr>
          <w:color w:val="000000" w:themeColor="text1"/>
        </w:rPr>
        <w:t>audit</w:t>
      </w:r>
      <w:proofErr w:type="gramEnd"/>
      <w:r w:rsidR="00B87B2B">
        <w:rPr>
          <w:color w:val="000000" w:themeColor="text1"/>
        </w:rPr>
        <w:t xml:space="preserve"> </w:t>
      </w:r>
      <w:r w:rsidR="001C5148">
        <w:rPr>
          <w:color w:val="000000" w:themeColor="text1"/>
        </w:rPr>
        <w:t xml:space="preserve">then the auditor </w:t>
      </w:r>
      <w:r w:rsidR="00695F31">
        <w:rPr>
          <w:color w:val="000000" w:themeColor="text1"/>
        </w:rPr>
        <w:t xml:space="preserve">may be satisfied that the un-adjusted NGER Scheme covered emissions data is accurate </w:t>
      </w:r>
      <w:r w:rsidR="00214A86">
        <w:rPr>
          <w:color w:val="000000" w:themeColor="text1"/>
        </w:rPr>
        <w:t xml:space="preserve">meaning the assurance process can focus on </w:t>
      </w:r>
      <w:r w:rsidR="00297494">
        <w:rPr>
          <w:color w:val="000000" w:themeColor="text1"/>
        </w:rPr>
        <w:t xml:space="preserve">providing assurance over the necessary adjustments. Note that in this example, the auditor would still be required to provide a reasonable assurance conclusion </w:t>
      </w:r>
      <w:r w:rsidR="00EF425B">
        <w:rPr>
          <w:color w:val="000000" w:themeColor="text1"/>
        </w:rPr>
        <w:t>on the matter and wouldn’t be able to exclude the NGER Scheme covered emissions component.</w:t>
      </w:r>
    </w:p>
    <w:p w14:paraId="50B71F69" w14:textId="47DFB04A" w:rsidR="00B6442B" w:rsidRPr="00997DCB" w:rsidRDefault="0063352D" w:rsidP="03219916">
      <w:pPr>
        <w:pStyle w:val="Heading1"/>
      </w:pPr>
      <w:bookmarkStart w:id="242" w:name="_Toc138922931"/>
      <w:bookmarkStart w:id="243" w:name="_Toc138923006"/>
      <w:bookmarkStart w:id="244" w:name="_Toc138923070"/>
      <w:bookmarkStart w:id="245" w:name="_Toc138923327"/>
      <w:bookmarkStart w:id="246" w:name="_Toc143503200"/>
      <w:bookmarkStart w:id="247" w:name="_Toc208216278"/>
      <w:r w:rsidRPr="29264F97">
        <w:t>O</w:t>
      </w:r>
      <w:r w:rsidR="007F01A8" w:rsidRPr="29264F97">
        <w:t>ther matters</w:t>
      </w:r>
      <w:bookmarkEnd w:id="242"/>
      <w:bookmarkEnd w:id="243"/>
      <w:bookmarkEnd w:id="244"/>
      <w:bookmarkEnd w:id="245"/>
      <w:bookmarkEnd w:id="246"/>
      <w:bookmarkEnd w:id="247"/>
    </w:p>
    <w:p w14:paraId="1E940C90" w14:textId="4532EEAD" w:rsidR="0063352D" w:rsidRPr="009F4403" w:rsidRDefault="0063352D" w:rsidP="006840C5">
      <w:pPr>
        <w:pStyle w:val="Heading2"/>
        <w:spacing w:before="240"/>
      </w:pPr>
      <w:bookmarkStart w:id="248" w:name="_Toc138922932"/>
      <w:bookmarkStart w:id="249" w:name="_Toc138923007"/>
      <w:bookmarkStart w:id="250" w:name="_Toc138923071"/>
      <w:bookmarkStart w:id="251" w:name="_Toc138923328"/>
      <w:bookmarkStart w:id="252" w:name="_Toc143503201"/>
      <w:bookmarkStart w:id="253" w:name="_Toc208216279"/>
      <w:r>
        <w:t>Processing, decision-making and publication</w:t>
      </w:r>
      <w:bookmarkEnd w:id="248"/>
      <w:bookmarkEnd w:id="249"/>
      <w:bookmarkEnd w:id="250"/>
      <w:bookmarkEnd w:id="251"/>
      <w:bookmarkEnd w:id="252"/>
      <w:bookmarkEnd w:id="253"/>
      <w:r>
        <w:t xml:space="preserve"> </w:t>
      </w:r>
    </w:p>
    <w:p w14:paraId="30B2A0F1" w14:textId="5345AF27" w:rsidR="0063352D" w:rsidRDefault="0063352D" w:rsidP="006840C5">
      <w:pPr>
        <w:pStyle w:val="Heading3"/>
        <w:spacing w:before="120"/>
      </w:pPr>
      <w:bookmarkStart w:id="254" w:name="_Toc138922933"/>
      <w:bookmarkStart w:id="255" w:name="_Toc138923008"/>
      <w:bookmarkStart w:id="256" w:name="_Toc138923072"/>
      <w:bookmarkStart w:id="257" w:name="_Toc138923329"/>
      <w:bookmarkStart w:id="258" w:name="_Toc143503202"/>
      <w:r>
        <w:t>Application receipt and processing timeframes</w:t>
      </w:r>
      <w:bookmarkEnd w:id="254"/>
      <w:bookmarkEnd w:id="255"/>
      <w:bookmarkEnd w:id="256"/>
      <w:bookmarkEnd w:id="257"/>
      <w:bookmarkEnd w:id="258"/>
    </w:p>
    <w:p w14:paraId="3C4590A1" w14:textId="247F313F" w:rsidR="0063352D" w:rsidRDefault="0063352D" w:rsidP="00376145">
      <w:pPr>
        <w:spacing w:before="240"/>
      </w:pPr>
      <w:r>
        <w:t>On receipt of the application</w:t>
      </w:r>
      <w:r w:rsidR="00605CE8">
        <w:t>,</w:t>
      </w:r>
      <w:r>
        <w:t xml:space="preserve"> the </w:t>
      </w:r>
      <w:r w:rsidR="00DC4A67">
        <w:t xml:space="preserve">CER </w:t>
      </w:r>
      <w:r>
        <w:t>will then check the application to ensure that it is complete.</w:t>
      </w:r>
      <w:r w:rsidR="00231CB5">
        <w:t xml:space="preserve"> </w:t>
      </w:r>
      <w:r>
        <w:t xml:space="preserve">If the application is not complete, the </w:t>
      </w:r>
      <w:r w:rsidR="00DC4A67">
        <w:t xml:space="preserve">CER </w:t>
      </w:r>
      <w:r>
        <w:t xml:space="preserve">may </w:t>
      </w:r>
      <w:r w:rsidR="00605CE8">
        <w:t xml:space="preserve">give the responsible emitter a notice to provide further information, so that a formal assessment of the application can begin </w:t>
      </w:r>
      <w:r w:rsidR="004E6407">
        <w:t xml:space="preserve">(See </w:t>
      </w:r>
      <w:hyperlink w:anchor="_Requests_for_further" w:history="1">
        <w:r w:rsidR="004E6407" w:rsidRPr="00424ED6">
          <w:rPr>
            <w:rStyle w:val="Hyperlink"/>
          </w:rPr>
          <w:t>Part 4.1.1.1 Requests for further information</w:t>
        </w:r>
      </w:hyperlink>
      <w:r w:rsidR="00424ED6">
        <w:t>)</w:t>
      </w:r>
      <w:r w:rsidR="3D722EA1">
        <w:t>.</w:t>
      </w:r>
    </w:p>
    <w:p w14:paraId="32A53199" w14:textId="6CE3CEDD" w:rsidR="008A653C" w:rsidRDefault="008A653C" w:rsidP="008A653C">
      <w:r w:rsidRPr="00C8218D">
        <w:t xml:space="preserve">If the application is complete, the CER will begin the formal assessment process and take all reasonable steps to ensure a decision is made </w:t>
      </w:r>
      <w:r w:rsidR="00944F18">
        <w:t xml:space="preserve">within </w:t>
      </w:r>
      <w:r w:rsidRPr="00C8218D">
        <w:rPr>
          <w:b/>
        </w:rPr>
        <w:t>60 days after</w:t>
      </w:r>
      <w:r w:rsidRPr="00C8218D">
        <w:t xml:space="preserve"> the CER receives an application for a</w:t>
      </w:r>
      <w:r w:rsidR="00B82D82">
        <w:t>n EID</w:t>
      </w:r>
      <w:r w:rsidRPr="00C8218D">
        <w:t>.</w:t>
      </w:r>
    </w:p>
    <w:p w14:paraId="5D36A11A" w14:textId="4712C035" w:rsidR="0063352D" w:rsidRDefault="0063352D" w:rsidP="0063352D">
      <w:r w:rsidRPr="00251013">
        <w:t xml:space="preserve">Note that a responsible emitter may, by written notice to the </w:t>
      </w:r>
      <w:r w:rsidR="00DC4A67">
        <w:t>CER</w:t>
      </w:r>
      <w:r w:rsidRPr="00251013">
        <w:t>, withdraw an application at any time before a decision is made on the application.</w:t>
      </w:r>
      <w:r>
        <w:t xml:space="preserve"> </w:t>
      </w:r>
    </w:p>
    <w:p w14:paraId="13CF47E7" w14:textId="77777777" w:rsidR="0063352D" w:rsidRDefault="0063352D" w:rsidP="0063352D">
      <w:pPr>
        <w:pStyle w:val="Heading4"/>
      </w:pPr>
      <w:bookmarkStart w:id="259" w:name="_Requests_for_further"/>
      <w:bookmarkEnd w:id="259"/>
      <w:r>
        <w:t>Requests for further information</w:t>
      </w:r>
    </w:p>
    <w:p w14:paraId="1206259D" w14:textId="3A290CF6" w:rsidR="0063352D" w:rsidRDefault="0063352D" w:rsidP="00376145">
      <w:pPr>
        <w:spacing w:before="240"/>
        <w:rPr>
          <w:highlight w:val="yellow"/>
        </w:rPr>
      </w:pPr>
      <w:r>
        <w:t xml:space="preserve">If additional information is required at any point to inform the decision-making process, the </w:t>
      </w:r>
      <w:r w:rsidR="00DC4A67">
        <w:t>CER</w:t>
      </w:r>
      <w:r w:rsidR="00DC4A67" w:rsidRPr="3FB6375E">
        <w:t xml:space="preserve"> </w:t>
      </w:r>
      <w:r>
        <w:t>may request more information. The request may be made through an informal request or, if the information required is substantial, through a more formal request made under section 18</w:t>
      </w:r>
      <w:r w:rsidR="11ADE43F">
        <w:t xml:space="preserve"> of the Safeguard Rule</w:t>
      </w:r>
      <w:r>
        <w:t>. The request will specify the period in which the information must be provided</w:t>
      </w:r>
      <w:r w:rsidR="00F45271">
        <w:t>,</w:t>
      </w:r>
      <w:r>
        <w:t xml:space="preserve"> and this is typically within 14 days.</w:t>
      </w:r>
    </w:p>
    <w:p w14:paraId="2DAA63E1" w14:textId="1EE2AE07" w:rsidR="00C76314" w:rsidRDefault="00371E5D" w:rsidP="00C76314">
      <w:r>
        <w:t>T</w:t>
      </w:r>
      <w:r w:rsidR="00C76314">
        <w:t xml:space="preserve">he </w:t>
      </w:r>
      <w:r w:rsidR="00DC4A67">
        <w:t>CER</w:t>
      </w:r>
      <w:r w:rsidR="00DC4A67" w:rsidRPr="3FB6375E">
        <w:t xml:space="preserve"> </w:t>
      </w:r>
      <w:r w:rsidR="00C76314">
        <w:t xml:space="preserve">will </w:t>
      </w:r>
      <w:r w:rsidR="00C76314" w:rsidRPr="00921351">
        <w:t>take all reasonable steps to ensure a decision is made by</w:t>
      </w:r>
      <w:r w:rsidR="00C76314">
        <w:t xml:space="preserve"> 60 days after receiving the application or </w:t>
      </w:r>
      <w:r w:rsidR="00C76314" w:rsidRPr="00921351">
        <w:t xml:space="preserve">60 days after the end of </w:t>
      </w:r>
      <w:r w:rsidR="00C76314">
        <w:t xml:space="preserve">the </w:t>
      </w:r>
      <w:r w:rsidR="002A418E">
        <w:t>specified period</w:t>
      </w:r>
      <w:r w:rsidR="00C76314" w:rsidRPr="00921351">
        <w:t xml:space="preserve"> to provide additional information</w:t>
      </w:r>
      <w:r w:rsidR="002A418E">
        <w:t xml:space="preserve"> </w:t>
      </w:r>
      <w:r w:rsidR="00D85A28">
        <w:t xml:space="preserve">if a </w:t>
      </w:r>
      <w:r w:rsidR="00741644">
        <w:t xml:space="preserve">request for further information was made </w:t>
      </w:r>
      <w:r w:rsidR="002A418E">
        <w:t>under section 18</w:t>
      </w:r>
      <w:r w:rsidR="00C76314" w:rsidRPr="00921351">
        <w:t xml:space="preserve">. </w:t>
      </w:r>
    </w:p>
    <w:p w14:paraId="23C749BA" w14:textId="48370777" w:rsidR="0063352D" w:rsidRDefault="0063352D" w:rsidP="0063352D">
      <w:r>
        <w:t xml:space="preserve">If the requested information is not provided within the specified period, the </w:t>
      </w:r>
      <w:r w:rsidR="00DC4A67">
        <w:t>CER</w:t>
      </w:r>
      <w:r w:rsidR="00DC4A67" w:rsidRPr="3FB6375E">
        <w:t xml:space="preserve"> </w:t>
      </w:r>
      <w:r>
        <w:t>may refuse to consider the application or refuse to take any action, or any further action, in relation to the application.</w:t>
      </w:r>
    </w:p>
    <w:p w14:paraId="2F643A84" w14:textId="2E6E7B07" w:rsidR="0063352D" w:rsidRDefault="0063352D" w:rsidP="0063352D">
      <w:pPr>
        <w:pStyle w:val="Heading3"/>
      </w:pPr>
      <w:bookmarkStart w:id="260" w:name="_Decision_to_make"/>
      <w:bookmarkStart w:id="261" w:name="_Toc138922934"/>
      <w:bookmarkStart w:id="262" w:name="_Toc138923009"/>
      <w:bookmarkStart w:id="263" w:name="_Toc138923073"/>
      <w:bookmarkStart w:id="264" w:name="_Toc138923330"/>
      <w:bookmarkStart w:id="265" w:name="_Toc143503203"/>
      <w:bookmarkEnd w:id="260"/>
      <w:r>
        <w:t xml:space="preserve">Decision to make an </w:t>
      </w:r>
      <w:r w:rsidR="0095149E">
        <w:t>emissions-intensity</w:t>
      </w:r>
      <w:r>
        <w:t xml:space="preserve"> determination</w:t>
      </w:r>
      <w:bookmarkEnd w:id="261"/>
      <w:bookmarkEnd w:id="262"/>
      <w:bookmarkEnd w:id="263"/>
      <w:bookmarkEnd w:id="264"/>
      <w:bookmarkEnd w:id="265"/>
    </w:p>
    <w:p w14:paraId="33259A8B" w14:textId="318662C4" w:rsidR="0063352D" w:rsidRDefault="0063352D" w:rsidP="00376145">
      <w:pPr>
        <w:spacing w:before="240"/>
      </w:pPr>
      <w:r>
        <w:t xml:space="preserve">The </w:t>
      </w:r>
      <w:r w:rsidR="00DC4A67">
        <w:t>CER</w:t>
      </w:r>
      <w:r w:rsidR="00DC4A67" w:rsidRPr="3FB6375E">
        <w:t xml:space="preserve"> </w:t>
      </w:r>
      <w:r w:rsidR="63CA2C3F">
        <w:t>can</w:t>
      </w:r>
      <w:r>
        <w:t xml:space="preserve"> approve the application and make an </w:t>
      </w:r>
      <w:r w:rsidR="008F4993">
        <w:t>EID</w:t>
      </w:r>
      <w:r>
        <w:t xml:space="preserve"> </w:t>
      </w:r>
      <w:r w:rsidR="00C03463">
        <w:t>under section 1</w:t>
      </w:r>
      <w:r w:rsidR="009D4125">
        <w:t xml:space="preserve">9 of the </w:t>
      </w:r>
      <w:r w:rsidR="7EBA111F">
        <w:t xml:space="preserve">Safeguard </w:t>
      </w:r>
      <w:r w:rsidR="009D4125">
        <w:t>Rule</w:t>
      </w:r>
      <w:r>
        <w:t xml:space="preserve"> if satisfied that:</w:t>
      </w:r>
    </w:p>
    <w:p w14:paraId="44A69000" w14:textId="3CCF2B88" w:rsidR="0063352D" w:rsidRDefault="0063352D" w:rsidP="0063352D">
      <w:pPr>
        <w:pStyle w:val="CERbullets"/>
      </w:pPr>
      <w:r>
        <w:t xml:space="preserve">the audit report accompanying the application contains the required reasonable and limited (or qualified) assurance conclusions in accordance with </w:t>
      </w:r>
      <w:r w:rsidR="00AE257E">
        <w:t>section 17</w:t>
      </w:r>
      <w:r>
        <w:t xml:space="preserve"> </w:t>
      </w:r>
    </w:p>
    <w:p w14:paraId="44EF311B" w14:textId="76E2B128" w:rsidR="0063352D" w:rsidRDefault="0063352D" w:rsidP="0063352D">
      <w:pPr>
        <w:pStyle w:val="CERbullets"/>
      </w:pPr>
      <w:r>
        <w:t>the information included in the application is correct</w:t>
      </w:r>
    </w:p>
    <w:p w14:paraId="273BC23C" w14:textId="79D7C743" w:rsidR="0063352D" w:rsidRDefault="0063352D" w:rsidP="0063352D">
      <w:pPr>
        <w:pStyle w:val="CERbullets"/>
      </w:pPr>
      <w:r>
        <w:t>any explanation of why designated historical information has not been included in the application is reasonable</w:t>
      </w:r>
    </w:p>
    <w:p w14:paraId="3A974114" w14:textId="2CE3DC56" w:rsidR="0063352D" w:rsidRPr="000B7095" w:rsidRDefault="0063352D" w:rsidP="0063352D">
      <w:pPr>
        <w:pStyle w:val="CERbullets"/>
      </w:pPr>
      <w:r>
        <w:t>calculations of amounts of covered emissions from the facility meet the requirements of section 15</w:t>
      </w:r>
    </w:p>
    <w:p w14:paraId="57A86877" w14:textId="77777777" w:rsidR="0063352D" w:rsidRPr="000B7095" w:rsidRDefault="0063352D" w:rsidP="0063352D">
      <w:pPr>
        <w:pStyle w:val="CERbullets"/>
      </w:pPr>
      <w:r>
        <w:t xml:space="preserve">any estimates and assumptions used to calculate an </w:t>
      </w:r>
      <w:proofErr w:type="gramStart"/>
      <w:r>
        <w:t>amount</w:t>
      </w:r>
      <w:proofErr w:type="gramEnd"/>
      <w:r>
        <w:t xml:space="preserve"> of covered emissions in accordance with subsection 15(3) are reasonable.</w:t>
      </w:r>
    </w:p>
    <w:p w14:paraId="72BC9304" w14:textId="25061060" w:rsidR="0063352D" w:rsidRDefault="0063352D" w:rsidP="0063352D">
      <w:r>
        <w:t>If a</w:t>
      </w:r>
      <w:r w:rsidR="00AE257E">
        <w:t xml:space="preserve"> determination is made, </w:t>
      </w:r>
      <w:r w:rsidR="00E000B3">
        <w:t xml:space="preserve">the responsible emitter </w:t>
      </w:r>
      <w:r>
        <w:t xml:space="preserve">will be notified by </w:t>
      </w:r>
      <w:r w:rsidRPr="00251013">
        <w:t>email</w:t>
      </w:r>
      <w:r>
        <w:t xml:space="preserve"> shortly after the decision has been made</w:t>
      </w:r>
      <w:r w:rsidRPr="00251013">
        <w:t>.</w:t>
      </w:r>
      <w:r>
        <w:t xml:space="preserve"> The notification will include the following details of the determination:</w:t>
      </w:r>
    </w:p>
    <w:p w14:paraId="4760EEF9" w14:textId="063D81F0" w:rsidR="0063352D" w:rsidRDefault="0063352D" w:rsidP="0063352D">
      <w:pPr>
        <w:pStyle w:val="CERbullets"/>
      </w:pPr>
      <w:r>
        <w:t xml:space="preserve">the first financial year </w:t>
      </w:r>
      <w:r w:rsidR="0050153E">
        <w:t xml:space="preserve">in relation to </w:t>
      </w:r>
      <w:r>
        <w:t xml:space="preserve">which the determination will </w:t>
      </w:r>
      <w:r w:rsidR="0050153E">
        <w:t>appl</w:t>
      </w:r>
      <w:r w:rsidR="005254E1">
        <w:t>y</w:t>
      </w:r>
    </w:p>
    <w:p w14:paraId="6CBC9D4C" w14:textId="717AE6C4" w:rsidR="0063352D" w:rsidRDefault="0063352D" w:rsidP="0063352D">
      <w:pPr>
        <w:pStyle w:val="CERbullets"/>
      </w:pPr>
      <w:r>
        <w:t xml:space="preserve">the </w:t>
      </w:r>
      <w:r w:rsidR="008F4993">
        <w:t>FSEI</w:t>
      </w:r>
      <w:r>
        <w:t xml:space="preserve"> number for any historical, transitional and related production variables </w:t>
      </w:r>
      <w:r w:rsidR="00040896">
        <w:t xml:space="preserve">(if any) </w:t>
      </w:r>
      <w:r>
        <w:t>applicable to the facility.</w:t>
      </w:r>
    </w:p>
    <w:p w14:paraId="1AEB5A75" w14:textId="77777777" w:rsidR="0063352D" w:rsidRDefault="0063352D" w:rsidP="0063352D">
      <w:pPr>
        <w:pStyle w:val="CERbullets"/>
        <w:numPr>
          <w:ilvl w:val="0"/>
          <w:numId w:val="0"/>
        </w:numPr>
      </w:pPr>
      <w:r>
        <w:t>The notification will also provide information regarding:</w:t>
      </w:r>
    </w:p>
    <w:p w14:paraId="51F9F911" w14:textId="53E309C4" w:rsidR="0063352D" w:rsidRDefault="0063352D" w:rsidP="0063352D">
      <w:pPr>
        <w:pStyle w:val="CERbullets"/>
      </w:pPr>
      <w:r>
        <w:t xml:space="preserve">what determination information will be published on the </w:t>
      </w:r>
      <w:r w:rsidR="00DC4A67">
        <w:t xml:space="preserve">CER </w:t>
      </w:r>
      <w:r>
        <w:t>website (see below)</w:t>
      </w:r>
    </w:p>
    <w:p w14:paraId="7DD4F4B6" w14:textId="0C325D52" w:rsidR="0063352D" w:rsidRPr="00895F5C" w:rsidRDefault="0063352D" w:rsidP="0063352D">
      <w:pPr>
        <w:pStyle w:val="CERbullets"/>
      </w:pPr>
      <w:r>
        <w:t xml:space="preserve">a ‘hybrid </w:t>
      </w:r>
      <w:r w:rsidR="0095149E">
        <w:t>emissions-intensity</w:t>
      </w:r>
      <w:r>
        <w:t xml:space="preserve"> schedule’ setting out the transition proportion and hybrid </w:t>
      </w:r>
      <w:r w:rsidR="0095149E">
        <w:t>emissions-intensity</w:t>
      </w:r>
      <w:r>
        <w:t xml:space="preserve"> to apply for each financial year after the commencement of the determination through to </w:t>
      </w:r>
      <w:r w:rsidR="0050153E">
        <w:t xml:space="preserve">the </w:t>
      </w:r>
      <w:r>
        <w:t>2029-30</w:t>
      </w:r>
      <w:r w:rsidR="0050153E">
        <w:t xml:space="preserve"> financial year</w:t>
      </w:r>
      <w:r>
        <w:t>.</w:t>
      </w:r>
    </w:p>
    <w:p w14:paraId="6DBCEDC4" w14:textId="42E672C4" w:rsidR="0063352D" w:rsidRDefault="0063352D" w:rsidP="0063352D">
      <w:pPr>
        <w:pStyle w:val="Heading3"/>
      </w:pPr>
      <w:bookmarkStart w:id="266" w:name="_Decision_to_refuse"/>
      <w:bookmarkStart w:id="267" w:name="_Toc138922935"/>
      <w:bookmarkStart w:id="268" w:name="_Toc138923010"/>
      <w:bookmarkStart w:id="269" w:name="_Toc138923074"/>
      <w:bookmarkStart w:id="270" w:name="_Toc138923331"/>
      <w:bookmarkStart w:id="271" w:name="_Toc143503204"/>
      <w:bookmarkEnd w:id="266"/>
      <w:r>
        <w:t xml:space="preserve">Decision to refuse to make an </w:t>
      </w:r>
      <w:r w:rsidR="0095149E">
        <w:t>emissions-intensity</w:t>
      </w:r>
      <w:r>
        <w:t xml:space="preserve"> determination</w:t>
      </w:r>
      <w:bookmarkEnd w:id="267"/>
      <w:bookmarkEnd w:id="268"/>
      <w:bookmarkEnd w:id="269"/>
      <w:bookmarkEnd w:id="270"/>
      <w:bookmarkEnd w:id="271"/>
    </w:p>
    <w:p w14:paraId="03FA5797" w14:textId="018D3AF4" w:rsidR="0063352D" w:rsidRDefault="0063352D" w:rsidP="00376145">
      <w:pPr>
        <w:spacing w:before="240"/>
      </w:pPr>
      <w:r>
        <w:t xml:space="preserve">Before deciding to refuse to make an </w:t>
      </w:r>
      <w:r w:rsidR="008F4993">
        <w:t>EID</w:t>
      </w:r>
      <w:r>
        <w:t xml:space="preserve">, the </w:t>
      </w:r>
      <w:r w:rsidR="00DC4A67">
        <w:t>CER</w:t>
      </w:r>
      <w:r w:rsidR="00DC4A67" w:rsidRPr="3FB6375E">
        <w:t xml:space="preserve"> </w:t>
      </w:r>
      <w:r>
        <w:t xml:space="preserve">will notify the responsible emitter of its intention and its preliminary reasons for the </w:t>
      </w:r>
      <w:proofErr w:type="gramStart"/>
      <w:r>
        <w:t>decision, and</w:t>
      </w:r>
      <w:proofErr w:type="gramEnd"/>
      <w:r>
        <w:t xml:space="preserve"> give the responsible emitter time to respond. If the </w:t>
      </w:r>
      <w:r w:rsidR="00DC4A67">
        <w:t>CER</w:t>
      </w:r>
      <w:r w:rsidR="00DC4A67" w:rsidRPr="3FB6375E">
        <w:t xml:space="preserve"> </w:t>
      </w:r>
      <w:r>
        <w:t xml:space="preserve">subsequently decides to refuse to make an </w:t>
      </w:r>
      <w:r w:rsidR="0018349D">
        <w:t>EID</w:t>
      </w:r>
      <w:r>
        <w:t>, written notice of the decision</w:t>
      </w:r>
      <w:r w:rsidR="00425C3C">
        <w:t>, including reasons,</w:t>
      </w:r>
      <w:r>
        <w:t xml:space="preserve"> will be provided to the responsible emitter.</w:t>
      </w:r>
    </w:p>
    <w:p w14:paraId="35FEF82C" w14:textId="33621505" w:rsidR="0063352D" w:rsidRDefault="0063352D" w:rsidP="0063352D">
      <w:pPr>
        <w:pStyle w:val="Heading3"/>
      </w:pPr>
      <w:bookmarkStart w:id="272" w:name="_Toc138922936"/>
      <w:bookmarkStart w:id="273" w:name="_Toc138923011"/>
      <w:bookmarkStart w:id="274" w:name="_Toc138923075"/>
      <w:bookmarkStart w:id="275" w:name="_Toc138923332"/>
      <w:bookmarkStart w:id="276" w:name="_Toc143503205"/>
      <w:r>
        <w:t>Review rights</w:t>
      </w:r>
      <w:bookmarkEnd w:id="272"/>
      <w:bookmarkEnd w:id="273"/>
      <w:bookmarkEnd w:id="274"/>
      <w:bookmarkEnd w:id="275"/>
      <w:bookmarkEnd w:id="276"/>
    </w:p>
    <w:p w14:paraId="1183924B" w14:textId="793B06F3" w:rsidR="0063352D" w:rsidRDefault="0063352D" w:rsidP="00376145">
      <w:pPr>
        <w:spacing w:before="240"/>
      </w:pPr>
      <w:r>
        <w:t xml:space="preserve">A person whose interests are affected by a decision of the </w:t>
      </w:r>
      <w:r w:rsidR="00DC4A67">
        <w:t>CER</w:t>
      </w:r>
      <w:r w:rsidR="00DC4A67" w:rsidRPr="3FB6375E">
        <w:t xml:space="preserve"> </w:t>
      </w:r>
      <w:r>
        <w:t xml:space="preserve">to make or refuse to make an </w:t>
      </w:r>
      <w:r w:rsidR="00941E75">
        <w:t>EID</w:t>
      </w:r>
      <w:r>
        <w:t xml:space="preserve"> and is not satisfied with the decision may apply to the Administrative </w:t>
      </w:r>
      <w:r w:rsidR="00667373">
        <w:t xml:space="preserve">Review </w:t>
      </w:r>
      <w:r>
        <w:t>Tribunal for review of the decision.</w:t>
      </w:r>
    </w:p>
    <w:p w14:paraId="7F9006B5" w14:textId="0DA5E318" w:rsidR="0063352D" w:rsidRDefault="0063352D" w:rsidP="0063352D">
      <w:r>
        <w:t xml:space="preserve">The </w:t>
      </w:r>
      <w:r w:rsidR="00DC4A67">
        <w:t>CER</w:t>
      </w:r>
      <w:r w:rsidR="00DC4A67" w:rsidRPr="3FB6375E">
        <w:t xml:space="preserve"> </w:t>
      </w:r>
      <w:r>
        <w:t xml:space="preserve">will notify the responsible emitter of their review rights when </w:t>
      </w:r>
      <w:proofErr w:type="gramStart"/>
      <w:r>
        <w:t>making a decision</w:t>
      </w:r>
      <w:proofErr w:type="gramEnd"/>
      <w:r w:rsidR="00C763D1">
        <w:t xml:space="preserve"> in the </w:t>
      </w:r>
      <w:r w:rsidR="00424339">
        <w:t>n</w:t>
      </w:r>
      <w:r w:rsidR="00C763D1">
        <w:t xml:space="preserve">otice of </w:t>
      </w:r>
      <w:r w:rsidR="00424339">
        <w:t>d</w:t>
      </w:r>
      <w:r w:rsidR="00C763D1">
        <w:t>ecision</w:t>
      </w:r>
      <w:r>
        <w:t xml:space="preserve"> (refer to section</w:t>
      </w:r>
      <w:r w:rsidR="00E1455E">
        <w:t> </w:t>
      </w:r>
      <w:r>
        <w:t xml:space="preserve">56 of the NGER Act for more details). </w:t>
      </w:r>
    </w:p>
    <w:p w14:paraId="535E4830" w14:textId="7661DE39" w:rsidR="0063352D" w:rsidRPr="001B7581" w:rsidRDefault="0063352D" w:rsidP="0063352D">
      <w:pPr>
        <w:pStyle w:val="Heading3"/>
      </w:pPr>
      <w:bookmarkStart w:id="277" w:name="_Toc138922937"/>
      <w:bookmarkStart w:id="278" w:name="_Toc138923012"/>
      <w:bookmarkStart w:id="279" w:name="_Toc138923076"/>
      <w:bookmarkStart w:id="280" w:name="_Toc138923333"/>
      <w:bookmarkStart w:id="281" w:name="_Toc143503206"/>
      <w:r w:rsidRPr="001B7581">
        <w:t>Publication of details of the determination</w:t>
      </w:r>
      <w:bookmarkEnd w:id="277"/>
      <w:bookmarkEnd w:id="278"/>
      <w:bookmarkEnd w:id="279"/>
      <w:bookmarkEnd w:id="280"/>
      <w:bookmarkEnd w:id="281"/>
    </w:p>
    <w:p w14:paraId="63042BC8" w14:textId="635B9BD3" w:rsidR="0063352D" w:rsidRDefault="0063352D" w:rsidP="00376145">
      <w:pPr>
        <w:spacing w:before="240"/>
      </w:pPr>
      <w:r>
        <w:t xml:space="preserve">The </w:t>
      </w:r>
      <w:r w:rsidR="00DC4A67">
        <w:t>CER</w:t>
      </w:r>
      <w:r w:rsidR="00DC4A67" w:rsidRPr="3FB6375E">
        <w:t xml:space="preserve"> </w:t>
      </w:r>
      <w:r>
        <w:t>is required</w:t>
      </w:r>
      <w:r w:rsidR="001B7DB3">
        <w:t xml:space="preserve"> under section 19</w:t>
      </w:r>
      <w:r w:rsidR="00E20D20">
        <w:t>(6)(b)</w:t>
      </w:r>
      <w:r w:rsidR="00232C9F">
        <w:t xml:space="preserve"> of the </w:t>
      </w:r>
      <w:r w:rsidR="007348B2">
        <w:t xml:space="preserve">Safeguard </w:t>
      </w:r>
      <w:r w:rsidR="00232C9F">
        <w:t>Rule</w:t>
      </w:r>
      <w:r>
        <w:t xml:space="preserve"> to publish </w:t>
      </w:r>
      <w:r w:rsidR="00483B6B">
        <w:t>EIDs</w:t>
      </w:r>
      <w:r>
        <w:t xml:space="preserve"> on its website</w:t>
      </w:r>
      <w:r w:rsidR="00C92AB1">
        <w:t>.</w:t>
      </w:r>
      <w:r w:rsidR="00E963FD" w:rsidDel="00232C9F">
        <w:t xml:space="preserve"> </w:t>
      </w:r>
      <w:r>
        <w:t>The determination will be published as soon as practical to do so and will include the following information:</w:t>
      </w:r>
    </w:p>
    <w:p w14:paraId="32108966" w14:textId="77777777" w:rsidR="0063352D" w:rsidRDefault="0063352D" w:rsidP="0063352D">
      <w:pPr>
        <w:pStyle w:val="CERbullets"/>
      </w:pPr>
      <w:r>
        <w:t>the name of the facility</w:t>
      </w:r>
    </w:p>
    <w:p w14:paraId="3F73DD8E" w14:textId="77777777" w:rsidR="0063352D" w:rsidRDefault="0063352D" w:rsidP="0063352D">
      <w:pPr>
        <w:pStyle w:val="CERbullets"/>
      </w:pPr>
      <w:r>
        <w:t>the responsible emitter for the facility</w:t>
      </w:r>
    </w:p>
    <w:p w14:paraId="5B075FB5" w14:textId="2316C43B" w:rsidR="0063352D" w:rsidRPr="00DB239E" w:rsidRDefault="0063352D" w:rsidP="0063352D">
      <w:pPr>
        <w:pStyle w:val="CERbullets"/>
      </w:pPr>
      <w:r>
        <w:t>any historical, transitional and related production variables applicable to the facility</w:t>
      </w:r>
      <w:r w:rsidR="00354FBC">
        <w:t xml:space="preserve"> and their </w:t>
      </w:r>
      <w:r w:rsidR="00483B6B">
        <w:t xml:space="preserve">FSEI </w:t>
      </w:r>
      <w:r w:rsidR="00354FBC">
        <w:t>values</w:t>
      </w:r>
    </w:p>
    <w:p w14:paraId="44EF9BC3" w14:textId="77777777" w:rsidR="0063352D" w:rsidRDefault="0063352D" w:rsidP="0063352D">
      <w:pPr>
        <w:pStyle w:val="CERbullets"/>
      </w:pPr>
      <w:r>
        <w:t>the first financial year which the determination will commence.</w:t>
      </w:r>
    </w:p>
    <w:p w14:paraId="37376F18" w14:textId="11088F71" w:rsidR="0063352D" w:rsidRDefault="0063352D" w:rsidP="0063352D">
      <w:r>
        <w:t>If the determination is varied in any way (see below), details of the variation will also be published.</w:t>
      </w:r>
    </w:p>
    <w:p w14:paraId="757BBEEB" w14:textId="07BD473F" w:rsidR="0063352D" w:rsidRDefault="0063352D" w:rsidP="0063352D">
      <w:r>
        <w:t xml:space="preserve">The </w:t>
      </w:r>
      <w:r w:rsidR="00DC4A67">
        <w:t>CER</w:t>
      </w:r>
      <w:r w:rsidR="00DC4A67" w:rsidRPr="3FB6375E">
        <w:t xml:space="preserve"> </w:t>
      </w:r>
      <w:r>
        <w:t xml:space="preserve">must also publish a range of information about facilities specified under </w:t>
      </w:r>
      <w:r w:rsidR="004E6C41">
        <w:t>section 72 of the Safeguard Rule,</w:t>
      </w:r>
      <w:r>
        <w:t xml:space="preserve"> including the annual baseline emissions number</w:t>
      </w:r>
      <w:r w:rsidR="00753B57">
        <w:t xml:space="preserve">, </w:t>
      </w:r>
      <w:r>
        <w:t>covered emissions of facilities</w:t>
      </w:r>
      <w:r w:rsidR="009A0C00">
        <w:t>,</w:t>
      </w:r>
      <w:r>
        <w:t xml:space="preserve"> and information on units issued or surrendered under the scheme. </w:t>
      </w:r>
    </w:p>
    <w:p w14:paraId="2758284C" w14:textId="1CF2D607" w:rsidR="0063352D" w:rsidRDefault="0063352D" w:rsidP="0063352D">
      <w:pPr>
        <w:pStyle w:val="Heading4"/>
      </w:pPr>
      <w:r>
        <w:t xml:space="preserve">Request not to publish information in an </w:t>
      </w:r>
      <w:r w:rsidR="0095149E">
        <w:t>emissions-intensity</w:t>
      </w:r>
      <w:r>
        <w:t xml:space="preserve"> determination</w:t>
      </w:r>
    </w:p>
    <w:p w14:paraId="7C0EA6E0" w14:textId="015E4C75" w:rsidR="0063352D" w:rsidRDefault="0063352D" w:rsidP="000A0697">
      <w:pPr>
        <w:spacing w:before="240"/>
      </w:pPr>
      <w:r>
        <w:t>Under specific circumstances</w:t>
      </w:r>
      <w:r w:rsidDel="002577D6">
        <w:t xml:space="preserve"> </w:t>
      </w:r>
      <w:r>
        <w:t xml:space="preserve">responsible emitters can apply under </w:t>
      </w:r>
      <w:r w:rsidRPr="009A21CF">
        <w:t>section 25 of the NGER Act</w:t>
      </w:r>
      <w:r w:rsidR="004A3C19">
        <w:t xml:space="preserve"> </w:t>
      </w:r>
      <w:r>
        <w:t xml:space="preserve">to request that some information included in an </w:t>
      </w:r>
      <w:r w:rsidR="001E2232">
        <w:t>EID</w:t>
      </w:r>
      <w:r>
        <w:t xml:space="preserve"> not be published. </w:t>
      </w:r>
    </w:p>
    <w:p w14:paraId="5924D337" w14:textId="107393E2" w:rsidR="0063352D" w:rsidRDefault="0063352D" w:rsidP="009A21CF">
      <w:pPr>
        <w:spacing w:after="120"/>
      </w:pPr>
      <w:r>
        <w:t xml:space="preserve"> </w:t>
      </w:r>
      <w:r w:rsidR="003F2D51">
        <w:t xml:space="preserve">The CER can only not publish the information if satisfied that it </w:t>
      </w:r>
      <w:r>
        <w:t>reveals or could be capable of revealing:</w:t>
      </w:r>
    </w:p>
    <w:p w14:paraId="74C7B7EC" w14:textId="1D17FF26" w:rsidR="0063352D" w:rsidRDefault="0063352D" w:rsidP="0063352D">
      <w:pPr>
        <w:pStyle w:val="CERbullets"/>
      </w:pPr>
      <w:r>
        <w:t>trade secrets</w:t>
      </w:r>
      <w:r w:rsidR="19E45678">
        <w:t>, or</w:t>
      </w:r>
    </w:p>
    <w:p w14:paraId="52FADC45" w14:textId="3CFCF08F" w:rsidR="00092D3D" w:rsidRDefault="0063352D" w:rsidP="00A94F2F">
      <w:pPr>
        <w:pStyle w:val="CERbullets"/>
      </w:pPr>
      <w:r>
        <w:t xml:space="preserve">any other matter having a commercial value </w:t>
      </w:r>
      <w:r w:rsidR="00A94F2F" w:rsidRPr="00A94F2F">
        <w:t>matter, where the information disclosure would, or could reasonably be expected to, destroy or diminish the commercial value</w:t>
      </w:r>
      <w:r w:rsidR="00092D3D">
        <w:t>,</w:t>
      </w:r>
    </w:p>
    <w:p w14:paraId="2CE7DBDC" w14:textId="4EA58546" w:rsidR="0063352D" w:rsidRDefault="0063352D" w:rsidP="00B60182">
      <w:r>
        <w:t>about a specific facility, technology or corporate initiative relating to the corporation or person.</w:t>
      </w:r>
    </w:p>
    <w:p w14:paraId="55EA5BF7" w14:textId="2A24C70C" w:rsidR="0063352D" w:rsidRDefault="0063352D" w:rsidP="0063352D">
      <w:r>
        <w:t>In assessing a</w:t>
      </w:r>
      <w:r w:rsidR="008F6FA9">
        <w:t xml:space="preserve"> request not to publish information</w:t>
      </w:r>
      <w:r>
        <w:t xml:space="preserve">, the </w:t>
      </w:r>
      <w:r w:rsidR="00DC4A67">
        <w:t>CER</w:t>
      </w:r>
      <w:r w:rsidR="00DC4A67" w:rsidRPr="3FB6375E">
        <w:t xml:space="preserve"> </w:t>
      </w:r>
      <w:r>
        <w:t xml:space="preserve">will consider whether the applicant has demonstrated that there are real and substantial grounds to find that publishing the information will (or could reasonably) reveal a trade secret or affect commercial value </w:t>
      </w:r>
      <w:r w:rsidR="00680DC7">
        <w:t>about</w:t>
      </w:r>
      <w:r>
        <w:t xml:space="preserve"> a specific facility, technology, or corporate initiative. Grounds that are speculative, hypothetical, or theoretical will not be sufficient.</w:t>
      </w:r>
    </w:p>
    <w:p w14:paraId="1AD6F2CB" w14:textId="48394F90" w:rsidR="0063352D" w:rsidRDefault="0063352D" w:rsidP="0063352D">
      <w:r>
        <w:t xml:space="preserve">For more information about how to make a request for information not to be published see </w:t>
      </w:r>
      <w:hyperlink r:id="rId61" w:anchor="Thepublicationthreshold:~:text=The%20publication%20threshold" w:tooltip="A link to the form on the Clean Energy Regulator's website, Application for information not to be published" w:history="1">
        <w:r w:rsidR="00003A84">
          <w:rPr>
            <w:rStyle w:val="Hyperlink"/>
            <w:rFonts w:asciiTheme="minorHAnsi" w:hAnsiTheme="minorHAnsi"/>
          </w:rPr>
          <w:t>A</w:t>
        </w:r>
        <w:r w:rsidRPr="00A57BC8">
          <w:rPr>
            <w:rStyle w:val="Hyperlink"/>
            <w:rFonts w:asciiTheme="minorHAnsi" w:hAnsiTheme="minorHAnsi"/>
          </w:rPr>
          <w:t>pplication for information not to be published</w:t>
        </w:r>
      </w:hyperlink>
      <w:r w:rsidR="009B587F" w:rsidRPr="009A21CF">
        <w:rPr>
          <w:rStyle w:val="FootnoteReference"/>
        </w:rPr>
        <w:footnoteReference w:id="44"/>
      </w:r>
      <w:r w:rsidRPr="009A21CF">
        <w:t>.</w:t>
      </w:r>
      <w:r>
        <w:t xml:space="preserve"> </w:t>
      </w:r>
    </w:p>
    <w:p w14:paraId="7AE005D3" w14:textId="07B4EE92" w:rsidR="00643AFB" w:rsidRPr="002578EE" w:rsidRDefault="00643AFB" w:rsidP="00C8218D">
      <w:pPr>
        <w:pStyle w:val="Heading2"/>
        <w:numPr>
          <w:ilvl w:val="1"/>
          <w:numId w:val="95"/>
        </w:numPr>
      </w:pPr>
      <w:bookmarkStart w:id="282" w:name="_Toc208216280"/>
      <w:bookmarkEnd w:id="5"/>
      <w:r w:rsidRPr="002578EE">
        <w:rPr>
          <w:rFonts w:eastAsiaTheme="minorEastAsia"/>
        </w:rPr>
        <w:t xml:space="preserve">Variation of </w:t>
      </w:r>
      <w:r w:rsidR="00111BC2" w:rsidRPr="002578EE">
        <w:rPr>
          <w:rFonts w:eastAsiaTheme="minorEastAsia"/>
        </w:rPr>
        <w:t>an emissions</w:t>
      </w:r>
      <w:r w:rsidR="00C03E56" w:rsidRPr="002578EE">
        <w:rPr>
          <w:rFonts w:eastAsiaTheme="minorEastAsia"/>
        </w:rPr>
        <w:t xml:space="preserve"> </w:t>
      </w:r>
      <w:r w:rsidR="00111BC2" w:rsidRPr="002578EE">
        <w:rPr>
          <w:rFonts w:eastAsiaTheme="minorEastAsia"/>
        </w:rPr>
        <w:t>intensity determination</w:t>
      </w:r>
      <w:bookmarkEnd w:id="282"/>
    </w:p>
    <w:p w14:paraId="27FCD7E0" w14:textId="77777777" w:rsidR="000831BC" w:rsidRDefault="00643AFB" w:rsidP="000A0697">
      <w:pPr>
        <w:spacing w:before="240" w:after="0"/>
      </w:pPr>
      <w:r w:rsidRPr="002578EE">
        <w:t>The CER may vary a FSEI number specified in an EID under certain circumstances. </w:t>
      </w:r>
    </w:p>
    <w:p w14:paraId="7F4C5F24" w14:textId="05775675" w:rsidR="00643AFB" w:rsidRPr="002578EE" w:rsidRDefault="00205FCB" w:rsidP="000A0697">
      <w:pPr>
        <w:spacing w:before="240" w:after="0"/>
      </w:pPr>
      <w:r>
        <w:t>V</w:t>
      </w:r>
      <w:r w:rsidR="00310DAB">
        <w:t xml:space="preserve">ariations </w:t>
      </w:r>
      <w:r w:rsidR="005A266A">
        <w:t xml:space="preserve">allow the CER </w:t>
      </w:r>
      <w:r w:rsidR="00310DAB">
        <w:t xml:space="preserve">to that </w:t>
      </w:r>
      <w:r>
        <w:t xml:space="preserve">make sure </w:t>
      </w:r>
      <w:r w:rsidR="00D51A45">
        <w:t xml:space="preserve">that </w:t>
      </w:r>
      <w:r>
        <w:t>a facility’s baseline, and the facility’s covered emissions that are compared to that baseline, are calculated in a consistent manner</w:t>
      </w:r>
      <w:r w:rsidRPr="5F7E5C8C">
        <w:t>.</w:t>
      </w:r>
      <w:r w:rsidR="00D51A45">
        <w:t xml:space="preserve"> </w:t>
      </w:r>
      <w:r w:rsidR="006C1D00">
        <w:t xml:space="preserve">Variations can result in either an increase or a decrease in </w:t>
      </w:r>
      <w:r w:rsidR="001808FD">
        <w:t>a facility’s FSEI number.</w:t>
      </w:r>
    </w:p>
    <w:p w14:paraId="2FEAF312" w14:textId="77777777" w:rsidR="00643AFB" w:rsidRPr="002578EE" w:rsidRDefault="00643AFB" w:rsidP="00C8218D">
      <w:pPr>
        <w:pStyle w:val="Heading3"/>
      </w:pPr>
      <w:r w:rsidRPr="002578EE">
        <w:rPr>
          <w:rFonts w:eastAsiaTheme="minorEastAsia"/>
        </w:rPr>
        <w:t>Requirements</w:t>
      </w:r>
      <w:r w:rsidRPr="002578EE">
        <w:t> </w:t>
      </w:r>
    </w:p>
    <w:p w14:paraId="637BD147" w14:textId="28486436" w:rsidR="00643AFB" w:rsidRPr="002578EE" w:rsidRDefault="00643AFB" w:rsidP="000A0697">
      <w:pPr>
        <w:spacing w:before="240" w:after="0"/>
      </w:pPr>
      <w:r w:rsidRPr="002578EE">
        <w:t>For a variation to be made, the CER must be satisfied that the facility meets two legislative requirements under section 26.</w:t>
      </w:r>
    </w:p>
    <w:p w14:paraId="20188589" w14:textId="2B79C427" w:rsidR="00643AFB" w:rsidRPr="002578EE" w:rsidRDefault="00643AFB" w:rsidP="00C8218D">
      <w:pPr>
        <w:pStyle w:val="Heading4"/>
      </w:pPr>
      <w:r w:rsidRPr="002578EE">
        <w:t>First requiremen</w:t>
      </w:r>
      <w:r w:rsidR="00520289" w:rsidRPr="002578EE">
        <w:t>t</w:t>
      </w:r>
    </w:p>
    <w:p w14:paraId="0974096C" w14:textId="43310160" w:rsidR="00D66BF8" w:rsidRDefault="00D66BF8" w:rsidP="000A0697">
      <w:pPr>
        <w:spacing w:before="240"/>
      </w:pPr>
      <w:r w:rsidRPr="001D358A">
        <w:t xml:space="preserve">The facility’s covered emissions must differ by at least 1% from the amount specified in the application for the EID. This will involve comparison of the facility’s historical covered emissions used in their EID application against those in their most recent NGER </w:t>
      </w:r>
      <w:r w:rsidR="009F0BDD" w:rsidRPr="001D358A">
        <w:t>report</w:t>
      </w:r>
      <w:r w:rsidRPr="001D358A">
        <w:t>.</w:t>
      </w:r>
    </w:p>
    <w:p w14:paraId="6D565ED1" w14:textId="4E3C6812" w:rsidR="00643AFB" w:rsidRDefault="00643AFB" w:rsidP="00C8218D">
      <w:pPr>
        <w:pStyle w:val="Heading4"/>
      </w:pPr>
      <w:r w:rsidRPr="00643AFB">
        <w:t>Second requirement</w:t>
      </w:r>
    </w:p>
    <w:p w14:paraId="2580598F" w14:textId="77777777" w:rsidR="00643AFB" w:rsidRPr="00643AFB" w:rsidRDefault="00643AFB" w:rsidP="000A0697">
      <w:pPr>
        <w:spacing w:before="240" w:after="0"/>
      </w:pPr>
      <w:r w:rsidRPr="00643AFB">
        <w:t>The difference in reported covered emissions must be due to one of three circumstances:  </w:t>
      </w:r>
    </w:p>
    <w:p w14:paraId="03C9725C" w14:textId="5649D531" w:rsidR="00384DED" w:rsidRPr="002578EE" w:rsidRDefault="00643AFB" w:rsidP="008C3C21">
      <w:pPr>
        <w:pStyle w:val="CERbullets"/>
      </w:pPr>
      <w:r w:rsidRPr="002578EE">
        <w:t xml:space="preserve">A </w:t>
      </w:r>
      <w:r w:rsidRPr="002578EE">
        <w:rPr>
          <w:b/>
          <w:bCs/>
        </w:rPr>
        <w:t>relevant regulatory change</w:t>
      </w:r>
      <w:r w:rsidRPr="002578EE">
        <w:t xml:space="preserve"> that came into force after the EID was made</w:t>
      </w:r>
      <w:r w:rsidR="007125B4" w:rsidRPr="002578EE">
        <w:t>.</w:t>
      </w:r>
      <w:r w:rsidRPr="002578EE">
        <w:t> </w:t>
      </w:r>
      <w:r w:rsidR="00F65087" w:rsidRPr="002578EE">
        <w:t xml:space="preserve">A </w:t>
      </w:r>
      <w:r w:rsidR="00B96F8E" w:rsidRPr="002578EE">
        <w:t>relevant regulatory change is:</w:t>
      </w:r>
    </w:p>
    <w:p w14:paraId="090A128B" w14:textId="3552FADD" w:rsidR="00FC05FC" w:rsidRPr="002578EE" w:rsidRDefault="00F65087" w:rsidP="00B60182">
      <w:pPr>
        <w:pStyle w:val="CERbullets"/>
        <w:numPr>
          <w:ilvl w:val="1"/>
          <w:numId w:val="1"/>
        </w:numPr>
      </w:pPr>
      <w:r w:rsidRPr="002578EE">
        <w:t>a</w:t>
      </w:r>
      <w:r w:rsidR="000522F7" w:rsidRPr="002578EE">
        <w:t xml:space="preserve"> change </w:t>
      </w:r>
      <w:r w:rsidR="00B41214" w:rsidRPr="002578EE">
        <w:t>to</w:t>
      </w:r>
      <w:r w:rsidRPr="002578EE">
        <w:t xml:space="preserve"> the </w:t>
      </w:r>
      <w:hyperlink r:id="rId62" w:tooltip="A link to the Australian Government legislation - the National Greenhouse and Energy regulations 2008" w:history="1">
        <w:r w:rsidR="00870729" w:rsidRPr="002578EE">
          <w:rPr>
            <w:rStyle w:val="Hyperlink"/>
            <w:rFonts w:asciiTheme="minorHAnsi" w:hAnsiTheme="minorHAnsi"/>
          </w:rPr>
          <w:t>NGER Regulations</w:t>
        </w:r>
      </w:hyperlink>
      <w:r w:rsidR="00056811">
        <w:rPr>
          <w:rStyle w:val="FootnoteReference"/>
        </w:rPr>
        <w:footnoteReference w:id="45"/>
      </w:r>
      <w:r w:rsidRPr="002578EE">
        <w:t>, including a change to the Global Warming Potentials</w:t>
      </w:r>
      <w:r w:rsidR="00870729" w:rsidRPr="002578EE">
        <w:t>,</w:t>
      </w:r>
    </w:p>
    <w:p w14:paraId="11E37853" w14:textId="0EF18CA0" w:rsidR="00FC05FC" w:rsidRPr="002578EE" w:rsidRDefault="00B41214" w:rsidP="00B60182">
      <w:pPr>
        <w:pStyle w:val="CERbullets"/>
        <w:numPr>
          <w:ilvl w:val="1"/>
          <w:numId w:val="1"/>
        </w:numPr>
      </w:pPr>
      <w:r w:rsidRPr="002578EE">
        <w:t xml:space="preserve">a change </w:t>
      </w:r>
      <w:r w:rsidR="00F65087" w:rsidRPr="002578EE">
        <w:t xml:space="preserve">to the </w:t>
      </w:r>
      <w:hyperlink r:id="rId63" w:tooltip="A link to the Australian Government legislation - the National Greenhouse and Energy Measurement Determination" w:history="1">
        <w:r w:rsidR="00F35EE6" w:rsidRPr="002578EE">
          <w:rPr>
            <w:rStyle w:val="Hyperlink"/>
            <w:rFonts w:asciiTheme="minorHAnsi" w:hAnsiTheme="minorHAnsi"/>
          </w:rPr>
          <w:t>NGER Measurement Determination</w:t>
        </w:r>
      </w:hyperlink>
      <w:r w:rsidR="00056811">
        <w:rPr>
          <w:rStyle w:val="FootnoteReference"/>
        </w:rPr>
        <w:footnoteReference w:id="46"/>
      </w:r>
      <w:r w:rsidR="00870729" w:rsidRPr="002578EE">
        <w:t>,</w:t>
      </w:r>
      <w:r w:rsidR="00F65087" w:rsidRPr="002578EE">
        <w:t xml:space="preserve"> or</w:t>
      </w:r>
    </w:p>
    <w:p w14:paraId="5C52002A" w14:textId="6F299D95" w:rsidR="00F65087" w:rsidRPr="002578EE" w:rsidRDefault="00870729" w:rsidP="00B60182">
      <w:pPr>
        <w:pStyle w:val="CERbullets"/>
        <w:numPr>
          <w:ilvl w:val="1"/>
          <w:numId w:val="1"/>
        </w:numPr>
      </w:pPr>
      <w:r w:rsidRPr="002578EE">
        <w:t>a change to a fuel standard, as defined in</w:t>
      </w:r>
      <w:r w:rsidR="00F65087" w:rsidRPr="002578EE">
        <w:t xml:space="preserve"> the </w:t>
      </w:r>
      <w:r w:rsidR="00F65087" w:rsidRPr="002578EE">
        <w:rPr>
          <w:i/>
          <w:iCs/>
        </w:rPr>
        <w:t>Fuel Quality Standards Act 2000</w:t>
      </w:r>
      <w:r w:rsidR="00F65087" w:rsidRPr="002578EE">
        <w:t>.</w:t>
      </w:r>
    </w:p>
    <w:p w14:paraId="0522DBFA" w14:textId="6D4DBCA4" w:rsidR="00FC05FC" w:rsidRPr="00236AE7" w:rsidRDefault="00643AFB" w:rsidP="00B60182">
      <w:pPr>
        <w:pStyle w:val="CERbullets"/>
      </w:pPr>
      <w:r w:rsidRPr="00665228">
        <w:t>A </w:t>
      </w:r>
      <w:r w:rsidRPr="00665228">
        <w:rPr>
          <w:b/>
          <w:bCs/>
        </w:rPr>
        <w:t xml:space="preserve">change in the NGER reporting method </w:t>
      </w:r>
      <w:r w:rsidRPr="00665228">
        <w:t>used</w:t>
      </w:r>
      <w:r w:rsidR="005862C6">
        <w:t xml:space="preserve"> to estimate</w:t>
      </w:r>
      <w:r w:rsidR="00652075">
        <w:t xml:space="preserve"> the facility’s</w:t>
      </w:r>
      <w:r w:rsidR="005862C6">
        <w:t xml:space="preserve"> emissions</w:t>
      </w:r>
      <w:r w:rsidRPr="00665228">
        <w:t xml:space="preserve">, after the </w:t>
      </w:r>
      <w:r w:rsidR="003C76D2">
        <w:t>EID</w:t>
      </w:r>
      <w:r w:rsidR="003C76D2" w:rsidRPr="00665228">
        <w:t xml:space="preserve"> </w:t>
      </w:r>
      <w:r w:rsidRPr="00665228">
        <w:t>was made</w:t>
      </w:r>
      <w:r w:rsidR="00540CFF" w:rsidRPr="00665228">
        <w:t xml:space="preserve">. </w:t>
      </w:r>
      <w:r w:rsidR="00540CFF" w:rsidRPr="00236AE7">
        <w:t>  </w:t>
      </w:r>
    </w:p>
    <w:p w14:paraId="0364CA33" w14:textId="77777777" w:rsidR="00FC05FC" w:rsidRDefault="00CF7014" w:rsidP="00FC05FC">
      <w:pPr>
        <w:pStyle w:val="CERbullets"/>
        <w:numPr>
          <w:ilvl w:val="1"/>
          <w:numId w:val="1"/>
        </w:numPr>
      </w:pPr>
      <w:r>
        <w:t>The NGER M</w:t>
      </w:r>
      <w:r w:rsidR="00724F78">
        <w:t>easurement Determination sets out the different methods that may be used to estimate emissions of greenhouse gases</w:t>
      </w:r>
      <w:r w:rsidR="00646B2A">
        <w:t xml:space="preserve"> from a facility. </w:t>
      </w:r>
      <w:r w:rsidR="0097123D">
        <w:t>The</w:t>
      </w:r>
      <w:r w:rsidR="00646B2A">
        <w:t xml:space="preserve"> methods available will depend on the </w:t>
      </w:r>
      <w:r w:rsidR="006A716D">
        <w:t>individual emissions sources.</w:t>
      </w:r>
    </w:p>
    <w:p w14:paraId="0BF92060" w14:textId="77777777" w:rsidR="00FC05FC" w:rsidRDefault="005B7ED9" w:rsidP="00FC05FC">
      <w:pPr>
        <w:pStyle w:val="CERbullets"/>
        <w:numPr>
          <w:ilvl w:val="2"/>
          <w:numId w:val="1"/>
        </w:numPr>
      </w:pPr>
      <w:r>
        <w:t>Method 1 generally allows for the use of default emission factors based on state or national</w:t>
      </w:r>
      <w:r w:rsidR="00D866FA">
        <w:t xml:space="preserve"> </w:t>
      </w:r>
      <w:r>
        <w:t xml:space="preserve">averages. </w:t>
      </w:r>
    </w:p>
    <w:p w14:paraId="640BF619" w14:textId="77777777" w:rsidR="00FC05FC" w:rsidRDefault="005B7ED9" w:rsidP="00FC05FC">
      <w:pPr>
        <w:pStyle w:val="CERbullets"/>
        <w:numPr>
          <w:ilvl w:val="2"/>
          <w:numId w:val="1"/>
        </w:numPr>
      </w:pPr>
      <w:r>
        <w:t xml:space="preserve">Higher order methods are more rigorous and in principle provide greater </w:t>
      </w:r>
      <w:proofErr w:type="gramStart"/>
      <w:r>
        <w:t>accuracy</w:t>
      </w:r>
      <w:r w:rsidR="00716417">
        <w:t>,</w:t>
      </w:r>
      <w:r>
        <w:t xml:space="preserve"> but</w:t>
      </w:r>
      <w:proofErr w:type="gramEnd"/>
      <w:r>
        <w:t xml:space="preserve"> require more active measurement effort. They generally involve varying degrees of on-site sampling, analysis, or direct measurement. Use of a higher order method may result in either an increase or decrease in emissions, compared to the amount estimated using Method 1.</w:t>
      </w:r>
    </w:p>
    <w:p w14:paraId="5E09641C" w14:textId="52E0B493" w:rsidR="00FC05FC" w:rsidRDefault="00B94524" w:rsidP="00B60182">
      <w:pPr>
        <w:pStyle w:val="CERbullets"/>
        <w:numPr>
          <w:ilvl w:val="1"/>
          <w:numId w:val="1"/>
        </w:numPr>
      </w:pPr>
      <w:r>
        <w:t>Where a facility has moved to a</w:t>
      </w:r>
      <w:r w:rsidR="00643AFB" w:rsidRPr="00236AE7">
        <w:t xml:space="preserve"> higher method </w:t>
      </w:r>
      <w:r w:rsidR="00862E2B">
        <w:t>(as</w:t>
      </w:r>
      <w:r w:rsidR="00643AFB" w:rsidRPr="00236AE7">
        <w:t xml:space="preserve"> </w:t>
      </w:r>
      <w:r w:rsidR="00862E2B">
        <w:t>described in</w:t>
      </w:r>
      <w:r w:rsidR="00643AFB" w:rsidRPr="00236AE7">
        <w:t xml:space="preserve"> section 1.18(5) </w:t>
      </w:r>
      <w:r w:rsidR="00B868B6">
        <w:t xml:space="preserve">of </w:t>
      </w:r>
      <w:r w:rsidR="00643AFB" w:rsidRPr="00236AE7">
        <w:t xml:space="preserve">the </w:t>
      </w:r>
      <w:r w:rsidR="00B868B6">
        <w:t xml:space="preserve">NGER </w:t>
      </w:r>
      <w:r w:rsidR="00643AFB" w:rsidRPr="00236AE7">
        <w:t>Measurement Determination</w:t>
      </w:r>
      <w:r w:rsidR="00862E2B">
        <w:t>)</w:t>
      </w:r>
      <w:r w:rsidR="004033AC">
        <w:t>,</w:t>
      </w:r>
      <w:r w:rsidR="005863B8">
        <w:t xml:space="preserve"> f</w:t>
      </w:r>
      <w:r w:rsidR="00D266E5">
        <w:t>or example, moving from Method 1 to</w:t>
      </w:r>
      <w:r w:rsidR="00546C67">
        <w:t xml:space="preserve"> Method 2 or 3 for </w:t>
      </w:r>
      <w:r w:rsidR="00D266E5">
        <w:t>estimat</w:t>
      </w:r>
      <w:r w:rsidR="00546C67">
        <w:t xml:space="preserve">ing </w:t>
      </w:r>
      <w:r w:rsidR="00467BAA">
        <w:t>emissions</w:t>
      </w:r>
      <w:r w:rsidR="005863B8">
        <w:t xml:space="preserve">, </w:t>
      </w:r>
      <w:r w:rsidR="00F425AC">
        <w:t xml:space="preserve">the CER may vary the facility’s FSEI number, to </w:t>
      </w:r>
      <w:proofErr w:type="gramStart"/>
      <w:r w:rsidR="00F425AC">
        <w:t>take into account</w:t>
      </w:r>
      <w:proofErr w:type="gramEnd"/>
      <w:r w:rsidR="00F425AC">
        <w:t xml:space="preserve"> the impact that the new method has on emissions</w:t>
      </w:r>
      <w:r w:rsidR="0023315A">
        <w:t xml:space="preserve"> at the facility</w:t>
      </w:r>
      <w:r w:rsidR="008C2562">
        <w:t xml:space="preserve">. </w:t>
      </w:r>
    </w:p>
    <w:p w14:paraId="6B57793F" w14:textId="53A54C68" w:rsidR="00B57321" w:rsidRDefault="00CC34AB" w:rsidP="00FC05FC">
      <w:pPr>
        <w:pStyle w:val="CERbullets"/>
        <w:numPr>
          <w:ilvl w:val="2"/>
          <w:numId w:val="1"/>
        </w:numPr>
      </w:pPr>
      <w:r w:rsidRPr="003F3707">
        <w:t xml:space="preserve">There </w:t>
      </w:r>
      <w:r w:rsidRPr="00E45FA1">
        <w:t>is no prescribed alternative method</w:t>
      </w:r>
      <w:r w:rsidR="008708DE" w:rsidRPr="00E45FA1">
        <w:t xml:space="preserve"> </w:t>
      </w:r>
      <w:r w:rsidR="009023D2" w:rsidRPr="00E45FA1">
        <w:t xml:space="preserve">which can be a higher method </w:t>
      </w:r>
      <w:r w:rsidR="008708DE" w:rsidRPr="00E45FA1">
        <w:t>under section 1.18(5)(a)</w:t>
      </w:r>
      <w:r w:rsidR="009023D2" w:rsidRPr="00E45FA1">
        <w:t xml:space="preserve"> of the NGER Measurement Determination</w:t>
      </w:r>
      <w:r w:rsidR="008708DE" w:rsidRPr="00E45FA1">
        <w:t>.</w:t>
      </w:r>
    </w:p>
    <w:p w14:paraId="49AD4B59" w14:textId="0288B1D4" w:rsidR="00F73760" w:rsidRDefault="00F73760" w:rsidP="00B60182">
      <w:pPr>
        <w:numPr>
          <w:ilvl w:val="1"/>
          <w:numId w:val="1"/>
        </w:numPr>
        <w:spacing w:after="0"/>
      </w:pPr>
      <w:r>
        <w:t>NGER reporters may switch to a higher method at any time but must use the higher method for at least 4 years before changing to a lower method</w:t>
      </w:r>
      <w:r w:rsidR="009C0D7A">
        <w:t>.</w:t>
      </w:r>
    </w:p>
    <w:p w14:paraId="70CF9AE7" w14:textId="511AD227" w:rsidR="009C0D7A" w:rsidRDefault="009C0D7A" w:rsidP="00F14272">
      <w:pPr>
        <w:pStyle w:val="CERbullets"/>
        <w:numPr>
          <w:ilvl w:val="1"/>
          <w:numId w:val="1"/>
        </w:numPr>
      </w:pPr>
      <w:r>
        <w:t xml:space="preserve">If a facility has met the 1% requirement </w:t>
      </w:r>
      <w:proofErr w:type="gramStart"/>
      <w:r>
        <w:t>as a result of</w:t>
      </w:r>
      <w:proofErr w:type="gramEnd"/>
      <w:r>
        <w:t xml:space="preserve"> an increased</w:t>
      </w:r>
      <w:r w:rsidRPr="001551D8">
        <w:t xml:space="preserve"> </w:t>
      </w:r>
      <w:r w:rsidRPr="00E45FA1">
        <w:t>emissions intensity</w:t>
      </w:r>
      <w:r w:rsidRPr="003F3707">
        <w:t xml:space="preserve"> of a production variable for the facility resulting from a lower method being used</w:t>
      </w:r>
      <w:r>
        <w:t>, t</w:t>
      </w:r>
      <w:r w:rsidRPr="00E45FA1">
        <w:t xml:space="preserve">he CER </w:t>
      </w:r>
      <w:r>
        <w:t>cannot</w:t>
      </w:r>
      <w:r w:rsidRPr="00E45FA1">
        <w:t xml:space="preserve"> not vary the </w:t>
      </w:r>
      <w:r>
        <w:t>EID</w:t>
      </w:r>
      <w:r w:rsidR="009F25F5">
        <w:t>.</w:t>
      </w:r>
    </w:p>
    <w:p w14:paraId="1CD108FD" w14:textId="7A04665B" w:rsidR="0088285B" w:rsidRPr="003F3707" w:rsidRDefault="0027513F" w:rsidP="00B60182">
      <w:pPr>
        <w:pStyle w:val="CERbullets"/>
        <w:numPr>
          <w:ilvl w:val="1"/>
          <w:numId w:val="1"/>
        </w:numPr>
      </w:pPr>
      <w:r>
        <w:t>For m</w:t>
      </w:r>
      <w:r w:rsidR="007A5333">
        <w:t>ore information about available NGER methods</w:t>
      </w:r>
      <w:r w:rsidR="003E32EB">
        <w:t xml:space="preserve">, see the </w:t>
      </w:r>
      <w:hyperlink r:id="rId64" w:history="1">
        <w:r w:rsidR="003E32EB" w:rsidRPr="00E62688">
          <w:rPr>
            <w:rStyle w:val="Hyperlink"/>
          </w:rPr>
          <w:t>methods and measurement criteria guideline</w:t>
        </w:r>
      </w:hyperlink>
      <w:r w:rsidR="00AE51EB">
        <w:rPr>
          <w:rStyle w:val="FootnoteReference"/>
        </w:rPr>
        <w:footnoteReference w:id="47"/>
      </w:r>
      <w:r w:rsidR="00E62688">
        <w:t xml:space="preserve">. </w:t>
      </w:r>
    </w:p>
    <w:p w14:paraId="22AC9897" w14:textId="6D69C056" w:rsidR="00643AFB" w:rsidRPr="00E72899" w:rsidRDefault="00643AFB" w:rsidP="00B60182">
      <w:pPr>
        <w:pStyle w:val="CERbullets"/>
      </w:pPr>
      <w:r w:rsidRPr="003F3707">
        <w:t>A </w:t>
      </w:r>
      <w:r w:rsidRPr="003F3707">
        <w:rPr>
          <w:b/>
          <w:bCs/>
        </w:rPr>
        <w:t xml:space="preserve">change </w:t>
      </w:r>
      <w:r w:rsidR="00584C10" w:rsidRPr="003F3707">
        <w:rPr>
          <w:b/>
          <w:bCs/>
        </w:rPr>
        <w:t>of</w:t>
      </w:r>
      <w:r w:rsidRPr="003F3707">
        <w:rPr>
          <w:b/>
          <w:bCs/>
        </w:rPr>
        <w:t xml:space="preserve"> activities</w:t>
      </w:r>
      <w:r w:rsidRPr="003F3707">
        <w:t> at</w:t>
      </w:r>
      <w:r w:rsidRPr="00E72899">
        <w:t xml:space="preserve"> the facility after the determination was made</w:t>
      </w:r>
      <w:r w:rsidR="00342F14" w:rsidRPr="00E72899">
        <w:t>.</w:t>
      </w:r>
    </w:p>
    <w:p w14:paraId="245FBA21" w14:textId="34B42612" w:rsidR="002C7EFD" w:rsidRPr="00E72899" w:rsidRDefault="007614EA" w:rsidP="00643AFB">
      <w:pPr>
        <w:numPr>
          <w:ilvl w:val="0"/>
          <w:numId w:val="64"/>
        </w:numPr>
        <w:tabs>
          <w:tab w:val="num" w:pos="720"/>
        </w:tabs>
        <w:spacing w:after="0"/>
      </w:pPr>
      <w:r w:rsidRPr="00E72899">
        <w:t xml:space="preserve">An activity under </w:t>
      </w:r>
      <w:r w:rsidR="000D4EB8" w:rsidRPr="00E72899">
        <w:t xml:space="preserve">the </w:t>
      </w:r>
      <w:r w:rsidRPr="00E72899">
        <w:t xml:space="preserve">Safeguard </w:t>
      </w:r>
      <w:r w:rsidR="000D4EB8" w:rsidRPr="00E72899">
        <w:t xml:space="preserve">Mechanism </w:t>
      </w:r>
      <w:r w:rsidRPr="00E72899">
        <w:t xml:space="preserve">is </w:t>
      </w:r>
      <w:r w:rsidR="00800793" w:rsidRPr="00E72899">
        <w:t xml:space="preserve">as </w:t>
      </w:r>
      <w:r w:rsidR="002C7EFD" w:rsidRPr="00E72899">
        <w:t>identified</w:t>
      </w:r>
      <w:r w:rsidR="00EE0BBE" w:rsidRPr="00E72899">
        <w:t xml:space="preserve"> </w:t>
      </w:r>
      <w:r w:rsidR="009B3A4C" w:rsidRPr="00E72899">
        <w:t xml:space="preserve">for each production variable </w:t>
      </w:r>
      <w:r w:rsidR="00195EB4" w:rsidRPr="00E72899">
        <w:t xml:space="preserve">under </w:t>
      </w:r>
      <w:r w:rsidR="009B3A4C" w:rsidRPr="00E72899">
        <w:t>S</w:t>
      </w:r>
      <w:r w:rsidR="00195EB4" w:rsidRPr="00E72899">
        <w:t xml:space="preserve">chedule </w:t>
      </w:r>
      <w:r w:rsidR="00072D62" w:rsidRPr="00E72899">
        <w:t xml:space="preserve">1 </w:t>
      </w:r>
      <w:r w:rsidR="00EE0BBE" w:rsidRPr="00E72899">
        <w:t xml:space="preserve">of the Safeguard </w:t>
      </w:r>
      <w:r w:rsidR="007930EE" w:rsidRPr="00E72899">
        <w:t>R</w:t>
      </w:r>
      <w:r w:rsidR="00EE0BBE" w:rsidRPr="00E72899">
        <w:t xml:space="preserve">ule and </w:t>
      </w:r>
      <w:r w:rsidR="00794977" w:rsidRPr="00E72899">
        <w:t xml:space="preserve">as is defined </w:t>
      </w:r>
      <w:r w:rsidR="00EE0BBE" w:rsidRPr="00E72899">
        <w:t xml:space="preserve">under the </w:t>
      </w:r>
      <w:r w:rsidR="00072D62" w:rsidRPr="00E72899">
        <w:t xml:space="preserve">Safeguard </w:t>
      </w:r>
      <w:r w:rsidR="00794977" w:rsidRPr="00E72899">
        <w:t>M</w:t>
      </w:r>
      <w:r w:rsidR="00072D62" w:rsidRPr="00E72899">
        <w:t xml:space="preserve">echanism </w:t>
      </w:r>
      <w:r w:rsidR="00165D2F" w:rsidRPr="00E72899">
        <w:t>d</w:t>
      </w:r>
      <w:r w:rsidR="00072D62" w:rsidRPr="00E72899">
        <w:t xml:space="preserve">ocument. </w:t>
      </w:r>
    </w:p>
    <w:p w14:paraId="5266989E" w14:textId="2DA2069B" w:rsidR="00643AFB" w:rsidRPr="00E72899" w:rsidRDefault="002D38DB" w:rsidP="00643AFB">
      <w:pPr>
        <w:numPr>
          <w:ilvl w:val="0"/>
          <w:numId w:val="64"/>
        </w:numPr>
        <w:tabs>
          <w:tab w:val="num" w:pos="720"/>
        </w:tabs>
        <w:spacing w:after="0"/>
      </w:pPr>
      <w:r w:rsidRPr="00E72899">
        <w:t xml:space="preserve">Decisions regarding variations based on a change of activities will be </w:t>
      </w:r>
      <w:r w:rsidR="00643AFB" w:rsidRPr="00E72899">
        <w:t xml:space="preserve">assessed on a </w:t>
      </w:r>
      <w:r w:rsidR="00091188" w:rsidRPr="00E72899">
        <w:rPr>
          <w:b/>
          <w:bCs/>
        </w:rPr>
        <w:t>case-by-case basis</w:t>
      </w:r>
      <w:r w:rsidR="00EE0BBE" w:rsidRPr="00E72899">
        <w:rPr>
          <w:b/>
          <w:bCs/>
        </w:rPr>
        <w:t xml:space="preserve"> </w:t>
      </w:r>
      <w:r w:rsidR="003B5F36" w:rsidRPr="00E72899">
        <w:t>with reference</w:t>
      </w:r>
      <w:r w:rsidR="00EE0BBE" w:rsidRPr="00E72899">
        <w:t xml:space="preserve"> to the definitions provided</w:t>
      </w:r>
      <w:r w:rsidR="00B94EC3" w:rsidRPr="00E72899">
        <w:t xml:space="preserve"> in these documents</w:t>
      </w:r>
      <w:r w:rsidR="00091188" w:rsidRPr="00E72899">
        <w:rPr>
          <w:b/>
          <w:bCs/>
        </w:rPr>
        <w:t>.</w:t>
      </w:r>
      <w:r w:rsidR="00091188" w:rsidRPr="00E72899">
        <w:t> </w:t>
      </w:r>
    </w:p>
    <w:p w14:paraId="17067811" w14:textId="77777777" w:rsidR="00C37C4D" w:rsidRDefault="00C37C4D" w:rsidP="00643AFB">
      <w:pPr>
        <w:spacing w:after="0"/>
      </w:pPr>
    </w:p>
    <w:p w14:paraId="44F9D557" w14:textId="2D1B7E04" w:rsidR="00643AFB" w:rsidRPr="002578EE" w:rsidRDefault="00643AFB" w:rsidP="00643AFB">
      <w:pPr>
        <w:spacing w:after="0"/>
      </w:pPr>
      <w:r w:rsidRPr="002578EE">
        <w:t xml:space="preserve">If the CER proposes to make a variation, it will notify the responsible emitter for the facility as per the process </w:t>
      </w:r>
      <w:r w:rsidR="00342F14" w:rsidRPr="002578EE">
        <w:t>in</w:t>
      </w:r>
      <w:r w:rsidRPr="002578EE">
        <w:t xml:space="preserve"> section 28</w:t>
      </w:r>
      <w:r w:rsidR="009300CC">
        <w:t xml:space="preserve"> of the Safeguard Rule</w:t>
      </w:r>
      <w:r w:rsidRPr="002578EE">
        <w:t>. </w:t>
      </w:r>
    </w:p>
    <w:p w14:paraId="52C2C283" w14:textId="14764A18" w:rsidR="00643AFB" w:rsidRPr="002578EE" w:rsidRDefault="00643AFB" w:rsidP="00C8218D">
      <w:pPr>
        <w:pStyle w:val="Heading3"/>
      </w:pPr>
      <w:r w:rsidRPr="002578EE">
        <w:rPr>
          <w:rFonts w:eastAsiaTheme="minorEastAsia"/>
        </w:rPr>
        <w:t>Timeframe</w:t>
      </w:r>
    </w:p>
    <w:p w14:paraId="14AD0B9C" w14:textId="43B786EF" w:rsidR="00643AFB" w:rsidRPr="002578EE" w:rsidRDefault="00643AFB" w:rsidP="000A0697">
      <w:pPr>
        <w:spacing w:before="240" w:after="0"/>
      </w:pPr>
      <w:r w:rsidRPr="002578EE">
        <w:t>A variation must be finalised before</w:t>
      </w:r>
      <w:r w:rsidR="007B6449" w:rsidRPr="002578EE">
        <w:t xml:space="preserve"> the</w:t>
      </w:r>
      <w:r w:rsidRPr="002578EE">
        <w:t xml:space="preserve"> 31 January following the first financial year to which the variation applies.</w:t>
      </w:r>
      <w:r w:rsidR="00FF5458" w:rsidRPr="002578EE">
        <w:t xml:space="preserve"> </w:t>
      </w:r>
    </w:p>
    <w:p w14:paraId="4AF8078D" w14:textId="77777777" w:rsidR="00C37C4D" w:rsidRPr="002578EE" w:rsidRDefault="00C37C4D" w:rsidP="00643AFB">
      <w:pPr>
        <w:spacing w:after="0"/>
      </w:pPr>
    </w:p>
    <w:p w14:paraId="6BB27FE4" w14:textId="1126DB2E" w:rsidR="00A0642A" w:rsidRPr="002578EE" w:rsidRDefault="00A0642A" w:rsidP="00643AFB">
      <w:pPr>
        <w:spacing w:after="0"/>
        <w:rPr>
          <w:b/>
          <w:bCs/>
        </w:rPr>
      </w:pPr>
      <w:r w:rsidRPr="002578EE">
        <w:rPr>
          <w:b/>
          <w:bCs/>
        </w:rPr>
        <w:t>Regulatory changes</w:t>
      </w:r>
    </w:p>
    <w:p w14:paraId="4DA3285A" w14:textId="124B7BE7" w:rsidR="00643AFB" w:rsidRPr="002578EE" w:rsidRDefault="00643AFB" w:rsidP="00643AFB">
      <w:pPr>
        <w:spacing w:after="0"/>
      </w:pPr>
      <w:r w:rsidRPr="002578EE">
        <w:t xml:space="preserve">Where there </w:t>
      </w:r>
      <w:r w:rsidR="00DC26F1" w:rsidRPr="002578EE">
        <w:t>is a relevant regulatory change,</w:t>
      </w:r>
      <w:r w:rsidRPr="002578EE">
        <w:t xml:space="preserve"> the </w:t>
      </w:r>
      <w:r w:rsidR="00DC26F1" w:rsidRPr="002578EE">
        <w:t xml:space="preserve">CER </w:t>
      </w:r>
      <w:r w:rsidRPr="002578EE">
        <w:t xml:space="preserve">will advise the affected </w:t>
      </w:r>
      <w:r w:rsidR="00C11D39" w:rsidRPr="002578EE">
        <w:t xml:space="preserve">responsible emitters </w:t>
      </w:r>
      <w:r w:rsidRPr="002578EE">
        <w:t>to ensure they are aware of the changes and the timeframes involved to ensure that the 31 January deadline is met.  </w:t>
      </w:r>
    </w:p>
    <w:p w14:paraId="0713B41C" w14:textId="77777777" w:rsidR="00C37C4D" w:rsidRPr="002578EE" w:rsidRDefault="00C37C4D" w:rsidP="00643AFB">
      <w:pPr>
        <w:spacing w:after="0"/>
        <w:rPr>
          <w:b/>
          <w:bCs/>
        </w:rPr>
      </w:pPr>
    </w:p>
    <w:p w14:paraId="074FE5E2" w14:textId="77777777" w:rsidR="00643AFB" w:rsidRPr="002578EE" w:rsidRDefault="00643AFB" w:rsidP="00643AFB">
      <w:pPr>
        <w:spacing w:after="0"/>
      </w:pPr>
      <w:r w:rsidRPr="002578EE">
        <w:rPr>
          <w:b/>
          <w:bCs/>
        </w:rPr>
        <w:t>Changes to NGER reporting methods</w:t>
      </w:r>
      <w:r w:rsidRPr="002578EE">
        <w:t> </w:t>
      </w:r>
    </w:p>
    <w:p w14:paraId="7700F4B9" w14:textId="4BC54984" w:rsidR="00643AFB" w:rsidRPr="002578EE" w:rsidRDefault="00B735D2" w:rsidP="00643AFB">
      <w:pPr>
        <w:spacing w:after="0"/>
      </w:pPr>
      <w:r>
        <w:t>T</w:t>
      </w:r>
      <w:r w:rsidR="00605B2B" w:rsidRPr="002578EE">
        <w:t>he</w:t>
      </w:r>
      <w:r w:rsidR="00643AFB" w:rsidRPr="002578EE">
        <w:t xml:space="preserve"> CER </w:t>
      </w:r>
      <w:r w:rsidR="002A5A5A" w:rsidRPr="002578EE">
        <w:t>can identify change</w:t>
      </w:r>
      <w:r w:rsidR="003D2CE4">
        <w:t>s in method</w:t>
      </w:r>
      <w:r w:rsidR="00F76E85">
        <w:t>s</w:t>
      </w:r>
      <w:r w:rsidR="002A5A5A" w:rsidRPr="002578EE">
        <w:t xml:space="preserve"> from NGER reports and </w:t>
      </w:r>
      <w:r w:rsidR="006C01C1">
        <w:t xml:space="preserve">will </w:t>
      </w:r>
      <w:r w:rsidR="002A5A5A" w:rsidRPr="002578EE">
        <w:t xml:space="preserve">contact the responsible emitter directly. However, </w:t>
      </w:r>
      <w:r w:rsidR="00643AFB" w:rsidRPr="002578EE">
        <w:t>responsible emitter</w:t>
      </w:r>
      <w:r w:rsidR="00F76E85">
        <w:t>s are</w:t>
      </w:r>
      <w:r w:rsidR="00643AFB" w:rsidRPr="002578EE">
        <w:t xml:space="preserve"> encouraged to contact the CER prior to 31 October to discuss the </w:t>
      </w:r>
      <w:r w:rsidR="00C4398F" w:rsidRPr="002578EE">
        <w:t>potential need for a variation.</w:t>
      </w:r>
    </w:p>
    <w:p w14:paraId="6692CF49" w14:textId="77777777" w:rsidR="008C2288" w:rsidRPr="002578EE" w:rsidRDefault="008C2288" w:rsidP="00643AFB">
      <w:pPr>
        <w:spacing w:after="0"/>
        <w:rPr>
          <w:b/>
          <w:bCs/>
        </w:rPr>
      </w:pPr>
    </w:p>
    <w:p w14:paraId="7AB95025" w14:textId="4F599ED8" w:rsidR="00643AFB" w:rsidRPr="002578EE" w:rsidRDefault="00643AFB" w:rsidP="00643AFB">
      <w:pPr>
        <w:spacing w:after="0"/>
        <w:rPr>
          <w:b/>
          <w:bCs/>
        </w:rPr>
      </w:pPr>
      <w:r w:rsidRPr="002578EE">
        <w:rPr>
          <w:b/>
          <w:bCs/>
        </w:rPr>
        <w:t>Change in activities</w:t>
      </w:r>
    </w:p>
    <w:p w14:paraId="6B2D02E6" w14:textId="073BB02E" w:rsidR="00E668A1" w:rsidRPr="002578EE" w:rsidRDefault="00643AFB" w:rsidP="00E668A1">
      <w:pPr>
        <w:spacing w:after="0"/>
        <w:rPr>
          <w:b/>
          <w:bCs/>
        </w:rPr>
      </w:pPr>
      <w:r w:rsidRPr="002578EE">
        <w:t xml:space="preserve">Where the change is due to </w:t>
      </w:r>
      <w:r w:rsidR="002A5A5A" w:rsidRPr="002578EE">
        <w:t xml:space="preserve">a change of </w:t>
      </w:r>
      <w:r w:rsidRPr="002578EE">
        <w:t>activities at the facility</w:t>
      </w:r>
      <w:r w:rsidR="002A5A5A" w:rsidRPr="002578EE">
        <w:t>,</w:t>
      </w:r>
      <w:r w:rsidRPr="002578EE">
        <w:t xml:space="preserve"> it is important that the responsible emitter is aware of the 31 January final date for decision and that they contact the </w:t>
      </w:r>
      <w:r w:rsidR="002A5A5A" w:rsidRPr="002578EE">
        <w:t xml:space="preserve">CER </w:t>
      </w:r>
      <w:r w:rsidRPr="002578EE">
        <w:t xml:space="preserve">as soon as </w:t>
      </w:r>
      <w:r w:rsidR="002A5A5A" w:rsidRPr="002578EE">
        <w:t>they become aware that the change may impact their FSEI</w:t>
      </w:r>
      <w:r w:rsidRPr="002578EE">
        <w:t>. </w:t>
      </w:r>
    </w:p>
    <w:p w14:paraId="0B02F27D" w14:textId="4CBBD074" w:rsidR="00643AFB" w:rsidRPr="002578EE" w:rsidRDefault="00643AFB" w:rsidP="004A101B">
      <w:pPr>
        <w:pStyle w:val="Heading3"/>
      </w:pPr>
      <w:r w:rsidRPr="002578EE">
        <w:rPr>
          <w:rFonts w:eastAsiaTheme="minorEastAsia"/>
        </w:rPr>
        <w:t>Process of variation</w:t>
      </w:r>
      <w:r w:rsidRPr="002578EE">
        <w:t> </w:t>
      </w:r>
    </w:p>
    <w:p w14:paraId="0B1D566B" w14:textId="6AA2316E" w:rsidR="00643AFB" w:rsidRPr="002578EE" w:rsidRDefault="001E5CB5" w:rsidP="000A0697">
      <w:pPr>
        <w:spacing w:before="240" w:after="0"/>
      </w:pPr>
      <w:r w:rsidRPr="002578EE">
        <w:t>T</w:t>
      </w:r>
      <w:r w:rsidR="00643AFB" w:rsidRPr="002578EE">
        <w:t>he process for variations includes</w:t>
      </w:r>
      <w:r w:rsidR="00D72B53" w:rsidRPr="002578EE">
        <w:t xml:space="preserve"> </w:t>
      </w:r>
      <w:r w:rsidR="00643AFB" w:rsidRPr="002578EE">
        <w:t>the following steps</w:t>
      </w:r>
      <w:r w:rsidRPr="002578EE">
        <w:t xml:space="preserve"> from sections 27 and 28 of the Safeguard Rule</w:t>
      </w:r>
      <w:r w:rsidR="00643AFB" w:rsidRPr="002578EE">
        <w:t>:</w:t>
      </w:r>
    </w:p>
    <w:p w14:paraId="73786F82" w14:textId="77777777" w:rsidR="00DC34C1" w:rsidRPr="002578EE" w:rsidRDefault="00DC34C1" w:rsidP="00643AFB">
      <w:pPr>
        <w:spacing w:after="0"/>
      </w:pPr>
    </w:p>
    <w:p w14:paraId="7F88F267" w14:textId="185D8987" w:rsidR="00643AFB" w:rsidRPr="002578EE" w:rsidRDefault="00643AFB" w:rsidP="00643AFB">
      <w:pPr>
        <w:spacing w:after="0"/>
      </w:pPr>
      <w:r w:rsidRPr="002578EE">
        <w:rPr>
          <w:b/>
          <w:bCs/>
        </w:rPr>
        <w:t>Step 1</w:t>
      </w:r>
      <w:r w:rsidR="009C2E6C" w:rsidRPr="002578EE">
        <w:rPr>
          <w:b/>
          <w:bCs/>
        </w:rPr>
        <w:t xml:space="preserve"> – </w:t>
      </w:r>
      <w:r w:rsidRPr="002578EE">
        <w:rPr>
          <w:b/>
          <w:bCs/>
        </w:rPr>
        <w:t>Notice</w:t>
      </w:r>
      <w:r w:rsidR="009C2E6C" w:rsidRPr="002578EE">
        <w:rPr>
          <w:b/>
          <w:bCs/>
        </w:rPr>
        <w:t xml:space="preserve"> </w:t>
      </w:r>
      <w:r w:rsidRPr="002578EE">
        <w:rPr>
          <w:b/>
          <w:bCs/>
        </w:rPr>
        <w:t>requesting information</w:t>
      </w:r>
      <w:r w:rsidRPr="002578EE">
        <w:t> </w:t>
      </w:r>
    </w:p>
    <w:p w14:paraId="43C847B6" w14:textId="6E242B32" w:rsidR="00643AFB" w:rsidRPr="002578EE" w:rsidRDefault="00E4275D" w:rsidP="00643AFB">
      <w:pPr>
        <w:spacing w:after="0"/>
      </w:pPr>
      <w:r w:rsidRPr="002578EE">
        <w:t>The CER may send a</w:t>
      </w:r>
      <w:r w:rsidR="00643AFB" w:rsidRPr="002578EE">
        <w:t xml:space="preserve"> notice </w:t>
      </w:r>
      <w:r w:rsidR="006F2A2D" w:rsidRPr="002578EE">
        <w:t xml:space="preserve">to the responsible emitter </w:t>
      </w:r>
      <w:r w:rsidR="00643AFB" w:rsidRPr="002578EE">
        <w:t xml:space="preserve">under section 27 to request specified information to assist the CER in </w:t>
      </w:r>
      <w:r w:rsidR="00301173">
        <w:t xml:space="preserve">its </w:t>
      </w:r>
      <w:r w:rsidR="00643AFB" w:rsidRPr="002578EE">
        <w:t>consideration of a variation.</w:t>
      </w:r>
    </w:p>
    <w:p w14:paraId="7573F957" w14:textId="447F0447" w:rsidR="00643AFB" w:rsidRPr="002578EE" w:rsidRDefault="00643AFB" w:rsidP="00643AFB">
      <w:pPr>
        <w:spacing w:after="0"/>
      </w:pPr>
    </w:p>
    <w:p w14:paraId="7D3171D7" w14:textId="6CBFA3C6" w:rsidR="00643AFB" w:rsidRPr="002578EE" w:rsidRDefault="00643AFB" w:rsidP="00643AFB">
      <w:pPr>
        <w:spacing w:after="0"/>
      </w:pPr>
      <w:r w:rsidRPr="002578EE">
        <w:t>The request will</w:t>
      </w:r>
      <w:r w:rsidR="00600A57" w:rsidRPr="002578EE">
        <w:t xml:space="preserve"> usually</w:t>
      </w:r>
      <w:r w:rsidRPr="002578EE">
        <w:t xml:space="preserve"> seek information about the relevant change, such as the use of a higher order method or change of activity.  This request may vary on a case-by-case basis. An example of the information that would likely be requested for a method change is below.</w:t>
      </w:r>
    </w:p>
    <w:p w14:paraId="4363C523" w14:textId="77777777" w:rsidR="00A22EFD" w:rsidRPr="002578EE" w:rsidRDefault="00A22EFD" w:rsidP="00643AFB">
      <w:pPr>
        <w:spacing w:after="0"/>
      </w:pPr>
    </w:p>
    <w:tbl>
      <w:tblPr>
        <w:tblStyle w:val="CERCallout"/>
        <w:tblW w:w="0" w:type="auto"/>
        <w:tblLook w:val="04A0" w:firstRow="1" w:lastRow="0" w:firstColumn="1" w:lastColumn="0" w:noHBand="0" w:noVBand="1"/>
      </w:tblPr>
      <w:tblGrid>
        <w:gridCol w:w="9716"/>
      </w:tblGrid>
      <w:tr w:rsidR="00FE091C" w:rsidRPr="002578EE" w14:paraId="24B5E902" w14:textId="77777777" w:rsidTr="00A22EFD">
        <w:trPr>
          <w:cnfStyle w:val="100000000000" w:firstRow="1" w:lastRow="0" w:firstColumn="0" w:lastColumn="0" w:oddVBand="0" w:evenVBand="0" w:oddHBand="0" w:evenHBand="0" w:firstRowFirstColumn="0" w:firstRowLastColumn="0" w:lastRowFirstColumn="0" w:lastRowLastColumn="0"/>
        </w:trPr>
        <w:tc>
          <w:tcPr>
            <w:tcW w:w="9716" w:type="dxa"/>
          </w:tcPr>
          <w:p w14:paraId="026BF6A1" w14:textId="72D40AF2" w:rsidR="00A22EFD" w:rsidRPr="002578EE" w:rsidRDefault="00A22EFD" w:rsidP="004A101B">
            <w:pPr>
              <w:pStyle w:val="Heading4"/>
              <w:rPr>
                <w:color w:val="000000" w:themeColor="text1"/>
                <w:sz w:val="22"/>
              </w:rPr>
            </w:pPr>
            <w:r w:rsidRPr="002578EE">
              <w:rPr>
                <w:color w:val="000000" w:themeColor="text1"/>
                <w:sz w:val="22"/>
              </w:rPr>
              <w:t>Summary of information under notice that may be sought to establish if a variation is required for a change in reporting method under NGER.</w:t>
            </w:r>
          </w:p>
          <w:p w14:paraId="02E130FE" w14:textId="25A04699" w:rsidR="00A22EFD" w:rsidRPr="002578EE" w:rsidRDefault="00A22EFD" w:rsidP="001F7F53">
            <w:pPr>
              <w:numPr>
                <w:ilvl w:val="0"/>
                <w:numId w:val="105"/>
              </w:numPr>
              <w:spacing w:after="0"/>
              <w:rPr>
                <w:b w:val="0"/>
                <w:bCs/>
                <w:color w:val="000000" w:themeColor="text1"/>
                <w:sz w:val="22"/>
              </w:rPr>
            </w:pPr>
            <w:r w:rsidRPr="002578EE">
              <w:rPr>
                <w:b w:val="0"/>
                <w:bCs/>
                <w:color w:val="000000" w:themeColor="text1"/>
                <w:sz w:val="22"/>
              </w:rPr>
              <w:t>Updated facility total covered emissions (tCO</w:t>
            </w:r>
            <w:r w:rsidRPr="002578EE">
              <w:rPr>
                <w:b w:val="0"/>
                <w:bCs/>
                <w:color w:val="000000" w:themeColor="text1"/>
                <w:sz w:val="22"/>
                <w:vertAlign w:val="subscript"/>
              </w:rPr>
              <w:t>2</w:t>
            </w:r>
            <w:r w:rsidRPr="002578EE">
              <w:rPr>
                <w:b w:val="0"/>
                <w:bCs/>
                <w:color w:val="000000" w:themeColor="text1"/>
                <w:sz w:val="22"/>
              </w:rPr>
              <w:t xml:space="preserve">-e) for each historical financial year identified in the EID application (i.e. between 2017-18 to 2021-22) adjusted for the different method used in the nominated period, </w:t>
            </w:r>
          </w:p>
          <w:p w14:paraId="14214417" w14:textId="1695B808" w:rsidR="00A22EFD" w:rsidRPr="002578EE" w:rsidRDefault="00A22EFD" w:rsidP="001F7F53">
            <w:pPr>
              <w:numPr>
                <w:ilvl w:val="0"/>
                <w:numId w:val="105"/>
              </w:numPr>
              <w:spacing w:after="0"/>
              <w:rPr>
                <w:b w:val="0"/>
                <w:bCs/>
                <w:color w:val="000000" w:themeColor="text1"/>
                <w:sz w:val="22"/>
              </w:rPr>
            </w:pPr>
            <w:r w:rsidRPr="002578EE">
              <w:rPr>
                <w:b w:val="0"/>
                <w:bCs/>
                <w:color w:val="000000" w:themeColor="text1"/>
                <w:sz w:val="22"/>
              </w:rPr>
              <w:t>updated covered emissions (tCO</w:t>
            </w:r>
            <w:r w:rsidR="00AE2B39" w:rsidRPr="002578EE">
              <w:rPr>
                <w:b w:val="0"/>
                <w:bCs/>
                <w:color w:val="000000" w:themeColor="text1"/>
                <w:sz w:val="22"/>
                <w:vertAlign w:val="subscript"/>
              </w:rPr>
              <w:t>2</w:t>
            </w:r>
            <w:r w:rsidRPr="002578EE">
              <w:rPr>
                <w:b w:val="0"/>
                <w:bCs/>
                <w:color w:val="000000" w:themeColor="text1"/>
                <w:sz w:val="22"/>
              </w:rPr>
              <w:t xml:space="preserve">-e) associated with each historical production variable adjusted for the different method used in the period, </w:t>
            </w:r>
          </w:p>
          <w:p w14:paraId="5B3DD93A" w14:textId="76FEAA33" w:rsidR="00A22EFD" w:rsidRPr="002578EE" w:rsidRDefault="00A22EFD" w:rsidP="001F7F53">
            <w:pPr>
              <w:numPr>
                <w:ilvl w:val="0"/>
                <w:numId w:val="105"/>
              </w:numPr>
              <w:spacing w:after="0"/>
              <w:rPr>
                <w:b w:val="0"/>
                <w:bCs/>
                <w:color w:val="000000" w:themeColor="text1"/>
                <w:sz w:val="22"/>
              </w:rPr>
            </w:pPr>
            <w:r w:rsidRPr="002578EE">
              <w:rPr>
                <w:b w:val="0"/>
                <w:bCs/>
                <w:color w:val="000000" w:themeColor="text1"/>
                <w:sz w:val="22"/>
              </w:rPr>
              <w:t xml:space="preserve">the updated covered emissions should be calculated on the same basis as calculating covered emissions for </w:t>
            </w:r>
            <w:r w:rsidR="001B7DE7" w:rsidRPr="002578EE">
              <w:rPr>
                <w:b w:val="0"/>
                <w:bCs/>
                <w:color w:val="000000" w:themeColor="text1"/>
                <w:sz w:val="22"/>
                <w14:textOutline w14:w="0" w14:cap="flat" w14:cmpd="sng" w14:algn="ctr">
                  <w14:noFill/>
                  <w14:prstDash w14:val="solid"/>
                  <w14:round/>
                </w14:textOutline>
                <w14:props3d w14:extrusionH="57150" w14:contourW="0" w14:prstMaterial="softEdge">
                  <w14:bevelT w14:w="25400" w14:h="38100" w14:prst="circle"/>
                </w14:props3d>
              </w:rPr>
              <w:t xml:space="preserve">an EID application </w:t>
            </w:r>
            <w:r w:rsidRPr="002578EE">
              <w:rPr>
                <w:b w:val="0"/>
                <w:bCs/>
                <w:color w:val="000000" w:themeColor="text1"/>
                <w:sz w:val="22"/>
              </w:rPr>
              <w:t>and considering the different method used in the period (see section 15 of the Safeguard Rule)</w:t>
            </w:r>
            <w:r w:rsidR="00153F7B" w:rsidRPr="002578EE">
              <w:rPr>
                <w:b w:val="0"/>
                <w:bCs/>
                <w:color w:val="000000" w:themeColor="text1"/>
                <w:sz w:val="22"/>
              </w:rPr>
              <w:t>,</w:t>
            </w:r>
            <w:r w:rsidRPr="002578EE">
              <w:rPr>
                <w:b w:val="0"/>
                <w:bCs/>
                <w:color w:val="000000" w:themeColor="text1"/>
                <w:sz w:val="22"/>
              </w:rPr>
              <w:t> </w:t>
            </w:r>
          </w:p>
          <w:p w14:paraId="6EC36518" w14:textId="4AA52A84" w:rsidR="00A22EFD" w:rsidRPr="002578EE" w:rsidRDefault="00A22EFD" w:rsidP="001F7F53">
            <w:pPr>
              <w:numPr>
                <w:ilvl w:val="0"/>
                <w:numId w:val="105"/>
              </w:numPr>
              <w:spacing w:after="0"/>
              <w:rPr>
                <w:b w:val="0"/>
                <w:bCs/>
                <w:color w:val="000000" w:themeColor="text1"/>
                <w:sz w:val="22"/>
              </w:rPr>
            </w:pPr>
            <w:r w:rsidRPr="002578EE">
              <w:rPr>
                <w:b w:val="0"/>
                <w:bCs/>
                <w:color w:val="000000" w:themeColor="text1"/>
                <w:sz w:val="22"/>
              </w:rPr>
              <w:t xml:space="preserve">updated FSEI number for each applicable production variable calculated on the same basis as section 20 of the Safeguard Rule, </w:t>
            </w:r>
          </w:p>
          <w:p w14:paraId="77B87FC0" w14:textId="163753BF" w:rsidR="00A22EFD" w:rsidRPr="002578EE" w:rsidRDefault="00A22EFD" w:rsidP="001F7F53">
            <w:pPr>
              <w:numPr>
                <w:ilvl w:val="0"/>
                <w:numId w:val="105"/>
              </w:numPr>
              <w:spacing w:after="0"/>
              <w:rPr>
                <w:b w:val="0"/>
                <w:bCs/>
                <w:color w:val="000000" w:themeColor="text1"/>
                <w:sz w:val="22"/>
              </w:rPr>
            </w:pPr>
            <w:r w:rsidRPr="002578EE">
              <w:rPr>
                <w:b w:val="0"/>
                <w:bCs/>
                <w:color w:val="000000" w:themeColor="text1"/>
                <w:sz w:val="22"/>
              </w:rPr>
              <w:t xml:space="preserve">information explaining how the updated covered emissions were calculated and information about any estimates and assumptions made that relate to the re-calculation of historic covered emissions to adjust for the different method used in the period, </w:t>
            </w:r>
          </w:p>
          <w:p w14:paraId="7159FFC4" w14:textId="6CC1D1A1" w:rsidR="00A22EFD" w:rsidRPr="002578EE" w:rsidRDefault="00361012" w:rsidP="001F7F53">
            <w:pPr>
              <w:numPr>
                <w:ilvl w:val="0"/>
                <w:numId w:val="105"/>
              </w:numPr>
              <w:spacing w:after="0"/>
              <w:rPr>
                <w:sz w:val="22"/>
              </w:rPr>
            </w:pPr>
            <w:r w:rsidRPr="002578EE">
              <w:rPr>
                <w:b w:val="0"/>
                <w:bCs/>
                <w:color w:val="000000" w:themeColor="text1"/>
                <w:sz w:val="22"/>
              </w:rPr>
              <w:t>a</w:t>
            </w:r>
            <w:r w:rsidR="00A22EFD" w:rsidRPr="002578EE">
              <w:rPr>
                <w:b w:val="0"/>
                <w:bCs/>
                <w:color w:val="000000" w:themeColor="text1"/>
                <w:sz w:val="22"/>
              </w:rPr>
              <w:t>ny other specified information identified that will assist in ensuring the facilities emissions intensity reflect the current emissions profile of the facility.</w:t>
            </w:r>
            <w:r w:rsidR="00A22EFD" w:rsidRPr="002578EE">
              <w:rPr>
                <w:color w:val="000000" w:themeColor="text1"/>
                <w:sz w:val="22"/>
              </w:rPr>
              <w:t xml:space="preserve">  </w:t>
            </w:r>
          </w:p>
        </w:tc>
      </w:tr>
    </w:tbl>
    <w:p w14:paraId="76F43E7D" w14:textId="1E6717D5" w:rsidR="00A22EFD" w:rsidRPr="002578EE" w:rsidRDefault="00A22EFD" w:rsidP="00643AFB">
      <w:pPr>
        <w:spacing w:after="0"/>
      </w:pPr>
    </w:p>
    <w:p w14:paraId="130E3255" w14:textId="77777777" w:rsidR="00643AFB" w:rsidRPr="002578EE" w:rsidRDefault="00643AFB" w:rsidP="00643AFB">
      <w:pPr>
        <w:spacing w:after="0"/>
      </w:pPr>
      <w:r w:rsidRPr="002578EE">
        <w:t>In making a variation, the CER will generally re-apply any changed conditions to the historical data from the EID application to ensure consistency across facilities in how FSEI numbers in EIDs are set. </w:t>
      </w:r>
    </w:p>
    <w:p w14:paraId="55320DAD" w14:textId="77777777" w:rsidR="00C12507" w:rsidRPr="002578EE" w:rsidRDefault="00C12507" w:rsidP="00643AFB">
      <w:pPr>
        <w:spacing w:after="0"/>
      </w:pPr>
    </w:p>
    <w:p w14:paraId="77807851" w14:textId="0E40C551" w:rsidR="00643AFB" w:rsidRPr="002578EE" w:rsidRDefault="00643AFB" w:rsidP="00643AFB">
      <w:pPr>
        <w:spacing w:after="0"/>
      </w:pPr>
      <w:r w:rsidRPr="002578EE">
        <w:rPr>
          <w:b/>
          <w:bCs/>
        </w:rPr>
        <w:t>Step 2</w:t>
      </w:r>
      <w:r w:rsidR="009C2E6C" w:rsidRPr="002578EE">
        <w:rPr>
          <w:b/>
          <w:bCs/>
        </w:rPr>
        <w:t xml:space="preserve"> – </w:t>
      </w:r>
      <w:r w:rsidR="00051280" w:rsidRPr="002578EE">
        <w:rPr>
          <w:b/>
          <w:bCs/>
        </w:rPr>
        <w:t>Notice of p</w:t>
      </w:r>
      <w:r w:rsidRPr="002578EE">
        <w:rPr>
          <w:b/>
          <w:bCs/>
        </w:rPr>
        <w:t>roposed</w:t>
      </w:r>
      <w:r w:rsidR="009C2E6C" w:rsidRPr="002578EE">
        <w:rPr>
          <w:b/>
          <w:bCs/>
        </w:rPr>
        <w:t xml:space="preserve"> </w:t>
      </w:r>
      <w:r w:rsidRPr="002578EE">
        <w:rPr>
          <w:b/>
          <w:bCs/>
        </w:rPr>
        <w:t>variation</w:t>
      </w:r>
    </w:p>
    <w:p w14:paraId="72CD369E" w14:textId="77777777" w:rsidR="00DC34C1" w:rsidRPr="002578EE" w:rsidRDefault="00DC34C1" w:rsidP="00643AFB">
      <w:pPr>
        <w:spacing w:after="0"/>
      </w:pPr>
    </w:p>
    <w:p w14:paraId="1694AC32" w14:textId="65DE6E45" w:rsidR="00643AFB" w:rsidRPr="002578EE" w:rsidRDefault="00643AFB" w:rsidP="00643AFB">
      <w:pPr>
        <w:spacing w:after="0"/>
      </w:pPr>
      <w:r w:rsidRPr="002578EE">
        <w:t xml:space="preserve">If the CER proposes to vary a </w:t>
      </w:r>
      <w:r w:rsidR="00951538" w:rsidRPr="002578EE">
        <w:t>FSE</w:t>
      </w:r>
      <w:r w:rsidR="00D26A94" w:rsidRPr="002578EE">
        <w:t>I</w:t>
      </w:r>
      <w:r w:rsidRPr="002578EE">
        <w:t xml:space="preserve"> number it must send a notice, under section 28, to the responsible emitter advising of the proposed variation. This notice must: </w:t>
      </w:r>
    </w:p>
    <w:p w14:paraId="609EBBE0" w14:textId="39962890" w:rsidR="00643AFB" w:rsidRPr="002578EE" w:rsidRDefault="00B04B6D" w:rsidP="002477E0">
      <w:pPr>
        <w:numPr>
          <w:ilvl w:val="0"/>
          <w:numId w:val="63"/>
        </w:numPr>
        <w:spacing w:after="0"/>
      </w:pPr>
      <w:r w:rsidRPr="002578EE">
        <w:t>s</w:t>
      </w:r>
      <w:r w:rsidR="00643AFB" w:rsidRPr="002578EE">
        <w:t xml:space="preserve">pecify the proposed change to the </w:t>
      </w:r>
      <w:r w:rsidR="00951538" w:rsidRPr="002578EE">
        <w:t>FSE</w:t>
      </w:r>
      <w:r w:rsidR="00FC6F1F" w:rsidRPr="002578EE">
        <w:t>I</w:t>
      </w:r>
      <w:r w:rsidR="00643AFB" w:rsidRPr="002578EE">
        <w:t>, and  </w:t>
      </w:r>
    </w:p>
    <w:p w14:paraId="449A65AE" w14:textId="712AC95B" w:rsidR="00643AFB" w:rsidRPr="002578EE" w:rsidRDefault="00B04B6D" w:rsidP="002477E0">
      <w:pPr>
        <w:numPr>
          <w:ilvl w:val="0"/>
          <w:numId w:val="63"/>
        </w:numPr>
        <w:spacing w:after="0"/>
      </w:pPr>
      <w:r w:rsidRPr="002578EE">
        <w:t>i</w:t>
      </w:r>
      <w:r w:rsidR="00643AFB" w:rsidRPr="002578EE">
        <w:t>nvite the responsible emitter to respond in writing within a defined timeframe. </w:t>
      </w:r>
    </w:p>
    <w:p w14:paraId="723B8DDD" w14:textId="2FFCA8C7" w:rsidR="00643AFB" w:rsidRPr="002578EE" w:rsidRDefault="00643AFB" w:rsidP="00643AFB">
      <w:pPr>
        <w:spacing w:after="0"/>
      </w:pPr>
    </w:p>
    <w:p w14:paraId="71BE4654" w14:textId="77777777" w:rsidR="00643AFB" w:rsidRPr="002578EE" w:rsidRDefault="00643AFB" w:rsidP="00643AFB">
      <w:pPr>
        <w:spacing w:after="0"/>
      </w:pPr>
      <w:r w:rsidRPr="002578EE">
        <w:t>This notice may also request the responsible emitter to provide specific information that is considered relevant to the proposed variation.   </w:t>
      </w:r>
    </w:p>
    <w:p w14:paraId="2B9CE5D9" w14:textId="1D5E6B69" w:rsidR="00643AFB" w:rsidRPr="002578EE" w:rsidRDefault="00643AFB" w:rsidP="00643AFB">
      <w:pPr>
        <w:spacing w:after="0"/>
      </w:pPr>
    </w:p>
    <w:p w14:paraId="3D2A8DE0" w14:textId="008D1629" w:rsidR="00643AFB" w:rsidRPr="002578EE" w:rsidRDefault="00643AFB" w:rsidP="00643AFB">
      <w:pPr>
        <w:spacing w:after="0"/>
      </w:pPr>
      <w:r w:rsidRPr="002578EE">
        <w:rPr>
          <w:b/>
          <w:bCs/>
        </w:rPr>
        <w:t>Step 3</w:t>
      </w:r>
      <w:r w:rsidR="009C2E6C" w:rsidRPr="002578EE">
        <w:rPr>
          <w:b/>
          <w:bCs/>
        </w:rPr>
        <w:t xml:space="preserve"> – </w:t>
      </w:r>
      <w:r w:rsidRPr="002578EE">
        <w:rPr>
          <w:b/>
          <w:bCs/>
        </w:rPr>
        <w:t>Decision</w:t>
      </w:r>
      <w:r w:rsidR="009C2E6C" w:rsidRPr="002578EE">
        <w:rPr>
          <w:b/>
          <w:bCs/>
        </w:rPr>
        <w:t xml:space="preserve"> </w:t>
      </w:r>
      <w:r w:rsidRPr="002578EE">
        <w:rPr>
          <w:b/>
          <w:bCs/>
        </w:rPr>
        <w:t>timeframe</w:t>
      </w:r>
    </w:p>
    <w:p w14:paraId="730C9930" w14:textId="77777777" w:rsidR="00DC34C1" w:rsidRPr="002578EE" w:rsidRDefault="00DC34C1" w:rsidP="00643AFB">
      <w:pPr>
        <w:spacing w:after="0"/>
      </w:pPr>
    </w:p>
    <w:p w14:paraId="24918E43" w14:textId="246D5C59" w:rsidR="00643AFB" w:rsidRPr="002578EE" w:rsidRDefault="00643AFB" w:rsidP="00643AFB">
      <w:pPr>
        <w:spacing w:after="0"/>
      </w:pPr>
      <w:r w:rsidRPr="002578EE">
        <w:t>Within 30 days after the end of the period specified in the notice, the CER must consider the response from the proposed variation notice (if any) and decide</w:t>
      </w:r>
      <w:r w:rsidR="00FD1720" w:rsidRPr="002578EE">
        <w:t xml:space="preserve"> </w:t>
      </w:r>
      <w:r w:rsidRPr="002578EE">
        <w:t>to make or not make the variation. </w:t>
      </w:r>
    </w:p>
    <w:p w14:paraId="7F0B698B" w14:textId="6BB0C82B" w:rsidR="00643AFB" w:rsidRPr="002578EE" w:rsidRDefault="00643AFB" w:rsidP="00643AFB">
      <w:pPr>
        <w:spacing w:after="0"/>
      </w:pPr>
    </w:p>
    <w:p w14:paraId="193B29A8" w14:textId="58BFFF07" w:rsidR="00643AFB" w:rsidRPr="002578EE" w:rsidRDefault="00643AFB" w:rsidP="00643AFB">
      <w:pPr>
        <w:spacing w:after="0"/>
      </w:pPr>
      <w:r w:rsidRPr="002578EE">
        <w:t>The variation must be made on or before the 31 January following the end of the reporting period in which it would take effect. For example, for the 2024-25 period, which started on 1 June 2024, the variation must be finalised prior to 31 January 2026. </w:t>
      </w:r>
    </w:p>
    <w:p w14:paraId="0CD5D070" w14:textId="77777777" w:rsidR="003F0C7B" w:rsidRPr="002578EE" w:rsidRDefault="003F0C7B" w:rsidP="00643AFB">
      <w:pPr>
        <w:spacing w:after="0"/>
      </w:pPr>
    </w:p>
    <w:p w14:paraId="36B6E81A" w14:textId="59A05E3A" w:rsidR="003F0C7B" w:rsidRPr="002578EE" w:rsidRDefault="005D59CF" w:rsidP="00643AFB">
      <w:pPr>
        <w:spacing w:after="0"/>
      </w:pPr>
      <w:r w:rsidRPr="002578EE">
        <w:t>The variation comes into force on the first day of the first financial year in which the relevant regulatory change came into force</w:t>
      </w:r>
      <w:r w:rsidR="001E33EF" w:rsidRPr="002578EE">
        <w:t>,</w:t>
      </w:r>
      <w:r w:rsidRPr="002578EE">
        <w:t xml:space="preserve"> different method was </w:t>
      </w:r>
      <w:r w:rsidR="00177FC8" w:rsidRPr="002578EE">
        <w:t>used or</w:t>
      </w:r>
      <w:r w:rsidRPr="002578EE">
        <w:t xml:space="preserve"> change of activities occurr</w:t>
      </w:r>
      <w:r w:rsidR="001E33EF" w:rsidRPr="002578EE">
        <w:t xml:space="preserve">ed. </w:t>
      </w:r>
    </w:p>
    <w:p w14:paraId="6456EB2F" w14:textId="77777777" w:rsidR="00A40AF0" w:rsidRPr="002578EE" w:rsidRDefault="00A40AF0" w:rsidP="00643AFB">
      <w:pPr>
        <w:spacing w:after="0"/>
        <w:rPr>
          <w:b/>
          <w:bCs/>
        </w:rPr>
      </w:pPr>
    </w:p>
    <w:p w14:paraId="4897018F" w14:textId="127C95A8" w:rsidR="00643AFB" w:rsidRPr="002578EE" w:rsidRDefault="00643AFB" w:rsidP="00643AFB">
      <w:pPr>
        <w:spacing w:after="0"/>
      </w:pPr>
      <w:r w:rsidRPr="002578EE">
        <w:rPr>
          <w:b/>
          <w:bCs/>
        </w:rPr>
        <w:t>Step 4</w:t>
      </w:r>
      <w:r w:rsidR="009C2E6C" w:rsidRPr="002578EE">
        <w:rPr>
          <w:b/>
          <w:bCs/>
        </w:rPr>
        <w:t xml:space="preserve"> –</w:t>
      </w:r>
      <w:r w:rsidRPr="002578EE">
        <w:rPr>
          <w:b/>
          <w:bCs/>
        </w:rPr>
        <w:t xml:space="preserve"> </w:t>
      </w:r>
      <w:r w:rsidR="00E30085" w:rsidRPr="002578EE">
        <w:rPr>
          <w:b/>
          <w:bCs/>
        </w:rPr>
        <w:t>Decision and p</w:t>
      </w:r>
      <w:r w:rsidRPr="002578EE">
        <w:rPr>
          <w:b/>
          <w:bCs/>
        </w:rPr>
        <w:t>ublication</w:t>
      </w:r>
    </w:p>
    <w:p w14:paraId="70B1B8DA" w14:textId="77777777" w:rsidR="00DC34C1" w:rsidRPr="002578EE" w:rsidRDefault="00DC34C1" w:rsidP="00643AFB">
      <w:pPr>
        <w:spacing w:after="0"/>
      </w:pPr>
    </w:p>
    <w:p w14:paraId="683952FD" w14:textId="77777777" w:rsidR="00BB2ACE" w:rsidRPr="002578EE" w:rsidRDefault="00BB2ACE" w:rsidP="00BB2ACE">
      <w:pPr>
        <w:spacing w:after="0"/>
      </w:pPr>
      <w:r w:rsidRPr="002578EE">
        <w:t>The CER must notify the responsible emitter of the decision. </w:t>
      </w:r>
    </w:p>
    <w:p w14:paraId="6FCA8E3D" w14:textId="77777777" w:rsidR="00BB2ACE" w:rsidRPr="002578EE" w:rsidRDefault="00BB2ACE" w:rsidP="00643AFB">
      <w:pPr>
        <w:spacing w:after="0"/>
      </w:pPr>
    </w:p>
    <w:p w14:paraId="3EB16E8B" w14:textId="3691D40C" w:rsidR="00643AFB" w:rsidRPr="002578EE" w:rsidRDefault="001E73F2" w:rsidP="00643AFB">
      <w:pPr>
        <w:spacing w:after="0"/>
      </w:pPr>
      <w:r w:rsidRPr="002578EE">
        <w:t>The CER must</w:t>
      </w:r>
      <w:r w:rsidR="00643AFB" w:rsidRPr="002578EE">
        <w:t xml:space="preserve"> publish the following information about new and varied EIDs:</w:t>
      </w:r>
    </w:p>
    <w:p w14:paraId="28467E63" w14:textId="77777777" w:rsidR="00B159ED" w:rsidRPr="002578EE" w:rsidRDefault="00B159ED" w:rsidP="00643AFB">
      <w:pPr>
        <w:spacing w:after="0"/>
      </w:pPr>
    </w:p>
    <w:p w14:paraId="37EA97D3" w14:textId="77777777" w:rsidR="00643AFB" w:rsidRPr="002578EE" w:rsidRDefault="00643AFB" w:rsidP="002477E0">
      <w:pPr>
        <w:numPr>
          <w:ilvl w:val="0"/>
          <w:numId w:val="63"/>
        </w:numPr>
        <w:spacing w:after="0"/>
      </w:pPr>
      <w:r w:rsidRPr="002578EE">
        <w:t>the FSEI values of any historical, transitional or related production variables </w:t>
      </w:r>
    </w:p>
    <w:p w14:paraId="3DCF3E83" w14:textId="77777777" w:rsidR="00643AFB" w:rsidRPr="002578EE" w:rsidRDefault="00643AFB" w:rsidP="002477E0">
      <w:pPr>
        <w:numPr>
          <w:ilvl w:val="0"/>
          <w:numId w:val="63"/>
        </w:numPr>
        <w:spacing w:after="0"/>
      </w:pPr>
      <w:r w:rsidRPr="002578EE">
        <w:t>whether a production variable is a related or comparative production variable. </w:t>
      </w:r>
    </w:p>
    <w:p w14:paraId="4D1F618F" w14:textId="77777777" w:rsidR="00BB4A00" w:rsidRPr="002578EE" w:rsidRDefault="00BB4A00" w:rsidP="00BB4A00">
      <w:pPr>
        <w:spacing w:after="0"/>
      </w:pPr>
    </w:p>
    <w:p w14:paraId="529DFEA8" w14:textId="15A9DD5A" w:rsidR="00643AFB" w:rsidRPr="002578EE" w:rsidRDefault="00BB4A00" w:rsidP="00643AFB">
      <w:pPr>
        <w:spacing w:after="0"/>
      </w:pPr>
      <w:r w:rsidRPr="002578EE">
        <w:t xml:space="preserve">For further information about the process, please contact the CER Safeguard team at </w:t>
      </w:r>
      <w:hyperlink r:id="rId65" w:history="1">
        <w:r w:rsidRPr="002578EE">
          <w:rPr>
            <w:rStyle w:val="Hyperlink"/>
          </w:rPr>
          <w:t>CER-safeguardbaselines@cer.gov.au</w:t>
        </w:r>
      </w:hyperlink>
      <w:r w:rsidRPr="002578EE">
        <w:t>.</w:t>
      </w:r>
    </w:p>
    <w:p w14:paraId="123F4F6C" w14:textId="77777777" w:rsidR="00643AFB" w:rsidRPr="002578EE" w:rsidRDefault="00643AFB" w:rsidP="00C52FB5">
      <w:pPr>
        <w:pStyle w:val="Heading2"/>
      </w:pPr>
      <w:bookmarkStart w:id="283" w:name="_Toc208216281"/>
      <w:r w:rsidRPr="002578EE">
        <w:rPr>
          <w:rFonts w:eastAsiaTheme="minorEastAsia"/>
        </w:rPr>
        <w:t>Successor emissions-intensity determinations</w:t>
      </w:r>
      <w:bookmarkEnd w:id="283"/>
      <w:r w:rsidRPr="002578EE">
        <w:t> </w:t>
      </w:r>
    </w:p>
    <w:p w14:paraId="494AD51F" w14:textId="77777777" w:rsidR="00DC34C1" w:rsidRPr="002578EE" w:rsidRDefault="00DC34C1" w:rsidP="00643AFB">
      <w:pPr>
        <w:spacing w:after="0"/>
      </w:pPr>
    </w:p>
    <w:p w14:paraId="21D6944A" w14:textId="3523F102" w:rsidR="00643AFB" w:rsidRPr="002578EE" w:rsidRDefault="00643AFB" w:rsidP="00643AFB">
      <w:pPr>
        <w:spacing w:after="0"/>
      </w:pPr>
      <w:r w:rsidRPr="002578EE">
        <w:t xml:space="preserve">The CER may make a successor determination </w:t>
      </w:r>
      <w:r w:rsidR="003F0C7B" w:rsidRPr="002578EE">
        <w:t>in</w:t>
      </w:r>
      <w:r w:rsidRPr="002578EE">
        <w:t xml:space="preserve"> </w:t>
      </w:r>
      <w:r w:rsidR="00164D83" w:rsidRPr="002578EE">
        <w:t>specified</w:t>
      </w:r>
      <w:r w:rsidRPr="002578EE">
        <w:t xml:space="preserve"> situations where a change in the structure of a facility occurs</w:t>
      </w:r>
      <w:r w:rsidR="00ED037A" w:rsidRPr="002578EE">
        <w:t xml:space="preserve"> for a facility with an existing EID</w:t>
      </w:r>
      <w:r w:rsidRPr="002578EE">
        <w:t xml:space="preserve">. </w:t>
      </w:r>
    </w:p>
    <w:p w14:paraId="50E3484B" w14:textId="77777777" w:rsidR="00DC34C1" w:rsidRPr="002578EE" w:rsidRDefault="00DC34C1" w:rsidP="00643AFB">
      <w:pPr>
        <w:spacing w:after="0"/>
      </w:pPr>
    </w:p>
    <w:p w14:paraId="40039B3F" w14:textId="0B58AF82" w:rsidR="00643AFB" w:rsidRPr="002578EE" w:rsidRDefault="00643AFB" w:rsidP="00643AFB">
      <w:pPr>
        <w:spacing w:after="0"/>
      </w:pPr>
      <w:r w:rsidRPr="002578EE">
        <w:t xml:space="preserve">The successor determination allows a facility that has undergone a change of structure to </w:t>
      </w:r>
      <w:r w:rsidR="00DB303F" w:rsidRPr="002578EE">
        <w:t>have an</w:t>
      </w:r>
      <w:r w:rsidRPr="002578EE">
        <w:t xml:space="preserve"> </w:t>
      </w:r>
      <w:r w:rsidR="00F74EB1" w:rsidRPr="002578EE">
        <w:t>FSEI</w:t>
      </w:r>
      <w:r w:rsidRPr="002578EE">
        <w:t xml:space="preserve"> </w:t>
      </w:r>
      <w:r w:rsidR="00164D83" w:rsidRPr="002578EE">
        <w:t>or FSEIs</w:t>
      </w:r>
      <w:r w:rsidRPr="002578EE">
        <w:t xml:space="preserve"> </w:t>
      </w:r>
      <w:r w:rsidR="00DB303F" w:rsidRPr="002578EE">
        <w:t>set</w:t>
      </w:r>
      <w:r w:rsidRPr="002578EE">
        <w:t xml:space="preserve"> </w:t>
      </w:r>
      <w:r w:rsidR="00DB303F" w:rsidRPr="002578EE">
        <w:t>for</w:t>
      </w:r>
      <w:r w:rsidRPr="002578EE">
        <w:t xml:space="preserve"> the facility</w:t>
      </w:r>
      <w:r w:rsidR="00DB303F" w:rsidRPr="002578EE">
        <w:t xml:space="preserve"> or </w:t>
      </w:r>
      <w:r w:rsidRPr="002578EE">
        <w:t>facilities impacted by that change of structure.  </w:t>
      </w:r>
    </w:p>
    <w:p w14:paraId="7C919D18" w14:textId="77777777" w:rsidR="00DC34C1" w:rsidRPr="002578EE" w:rsidRDefault="00DC34C1" w:rsidP="00643AFB">
      <w:pPr>
        <w:spacing w:after="0"/>
      </w:pPr>
    </w:p>
    <w:p w14:paraId="34706F6D" w14:textId="0D91CAE1" w:rsidR="00DC34C1" w:rsidRPr="002578EE" w:rsidRDefault="00491E6F" w:rsidP="00DC34C1">
      <w:pPr>
        <w:spacing w:after="0"/>
        <w:rPr>
          <w:b/>
          <w:bCs/>
        </w:rPr>
      </w:pPr>
      <w:r w:rsidRPr="002578EE">
        <w:t>If you consider you may need</w:t>
      </w:r>
      <w:r w:rsidR="00BB3C5E" w:rsidRPr="002578EE">
        <w:t xml:space="preserve"> a successor determination</w:t>
      </w:r>
      <w:r w:rsidR="00643AFB" w:rsidRPr="002578EE">
        <w:t xml:space="preserve">, responsible emitters are encouraged to contact </w:t>
      </w:r>
      <w:hyperlink r:id="rId66" w:tgtFrame="_blank" w:history="1">
        <w:r w:rsidR="00643AFB" w:rsidRPr="002578EE">
          <w:rPr>
            <w:rStyle w:val="Hyperlink"/>
          </w:rPr>
          <w:t>CER-safeguardbaselines@cer.gov.au</w:t>
        </w:r>
      </w:hyperlink>
      <w:r w:rsidR="00643AFB" w:rsidRPr="002578EE">
        <w:t xml:space="preserve"> and </w:t>
      </w:r>
      <w:hyperlink r:id="rId67" w:tgtFrame="_blank" w:history="1">
        <w:r w:rsidR="00643AFB" w:rsidRPr="002578EE">
          <w:rPr>
            <w:rStyle w:val="Hyperlink"/>
          </w:rPr>
          <w:t>cer-nger-reporting@cer.gov.au</w:t>
        </w:r>
      </w:hyperlink>
      <w:r w:rsidR="00BB3C5E" w:rsidRPr="002578EE">
        <w:t xml:space="preserve"> to p</w:t>
      </w:r>
      <w:r w:rsidR="00643AFB" w:rsidRPr="002578EE">
        <w:t>rovid</w:t>
      </w:r>
      <w:r w:rsidR="00BB3C5E" w:rsidRPr="002578EE">
        <w:t>e</w:t>
      </w:r>
      <w:r w:rsidR="00643AFB" w:rsidRPr="002578EE">
        <w:t xml:space="preserve"> details of their intended facility change</w:t>
      </w:r>
      <w:r w:rsidR="00BB3C5E" w:rsidRPr="002578EE">
        <w:t xml:space="preserve">. </w:t>
      </w:r>
      <w:r w:rsidR="00F87B90" w:rsidRPr="002578EE">
        <w:t xml:space="preserve">This would initiate the CER’s consideration of </w:t>
      </w:r>
      <w:r w:rsidR="00164D83" w:rsidRPr="002578EE">
        <w:t xml:space="preserve">the facility definition and </w:t>
      </w:r>
      <w:r w:rsidR="00F87B90" w:rsidRPr="002578EE">
        <w:t xml:space="preserve">a </w:t>
      </w:r>
      <w:r w:rsidR="00B37B06" w:rsidRPr="002578EE">
        <w:t>potential successor determination.</w:t>
      </w:r>
    </w:p>
    <w:p w14:paraId="52AC644D" w14:textId="050E885B" w:rsidR="00643AFB" w:rsidRPr="002578EE" w:rsidRDefault="00643AFB" w:rsidP="00C52FB5">
      <w:pPr>
        <w:pStyle w:val="Heading3"/>
      </w:pPr>
      <w:r w:rsidRPr="002578EE">
        <w:rPr>
          <w:rFonts w:eastAsiaTheme="minorEastAsia"/>
        </w:rPr>
        <w:t>Requirements</w:t>
      </w:r>
    </w:p>
    <w:p w14:paraId="2626C4A8" w14:textId="21E8ADD7" w:rsidR="00DC34C1" w:rsidRPr="002578EE" w:rsidRDefault="00643AFB" w:rsidP="000A0697">
      <w:pPr>
        <w:spacing w:before="240" w:after="0"/>
      </w:pPr>
      <w:r w:rsidRPr="002578EE">
        <w:t>For a successor determination to be made, the CER must be satisfied that the facility meets two legislative requirements under section 24.</w:t>
      </w:r>
    </w:p>
    <w:p w14:paraId="6F299B34" w14:textId="77777777" w:rsidR="004C6BC6" w:rsidRPr="002578EE" w:rsidRDefault="004C6BC6" w:rsidP="00643AFB">
      <w:pPr>
        <w:spacing w:after="0"/>
      </w:pPr>
    </w:p>
    <w:p w14:paraId="65314556" w14:textId="4569B184" w:rsidR="00DC34C1" w:rsidRPr="002578EE" w:rsidRDefault="00643AFB" w:rsidP="00643AFB">
      <w:pPr>
        <w:spacing w:after="0"/>
      </w:pPr>
      <w:r w:rsidRPr="002578EE">
        <w:t xml:space="preserve">The </w:t>
      </w:r>
      <w:r w:rsidR="000511C8" w:rsidRPr="002578EE">
        <w:t>first</w:t>
      </w:r>
      <w:r w:rsidRPr="002578EE">
        <w:t xml:space="preserve"> requirement</w:t>
      </w:r>
      <w:r w:rsidR="000511C8" w:rsidRPr="002578EE">
        <w:t xml:space="preserve"> is that the</w:t>
      </w:r>
      <w:r w:rsidRPr="002578EE">
        <w:t xml:space="preserve"> facility ceases to constitute the original facility</w:t>
      </w:r>
      <w:r w:rsidR="005D2994" w:rsidRPr="002578EE">
        <w:t xml:space="preserve">. </w:t>
      </w:r>
    </w:p>
    <w:p w14:paraId="0FB749EF" w14:textId="77777777" w:rsidR="004C6BC6" w:rsidRPr="002578EE" w:rsidRDefault="004C6BC6" w:rsidP="00643AFB">
      <w:pPr>
        <w:spacing w:after="0"/>
      </w:pPr>
    </w:p>
    <w:p w14:paraId="0BB16DBB" w14:textId="02CBF551" w:rsidR="00643AFB" w:rsidRPr="002578EE" w:rsidRDefault="0013711C" w:rsidP="00643AFB">
      <w:pPr>
        <w:spacing w:after="0"/>
      </w:pPr>
      <w:r w:rsidRPr="002578EE">
        <w:t xml:space="preserve">Second, </w:t>
      </w:r>
      <w:r w:rsidR="001459FB" w:rsidRPr="002578EE">
        <w:t xml:space="preserve">it is a requirement that </w:t>
      </w:r>
      <w:r w:rsidRPr="002578EE">
        <w:t>the ori</w:t>
      </w:r>
      <w:r w:rsidR="005E53C5" w:rsidRPr="002578EE">
        <w:t>ginal facility either:</w:t>
      </w:r>
    </w:p>
    <w:p w14:paraId="17E8F140" w14:textId="77777777" w:rsidR="00B159ED" w:rsidRPr="002578EE" w:rsidRDefault="00B159ED" w:rsidP="00643AFB">
      <w:pPr>
        <w:spacing w:after="0"/>
      </w:pPr>
    </w:p>
    <w:p w14:paraId="30CB5CFA" w14:textId="77777777" w:rsidR="00643AFB" w:rsidRPr="002578EE" w:rsidRDefault="00643AFB" w:rsidP="002477E0">
      <w:pPr>
        <w:numPr>
          <w:ilvl w:val="0"/>
          <w:numId w:val="63"/>
        </w:numPr>
        <w:spacing w:after="0"/>
      </w:pPr>
      <w:r w:rsidRPr="002578EE">
        <w:t>begins to constitute one or more other facilities, or </w:t>
      </w:r>
    </w:p>
    <w:p w14:paraId="04BAA596" w14:textId="1D5112E8" w:rsidR="00643AFB" w:rsidRPr="002578EE" w:rsidRDefault="00643AFB" w:rsidP="002477E0">
      <w:pPr>
        <w:numPr>
          <w:ilvl w:val="0"/>
          <w:numId w:val="63"/>
        </w:numPr>
        <w:spacing w:after="0"/>
      </w:pPr>
      <w:r w:rsidRPr="002578EE">
        <w:t>becomes included in the activity, or series of activities that constitute another facility. </w:t>
      </w:r>
    </w:p>
    <w:p w14:paraId="72E22D88" w14:textId="77777777" w:rsidR="00DC34C1" w:rsidRPr="002578EE" w:rsidRDefault="00DC34C1" w:rsidP="00643AFB">
      <w:pPr>
        <w:spacing w:after="0"/>
      </w:pPr>
    </w:p>
    <w:p w14:paraId="4D01ACF2" w14:textId="606BFDB2" w:rsidR="00DC34C1" w:rsidRPr="002578EE" w:rsidRDefault="00A73265" w:rsidP="00DC34C1">
      <w:pPr>
        <w:spacing w:after="0"/>
      </w:pPr>
      <w:r w:rsidRPr="00521F52">
        <w:t>T</w:t>
      </w:r>
      <w:r w:rsidR="00643AFB" w:rsidRPr="00521F52">
        <w:t xml:space="preserve">he CER </w:t>
      </w:r>
      <w:r w:rsidR="00ED098B" w:rsidRPr="00521F52">
        <w:t>may have regard to</w:t>
      </w:r>
      <w:r w:rsidR="00643AFB" w:rsidRPr="00521F52">
        <w:t xml:space="preserve"> any matter </w:t>
      </w:r>
      <w:r w:rsidR="00631F3B" w:rsidRPr="00521F52">
        <w:t xml:space="preserve">it </w:t>
      </w:r>
      <w:r w:rsidR="00643AFB" w:rsidRPr="00521F52">
        <w:t>consider</w:t>
      </w:r>
      <w:r w:rsidR="00631F3B" w:rsidRPr="00521F52">
        <w:t>s</w:t>
      </w:r>
      <w:r w:rsidR="00643AFB" w:rsidRPr="00521F52">
        <w:t xml:space="preserve"> relevant to establishing if a successor determination may be made.</w:t>
      </w:r>
      <w:r w:rsidR="002F5115" w:rsidRPr="002578EE">
        <w:t xml:space="preserve"> </w:t>
      </w:r>
    </w:p>
    <w:p w14:paraId="4C1B0C3E" w14:textId="22E026D4" w:rsidR="00643AFB" w:rsidRPr="00B416E3" w:rsidRDefault="00643AFB" w:rsidP="00C8218D">
      <w:pPr>
        <w:pStyle w:val="Heading3"/>
      </w:pPr>
      <w:r w:rsidRPr="00B416E3">
        <w:rPr>
          <w:rFonts w:eastAsiaTheme="minorEastAsia"/>
        </w:rPr>
        <w:t>Timeframe</w:t>
      </w:r>
    </w:p>
    <w:p w14:paraId="546DEB9F" w14:textId="77777777" w:rsidR="00A331D2" w:rsidRDefault="00CA140C" w:rsidP="0077672B">
      <w:pPr>
        <w:spacing w:before="240" w:after="0"/>
      </w:pPr>
      <w:r w:rsidRPr="00521F52">
        <w:t xml:space="preserve">If the successor determination would increase the baseline for a facility, the determination </w:t>
      </w:r>
      <w:r w:rsidR="00C1372C" w:rsidRPr="00C1372C">
        <w:t>can be made in the same financial year that it would apply to or in the financial year immediately after the financial year it would apply to.</w:t>
      </w:r>
    </w:p>
    <w:p w14:paraId="4A07F82F" w14:textId="64024456" w:rsidR="00CA140C" w:rsidRPr="00521F52" w:rsidRDefault="00A331D2" w:rsidP="0077672B">
      <w:pPr>
        <w:spacing w:before="240" w:after="0"/>
      </w:pPr>
      <w:r w:rsidRPr="00A331D2">
        <w:t>For example, if a successor determination would increase the facility’s baseline, a successor determination that applies to the 2024-2025 financial year could be made during the 2024-2025 financial year or after 1 July 2025 in the 2025-26 financial year. The determination would be expressed to apply from 1 July 2024.</w:t>
      </w:r>
      <w:r w:rsidR="00CA140C" w:rsidRPr="00521F52">
        <w:t xml:space="preserve"> </w:t>
      </w:r>
    </w:p>
    <w:p w14:paraId="24229FF2" w14:textId="77777777" w:rsidR="00CA140C" w:rsidRPr="00521F52" w:rsidRDefault="00CA140C" w:rsidP="00CA140C">
      <w:pPr>
        <w:spacing w:after="0"/>
      </w:pPr>
    </w:p>
    <w:p w14:paraId="2EC8EFE1" w14:textId="00528A71" w:rsidR="00CA140C" w:rsidRPr="00521F52" w:rsidRDefault="00CA140C" w:rsidP="00CA140C">
      <w:pPr>
        <w:spacing w:after="0"/>
      </w:pPr>
      <w:r w:rsidRPr="00521F52">
        <w:t xml:space="preserve">If the determination would not increase the baseline for the facility, then the determination </w:t>
      </w:r>
      <w:r w:rsidRPr="00521F52" w:rsidDel="00E06010">
        <w:t xml:space="preserve">must be made </w:t>
      </w:r>
      <w:r w:rsidR="00743879" w:rsidRPr="00521F52" w:rsidDel="00E06010">
        <w:t xml:space="preserve">in the </w:t>
      </w:r>
      <w:r w:rsidR="004D172B" w:rsidRPr="004D172B">
        <w:t>same financial year and would apply from the start of the financial year in which it is made.</w:t>
      </w:r>
    </w:p>
    <w:p w14:paraId="538B38AF" w14:textId="77777777" w:rsidR="00CA140C" w:rsidRPr="00521F52" w:rsidRDefault="00CA140C" w:rsidP="00CA140C">
      <w:pPr>
        <w:spacing w:after="0"/>
      </w:pPr>
    </w:p>
    <w:p w14:paraId="4C36873C" w14:textId="3430AF65" w:rsidR="00CA140C" w:rsidRPr="002578EE" w:rsidRDefault="00405954" w:rsidP="00CA140C">
      <w:pPr>
        <w:spacing w:after="0"/>
      </w:pPr>
      <w:r w:rsidRPr="00405954">
        <w:t>For example, if the determination would not increase the facility’s baseline, the successor determination must be made before 30 June 2026 to apply to the 2025-26 financial year. The determination would be expressed to apply from 1 July 2025.</w:t>
      </w:r>
    </w:p>
    <w:p w14:paraId="699E3A47" w14:textId="1E8BB4E4" w:rsidR="00643AFB" w:rsidRPr="002578EE" w:rsidRDefault="00643AFB" w:rsidP="00C8218D">
      <w:pPr>
        <w:pStyle w:val="Heading3"/>
      </w:pPr>
      <w:r w:rsidRPr="002578EE">
        <w:rPr>
          <w:rFonts w:eastAsiaTheme="minorEastAsia"/>
        </w:rPr>
        <w:t>Process of reviewing a successor determination</w:t>
      </w:r>
    </w:p>
    <w:p w14:paraId="762E952C" w14:textId="223F06F9" w:rsidR="00643AFB" w:rsidRPr="002578EE" w:rsidRDefault="00643AFB" w:rsidP="000A0697">
      <w:pPr>
        <w:spacing w:before="240" w:after="0"/>
      </w:pPr>
      <w:r w:rsidRPr="002578EE">
        <w:t xml:space="preserve">Under Section 25 of the Safeguard Rule, the process for </w:t>
      </w:r>
      <w:r w:rsidR="00F26998" w:rsidRPr="002578EE">
        <w:t xml:space="preserve">making a successor determination </w:t>
      </w:r>
      <w:r w:rsidRPr="002578EE">
        <w:t>includes</w:t>
      </w:r>
      <w:r w:rsidR="00CB217C" w:rsidRPr="002578EE">
        <w:t xml:space="preserve"> </w:t>
      </w:r>
      <w:r w:rsidRPr="002578EE">
        <w:t>the following steps: </w:t>
      </w:r>
    </w:p>
    <w:p w14:paraId="0DC54002" w14:textId="77777777" w:rsidR="00DC34C1" w:rsidRPr="002578EE" w:rsidRDefault="00DC34C1" w:rsidP="00643AFB">
      <w:pPr>
        <w:spacing w:after="0"/>
        <w:rPr>
          <w:b/>
          <w:bCs/>
        </w:rPr>
      </w:pPr>
    </w:p>
    <w:p w14:paraId="741DC1F3" w14:textId="61117F1D" w:rsidR="00643AFB" w:rsidRPr="002578EE" w:rsidRDefault="00643AFB" w:rsidP="00643AFB">
      <w:pPr>
        <w:spacing w:after="0"/>
        <w:rPr>
          <w:b/>
          <w:bCs/>
        </w:rPr>
      </w:pPr>
      <w:r w:rsidRPr="002578EE">
        <w:rPr>
          <w:b/>
          <w:bCs/>
        </w:rPr>
        <w:t>Step 1</w:t>
      </w:r>
      <w:r w:rsidR="002C1437" w:rsidRPr="002578EE">
        <w:rPr>
          <w:b/>
          <w:bCs/>
        </w:rPr>
        <w:t xml:space="preserve"> – </w:t>
      </w:r>
      <w:r w:rsidRPr="002578EE">
        <w:rPr>
          <w:b/>
          <w:bCs/>
        </w:rPr>
        <w:t>Notice</w:t>
      </w:r>
    </w:p>
    <w:p w14:paraId="49A12804" w14:textId="77777777" w:rsidR="0077466E" w:rsidRPr="002578EE" w:rsidRDefault="0077466E" w:rsidP="00643AFB">
      <w:pPr>
        <w:spacing w:after="0"/>
      </w:pPr>
    </w:p>
    <w:p w14:paraId="34A688FB" w14:textId="0AAB77FD" w:rsidR="00643AFB" w:rsidRPr="002578EE" w:rsidRDefault="004E381C" w:rsidP="00643AFB">
      <w:pPr>
        <w:spacing w:after="0"/>
      </w:pPr>
      <w:r w:rsidRPr="002578EE">
        <w:t xml:space="preserve">The CER must issue a notice </w:t>
      </w:r>
      <w:r w:rsidR="002719EB" w:rsidRPr="002578EE">
        <w:t>in writing</w:t>
      </w:r>
      <w:r w:rsidRPr="002578EE">
        <w:t xml:space="preserve"> </w:t>
      </w:r>
      <w:r w:rsidR="0067781B" w:rsidRPr="002578EE">
        <w:t>of the proposal to make a successor determination.</w:t>
      </w:r>
    </w:p>
    <w:p w14:paraId="73E1C8D7" w14:textId="41DF8D7B" w:rsidR="00643AFB" w:rsidRPr="002578EE" w:rsidRDefault="00643AFB" w:rsidP="00643AFB">
      <w:pPr>
        <w:spacing w:after="0"/>
      </w:pPr>
    </w:p>
    <w:p w14:paraId="37E2E122" w14:textId="77777777" w:rsidR="00643AFB" w:rsidRPr="002578EE" w:rsidRDefault="00643AFB" w:rsidP="00643AFB">
      <w:pPr>
        <w:spacing w:after="0"/>
      </w:pPr>
      <w:r w:rsidRPr="002578EE">
        <w:t>This notice must: </w:t>
      </w:r>
    </w:p>
    <w:p w14:paraId="15E3A71A" w14:textId="66FB34C7" w:rsidR="00643AFB" w:rsidRPr="002578EE" w:rsidRDefault="00AE2B5D" w:rsidP="00C8218D">
      <w:pPr>
        <w:numPr>
          <w:ilvl w:val="0"/>
          <w:numId w:val="100"/>
        </w:numPr>
        <w:spacing w:after="0"/>
      </w:pPr>
      <w:r w:rsidRPr="002578EE">
        <w:t>s</w:t>
      </w:r>
      <w:r w:rsidR="00643AFB" w:rsidRPr="002578EE">
        <w:t xml:space="preserve">pecify the proposed </w:t>
      </w:r>
      <w:r w:rsidR="00D46BF6" w:rsidRPr="002578EE">
        <w:t>FSEI</w:t>
      </w:r>
      <w:r w:rsidR="002719EB" w:rsidRPr="002578EE">
        <w:t xml:space="preserve"> for any production variable</w:t>
      </w:r>
      <w:r w:rsidR="00643AFB" w:rsidRPr="002578EE">
        <w:t>, </w:t>
      </w:r>
    </w:p>
    <w:p w14:paraId="598E4A70" w14:textId="4E24AA95" w:rsidR="00643AFB" w:rsidRPr="002578EE" w:rsidRDefault="002719EB" w:rsidP="00C8218D">
      <w:pPr>
        <w:numPr>
          <w:ilvl w:val="0"/>
          <w:numId w:val="100"/>
        </w:numPr>
        <w:spacing w:after="0"/>
      </w:pPr>
      <w:r w:rsidRPr="002578EE">
        <w:t>specify</w:t>
      </w:r>
      <w:r w:rsidR="00643AFB" w:rsidRPr="002578EE">
        <w:t xml:space="preserve"> the first financial year </w:t>
      </w:r>
      <w:r w:rsidR="00051280" w:rsidRPr="002578EE">
        <w:t>to which</w:t>
      </w:r>
      <w:r w:rsidR="00643AFB" w:rsidRPr="002578EE">
        <w:t xml:space="preserve"> the determination would apply, and  </w:t>
      </w:r>
    </w:p>
    <w:p w14:paraId="42CA9B28" w14:textId="1E889B55" w:rsidR="00643AFB" w:rsidRPr="002578EE" w:rsidRDefault="00BE626D" w:rsidP="00C8218D">
      <w:pPr>
        <w:numPr>
          <w:ilvl w:val="0"/>
          <w:numId w:val="100"/>
        </w:numPr>
        <w:spacing w:after="0"/>
      </w:pPr>
      <w:r w:rsidRPr="002578EE">
        <w:t>i</w:t>
      </w:r>
      <w:r w:rsidR="00643AFB" w:rsidRPr="002578EE">
        <w:t>nvite the responsible emitter to respond in writing within a defined timeframe. </w:t>
      </w:r>
    </w:p>
    <w:p w14:paraId="71AF19A8" w14:textId="5113DDAA" w:rsidR="00643AFB" w:rsidRPr="002578EE" w:rsidRDefault="00643AFB" w:rsidP="00643AFB">
      <w:pPr>
        <w:spacing w:after="0"/>
      </w:pPr>
    </w:p>
    <w:p w14:paraId="657830D9" w14:textId="72BE458D" w:rsidR="00643AFB" w:rsidRPr="002578EE" w:rsidRDefault="00643AFB" w:rsidP="00643AFB">
      <w:pPr>
        <w:spacing w:after="0"/>
      </w:pPr>
      <w:r w:rsidRPr="002578EE">
        <w:t>The notice may request that the responsible emitter provide the CER with specified information that is considered relevant to the proposed determination. </w:t>
      </w:r>
    </w:p>
    <w:p w14:paraId="4EF6E78C" w14:textId="00C5F221" w:rsidR="00643AFB" w:rsidRPr="002578EE" w:rsidRDefault="00643AFB" w:rsidP="00643AFB">
      <w:pPr>
        <w:spacing w:after="0"/>
      </w:pPr>
    </w:p>
    <w:p w14:paraId="711DC338" w14:textId="45759296" w:rsidR="00643AFB" w:rsidRPr="002578EE" w:rsidRDefault="00643AFB" w:rsidP="00643AFB">
      <w:pPr>
        <w:spacing w:after="0"/>
      </w:pPr>
      <w:r w:rsidRPr="002578EE">
        <w:rPr>
          <w:b/>
          <w:bCs/>
        </w:rPr>
        <w:t>Step 2</w:t>
      </w:r>
      <w:r w:rsidR="00D44274" w:rsidRPr="002578EE">
        <w:rPr>
          <w:b/>
          <w:bCs/>
        </w:rPr>
        <w:t xml:space="preserve"> – </w:t>
      </w:r>
      <w:r w:rsidRPr="002578EE">
        <w:rPr>
          <w:b/>
          <w:bCs/>
        </w:rPr>
        <w:t>Decision</w:t>
      </w:r>
      <w:r w:rsidR="00D44274" w:rsidRPr="002578EE">
        <w:rPr>
          <w:b/>
          <w:bCs/>
        </w:rPr>
        <w:t xml:space="preserve"> </w:t>
      </w:r>
      <w:r w:rsidRPr="002578EE">
        <w:rPr>
          <w:b/>
          <w:bCs/>
        </w:rPr>
        <w:t>timeframe</w:t>
      </w:r>
    </w:p>
    <w:p w14:paraId="480312E5" w14:textId="77777777" w:rsidR="0077466E" w:rsidRPr="002578EE" w:rsidRDefault="0077466E" w:rsidP="00643AFB">
      <w:pPr>
        <w:spacing w:after="0"/>
      </w:pPr>
    </w:p>
    <w:p w14:paraId="1DD721A0" w14:textId="6FB0EC5E" w:rsidR="00643AFB" w:rsidRPr="002578EE" w:rsidRDefault="00643AFB" w:rsidP="00643AFB">
      <w:pPr>
        <w:spacing w:after="0"/>
      </w:pPr>
      <w:r w:rsidRPr="002578EE">
        <w:t>Within 30 days after the end of the period specified in the notice, the CER must consider the response from the notice (if any) and decid</w:t>
      </w:r>
      <w:r w:rsidR="004B7DA6" w:rsidRPr="002578EE">
        <w:t>e</w:t>
      </w:r>
      <w:r w:rsidRPr="002578EE">
        <w:t xml:space="preserve"> if to make or not make the </w:t>
      </w:r>
      <w:r w:rsidR="00B83565" w:rsidRPr="002578EE">
        <w:t>successor determination.</w:t>
      </w:r>
      <w:r w:rsidRPr="002578EE">
        <w:t> </w:t>
      </w:r>
    </w:p>
    <w:p w14:paraId="6131A85A" w14:textId="20D3B95A" w:rsidR="00643AFB" w:rsidRPr="002578EE" w:rsidRDefault="00643AFB" w:rsidP="00643AFB">
      <w:pPr>
        <w:spacing w:after="0"/>
      </w:pPr>
    </w:p>
    <w:p w14:paraId="49146B7F" w14:textId="1B522450" w:rsidR="00643AFB" w:rsidRPr="002578EE" w:rsidRDefault="00643AFB" w:rsidP="00643AFB">
      <w:pPr>
        <w:spacing w:after="0"/>
      </w:pPr>
      <w:r w:rsidRPr="002578EE">
        <w:rPr>
          <w:b/>
          <w:bCs/>
        </w:rPr>
        <w:t>Step 3</w:t>
      </w:r>
      <w:r w:rsidR="00D44274" w:rsidRPr="002578EE">
        <w:rPr>
          <w:b/>
          <w:bCs/>
        </w:rPr>
        <w:t xml:space="preserve"> – </w:t>
      </w:r>
      <w:r w:rsidR="00BB6D7D" w:rsidRPr="002578EE">
        <w:rPr>
          <w:b/>
          <w:bCs/>
        </w:rPr>
        <w:t>Decision and publication</w:t>
      </w:r>
    </w:p>
    <w:p w14:paraId="3172E3DF" w14:textId="77777777" w:rsidR="0077466E" w:rsidRPr="002578EE" w:rsidRDefault="0077466E" w:rsidP="00643AFB">
      <w:pPr>
        <w:spacing w:after="0"/>
      </w:pPr>
    </w:p>
    <w:p w14:paraId="32A43720" w14:textId="195977FC" w:rsidR="00397D21" w:rsidRPr="002578EE" w:rsidRDefault="00BB6D7D" w:rsidP="00397D21">
      <w:pPr>
        <w:spacing w:after="0"/>
      </w:pPr>
      <w:r>
        <w:t>T</w:t>
      </w:r>
      <w:r w:rsidR="00203760">
        <w:t>he CER must notify</w:t>
      </w:r>
      <w:r w:rsidR="00643AFB">
        <w:t xml:space="preserve"> the responsible emitter </w:t>
      </w:r>
      <w:r>
        <w:t>of the decision</w:t>
      </w:r>
      <w:r w:rsidR="00397D21">
        <w:t xml:space="preserve"> to </w:t>
      </w:r>
      <w:r w:rsidR="00643AFB">
        <w:t>make</w:t>
      </w:r>
      <w:r w:rsidR="00397D21">
        <w:t xml:space="preserve"> or not make</w:t>
      </w:r>
      <w:r w:rsidR="00643AFB">
        <w:t xml:space="preserve"> the </w:t>
      </w:r>
      <w:r w:rsidR="00991BC9">
        <w:t>successor determination</w:t>
      </w:r>
      <w:r w:rsidR="00397D21">
        <w:t>.</w:t>
      </w:r>
    </w:p>
    <w:p w14:paraId="6304A849" w14:textId="77777777" w:rsidR="00397D21" w:rsidRPr="002578EE" w:rsidRDefault="00397D21" w:rsidP="00397D21">
      <w:pPr>
        <w:spacing w:after="0"/>
      </w:pPr>
    </w:p>
    <w:p w14:paraId="0F946FC4" w14:textId="6FD9E7F2" w:rsidR="00E53766" w:rsidRPr="002578EE" w:rsidRDefault="003A12BF" w:rsidP="00643AFB">
      <w:pPr>
        <w:spacing w:after="0"/>
      </w:pPr>
      <w:r w:rsidRPr="002578EE">
        <w:t>The CER must publish the following information about new and varied EIDs:</w:t>
      </w:r>
    </w:p>
    <w:p w14:paraId="659CF534" w14:textId="77777777" w:rsidR="00E53766" w:rsidRPr="002578EE" w:rsidRDefault="00E53766" w:rsidP="00F20B9C">
      <w:pPr>
        <w:numPr>
          <w:ilvl w:val="0"/>
          <w:numId w:val="100"/>
        </w:numPr>
        <w:spacing w:after="0"/>
      </w:pPr>
      <w:r w:rsidRPr="002578EE">
        <w:t>the FSEI values of any historical, transitional or related production variables </w:t>
      </w:r>
    </w:p>
    <w:p w14:paraId="5177B0F8" w14:textId="77777777" w:rsidR="00E53766" w:rsidRPr="002578EE" w:rsidRDefault="00E53766" w:rsidP="00F20B9C">
      <w:pPr>
        <w:numPr>
          <w:ilvl w:val="0"/>
          <w:numId w:val="100"/>
        </w:numPr>
        <w:spacing w:after="0"/>
      </w:pPr>
      <w:r w:rsidRPr="002578EE">
        <w:t>whether a production variable is a related or comparative production variable. </w:t>
      </w:r>
    </w:p>
    <w:p w14:paraId="77CCF534" w14:textId="77777777" w:rsidR="00E53766" w:rsidRPr="002578EE" w:rsidRDefault="00E53766" w:rsidP="00E53766">
      <w:pPr>
        <w:spacing w:after="0"/>
      </w:pPr>
    </w:p>
    <w:p w14:paraId="2AAF093E" w14:textId="6006A5D9" w:rsidR="0038471D" w:rsidRDefault="00E53766">
      <w:pPr>
        <w:spacing w:after="0"/>
        <w:rPr>
          <w:rFonts w:eastAsia="Times New Roman" w:cs="Calibri"/>
          <w:b/>
          <w:bCs/>
          <w:kern w:val="32"/>
          <w:sz w:val="40"/>
          <w:szCs w:val="24"/>
          <w:lang w:eastAsia="en-US"/>
        </w:rPr>
      </w:pPr>
      <w:r w:rsidRPr="002578EE">
        <w:t xml:space="preserve">For further information about the process, please contact the CER Safeguard team at </w:t>
      </w:r>
      <w:hyperlink r:id="rId68" w:history="1">
        <w:r w:rsidRPr="002578EE">
          <w:rPr>
            <w:rStyle w:val="Hyperlink"/>
          </w:rPr>
          <w:t>CER-safeguardbaselines@cer.gov.au</w:t>
        </w:r>
      </w:hyperlink>
      <w:r w:rsidRPr="002578EE">
        <w:t>.</w:t>
      </w:r>
      <w:bookmarkStart w:id="284" w:name="_Toc198725341"/>
    </w:p>
    <w:p w14:paraId="4A88793A" w14:textId="77777777" w:rsidR="003A271C" w:rsidRDefault="003A271C">
      <w:pPr>
        <w:spacing w:after="0"/>
        <w:rPr>
          <w:rFonts w:eastAsia="Times New Roman" w:cs="Calibri"/>
          <w:b/>
          <w:bCs/>
          <w:kern w:val="32"/>
          <w:sz w:val="40"/>
          <w:szCs w:val="24"/>
          <w:lang w:eastAsia="en-US"/>
        </w:rPr>
      </w:pPr>
      <w:bookmarkStart w:id="285" w:name="_Toc208216282"/>
      <w:r>
        <w:br w:type="page"/>
      </w:r>
    </w:p>
    <w:p w14:paraId="2F901711" w14:textId="31815AE3" w:rsidR="00EA2300" w:rsidRDefault="00EA2300" w:rsidP="00EA2300">
      <w:pPr>
        <w:pStyle w:val="Heading1"/>
        <w:numPr>
          <w:ilvl w:val="0"/>
          <w:numId w:val="0"/>
        </w:numPr>
        <w:spacing w:before="240" w:after="0"/>
        <w:ind w:left="340" w:hanging="340"/>
      </w:pPr>
      <w:r>
        <w:t>Appendix A Eligible facility</w:t>
      </w:r>
      <w:bookmarkEnd w:id="284"/>
      <w:bookmarkEnd w:id="285"/>
    </w:p>
    <w:p w14:paraId="34747659" w14:textId="77777777" w:rsidR="008A508C" w:rsidRDefault="008A508C" w:rsidP="003210A3">
      <w:pPr>
        <w:spacing w:after="120"/>
      </w:pPr>
    </w:p>
    <w:p w14:paraId="1F0260A9" w14:textId="61112262" w:rsidR="00DC1F34" w:rsidRPr="00521F52" w:rsidRDefault="003210A3" w:rsidP="003210A3">
      <w:pPr>
        <w:spacing w:after="120"/>
      </w:pPr>
      <w:r w:rsidRPr="002578EE">
        <w:t>Being an eligible facility allows a facility whose covered emissions drop below the 100,000 tCO</w:t>
      </w:r>
      <w:r w:rsidRPr="002578EE">
        <w:rPr>
          <w:vertAlign w:val="subscript"/>
        </w:rPr>
        <w:t>2</w:t>
      </w:r>
      <w:r w:rsidRPr="002578EE">
        <w:t xml:space="preserve">-e coverage </w:t>
      </w:r>
      <w:proofErr w:type="gramStart"/>
      <w:r w:rsidRPr="002578EE">
        <w:t>threshold</w:t>
      </w:r>
      <w:proofErr w:type="gramEnd"/>
      <w:r w:rsidRPr="002578EE">
        <w:t xml:space="preserve"> to be issued SMCs. This is subject to meeting the </w:t>
      </w:r>
      <w:r w:rsidR="00873F23" w:rsidRPr="002578EE">
        <w:t>other requirements</w:t>
      </w:r>
      <w:r w:rsidRPr="002578EE">
        <w:t xml:space="preserve"> under section 56 </w:t>
      </w:r>
      <w:r w:rsidR="0065085F" w:rsidRPr="002578EE">
        <w:t>or</w:t>
      </w:r>
      <w:r w:rsidR="00D11DE2" w:rsidRPr="002578EE">
        <w:t xml:space="preserve">, if the facility has a multi-year monitoring period, section 57 </w:t>
      </w:r>
      <w:r w:rsidRPr="00521F52">
        <w:t>of the Safeguard Rule.</w:t>
      </w:r>
      <w:r w:rsidR="00873F23" w:rsidRPr="00521F52">
        <w:t xml:space="preserve"> </w:t>
      </w:r>
    </w:p>
    <w:p w14:paraId="2F50B4A7" w14:textId="493F3C9D" w:rsidR="003210A3" w:rsidRPr="00521F52" w:rsidRDefault="00873F23" w:rsidP="003210A3">
      <w:pPr>
        <w:spacing w:after="120"/>
      </w:pPr>
      <w:r w:rsidRPr="00521F52">
        <w:t xml:space="preserve">A facility must meet one of </w:t>
      </w:r>
      <w:r w:rsidR="00DC1F34" w:rsidRPr="00521F52">
        <w:t>three eligibility criteria under section 58B of the Safeguard Rule to be an eligibility facility</w:t>
      </w:r>
      <w:r w:rsidR="00E05E16" w:rsidRPr="00521F52">
        <w:t xml:space="preserve"> for a</w:t>
      </w:r>
      <w:r w:rsidR="00F56BC5" w:rsidRPr="00521F52">
        <w:t xml:space="preserve"> financial year for which SMCs </w:t>
      </w:r>
      <w:r w:rsidR="009D176D" w:rsidRPr="00521F52">
        <w:t xml:space="preserve">are claimed in relation to the facility </w:t>
      </w:r>
      <w:r w:rsidR="00F56BC5" w:rsidRPr="00521F52">
        <w:t>(</w:t>
      </w:r>
      <w:r w:rsidR="00F56BC5" w:rsidRPr="00521F52">
        <w:rPr>
          <w:b/>
          <w:bCs/>
        </w:rPr>
        <w:t>current financial year</w:t>
      </w:r>
      <w:r w:rsidR="00F56BC5" w:rsidRPr="00521F52">
        <w:t>)</w:t>
      </w:r>
      <w:r w:rsidR="00DC1F34" w:rsidRPr="00521F52">
        <w:t>.</w:t>
      </w:r>
    </w:p>
    <w:p w14:paraId="462F306D" w14:textId="77777777" w:rsidR="003210A3" w:rsidRPr="00521F52" w:rsidRDefault="003210A3" w:rsidP="003210A3">
      <w:pPr>
        <w:spacing w:before="120" w:after="0"/>
        <w:rPr>
          <w:b/>
        </w:rPr>
      </w:pPr>
      <w:r w:rsidRPr="00521F52">
        <w:rPr>
          <w:b/>
        </w:rPr>
        <w:t>Criteria 1 – subsection 58</w:t>
      </w:r>
      <w:proofErr w:type="gramStart"/>
      <w:r w:rsidRPr="00521F52">
        <w:rPr>
          <w:b/>
        </w:rPr>
        <w:t>B(</w:t>
      </w:r>
      <w:proofErr w:type="gramEnd"/>
      <w:r w:rsidRPr="00521F52">
        <w:rPr>
          <w:b/>
        </w:rPr>
        <w:t>1) of the Safeguard Rule</w:t>
      </w:r>
    </w:p>
    <w:p w14:paraId="76187BBF" w14:textId="389A795B" w:rsidR="005B2F92" w:rsidRPr="00521F52" w:rsidRDefault="005B2F92" w:rsidP="003210A3">
      <w:pPr>
        <w:pStyle w:val="ListParagraph"/>
        <w:numPr>
          <w:ilvl w:val="0"/>
          <w:numId w:val="50"/>
        </w:numPr>
        <w:spacing w:before="60" w:after="120"/>
        <w:ind w:left="357" w:hanging="357"/>
      </w:pPr>
      <w:r w:rsidRPr="00521F52">
        <w:t xml:space="preserve">The facility is not </w:t>
      </w:r>
      <w:r w:rsidR="004E3914" w:rsidRPr="00521F52">
        <w:t xml:space="preserve">a designated large facility, as defined in the NGER Act, </w:t>
      </w:r>
      <w:r w:rsidR="008B5071" w:rsidRPr="00521F52">
        <w:t>for</w:t>
      </w:r>
      <w:r w:rsidR="004E3914" w:rsidRPr="00521F52">
        <w:t xml:space="preserve"> the current financial year.</w:t>
      </w:r>
    </w:p>
    <w:p w14:paraId="1B61A38F" w14:textId="73913D02" w:rsidR="003210A3" w:rsidRPr="00521F52" w:rsidRDefault="004E3914" w:rsidP="003210A3">
      <w:pPr>
        <w:pStyle w:val="ListParagraph"/>
        <w:numPr>
          <w:ilvl w:val="0"/>
          <w:numId w:val="50"/>
        </w:numPr>
        <w:spacing w:before="60" w:after="120"/>
        <w:ind w:left="357" w:hanging="357"/>
      </w:pPr>
      <w:r w:rsidRPr="00521F52">
        <w:t>The</w:t>
      </w:r>
      <w:r w:rsidR="003210A3" w:rsidRPr="00521F52">
        <w:t xml:space="preserve"> facility </w:t>
      </w:r>
      <w:r w:rsidRPr="00521F52">
        <w:t>was</w:t>
      </w:r>
      <w:r w:rsidR="003210A3" w:rsidRPr="00521F52">
        <w:t xml:space="preserve"> a designated large facility for a financial year within the previous 10 years. </w:t>
      </w:r>
    </w:p>
    <w:p w14:paraId="03E2D3FB" w14:textId="4A455DD6" w:rsidR="009E3E60" w:rsidRPr="00521F52" w:rsidRDefault="00CB3BBD" w:rsidP="003210A3">
      <w:pPr>
        <w:pStyle w:val="ListParagraph"/>
        <w:numPr>
          <w:ilvl w:val="0"/>
          <w:numId w:val="50"/>
        </w:numPr>
        <w:spacing w:before="60" w:after="120"/>
        <w:ind w:left="357" w:hanging="357"/>
      </w:pPr>
      <w:r w:rsidRPr="00521F52">
        <w:t xml:space="preserve">The facility has not been a designated large facility </w:t>
      </w:r>
      <w:r w:rsidR="00B80835" w:rsidRPr="00521F52">
        <w:t xml:space="preserve">for any financial year </w:t>
      </w:r>
      <w:r w:rsidRPr="00521F52">
        <w:t xml:space="preserve">since the financial year </w:t>
      </w:r>
      <w:r w:rsidR="0091045F" w:rsidRPr="00521F52">
        <w:t xml:space="preserve">for which </w:t>
      </w:r>
      <w:r w:rsidRPr="00521F52">
        <w:t xml:space="preserve">it was </w:t>
      </w:r>
      <w:r w:rsidR="00AE7F45" w:rsidRPr="00521F52">
        <w:t xml:space="preserve">last </w:t>
      </w:r>
      <w:r w:rsidRPr="00521F52">
        <w:t>a designated large facility.</w:t>
      </w:r>
    </w:p>
    <w:p w14:paraId="0BCC7640" w14:textId="25DE6A77" w:rsidR="003210A3" w:rsidRPr="00521F52" w:rsidRDefault="00A93C4F" w:rsidP="003210A3">
      <w:pPr>
        <w:pStyle w:val="ListParagraph"/>
        <w:numPr>
          <w:ilvl w:val="0"/>
          <w:numId w:val="50"/>
        </w:numPr>
        <w:spacing w:before="120" w:after="120"/>
        <w:contextualSpacing w:val="0"/>
      </w:pPr>
      <w:r w:rsidRPr="00521F52">
        <w:t>The facility was</w:t>
      </w:r>
      <w:r w:rsidR="003210A3" w:rsidRPr="00521F52">
        <w:t xml:space="preserve"> a designated large facility in:</w:t>
      </w:r>
    </w:p>
    <w:p w14:paraId="3DE12BCC" w14:textId="77777777" w:rsidR="003210A3" w:rsidRPr="00521F52" w:rsidRDefault="003210A3" w:rsidP="003210A3">
      <w:pPr>
        <w:pStyle w:val="ListParagraph"/>
        <w:numPr>
          <w:ilvl w:val="1"/>
          <w:numId w:val="52"/>
        </w:numPr>
        <w:spacing w:before="80" w:after="80"/>
        <w:ind w:left="709" w:hanging="357"/>
      </w:pPr>
      <w:r w:rsidRPr="00521F52">
        <w:t xml:space="preserve">at least 3 financial years from 2017-18 to 2021-22, or </w:t>
      </w:r>
    </w:p>
    <w:p w14:paraId="025A13F2" w14:textId="1EC25E02" w:rsidR="003210A3" w:rsidRPr="00521F52" w:rsidRDefault="003210A3" w:rsidP="003210A3">
      <w:pPr>
        <w:pStyle w:val="ListParagraph"/>
        <w:numPr>
          <w:ilvl w:val="1"/>
          <w:numId w:val="52"/>
        </w:numPr>
        <w:spacing w:before="80" w:after="80"/>
        <w:ind w:left="709" w:hanging="357"/>
      </w:pPr>
      <w:r w:rsidRPr="00521F52">
        <w:t xml:space="preserve">2 of the 4 financial years immediately </w:t>
      </w:r>
      <w:r w:rsidR="00B528CA" w:rsidRPr="00521F52">
        <w:t xml:space="preserve">before </w:t>
      </w:r>
      <w:r w:rsidRPr="00521F52">
        <w:t xml:space="preserve">the </w:t>
      </w:r>
      <w:r w:rsidR="00B528CA" w:rsidRPr="00521F52">
        <w:t>last</w:t>
      </w:r>
      <w:r w:rsidRPr="00521F52">
        <w:t xml:space="preserve"> financial year </w:t>
      </w:r>
      <w:r w:rsidR="006F4882" w:rsidRPr="00521F52">
        <w:t xml:space="preserve">for which it </w:t>
      </w:r>
      <w:r w:rsidRPr="00521F52">
        <w:t>was a designated large facility.</w:t>
      </w:r>
    </w:p>
    <w:p w14:paraId="54BBCE6E" w14:textId="34B4A12A" w:rsidR="003210A3" w:rsidRPr="00521F52" w:rsidRDefault="003210A3" w:rsidP="003210A3">
      <w:pPr>
        <w:pStyle w:val="ListParagraph"/>
        <w:numPr>
          <w:ilvl w:val="0"/>
          <w:numId w:val="50"/>
        </w:numPr>
        <w:spacing w:before="120" w:after="120"/>
      </w:pPr>
      <w:r w:rsidRPr="00521F52">
        <w:t>The facility has an emissions-intensity determination (EID) for the current financial year or is a new facility.</w:t>
      </w:r>
    </w:p>
    <w:p w14:paraId="43EB2F8C" w14:textId="398485DF" w:rsidR="003210A3" w:rsidRPr="00521F52" w:rsidRDefault="003210A3" w:rsidP="003210A3">
      <w:pPr>
        <w:pStyle w:val="ListParagraph"/>
        <w:numPr>
          <w:ilvl w:val="0"/>
          <w:numId w:val="50"/>
        </w:numPr>
        <w:spacing w:before="120" w:after="120"/>
      </w:pPr>
      <w:r w:rsidRPr="00521F52">
        <w:t xml:space="preserve">No ACCUs have been issued in relation to avoidance of covered emissions from </w:t>
      </w:r>
      <w:r w:rsidR="005356B2" w:rsidRPr="00521F52">
        <w:t xml:space="preserve">the operations of </w:t>
      </w:r>
      <w:r w:rsidRPr="00521F52">
        <w:t>the facility for the current</w:t>
      </w:r>
      <w:r w:rsidR="656D5A24" w:rsidRPr="00521F52">
        <w:t xml:space="preserve">, or </w:t>
      </w:r>
      <w:r w:rsidR="001F4E4B" w:rsidRPr="00521F52">
        <w:t xml:space="preserve">the </w:t>
      </w:r>
      <w:r w:rsidR="656D5A24" w:rsidRPr="00521F52">
        <w:t>previous,</w:t>
      </w:r>
      <w:r w:rsidRPr="00521F52">
        <w:t xml:space="preserve"> financial year.</w:t>
      </w:r>
    </w:p>
    <w:p w14:paraId="308BF9AF" w14:textId="77777777" w:rsidR="003210A3" w:rsidRPr="002578EE" w:rsidRDefault="003210A3" w:rsidP="003210A3">
      <w:pPr>
        <w:spacing w:before="120" w:after="120"/>
        <w:rPr>
          <w:b/>
          <w:bCs/>
        </w:rPr>
      </w:pPr>
      <w:r w:rsidRPr="00521F52">
        <w:rPr>
          <w:b/>
          <w:bCs/>
        </w:rPr>
        <w:t xml:space="preserve">Criteria 2 - </w:t>
      </w:r>
      <w:r w:rsidRPr="00521F52">
        <w:rPr>
          <w:b/>
        </w:rPr>
        <w:t>subsection 58</w:t>
      </w:r>
      <w:proofErr w:type="gramStart"/>
      <w:r w:rsidRPr="00521F52">
        <w:rPr>
          <w:b/>
        </w:rPr>
        <w:t>B(</w:t>
      </w:r>
      <w:proofErr w:type="gramEnd"/>
      <w:r w:rsidRPr="00521F52">
        <w:rPr>
          <w:b/>
        </w:rPr>
        <w:t>2) of the Safeguard Rule</w:t>
      </w:r>
    </w:p>
    <w:p w14:paraId="7FB1BE0E" w14:textId="31D7B90D" w:rsidR="00B31422" w:rsidRPr="0093198C" w:rsidRDefault="00B31422" w:rsidP="00B31422">
      <w:pPr>
        <w:pStyle w:val="ListParagraph"/>
        <w:numPr>
          <w:ilvl w:val="0"/>
          <w:numId w:val="53"/>
        </w:numPr>
        <w:spacing w:before="60" w:after="120"/>
      </w:pPr>
      <w:r w:rsidRPr="0093198C">
        <w:t xml:space="preserve">The facility is not a designated large facility, as defined in the NGER Act, </w:t>
      </w:r>
      <w:r w:rsidR="008B5071" w:rsidRPr="00521F52">
        <w:t>for</w:t>
      </w:r>
      <w:r w:rsidRPr="0093198C">
        <w:t xml:space="preserve"> the current financial year.</w:t>
      </w:r>
    </w:p>
    <w:p w14:paraId="04F670AA" w14:textId="77777777" w:rsidR="003210A3" w:rsidRPr="0093198C" w:rsidRDefault="003210A3" w:rsidP="003210A3">
      <w:pPr>
        <w:pStyle w:val="ListParagraph"/>
        <w:numPr>
          <w:ilvl w:val="0"/>
          <w:numId w:val="53"/>
        </w:numPr>
        <w:spacing w:before="100" w:after="100"/>
        <w:ind w:left="357" w:hanging="357"/>
      </w:pPr>
      <w:r w:rsidRPr="0093198C">
        <w:t>The current financial year begins after 30 June 2028.</w:t>
      </w:r>
    </w:p>
    <w:p w14:paraId="7D4CE52C" w14:textId="77777777" w:rsidR="003210A3" w:rsidRPr="0093198C" w:rsidRDefault="003210A3" w:rsidP="003210A3">
      <w:pPr>
        <w:pStyle w:val="ListParagraph"/>
        <w:numPr>
          <w:ilvl w:val="0"/>
          <w:numId w:val="53"/>
        </w:numPr>
        <w:spacing w:before="100" w:after="100"/>
        <w:ind w:left="357" w:hanging="357"/>
      </w:pPr>
      <w:r w:rsidRPr="0093198C">
        <w:t>The facility was a designated large facility for at least 3 of the 5 financial years immediately before the current financial year.</w:t>
      </w:r>
    </w:p>
    <w:p w14:paraId="0A00CAC4" w14:textId="7AE9012B" w:rsidR="003210A3" w:rsidRPr="0093198C" w:rsidRDefault="003210A3" w:rsidP="003210A3">
      <w:pPr>
        <w:pStyle w:val="ListParagraph"/>
        <w:numPr>
          <w:ilvl w:val="0"/>
          <w:numId w:val="53"/>
        </w:numPr>
        <w:spacing w:before="100" w:after="100"/>
        <w:ind w:left="357" w:hanging="357"/>
      </w:pPr>
      <w:r w:rsidRPr="0093198C">
        <w:t>The facility has an EID for the current financial year or is a new facility.</w:t>
      </w:r>
    </w:p>
    <w:p w14:paraId="5B6F6564" w14:textId="1356D5B2" w:rsidR="003210A3" w:rsidRPr="0093198C" w:rsidRDefault="003210A3" w:rsidP="003210A3">
      <w:pPr>
        <w:pStyle w:val="ListParagraph"/>
        <w:numPr>
          <w:ilvl w:val="0"/>
          <w:numId w:val="53"/>
        </w:numPr>
        <w:spacing w:before="100" w:after="100"/>
        <w:ind w:left="357" w:hanging="357"/>
      </w:pPr>
      <w:r w:rsidRPr="0093198C">
        <w:t xml:space="preserve">No ACCUs have been issued in relation to avoidance of covered emissions from </w:t>
      </w:r>
      <w:r w:rsidR="009F537B" w:rsidRPr="0093198C">
        <w:t xml:space="preserve">the operations of </w:t>
      </w:r>
      <w:r w:rsidRPr="0093198C">
        <w:t>the facility for the current</w:t>
      </w:r>
      <w:r w:rsidR="008A508C" w:rsidRPr="0093198C">
        <w:t xml:space="preserve">, or </w:t>
      </w:r>
      <w:r w:rsidR="009F537B" w:rsidRPr="0093198C">
        <w:t xml:space="preserve">the </w:t>
      </w:r>
      <w:r w:rsidR="008A508C" w:rsidRPr="0093198C">
        <w:t xml:space="preserve">previous, </w:t>
      </w:r>
      <w:r w:rsidRPr="0093198C">
        <w:t>financial year.</w:t>
      </w:r>
    </w:p>
    <w:p w14:paraId="5B91A344" w14:textId="77777777" w:rsidR="003210A3" w:rsidRPr="002578EE" w:rsidRDefault="003210A3" w:rsidP="003210A3">
      <w:pPr>
        <w:spacing w:before="120" w:after="120"/>
        <w:rPr>
          <w:b/>
          <w:bCs/>
        </w:rPr>
      </w:pPr>
      <w:r w:rsidRPr="002578EE">
        <w:rPr>
          <w:b/>
          <w:bCs/>
        </w:rPr>
        <w:t xml:space="preserve">Criteria 3 - </w:t>
      </w:r>
      <w:r w:rsidRPr="002578EE">
        <w:rPr>
          <w:b/>
        </w:rPr>
        <w:t>subsection 58</w:t>
      </w:r>
      <w:proofErr w:type="gramStart"/>
      <w:r w:rsidRPr="002578EE">
        <w:rPr>
          <w:b/>
        </w:rPr>
        <w:t>B(</w:t>
      </w:r>
      <w:proofErr w:type="gramEnd"/>
      <w:r w:rsidRPr="002578EE">
        <w:rPr>
          <w:b/>
        </w:rPr>
        <w:t>4) of the Safeguard Rule</w:t>
      </w:r>
    </w:p>
    <w:p w14:paraId="045539B4" w14:textId="27EF5FA6" w:rsidR="00594315" w:rsidRPr="0093198C" w:rsidRDefault="00594315" w:rsidP="00594315">
      <w:pPr>
        <w:pStyle w:val="ListParagraph"/>
        <w:numPr>
          <w:ilvl w:val="0"/>
          <w:numId w:val="51"/>
        </w:numPr>
        <w:spacing w:before="60" w:after="120"/>
      </w:pPr>
      <w:r w:rsidRPr="002578EE">
        <w:t xml:space="preserve">The facility is </w:t>
      </w:r>
      <w:r w:rsidRPr="0093198C">
        <w:t xml:space="preserve">not a designated large facility, as defined in the NGER Act, </w:t>
      </w:r>
      <w:r w:rsidR="00736351" w:rsidRPr="0093198C">
        <w:t xml:space="preserve">for </w:t>
      </w:r>
      <w:r w:rsidRPr="0093198C">
        <w:t>the current financial year.</w:t>
      </w:r>
    </w:p>
    <w:p w14:paraId="7D313DCB" w14:textId="4ACBC1E2" w:rsidR="003210A3" w:rsidRPr="0093198C" w:rsidRDefault="00594315" w:rsidP="003210A3">
      <w:pPr>
        <w:pStyle w:val="ListParagraph"/>
        <w:numPr>
          <w:ilvl w:val="0"/>
          <w:numId w:val="51"/>
        </w:numPr>
        <w:spacing w:before="80" w:after="80"/>
        <w:ind w:left="357" w:hanging="357"/>
      </w:pPr>
      <w:r w:rsidRPr="0093198C">
        <w:t>The</w:t>
      </w:r>
      <w:r w:rsidR="003210A3" w:rsidRPr="0093198C">
        <w:t xml:space="preserve"> facility </w:t>
      </w:r>
      <w:r w:rsidRPr="0093198C">
        <w:t xml:space="preserve">was </w:t>
      </w:r>
      <w:r w:rsidR="003210A3" w:rsidRPr="0093198C">
        <w:t xml:space="preserve">a designated large facility for a financial year within the previous 10 years. </w:t>
      </w:r>
    </w:p>
    <w:p w14:paraId="771B5A67" w14:textId="77777777" w:rsidR="004F4988" w:rsidRPr="00521F52" w:rsidRDefault="004F4988" w:rsidP="004F4988">
      <w:pPr>
        <w:pStyle w:val="ListParagraph"/>
        <w:numPr>
          <w:ilvl w:val="0"/>
          <w:numId w:val="51"/>
        </w:numPr>
        <w:spacing w:before="60" w:after="120"/>
      </w:pPr>
      <w:r w:rsidRPr="00521F52">
        <w:t>The facility has not been a designated large facility for any financial year since the financial year for which it was last a designated large facility.</w:t>
      </w:r>
    </w:p>
    <w:p w14:paraId="651C89A2" w14:textId="05D9D0C0" w:rsidR="003210A3" w:rsidRPr="0093198C" w:rsidRDefault="003210A3" w:rsidP="003210A3">
      <w:pPr>
        <w:pStyle w:val="ListParagraph"/>
        <w:numPr>
          <w:ilvl w:val="0"/>
          <w:numId w:val="51"/>
        </w:numPr>
        <w:spacing w:before="80" w:after="80"/>
        <w:ind w:left="357" w:hanging="357"/>
      </w:pPr>
      <w:r w:rsidRPr="0093198C">
        <w:t xml:space="preserve">The current financial year is one of the 10 financial years </w:t>
      </w:r>
      <w:r w:rsidR="00514B37" w:rsidRPr="0093198C">
        <w:t xml:space="preserve">after </w:t>
      </w:r>
      <w:r w:rsidRPr="0093198C">
        <w:t>the earlier of:</w:t>
      </w:r>
    </w:p>
    <w:p w14:paraId="12D8F37B" w14:textId="1029FA78" w:rsidR="003210A3" w:rsidRPr="0093198C" w:rsidRDefault="003210A3" w:rsidP="003210A3">
      <w:pPr>
        <w:pStyle w:val="ListParagraph"/>
        <w:numPr>
          <w:ilvl w:val="1"/>
          <w:numId w:val="52"/>
        </w:numPr>
        <w:spacing w:before="80" w:after="80"/>
        <w:ind w:left="709" w:hanging="357"/>
        <w:contextualSpacing w:val="0"/>
      </w:pPr>
      <w:r w:rsidRPr="0093198C">
        <w:t>the last year for which SMCs were not issued in relation to the facility</w:t>
      </w:r>
      <w:r w:rsidR="002F0AE2" w:rsidRPr="0093198C">
        <w:t>, or</w:t>
      </w:r>
    </w:p>
    <w:p w14:paraId="2801712E" w14:textId="37BC20F4" w:rsidR="003210A3" w:rsidRPr="0093198C" w:rsidRDefault="003210A3" w:rsidP="003210A3">
      <w:pPr>
        <w:pStyle w:val="ListParagraph"/>
        <w:numPr>
          <w:ilvl w:val="1"/>
          <w:numId w:val="52"/>
        </w:numPr>
        <w:spacing w:before="80" w:after="80"/>
        <w:ind w:left="709" w:hanging="357"/>
      </w:pPr>
      <w:r w:rsidRPr="0093198C">
        <w:t xml:space="preserve">the financial year 3 years after the </w:t>
      </w:r>
      <w:r w:rsidR="002D1860" w:rsidRPr="0093198C">
        <w:t>last</w:t>
      </w:r>
      <w:r w:rsidRPr="0093198C">
        <w:t xml:space="preserve"> financial year </w:t>
      </w:r>
      <w:r w:rsidR="004F4988" w:rsidRPr="0093198C">
        <w:t xml:space="preserve">for which </w:t>
      </w:r>
      <w:r w:rsidRPr="0093198C">
        <w:t>the facility was a designated large facility.</w:t>
      </w:r>
    </w:p>
    <w:p w14:paraId="5A5FADBA" w14:textId="7BC79B21" w:rsidR="003210A3" w:rsidRPr="002578EE" w:rsidRDefault="00A93C4F" w:rsidP="003210A3">
      <w:pPr>
        <w:pStyle w:val="ListParagraph"/>
        <w:numPr>
          <w:ilvl w:val="0"/>
          <w:numId w:val="51"/>
        </w:numPr>
        <w:spacing w:before="120" w:after="120"/>
        <w:contextualSpacing w:val="0"/>
      </w:pPr>
      <w:r w:rsidRPr="002578EE">
        <w:t>The</w:t>
      </w:r>
      <w:r w:rsidR="003210A3" w:rsidRPr="002578EE">
        <w:t xml:space="preserve"> facility </w:t>
      </w:r>
      <w:r w:rsidRPr="002578EE">
        <w:t>was</w:t>
      </w:r>
      <w:r w:rsidR="003210A3" w:rsidRPr="002578EE">
        <w:t xml:space="preserve"> a designated large facility in either:</w:t>
      </w:r>
    </w:p>
    <w:p w14:paraId="2398A55E" w14:textId="77777777" w:rsidR="003210A3" w:rsidRPr="002578EE" w:rsidRDefault="003210A3" w:rsidP="003210A3">
      <w:pPr>
        <w:pStyle w:val="ListParagraph"/>
        <w:numPr>
          <w:ilvl w:val="1"/>
          <w:numId w:val="52"/>
        </w:numPr>
        <w:spacing w:before="80" w:after="80"/>
        <w:ind w:left="709" w:hanging="357"/>
      </w:pPr>
      <w:r w:rsidRPr="002578EE">
        <w:t xml:space="preserve">3 financial years from 2017-18 to 2021-22, or </w:t>
      </w:r>
    </w:p>
    <w:p w14:paraId="320CD719" w14:textId="3397307C" w:rsidR="003210A3" w:rsidRPr="0093198C" w:rsidRDefault="003210A3" w:rsidP="003210A3">
      <w:pPr>
        <w:pStyle w:val="ListParagraph"/>
        <w:numPr>
          <w:ilvl w:val="1"/>
          <w:numId w:val="52"/>
        </w:numPr>
        <w:spacing w:before="80" w:after="80"/>
        <w:ind w:left="709" w:hanging="357"/>
      </w:pPr>
      <w:r w:rsidRPr="002578EE">
        <w:t xml:space="preserve">2 of the 4 financial years </w:t>
      </w:r>
      <w:r w:rsidRPr="0093198C">
        <w:t xml:space="preserve">immediately before the </w:t>
      </w:r>
      <w:r w:rsidR="00ED6F8F" w:rsidRPr="0093198C">
        <w:t xml:space="preserve">last financial year </w:t>
      </w:r>
      <w:r w:rsidR="00A91640" w:rsidRPr="0093198C">
        <w:t xml:space="preserve">for which </w:t>
      </w:r>
      <w:r w:rsidR="00ED6F8F" w:rsidRPr="0093198C">
        <w:t>it was a designated large facility.</w:t>
      </w:r>
    </w:p>
    <w:p w14:paraId="31A4ACA7" w14:textId="77777777" w:rsidR="003210A3" w:rsidRPr="0093198C" w:rsidRDefault="003210A3" w:rsidP="003210A3">
      <w:pPr>
        <w:pStyle w:val="ListParagraph"/>
        <w:numPr>
          <w:ilvl w:val="0"/>
          <w:numId w:val="51"/>
        </w:numPr>
        <w:spacing w:before="100" w:after="100"/>
        <w:ind w:left="357" w:hanging="357"/>
      </w:pPr>
      <w:r w:rsidRPr="0093198C">
        <w:t>The facility has an EID for the current financial year or is a new facility.</w:t>
      </w:r>
    </w:p>
    <w:p w14:paraId="158062F4" w14:textId="4E25B307" w:rsidR="003210A3" w:rsidRPr="0093198C" w:rsidRDefault="003210A3" w:rsidP="003210A3">
      <w:pPr>
        <w:pStyle w:val="ListParagraph"/>
        <w:numPr>
          <w:ilvl w:val="0"/>
          <w:numId w:val="51"/>
        </w:numPr>
        <w:spacing w:before="100" w:after="100"/>
        <w:ind w:left="357" w:hanging="357"/>
      </w:pPr>
      <w:r w:rsidRPr="0093198C">
        <w:t xml:space="preserve">No ACCUs have been issued in relation to avoidance of covered emissions from </w:t>
      </w:r>
      <w:r w:rsidR="003678FE" w:rsidRPr="0093198C">
        <w:t xml:space="preserve">the operations of </w:t>
      </w:r>
      <w:r w:rsidRPr="0093198C">
        <w:t>the facility for the current</w:t>
      </w:r>
      <w:r w:rsidR="008A508C" w:rsidRPr="0093198C">
        <w:t xml:space="preserve">, or </w:t>
      </w:r>
      <w:r w:rsidR="003678FE" w:rsidRPr="0093198C">
        <w:t xml:space="preserve">the </w:t>
      </w:r>
      <w:r w:rsidR="008A508C" w:rsidRPr="0093198C">
        <w:t>previous, financial year.</w:t>
      </w:r>
    </w:p>
    <w:p w14:paraId="7960EDC6" w14:textId="0BF0ABBB" w:rsidR="003210A3" w:rsidRPr="0093198C" w:rsidRDefault="00DA7A14" w:rsidP="003210A3">
      <w:pPr>
        <w:pStyle w:val="ListParagraph"/>
        <w:numPr>
          <w:ilvl w:val="0"/>
          <w:numId w:val="49"/>
        </w:numPr>
        <w:spacing w:before="100" w:after="100"/>
        <w:ind w:left="357" w:hanging="357"/>
        <w:rPr>
          <w:b/>
          <w:bCs/>
        </w:rPr>
      </w:pPr>
      <w:r w:rsidRPr="0093198C">
        <w:t>N</w:t>
      </w:r>
      <w:r w:rsidR="003210A3" w:rsidRPr="0093198C">
        <w:t>o SMCs have been issued in relation to the facility for any financial year after the last financial year</w:t>
      </w:r>
      <w:r w:rsidR="003E265B" w:rsidRPr="0093198C">
        <w:t xml:space="preserve"> for which it was a designated large facility</w:t>
      </w:r>
      <w:r w:rsidR="003210A3" w:rsidRPr="0093198C">
        <w:t>.</w:t>
      </w:r>
    </w:p>
    <w:p w14:paraId="3D46A100" w14:textId="77777777" w:rsidR="009C0236" w:rsidRPr="009C0236" w:rsidRDefault="009C0236" w:rsidP="009945A4">
      <w:pPr>
        <w:spacing w:after="0"/>
      </w:pPr>
    </w:p>
    <w:sectPr w:rsidR="009C0236" w:rsidRPr="009C0236" w:rsidSect="0039773B">
      <w:headerReference w:type="default" r:id="rId69"/>
      <w:footerReference w:type="even" r:id="rId70"/>
      <w:footerReference w:type="default" r:id="rId71"/>
      <w:headerReference w:type="first" r:id="rId72"/>
      <w:footerReference w:type="first" r:id="rId73"/>
      <w:pgSz w:w="11900" w:h="16840" w:code="9"/>
      <w:pgMar w:top="1446" w:right="1077" w:bottom="992" w:left="1077"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4EFF" w14:textId="77777777" w:rsidR="00496CC4" w:rsidRDefault="00496CC4" w:rsidP="00176C28">
      <w:r>
        <w:separator/>
      </w:r>
    </w:p>
    <w:p w14:paraId="2E077790" w14:textId="77777777" w:rsidR="00496CC4" w:rsidRDefault="00496CC4"/>
  </w:endnote>
  <w:endnote w:type="continuationSeparator" w:id="0">
    <w:p w14:paraId="7E0863BB" w14:textId="77777777" w:rsidR="00496CC4" w:rsidRDefault="00496CC4" w:rsidP="00176C28">
      <w:r>
        <w:continuationSeparator/>
      </w:r>
    </w:p>
    <w:p w14:paraId="22E6FA4A" w14:textId="77777777" w:rsidR="00496CC4" w:rsidRDefault="00496CC4"/>
  </w:endnote>
  <w:endnote w:type="continuationNotice" w:id="1">
    <w:p w14:paraId="73C04C60" w14:textId="77777777" w:rsidR="00496CC4" w:rsidRDefault="00496C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4D6D" w14:textId="77777777" w:rsidR="009633DE" w:rsidRDefault="009633DE" w:rsidP="00CB69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914835" w14:textId="77777777" w:rsidR="00977234" w:rsidRDefault="00977234" w:rsidP="009633DE">
    <w:pPr>
      <w:pStyle w:val="Footer"/>
      <w:ind w:right="360"/>
      <w:rPr>
        <w:rStyle w:val="PageNumber"/>
      </w:rPr>
    </w:pPr>
  </w:p>
  <w:p w14:paraId="0C8BEB87" w14:textId="77777777" w:rsidR="00977234" w:rsidRDefault="00977234" w:rsidP="009633DE">
    <w:pPr>
      <w:pStyle w:val="Footer"/>
    </w:pPr>
  </w:p>
  <w:p w14:paraId="6ED75E7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7506" w14:textId="733BA497" w:rsidR="00F76419" w:rsidRPr="009945A4" w:rsidRDefault="00E57B0B" w:rsidP="00F45271">
    <w:pPr>
      <w:pStyle w:val="Footer"/>
      <w:tabs>
        <w:tab w:val="clear" w:pos="2694"/>
        <w:tab w:val="clear" w:pos="3969"/>
        <w:tab w:val="clear" w:pos="6946"/>
        <w:tab w:val="clear" w:pos="9498"/>
        <w:tab w:val="right" w:pos="10206"/>
      </w:tabs>
      <w:ind w:left="0"/>
      <w:rPr>
        <w:rStyle w:val="Protectivemarker"/>
        <w:b w:val="0"/>
        <w:color w:val="000000" w:themeColor="text1"/>
        <w:sz w:val="18"/>
        <w:szCs w:val="18"/>
      </w:rPr>
    </w:pPr>
    <w:r w:rsidRPr="002D18F3">
      <w:rPr>
        <w:b/>
        <w:bCs/>
      </w:rPr>
      <w:t>W:</w:t>
    </w:r>
    <w:r w:rsidRPr="002D18F3">
      <w:t xml:space="preserve"> www.c</w:t>
    </w:r>
    <w:r w:rsidR="00BB7938">
      <w:t>e</w:t>
    </w:r>
    <w:r w:rsidRPr="002D18F3">
      <w:t>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Pr>
        <w:rStyle w:val="PageNumber"/>
      </w:rPr>
      <w:t xml:space="preserve"> </w:t>
    </w:r>
    <w:r w:rsidR="009945A4" w:rsidRPr="00CF5BD8">
      <w:rPr>
        <w:rFonts w:asciiTheme="minorHAnsi" w:hAnsiTheme="minorHAnsi"/>
      </w:rPr>
      <w:t>cer-</w:t>
    </w:r>
    <w:r w:rsidR="00CF5BD8">
      <w:rPr>
        <w:rFonts w:asciiTheme="minorHAnsi" w:hAnsiTheme="minorHAnsi"/>
      </w:rPr>
      <w:t>enquiries</w:t>
    </w:r>
    <w:r w:rsidR="009945A4" w:rsidRPr="00CF5BD8">
      <w:rPr>
        <w:rFonts w:asciiTheme="minorHAnsi" w:hAnsiTheme="minorHAnsi"/>
      </w:rPr>
      <w:t>@cer.gov.au</w:t>
    </w:r>
    <w:r w:rsidR="00F45271">
      <w:rPr>
        <w:rStyle w:val="PageNumber"/>
      </w:rPr>
      <w:tab/>
    </w:r>
    <w:sdt>
      <w:sdtPr>
        <w:id w:val="-19268704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3D03"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42F1F732" wp14:editId="4AF8A8F1">
          <wp:extent cx="2133416" cy="648000"/>
          <wp:effectExtent l="0" t="0" r="0" b="0"/>
          <wp:docPr id="11" name="Picture 11" descr="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lean Energy Regulator"/>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DBB5" w14:textId="77777777" w:rsidR="00496CC4" w:rsidRDefault="00496CC4" w:rsidP="00176C28">
      <w:r>
        <w:separator/>
      </w:r>
    </w:p>
    <w:p w14:paraId="08079915" w14:textId="77777777" w:rsidR="00496CC4" w:rsidRDefault="00496CC4"/>
  </w:footnote>
  <w:footnote w:type="continuationSeparator" w:id="0">
    <w:p w14:paraId="5982042A" w14:textId="77777777" w:rsidR="00496CC4" w:rsidRDefault="00496CC4" w:rsidP="00176C28">
      <w:r>
        <w:continuationSeparator/>
      </w:r>
    </w:p>
    <w:p w14:paraId="6BE6932D" w14:textId="77777777" w:rsidR="00496CC4" w:rsidRDefault="00496CC4"/>
  </w:footnote>
  <w:footnote w:type="continuationNotice" w:id="1">
    <w:p w14:paraId="7BD68936" w14:textId="77777777" w:rsidR="00496CC4" w:rsidRDefault="00496CC4">
      <w:pPr>
        <w:spacing w:after="0"/>
      </w:pPr>
    </w:p>
  </w:footnote>
  <w:footnote w:id="2">
    <w:p w14:paraId="3A2430A5" w14:textId="6FD31134" w:rsidR="001F23F6" w:rsidRPr="00C61686" w:rsidRDefault="001F23F6" w:rsidP="001F23F6">
      <w:pPr>
        <w:pStyle w:val="FootnoteText"/>
        <w:rPr>
          <w:sz w:val="18"/>
          <w:szCs w:val="18"/>
        </w:rPr>
      </w:pPr>
      <w:r w:rsidRPr="009A21CF">
        <w:rPr>
          <w:rStyle w:val="FootnoteReference"/>
          <w:sz w:val="18"/>
          <w:szCs w:val="18"/>
        </w:rPr>
        <w:footnoteRef/>
      </w:r>
      <w:r w:rsidRPr="00230783">
        <w:rPr>
          <w:sz w:val="18"/>
          <w:szCs w:val="18"/>
        </w:rPr>
        <w:t xml:space="preserve"> https://www.legislation.gov.au/Series/F2015L01637 </w:t>
      </w:r>
    </w:p>
  </w:footnote>
  <w:footnote w:id="3">
    <w:p w14:paraId="196AF120" w14:textId="5C5CDCCA" w:rsidR="001F23F6" w:rsidRPr="00C61686" w:rsidRDefault="001F23F6" w:rsidP="001F23F6">
      <w:pPr>
        <w:pStyle w:val="FootnoteText"/>
        <w:rPr>
          <w:sz w:val="18"/>
          <w:szCs w:val="18"/>
        </w:rPr>
      </w:pPr>
      <w:r w:rsidRPr="00C61686">
        <w:rPr>
          <w:rStyle w:val="FootnoteReference"/>
          <w:sz w:val="18"/>
          <w:szCs w:val="18"/>
        </w:rPr>
        <w:footnoteRef/>
      </w:r>
      <w:r w:rsidRPr="00230783">
        <w:rPr>
          <w:sz w:val="18"/>
          <w:szCs w:val="18"/>
        </w:rPr>
        <w:t xml:space="preserve"> https://www.legislation.gov.au/Series/C2007A00175</w:t>
      </w:r>
      <w:r w:rsidRPr="00230783">
        <w:rPr>
          <w:rStyle w:val="Hyperlink"/>
          <w:sz w:val="18"/>
          <w:szCs w:val="18"/>
        </w:rPr>
        <w:t xml:space="preserve"> </w:t>
      </w:r>
    </w:p>
  </w:footnote>
  <w:footnote w:id="4">
    <w:p w14:paraId="36B12188" w14:textId="74C14B34" w:rsidR="001F23F6" w:rsidRDefault="001F23F6" w:rsidP="001F23F6">
      <w:pPr>
        <w:pStyle w:val="FootnoteText"/>
      </w:pPr>
      <w:r w:rsidRPr="00C61686">
        <w:rPr>
          <w:rStyle w:val="FootnoteReference"/>
          <w:sz w:val="18"/>
          <w:szCs w:val="18"/>
        </w:rPr>
        <w:footnoteRef/>
      </w:r>
      <w:r w:rsidRPr="00230783">
        <w:rPr>
          <w:sz w:val="18"/>
          <w:szCs w:val="18"/>
        </w:rPr>
        <w:t xml:space="preserve"> https://www.legislation.gov.au/Series/F2008L02230</w:t>
      </w:r>
      <w:r w:rsidRPr="00001E2A">
        <w:rPr>
          <w:rStyle w:val="Hyperlink"/>
          <w:sz w:val="20"/>
        </w:rPr>
        <w:t xml:space="preserve"> </w:t>
      </w:r>
    </w:p>
  </w:footnote>
  <w:footnote w:id="5">
    <w:p w14:paraId="7980BE52" w14:textId="23310DD4" w:rsidR="00DB418C" w:rsidRDefault="00DB418C">
      <w:pPr>
        <w:pStyle w:val="FootnoteText"/>
      </w:pPr>
      <w:r>
        <w:rPr>
          <w:rStyle w:val="FootnoteReference"/>
        </w:rPr>
        <w:footnoteRef/>
      </w:r>
      <w:r>
        <w:t xml:space="preserve"> </w:t>
      </w:r>
      <w:r w:rsidRPr="00DB418C">
        <w:t>https://www.legislation.gov.au/Series/F2008L02309</w:t>
      </w:r>
    </w:p>
  </w:footnote>
  <w:footnote w:id="6">
    <w:p w14:paraId="06B69D76" w14:textId="3BCAEABC" w:rsidR="008501C3" w:rsidRPr="00D570AA" w:rsidRDefault="008501C3" w:rsidP="003A2A40">
      <w:pPr>
        <w:pStyle w:val="Default"/>
        <w:spacing w:before="60" w:after="60"/>
        <w:rPr>
          <w:rFonts w:asciiTheme="minorHAnsi" w:hAnsiTheme="minorHAnsi"/>
          <w:sz w:val="18"/>
          <w:szCs w:val="18"/>
        </w:rPr>
      </w:pPr>
      <w:r w:rsidRPr="00230783">
        <w:rPr>
          <w:rStyle w:val="FootnoteReference"/>
          <w:sz w:val="18"/>
          <w:szCs w:val="18"/>
        </w:rPr>
        <w:footnoteRef/>
      </w:r>
      <w:r w:rsidRPr="00230783">
        <w:rPr>
          <w:sz w:val="18"/>
          <w:szCs w:val="18"/>
        </w:rPr>
        <w:t xml:space="preserve"> </w:t>
      </w:r>
      <w:r w:rsidR="0078598F" w:rsidRPr="00230783">
        <w:rPr>
          <w:sz w:val="18"/>
          <w:szCs w:val="18"/>
        </w:rPr>
        <w:t>https://www.legislation.gov.au/C2007A00175/latest/versions</w:t>
      </w:r>
    </w:p>
  </w:footnote>
  <w:footnote w:id="7">
    <w:p w14:paraId="2A6DBAE4" w14:textId="74318E53" w:rsidR="002B457A" w:rsidRPr="00230783" w:rsidRDefault="002B457A">
      <w:pPr>
        <w:pStyle w:val="FootnoteText"/>
        <w:rPr>
          <w:sz w:val="18"/>
          <w:szCs w:val="18"/>
        </w:rPr>
      </w:pPr>
      <w:r w:rsidRPr="00230783">
        <w:rPr>
          <w:rStyle w:val="FootnoteReference"/>
          <w:sz w:val="18"/>
          <w:szCs w:val="18"/>
        </w:rPr>
        <w:footnoteRef/>
      </w:r>
      <w:r w:rsidRPr="00230783">
        <w:rPr>
          <w:sz w:val="18"/>
          <w:szCs w:val="18"/>
        </w:rPr>
        <w:t xml:space="preserve"> </w:t>
      </w:r>
      <w:r w:rsidR="00204E47" w:rsidRPr="00230783">
        <w:rPr>
          <w:sz w:val="18"/>
          <w:szCs w:val="18"/>
        </w:rPr>
        <w:t>https://www.legislation.gov.au/F2015L01637/latest/versions</w:t>
      </w:r>
    </w:p>
  </w:footnote>
  <w:footnote w:id="8">
    <w:p w14:paraId="7D94B3AF" w14:textId="2FCD2D29" w:rsidR="00E65A39" w:rsidRPr="00230783" w:rsidRDefault="00E65A39">
      <w:pPr>
        <w:pStyle w:val="FootnoteText"/>
        <w:rPr>
          <w:sz w:val="18"/>
          <w:szCs w:val="18"/>
        </w:rPr>
      </w:pPr>
      <w:r w:rsidRPr="00230783">
        <w:rPr>
          <w:rStyle w:val="FootnoteReference"/>
          <w:sz w:val="18"/>
          <w:szCs w:val="18"/>
        </w:rPr>
        <w:footnoteRef/>
      </w:r>
      <w:r w:rsidRPr="00230783">
        <w:rPr>
          <w:sz w:val="18"/>
          <w:szCs w:val="18"/>
        </w:rPr>
        <w:t xml:space="preserve"> https://www.legislation.gov.au/C2007A00175/latest/versions</w:t>
      </w:r>
    </w:p>
  </w:footnote>
  <w:footnote w:id="9">
    <w:p w14:paraId="4A160F8A" w14:textId="217CB3EE" w:rsidR="00E65A39" w:rsidRPr="00230783" w:rsidRDefault="00E65A39" w:rsidP="00230783">
      <w:pPr>
        <w:pStyle w:val="Default"/>
        <w:rPr>
          <w:sz w:val="18"/>
          <w:szCs w:val="18"/>
        </w:rPr>
      </w:pPr>
      <w:r w:rsidRPr="00230783">
        <w:rPr>
          <w:rStyle w:val="FootnoteReference"/>
          <w:sz w:val="18"/>
          <w:szCs w:val="18"/>
        </w:rPr>
        <w:footnoteRef/>
      </w:r>
      <w:r w:rsidRPr="00230783">
        <w:rPr>
          <w:sz w:val="18"/>
          <w:szCs w:val="18"/>
        </w:rPr>
        <w:t xml:space="preserve"> https://www.legislation.gov.au/F2008L02230/latest/text</w:t>
      </w:r>
    </w:p>
  </w:footnote>
  <w:footnote w:id="10">
    <w:p w14:paraId="1F7E12FC" w14:textId="73E72548" w:rsidR="00B1638E" w:rsidRPr="00D570AA" w:rsidRDefault="00B1638E" w:rsidP="00D570AA">
      <w:pPr>
        <w:spacing w:before="60" w:after="60"/>
        <w:rPr>
          <w:rFonts w:asciiTheme="minorHAnsi" w:hAnsiTheme="minorHAnsi"/>
          <w:sz w:val="18"/>
          <w:szCs w:val="18"/>
        </w:rPr>
      </w:pPr>
      <w:r w:rsidRPr="00230783">
        <w:rPr>
          <w:rStyle w:val="FootnoteReference"/>
          <w:sz w:val="18"/>
          <w:szCs w:val="18"/>
        </w:rPr>
        <w:footnoteRef/>
      </w:r>
      <w:r w:rsidRPr="00230783">
        <w:rPr>
          <w:sz w:val="18"/>
          <w:szCs w:val="18"/>
        </w:rPr>
        <w:t xml:space="preserve"> https://www.legislation.gov.au/C2007A00175/latest/versions</w:t>
      </w:r>
    </w:p>
  </w:footnote>
  <w:footnote w:id="11">
    <w:p w14:paraId="1C9BE09B" w14:textId="4DBF93C4" w:rsidR="00B51F3C" w:rsidRPr="0002750F" w:rsidRDefault="00B51F3C">
      <w:pPr>
        <w:pStyle w:val="FootnoteText"/>
        <w:rPr>
          <w:sz w:val="18"/>
          <w:szCs w:val="18"/>
        </w:rPr>
      </w:pPr>
      <w:r w:rsidRPr="0002750F">
        <w:rPr>
          <w:rStyle w:val="FootnoteReference"/>
          <w:sz w:val="18"/>
          <w:szCs w:val="18"/>
        </w:rPr>
        <w:footnoteRef/>
      </w:r>
      <w:r w:rsidRPr="0002750F">
        <w:rPr>
          <w:sz w:val="18"/>
          <w:szCs w:val="18"/>
        </w:rPr>
        <w:t xml:space="preserve"> https://www.legislation.gov.au/C2007A00175/latest/versions</w:t>
      </w:r>
    </w:p>
  </w:footnote>
  <w:footnote w:id="12">
    <w:p w14:paraId="0B9EC227" w14:textId="193ACBCE" w:rsidR="00AF35C1" w:rsidRPr="00551614" w:rsidRDefault="00AF35C1" w:rsidP="00551614">
      <w:pPr>
        <w:spacing w:before="60" w:after="60"/>
        <w:rPr>
          <w:rFonts w:asciiTheme="minorHAnsi" w:hAnsiTheme="minorHAnsi" w:cstheme="minorHAnsi"/>
          <w:sz w:val="18"/>
          <w:szCs w:val="18"/>
        </w:rPr>
      </w:pPr>
      <w:r w:rsidRPr="00551614">
        <w:rPr>
          <w:rStyle w:val="FootnoteReference"/>
          <w:sz w:val="18"/>
          <w:szCs w:val="18"/>
        </w:rPr>
        <w:footnoteRef/>
      </w:r>
      <w:r w:rsidRPr="00551614">
        <w:rPr>
          <w:sz w:val="18"/>
          <w:szCs w:val="18"/>
        </w:rPr>
        <w:t xml:space="preserve"> </w:t>
      </w:r>
      <w:r w:rsidRPr="00551614">
        <w:rPr>
          <w:rStyle w:val="cf01"/>
          <w:rFonts w:asciiTheme="minorHAnsi" w:hAnsiTheme="minorHAnsi" w:cstheme="minorHAnsi"/>
        </w:rPr>
        <w:t>https://www.legislation.gov.au/F2015L01637/latest/versions</w:t>
      </w:r>
    </w:p>
  </w:footnote>
  <w:footnote w:id="13">
    <w:p w14:paraId="708BB576" w14:textId="14CF5C2D" w:rsidR="00721F9A" w:rsidRPr="00551614" w:rsidRDefault="00721F9A">
      <w:pPr>
        <w:pStyle w:val="FootnoteText"/>
        <w:rPr>
          <w:sz w:val="18"/>
          <w:szCs w:val="18"/>
        </w:rPr>
      </w:pPr>
      <w:r w:rsidRPr="00551614">
        <w:rPr>
          <w:rStyle w:val="FootnoteReference"/>
          <w:sz w:val="18"/>
          <w:szCs w:val="18"/>
        </w:rPr>
        <w:footnoteRef/>
      </w:r>
      <w:r w:rsidRPr="00551614">
        <w:rPr>
          <w:sz w:val="18"/>
          <w:szCs w:val="18"/>
        </w:rPr>
        <w:t xml:space="preserve"> https://www.dcceew.gov.au/climate-change/publications/safeguard-mechanism-document#:~:text=The%20Safeguard%20Mechanism%20and%20National,report%20and%20manage%20their%20emissions</w:t>
      </w:r>
    </w:p>
  </w:footnote>
  <w:footnote w:id="14">
    <w:p w14:paraId="528F1573" w14:textId="3B27EC98" w:rsidR="00DF23C7" w:rsidRPr="00D570AA" w:rsidRDefault="00DF23C7" w:rsidP="00D570AA">
      <w:pPr>
        <w:spacing w:before="60" w:after="60"/>
        <w:rPr>
          <w:rFonts w:asciiTheme="minorHAnsi" w:hAnsiTheme="minorHAnsi"/>
          <w:sz w:val="18"/>
          <w:szCs w:val="18"/>
        </w:rPr>
      </w:pPr>
      <w:r w:rsidRPr="00D570AA">
        <w:rPr>
          <w:rStyle w:val="FootnoteReference"/>
          <w:sz w:val="18"/>
          <w:szCs w:val="18"/>
        </w:rPr>
        <w:footnoteRef/>
      </w:r>
      <w:r w:rsidRPr="00D570AA">
        <w:rPr>
          <w:sz w:val="18"/>
          <w:szCs w:val="18"/>
        </w:rPr>
        <w:t xml:space="preserve"> </w:t>
      </w:r>
      <w:r w:rsidR="00894153" w:rsidRPr="00D570AA">
        <w:rPr>
          <w:sz w:val="18"/>
          <w:szCs w:val="18"/>
        </w:rPr>
        <w:t>https://cer.gov.au/schemes/national-greenhouse-and-energy-reporting-scheme/about-emissions-and-energy-data/emissions#types-of-emissions</w:t>
      </w:r>
    </w:p>
  </w:footnote>
  <w:footnote w:id="15">
    <w:p w14:paraId="680CD543" w14:textId="7862ADF8" w:rsidR="005F211E" w:rsidRPr="001B21F0" w:rsidRDefault="005F211E">
      <w:pPr>
        <w:pStyle w:val="FootnoteText"/>
        <w:rPr>
          <w:sz w:val="18"/>
          <w:szCs w:val="18"/>
        </w:rPr>
      </w:pPr>
      <w:r w:rsidRPr="001B21F0">
        <w:rPr>
          <w:rStyle w:val="FootnoteReference"/>
          <w:sz w:val="18"/>
          <w:szCs w:val="18"/>
        </w:rPr>
        <w:footnoteRef/>
      </w:r>
      <w:r w:rsidRPr="001B21F0">
        <w:rPr>
          <w:sz w:val="18"/>
          <w:szCs w:val="18"/>
        </w:rPr>
        <w:t xml:space="preserve"> </w:t>
      </w:r>
      <w:r w:rsidR="00633036" w:rsidRPr="001B21F0">
        <w:rPr>
          <w:sz w:val="18"/>
          <w:szCs w:val="18"/>
        </w:rPr>
        <w:t xml:space="preserve">https://cer.gov.au/schemes/safeguard-mechanism </w:t>
      </w:r>
    </w:p>
  </w:footnote>
  <w:footnote w:id="16">
    <w:p w14:paraId="5E828DEA" w14:textId="7972A128" w:rsidR="001E0D00" w:rsidRPr="001B21F0" w:rsidRDefault="001E0D00">
      <w:pPr>
        <w:pStyle w:val="FootnoteText"/>
        <w:rPr>
          <w:sz w:val="18"/>
          <w:szCs w:val="18"/>
        </w:rPr>
      </w:pPr>
      <w:r w:rsidRPr="001B21F0">
        <w:rPr>
          <w:rStyle w:val="FootnoteReference"/>
          <w:sz w:val="18"/>
          <w:szCs w:val="18"/>
        </w:rPr>
        <w:footnoteRef/>
      </w:r>
      <w:r w:rsidRPr="001B21F0">
        <w:rPr>
          <w:sz w:val="18"/>
          <w:szCs w:val="18"/>
        </w:rPr>
        <w:t xml:space="preserve"> https://cer.gov.au/online-systems#online-services </w:t>
      </w:r>
    </w:p>
  </w:footnote>
  <w:footnote w:id="17">
    <w:p w14:paraId="37722F1D" w14:textId="7CFFC122" w:rsidR="00AA6AA0" w:rsidRPr="00B60182" w:rsidRDefault="00AA6AA0">
      <w:pPr>
        <w:pStyle w:val="FootnoteText"/>
        <w:rPr>
          <w:sz w:val="18"/>
          <w:szCs w:val="18"/>
        </w:rPr>
      </w:pPr>
      <w:r w:rsidRPr="00D03436">
        <w:rPr>
          <w:rStyle w:val="FootnoteReference"/>
          <w:sz w:val="18"/>
          <w:szCs w:val="18"/>
        </w:rPr>
        <w:footnoteRef/>
      </w:r>
      <w:r w:rsidRPr="00D03436">
        <w:rPr>
          <w:sz w:val="18"/>
          <w:szCs w:val="18"/>
        </w:rPr>
        <w:t xml:space="preserve"> </w:t>
      </w:r>
      <w:r w:rsidR="00F711D3" w:rsidRPr="00B60182">
        <w:rPr>
          <w:sz w:val="18"/>
          <w:szCs w:val="18"/>
        </w:rPr>
        <w:t>https://cer.gov.au/online-systems#online-services</w:t>
      </w:r>
      <w:r w:rsidR="00036ECF">
        <w:rPr>
          <w:sz w:val="18"/>
          <w:szCs w:val="18"/>
        </w:rPr>
        <w:t xml:space="preserve"> </w:t>
      </w:r>
    </w:p>
  </w:footnote>
  <w:footnote w:id="18">
    <w:p w14:paraId="1FAC1B7B" w14:textId="28D80CAF" w:rsidR="00DB225E" w:rsidRPr="00182912" w:rsidRDefault="00DB225E">
      <w:pPr>
        <w:pStyle w:val="FootnoteText"/>
        <w:rPr>
          <w:sz w:val="18"/>
          <w:szCs w:val="18"/>
        </w:rPr>
      </w:pPr>
      <w:r w:rsidRPr="00D56463">
        <w:rPr>
          <w:rStyle w:val="FootnoteReference"/>
          <w:sz w:val="18"/>
          <w:szCs w:val="18"/>
        </w:rPr>
        <w:footnoteRef/>
      </w:r>
      <w:r w:rsidRPr="00D56463">
        <w:rPr>
          <w:sz w:val="18"/>
          <w:szCs w:val="18"/>
        </w:rPr>
        <w:t xml:space="preserve"> </w:t>
      </w:r>
      <w:r w:rsidR="00036ECF" w:rsidRPr="005F54D2">
        <w:rPr>
          <w:sz w:val="18"/>
          <w:szCs w:val="18"/>
        </w:rPr>
        <w:t>https://cer.gov.au/online-systems#online-services</w:t>
      </w:r>
      <w:r w:rsidR="00036ECF" w:rsidRPr="00614311">
        <w:rPr>
          <w:sz w:val="18"/>
          <w:szCs w:val="18"/>
        </w:rPr>
        <w:t xml:space="preserve"> </w:t>
      </w:r>
    </w:p>
  </w:footnote>
  <w:footnote w:id="19">
    <w:p w14:paraId="43A650B2" w14:textId="75790EF5" w:rsidR="00E4732E" w:rsidRDefault="00E4732E" w:rsidP="00E4732E">
      <w:pPr>
        <w:pStyle w:val="FootnoteText"/>
      </w:pPr>
      <w:r w:rsidRPr="00D56463">
        <w:rPr>
          <w:rStyle w:val="FootnoteReference"/>
          <w:sz w:val="18"/>
          <w:szCs w:val="18"/>
        </w:rPr>
        <w:footnoteRef/>
      </w:r>
      <w:r w:rsidRPr="00C7639F">
        <w:rPr>
          <w:sz w:val="18"/>
          <w:szCs w:val="18"/>
        </w:rPr>
        <w:t xml:space="preserve"> </w:t>
      </w:r>
      <w:r w:rsidRPr="005F54D2">
        <w:rPr>
          <w:sz w:val="18"/>
          <w:szCs w:val="18"/>
        </w:rPr>
        <w:t>https://cer.gov.au/document_page/nger-online-services-user-guide</w:t>
      </w:r>
      <w:r>
        <w:t xml:space="preserve"> </w:t>
      </w:r>
    </w:p>
  </w:footnote>
  <w:footnote w:id="20">
    <w:p w14:paraId="735B47CB" w14:textId="07FD6E47" w:rsidR="00036A3A" w:rsidRDefault="00036A3A">
      <w:pPr>
        <w:pStyle w:val="FootnoteText"/>
      </w:pPr>
      <w:r w:rsidRPr="00B60182">
        <w:rPr>
          <w:rStyle w:val="FootnoteReference"/>
          <w:sz w:val="18"/>
          <w:szCs w:val="18"/>
        </w:rPr>
        <w:footnoteRef/>
      </w:r>
      <w:r w:rsidRPr="00B60182">
        <w:rPr>
          <w:sz w:val="18"/>
          <w:szCs w:val="18"/>
        </w:rPr>
        <w:t xml:space="preserve"> https://www.cleanenergyregulator.gov.au/OSR/online-services</w:t>
      </w:r>
    </w:p>
  </w:footnote>
  <w:footnote w:id="21">
    <w:p w14:paraId="68F20213" w14:textId="4B3FC244" w:rsidR="00DB225E" w:rsidRPr="005D1663" w:rsidRDefault="00DB225E">
      <w:pPr>
        <w:pStyle w:val="FootnoteText"/>
        <w:rPr>
          <w:sz w:val="18"/>
          <w:szCs w:val="18"/>
        </w:rPr>
      </w:pPr>
      <w:r w:rsidRPr="00B60182">
        <w:rPr>
          <w:rStyle w:val="FootnoteReference"/>
          <w:sz w:val="18"/>
          <w:szCs w:val="18"/>
        </w:rPr>
        <w:footnoteRef/>
      </w:r>
      <w:r w:rsidRPr="00B60182">
        <w:rPr>
          <w:sz w:val="18"/>
          <w:szCs w:val="18"/>
        </w:rPr>
        <w:t xml:space="preserve"> </w:t>
      </w:r>
      <w:r w:rsidRPr="005458A7">
        <w:rPr>
          <w:rFonts w:asciiTheme="minorHAnsi" w:hAnsiTheme="minorHAnsi"/>
          <w:sz w:val="18"/>
          <w:szCs w:val="18"/>
        </w:rPr>
        <w:t>https://www.cleanenergyregulator.gov.au/NGER/Reporting-cycle/Assess-your-obligations/Reporting-thresholds#n3-2</w:t>
      </w:r>
      <w:r w:rsidRPr="00182912">
        <w:rPr>
          <w:sz w:val="18"/>
          <w:szCs w:val="18"/>
        </w:rPr>
        <w:t xml:space="preserve"> </w:t>
      </w:r>
    </w:p>
  </w:footnote>
  <w:footnote w:id="22">
    <w:p w14:paraId="6C822C6A" w14:textId="7E57AE75" w:rsidR="00182912" w:rsidRPr="00B60182" w:rsidRDefault="00182912" w:rsidP="00182912">
      <w:pPr>
        <w:pStyle w:val="FootnoteText"/>
        <w:rPr>
          <w:sz w:val="18"/>
          <w:szCs w:val="18"/>
        </w:rPr>
      </w:pPr>
      <w:r w:rsidRPr="00182912">
        <w:rPr>
          <w:rStyle w:val="FootnoteReference"/>
          <w:sz w:val="18"/>
          <w:szCs w:val="18"/>
        </w:rPr>
        <w:footnoteRef/>
      </w:r>
      <w:r w:rsidRPr="00182912">
        <w:rPr>
          <w:sz w:val="18"/>
          <w:szCs w:val="18"/>
        </w:rPr>
        <w:t xml:space="preserve"> </w:t>
      </w:r>
      <w:hyperlink r:id="rId1" w:history="1">
        <w:r w:rsidRPr="005458A7">
          <w:rPr>
            <w:sz w:val="18"/>
            <w:szCs w:val="18"/>
          </w:rPr>
          <w:t>https://cer.gov.au/document_page/nger-online-services-user-guide</w:t>
        </w:r>
      </w:hyperlink>
      <w:r w:rsidRPr="00B60182">
        <w:rPr>
          <w:sz w:val="18"/>
          <w:szCs w:val="18"/>
        </w:rPr>
        <w:t xml:space="preserve"> </w:t>
      </w:r>
    </w:p>
  </w:footnote>
  <w:footnote w:id="23">
    <w:p w14:paraId="6B10A7FC" w14:textId="71735A63" w:rsidR="00DB225E" w:rsidRDefault="00DB225E">
      <w:pPr>
        <w:pStyle w:val="FootnoteText"/>
      </w:pPr>
      <w:r w:rsidRPr="00B60182">
        <w:rPr>
          <w:rStyle w:val="FootnoteReference"/>
          <w:sz w:val="18"/>
          <w:szCs w:val="18"/>
        </w:rPr>
        <w:footnoteRef/>
      </w:r>
      <w:r w:rsidRPr="00B60182">
        <w:rPr>
          <w:sz w:val="18"/>
          <w:szCs w:val="18"/>
        </w:rPr>
        <w:t xml:space="preserve"> </w:t>
      </w:r>
      <w:r w:rsidR="006D4A04" w:rsidRPr="006D4A04">
        <w:rPr>
          <w:rFonts w:asciiTheme="minorHAnsi" w:hAnsiTheme="minorHAnsi"/>
          <w:sz w:val="18"/>
          <w:szCs w:val="18"/>
        </w:rPr>
        <w:t>https://cer.gov.au/schemes/national-greenhouse-and-energy-reporting-scheme/register-nger-reporter</w:t>
      </w:r>
    </w:p>
  </w:footnote>
  <w:footnote w:id="24">
    <w:p w14:paraId="60249A59" w14:textId="617CAE55" w:rsidR="007777A9" w:rsidRDefault="007777A9">
      <w:pPr>
        <w:pStyle w:val="FootnoteText"/>
      </w:pPr>
      <w:r w:rsidRPr="00A018CF">
        <w:rPr>
          <w:rStyle w:val="FootnoteReference"/>
          <w:sz w:val="18"/>
          <w:szCs w:val="18"/>
        </w:rPr>
        <w:footnoteRef/>
      </w:r>
      <w:r w:rsidRPr="00A018CF">
        <w:rPr>
          <w:sz w:val="18"/>
          <w:szCs w:val="18"/>
        </w:rPr>
        <w:t xml:space="preserve"> </w:t>
      </w:r>
      <w:r w:rsidRPr="00BD73DE">
        <w:rPr>
          <w:rFonts w:asciiTheme="minorHAnsi" w:hAnsiTheme="minorHAnsi"/>
          <w:sz w:val="18"/>
          <w:szCs w:val="18"/>
        </w:rPr>
        <w:t>https://www.dcceew.gov.au/climate-change/publications/safeguard-mechanism-document</w:t>
      </w:r>
      <w:r w:rsidRPr="00A018CF">
        <w:rPr>
          <w:sz w:val="18"/>
          <w:szCs w:val="18"/>
        </w:rPr>
        <w:t xml:space="preserve"> </w:t>
      </w:r>
    </w:p>
  </w:footnote>
  <w:footnote w:id="25">
    <w:p w14:paraId="375E4446" w14:textId="2B32ABE6" w:rsidR="007777A9" w:rsidRDefault="007777A9">
      <w:pPr>
        <w:pStyle w:val="FootnoteText"/>
      </w:pPr>
      <w:r w:rsidRPr="006329CB">
        <w:rPr>
          <w:rStyle w:val="FootnoteReference"/>
          <w:sz w:val="18"/>
          <w:szCs w:val="18"/>
        </w:rPr>
        <w:footnoteRef/>
      </w:r>
      <w:r w:rsidRPr="006329CB">
        <w:rPr>
          <w:sz w:val="18"/>
          <w:szCs w:val="18"/>
        </w:rPr>
        <w:t xml:space="preserve"> </w:t>
      </w:r>
      <w:r w:rsidRPr="009723B5">
        <w:rPr>
          <w:rFonts w:asciiTheme="minorHAnsi" w:hAnsiTheme="minorHAnsi"/>
          <w:sz w:val="18"/>
          <w:szCs w:val="18"/>
        </w:rPr>
        <w:t>https://www.dcceew.gov.au/climate-change/publications/safeguard-mechanism-document</w:t>
      </w:r>
      <w:r w:rsidRPr="006329CB">
        <w:rPr>
          <w:sz w:val="18"/>
          <w:szCs w:val="18"/>
        </w:rPr>
        <w:t xml:space="preserve"> </w:t>
      </w:r>
    </w:p>
  </w:footnote>
  <w:footnote w:id="26">
    <w:p w14:paraId="30EB11C7" w14:textId="5FB05B65" w:rsidR="007777A9" w:rsidRDefault="007777A9">
      <w:pPr>
        <w:pStyle w:val="FootnoteText"/>
      </w:pPr>
      <w:r w:rsidRPr="00C665E9">
        <w:rPr>
          <w:rStyle w:val="FootnoteReference"/>
          <w:sz w:val="18"/>
          <w:szCs w:val="18"/>
        </w:rPr>
        <w:footnoteRef/>
      </w:r>
      <w:r w:rsidRPr="00C665E9">
        <w:rPr>
          <w:sz w:val="18"/>
          <w:szCs w:val="18"/>
        </w:rPr>
        <w:t xml:space="preserve"> </w:t>
      </w:r>
      <w:r w:rsidRPr="009723B5">
        <w:rPr>
          <w:rFonts w:asciiTheme="minorHAnsi" w:hAnsiTheme="minorHAnsi"/>
          <w:sz w:val="18"/>
          <w:szCs w:val="18"/>
        </w:rPr>
        <w:t>https://www.dcceew.gov.au/climate-change/publications/safeguard-mechanism-document</w:t>
      </w:r>
      <w:r w:rsidRPr="00C665E9">
        <w:rPr>
          <w:sz w:val="18"/>
          <w:szCs w:val="18"/>
        </w:rPr>
        <w:t xml:space="preserve"> </w:t>
      </w:r>
    </w:p>
  </w:footnote>
  <w:footnote w:id="27">
    <w:p w14:paraId="2EBDBF8A" w14:textId="711C6D12" w:rsidR="009E66DB" w:rsidRPr="00501C59" w:rsidRDefault="009E66DB">
      <w:pPr>
        <w:pStyle w:val="FootnoteText"/>
        <w:rPr>
          <w:sz w:val="18"/>
          <w:szCs w:val="18"/>
        </w:rPr>
      </w:pPr>
      <w:r w:rsidRPr="00501C59">
        <w:rPr>
          <w:rStyle w:val="FootnoteReference"/>
          <w:sz w:val="18"/>
          <w:szCs w:val="18"/>
        </w:rPr>
        <w:footnoteRef/>
      </w:r>
      <w:r w:rsidRPr="00501C59">
        <w:rPr>
          <w:sz w:val="18"/>
          <w:szCs w:val="18"/>
        </w:rPr>
        <w:t xml:space="preserve"> </w:t>
      </w:r>
      <w:r w:rsidR="008A2C71" w:rsidRPr="0069559C">
        <w:rPr>
          <w:rFonts w:asciiTheme="minorHAnsi" w:hAnsiTheme="minorHAnsi"/>
          <w:sz w:val="18"/>
          <w:szCs w:val="18"/>
        </w:rPr>
        <w:t>https://www.legislation.gov.au/Series/F2008L02309</w:t>
      </w:r>
      <w:r w:rsidR="008A2C71">
        <w:rPr>
          <w:sz w:val="18"/>
          <w:szCs w:val="18"/>
        </w:rPr>
        <w:t xml:space="preserve"> </w:t>
      </w:r>
    </w:p>
  </w:footnote>
  <w:footnote w:id="28">
    <w:p w14:paraId="4BCAC6C2" w14:textId="4970D1F2" w:rsidR="001E5BA2" w:rsidRDefault="001E5BA2">
      <w:pPr>
        <w:pStyle w:val="FootnoteText"/>
      </w:pPr>
      <w:r w:rsidRPr="00501C59">
        <w:rPr>
          <w:rStyle w:val="FootnoteReference"/>
          <w:sz w:val="18"/>
          <w:szCs w:val="18"/>
        </w:rPr>
        <w:footnoteRef/>
      </w:r>
      <w:r w:rsidRPr="00501C59">
        <w:rPr>
          <w:sz w:val="18"/>
          <w:szCs w:val="18"/>
        </w:rPr>
        <w:t xml:space="preserve"> </w:t>
      </w:r>
      <w:r w:rsidRPr="0069559C">
        <w:rPr>
          <w:rFonts w:asciiTheme="minorHAnsi" w:hAnsiTheme="minorHAnsi"/>
          <w:sz w:val="18"/>
          <w:szCs w:val="18"/>
        </w:rPr>
        <w:t>https://www.legislation.gov.au/Series/F2008L02230</w:t>
      </w:r>
      <w:r w:rsidRPr="00501C59">
        <w:rPr>
          <w:sz w:val="18"/>
          <w:szCs w:val="18"/>
        </w:rPr>
        <w:t xml:space="preserve"> </w:t>
      </w:r>
    </w:p>
  </w:footnote>
  <w:footnote w:id="29">
    <w:p w14:paraId="1C9E02A9" w14:textId="41BCBD9A" w:rsidR="00721433" w:rsidRPr="0023106D" w:rsidRDefault="00721433">
      <w:pPr>
        <w:pStyle w:val="FootnoteText"/>
        <w:rPr>
          <w:sz w:val="18"/>
          <w:szCs w:val="18"/>
        </w:rPr>
      </w:pPr>
      <w:r w:rsidRPr="0023106D">
        <w:rPr>
          <w:rStyle w:val="FootnoteReference"/>
          <w:sz w:val="18"/>
          <w:szCs w:val="18"/>
        </w:rPr>
        <w:footnoteRef/>
      </w:r>
      <w:r w:rsidRPr="0023106D">
        <w:rPr>
          <w:sz w:val="18"/>
          <w:szCs w:val="18"/>
        </w:rPr>
        <w:t xml:space="preserve"> </w:t>
      </w:r>
      <w:r w:rsidR="00E52DFB" w:rsidRPr="00B60182">
        <w:rPr>
          <w:sz w:val="18"/>
          <w:szCs w:val="18"/>
        </w:rPr>
        <w:t>National Greenhouse and Energy Reporting (Measurement) Determination 2008 (legislation.gov.au)</w:t>
      </w:r>
      <w:r w:rsidRPr="0023106D">
        <w:rPr>
          <w:sz w:val="18"/>
          <w:szCs w:val="18"/>
        </w:rPr>
        <w:t xml:space="preserve"> </w:t>
      </w:r>
    </w:p>
  </w:footnote>
  <w:footnote w:id="30">
    <w:p w14:paraId="726E4F75" w14:textId="0B261DFD" w:rsidR="004704B3" w:rsidRPr="009E465F" w:rsidRDefault="004704B3">
      <w:pPr>
        <w:pStyle w:val="FootnoteText"/>
        <w:rPr>
          <w:sz w:val="18"/>
          <w:szCs w:val="18"/>
        </w:rPr>
      </w:pPr>
      <w:r w:rsidRPr="009E465F">
        <w:rPr>
          <w:rStyle w:val="FootnoteReference"/>
          <w:sz w:val="18"/>
          <w:szCs w:val="18"/>
        </w:rPr>
        <w:footnoteRef/>
      </w:r>
      <w:r w:rsidRPr="009E465F">
        <w:rPr>
          <w:sz w:val="18"/>
          <w:szCs w:val="18"/>
        </w:rPr>
        <w:t xml:space="preserve"> </w:t>
      </w:r>
      <w:r w:rsidR="00C444B7" w:rsidRPr="00C444B7">
        <w:rPr>
          <w:sz w:val="18"/>
          <w:szCs w:val="18"/>
        </w:rPr>
        <w:t>https://cer.gov.au/schemes/national-greenhouse-and-energy-reporting-scheme#legislative-framework</w:t>
      </w:r>
    </w:p>
  </w:footnote>
  <w:footnote w:id="31">
    <w:p w14:paraId="3DD10E5D" w14:textId="6E5F64DA" w:rsidR="0096165B" w:rsidRDefault="0096165B">
      <w:pPr>
        <w:pStyle w:val="FootnoteText"/>
      </w:pPr>
      <w:r w:rsidRPr="009E465F">
        <w:rPr>
          <w:rStyle w:val="FootnoteReference"/>
          <w:sz w:val="18"/>
          <w:szCs w:val="18"/>
        </w:rPr>
        <w:footnoteRef/>
      </w:r>
      <w:r w:rsidRPr="009E465F">
        <w:rPr>
          <w:sz w:val="18"/>
          <w:szCs w:val="18"/>
        </w:rPr>
        <w:t xml:space="preserve"> </w:t>
      </w:r>
      <w:r w:rsidR="00734B9F" w:rsidRPr="00B60182">
        <w:rPr>
          <w:sz w:val="18"/>
          <w:szCs w:val="18"/>
        </w:rPr>
        <w:t>https://www.legislation.gov.au/</w:t>
      </w:r>
      <w:r w:rsidRPr="009E465F">
        <w:rPr>
          <w:sz w:val="18"/>
          <w:szCs w:val="18"/>
        </w:rPr>
        <w:t xml:space="preserve"> </w:t>
      </w:r>
    </w:p>
  </w:footnote>
  <w:footnote w:id="32">
    <w:p w14:paraId="76C136E3" w14:textId="481E34EE" w:rsidR="00FE5293" w:rsidRPr="00BC66F5" w:rsidRDefault="00FE5293">
      <w:pPr>
        <w:pStyle w:val="FootnoteText"/>
        <w:rPr>
          <w:sz w:val="18"/>
          <w:szCs w:val="18"/>
        </w:rPr>
      </w:pPr>
      <w:r w:rsidRPr="00BC66F5">
        <w:rPr>
          <w:rStyle w:val="FootnoteReference"/>
          <w:sz w:val="18"/>
          <w:szCs w:val="18"/>
        </w:rPr>
        <w:footnoteRef/>
      </w:r>
      <w:r w:rsidRPr="00BC66F5">
        <w:rPr>
          <w:sz w:val="18"/>
          <w:szCs w:val="18"/>
        </w:rPr>
        <w:t xml:space="preserve"> </w:t>
      </w:r>
      <w:r w:rsidR="005B13C0" w:rsidRPr="005B13C0">
        <w:rPr>
          <w:rFonts w:asciiTheme="minorHAnsi" w:hAnsiTheme="minorHAnsi"/>
          <w:sz w:val="18"/>
          <w:szCs w:val="18"/>
        </w:rPr>
        <w:t>https://cer.gov.au/schemes/national-greenhouse-and-energy-reporting-scheme/report-emissions-and-energy/amendments-to-national-greenhouse-and-energy-reporting-legislation</w:t>
      </w:r>
    </w:p>
  </w:footnote>
  <w:footnote w:id="33">
    <w:p w14:paraId="36683D52" w14:textId="397DB052" w:rsidR="007E3E30" w:rsidRPr="00BC66F5" w:rsidRDefault="007E3E30">
      <w:pPr>
        <w:pStyle w:val="FootnoteText"/>
        <w:rPr>
          <w:sz w:val="18"/>
          <w:szCs w:val="18"/>
        </w:rPr>
      </w:pPr>
      <w:r w:rsidRPr="00BC66F5">
        <w:rPr>
          <w:rStyle w:val="FootnoteReference"/>
          <w:sz w:val="18"/>
          <w:szCs w:val="18"/>
        </w:rPr>
        <w:footnoteRef/>
      </w:r>
      <w:r w:rsidR="009E465F" w:rsidRPr="00172B6F">
        <w:rPr>
          <w:rFonts w:asciiTheme="minorHAnsi" w:hAnsiTheme="minorHAnsi"/>
          <w:sz w:val="18"/>
          <w:szCs w:val="18"/>
        </w:rPr>
        <w:t>https://www.legislation.gov.au/Series/F2008L02309</w:t>
      </w:r>
    </w:p>
  </w:footnote>
  <w:footnote w:id="34">
    <w:p w14:paraId="161DDC54" w14:textId="7E6B7AF2" w:rsidR="0096165B" w:rsidRPr="00982865" w:rsidRDefault="0096165B">
      <w:pPr>
        <w:pStyle w:val="FootnoteText"/>
        <w:rPr>
          <w:sz w:val="18"/>
          <w:szCs w:val="18"/>
        </w:rPr>
      </w:pPr>
      <w:r w:rsidRPr="00982865">
        <w:rPr>
          <w:rStyle w:val="FootnoteReference"/>
          <w:sz w:val="18"/>
          <w:szCs w:val="18"/>
        </w:rPr>
        <w:footnoteRef/>
      </w:r>
      <w:r w:rsidRPr="00982865">
        <w:rPr>
          <w:sz w:val="18"/>
          <w:szCs w:val="18"/>
        </w:rPr>
        <w:t xml:space="preserve"> </w:t>
      </w:r>
      <w:r w:rsidR="00E04E0A" w:rsidRPr="00E04E0A">
        <w:rPr>
          <w:rFonts w:asciiTheme="minorHAnsi" w:hAnsiTheme="minorHAnsi"/>
          <w:sz w:val="18"/>
          <w:szCs w:val="18"/>
        </w:rPr>
        <w:t>https://cer.gov.au/schemes/national-greenhouse-and-energy-reporting-scheme/about-emissions-and-energy-data/global-warming-potential</w:t>
      </w:r>
    </w:p>
  </w:footnote>
  <w:footnote w:id="35">
    <w:p w14:paraId="6B24D4FF" w14:textId="6A1CA961" w:rsidR="002759D9" w:rsidRDefault="002759D9">
      <w:pPr>
        <w:pStyle w:val="FootnoteText"/>
      </w:pPr>
      <w:r w:rsidRPr="00982865">
        <w:rPr>
          <w:rStyle w:val="FootnoteReference"/>
          <w:sz w:val="18"/>
          <w:szCs w:val="18"/>
        </w:rPr>
        <w:footnoteRef/>
      </w:r>
      <w:r w:rsidRPr="00982865">
        <w:rPr>
          <w:sz w:val="18"/>
          <w:szCs w:val="18"/>
        </w:rPr>
        <w:t xml:space="preserve"> </w:t>
      </w:r>
      <w:r w:rsidR="00604E5B" w:rsidRPr="00604E5B">
        <w:rPr>
          <w:rFonts w:asciiTheme="minorHAnsi" w:hAnsiTheme="minorHAnsi"/>
          <w:sz w:val="18"/>
          <w:szCs w:val="18"/>
        </w:rPr>
        <w:t>https://cer.gov.au/schemes/national-greenhouse-and-energy-reporting-scheme/about-emissions-and-energy-data/global-warming-potential</w:t>
      </w:r>
    </w:p>
  </w:footnote>
  <w:footnote w:id="36">
    <w:p w14:paraId="3C81DDC0" w14:textId="3E56CB34" w:rsidR="00362FD5" w:rsidRDefault="00362FD5">
      <w:pPr>
        <w:pStyle w:val="FootnoteText"/>
      </w:pPr>
      <w:r w:rsidRPr="006D3752">
        <w:rPr>
          <w:rStyle w:val="FootnoteReference"/>
          <w:sz w:val="18"/>
          <w:szCs w:val="18"/>
        </w:rPr>
        <w:footnoteRef/>
      </w:r>
      <w:r w:rsidRPr="006D3752">
        <w:rPr>
          <w:sz w:val="18"/>
          <w:szCs w:val="18"/>
        </w:rPr>
        <w:t xml:space="preserve"> </w:t>
      </w:r>
      <w:r w:rsidRPr="000731EF">
        <w:rPr>
          <w:rFonts w:asciiTheme="minorHAnsi" w:hAnsiTheme="minorHAnsi"/>
          <w:sz w:val="18"/>
          <w:szCs w:val="18"/>
        </w:rPr>
        <w:t>https://www.dcceew.gov.au/climate-change/publications/safeguard-mechanism-document</w:t>
      </w:r>
      <w:r w:rsidRPr="006D3752">
        <w:rPr>
          <w:sz w:val="18"/>
          <w:szCs w:val="18"/>
        </w:rPr>
        <w:t xml:space="preserve"> </w:t>
      </w:r>
    </w:p>
  </w:footnote>
  <w:footnote w:id="37">
    <w:p w14:paraId="5AE4CB7F" w14:textId="3CD8DBB4" w:rsidR="00362FD5" w:rsidRPr="00EB67AA" w:rsidRDefault="00362FD5">
      <w:pPr>
        <w:pStyle w:val="FootnoteText"/>
        <w:rPr>
          <w:sz w:val="18"/>
          <w:szCs w:val="18"/>
        </w:rPr>
      </w:pPr>
      <w:r w:rsidRPr="00EB67AA">
        <w:rPr>
          <w:rStyle w:val="FootnoteReference"/>
          <w:sz w:val="18"/>
          <w:szCs w:val="18"/>
        </w:rPr>
        <w:footnoteRef/>
      </w:r>
      <w:r w:rsidRPr="00EB67AA">
        <w:rPr>
          <w:sz w:val="18"/>
          <w:szCs w:val="18"/>
        </w:rPr>
        <w:t xml:space="preserve"> </w:t>
      </w:r>
      <w:r w:rsidRPr="00EE635F">
        <w:rPr>
          <w:rFonts w:asciiTheme="minorHAnsi" w:hAnsiTheme="minorHAnsi"/>
          <w:sz w:val="18"/>
          <w:szCs w:val="18"/>
        </w:rPr>
        <w:t>https://www.dcceew.gov.au/climate-change/publications/safeguard-mechanism-document</w:t>
      </w:r>
      <w:r w:rsidRPr="00EB67AA">
        <w:rPr>
          <w:sz w:val="18"/>
          <w:szCs w:val="18"/>
        </w:rPr>
        <w:t xml:space="preserve"> </w:t>
      </w:r>
    </w:p>
  </w:footnote>
  <w:footnote w:id="38">
    <w:p w14:paraId="5BC4CC5E" w14:textId="201FDEC8" w:rsidR="00DC60CB" w:rsidRDefault="00DC60CB">
      <w:pPr>
        <w:pStyle w:val="FootnoteText"/>
      </w:pPr>
      <w:r>
        <w:rPr>
          <w:rStyle w:val="FootnoteReference"/>
        </w:rPr>
        <w:footnoteRef/>
      </w:r>
      <w:r>
        <w:t xml:space="preserve"> </w:t>
      </w:r>
      <w:r w:rsidRPr="00645DC2">
        <w:rPr>
          <w:sz w:val="18"/>
          <w:szCs w:val="18"/>
        </w:rPr>
        <w:t>https://www.dcceew.gov.au/climate-change/publications/safeguard-mechanism-document</w:t>
      </w:r>
    </w:p>
  </w:footnote>
  <w:footnote w:id="39">
    <w:p w14:paraId="59CA8A6A" w14:textId="351B00D9" w:rsidR="00645DC2" w:rsidRDefault="00645DC2">
      <w:pPr>
        <w:pStyle w:val="FootnoteText"/>
      </w:pPr>
      <w:r>
        <w:rPr>
          <w:rStyle w:val="FootnoteReference"/>
        </w:rPr>
        <w:footnoteRef/>
      </w:r>
      <w:r>
        <w:t xml:space="preserve"> </w:t>
      </w:r>
      <w:r w:rsidRPr="00645DC2">
        <w:rPr>
          <w:sz w:val="18"/>
          <w:szCs w:val="18"/>
        </w:rPr>
        <w:t>https://www.dcceew.gov.au/climate-change/publications/safeguard-mechanism-document</w:t>
      </w:r>
    </w:p>
  </w:footnote>
  <w:footnote w:id="40">
    <w:p w14:paraId="27ADAFFA" w14:textId="38EBB482" w:rsidR="00182F07" w:rsidRDefault="00182F07">
      <w:pPr>
        <w:pStyle w:val="FootnoteText"/>
      </w:pPr>
      <w:r w:rsidRPr="00121232">
        <w:rPr>
          <w:rStyle w:val="FootnoteReference"/>
          <w:sz w:val="18"/>
          <w:szCs w:val="18"/>
        </w:rPr>
        <w:footnoteRef/>
      </w:r>
      <w:r w:rsidRPr="00121232">
        <w:rPr>
          <w:sz w:val="18"/>
          <w:szCs w:val="18"/>
        </w:rPr>
        <w:t xml:space="preserve"> </w:t>
      </w:r>
      <w:r w:rsidRPr="00EE635F">
        <w:rPr>
          <w:rFonts w:asciiTheme="minorHAnsi" w:hAnsiTheme="minorHAnsi"/>
          <w:sz w:val="18"/>
          <w:szCs w:val="18"/>
        </w:rPr>
        <w:t>https://www.dcceew.gov.au/climate-change/publications/safeguard-mechanism-document</w:t>
      </w:r>
      <w:r w:rsidRPr="00121232">
        <w:rPr>
          <w:sz w:val="18"/>
          <w:szCs w:val="18"/>
        </w:rPr>
        <w:t xml:space="preserve"> </w:t>
      </w:r>
    </w:p>
  </w:footnote>
  <w:footnote w:id="41">
    <w:p w14:paraId="6EB190CA" w14:textId="0399105B" w:rsidR="009B587F" w:rsidRPr="006B1C45" w:rsidRDefault="009B587F">
      <w:pPr>
        <w:pStyle w:val="FootnoteText"/>
        <w:rPr>
          <w:sz w:val="18"/>
          <w:szCs w:val="18"/>
        </w:rPr>
      </w:pPr>
      <w:r w:rsidRPr="006B1C45">
        <w:rPr>
          <w:rStyle w:val="FootnoteReference"/>
          <w:sz w:val="18"/>
          <w:szCs w:val="18"/>
        </w:rPr>
        <w:footnoteRef/>
      </w:r>
      <w:r w:rsidRPr="006B1C45">
        <w:rPr>
          <w:sz w:val="18"/>
          <w:szCs w:val="18"/>
        </w:rPr>
        <w:t xml:space="preserve"> </w:t>
      </w:r>
      <w:r w:rsidR="00230101" w:rsidRPr="00EE635F">
        <w:rPr>
          <w:sz w:val="18"/>
          <w:szCs w:val="18"/>
        </w:rPr>
        <w:t>https://cer.gov.au/online-systems#online-services</w:t>
      </w:r>
      <w:r w:rsidR="00230101">
        <w:rPr>
          <w:sz w:val="18"/>
          <w:szCs w:val="18"/>
        </w:rPr>
        <w:t xml:space="preserve"> </w:t>
      </w:r>
    </w:p>
  </w:footnote>
  <w:footnote w:id="42">
    <w:p w14:paraId="562CB32B" w14:textId="047F7719" w:rsidR="009B587F" w:rsidRPr="00B60182" w:rsidRDefault="009B587F">
      <w:pPr>
        <w:pStyle w:val="FootnoteText"/>
        <w:rPr>
          <w:sz w:val="18"/>
          <w:szCs w:val="18"/>
        </w:rPr>
      </w:pPr>
      <w:r w:rsidRPr="006B1C45">
        <w:rPr>
          <w:rStyle w:val="FootnoteReference"/>
          <w:sz w:val="18"/>
          <w:szCs w:val="18"/>
        </w:rPr>
        <w:footnoteRef/>
      </w:r>
      <w:r w:rsidRPr="006B1C45">
        <w:rPr>
          <w:sz w:val="18"/>
          <w:szCs w:val="18"/>
        </w:rPr>
        <w:t xml:space="preserve"> </w:t>
      </w:r>
      <w:r w:rsidR="00B67028" w:rsidRPr="00B67028">
        <w:rPr>
          <w:rFonts w:asciiTheme="minorHAnsi" w:hAnsiTheme="minorHAnsi"/>
          <w:sz w:val="18"/>
          <w:szCs w:val="18"/>
        </w:rPr>
        <w:t>https://cer.gov.au/schemes/audits-our-schemes/find-auditor</w:t>
      </w:r>
    </w:p>
  </w:footnote>
  <w:footnote w:id="43">
    <w:p w14:paraId="00FDA9C5" w14:textId="3899BB2D" w:rsidR="00D971AD" w:rsidRDefault="00D971AD">
      <w:pPr>
        <w:pStyle w:val="FootnoteText"/>
      </w:pPr>
      <w:r w:rsidRPr="00B60182">
        <w:rPr>
          <w:rStyle w:val="FootnoteReference"/>
          <w:sz w:val="18"/>
          <w:szCs w:val="18"/>
        </w:rPr>
        <w:footnoteRef/>
      </w:r>
      <w:r w:rsidRPr="00B60182">
        <w:rPr>
          <w:sz w:val="18"/>
          <w:szCs w:val="18"/>
        </w:rPr>
        <w:t xml:space="preserve"> </w:t>
      </w:r>
      <w:r w:rsidR="00AA11A7" w:rsidRPr="00AA11A7">
        <w:rPr>
          <w:sz w:val="18"/>
          <w:szCs w:val="18"/>
        </w:rPr>
        <w:t>https://cer.gov.au/document_page/emissions-intensity-audit-report-template</w:t>
      </w:r>
    </w:p>
  </w:footnote>
  <w:footnote w:id="44">
    <w:p w14:paraId="7068E007" w14:textId="34561A81" w:rsidR="009B587F" w:rsidRDefault="009B587F">
      <w:pPr>
        <w:pStyle w:val="FootnoteText"/>
      </w:pPr>
      <w:r w:rsidRPr="002F648B">
        <w:rPr>
          <w:rStyle w:val="FootnoteReference"/>
          <w:sz w:val="18"/>
          <w:szCs w:val="18"/>
        </w:rPr>
        <w:footnoteRef/>
      </w:r>
      <w:r w:rsidRPr="002F648B">
        <w:rPr>
          <w:sz w:val="18"/>
          <w:szCs w:val="18"/>
        </w:rPr>
        <w:t xml:space="preserve"> </w:t>
      </w:r>
      <w:r w:rsidR="00CE2E5C" w:rsidRPr="00314286">
        <w:rPr>
          <w:sz w:val="18"/>
          <w:szCs w:val="18"/>
        </w:rPr>
        <w:t>https://cer.gov.au/schemes/national-greenhouse-and-energy-reporting-scheme/about-emissions-and-energy-data#Thepublicationthreshold:~:text=The%20publication%20threshold</w:t>
      </w:r>
      <w:r w:rsidR="00CE2E5C" w:rsidRPr="00CE2E5C">
        <w:rPr>
          <w:sz w:val="18"/>
          <w:szCs w:val="18"/>
        </w:rPr>
        <w:t xml:space="preserve"> </w:t>
      </w:r>
    </w:p>
  </w:footnote>
  <w:footnote w:id="45">
    <w:p w14:paraId="4B6EBBAA" w14:textId="2A684D65" w:rsidR="00056811" w:rsidRPr="00056811" w:rsidRDefault="00056811">
      <w:pPr>
        <w:pStyle w:val="FootnoteText"/>
        <w:rPr>
          <w:sz w:val="18"/>
          <w:szCs w:val="18"/>
        </w:rPr>
      </w:pPr>
      <w:r w:rsidRPr="00056811">
        <w:rPr>
          <w:rStyle w:val="FootnoteReference"/>
          <w:sz w:val="18"/>
          <w:szCs w:val="18"/>
        </w:rPr>
        <w:footnoteRef/>
      </w:r>
      <w:r w:rsidR="00A858AA">
        <w:rPr>
          <w:sz w:val="18"/>
          <w:szCs w:val="18"/>
        </w:rPr>
        <w:t xml:space="preserve"> </w:t>
      </w:r>
      <w:r w:rsidRPr="00056811">
        <w:rPr>
          <w:sz w:val="18"/>
          <w:szCs w:val="18"/>
        </w:rPr>
        <w:t xml:space="preserve">https://www.legislation.gov.au/Series/F2008L02230 </w:t>
      </w:r>
    </w:p>
  </w:footnote>
  <w:footnote w:id="46">
    <w:p w14:paraId="63AC89C0" w14:textId="61275712" w:rsidR="00056811" w:rsidRDefault="00056811">
      <w:pPr>
        <w:pStyle w:val="FootnoteText"/>
      </w:pPr>
      <w:r w:rsidRPr="00056811">
        <w:rPr>
          <w:rStyle w:val="FootnoteReference"/>
          <w:sz w:val="18"/>
          <w:szCs w:val="18"/>
        </w:rPr>
        <w:footnoteRef/>
      </w:r>
      <w:r w:rsidRPr="00056811">
        <w:rPr>
          <w:sz w:val="18"/>
          <w:szCs w:val="18"/>
        </w:rPr>
        <w:t xml:space="preserve"> https://www.legislation.gov.au/Series/F2008L02309</w:t>
      </w:r>
    </w:p>
  </w:footnote>
  <w:footnote w:id="47">
    <w:p w14:paraId="24A957DF" w14:textId="51D60058" w:rsidR="00AE51EB" w:rsidRPr="00AE51EB" w:rsidRDefault="00AE51EB">
      <w:pPr>
        <w:pStyle w:val="FootnoteText"/>
      </w:pPr>
      <w:r w:rsidRPr="00B60182">
        <w:rPr>
          <w:rStyle w:val="FootnoteReference"/>
          <w:sz w:val="18"/>
          <w:szCs w:val="18"/>
        </w:rPr>
        <w:footnoteRef/>
      </w:r>
      <w:r w:rsidRPr="00B60182">
        <w:rPr>
          <w:sz w:val="18"/>
          <w:szCs w:val="18"/>
        </w:rPr>
        <w:t xml:space="preserve"> https://cer.gov.au/document_page/methods-and-measurement-criteria-guideline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3A79" w14:textId="41ABC566" w:rsidR="00385882" w:rsidRDefault="00385882" w:rsidP="002D74BC">
    <w:pPr>
      <w:pStyle w:val="LegislativesecrecyACT"/>
      <w:numPr>
        <w:ilvl w:val="0"/>
        <w:numId w:val="0"/>
      </w:numPr>
    </w:pPr>
  </w:p>
  <w:p w14:paraId="2B0CF110" w14:textId="1A82C1CA" w:rsidR="00D81782" w:rsidRPr="00BE0DA3" w:rsidRDefault="00407A97" w:rsidP="00222A8C">
    <w:pPr>
      <w:pStyle w:val="LegislativesecrecyACT"/>
      <w:numPr>
        <w:ilvl w:val="0"/>
        <w:numId w:val="0"/>
      </w:numPr>
    </w:pPr>
    <w:r>
      <w:rPr>
        <w:noProof/>
      </w:rPr>
      <w:drawing>
        <wp:anchor distT="0" distB="0" distL="114300" distR="114300" simplePos="0" relativeHeight="251658240" behindDoc="0" locked="0" layoutInCell="1" allowOverlap="1" wp14:anchorId="6A2038FA" wp14:editId="066AF9CC">
          <wp:simplePos x="0" y="0"/>
          <wp:positionH relativeFrom="column">
            <wp:posOffset>4706474</wp:posOffset>
          </wp:positionH>
          <wp:positionV relativeFrom="paragraph">
            <wp:posOffset>-190500</wp:posOffset>
          </wp:positionV>
          <wp:extent cx="1424451" cy="469454"/>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sidR="004418FF">
      <w:tab/>
    </w:r>
    <w:r w:rsidR="004418FF">
      <w:tab/>
    </w:r>
    <w:r w:rsidR="004418F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75FC" w14:textId="186D1639" w:rsidR="00CA2954" w:rsidRDefault="00F33100" w:rsidP="00E349EF">
    <w:pPr>
      <w:pStyle w:val="Header"/>
      <w:spacing w:before="600"/>
    </w:pPr>
    <w:r>
      <w:rPr>
        <w:noProof/>
      </w:rPr>
      <w:t xml:space="preserve"> </w:t>
    </w:r>
    <w:r w:rsidR="00CA2954">
      <w:rPr>
        <w:noProof/>
      </w:rPr>
      <w:drawing>
        <wp:inline distT="0" distB="0" distL="0" distR="0" wp14:anchorId="5B301333" wp14:editId="5E5D78D9">
          <wp:extent cx="2628000" cy="617737"/>
          <wp:effectExtent l="0" t="0" r="1270" b="5080"/>
          <wp:docPr id="10" name="Picture 10"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424"/>
    <w:multiLevelType w:val="hybridMultilevel"/>
    <w:tmpl w:val="065C754C"/>
    <w:lvl w:ilvl="0" w:tplc="6ABE5874">
      <w:start w:val="1"/>
      <w:numFmt w:val="bullet"/>
      <w:lvlText w:val=""/>
      <w:lvlJc w:val="left"/>
      <w:pPr>
        <w:ind w:left="360" w:hanging="360"/>
      </w:pPr>
      <w:rPr>
        <w:rFonts w:ascii="Symbol" w:hAnsi="Symbol" w:hint="default"/>
        <w:color w:val="006EA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FA2A8F"/>
    <w:multiLevelType w:val="hybridMultilevel"/>
    <w:tmpl w:val="F3687CF8"/>
    <w:lvl w:ilvl="0" w:tplc="23363A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E8335D"/>
    <w:multiLevelType w:val="hybridMultilevel"/>
    <w:tmpl w:val="749E4E0A"/>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6E1F"/>
    <w:multiLevelType w:val="hybridMultilevel"/>
    <w:tmpl w:val="0896A866"/>
    <w:lvl w:ilvl="0" w:tplc="6ABE5874">
      <w:start w:val="1"/>
      <w:numFmt w:val="bullet"/>
      <w:lvlText w:val=""/>
      <w:lvlJc w:val="left"/>
      <w:pPr>
        <w:ind w:left="720" w:hanging="360"/>
      </w:pPr>
      <w:rPr>
        <w:rFonts w:ascii="Symbol" w:hAnsi="Symbol" w:hint="default"/>
        <w:color w:val="006EA6"/>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7A6176"/>
    <w:multiLevelType w:val="hybridMultilevel"/>
    <w:tmpl w:val="902A0556"/>
    <w:lvl w:ilvl="0" w:tplc="504A93CE">
      <w:start w:val="1"/>
      <w:numFmt w:val="bullet"/>
      <w:lvlText w:val="»"/>
      <w:lvlJc w:val="left"/>
      <w:pPr>
        <w:ind w:left="1080" w:hanging="360"/>
      </w:pPr>
      <w:rPr>
        <w:rFonts w:ascii="Arial" w:hAnsi="Arial" w:hint="default"/>
        <w:color w:val="006EA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8E02633"/>
    <w:multiLevelType w:val="hybridMultilevel"/>
    <w:tmpl w:val="C4A8D232"/>
    <w:lvl w:ilvl="0" w:tplc="6ABE5874">
      <w:start w:val="1"/>
      <w:numFmt w:val="bullet"/>
      <w:lvlText w:val=""/>
      <w:lvlJc w:val="left"/>
      <w:pPr>
        <w:ind w:left="360" w:hanging="360"/>
      </w:pPr>
      <w:rPr>
        <w:rFonts w:ascii="Symbol" w:hAnsi="Symbol" w:hint="default"/>
        <w:color w:val="006EA6"/>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9844375"/>
    <w:multiLevelType w:val="hybridMultilevel"/>
    <w:tmpl w:val="67D26EB6"/>
    <w:lvl w:ilvl="0" w:tplc="DDF0FA36">
      <w:start w:val="1"/>
      <w:numFmt w:val="bullet"/>
      <w:lvlText w:val=""/>
      <w:lvlJc w:val="left"/>
      <w:pPr>
        <w:ind w:left="1060" w:hanging="360"/>
      </w:pPr>
      <w:rPr>
        <w:rFonts w:ascii="Symbol" w:hAnsi="Symbol"/>
      </w:rPr>
    </w:lvl>
    <w:lvl w:ilvl="1" w:tplc="AF4ECDE2">
      <w:start w:val="1"/>
      <w:numFmt w:val="bullet"/>
      <w:lvlText w:val=""/>
      <w:lvlJc w:val="left"/>
      <w:pPr>
        <w:ind w:left="1060" w:hanging="360"/>
      </w:pPr>
      <w:rPr>
        <w:rFonts w:ascii="Symbol" w:hAnsi="Symbol"/>
      </w:rPr>
    </w:lvl>
    <w:lvl w:ilvl="2" w:tplc="0B7049B8">
      <w:start w:val="1"/>
      <w:numFmt w:val="bullet"/>
      <w:lvlText w:val=""/>
      <w:lvlJc w:val="left"/>
      <w:pPr>
        <w:ind w:left="1060" w:hanging="360"/>
      </w:pPr>
      <w:rPr>
        <w:rFonts w:ascii="Symbol" w:hAnsi="Symbol"/>
      </w:rPr>
    </w:lvl>
    <w:lvl w:ilvl="3" w:tplc="6C6E4C50">
      <w:start w:val="1"/>
      <w:numFmt w:val="bullet"/>
      <w:lvlText w:val=""/>
      <w:lvlJc w:val="left"/>
      <w:pPr>
        <w:ind w:left="1060" w:hanging="360"/>
      </w:pPr>
      <w:rPr>
        <w:rFonts w:ascii="Symbol" w:hAnsi="Symbol"/>
      </w:rPr>
    </w:lvl>
    <w:lvl w:ilvl="4" w:tplc="F81E2F82">
      <w:start w:val="1"/>
      <w:numFmt w:val="bullet"/>
      <w:lvlText w:val=""/>
      <w:lvlJc w:val="left"/>
      <w:pPr>
        <w:ind w:left="1060" w:hanging="360"/>
      </w:pPr>
      <w:rPr>
        <w:rFonts w:ascii="Symbol" w:hAnsi="Symbol"/>
      </w:rPr>
    </w:lvl>
    <w:lvl w:ilvl="5" w:tplc="DF8234F6">
      <w:start w:val="1"/>
      <w:numFmt w:val="bullet"/>
      <w:lvlText w:val=""/>
      <w:lvlJc w:val="left"/>
      <w:pPr>
        <w:ind w:left="1060" w:hanging="360"/>
      </w:pPr>
      <w:rPr>
        <w:rFonts w:ascii="Symbol" w:hAnsi="Symbol"/>
      </w:rPr>
    </w:lvl>
    <w:lvl w:ilvl="6" w:tplc="093A5852">
      <w:start w:val="1"/>
      <w:numFmt w:val="bullet"/>
      <w:lvlText w:val=""/>
      <w:lvlJc w:val="left"/>
      <w:pPr>
        <w:ind w:left="1060" w:hanging="360"/>
      </w:pPr>
      <w:rPr>
        <w:rFonts w:ascii="Symbol" w:hAnsi="Symbol"/>
      </w:rPr>
    </w:lvl>
    <w:lvl w:ilvl="7" w:tplc="990E28A2">
      <w:start w:val="1"/>
      <w:numFmt w:val="bullet"/>
      <w:lvlText w:val=""/>
      <w:lvlJc w:val="left"/>
      <w:pPr>
        <w:ind w:left="1060" w:hanging="360"/>
      </w:pPr>
      <w:rPr>
        <w:rFonts w:ascii="Symbol" w:hAnsi="Symbol"/>
      </w:rPr>
    </w:lvl>
    <w:lvl w:ilvl="8" w:tplc="4F98F294">
      <w:start w:val="1"/>
      <w:numFmt w:val="bullet"/>
      <w:lvlText w:val=""/>
      <w:lvlJc w:val="left"/>
      <w:pPr>
        <w:ind w:left="1060" w:hanging="360"/>
      </w:pPr>
      <w:rPr>
        <w:rFonts w:ascii="Symbol" w:hAnsi="Symbol"/>
      </w:rPr>
    </w:lvl>
  </w:abstractNum>
  <w:abstractNum w:abstractNumId="8" w15:restartNumberingAfterBreak="0">
    <w:nsid w:val="0A3D7696"/>
    <w:multiLevelType w:val="multilevel"/>
    <w:tmpl w:val="57A6D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8A060A"/>
    <w:multiLevelType w:val="multilevel"/>
    <w:tmpl w:val="A5E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123759"/>
    <w:multiLevelType w:val="multilevel"/>
    <w:tmpl w:val="B150ECD4"/>
    <w:lvl w:ilvl="0">
      <w:start w:val="1"/>
      <w:numFmt w:val="decimal"/>
      <w:pStyle w:val="Heading1"/>
      <w:lvlText w:val="%1."/>
      <w:lvlJc w:val="left"/>
      <w:pPr>
        <w:ind w:left="680" w:hanging="680"/>
      </w:pPr>
      <w:rPr>
        <w:rFonts w:hint="default"/>
        <w:color w:val="auto"/>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1" w15:restartNumberingAfterBreak="0">
    <w:nsid w:val="0C2D4E20"/>
    <w:multiLevelType w:val="hybridMultilevel"/>
    <w:tmpl w:val="E7483540"/>
    <w:lvl w:ilvl="0" w:tplc="58A081AC">
      <w:start w:val="1"/>
      <w:numFmt w:val="bullet"/>
      <w:lvlText w:val=""/>
      <w:lvlJc w:val="left"/>
      <w:pPr>
        <w:ind w:left="1080" w:hanging="360"/>
      </w:pPr>
      <w:rPr>
        <w:rFonts w:ascii="Symbol" w:hAnsi="Symbol"/>
      </w:rPr>
    </w:lvl>
    <w:lvl w:ilvl="1" w:tplc="04CC56B4">
      <w:start w:val="1"/>
      <w:numFmt w:val="bullet"/>
      <w:lvlText w:val=""/>
      <w:lvlJc w:val="left"/>
      <w:pPr>
        <w:ind w:left="1080" w:hanging="360"/>
      </w:pPr>
      <w:rPr>
        <w:rFonts w:ascii="Symbol" w:hAnsi="Symbol"/>
      </w:rPr>
    </w:lvl>
    <w:lvl w:ilvl="2" w:tplc="D034D758">
      <w:start w:val="1"/>
      <w:numFmt w:val="bullet"/>
      <w:lvlText w:val=""/>
      <w:lvlJc w:val="left"/>
      <w:pPr>
        <w:ind w:left="1080" w:hanging="360"/>
      </w:pPr>
      <w:rPr>
        <w:rFonts w:ascii="Symbol" w:hAnsi="Symbol"/>
      </w:rPr>
    </w:lvl>
    <w:lvl w:ilvl="3" w:tplc="0120A356">
      <w:start w:val="1"/>
      <w:numFmt w:val="bullet"/>
      <w:lvlText w:val=""/>
      <w:lvlJc w:val="left"/>
      <w:pPr>
        <w:ind w:left="1080" w:hanging="360"/>
      </w:pPr>
      <w:rPr>
        <w:rFonts w:ascii="Symbol" w:hAnsi="Symbol"/>
      </w:rPr>
    </w:lvl>
    <w:lvl w:ilvl="4" w:tplc="829AE71C">
      <w:start w:val="1"/>
      <w:numFmt w:val="bullet"/>
      <w:lvlText w:val=""/>
      <w:lvlJc w:val="left"/>
      <w:pPr>
        <w:ind w:left="1080" w:hanging="360"/>
      </w:pPr>
      <w:rPr>
        <w:rFonts w:ascii="Symbol" w:hAnsi="Symbol"/>
      </w:rPr>
    </w:lvl>
    <w:lvl w:ilvl="5" w:tplc="B158FFDC">
      <w:start w:val="1"/>
      <w:numFmt w:val="bullet"/>
      <w:lvlText w:val=""/>
      <w:lvlJc w:val="left"/>
      <w:pPr>
        <w:ind w:left="1080" w:hanging="360"/>
      </w:pPr>
      <w:rPr>
        <w:rFonts w:ascii="Symbol" w:hAnsi="Symbol"/>
      </w:rPr>
    </w:lvl>
    <w:lvl w:ilvl="6" w:tplc="3E6C3F40">
      <w:start w:val="1"/>
      <w:numFmt w:val="bullet"/>
      <w:lvlText w:val=""/>
      <w:lvlJc w:val="left"/>
      <w:pPr>
        <w:ind w:left="1080" w:hanging="360"/>
      </w:pPr>
      <w:rPr>
        <w:rFonts w:ascii="Symbol" w:hAnsi="Symbol"/>
      </w:rPr>
    </w:lvl>
    <w:lvl w:ilvl="7" w:tplc="FC1EB382">
      <w:start w:val="1"/>
      <w:numFmt w:val="bullet"/>
      <w:lvlText w:val=""/>
      <w:lvlJc w:val="left"/>
      <w:pPr>
        <w:ind w:left="1080" w:hanging="360"/>
      </w:pPr>
      <w:rPr>
        <w:rFonts w:ascii="Symbol" w:hAnsi="Symbol"/>
      </w:rPr>
    </w:lvl>
    <w:lvl w:ilvl="8" w:tplc="2848A958">
      <w:start w:val="1"/>
      <w:numFmt w:val="bullet"/>
      <w:lvlText w:val=""/>
      <w:lvlJc w:val="left"/>
      <w:pPr>
        <w:ind w:left="1080" w:hanging="360"/>
      </w:pPr>
      <w:rPr>
        <w:rFonts w:ascii="Symbol" w:hAnsi="Symbol"/>
      </w:rPr>
    </w:lvl>
  </w:abstractNum>
  <w:abstractNum w:abstractNumId="12" w15:restartNumberingAfterBreak="0">
    <w:nsid w:val="0C33384D"/>
    <w:multiLevelType w:val="multilevel"/>
    <w:tmpl w:val="2EBC3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CE7CDB"/>
    <w:multiLevelType w:val="hybridMultilevel"/>
    <w:tmpl w:val="2D7444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1A611A"/>
    <w:multiLevelType w:val="hybridMultilevel"/>
    <w:tmpl w:val="FB3A8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8A31CA"/>
    <w:multiLevelType w:val="hybridMultilevel"/>
    <w:tmpl w:val="BD502740"/>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DC2E28"/>
    <w:multiLevelType w:val="hybridMultilevel"/>
    <w:tmpl w:val="D7F6A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0E2567"/>
    <w:multiLevelType w:val="hybridMultilevel"/>
    <w:tmpl w:val="3066215E"/>
    <w:lvl w:ilvl="0" w:tplc="7C1800F6">
      <w:start w:val="1"/>
      <w:numFmt w:val="bullet"/>
      <w:lvlText w:val=""/>
      <w:lvlJc w:val="left"/>
      <w:pPr>
        <w:ind w:left="1440" w:hanging="360"/>
      </w:pPr>
      <w:rPr>
        <w:rFonts w:ascii="Symbol" w:hAnsi="Symbol"/>
      </w:rPr>
    </w:lvl>
    <w:lvl w:ilvl="1" w:tplc="41ACE764">
      <w:start w:val="1"/>
      <w:numFmt w:val="bullet"/>
      <w:lvlText w:val=""/>
      <w:lvlJc w:val="left"/>
      <w:pPr>
        <w:ind w:left="1440" w:hanging="360"/>
      </w:pPr>
      <w:rPr>
        <w:rFonts w:ascii="Symbol" w:hAnsi="Symbol"/>
      </w:rPr>
    </w:lvl>
    <w:lvl w:ilvl="2" w:tplc="9FF03FA8">
      <w:start w:val="1"/>
      <w:numFmt w:val="bullet"/>
      <w:lvlText w:val=""/>
      <w:lvlJc w:val="left"/>
      <w:pPr>
        <w:ind w:left="1440" w:hanging="360"/>
      </w:pPr>
      <w:rPr>
        <w:rFonts w:ascii="Symbol" w:hAnsi="Symbol"/>
      </w:rPr>
    </w:lvl>
    <w:lvl w:ilvl="3" w:tplc="6D829DFE">
      <w:start w:val="1"/>
      <w:numFmt w:val="bullet"/>
      <w:lvlText w:val=""/>
      <w:lvlJc w:val="left"/>
      <w:pPr>
        <w:ind w:left="1440" w:hanging="360"/>
      </w:pPr>
      <w:rPr>
        <w:rFonts w:ascii="Symbol" w:hAnsi="Symbol"/>
      </w:rPr>
    </w:lvl>
    <w:lvl w:ilvl="4" w:tplc="A2F07E22">
      <w:start w:val="1"/>
      <w:numFmt w:val="bullet"/>
      <w:lvlText w:val=""/>
      <w:lvlJc w:val="left"/>
      <w:pPr>
        <w:ind w:left="1440" w:hanging="360"/>
      </w:pPr>
      <w:rPr>
        <w:rFonts w:ascii="Symbol" w:hAnsi="Symbol"/>
      </w:rPr>
    </w:lvl>
    <w:lvl w:ilvl="5" w:tplc="533ED662">
      <w:start w:val="1"/>
      <w:numFmt w:val="bullet"/>
      <w:lvlText w:val=""/>
      <w:lvlJc w:val="left"/>
      <w:pPr>
        <w:ind w:left="1440" w:hanging="360"/>
      </w:pPr>
      <w:rPr>
        <w:rFonts w:ascii="Symbol" w:hAnsi="Symbol"/>
      </w:rPr>
    </w:lvl>
    <w:lvl w:ilvl="6" w:tplc="1F5695DA">
      <w:start w:val="1"/>
      <w:numFmt w:val="bullet"/>
      <w:lvlText w:val=""/>
      <w:lvlJc w:val="left"/>
      <w:pPr>
        <w:ind w:left="1440" w:hanging="360"/>
      </w:pPr>
      <w:rPr>
        <w:rFonts w:ascii="Symbol" w:hAnsi="Symbol"/>
      </w:rPr>
    </w:lvl>
    <w:lvl w:ilvl="7" w:tplc="544A2E56">
      <w:start w:val="1"/>
      <w:numFmt w:val="bullet"/>
      <w:lvlText w:val=""/>
      <w:lvlJc w:val="left"/>
      <w:pPr>
        <w:ind w:left="1440" w:hanging="360"/>
      </w:pPr>
      <w:rPr>
        <w:rFonts w:ascii="Symbol" w:hAnsi="Symbol"/>
      </w:rPr>
    </w:lvl>
    <w:lvl w:ilvl="8" w:tplc="E7A8B95E">
      <w:start w:val="1"/>
      <w:numFmt w:val="bullet"/>
      <w:lvlText w:val=""/>
      <w:lvlJc w:val="left"/>
      <w:pPr>
        <w:ind w:left="1440" w:hanging="360"/>
      </w:pPr>
      <w:rPr>
        <w:rFonts w:ascii="Symbol" w:hAnsi="Symbol"/>
      </w:rPr>
    </w:lvl>
  </w:abstractNum>
  <w:abstractNum w:abstractNumId="18" w15:restartNumberingAfterBreak="0">
    <w:nsid w:val="13280E10"/>
    <w:multiLevelType w:val="multilevel"/>
    <w:tmpl w:val="5ADAF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48A2F84"/>
    <w:multiLevelType w:val="hybridMultilevel"/>
    <w:tmpl w:val="4D90E1BE"/>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4BF0E51"/>
    <w:multiLevelType w:val="multilevel"/>
    <w:tmpl w:val="BBC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936F7E"/>
    <w:multiLevelType w:val="multilevel"/>
    <w:tmpl w:val="FFEA5C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9AE68FF"/>
    <w:multiLevelType w:val="multilevel"/>
    <w:tmpl w:val="B2586EE4"/>
    <w:lvl w:ilvl="0">
      <w:start w:val="1"/>
      <w:numFmt w:val="bullet"/>
      <w:lvlText w:val=""/>
      <w:lvlJc w:val="left"/>
      <w:pPr>
        <w:tabs>
          <w:tab w:val="num" w:pos="720"/>
        </w:tabs>
        <w:ind w:left="720" w:hanging="360"/>
      </w:pPr>
      <w:rPr>
        <w:rFonts w:ascii="Symbol" w:hAnsi="Symbol" w:hint="default"/>
        <w:color w:val="006EA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C379DB"/>
    <w:multiLevelType w:val="hybridMultilevel"/>
    <w:tmpl w:val="1730F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3A4298"/>
    <w:multiLevelType w:val="hybridMultilevel"/>
    <w:tmpl w:val="18F262D6"/>
    <w:lvl w:ilvl="0" w:tplc="4062682A">
      <w:start w:val="1"/>
      <w:numFmt w:val="bullet"/>
      <w:lvlText w:val=""/>
      <w:lvlJc w:val="left"/>
      <w:pPr>
        <w:ind w:left="1080" w:hanging="360"/>
      </w:pPr>
      <w:rPr>
        <w:rFonts w:ascii="Symbol" w:hAnsi="Symbol"/>
      </w:rPr>
    </w:lvl>
    <w:lvl w:ilvl="1" w:tplc="9D9E636C">
      <w:start w:val="1"/>
      <w:numFmt w:val="bullet"/>
      <w:lvlText w:val=""/>
      <w:lvlJc w:val="left"/>
      <w:pPr>
        <w:ind w:left="1080" w:hanging="360"/>
      </w:pPr>
      <w:rPr>
        <w:rFonts w:ascii="Symbol" w:hAnsi="Symbol"/>
      </w:rPr>
    </w:lvl>
    <w:lvl w:ilvl="2" w:tplc="AF0AAAAC">
      <w:start w:val="1"/>
      <w:numFmt w:val="bullet"/>
      <w:lvlText w:val=""/>
      <w:lvlJc w:val="left"/>
      <w:pPr>
        <w:ind w:left="1080" w:hanging="360"/>
      </w:pPr>
      <w:rPr>
        <w:rFonts w:ascii="Symbol" w:hAnsi="Symbol"/>
      </w:rPr>
    </w:lvl>
    <w:lvl w:ilvl="3" w:tplc="F9E69B94">
      <w:start w:val="1"/>
      <w:numFmt w:val="bullet"/>
      <w:lvlText w:val=""/>
      <w:lvlJc w:val="left"/>
      <w:pPr>
        <w:ind w:left="1080" w:hanging="360"/>
      </w:pPr>
      <w:rPr>
        <w:rFonts w:ascii="Symbol" w:hAnsi="Symbol"/>
      </w:rPr>
    </w:lvl>
    <w:lvl w:ilvl="4" w:tplc="E3AAA822">
      <w:start w:val="1"/>
      <w:numFmt w:val="bullet"/>
      <w:lvlText w:val=""/>
      <w:lvlJc w:val="left"/>
      <w:pPr>
        <w:ind w:left="1080" w:hanging="360"/>
      </w:pPr>
      <w:rPr>
        <w:rFonts w:ascii="Symbol" w:hAnsi="Symbol"/>
      </w:rPr>
    </w:lvl>
    <w:lvl w:ilvl="5" w:tplc="ADC03338">
      <w:start w:val="1"/>
      <w:numFmt w:val="bullet"/>
      <w:lvlText w:val=""/>
      <w:lvlJc w:val="left"/>
      <w:pPr>
        <w:ind w:left="1080" w:hanging="360"/>
      </w:pPr>
      <w:rPr>
        <w:rFonts w:ascii="Symbol" w:hAnsi="Symbol"/>
      </w:rPr>
    </w:lvl>
    <w:lvl w:ilvl="6" w:tplc="588C8514">
      <w:start w:val="1"/>
      <w:numFmt w:val="bullet"/>
      <w:lvlText w:val=""/>
      <w:lvlJc w:val="left"/>
      <w:pPr>
        <w:ind w:left="1080" w:hanging="360"/>
      </w:pPr>
      <w:rPr>
        <w:rFonts w:ascii="Symbol" w:hAnsi="Symbol"/>
      </w:rPr>
    </w:lvl>
    <w:lvl w:ilvl="7" w:tplc="ED985F94">
      <w:start w:val="1"/>
      <w:numFmt w:val="bullet"/>
      <w:lvlText w:val=""/>
      <w:lvlJc w:val="left"/>
      <w:pPr>
        <w:ind w:left="1080" w:hanging="360"/>
      </w:pPr>
      <w:rPr>
        <w:rFonts w:ascii="Symbol" w:hAnsi="Symbol"/>
      </w:rPr>
    </w:lvl>
    <w:lvl w:ilvl="8" w:tplc="04B04FD0">
      <w:start w:val="1"/>
      <w:numFmt w:val="bullet"/>
      <w:lvlText w:val=""/>
      <w:lvlJc w:val="left"/>
      <w:pPr>
        <w:ind w:left="1080" w:hanging="360"/>
      </w:pPr>
      <w:rPr>
        <w:rFonts w:ascii="Symbol" w:hAnsi="Symbol"/>
      </w:rPr>
    </w:lvl>
  </w:abstractNum>
  <w:abstractNum w:abstractNumId="25" w15:restartNumberingAfterBreak="0">
    <w:nsid w:val="1B7638D2"/>
    <w:multiLevelType w:val="hybridMultilevel"/>
    <w:tmpl w:val="219A9B54"/>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D046AAF"/>
    <w:multiLevelType w:val="multilevel"/>
    <w:tmpl w:val="12FA6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571BC8"/>
    <w:multiLevelType w:val="multilevel"/>
    <w:tmpl w:val="07965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A43A2B"/>
    <w:multiLevelType w:val="hybridMultilevel"/>
    <w:tmpl w:val="DD4E9A2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EE851A0"/>
    <w:multiLevelType w:val="multilevel"/>
    <w:tmpl w:val="410E28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1125669"/>
    <w:multiLevelType w:val="hybridMultilevel"/>
    <w:tmpl w:val="689203C0"/>
    <w:lvl w:ilvl="0" w:tplc="537C4062">
      <w:start w:val="1"/>
      <w:numFmt w:val="bullet"/>
      <w:lvlText w:val=""/>
      <w:lvlJc w:val="left"/>
      <w:pPr>
        <w:ind w:left="1080" w:hanging="360"/>
      </w:pPr>
      <w:rPr>
        <w:rFonts w:ascii="Symbol" w:hAnsi="Symbol"/>
      </w:rPr>
    </w:lvl>
    <w:lvl w:ilvl="1" w:tplc="5AEA46DE">
      <w:start w:val="1"/>
      <w:numFmt w:val="bullet"/>
      <w:lvlText w:val=""/>
      <w:lvlJc w:val="left"/>
      <w:pPr>
        <w:ind w:left="1080" w:hanging="360"/>
      </w:pPr>
      <w:rPr>
        <w:rFonts w:ascii="Symbol" w:hAnsi="Symbol"/>
      </w:rPr>
    </w:lvl>
    <w:lvl w:ilvl="2" w:tplc="0DEC6EFE">
      <w:start w:val="1"/>
      <w:numFmt w:val="bullet"/>
      <w:lvlText w:val=""/>
      <w:lvlJc w:val="left"/>
      <w:pPr>
        <w:ind w:left="1080" w:hanging="360"/>
      </w:pPr>
      <w:rPr>
        <w:rFonts w:ascii="Symbol" w:hAnsi="Symbol"/>
      </w:rPr>
    </w:lvl>
    <w:lvl w:ilvl="3" w:tplc="70D4DB8C">
      <w:start w:val="1"/>
      <w:numFmt w:val="bullet"/>
      <w:lvlText w:val=""/>
      <w:lvlJc w:val="left"/>
      <w:pPr>
        <w:ind w:left="1080" w:hanging="360"/>
      </w:pPr>
      <w:rPr>
        <w:rFonts w:ascii="Symbol" w:hAnsi="Symbol"/>
      </w:rPr>
    </w:lvl>
    <w:lvl w:ilvl="4" w:tplc="11BA5BE0">
      <w:start w:val="1"/>
      <w:numFmt w:val="bullet"/>
      <w:lvlText w:val=""/>
      <w:lvlJc w:val="left"/>
      <w:pPr>
        <w:ind w:left="1080" w:hanging="360"/>
      </w:pPr>
      <w:rPr>
        <w:rFonts w:ascii="Symbol" w:hAnsi="Symbol"/>
      </w:rPr>
    </w:lvl>
    <w:lvl w:ilvl="5" w:tplc="F580CD78">
      <w:start w:val="1"/>
      <w:numFmt w:val="bullet"/>
      <w:lvlText w:val=""/>
      <w:lvlJc w:val="left"/>
      <w:pPr>
        <w:ind w:left="1080" w:hanging="360"/>
      </w:pPr>
      <w:rPr>
        <w:rFonts w:ascii="Symbol" w:hAnsi="Symbol"/>
      </w:rPr>
    </w:lvl>
    <w:lvl w:ilvl="6" w:tplc="1BC4748E">
      <w:start w:val="1"/>
      <w:numFmt w:val="bullet"/>
      <w:lvlText w:val=""/>
      <w:lvlJc w:val="left"/>
      <w:pPr>
        <w:ind w:left="1080" w:hanging="360"/>
      </w:pPr>
      <w:rPr>
        <w:rFonts w:ascii="Symbol" w:hAnsi="Symbol"/>
      </w:rPr>
    </w:lvl>
    <w:lvl w:ilvl="7" w:tplc="D4DA6CD2">
      <w:start w:val="1"/>
      <w:numFmt w:val="bullet"/>
      <w:lvlText w:val=""/>
      <w:lvlJc w:val="left"/>
      <w:pPr>
        <w:ind w:left="1080" w:hanging="360"/>
      </w:pPr>
      <w:rPr>
        <w:rFonts w:ascii="Symbol" w:hAnsi="Symbol"/>
      </w:rPr>
    </w:lvl>
    <w:lvl w:ilvl="8" w:tplc="12583CA8">
      <w:start w:val="1"/>
      <w:numFmt w:val="bullet"/>
      <w:lvlText w:val=""/>
      <w:lvlJc w:val="left"/>
      <w:pPr>
        <w:ind w:left="1080" w:hanging="360"/>
      </w:pPr>
      <w:rPr>
        <w:rFonts w:ascii="Symbol" w:hAnsi="Symbol"/>
      </w:rPr>
    </w:lvl>
  </w:abstractNum>
  <w:abstractNum w:abstractNumId="31" w15:restartNumberingAfterBreak="0">
    <w:nsid w:val="218F3106"/>
    <w:multiLevelType w:val="multilevel"/>
    <w:tmpl w:val="E83E1710"/>
    <w:lvl w:ilvl="0">
      <w:start w:val="1"/>
      <w:numFmt w:val="bullet"/>
      <w:lvlText w:val="»"/>
      <w:lvlJc w:val="left"/>
      <w:pPr>
        <w:tabs>
          <w:tab w:val="num" w:pos="1080"/>
        </w:tabs>
        <w:ind w:left="1080" w:hanging="360"/>
      </w:pPr>
      <w:rPr>
        <w:rFonts w:ascii="Arial" w:hAnsi="Arial" w:hint="default"/>
        <w:color w:val="006EA6"/>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231C2F44"/>
    <w:multiLevelType w:val="hybridMultilevel"/>
    <w:tmpl w:val="DBA4E41C"/>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345405D"/>
    <w:multiLevelType w:val="hybridMultilevel"/>
    <w:tmpl w:val="D2465B9E"/>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6A5693"/>
    <w:multiLevelType w:val="multilevel"/>
    <w:tmpl w:val="0AA6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F6613A"/>
    <w:multiLevelType w:val="hybridMultilevel"/>
    <w:tmpl w:val="85963C12"/>
    <w:lvl w:ilvl="0" w:tplc="E0F0038A">
      <w:start w:val="1"/>
      <w:numFmt w:val="bullet"/>
      <w:lvlText w:val=""/>
      <w:lvlJc w:val="left"/>
      <w:pPr>
        <w:ind w:left="1080" w:hanging="360"/>
      </w:pPr>
      <w:rPr>
        <w:rFonts w:ascii="Symbol" w:hAnsi="Symbol"/>
      </w:rPr>
    </w:lvl>
    <w:lvl w:ilvl="1" w:tplc="0960FB1E">
      <w:start w:val="1"/>
      <w:numFmt w:val="bullet"/>
      <w:lvlText w:val=""/>
      <w:lvlJc w:val="left"/>
      <w:pPr>
        <w:ind w:left="1080" w:hanging="360"/>
      </w:pPr>
      <w:rPr>
        <w:rFonts w:ascii="Symbol" w:hAnsi="Symbol"/>
      </w:rPr>
    </w:lvl>
    <w:lvl w:ilvl="2" w:tplc="3CAAAB76">
      <w:start w:val="1"/>
      <w:numFmt w:val="bullet"/>
      <w:lvlText w:val=""/>
      <w:lvlJc w:val="left"/>
      <w:pPr>
        <w:ind w:left="1080" w:hanging="360"/>
      </w:pPr>
      <w:rPr>
        <w:rFonts w:ascii="Symbol" w:hAnsi="Symbol"/>
      </w:rPr>
    </w:lvl>
    <w:lvl w:ilvl="3" w:tplc="7610A4A0">
      <w:start w:val="1"/>
      <w:numFmt w:val="bullet"/>
      <w:lvlText w:val=""/>
      <w:lvlJc w:val="left"/>
      <w:pPr>
        <w:ind w:left="1080" w:hanging="360"/>
      </w:pPr>
      <w:rPr>
        <w:rFonts w:ascii="Symbol" w:hAnsi="Symbol"/>
      </w:rPr>
    </w:lvl>
    <w:lvl w:ilvl="4" w:tplc="04C69AA4">
      <w:start w:val="1"/>
      <w:numFmt w:val="bullet"/>
      <w:lvlText w:val=""/>
      <w:lvlJc w:val="left"/>
      <w:pPr>
        <w:ind w:left="1080" w:hanging="360"/>
      </w:pPr>
      <w:rPr>
        <w:rFonts w:ascii="Symbol" w:hAnsi="Symbol"/>
      </w:rPr>
    </w:lvl>
    <w:lvl w:ilvl="5" w:tplc="1D324EC8">
      <w:start w:val="1"/>
      <w:numFmt w:val="bullet"/>
      <w:lvlText w:val=""/>
      <w:lvlJc w:val="left"/>
      <w:pPr>
        <w:ind w:left="1080" w:hanging="360"/>
      </w:pPr>
      <w:rPr>
        <w:rFonts w:ascii="Symbol" w:hAnsi="Symbol"/>
      </w:rPr>
    </w:lvl>
    <w:lvl w:ilvl="6" w:tplc="AFBAE916">
      <w:start w:val="1"/>
      <w:numFmt w:val="bullet"/>
      <w:lvlText w:val=""/>
      <w:lvlJc w:val="left"/>
      <w:pPr>
        <w:ind w:left="1080" w:hanging="360"/>
      </w:pPr>
      <w:rPr>
        <w:rFonts w:ascii="Symbol" w:hAnsi="Symbol"/>
      </w:rPr>
    </w:lvl>
    <w:lvl w:ilvl="7" w:tplc="825807EC">
      <w:start w:val="1"/>
      <w:numFmt w:val="bullet"/>
      <w:lvlText w:val=""/>
      <w:lvlJc w:val="left"/>
      <w:pPr>
        <w:ind w:left="1080" w:hanging="360"/>
      </w:pPr>
      <w:rPr>
        <w:rFonts w:ascii="Symbol" w:hAnsi="Symbol"/>
      </w:rPr>
    </w:lvl>
    <w:lvl w:ilvl="8" w:tplc="3DA666D4">
      <w:start w:val="1"/>
      <w:numFmt w:val="bullet"/>
      <w:lvlText w:val=""/>
      <w:lvlJc w:val="left"/>
      <w:pPr>
        <w:ind w:left="1080" w:hanging="360"/>
      </w:pPr>
      <w:rPr>
        <w:rFonts w:ascii="Symbol" w:hAnsi="Symbol"/>
      </w:rPr>
    </w:lvl>
  </w:abstractNum>
  <w:abstractNum w:abstractNumId="36" w15:restartNumberingAfterBreak="0">
    <w:nsid w:val="27BC197D"/>
    <w:multiLevelType w:val="multilevel"/>
    <w:tmpl w:val="EBF4B8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8521CDB"/>
    <w:multiLevelType w:val="hybridMultilevel"/>
    <w:tmpl w:val="5770E22C"/>
    <w:lvl w:ilvl="0" w:tplc="67D860C8">
      <w:start w:val="1"/>
      <w:numFmt w:val="bullet"/>
      <w:lvlText w:val=""/>
      <w:lvlJc w:val="left"/>
      <w:pPr>
        <w:ind w:left="1020" w:hanging="360"/>
      </w:pPr>
      <w:rPr>
        <w:rFonts w:ascii="Symbol" w:hAnsi="Symbol"/>
      </w:rPr>
    </w:lvl>
    <w:lvl w:ilvl="1" w:tplc="6CBA735E">
      <w:start w:val="1"/>
      <w:numFmt w:val="bullet"/>
      <w:lvlText w:val=""/>
      <w:lvlJc w:val="left"/>
      <w:pPr>
        <w:ind w:left="1020" w:hanging="360"/>
      </w:pPr>
      <w:rPr>
        <w:rFonts w:ascii="Symbol" w:hAnsi="Symbol"/>
      </w:rPr>
    </w:lvl>
    <w:lvl w:ilvl="2" w:tplc="49940950">
      <w:start w:val="1"/>
      <w:numFmt w:val="bullet"/>
      <w:lvlText w:val=""/>
      <w:lvlJc w:val="left"/>
      <w:pPr>
        <w:ind w:left="1020" w:hanging="360"/>
      </w:pPr>
      <w:rPr>
        <w:rFonts w:ascii="Symbol" w:hAnsi="Symbol"/>
      </w:rPr>
    </w:lvl>
    <w:lvl w:ilvl="3" w:tplc="86783E3E">
      <w:start w:val="1"/>
      <w:numFmt w:val="bullet"/>
      <w:lvlText w:val=""/>
      <w:lvlJc w:val="left"/>
      <w:pPr>
        <w:ind w:left="1020" w:hanging="360"/>
      </w:pPr>
      <w:rPr>
        <w:rFonts w:ascii="Symbol" w:hAnsi="Symbol"/>
      </w:rPr>
    </w:lvl>
    <w:lvl w:ilvl="4" w:tplc="4508C3EE">
      <w:start w:val="1"/>
      <w:numFmt w:val="bullet"/>
      <w:lvlText w:val=""/>
      <w:lvlJc w:val="left"/>
      <w:pPr>
        <w:ind w:left="1020" w:hanging="360"/>
      </w:pPr>
      <w:rPr>
        <w:rFonts w:ascii="Symbol" w:hAnsi="Symbol"/>
      </w:rPr>
    </w:lvl>
    <w:lvl w:ilvl="5" w:tplc="09FA364A">
      <w:start w:val="1"/>
      <w:numFmt w:val="bullet"/>
      <w:lvlText w:val=""/>
      <w:lvlJc w:val="left"/>
      <w:pPr>
        <w:ind w:left="1020" w:hanging="360"/>
      </w:pPr>
      <w:rPr>
        <w:rFonts w:ascii="Symbol" w:hAnsi="Symbol"/>
      </w:rPr>
    </w:lvl>
    <w:lvl w:ilvl="6" w:tplc="1ECA88CA">
      <w:start w:val="1"/>
      <w:numFmt w:val="bullet"/>
      <w:lvlText w:val=""/>
      <w:lvlJc w:val="left"/>
      <w:pPr>
        <w:ind w:left="1020" w:hanging="360"/>
      </w:pPr>
      <w:rPr>
        <w:rFonts w:ascii="Symbol" w:hAnsi="Symbol"/>
      </w:rPr>
    </w:lvl>
    <w:lvl w:ilvl="7" w:tplc="58C26658">
      <w:start w:val="1"/>
      <w:numFmt w:val="bullet"/>
      <w:lvlText w:val=""/>
      <w:lvlJc w:val="left"/>
      <w:pPr>
        <w:ind w:left="1020" w:hanging="360"/>
      </w:pPr>
      <w:rPr>
        <w:rFonts w:ascii="Symbol" w:hAnsi="Symbol"/>
      </w:rPr>
    </w:lvl>
    <w:lvl w:ilvl="8" w:tplc="98520B34">
      <w:start w:val="1"/>
      <w:numFmt w:val="bullet"/>
      <w:lvlText w:val=""/>
      <w:lvlJc w:val="left"/>
      <w:pPr>
        <w:ind w:left="1020" w:hanging="360"/>
      </w:pPr>
      <w:rPr>
        <w:rFonts w:ascii="Symbol" w:hAnsi="Symbol"/>
      </w:rPr>
    </w:lvl>
  </w:abstractNum>
  <w:abstractNum w:abstractNumId="38" w15:restartNumberingAfterBreak="0">
    <w:nsid w:val="28771E45"/>
    <w:multiLevelType w:val="multilevel"/>
    <w:tmpl w:val="0748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7B3C47"/>
    <w:multiLevelType w:val="multilevel"/>
    <w:tmpl w:val="A2623696"/>
    <w:lvl w:ilvl="0">
      <w:start w:val="1"/>
      <w:numFmt w:val="bullet"/>
      <w:lvlText w:val=""/>
      <w:lvlJc w:val="left"/>
      <w:pPr>
        <w:ind w:left="360" w:hanging="360"/>
      </w:pPr>
      <w:rPr>
        <w:rFonts w:ascii="Symbol" w:hAnsi="Symbol" w:hint="default"/>
        <w:b w:val="0"/>
        <w:bCs/>
        <w:color w:val="006EA6"/>
      </w:rPr>
    </w:lvl>
    <w:lvl w:ilvl="1">
      <w:start w:val="1"/>
      <w:numFmt w:val="bullet"/>
      <w:lvlText w:val="»"/>
      <w:lvlJc w:val="left"/>
      <w:pPr>
        <w:ind w:left="720" w:hanging="360"/>
      </w:pPr>
      <w:rPr>
        <w:rFonts w:ascii="Arial" w:hAnsi="Arial" w:hint="default"/>
        <w:color w:val="7A9249" w:themeColor="accent1" w:themeShade="BF"/>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AD86E4C"/>
    <w:multiLevelType w:val="hybridMultilevel"/>
    <w:tmpl w:val="7640D9B6"/>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B1036DC"/>
    <w:multiLevelType w:val="multilevel"/>
    <w:tmpl w:val="CC9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8A45BF"/>
    <w:multiLevelType w:val="multilevel"/>
    <w:tmpl w:val="D75CA6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E165030"/>
    <w:multiLevelType w:val="multilevel"/>
    <w:tmpl w:val="558425F8"/>
    <w:lvl w:ilvl="0">
      <w:start w:val="1"/>
      <w:numFmt w:val="lowerLetter"/>
      <w:lvlText w:val="%1)"/>
      <w:lvlJc w:val="left"/>
      <w:pPr>
        <w:tabs>
          <w:tab w:val="num" w:pos="720"/>
        </w:tabs>
        <w:ind w:left="720" w:hanging="360"/>
      </w:pPr>
      <w:rPr>
        <w:b/>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18C7B5C"/>
    <w:multiLevelType w:val="hybridMultilevel"/>
    <w:tmpl w:val="73AC2D9E"/>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1914D73"/>
    <w:multiLevelType w:val="multilevel"/>
    <w:tmpl w:val="D32E0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D01B94"/>
    <w:multiLevelType w:val="multilevel"/>
    <w:tmpl w:val="78B6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8871DB"/>
    <w:multiLevelType w:val="multilevel"/>
    <w:tmpl w:val="3D2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62975D9"/>
    <w:multiLevelType w:val="hybridMultilevel"/>
    <w:tmpl w:val="9F90E4AC"/>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7B43828"/>
    <w:multiLevelType w:val="hybridMultilevel"/>
    <w:tmpl w:val="4F6E9540"/>
    <w:lvl w:ilvl="0" w:tplc="504A93CE">
      <w:start w:val="1"/>
      <w:numFmt w:val="bullet"/>
      <w:lvlText w:val="»"/>
      <w:lvlJc w:val="left"/>
      <w:pPr>
        <w:ind w:left="1080" w:hanging="360"/>
      </w:pPr>
      <w:rPr>
        <w:rFonts w:ascii="Arial" w:hAnsi="Arial" w:hint="default"/>
        <w:color w:val="006EA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39AA7808"/>
    <w:multiLevelType w:val="multilevel"/>
    <w:tmpl w:val="264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D0025B"/>
    <w:multiLevelType w:val="multilevel"/>
    <w:tmpl w:val="3216F0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0302FA3"/>
    <w:multiLevelType w:val="multilevel"/>
    <w:tmpl w:val="96802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223FC2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6027BBF"/>
    <w:multiLevelType w:val="multilevel"/>
    <w:tmpl w:val="2DE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6B25471"/>
    <w:multiLevelType w:val="multilevel"/>
    <w:tmpl w:val="810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6EC1A6E"/>
    <w:multiLevelType w:val="multilevel"/>
    <w:tmpl w:val="48265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4127EC"/>
    <w:multiLevelType w:val="multilevel"/>
    <w:tmpl w:val="893AE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DA04977"/>
    <w:multiLevelType w:val="multilevel"/>
    <w:tmpl w:val="31A6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DC11FDB"/>
    <w:multiLevelType w:val="hybridMultilevel"/>
    <w:tmpl w:val="81B44924"/>
    <w:lvl w:ilvl="0" w:tplc="3858D32A">
      <w:numFmt w:val="bullet"/>
      <w:lvlText w:val="•"/>
      <w:lvlJc w:val="left"/>
      <w:pPr>
        <w:ind w:left="720" w:hanging="360"/>
      </w:pPr>
      <w:rPr>
        <w:rFonts w:ascii="Calibri" w:eastAsia="Cambria" w:hAnsi="Calibri" w:cs="Calibri"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E4E4D9B"/>
    <w:multiLevelType w:val="hybridMultilevel"/>
    <w:tmpl w:val="E1B0D318"/>
    <w:lvl w:ilvl="0" w:tplc="F40C21F2">
      <w:start w:val="1"/>
      <w:numFmt w:val="bullet"/>
      <w:lvlText w:val=""/>
      <w:lvlJc w:val="left"/>
      <w:pPr>
        <w:ind w:left="1060" w:hanging="360"/>
      </w:pPr>
      <w:rPr>
        <w:rFonts w:ascii="Symbol" w:hAnsi="Symbol"/>
      </w:rPr>
    </w:lvl>
    <w:lvl w:ilvl="1" w:tplc="97E6CEFA">
      <w:start w:val="1"/>
      <w:numFmt w:val="bullet"/>
      <w:lvlText w:val=""/>
      <w:lvlJc w:val="left"/>
      <w:pPr>
        <w:ind w:left="1060" w:hanging="360"/>
      </w:pPr>
      <w:rPr>
        <w:rFonts w:ascii="Symbol" w:hAnsi="Symbol"/>
      </w:rPr>
    </w:lvl>
    <w:lvl w:ilvl="2" w:tplc="E7ECE12C">
      <w:start w:val="1"/>
      <w:numFmt w:val="bullet"/>
      <w:lvlText w:val=""/>
      <w:lvlJc w:val="left"/>
      <w:pPr>
        <w:ind w:left="1060" w:hanging="360"/>
      </w:pPr>
      <w:rPr>
        <w:rFonts w:ascii="Symbol" w:hAnsi="Symbol"/>
      </w:rPr>
    </w:lvl>
    <w:lvl w:ilvl="3" w:tplc="FCDE6C6A">
      <w:start w:val="1"/>
      <w:numFmt w:val="bullet"/>
      <w:lvlText w:val=""/>
      <w:lvlJc w:val="left"/>
      <w:pPr>
        <w:ind w:left="1060" w:hanging="360"/>
      </w:pPr>
      <w:rPr>
        <w:rFonts w:ascii="Symbol" w:hAnsi="Symbol"/>
      </w:rPr>
    </w:lvl>
    <w:lvl w:ilvl="4" w:tplc="75A0D712">
      <w:start w:val="1"/>
      <w:numFmt w:val="bullet"/>
      <w:lvlText w:val=""/>
      <w:lvlJc w:val="left"/>
      <w:pPr>
        <w:ind w:left="1060" w:hanging="360"/>
      </w:pPr>
      <w:rPr>
        <w:rFonts w:ascii="Symbol" w:hAnsi="Symbol"/>
      </w:rPr>
    </w:lvl>
    <w:lvl w:ilvl="5" w:tplc="601A4364">
      <w:start w:val="1"/>
      <w:numFmt w:val="bullet"/>
      <w:lvlText w:val=""/>
      <w:lvlJc w:val="left"/>
      <w:pPr>
        <w:ind w:left="1060" w:hanging="360"/>
      </w:pPr>
      <w:rPr>
        <w:rFonts w:ascii="Symbol" w:hAnsi="Symbol"/>
      </w:rPr>
    </w:lvl>
    <w:lvl w:ilvl="6" w:tplc="DD3A8E22">
      <w:start w:val="1"/>
      <w:numFmt w:val="bullet"/>
      <w:lvlText w:val=""/>
      <w:lvlJc w:val="left"/>
      <w:pPr>
        <w:ind w:left="1060" w:hanging="360"/>
      </w:pPr>
      <w:rPr>
        <w:rFonts w:ascii="Symbol" w:hAnsi="Symbol"/>
      </w:rPr>
    </w:lvl>
    <w:lvl w:ilvl="7" w:tplc="25885D28">
      <w:start w:val="1"/>
      <w:numFmt w:val="bullet"/>
      <w:lvlText w:val=""/>
      <w:lvlJc w:val="left"/>
      <w:pPr>
        <w:ind w:left="1060" w:hanging="360"/>
      </w:pPr>
      <w:rPr>
        <w:rFonts w:ascii="Symbol" w:hAnsi="Symbol"/>
      </w:rPr>
    </w:lvl>
    <w:lvl w:ilvl="8" w:tplc="5734ED96">
      <w:start w:val="1"/>
      <w:numFmt w:val="bullet"/>
      <w:lvlText w:val=""/>
      <w:lvlJc w:val="left"/>
      <w:pPr>
        <w:ind w:left="1060" w:hanging="360"/>
      </w:pPr>
      <w:rPr>
        <w:rFonts w:ascii="Symbol" w:hAnsi="Symbol"/>
      </w:rPr>
    </w:lvl>
  </w:abstractNum>
  <w:abstractNum w:abstractNumId="63" w15:restartNumberingAfterBreak="0">
    <w:nsid w:val="50EE0A80"/>
    <w:multiLevelType w:val="multilevel"/>
    <w:tmpl w:val="CAA837C4"/>
    <w:lvl w:ilvl="0">
      <w:start w:val="1"/>
      <w:numFmt w:val="bullet"/>
      <w:lvlText w:val=""/>
      <w:lvlJc w:val="left"/>
      <w:pPr>
        <w:tabs>
          <w:tab w:val="num" w:pos="720"/>
        </w:tabs>
        <w:ind w:left="720" w:hanging="360"/>
      </w:pPr>
      <w:rPr>
        <w:rFonts w:ascii="Symbol" w:hAnsi="Symbol" w:hint="default"/>
        <w:color w:val="006EA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442F00"/>
    <w:multiLevelType w:val="multilevel"/>
    <w:tmpl w:val="97E8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5F73745"/>
    <w:multiLevelType w:val="multilevel"/>
    <w:tmpl w:val="39CCCF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828402D"/>
    <w:multiLevelType w:val="hybridMultilevel"/>
    <w:tmpl w:val="A2588F86"/>
    <w:lvl w:ilvl="0" w:tplc="FFFFFFFF">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1028"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5CB14644"/>
    <w:multiLevelType w:val="multilevel"/>
    <w:tmpl w:val="AFD63B52"/>
    <w:lvl w:ilvl="0">
      <w:start w:val="1"/>
      <w:numFmt w:val="bullet"/>
      <w:lvlText w:val=""/>
      <w:lvlJc w:val="left"/>
      <w:pPr>
        <w:tabs>
          <w:tab w:val="num" w:pos="720"/>
        </w:tabs>
        <w:ind w:left="720" w:hanging="360"/>
      </w:pPr>
      <w:rPr>
        <w:rFonts w:ascii="Symbol" w:hAnsi="Symbol" w:hint="default"/>
        <w:color w:val="006EA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E0C3199"/>
    <w:multiLevelType w:val="hybridMultilevel"/>
    <w:tmpl w:val="F99C6A1E"/>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0207E61"/>
    <w:multiLevelType w:val="hybridMultilevel"/>
    <w:tmpl w:val="436AA37C"/>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0624B92"/>
    <w:multiLevelType w:val="multilevel"/>
    <w:tmpl w:val="90885D94"/>
    <w:lvl w:ilvl="0">
      <w:start w:val="1"/>
      <w:numFmt w:val="bullet"/>
      <w:lvlText w:val=""/>
      <w:lvlJc w:val="left"/>
      <w:pPr>
        <w:ind w:left="360" w:hanging="360"/>
      </w:pPr>
      <w:rPr>
        <w:rFonts w:ascii="Symbol" w:hAnsi="Symbol" w:hint="default"/>
        <w:b w:val="0"/>
        <w:bCs/>
        <w:color w:val="006EA6"/>
      </w:rPr>
    </w:lvl>
    <w:lvl w:ilvl="1">
      <w:start w:val="1"/>
      <w:numFmt w:val="bullet"/>
      <w:lvlText w:val="»"/>
      <w:lvlJc w:val="left"/>
      <w:pPr>
        <w:ind w:left="720" w:hanging="360"/>
      </w:pPr>
      <w:rPr>
        <w:rFonts w:ascii="Arial" w:hAnsi="Arial" w:hint="default"/>
        <w:color w:val="7A9249" w:themeColor="accent1" w:themeShade="BF"/>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0892777"/>
    <w:multiLevelType w:val="multilevel"/>
    <w:tmpl w:val="8A4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15E1A0F"/>
    <w:multiLevelType w:val="multilevel"/>
    <w:tmpl w:val="AD84395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0655F0"/>
    <w:multiLevelType w:val="hybridMultilevel"/>
    <w:tmpl w:val="2D9E65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3AA4A4B"/>
    <w:multiLevelType w:val="hybridMultilevel"/>
    <w:tmpl w:val="A6406620"/>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82C2347"/>
    <w:multiLevelType w:val="multilevel"/>
    <w:tmpl w:val="31EC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7A68EB"/>
    <w:multiLevelType w:val="multilevel"/>
    <w:tmpl w:val="B77A77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9C43FFD"/>
    <w:multiLevelType w:val="multilevel"/>
    <w:tmpl w:val="023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BB006D4"/>
    <w:multiLevelType w:val="hybridMultilevel"/>
    <w:tmpl w:val="4996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BDB78CC"/>
    <w:multiLevelType w:val="hybridMultilevel"/>
    <w:tmpl w:val="5C42CF86"/>
    <w:lvl w:ilvl="0" w:tplc="6ABE5874">
      <w:start w:val="1"/>
      <w:numFmt w:val="bullet"/>
      <w:lvlText w:val=""/>
      <w:lvlJc w:val="left"/>
      <w:pPr>
        <w:ind w:left="360" w:hanging="360"/>
      </w:pPr>
      <w:rPr>
        <w:rFonts w:ascii="Symbol" w:hAnsi="Symbol" w:hint="default"/>
        <w:b w:val="0"/>
        <w:bCs/>
        <w:color w:val="006EA6"/>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1" w15:restartNumberingAfterBreak="0">
    <w:nsid w:val="6C164A35"/>
    <w:multiLevelType w:val="multilevel"/>
    <w:tmpl w:val="38382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EE1513"/>
    <w:multiLevelType w:val="hybridMultilevel"/>
    <w:tmpl w:val="3886C3B8"/>
    <w:lvl w:ilvl="0" w:tplc="402ADEA0">
      <w:start w:val="1"/>
      <w:numFmt w:val="decimal"/>
      <w:lvlText w:val="Step %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F1016F9"/>
    <w:multiLevelType w:val="multilevel"/>
    <w:tmpl w:val="19F2C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F1B3262"/>
    <w:multiLevelType w:val="multilevel"/>
    <w:tmpl w:val="2946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3D80799"/>
    <w:multiLevelType w:val="hybridMultilevel"/>
    <w:tmpl w:val="625605B2"/>
    <w:lvl w:ilvl="0" w:tplc="013A598C">
      <w:start w:val="1"/>
      <w:numFmt w:val="bullet"/>
      <w:lvlText w:val=""/>
      <w:lvlJc w:val="left"/>
      <w:pPr>
        <w:ind w:left="1440" w:hanging="360"/>
      </w:pPr>
      <w:rPr>
        <w:rFonts w:ascii="Symbol" w:hAnsi="Symbol"/>
      </w:rPr>
    </w:lvl>
    <w:lvl w:ilvl="1" w:tplc="DD4AF8F0">
      <w:start w:val="1"/>
      <w:numFmt w:val="bullet"/>
      <w:lvlText w:val=""/>
      <w:lvlJc w:val="left"/>
      <w:pPr>
        <w:ind w:left="1440" w:hanging="360"/>
      </w:pPr>
      <w:rPr>
        <w:rFonts w:ascii="Symbol" w:hAnsi="Symbol"/>
      </w:rPr>
    </w:lvl>
    <w:lvl w:ilvl="2" w:tplc="C0E83248">
      <w:start w:val="1"/>
      <w:numFmt w:val="bullet"/>
      <w:lvlText w:val=""/>
      <w:lvlJc w:val="left"/>
      <w:pPr>
        <w:ind w:left="1440" w:hanging="360"/>
      </w:pPr>
      <w:rPr>
        <w:rFonts w:ascii="Symbol" w:hAnsi="Symbol"/>
      </w:rPr>
    </w:lvl>
    <w:lvl w:ilvl="3" w:tplc="765C2E22">
      <w:start w:val="1"/>
      <w:numFmt w:val="bullet"/>
      <w:lvlText w:val=""/>
      <w:lvlJc w:val="left"/>
      <w:pPr>
        <w:ind w:left="1440" w:hanging="360"/>
      </w:pPr>
      <w:rPr>
        <w:rFonts w:ascii="Symbol" w:hAnsi="Symbol"/>
      </w:rPr>
    </w:lvl>
    <w:lvl w:ilvl="4" w:tplc="2B20D45E">
      <w:start w:val="1"/>
      <w:numFmt w:val="bullet"/>
      <w:lvlText w:val=""/>
      <w:lvlJc w:val="left"/>
      <w:pPr>
        <w:ind w:left="1440" w:hanging="360"/>
      </w:pPr>
      <w:rPr>
        <w:rFonts w:ascii="Symbol" w:hAnsi="Symbol"/>
      </w:rPr>
    </w:lvl>
    <w:lvl w:ilvl="5" w:tplc="A86A8460">
      <w:start w:val="1"/>
      <w:numFmt w:val="bullet"/>
      <w:lvlText w:val=""/>
      <w:lvlJc w:val="left"/>
      <w:pPr>
        <w:ind w:left="1440" w:hanging="360"/>
      </w:pPr>
      <w:rPr>
        <w:rFonts w:ascii="Symbol" w:hAnsi="Symbol"/>
      </w:rPr>
    </w:lvl>
    <w:lvl w:ilvl="6" w:tplc="BDCCAEEA">
      <w:start w:val="1"/>
      <w:numFmt w:val="bullet"/>
      <w:lvlText w:val=""/>
      <w:lvlJc w:val="left"/>
      <w:pPr>
        <w:ind w:left="1440" w:hanging="360"/>
      </w:pPr>
      <w:rPr>
        <w:rFonts w:ascii="Symbol" w:hAnsi="Symbol"/>
      </w:rPr>
    </w:lvl>
    <w:lvl w:ilvl="7" w:tplc="E50EE8C8">
      <w:start w:val="1"/>
      <w:numFmt w:val="bullet"/>
      <w:lvlText w:val=""/>
      <w:lvlJc w:val="left"/>
      <w:pPr>
        <w:ind w:left="1440" w:hanging="360"/>
      </w:pPr>
      <w:rPr>
        <w:rFonts w:ascii="Symbol" w:hAnsi="Symbol"/>
      </w:rPr>
    </w:lvl>
    <w:lvl w:ilvl="8" w:tplc="EB269CCA">
      <w:start w:val="1"/>
      <w:numFmt w:val="bullet"/>
      <w:lvlText w:val=""/>
      <w:lvlJc w:val="left"/>
      <w:pPr>
        <w:ind w:left="1440" w:hanging="360"/>
      </w:pPr>
      <w:rPr>
        <w:rFonts w:ascii="Symbol" w:hAnsi="Symbol"/>
      </w:rPr>
    </w:lvl>
  </w:abstractNum>
  <w:abstractNum w:abstractNumId="86" w15:restartNumberingAfterBreak="0">
    <w:nsid w:val="764170F6"/>
    <w:multiLevelType w:val="hybridMultilevel"/>
    <w:tmpl w:val="A9105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6851CB2"/>
    <w:multiLevelType w:val="multilevel"/>
    <w:tmpl w:val="BCCA3926"/>
    <w:lvl w:ilvl="0">
      <w:start w:val="1"/>
      <w:numFmt w:val="bullet"/>
      <w:lvlText w:val="»"/>
      <w:lvlJc w:val="left"/>
      <w:pPr>
        <w:tabs>
          <w:tab w:val="num" w:pos="1080"/>
        </w:tabs>
        <w:ind w:left="1080" w:hanging="360"/>
      </w:pPr>
      <w:rPr>
        <w:rFonts w:ascii="Arial" w:hAnsi="Arial" w:hint="default"/>
        <w:color w:val="006EA6"/>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8" w15:restartNumberingAfterBreak="0">
    <w:nsid w:val="7691722B"/>
    <w:multiLevelType w:val="multilevel"/>
    <w:tmpl w:val="6E54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BD0CF1"/>
    <w:multiLevelType w:val="multilevel"/>
    <w:tmpl w:val="5F8E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6CB1CF1"/>
    <w:multiLevelType w:val="multilevel"/>
    <w:tmpl w:val="DF7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70665D2"/>
    <w:multiLevelType w:val="hybridMultilevel"/>
    <w:tmpl w:val="1DDCFC18"/>
    <w:lvl w:ilvl="0" w:tplc="843096FE">
      <w:start w:val="17"/>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72A6322"/>
    <w:multiLevelType w:val="hybridMultilevel"/>
    <w:tmpl w:val="A4E2F9DE"/>
    <w:lvl w:ilvl="0" w:tplc="7BA84C8E">
      <w:start w:val="1"/>
      <w:numFmt w:val="bullet"/>
      <w:lvlText w:val=""/>
      <w:lvlJc w:val="left"/>
      <w:pPr>
        <w:ind w:left="1440" w:hanging="360"/>
      </w:pPr>
      <w:rPr>
        <w:rFonts w:ascii="Symbol" w:hAnsi="Symbol"/>
      </w:rPr>
    </w:lvl>
    <w:lvl w:ilvl="1" w:tplc="3A46F660">
      <w:start w:val="1"/>
      <w:numFmt w:val="bullet"/>
      <w:lvlText w:val=""/>
      <w:lvlJc w:val="left"/>
      <w:pPr>
        <w:ind w:left="1440" w:hanging="360"/>
      </w:pPr>
      <w:rPr>
        <w:rFonts w:ascii="Symbol" w:hAnsi="Symbol"/>
      </w:rPr>
    </w:lvl>
    <w:lvl w:ilvl="2" w:tplc="7E3085A4">
      <w:start w:val="1"/>
      <w:numFmt w:val="bullet"/>
      <w:lvlText w:val=""/>
      <w:lvlJc w:val="left"/>
      <w:pPr>
        <w:ind w:left="1440" w:hanging="360"/>
      </w:pPr>
      <w:rPr>
        <w:rFonts w:ascii="Symbol" w:hAnsi="Symbol"/>
      </w:rPr>
    </w:lvl>
    <w:lvl w:ilvl="3" w:tplc="63FC36D0">
      <w:start w:val="1"/>
      <w:numFmt w:val="bullet"/>
      <w:lvlText w:val=""/>
      <w:lvlJc w:val="left"/>
      <w:pPr>
        <w:ind w:left="1440" w:hanging="360"/>
      </w:pPr>
      <w:rPr>
        <w:rFonts w:ascii="Symbol" w:hAnsi="Symbol"/>
      </w:rPr>
    </w:lvl>
    <w:lvl w:ilvl="4" w:tplc="312CEE54">
      <w:start w:val="1"/>
      <w:numFmt w:val="bullet"/>
      <w:lvlText w:val=""/>
      <w:lvlJc w:val="left"/>
      <w:pPr>
        <w:ind w:left="1440" w:hanging="360"/>
      </w:pPr>
      <w:rPr>
        <w:rFonts w:ascii="Symbol" w:hAnsi="Symbol"/>
      </w:rPr>
    </w:lvl>
    <w:lvl w:ilvl="5" w:tplc="B4604F58">
      <w:start w:val="1"/>
      <w:numFmt w:val="bullet"/>
      <w:lvlText w:val=""/>
      <w:lvlJc w:val="left"/>
      <w:pPr>
        <w:ind w:left="1440" w:hanging="360"/>
      </w:pPr>
      <w:rPr>
        <w:rFonts w:ascii="Symbol" w:hAnsi="Symbol"/>
      </w:rPr>
    </w:lvl>
    <w:lvl w:ilvl="6" w:tplc="4C4A4C1A">
      <w:start w:val="1"/>
      <w:numFmt w:val="bullet"/>
      <w:lvlText w:val=""/>
      <w:lvlJc w:val="left"/>
      <w:pPr>
        <w:ind w:left="1440" w:hanging="360"/>
      </w:pPr>
      <w:rPr>
        <w:rFonts w:ascii="Symbol" w:hAnsi="Symbol"/>
      </w:rPr>
    </w:lvl>
    <w:lvl w:ilvl="7" w:tplc="D4EA97CA">
      <w:start w:val="1"/>
      <w:numFmt w:val="bullet"/>
      <w:lvlText w:val=""/>
      <w:lvlJc w:val="left"/>
      <w:pPr>
        <w:ind w:left="1440" w:hanging="360"/>
      </w:pPr>
      <w:rPr>
        <w:rFonts w:ascii="Symbol" w:hAnsi="Symbol"/>
      </w:rPr>
    </w:lvl>
    <w:lvl w:ilvl="8" w:tplc="B61A9EA4">
      <w:start w:val="1"/>
      <w:numFmt w:val="bullet"/>
      <w:lvlText w:val=""/>
      <w:lvlJc w:val="left"/>
      <w:pPr>
        <w:ind w:left="1440" w:hanging="360"/>
      </w:pPr>
      <w:rPr>
        <w:rFonts w:ascii="Symbol" w:hAnsi="Symbol"/>
      </w:rPr>
    </w:lvl>
  </w:abstractNum>
  <w:abstractNum w:abstractNumId="93" w15:restartNumberingAfterBreak="0">
    <w:nsid w:val="776A5D37"/>
    <w:multiLevelType w:val="multilevel"/>
    <w:tmpl w:val="D1DC5E24"/>
    <w:lvl w:ilvl="0">
      <w:start w:val="1"/>
      <w:numFmt w:val="bullet"/>
      <w:lvlText w:val=""/>
      <w:lvlJc w:val="left"/>
      <w:pPr>
        <w:tabs>
          <w:tab w:val="num" w:pos="720"/>
        </w:tabs>
        <w:ind w:left="720" w:hanging="360"/>
      </w:pPr>
      <w:rPr>
        <w:rFonts w:ascii="Symbol" w:hAnsi="Symbol" w:hint="default"/>
        <w:color w:val="006EA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3C78FF"/>
    <w:multiLevelType w:val="multilevel"/>
    <w:tmpl w:val="6694C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9DB23C0"/>
    <w:multiLevelType w:val="multilevel"/>
    <w:tmpl w:val="F1FE5150"/>
    <w:lvl w:ilvl="0">
      <w:start w:val="1"/>
      <w:numFmt w:val="bullet"/>
      <w:pStyle w:val="CERbullets"/>
      <w:lvlText w:val=""/>
      <w:lvlJc w:val="left"/>
      <w:pPr>
        <w:ind w:left="360" w:hanging="360"/>
      </w:pPr>
      <w:rPr>
        <w:rFonts w:ascii="Symbol" w:hAnsi="Symbol" w:hint="default"/>
        <w:color w:val="006C93" w:themeColor="accent3"/>
        <w:sz w:val="22"/>
        <w:szCs w:val="22"/>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BBE7E11"/>
    <w:multiLevelType w:val="hybridMultilevel"/>
    <w:tmpl w:val="425C4014"/>
    <w:lvl w:ilvl="0" w:tplc="B1D6D15A">
      <w:start w:val="1"/>
      <w:numFmt w:val="bullet"/>
      <w:lvlText w:val=""/>
      <w:lvlJc w:val="left"/>
      <w:pPr>
        <w:ind w:left="1440" w:hanging="360"/>
      </w:pPr>
      <w:rPr>
        <w:rFonts w:ascii="Symbol" w:hAnsi="Symbol"/>
      </w:rPr>
    </w:lvl>
    <w:lvl w:ilvl="1" w:tplc="20221FB6">
      <w:start w:val="1"/>
      <w:numFmt w:val="bullet"/>
      <w:lvlText w:val=""/>
      <w:lvlJc w:val="left"/>
      <w:pPr>
        <w:ind w:left="1440" w:hanging="360"/>
      </w:pPr>
      <w:rPr>
        <w:rFonts w:ascii="Symbol" w:hAnsi="Symbol"/>
      </w:rPr>
    </w:lvl>
    <w:lvl w:ilvl="2" w:tplc="0876D1EE">
      <w:start w:val="1"/>
      <w:numFmt w:val="bullet"/>
      <w:lvlText w:val=""/>
      <w:lvlJc w:val="left"/>
      <w:pPr>
        <w:ind w:left="1440" w:hanging="360"/>
      </w:pPr>
      <w:rPr>
        <w:rFonts w:ascii="Symbol" w:hAnsi="Symbol"/>
      </w:rPr>
    </w:lvl>
    <w:lvl w:ilvl="3" w:tplc="3A82E264">
      <w:start w:val="1"/>
      <w:numFmt w:val="bullet"/>
      <w:lvlText w:val=""/>
      <w:lvlJc w:val="left"/>
      <w:pPr>
        <w:ind w:left="1440" w:hanging="360"/>
      </w:pPr>
      <w:rPr>
        <w:rFonts w:ascii="Symbol" w:hAnsi="Symbol"/>
      </w:rPr>
    </w:lvl>
    <w:lvl w:ilvl="4" w:tplc="D550DF0C">
      <w:start w:val="1"/>
      <w:numFmt w:val="bullet"/>
      <w:lvlText w:val=""/>
      <w:lvlJc w:val="left"/>
      <w:pPr>
        <w:ind w:left="1440" w:hanging="360"/>
      </w:pPr>
      <w:rPr>
        <w:rFonts w:ascii="Symbol" w:hAnsi="Symbol"/>
      </w:rPr>
    </w:lvl>
    <w:lvl w:ilvl="5" w:tplc="70168294">
      <w:start w:val="1"/>
      <w:numFmt w:val="bullet"/>
      <w:lvlText w:val=""/>
      <w:lvlJc w:val="left"/>
      <w:pPr>
        <w:ind w:left="1440" w:hanging="360"/>
      </w:pPr>
      <w:rPr>
        <w:rFonts w:ascii="Symbol" w:hAnsi="Symbol"/>
      </w:rPr>
    </w:lvl>
    <w:lvl w:ilvl="6" w:tplc="C7941FB2">
      <w:start w:val="1"/>
      <w:numFmt w:val="bullet"/>
      <w:lvlText w:val=""/>
      <w:lvlJc w:val="left"/>
      <w:pPr>
        <w:ind w:left="1440" w:hanging="360"/>
      </w:pPr>
      <w:rPr>
        <w:rFonts w:ascii="Symbol" w:hAnsi="Symbol"/>
      </w:rPr>
    </w:lvl>
    <w:lvl w:ilvl="7" w:tplc="549E8CAA">
      <w:start w:val="1"/>
      <w:numFmt w:val="bullet"/>
      <w:lvlText w:val=""/>
      <w:lvlJc w:val="left"/>
      <w:pPr>
        <w:ind w:left="1440" w:hanging="360"/>
      </w:pPr>
      <w:rPr>
        <w:rFonts w:ascii="Symbol" w:hAnsi="Symbol"/>
      </w:rPr>
    </w:lvl>
    <w:lvl w:ilvl="8" w:tplc="F4061D18">
      <w:start w:val="1"/>
      <w:numFmt w:val="bullet"/>
      <w:lvlText w:val=""/>
      <w:lvlJc w:val="left"/>
      <w:pPr>
        <w:ind w:left="1440" w:hanging="360"/>
      </w:pPr>
      <w:rPr>
        <w:rFonts w:ascii="Symbol" w:hAnsi="Symbol"/>
      </w:rPr>
    </w:lvl>
  </w:abstractNum>
  <w:abstractNum w:abstractNumId="97" w15:restartNumberingAfterBreak="0">
    <w:nsid w:val="7EB529B6"/>
    <w:multiLevelType w:val="hybridMultilevel"/>
    <w:tmpl w:val="B7D87056"/>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47520">
    <w:abstractNumId w:val="95"/>
  </w:num>
  <w:num w:numId="2" w16cid:durableId="153183652">
    <w:abstractNumId w:val="64"/>
  </w:num>
  <w:num w:numId="3" w16cid:durableId="12000800">
    <w:abstractNumId w:val="80"/>
  </w:num>
  <w:num w:numId="4" w16cid:durableId="960917175">
    <w:abstractNumId w:val="10"/>
  </w:num>
  <w:num w:numId="5" w16cid:durableId="1739866432">
    <w:abstractNumId w:val="0"/>
  </w:num>
  <w:num w:numId="6" w16cid:durableId="1738479121">
    <w:abstractNumId w:val="49"/>
  </w:num>
  <w:num w:numId="7" w16cid:durableId="106245453">
    <w:abstractNumId w:val="13"/>
  </w:num>
  <w:num w:numId="8" w16cid:durableId="299843638">
    <w:abstractNumId w:val="6"/>
  </w:num>
  <w:num w:numId="9" w16cid:durableId="277223745">
    <w:abstractNumId w:val="28"/>
  </w:num>
  <w:num w:numId="10" w16cid:durableId="897282714">
    <w:abstractNumId w:val="35"/>
  </w:num>
  <w:num w:numId="11" w16cid:durableId="1584950508">
    <w:abstractNumId w:val="17"/>
  </w:num>
  <w:num w:numId="12" w16cid:durableId="652758664">
    <w:abstractNumId w:val="30"/>
  </w:num>
  <w:num w:numId="13" w16cid:durableId="1008825114">
    <w:abstractNumId w:val="85"/>
  </w:num>
  <w:num w:numId="14" w16cid:durableId="267543742">
    <w:abstractNumId w:val="11"/>
  </w:num>
  <w:num w:numId="15" w16cid:durableId="1350838372">
    <w:abstractNumId w:val="96"/>
  </w:num>
  <w:num w:numId="16" w16cid:durableId="443043573">
    <w:abstractNumId w:val="24"/>
  </w:num>
  <w:num w:numId="17" w16cid:durableId="1047991010">
    <w:abstractNumId w:val="92"/>
  </w:num>
  <w:num w:numId="18" w16cid:durableId="403994572">
    <w:abstractNumId w:val="1"/>
  </w:num>
  <w:num w:numId="19" w16cid:durableId="1536699848">
    <w:abstractNumId w:val="23"/>
  </w:num>
  <w:num w:numId="20" w16cid:durableId="1992103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2188">
    <w:abstractNumId w:val="95"/>
  </w:num>
  <w:num w:numId="22" w16cid:durableId="1594702060">
    <w:abstractNumId w:val="7"/>
  </w:num>
  <w:num w:numId="23" w16cid:durableId="181364719">
    <w:abstractNumId w:val="62"/>
  </w:num>
  <w:num w:numId="24" w16cid:durableId="280574619">
    <w:abstractNumId w:val="10"/>
  </w:num>
  <w:num w:numId="25" w16cid:durableId="1940286167">
    <w:abstractNumId w:val="2"/>
  </w:num>
  <w:num w:numId="26" w16cid:durableId="1506289119">
    <w:abstractNumId w:val="10"/>
  </w:num>
  <w:num w:numId="27" w16cid:durableId="1686784460">
    <w:abstractNumId w:val="70"/>
  </w:num>
  <w:num w:numId="28" w16cid:durableId="1184241935">
    <w:abstractNumId w:val="95"/>
  </w:num>
  <w:num w:numId="29" w16cid:durableId="1827625691">
    <w:abstractNumId w:val="10"/>
  </w:num>
  <w:num w:numId="30" w16cid:durableId="293800187">
    <w:abstractNumId w:val="95"/>
  </w:num>
  <w:num w:numId="31" w16cid:durableId="1004430765">
    <w:abstractNumId w:val="82"/>
  </w:num>
  <w:num w:numId="32" w16cid:durableId="1838617215">
    <w:abstractNumId w:val="3"/>
  </w:num>
  <w:num w:numId="33" w16cid:durableId="448166146">
    <w:abstractNumId w:val="72"/>
  </w:num>
  <w:num w:numId="34" w16cid:durableId="938568122">
    <w:abstractNumId w:val="27"/>
  </w:num>
  <w:num w:numId="35" w16cid:durableId="2038694041">
    <w:abstractNumId w:val="95"/>
  </w:num>
  <w:num w:numId="36" w16cid:durableId="1963264103">
    <w:abstractNumId w:val="95"/>
  </w:num>
  <w:num w:numId="37" w16cid:durableId="1885096308">
    <w:abstractNumId w:val="95"/>
  </w:num>
  <w:num w:numId="38" w16cid:durableId="510685653">
    <w:abstractNumId w:val="10"/>
  </w:num>
  <w:num w:numId="39" w16cid:durableId="76219997">
    <w:abstractNumId w:val="91"/>
  </w:num>
  <w:num w:numId="40" w16cid:durableId="834882448">
    <w:abstractNumId w:val="16"/>
  </w:num>
  <w:num w:numId="41" w16cid:durableId="1597404606">
    <w:abstractNumId w:val="73"/>
  </w:num>
  <w:num w:numId="42" w16cid:durableId="1966496869">
    <w:abstractNumId w:val="79"/>
  </w:num>
  <w:num w:numId="43" w16cid:durableId="895552829">
    <w:abstractNumId w:val="97"/>
  </w:num>
  <w:num w:numId="44" w16cid:durableId="1848518692">
    <w:abstractNumId w:val="25"/>
  </w:num>
  <w:num w:numId="45" w16cid:durableId="464128975">
    <w:abstractNumId w:val="32"/>
  </w:num>
  <w:num w:numId="46" w16cid:durableId="1584296201">
    <w:abstractNumId w:val="45"/>
  </w:num>
  <w:num w:numId="47" w16cid:durableId="1231890810">
    <w:abstractNumId w:val="75"/>
  </w:num>
  <w:num w:numId="48" w16cid:durableId="229536120">
    <w:abstractNumId w:val="74"/>
  </w:num>
  <w:num w:numId="49" w16cid:durableId="1994672380">
    <w:abstractNumId w:val="39"/>
  </w:num>
  <w:num w:numId="50" w16cid:durableId="1755395375">
    <w:abstractNumId w:val="19"/>
  </w:num>
  <w:num w:numId="51" w16cid:durableId="834803460">
    <w:abstractNumId w:val="41"/>
  </w:num>
  <w:num w:numId="52" w16cid:durableId="922956711">
    <w:abstractNumId w:val="67"/>
  </w:num>
  <w:num w:numId="53" w16cid:durableId="1788237410">
    <w:abstractNumId w:val="71"/>
  </w:num>
  <w:num w:numId="54" w16cid:durableId="161429834">
    <w:abstractNumId w:val="94"/>
  </w:num>
  <w:num w:numId="55" w16cid:durableId="1585606666">
    <w:abstractNumId w:val="26"/>
  </w:num>
  <w:num w:numId="56" w16cid:durableId="1663124992">
    <w:abstractNumId w:val="63"/>
  </w:num>
  <w:num w:numId="57" w16cid:durableId="259340725">
    <w:abstractNumId w:val="87"/>
  </w:num>
  <w:num w:numId="58" w16cid:durableId="1875459754">
    <w:abstractNumId w:val="42"/>
  </w:num>
  <w:num w:numId="59" w16cid:durableId="854878624">
    <w:abstractNumId w:val="43"/>
  </w:num>
  <w:num w:numId="60" w16cid:durableId="2102098920">
    <w:abstractNumId w:val="18"/>
  </w:num>
  <w:num w:numId="61" w16cid:durableId="1676151226">
    <w:abstractNumId w:val="12"/>
  </w:num>
  <w:num w:numId="62" w16cid:durableId="2075925676">
    <w:abstractNumId w:val="36"/>
  </w:num>
  <w:num w:numId="63" w16cid:durableId="140731242">
    <w:abstractNumId w:val="93"/>
  </w:num>
  <w:num w:numId="64" w16cid:durableId="702094502">
    <w:abstractNumId w:val="31"/>
  </w:num>
  <w:num w:numId="65" w16cid:durableId="416707278">
    <w:abstractNumId w:val="76"/>
  </w:num>
  <w:num w:numId="66" w16cid:durableId="2129817089">
    <w:abstractNumId w:val="54"/>
  </w:num>
  <w:num w:numId="67" w16cid:durableId="763458314">
    <w:abstractNumId w:val="29"/>
  </w:num>
  <w:num w:numId="68" w16cid:durableId="1820420758">
    <w:abstractNumId w:val="83"/>
  </w:num>
  <w:num w:numId="69" w16cid:durableId="1184369205">
    <w:abstractNumId w:val="66"/>
  </w:num>
  <w:num w:numId="70" w16cid:durableId="837812677">
    <w:abstractNumId w:val="21"/>
  </w:num>
  <w:num w:numId="71" w16cid:durableId="780565035">
    <w:abstractNumId w:val="77"/>
  </w:num>
  <w:num w:numId="72" w16cid:durableId="2026057074">
    <w:abstractNumId w:val="52"/>
  </w:num>
  <w:num w:numId="73" w16cid:durableId="1100951802">
    <w:abstractNumId w:val="88"/>
  </w:num>
  <w:num w:numId="74" w16cid:durableId="432480485">
    <w:abstractNumId w:val="9"/>
  </w:num>
  <w:num w:numId="75" w16cid:durableId="2032802814">
    <w:abstractNumId w:val="56"/>
  </w:num>
  <w:num w:numId="76" w16cid:durableId="703553315">
    <w:abstractNumId w:val="89"/>
  </w:num>
  <w:num w:numId="77" w16cid:durableId="1389914171">
    <w:abstractNumId w:val="58"/>
  </w:num>
  <w:num w:numId="78" w16cid:durableId="1050804345">
    <w:abstractNumId w:val="38"/>
  </w:num>
  <w:num w:numId="79" w16cid:durableId="291713651">
    <w:abstractNumId w:val="90"/>
  </w:num>
  <w:num w:numId="80" w16cid:durableId="1360861313">
    <w:abstractNumId w:val="47"/>
  </w:num>
  <w:num w:numId="81" w16cid:durableId="748814342">
    <w:abstractNumId w:val="8"/>
  </w:num>
  <w:num w:numId="82" w16cid:durableId="210383558">
    <w:abstractNumId w:val="46"/>
  </w:num>
  <w:num w:numId="83" w16cid:durableId="2036223143">
    <w:abstractNumId w:val="48"/>
  </w:num>
  <w:num w:numId="84" w16cid:durableId="2005622367">
    <w:abstractNumId w:val="57"/>
  </w:num>
  <w:num w:numId="85" w16cid:durableId="1002002910">
    <w:abstractNumId w:val="34"/>
  </w:num>
  <w:num w:numId="86" w16cid:durableId="449789168">
    <w:abstractNumId w:val="22"/>
  </w:num>
  <w:num w:numId="87" w16cid:durableId="1431656653">
    <w:abstractNumId w:val="59"/>
  </w:num>
  <w:num w:numId="88" w16cid:durableId="523708436">
    <w:abstractNumId w:val="65"/>
  </w:num>
  <w:num w:numId="89" w16cid:durableId="401223244">
    <w:abstractNumId w:val="84"/>
  </w:num>
  <w:num w:numId="90" w16cid:durableId="1935285765">
    <w:abstractNumId w:val="78"/>
  </w:num>
  <w:num w:numId="91" w16cid:durableId="1024592773">
    <w:abstractNumId w:val="20"/>
  </w:num>
  <w:num w:numId="92" w16cid:durableId="2121758955">
    <w:abstractNumId w:val="51"/>
  </w:num>
  <w:num w:numId="93" w16cid:durableId="52699450">
    <w:abstractNumId w:val="81"/>
  </w:num>
  <w:num w:numId="94" w16cid:durableId="888764812">
    <w:abstractNumId w:val="60"/>
  </w:num>
  <w:num w:numId="95" w16cid:durableId="141772227">
    <w:abstractNumId w:val="10"/>
    <w:lvlOverride w:ilvl="0">
      <w:startOverride w:val="4"/>
    </w:lvlOverride>
    <w:lvlOverride w:ilvl="1">
      <w:startOverride w:val="2"/>
    </w:lvlOverride>
  </w:num>
  <w:num w:numId="96" w16cid:durableId="1719552464">
    <w:abstractNumId w:val="86"/>
  </w:num>
  <w:num w:numId="97" w16cid:durableId="933321053">
    <w:abstractNumId w:val="61"/>
  </w:num>
  <w:num w:numId="98" w16cid:durableId="1858346824">
    <w:abstractNumId w:val="68"/>
  </w:num>
  <w:num w:numId="99" w16cid:durableId="59406268">
    <w:abstractNumId w:val="50"/>
  </w:num>
  <w:num w:numId="100" w16cid:durableId="283998635">
    <w:abstractNumId w:val="69"/>
  </w:num>
  <w:num w:numId="101" w16cid:durableId="383137765">
    <w:abstractNumId w:val="15"/>
  </w:num>
  <w:num w:numId="102" w16cid:durableId="742921427">
    <w:abstractNumId w:val="5"/>
  </w:num>
  <w:num w:numId="103" w16cid:durableId="399525019">
    <w:abstractNumId w:val="33"/>
  </w:num>
  <w:num w:numId="104" w16cid:durableId="2077823233">
    <w:abstractNumId w:val="4"/>
  </w:num>
  <w:num w:numId="105" w16cid:durableId="348221826">
    <w:abstractNumId w:val="44"/>
  </w:num>
  <w:num w:numId="106" w16cid:durableId="1304848664">
    <w:abstractNumId w:val="14"/>
  </w:num>
  <w:num w:numId="107" w16cid:durableId="703940031">
    <w:abstractNumId w:val="9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18770023">
    <w:abstractNumId w:val="37"/>
  </w:num>
  <w:num w:numId="109" w16cid:durableId="714043287">
    <w:abstractNumId w:val="5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spinCount="100000" w:hashValue="tV+sOsuLKfRZuegpP046LmGzPIp58COZKWHaEcfABME=" w:saltValue="I4s7pbYl+jQW0G38NVSsR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09"/>
    <w:rsid w:val="000001B8"/>
    <w:rsid w:val="000003B8"/>
    <w:rsid w:val="00000698"/>
    <w:rsid w:val="00000AA8"/>
    <w:rsid w:val="00000E09"/>
    <w:rsid w:val="00000F1D"/>
    <w:rsid w:val="0000106D"/>
    <w:rsid w:val="000012E9"/>
    <w:rsid w:val="000013CB"/>
    <w:rsid w:val="00001403"/>
    <w:rsid w:val="0000151F"/>
    <w:rsid w:val="0000188F"/>
    <w:rsid w:val="000018DC"/>
    <w:rsid w:val="000019C0"/>
    <w:rsid w:val="00001D9F"/>
    <w:rsid w:val="00001E2A"/>
    <w:rsid w:val="00001E3D"/>
    <w:rsid w:val="00001F89"/>
    <w:rsid w:val="00002201"/>
    <w:rsid w:val="00002237"/>
    <w:rsid w:val="0000227A"/>
    <w:rsid w:val="0000250F"/>
    <w:rsid w:val="0000268E"/>
    <w:rsid w:val="0000269D"/>
    <w:rsid w:val="00002A7D"/>
    <w:rsid w:val="00002B9C"/>
    <w:rsid w:val="00002C9A"/>
    <w:rsid w:val="00002D25"/>
    <w:rsid w:val="00002FC3"/>
    <w:rsid w:val="00003340"/>
    <w:rsid w:val="00003565"/>
    <w:rsid w:val="0000381A"/>
    <w:rsid w:val="000038BF"/>
    <w:rsid w:val="00003A84"/>
    <w:rsid w:val="00003B6F"/>
    <w:rsid w:val="000045ED"/>
    <w:rsid w:val="000049FF"/>
    <w:rsid w:val="00005053"/>
    <w:rsid w:val="0000518B"/>
    <w:rsid w:val="00005264"/>
    <w:rsid w:val="00005630"/>
    <w:rsid w:val="000056D0"/>
    <w:rsid w:val="00005925"/>
    <w:rsid w:val="00005B5D"/>
    <w:rsid w:val="00005E42"/>
    <w:rsid w:val="00006139"/>
    <w:rsid w:val="000062F3"/>
    <w:rsid w:val="000063CE"/>
    <w:rsid w:val="00006404"/>
    <w:rsid w:val="000064FB"/>
    <w:rsid w:val="000065CB"/>
    <w:rsid w:val="000065EC"/>
    <w:rsid w:val="000066B0"/>
    <w:rsid w:val="0000692B"/>
    <w:rsid w:val="00006BC2"/>
    <w:rsid w:val="00006E1A"/>
    <w:rsid w:val="00006F7B"/>
    <w:rsid w:val="00007167"/>
    <w:rsid w:val="000075DD"/>
    <w:rsid w:val="00007C94"/>
    <w:rsid w:val="00007DA9"/>
    <w:rsid w:val="00007DAB"/>
    <w:rsid w:val="00007E4A"/>
    <w:rsid w:val="00010075"/>
    <w:rsid w:val="00010151"/>
    <w:rsid w:val="000103B6"/>
    <w:rsid w:val="0001040D"/>
    <w:rsid w:val="0001071D"/>
    <w:rsid w:val="000107E6"/>
    <w:rsid w:val="0001089A"/>
    <w:rsid w:val="00010CA3"/>
    <w:rsid w:val="00010D7A"/>
    <w:rsid w:val="00010E6B"/>
    <w:rsid w:val="00010EA6"/>
    <w:rsid w:val="00010FFF"/>
    <w:rsid w:val="000111B4"/>
    <w:rsid w:val="00011792"/>
    <w:rsid w:val="00011867"/>
    <w:rsid w:val="00011BC7"/>
    <w:rsid w:val="00011C3A"/>
    <w:rsid w:val="00011DE7"/>
    <w:rsid w:val="00011F46"/>
    <w:rsid w:val="00011F60"/>
    <w:rsid w:val="00011F79"/>
    <w:rsid w:val="00011F8F"/>
    <w:rsid w:val="00011FC9"/>
    <w:rsid w:val="00012009"/>
    <w:rsid w:val="00012513"/>
    <w:rsid w:val="000125DD"/>
    <w:rsid w:val="00012650"/>
    <w:rsid w:val="00012793"/>
    <w:rsid w:val="000129F3"/>
    <w:rsid w:val="00012DF3"/>
    <w:rsid w:val="00012E28"/>
    <w:rsid w:val="0001307D"/>
    <w:rsid w:val="00013100"/>
    <w:rsid w:val="0001322C"/>
    <w:rsid w:val="000137B8"/>
    <w:rsid w:val="0001387C"/>
    <w:rsid w:val="0001392F"/>
    <w:rsid w:val="000142E0"/>
    <w:rsid w:val="00014944"/>
    <w:rsid w:val="0001499D"/>
    <w:rsid w:val="00014B38"/>
    <w:rsid w:val="00014C03"/>
    <w:rsid w:val="00015007"/>
    <w:rsid w:val="00015013"/>
    <w:rsid w:val="00015131"/>
    <w:rsid w:val="00015193"/>
    <w:rsid w:val="000153FA"/>
    <w:rsid w:val="000154CA"/>
    <w:rsid w:val="00015507"/>
    <w:rsid w:val="00015990"/>
    <w:rsid w:val="000159A1"/>
    <w:rsid w:val="0001601D"/>
    <w:rsid w:val="00016231"/>
    <w:rsid w:val="000162B4"/>
    <w:rsid w:val="00016A71"/>
    <w:rsid w:val="00016AD1"/>
    <w:rsid w:val="00016CF6"/>
    <w:rsid w:val="00017017"/>
    <w:rsid w:val="000173AB"/>
    <w:rsid w:val="00017462"/>
    <w:rsid w:val="000175D1"/>
    <w:rsid w:val="00017DB7"/>
    <w:rsid w:val="00017F27"/>
    <w:rsid w:val="00020805"/>
    <w:rsid w:val="00020932"/>
    <w:rsid w:val="00020AA1"/>
    <w:rsid w:val="00020B65"/>
    <w:rsid w:val="00020E72"/>
    <w:rsid w:val="00021034"/>
    <w:rsid w:val="00021115"/>
    <w:rsid w:val="000213EB"/>
    <w:rsid w:val="000214C4"/>
    <w:rsid w:val="000217AE"/>
    <w:rsid w:val="00021D9E"/>
    <w:rsid w:val="00021E4C"/>
    <w:rsid w:val="00021E68"/>
    <w:rsid w:val="00022249"/>
    <w:rsid w:val="0002230E"/>
    <w:rsid w:val="000224D7"/>
    <w:rsid w:val="00022536"/>
    <w:rsid w:val="0002278A"/>
    <w:rsid w:val="000227C9"/>
    <w:rsid w:val="000227E4"/>
    <w:rsid w:val="00022982"/>
    <w:rsid w:val="00022AFA"/>
    <w:rsid w:val="00022AFE"/>
    <w:rsid w:val="00022C8C"/>
    <w:rsid w:val="00022E21"/>
    <w:rsid w:val="0002307A"/>
    <w:rsid w:val="000230C7"/>
    <w:rsid w:val="000230CC"/>
    <w:rsid w:val="000231FF"/>
    <w:rsid w:val="0002325A"/>
    <w:rsid w:val="000233E3"/>
    <w:rsid w:val="00023705"/>
    <w:rsid w:val="000239E8"/>
    <w:rsid w:val="00023AE9"/>
    <w:rsid w:val="00023B45"/>
    <w:rsid w:val="00023CD0"/>
    <w:rsid w:val="000242F9"/>
    <w:rsid w:val="00024467"/>
    <w:rsid w:val="0002498D"/>
    <w:rsid w:val="00024A5A"/>
    <w:rsid w:val="00024EA3"/>
    <w:rsid w:val="00024FD1"/>
    <w:rsid w:val="00025016"/>
    <w:rsid w:val="0002513D"/>
    <w:rsid w:val="000253CC"/>
    <w:rsid w:val="00025721"/>
    <w:rsid w:val="00025962"/>
    <w:rsid w:val="00025E41"/>
    <w:rsid w:val="00025F23"/>
    <w:rsid w:val="00025FC3"/>
    <w:rsid w:val="00025FCB"/>
    <w:rsid w:val="00025FDB"/>
    <w:rsid w:val="00026069"/>
    <w:rsid w:val="0002606B"/>
    <w:rsid w:val="000261A9"/>
    <w:rsid w:val="00026288"/>
    <w:rsid w:val="000262D0"/>
    <w:rsid w:val="000266A5"/>
    <w:rsid w:val="00026700"/>
    <w:rsid w:val="00026B52"/>
    <w:rsid w:val="00026E53"/>
    <w:rsid w:val="00026EB8"/>
    <w:rsid w:val="0002750F"/>
    <w:rsid w:val="00027AA3"/>
    <w:rsid w:val="00027B09"/>
    <w:rsid w:val="00027B6C"/>
    <w:rsid w:val="00027EB4"/>
    <w:rsid w:val="00030156"/>
    <w:rsid w:val="000303DF"/>
    <w:rsid w:val="00030429"/>
    <w:rsid w:val="000306C2"/>
    <w:rsid w:val="00030890"/>
    <w:rsid w:val="000309E3"/>
    <w:rsid w:val="00030F19"/>
    <w:rsid w:val="00031090"/>
    <w:rsid w:val="000312C5"/>
    <w:rsid w:val="000313AA"/>
    <w:rsid w:val="00031698"/>
    <w:rsid w:val="00031762"/>
    <w:rsid w:val="00031BE7"/>
    <w:rsid w:val="00031BF8"/>
    <w:rsid w:val="00031D64"/>
    <w:rsid w:val="00031F8A"/>
    <w:rsid w:val="00032574"/>
    <w:rsid w:val="00032743"/>
    <w:rsid w:val="0003274A"/>
    <w:rsid w:val="00032780"/>
    <w:rsid w:val="0003289D"/>
    <w:rsid w:val="000328A1"/>
    <w:rsid w:val="00032A57"/>
    <w:rsid w:val="00032E5D"/>
    <w:rsid w:val="00032E79"/>
    <w:rsid w:val="00032FBD"/>
    <w:rsid w:val="0003324F"/>
    <w:rsid w:val="00033298"/>
    <w:rsid w:val="000332FE"/>
    <w:rsid w:val="000333D0"/>
    <w:rsid w:val="000334BC"/>
    <w:rsid w:val="0003366E"/>
    <w:rsid w:val="00033883"/>
    <w:rsid w:val="000338B3"/>
    <w:rsid w:val="00033977"/>
    <w:rsid w:val="00033A20"/>
    <w:rsid w:val="00033A78"/>
    <w:rsid w:val="00033E92"/>
    <w:rsid w:val="00034033"/>
    <w:rsid w:val="000344F1"/>
    <w:rsid w:val="00034535"/>
    <w:rsid w:val="00034C9E"/>
    <w:rsid w:val="00034F8B"/>
    <w:rsid w:val="00035078"/>
    <w:rsid w:val="00035321"/>
    <w:rsid w:val="0003539D"/>
    <w:rsid w:val="000353A6"/>
    <w:rsid w:val="00035403"/>
    <w:rsid w:val="0003582F"/>
    <w:rsid w:val="0003594D"/>
    <w:rsid w:val="000359F1"/>
    <w:rsid w:val="00035DEC"/>
    <w:rsid w:val="00035EC4"/>
    <w:rsid w:val="00035F6A"/>
    <w:rsid w:val="00036066"/>
    <w:rsid w:val="0003672E"/>
    <w:rsid w:val="000369F4"/>
    <w:rsid w:val="00036A3A"/>
    <w:rsid w:val="00036A80"/>
    <w:rsid w:val="00036C88"/>
    <w:rsid w:val="00036E95"/>
    <w:rsid w:val="00036ECF"/>
    <w:rsid w:val="000373E4"/>
    <w:rsid w:val="00037711"/>
    <w:rsid w:val="00037744"/>
    <w:rsid w:val="00037899"/>
    <w:rsid w:val="000378B6"/>
    <w:rsid w:val="00037F99"/>
    <w:rsid w:val="000402ED"/>
    <w:rsid w:val="0004036D"/>
    <w:rsid w:val="00040896"/>
    <w:rsid w:val="00040E82"/>
    <w:rsid w:val="00040F05"/>
    <w:rsid w:val="0004105B"/>
    <w:rsid w:val="0004127C"/>
    <w:rsid w:val="0004134F"/>
    <w:rsid w:val="0004143C"/>
    <w:rsid w:val="000417CA"/>
    <w:rsid w:val="0004192A"/>
    <w:rsid w:val="00041A80"/>
    <w:rsid w:val="00041A8A"/>
    <w:rsid w:val="00041C17"/>
    <w:rsid w:val="00041E0A"/>
    <w:rsid w:val="00041EE9"/>
    <w:rsid w:val="00041F0B"/>
    <w:rsid w:val="00041F85"/>
    <w:rsid w:val="00042135"/>
    <w:rsid w:val="000426E8"/>
    <w:rsid w:val="00042734"/>
    <w:rsid w:val="00042A35"/>
    <w:rsid w:val="00042A45"/>
    <w:rsid w:val="00042AE6"/>
    <w:rsid w:val="00042C8D"/>
    <w:rsid w:val="000432D5"/>
    <w:rsid w:val="000433B5"/>
    <w:rsid w:val="00043474"/>
    <w:rsid w:val="00043586"/>
    <w:rsid w:val="00043621"/>
    <w:rsid w:val="0004396E"/>
    <w:rsid w:val="00043D6B"/>
    <w:rsid w:val="00043EA4"/>
    <w:rsid w:val="00043F40"/>
    <w:rsid w:val="00043F52"/>
    <w:rsid w:val="00043F7C"/>
    <w:rsid w:val="00044059"/>
    <w:rsid w:val="000442F7"/>
    <w:rsid w:val="000443E1"/>
    <w:rsid w:val="00044515"/>
    <w:rsid w:val="00044566"/>
    <w:rsid w:val="00044607"/>
    <w:rsid w:val="00044617"/>
    <w:rsid w:val="00044B9C"/>
    <w:rsid w:val="00044C72"/>
    <w:rsid w:val="00044D13"/>
    <w:rsid w:val="00044EB7"/>
    <w:rsid w:val="00044FCB"/>
    <w:rsid w:val="00045273"/>
    <w:rsid w:val="00045473"/>
    <w:rsid w:val="0004554A"/>
    <w:rsid w:val="000458C5"/>
    <w:rsid w:val="000459D3"/>
    <w:rsid w:val="00045B5C"/>
    <w:rsid w:val="00045B63"/>
    <w:rsid w:val="00045D3C"/>
    <w:rsid w:val="00045F2F"/>
    <w:rsid w:val="00046065"/>
    <w:rsid w:val="0004608D"/>
    <w:rsid w:val="000460CE"/>
    <w:rsid w:val="00046103"/>
    <w:rsid w:val="000461C4"/>
    <w:rsid w:val="00046299"/>
    <w:rsid w:val="000463FE"/>
    <w:rsid w:val="0004642D"/>
    <w:rsid w:val="00046432"/>
    <w:rsid w:val="00046B6C"/>
    <w:rsid w:val="00046D2F"/>
    <w:rsid w:val="000471E1"/>
    <w:rsid w:val="0004727C"/>
    <w:rsid w:val="000472E3"/>
    <w:rsid w:val="00047428"/>
    <w:rsid w:val="00047431"/>
    <w:rsid w:val="0004751C"/>
    <w:rsid w:val="00047690"/>
    <w:rsid w:val="000477D0"/>
    <w:rsid w:val="0004785B"/>
    <w:rsid w:val="00047983"/>
    <w:rsid w:val="00047D53"/>
    <w:rsid w:val="00047E9F"/>
    <w:rsid w:val="00047F79"/>
    <w:rsid w:val="00050495"/>
    <w:rsid w:val="00050682"/>
    <w:rsid w:val="000506D6"/>
    <w:rsid w:val="000508BF"/>
    <w:rsid w:val="000509E1"/>
    <w:rsid w:val="00050C17"/>
    <w:rsid w:val="00050C4D"/>
    <w:rsid w:val="00050C83"/>
    <w:rsid w:val="00050C8A"/>
    <w:rsid w:val="00050D53"/>
    <w:rsid w:val="00050FD4"/>
    <w:rsid w:val="000510F0"/>
    <w:rsid w:val="00051122"/>
    <w:rsid w:val="00051142"/>
    <w:rsid w:val="000511C8"/>
    <w:rsid w:val="00051280"/>
    <w:rsid w:val="00051499"/>
    <w:rsid w:val="00051864"/>
    <w:rsid w:val="000518A9"/>
    <w:rsid w:val="000519F5"/>
    <w:rsid w:val="00052026"/>
    <w:rsid w:val="000521FF"/>
    <w:rsid w:val="00052260"/>
    <w:rsid w:val="000522F7"/>
    <w:rsid w:val="00052580"/>
    <w:rsid w:val="00052D4C"/>
    <w:rsid w:val="00052E96"/>
    <w:rsid w:val="00052FFB"/>
    <w:rsid w:val="00053153"/>
    <w:rsid w:val="00053895"/>
    <w:rsid w:val="00053F25"/>
    <w:rsid w:val="00054063"/>
    <w:rsid w:val="000540C6"/>
    <w:rsid w:val="00054296"/>
    <w:rsid w:val="0005499B"/>
    <w:rsid w:val="00054A7C"/>
    <w:rsid w:val="00054D67"/>
    <w:rsid w:val="00054DF7"/>
    <w:rsid w:val="00054F10"/>
    <w:rsid w:val="00055109"/>
    <w:rsid w:val="00055646"/>
    <w:rsid w:val="000559BE"/>
    <w:rsid w:val="000559BF"/>
    <w:rsid w:val="00055ED2"/>
    <w:rsid w:val="00055F20"/>
    <w:rsid w:val="00055F4A"/>
    <w:rsid w:val="0005600D"/>
    <w:rsid w:val="000562C0"/>
    <w:rsid w:val="000563E5"/>
    <w:rsid w:val="000564B7"/>
    <w:rsid w:val="00056811"/>
    <w:rsid w:val="00056BDB"/>
    <w:rsid w:val="00056CF8"/>
    <w:rsid w:val="00056F72"/>
    <w:rsid w:val="00056FE9"/>
    <w:rsid w:val="00056FF0"/>
    <w:rsid w:val="00057002"/>
    <w:rsid w:val="00057016"/>
    <w:rsid w:val="00057443"/>
    <w:rsid w:val="000576AF"/>
    <w:rsid w:val="00057915"/>
    <w:rsid w:val="0005798D"/>
    <w:rsid w:val="00057997"/>
    <w:rsid w:val="00057C1A"/>
    <w:rsid w:val="00057D7F"/>
    <w:rsid w:val="00057F17"/>
    <w:rsid w:val="00060158"/>
    <w:rsid w:val="00060510"/>
    <w:rsid w:val="000606C0"/>
    <w:rsid w:val="00060866"/>
    <w:rsid w:val="00060C9C"/>
    <w:rsid w:val="000613D0"/>
    <w:rsid w:val="00061663"/>
    <w:rsid w:val="00061C5D"/>
    <w:rsid w:val="00062026"/>
    <w:rsid w:val="00062242"/>
    <w:rsid w:val="00062248"/>
    <w:rsid w:val="000627BD"/>
    <w:rsid w:val="00062809"/>
    <w:rsid w:val="00062B93"/>
    <w:rsid w:val="000638DD"/>
    <w:rsid w:val="0006393B"/>
    <w:rsid w:val="00063B01"/>
    <w:rsid w:val="00063D4E"/>
    <w:rsid w:val="00063DCE"/>
    <w:rsid w:val="00063E1A"/>
    <w:rsid w:val="00063F43"/>
    <w:rsid w:val="000640B5"/>
    <w:rsid w:val="00064519"/>
    <w:rsid w:val="000649CF"/>
    <w:rsid w:val="000649F4"/>
    <w:rsid w:val="00064D48"/>
    <w:rsid w:val="000655C2"/>
    <w:rsid w:val="0006560F"/>
    <w:rsid w:val="000656FB"/>
    <w:rsid w:val="000658FF"/>
    <w:rsid w:val="00065B2D"/>
    <w:rsid w:val="00065C93"/>
    <w:rsid w:val="00065D8C"/>
    <w:rsid w:val="00065DCD"/>
    <w:rsid w:val="00065EBA"/>
    <w:rsid w:val="00066147"/>
    <w:rsid w:val="0006631E"/>
    <w:rsid w:val="0006658B"/>
    <w:rsid w:val="0006684E"/>
    <w:rsid w:val="000668AB"/>
    <w:rsid w:val="00066A6A"/>
    <w:rsid w:val="00066B6E"/>
    <w:rsid w:val="00066E52"/>
    <w:rsid w:val="00066EE3"/>
    <w:rsid w:val="00066FE2"/>
    <w:rsid w:val="00067107"/>
    <w:rsid w:val="000671CA"/>
    <w:rsid w:val="000672A4"/>
    <w:rsid w:val="00067338"/>
    <w:rsid w:val="000676AB"/>
    <w:rsid w:val="000678AA"/>
    <w:rsid w:val="00067920"/>
    <w:rsid w:val="00067D00"/>
    <w:rsid w:val="00067E85"/>
    <w:rsid w:val="00070078"/>
    <w:rsid w:val="00070570"/>
    <w:rsid w:val="00070A87"/>
    <w:rsid w:val="00070A8C"/>
    <w:rsid w:val="00070BDB"/>
    <w:rsid w:val="00070DEA"/>
    <w:rsid w:val="00070ECE"/>
    <w:rsid w:val="00070F27"/>
    <w:rsid w:val="00070FC7"/>
    <w:rsid w:val="000711A2"/>
    <w:rsid w:val="00071399"/>
    <w:rsid w:val="00071530"/>
    <w:rsid w:val="00071876"/>
    <w:rsid w:val="00071988"/>
    <w:rsid w:val="00072064"/>
    <w:rsid w:val="00072152"/>
    <w:rsid w:val="00072257"/>
    <w:rsid w:val="00072412"/>
    <w:rsid w:val="0007243F"/>
    <w:rsid w:val="000724D2"/>
    <w:rsid w:val="0007270D"/>
    <w:rsid w:val="000727DC"/>
    <w:rsid w:val="00072905"/>
    <w:rsid w:val="00072A99"/>
    <w:rsid w:val="00072B59"/>
    <w:rsid w:val="00072D62"/>
    <w:rsid w:val="00073056"/>
    <w:rsid w:val="000731EF"/>
    <w:rsid w:val="000733F9"/>
    <w:rsid w:val="00073444"/>
    <w:rsid w:val="0007346C"/>
    <w:rsid w:val="0007363C"/>
    <w:rsid w:val="000737AF"/>
    <w:rsid w:val="000738D0"/>
    <w:rsid w:val="00073A37"/>
    <w:rsid w:val="00073D19"/>
    <w:rsid w:val="000741E6"/>
    <w:rsid w:val="000742C6"/>
    <w:rsid w:val="00074340"/>
    <w:rsid w:val="00074783"/>
    <w:rsid w:val="00074886"/>
    <w:rsid w:val="000748AC"/>
    <w:rsid w:val="000749C5"/>
    <w:rsid w:val="000756BC"/>
    <w:rsid w:val="0007584C"/>
    <w:rsid w:val="00075FC8"/>
    <w:rsid w:val="00076143"/>
    <w:rsid w:val="00076170"/>
    <w:rsid w:val="000762A7"/>
    <w:rsid w:val="000764E9"/>
    <w:rsid w:val="0007684A"/>
    <w:rsid w:val="00076BA8"/>
    <w:rsid w:val="00076F58"/>
    <w:rsid w:val="00077233"/>
    <w:rsid w:val="000772B9"/>
    <w:rsid w:val="00077690"/>
    <w:rsid w:val="000778C0"/>
    <w:rsid w:val="00077BE3"/>
    <w:rsid w:val="00077D91"/>
    <w:rsid w:val="00077F15"/>
    <w:rsid w:val="000800EB"/>
    <w:rsid w:val="0008011E"/>
    <w:rsid w:val="00080136"/>
    <w:rsid w:val="000803F6"/>
    <w:rsid w:val="0008047A"/>
    <w:rsid w:val="00080B84"/>
    <w:rsid w:val="00080BD5"/>
    <w:rsid w:val="00080C09"/>
    <w:rsid w:val="00080EEE"/>
    <w:rsid w:val="00080FFA"/>
    <w:rsid w:val="000814F9"/>
    <w:rsid w:val="00081538"/>
    <w:rsid w:val="00081639"/>
    <w:rsid w:val="000816CF"/>
    <w:rsid w:val="000817E2"/>
    <w:rsid w:val="00081939"/>
    <w:rsid w:val="000819D6"/>
    <w:rsid w:val="00081AE3"/>
    <w:rsid w:val="00081DF4"/>
    <w:rsid w:val="00081F9E"/>
    <w:rsid w:val="00081FF5"/>
    <w:rsid w:val="00082083"/>
    <w:rsid w:val="000822BF"/>
    <w:rsid w:val="0008239B"/>
    <w:rsid w:val="000823B2"/>
    <w:rsid w:val="00082545"/>
    <w:rsid w:val="000827E8"/>
    <w:rsid w:val="00082A02"/>
    <w:rsid w:val="00082C67"/>
    <w:rsid w:val="00082ED0"/>
    <w:rsid w:val="00082F05"/>
    <w:rsid w:val="00082FEF"/>
    <w:rsid w:val="000831BC"/>
    <w:rsid w:val="000834E1"/>
    <w:rsid w:val="000839B0"/>
    <w:rsid w:val="00083ABD"/>
    <w:rsid w:val="00083B82"/>
    <w:rsid w:val="00083DD7"/>
    <w:rsid w:val="00083E72"/>
    <w:rsid w:val="00083FFC"/>
    <w:rsid w:val="00084062"/>
    <w:rsid w:val="00084080"/>
    <w:rsid w:val="00084083"/>
    <w:rsid w:val="000840BB"/>
    <w:rsid w:val="000842E8"/>
    <w:rsid w:val="000843DC"/>
    <w:rsid w:val="000845AB"/>
    <w:rsid w:val="000846D4"/>
    <w:rsid w:val="000847CB"/>
    <w:rsid w:val="000848CE"/>
    <w:rsid w:val="00084A14"/>
    <w:rsid w:val="00084AE2"/>
    <w:rsid w:val="00084B10"/>
    <w:rsid w:val="00084B13"/>
    <w:rsid w:val="00084D29"/>
    <w:rsid w:val="00084D7D"/>
    <w:rsid w:val="000851BE"/>
    <w:rsid w:val="000854F7"/>
    <w:rsid w:val="0008561B"/>
    <w:rsid w:val="000859D8"/>
    <w:rsid w:val="00085A6B"/>
    <w:rsid w:val="00085C55"/>
    <w:rsid w:val="00085CCF"/>
    <w:rsid w:val="00085E60"/>
    <w:rsid w:val="000864AB"/>
    <w:rsid w:val="0008657D"/>
    <w:rsid w:val="00086811"/>
    <w:rsid w:val="00086813"/>
    <w:rsid w:val="000868C4"/>
    <w:rsid w:val="00086BCB"/>
    <w:rsid w:val="00086C4E"/>
    <w:rsid w:val="00086D6F"/>
    <w:rsid w:val="000871E3"/>
    <w:rsid w:val="0008729A"/>
    <w:rsid w:val="0008730A"/>
    <w:rsid w:val="000873C9"/>
    <w:rsid w:val="000873E6"/>
    <w:rsid w:val="00087611"/>
    <w:rsid w:val="00087A0B"/>
    <w:rsid w:val="00087A28"/>
    <w:rsid w:val="00087A75"/>
    <w:rsid w:val="00087C4A"/>
    <w:rsid w:val="00087CC8"/>
    <w:rsid w:val="00087F02"/>
    <w:rsid w:val="00087F29"/>
    <w:rsid w:val="00090365"/>
    <w:rsid w:val="000904FE"/>
    <w:rsid w:val="0009062B"/>
    <w:rsid w:val="000906DE"/>
    <w:rsid w:val="000906E4"/>
    <w:rsid w:val="00090BB0"/>
    <w:rsid w:val="00090C7C"/>
    <w:rsid w:val="00090F8D"/>
    <w:rsid w:val="0009103D"/>
    <w:rsid w:val="00091181"/>
    <w:rsid w:val="00091188"/>
    <w:rsid w:val="0009145A"/>
    <w:rsid w:val="0009159D"/>
    <w:rsid w:val="00091B29"/>
    <w:rsid w:val="00091D4F"/>
    <w:rsid w:val="000921C3"/>
    <w:rsid w:val="0009249E"/>
    <w:rsid w:val="000926D9"/>
    <w:rsid w:val="0009293E"/>
    <w:rsid w:val="00092B4C"/>
    <w:rsid w:val="00092BB0"/>
    <w:rsid w:val="00092D3D"/>
    <w:rsid w:val="00092E7E"/>
    <w:rsid w:val="000931B6"/>
    <w:rsid w:val="0009321D"/>
    <w:rsid w:val="0009332E"/>
    <w:rsid w:val="0009356D"/>
    <w:rsid w:val="000935AD"/>
    <w:rsid w:val="000937B4"/>
    <w:rsid w:val="0009389E"/>
    <w:rsid w:val="00093948"/>
    <w:rsid w:val="000939CE"/>
    <w:rsid w:val="00093DA7"/>
    <w:rsid w:val="00093F5A"/>
    <w:rsid w:val="00094111"/>
    <w:rsid w:val="0009442C"/>
    <w:rsid w:val="00094523"/>
    <w:rsid w:val="00094613"/>
    <w:rsid w:val="000947E7"/>
    <w:rsid w:val="00094AD0"/>
    <w:rsid w:val="00094BD2"/>
    <w:rsid w:val="00094EA2"/>
    <w:rsid w:val="000954F6"/>
    <w:rsid w:val="00095539"/>
    <w:rsid w:val="00095691"/>
    <w:rsid w:val="000957B5"/>
    <w:rsid w:val="000958E5"/>
    <w:rsid w:val="00095DBF"/>
    <w:rsid w:val="00096008"/>
    <w:rsid w:val="00096066"/>
    <w:rsid w:val="000961A9"/>
    <w:rsid w:val="00096375"/>
    <w:rsid w:val="00096676"/>
    <w:rsid w:val="000967EE"/>
    <w:rsid w:val="00096878"/>
    <w:rsid w:val="00096A25"/>
    <w:rsid w:val="00096B5C"/>
    <w:rsid w:val="00096C93"/>
    <w:rsid w:val="00096E0A"/>
    <w:rsid w:val="00096ECF"/>
    <w:rsid w:val="00096F81"/>
    <w:rsid w:val="00097185"/>
    <w:rsid w:val="0009721D"/>
    <w:rsid w:val="000973A2"/>
    <w:rsid w:val="0009747A"/>
    <w:rsid w:val="000979F2"/>
    <w:rsid w:val="00097A7F"/>
    <w:rsid w:val="000A0139"/>
    <w:rsid w:val="000A022F"/>
    <w:rsid w:val="000A04F3"/>
    <w:rsid w:val="000A05D5"/>
    <w:rsid w:val="000A05ED"/>
    <w:rsid w:val="000A0697"/>
    <w:rsid w:val="000A06C3"/>
    <w:rsid w:val="000A074E"/>
    <w:rsid w:val="000A087C"/>
    <w:rsid w:val="000A093E"/>
    <w:rsid w:val="000A0A0A"/>
    <w:rsid w:val="000A0DD5"/>
    <w:rsid w:val="000A1070"/>
    <w:rsid w:val="000A1621"/>
    <w:rsid w:val="000A172B"/>
    <w:rsid w:val="000A1761"/>
    <w:rsid w:val="000A18B4"/>
    <w:rsid w:val="000A1A28"/>
    <w:rsid w:val="000A1B8D"/>
    <w:rsid w:val="000A1DF1"/>
    <w:rsid w:val="000A1F34"/>
    <w:rsid w:val="000A201B"/>
    <w:rsid w:val="000A20F6"/>
    <w:rsid w:val="000A2148"/>
    <w:rsid w:val="000A23A9"/>
    <w:rsid w:val="000A25B0"/>
    <w:rsid w:val="000A2915"/>
    <w:rsid w:val="000A29DB"/>
    <w:rsid w:val="000A2B01"/>
    <w:rsid w:val="000A2B52"/>
    <w:rsid w:val="000A2BDC"/>
    <w:rsid w:val="000A2BE8"/>
    <w:rsid w:val="000A2D0F"/>
    <w:rsid w:val="000A2E52"/>
    <w:rsid w:val="000A2EAF"/>
    <w:rsid w:val="000A30B0"/>
    <w:rsid w:val="000A31F7"/>
    <w:rsid w:val="000A32CF"/>
    <w:rsid w:val="000A33A2"/>
    <w:rsid w:val="000A3474"/>
    <w:rsid w:val="000A3671"/>
    <w:rsid w:val="000A36AC"/>
    <w:rsid w:val="000A376D"/>
    <w:rsid w:val="000A4160"/>
    <w:rsid w:val="000A41D5"/>
    <w:rsid w:val="000A446B"/>
    <w:rsid w:val="000A4A06"/>
    <w:rsid w:val="000A4B39"/>
    <w:rsid w:val="000A4C4E"/>
    <w:rsid w:val="000A4D9E"/>
    <w:rsid w:val="000A5142"/>
    <w:rsid w:val="000A5181"/>
    <w:rsid w:val="000A59BA"/>
    <w:rsid w:val="000A59BB"/>
    <w:rsid w:val="000A5AA3"/>
    <w:rsid w:val="000A5B85"/>
    <w:rsid w:val="000A5D5F"/>
    <w:rsid w:val="000A635C"/>
    <w:rsid w:val="000A64DE"/>
    <w:rsid w:val="000A651D"/>
    <w:rsid w:val="000A662D"/>
    <w:rsid w:val="000A665E"/>
    <w:rsid w:val="000A66F0"/>
    <w:rsid w:val="000A6AA4"/>
    <w:rsid w:val="000A6C5D"/>
    <w:rsid w:val="000A708A"/>
    <w:rsid w:val="000A72BF"/>
    <w:rsid w:val="000A7BD0"/>
    <w:rsid w:val="000A7D46"/>
    <w:rsid w:val="000A7FA3"/>
    <w:rsid w:val="000B0017"/>
    <w:rsid w:val="000B01A7"/>
    <w:rsid w:val="000B026A"/>
    <w:rsid w:val="000B04F8"/>
    <w:rsid w:val="000B06F3"/>
    <w:rsid w:val="000B0716"/>
    <w:rsid w:val="000B09A1"/>
    <w:rsid w:val="000B0A16"/>
    <w:rsid w:val="000B0AC3"/>
    <w:rsid w:val="000B0ADC"/>
    <w:rsid w:val="000B0C31"/>
    <w:rsid w:val="000B0E5D"/>
    <w:rsid w:val="000B0F54"/>
    <w:rsid w:val="000B127A"/>
    <w:rsid w:val="000B13A6"/>
    <w:rsid w:val="000B1517"/>
    <w:rsid w:val="000B1629"/>
    <w:rsid w:val="000B187A"/>
    <w:rsid w:val="000B1B0C"/>
    <w:rsid w:val="000B1BA8"/>
    <w:rsid w:val="000B1CD3"/>
    <w:rsid w:val="000B1D7E"/>
    <w:rsid w:val="000B1DB8"/>
    <w:rsid w:val="000B2225"/>
    <w:rsid w:val="000B24D8"/>
    <w:rsid w:val="000B2676"/>
    <w:rsid w:val="000B2727"/>
    <w:rsid w:val="000B280A"/>
    <w:rsid w:val="000B29D6"/>
    <w:rsid w:val="000B2B5F"/>
    <w:rsid w:val="000B2C57"/>
    <w:rsid w:val="000B2DC4"/>
    <w:rsid w:val="000B2E1C"/>
    <w:rsid w:val="000B3128"/>
    <w:rsid w:val="000B316B"/>
    <w:rsid w:val="000B339A"/>
    <w:rsid w:val="000B3985"/>
    <w:rsid w:val="000B3BA5"/>
    <w:rsid w:val="000B4488"/>
    <w:rsid w:val="000B44D0"/>
    <w:rsid w:val="000B45CD"/>
    <w:rsid w:val="000B47C9"/>
    <w:rsid w:val="000B4AA7"/>
    <w:rsid w:val="000B4CE5"/>
    <w:rsid w:val="000B4E10"/>
    <w:rsid w:val="000B577C"/>
    <w:rsid w:val="000B5A5B"/>
    <w:rsid w:val="000B5AB9"/>
    <w:rsid w:val="000B5B03"/>
    <w:rsid w:val="000B60DE"/>
    <w:rsid w:val="000B65CE"/>
    <w:rsid w:val="000B68D4"/>
    <w:rsid w:val="000B6962"/>
    <w:rsid w:val="000B6DF8"/>
    <w:rsid w:val="000B6E50"/>
    <w:rsid w:val="000B7095"/>
    <w:rsid w:val="000B71EB"/>
    <w:rsid w:val="000B75EA"/>
    <w:rsid w:val="000B786A"/>
    <w:rsid w:val="000B7D97"/>
    <w:rsid w:val="000B7FCB"/>
    <w:rsid w:val="000C00A4"/>
    <w:rsid w:val="000C0155"/>
    <w:rsid w:val="000C057B"/>
    <w:rsid w:val="000C060A"/>
    <w:rsid w:val="000C07E0"/>
    <w:rsid w:val="000C0D7A"/>
    <w:rsid w:val="000C0F52"/>
    <w:rsid w:val="000C14A5"/>
    <w:rsid w:val="000C1585"/>
    <w:rsid w:val="000C1746"/>
    <w:rsid w:val="000C1ADA"/>
    <w:rsid w:val="000C1B48"/>
    <w:rsid w:val="000C1CBA"/>
    <w:rsid w:val="000C1D67"/>
    <w:rsid w:val="000C1F5C"/>
    <w:rsid w:val="000C1F86"/>
    <w:rsid w:val="000C20F0"/>
    <w:rsid w:val="000C2359"/>
    <w:rsid w:val="000C24A4"/>
    <w:rsid w:val="000C24F1"/>
    <w:rsid w:val="000C2916"/>
    <w:rsid w:val="000C2A78"/>
    <w:rsid w:val="000C2B43"/>
    <w:rsid w:val="000C2E24"/>
    <w:rsid w:val="000C30A6"/>
    <w:rsid w:val="000C330A"/>
    <w:rsid w:val="000C332E"/>
    <w:rsid w:val="000C341D"/>
    <w:rsid w:val="000C34A9"/>
    <w:rsid w:val="000C3994"/>
    <w:rsid w:val="000C3A43"/>
    <w:rsid w:val="000C3E11"/>
    <w:rsid w:val="000C3EB3"/>
    <w:rsid w:val="000C43FA"/>
    <w:rsid w:val="000C45AD"/>
    <w:rsid w:val="000C4A6E"/>
    <w:rsid w:val="000C4AC6"/>
    <w:rsid w:val="000C4BC7"/>
    <w:rsid w:val="000C4EF4"/>
    <w:rsid w:val="000C5649"/>
    <w:rsid w:val="000C5A4F"/>
    <w:rsid w:val="000C5AF7"/>
    <w:rsid w:val="000C5B7D"/>
    <w:rsid w:val="000C5B88"/>
    <w:rsid w:val="000C614F"/>
    <w:rsid w:val="000C640C"/>
    <w:rsid w:val="000C675D"/>
    <w:rsid w:val="000C6C42"/>
    <w:rsid w:val="000C6C52"/>
    <w:rsid w:val="000C6D2C"/>
    <w:rsid w:val="000C6F88"/>
    <w:rsid w:val="000C7349"/>
    <w:rsid w:val="000C73A3"/>
    <w:rsid w:val="000C73E4"/>
    <w:rsid w:val="000C744D"/>
    <w:rsid w:val="000C74DB"/>
    <w:rsid w:val="000C7546"/>
    <w:rsid w:val="000C75E1"/>
    <w:rsid w:val="000C76E8"/>
    <w:rsid w:val="000C7C15"/>
    <w:rsid w:val="000D01C3"/>
    <w:rsid w:val="000D0219"/>
    <w:rsid w:val="000D026B"/>
    <w:rsid w:val="000D0D11"/>
    <w:rsid w:val="000D10C3"/>
    <w:rsid w:val="000D1158"/>
    <w:rsid w:val="000D186B"/>
    <w:rsid w:val="000D196B"/>
    <w:rsid w:val="000D1C06"/>
    <w:rsid w:val="000D1DC9"/>
    <w:rsid w:val="000D1EBD"/>
    <w:rsid w:val="000D212C"/>
    <w:rsid w:val="000D215C"/>
    <w:rsid w:val="000D23DB"/>
    <w:rsid w:val="000D2785"/>
    <w:rsid w:val="000D2802"/>
    <w:rsid w:val="000D29CB"/>
    <w:rsid w:val="000D2A25"/>
    <w:rsid w:val="000D2BC5"/>
    <w:rsid w:val="000D2C63"/>
    <w:rsid w:val="000D2CB6"/>
    <w:rsid w:val="000D2DEB"/>
    <w:rsid w:val="000D3216"/>
    <w:rsid w:val="000D3639"/>
    <w:rsid w:val="000D3C21"/>
    <w:rsid w:val="000D3C7F"/>
    <w:rsid w:val="000D4103"/>
    <w:rsid w:val="000D42D4"/>
    <w:rsid w:val="000D4EB8"/>
    <w:rsid w:val="000D4F64"/>
    <w:rsid w:val="000D50B0"/>
    <w:rsid w:val="000D556B"/>
    <w:rsid w:val="000D57A8"/>
    <w:rsid w:val="000D5A93"/>
    <w:rsid w:val="000D5D0B"/>
    <w:rsid w:val="000D5E65"/>
    <w:rsid w:val="000D5F3A"/>
    <w:rsid w:val="000D610D"/>
    <w:rsid w:val="000D617F"/>
    <w:rsid w:val="000D630B"/>
    <w:rsid w:val="000D634F"/>
    <w:rsid w:val="000D6485"/>
    <w:rsid w:val="000D65A2"/>
    <w:rsid w:val="000D65BC"/>
    <w:rsid w:val="000D6883"/>
    <w:rsid w:val="000D6B3E"/>
    <w:rsid w:val="000D70E3"/>
    <w:rsid w:val="000D732A"/>
    <w:rsid w:val="000D74CF"/>
    <w:rsid w:val="000D74FA"/>
    <w:rsid w:val="000D76D4"/>
    <w:rsid w:val="000D78A8"/>
    <w:rsid w:val="000D793E"/>
    <w:rsid w:val="000D7965"/>
    <w:rsid w:val="000D7A33"/>
    <w:rsid w:val="000D7CD0"/>
    <w:rsid w:val="000D7E1D"/>
    <w:rsid w:val="000E010C"/>
    <w:rsid w:val="000E01C2"/>
    <w:rsid w:val="000E02A9"/>
    <w:rsid w:val="000E04B5"/>
    <w:rsid w:val="000E07FD"/>
    <w:rsid w:val="000E0894"/>
    <w:rsid w:val="000E0985"/>
    <w:rsid w:val="000E09F4"/>
    <w:rsid w:val="000E0B35"/>
    <w:rsid w:val="000E0C57"/>
    <w:rsid w:val="000E0D53"/>
    <w:rsid w:val="000E0F73"/>
    <w:rsid w:val="000E0FE4"/>
    <w:rsid w:val="000E1044"/>
    <w:rsid w:val="000E13DF"/>
    <w:rsid w:val="000E13E8"/>
    <w:rsid w:val="000E1668"/>
    <w:rsid w:val="000E197F"/>
    <w:rsid w:val="000E1AF0"/>
    <w:rsid w:val="000E1B31"/>
    <w:rsid w:val="000E1FD4"/>
    <w:rsid w:val="000E2021"/>
    <w:rsid w:val="000E2075"/>
    <w:rsid w:val="000E22A1"/>
    <w:rsid w:val="000E2306"/>
    <w:rsid w:val="000E2728"/>
    <w:rsid w:val="000E27C3"/>
    <w:rsid w:val="000E2A96"/>
    <w:rsid w:val="000E2B19"/>
    <w:rsid w:val="000E2BF9"/>
    <w:rsid w:val="000E2C7F"/>
    <w:rsid w:val="000E2DEB"/>
    <w:rsid w:val="000E2EB1"/>
    <w:rsid w:val="000E3065"/>
    <w:rsid w:val="000E3272"/>
    <w:rsid w:val="000E3401"/>
    <w:rsid w:val="000E34EE"/>
    <w:rsid w:val="000E354D"/>
    <w:rsid w:val="000E376C"/>
    <w:rsid w:val="000E3C87"/>
    <w:rsid w:val="000E3D5D"/>
    <w:rsid w:val="000E3FBD"/>
    <w:rsid w:val="000E4069"/>
    <w:rsid w:val="000E4171"/>
    <w:rsid w:val="000E4286"/>
    <w:rsid w:val="000E4379"/>
    <w:rsid w:val="000E44D3"/>
    <w:rsid w:val="000E4761"/>
    <w:rsid w:val="000E48B3"/>
    <w:rsid w:val="000E493A"/>
    <w:rsid w:val="000E4A2F"/>
    <w:rsid w:val="000E4A37"/>
    <w:rsid w:val="000E4B3C"/>
    <w:rsid w:val="000E4C8E"/>
    <w:rsid w:val="000E4CB4"/>
    <w:rsid w:val="000E5048"/>
    <w:rsid w:val="000E5147"/>
    <w:rsid w:val="000E5243"/>
    <w:rsid w:val="000E5261"/>
    <w:rsid w:val="000E5484"/>
    <w:rsid w:val="000E54C5"/>
    <w:rsid w:val="000E54F9"/>
    <w:rsid w:val="000E5580"/>
    <w:rsid w:val="000E5761"/>
    <w:rsid w:val="000E57A7"/>
    <w:rsid w:val="000E5A13"/>
    <w:rsid w:val="000E5B0E"/>
    <w:rsid w:val="000E5EE8"/>
    <w:rsid w:val="000E5F3A"/>
    <w:rsid w:val="000E5FBA"/>
    <w:rsid w:val="000E6016"/>
    <w:rsid w:val="000E6194"/>
    <w:rsid w:val="000E61BE"/>
    <w:rsid w:val="000E641F"/>
    <w:rsid w:val="000E67C5"/>
    <w:rsid w:val="000E70A0"/>
    <w:rsid w:val="000E718A"/>
    <w:rsid w:val="000E722E"/>
    <w:rsid w:val="000E7475"/>
    <w:rsid w:val="000E7540"/>
    <w:rsid w:val="000E76A0"/>
    <w:rsid w:val="000E783F"/>
    <w:rsid w:val="000E7983"/>
    <w:rsid w:val="000E7D3D"/>
    <w:rsid w:val="000E7E5A"/>
    <w:rsid w:val="000F0059"/>
    <w:rsid w:val="000F01A0"/>
    <w:rsid w:val="000F02D8"/>
    <w:rsid w:val="000F05B3"/>
    <w:rsid w:val="000F068A"/>
    <w:rsid w:val="000F0C35"/>
    <w:rsid w:val="000F0C93"/>
    <w:rsid w:val="000F0C94"/>
    <w:rsid w:val="000F1652"/>
    <w:rsid w:val="000F1786"/>
    <w:rsid w:val="000F1793"/>
    <w:rsid w:val="000F17BA"/>
    <w:rsid w:val="000F1908"/>
    <w:rsid w:val="000F1A45"/>
    <w:rsid w:val="000F1C34"/>
    <w:rsid w:val="000F1CE4"/>
    <w:rsid w:val="000F2155"/>
    <w:rsid w:val="000F21B9"/>
    <w:rsid w:val="000F24A5"/>
    <w:rsid w:val="000F28B4"/>
    <w:rsid w:val="000F2F8E"/>
    <w:rsid w:val="000F2F9A"/>
    <w:rsid w:val="000F325A"/>
    <w:rsid w:val="000F3629"/>
    <w:rsid w:val="000F3714"/>
    <w:rsid w:val="000F3D43"/>
    <w:rsid w:val="000F3FEC"/>
    <w:rsid w:val="000F436F"/>
    <w:rsid w:val="000F4637"/>
    <w:rsid w:val="000F501F"/>
    <w:rsid w:val="000F5070"/>
    <w:rsid w:val="000F516D"/>
    <w:rsid w:val="000F5175"/>
    <w:rsid w:val="000F55FE"/>
    <w:rsid w:val="000F56F3"/>
    <w:rsid w:val="000F59B6"/>
    <w:rsid w:val="000F5A0D"/>
    <w:rsid w:val="000F5E96"/>
    <w:rsid w:val="000F611D"/>
    <w:rsid w:val="000F61D3"/>
    <w:rsid w:val="000F6236"/>
    <w:rsid w:val="000F6567"/>
    <w:rsid w:val="000F65C0"/>
    <w:rsid w:val="000F6780"/>
    <w:rsid w:val="000F6B44"/>
    <w:rsid w:val="000F6B9C"/>
    <w:rsid w:val="000F6BAD"/>
    <w:rsid w:val="000F6F9D"/>
    <w:rsid w:val="000F71A4"/>
    <w:rsid w:val="000F72CC"/>
    <w:rsid w:val="000F743C"/>
    <w:rsid w:val="000F746E"/>
    <w:rsid w:val="000F77D9"/>
    <w:rsid w:val="000F7B8D"/>
    <w:rsid w:val="0010018A"/>
    <w:rsid w:val="001003C0"/>
    <w:rsid w:val="0010050D"/>
    <w:rsid w:val="00100727"/>
    <w:rsid w:val="00100799"/>
    <w:rsid w:val="001009A2"/>
    <w:rsid w:val="00100B28"/>
    <w:rsid w:val="00100BC3"/>
    <w:rsid w:val="00100EE8"/>
    <w:rsid w:val="00100F88"/>
    <w:rsid w:val="001010CD"/>
    <w:rsid w:val="001012CB"/>
    <w:rsid w:val="001016C2"/>
    <w:rsid w:val="001017C5"/>
    <w:rsid w:val="00101ACC"/>
    <w:rsid w:val="00101B4E"/>
    <w:rsid w:val="00101C21"/>
    <w:rsid w:val="00101D06"/>
    <w:rsid w:val="00101D6B"/>
    <w:rsid w:val="001022CF"/>
    <w:rsid w:val="001029ED"/>
    <w:rsid w:val="00102E12"/>
    <w:rsid w:val="00102E1B"/>
    <w:rsid w:val="00102E2F"/>
    <w:rsid w:val="00102FC4"/>
    <w:rsid w:val="00103006"/>
    <w:rsid w:val="0010308F"/>
    <w:rsid w:val="00103389"/>
    <w:rsid w:val="001033D4"/>
    <w:rsid w:val="001037D5"/>
    <w:rsid w:val="001038B8"/>
    <w:rsid w:val="00103B5D"/>
    <w:rsid w:val="00103F1B"/>
    <w:rsid w:val="0010408C"/>
    <w:rsid w:val="00104352"/>
    <w:rsid w:val="0010482D"/>
    <w:rsid w:val="00104A2A"/>
    <w:rsid w:val="00104BDC"/>
    <w:rsid w:val="00104C98"/>
    <w:rsid w:val="00104C9B"/>
    <w:rsid w:val="00104D33"/>
    <w:rsid w:val="00104DD8"/>
    <w:rsid w:val="00104E7C"/>
    <w:rsid w:val="001050DF"/>
    <w:rsid w:val="001050FC"/>
    <w:rsid w:val="001051EE"/>
    <w:rsid w:val="001052D1"/>
    <w:rsid w:val="0010530C"/>
    <w:rsid w:val="001053F3"/>
    <w:rsid w:val="001055D0"/>
    <w:rsid w:val="001055EB"/>
    <w:rsid w:val="00105781"/>
    <w:rsid w:val="001059B9"/>
    <w:rsid w:val="00105B50"/>
    <w:rsid w:val="00105C43"/>
    <w:rsid w:val="00105E72"/>
    <w:rsid w:val="00105EE4"/>
    <w:rsid w:val="001060F4"/>
    <w:rsid w:val="0010623D"/>
    <w:rsid w:val="00106407"/>
    <w:rsid w:val="0010651C"/>
    <w:rsid w:val="00106829"/>
    <w:rsid w:val="0010696D"/>
    <w:rsid w:val="00106A1B"/>
    <w:rsid w:val="00106CC4"/>
    <w:rsid w:val="00106D9A"/>
    <w:rsid w:val="00106E31"/>
    <w:rsid w:val="001070E9"/>
    <w:rsid w:val="001072BB"/>
    <w:rsid w:val="00107337"/>
    <w:rsid w:val="00107520"/>
    <w:rsid w:val="001076AD"/>
    <w:rsid w:val="0010772C"/>
    <w:rsid w:val="00107860"/>
    <w:rsid w:val="0010791F"/>
    <w:rsid w:val="00107B97"/>
    <w:rsid w:val="00107D3F"/>
    <w:rsid w:val="00107F31"/>
    <w:rsid w:val="001104F2"/>
    <w:rsid w:val="001106E1"/>
    <w:rsid w:val="0011074C"/>
    <w:rsid w:val="00110760"/>
    <w:rsid w:val="00110C7F"/>
    <w:rsid w:val="00110E9E"/>
    <w:rsid w:val="00110FC0"/>
    <w:rsid w:val="0011128D"/>
    <w:rsid w:val="0011196B"/>
    <w:rsid w:val="001119DF"/>
    <w:rsid w:val="00111B71"/>
    <w:rsid w:val="00111BC2"/>
    <w:rsid w:val="00111EA1"/>
    <w:rsid w:val="00111EF3"/>
    <w:rsid w:val="00111F03"/>
    <w:rsid w:val="0011209C"/>
    <w:rsid w:val="001123CF"/>
    <w:rsid w:val="00112574"/>
    <w:rsid w:val="00112676"/>
    <w:rsid w:val="001126E2"/>
    <w:rsid w:val="0011277F"/>
    <w:rsid w:val="001127AF"/>
    <w:rsid w:val="00112CAC"/>
    <w:rsid w:val="00112E29"/>
    <w:rsid w:val="00112F58"/>
    <w:rsid w:val="00112FB5"/>
    <w:rsid w:val="00112FBC"/>
    <w:rsid w:val="00113013"/>
    <w:rsid w:val="001130C9"/>
    <w:rsid w:val="0011331C"/>
    <w:rsid w:val="00113574"/>
    <w:rsid w:val="001135C3"/>
    <w:rsid w:val="0011375B"/>
    <w:rsid w:val="00113796"/>
    <w:rsid w:val="00113954"/>
    <w:rsid w:val="001139B5"/>
    <w:rsid w:val="00113E1C"/>
    <w:rsid w:val="00114134"/>
    <w:rsid w:val="00114205"/>
    <w:rsid w:val="00114433"/>
    <w:rsid w:val="0011454B"/>
    <w:rsid w:val="00114A1A"/>
    <w:rsid w:val="00114CB5"/>
    <w:rsid w:val="00114CBA"/>
    <w:rsid w:val="00114D3B"/>
    <w:rsid w:val="00114DB1"/>
    <w:rsid w:val="00114E60"/>
    <w:rsid w:val="00114F19"/>
    <w:rsid w:val="0011519B"/>
    <w:rsid w:val="001153D0"/>
    <w:rsid w:val="001155E9"/>
    <w:rsid w:val="00115984"/>
    <w:rsid w:val="0011638D"/>
    <w:rsid w:val="00116942"/>
    <w:rsid w:val="00116DC8"/>
    <w:rsid w:val="00116DCC"/>
    <w:rsid w:val="001171C4"/>
    <w:rsid w:val="00117223"/>
    <w:rsid w:val="00117430"/>
    <w:rsid w:val="00117871"/>
    <w:rsid w:val="00117AB4"/>
    <w:rsid w:val="00117BA2"/>
    <w:rsid w:val="00117F69"/>
    <w:rsid w:val="0012016C"/>
    <w:rsid w:val="001201EB"/>
    <w:rsid w:val="001202CF"/>
    <w:rsid w:val="001207E9"/>
    <w:rsid w:val="0012085F"/>
    <w:rsid w:val="00120A39"/>
    <w:rsid w:val="00120A68"/>
    <w:rsid w:val="00120CA3"/>
    <w:rsid w:val="00120D12"/>
    <w:rsid w:val="00120D3C"/>
    <w:rsid w:val="00120D43"/>
    <w:rsid w:val="00120D95"/>
    <w:rsid w:val="00120E44"/>
    <w:rsid w:val="00120ED7"/>
    <w:rsid w:val="00120F1E"/>
    <w:rsid w:val="0012106E"/>
    <w:rsid w:val="00121232"/>
    <w:rsid w:val="0012143F"/>
    <w:rsid w:val="00121545"/>
    <w:rsid w:val="001217D8"/>
    <w:rsid w:val="0012180F"/>
    <w:rsid w:val="00121AD1"/>
    <w:rsid w:val="00121B23"/>
    <w:rsid w:val="00121D27"/>
    <w:rsid w:val="001224FE"/>
    <w:rsid w:val="00122617"/>
    <w:rsid w:val="001229DE"/>
    <w:rsid w:val="00122AAD"/>
    <w:rsid w:val="00122B91"/>
    <w:rsid w:val="00122C7A"/>
    <w:rsid w:val="00122F04"/>
    <w:rsid w:val="00122F63"/>
    <w:rsid w:val="00123077"/>
    <w:rsid w:val="00123115"/>
    <w:rsid w:val="001232AB"/>
    <w:rsid w:val="001233B4"/>
    <w:rsid w:val="001234D0"/>
    <w:rsid w:val="00123991"/>
    <w:rsid w:val="00123C5A"/>
    <w:rsid w:val="00123CC9"/>
    <w:rsid w:val="0012457F"/>
    <w:rsid w:val="001245AF"/>
    <w:rsid w:val="0012465C"/>
    <w:rsid w:val="001247BA"/>
    <w:rsid w:val="00124AAA"/>
    <w:rsid w:val="00124B28"/>
    <w:rsid w:val="00124D5F"/>
    <w:rsid w:val="00124DC6"/>
    <w:rsid w:val="00124E22"/>
    <w:rsid w:val="001250EB"/>
    <w:rsid w:val="0012587E"/>
    <w:rsid w:val="00125910"/>
    <w:rsid w:val="00125A4A"/>
    <w:rsid w:val="00125AEF"/>
    <w:rsid w:val="00126009"/>
    <w:rsid w:val="00126090"/>
    <w:rsid w:val="001261EE"/>
    <w:rsid w:val="00126578"/>
    <w:rsid w:val="00126869"/>
    <w:rsid w:val="00126952"/>
    <w:rsid w:val="00126C58"/>
    <w:rsid w:val="0012703E"/>
    <w:rsid w:val="001270B4"/>
    <w:rsid w:val="0012720B"/>
    <w:rsid w:val="0012726A"/>
    <w:rsid w:val="0012730A"/>
    <w:rsid w:val="00127433"/>
    <w:rsid w:val="0012745B"/>
    <w:rsid w:val="0012757C"/>
    <w:rsid w:val="001276AA"/>
    <w:rsid w:val="00127A0B"/>
    <w:rsid w:val="00127C09"/>
    <w:rsid w:val="00127C97"/>
    <w:rsid w:val="00127DE7"/>
    <w:rsid w:val="001300F2"/>
    <w:rsid w:val="001301FE"/>
    <w:rsid w:val="0013024B"/>
    <w:rsid w:val="001302A6"/>
    <w:rsid w:val="001302F4"/>
    <w:rsid w:val="00130303"/>
    <w:rsid w:val="00130350"/>
    <w:rsid w:val="00130655"/>
    <w:rsid w:val="00130880"/>
    <w:rsid w:val="001309D2"/>
    <w:rsid w:val="00130BD6"/>
    <w:rsid w:val="00131542"/>
    <w:rsid w:val="001318F9"/>
    <w:rsid w:val="00131A9D"/>
    <w:rsid w:val="00131B66"/>
    <w:rsid w:val="00131D6F"/>
    <w:rsid w:val="00131D74"/>
    <w:rsid w:val="001321A3"/>
    <w:rsid w:val="0013224C"/>
    <w:rsid w:val="001325C3"/>
    <w:rsid w:val="001326F5"/>
    <w:rsid w:val="00132BDC"/>
    <w:rsid w:val="00132E5B"/>
    <w:rsid w:val="00133B87"/>
    <w:rsid w:val="00133D3D"/>
    <w:rsid w:val="00133F6D"/>
    <w:rsid w:val="00134184"/>
    <w:rsid w:val="00134387"/>
    <w:rsid w:val="001344E2"/>
    <w:rsid w:val="001347AD"/>
    <w:rsid w:val="00134861"/>
    <w:rsid w:val="0013495E"/>
    <w:rsid w:val="00134A2D"/>
    <w:rsid w:val="00134B1E"/>
    <w:rsid w:val="00134D53"/>
    <w:rsid w:val="00134D98"/>
    <w:rsid w:val="00134E99"/>
    <w:rsid w:val="00134FB5"/>
    <w:rsid w:val="0013566C"/>
    <w:rsid w:val="0013581D"/>
    <w:rsid w:val="001359FD"/>
    <w:rsid w:val="00135BA5"/>
    <w:rsid w:val="00135CD2"/>
    <w:rsid w:val="00136054"/>
    <w:rsid w:val="0013645E"/>
    <w:rsid w:val="001364D9"/>
    <w:rsid w:val="001365CA"/>
    <w:rsid w:val="001367F1"/>
    <w:rsid w:val="00136955"/>
    <w:rsid w:val="00136A7D"/>
    <w:rsid w:val="00136B0F"/>
    <w:rsid w:val="0013711C"/>
    <w:rsid w:val="001372B7"/>
    <w:rsid w:val="0013794A"/>
    <w:rsid w:val="00137BD6"/>
    <w:rsid w:val="00137EA0"/>
    <w:rsid w:val="0014004C"/>
    <w:rsid w:val="001400D5"/>
    <w:rsid w:val="0014057B"/>
    <w:rsid w:val="001405DC"/>
    <w:rsid w:val="00140872"/>
    <w:rsid w:val="00140AB5"/>
    <w:rsid w:val="00141001"/>
    <w:rsid w:val="0014126C"/>
    <w:rsid w:val="001413D5"/>
    <w:rsid w:val="00141478"/>
    <w:rsid w:val="00141584"/>
    <w:rsid w:val="00141662"/>
    <w:rsid w:val="001417EC"/>
    <w:rsid w:val="00141B53"/>
    <w:rsid w:val="00141BFF"/>
    <w:rsid w:val="00141E7C"/>
    <w:rsid w:val="001421E2"/>
    <w:rsid w:val="001424EF"/>
    <w:rsid w:val="00142557"/>
    <w:rsid w:val="001425FC"/>
    <w:rsid w:val="00142C4E"/>
    <w:rsid w:val="0014317E"/>
    <w:rsid w:val="001431F1"/>
    <w:rsid w:val="00143C3F"/>
    <w:rsid w:val="00143C5D"/>
    <w:rsid w:val="001440C8"/>
    <w:rsid w:val="00144119"/>
    <w:rsid w:val="00144505"/>
    <w:rsid w:val="00144561"/>
    <w:rsid w:val="00144700"/>
    <w:rsid w:val="0014480B"/>
    <w:rsid w:val="0014498B"/>
    <w:rsid w:val="00144E8D"/>
    <w:rsid w:val="00145015"/>
    <w:rsid w:val="00145359"/>
    <w:rsid w:val="001454BA"/>
    <w:rsid w:val="0014589C"/>
    <w:rsid w:val="001459FB"/>
    <w:rsid w:val="00145F0B"/>
    <w:rsid w:val="00146300"/>
    <w:rsid w:val="0014663A"/>
    <w:rsid w:val="0014689A"/>
    <w:rsid w:val="00146C61"/>
    <w:rsid w:val="00146CA8"/>
    <w:rsid w:val="00146D71"/>
    <w:rsid w:val="00146E6A"/>
    <w:rsid w:val="0014710D"/>
    <w:rsid w:val="00147536"/>
    <w:rsid w:val="00147A01"/>
    <w:rsid w:val="00147B44"/>
    <w:rsid w:val="00147BD8"/>
    <w:rsid w:val="00147D50"/>
    <w:rsid w:val="0015023B"/>
    <w:rsid w:val="0015032B"/>
    <w:rsid w:val="0015045C"/>
    <w:rsid w:val="00150517"/>
    <w:rsid w:val="0015054E"/>
    <w:rsid w:val="00150814"/>
    <w:rsid w:val="00150C6A"/>
    <w:rsid w:val="00151107"/>
    <w:rsid w:val="0015121F"/>
    <w:rsid w:val="001512C0"/>
    <w:rsid w:val="00151536"/>
    <w:rsid w:val="00151559"/>
    <w:rsid w:val="00151873"/>
    <w:rsid w:val="00151A6D"/>
    <w:rsid w:val="00151ACB"/>
    <w:rsid w:val="00151DD1"/>
    <w:rsid w:val="001522C7"/>
    <w:rsid w:val="00152388"/>
    <w:rsid w:val="00152542"/>
    <w:rsid w:val="001529DE"/>
    <w:rsid w:val="00152E2F"/>
    <w:rsid w:val="00152EAF"/>
    <w:rsid w:val="00152F79"/>
    <w:rsid w:val="00153004"/>
    <w:rsid w:val="001531B9"/>
    <w:rsid w:val="0015346A"/>
    <w:rsid w:val="00153472"/>
    <w:rsid w:val="00153749"/>
    <w:rsid w:val="00153AFE"/>
    <w:rsid w:val="00153F7B"/>
    <w:rsid w:val="00153FDC"/>
    <w:rsid w:val="00153FF7"/>
    <w:rsid w:val="00154276"/>
    <w:rsid w:val="00154285"/>
    <w:rsid w:val="0015457D"/>
    <w:rsid w:val="001546DE"/>
    <w:rsid w:val="0015488E"/>
    <w:rsid w:val="001548E8"/>
    <w:rsid w:val="0015492C"/>
    <w:rsid w:val="00154ED5"/>
    <w:rsid w:val="00154F10"/>
    <w:rsid w:val="00154F46"/>
    <w:rsid w:val="00154F5A"/>
    <w:rsid w:val="00155041"/>
    <w:rsid w:val="001551D8"/>
    <w:rsid w:val="00155470"/>
    <w:rsid w:val="00155718"/>
    <w:rsid w:val="00155974"/>
    <w:rsid w:val="00155D8C"/>
    <w:rsid w:val="00155ED7"/>
    <w:rsid w:val="00155EF5"/>
    <w:rsid w:val="00155F28"/>
    <w:rsid w:val="00155FE2"/>
    <w:rsid w:val="0015631A"/>
    <w:rsid w:val="001564DE"/>
    <w:rsid w:val="0015657A"/>
    <w:rsid w:val="001567C5"/>
    <w:rsid w:val="0015680C"/>
    <w:rsid w:val="001568AD"/>
    <w:rsid w:val="00157175"/>
    <w:rsid w:val="0015738A"/>
    <w:rsid w:val="00157478"/>
    <w:rsid w:val="001579AF"/>
    <w:rsid w:val="00157C43"/>
    <w:rsid w:val="00157CC4"/>
    <w:rsid w:val="001600E4"/>
    <w:rsid w:val="00160163"/>
    <w:rsid w:val="0016033D"/>
    <w:rsid w:val="00160401"/>
    <w:rsid w:val="00160421"/>
    <w:rsid w:val="00160571"/>
    <w:rsid w:val="00160840"/>
    <w:rsid w:val="001609AE"/>
    <w:rsid w:val="00160B89"/>
    <w:rsid w:val="00160C71"/>
    <w:rsid w:val="00161474"/>
    <w:rsid w:val="001614BB"/>
    <w:rsid w:val="00161651"/>
    <w:rsid w:val="00161665"/>
    <w:rsid w:val="001618E6"/>
    <w:rsid w:val="00161E1A"/>
    <w:rsid w:val="00161E81"/>
    <w:rsid w:val="0016213B"/>
    <w:rsid w:val="001623A3"/>
    <w:rsid w:val="0016243B"/>
    <w:rsid w:val="00162676"/>
    <w:rsid w:val="001628C0"/>
    <w:rsid w:val="001629DC"/>
    <w:rsid w:val="00162D25"/>
    <w:rsid w:val="00163109"/>
    <w:rsid w:val="001631AF"/>
    <w:rsid w:val="0016320D"/>
    <w:rsid w:val="001633CF"/>
    <w:rsid w:val="001637C5"/>
    <w:rsid w:val="001639A6"/>
    <w:rsid w:val="00163A04"/>
    <w:rsid w:val="00163CAB"/>
    <w:rsid w:val="00163E56"/>
    <w:rsid w:val="001643EE"/>
    <w:rsid w:val="001643FC"/>
    <w:rsid w:val="00164623"/>
    <w:rsid w:val="00164914"/>
    <w:rsid w:val="00164B82"/>
    <w:rsid w:val="00164CB9"/>
    <w:rsid w:val="00164D2D"/>
    <w:rsid w:val="00164D83"/>
    <w:rsid w:val="00164E97"/>
    <w:rsid w:val="00164ED3"/>
    <w:rsid w:val="0016501C"/>
    <w:rsid w:val="001651F7"/>
    <w:rsid w:val="001652E8"/>
    <w:rsid w:val="001652F4"/>
    <w:rsid w:val="001654F3"/>
    <w:rsid w:val="001655EB"/>
    <w:rsid w:val="0016581A"/>
    <w:rsid w:val="00165A4F"/>
    <w:rsid w:val="00165AD9"/>
    <w:rsid w:val="00165D22"/>
    <w:rsid w:val="00165D2F"/>
    <w:rsid w:val="001662D7"/>
    <w:rsid w:val="001663A2"/>
    <w:rsid w:val="0016663E"/>
    <w:rsid w:val="0016689A"/>
    <w:rsid w:val="00166B25"/>
    <w:rsid w:val="00166DE0"/>
    <w:rsid w:val="00166DFE"/>
    <w:rsid w:val="00166E44"/>
    <w:rsid w:val="00166F16"/>
    <w:rsid w:val="00167398"/>
    <w:rsid w:val="001677CA"/>
    <w:rsid w:val="00167849"/>
    <w:rsid w:val="00167905"/>
    <w:rsid w:val="00167A17"/>
    <w:rsid w:val="00167A94"/>
    <w:rsid w:val="00167DEA"/>
    <w:rsid w:val="00167E93"/>
    <w:rsid w:val="001700B6"/>
    <w:rsid w:val="00170216"/>
    <w:rsid w:val="0017029B"/>
    <w:rsid w:val="0017074A"/>
    <w:rsid w:val="00170856"/>
    <w:rsid w:val="0017091F"/>
    <w:rsid w:val="00170D43"/>
    <w:rsid w:val="00170DA9"/>
    <w:rsid w:val="0017109B"/>
    <w:rsid w:val="0017122D"/>
    <w:rsid w:val="00171314"/>
    <w:rsid w:val="001713E2"/>
    <w:rsid w:val="00171508"/>
    <w:rsid w:val="001716C3"/>
    <w:rsid w:val="00171C41"/>
    <w:rsid w:val="00171D4B"/>
    <w:rsid w:val="00172363"/>
    <w:rsid w:val="001723CE"/>
    <w:rsid w:val="00172AD0"/>
    <w:rsid w:val="00172B6F"/>
    <w:rsid w:val="00172B78"/>
    <w:rsid w:val="00172DA1"/>
    <w:rsid w:val="00173389"/>
    <w:rsid w:val="00173757"/>
    <w:rsid w:val="00173852"/>
    <w:rsid w:val="00173E5E"/>
    <w:rsid w:val="001740FF"/>
    <w:rsid w:val="00174156"/>
    <w:rsid w:val="00174214"/>
    <w:rsid w:val="001742B9"/>
    <w:rsid w:val="0017444E"/>
    <w:rsid w:val="001744D1"/>
    <w:rsid w:val="001749E8"/>
    <w:rsid w:val="00174A10"/>
    <w:rsid w:val="00174A29"/>
    <w:rsid w:val="00174E1F"/>
    <w:rsid w:val="00174E65"/>
    <w:rsid w:val="00174EEE"/>
    <w:rsid w:val="00174FC0"/>
    <w:rsid w:val="001751EE"/>
    <w:rsid w:val="001753D6"/>
    <w:rsid w:val="00175478"/>
    <w:rsid w:val="0017548F"/>
    <w:rsid w:val="001754D2"/>
    <w:rsid w:val="0017580B"/>
    <w:rsid w:val="001758DC"/>
    <w:rsid w:val="00175970"/>
    <w:rsid w:val="00175987"/>
    <w:rsid w:val="001759B1"/>
    <w:rsid w:val="00175AD1"/>
    <w:rsid w:val="0017608F"/>
    <w:rsid w:val="00176147"/>
    <w:rsid w:val="00176543"/>
    <w:rsid w:val="001765BE"/>
    <w:rsid w:val="001765D0"/>
    <w:rsid w:val="001767C3"/>
    <w:rsid w:val="00176852"/>
    <w:rsid w:val="00176871"/>
    <w:rsid w:val="00176A50"/>
    <w:rsid w:val="00176C28"/>
    <w:rsid w:val="00177296"/>
    <w:rsid w:val="00177655"/>
    <w:rsid w:val="0017768A"/>
    <w:rsid w:val="00177750"/>
    <w:rsid w:val="0017778E"/>
    <w:rsid w:val="0017779D"/>
    <w:rsid w:val="001778A2"/>
    <w:rsid w:val="00177AC9"/>
    <w:rsid w:val="00177DD4"/>
    <w:rsid w:val="00177FC8"/>
    <w:rsid w:val="00180082"/>
    <w:rsid w:val="0018019D"/>
    <w:rsid w:val="00180219"/>
    <w:rsid w:val="0018053B"/>
    <w:rsid w:val="00180665"/>
    <w:rsid w:val="0018076A"/>
    <w:rsid w:val="001808A4"/>
    <w:rsid w:val="001808FD"/>
    <w:rsid w:val="00180D95"/>
    <w:rsid w:val="00180DCC"/>
    <w:rsid w:val="00180ED8"/>
    <w:rsid w:val="001810BB"/>
    <w:rsid w:val="001810D5"/>
    <w:rsid w:val="0018154D"/>
    <w:rsid w:val="001816C0"/>
    <w:rsid w:val="00181B08"/>
    <w:rsid w:val="00181C2F"/>
    <w:rsid w:val="00181E30"/>
    <w:rsid w:val="00181F76"/>
    <w:rsid w:val="00182122"/>
    <w:rsid w:val="00182271"/>
    <w:rsid w:val="0018242D"/>
    <w:rsid w:val="0018245B"/>
    <w:rsid w:val="00182589"/>
    <w:rsid w:val="001827CE"/>
    <w:rsid w:val="001827E5"/>
    <w:rsid w:val="0018286F"/>
    <w:rsid w:val="001828CD"/>
    <w:rsid w:val="00182912"/>
    <w:rsid w:val="00182D7B"/>
    <w:rsid w:val="00182F07"/>
    <w:rsid w:val="00183222"/>
    <w:rsid w:val="00183396"/>
    <w:rsid w:val="0018349D"/>
    <w:rsid w:val="00183658"/>
    <w:rsid w:val="001838F4"/>
    <w:rsid w:val="00183A78"/>
    <w:rsid w:val="00183D3D"/>
    <w:rsid w:val="00183D91"/>
    <w:rsid w:val="001842C2"/>
    <w:rsid w:val="00184419"/>
    <w:rsid w:val="00184677"/>
    <w:rsid w:val="00184E34"/>
    <w:rsid w:val="00184EAE"/>
    <w:rsid w:val="00185115"/>
    <w:rsid w:val="00185151"/>
    <w:rsid w:val="001856E1"/>
    <w:rsid w:val="0018598D"/>
    <w:rsid w:val="001859C8"/>
    <w:rsid w:val="0018604E"/>
    <w:rsid w:val="001860DA"/>
    <w:rsid w:val="001860F4"/>
    <w:rsid w:val="00186138"/>
    <w:rsid w:val="00186154"/>
    <w:rsid w:val="00186230"/>
    <w:rsid w:val="00186419"/>
    <w:rsid w:val="001868FF"/>
    <w:rsid w:val="00186D71"/>
    <w:rsid w:val="00186E3D"/>
    <w:rsid w:val="00186ED2"/>
    <w:rsid w:val="00187362"/>
    <w:rsid w:val="001876CC"/>
    <w:rsid w:val="00187970"/>
    <w:rsid w:val="00187A24"/>
    <w:rsid w:val="00187CF1"/>
    <w:rsid w:val="00187D24"/>
    <w:rsid w:val="00187ED0"/>
    <w:rsid w:val="0019094E"/>
    <w:rsid w:val="00191245"/>
    <w:rsid w:val="0019146B"/>
    <w:rsid w:val="001915B4"/>
    <w:rsid w:val="0019164F"/>
    <w:rsid w:val="00191664"/>
    <w:rsid w:val="001916BA"/>
    <w:rsid w:val="001917F9"/>
    <w:rsid w:val="00191934"/>
    <w:rsid w:val="00191AC0"/>
    <w:rsid w:val="00191BCA"/>
    <w:rsid w:val="00191D07"/>
    <w:rsid w:val="00191F0A"/>
    <w:rsid w:val="0019230D"/>
    <w:rsid w:val="00192367"/>
    <w:rsid w:val="00192370"/>
    <w:rsid w:val="00192580"/>
    <w:rsid w:val="001926E3"/>
    <w:rsid w:val="001927CD"/>
    <w:rsid w:val="00192A1D"/>
    <w:rsid w:val="00192A8E"/>
    <w:rsid w:val="00192C80"/>
    <w:rsid w:val="00192D63"/>
    <w:rsid w:val="00192FE5"/>
    <w:rsid w:val="00193025"/>
    <w:rsid w:val="001932CD"/>
    <w:rsid w:val="0019350E"/>
    <w:rsid w:val="00193644"/>
    <w:rsid w:val="00193A6C"/>
    <w:rsid w:val="00193AB1"/>
    <w:rsid w:val="00193EF0"/>
    <w:rsid w:val="00194306"/>
    <w:rsid w:val="001943BE"/>
    <w:rsid w:val="001943DC"/>
    <w:rsid w:val="00194725"/>
    <w:rsid w:val="00194743"/>
    <w:rsid w:val="00194AB8"/>
    <w:rsid w:val="00194CDA"/>
    <w:rsid w:val="00194E22"/>
    <w:rsid w:val="001950BA"/>
    <w:rsid w:val="001950F6"/>
    <w:rsid w:val="0019523F"/>
    <w:rsid w:val="00195940"/>
    <w:rsid w:val="00195AEE"/>
    <w:rsid w:val="00195CC0"/>
    <w:rsid w:val="00195EB4"/>
    <w:rsid w:val="00196071"/>
    <w:rsid w:val="001961E3"/>
    <w:rsid w:val="00196384"/>
    <w:rsid w:val="00196432"/>
    <w:rsid w:val="00196479"/>
    <w:rsid w:val="00196A4F"/>
    <w:rsid w:val="0019701C"/>
    <w:rsid w:val="00197044"/>
    <w:rsid w:val="00197327"/>
    <w:rsid w:val="001974D0"/>
    <w:rsid w:val="00197806"/>
    <w:rsid w:val="00197919"/>
    <w:rsid w:val="00197BF3"/>
    <w:rsid w:val="00197D47"/>
    <w:rsid w:val="00197F43"/>
    <w:rsid w:val="001A0320"/>
    <w:rsid w:val="001A0BA8"/>
    <w:rsid w:val="001A0D07"/>
    <w:rsid w:val="001A10A8"/>
    <w:rsid w:val="001A1246"/>
    <w:rsid w:val="001A142C"/>
    <w:rsid w:val="001A1458"/>
    <w:rsid w:val="001A1520"/>
    <w:rsid w:val="001A1F8D"/>
    <w:rsid w:val="001A24CB"/>
    <w:rsid w:val="001A2786"/>
    <w:rsid w:val="001A27E6"/>
    <w:rsid w:val="001A2836"/>
    <w:rsid w:val="001A2897"/>
    <w:rsid w:val="001A2A2B"/>
    <w:rsid w:val="001A2BE7"/>
    <w:rsid w:val="001A32B0"/>
    <w:rsid w:val="001A32EB"/>
    <w:rsid w:val="001A3548"/>
    <w:rsid w:val="001A3776"/>
    <w:rsid w:val="001A381B"/>
    <w:rsid w:val="001A3D3E"/>
    <w:rsid w:val="001A42E9"/>
    <w:rsid w:val="001A43F0"/>
    <w:rsid w:val="001A44F5"/>
    <w:rsid w:val="001A4596"/>
    <w:rsid w:val="001A4BF7"/>
    <w:rsid w:val="001A4F53"/>
    <w:rsid w:val="001A5191"/>
    <w:rsid w:val="001A51E7"/>
    <w:rsid w:val="001A5313"/>
    <w:rsid w:val="001A53C3"/>
    <w:rsid w:val="001A565D"/>
    <w:rsid w:val="001A574F"/>
    <w:rsid w:val="001A5A58"/>
    <w:rsid w:val="001A622C"/>
    <w:rsid w:val="001A6507"/>
    <w:rsid w:val="001A67F0"/>
    <w:rsid w:val="001A6871"/>
    <w:rsid w:val="001A6990"/>
    <w:rsid w:val="001A69B7"/>
    <w:rsid w:val="001A6B0F"/>
    <w:rsid w:val="001A6C88"/>
    <w:rsid w:val="001A6E68"/>
    <w:rsid w:val="001A7062"/>
    <w:rsid w:val="001A708B"/>
    <w:rsid w:val="001A736C"/>
    <w:rsid w:val="001A7A2A"/>
    <w:rsid w:val="001A7AAB"/>
    <w:rsid w:val="001A7D82"/>
    <w:rsid w:val="001A7FE8"/>
    <w:rsid w:val="001B0129"/>
    <w:rsid w:val="001B054A"/>
    <w:rsid w:val="001B058D"/>
    <w:rsid w:val="001B0EE4"/>
    <w:rsid w:val="001B0EFC"/>
    <w:rsid w:val="001B0F8A"/>
    <w:rsid w:val="001B0FDF"/>
    <w:rsid w:val="001B1261"/>
    <w:rsid w:val="001B12D5"/>
    <w:rsid w:val="001B146F"/>
    <w:rsid w:val="001B16B3"/>
    <w:rsid w:val="001B1965"/>
    <w:rsid w:val="001B1CB9"/>
    <w:rsid w:val="001B1CF2"/>
    <w:rsid w:val="001B1F6E"/>
    <w:rsid w:val="001B202E"/>
    <w:rsid w:val="001B2149"/>
    <w:rsid w:val="001B21F0"/>
    <w:rsid w:val="001B2203"/>
    <w:rsid w:val="001B22B8"/>
    <w:rsid w:val="001B2393"/>
    <w:rsid w:val="001B23C2"/>
    <w:rsid w:val="001B258A"/>
    <w:rsid w:val="001B271D"/>
    <w:rsid w:val="001B2841"/>
    <w:rsid w:val="001B2992"/>
    <w:rsid w:val="001B2B98"/>
    <w:rsid w:val="001B2F3A"/>
    <w:rsid w:val="001B31F4"/>
    <w:rsid w:val="001B3320"/>
    <w:rsid w:val="001B36AB"/>
    <w:rsid w:val="001B39B8"/>
    <w:rsid w:val="001B3CF2"/>
    <w:rsid w:val="001B3FAA"/>
    <w:rsid w:val="001B3FC0"/>
    <w:rsid w:val="001B429D"/>
    <w:rsid w:val="001B44E4"/>
    <w:rsid w:val="001B457B"/>
    <w:rsid w:val="001B4A6C"/>
    <w:rsid w:val="001B4C01"/>
    <w:rsid w:val="001B4C5D"/>
    <w:rsid w:val="001B4C74"/>
    <w:rsid w:val="001B4D27"/>
    <w:rsid w:val="001B5059"/>
    <w:rsid w:val="001B50CE"/>
    <w:rsid w:val="001B5251"/>
    <w:rsid w:val="001B527E"/>
    <w:rsid w:val="001B53B1"/>
    <w:rsid w:val="001B54DC"/>
    <w:rsid w:val="001B58F5"/>
    <w:rsid w:val="001B596E"/>
    <w:rsid w:val="001B5CC0"/>
    <w:rsid w:val="001B60BD"/>
    <w:rsid w:val="001B6279"/>
    <w:rsid w:val="001B638A"/>
    <w:rsid w:val="001B6419"/>
    <w:rsid w:val="001B6699"/>
    <w:rsid w:val="001B66AA"/>
    <w:rsid w:val="001B682B"/>
    <w:rsid w:val="001B6C74"/>
    <w:rsid w:val="001B6CD3"/>
    <w:rsid w:val="001B6FCE"/>
    <w:rsid w:val="001B7086"/>
    <w:rsid w:val="001B717B"/>
    <w:rsid w:val="001B7581"/>
    <w:rsid w:val="001B7947"/>
    <w:rsid w:val="001B7BA3"/>
    <w:rsid w:val="001B7D47"/>
    <w:rsid w:val="001B7DB3"/>
    <w:rsid w:val="001B7DE7"/>
    <w:rsid w:val="001C05F4"/>
    <w:rsid w:val="001C0A0D"/>
    <w:rsid w:val="001C0A87"/>
    <w:rsid w:val="001C0BAD"/>
    <w:rsid w:val="001C0BFB"/>
    <w:rsid w:val="001C0C56"/>
    <w:rsid w:val="001C0E17"/>
    <w:rsid w:val="001C11E8"/>
    <w:rsid w:val="001C123D"/>
    <w:rsid w:val="001C1299"/>
    <w:rsid w:val="001C13DA"/>
    <w:rsid w:val="001C15BE"/>
    <w:rsid w:val="001C17B5"/>
    <w:rsid w:val="001C191F"/>
    <w:rsid w:val="001C19E7"/>
    <w:rsid w:val="001C1CA0"/>
    <w:rsid w:val="001C1DD4"/>
    <w:rsid w:val="001C2004"/>
    <w:rsid w:val="001C2193"/>
    <w:rsid w:val="001C228E"/>
    <w:rsid w:val="001C22BD"/>
    <w:rsid w:val="001C2E41"/>
    <w:rsid w:val="001C304F"/>
    <w:rsid w:val="001C3429"/>
    <w:rsid w:val="001C34AA"/>
    <w:rsid w:val="001C3734"/>
    <w:rsid w:val="001C3737"/>
    <w:rsid w:val="001C3BE4"/>
    <w:rsid w:val="001C3E2C"/>
    <w:rsid w:val="001C3E61"/>
    <w:rsid w:val="001C4003"/>
    <w:rsid w:val="001C411F"/>
    <w:rsid w:val="001C446B"/>
    <w:rsid w:val="001C462E"/>
    <w:rsid w:val="001C4631"/>
    <w:rsid w:val="001C4917"/>
    <w:rsid w:val="001C4F5B"/>
    <w:rsid w:val="001C5048"/>
    <w:rsid w:val="001C5148"/>
    <w:rsid w:val="001C5158"/>
    <w:rsid w:val="001C5384"/>
    <w:rsid w:val="001C5992"/>
    <w:rsid w:val="001C59F3"/>
    <w:rsid w:val="001C5F02"/>
    <w:rsid w:val="001C5F6C"/>
    <w:rsid w:val="001C60AA"/>
    <w:rsid w:val="001C60F1"/>
    <w:rsid w:val="001C61C5"/>
    <w:rsid w:val="001C62F9"/>
    <w:rsid w:val="001C7325"/>
    <w:rsid w:val="001C74FB"/>
    <w:rsid w:val="001C7775"/>
    <w:rsid w:val="001C7845"/>
    <w:rsid w:val="001C785B"/>
    <w:rsid w:val="001C79CB"/>
    <w:rsid w:val="001C7BF3"/>
    <w:rsid w:val="001C7D32"/>
    <w:rsid w:val="001D000D"/>
    <w:rsid w:val="001D0158"/>
    <w:rsid w:val="001D0581"/>
    <w:rsid w:val="001D06F8"/>
    <w:rsid w:val="001D07DB"/>
    <w:rsid w:val="001D0C78"/>
    <w:rsid w:val="001D0E13"/>
    <w:rsid w:val="001D0EA0"/>
    <w:rsid w:val="001D0EE9"/>
    <w:rsid w:val="001D119B"/>
    <w:rsid w:val="001D1277"/>
    <w:rsid w:val="001D176E"/>
    <w:rsid w:val="001D1BEF"/>
    <w:rsid w:val="001D1CBD"/>
    <w:rsid w:val="001D1E19"/>
    <w:rsid w:val="001D21C0"/>
    <w:rsid w:val="001D2338"/>
    <w:rsid w:val="001D2476"/>
    <w:rsid w:val="001D2528"/>
    <w:rsid w:val="001D287E"/>
    <w:rsid w:val="001D2C78"/>
    <w:rsid w:val="001D2DB3"/>
    <w:rsid w:val="001D2F1D"/>
    <w:rsid w:val="001D307C"/>
    <w:rsid w:val="001D32B7"/>
    <w:rsid w:val="001D358A"/>
    <w:rsid w:val="001D35E2"/>
    <w:rsid w:val="001D3723"/>
    <w:rsid w:val="001D386E"/>
    <w:rsid w:val="001D38F5"/>
    <w:rsid w:val="001D3951"/>
    <w:rsid w:val="001D3B7F"/>
    <w:rsid w:val="001D3B86"/>
    <w:rsid w:val="001D3D55"/>
    <w:rsid w:val="001D3E02"/>
    <w:rsid w:val="001D3FB8"/>
    <w:rsid w:val="001D4099"/>
    <w:rsid w:val="001D4106"/>
    <w:rsid w:val="001D416A"/>
    <w:rsid w:val="001D41D5"/>
    <w:rsid w:val="001D42AA"/>
    <w:rsid w:val="001D45D3"/>
    <w:rsid w:val="001D45DB"/>
    <w:rsid w:val="001D46ED"/>
    <w:rsid w:val="001D4776"/>
    <w:rsid w:val="001D485F"/>
    <w:rsid w:val="001D4C95"/>
    <w:rsid w:val="001D4D46"/>
    <w:rsid w:val="001D4E79"/>
    <w:rsid w:val="001D52CD"/>
    <w:rsid w:val="001D53C1"/>
    <w:rsid w:val="001D5417"/>
    <w:rsid w:val="001D55E4"/>
    <w:rsid w:val="001D5692"/>
    <w:rsid w:val="001D57B3"/>
    <w:rsid w:val="001D5BF0"/>
    <w:rsid w:val="001D5E01"/>
    <w:rsid w:val="001D5E3C"/>
    <w:rsid w:val="001D5EA1"/>
    <w:rsid w:val="001D5ED1"/>
    <w:rsid w:val="001D5F6D"/>
    <w:rsid w:val="001D604A"/>
    <w:rsid w:val="001D6078"/>
    <w:rsid w:val="001D63AF"/>
    <w:rsid w:val="001D643F"/>
    <w:rsid w:val="001D64A4"/>
    <w:rsid w:val="001D6997"/>
    <w:rsid w:val="001D69CD"/>
    <w:rsid w:val="001D739B"/>
    <w:rsid w:val="001D74BB"/>
    <w:rsid w:val="001D7534"/>
    <w:rsid w:val="001D762F"/>
    <w:rsid w:val="001D7753"/>
    <w:rsid w:val="001D7814"/>
    <w:rsid w:val="001D7924"/>
    <w:rsid w:val="001D7BE0"/>
    <w:rsid w:val="001D7C7F"/>
    <w:rsid w:val="001D7CFD"/>
    <w:rsid w:val="001E0124"/>
    <w:rsid w:val="001E018A"/>
    <w:rsid w:val="001E0553"/>
    <w:rsid w:val="001E0783"/>
    <w:rsid w:val="001E0D00"/>
    <w:rsid w:val="001E0D33"/>
    <w:rsid w:val="001E0F17"/>
    <w:rsid w:val="001E10CD"/>
    <w:rsid w:val="001E10D4"/>
    <w:rsid w:val="001E12D3"/>
    <w:rsid w:val="001E1680"/>
    <w:rsid w:val="001E1752"/>
    <w:rsid w:val="001E195B"/>
    <w:rsid w:val="001E1A71"/>
    <w:rsid w:val="001E1AFB"/>
    <w:rsid w:val="001E1D74"/>
    <w:rsid w:val="001E1F6A"/>
    <w:rsid w:val="001E2232"/>
    <w:rsid w:val="001E231E"/>
    <w:rsid w:val="001E24DE"/>
    <w:rsid w:val="001E2747"/>
    <w:rsid w:val="001E2913"/>
    <w:rsid w:val="001E2C98"/>
    <w:rsid w:val="001E2D98"/>
    <w:rsid w:val="001E33DE"/>
    <w:rsid w:val="001E33EF"/>
    <w:rsid w:val="001E35ED"/>
    <w:rsid w:val="001E39CC"/>
    <w:rsid w:val="001E3C58"/>
    <w:rsid w:val="001E3C7E"/>
    <w:rsid w:val="001E3EB6"/>
    <w:rsid w:val="001E3F97"/>
    <w:rsid w:val="001E4302"/>
    <w:rsid w:val="001E43E8"/>
    <w:rsid w:val="001E49C1"/>
    <w:rsid w:val="001E4BFF"/>
    <w:rsid w:val="001E50EC"/>
    <w:rsid w:val="001E5215"/>
    <w:rsid w:val="001E557F"/>
    <w:rsid w:val="001E563E"/>
    <w:rsid w:val="001E5691"/>
    <w:rsid w:val="001E57B3"/>
    <w:rsid w:val="001E5925"/>
    <w:rsid w:val="001E5A2E"/>
    <w:rsid w:val="001E5BA2"/>
    <w:rsid w:val="001E5C12"/>
    <w:rsid w:val="001E5CB5"/>
    <w:rsid w:val="001E5FB2"/>
    <w:rsid w:val="001E60CB"/>
    <w:rsid w:val="001E6241"/>
    <w:rsid w:val="001E6262"/>
    <w:rsid w:val="001E64FB"/>
    <w:rsid w:val="001E6668"/>
    <w:rsid w:val="001E683E"/>
    <w:rsid w:val="001E728B"/>
    <w:rsid w:val="001E73F2"/>
    <w:rsid w:val="001E7764"/>
    <w:rsid w:val="001E78F7"/>
    <w:rsid w:val="001E7A7B"/>
    <w:rsid w:val="001E7DC9"/>
    <w:rsid w:val="001E7F5F"/>
    <w:rsid w:val="001E7F92"/>
    <w:rsid w:val="001E7FC1"/>
    <w:rsid w:val="001F0101"/>
    <w:rsid w:val="001F012A"/>
    <w:rsid w:val="001F01A7"/>
    <w:rsid w:val="001F0315"/>
    <w:rsid w:val="001F0DF0"/>
    <w:rsid w:val="001F0E4E"/>
    <w:rsid w:val="001F101A"/>
    <w:rsid w:val="001F1455"/>
    <w:rsid w:val="001F16CB"/>
    <w:rsid w:val="001F18D6"/>
    <w:rsid w:val="001F1A38"/>
    <w:rsid w:val="001F1A76"/>
    <w:rsid w:val="001F1D27"/>
    <w:rsid w:val="001F1DCA"/>
    <w:rsid w:val="001F23F6"/>
    <w:rsid w:val="001F2465"/>
    <w:rsid w:val="001F2573"/>
    <w:rsid w:val="001F2971"/>
    <w:rsid w:val="001F2B4D"/>
    <w:rsid w:val="001F2C43"/>
    <w:rsid w:val="001F2C8D"/>
    <w:rsid w:val="001F2CA3"/>
    <w:rsid w:val="001F2CF9"/>
    <w:rsid w:val="001F2DFB"/>
    <w:rsid w:val="001F33DD"/>
    <w:rsid w:val="001F3546"/>
    <w:rsid w:val="001F36E1"/>
    <w:rsid w:val="001F39B7"/>
    <w:rsid w:val="001F3CC2"/>
    <w:rsid w:val="001F3D19"/>
    <w:rsid w:val="001F3FFB"/>
    <w:rsid w:val="001F4097"/>
    <w:rsid w:val="001F43D0"/>
    <w:rsid w:val="001F4698"/>
    <w:rsid w:val="001F4D7A"/>
    <w:rsid w:val="001F4E4B"/>
    <w:rsid w:val="001F4FE9"/>
    <w:rsid w:val="001F5096"/>
    <w:rsid w:val="001F52D3"/>
    <w:rsid w:val="001F52EA"/>
    <w:rsid w:val="001F54EA"/>
    <w:rsid w:val="001F562E"/>
    <w:rsid w:val="001F5669"/>
    <w:rsid w:val="001F56F4"/>
    <w:rsid w:val="001F5C59"/>
    <w:rsid w:val="001F5CEA"/>
    <w:rsid w:val="001F5EA8"/>
    <w:rsid w:val="001F5FE9"/>
    <w:rsid w:val="001F6478"/>
    <w:rsid w:val="001F6488"/>
    <w:rsid w:val="001F64E0"/>
    <w:rsid w:val="001F6571"/>
    <w:rsid w:val="001F6870"/>
    <w:rsid w:val="001F696F"/>
    <w:rsid w:val="001F69F5"/>
    <w:rsid w:val="001F6A20"/>
    <w:rsid w:val="001F6CFB"/>
    <w:rsid w:val="001F6E46"/>
    <w:rsid w:val="001F74AC"/>
    <w:rsid w:val="001F778B"/>
    <w:rsid w:val="001F7A31"/>
    <w:rsid w:val="001F7A5D"/>
    <w:rsid w:val="001F7C12"/>
    <w:rsid w:val="001F7DDE"/>
    <w:rsid w:val="001F7E3D"/>
    <w:rsid w:val="001F7F53"/>
    <w:rsid w:val="001F7FF3"/>
    <w:rsid w:val="002000FD"/>
    <w:rsid w:val="00200196"/>
    <w:rsid w:val="0020029C"/>
    <w:rsid w:val="0020035E"/>
    <w:rsid w:val="002008D9"/>
    <w:rsid w:val="00200B40"/>
    <w:rsid w:val="00200B87"/>
    <w:rsid w:val="00200C8B"/>
    <w:rsid w:val="00200EC5"/>
    <w:rsid w:val="00200FAC"/>
    <w:rsid w:val="002010B2"/>
    <w:rsid w:val="0020117E"/>
    <w:rsid w:val="0020185C"/>
    <w:rsid w:val="00201B5D"/>
    <w:rsid w:val="0020201B"/>
    <w:rsid w:val="002023E3"/>
    <w:rsid w:val="002024A3"/>
    <w:rsid w:val="00202586"/>
    <w:rsid w:val="00202AC0"/>
    <w:rsid w:val="00202D66"/>
    <w:rsid w:val="002036F3"/>
    <w:rsid w:val="00203760"/>
    <w:rsid w:val="002037B7"/>
    <w:rsid w:val="00203965"/>
    <w:rsid w:val="00203C33"/>
    <w:rsid w:val="00203D87"/>
    <w:rsid w:val="00204314"/>
    <w:rsid w:val="00204325"/>
    <w:rsid w:val="00204389"/>
    <w:rsid w:val="002043A1"/>
    <w:rsid w:val="002044AC"/>
    <w:rsid w:val="00204779"/>
    <w:rsid w:val="0020484A"/>
    <w:rsid w:val="00204AB4"/>
    <w:rsid w:val="00204BBC"/>
    <w:rsid w:val="00204C1F"/>
    <w:rsid w:val="00204CD8"/>
    <w:rsid w:val="00204D5F"/>
    <w:rsid w:val="00204E47"/>
    <w:rsid w:val="00204EB3"/>
    <w:rsid w:val="002055D7"/>
    <w:rsid w:val="002058F1"/>
    <w:rsid w:val="0020590A"/>
    <w:rsid w:val="00205B3B"/>
    <w:rsid w:val="00205C66"/>
    <w:rsid w:val="00205E5B"/>
    <w:rsid w:val="00205E73"/>
    <w:rsid w:val="00205F76"/>
    <w:rsid w:val="00205FCB"/>
    <w:rsid w:val="002061E2"/>
    <w:rsid w:val="002062F9"/>
    <w:rsid w:val="00206683"/>
    <w:rsid w:val="00206A12"/>
    <w:rsid w:val="00206A14"/>
    <w:rsid w:val="00206C44"/>
    <w:rsid w:val="00206C4B"/>
    <w:rsid w:val="00206C9B"/>
    <w:rsid w:val="0020741D"/>
    <w:rsid w:val="00207AB9"/>
    <w:rsid w:val="00207C39"/>
    <w:rsid w:val="00207C64"/>
    <w:rsid w:val="00207FA7"/>
    <w:rsid w:val="00210022"/>
    <w:rsid w:val="00210240"/>
    <w:rsid w:val="0021039B"/>
    <w:rsid w:val="002103A4"/>
    <w:rsid w:val="0021040B"/>
    <w:rsid w:val="002104BD"/>
    <w:rsid w:val="002107CD"/>
    <w:rsid w:val="00210B5F"/>
    <w:rsid w:val="00210B78"/>
    <w:rsid w:val="00210C0B"/>
    <w:rsid w:val="00210E9D"/>
    <w:rsid w:val="002113F7"/>
    <w:rsid w:val="002116D9"/>
    <w:rsid w:val="002118E5"/>
    <w:rsid w:val="00212185"/>
    <w:rsid w:val="00212298"/>
    <w:rsid w:val="00212453"/>
    <w:rsid w:val="002127B6"/>
    <w:rsid w:val="0021289D"/>
    <w:rsid w:val="0021293F"/>
    <w:rsid w:val="00212B17"/>
    <w:rsid w:val="00212C94"/>
    <w:rsid w:val="00212EFC"/>
    <w:rsid w:val="00212F33"/>
    <w:rsid w:val="002132F2"/>
    <w:rsid w:val="00213497"/>
    <w:rsid w:val="00213B53"/>
    <w:rsid w:val="00213C74"/>
    <w:rsid w:val="00213C7C"/>
    <w:rsid w:val="00213F6D"/>
    <w:rsid w:val="00213FD1"/>
    <w:rsid w:val="00214063"/>
    <w:rsid w:val="00214202"/>
    <w:rsid w:val="00214A86"/>
    <w:rsid w:val="00214AC4"/>
    <w:rsid w:val="00214DAE"/>
    <w:rsid w:val="00214E98"/>
    <w:rsid w:val="002151BB"/>
    <w:rsid w:val="0021522E"/>
    <w:rsid w:val="002153FC"/>
    <w:rsid w:val="00215499"/>
    <w:rsid w:val="002155F4"/>
    <w:rsid w:val="00215948"/>
    <w:rsid w:val="00215AFC"/>
    <w:rsid w:val="00215B2C"/>
    <w:rsid w:val="00215E21"/>
    <w:rsid w:val="002164F0"/>
    <w:rsid w:val="002165F6"/>
    <w:rsid w:val="00216744"/>
    <w:rsid w:val="00216D05"/>
    <w:rsid w:val="00216DC4"/>
    <w:rsid w:val="00216E5D"/>
    <w:rsid w:val="00216FC6"/>
    <w:rsid w:val="002170AC"/>
    <w:rsid w:val="00217304"/>
    <w:rsid w:val="002173A5"/>
    <w:rsid w:val="0021746F"/>
    <w:rsid w:val="002176F9"/>
    <w:rsid w:val="0021770F"/>
    <w:rsid w:val="00217784"/>
    <w:rsid w:val="0021782A"/>
    <w:rsid w:val="00217884"/>
    <w:rsid w:val="00217DC5"/>
    <w:rsid w:val="0022014D"/>
    <w:rsid w:val="0022046A"/>
    <w:rsid w:val="002206AE"/>
    <w:rsid w:val="00221221"/>
    <w:rsid w:val="00221809"/>
    <w:rsid w:val="00221870"/>
    <w:rsid w:val="002218BE"/>
    <w:rsid w:val="00221956"/>
    <w:rsid w:val="00221D56"/>
    <w:rsid w:val="00221D70"/>
    <w:rsid w:val="00222015"/>
    <w:rsid w:val="0022216A"/>
    <w:rsid w:val="002221B7"/>
    <w:rsid w:val="00222517"/>
    <w:rsid w:val="00222695"/>
    <w:rsid w:val="00222711"/>
    <w:rsid w:val="002228EB"/>
    <w:rsid w:val="0022292A"/>
    <w:rsid w:val="00222930"/>
    <w:rsid w:val="0022294B"/>
    <w:rsid w:val="00222A14"/>
    <w:rsid w:val="00222A8C"/>
    <w:rsid w:val="00223182"/>
    <w:rsid w:val="0022326C"/>
    <w:rsid w:val="00223309"/>
    <w:rsid w:val="002233D3"/>
    <w:rsid w:val="00223676"/>
    <w:rsid w:val="002238DF"/>
    <w:rsid w:val="0022395E"/>
    <w:rsid w:val="00223B6B"/>
    <w:rsid w:val="00224019"/>
    <w:rsid w:val="00224567"/>
    <w:rsid w:val="002246D2"/>
    <w:rsid w:val="0022481F"/>
    <w:rsid w:val="002248C7"/>
    <w:rsid w:val="00224E98"/>
    <w:rsid w:val="00224F5B"/>
    <w:rsid w:val="00225097"/>
    <w:rsid w:val="002254FC"/>
    <w:rsid w:val="002257FB"/>
    <w:rsid w:val="00225C54"/>
    <w:rsid w:val="00225DF7"/>
    <w:rsid w:val="00225FFC"/>
    <w:rsid w:val="00226258"/>
    <w:rsid w:val="0022641C"/>
    <w:rsid w:val="00226990"/>
    <w:rsid w:val="002269FA"/>
    <w:rsid w:val="00226C18"/>
    <w:rsid w:val="00226ED3"/>
    <w:rsid w:val="00227101"/>
    <w:rsid w:val="0022713D"/>
    <w:rsid w:val="002271DA"/>
    <w:rsid w:val="002272D8"/>
    <w:rsid w:val="00227389"/>
    <w:rsid w:val="00227891"/>
    <w:rsid w:val="00227F4A"/>
    <w:rsid w:val="00227F85"/>
    <w:rsid w:val="00230101"/>
    <w:rsid w:val="0023010E"/>
    <w:rsid w:val="002303CE"/>
    <w:rsid w:val="002303E0"/>
    <w:rsid w:val="00230783"/>
    <w:rsid w:val="002308B9"/>
    <w:rsid w:val="002309CA"/>
    <w:rsid w:val="00230B09"/>
    <w:rsid w:val="00230BB0"/>
    <w:rsid w:val="00230F4B"/>
    <w:rsid w:val="00230FAB"/>
    <w:rsid w:val="0023106D"/>
    <w:rsid w:val="00231377"/>
    <w:rsid w:val="002317A3"/>
    <w:rsid w:val="00231AB0"/>
    <w:rsid w:val="00231CB5"/>
    <w:rsid w:val="0023210C"/>
    <w:rsid w:val="002321E1"/>
    <w:rsid w:val="0023234B"/>
    <w:rsid w:val="00232429"/>
    <w:rsid w:val="0023291C"/>
    <w:rsid w:val="00232ADE"/>
    <w:rsid w:val="00232B80"/>
    <w:rsid w:val="00232C9F"/>
    <w:rsid w:val="00232D1F"/>
    <w:rsid w:val="00232EE2"/>
    <w:rsid w:val="00233070"/>
    <w:rsid w:val="00233075"/>
    <w:rsid w:val="0023315A"/>
    <w:rsid w:val="002331E4"/>
    <w:rsid w:val="0023324E"/>
    <w:rsid w:val="0023352E"/>
    <w:rsid w:val="002338CA"/>
    <w:rsid w:val="0023395F"/>
    <w:rsid w:val="0023396F"/>
    <w:rsid w:val="002340CB"/>
    <w:rsid w:val="002340EA"/>
    <w:rsid w:val="0023439A"/>
    <w:rsid w:val="002343FD"/>
    <w:rsid w:val="00234482"/>
    <w:rsid w:val="0023468B"/>
    <w:rsid w:val="0023493F"/>
    <w:rsid w:val="002349BB"/>
    <w:rsid w:val="00234A4B"/>
    <w:rsid w:val="00234B64"/>
    <w:rsid w:val="002352C7"/>
    <w:rsid w:val="002353D5"/>
    <w:rsid w:val="002355BC"/>
    <w:rsid w:val="00235778"/>
    <w:rsid w:val="0023578A"/>
    <w:rsid w:val="00235AB7"/>
    <w:rsid w:val="00235B98"/>
    <w:rsid w:val="00235E87"/>
    <w:rsid w:val="0023645F"/>
    <w:rsid w:val="00236893"/>
    <w:rsid w:val="00236AE7"/>
    <w:rsid w:val="00236B4E"/>
    <w:rsid w:val="00236B4F"/>
    <w:rsid w:val="00236C71"/>
    <w:rsid w:val="00236D09"/>
    <w:rsid w:val="00236E9A"/>
    <w:rsid w:val="00236FFE"/>
    <w:rsid w:val="00237010"/>
    <w:rsid w:val="0023705C"/>
    <w:rsid w:val="0023737E"/>
    <w:rsid w:val="0023758F"/>
    <w:rsid w:val="002379DC"/>
    <w:rsid w:val="002379E4"/>
    <w:rsid w:val="00237E75"/>
    <w:rsid w:val="00240286"/>
    <w:rsid w:val="00240488"/>
    <w:rsid w:val="0024094B"/>
    <w:rsid w:val="00240FBF"/>
    <w:rsid w:val="00240FDC"/>
    <w:rsid w:val="00241256"/>
    <w:rsid w:val="00241410"/>
    <w:rsid w:val="0024162A"/>
    <w:rsid w:val="00241741"/>
    <w:rsid w:val="00241870"/>
    <w:rsid w:val="00241926"/>
    <w:rsid w:val="00241993"/>
    <w:rsid w:val="00241F55"/>
    <w:rsid w:val="002420C2"/>
    <w:rsid w:val="00242128"/>
    <w:rsid w:val="002421EE"/>
    <w:rsid w:val="002424FF"/>
    <w:rsid w:val="00242653"/>
    <w:rsid w:val="0024273A"/>
    <w:rsid w:val="00242746"/>
    <w:rsid w:val="0024277A"/>
    <w:rsid w:val="00242919"/>
    <w:rsid w:val="00242EA5"/>
    <w:rsid w:val="00243134"/>
    <w:rsid w:val="00243152"/>
    <w:rsid w:val="002431C2"/>
    <w:rsid w:val="002435E2"/>
    <w:rsid w:val="002436CF"/>
    <w:rsid w:val="002438F3"/>
    <w:rsid w:val="00243CD1"/>
    <w:rsid w:val="00243D9F"/>
    <w:rsid w:val="00243EDD"/>
    <w:rsid w:val="00243F5D"/>
    <w:rsid w:val="00243F8C"/>
    <w:rsid w:val="00244154"/>
    <w:rsid w:val="00244156"/>
    <w:rsid w:val="00244286"/>
    <w:rsid w:val="00244425"/>
    <w:rsid w:val="0024458E"/>
    <w:rsid w:val="002445CB"/>
    <w:rsid w:val="002448F4"/>
    <w:rsid w:val="00244BB7"/>
    <w:rsid w:val="00244C73"/>
    <w:rsid w:val="00244DA2"/>
    <w:rsid w:val="00245042"/>
    <w:rsid w:val="002450E0"/>
    <w:rsid w:val="00245183"/>
    <w:rsid w:val="0024537C"/>
    <w:rsid w:val="00245625"/>
    <w:rsid w:val="00245660"/>
    <w:rsid w:val="002459B8"/>
    <w:rsid w:val="00245C78"/>
    <w:rsid w:val="00246016"/>
    <w:rsid w:val="002460A5"/>
    <w:rsid w:val="0024614C"/>
    <w:rsid w:val="002465AA"/>
    <w:rsid w:val="002468E7"/>
    <w:rsid w:val="00246D6B"/>
    <w:rsid w:val="00246DD8"/>
    <w:rsid w:val="00246E39"/>
    <w:rsid w:val="002474C3"/>
    <w:rsid w:val="00247690"/>
    <w:rsid w:val="002477E0"/>
    <w:rsid w:val="00247E26"/>
    <w:rsid w:val="0025028F"/>
    <w:rsid w:val="00250528"/>
    <w:rsid w:val="00250990"/>
    <w:rsid w:val="00250A94"/>
    <w:rsid w:val="00250C1A"/>
    <w:rsid w:val="00250C88"/>
    <w:rsid w:val="00250EF8"/>
    <w:rsid w:val="00250FDA"/>
    <w:rsid w:val="0025123B"/>
    <w:rsid w:val="00251247"/>
    <w:rsid w:val="00251471"/>
    <w:rsid w:val="00251520"/>
    <w:rsid w:val="00251531"/>
    <w:rsid w:val="002516C8"/>
    <w:rsid w:val="002517FF"/>
    <w:rsid w:val="00251989"/>
    <w:rsid w:val="00251E7F"/>
    <w:rsid w:val="00251F8B"/>
    <w:rsid w:val="002520A6"/>
    <w:rsid w:val="002520BA"/>
    <w:rsid w:val="0025237C"/>
    <w:rsid w:val="0025240E"/>
    <w:rsid w:val="00252782"/>
    <w:rsid w:val="002529F1"/>
    <w:rsid w:val="0025323C"/>
    <w:rsid w:val="002532C4"/>
    <w:rsid w:val="00253353"/>
    <w:rsid w:val="002535E4"/>
    <w:rsid w:val="00253701"/>
    <w:rsid w:val="002537CF"/>
    <w:rsid w:val="00253C63"/>
    <w:rsid w:val="00253FFC"/>
    <w:rsid w:val="00254329"/>
    <w:rsid w:val="00254377"/>
    <w:rsid w:val="002543EC"/>
    <w:rsid w:val="002544F2"/>
    <w:rsid w:val="00254561"/>
    <w:rsid w:val="00254673"/>
    <w:rsid w:val="002546EF"/>
    <w:rsid w:val="002549E0"/>
    <w:rsid w:val="00254D9A"/>
    <w:rsid w:val="00255030"/>
    <w:rsid w:val="0025534E"/>
    <w:rsid w:val="002554A1"/>
    <w:rsid w:val="002554E7"/>
    <w:rsid w:val="002554E8"/>
    <w:rsid w:val="0025556A"/>
    <w:rsid w:val="002557DE"/>
    <w:rsid w:val="00255830"/>
    <w:rsid w:val="002558F1"/>
    <w:rsid w:val="00255A43"/>
    <w:rsid w:val="00255AA2"/>
    <w:rsid w:val="00255B97"/>
    <w:rsid w:val="00255C12"/>
    <w:rsid w:val="00255DCC"/>
    <w:rsid w:val="0025608A"/>
    <w:rsid w:val="002560D0"/>
    <w:rsid w:val="00256647"/>
    <w:rsid w:val="00256677"/>
    <w:rsid w:val="0025672C"/>
    <w:rsid w:val="002568EA"/>
    <w:rsid w:val="00256B62"/>
    <w:rsid w:val="00256BE8"/>
    <w:rsid w:val="00256E3B"/>
    <w:rsid w:val="0025720F"/>
    <w:rsid w:val="00257298"/>
    <w:rsid w:val="002574D3"/>
    <w:rsid w:val="002577D6"/>
    <w:rsid w:val="002578EE"/>
    <w:rsid w:val="00257B66"/>
    <w:rsid w:val="00257D5C"/>
    <w:rsid w:val="00257DB4"/>
    <w:rsid w:val="00257DCB"/>
    <w:rsid w:val="00257F4F"/>
    <w:rsid w:val="00260073"/>
    <w:rsid w:val="00260166"/>
    <w:rsid w:val="002603EE"/>
    <w:rsid w:val="002605DA"/>
    <w:rsid w:val="00260668"/>
    <w:rsid w:val="0026093F"/>
    <w:rsid w:val="00260990"/>
    <w:rsid w:val="00260C22"/>
    <w:rsid w:val="00261158"/>
    <w:rsid w:val="002616ED"/>
    <w:rsid w:val="002617E6"/>
    <w:rsid w:val="00261A54"/>
    <w:rsid w:val="00261B53"/>
    <w:rsid w:val="00261E68"/>
    <w:rsid w:val="00261F1C"/>
    <w:rsid w:val="002621B6"/>
    <w:rsid w:val="002621F2"/>
    <w:rsid w:val="00262295"/>
    <w:rsid w:val="002622E9"/>
    <w:rsid w:val="00262546"/>
    <w:rsid w:val="002630A0"/>
    <w:rsid w:val="0026324D"/>
    <w:rsid w:val="0026327F"/>
    <w:rsid w:val="0026337D"/>
    <w:rsid w:val="00263810"/>
    <w:rsid w:val="00263C27"/>
    <w:rsid w:val="00263D80"/>
    <w:rsid w:val="00264262"/>
    <w:rsid w:val="002645BF"/>
    <w:rsid w:val="00264618"/>
    <w:rsid w:val="002648FA"/>
    <w:rsid w:val="00264E6B"/>
    <w:rsid w:val="0026527B"/>
    <w:rsid w:val="00265323"/>
    <w:rsid w:val="002656E0"/>
    <w:rsid w:val="002658EA"/>
    <w:rsid w:val="00265A77"/>
    <w:rsid w:val="00265BD8"/>
    <w:rsid w:val="00265DD0"/>
    <w:rsid w:val="002660B1"/>
    <w:rsid w:val="002661A7"/>
    <w:rsid w:val="002661E4"/>
    <w:rsid w:val="00266207"/>
    <w:rsid w:val="00266282"/>
    <w:rsid w:val="00266287"/>
    <w:rsid w:val="00266336"/>
    <w:rsid w:val="002664A5"/>
    <w:rsid w:val="00266594"/>
    <w:rsid w:val="002665EF"/>
    <w:rsid w:val="0026663E"/>
    <w:rsid w:val="002666EA"/>
    <w:rsid w:val="0026683E"/>
    <w:rsid w:val="00266A58"/>
    <w:rsid w:val="00266C38"/>
    <w:rsid w:val="00266E28"/>
    <w:rsid w:val="00266EE3"/>
    <w:rsid w:val="002671D1"/>
    <w:rsid w:val="0026739C"/>
    <w:rsid w:val="00267411"/>
    <w:rsid w:val="002676A6"/>
    <w:rsid w:val="0026775A"/>
    <w:rsid w:val="00267DBC"/>
    <w:rsid w:val="00267E4F"/>
    <w:rsid w:val="00267E6D"/>
    <w:rsid w:val="00267F76"/>
    <w:rsid w:val="00267FDD"/>
    <w:rsid w:val="0027010C"/>
    <w:rsid w:val="002701FF"/>
    <w:rsid w:val="00270239"/>
    <w:rsid w:val="00270278"/>
    <w:rsid w:val="002702C9"/>
    <w:rsid w:val="0027042D"/>
    <w:rsid w:val="0027072E"/>
    <w:rsid w:val="00270889"/>
    <w:rsid w:val="00270A5B"/>
    <w:rsid w:val="00270C0D"/>
    <w:rsid w:val="00270DC7"/>
    <w:rsid w:val="002714BF"/>
    <w:rsid w:val="0027167A"/>
    <w:rsid w:val="002716A3"/>
    <w:rsid w:val="002719EB"/>
    <w:rsid w:val="00271B04"/>
    <w:rsid w:val="00271B11"/>
    <w:rsid w:val="00271B3A"/>
    <w:rsid w:val="00271E74"/>
    <w:rsid w:val="002721A9"/>
    <w:rsid w:val="002723CA"/>
    <w:rsid w:val="00272926"/>
    <w:rsid w:val="00272B59"/>
    <w:rsid w:val="00272E2F"/>
    <w:rsid w:val="00272FF3"/>
    <w:rsid w:val="002735E5"/>
    <w:rsid w:val="00273707"/>
    <w:rsid w:val="002739DB"/>
    <w:rsid w:val="00273DDC"/>
    <w:rsid w:val="00273FBC"/>
    <w:rsid w:val="0027421F"/>
    <w:rsid w:val="00274297"/>
    <w:rsid w:val="00274299"/>
    <w:rsid w:val="00274597"/>
    <w:rsid w:val="002747C3"/>
    <w:rsid w:val="002749B8"/>
    <w:rsid w:val="00274ABD"/>
    <w:rsid w:val="00274B2B"/>
    <w:rsid w:val="00274CCF"/>
    <w:rsid w:val="00274E77"/>
    <w:rsid w:val="00275029"/>
    <w:rsid w:val="0027513F"/>
    <w:rsid w:val="002756EB"/>
    <w:rsid w:val="00275766"/>
    <w:rsid w:val="002759D9"/>
    <w:rsid w:val="00275A37"/>
    <w:rsid w:val="00275C99"/>
    <w:rsid w:val="00275DE0"/>
    <w:rsid w:val="00276185"/>
    <w:rsid w:val="002761BC"/>
    <w:rsid w:val="00276242"/>
    <w:rsid w:val="00276528"/>
    <w:rsid w:val="00276564"/>
    <w:rsid w:val="002765F2"/>
    <w:rsid w:val="00276841"/>
    <w:rsid w:val="00276A43"/>
    <w:rsid w:val="00276B5D"/>
    <w:rsid w:val="00276D4B"/>
    <w:rsid w:val="00276DB8"/>
    <w:rsid w:val="00276DF6"/>
    <w:rsid w:val="00276DF9"/>
    <w:rsid w:val="00276E03"/>
    <w:rsid w:val="00276FCC"/>
    <w:rsid w:val="00277057"/>
    <w:rsid w:val="0027712F"/>
    <w:rsid w:val="00277232"/>
    <w:rsid w:val="00277399"/>
    <w:rsid w:val="0027756A"/>
    <w:rsid w:val="002777C4"/>
    <w:rsid w:val="002777DE"/>
    <w:rsid w:val="00277999"/>
    <w:rsid w:val="00277C42"/>
    <w:rsid w:val="00277DC9"/>
    <w:rsid w:val="00277E58"/>
    <w:rsid w:val="00277FC3"/>
    <w:rsid w:val="00277FC7"/>
    <w:rsid w:val="0028017F"/>
    <w:rsid w:val="002803C5"/>
    <w:rsid w:val="002803E3"/>
    <w:rsid w:val="00280512"/>
    <w:rsid w:val="002806C6"/>
    <w:rsid w:val="0028097A"/>
    <w:rsid w:val="00280C68"/>
    <w:rsid w:val="00280D39"/>
    <w:rsid w:val="00280DB8"/>
    <w:rsid w:val="00280E0A"/>
    <w:rsid w:val="0028110F"/>
    <w:rsid w:val="002812E5"/>
    <w:rsid w:val="00281378"/>
    <w:rsid w:val="00281399"/>
    <w:rsid w:val="002814C9"/>
    <w:rsid w:val="00281560"/>
    <w:rsid w:val="002816CC"/>
    <w:rsid w:val="00281871"/>
    <w:rsid w:val="00281A24"/>
    <w:rsid w:val="00281B4E"/>
    <w:rsid w:val="00281D58"/>
    <w:rsid w:val="00281D75"/>
    <w:rsid w:val="00281E49"/>
    <w:rsid w:val="00282252"/>
    <w:rsid w:val="00282425"/>
    <w:rsid w:val="002824B8"/>
    <w:rsid w:val="002827A8"/>
    <w:rsid w:val="002828A3"/>
    <w:rsid w:val="002829AD"/>
    <w:rsid w:val="002829D8"/>
    <w:rsid w:val="00282A5A"/>
    <w:rsid w:val="00282D1A"/>
    <w:rsid w:val="00283001"/>
    <w:rsid w:val="002830BB"/>
    <w:rsid w:val="00283113"/>
    <w:rsid w:val="00283193"/>
    <w:rsid w:val="00283549"/>
    <w:rsid w:val="002838B9"/>
    <w:rsid w:val="00283A0F"/>
    <w:rsid w:val="00283A78"/>
    <w:rsid w:val="00283BCB"/>
    <w:rsid w:val="00283BCE"/>
    <w:rsid w:val="00283DC6"/>
    <w:rsid w:val="00284422"/>
    <w:rsid w:val="00284460"/>
    <w:rsid w:val="00284467"/>
    <w:rsid w:val="00284669"/>
    <w:rsid w:val="0028473A"/>
    <w:rsid w:val="002847BC"/>
    <w:rsid w:val="00284AE0"/>
    <w:rsid w:val="00284C45"/>
    <w:rsid w:val="00284D87"/>
    <w:rsid w:val="00284FF4"/>
    <w:rsid w:val="00285004"/>
    <w:rsid w:val="0028500A"/>
    <w:rsid w:val="00285087"/>
    <w:rsid w:val="002850DB"/>
    <w:rsid w:val="00285187"/>
    <w:rsid w:val="002851A5"/>
    <w:rsid w:val="002851DF"/>
    <w:rsid w:val="002857FF"/>
    <w:rsid w:val="00285A8A"/>
    <w:rsid w:val="00285C56"/>
    <w:rsid w:val="00285D3E"/>
    <w:rsid w:val="00285D6A"/>
    <w:rsid w:val="00286481"/>
    <w:rsid w:val="00286487"/>
    <w:rsid w:val="0028649B"/>
    <w:rsid w:val="00286C3E"/>
    <w:rsid w:val="00286D73"/>
    <w:rsid w:val="00286F72"/>
    <w:rsid w:val="00287003"/>
    <w:rsid w:val="0028728A"/>
    <w:rsid w:val="0028732B"/>
    <w:rsid w:val="002876B9"/>
    <w:rsid w:val="00287877"/>
    <w:rsid w:val="002878BF"/>
    <w:rsid w:val="00287A12"/>
    <w:rsid w:val="00287C16"/>
    <w:rsid w:val="00287C8A"/>
    <w:rsid w:val="00287CE2"/>
    <w:rsid w:val="00287E03"/>
    <w:rsid w:val="00287F14"/>
    <w:rsid w:val="00287FA6"/>
    <w:rsid w:val="00290056"/>
    <w:rsid w:val="002901B1"/>
    <w:rsid w:val="00290371"/>
    <w:rsid w:val="00290397"/>
    <w:rsid w:val="00290416"/>
    <w:rsid w:val="00290605"/>
    <w:rsid w:val="002907CC"/>
    <w:rsid w:val="00290A69"/>
    <w:rsid w:val="00290E3D"/>
    <w:rsid w:val="00290ECD"/>
    <w:rsid w:val="00291263"/>
    <w:rsid w:val="00291893"/>
    <w:rsid w:val="0029196D"/>
    <w:rsid w:val="00291BFE"/>
    <w:rsid w:val="00291DF7"/>
    <w:rsid w:val="00292046"/>
    <w:rsid w:val="0029262D"/>
    <w:rsid w:val="00292667"/>
    <w:rsid w:val="00292832"/>
    <w:rsid w:val="002929E2"/>
    <w:rsid w:val="00292F41"/>
    <w:rsid w:val="00293490"/>
    <w:rsid w:val="0029353C"/>
    <w:rsid w:val="00293893"/>
    <w:rsid w:val="00293942"/>
    <w:rsid w:val="00293954"/>
    <w:rsid w:val="00293B67"/>
    <w:rsid w:val="00293BE9"/>
    <w:rsid w:val="00293CA7"/>
    <w:rsid w:val="00293CAF"/>
    <w:rsid w:val="00293F9F"/>
    <w:rsid w:val="0029454B"/>
    <w:rsid w:val="0029461C"/>
    <w:rsid w:val="0029477A"/>
    <w:rsid w:val="00294C23"/>
    <w:rsid w:val="00294C60"/>
    <w:rsid w:val="00294C7F"/>
    <w:rsid w:val="00294CB4"/>
    <w:rsid w:val="00294CC9"/>
    <w:rsid w:val="00294D06"/>
    <w:rsid w:val="00294E1F"/>
    <w:rsid w:val="0029505A"/>
    <w:rsid w:val="00295247"/>
    <w:rsid w:val="00295448"/>
    <w:rsid w:val="00295EB3"/>
    <w:rsid w:val="002961F2"/>
    <w:rsid w:val="00296211"/>
    <w:rsid w:val="0029624E"/>
    <w:rsid w:val="0029629B"/>
    <w:rsid w:val="00296444"/>
    <w:rsid w:val="00296A4E"/>
    <w:rsid w:val="00296B87"/>
    <w:rsid w:val="00296FD2"/>
    <w:rsid w:val="00297006"/>
    <w:rsid w:val="00297494"/>
    <w:rsid w:val="002975BD"/>
    <w:rsid w:val="002977B1"/>
    <w:rsid w:val="00297A22"/>
    <w:rsid w:val="00297B4A"/>
    <w:rsid w:val="00297B8C"/>
    <w:rsid w:val="00297C01"/>
    <w:rsid w:val="00297DA6"/>
    <w:rsid w:val="002A0101"/>
    <w:rsid w:val="002A0127"/>
    <w:rsid w:val="002A027B"/>
    <w:rsid w:val="002A0395"/>
    <w:rsid w:val="002A05C1"/>
    <w:rsid w:val="002A0749"/>
    <w:rsid w:val="002A0802"/>
    <w:rsid w:val="002A09AB"/>
    <w:rsid w:val="002A09D7"/>
    <w:rsid w:val="002A0FD5"/>
    <w:rsid w:val="002A10D6"/>
    <w:rsid w:val="002A172F"/>
    <w:rsid w:val="002A1742"/>
    <w:rsid w:val="002A1883"/>
    <w:rsid w:val="002A1A49"/>
    <w:rsid w:val="002A1C4E"/>
    <w:rsid w:val="002A211D"/>
    <w:rsid w:val="002A21B4"/>
    <w:rsid w:val="002A22E9"/>
    <w:rsid w:val="002A2333"/>
    <w:rsid w:val="002A24E3"/>
    <w:rsid w:val="002A2956"/>
    <w:rsid w:val="002A2D5A"/>
    <w:rsid w:val="002A34F1"/>
    <w:rsid w:val="002A3679"/>
    <w:rsid w:val="002A37AD"/>
    <w:rsid w:val="002A37BC"/>
    <w:rsid w:val="002A3C6C"/>
    <w:rsid w:val="002A418E"/>
    <w:rsid w:val="002A42C0"/>
    <w:rsid w:val="002A4432"/>
    <w:rsid w:val="002A44D3"/>
    <w:rsid w:val="002A44E2"/>
    <w:rsid w:val="002A46D6"/>
    <w:rsid w:val="002A4B61"/>
    <w:rsid w:val="002A4BC4"/>
    <w:rsid w:val="002A4C93"/>
    <w:rsid w:val="002A4E1A"/>
    <w:rsid w:val="002A4FAF"/>
    <w:rsid w:val="002A557E"/>
    <w:rsid w:val="002A5762"/>
    <w:rsid w:val="002A5A5A"/>
    <w:rsid w:val="002A5FA7"/>
    <w:rsid w:val="002A6033"/>
    <w:rsid w:val="002A6086"/>
    <w:rsid w:val="002A60FA"/>
    <w:rsid w:val="002A61E5"/>
    <w:rsid w:val="002A62C5"/>
    <w:rsid w:val="002A63F1"/>
    <w:rsid w:val="002A6510"/>
    <w:rsid w:val="002A6608"/>
    <w:rsid w:val="002A6939"/>
    <w:rsid w:val="002A6B4D"/>
    <w:rsid w:val="002A6B6F"/>
    <w:rsid w:val="002A6CDE"/>
    <w:rsid w:val="002A6F6C"/>
    <w:rsid w:val="002A726F"/>
    <w:rsid w:val="002A74E0"/>
    <w:rsid w:val="002A75EC"/>
    <w:rsid w:val="002A7720"/>
    <w:rsid w:val="002A788C"/>
    <w:rsid w:val="002A79AA"/>
    <w:rsid w:val="002A79B6"/>
    <w:rsid w:val="002A7AEF"/>
    <w:rsid w:val="002A7BB6"/>
    <w:rsid w:val="002A7C51"/>
    <w:rsid w:val="002A7C82"/>
    <w:rsid w:val="002A7D58"/>
    <w:rsid w:val="002A7DC0"/>
    <w:rsid w:val="002A7E6B"/>
    <w:rsid w:val="002A7EA6"/>
    <w:rsid w:val="002B0202"/>
    <w:rsid w:val="002B0A0F"/>
    <w:rsid w:val="002B0A4C"/>
    <w:rsid w:val="002B0BA0"/>
    <w:rsid w:val="002B1016"/>
    <w:rsid w:val="002B1246"/>
    <w:rsid w:val="002B149E"/>
    <w:rsid w:val="002B1545"/>
    <w:rsid w:val="002B1746"/>
    <w:rsid w:val="002B17F9"/>
    <w:rsid w:val="002B1B06"/>
    <w:rsid w:val="002B1B0B"/>
    <w:rsid w:val="002B1B4B"/>
    <w:rsid w:val="002B1BBA"/>
    <w:rsid w:val="002B1FC5"/>
    <w:rsid w:val="002B1FD3"/>
    <w:rsid w:val="002B208C"/>
    <w:rsid w:val="002B231E"/>
    <w:rsid w:val="002B2431"/>
    <w:rsid w:val="002B2AA2"/>
    <w:rsid w:val="002B2C29"/>
    <w:rsid w:val="002B3194"/>
    <w:rsid w:val="002B3602"/>
    <w:rsid w:val="002B3705"/>
    <w:rsid w:val="002B379C"/>
    <w:rsid w:val="002B3937"/>
    <w:rsid w:val="002B3A6B"/>
    <w:rsid w:val="002B3AD0"/>
    <w:rsid w:val="002B3D9F"/>
    <w:rsid w:val="002B3DE6"/>
    <w:rsid w:val="002B3F18"/>
    <w:rsid w:val="002B437B"/>
    <w:rsid w:val="002B4399"/>
    <w:rsid w:val="002B457A"/>
    <w:rsid w:val="002B4654"/>
    <w:rsid w:val="002B4670"/>
    <w:rsid w:val="002B4802"/>
    <w:rsid w:val="002B4B69"/>
    <w:rsid w:val="002B4CDB"/>
    <w:rsid w:val="002B5D70"/>
    <w:rsid w:val="002B5E0C"/>
    <w:rsid w:val="002B5E1F"/>
    <w:rsid w:val="002B5F0C"/>
    <w:rsid w:val="002B647E"/>
    <w:rsid w:val="002B743A"/>
    <w:rsid w:val="002B782A"/>
    <w:rsid w:val="002B798F"/>
    <w:rsid w:val="002B7D68"/>
    <w:rsid w:val="002C0342"/>
    <w:rsid w:val="002C041E"/>
    <w:rsid w:val="002C0644"/>
    <w:rsid w:val="002C0C5A"/>
    <w:rsid w:val="002C0E50"/>
    <w:rsid w:val="002C1058"/>
    <w:rsid w:val="002C1154"/>
    <w:rsid w:val="002C1437"/>
    <w:rsid w:val="002C1618"/>
    <w:rsid w:val="002C175B"/>
    <w:rsid w:val="002C1AF6"/>
    <w:rsid w:val="002C1CB4"/>
    <w:rsid w:val="002C1D07"/>
    <w:rsid w:val="002C1DDB"/>
    <w:rsid w:val="002C1ED3"/>
    <w:rsid w:val="002C206E"/>
    <w:rsid w:val="002C2163"/>
    <w:rsid w:val="002C24BC"/>
    <w:rsid w:val="002C24CC"/>
    <w:rsid w:val="002C284C"/>
    <w:rsid w:val="002C28C9"/>
    <w:rsid w:val="002C2E28"/>
    <w:rsid w:val="002C2E47"/>
    <w:rsid w:val="002C2F72"/>
    <w:rsid w:val="002C2F85"/>
    <w:rsid w:val="002C30B1"/>
    <w:rsid w:val="002C32F4"/>
    <w:rsid w:val="002C35C2"/>
    <w:rsid w:val="002C36C5"/>
    <w:rsid w:val="002C3E1A"/>
    <w:rsid w:val="002C3F21"/>
    <w:rsid w:val="002C40BD"/>
    <w:rsid w:val="002C41C3"/>
    <w:rsid w:val="002C427B"/>
    <w:rsid w:val="002C4309"/>
    <w:rsid w:val="002C4506"/>
    <w:rsid w:val="002C4559"/>
    <w:rsid w:val="002C45C8"/>
    <w:rsid w:val="002C4625"/>
    <w:rsid w:val="002C47DD"/>
    <w:rsid w:val="002C4BFE"/>
    <w:rsid w:val="002C4D2F"/>
    <w:rsid w:val="002C4DA4"/>
    <w:rsid w:val="002C4E23"/>
    <w:rsid w:val="002C4E6E"/>
    <w:rsid w:val="002C4F64"/>
    <w:rsid w:val="002C4FFE"/>
    <w:rsid w:val="002C5258"/>
    <w:rsid w:val="002C52E2"/>
    <w:rsid w:val="002C56A8"/>
    <w:rsid w:val="002C59B7"/>
    <w:rsid w:val="002C624D"/>
    <w:rsid w:val="002C62E3"/>
    <w:rsid w:val="002C635D"/>
    <w:rsid w:val="002C668E"/>
    <w:rsid w:val="002C670B"/>
    <w:rsid w:val="002C6955"/>
    <w:rsid w:val="002C702A"/>
    <w:rsid w:val="002C703F"/>
    <w:rsid w:val="002C72CE"/>
    <w:rsid w:val="002C7315"/>
    <w:rsid w:val="002C7430"/>
    <w:rsid w:val="002C763E"/>
    <w:rsid w:val="002C772B"/>
    <w:rsid w:val="002C7781"/>
    <w:rsid w:val="002C7C93"/>
    <w:rsid w:val="002C7DE2"/>
    <w:rsid w:val="002C7EFD"/>
    <w:rsid w:val="002D00DC"/>
    <w:rsid w:val="002D0117"/>
    <w:rsid w:val="002D01FD"/>
    <w:rsid w:val="002D04F4"/>
    <w:rsid w:val="002D0529"/>
    <w:rsid w:val="002D06BA"/>
    <w:rsid w:val="002D07E3"/>
    <w:rsid w:val="002D07E7"/>
    <w:rsid w:val="002D07FE"/>
    <w:rsid w:val="002D099F"/>
    <w:rsid w:val="002D09D6"/>
    <w:rsid w:val="002D0A5A"/>
    <w:rsid w:val="002D0BB6"/>
    <w:rsid w:val="002D0BCC"/>
    <w:rsid w:val="002D0D3B"/>
    <w:rsid w:val="002D0F64"/>
    <w:rsid w:val="002D0FA1"/>
    <w:rsid w:val="002D1455"/>
    <w:rsid w:val="002D1578"/>
    <w:rsid w:val="002D15CF"/>
    <w:rsid w:val="002D17D3"/>
    <w:rsid w:val="002D184A"/>
    <w:rsid w:val="002D1860"/>
    <w:rsid w:val="002D18AC"/>
    <w:rsid w:val="002D18F3"/>
    <w:rsid w:val="002D19AC"/>
    <w:rsid w:val="002D20D0"/>
    <w:rsid w:val="002D273B"/>
    <w:rsid w:val="002D2ADF"/>
    <w:rsid w:val="002D2B86"/>
    <w:rsid w:val="002D2BFE"/>
    <w:rsid w:val="002D2C6D"/>
    <w:rsid w:val="002D30B2"/>
    <w:rsid w:val="002D3191"/>
    <w:rsid w:val="002D32D5"/>
    <w:rsid w:val="002D331F"/>
    <w:rsid w:val="002D38DB"/>
    <w:rsid w:val="002D3BBD"/>
    <w:rsid w:val="002D3C39"/>
    <w:rsid w:val="002D421F"/>
    <w:rsid w:val="002D42C2"/>
    <w:rsid w:val="002D4671"/>
    <w:rsid w:val="002D4948"/>
    <w:rsid w:val="002D4B7D"/>
    <w:rsid w:val="002D4C86"/>
    <w:rsid w:val="002D4C9C"/>
    <w:rsid w:val="002D4D51"/>
    <w:rsid w:val="002D5083"/>
    <w:rsid w:val="002D521B"/>
    <w:rsid w:val="002D538D"/>
    <w:rsid w:val="002D539B"/>
    <w:rsid w:val="002D5688"/>
    <w:rsid w:val="002D5708"/>
    <w:rsid w:val="002D5889"/>
    <w:rsid w:val="002D590E"/>
    <w:rsid w:val="002D5D87"/>
    <w:rsid w:val="002D5F4A"/>
    <w:rsid w:val="002D64B3"/>
    <w:rsid w:val="002D6616"/>
    <w:rsid w:val="002D69A0"/>
    <w:rsid w:val="002D69D9"/>
    <w:rsid w:val="002D6A2F"/>
    <w:rsid w:val="002D6B29"/>
    <w:rsid w:val="002D7167"/>
    <w:rsid w:val="002D74BC"/>
    <w:rsid w:val="002D77C3"/>
    <w:rsid w:val="002D77F2"/>
    <w:rsid w:val="002E0334"/>
    <w:rsid w:val="002E0383"/>
    <w:rsid w:val="002E03DA"/>
    <w:rsid w:val="002E09E3"/>
    <w:rsid w:val="002E0B79"/>
    <w:rsid w:val="002E0C42"/>
    <w:rsid w:val="002E0D23"/>
    <w:rsid w:val="002E0E6A"/>
    <w:rsid w:val="002E0ED6"/>
    <w:rsid w:val="002E0F5B"/>
    <w:rsid w:val="002E1672"/>
    <w:rsid w:val="002E181D"/>
    <w:rsid w:val="002E19E8"/>
    <w:rsid w:val="002E1B79"/>
    <w:rsid w:val="002E1DA1"/>
    <w:rsid w:val="002E24CA"/>
    <w:rsid w:val="002E26FC"/>
    <w:rsid w:val="002E2A7E"/>
    <w:rsid w:val="002E2B11"/>
    <w:rsid w:val="002E2C89"/>
    <w:rsid w:val="002E32AA"/>
    <w:rsid w:val="002E3AA9"/>
    <w:rsid w:val="002E3CC0"/>
    <w:rsid w:val="002E3D0B"/>
    <w:rsid w:val="002E3EB8"/>
    <w:rsid w:val="002E47D1"/>
    <w:rsid w:val="002E47E4"/>
    <w:rsid w:val="002E4929"/>
    <w:rsid w:val="002E4DDC"/>
    <w:rsid w:val="002E4F13"/>
    <w:rsid w:val="002E57F9"/>
    <w:rsid w:val="002E592D"/>
    <w:rsid w:val="002E5F4C"/>
    <w:rsid w:val="002E5FEC"/>
    <w:rsid w:val="002E64F8"/>
    <w:rsid w:val="002E6612"/>
    <w:rsid w:val="002E669C"/>
    <w:rsid w:val="002E66F9"/>
    <w:rsid w:val="002E6851"/>
    <w:rsid w:val="002E6B51"/>
    <w:rsid w:val="002E7108"/>
    <w:rsid w:val="002E714E"/>
    <w:rsid w:val="002E71B7"/>
    <w:rsid w:val="002E72EE"/>
    <w:rsid w:val="002E7398"/>
    <w:rsid w:val="002E76BA"/>
    <w:rsid w:val="002E7725"/>
    <w:rsid w:val="002E797B"/>
    <w:rsid w:val="002E7A41"/>
    <w:rsid w:val="002E7A54"/>
    <w:rsid w:val="002E7BCD"/>
    <w:rsid w:val="002E7BD2"/>
    <w:rsid w:val="002E7DEE"/>
    <w:rsid w:val="002E7ECF"/>
    <w:rsid w:val="002F00C5"/>
    <w:rsid w:val="002F00D0"/>
    <w:rsid w:val="002F00DA"/>
    <w:rsid w:val="002F0207"/>
    <w:rsid w:val="002F02A7"/>
    <w:rsid w:val="002F04EC"/>
    <w:rsid w:val="002F04F9"/>
    <w:rsid w:val="002F053D"/>
    <w:rsid w:val="002F05F6"/>
    <w:rsid w:val="002F06AF"/>
    <w:rsid w:val="002F074B"/>
    <w:rsid w:val="002F0927"/>
    <w:rsid w:val="002F0929"/>
    <w:rsid w:val="002F0AE2"/>
    <w:rsid w:val="002F0E05"/>
    <w:rsid w:val="002F0E61"/>
    <w:rsid w:val="002F10B6"/>
    <w:rsid w:val="002F113C"/>
    <w:rsid w:val="002F1445"/>
    <w:rsid w:val="002F154B"/>
    <w:rsid w:val="002F1915"/>
    <w:rsid w:val="002F1986"/>
    <w:rsid w:val="002F1B44"/>
    <w:rsid w:val="002F20F1"/>
    <w:rsid w:val="002F21E5"/>
    <w:rsid w:val="002F226E"/>
    <w:rsid w:val="002F233E"/>
    <w:rsid w:val="002F24C4"/>
    <w:rsid w:val="002F2967"/>
    <w:rsid w:val="002F29C6"/>
    <w:rsid w:val="002F2A4A"/>
    <w:rsid w:val="002F2E24"/>
    <w:rsid w:val="002F2F38"/>
    <w:rsid w:val="002F33D6"/>
    <w:rsid w:val="002F360D"/>
    <w:rsid w:val="002F4049"/>
    <w:rsid w:val="002F411E"/>
    <w:rsid w:val="002F412C"/>
    <w:rsid w:val="002F420C"/>
    <w:rsid w:val="002F4405"/>
    <w:rsid w:val="002F4488"/>
    <w:rsid w:val="002F467C"/>
    <w:rsid w:val="002F480A"/>
    <w:rsid w:val="002F484C"/>
    <w:rsid w:val="002F4EAD"/>
    <w:rsid w:val="002F4F33"/>
    <w:rsid w:val="002F5115"/>
    <w:rsid w:val="002F5417"/>
    <w:rsid w:val="002F559A"/>
    <w:rsid w:val="002F5CAE"/>
    <w:rsid w:val="002F6031"/>
    <w:rsid w:val="002F607B"/>
    <w:rsid w:val="002F609A"/>
    <w:rsid w:val="002F623B"/>
    <w:rsid w:val="002F6259"/>
    <w:rsid w:val="002F625C"/>
    <w:rsid w:val="002F648B"/>
    <w:rsid w:val="002F6549"/>
    <w:rsid w:val="002F6A97"/>
    <w:rsid w:val="002F6B2F"/>
    <w:rsid w:val="002F72BF"/>
    <w:rsid w:val="002F7305"/>
    <w:rsid w:val="002F73CE"/>
    <w:rsid w:val="002F746F"/>
    <w:rsid w:val="002F78D1"/>
    <w:rsid w:val="002F78EB"/>
    <w:rsid w:val="00300021"/>
    <w:rsid w:val="003000DD"/>
    <w:rsid w:val="00300105"/>
    <w:rsid w:val="003001D4"/>
    <w:rsid w:val="00300539"/>
    <w:rsid w:val="0030061F"/>
    <w:rsid w:val="00300665"/>
    <w:rsid w:val="00300F13"/>
    <w:rsid w:val="00301173"/>
    <w:rsid w:val="003011D5"/>
    <w:rsid w:val="003014B8"/>
    <w:rsid w:val="003018EE"/>
    <w:rsid w:val="00301D20"/>
    <w:rsid w:val="0030211B"/>
    <w:rsid w:val="00302385"/>
    <w:rsid w:val="00302415"/>
    <w:rsid w:val="003024A6"/>
    <w:rsid w:val="00302608"/>
    <w:rsid w:val="00302751"/>
    <w:rsid w:val="00302BAB"/>
    <w:rsid w:val="00302CA5"/>
    <w:rsid w:val="00302D7F"/>
    <w:rsid w:val="00302DDE"/>
    <w:rsid w:val="00302F4B"/>
    <w:rsid w:val="0030363E"/>
    <w:rsid w:val="003038C7"/>
    <w:rsid w:val="00303ACE"/>
    <w:rsid w:val="00303CD8"/>
    <w:rsid w:val="00303D09"/>
    <w:rsid w:val="00303DD1"/>
    <w:rsid w:val="00303EFB"/>
    <w:rsid w:val="00304242"/>
    <w:rsid w:val="003044DD"/>
    <w:rsid w:val="00304563"/>
    <w:rsid w:val="00304665"/>
    <w:rsid w:val="00304A12"/>
    <w:rsid w:val="00304CDB"/>
    <w:rsid w:val="00304D18"/>
    <w:rsid w:val="00304DB4"/>
    <w:rsid w:val="00304EDD"/>
    <w:rsid w:val="00304FE9"/>
    <w:rsid w:val="00305005"/>
    <w:rsid w:val="00305089"/>
    <w:rsid w:val="003050FD"/>
    <w:rsid w:val="003055E7"/>
    <w:rsid w:val="003058E4"/>
    <w:rsid w:val="00305A2E"/>
    <w:rsid w:val="00305A36"/>
    <w:rsid w:val="00305DFD"/>
    <w:rsid w:val="00305E16"/>
    <w:rsid w:val="00305E55"/>
    <w:rsid w:val="00306038"/>
    <w:rsid w:val="0030617F"/>
    <w:rsid w:val="00306223"/>
    <w:rsid w:val="00306230"/>
    <w:rsid w:val="00306449"/>
    <w:rsid w:val="0030658C"/>
    <w:rsid w:val="00306646"/>
    <w:rsid w:val="00306810"/>
    <w:rsid w:val="00307122"/>
    <w:rsid w:val="003074FA"/>
    <w:rsid w:val="0030768E"/>
    <w:rsid w:val="00307F61"/>
    <w:rsid w:val="00310703"/>
    <w:rsid w:val="00310DAB"/>
    <w:rsid w:val="00310E7D"/>
    <w:rsid w:val="00310E7F"/>
    <w:rsid w:val="0031154B"/>
    <w:rsid w:val="0031177B"/>
    <w:rsid w:val="003117B5"/>
    <w:rsid w:val="00311EA7"/>
    <w:rsid w:val="00311ECD"/>
    <w:rsid w:val="00311FED"/>
    <w:rsid w:val="0031310C"/>
    <w:rsid w:val="003137AC"/>
    <w:rsid w:val="0031394A"/>
    <w:rsid w:val="00313A5E"/>
    <w:rsid w:val="00313AE5"/>
    <w:rsid w:val="00313BCB"/>
    <w:rsid w:val="00313BE1"/>
    <w:rsid w:val="00313C40"/>
    <w:rsid w:val="00314286"/>
    <w:rsid w:val="003144D1"/>
    <w:rsid w:val="00314861"/>
    <w:rsid w:val="0031492A"/>
    <w:rsid w:val="00314E15"/>
    <w:rsid w:val="00314E5D"/>
    <w:rsid w:val="00314E96"/>
    <w:rsid w:val="003150BD"/>
    <w:rsid w:val="00315352"/>
    <w:rsid w:val="00315527"/>
    <w:rsid w:val="0031568D"/>
    <w:rsid w:val="0031588E"/>
    <w:rsid w:val="003159C3"/>
    <w:rsid w:val="00315BA0"/>
    <w:rsid w:val="00315C09"/>
    <w:rsid w:val="00315E56"/>
    <w:rsid w:val="003164BC"/>
    <w:rsid w:val="003164F4"/>
    <w:rsid w:val="0031683E"/>
    <w:rsid w:val="003168B6"/>
    <w:rsid w:val="00316947"/>
    <w:rsid w:val="00316D0E"/>
    <w:rsid w:val="00316D2D"/>
    <w:rsid w:val="003171F6"/>
    <w:rsid w:val="003173F6"/>
    <w:rsid w:val="0031741F"/>
    <w:rsid w:val="0031755F"/>
    <w:rsid w:val="0031788C"/>
    <w:rsid w:val="00317A88"/>
    <w:rsid w:val="00317BC4"/>
    <w:rsid w:val="00317D18"/>
    <w:rsid w:val="00317D64"/>
    <w:rsid w:val="00317DE2"/>
    <w:rsid w:val="00317E1F"/>
    <w:rsid w:val="00317E81"/>
    <w:rsid w:val="00317FA9"/>
    <w:rsid w:val="003204A4"/>
    <w:rsid w:val="003208AF"/>
    <w:rsid w:val="00320A1F"/>
    <w:rsid w:val="00321049"/>
    <w:rsid w:val="003210A3"/>
    <w:rsid w:val="003210B6"/>
    <w:rsid w:val="0032114B"/>
    <w:rsid w:val="00321152"/>
    <w:rsid w:val="003211A2"/>
    <w:rsid w:val="003215CC"/>
    <w:rsid w:val="0032171A"/>
    <w:rsid w:val="00321A17"/>
    <w:rsid w:val="00321E0A"/>
    <w:rsid w:val="00321E61"/>
    <w:rsid w:val="00321FD9"/>
    <w:rsid w:val="00322379"/>
    <w:rsid w:val="00322454"/>
    <w:rsid w:val="003225D5"/>
    <w:rsid w:val="00322618"/>
    <w:rsid w:val="00322FC9"/>
    <w:rsid w:val="003234A1"/>
    <w:rsid w:val="003235C3"/>
    <w:rsid w:val="003236A6"/>
    <w:rsid w:val="00323729"/>
    <w:rsid w:val="003237AE"/>
    <w:rsid w:val="003237F1"/>
    <w:rsid w:val="003239C6"/>
    <w:rsid w:val="00323DC7"/>
    <w:rsid w:val="003241F0"/>
    <w:rsid w:val="00324367"/>
    <w:rsid w:val="00324565"/>
    <w:rsid w:val="003245B4"/>
    <w:rsid w:val="003247B9"/>
    <w:rsid w:val="00324858"/>
    <w:rsid w:val="00324AE7"/>
    <w:rsid w:val="00324B61"/>
    <w:rsid w:val="00324FBB"/>
    <w:rsid w:val="00325150"/>
    <w:rsid w:val="003251C8"/>
    <w:rsid w:val="00325211"/>
    <w:rsid w:val="0032522F"/>
    <w:rsid w:val="003252D0"/>
    <w:rsid w:val="003257E1"/>
    <w:rsid w:val="00325A64"/>
    <w:rsid w:val="00325BE4"/>
    <w:rsid w:val="00325C40"/>
    <w:rsid w:val="00325C9E"/>
    <w:rsid w:val="00325E1E"/>
    <w:rsid w:val="00325F10"/>
    <w:rsid w:val="00325FA8"/>
    <w:rsid w:val="003261F9"/>
    <w:rsid w:val="003262D2"/>
    <w:rsid w:val="00326316"/>
    <w:rsid w:val="0032663E"/>
    <w:rsid w:val="00326716"/>
    <w:rsid w:val="0032683C"/>
    <w:rsid w:val="00326D0D"/>
    <w:rsid w:val="00327111"/>
    <w:rsid w:val="003273AB"/>
    <w:rsid w:val="00327587"/>
    <w:rsid w:val="00327D39"/>
    <w:rsid w:val="00327E24"/>
    <w:rsid w:val="0033006C"/>
    <w:rsid w:val="00330366"/>
    <w:rsid w:val="0033045F"/>
    <w:rsid w:val="0033074D"/>
    <w:rsid w:val="00330819"/>
    <w:rsid w:val="0033093C"/>
    <w:rsid w:val="003309B4"/>
    <w:rsid w:val="00330AD9"/>
    <w:rsid w:val="00330E8B"/>
    <w:rsid w:val="00330EFC"/>
    <w:rsid w:val="003310F9"/>
    <w:rsid w:val="003314DF"/>
    <w:rsid w:val="00331724"/>
    <w:rsid w:val="00331DC8"/>
    <w:rsid w:val="00331F46"/>
    <w:rsid w:val="00332223"/>
    <w:rsid w:val="0033231A"/>
    <w:rsid w:val="003323F8"/>
    <w:rsid w:val="0033241B"/>
    <w:rsid w:val="003326F3"/>
    <w:rsid w:val="00332781"/>
    <w:rsid w:val="00332876"/>
    <w:rsid w:val="00332ABE"/>
    <w:rsid w:val="00332D62"/>
    <w:rsid w:val="00332DFB"/>
    <w:rsid w:val="0033313D"/>
    <w:rsid w:val="0033322F"/>
    <w:rsid w:val="0033345D"/>
    <w:rsid w:val="0033356F"/>
    <w:rsid w:val="00333A85"/>
    <w:rsid w:val="00333A88"/>
    <w:rsid w:val="00333AC5"/>
    <w:rsid w:val="00333D0A"/>
    <w:rsid w:val="00333D3C"/>
    <w:rsid w:val="003340B8"/>
    <w:rsid w:val="003340DF"/>
    <w:rsid w:val="003342FA"/>
    <w:rsid w:val="003344D0"/>
    <w:rsid w:val="0033458F"/>
    <w:rsid w:val="0033460B"/>
    <w:rsid w:val="003346F7"/>
    <w:rsid w:val="0033483A"/>
    <w:rsid w:val="00334A1C"/>
    <w:rsid w:val="00334A92"/>
    <w:rsid w:val="00334CD9"/>
    <w:rsid w:val="003351E1"/>
    <w:rsid w:val="003351E5"/>
    <w:rsid w:val="0033521B"/>
    <w:rsid w:val="0033526A"/>
    <w:rsid w:val="003355F8"/>
    <w:rsid w:val="0033563C"/>
    <w:rsid w:val="003356BA"/>
    <w:rsid w:val="003357FD"/>
    <w:rsid w:val="003359BB"/>
    <w:rsid w:val="00335ABE"/>
    <w:rsid w:val="00335B3B"/>
    <w:rsid w:val="00335C86"/>
    <w:rsid w:val="00336016"/>
    <w:rsid w:val="00336041"/>
    <w:rsid w:val="003360E3"/>
    <w:rsid w:val="00336108"/>
    <w:rsid w:val="00336390"/>
    <w:rsid w:val="003363D5"/>
    <w:rsid w:val="0033646F"/>
    <w:rsid w:val="0033672D"/>
    <w:rsid w:val="00336D47"/>
    <w:rsid w:val="003370A3"/>
    <w:rsid w:val="0033736C"/>
    <w:rsid w:val="003374BA"/>
    <w:rsid w:val="003374EA"/>
    <w:rsid w:val="003378FE"/>
    <w:rsid w:val="0033798F"/>
    <w:rsid w:val="00337A39"/>
    <w:rsid w:val="00337A75"/>
    <w:rsid w:val="00337B12"/>
    <w:rsid w:val="00337B72"/>
    <w:rsid w:val="00337CCB"/>
    <w:rsid w:val="00337E09"/>
    <w:rsid w:val="00337EBA"/>
    <w:rsid w:val="00337EE7"/>
    <w:rsid w:val="00337F05"/>
    <w:rsid w:val="003400E0"/>
    <w:rsid w:val="003401CE"/>
    <w:rsid w:val="003406D2"/>
    <w:rsid w:val="00340A8C"/>
    <w:rsid w:val="00340BC1"/>
    <w:rsid w:val="00340D30"/>
    <w:rsid w:val="00340D9A"/>
    <w:rsid w:val="00340E5D"/>
    <w:rsid w:val="00340F4C"/>
    <w:rsid w:val="0034112B"/>
    <w:rsid w:val="003412FE"/>
    <w:rsid w:val="003413AC"/>
    <w:rsid w:val="00341430"/>
    <w:rsid w:val="00341477"/>
    <w:rsid w:val="00341543"/>
    <w:rsid w:val="00341626"/>
    <w:rsid w:val="00341708"/>
    <w:rsid w:val="00341822"/>
    <w:rsid w:val="00341831"/>
    <w:rsid w:val="00341C3A"/>
    <w:rsid w:val="00341FAA"/>
    <w:rsid w:val="00342513"/>
    <w:rsid w:val="00342CF4"/>
    <w:rsid w:val="00342D40"/>
    <w:rsid w:val="00342E5E"/>
    <w:rsid w:val="00342F14"/>
    <w:rsid w:val="00342FF5"/>
    <w:rsid w:val="00343150"/>
    <w:rsid w:val="003433C9"/>
    <w:rsid w:val="00343640"/>
    <w:rsid w:val="00343B2F"/>
    <w:rsid w:val="00343DF6"/>
    <w:rsid w:val="00343E1A"/>
    <w:rsid w:val="003440CB"/>
    <w:rsid w:val="003441BB"/>
    <w:rsid w:val="00344282"/>
    <w:rsid w:val="00344418"/>
    <w:rsid w:val="00344DFC"/>
    <w:rsid w:val="00344E3B"/>
    <w:rsid w:val="00344E83"/>
    <w:rsid w:val="00345115"/>
    <w:rsid w:val="003454C8"/>
    <w:rsid w:val="0034552D"/>
    <w:rsid w:val="00345613"/>
    <w:rsid w:val="003456B2"/>
    <w:rsid w:val="00345714"/>
    <w:rsid w:val="00345D1E"/>
    <w:rsid w:val="00345DF6"/>
    <w:rsid w:val="003461AA"/>
    <w:rsid w:val="003461EF"/>
    <w:rsid w:val="00346312"/>
    <w:rsid w:val="0034654F"/>
    <w:rsid w:val="00346629"/>
    <w:rsid w:val="00346A13"/>
    <w:rsid w:val="00347129"/>
    <w:rsid w:val="00347A7A"/>
    <w:rsid w:val="00347AA4"/>
    <w:rsid w:val="00347B22"/>
    <w:rsid w:val="00350041"/>
    <w:rsid w:val="0035021D"/>
    <w:rsid w:val="003506C1"/>
    <w:rsid w:val="003508AB"/>
    <w:rsid w:val="00350B82"/>
    <w:rsid w:val="00350FE3"/>
    <w:rsid w:val="003510FC"/>
    <w:rsid w:val="00351746"/>
    <w:rsid w:val="00351944"/>
    <w:rsid w:val="003519AE"/>
    <w:rsid w:val="00351A48"/>
    <w:rsid w:val="00351BB2"/>
    <w:rsid w:val="00351CAA"/>
    <w:rsid w:val="00351E15"/>
    <w:rsid w:val="00351FB0"/>
    <w:rsid w:val="00352035"/>
    <w:rsid w:val="00352114"/>
    <w:rsid w:val="0035246E"/>
    <w:rsid w:val="003524D5"/>
    <w:rsid w:val="003527B3"/>
    <w:rsid w:val="0035281B"/>
    <w:rsid w:val="00352B6F"/>
    <w:rsid w:val="00352BB9"/>
    <w:rsid w:val="00353130"/>
    <w:rsid w:val="00353206"/>
    <w:rsid w:val="00353572"/>
    <w:rsid w:val="003535B3"/>
    <w:rsid w:val="003537B8"/>
    <w:rsid w:val="00353AA8"/>
    <w:rsid w:val="00353B1E"/>
    <w:rsid w:val="00353BEB"/>
    <w:rsid w:val="00354003"/>
    <w:rsid w:val="0035405B"/>
    <w:rsid w:val="00354117"/>
    <w:rsid w:val="00354140"/>
    <w:rsid w:val="003542F6"/>
    <w:rsid w:val="0035439E"/>
    <w:rsid w:val="0035473C"/>
    <w:rsid w:val="00354CA4"/>
    <w:rsid w:val="00354E70"/>
    <w:rsid w:val="00354F22"/>
    <w:rsid w:val="00354FBC"/>
    <w:rsid w:val="00355033"/>
    <w:rsid w:val="003550D9"/>
    <w:rsid w:val="00355185"/>
    <w:rsid w:val="003555B3"/>
    <w:rsid w:val="0035599C"/>
    <w:rsid w:val="00355A82"/>
    <w:rsid w:val="00355D14"/>
    <w:rsid w:val="00355D67"/>
    <w:rsid w:val="00355E52"/>
    <w:rsid w:val="00355EEC"/>
    <w:rsid w:val="00355FA6"/>
    <w:rsid w:val="00356190"/>
    <w:rsid w:val="00356344"/>
    <w:rsid w:val="003563A2"/>
    <w:rsid w:val="003564C3"/>
    <w:rsid w:val="00356752"/>
    <w:rsid w:val="00356777"/>
    <w:rsid w:val="00356957"/>
    <w:rsid w:val="00356C81"/>
    <w:rsid w:val="00356CD4"/>
    <w:rsid w:val="00356E18"/>
    <w:rsid w:val="00356E60"/>
    <w:rsid w:val="0035729E"/>
    <w:rsid w:val="003575B8"/>
    <w:rsid w:val="0035767F"/>
    <w:rsid w:val="00357E81"/>
    <w:rsid w:val="003600F6"/>
    <w:rsid w:val="00360234"/>
    <w:rsid w:val="0036023C"/>
    <w:rsid w:val="0036032A"/>
    <w:rsid w:val="003605FE"/>
    <w:rsid w:val="0036067E"/>
    <w:rsid w:val="003606D7"/>
    <w:rsid w:val="0036070B"/>
    <w:rsid w:val="00360F9F"/>
    <w:rsid w:val="00361012"/>
    <w:rsid w:val="0036116A"/>
    <w:rsid w:val="0036119E"/>
    <w:rsid w:val="003611E1"/>
    <w:rsid w:val="0036125E"/>
    <w:rsid w:val="003614CE"/>
    <w:rsid w:val="003617A6"/>
    <w:rsid w:val="00361CA3"/>
    <w:rsid w:val="00361CEA"/>
    <w:rsid w:val="00361EFA"/>
    <w:rsid w:val="00362183"/>
    <w:rsid w:val="003622D9"/>
    <w:rsid w:val="0036264B"/>
    <w:rsid w:val="00362799"/>
    <w:rsid w:val="003628CA"/>
    <w:rsid w:val="00362CA9"/>
    <w:rsid w:val="00362D7D"/>
    <w:rsid w:val="00362DCA"/>
    <w:rsid w:val="00362F96"/>
    <w:rsid w:val="00362FD5"/>
    <w:rsid w:val="00363046"/>
    <w:rsid w:val="0036307E"/>
    <w:rsid w:val="00363183"/>
    <w:rsid w:val="003632E1"/>
    <w:rsid w:val="0036334C"/>
    <w:rsid w:val="00363418"/>
    <w:rsid w:val="00363864"/>
    <w:rsid w:val="00363931"/>
    <w:rsid w:val="00363B72"/>
    <w:rsid w:val="00363D2A"/>
    <w:rsid w:val="00364104"/>
    <w:rsid w:val="0036454C"/>
    <w:rsid w:val="00364598"/>
    <w:rsid w:val="0036474A"/>
    <w:rsid w:val="0036479D"/>
    <w:rsid w:val="003648A7"/>
    <w:rsid w:val="003648CB"/>
    <w:rsid w:val="003648F9"/>
    <w:rsid w:val="00364A1D"/>
    <w:rsid w:val="00364C5C"/>
    <w:rsid w:val="00364E49"/>
    <w:rsid w:val="00365343"/>
    <w:rsid w:val="0036540A"/>
    <w:rsid w:val="00365862"/>
    <w:rsid w:val="00365C0B"/>
    <w:rsid w:val="00365CD3"/>
    <w:rsid w:val="00365E27"/>
    <w:rsid w:val="00365EE0"/>
    <w:rsid w:val="003660DD"/>
    <w:rsid w:val="003662E3"/>
    <w:rsid w:val="00366B61"/>
    <w:rsid w:val="00366BFD"/>
    <w:rsid w:val="00366C68"/>
    <w:rsid w:val="00366EBF"/>
    <w:rsid w:val="003673FE"/>
    <w:rsid w:val="00367425"/>
    <w:rsid w:val="003674B7"/>
    <w:rsid w:val="00367521"/>
    <w:rsid w:val="0036776A"/>
    <w:rsid w:val="003678FE"/>
    <w:rsid w:val="00367994"/>
    <w:rsid w:val="00367A53"/>
    <w:rsid w:val="00367E8A"/>
    <w:rsid w:val="00370076"/>
    <w:rsid w:val="0037054A"/>
    <w:rsid w:val="003706E9"/>
    <w:rsid w:val="00370CE8"/>
    <w:rsid w:val="00370F09"/>
    <w:rsid w:val="00370FEC"/>
    <w:rsid w:val="00371059"/>
    <w:rsid w:val="0037107A"/>
    <w:rsid w:val="0037109C"/>
    <w:rsid w:val="00371262"/>
    <w:rsid w:val="00371299"/>
    <w:rsid w:val="0037148D"/>
    <w:rsid w:val="0037167B"/>
    <w:rsid w:val="00371862"/>
    <w:rsid w:val="00371AE8"/>
    <w:rsid w:val="00371D3E"/>
    <w:rsid w:val="00371DB2"/>
    <w:rsid w:val="00371E5D"/>
    <w:rsid w:val="00371F16"/>
    <w:rsid w:val="003721C9"/>
    <w:rsid w:val="003721D8"/>
    <w:rsid w:val="0037231B"/>
    <w:rsid w:val="003725BC"/>
    <w:rsid w:val="00372658"/>
    <w:rsid w:val="00372809"/>
    <w:rsid w:val="00372DD2"/>
    <w:rsid w:val="00372F60"/>
    <w:rsid w:val="00372FC1"/>
    <w:rsid w:val="00373135"/>
    <w:rsid w:val="00373192"/>
    <w:rsid w:val="00373364"/>
    <w:rsid w:val="003733E2"/>
    <w:rsid w:val="00373726"/>
    <w:rsid w:val="00373A37"/>
    <w:rsid w:val="00373D53"/>
    <w:rsid w:val="00374095"/>
    <w:rsid w:val="003746EC"/>
    <w:rsid w:val="0037474F"/>
    <w:rsid w:val="003749A3"/>
    <w:rsid w:val="00375155"/>
    <w:rsid w:val="0037536C"/>
    <w:rsid w:val="0037557D"/>
    <w:rsid w:val="00375682"/>
    <w:rsid w:val="00375713"/>
    <w:rsid w:val="00375841"/>
    <w:rsid w:val="00375940"/>
    <w:rsid w:val="003760A5"/>
    <w:rsid w:val="00376145"/>
    <w:rsid w:val="00376180"/>
    <w:rsid w:val="00376613"/>
    <w:rsid w:val="003767C3"/>
    <w:rsid w:val="00376A0B"/>
    <w:rsid w:val="0037710F"/>
    <w:rsid w:val="003772B0"/>
    <w:rsid w:val="003774AB"/>
    <w:rsid w:val="0037754E"/>
    <w:rsid w:val="0037767A"/>
    <w:rsid w:val="003778BD"/>
    <w:rsid w:val="0037794C"/>
    <w:rsid w:val="00377DB5"/>
    <w:rsid w:val="00377EEE"/>
    <w:rsid w:val="00380127"/>
    <w:rsid w:val="003801AD"/>
    <w:rsid w:val="00380204"/>
    <w:rsid w:val="0038033B"/>
    <w:rsid w:val="003803D2"/>
    <w:rsid w:val="00380569"/>
    <w:rsid w:val="003807BF"/>
    <w:rsid w:val="00380B2B"/>
    <w:rsid w:val="00380F1A"/>
    <w:rsid w:val="00380FD0"/>
    <w:rsid w:val="00380FEC"/>
    <w:rsid w:val="003811CA"/>
    <w:rsid w:val="0038132F"/>
    <w:rsid w:val="00381364"/>
    <w:rsid w:val="0038138E"/>
    <w:rsid w:val="0038138F"/>
    <w:rsid w:val="00381543"/>
    <w:rsid w:val="003816E2"/>
    <w:rsid w:val="00381A5F"/>
    <w:rsid w:val="00381ADB"/>
    <w:rsid w:val="00381D9E"/>
    <w:rsid w:val="003820DA"/>
    <w:rsid w:val="003822A4"/>
    <w:rsid w:val="003823E0"/>
    <w:rsid w:val="0038242A"/>
    <w:rsid w:val="00382439"/>
    <w:rsid w:val="00382490"/>
    <w:rsid w:val="0038285E"/>
    <w:rsid w:val="00382952"/>
    <w:rsid w:val="0038295B"/>
    <w:rsid w:val="0038297E"/>
    <w:rsid w:val="00382A2A"/>
    <w:rsid w:val="00382A37"/>
    <w:rsid w:val="00382CAD"/>
    <w:rsid w:val="00382F17"/>
    <w:rsid w:val="00382F63"/>
    <w:rsid w:val="00382FEC"/>
    <w:rsid w:val="00383589"/>
    <w:rsid w:val="003837AC"/>
    <w:rsid w:val="00383856"/>
    <w:rsid w:val="0038399A"/>
    <w:rsid w:val="003839C3"/>
    <w:rsid w:val="00383A13"/>
    <w:rsid w:val="00383CC5"/>
    <w:rsid w:val="00383D4D"/>
    <w:rsid w:val="0038440B"/>
    <w:rsid w:val="00384414"/>
    <w:rsid w:val="0038471D"/>
    <w:rsid w:val="0038482C"/>
    <w:rsid w:val="00384AC1"/>
    <w:rsid w:val="00384B91"/>
    <w:rsid w:val="00384BC9"/>
    <w:rsid w:val="00384C7B"/>
    <w:rsid w:val="00384DED"/>
    <w:rsid w:val="00384E3A"/>
    <w:rsid w:val="00385019"/>
    <w:rsid w:val="00385199"/>
    <w:rsid w:val="0038577F"/>
    <w:rsid w:val="00385882"/>
    <w:rsid w:val="00385888"/>
    <w:rsid w:val="0038593E"/>
    <w:rsid w:val="00385D3F"/>
    <w:rsid w:val="00386268"/>
    <w:rsid w:val="0038633D"/>
    <w:rsid w:val="003867FD"/>
    <w:rsid w:val="00386D47"/>
    <w:rsid w:val="0038705E"/>
    <w:rsid w:val="003870E0"/>
    <w:rsid w:val="00387102"/>
    <w:rsid w:val="00387282"/>
    <w:rsid w:val="003877AF"/>
    <w:rsid w:val="003877D8"/>
    <w:rsid w:val="00387A25"/>
    <w:rsid w:val="00387AC1"/>
    <w:rsid w:val="00387AC4"/>
    <w:rsid w:val="00387B07"/>
    <w:rsid w:val="00387B29"/>
    <w:rsid w:val="00387B30"/>
    <w:rsid w:val="003901FB"/>
    <w:rsid w:val="0039037D"/>
    <w:rsid w:val="0039042D"/>
    <w:rsid w:val="003904C5"/>
    <w:rsid w:val="0039053E"/>
    <w:rsid w:val="0039068A"/>
    <w:rsid w:val="003907CE"/>
    <w:rsid w:val="003909C3"/>
    <w:rsid w:val="003909D0"/>
    <w:rsid w:val="00390B67"/>
    <w:rsid w:val="00390D48"/>
    <w:rsid w:val="00390D97"/>
    <w:rsid w:val="00391378"/>
    <w:rsid w:val="0039194B"/>
    <w:rsid w:val="00391BC5"/>
    <w:rsid w:val="00391D9C"/>
    <w:rsid w:val="003920CD"/>
    <w:rsid w:val="003920E6"/>
    <w:rsid w:val="003924FD"/>
    <w:rsid w:val="003925EA"/>
    <w:rsid w:val="00392606"/>
    <w:rsid w:val="00392681"/>
    <w:rsid w:val="00392961"/>
    <w:rsid w:val="00392B8B"/>
    <w:rsid w:val="00392FDB"/>
    <w:rsid w:val="0039322A"/>
    <w:rsid w:val="00393259"/>
    <w:rsid w:val="003932EA"/>
    <w:rsid w:val="00393829"/>
    <w:rsid w:val="003938D1"/>
    <w:rsid w:val="00393A0D"/>
    <w:rsid w:val="00393FFE"/>
    <w:rsid w:val="00394057"/>
    <w:rsid w:val="00394100"/>
    <w:rsid w:val="003941F3"/>
    <w:rsid w:val="003945C7"/>
    <w:rsid w:val="0039486B"/>
    <w:rsid w:val="003948A3"/>
    <w:rsid w:val="00394991"/>
    <w:rsid w:val="00394A06"/>
    <w:rsid w:val="00394E2C"/>
    <w:rsid w:val="00395039"/>
    <w:rsid w:val="003955CB"/>
    <w:rsid w:val="003956B9"/>
    <w:rsid w:val="003959C8"/>
    <w:rsid w:val="00395D02"/>
    <w:rsid w:val="00395D81"/>
    <w:rsid w:val="00396033"/>
    <w:rsid w:val="003961EA"/>
    <w:rsid w:val="003967DF"/>
    <w:rsid w:val="00396970"/>
    <w:rsid w:val="003969C5"/>
    <w:rsid w:val="00396E00"/>
    <w:rsid w:val="00396F88"/>
    <w:rsid w:val="00397036"/>
    <w:rsid w:val="00397171"/>
    <w:rsid w:val="00397175"/>
    <w:rsid w:val="00397311"/>
    <w:rsid w:val="00397337"/>
    <w:rsid w:val="0039738F"/>
    <w:rsid w:val="00397543"/>
    <w:rsid w:val="0039756B"/>
    <w:rsid w:val="0039766E"/>
    <w:rsid w:val="0039773B"/>
    <w:rsid w:val="00397884"/>
    <w:rsid w:val="003978A3"/>
    <w:rsid w:val="00397A37"/>
    <w:rsid w:val="00397B4C"/>
    <w:rsid w:val="00397CE0"/>
    <w:rsid w:val="00397D21"/>
    <w:rsid w:val="00397ED2"/>
    <w:rsid w:val="003A0006"/>
    <w:rsid w:val="003A026E"/>
    <w:rsid w:val="003A0345"/>
    <w:rsid w:val="003A046E"/>
    <w:rsid w:val="003A0AAF"/>
    <w:rsid w:val="003A0B2B"/>
    <w:rsid w:val="003A0BFF"/>
    <w:rsid w:val="003A0D22"/>
    <w:rsid w:val="003A121B"/>
    <w:rsid w:val="003A12BF"/>
    <w:rsid w:val="003A14ED"/>
    <w:rsid w:val="003A1608"/>
    <w:rsid w:val="003A1616"/>
    <w:rsid w:val="003A181E"/>
    <w:rsid w:val="003A18E2"/>
    <w:rsid w:val="003A1A10"/>
    <w:rsid w:val="003A1AFA"/>
    <w:rsid w:val="003A1B0A"/>
    <w:rsid w:val="003A1D0E"/>
    <w:rsid w:val="003A1E7F"/>
    <w:rsid w:val="003A212B"/>
    <w:rsid w:val="003A2256"/>
    <w:rsid w:val="003A22F1"/>
    <w:rsid w:val="003A2384"/>
    <w:rsid w:val="003A25C7"/>
    <w:rsid w:val="003A2606"/>
    <w:rsid w:val="003A271C"/>
    <w:rsid w:val="003A2817"/>
    <w:rsid w:val="003A2A40"/>
    <w:rsid w:val="003A2A8E"/>
    <w:rsid w:val="003A2AD1"/>
    <w:rsid w:val="003A2C82"/>
    <w:rsid w:val="003A2D11"/>
    <w:rsid w:val="003A32B2"/>
    <w:rsid w:val="003A3374"/>
    <w:rsid w:val="003A33A0"/>
    <w:rsid w:val="003A3425"/>
    <w:rsid w:val="003A344A"/>
    <w:rsid w:val="003A3603"/>
    <w:rsid w:val="003A3960"/>
    <w:rsid w:val="003A3984"/>
    <w:rsid w:val="003A3B2A"/>
    <w:rsid w:val="003A3C06"/>
    <w:rsid w:val="003A3CCD"/>
    <w:rsid w:val="003A3EB6"/>
    <w:rsid w:val="003A4126"/>
    <w:rsid w:val="003A4309"/>
    <w:rsid w:val="003A46CF"/>
    <w:rsid w:val="003A4C57"/>
    <w:rsid w:val="003A4D86"/>
    <w:rsid w:val="003A4EAB"/>
    <w:rsid w:val="003A529D"/>
    <w:rsid w:val="003A55A6"/>
    <w:rsid w:val="003A5650"/>
    <w:rsid w:val="003A56C9"/>
    <w:rsid w:val="003A5739"/>
    <w:rsid w:val="003A5D03"/>
    <w:rsid w:val="003A5EDC"/>
    <w:rsid w:val="003A5F91"/>
    <w:rsid w:val="003A6220"/>
    <w:rsid w:val="003A628B"/>
    <w:rsid w:val="003A63FC"/>
    <w:rsid w:val="003A6484"/>
    <w:rsid w:val="003A653C"/>
    <w:rsid w:val="003A6652"/>
    <w:rsid w:val="003A7263"/>
    <w:rsid w:val="003A760B"/>
    <w:rsid w:val="003A7660"/>
    <w:rsid w:val="003A7694"/>
    <w:rsid w:val="003A76D8"/>
    <w:rsid w:val="003B02C1"/>
    <w:rsid w:val="003B0502"/>
    <w:rsid w:val="003B0547"/>
    <w:rsid w:val="003B0560"/>
    <w:rsid w:val="003B0649"/>
    <w:rsid w:val="003B066D"/>
    <w:rsid w:val="003B06A3"/>
    <w:rsid w:val="003B11A5"/>
    <w:rsid w:val="003B11B3"/>
    <w:rsid w:val="003B1273"/>
    <w:rsid w:val="003B1507"/>
    <w:rsid w:val="003B157D"/>
    <w:rsid w:val="003B1598"/>
    <w:rsid w:val="003B17AF"/>
    <w:rsid w:val="003B17E4"/>
    <w:rsid w:val="003B1A19"/>
    <w:rsid w:val="003B1A68"/>
    <w:rsid w:val="003B1ADB"/>
    <w:rsid w:val="003B1B19"/>
    <w:rsid w:val="003B1E34"/>
    <w:rsid w:val="003B2417"/>
    <w:rsid w:val="003B248A"/>
    <w:rsid w:val="003B24A6"/>
    <w:rsid w:val="003B2571"/>
    <w:rsid w:val="003B2661"/>
    <w:rsid w:val="003B27F0"/>
    <w:rsid w:val="003B2A26"/>
    <w:rsid w:val="003B2A3E"/>
    <w:rsid w:val="003B2CD9"/>
    <w:rsid w:val="003B3199"/>
    <w:rsid w:val="003B329B"/>
    <w:rsid w:val="003B353C"/>
    <w:rsid w:val="003B3700"/>
    <w:rsid w:val="003B372A"/>
    <w:rsid w:val="003B37DD"/>
    <w:rsid w:val="003B37F6"/>
    <w:rsid w:val="003B3950"/>
    <w:rsid w:val="003B3BBD"/>
    <w:rsid w:val="003B3C50"/>
    <w:rsid w:val="003B3E85"/>
    <w:rsid w:val="003B3FA2"/>
    <w:rsid w:val="003B3FEC"/>
    <w:rsid w:val="003B417E"/>
    <w:rsid w:val="003B41B2"/>
    <w:rsid w:val="003B4439"/>
    <w:rsid w:val="003B457E"/>
    <w:rsid w:val="003B45A2"/>
    <w:rsid w:val="003B4B42"/>
    <w:rsid w:val="003B4C66"/>
    <w:rsid w:val="003B4E41"/>
    <w:rsid w:val="003B4EBA"/>
    <w:rsid w:val="003B4EDF"/>
    <w:rsid w:val="003B5489"/>
    <w:rsid w:val="003B5688"/>
    <w:rsid w:val="003B56A7"/>
    <w:rsid w:val="003B5701"/>
    <w:rsid w:val="003B5E1D"/>
    <w:rsid w:val="003B5F36"/>
    <w:rsid w:val="003B5F39"/>
    <w:rsid w:val="003B62BD"/>
    <w:rsid w:val="003B6507"/>
    <w:rsid w:val="003B65D0"/>
    <w:rsid w:val="003B6956"/>
    <w:rsid w:val="003B6F21"/>
    <w:rsid w:val="003B70B3"/>
    <w:rsid w:val="003B717B"/>
    <w:rsid w:val="003B77C4"/>
    <w:rsid w:val="003B7AE7"/>
    <w:rsid w:val="003B7E87"/>
    <w:rsid w:val="003B7ED6"/>
    <w:rsid w:val="003C0DC1"/>
    <w:rsid w:val="003C10A7"/>
    <w:rsid w:val="003C1146"/>
    <w:rsid w:val="003C1238"/>
    <w:rsid w:val="003C12C0"/>
    <w:rsid w:val="003C19DB"/>
    <w:rsid w:val="003C1B44"/>
    <w:rsid w:val="003C1D34"/>
    <w:rsid w:val="003C1DD3"/>
    <w:rsid w:val="003C2212"/>
    <w:rsid w:val="003C22F0"/>
    <w:rsid w:val="003C2A17"/>
    <w:rsid w:val="003C2AA2"/>
    <w:rsid w:val="003C2BF2"/>
    <w:rsid w:val="003C2E68"/>
    <w:rsid w:val="003C2ED5"/>
    <w:rsid w:val="003C30A7"/>
    <w:rsid w:val="003C33AA"/>
    <w:rsid w:val="003C3CEC"/>
    <w:rsid w:val="003C4100"/>
    <w:rsid w:val="003C44DB"/>
    <w:rsid w:val="003C48B8"/>
    <w:rsid w:val="003C4C1A"/>
    <w:rsid w:val="003C4C23"/>
    <w:rsid w:val="003C4C51"/>
    <w:rsid w:val="003C4DC6"/>
    <w:rsid w:val="003C4E8A"/>
    <w:rsid w:val="003C5073"/>
    <w:rsid w:val="003C52C5"/>
    <w:rsid w:val="003C56AB"/>
    <w:rsid w:val="003C5A99"/>
    <w:rsid w:val="003C5BAE"/>
    <w:rsid w:val="003C5E85"/>
    <w:rsid w:val="003C5EE4"/>
    <w:rsid w:val="003C6185"/>
    <w:rsid w:val="003C6737"/>
    <w:rsid w:val="003C6749"/>
    <w:rsid w:val="003C6A34"/>
    <w:rsid w:val="003C6D0B"/>
    <w:rsid w:val="003C6F26"/>
    <w:rsid w:val="003C6FFE"/>
    <w:rsid w:val="003C717E"/>
    <w:rsid w:val="003C727A"/>
    <w:rsid w:val="003C76C4"/>
    <w:rsid w:val="003C76D2"/>
    <w:rsid w:val="003C76D8"/>
    <w:rsid w:val="003C79EE"/>
    <w:rsid w:val="003C7BE1"/>
    <w:rsid w:val="003C7D54"/>
    <w:rsid w:val="003D0476"/>
    <w:rsid w:val="003D0499"/>
    <w:rsid w:val="003D05F4"/>
    <w:rsid w:val="003D0B04"/>
    <w:rsid w:val="003D15D8"/>
    <w:rsid w:val="003D1919"/>
    <w:rsid w:val="003D1A02"/>
    <w:rsid w:val="003D1C5B"/>
    <w:rsid w:val="003D1C65"/>
    <w:rsid w:val="003D1E08"/>
    <w:rsid w:val="003D1FAA"/>
    <w:rsid w:val="003D207A"/>
    <w:rsid w:val="003D220D"/>
    <w:rsid w:val="003D2224"/>
    <w:rsid w:val="003D2280"/>
    <w:rsid w:val="003D232E"/>
    <w:rsid w:val="003D2492"/>
    <w:rsid w:val="003D2863"/>
    <w:rsid w:val="003D2CE4"/>
    <w:rsid w:val="003D2D94"/>
    <w:rsid w:val="003D2E75"/>
    <w:rsid w:val="003D3049"/>
    <w:rsid w:val="003D3106"/>
    <w:rsid w:val="003D3150"/>
    <w:rsid w:val="003D31B3"/>
    <w:rsid w:val="003D3230"/>
    <w:rsid w:val="003D3429"/>
    <w:rsid w:val="003D3540"/>
    <w:rsid w:val="003D3615"/>
    <w:rsid w:val="003D3699"/>
    <w:rsid w:val="003D36D9"/>
    <w:rsid w:val="003D375C"/>
    <w:rsid w:val="003D3C1F"/>
    <w:rsid w:val="003D403F"/>
    <w:rsid w:val="003D4129"/>
    <w:rsid w:val="003D4219"/>
    <w:rsid w:val="003D4475"/>
    <w:rsid w:val="003D4610"/>
    <w:rsid w:val="003D4A02"/>
    <w:rsid w:val="003D4BC0"/>
    <w:rsid w:val="003D4D14"/>
    <w:rsid w:val="003D4EF0"/>
    <w:rsid w:val="003D4F36"/>
    <w:rsid w:val="003D5155"/>
    <w:rsid w:val="003D51E4"/>
    <w:rsid w:val="003D5485"/>
    <w:rsid w:val="003D5655"/>
    <w:rsid w:val="003D5AF0"/>
    <w:rsid w:val="003D5CB1"/>
    <w:rsid w:val="003D5E21"/>
    <w:rsid w:val="003D6146"/>
    <w:rsid w:val="003D616D"/>
    <w:rsid w:val="003D62FF"/>
    <w:rsid w:val="003D630A"/>
    <w:rsid w:val="003D6483"/>
    <w:rsid w:val="003D6939"/>
    <w:rsid w:val="003D6A01"/>
    <w:rsid w:val="003D6ACD"/>
    <w:rsid w:val="003D6E58"/>
    <w:rsid w:val="003D7128"/>
    <w:rsid w:val="003D71C3"/>
    <w:rsid w:val="003D7270"/>
    <w:rsid w:val="003D72A9"/>
    <w:rsid w:val="003D7328"/>
    <w:rsid w:val="003D7482"/>
    <w:rsid w:val="003D74E9"/>
    <w:rsid w:val="003D7505"/>
    <w:rsid w:val="003D7BD9"/>
    <w:rsid w:val="003D7D5C"/>
    <w:rsid w:val="003D7E26"/>
    <w:rsid w:val="003E00CD"/>
    <w:rsid w:val="003E07F6"/>
    <w:rsid w:val="003E0A9B"/>
    <w:rsid w:val="003E0C5D"/>
    <w:rsid w:val="003E0D7A"/>
    <w:rsid w:val="003E0DED"/>
    <w:rsid w:val="003E0F71"/>
    <w:rsid w:val="003E0FC6"/>
    <w:rsid w:val="003E132A"/>
    <w:rsid w:val="003E19BC"/>
    <w:rsid w:val="003E1B5E"/>
    <w:rsid w:val="003E1BB1"/>
    <w:rsid w:val="003E1BB3"/>
    <w:rsid w:val="003E1EA1"/>
    <w:rsid w:val="003E216A"/>
    <w:rsid w:val="003E24F0"/>
    <w:rsid w:val="003E2657"/>
    <w:rsid w:val="003E265B"/>
    <w:rsid w:val="003E2759"/>
    <w:rsid w:val="003E2BF5"/>
    <w:rsid w:val="003E2D56"/>
    <w:rsid w:val="003E2DD1"/>
    <w:rsid w:val="003E2ECE"/>
    <w:rsid w:val="003E3188"/>
    <w:rsid w:val="003E322E"/>
    <w:rsid w:val="003E32EB"/>
    <w:rsid w:val="003E349B"/>
    <w:rsid w:val="003E354E"/>
    <w:rsid w:val="003E3747"/>
    <w:rsid w:val="003E3914"/>
    <w:rsid w:val="003E3934"/>
    <w:rsid w:val="003E3AD8"/>
    <w:rsid w:val="003E3AF6"/>
    <w:rsid w:val="003E3FEB"/>
    <w:rsid w:val="003E4107"/>
    <w:rsid w:val="003E4349"/>
    <w:rsid w:val="003E4689"/>
    <w:rsid w:val="003E4803"/>
    <w:rsid w:val="003E4BEA"/>
    <w:rsid w:val="003E4CF1"/>
    <w:rsid w:val="003E5159"/>
    <w:rsid w:val="003E52C2"/>
    <w:rsid w:val="003E52E8"/>
    <w:rsid w:val="003E5385"/>
    <w:rsid w:val="003E544F"/>
    <w:rsid w:val="003E55DF"/>
    <w:rsid w:val="003E5783"/>
    <w:rsid w:val="003E5968"/>
    <w:rsid w:val="003E59B6"/>
    <w:rsid w:val="003E5A6D"/>
    <w:rsid w:val="003E5AF4"/>
    <w:rsid w:val="003E5B2A"/>
    <w:rsid w:val="003E5B86"/>
    <w:rsid w:val="003E5C0E"/>
    <w:rsid w:val="003E5D9D"/>
    <w:rsid w:val="003E5F39"/>
    <w:rsid w:val="003E6039"/>
    <w:rsid w:val="003E637D"/>
    <w:rsid w:val="003E63CA"/>
    <w:rsid w:val="003E6423"/>
    <w:rsid w:val="003E6595"/>
    <w:rsid w:val="003E67DE"/>
    <w:rsid w:val="003E69CD"/>
    <w:rsid w:val="003E6ACB"/>
    <w:rsid w:val="003E6ADD"/>
    <w:rsid w:val="003E6AF4"/>
    <w:rsid w:val="003E6E78"/>
    <w:rsid w:val="003E6ED7"/>
    <w:rsid w:val="003E6F94"/>
    <w:rsid w:val="003E71DD"/>
    <w:rsid w:val="003E7218"/>
    <w:rsid w:val="003E7350"/>
    <w:rsid w:val="003E74B0"/>
    <w:rsid w:val="003E7C6C"/>
    <w:rsid w:val="003E7F61"/>
    <w:rsid w:val="003F00FF"/>
    <w:rsid w:val="003F01EB"/>
    <w:rsid w:val="003F0234"/>
    <w:rsid w:val="003F07B9"/>
    <w:rsid w:val="003F0840"/>
    <w:rsid w:val="003F0902"/>
    <w:rsid w:val="003F091B"/>
    <w:rsid w:val="003F0A63"/>
    <w:rsid w:val="003F0C7B"/>
    <w:rsid w:val="003F0FD5"/>
    <w:rsid w:val="003F1066"/>
    <w:rsid w:val="003F114F"/>
    <w:rsid w:val="003F1317"/>
    <w:rsid w:val="003F1A48"/>
    <w:rsid w:val="003F1D1F"/>
    <w:rsid w:val="003F1E29"/>
    <w:rsid w:val="003F20B8"/>
    <w:rsid w:val="003F2103"/>
    <w:rsid w:val="003F2149"/>
    <w:rsid w:val="003F2192"/>
    <w:rsid w:val="003F259A"/>
    <w:rsid w:val="003F2998"/>
    <w:rsid w:val="003F2C33"/>
    <w:rsid w:val="003F2D51"/>
    <w:rsid w:val="003F326C"/>
    <w:rsid w:val="003F3326"/>
    <w:rsid w:val="003F3425"/>
    <w:rsid w:val="003F3704"/>
    <w:rsid w:val="003F3707"/>
    <w:rsid w:val="003F38BC"/>
    <w:rsid w:val="003F38D4"/>
    <w:rsid w:val="003F3A29"/>
    <w:rsid w:val="003F3CDC"/>
    <w:rsid w:val="003F3DBE"/>
    <w:rsid w:val="003F3E42"/>
    <w:rsid w:val="003F4001"/>
    <w:rsid w:val="003F420B"/>
    <w:rsid w:val="003F4234"/>
    <w:rsid w:val="003F4703"/>
    <w:rsid w:val="003F4BB6"/>
    <w:rsid w:val="003F4C9E"/>
    <w:rsid w:val="003F4E30"/>
    <w:rsid w:val="003F4EFB"/>
    <w:rsid w:val="003F4FC7"/>
    <w:rsid w:val="003F5123"/>
    <w:rsid w:val="003F54AA"/>
    <w:rsid w:val="003F572B"/>
    <w:rsid w:val="003F5896"/>
    <w:rsid w:val="003F5A55"/>
    <w:rsid w:val="003F5B57"/>
    <w:rsid w:val="003F5C62"/>
    <w:rsid w:val="003F5D78"/>
    <w:rsid w:val="003F61E4"/>
    <w:rsid w:val="003F6288"/>
    <w:rsid w:val="003F63AE"/>
    <w:rsid w:val="003F65F7"/>
    <w:rsid w:val="003F694E"/>
    <w:rsid w:val="003F69B7"/>
    <w:rsid w:val="003F7115"/>
    <w:rsid w:val="003F734F"/>
    <w:rsid w:val="003F7388"/>
    <w:rsid w:val="003F75A1"/>
    <w:rsid w:val="003F75BE"/>
    <w:rsid w:val="003F7907"/>
    <w:rsid w:val="003F7CE8"/>
    <w:rsid w:val="003F7D75"/>
    <w:rsid w:val="0040010C"/>
    <w:rsid w:val="004001EF"/>
    <w:rsid w:val="00400422"/>
    <w:rsid w:val="0040042D"/>
    <w:rsid w:val="00400506"/>
    <w:rsid w:val="00400757"/>
    <w:rsid w:val="00400A8B"/>
    <w:rsid w:val="00400BA0"/>
    <w:rsid w:val="00400D4D"/>
    <w:rsid w:val="0040114C"/>
    <w:rsid w:val="004011F8"/>
    <w:rsid w:val="00401294"/>
    <w:rsid w:val="004012B9"/>
    <w:rsid w:val="00401359"/>
    <w:rsid w:val="0040164D"/>
    <w:rsid w:val="0040166F"/>
    <w:rsid w:val="0040192E"/>
    <w:rsid w:val="004019B7"/>
    <w:rsid w:val="00401B69"/>
    <w:rsid w:val="00401ED1"/>
    <w:rsid w:val="00401F85"/>
    <w:rsid w:val="00401F99"/>
    <w:rsid w:val="0040201A"/>
    <w:rsid w:val="0040210B"/>
    <w:rsid w:val="004024CE"/>
    <w:rsid w:val="00402551"/>
    <w:rsid w:val="004025FE"/>
    <w:rsid w:val="00402854"/>
    <w:rsid w:val="00402A2C"/>
    <w:rsid w:val="00402C98"/>
    <w:rsid w:val="004030BC"/>
    <w:rsid w:val="00403239"/>
    <w:rsid w:val="004033AC"/>
    <w:rsid w:val="00403733"/>
    <w:rsid w:val="00403C75"/>
    <w:rsid w:val="00404081"/>
    <w:rsid w:val="00404197"/>
    <w:rsid w:val="004043DE"/>
    <w:rsid w:val="004044C5"/>
    <w:rsid w:val="004046BD"/>
    <w:rsid w:val="00404AE1"/>
    <w:rsid w:val="00404E42"/>
    <w:rsid w:val="00404EB5"/>
    <w:rsid w:val="00404ECB"/>
    <w:rsid w:val="00404EF8"/>
    <w:rsid w:val="0040526F"/>
    <w:rsid w:val="004052D3"/>
    <w:rsid w:val="00405455"/>
    <w:rsid w:val="0040552A"/>
    <w:rsid w:val="00405539"/>
    <w:rsid w:val="00405699"/>
    <w:rsid w:val="00405954"/>
    <w:rsid w:val="00405B60"/>
    <w:rsid w:val="00405E38"/>
    <w:rsid w:val="00405E5B"/>
    <w:rsid w:val="00405FA3"/>
    <w:rsid w:val="004060F7"/>
    <w:rsid w:val="00406306"/>
    <w:rsid w:val="00406C94"/>
    <w:rsid w:val="00406CCC"/>
    <w:rsid w:val="00406CF7"/>
    <w:rsid w:val="00406DEB"/>
    <w:rsid w:val="00406EEF"/>
    <w:rsid w:val="00407272"/>
    <w:rsid w:val="00407682"/>
    <w:rsid w:val="00407998"/>
    <w:rsid w:val="00407A52"/>
    <w:rsid w:val="00407A97"/>
    <w:rsid w:val="00407E74"/>
    <w:rsid w:val="0041041E"/>
    <w:rsid w:val="00410440"/>
    <w:rsid w:val="00410517"/>
    <w:rsid w:val="0041081B"/>
    <w:rsid w:val="004108CE"/>
    <w:rsid w:val="00410A18"/>
    <w:rsid w:val="00410D43"/>
    <w:rsid w:val="00410DB4"/>
    <w:rsid w:val="00410F40"/>
    <w:rsid w:val="00410FAD"/>
    <w:rsid w:val="00411352"/>
    <w:rsid w:val="00411482"/>
    <w:rsid w:val="0041155D"/>
    <w:rsid w:val="004115FA"/>
    <w:rsid w:val="00411A1F"/>
    <w:rsid w:val="00411DF1"/>
    <w:rsid w:val="00412040"/>
    <w:rsid w:val="0041208A"/>
    <w:rsid w:val="00412668"/>
    <w:rsid w:val="0041272B"/>
    <w:rsid w:val="004127F1"/>
    <w:rsid w:val="004128DC"/>
    <w:rsid w:val="004129E8"/>
    <w:rsid w:val="00412B8B"/>
    <w:rsid w:val="00412F24"/>
    <w:rsid w:val="00413002"/>
    <w:rsid w:val="004130DD"/>
    <w:rsid w:val="00413459"/>
    <w:rsid w:val="004138AF"/>
    <w:rsid w:val="00413A1C"/>
    <w:rsid w:val="00413B58"/>
    <w:rsid w:val="00413C26"/>
    <w:rsid w:val="00413F6A"/>
    <w:rsid w:val="00413FEF"/>
    <w:rsid w:val="0041412A"/>
    <w:rsid w:val="00414713"/>
    <w:rsid w:val="00414852"/>
    <w:rsid w:val="00414AA1"/>
    <w:rsid w:val="00414C20"/>
    <w:rsid w:val="0041528D"/>
    <w:rsid w:val="00415302"/>
    <w:rsid w:val="00415585"/>
    <w:rsid w:val="004156CD"/>
    <w:rsid w:val="00415C6B"/>
    <w:rsid w:val="00415CB5"/>
    <w:rsid w:val="00415F6C"/>
    <w:rsid w:val="00416214"/>
    <w:rsid w:val="00416307"/>
    <w:rsid w:val="0041635C"/>
    <w:rsid w:val="00416981"/>
    <w:rsid w:val="004169A0"/>
    <w:rsid w:val="00416B22"/>
    <w:rsid w:val="00416B4B"/>
    <w:rsid w:val="00416BD2"/>
    <w:rsid w:val="00416C0E"/>
    <w:rsid w:val="00416D9F"/>
    <w:rsid w:val="00416FB6"/>
    <w:rsid w:val="00417020"/>
    <w:rsid w:val="0041706F"/>
    <w:rsid w:val="004170F7"/>
    <w:rsid w:val="004171AE"/>
    <w:rsid w:val="004177F8"/>
    <w:rsid w:val="00417858"/>
    <w:rsid w:val="004178AD"/>
    <w:rsid w:val="00417900"/>
    <w:rsid w:val="00417909"/>
    <w:rsid w:val="00417B5A"/>
    <w:rsid w:val="00417BD9"/>
    <w:rsid w:val="00417CBA"/>
    <w:rsid w:val="00417E34"/>
    <w:rsid w:val="004201BD"/>
    <w:rsid w:val="00420244"/>
    <w:rsid w:val="0042029A"/>
    <w:rsid w:val="004203CA"/>
    <w:rsid w:val="00420688"/>
    <w:rsid w:val="004208E5"/>
    <w:rsid w:val="004208F2"/>
    <w:rsid w:val="00420B42"/>
    <w:rsid w:val="00420BF6"/>
    <w:rsid w:val="00420E09"/>
    <w:rsid w:val="00420E96"/>
    <w:rsid w:val="00420EE1"/>
    <w:rsid w:val="00421528"/>
    <w:rsid w:val="004218ED"/>
    <w:rsid w:val="00421A47"/>
    <w:rsid w:val="00421D8A"/>
    <w:rsid w:val="00421E1C"/>
    <w:rsid w:val="00421F46"/>
    <w:rsid w:val="0042214B"/>
    <w:rsid w:val="004223A3"/>
    <w:rsid w:val="00422448"/>
    <w:rsid w:val="0042244A"/>
    <w:rsid w:val="004224CE"/>
    <w:rsid w:val="004227A9"/>
    <w:rsid w:val="0042295E"/>
    <w:rsid w:val="004229DF"/>
    <w:rsid w:val="00422AD2"/>
    <w:rsid w:val="00422B9D"/>
    <w:rsid w:val="0042310A"/>
    <w:rsid w:val="0042329E"/>
    <w:rsid w:val="0042343B"/>
    <w:rsid w:val="004234A1"/>
    <w:rsid w:val="00423861"/>
    <w:rsid w:val="00423B00"/>
    <w:rsid w:val="00423D75"/>
    <w:rsid w:val="00423FF6"/>
    <w:rsid w:val="00423FF7"/>
    <w:rsid w:val="00424339"/>
    <w:rsid w:val="00424499"/>
    <w:rsid w:val="004244A3"/>
    <w:rsid w:val="00424BA5"/>
    <w:rsid w:val="00424C41"/>
    <w:rsid w:val="00424CC6"/>
    <w:rsid w:val="00424ED6"/>
    <w:rsid w:val="004254FC"/>
    <w:rsid w:val="00425690"/>
    <w:rsid w:val="00425AAC"/>
    <w:rsid w:val="00425C1C"/>
    <w:rsid w:val="00425C3C"/>
    <w:rsid w:val="00425D37"/>
    <w:rsid w:val="00425F42"/>
    <w:rsid w:val="00426045"/>
    <w:rsid w:val="00426274"/>
    <w:rsid w:val="00426275"/>
    <w:rsid w:val="0042671A"/>
    <w:rsid w:val="00426826"/>
    <w:rsid w:val="0042687E"/>
    <w:rsid w:val="00426896"/>
    <w:rsid w:val="004269BC"/>
    <w:rsid w:val="00426AAD"/>
    <w:rsid w:val="00426C72"/>
    <w:rsid w:val="00426CF4"/>
    <w:rsid w:val="004271C6"/>
    <w:rsid w:val="00427262"/>
    <w:rsid w:val="00427CC3"/>
    <w:rsid w:val="00427EDB"/>
    <w:rsid w:val="004300D7"/>
    <w:rsid w:val="004306A4"/>
    <w:rsid w:val="00430888"/>
    <w:rsid w:val="004309B3"/>
    <w:rsid w:val="00430B47"/>
    <w:rsid w:val="00430B67"/>
    <w:rsid w:val="00430C01"/>
    <w:rsid w:val="00430D80"/>
    <w:rsid w:val="00430E58"/>
    <w:rsid w:val="004311FE"/>
    <w:rsid w:val="00431200"/>
    <w:rsid w:val="004312C1"/>
    <w:rsid w:val="004312F6"/>
    <w:rsid w:val="00431340"/>
    <w:rsid w:val="004313F2"/>
    <w:rsid w:val="00431472"/>
    <w:rsid w:val="0043147E"/>
    <w:rsid w:val="0043163B"/>
    <w:rsid w:val="004317E8"/>
    <w:rsid w:val="00431860"/>
    <w:rsid w:val="00431A76"/>
    <w:rsid w:val="00431BE3"/>
    <w:rsid w:val="00431E90"/>
    <w:rsid w:val="00431F03"/>
    <w:rsid w:val="0043238F"/>
    <w:rsid w:val="0043250C"/>
    <w:rsid w:val="004326C7"/>
    <w:rsid w:val="00432813"/>
    <w:rsid w:val="00432927"/>
    <w:rsid w:val="00432B71"/>
    <w:rsid w:val="00432D5F"/>
    <w:rsid w:val="004331D5"/>
    <w:rsid w:val="00433749"/>
    <w:rsid w:val="00433773"/>
    <w:rsid w:val="00433797"/>
    <w:rsid w:val="004339E7"/>
    <w:rsid w:val="00433A25"/>
    <w:rsid w:val="00433AD0"/>
    <w:rsid w:val="00433B0D"/>
    <w:rsid w:val="00433CB4"/>
    <w:rsid w:val="00434045"/>
    <w:rsid w:val="00434156"/>
    <w:rsid w:val="004343CD"/>
    <w:rsid w:val="004345BB"/>
    <w:rsid w:val="00434634"/>
    <w:rsid w:val="00434B6F"/>
    <w:rsid w:val="00434C6F"/>
    <w:rsid w:val="00435222"/>
    <w:rsid w:val="004353D3"/>
    <w:rsid w:val="00435650"/>
    <w:rsid w:val="0043567C"/>
    <w:rsid w:val="00435772"/>
    <w:rsid w:val="00435807"/>
    <w:rsid w:val="004358E7"/>
    <w:rsid w:val="00435C39"/>
    <w:rsid w:val="00435C78"/>
    <w:rsid w:val="00435DCD"/>
    <w:rsid w:val="00436135"/>
    <w:rsid w:val="004361E1"/>
    <w:rsid w:val="004363F1"/>
    <w:rsid w:val="004365D1"/>
    <w:rsid w:val="00436B10"/>
    <w:rsid w:val="00436CFF"/>
    <w:rsid w:val="00436E25"/>
    <w:rsid w:val="00436F01"/>
    <w:rsid w:val="00437219"/>
    <w:rsid w:val="004373E3"/>
    <w:rsid w:val="0043743C"/>
    <w:rsid w:val="00437A8A"/>
    <w:rsid w:val="00437DB4"/>
    <w:rsid w:val="004400B0"/>
    <w:rsid w:val="004400DB"/>
    <w:rsid w:val="00440393"/>
    <w:rsid w:val="00440419"/>
    <w:rsid w:val="00440515"/>
    <w:rsid w:val="00440592"/>
    <w:rsid w:val="00440653"/>
    <w:rsid w:val="00440739"/>
    <w:rsid w:val="004408BD"/>
    <w:rsid w:val="00440908"/>
    <w:rsid w:val="00440ACE"/>
    <w:rsid w:val="00440B00"/>
    <w:rsid w:val="00440CBD"/>
    <w:rsid w:val="00440E2D"/>
    <w:rsid w:val="00441063"/>
    <w:rsid w:val="0044147A"/>
    <w:rsid w:val="00441550"/>
    <w:rsid w:val="004415F5"/>
    <w:rsid w:val="004417D0"/>
    <w:rsid w:val="004418FF"/>
    <w:rsid w:val="00441CF1"/>
    <w:rsid w:val="00441E83"/>
    <w:rsid w:val="0044200F"/>
    <w:rsid w:val="0044211B"/>
    <w:rsid w:val="0044234C"/>
    <w:rsid w:val="0044254D"/>
    <w:rsid w:val="004429B9"/>
    <w:rsid w:val="00442A54"/>
    <w:rsid w:val="00442A78"/>
    <w:rsid w:val="00442B85"/>
    <w:rsid w:val="00443283"/>
    <w:rsid w:val="0044330B"/>
    <w:rsid w:val="00443385"/>
    <w:rsid w:val="004435B1"/>
    <w:rsid w:val="004435BB"/>
    <w:rsid w:val="00443A1A"/>
    <w:rsid w:val="00443C0E"/>
    <w:rsid w:val="00443D59"/>
    <w:rsid w:val="0044404D"/>
    <w:rsid w:val="00444319"/>
    <w:rsid w:val="00444458"/>
    <w:rsid w:val="00444707"/>
    <w:rsid w:val="00444A15"/>
    <w:rsid w:val="00444ABE"/>
    <w:rsid w:val="00444B93"/>
    <w:rsid w:val="00444D09"/>
    <w:rsid w:val="00444D70"/>
    <w:rsid w:val="00444DC3"/>
    <w:rsid w:val="00445041"/>
    <w:rsid w:val="004450AB"/>
    <w:rsid w:val="0044525A"/>
    <w:rsid w:val="00445282"/>
    <w:rsid w:val="004453A7"/>
    <w:rsid w:val="0044561F"/>
    <w:rsid w:val="0044562E"/>
    <w:rsid w:val="00445698"/>
    <w:rsid w:val="0044574B"/>
    <w:rsid w:val="00445803"/>
    <w:rsid w:val="004458B4"/>
    <w:rsid w:val="00445C71"/>
    <w:rsid w:val="00445DD2"/>
    <w:rsid w:val="00445E80"/>
    <w:rsid w:val="00446018"/>
    <w:rsid w:val="0044613B"/>
    <w:rsid w:val="00446272"/>
    <w:rsid w:val="00446304"/>
    <w:rsid w:val="004469B4"/>
    <w:rsid w:val="00446A33"/>
    <w:rsid w:val="00446D5C"/>
    <w:rsid w:val="00447360"/>
    <w:rsid w:val="00447420"/>
    <w:rsid w:val="004474F7"/>
    <w:rsid w:val="004475C3"/>
    <w:rsid w:val="0044778B"/>
    <w:rsid w:val="00447811"/>
    <w:rsid w:val="00447979"/>
    <w:rsid w:val="004479B7"/>
    <w:rsid w:val="00447B00"/>
    <w:rsid w:val="00447B7C"/>
    <w:rsid w:val="00447EA2"/>
    <w:rsid w:val="00447F9D"/>
    <w:rsid w:val="00450040"/>
    <w:rsid w:val="00450267"/>
    <w:rsid w:val="0045046F"/>
    <w:rsid w:val="00450537"/>
    <w:rsid w:val="004505EA"/>
    <w:rsid w:val="0045097B"/>
    <w:rsid w:val="00450ABC"/>
    <w:rsid w:val="00450AF1"/>
    <w:rsid w:val="00450C79"/>
    <w:rsid w:val="00450CE4"/>
    <w:rsid w:val="00450FBA"/>
    <w:rsid w:val="004510CC"/>
    <w:rsid w:val="00451373"/>
    <w:rsid w:val="00451568"/>
    <w:rsid w:val="00451689"/>
    <w:rsid w:val="0045198C"/>
    <w:rsid w:val="00451BA7"/>
    <w:rsid w:val="00451D6B"/>
    <w:rsid w:val="00451E29"/>
    <w:rsid w:val="0045239D"/>
    <w:rsid w:val="004528A1"/>
    <w:rsid w:val="00452965"/>
    <w:rsid w:val="00452A3A"/>
    <w:rsid w:val="00452CEB"/>
    <w:rsid w:val="00452F9F"/>
    <w:rsid w:val="00453035"/>
    <w:rsid w:val="004532AD"/>
    <w:rsid w:val="004535D3"/>
    <w:rsid w:val="004536F3"/>
    <w:rsid w:val="00453883"/>
    <w:rsid w:val="00453984"/>
    <w:rsid w:val="00453BEF"/>
    <w:rsid w:val="00453DD4"/>
    <w:rsid w:val="00453EE9"/>
    <w:rsid w:val="004543DA"/>
    <w:rsid w:val="0045452B"/>
    <w:rsid w:val="0045453B"/>
    <w:rsid w:val="00454604"/>
    <w:rsid w:val="00454633"/>
    <w:rsid w:val="00454748"/>
    <w:rsid w:val="004548E0"/>
    <w:rsid w:val="00454D27"/>
    <w:rsid w:val="00454E75"/>
    <w:rsid w:val="00455027"/>
    <w:rsid w:val="004550B6"/>
    <w:rsid w:val="00455420"/>
    <w:rsid w:val="00455455"/>
    <w:rsid w:val="004555EC"/>
    <w:rsid w:val="004556B5"/>
    <w:rsid w:val="004556D7"/>
    <w:rsid w:val="004558FA"/>
    <w:rsid w:val="004559EF"/>
    <w:rsid w:val="00455AD9"/>
    <w:rsid w:val="00455B83"/>
    <w:rsid w:val="00455FE2"/>
    <w:rsid w:val="0045626E"/>
    <w:rsid w:val="00456336"/>
    <w:rsid w:val="00456375"/>
    <w:rsid w:val="00456502"/>
    <w:rsid w:val="00456656"/>
    <w:rsid w:val="004568B3"/>
    <w:rsid w:val="00456994"/>
    <w:rsid w:val="004570BB"/>
    <w:rsid w:val="004570EB"/>
    <w:rsid w:val="004571E7"/>
    <w:rsid w:val="00457371"/>
    <w:rsid w:val="004574DC"/>
    <w:rsid w:val="004574FB"/>
    <w:rsid w:val="004575CE"/>
    <w:rsid w:val="0045767D"/>
    <w:rsid w:val="0045799F"/>
    <w:rsid w:val="004579B4"/>
    <w:rsid w:val="00457C03"/>
    <w:rsid w:val="00457C62"/>
    <w:rsid w:val="00457D67"/>
    <w:rsid w:val="00457E23"/>
    <w:rsid w:val="00457E61"/>
    <w:rsid w:val="00457E7D"/>
    <w:rsid w:val="004600FD"/>
    <w:rsid w:val="004601AB"/>
    <w:rsid w:val="00460338"/>
    <w:rsid w:val="00460364"/>
    <w:rsid w:val="004604A3"/>
    <w:rsid w:val="004605EC"/>
    <w:rsid w:val="00460972"/>
    <w:rsid w:val="00460AA5"/>
    <w:rsid w:val="00460B27"/>
    <w:rsid w:val="00460B99"/>
    <w:rsid w:val="00460C53"/>
    <w:rsid w:val="0046118B"/>
    <w:rsid w:val="00461328"/>
    <w:rsid w:val="004613AC"/>
    <w:rsid w:val="004613F2"/>
    <w:rsid w:val="004614F2"/>
    <w:rsid w:val="00461720"/>
    <w:rsid w:val="0046192F"/>
    <w:rsid w:val="00461947"/>
    <w:rsid w:val="00461A00"/>
    <w:rsid w:val="00461ECA"/>
    <w:rsid w:val="00462201"/>
    <w:rsid w:val="0046239D"/>
    <w:rsid w:val="004625D3"/>
    <w:rsid w:val="00462666"/>
    <w:rsid w:val="004628BF"/>
    <w:rsid w:val="00462BCB"/>
    <w:rsid w:val="00463114"/>
    <w:rsid w:val="004635B1"/>
    <w:rsid w:val="00463694"/>
    <w:rsid w:val="004636C3"/>
    <w:rsid w:val="00463CDA"/>
    <w:rsid w:val="00463F8F"/>
    <w:rsid w:val="004640C2"/>
    <w:rsid w:val="004643C7"/>
    <w:rsid w:val="0046449F"/>
    <w:rsid w:val="004646E0"/>
    <w:rsid w:val="00464886"/>
    <w:rsid w:val="00464BE7"/>
    <w:rsid w:val="00464FFA"/>
    <w:rsid w:val="00465038"/>
    <w:rsid w:val="00465184"/>
    <w:rsid w:val="00465287"/>
    <w:rsid w:val="004652C9"/>
    <w:rsid w:val="004652F0"/>
    <w:rsid w:val="0046534C"/>
    <w:rsid w:val="004653F9"/>
    <w:rsid w:val="0046559A"/>
    <w:rsid w:val="004656F0"/>
    <w:rsid w:val="004656FF"/>
    <w:rsid w:val="0046572C"/>
    <w:rsid w:val="00465BBB"/>
    <w:rsid w:val="00465BE5"/>
    <w:rsid w:val="00465C1F"/>
    <w:rsid w:val="00465E33"/>
    <w:rsid w:val="004661EF"/>
    <w:rsid w:val="00466228"/>
    <w:rsid w:val="004664FB"/>
    <w:rsid w:val="004667DD"/>
    <w:rsid w:val="0046683F"/>
    <w:rsid w:val="00466901"/>
    <w:rsid w:val="00466AB0"/>
    <w:rsid w:val="00466DD5"/>
    <w:rsid w:val="00466FB4"/>
    <w:rsid w:val="00467046"/>
    <w:rsid w:val="00467213"/>
    <w:rsid w:val="004674C7"/>
    <w:rsid w:val="0046756D"/>
    <w:rsid w:val="00467738"/>
    <w:rsid w:val="00467790"/>
    <w:rsid w:val="00467BAA"/>
    <w:rsid w:val="00467E43"/>
    <w:rsid w:val="00467E49"/>
    <w:rsid w:val="00467E5C"/>
    <w:rsid w:val="00467E74"/>
    <w:rsid w:val="004700B2"/>
    <w:rsid w:val="004700E5"/>
    <w:rsid w:val="004701A0"/>
    <w:rsid w:val="0047043D"/>
    <w:rsid w:val="0047043F"/>
    <w:rsid w:val="00470498"/>
    <w:rsid w:val="004704B3"/>
    <w:rsid w:val="0047054F"/>
    <w:rsid w:val="0047073E"/>
    <w:rsid w:val="004707F1"/>
    <w:rsid w:val="00470B23"/>
    <w:rsid w:val="00470F14"/>
    <w:rsid w:val="00470F60"/>
    <w:rsid w:val="004711A8"/>
    <w:rsid w:val="00471476"/>
    <w:rsid w:val="004714D9"/>
    <w:rsid w:val="00471682"/>
    <w:rsid w:val="004716D2"/>
    <w:rsid w:val="00471717"/>
    <w:rsid w:val="0047186E"/>
    <w:rsid w:val="004719E6"/>
    <w:rsid w:val="00471C84"/>
    <w:rsid w:val="00471F18"/>
    <w:rsid w:val="00471FFB"/>
    <w:rsid w:val="0047247E"/>
    <w:rsid w:val="0047259D"/>
    <w:rsid w:val="004726FB"/>
    <w:rsid w:val="0047289F"/>
    <w:rsid w:val="00472982"/>
    <w:rsid w:val="00472985"/>
    <w:rsid w:val="00472AFF"/>
    <w:rsid w:val="00472EAE"/>
    <w:rsid w:val="00473058"/>
    <w:rsid w:val="00473757"/>
    <w:rsid w:val="004739BC"/>
    <w:rsid w:val="004739EC"/>
    <w:rsid w:val="00473B20"/>
    <w:rsid w:val="00473D65"/>
    <w:rsid w:val="004740C6"/>
    <w:rsid w:val="0047410B"/>
    <w:rsid w:val="00474312"/>
    <w:rsid w:val="004745B4"/>
    <w:rsid w:val="00474764"/>
    <w:rsid w:val="004748E1"/>
    <w:rsid w:val="00474C5B"/>
    <w:rsid w:val="00474CE9"/>
    <w:rsid w:val="00474F80"/>
    <w:rsid w:val="004750BB"/>
    <w:rsid w:val="004751B9"/>
    <w:rsid w:val="004752CB"/>
    <w:rsid w:val="004757D2"/>
    <w:rsid w:val="004758A8"/>
    <w:rsid w:val="00475A0E"/>
    <w:rsid w:val="00475CBA"/>
    <w:rsid w:val="00475CE7"/>
    <w:rsid w:val="00475D89"/>
    <w:rsid w:val="00475DB3"/>
    <w:rsid w:val="00475E68"/>
    <w:rsid w:val="00476118"/>
    <w:rsid w:val="004761D8"/>
    <w:rsid w:val="004763AB"/>
    <w:rsid w:val="004765C0"/>
    <w:rsid w:val="004765F1"/>
    <w:rsid w:val="00476605"/>
    <w:rsid w:val="0047665E"/>
    <w:rsid w:val="0047679C"/>
    <w:rsid w:val="00476909"/>
    <w:rsid w:val="00476A2D"/>
    <w:rsid w:val="00476AD6"/>
    <w:rsid w:val="004770A1"/>
    <w:rsid w:val="00477289"/>
    <w:rsid w:val="00477297"/>
    <w:rsid w:val="00477775"/>
    <w:rsid w:val="0047779C"/>
    <w:rsid w:val="00477905"/>
    <w:rsid w:val="00477AF5"/>
    <w:rsid w:val="00477D72"/>
    <w:rsid w:val="00480154"/>
    <w:rsid w:val="00480353"/>
    <w:rsid w:val="004803E8"/>
    <w:rsid w:val="00480417"/>
    <w:rsid w:val="00480577"/>
    <w:rsid w:val="00480703"/>
    <w:rsid w:val="00480723"/>
    <w:rsid w:val="00480A27"/>
    <w:rsid w:val="00480B7E"/>
    <w:rsid w:val="00480EC2"/>
    <w:rsid w:val="00481569"/>
    <w:rsid w:val="00481950"/>
    <w:rsid w:val="00481A71"/>
    <w:rsid w:val="00481DCD"/>
    <w:rsid w:val="00481DDE"/>
    <w:rsid w:val="00481E3F"/>
    <w:rsid w:val="00481FC6"/>
    <w:rsid w:val="00482069"/>
    <w:rsid w:val="0048226B"/>
    <w:rsid w:val="004822F9"/>
    <w:rsid w:val="004825B7"/>
    <w:rsid w:val="00482926"/>
    <w:rsid w:val="00482C73"/>
    <w:rsid w:val="00482EC9"/>
    <w:rsid w:val="00482F58"/>
    <w:rsid w:val="00482FEF"/>
    <w:rsid w:val="00483022"/>
    <w:rsid w:val="00483116"/>
    <w:rsid w:val="00483117"/>
    <w:rsid w:val="00483119"/>
    <w:rsid w:val="0048339B"/>
    <w:rsid w:val="0048391E"/>
    <w:rsid w:val="00483B6B"/>
    <w:rsid w:val="00483D3D"/>
    <w:rsid w:val="00483F41"/>
    <w:rsid w:val="00483F9C"/>
    <w:rsid w:val="0048449E"/>
    <w:rsid w:val="00484579"/>
    <w:rsid w:val="00484605"/>
    <w:rsid w:val="00484928"/>
    <w:rsid w:val="004849D1"/>
    <w:rsid w:val="00484BD8"/>
    <w:rsid w:val="00484D45"/>
    <w:rsid w:val="00484E24"/>
    <w:rsid w:val="00485121"/>
    <w:rsid w:val="004851A9"/>
    <w:rsid w:val="004855B7"/>
    <w:rsid w:val="00485A37"/>
    <w:rsid w:val="00485AFE"/>
    <w:rsid w:val="0048628D"/>
    <w:rsid w:val="004862AA"/>
    <w:rsid w:val="004863F9"/>
    <w:rsid w:val="0048653F"/>
    <w:rsid w:val="0048684F"/>
    <w:rsid w:val="0048695A"/>
    <w:rsid w:val="00486BEB"/>
    <w:rsid w:val="004870A4"/>
    <w:rsid w:val="004871BE"/>
    <w:rsid w:val="0048738F"/>
    <w:rsid w:val="00487478"/>
    <w:rsid w:val="0048752C"/>
    <w:rsid w:val="00487B4A"/>
    <w:rsid w:val="00487BED"/>
    <w:rsid w:val="00487BF9"/>
    <w:rsid w:val="00487E66"/>
    <w:rsid w:val="00487FAB"/>
    <w:rsid w:val="004900AC"/>
    <w:rsid w:val="004900C9"/>
    <w:rsid w:val="00490128"/>
    <w:rsid w:val="0049013B"/>
    <w:rsid w:val="004903C0"/>
    <w:rsid w:val="004904C1"/>
    <w:rsid w:val="0049060E"/>
    <w:rsid w:val="0049072A"/>
    <w:rsid w:val="00490C1B"/>
    <w:rsid w:val="00490D73"/>
    <w:rsid w:val="00490F6A"/>
    <w:rsid w:val="004913D2"/>
    <w:rsid w:val="004913E4"/>
    <w:rsid w:val="004915D4"/>
    <w:rsid w:val="0049199A"/>
    <w:rsid w:val="00491CD1"/>
    <w:rsid w:val="00491D6A"/>
    <w:rsid w:val="00491E01"/>
    <w:rsid w:val="00491E6F"/>
    <w:rsid w:val="00491FEC"/>
    <w:rsid w:val="004920CC"/>
    <w:rsid w:val="004923AC"/>
    <w:rsid w:val="0049242D"/>
    <w:rsid w:val="00492931"/>
    <w:rsid w:val="00492B81"/>
    <w:rsid w:val="00492B88"/>
    <w:rsid w:val="00492F27"/>
    <w:rsid w:val="00493098"/>
    <w:rsid w:val="004931AD"/>
    <w:rsid w:val="004934B4"/>
    <w:rsid w:val="00493C81"/>
    <w:rsid w:val="00493D02"/>
    <w:rsid w:val="00493F0D"/>
    <w:rsid w:val="004940DC"/>
    <w:rsid w:val="00494348"/>
    <w:rsid w:val="004943B7"/>
    <w:rsid w:val="004944D2"/>
    <w:rsid w:val="004945D0"/>
    <w:rsid w:val="00494759"/>
    <w:rsid w:val="00494857"/>
    <w:rsid w:val="00494989"/>
    <w:rsid w:val="00494C11"/>
    <w:rsid w:val="00494D2E"/>
    <w:rsid w:val="00494ED2"/>
    <w:rsid w:val="00494F07"/>
    <w:rsid w:val="00495244"/>
    <w:rsid w:val="004953DB"/>
    <w:rsid w:val="00495553"/>
    <w:rsid w:val="004955EC"/>
    <w:rsid w:val="00495A03"/>
    <w:rsid w:val="0049611E"/>
    <w:rsid w:val="00496317"/>
    <w:rsid w:val="00496BF7"/>
    <w:rsid w:val="00496CC4"/>
    <w:rsid w:val="00496E1C"/>
    <w:rsid w:val="00496E3C"/>
    <w:rsid w:val="00496F6D"/>
    <w:rsid w:val="00497048"/>
    <w:rsid w:val="00497064"/>
    <w:rsid w:val="004970D1"/>
    <w:rsid w:val="00497136"/>
    <w:rsid w:val="0049726C"/>
    <w:rsid w:val="004974BA"/>
    <w:rsid w:val="004976A5"/>
    <w:rsid w:val="004977BD"/>
    <w:rsid w:val="0049784F"/>
    <w:rsid w:val="00497B4E"/>
    <w:rsid w:val="00497E86"/>
    <w:rsid w:val="004A00FE"/>
    <w:rsid w:val="004A01C0"/>
    <w:rsid w:val="004A0857"/>
    <w:rsid w:val="004A101B"/>
    <w:rsid w:val="004A125B"/>
    <w:rsid w:val="004A12AF"/>
    <w:rsid w:val="004A136E"/>
    <w:rsid w:val="004A15F2"/>
    <w:rsid w:val="004A184D"/>
    <w:rsid w:val="004A185D"/>
    <w:rsid w:val="004A1BB6"/>
    <w:rsid w:val="004A1C70"/>
    <w:rsid w:val="004A1C93"/>
    <w:rsid w:val="004A1CF3"/>
    <w:rsid w:val="004A1DA8"/>
    <w:rsid w:val="004A205E"/>
    <w:rsid w:val="004A20B4"/>
    <w:rsid w:val="004A245A"/>
    <w:rsid w:val="004A251D"/>
    <w:rsid w:val="004A256C"/>
    <w:rsid w:val="004A26B7"/>
    <w:rsid w:val="004A2993"/>
    <w:rsid w:val="004A2A94"/>
    <w:rsid w:val="004A30C7"/>
    <w:rsid w:val="004A3485"/>
    <w:rsid w:val="004A3680"/>
    <w:rsid w:val="004A3A1C"/>
    <w:rsid w:val="004A3A2D"/>
    <w:rsid w:val="004A3C19"/>
    <w:rsid w:val="004A3C65"/>
    <w:rsid w:val="004A3CA0"/>
    <w:rsid w:val="004A3DEA"/>
    <w:rsid w:val="004A402B"/>
    <w:rsid w:val="004A41F0"/>
    <w:rsid w:val="004A4205"/>
    <w:rsid w:val="004A4706"/>
    <w:rsid w:val="004A47C1"/>
    <w:rsid w:val="004A48C1"/>
    <w:rsid w:val="004A4945"/>
    <w:rsid w:val="004A4A17"/>
    <w:rsid w:val="004A4AD1"/>
    <w:rsid w:val="004A5245"/>
    <w:rsid w:val="004A53D5"/>
    <w:rsid w:val="004A54BF"/>
    <w:rsid w:val="004A581F"/>
    <w:rsid w:val="004A5A10"/>
    <w:rsid w:val="004A5A75"/>
    <w:rsid w:val="004A5A78"/>
    <w:rsid w:val="004A5F95"/>
    <w:rsid w:val="004A6020"/>
    <w:rsid w:val="004A6087"/>
    <w:rsid w:val="004A6BAB"/>
    <w:rsid w:val="004A6C86"/>
    <w:rsid w:val="004A71BF"/>
    <w:rsid w:val="004A71D5"/>
    <w:rsid w:val="004A726C"/>
    <w:rsid w:val="004A74D9"/>
    <w:rsid w:val="004A7F76"/>
    <w:rsid w:val="004A7FF1"/>
    <w:rsid w:val="004B011A"/>
    <w:rsid w:val="004B0160"/>
    <w:rsid w:val="004B029E"/>
    <w:rsid w:val="004B02E7"/>
    <w:rsid w:val="004B0407"/>
    <w:rsid w:val="004B0508"/>
    <w:rsid w:val="004B0780"/>
    <w:rsid w:val="004B0BA6"/>
    <w:rsid w:val="004B0BAF"/>
    <w:rsid w:val="004B0E84"/>
    <w:rsid w:val="004B108A"/>
    <w:rsid w:val="004B1105"/>
    <w:rsid w:val="004B1142"/>
    <w:rsid w:val="004B1437"/>
    <w:rsid w:val="004B1872"/>
    <w:rsid w:val="004B18E3"/>
    <w:rsid w:val="004B1995"/>
    <w:rsid w:val="004B1A8D"/>
    <w:rsid w:val="004B1E2D"/>
    <w:rsid w:val="004B1E55"/>
    <w:rsid w:val="004B203F"/>
    <w:rsid w:val="004B2103"/>
    <w:rsid w:val="004B228E"/>
    <w:rsid w:val="004B28AF"/>
    <w:rsid w:val="004B2A6D"/>
    <w:rsid w:val="004B2A78"/>
    <w:rsid w:val="004B2C0B"/>
    <w:rsid w:val="004B2D65"/>
    <w:rsid w:val="004B2E8A"/>
    <w:rsid w:val="004B3054"/>
    <w:rsid w:val="004B30C3"/>
    <w:rsid w:val="004B3C38"/>
    <w:rsid w:val="004B3C67"/>
    <w:rsid w:val="004B3D68"/>
    <w:rsid w:val="004B3E8D"/>
    <w:rsid w:val="004B4075"/>
    <w:rsid w:val="004B4227"/>
    <w:rsid w:val="004B4A1E"/>
    <w:rsid w:val="004B514A"/>
    <w:rsid w:val="004B51D5"/>
    <w:rsid w:val="004B538A"/>
    <w:rsid w:val="004B557E"/>
    <w:rsid w:val="004B563C"/>
    <w:rsid w:val="004B583F"/>
    <w:rsid w:val="004B5931"/>
    <w:rsid w:val="004B5A24"/>
    <w:rsid w:val="004B5AE5"/>
    <w:rsid w:val="004B5EA1"/>
    <w:rsid w:val="004B5F91"/>
    <w:rsid w:val="004B60EB"/>
    <w:rsid w:val="004B6316"/>
    <w:rsid w:val="004B6543"/>
    <w:rsid w:val="004B662C"/>
    <w:rsid w:val="004B6783"/>
    <w:rsid w:val="004B678B"/>
    <w:rsid w:val="004B69ED"/>
    <w:rsid w:val="004B6A4E"/>
    <w:rsid w:val="004B6AF5"/>
    <w:rsid w:val="004B6B4D"/>
    <w:rsid w:val="004B6BD4"/>
    <w:rsid w:val="004B6D1B"/>
    <w:rsid w:val="004B6E4F"/>
    <w:rsid w:val="004B6EAC"/>
    <w:rsid w:val="004B7132"/>
    <w:rsid w:val="004B72CF"/>
    <w:rsid w:val="004B7542"/>
    <w:rsid w:val="004B7675"/>
    <w:rsid w:val="004B7786"/>
    <w:rsid w:val="004B785E"/>
    <w:rsid w:val="004B79CE"/>
    <w:rsid w:val="004B7A2A"/>
    <w:rsid w:val="004B7DA6"/>
    <w:rsid w:val="004C01E0"/>
    <w:rsid w:val="004C048D"/>
    <w:rsid w:val="004C0614"/>
    <w:rsid w:val="004C0791"/>
    <w:rsid w:val="004C091F"/>
    <w:rsid w:val="004C0A06"/>
    <w:rsid w:val="004C0AF0"/>
    <w:rsid w:val="004C0B17"/>
    <w:rsid w:val="004C0E2D"/>
    <w:rsid w:val="004C10C8"/>
    <w:rsid w:val="004C1201"/>
    <w:rsid w:val="004C1273"/>
    <w:rsid w:val="004C12C2"/>
    <w:rsid w:val="004C1714"/>
    <w:rsid w:val="004C1B19"/>
    <w:rsid w:val="004C20D6"/>
    <w:rsid w:val="004C21B3"/>
    <w:rsid w:val="004C2406"/>
    <w:rsid w:val="004C25AA"/>
    <w:rsid w:val="004C27FC"/>
    <w:rsid w:val="004C2853"/>
    <w:rsid w:val="004C28F4"/>
    <w:rsid w:val="004C29E9"/>
    <w:rsid w:val="004C31B1"/>
    <w:rsid w:val="004C3212"/>
    <w:rsid w:val="004C3252"/>
    <w:rsid w:val="004C327B"/>
    <w:rsid w:val="004C35CB"/>
    <w:rsid w:val="004C372F"/>
    <w:rsid w:val="004C375A"/>
    <w:rsid w:val="004C38D0"/>
    <w:rsid w:val="004C3F80"/>
    <w:rsid w:val="004C412B"/>
    <w:rsid w:val="004C4141"/>
    <w:rsid w:val="004C42A8"/>
    <w:rsid w:val="004C43E3"/>
    <w:rsid w:val="004C4C1E"/>
    <w:rsid w:val="004C4D1E"/>
    <w:rsid w:val="004C4D23"/>
    <w:rsid w:val="004C4D47"/>
    <w:rsid w:val="004C4E57"/>
    <w:rsid w:val="004C4FB0"/>
    <w:rsid w:val="004C5841"/>
    <w:rsid w:val="004C5A99"/>
    <w:rsid w:val="004C5B2B"/>
    <w:rsid w:val="004C5B36"/>
    <w:rsid w:val="004C5C0B"/>
    <w:rsid w:val="004C5DD4"/>
    <w:rsid w:val="004C5E15"/>
    <w:rsid w:val="004C5FCE"/>
    <w:rsid w:val="004C5FDB"/>
    <w:rsid w:val="004C602C"/>
    <w:rsid w:val="004C6057"/>
    <w:rsid w:val="004C6249"/>
    <w:rsid w:val="004C62E0"/>
    <w:rsid w:val="004C6401"/>
    <w:rsid w:val="004C65DB"/>
    <w:rsid w:val="004C6BC6"/>
    <w:rsid w:val="004C6CC3"/>
    <w:rsid w:val="004C6D21"/>
    <w:rsid w:val="004C6D32"/>
    <w:rsid w:val="004C6DF4"/>
    <w:rsid w:val="004C710C"/>
    <w:rsid w:val="004C74D1"/>
    <w:rsid w:val="004C766A"/>
    <w:rsid w:val="004C774D"/>
    <w:rsid w:val="004C7834"/>
    <w:rsid w:val="004C7896"/>
    <w:rsid w:val="004C7B49"/>
    <w:rsid w:val="004C7B6B"/>
    <w:rsid w:val="004C7BDE"/>
    <w:rsid w:val="004D0036"/>
    <w:rsid w:val="004D0162"/>
    <w:rsid w:val="004D049D"/>
    <w:rsid w:val="004D0523"/>
    <w:rsid w:val="004D0623"/>
    <w:rsid w:val="004D0C4B"/>
    <w:rsid w:val="004D0E96"/>
    <w:rsid w:val="004D11C1"/>
    <w:rsid w:val="004D172B"/>
    <w:rsid w:val="004D1903"/>
    <w:rsid w:val="004D1979"/>
    <w:rsid w:val="004D1B1D"/>
    <w:rsid w:val="004D1B44"/>
    <w:rsid w:val="004D1B76"/>
    <w:rsid w:val="004D21A8"/>
    <w:rsid w:val="004D262E"/>
    <w:rsid w:val="004D27D2"/>
    <w:rsid w:val="004D27D5"/>
    <w:rsid w:val="004D27ED"/>
    <w:rsid w:val="004D2D45"/>
    <w:rsid w:val="004D3027"/>
    <w:rsid w:val="004D30D2"/>
    <w:rsid w:val="004D31D1"/>
    <w:rsid w:val="004D37A7"/>
    <w:rsid w:val="004D3BB2"/>
    <w:rsid w:val="004D3D87"/>
    <w:rsid w:val="004D3DD4"/>
    <w:rsid w:val="004D3F8B"/>
    <w:rsid w:val="004D4377"/>
    <w:rsid w:val="004D43BF"/>
    <w:rsid w:val="004D46FE"/>
    <w:rsid w:val="004D499C"/>
    <w:rsid w:val="004D4A54"/>
    <w:rsid w:val="004D4D0A"/>
    <w:rsid w:val="004D5473"/>
    <w:rsid w:val="004D54EF"/>
    <w:rsid w:val="004D54F1"/>
    <w:rsid w:val="004D55D1"/>
    <w:rsid w:val="004D594C"/>
    <w:rsid w:val="004D597B"/>
    <w:rsid w:val="004D5AB7"/>
    <w:rsid w:val="004D5B98"/>
    <w:rsid w:val="004D5DAE"/>
    <w:rsid w:val="004D5FE8"/>
    <w:rsid w:val="004D61F3"/>
    <w:rsid w:val="004D622B"/>
    <w:rsid w:val="004D6395"/>
    <w:rsid w:val="004D674A"/>
    <w:rsid w:val="004D6969"/>
    <w:rsid w:val="004D6CEF"/>
    <w:rsid w:val="004D7081"/>
    <w:rsid w:val="004D70CF"/>
    <w:rsid w:val="004D71D8"/>
    <w:rsid w:val="004D752C"/>
    <w:rsid w:val="004D7675"/>
    <w:rsid w:val="004D77F6"/>
    <w:rsid w:val="004D7962"/>
    <w:rsid w:val="004D7CC3"/>
    <w:rsid w:val="004D7F08"/>
    <w:rsid w:val="004D7FED"/>
    <w:rsid w:val="004E0034"/>
    <w:rsid w:val="004E046F"/>
    <w:rsid w:val="004E0588"/>
    <w:rsid w:val="004E0B5F"/>
    <w:rsid w:val="004E0E35"/>
    <w:rsid w:val="004E1205"/>
    <w:rsid w:val="004E132D"/>
    <w:rsid w:val="004E13F5"/>
    <w:rsid w:val="004E1472"/>
    <w:rsid w:val="004E1585"/>
    <w:rsid w:val="004E1745"/>
    <w:rsid w:val="004E1BA8"/>
    <w:rsid w:val="004E1FEC"/>
    <w:rsid w:val="004E22D5"/>
    <w:rsid w:val="004E2811"/>
    <w:rsid w:val="004E2A52"/>
    <w:rsid w:val="004E2C0D"/>
    <w:rsid w:val="004E303A"/>
    <w:rsid w:val="004E312F"/>
    <w:rsid w:val="004E343F"/>
    <w:rsid w:val="004E3609"/>
    <w:rsid w:val="004E3713"/>
    <w:rsid w:val="004E381C"/>
    <w:rsid w:val="004E3914"/>
    <w:rsid w:val="004E3B94"/>
    <w:rsid w:val="004E3C9A"/>
    <w:rsid w:val="004E3F59"/>
    <w:rsid w:val="004E40A6"/>
    <w:rsid w:val="004E44DF"/>
    <w:rsid w:val="004E47A3"/>
    <w:rsid w:val="004E4856"/>
    <w:rsid w:val="004E492C"/>
    <w:rsid w:val="004E4A79"/>
    <w:rsid w:val="004E4C48"/>
    <w:rsid w:val="004E501A"/>
    <w:rsid w:val="004E509D"/>
    <w:rsid w:val="004E5213"/>
    <w:rsid w:val="004E52E3"/>
    <w:rsid w:val="004E5458"/>
    <w:rsid w:val="004E54FB"/>
    <w:rsid w:val="004E573B"/>
    <w:rsid w:val="004E5888"/>
    <w:rsid w:val="004E5B19"/>
    <w:rsid w:val="004E5BCD"/>
    <w:rsid w:val="004E5D7E"/>
    <w:rsid w:val="004E5DA4"/>
    <w:rsid w:val="004E5DE1"/>
    <w:rsid w:val="004E5F02"/>
    <w:rsid w:val="004E5FD3"/>
    <w:rsid w:val="004E611F"/>
    <w:rsid w:val="004E621A"/>
    <w:rsid w:val="004E6407"/>
    <w:rsid w:val="004E6771"/>
    <w:rsid w:val="004E68E4"/>
    <w:rsid w:val="004E695B"/>
    <w:rsid w:val="004E6A15"/>
    <w:rsid w:val="004E6C41"/>
    <w:rsid w:val="004E6C7A"/>
    <w:rsid w:val="004E6C91"/>
    <w:rsid w:val="004E6DB0"/>
    <w:rsid w:val="004E6EB1"/>
    <w:rsid w:val="004E6EEA"/>
    <w:rsid w:val="004E6F29"/>
    <w:rsid w:val="004E6F6F"/>
    <w:rsid w:val="004E6FDD"/>
    <w:rsid w:val="004E7653"/>
    <w:rsid w:val="004E79DF"/>
    <w:rsid w:val="004E7A1F"/>
    <w:rsid w:val="004E7A55"/>
    <w:rsid w:val="004E7B17"/>
    <w:rsid w:val="004E7BDE"/>
    <w:rsid w:val="004E7CBA"/>
    <w:rsid w:val="004E7CE5"/>
    <w:rsid w:val="004E7E1E"/>
    <w:rsid w:val="004E7F36"/>
    <w:rsid w:val="004F01DC"/>
    <w:rsid w:val="004F04F3"/>
    <w:rsid w:val="004F0852"/>
    <w:rsid w:val="004F0867"/>
    <w:rsid w:val="004F0968"/>
    <w:rsid w:val="004F0D7D"/>
    <w:rsid w:val="004F0E16"/>
    <w:rsid w:val="004F1009"/>
    <w:rsid w:val="004F19AC"/>
    <w:rsid w:val="004F1A03"/>
    <w:rsid w:val="004F1ACC"/>
    <w:rsid w:val="004F1BF5"/>
    <w:rsid w:val="004F1DA6"/>
    <w:rsid w:val="004F1DF9"/>
    <w:rsid w:val="004F1F5F"/>
    <w:rsid w:val="004F1FE4"/>
    <w:rsid w:val="004F211D"/>
    <w:rsid w:val="004F26F2"/>
    <w:rsid w:val="004F2735"/>
    <w:rsid w:val="004F2868"/>
    <w:rsid w:val="004F298C"/>
    <w:rsid w:val="004F2A3A"/>
    <w:rsid w:val="004F2C35"/>
    <w:rsid w:val="004F2D5F"/>
    <w:rsid w:val="004F2D8C"/>
    <w:rsid w:val="004F2F2F"/>
    <w:rsid w:val="004F2F38"/>
    <w:rsid w:val="004F3032"/>
    <w:rsid w:val="004F3078"/>
    <w:rsid w:val="004F3090"/>
    <w:rsid w:val="004F316A"/>
    <w:rsid w:val="004F31F8"/>
    <w:rsid w:val="004F3336"/>
    <w:rsid w:val="004F335A"/>
    <w:rsid w:val="004F3ABA"/>
    <w:rsid w:val="004F3B26"/>
    <w:rsid w:val="004F3B52"/>
    <w:rsid w:val="004F408B"/>
    <w:rsid w:val="004F4490"/>
    <w:rsid w:val="004F4641"/>
    <w:rsid w:val="004F4988"/>
    <w:rsid w:val="004F4A70"/>
    <w:rsid w:val="004F4B6F"/>
    <w:rsid w:val="004F4D68"/>
    <w:rsid w:val="004F4FCE"/>
    <w:rsid w:val="004F5036"/>
    <w:rsid w:val="004F52A9"/>
    <w:rsid w:val="004F5A2C"/>
    <w:rsid w:val="004F5C44"/>
    <w:rsid w:val="004F5E2F"/>
    <w:rsid w:val="004F5E30"/>
    <w:rsid w:val="004F5E94"/>
    <w:rsid w:val="004F60C7"/>
    <w:rsid w:val="004F6540"/>
    <w:rsid w:val="004F6880"/>
    <w:rsid w:val="004F69D3"/>
    <w:rsid w:val="004F6FD9"/>
    <w:rsid w:val="004F7009"/>
    <w:rsid w:val="004F7042"/>
    <w:rsid w:val="004F7047"/>
    <w:rsid w:val="004F710A"/>
    <w:rsid w:val="004F77F3"/>
    <w:rsid w:val="004F7A23"/>
    <w:rsid w:val="004F7CCE"/>
    <w:rsid w:val="004F7E78"/>
    <w:rsid w:val="00500300"/>
    <w:rsid w:val="0050048A"/>
    <w:rsid w:val="0050051B"/>
    <w:rsid w:val="005005C2"/>
    <w:rsid w:val="005005D6"/>
    <w:rsid w:val="00500816"/>
    <w:rsid w:val="005009A5"/>
    <w:rsid w:val="00500AE3"/>
    <w:rsid w:val="00500D97"/>
    <w:rsid w:val="00501198"/>
    <w:rsid w:val="0050153E"/>
    <w:rsid w:val="00501AA0"/>
    <w:rsid w:val="00501C59"/>
    <w:rsid w:val="00501CE6"/>
    <w:rsid w:val="00502148"/>
    <w:rsid w:val="00502495"/>
    <w:rsid w:val="005025FD"/>
    <w:rsid w:val="00502908"/>
    <w:rsid w:val="00503012"/>
    <w:rsid w:val="005030E3"/>
    <w:rsid w:val="0050326C"/>
    <w:rsid w:val="0050326F"/>
    <w:rsid w:val="00503425"/>
    <w:rsid w:val="00503A1C"/>
    <w:rsid w:val="00503A45"/>
    <w:rsid w:val="00503AC8"/>
    <w:rsid w:val="00503DB7"/>
    <w:rsid w:val="00503FB9"/>
    <w:rsid w:val="005040AB"/>
    <w:rsid w:val="0050410A"/>
    <w:rsid w:val="00504218"/>
    <w:rsid w:val="0050429E"/>
    <w:rsid w:val="005044B1"/>
    <w:rsid w:val="005045CB"/>
    <w:rsid w:val="00504628"/>
    <w:rsid w:val="00504FF0"/>
    <w:rsid w:val="00505339"/>
    <w:rsid w:val="005054C7"/>
    <w:rsid w:val="0050554C"/>
    <w:rsid w:val="005056F5"/>
    <w:rsid w:val="00505BE1"/>
    <w:rsid w:val="00505BED"/>
    <w:rsid w:val="00505C78"/>
    <w:rsid w:val="0050610E"/>
    <w:rsid w:val="00506121"/>
    <w:rsid w:val="005063F3"/>
    <w:rsid w:val="00506500"/>
    <w:rsid w:val="00506547"/>
    <w:rsid w:val="00506603"/>
    <w:rsid w:val="00506874"/>
    <w:rsid w:val="00506B46"/>
    <w:rsid w:val="00506B97"/>
    <w:rsid w:val="00506EC7"/>
    <w:rsid w:val="0050714B"/>
    <w:rsid w:val="0050738A"/>
    <w:rsid w:val="00507774"/>
    <w:rsid w:val="00507A40"/>
    <w:rsid w:val="00507C86"/>
    <w:rsid w:val="00507E82"/>
    <w:rsid w:val="00510831"/>
    <w:rsid w:val="0051090B"/>
    <w:rsid w:val="00510CD4"/>
    <w:rsid w:val="00510D5F"/>
    <w:rsid w:val="00510DC7"/>
    <w:rsid w:val="005111E9"/>
    <w:rsid w:val="005118B7"/>
    <w:rsid w:val="005119B1"/>
    <w:rsid w:val="00511CD5"/>
    <w:rsid w:val="00511D3B"/>
    <w:rsid w:val="00511D86"/>
    <w:rsid w:val="00511F7C"/>
    <w:rsid w:val="00511F8D"/>
    <w:rsid w:val="00512048"/>
    <w:rsid w:val="00512080"/>
    <w:rsid w:val="00512488"/>
    <w:rsid w:val="00512656"/>
    <w:rsid w:val="00512A07"/>
    <w:rsid w:val="00512C45"/>
    <w:rsid w:val="00512E5C"/>
    <w:rsid w:val="00513252"/>
    <w:rsid w:val="005135CE"/>
    <w:rsid w:val="00513702"/>
    <w:rsid w:val="00513888"/>
    <w:rsid w:val="00513895"/>
    <w:rsid w:val="00513D21"/>
    <w:rsid w:val="00513E19"/>
    <w:rsid w:val="00513EE1"/>
    <w:rsid w:val="005143DC"/>
    <w:rsid w:val="0051483B"/>
    <w:rsid w:val="005149A3"/>
    <w:rsid w:val="00514B37"/>
    <w:rsid w:val="00515139"/>
    <w:rsid w:val="00515151"/>
    <w:rsid w:val="00515260"/>
    <w:rsid w:val="00515B65"/>
    <w:rsid w:val="00516089"/>
    <w:rsid w:val="00516319"/>
    <w:rsid w:val="00516389"/>
    <w:rsid w:val="00516BBC"/>
    <w:rsid w:val="00516BC9"/>
    <w:rsid w:val="00516DE2"/>
    <w:rsid w:val="00516DF2"/>
    <w:rsid w:val="00516EA7"/>
    <w:rsid w:val="00517B5A"/>
    <w:rsid w:val="00517DD4"/>
    <w:rsid w:val="00517FD9"/>
    <w:rsid w:val="0052002B"/>
    <w:rsid w:val="00520182"/>
    <w:rsid w:val="00520289"/>
    <w:rsid w:val="0052036C"/>
    <w:rsid w:val="0052044B"/>
    <w:rsid w:val="005207C5"/>
    <w:rsid w:val="00520B02"/>
    <w:rsid w:val="00520C31"/>
    <w:rsid w:val="00520E85"/>
    <w:rsid w:val="00521016"/>
    <w:rsid w:val="005210E3"/>
    <w:rsid w:val="00521AB5"/>
    <w:rsid w:val="00521F52"/>
    <w:rsid w:val="00522295"/>
    <w:rsid w:val="0052282F"/>
    <w:rsid w:val="005228D3"/>
    <w:rsid w:val="00522A90"/>
    <w:rsid w:val="00522CB5"/>
    <w:rsid w:val="00522D9F"/>
    <w:rsid w:val="005230BD"/>
    <w:rsid w:val="005233BB"/>
    <w:rsid w:val="00523476"/>
    <w:rsid w:val="00523632"/>
    <w:rsid w:val="0052366D"/>
    <w:rsid w:val="0052381B"/>
    <w:rsid w:val="00523ACC"/>
    <w:rsid w:val="00523C75"/>
    <w:rsid w:val="00524369"/>
    <w:rsid w:val="0052442C"/>
    <w:rsid w:val="005244AE"/>
    <w:rsid w:val="0052457E"/>
    <w:rsid w:val="005248C1"/>
    <w:rsid w:val="00524B8A"/>
    <w:rsid w:val="00524BAF"/>
    <w:rsid w:val="00525137"/>
    <w:rsid w:val="00525305"/>
    <w:rsid w:val="005254E1"/>
    <w:rsid w:val="005254E2"/>
    <w:rsid w:val="005256DD"/>
    <w:rsid w:val="00525829"/>
    <w:rsid w:val="00525900"/>
    <w:rsid w:val="00525AF3"/>
    <w:rsid w:val="00525BBA"/>
    <w:rsid w:val="00525C82"/>
    <w:rsid w:val="00525D57"/>
    <w:rsid w:val="00525D5F"/>
    <w:rsid w:val="00525E61"/>
    <w:rsid w:val="00526419"/>
    <w:rsid w:val="00526674"/>
    <w:rsid w:val="00526745"/>
    <w:rsid w:val="00526859"/>
    <w:rsid w:val="00526ABD"/>
    <w:rsid w:val="00526B4F"/>
    <w:rsid w:val="00526CC1"/>
    <w:rsid w:val="00526D92"/>
    <w:rsid w:val="00526DDC"/>
    <w:rsid w:val="00526F9E"/>
    <w:rsid w:val="00527222"/>
    <w:rsid w:val="0052725B"/>
    <w:rsid w:val="0052789F"/>
    <w:rsid w:val="00527A7B"/>
    <w:rsid w:val="00527D32"/>
    <w:rsid w:val="00527D3A"/>
    <w:rsid w:val="00527E22"/>
    <w:rsid w:val="005301B7"/>
    <w:rsid w:val="0053028B"/>
    <w:rsid w:val="00530320"/>
    <w:rsid w:val="00530460"/>
    <w:rsid w:val="005305C4"/>
    <w:rsid w:val="00530E5A"/>
    <w:rsid w:val="00530FFB"/>
    <w:rsid w:val="0053124B"/>
    <w:rsid w:val="0053173A"/>
    <w:rsid w:val="00531BED"/>
    <w:rsid w:val="00531DF7"/>
    <w:rsid w:val="00531ED1"/>
    <w:rsid w:val="00531F2E"/>
    <w:rsid w:val="00531F3B"/>
    <w:rsid w:val="005320EF"/>
    <w:rsid w:val="005322B6"/>
    <w:rsid w:val="00532DB0"/>
    <w:rsid w:val="0053313F"/>
    <w:rsid w:val="00533291"/>
    <w:rsid w:val="00533634"/>
    <w:rsid w:val="00533930"/>
    <w:rsid w:val="00533B72"/>
    <w:rsid w:val="00533BF1"/>
    <w:rsid w:val="00533D83"/>
    <w:rsid w:val="0053431B"/>
    <w:rsid w:val="005344AE"/>
    <w:rsid w:val="00534631"/>
    <w:rsid w:val="00534720"/>
    <w:rsid w:val="005347F8"/>
    <w:rsid w:val="00534ABF"/>
    <w:rsid w:val="0053515C"/>
    <w:rsid w:val="005355CA"/>
    <w:rsid w:val="005356B2"/>
    <w:rsid w:val="00535BB7"/>
    <w:rsid w:val="00535D49"/>
    <w:rsid w:val="00535E0F"/>
    <w:rsid w:val="00535E27"/>
    <w:rsid w:val="00536050"/>
    <w:rsid w:val="00536217"/>
    <w:rsid w:val="005362FF"/>
    <w:rsid w:val="005364E6"/>
    <w:rsid w:val="0053658A"/>
    <w:rsid w:val="00536913"/>
    <w:rsid w:val="0053692D"/>
    <w:rsid w:val="00536D98"/>
    <w:rsid w:val="00536EDF"/>
    <w:rsid w:val="00536EF5"/>
    <w:rsid w:val="00537084"/>
    <w:rsid w:val="0053714E"/>
    <w:rsid w:val="0053722A"/>
    <w:rsid w:val="00537325"/>
    <w:rsid w:val="00537594"/>
    <w:rsid w:val="00537759"/>
    <w:rsid w:val="00537B3F"/>
    <w:rsid w:val="00537C75"/>
    <w:rsid w:val="00537CC6"/>
    <w:rsid w:val="00537CEA"/>
    <w:rsid w:val="00537F80"/>
    <w:rsid w:val="00540315"/>
    <w:rsid w:val="0054032E"/>
    <w:rsid w:val="005403A6"/>
    <w:rsid w:val="005406A5"/>
    <w:rsid w:val="0054076B"/>
    <w:rsid w:val="00540913"/>
    <w:rsid w:val="00540C1E"/>
    <w:rsid w:val="00540C39"/>
    <w:rsid w:val="00540CFF"/>
    <w:rsid w:val="00540DC2"/>
    <w:rsid w:val="005412D2"/>
    <w:rsid w:val="005418A1"/>
    <w:rsid w:val="0054199D"/>
    <w:rsid w:val="0054199F"/>
    <w:rsid w:val="00542057"/>
    <w:rsid w:val="00542FA6"/>
    <w:rsid w:val="00543061"/>
    <w:rsid w:val="005430A4"/>
    <w:rsid w:val="00543654"/>
    <w:rsid w:val="0054378A"/>
    <w:rsid w:val="00543CA8"/>
    <w:rsid w:val="00543FF2"/>
    <w:rsid w:val="0054410B"/>
    <w:rsid w:val="00544161"/>
    <w:rsid w:val="005441B5"/>
    <w:rsid w:val="005445C0"/>
    <w:rsid w:val="00544A9C"/>
    <w:rsid w:val="00544ACD"/>
    <w:rsid w:val="00544B1F"/>
    <w:rsid w:val="00544BE7"/>
    <w:rsid w:val="00544CE3"/>
    <w:rsid w:val="00544CEC"/>
    <w:rsid w:val="00544CED"/>
    <w:rsid w:val="00544FD5"/>
    <w:rsid w:val="00545046"/>
    <w:rsid w:val="00545082"/>
    <w:rsid w:val="005450B0"/>
    <w:rsid w:val="00545183"/>
    <w:rsid w:val="0054526C"/>
    <w:rsid w:val="00545298"/>
    <w:rsid w:val="00545431"/>
    <w:rsid w:val="00545535"/>
    <w:rsid w:val="0054563C"/>
    <w:rsid w:val="00545764"/>
    <w:rsid w:val="00545792"/>
    <w:rsid w:val="005457BC"/>
    <w:rsid w:val="00545866"/>
    <w:rsid w:val="0054589A"/>
    <w:rsid w:val="005458A7"/>
    <w:rsid w:val="0054592B"/>
    <w:rsid w:val="00545D94"/>
    <w:rsid w:val="00545EED"/>
    <w:rsid w:val="00545F7E"/>
    <w:rsid w:val="005465CE"/>
    <w:rsid w:val="0054661E"/>
    <w:rsid w:val="0054678A"/>
    <w:rsid w:val="00546943"/>
    <w:rsid w:val="0054696C"/>
    <w:rsid w:val="00546ACE"/>
    <w:rsid w:val="00546BC8"/>
    <w:rsid w:val="00546C67"/>
    <w:rsid w:val="00546E7F"/>
    <w:rsid w:val="005472E2"/>
    <w:rsid w:val="00547670"/>
    <w:rsid w:val="00547DAC"/>
    <w:rsid w:val="00547DC4"/>
    <w:rsid w:val="0055003C"/>
    <w:rsid w:val="005500FF"/>
    <w:rsid w:val="00550BCE"/>
    <w:rsid w:val="00550D08"/>
    <w:rsid w:val="00550F62"/>
    <w:rsid w:val="00551078"/>
    <w:rsid w:val="00551297"/>
    <w:rsid w:val="00551614"/>
    <w:rsid w:val="005516A0"/>
    <w:rsid w:val="005516C4"/>
    <w:rsid w:val="00551801"/>
    <w:rsid w:val="00551CC3"/>
    <w:rsid w:val="00551FE2"/>
    <w:rsid w:val="0055221E"/>
    <w:rsid w:val="005525DC"/>
    <w:rsid w:val="005525F6"/>
    <w:rsid w:val="0055268B"/>
    <w:rsid w:val="00552C43"/>
    <w:rsid w:val="00552C74"/>
    <w:rsid w:val="00552D92"/>
    <w:rsid w:val="005530D8"/>
    <w:rsid w:val="0055313B"/>
    <w:rsid w:val="005532BA"/>
    <w:rsid w:val="0055334A"/>
    <w:rsid w:val="00553540"/>
    <w:rsid w:val="0055366A"/>
    <w:rsid w:val="005536B1"/>
    <w:rsid w:val="00554303"/>
    <w:rsid w:val="00554351"/>
    <w:rsid w:val="00554364"/>
    <w:rsid w:val="00554394"/>
    <w:rsid w:val="005544B3"/>
    <w:rsid w:val="00554546"/>
    <w:rsid w:val="00554A55"/>
    <w:rsid w:val="00554C55"/>
    <w:rsid w:val="00554C92"/>
    <w:rsid w:val="00554EA5"/>
    <w:rsid w:val="00555414"/>
    <w:rsid w:val="00555499"/>
    <w:rsid w:val="005557A6"/>
    <w:rsid w:val="00555AB3"/>
    <w:rsid w:val="00555BF4"/>
    <w:rsid w:val="005561E6"/>
    <w:rsid w:val="00556386"/>
    <w:rsid w:val="00556414"/>
    <w:rsid w:val="00556496"/>
    <w:rsid w:val="00556843"/>
    <w:rsid w:val="00556A40"/>
    <w:rsid w:val="00556A7A"/>
    <w:rsid w:val="00556C16"/>
    <w:rsid w:val="00556C32"/>
    <w:rsid w:val="00556FF4"/>
    <w:rsid w:val="005571FE"/>
    <w:rsid w:val="005572F7"/>
    <w:rsid w:val="005574B4"/>
    <w:rsid w:val="005577E9"/>
    <w:rsid w:val="005577F5"/>
    <w:rsid w:val="00557813"/>
    <w:rsid w:val="00557846"/>
    <w:rsid w:val="00557DC1"/>
    <w:rsid w:val="00557E04"/>
    <w:rsid w:val="00560375"/>
    <w:rsid w:val="00560753"/>
    <w:rsid w:val="005609A5"/>
    <w:rsid w:val="00560A71"/>
    <w:rsid w:val="00560D64"/>
    <w:rsid w:val="00560F0C"/>
    <w:rsid w:val="00561336"/>
    <w:rsid w:val="005613AA"/>
    <w:rsid w:val="005613D7"/>
    <w:rsid w:val="005614DA"/>
    <w:rsid w:val="005615C2"/>
    <w:rsid w:val="00561948"/>
    <w:rsid w:val="0056195A"/>
    <w:rsid w:val="00561A13"/>
    <w:rsid w:val="00561B1C"/>
    <w:rsid w:val="00561CE6"/>
    <w:rsid w:val="00561EBF"/>
    <w:rsid w:val="00561EFA"/>
    <w:rsid w:val="0056221C"/>
    <w:rsid w:val="0056233E"/>
    <w:rsid w:val="00562387"/>
    <w:rsid w:val="005623BD"/>
    <w:rsid w:val="00562C08"/>
    <w:rsid w:val="00562CD6"/>
    <w:rsid w:val="00562D7F"/>
    <w:rsid w:val="00562DF1"/>
    <w:rsid w:val="00562DF5"/>
    <w:rsid w:val="00563128"/>
    <w:rsid w:val="00563254"/>
    <w:rsid w:val="00563371"/>
    <w:rsid w:val="005633F1"/>
    <w:rsid w:val="00563719"/>
    <w:rsid w:val="00563776"/>
    <w:rsid w:val="005637EC"/>
    <w:rsid w:val="00563929"/>
    <w:rsid w:val="00563AF0"/>
    <w:rsid w:val="00563C76"/>
    <w:rsid w:val="00563CDF"/>
    <w:rsid w:val="00563FD0"/>
    <w:rsid w:val="00564521"/>
    <w:rsid w:val="0056457E"/>
    <w:rsid w:val="005646B7"/>
    <w:rsid w:val="005648EE"/>
    <w:rsid w:val="00564CD0"/>
    <w:rsid w:val="00564DF0"/>
    <w:rsid w:val="00565216"/>
    <w:rsid w:val="0056544A"/>
    <w:rsid w:val="00565D18"/>
    <w:rsid w:val="00565D57"/>
    <w:rsid w:val="00565ECA"/>
    <w:rsid w:val="00565F31"/>
    <w:rsid w:val="005665CF"/>
    <w:rsid w:val="005668B7"/>
    <w:rsid w:val="00566956"/>
    <w:rsid w:val="00566ACC"/>
    <w:rsid w:val="00566B4F"/>
    <w:rsid w:val="00566F1C"/>
    <w:rsid w:val="00566F2F"/>
    <w:rsid w:val="005671A0"/>
    <w:rsid w:val="005671B5"/>
    <w:rsid w:val="005674CA"/>
    <w:rsid w:val="005677C5"/>
    <w:rsid w:val="0056780C"/>
    <w:rsid w:val="00567814"/>
    <w:rsid w:val="00567EA3"/>
    <w:rsid w:val="00567FA4"/>
    <w:rsid w:val="0057032C"/>
    <w:rsid w:val="00570404"/>
    <w:rsid w:val="00570A94"/>
    <w:rsid w:val="00570B9E"/>
    <w:rsid w:val="00570BA0"/>
    <w:rsid w:val="00570EE7"/>
    <w:rsid w:val="0057120C"/>
    <w:rsid w:val="0057147A"/>
    <w:rsid w:val="00571574"/>
    <w:rsid w:val="0057229A"/>
    <w:rsid w:val="0057256F"/>
    <w:rsid w:val="0057267E"/>
    <w:rsid w:val="005726A2"/>
    <w:rsid w:val="005727EB"/>
    <w:rsid w:val="00572C80"/>
    <w:rsid w:val="00572FC7"/>
    <w:rsid w:val="00573098"/>
    <w:rsid w:val="005732DB"/>
    <w:rsid w:val="00573456"/>
    <w:rsid w:val="00573473"/>
    <w:rsid w:val="005734FF"/>
    <w:rsid w:val="0057366D"/>
    <w:rsid w:val="005739B5"/>
    <w:rsid w:val="005739E2"/>
    <w:rsid w:val="00573E95"/>
    <w:rsid w:val="00573F4C"/>
    <w:rsid w:val="00574795"/>
    <w:rsid w:val="005747DA"/>
    <w:rsid w:val="00574B18"/>
    <w:rsid w:val="00574D35"/>
    <w:rsid w:val="00574EF5"/>
    <w:rsid w:val="005751B6"/>
    <w:rsid w:val="005751FB"/>
    <w:rsid w:val="005752CD"/>
    <w:rsid w:val="00575305"/>
    <w:rsid w:val="00575473"/>
    <w:rsid w:val="00575490"/>
    <w:rsid w:val="00575757"/>
    <w:rsid w:val="00575798"/>
    <w:rsid w:val="00575850"/>
    <w:rsid w:val="00575B34"/>
    <w:rsid w:val="00575EA9"/>
    <w:rsid w:val="00575EBB"/>
    <w:rsid w:val="00575F38"/>
    <w:rsid w:val="00575F72"/>
    <w:rsid w:val="0057607E"/>
    <w:rsid w:val="00576479"/>
    <w:rsid w:val="0057663F"/>
    <w:rsid w:val="005766A8"/>
    <w:rsid w:val="005766BD"/>
    <w:rsid w:val="005768BB"/>
    <w:rsid w:val="00576965"/>
    <w:rsid w:val="005769C9"/>
    <w:rsid w:val="00576CF3"/>
    <w:rsid w:val="00576E2B"/>
    <w:rsid w:val="005771D2"/>
    <w:rsid w:val="0057763E"/>
    <w:rsid w:val="00580002"/>
    <w:rsid w:val="00580202"/>
    <w:rsid w:val="00580368"/>
    <w:rsid w:val="005803D1"/>
    <w:rsid w:val="00580414"/>
    <w:rsid w:val="00580613"/>
    <w:rsid w:val="0058088B"/>
    <w:rsid w:val="005808B4"/>
    <w:rsid w:val="00580AD6"/>
    <w:rsid w:val="00580C8A"/>
    <w:rsid w:val="00581128"/>
    <w:rsid w:val="00581825"/>
    <w:rsid w:val="00581D78"/>
    <w:rsid w:val="00582015"/>
    <w:rsid w:val="005822E2"/>
    <w:rsid w:val="005826E1"/>
    <w:rsid w:val="00582844"/>
    <w:rsid w:val="00582B48"/>
    <w:rsid w:val="00582B87"/>
    <w:rsid w:val="00582D67"/>
    <w:rsid w:val="00583724"/>
    <w:rsid w:val="00583792"/>
    <w:rsid w:val="005838EF"/>
    <w:rsid w:val="00583F50"/>
    <w:rsid w:val="00583FAC"/>
    <w:rsid w:val="0058438A"/>
    <w:rsid w:val="00584638"/>
    <w:rsid w:val="005848A5"/>
    <w:rsid w:val="00584C10"/>
    <w:rsid w:val="00584D6F"/>
    <w:rsid w:val="00584D8D"/>
    <w:rsid w:val="00585043"/>
    <w:rsid w:val="005850B2"/>
    <w:rsid w:val="00585546"/>
    <w:rsid w:val="005856A6"/>
    <w:rsid w:val="00585812"/>
    <w:rsid w:val="00585876"/>
    <w:rsid w:val="00585D42"/>
    <w:rsid w:val="00585DE2"/>
    <w:rsid w:val="00586209"/>
    <w:rsid w:val="005862C6"/>
    <w:rsid w:val="005862CD"/>
    <w:rsid w:val="005863B8"/>
    <w:rsid w:val="005867B8"/>
    <w:rsid w:val="00586909"/>
    <w:rsid w:val="00586B50"/>
    <w:rsid w:val="00586D67"/>
    <w:rsid w:val="00587196"/>
    <w:rsid w:val="005876EF"/>
    <w:rsid w:val="00587A1A"/>
    <w:rsid w:val="00587A50"/>
    <w:rsid w:val="00587E6B"/>
    <w:rsid w:val="00587F03"/>
    <w:rsid w:val="005901B9"/>
    <w:rsid w:val="00590347"/>
    <w:rsid w:val="00590600"/>
    <w:rsid w:val="005906A9"/>
    <w:rsid w:val="0059078F"/>
    <w:rsid w:val="00590882"/>
    <w:rsid w:val="005909A6"/>
    <w:rsid w:val="005909CB"/>
    <w:rsid w:val="00590F54"/>
    <w:rsid w:val="00590F72"/>
    <w:rsid w:val="0059116F"/>
    <w:rsid w:val="005912C5"/>
    <w:rsid w:val="00591952"/>
    <w:rsid w:val="00591A1E"/>
    <w:rsid w:val="00591ADA"/>
    <w:rsid w:val="00591C5C"/>
    <w:rsid w:val="00591E00"/>
    <w:rsid w:val="00591EC1"/>
    <w:rsid w:val="00592174"/>
    <w:rsid w:val="00592340"/>
    <w:rsid w:val="005926DE"/>
    <w:rsid w:val="005928C8"/>
    <w:rsid w:val="005928D4"/>
    <w:rsid w:val="00592960"/>
    <w:rsid w:val="005929FB"/>
    <w:rsid w:val="00592A7C"/>
    <w:rsid w:val="00592ACD"/>
    <w:rsid w:val="00593249"/>
    <w:rsid w:val="0059326C"/>
    <w:rsid w:val="00593405"/>
    <w:rsid w:val="005935AC"/>
    <w:rsid w:val="00593662"/>
    <w:rsid w:val="00593C7A"/>
    <w:rsid w:val="00593D91"/>
    <w:rsid w:val="00593FCB"/>
    <w:rsid w:val="00594315"/>
    <w:rsid w:val="00594325"/>
    <w:rsid w:val="005944CF"/>
    <w:rsid w:val="005945CE"/>
    <w:rsid w:val="0059467C"/>
    <w:rsid w:val="0059472D"/>
    <w:rsid w:val="00594BF2"/>
    <w:rsid w:val="00594C56"/>
    <w:rsid w:val="00594D97"/>
    <w:rsid w:val="00594E77"/>
    <w:rsid w:val="00595153"/>
    <w:rsid w:val="005951B4"/>
    <w:rsid w:val="0059565B"/>
    <w:rsid w:val="005957F3"/>
    <w:rsid w:val="00595858"/>
    <w:rsid w:val="005959A0"/>
    <w:rsid w:val="00595AE0"/>
    <w:rsid w:val="00595CC2"/>
    <w:rsid w:val="005961F5"/>
    <w:rsid w:val="00596516"/>
    <w:rsid w:val="005965D2"/>
    <w:rsid w:val="00596853"/>
    <w:rsid w:val="00596AFE"/>
    <w:rsid w:val="00596C47"/>
    <w:rsid w:val="00596E4C"/>
    <w:rsid w:val="005970DA"/>
    <w:rsid w:val="0059747F"/>
    <w:rsid w:val="005976EB"/>
    <w:rsid w:val="0059775A"/>
    <w:rsid w:val="00597AEC"/>
    <w:rsid w:val="00597B96"/>
    <w:rsid w:val="00597C02"/>
    <w:rsid w:val="00597DFE"/>
    <w:rsid w:val="00597E92"/>
    <w:rsid w:val="005A0044"/>
    <w:rsid w:val="005A0289"/>
    <w:rsid w:val="005A050F"/>
    <w:rsid w:val="005A09B1"/>
    <w:rsid w:val="005A0BD0"/>
    <w:rsid w:val="005A0C72"/>
    <w:rsid w:val="005A0E42"/>
    <w:rsid w:val="005A108E"/>
    <w:rsid w:val="005A12E9"/>
    <w:rsid w:val="005A1372"/>
    <w:rsid w:val="005A140C"/>
    <w:rsid w:val="005A14E3"/>
    <w:rsid w:val="005A1617"/>
    <w:rsid w:val="005A16A9"/>
    <w:rsid w:val="005A175D"/>
    <w:rsid w:val="005A17B8"/>
    <w:rsid w:val="005A1974"/>
    <w:rsid w:val="005A1CB1"/>
    <w:rsid w:val="005A20DD"/>
    <w:rsid w:val="005A2291"/>
    <w:rsid w:val="005A22BE"/>
    <w:rsid w:val="005A266A"/>
    <w:rsid w:val="005A266D"/>
    <w:rsid w:val="005A284B"/>
    <w:rsid w:val="005A291E"/>
    <w:rsid w:val="005A2923"/>
    <w:rsid w:val="005A2ACE"/>
    <w:rsid w:val="005A2BE5"/>
    <w:rsid w:val="005A2BEA"/>
    <w:rsid w:val="005A2CCD"/>
    <w:rsid w:val="005A2EDC"/>
    <w:rsid w:val="005A3040"/>
    <w:rsid w:val="005A3624"/>
    <w:rsid w:val="005A3640"/>
    <w:rsid w:val="005A3987"/>
    <w:rsid w:val="005A3A20"/>
    <w:rsid w:val="005A3A7E"/>
    <w:rsid w:val="005A3C0E"/>
    <w:rsid w:val="005A3D17"/>
    <w:rsid w:val="005A3F9F"/>
    <w:rsid w:val="005A4556"/>
    <w:rsid w:val="005A464C"/>
    <w:rsid w:val="005A475C"/>
    <w:rsid w:val="005A4D01"/>
    <w:rsid w:val="005A4DFB"/>
    <w:rsid w:val="005A4EBD"/>
    <w:rsid w:val="005A534F"/>
    <w:rsid w:val="005A53AA"/>
    <w:rsid w:val="005A556B"/>
    <w:rsid w:val="005A55EA"/>
    <w:rsid w:val="005A56C6"/>
    <w:rsid w:val="005A591F"/>
    <w:rsid w:val="005A5974"/>
    <w:rsid w:val="005A5DBD"/>
    <w:rsid w:val="005A618A"/>
    <w:rsid w:val="005A62A7"/>
    <w:rsid w:val="005A65C2"/>
    <w:rsid w:val="005A669A"/>
    <w:rsid w:val="005A6BD6"/>
    <w:rsid w:val="005A6CAC"/>
    <w:rsid w:val="005A6DA7"/>
    <w:rsid w:val="005A6F61"/>
    <w:rsid w:val="005A6FBB"/>
    <w:rsid w:val="005A703D"/>
    <w:rsid w:val="005A7052"/>
    <w:rsid w:val="005A70A8"/>
    <w:rsid w:val="005A7514"/>
    <w:rsid w:val="005A7907"/>
    <w:rsid w:val="005A7962"/>
    <w:rsid w:val="005A7C35"/>
    <w:rsid w:val="005B01A3"/>
    <w:rsid w:val="005B0229"/>
    <w:rsid w:val="005B0260"/>
    <w:rsid w:val="005B0290"/>
    <w:rsid w:val="005B0354"/>
    <w:rsid w:val="005B03FF"/>
    <w:rsid w:val="005B06CF"/>
    <w:rsid w:val="005B0773"/>
    <w:rsid w:val="005B0CBC"/>
    <w:rsid w:val="005B0CD3"/>
    <w:rsid w:val="005B0E1D"/>
    <w:rsid w:val="005B0E28"/>
    <w:rsid w:val="005B0EFB"/>
    <w:rsid w:val="005B0F82"/>
    <w:rsid w:val="005B13C0"/>
    <w:rsid w:val="005B17D7"/>
    <w:rsid w:val="005B1CB9"/>
    <w:rsid w:val="005B1EB0"/>
    <w:rsid w:val="005B202B"/>
    <w:rsid w:val="005B2040"/>
    <w:rsid w:val="005B20F3"/>
    <w:rsid w:val="005B2149"/>
    <w:rsid w:val="005B218C"/>
    <w:rsid w:val="005B23D6"/>
    <w:rsid w:val="005B25D1"/>
    <w:rsid w:val="005B2641"/>
    <w:rsid w:val="005B26BE"/>
    <w:rsid w:val="005B2882"/>
    <w:rsid w:val="005B2962"/>
    <w:rsid w:val="005B2A42"/>
    <w:rsid w:val="005B2D04"/>
    <w:rsid w:val="005B2F27"/>
    <w:rsid w:val="005B2F92"/>
    <w:rsid w:val="005B2FE5"/>
    <w:rsid w:val="005B3082"/>
    <w:rsid w:val="005B3285"/>
    <w:rsid w:val="005B337E"/>
    <w:rsid w:val="005B3CEE"/>
    <w:rsid w:val="005B3E8A"/>
    <w:rsid w:val="005B3ED0"/>
    <w:rsid w:val="005B3FF6"/>
    <w:rsid w:val="005B4207"/>
    <w:rsid w:val="005B4553"/>
    <w:rsid w:val="005B488D"/>
    <w:rsid w:val="005B48E2"/>
    <w:rsid w:val="005B4C27"/>
    <w:rsid w:val="005B4D3F"/>
    <w:rsid w:val="005B4E4C"/>
    <w:rsid w:val="005B4FDC"/>
    <w:rsid w:val="005B5324"/>
    <w:rsid w:val="005B541F"/>
    <w:rsid w:val="005B5484"/>
    <w:rsid w:val="005B609C"/>
    <w:rsid w:val="005B60BA"/>
    <w:rsid w:val="005B6108"/>
    <w:rsid w:val="005B6116"/>
    <w:rsid w:val="005B6432"/>
    <w:rsid w:val="005B692F"/>
    <w:rsid w:val="005B69C9"/>
    <w:rsid w:val="005B6AEA"/>
    <w:rsid w:val="005B6AF3"/>
    <w:rsid w:val="005B6EE8"/>
    <w:rsid w:val="005B70D4"/>
    <w:rsid w:val="005B713C"/>
    <w:rsid w:val="005B7529"/>
    <w:rsid w:val="005B76CC"/>
    <w:rsid w:val="005B76E9"/>
    <w:rsid w:val="005B78BB"/>
    <w:rsid w:val="005B7ED9"/>
    <w:rsid w:val="005B7F45"/>
    <w:rsid w:val="005C0140"/>
    <w:rsid w:val="005C0199"/>
    <w:rsid w:val="005C02F8"/>
    <w:rsid w:val="005C0761"/>
    <w:rsid w:val="005C0A94"/>
    <w:rsid w:val="005C0B1C"/>
    <w:rsid w:val="005C0B4E"/>
    <w:rsid w:val="005C0BA4"/>
    <w:rsid w:val="005C0D9C"/>
    <w:rsid w:val="005C0E6B"/>
    <w:rsid w:val="005C138D"/>
    <w:rsid w:val="005C17B2"/>
    <w:rsid w:val="005C1859"/>
    <w:rsid w:val="005C193D"/>
    <w:rsid w:val="005C1A46"/>
    <w:rsid w:val="005C1A78"/>
    <w:rsid w:val="005C1E82"/>
    <w:rsid w:val="005C1EEB"/>
    <w:rsid w:val="005C2341"/>
    <w:rsid w:val="005C2619"/>
    <w:rsid w:val="005C27C0"/>
    <w:rsid w:val="005C288E"/>
    <w:rsid w:val="005C296D"/>
    <w:rsid w:val="005C29AF"/>
    <w:rsid w:val="005C2B55"/>
    <w:rsid w:val="005C2B5F"/>
    <w:rsid w:val="005C2CDE"/>
    <w:rsid w:val="005C2D4A"/>
    <w:rsid w:val="005C2D8E"/>
    <w:rsid w:val="005C2F75"/>
    <w:rsid w:val="005C2FCE"/>
    <w:rsid w:val="005C34C4"/>
    <w:rsid w:val="005C3666"/>
    <w:rsid w:val="005C380E"/>
    <w:rsid w:val="005C3877"/>
    <w:rsid w:val="005C3B1B"/>
    <w:rsid w:val="005C3C82"/>
    <w:rsid w:val="005C3D12"/>
    <w:rsid w:val="005C3D79"/>
    <w:rsid w:val="005C3EC6"/>
    <w:rsid w:val="005C3EF4"/>
    <w:rsid w:val="005C3FE2"/>
    <w:rsid w:val="005C4181"/>
    <w:rsid w:val="005C42AC"/>
    <w:rsid w:val="005C45CC"/>
    <w:rsid w:val="005C45F3"/>
    <w:rsid w:val="005C4776"/>
    <w:rsid w:val="005C47CA"/>
    <w:rsid w:val="005C4996"/>
    <w:rsid w:val="005C4BA0"/>
    <w:rsid w:val="005C4BF1"/>
    <w:rsid w:val="005C50F6"/>
    <w:rsid w:val="005C51D9"/>
    <w:rsid w:val="005C5266"/>
    <w:rsid w:val="005C5631"/>
    <w:rsid w:val="005C5943"/>
    <w:rsid w:val="005C5A59"/>
    <w:rsid w:val="005C5C1E"/>
    <w:rsid w:val="005C6530"/>
    <w:rsid w:val="005C65E6"/>
    <w:rsid w:val="005C6681"/>
    <w:rsid w:val="005C6856"/>
    <w:rsid w:val="005C6B7A"/>
    <w:rsid w:val="005C6BAF"/>
    <w:rsid w:val="005C71E5"/>
    <w:rsid w:val="005C7388"/>
    <w:rsid w:val="005C7419"/>
    <w:rsid w:val="005C745F"/>
    <w:rsid w:val="005C7897"/>
    <w:rsid w:val="005C7C85"/>
    <w:rsid w:val="005C7F46"/>
    <w:rsid w:val="005C7F6C"/>
    <w:rsid w:val="005C7FD7"/>
    <w:rsid w:val="005D0222"/>
    <w:rsid w:val="005D0338"/>
    <w:rsid w:val="005D038C"/>
    <w:rsid w:val="005D046E"/>
    <w:rsid w:val="005D0484"/>
    <w:rsid w:val="005D0AAF"/>
    <w:rsid w:val="005D0ACC"/>
    <w:rsid w:val="005D1091"/>
    <w:rsid w:val="005D1395"/>
    <w:rsid w:val="005D15DA"/>
    <w:rsid w:val="005D1663"/>
    <w:rsid w:val="005D172F"/>
    <w:rsid w:val="005D1833"/>
    <w:rsid w:val="005D197F"/>
    <w:rsid w:val="005D1AA0"/>
    <w:rsid w:val="005D1AF1"/>
    <w:rsid w:val="005D2254"/>
    <w:rsid w:val="005D2542"/>
    <w:rsid w:val="005D2968"/>
    <w:rsid w:val="005D2994"/>
    <w:rsid w:val="005D2AAD"/>
    <w:rsid w:val="005D2B7C"/>
    <w:rsid w:val="005D2D16"/>
    <w:rsid w:val="005D31EC"/>
    <w:rsid w:val="005D33D5"/>
    <w:rsid w:val="005D344D"/>
    <w:rsid w:val="005D3477"/>
    <w:rsid w:val="005D376A"/>
    <w:rsid w:val="005D3866"/>
    <w:rsid w:val="005D387C"/>
    <w:rsid w:val="005D38DC"/>
    <w:rsid w:val="005D38E9"/>
    <w:rsid w:val="005D39A0"/>
    <w:rsid w:val="005D39F8"/>
    <w:rsid w:val="005D3A83"/>
    <w:rsid w:val="005D3EC5"/>
    <w:rsid w:val="005D40AB"/>
    <w:rsid w:val="005D422A"/>
    <w:rsid w:val="005D4271"/>
    <w:rsid w:val="005D4423"/>
    <w:rsid w:val="005D49E3"/>
    <w:rsid w:val="005D4D95"/>
    <w:rsid w:val="005D51C3"/>
    <w:rsid w:val="005D52F5"/>
    <w:rsid w:val="005D5831"/>
    <w:rsid w:val="005D59CF"/>
    <w:rsid w:val="005D5A0D"/>
    <w:rsid w:val="005D5BB5"/>
    <w:rsid w:val="005D5EE8"/>
    <w:rsid w:val="005D60DA"/>
    <w:rsid w:val="005D6525"/>
    <w:rsid w:val="005D6724"/>
    <w:rsid w:val="005D7018"/>
    <w:rsid w:val="005D71D6"/>
    <w:rsid w:val="005D745D"/>
    <w:rsid w:val="005D7574"/>
    <w:rsid w:val="005D7591"/>
    <w:rsid w:val="005D7DD5"/>
    <w:rsid w:val="005E006B"/>
    <w:rsid w:val="005E00D4"/>
    <w:rsid w:val="005E0106"/>
    <w:rsid w:val="005E0638"/>
    <w:rsid w:val="005E0704"/>
    <w:rsid w:val="005E0989"/>
    <w:rsid w:val="005E0C9B"/>
    <w:rsid w:val="005E0E82"/>
    <w:rsid w:val="005E1194"/>
    <w:rsid w:val="005E1311"/>
    <w:rsid w:val="005E1699"/>
    <w:rsid w:val="005E16A9"/>
    <w:rsid w:val="005E1727"/>
    <w:rsid w:val="005E174F"/>
    <w:rsid w:val="005E1B34"/>
    <w:rsid w:val="005E205E"/>
    <w:rsid w:val="005E20DE"/>
    <w:rsid w:val="005E22D4"/>
    <w:rsid w:val="005E24E7"/>
    <w:rsid w:val="005E2630"/>
    <w:rsid w:val="005E2666"/>
    <w:rsid w:val="005E2BC8"/>
    <w:rsid w:val="005E2C1B"/>
    <w:rsid w:val="005E2FA3"/>
    <w:rsid w:val="005E32AB"/>
    <w:rsid w:val="005E356D"/>
    <w:rsid w:val="005E37BD"/>
    <w:rsid w:val="005E3A7A"/>
    <w:rsid w:val="005E3D93"/>
    <w:rsid w:val="005E3F64"/>
    <w:rsid w:val="005E4018"/>
    <w:rsid w:val="005E4194"/>
    <w:rsid w:val="005E4A9D"/>
    <w:rsid w:val="005E4BF6"/>
    <w:rsid w:val="005E4C6E"/>
    <w:rsid w:val="005E4D27"/>
    <w:rsid w:val="005E4D4C"/>
    <w:rsid w:val="005E4DF9"/>
    <w:rsid w:val="005E4E1C"/>
    <w:rsid w:val="005E4F6C"/>
    <w:rsid w:val="005E4F88"/>
    <w:rsid w:val="005E51E4"/>
    <w:rsid w:val="005E51FB"/>
    <w:rsid w:val="005E5228"/>
    <w:rsid w:val="005E53C5"/>
    <w:rsid w:val="005E541D"/>
    <w:rsid w:val="005E580A"/>
    <w:rsid w:val="005E5951"/>
    <w:rsid w:val="005E5C16"/>
    <w:rsid w:val="005E5C75"/>
    <w:rsid w:val="005E5E53"/>
    <w:rsid w:val="005E615C"/>
    <w:rsid w:val="005E6236"/>
    <w:rsid w:val="005E6BBB"/>
    <w:rsid w:val="005E6BD2"/>
    <w:rsid w:val="005E7258"/>
    <w:rsid w:val="005E73F7"/>
    <w:rsid w:val="005E7762"/>
    <w:rsid w:val="005E77EE"/>
    <w:rsid w:val="005E7952"/>
    <w:rsid w:val="005E79BA"/>
    <w:rsid w:val="005E7ABE"/>
    <w:rsid w:val="005E7E38"/>
    <w:rsid w:val="005F01C3"/>
    <w:rsid w:val="005F0420"/>
    <w:rsid w:val="005F0564"/>
    <w:rsid w:val="005F05CC"/>
    <w:rsid w:val="005F0844"/>
    <w:rsid w:val="005F086B"/>
    <w:rsid w:val="005F0B66"/>
    <w:rsid w:val="005F0BB7"/>
    <w:rsid w:val="005F0D51"/>
    <w:rsid w:val="005F0D81"/>
    <w:rsid w:val="005F0E41"/>
    <w:rsid w:val="005F0E6F"/>
    <w:rsid w:val="005F1011"/>
    <w:rsid w:val="005F1059"/>
    <w:rsid w:val="005F1CA7"/>
    <w:rsid w:val="005F211E"/>
    <w:rsid w:val="005F22F9"/>
    <w:rsid w:val="005F2403"/>
    <w:rsid w:val="005F240A"/>
    <w:rsid w:val="005F26B8"/>
    <w:rsid w:val="005F271C"/>
    <w:rsid w:val="005F296A"/>
    <w:rsid w:val="005F29BE"/>
    <w:rsid w:val="005F2A38"/>
    <w:rsid w:val="005F2A63"/>
    <w:rsid w:val="005F2AD1"/>
    <w:rsid w:val="005F2CB6"/>
    <w:rsid w:val="005F2CD7"/>
    <w:rsid w:val="005F2EF0"/>
    <w:rsid w:val="005F332E"/>
    <w:rsid w:val="005F36A2"/>
    <w:rsid w:val="005F3968"/>
    <w:rsid w:val="005F3A8C"/>
    <w:rsid w:val="005F3BDE"/>
    <w:rsid w:val="005F3D2E"/>
    <w:rsid w:val="005F4163"/>
    <w:rsid w:val="005F4276"/>
    <w:rsid w:val="005F42A5"/>
    <w:rsid w:val="005F4597"/>
    <w:rsid w:val="005F47BC"/>
    <w:rsid w:val="005F47E9"/>
    <w:rsid w:val="005F4849"/>
    <w:rsid w:val="005F48BB"/>
    <w:rsid w:val="005F4BB6"/>
    <w:rsid w:val="005F4BDA"/>
    <w:rsid w:val="005F4BE4"/>
    <w:rsid w:val="005F4E68"/>
    <w:rsid w:val="005F51F3"/>
    <w:rsid w:val="005F5213"/>
    <w:rsid w:val="005F5240"/>
    <w:rsid w:val="005F5296"/>
    <w:rsid w:val="005F5368"/>
    <w:rsid w:val="005F54D2"/>
    <w:rsid w:val="005F57EB"/>
    <w:rsid w:val="005F5A36"/>
    <w:rsid w:val="005F5B8D"/>
    <w:rsid w:val="005F5C15"/>
    <w:rsid w:val="005F5C31"/>
    <w:rsid w:val="005F5C5E"/>
    <w:rsid w:val="005F6196"/>
    <w:rsid w:val="005F640D"/>
    <w:rsid w:val="005F641D"/>
    <w:rsid w:val="005F677F"/>
    <w:rsid w:val="005F6AA7"/>
    <w:rsid w:val="005F6F31"/>
    <w:rsid w:val="005F71DD"/>
    <w:rsid w:val="005F722C"/>
    <w:rsid w:val="005F73E1"/>
    <w:rsid w:val="005F73E7"/>
    <w:rsid w:val="005F7517"/>
    <w:rsid w:val="005F7628"/>
    <w:rsid w:val="005F7680"/>
    <w:rsid w:val="005F77CC"/>
    <w:rsid w:val="005F78CA"/>
    <w:rsid w:val="005F7B4C"/>
    <w:rsid w:val="005F7F41"/>
    <w:rsid w:val="00600243"/>
    <w:rsid w:val="00600736"/>
    <w:rsid w:val="00600903"/>
    <w:rsid w:val="0060096C"/>
    <w:rsid w:val="00600A57"/>
    <w:rsid w:val="00600DA8"/>
    <w:rsid w:val="00600F18"/>
    <w:rsid w:val="006010C1"/>
    <w:rsid w:val="006011DE"/>
    <w:rsid w:val="006013D7"/>
    <w:rsid w:val="00601484"/>
    <w:rsid w:val="006015A6"/>
    <w:rsid w:val="006016D4"/>
    <w:rsid w:val="006018A1"/>
    <w:rsid w:val="006018BD"/>
    <w:rsid w:val="0060198E"/>
    <w:rsid w:val="00601D3E"/>
    <w:rsid w:val="00601EA3"/>
    <w:rsid w:val="00601F25"/>
    <w:rsid w:val="006021C4"/>
    <w:rsid w:val="0060225B"/>
    <w:rsid w:val="0060257C"/>
    <w:rsid w:val="00602934"/>
    <w:rsid w:val="00602A07"/>
    <w:rsid w:val="00602A1C"/>
    <w:rsid w:val="00602E1F"/>
    <w:rsid w:val="00602E93"/>
    <w:rsid w:val="00603046"/>
    <w:rsid w:val="006032BF"/>
    <w:rsid w:val="0060351F"/>
    <w:rsid w:val="00603897"/>
    <w:rsid w:val="00603E44"/>
    <w:rsid w:val="00604264"/>
    <w:rsid w:val="00604287"/>
    <w:rsid w:val="00604294"/>
    <w:rsid w:val="006044C2"/>
    <w:rsid w:val="00604521"/>
    <w:rsid w:val="0060454E"/>
    <w:rsid w:val="00604557"/>
    <w:rsid w:val="006047A4"/>
    <w:rsid w:val="00604C6E"/>
    <w:rsid w:val="00604E5B"/>
    <w:rsid w:val="00604F23"/>
    <w:rsid w:val="00604F27"/>
    <w:rsid w:val="00605151"/>
    <w:rsid w:val="006051D5"/>
    <w:rsid w:val="0060536B"/>
    <w:rsid w:val="006055E8"/>
    <w:rsid w:val="00605630"/>
    <w:rsid w:val="006056E4"/>
    <w:rsid w:val="006057FC"/>
    <w:rsid w:val="00605B2B"/>
    <w:rsid w:val="00605C83"/>
    <w:rsid w:val="00605CE8"/>
    <w:rsid w:val="0060640E"/>
    <w:rsid w:val="00606526"/>
    <w:rsid w:val="006065C1"/>
    <w:rsid w:val="00606654"/>
    <w:rsid w:val="00606776"/>
    <w:rsid w:val="0060689E"/>
    <w:rsid w:val="006068BD"/>
    <w:rsid w:val="00606A1B"/>
    <w:rsid w:val="00606BD5"/>
    <w:rsid w:val="00606D1D"/>
    <w:rsid w:val="00606DD7"/>
    <w:rsid w:val="00607057"/>
    <w:rsid w:val="0060794D"/>
    <w:rsid w:val="00607E21"/>
    <w:rsid w:val="0061001F"/>
    <w:rsid w:val="0061010A"/>
    <w:rsid w:val="00610449"/>
    <w:rsid w:val="00610558"/>
    <w:rsid w:val="006108AA"/>
    <w:rsid w:val="00610C82"/>
    <w:rsid w:val="00610D92"/>
    <w:rsid w:val="00610EBA"/>
    <w:rsid w:val="0061139A"/>
    <w:rsid w:val="00611487"/>
    <w:rsid w:val="00611B26"/>
    <w:rsid w:val="00611B7A"/>
    <w:rsid w:val="00611BF0"/>
    <w:rsid w:val="00611CCB"/>
    <w:rsid w:val="00611DD6"/>
    <w:rsid w:val="00611E24"/>
    <w:rsid w:val="00612084"/>
    <w:rsid w:val="00612159"/>
    <w:rsid w:val="006124CC"/>
    <w:rsid w:val="0061255A"/>
    <w:rsid w:val="00612560"/>
    <w:rsid w:val="00612622"/>
    <w:rsid w:val="006129A5"/>
    <w:rsid w:val="006129B2"/>
    <w:rsid w:val="006129C4"/>
    <w:rsid w:val="00612AC8"/>
    <w:rsid w:val="00612BF3"/>
    <w:rsid w:val="00612ED6"/>
    <w:rsid w:val="00612FEC"/>
    <w:rsid w:val="00613049"/>
    <w:rsid w:val="00613114"/>
    <w:rsid w:val="006139EC"/>
    <w:rsid w:val="00613D0B"/>
    <w:rsid w:val="00613F14"/>
    <w:rsid w:val="0061415C"/>
    <w:rsid w:val="00614311"/>
    <w:rsid w:val="00614677"/>
    <w:rsid w:val="00614707"/>
    <w:rsid w:val="0061471E"/>
    <w:rsid w:val="00614748"/>
    <w:rsid w:val="00614987"/>
    <w:rsid w:val="00614AC9"/>
    <w:rsid w:val="00614C33"/>
    <w:rsid w:val="00615112"/>
    <w:rsid w:val="00615134"/>
    <w:rsid w:val="006151AF"/>
    <w:rsid w:val="006152DE"/>
    <w:rsid w:val="006155B1"/>
    <w:rsid w:val="0061568A"/>
    <w:rsid w:val="00615710"/>
    <w:rsid w:val="006158C3"/>
    <w:rsid w:val="00615920"/>
    <w:rsid w:val="00615A73"/>
    <w:rsid w:val="00615D63"/>
    <w:rsid w:val="0061619B"/>
    <w:rsid w:val="006162DA"/>
    <w:rsid w:val="00616420"/>
    <w:rsid w:val="006166C5"/>
    <w:rsid w:val="006166C9"/>
    <w:rsid w:val="0061682B"/>
    <w:rsid w:val="006170B6"/>
    <w:rsid w:val="006170FE"/>
    <w:rsid w:val="006171A4"/>
    <w:rsid w:val="00617284"/>
    <w:rsid w:val="0061767E"/>
    <w:rsid w:val="00617993"/>
    <w:rsid w:val="00617B9B"/>
    <w:rsid w:val="00617BAB"/>
    <w:rsid w:val="00617FE0"/>
    <w:rsid w:val="006200B7"/>
    <w:rsid w:val="00620140"/>
    <w:rsid w:val="006202D0"/>
    <w:rsid w:val="0062080A"/>
    <w:rsid w:val="006208FC"/>
    <w:rsid w:val="00620906"/>
    <w:rsid w:val="00620924"/>
    <w:rsid w:val="00620A7C"/>
    <w:rsid w:val="00620AA9"/>
    <w:rsid w:val="00620D43"/>
    <w:rsid w:val="00621032"/>
    <w:rsid w:val="0062106E"/>
    <w:rsid w:val="00621532"/>
    <w:rsid w:val="0062154D"/>
    <w:rsid w:val="006216A3"/>
    <w:rsid w:val="006216FC"/>
    <w:rsid w:val="00621746"/>
    <w:rsid w:val="00621A05"/>
    <w:rsid w:val="00621D0B"/>
    <w:rsid w:val="00621DE9"/>
    <w:rsid w:val="00622083"/>
    <w:rsid w:val="006220E1"/>
    <w:rsid w:val="00622284"/>
    <w:rsid w:val="0062232C"/>
    <w:rsid w:val="00622330"/>
    <w:rsid w:val="00622691"/>
    <w:rsid w:val="00622A6A"/>
    <w:rsid w:val="00622DA5"/>
    <w:rsid w:val="00622EF1"/>
    <w:rsid w:val="0062317B"/>
    <w:rsid w:val="006231B1"/>
    <w:rsid w:val="00623249"/>
    <w:rsid w:val="0062331E"/>
    <w:rsid w:val="0062338D"/>
    <w:rsid w:val="0062356E"/>
    <w:rsid w:val="00623756"/>
    <w:rsid w:val="00623CE3"/>
    <w:rsid w:val="00623EC5"/>
    <w:rsid w:val="00623F72"/>
    <w:rsid w:val="00624705"/>
    <w:rsid w:val="00624C7F"/>
    <w:rsid w:val="006254CE"/>
    <w:rsid w:val="006254FD"/>
    <w:rsid w:val="00625BD1"/>
    <w:rsid w:val="00625C3A"/>
    <w:rsid w:val="00625C8C"/>
    <w:rsid w:val="0062602F"/>
    <w:rsid w:val="00626031"/>
    <w:rsid w:val="0062605E"/>
    <w:rsid w:val="006260E9"/>
    <w:rsid w:val="00626354"/>
    <w:rsid w:val="0062646D"/>
    <w:rsid w:val="00626A39"/>
    <w:rsid w:val="00626A74"/>
    <w:rsid w:val="00626AE2"/>
    <w:rsid w:val="00626B12"/>
    <w:rsid w:val="00626DC1"/>
    <w:rsid w:val="00626E3C"/>
    <w:rsid w:val="00626FC7"/>
    <w:rsid w:val="0062719C"/>
    <w:rsid w:val="0062742C"/>
    <w:rsid w:val="0062750E"/>
    <w:rsid w:val="0062757C"/>
    <w:rsid w:val="006276A6"/>
    <w:rsid w:val="00627A02"/>
    <w:rsid w:val="00627CC8"/>
    <w:rsid w:val="00630096"/>
    <w:rsid w:val="00630175"/>
    <w:rsid w:val="0063018A"/>
    <w:rsid w:val="006303F2"/>
    <w:rsid w:val="00630685"/>
    <w:rsid w:val="00630896"/>
    <w:rsid w:val="00630919"/>
    <w:rsid w:val="0063093C"/>
    <w:rsid w:val="00630C6E"/>
    <w:rsid w:val="00630E60"/>
    <w:rsid w:val="00630EB7"/>
    <w:rsid w:val="006312FA"/>
    <w:rsid w:val="0063137F"/>
    <w:rsid w:val="00631415"/>
    <w:rsid w:val="00631624"/>
    <w:rsid w:val="00631789"/>
    <w:rsid w:val="006317D7"/>
    <w:rsid w:val="00631D70"/>
    <w:rsid w:val="00631DDD"/>
    <w:rsid w:val="00631E59"/>
    <w:rsid w:val="00631F3B"/>
    <w:rsid w:val="006323EC"/>
    <w:rsid w:val="0063253B"/>
    <w:rsid w:val="00632562"/>
    <w:rsid w:val="0063267C"/>
    <w:rsid w:val="006329CB"/>
    <w:rsid w:val="00632AC3"/>
    <w:rsid w:val="00632B00"/>
    <w:rsid w:val="00632E62"/>
    <w:rsid w:val="00632E89"/>
    <w:rsid w:val="00633036"/>
    <w:rsid w:val="0063307A"/>
    <w:rsid w:val="00633096"/>
    <w:rsid w:val="006331A0"/>
    <w:rsid w:val="0063335E"/>
    <w:rsid w:val="0063352D"/>
    <w:rsid w:val="00633736"/>
    <w:rsid w:val="00633799"/>
    <w:rsid w:val="006337A7"/>
    <w:rsid w:val="006337C8"/>
    <w:rsid w:val="006337E9"/>
    <w:rsid w:val="00633A52"/>
    <w:rsid w:val="00633DCD"/>
    <w:rsid w:val="00634079"/>
    <w:rsid w:val="0063416F"/>
    <w:rsid w:val="00634997"/>
    <w:rsid w:val="00634EC2"/>
    <w:rsid w:val="006350DD"/>
    <w:rsid w:val="006352BC"/>
    <w:rsid w:val="006352D2"/>
    <w:rsid w:val="00635609"/>
    <w:rsid w:val="00635980"/>
    <w:rsid w:val="00635BC6"/>
    <w:rsid w:val="00635E24"/>
    <w:rsid w:val="00635EC4"/>
    <w:rsid w:val="00635EF0"/>
    <w:rsid w:val="00635F8D"/>
    <w:rsid w:val="006364DE"/>
    <w:rsid w:val="006364E4"/>
    <w:rsid w:val="0063665C"/>
    <w:rsid w:val="0063670A"/>
    <w:rsid w:val="00636731"/>
    <w:rsid w:val="0063686B"/>
    <w:rsid w:val="006368A5"/>
    <w:rsid w:val="00636943"/>
    <w:rsid w:val="00636B1B"/>
    <w:rsid w:val="00636D00"/>
    <w:rsid w:val="00636D56"/>
    <w:rsid w:val="00636E57"/>
    <w:rsid w:val="00636F96"/>
    <w:rsid w:val="006375E0"/>
    <w:rsid w:val="0063776F"/>
    <w:rsid w:val="0063788F"/>
    <w:rsid w:val="00637A92"/>
    <w:rsid w:val="00637C07"/>
    <w:rsid w:val="00637EAB"/>
    <w:rsid w:val="0064004A"/>
    <w:rsid w:val="00640154"/>
    <w:rsid w:val="00640306"/>
    <w:rsid w:val="006403BC"/>
    <w:rsid w:val="0064078B"/>
    <w:rsid w:val="00640892"/>
    <w:rsid w:val="00640937"/>
    <w:rsid w:val="00640A0A"/>
    <w:rsid w:val="00640C77"/>
    <w:rsid w:val="00640DA9"/>
    <w:rsid w:val="00641035"/>
    <w:rsid w:val="00641089"/>
    <w:rsid w:val="006410B0"/>
    <w:rsid w:val="00641167"/>
    <w:rsid w:val="00641201"/>
    <w:rsid w:val="00641509"/>
    <w:rsid w:val="006416D5"/>
    <w:rsid w:val="0064174A"/>
    <w:rsid w:val="00641A53"/>
    <w:rsid w:val="00641C54"/>
    <w:rsid w:val="00641EF8"/>
    <w:rsid w:val="006423DF"/>
    <w:rsid w:val="006423FC"/>
    <w:rsid w:val="00642754"/>
    <w:rsid w:val="0064298B"/>
    <w:rsid w:val="00643458"/>
    <w:rsid w:val="006436A9"/>
    <w:rsid w:val="00643733"/>
    <w:rsid w:val="00643920"/>
    <w:rsid w:val="00643AFB"/>
    <w:rsid w:val="00643D82"/>
    <w:rsid w:val="00643FCA"/>
    <w:rsid w:val="00644211"/>
    <w:rsid w:val="00644300"/>
    <w:rsid w:val="00644609"/>
    <w:rsid w:val="00644D4C"/>
    <w:rsid w:val="00644D91"/>
    <w:rsid w:val="00644EB8"/>
    <w:rsid w:val="00644F0C"/>
    <w:rsid w:val="00645033"/>
    <w:rsid w:val="00645355"/>
    <w:rsid w:val="006455EC"/>
    <w:rsid w:val="0064569F"/>
    <w:rsid w:val="00645896"/>
    <w:rsid w:val="0064593B"/>
    <w:rsid w:val="00645D6D"/>
    <w:rsid w:val="00645DC2"/>
    <w:rsid w:val="00645E64"/>
    <w:rsid w:val="00645F74"/>
    <w:rsid w:val="006462E4"/>
    <w:rsid w:val="006464C5"/>
    <w:rsid w:val="006468DE"/>
    <w:rsid w:val="006469AB"/>
    <w:rsid w:val="00646B2A"/>
    <w:rsid w:val="00646C96"/>
    <w:rsid w:val="00646D86"/>
    <w:rsid w:val="00646E40"/>
    <w:rsid w:val="006472EF"/>
    <w:rsid w:val="00647AD6"/>
    <w:rsid w:val="00647AFA"/>
    <w:rsid w:val="00647C1F"/>
    <w:rsid w:val="00647CAD"/>
    <w:rsid w:val="006502B4"/>
    <w:rsid w:val="006502D9"/>
    <w:rsid w:val="00650490"/>
    <w:rsid w:val="006507EE"/>
    <w:rsid w:val="00650849"/>
    <w:rsid w:val="0065085F"/>
    <w:rsid w:val="006508B5"/>
    <w:rsid w:val="00650BFD"/>
    <w:rsid w:val="00650E32"/>
    <w:rsid w:val="00651177"/>
    <w:rsid w:val="00651304"/>
    <w:rsid w:val="00651446"/>
    <w:rsid w:val="0065151A"/>
    <w:rsid w:val="00651635"/>
    <w:rsid w:val="006516E4"/>
    <w:rsid w:val="00651A47"/>
    <w:rsid w:val="00651A67"/>
    <w:rsid w:val="00651A6D"/>
    <w:rsid w:val="00651EFB"/>
    <w:rsid w:val="0065200F"/>
    <w:rsid w:val="00652075"/>
    <w:rsid w:val="006520F6"/>
    <w:rsid w:val="00652314"/>
    <w:rsid w:val="006525C6"/>
    <w:rsid w:val="006528EA"/>
    <w:rsid w:val="00652A68"/>
    <w:rsid w:val="00652B3C"/>
    <w:rsid w:val="00652B85"/>
    <w:rsid w:val="00652EE3"/>
    <w:rsid w:val="006530B0"/>
    <w:rsid w:val="006534A1"/>
    <w:rsid w:val="00653671"/>
    <w:rsid w:val="00653999"/>
    <w:rsid w:val="00653F48"/>
    <w:rsid w:val="00653FA5"/>
    <w:rsid w:val="0065403A"/>
    <w:rsid w:val="006542B8"/>
    <w:rsid w:val="006545BD"/>
    <w:rsid w:val="00654796"/>
    <w:rsid w:val="006547C2"/>
    <w:rsid w:val="00654A9D"/>
    <w:rsid w:val="00654B6F"/>
    <w:rsid w:val="00654CBA"/>
    <w:rsid w:val="0065543B"/>
    <w:rsid w:val="006555CC"/>
    <w:rsid w:val="00655614"/>
    <w:rsid w:val="0065568C"/>
    <w:rsid w:val="00655765"/>
    <w:rsid w:val="00655EB6"/>
    <w:rsid w:val="00655F3F"/>
    <w:rsid w:val="00655FAA"/>
    <w:rsid w:val="00656A4C"/>
    <w:rsid w:val="00656AB9"/>
    <w:rsid w:val="00656BCF"/>
    <w:rsid w:val="00656BE5"/>
    <w:rsid w:val="00656BED"/>
    <w:rsid w:val="00656C0A"/>
    <w:rsid w:val="00656F4C"/>
    <w:rsid w:val="00657197"/>
    <w:rsid w:val="006574E4"/>
    <w:rsid w:val="0065750A"/>
    <w:rsid w:val="0065763C"/>
    <w:rsid w:val="00657759"/>
    <w:rsid w:val="0065799B"/>
    <w:rsid w:val="006579A9"/>
    <w:rsid w:val="00657B4B"/>
    <w:rsid w:val="00657EEE"/>
    <w:rsid w:val="0066007D"/>
    <w:rsid w:val="006600E3"/>
    <w:rsid w:val="0066024F"/>
    <w:rsid w:val="0066048D"/>
    <w:rsid w:val="00660654"/>
    <w:rsid w:val="00660822"/>
    <w:rsid w:val="006609F0"/>
    <w:rsid w:val="00660C30"/>
    <w:rsid w:val="00660C97"/>
    <w:rsid w:val="00660CDF"/>
    <w:rsid w:val="006612BF"/>
    <w:rsid w:val="006612DA"/>
    <w:rsid w:val="006613E2"/>
    <w:rsid w:val="006613EB"/>
    <w:rsid w:val="006613FB"/>
    <w:rsid w:val="006615B8"/>
    <w:rsid w:val="00661610"/>
    <w:rsid w:val="00661FB3"/>
    <w:rsid w:val="006622F4"/>
    <w:rsid w:val="00662330"/>
    <w:rsid w:val="0066269A"/>
    <w:rsid w:val="00662815"/>
    <w:rsid w:val="006628AC"/>
    <w:rsid w:val="00662A20"/>
    <w:rsid w:val="00662D36"/>
    <w:rsid w:val="00662D9A"/>
    <w:rsid w:val="00662E2D"/>
    <w:rsid w:val="00662E84"/>
    <w:rsid w:val="00662ED8"/>
    <w:rsid w:val="00662FC5"/>
    <w:rsid w:val="006631A0"/>
    <w:rsid w:val="006631B8"/>
    <w:rsid w:val="0066351C"/>
    <w:rsid w:val="00663760"/>
    <w:rsid w:val="006638D2"/>
    <w:rsid w:val="00663B2C"/>
    <w:rsid w:val="00663E0C"/>
    <w:rsid w:val="006642EB"/>
    <w:rsid w:val="0066439C"/>
    <w:rsid w:val="006645DA"/>
    <w:rsid w:val="006647F1"/>
    <w:rsid w:val="0066480D"/>
    <w:rsid w:val="0066498D"/>
    <w:rsid w:val="00664AF4"/>
    <w:rsid w:val="00664C4E"/>
    <w:rsid w:val="00664CE1"/>
    <w:rsid w:val="00664FD5"/>
    <w:rsid w:val="00665228"/>
    <w:rsid w:val="006654D0"/>
    <w:rsid w:val="0066594A"/>
    <w:rsid w:val="00665975"/>
    <w:rsid w:val="00665AC4"/>
    <w:rsid w:val="00665D81"/>
    <w:rsid w:val="00666075"/>
    <w:rsid w:val="0066655A"/>
    <w:rsid w:val="006665D3"/>
    <w:rsid w:val="006668B6"/>
    <w:rsid w:val="00666D43"/>
    <w:rsid w:val="00666EAE"/>
    <w:rsid w:val="0066706E"/>
    <w:rsid w:val="006670D3"/>
    <w:rsid w:val="00667160"/>
    <w:rsid w:val="006671C9"/>
    <w:rsid w:val="00667204"/>
    <w:rsid w:val="00667373"/>
    <w:rsid w:val="0066756B"/>
    <w:rsid w:val="00667578"/>
    <w:rsid w:val="006676BC"/>
    <w:rsid w:val="0066775B"/>
    <w:rsid w:val="006678F4"/>
    <w:rsid w:val="0066790B"/>
    <w:rsid w:val="00667AB0"/>
    <w:rsid w:val="006700E3"/>
    <w:rsid w:val="006701B9"/>
    <w:rsid w:val="006701BC"/>
    <w:rsid w:val="006702BE"/>
    <w:rsid w:val="00670649"/>
    <w:rsid w:val="00670BE3"/>
    <w:rsid w:val="00670CE2"/>
    <w:rsid w:val="00671173"/>
    <w:rsid w:val="006718C3"/>
    <w:rsid w:val="00671C48"/>
    <w:rsid w:val="006728A0"/>
    <w:rsid w:val="006728DD"/>
    <w:rsid w:val="0067290D"/>
    <w:rsid w:val="00672A15"/>
    <w:rsid w:val="00672A3E"/>
    <w:rsid w:val="00672BBC"/>
    <w:rsid w:val="00672CC5"/>
    <w:rsid w:val="00672CE6"/>
    <w:rsid w:val="00672EAF"/>
    <w:rsid w:val="0067315D"/>
    <w:rsid w:val="00673183"/>
    <w:rsid w:val="0067341C"/>
    <w:rsid w:val="0067341D"/>
    <w:rsid w:val="00673447"/>
    <w:rsid w:val="006734F3"/>
    <w:rsid w:val="00673949"/>
    <w:rsid w:val="00673974"/>
    <w:rsid w:val="006739D8"/>
    <w:rsid w:val="00673B15"/>
    <w:rsid w:val="006741AC"/>
    <w:rsid w:val="006741BD"/>
    <w:rsid w:val="0067469E"/>
    <w:rsid w:val="006746BF"/>
    <w:rsid w:val="00674932"/>
    <w:rsid w:val="00674996"/>
    <w:rsid w:val="00674D74"/>
    <w:rsid w:val="006750B7"/>
    <w:rsid w:val="00675345"/>
    <w:rsid w:val="006754A0"/>
    <w:rsid w:val="00675845"/>
    <w:rsid w:val="00675A34"/>
    <w:rsid w:val="00675B62"/>
    <w:rsid w:val="00675CE5"/>
    <w:rsid w:val="00675F85"/>
    <w:rsid w:val="0067626B"/>
    <w:rsid w:val="0067626C"/>
    <w:rsid w:val="006762C3"/>
    <w:rsid w:val="00676533"/>
    <w:rsid w:val="0067655E"/>
    <w:rsid w:val="00676564"/>
    <w:rsid w:val="006767A0"/>
    <w:rsid w:val="006769AB"/>
    <w:rsid w:val="00676C8B"/>
    <w:rsid w:val="00676D74"/>
    <w:rsid w:val="00676E75"/>
    <w:rsid w:val="0067702B"/>
    <w:rsid w:val="0067702C"/>
    <w:rsid w:val="00677769"/>
    <w:rsid w:val="0067781B"/>
    <w:rsid w:val="006778E3"/>
    <w:rsid w:val="0068006A"/>
    <w:rsid w:val="006800C5"/>
    <w:rsid w:val="006800C9"/>
    <w:rsid w:val="006802DD"/>
    <w:rsid w:val="00680A78"/>
    <w:rsid w:val="00680B5A"/>
    <w:rsid w:val="00680C3A"/>
    <w:rsid w:val="00680DC7"/>
    <w:rsid w:val="00680E9D"/>
    <w:rsid w:val="00680F97"/>
    <w:rsid w:val="00681039"/>
    <w:rsid w:val="0068117E"/>
    <w:rsid w:val="00681416"/>
    <w:rsid w:val="006815D6"/>
    <w:rsid w:val="006817F1"/>
    <w:rsid w:val="00681A22"/>
    <w:rsid w:val="00681CE9"/>
    <w:rsid w:val="00681D35"/>
    <w:rsid w:val="00681DB7"/>
    <w:rsid w:val="00681ECB"/>
    <w:rsid w:val="00681ECF"/>
    <w:rsid w:val="006822CE"/>
    <w:rsid w:val="00682497"/>
    <w:rsid w:val="006825FA"/>
    <w:rsid w:val="0068265C"/>
    <w:rsid w:val="0068340D"/>
    <w:rsid w:val="006834C5"/>
    <w:rsid w:val="006835AF"/>
    <w:rsid w:val="006838C3"/>
    <w:rsid w:val="006839A2"/>
    <w:rsid w:val="00683A08"/>
    <w:rsid w:val="00683A6E"/>
    <w:rsid w:val="00683B20"/>
    <w:rsid w:val="00683B74"/>
    <w:rsid w:val="00683CF6"/>
    <w:rsid w:val="006840C5"/>
    <w:rsid w:val="00684400"/>
    <w:rsid w:val="0068459C"/>
    <w:rsid w:val="00684BFB"/>
    <w:rsid w:val="00684DE0"/>
    <w:rsid w:val="006853BF"/>
    <w:rsid w:val="006855B2"/>
    <w:rsid w:val="0068568C"/>
    <w:rsid w:val="006859B0"/>
    <w:rsid w:val="006859BC"/>
    <w:rsid w:val="00685ABF"/>
    <w:rsid w:val="00685C45"/>
    <w:rsid w:val="00686048"/>
    <w:rsid w:val="00686338"/>
    <w:rsid w:val="00686520"/>
    <w:rsid w:val="006866B7"/>
    <w:rsid w:val="00686976"/>
    <w:rsid w:val="00686AB7"/>
    <w:rsid w:val="00686D0C"/>
    <w:rsid w:val="00686FDA"/>
    <w:rsid w:val="00687100"/>
    <w:rsid w:val="00687580"/>
    <w:rsid w:val="006875A4"/>
    <w:rsid w:val="00687916"/>
    <w:rsid w:val="0068799E"/>
    <w:rsid w:val="00687A42"/>
    <w:rsid w:val="00690129"/>
    <w:rsid w:val="00690188"/>
    <w:rsid w:val="0069020C"/>
    <w:rsid w:val="00690290"/>
    <w:rsid w:val="00690476"/>
    <w:rsid w:val="006904D8"/>
    <w:rsid w:val="00690684"/>
    <w:rsid w:val="00690947"/>
    <w:rsid w:val="00690A54"/>
    <w:rsid w:val="00690B19"/>
    <w:rsid w:val="00690CD1"/>
    <w:rsid w:val="00690D42"/>
    <w:rsid w:val="00690EF2"/>
    <w:rsid w:val="0069129E"/>
    <w:rsid w:val="006912A1"/>
    <w:rsid w:val="006913C0"/>
    <w:rsid w:val="006913E3"/>
    <w:rsid w:val="006914FB"/>
    <w:rsid w:val="00691A28"/>
    <w:rsid w:val="00691AB6"/>
    <w:rsid w:val="00691B62"/>
    <w:rsid w:val="00691FAF"/>
    <w:rsid w:val="006921E3"/>
    <w:rsid w:val="006921EA"/>
    <w:rsid w:val="00692C2F"/>
    <w:rsid w:val="00692E2A"/>
    <w:rsid w:val="006931D6"/>
    <w:rsid w:val="00693662"/>
    <w:rsid w:val="00693A12"/>
    <w:rsid w:val="00693C1D"/>
    <w:rsid w:val="00694036"/>
    <w:rsid w:val="006941EE"/>
    <w:rsid w:val="0069437F"/>
    <w:rsid w:val="00694621"/>
    <w:rsid w:val="006946BB"/>
    <w:rsid w:val="00694807"/>
    <w:rsid w:val="00694D66"/>
    <w:rsid w:val="00694EEC"/>
    <w:rsid w:val="00695564"/>
    <w:rsid w:val="0069559C"/>
    <w:rsid w:val="00695769"/>
    <w:rsid w:val="006958AD"/>
    <w:rsid w:val="00695B07"/>
    <w:rsid w:val="00695E7C"/>
    <w:rsid w:val="00695F31"/>
    <w:rsid w:val="00695FE4"/>
    <w:rsid w:val="0069631F"/>
    <w:rsid w:val="00696C09"/>
    <w:rsid w:val="00697171"/>
    <w:rsid w:val="00697184"/>
    <w:rsid w:val="006974EA"/>
    <w:rsid w:val="0069753C"/>
    <w:rsid w:val="00697593"/>
    <w:rsid w:val="0069797F"/>
    <w:rsid w:val="00697D0B"/>
    <w:rsid w:val="00697E9F"/>
    <w:rsid w:val="006A049A"/>
    <w:rsid w:val="006A07F8"/>
    <w:rsid w:val="006A0A34"/>
    <w:rsid w:val="006A0A7D"/>
    <w:rsid w:val="006A0C2A"/>
    <w:rsid w:val="006A0C36"/>
    <w:rsid w:val="006A0CC0"/>
    <w:rsid w:val="006A0DFE"/>
    <w:rsid w:val="006A0FB5"/>
    <w:rsid w:val="006A114F"/>
    <w:rsid w:val="006A138C"/>
    <w:rsid w:val="006A159D"/>
    <w:rsid w:val="006A16C8"/>
    <w:rsid w:val="006A1730"/>
    <w:rsid w:val="006A1785"/>
    <w:rsid w:val="006A1906"/>
    <w:rsid w:val="006A19AE"/>
    <w:rsid w:val="006A19FB"/>
    <w:rsid w:val="006A1BC8"/>
    <w:rsid w:val="006A1C5F"/>
    <w:rsid w:val="006A2765"/>
    <w:rsid w:val="006A27EF"/>
    <w:rsid w:val="006A29F1"/>
    <w:rsid w:val="006A2A7D"/>
    <w:rsid w:val="006A2AA6"/>
    <w:rsid w:val="006A2B18"/>
    <w:rsid w:val="006A2CB7"/>
    <w:rsid w:val="006A2D4D"/>
    <w:rsid w:val="006A2F0A"/>
    <w:rsid w:val="006A2F1C"/>
    <w:rsid w:val="006A3026"/>
    <w:rsid w:val="006A30F0"/>
    <w:rsid w:val="006A313C"/>
    <w:rsid w:val="006A3535"/>
    <w:rsid w:val="006A377D"/>
    <w:rsid w:val="006A3792"/>
    <w:rsid w:val="006A37D7"/>
    <w:rsid w:val="006A3A33"/>
    <w:rsid w:val="006A3B3A"/>
    <w:rsid w:val="006A3BAA"/>
    <w:rsid w:val="006A3C95"/>
    <w:rsid w:val="006A3F9E"/>
    <w:rsid w:val="006A4750"/>
    <w:rsid w:val="006A47ED"/>
    <w:rsid w:val="006A48E3"/>
    <w:rsid w:val="006A4F25"/>
    <w:rsid w:val="006A4F33"/>
    <w:rsid w:val="006A4FFA"/>
    <w:rsid w:val="006A5343"/>
    <w:rsid w:val="006A55FE"/>
    <w:rsid w:val="006A5FF6"/>
    <w:rsid w:val="006A6237"/>
    <w:rsid w:val="006A6432"/>
    <w:rsid w:val="006A64EC"/>
    <w:rsid w:val="006A66DA"/>
    <w:rsid w:val="006A67D9"/>
    <w:rsid w:val="006A6A75"/>
    <w:rsid w:val="006A6B7C"/>
    <w:rsid w:val="006A6CA4"/>
    <w:rsid w:val="006A6CCC"/>
    <w:rsid w:val="006A6D32"/>
    <w:rsid w:val="006A6D86"/>
    <w:rsid w:val="006A6EFB"/>
    <w:rsid w:val="006A6FB3"/>
    <w:rsid w:val="006A7120"/>
    <w:rsid w:val="006A716D"/>
    <w:rsid w:val="006A753F"/>
    <w:rsid w:val="006A78FE"/>
    <w:rsid w:val="006A7927"/>
    <w:rsid w:val="006A7A4E"/>
    <w:rsid w:val="006A7BE5"/>
    <w:rsid w:val="006A7D6F"/>
    <w:rsid w:val="006B043E"/>
    <w:rsid w:val="006B04CF"/>
    <w:rsid w:val="006B04E8"/>
    <w:rsid w:val="006B07E8"/>
    <w:rsid w:val="006B09A5"/>
    <w:rsid w:val="006B0E5F"/>
    <w:rsid w:val="006B1069"/>
    <w:rsid w:val="006B1C45"/>
    <w:rsid w:val="006B1DCB"/>
    <w:rsid w:val="006B2100"/>
    <w:rsid w:val="006B2133"/>
    <w:rsid w:val="006B23EB"/>
    <w:rsid w:val="006B26D8"/>
    <w:rsid w:val="006B26FD"/>
    <w:rsid w:val="006B2872"/>
    <w:rsid w:val="006B28E5"/>
    <w:rsid w:val="006B29DF"/>
    <w:rsid w:val="006B2E54"/>
    <w:rsid w:val="006B30D4"/>
    <w:rsid w:val="006B322B"/>
    <w:rsid w:val="006B3910"/>
    <w:rsid w:val="006B3D07"/>
    <w:rsid w:val="006B3EF8"/>
    <w:rsid w:val="006B4357"/>
    <w:rsid w:val="006B45DC"/>
    <w:rsid w:val="006B4685"/>
    <w:rsid w:val="006B48F8"/>
    <w:rsid w:val="006B4919"/>
    <w:rsid w:val="006B4966"/>
    <w:rsid w:val="006B4B7A"/>
    <w:rsid w:val="006B50B2"/>
    <w:rsid w:val="006B5151"/>
    <w:rsid w:val="006B5899"/>
    <w:rsid w:val="006B5909"/>
    <w:rsid w:val="006B5AE4"/>
    <w:rsid w:val="006B6029"/>
    <w:rsid w:val="006B64EA"/>
    <w:rsid w:val="006B6541"/>
    <w:rsid w:val="006B6626"/>
    <w:rsid w:val="006B6C40"/>
    <w:rsid w:val="006B6D53"/>
    <w:rsid w:val="006B6D6C"/>
    <w:rsid w:val="006B6FC5"/>
    <w:rsid w:val="006B7860"/>
    <w:rsid w:val="006B7AA5"/>
    <w:rsid w:val="006C00FC"/>
    <w:rsid w:val="006C0127"/>
    <w:rsid w:val="006C01C1"/>
    <w:rsid w:val="006C05C9"/>
    <w:rsid w:val="006C0639"/>
    <w:rsid w:val="006C087F"/>
    <w:rsid w:val="006C0931"/>
    <w:rsid w:val="006C0A64"/>
    <w:rsid w:val="006C0B63"/>
    <w:rsid w:val="006C0DCA"/>
    <w:rsid w:val="006C0FCE"/>
    <w:rsid w:val="006C121A"/>
    <w:rsid w:val="006C1377"/>
    <w:rsid w:val="006C152F"/>
    <w:rsid w:val="006C1538"/>
    <w:rsid w:val="006C165A"/>
    <w:rsid w:val="006C1785"/>
    <w:rsid w:val="006C17B6"/>
    <w:rsid w:val="006C19D5"/>
    <w:rsid w:val="006C1AF3"/>
    <w:rsid w:val="006C1C6A"/>
    <w:rsid w:val="006C1D00"/>
    <w:rsid w:val="006C206C"/>
    <w:rsid w:val="006C2273"/>
    <w:rsid w:val="006C230E"/>
    <w:rsid w:val="006C231E"/>
    <w:rsid w:val="006C237F"/>
    <w:rsid w:val="006C2380"/>
    <w:rsid w:val="006C2619"/>
    <w:rsid w:val="006C286F"/>
    <w:rsid w:val="006C2B46"/>
    <w:rsid w:val="006C2C37"/>
    <w:rsid w:val="006C2EED"/>
    <w:rsid w:val="006C30D2"/>
    <w:rsid w:val="006C31A6"/>
    <w:rsid w:val="006C3478"/>
    <w:rsid w:val="006C34B1"/>
    <w:rsid w:val="006C3ACB"/>
    <w:rsid w:val="006C3ACD"/>
    <w:rsid w:val="006C3D2C"/>
    <w:rsid w:val="006C4187"/>
    <w:rsid w:val="006C430A"/>
    <w:rsid w:val="006C43C6"/>
    <w:rsid w:val="006C44E8"/>
    <w:rsid w:val="006C4855"/>
    <w:rsid w:val="006C4CA9"/>
    <w:rsid w:val="006C4EAF"/>
    <w:rsid w:val="006C5124"/>
    <w:rsid w:val="006C522A"/>
    <w:rsid w:val="006C54FF"/>
    <w:rsid w:val="006C5536"/>
    <w:rsid w:val="006C55E3"/>
    <w:rsid w:val="006C58B9"/>
    <w:rsid w:val="006C5C7C"/>
    <w:rsid w:val="006C5DB0"/>
    <w:rsid w:val="006C615C"/>
    <w:rsid w:val="006C62AE"/>
    <w:rsid w:val="006C65A0"/>
    <w:rsid w:val="006C65DE"/>
    <w:rsid w:val="006C686C"/>
    <w:rsid w:val="006C6C2D"/>
    <w:rsid w:val="006C6D4E"/>
    <w:rsid w:val="006C6DD8"/>
    <w:rsid w:val="006C70E4"/>
    <w:rsid w:val="006C71D8"/>
    <w:rsid w:val="006C7260"/>
    <w:rsid w:val="006C7281"/>
    <w:rsid w:val="006C73F5"/>
    <w:rsid w:val="006C7499"/>
    <w:rsid w:val="006C74EA"/>
    <w:rsid w:val="006C7504"/>
    <w:rsid w:val="006C7965"/>
    <w:rsid w:val="006C7AC5"/>
    <w:rsid w:val="006C7B62"/>
    <w:rsid w:val="006C7D19"/>
    <w:rsid w:val="006C7D95"/>
    <w:rsid w:val="006D022A"/>
    <w:rsid w:val="006D04BB"/>
    <w:rsid w:val="006D054B"/>
    <w:rsid w:val="006D05A8"/>
    <w:rsid w:val="006D05C8"/>
    <w:rsid w:val="006D070E"/>
    <w:rsid w:val="006D0C04"/>
    <w:rsid w:val="006D1111"/>
    <w:rsid w:val="006D1192"/>
    <w:rsid w:val="006D13B1"/>
    <w:rsid w:val="006D1404"/>
    <w:rsid w:val="006D15B4"/>
    <w:rsid w:val="006D1635"/>
    <w:rsid w:val="006D1930"/>
    <w:rsid w:val="006D1AB5"/>
    <w:rsid w:val="006D1AC2"/>
    <w:rsid w:val="006D1ADE"/>
    <w:rsid w:val="006D1B19"/>
    <w:rsid w:val="006D1BCF"/>
    <w:rsid w:val="006D1E33"/>
    <w:rsid w:val="006D21EC"/>
    <w:rsid w:val="006D229C"/>
    <w:rsid w:val="006D242C"/>
    <w:rsid w:val="006D2D6D"/>
    <w:rsid w:val="006D34C1"/>
    <w:rsid w:val="006D36F4"/>
    <w:rsid w:val="006D3752"/>
    <w:rsid w:val="006D3757"/>
    <w:rsid w:val="006D38CE"/>
    <w:rsid w:val="006D3C8E"/>
    <w:rsid w:val="006D4356"/>
    <w:rsid w:val="006D46B8"/>
    <w:rsid w:val="006D49AE"/>
    <w:rsid w:val="006D4A04"/>
    <w:rsid w:val="006D4D1A"/>
    <w:rsid w:val="006D4E38"/>
    <w:rsid w:val="006D4F37"/>
    <w:rsid w:val="006D52B4"/>
    <w:rsid w:val="006D543A"/>
    <w:rsid w:val="006D54CE"/>
    <w:rsid w:val="006D55B6"/>
    <w:rsid w:val="006D5C2A"/>
    <w:rsid w:val="006D5D17"/>
    <w:rsid w:val="006D5EB6"/>
    <w:rsid w:val="006D642B"/>
    <w:rsid w:val="006D65FE"/>
    <w:rsid w:val="006D6738"/>
    <w:rsid w:val="006D68DF"/>
    <w:rsid w:val="006D6AF0"/>
    <w:rsid w:val="006D6B7A"/>
    <w:rsid w:val="006D6BC8"/>
    <w:rsid w:val="006D715B"/>
    <w:rsid w:val="006D72E2"/>
    <w:rsid w:val="006D7316"/>
    <w:rsid w:val="006D735B"/>
    <w:rsid w:val="006D7AD2"/>
    <w:rsid w:val="006E010E"/>
    <w:rsid w:val="006E0244"/>
    <w:rsid w:val="006E0274"/>
    <w:rsid w:val="006E02D4"/>
    <w:rsid w:val="006E0302"/>
    <w:rsid w:val="006E03D2"/>
    <w:rsid w:val="006E0529"/>
    <w:rsid w:val="006E0576"/>
    <w:rsid w:val="006E0788"/>
    <w:rsid w:val="006E0849"/>
    <w:rsid w:val="006E08B2"/>
    <w:rsid w:val="006E0A23"/>
    <w:rsid w:val="006E0D05"/>
    <w:rsid w:val="006E0F9A"/>
    <w:rsid w:val="006E12B5"/>
    <w:rsid w:val="006E13C8"/>
    <w:rsid w:val="006E1462"/>
    <w:rsid w:val="006E1764"/>
    <w:rsid w:val="006E185C"/>
    <w:rsid w:val="006E1D1B"/>
    <w:rsid w:val="006E1E45"/>
    <w:rsid w:val="006E20EA"/>
    <w:rsid w:val="006E2450"/>
    <w:rsid w:val="006E24E5"/>
    <w:rsid w:val="006E254F"/>
    <w:rsid w:val="006E2672"/>
    <w:rsid w:val="006E26D1"/>
    <w:rsid w:val="006E2C1F"/>
    <w:rsid w:val="006E2DE5"/>
    <w:rsid w:val="006E2E2B"/>
    <w:rsid w:val="006E2FEA"/>
    <w:rsid w:val="006E3009"/>
    <w:rsid w:val="006E31B0"/>
    <w:rsid w:val="006E31BA"/>
    <w:rsid w:val="006E344E"/>
    <w:rsid w:val="006E378D"/>
    <w:rsid w:val="006E3B49"/>
    <w:rsid w:val="006E3B58"/>
    <w:rsid w:val="006E3C22"/>
    <w:rsid w:val="006E3CA9"/>
    <w:rsid w:val="006E3D99"/>
    <w:rsid w:val="006E3E73"/>
    <w:rsid w:val="006E3ED1"/>
    <w:rsid w:val="006E40D4"/>
    <w:rsid w:val="006E4358"/>
    <w:rsid w:val="006E4655"/>
    <w:rsid w:val="006E4871"/>
    <w:rsid w:val="006E494B"/>
    <w:rsid w:val="006E4DB5"/>
    <w:rsid w:val="006E4DFE"/>
    <w:rsid w:val="006E4F2B"/>
    <w:rsid w:val="006E558A"/>
    <w:rsid w:val="006E5AB6"/>
    <w:rsid w:val="006E5DF8"/>
    <w:rsid w:val="006E5F26"/>
    <w:rsid w:val="006E6180"/>
    <w:rsid w:val="006E687C"/>
    <w:rsid w:val="006E690F"/>
    <w:rsid w:val="006E6D1A"/>
    <w:rsid w:val="006E7124"/>
    <w:rsid w:val="006E72EE"/>
    <w:rsid w:val="006E7395"/>
    <w:rsid w:val="006E7715"/>
    <w:rsid w:val="006E7D95"/>
    <w:rsid w:val="006E7E4D"/>
    <w:rsid w:val="006E7F0E"/>
    <w:rsid w:val="006F00FB"/>
    <w:rsid w:val="006F030A"/>
    <w:rsid w:val="006F0386"/>
    <w:rsid w:val="006F0505"/>
    <w:rsid w:val="006F0625"/>
    <w:rsid w:val="006F0783"/>
    <w:rsid w:val="006F099C"/>
    <w:rsid w:val="006F0B62"/>
    <w:rsid w:val="006F0CEE"/>
    <w:rsid w:val="006F0FCD"/>
    <w:rsid w:val="006F10A8"/>
    <w:rsid w:val="006F14D3"/>
    <w:rsid w:val="006F1616"/>
    <w:rsid w:val="006F170E"/>
    <w:rsid w:val="006F179D"/>
    <w:rsid w:val="006F17F5"/>
    <w:rsid w:val="006F19DA"/>
    <w:rsid w:val="006F1AF4"/>
    <w:rsid w:val="006F1C96"/>
    <w:rsid w:val="006F1CB0"/>
    <w:rsid w:val="006F1D9D"/>
    <w:rsid w:val="006F212F"/>
    <w:rsid w:val="006F25F0"/>
    <w:rsid w:val="006F29BD"/>
    <w:rsid w:val="006F2A2D"/>
    <w:rsid w:val="006F2AF8"/>
    <w:rsid w:val="006F2F16"/>
    <w:rsid w:val="006F2F55"/>
    <w:rsid w:val="006F317E"/>
    <w:rsid w:val="006F3277"/>
    <w:rsid w:val="006F331C"/>
    <w:rsid w:val="006F3391"/>
    <w:rsid w:val="006F345D"/>
    <w:rsid w:val="006F35BB"/>
    <w:rsid w:val="006F36A0"/>
    <w:rsid w:val="006F36FA"/>
    <w:rsid w:val="006F36FF"/>
    <w:rsid w:val="006F3990"/>
    <w:rsid w:val="006F3D71"/>
    <w:rsid w:val="006F4678"/>
    <w:rsid w:val="006F4710"/>
    <w:rsid w:val="006F478A"/>
    <w:rsid w:val="006F4882"/>
    <w:rsid w:val="006F4905"/>
    <w:rsid w:val="006F4A15"/>
    <w:rsid w:val="006F4A5E"/>
    <w:rsid w:val="006F4B18"/>
    <w:rsid w:val="006F5002"/>
    <w:rsid w:val="006F50B6"/>
    <w:rsid w:val="006F565E"/>
    <w:rsid w:val="006F5703"/>
    <w:rsid w:val="006F57A7"/>
    <w:rsid w:val="006F58B6"/>
    <w:rsid w:val="006F58DB"/>
    <w:rsid w:val="006F5A75"/>
    <w:rsid w:val="006F5D1E"/>
    <w:rsid w:val="006F5DE4"/>
    <w:rsid w:val="006F5E0B"/>
    <w:rsid w:val="006F5E7E"/>
    <w:rsid w:val="006F5FC4"/>
    <w:rsid w:val="006F6014"/>
    <w:rsid w:val="006F60C5"/>
    <w:rsid w:val="006F671D"/>
    <w:rsid w:val="006F6785"/>
    <w:rsid w:val="006F6EC5"/>
    <w:rsid w:val="006F6FDD"/>
    <w:rsid w:val="006F722D"/>
    <w:rsid w:val="006F752B"/>
    <w:rsid w:val="006F755E"/>
    <w:rsid w:val="006F7575"/>
    <w:rsid w:val="006F772C"/>
    <w:rsid w:val="006F790C"/>
    <w:rsid w:val="006F7945"/>
    <w:rsid w:val="006F7A96"/>
    <w:rsid w:val="006F7C13"/>
    <w:rsid w:val="006F7CD9"/>
    <w:rsid w:val="00700258"/>
    <w:rsid w:val="00700488"/>
    <w:rsid w:val="007004CA"/>
    <w:rsid w:val="00700AFA"/>
    <w:rsid w:val="00700CC2"/>
    <w:rsid w:val="00700E64"/>
    <w:rsid w:val="007016A7"/>
    <w:rsid w:val="007017A0"/>
    <w:rsid w:val="007017F9"/>
    <w:rsid w:val="0070201A"/>
    <w:rsid w:val="00702183"/>
    <w:rsid w:val="007021BB"/>
    <w:rsid w:val="0070233C"/>
    <w:rsid w:val="0070264B"/>
    <w:rsid w:val="007028B3"/>
    <w:rsid w:val="00702919"/>
    <w:rsid w:val="00702A06"/>
    <w:rsid w:val="00702A29"/>
    <w:rsid w:val="00702AA1"/>
    <w:rsid w:val="00702AF5"/>
    <w:rsid w:val="00702BE0"/>
    <w:rsid w:val="00702C6C"/>
    <w:rsid w:val="00702FA8"/>
    <w:rsid w:val="00703040"/>
    <w:rsid w:val="0070321D"/>
    <w:rsid w:val="00703707"/>
    <w:rsid w:val="007037C6"/>
    <w:rsid w:val="007038F6"/>
    <w:rsid w:val="00703D4B"/>
    <w:rsid w:val="00703EF9"/>
    <w:rsid w:val="00703F03"/>
    <w:rsid w:val="007040E3"/>
    <w:rsid w:val="00704478"/>
    <w:rsid w:val="007044ED"/>
    <w:rsid w:val="00704741"/>
    <w:rsid w:val="0070477B"/>
    <w:rsid w:val="0070485C"/>
    <w:rsid w:val="0070491D"/>
    <w:rsid w:val="00704AD6"/>
    <w:rsid w:val="00704F41"/>
    <w:rsid w:val="0070513E"/>
    <w:rsid w:val="007052A2"/>
    <w:rsid w:val="00705455"/>
    <w:rsid w:val="00705485"/>
    <w:rsid w:val="007054F9"/>
    <w:rsid w:val="007060A4"/>
    <w:rsid w:val="007060F2"/>
    <w:rsid w:val="00706113"/>
    <w:rsid w:val="007063DA"/>
    <w:rsid w:val="007065C0"/>
    <w:rsid w:val="00706626"/>
    <w:rsid w:val="00706B67"/>
    <w:rsid w:val="00706E10"/>
    <w:rsid w:val="00707400"/>
    <w:rsid w:val="0070775D"/>
    <w:rsid w:val="00707909"/>
    <w:rsid w:val="00707D4C"/>
    <w:rsid w:val="00710303"/>
    <w:rsid w:val="00710655"/>
    <w:rsid w:val="00710858"/>
    <w:rsid w:val="00710BC7"/>
    <w:rsid w:val="00710CFA"/>
    <w:rsid w:val="00710E32"/>
    <w:rsid w:val="00710EB7"/>
    <w:rsid w:val="007110F3"/>
    <w:rsid w:val="0071113A"/>
    <w:rsid w:val="007113F6"/>
    <w:rsid w:val="007117B3"/>
    <w:rsid w:val="007117D2"/>
    <w:rsid w:val="007117DA"/>
    <w:rsid w:val="00711821"/>
    <w:rsid w:val="0071198D"/>
    <w:rsid w:val="00711ABD"/>
    <w:rsid w:val="00711FD1"/>
    <w:rsid w:val="00712234"/>
    <w:rsid w:val="0071226E"/>
    <w:rsid w:val="00712583"/>
    <w:rsid w:val="007125B4"/>
    <w:rsid w:val="00712802"/>
    <w:rsid w:val="00712C71"/>
    <w:rsid w:val="00712DB5"/>
    <w:rsid w:val="00713063"/>
    <w:rsid w:val="007132BA"/>
    <w:rsid w:val="007132CA"/>
    <w:rsid w:val="00713380"/>
    <w:rsid w:val="007135B7"/>
    <w:rsid w:val="0071396B"/>
    <w:rsid w:val="00713993"/>
    <w:rsid w:val="00713AD3"/>
    <w:rsid w:val="00713CE1"/>
    <w:rsid w:val="00713F0B"/>
    <w:rsid w:val="0071428A"/>
    <w:rsid w:val="00714784"/>
    <w:rsid w:val="00714817"/>
    <w:rsid w:val="00714849"/>
    <w:rsid w:val="00714A4C"/>
    <w:rsid w:val="007151A9"/>
    <w:rsid w:val="007152CB"/>
    <w:rsid w:val="007153E1"/>
    <w:rsid w:val="0071554A"/>
    <w:rsid w:val="007159C1"/>
    <w:rsid w:val="00715CED"/>
    <w:rsid w:val="00715D37"/>
    <w:rsid w:val="00716417"/>
    <w:rsid w:val="0071696C"/>
    <w:rsid w:val="00716AF8"/>
    <w:rsid w:val="00716CC4"/>
    <w:rsid w:val="00716CEE"/>
    <w:rsid w:val="00717383"/>
    <w:rsid w:val="007177DF"/>
    <w:rsid w:val="00717808"/>
    <w:rsid w:val="00717889"/>
    <w:rsid w:val="00717A90"/>
    <w:rsid w:val="00717C06"/>
    <w:rsid w:val="00717C85"/>
    <w:rsid w:val="00717D08"/>
    <w:rsid w:val="00717E44"/>
    <w:rsid w:val="00717F25"/>
    <w:rsid w:val="007201E9"/>
    <w:rsid w:val="007207D4"/>
    <w:rsid w:val="00720969"/>
    <w:rsid w:val="00720B1E"/>
    <w:rsid w:val="00720C20"/>
    <w:rsid w:val="00720C35"/>
    <w:rsid w:val="00720D4B"/>
    <w:rsid w:val="007211AE"/>
    <w:rsid w:val="007211E2"/>
    <w:rsid w:val="007213C0"/>
    <w:rsid w:val="00721433"/>
    <w:rsid w:val="00721465"/>
    <w:rsid w:val="00721964"/>
    <w:rsid w:val="00721D5B"/>
    <w:rsid w:val="00721E6B"/>
    <w:rsid w:val="00721F9A"/>
    <w:rsid w:val="0072240B"/>
    <w:rsid w:val="00722461"/>
    <w:rsid w:val="0072256E"/>
    <w:rsid w:val="007225AE"/>
    <w:rsid w:val="00722646"/>
    <w:rsid w:val="0072280D"/>
    <w:rsid w:val="007228F4"/>
    <w:rsid w:val="00722D5E"/>
    <w:rsid w:val="00722DAA"/>
    <w:rsid w:val="00722DD1"/>
    <w:rsid w:val="00723049"/>
    <w:rsid w:val="007231BE"/>
    <w:rsid w:val="00723206"/>
    <w:rsid w:val="007233B8"/>
    <w:rsid w:val="007235EF"/>
    <w:rsid w:val="00723B41"/>
    <w:rsid w:val="00723B68"/>
    <w:rsid w:val="00723FCB"/>
    <w:rsid w:val="0072414F"/>
    <w:rsid w:val="007241EF"/>
    <w:rsid w:val="00724281"/>
    <w:rsid w:val="00724AFC"/>
    <w:rsid w:val="00724B10"/>
    <w:rsid w:val="00724B72"/>
    <w:rsid w:val="00724F78"/>
    <w:rsid w:val="00724F9B"/>
    <w:rsid w:val="00724FAD"/>
    <w:rsid w:val="007253A0"/>
    <w:rsid w:val="00725762"/>
    <w:rsid w:val="00725F22"/>
    <w:rsid w:val="00725F7D"/>
    <w:rsid w:val="00725FFF"/>
    <w:rsid w:val="007261A0"/>
    <w:rsid w:val="007263D9"/>
    <w:rsid w:val="007265C9"/>
    <w:rsid w:val="00726675"/>
    <w:rsid w:val="0072696C"/>
    <w:rsid w:val="00726B3F"/>
    <w:rsid w:val="00726B60"/>
    <w:rsid w:val="00726C61"/>
    <w:rsid w:val="00726CEC"/>
    <w:rsid w:val="00726CF0"/>
    <w:rsid w:val="00726FDA"/>
    <w:rsid w:val="0072705D"/>
    <w:rsid w:val="007270A5"/>
    <w:rsid w:val="007272E6"/>
    <w:rsid w:val="00727562"/>
    <w:rsid w:val="007277AE"/>
    <w:rsid w:val="00727801"/>
    <w:rsid w:val="00727862"/>
    <w:rsid w:val="00727A4B"/>
    <w:rsid w:val="00727DAE"/>
    <w:rsid w:val="00727DD4"/>
    <w:rsid w:val="00727E02"/>
    <w:rsid w:val="00730466"/>
    <w:rsid w:val="007305E5"/>
    <w:rsid w:val="00730A2A"/>
    <w:rsid w:val="007313C9"/>
    <w:rsid w:val="007314B6"/>
    <w:rsid w:val="00731680"/>
    <w:rsid w:val="00731A51"/>
    <w:rsid w:val="00731B8E"/>
    <w:rsid w:val="00731D1F"/>
    <w:rsid w:val="00731D9C"/>
    <w:rsid w:val="00731DBB"/>
    <w:rsid w:val="0073212C"/>
    <w:rsid w:val="0073258B"/>
    <w:rsid w:val="0073287F"/>
    <w:rsid w:val="00732928"/>
    <w:rsid w:val="0073299B"/>
    <w:rsid w:val="00732A3E"/>
    <w:rsid w:val="00732E10"/>
    <w:rsid w:val="0073336F"/>
    <w:rsid w:val="0073365A"/>
    <w:rsid w:val="00733C45"/>
    <w:rsid w:val="00733D54"/>
    <w:rsid w:val="00733E78"/>
    <w:rsid w:val="00733FCF"/>
    <w:rsid w:val="0073458B"/>
    <w:rsid w:val="007346E4"/>
    <w:rsid w:val="0073478D"/>
    <w:rsid w:val="007348B2"/>
    <w:rsid w:val="00734B91"/>
    <w:rsid w:val="00734B9F"/>
    <w:rsid w:val="00734C6A"/>
    <w:rsid w:val="00735040"/>
    <w:rsid w:val="0073506C"/>
    <w:rsid w:val="00735158"/>
    <w:rsid w:val="007351B1"/>
    <w:rsid w:val="007353D0"/>
    <w:rsid w:val="007355CA"/>
    <w:rsid w:val="00735A5F"/>
    <w:rsid w:val="00735BE1"/>
    <w:rsid w:val="00735D01"/>
    <w:rsid w:val="00735D0D"/>
    <w:rsid w:val="0073621B"/>
    <w:rsid w:val="00736338"/>
    <w:rsid w:val="00736351"/>
    <w:rsid w:val="00736357"/>
    <w:rsid w:val="0073661E"/>
    <w:rsid w:val="00736656"/>
    <w:rsid w:val="0073667F"/>
    <w:rsid w:val="007367AC"/>
    <w:rsid w:val="007367CB"/>
    <w:rsid w:val="00736ADF"/>
    <w:rsid w:val="00736C66"/>
    <w:rsid w:val="00736DBF"/>
    <w:rsid w:val="00736DD0"/>
    <w:rsid w:val="00736F7F"/>
    <w:rsid w:val="00737451"/>
    <w:rsid w:val="00737BB4"/>
    <w:rsid w:val="00737C98"/>
    <w:rsid w:val="00737ED1"/>
    <w:rsid w:val="00740258"/>
    <w:rsid w:val="007403F6"/>
    <w:rsid w:val="007409F0"/>
    <w:rsid w:val="00740CD0"/>
    <w:rsid w:val="00741063"/>
    <w:rsid w:val="0074115B"/>
    <w:rsid w:val="007412CF"/>
    <w:rsid w:val="007412E8"/>
    <w:rsid w:val="00741524"/>
    <w:rsid w:val="007415A2"/>
    <w:rsid w:val="00741644"/>
    <w:rsid w:val="00741813"/>
    <w:rsid w:val="0074183B"/>
    <w:rsid w:val="00741863"/>
    <w:rsid w:val="00741925"/>
    <w:rsid w:val="0074193D"/>
    <w:rsid w:val="0074197E"/>
    <w:rsid w:val="007421C7"/>
    <w:rsid w:val="0074221C"/>
    <w:rsid w:val="007422AF"/>
    <w:rsid w:val="007426A3"/>
    <w:rsid w:val="00742845"/>
    <w:rsid w:val="00742A55"/>
    <w:rsid w:val="00742BD4"/>
    <w:rsid w:val="00742C19"/>
    <w:rsid w:val="00743025"/>
    <w:rsid w:val="00743639"/>
    <w:rsid w:val="007436CF"/>
    <w:rsid w:val="007437FF"/>
    <w:rsid w:val="00743879"/>
    <w:rsid w:val="007439E8"/>
    <w:rsid w:val="00743A07"/>
    <w:rsid w:val="00743A0C"/>
    <w:rsid w:val="00743A9C"/>
    <w:rsid w:val="00743CE6"/>
    <w:rsid w:val="00743E8D"/>
    <w:rsid w:val="0074404B"/>
    <w:rsid w:val="0074418A"/>
    <w:rsid w:val="00744197"/>
    <w:rsid w:val="0074421A"/>
    <w:rsid w:val="0074442F"/>
    <w:rsid w:val="00744582"/>
    <w:rsid w:val="00744744"/>
    <w:rsid w:val="00744E1F"/>
    <w:rsid w:val="00745010"/>
    <w:rsid w:val="00745146"/>
    <w:rsid w:val="007451F8"/>
    <w:rsid w:val="00745645"/>
    <w:rsid w:val="00745C62"/>
    <w:rsid w:val="00745F76"/>
    <w:rsid w:val="00746474"/>
    <w:rsid w:val="00746838"/>
    <w:rsid w:val="00746C4C"/>
    <w:rsid w:val="00746F30"/>
    <w:rsid w:val="00746FB3"/>
    <w:rsid w:val="00746FCD"/>
    <w:rsid w:val="00747141"/>
    <w:rsid w:val="00747183"/>
    <w:rsid w:val="00747462"/>
    <w:rsid w:val="00747522"/>
    <w:rsid w:val="00747611"/>
    <w:rsid w:val="0074774B"/>
    <w:rsid w:val="007477AC"/>
    <w:rsid w:val="00747993"/>
    <w:rsid w:val="00747A85"/>
    <w:rsid w:val="00747A8D"/>
    <w:rsid w:val="00747ADE"/>
    <w:rsid w:val="00747B04"/>
    <w:rsid w:val="00747E06"/>
    <w:rsid w:val="00747FFD"/>
    <w:rsid w:val="0075041E"/>
    <w:rsid w:val="0075091F"/>
    <w:rsid w:val="00750D5B"/>
    <w:rsid w:val="00750E57"/>
    <w:rsid w:val="00751283"/>
    <w:rsid w:val="007512E5"/>
    <w:rsid w:val="00751387"/>
    <w:rsid w:val="00751B98"/>
    <w:rsid w:val="00751B99"/>
    <w:rsid w:val="0075203B"/>
    <w:rsid w:val="00752442"/>
    <w:rsid w:val="0075291B"/>
    <w:rsid w:val="00752A17"/>
    <w:rsid w:val="00752A58"/>
    <w:rsid w:val="00752D06"/>
    <w:rsid w:val="00752EC6"/>
    <w:rsid w:val="007531F0"/>
    <w:rsid w:val="00753434"/>
    <w:rsid w:val="0075343D"/>
    <w:rsid w:val="00753839"/>
    <w:rsid w:val="00753B57"/>
    <w:rsid w:val="00753CDB"/>
    <w:rsid w:val="00753D7A"/>
    <w:rsid w:val="00753FA4"/>
    <w:rsid w:val="00753FB5"/>
    <w:rsid w:val="00753FE1"/>
    <w:rsid w:val="0075434E"/>
    <w:rsid w:val="00754372"/>
    <w:rsid w:val="00754418"/>
    <w:rsid w:val="007547D8"/>
    <w:rsid w:val="00754A58"/>
    <w:rsid w:val="00754CDC"/>
    <w:rsid w:val="00754E04"/>
    <w:rsid w:val="00755231"/>
    <w:rsid w:val="00755895"/>
    <w:rsid w:val="00755A8C"/>
    <w:rsid w:val="007560E6"/>
    <w:rsid w:val="00756257"/>
    <w:rsid w:val="0075642F"/>
    <w:rsid w:val="007564C2"/>
    <w:rsid w:val="007565ED"/>
    <w:rsid w:val="007569F5"/>
    <w:rsid w:val="007569F9"/>
    <w:rsid w:val="00756C5E"/>
    <w:rsid w:val="00756EE2"/>
    <w:rsid w:val="007572E6"/>
    <w:rsid w:val="00757353"/>
    <w:rsid w:val="0075776E"/>
    <w:rsid w:val="00757910"/>
    <w:rsid w:val="00757944"/>
    <w:rsid w:val="00757B5F"/>
    <w:rsid w:val="00757BDB"/>
    <w:rsid w:val="00757DFD"/>
    <w:rsid w:val="00757EBA"/>
    <w:rsid w:val="00757F7C"/>
    <w:rsid w:val="0076022A"/>
    <w:rsid w:val="0076034A"/>
    <w:rsid w:val="00760644"/>
    <w:rsid w:val="007607CC"/>
    <w:rsid w:val="00760820"/>
    <w:rsid w:val="0076089D"/>
    <w:rsid w:val="007608AB"/>
    <w:rsid w:val="00760B03"/>
    <w:rsid w:val="00760B7C"/>
    <w:rsid w:val="00760D97"/>
    <w:rsid w:val="00761414"/>
    <w:rsid w:val="007614A9"/>
    <w:rsid w:val="007614EA"/>
    <w:rsid w:val="00761585"/>
    <w:rsid w:val="0076165A"/>
    <w:rsid w:val="00761A76"/>
    <w:rsid w:val="00761BD5"/>
    <w:rsid w:val="00761CBB"/>
    <w:rsid w:val="00761CF7"/>
    <w:rsid w:val="00762008"/>
    <w:rsid w:val="00762163"/>
    <w:rsid w:val="007621A6"/>
    <w:rsid w:val="0076230A"/>
    <w:rsid w:val="007624B5"/>
    <w:rsid w:val="0076255F"/>
    <w:rsid w:val="00762904"/>
    <w:rsid w:val="00762CD4"/>
    <w:rsid w:val="00762D44"/>
    <w:rsid w:val="007631E6"/>
    <w:rsid w:val="00763333"/>
    <w:rsid w:val="007637DD"/>
    <w:rsid w:val="0076397A"/>
    <w:rsid w:val="00763CDE"/>
    <w:rsid w:val="00764488"/>
    <w:rsid w:val="007648CE"/>
    <w:rsid w:val="00764A82"/>
    <w:rsid w:val="00764F7E"/>
    <w:rsid w:val="00764FE4"/>
    <w:rsid w:val="00765471"/>
    <w:rsid w:val="0076552C"/>
    <w:rsid w:val="00765A1C"/>
    <w:rsid w:val="00765A7A"/>
    <w:rsid w:val="00765ACE"/>
    <w:rsid w:val="00765CC8"/>
    <w:rsid w:val="00765FA0"/>
    <w:rsid w:val="00765FBE"/>
    <w:rsid w:val="007660CF"/>
    <w:rsid w:val="00766A65"/>
    <w:rsid w:val="00766DE3"/>
    <w:rsid w:val="00766E80"/>
    <w:rsid w:val="0076728C"/>
    <w:rsid w:val="00767435"/>
    <w:rsid w:val="0076795D"/>
    <w:rsid w:val="00767AD2"/>
    <w:rsid w:val="00767ADE"/>
    <w:rsid w:val="00767B72"/>
    <w:rsid w:val="00767D10"/>
    <w:rsid w:val="00767E61"/>
    <w:rsid w:val="00767EC5"/>
    <w:rsid w:val="00767FAB"/>
    <w:rsid w:val="0077008B"/>
    <w:rsid w:val="00770093"/>
    <w:rsid w:val="00770331"/>
    <w:rsid w:val="0077042A"/>
    <w:rsid w:val="007705ED"/>
    <w:rsid w:val="007707CD"/>
    <w:rsid w:val="00770BA0"/>
    <w:rsid w:val="00770F7C"/>
    <w:rsid w:val="00770FEF"/>
    <w:rsid w:val="00771061"/>
    <w:rsid w:val="00771125"/>
    <w:rsid w:val="00771127"/>
    <w:rsid w:val="00771229"/>
    <w:rsid w:val="00771B24"/>
    <w:rsid w:val="00771B50"/>
    <w:rsid w:val="00771D33"/>
    <w:rsid w:val="00771E65"/>
    <w:rsid w:val="0077201C"/>
    <w:rsid w:val="00772088"/>
    <w:rsid w:val="007720F4"/>
    <w:rsid w:val="0077231D"/>
    <w:rsid w:val="00772761"/>
    <w:rsid w:val="00772B95"/>
    <w:rsid w:val="00772BFD"/>
    <w:rsid w:val="00772F39"/>
    <w:rsid w:val="00772FDB"/>
    <w:rsid w:val="00773057"/>
    <w:rsid w:val="00773C4B"/>
    <w:rsid w:val="007741B2"/>
    <w:rsid w:val="00774228"/>
    <w:rsid w:val="007744A6"/>
    <w:rsid w:val="00774612"/>
    <w:rsid w:val="0077466E"/>
    <w:rsid w:val="00774AE6"/>
    <w:rsid w:val="00774AFA"/>
    <w:rsid w:val="00774C36"/>
    <w:rsid w:val="00774E74"/>
    <w:rsid w:val="00774F94"/>
    <w:rsid w:val="00775117"/>
    <w:rsid w:val="007751F7"/>
    <w:rsid w:val="0077521B"/>
    <w:rsid w:val="00775266"/>
    <w:rsid w:val="00775510"/>
    <w:rsid w:val="007755D0"/>
    <w:rsid w:val="00775711"/>
    <w:rsid w:val="00775B5C"/>
    <w:rsid w:val="00775B98"/>
    <w:rsid w:val="00775E12"/>
    <w:rsid w:val="00775F65"/>
    <w:rsid w:val="00775F9C"/>
    <w:rsid w:val="00775FDE"/>
    <w:rsid w:val="00776608"/>
    <w:rsid w:val="0077672B"/>
    <w:rsid w:val="0077673E"/>
    <w:rsid w:val="007768DB"/>
    <w:rsid w:val="007768F3"/>
    <w:rsid w:val="00776C0D"/>
    <w:rsid w:val="00776C16"/>
    <w:rsid w:val="00776F1B"/>
    <w:rsid w:val="00776FA8"/>
    <w:rsid w:val="007773D1"/>
    <w:rsid w:val="00777414"/>
    <w:rsid w:val="0077744A"/>
    <w:rsid w:val="007777A9"/>
    <w:rsid w:val="007777D6"/>
    <w:rsid w:val="00777927"/>
    <w:rsid w:val="00777B8F"/>
    <w:rsid w:val="00777CAF"/>
    <w:rsid w:val="00777D20"/>
    <w:rsid w:val="00777FBE"/>
    <w:rsid w:val="0077E692"/>
    <w:rsid w:val="007801E2"/>
    <w:rsid w:val="007802B3"/>
    <w:rsid w:val="0078046C"/>
    <w:rsid w:val="0078063A"/>
    <w:rsid w:val="00780818"/>
    <w:rsid w:val="00780AC4"/>
    <w:rsid w:val="00780BC0"/>
    <w:rsid w:val="00780BC1"/>
    <w:rsid w:val="00781052"/>
    <w:rsid w:val="00781331"/>
    <w:rsid w:val="007813EC"/>
    <w:rsid w:val="0078150B"/>
    <w:rsid w:val="00781542"/>
    <w:rsid w:val="0078167B"/>
    <w:rsid w:val="00781762"/>
    <w:rsid w:val="0078177B"/>
    <w:rsid w:val="007818C4"/>
    <w:rsid w:val="00781946"/>
    <w:rsid w:val="00781B45"/>
    <w:rsid w:val="00781EFE"/>
    <w:rsid w:val="0078209F"/>
    <w:rsid w:val="007823FC"/>
    <w:rsid w:val="007824A8"/>
    <w:rsid w:val="0078256C"/>
    <w:rsid w:val="007827AE"/>
    <w:rsid w:val="0078291A"/>
    <w:rsid w:val="00782BA0"/>
    <w:rsid w:val="00782D50"/>
    <w:rsid w:val="007834A0"/>
    <w:rsid w:val="00783A82"/>
    <w:rsid w:val="00783B41"/>
    <w:rsid w:val="00783DB5"/>
    <w:rsid w:val="0078410A"/>
    <w:rsid w:val="00784151"/>
    <w:rsid w:val="007842B3"/>
    <w:rsid w:val="00784305"/>
    <w:rsid w:val="007848A2"/>
    <w:rsid w:val="007849D9"/>
    <w:rsid w:val="00784A10"/>
    <w:rsid w:val="00784AA0"/>
    <w:rsid w:val="00784AEB"/>
    <w:rsid w:val="00784F9A"/>
    <w:rsid w:val="00785263"/>
    <w:rsid w:val="0078577F"/>
    <w:rsid w:val="0078598F"/>
    <w:rsid w:val="00785AD2"/>
    <w:rsid w:val="00785AE7"/>
    <w:rsid w:val="00785D18"/>
    <w:rsid w:val="00785DC2"/>
    <w:rsid w:val="00785FD7"/>
    <w:rsid w:val="007860D5"/>
    <w:rsid w:val="00786107"/>
    <w:rsid w:val="0078660D"/>
    <w:rsid w:val="00786756"/>
    <w:rsid w:val="00786C8C"/>
    <w:rsid w:val="00786F8C"/>
    <w:rsid w:val="007870C2"/>
    <w:rsid w:val="007870C3"/>
    <w:rsid w:val="007870E1"/>
    <w:rsid w:val="007871A6"/>
    <w:rsid w:val="00787214"/>
    <w:rsid w:val="0078756A"/>
    <w:rsid w:val="007877A6"/>
    <w:rsid w:val="00787A2F"/>
    <w:rsid w:val="00787A96"/>
    <w:rsid w:val="00787B74"/>
    <w:rsid w:val="00787CE8"/>
    <w:rsid w:val="00787DD7"/>
    <w:rsid w:val="007900A5"/>
    <w:rsid w:val="007901DF"/>
    <w:rsid w:val="007903EF"/>
    <w:rsid w:val="0079051F"/>
    <w:rsid w:val="0079075B"/>
    <w:rsid w:val="007908DF"/>
    <w:rsid w:val="0079093A"/>
    <w:rsid w:val="00790DD4"/>
    <w:rsid w:val="00790E79"/>
    <w:rsid w:val="007910C6"/>
    <w:rsid w:val="007911BA"/>
    <w:rsid w:val="0079125F"/>
    <w:rsid w:val="00791264"/>
    <w:rsid w:val="00791649"/>
    <w:rsid w:val="0079164E"/>
    <w:rsid w:val="007917DB"/>
    <w:rsid w:val="00791AFD"/>
    <w:rsid w:val="00791E95"/>
    <w:rsid w:val="007926BA"/>
    <w:rsid w:val="00792729"/>
    <w:rsid w:val="0079272E"/>
    <w:rsid w:val="00792A60"/>
    <w:rsid w:val="00792CD5"/>
    <w:rsid w:val="00792FA1"/>
    <w:rsid w:val="00793088"/>
    <w:rsid w:val="007930EE"/>
    <w:rsid w:val="0079314F"/>
    <w:rsid w:val="007933BE"/>
    <w:rsid w:val="00793843"/>
    <w:rsid w:val="0079397A"/>
    <w:rsid w:val="00793C4A"/>
    <w:rsid w:val="00793C97"/>
    <w:rsid w:val="00793E02"/>
    <w:rsid w:val="00793EC5"/>
    <w:rsid w:val="007945A7"/>
    <w:rsid w:val="00794685"/>
    <w:rsid w:val="007948BE"/>
    <w:rsid w:val="00794913"/>
    <w:rsid w:val="00794977"/>
    <w:rsid w:val="00794985"/>
    <w:rsid w:val="00795184"/>
    <w:rsid w:val="007952AE"/>
    <w:rsid w:val="00795344"/>
    <w:rsid w:val="007956CD"/>
    <w:rsid w:val="00795A43"/>
    <w:rsid w:val="00795AF2"/>
    <w:rsid w:val="00795B66"/>
    <w:rsid w:val="00795B80"/>
    <w:rsid w:val="00795BCE"/>
    <w:rsid w:val="00795CA0"/>
    <w:rsid w:val="00795E16"/>
    <w:rsid w:val="00795EC7"/>
    <w:rsid w:val="00795F28"/>
    <w:rsid w:val="007961AE"/>
    <w:rsid w:val="007962EF"/>
    <w:rsid w:val="00796514"/>
    <w:rsid w:val="007967C3"/>
    <w:rsid w:val="00796833"/>
    <w:rsid w:val="00796B88"/>
    <w:rsid w:val="007973BC"/>
    <w:rsid w:val="00797688"/>
    <w:rsid w:val="007979AC"/>
    <w:rsid w:val="00797C4D"/>
    <w:rsid w:val="007A02EB"/>
    <w:rsid w:val="007A0474"/>
    <w:rsid w:val="007A07DB"/>
    <w:rsid w:val="007A080F"/>
    <w:rsid w:val="007A0A05"/>
    <w:rsid w:val="007A0A4F"/>
    <w:rsid w:val="007A0B5A"/>
    <w:rsid w:val="007A0E6B"/>
    <w:rsid w:val="007A0F25"/>
    <w:rsid w:val="007A1246"/>
    <w:rsid w:val="007A1266"/>
    <w:rsid w:val="007A12C4"/>
    <w:rsid w:val="007A13D6"/>
    <w:rsid w:val="007A1BFD"/>
    <w:rsid w:val="007A1DD5"/>
    <w:rsid w:val="007A2065"/>
    <w:rsid w:val="007A208F"/>
    <w:rsid w:val="007A20E3"/>
    <w:rsid w:val="007A255E"/>
    <w:rsid w:val="007A257F"/>
    <w:rsid w:val="007A28DA"/>
    <w:rsid w:val="007A2934"/>
    <w:rsid w:val="007A2A44"/>
    <w:rsid w:val="007A2B4F"/>
    <w:rsid w:val="007A2BEF"/>
    <w:rsid w:val="007A2C05"/>
    <w:rsid w:val="007A2CAD"/>
    <w:rsid w:val="007A2E1C"/>
    <w:rsid w:val="007A2E6E"/>
    <w:rsid w:val="007A2F2D"/>
    <w:rsid w:val="007A2F41"/>
    <w:rsid w:val="007A31FE"/>
    <w:rsid w:val="007A33C6"/>
    <w:rsid w:val="007A3595"/>
    <w:rsid w:val="007A35B9"/>
    <w:rsid w:val="007A37B2"/>
    <w:rsid w:val="007A3A09"/>
    <w:rsid w:val="007A3E13"/>
    <w:rsid w:val="007A3F75"/>
    <w:rsid w:val="007A4392"/>
    <w:rsid w:val="007A4432"/>
    <w:rsid w:val="007A460F"/>
    <w:rsid w:val="007A4A4F"/>
    <w:rsid w:val="007A4AD7"/>
    <w:rsid w:val="007A4C56"/>
    <w:rsid w:val="007A4FB6"/>
    <w:rsid w:val="007A51F6"/>
    <w:rsid w:val="007A520D"/>
    <w:rsid w:val="007A5333"/>
    <w:rsid w:val="007A5448"/>
    <w:rsid w:val="007A580C"/>
    <w:rsid w:val="007A5850"/>
    <w:rsid w:val="007A5CF8"/>
    <w:rsid w:val="007A5DD9"/>
    <w:rsid w:val="007A5ED4"/>
    <w:rsid w:val="007A5F73"/>
    <w:rsid w:val="007A6656"/>
    <w:rsid w:val="007A6737"/>
    <w:rsid w:val="007A6885"/>
    <w:rsid w:val="007A6C34"/>
    <w:rsid w:val="007A6D22"/>
    <w:rsid w:val="007A6E2F"/>
    <w:rsid w:val="007A6F42"/>
    <w:rsid w:val="007A723A"/>
    <w:rsid w:val="007A74A5"/>
    <w:rsid w:val="007A76EC"/>
    <w:rsid w:val="007A7A82"/>
    <w:rsid w:val="007A7E6A"/>
    <w:rsid w:val="007AE76E"/>
    <w:rsid w:val="007B009E"/>
    <w:rsid w:val="007B0456"/>
    <w:rsid w:val="007B0831"/>
    <w:rsid w:val="007B0A1A"/>
    <w:rsid w:val="007B0C92"/>
    <w:rsid w:val="007B0CF1"/>
    <w:rsid w:val="007B0EFC"/>
    <w:rsid w:val="007B0F3F"/>
    <w:rsid w:val="007B0FD2"/>
    <w:rsid w:val="007B1018"/>
    <w:rsid w:val="007B1169"/>
    <w:rsid w:val="007B1415"/>
    <w:rsid w:val="007B1507"/>
    <w:rsid w:val="007B15C8"/>
    <w:rsid w:val="007B1683"/>
    <w:rsid w:val="007B175E"/>
    <w:rsid w:val="007B1770"/>
    <w:rsid w:val="007B18F4"/>
    <w:rsid w:val="007B1A0B"/>
    <w:rsid w:val="007B1D6A"/>
    <w:rsid w:val="007B1D8B"/>
    <w:rsid w:val="007B22E3"/>
    <w:rsid w:val="007B2333"/>
    <w:rsid w:val="007B2372"/>
    <w:rsid w:val="007B2377"/>
    <w:rsid w:val="007B262C"/>
    <w:rsid w:val="007B2652"/>
    <w:rsid w:val="007B286C"/>
    <w:rsid w:val="007B2975"/>
    <w:rsid w:val="007B2BB5"/>
    <w:rsid w:val="007B2E44"/>
    <w:rsid w:val="007B313A"/>
    <w:rsid w:val="007B31E7"/>
    <w:rsid w:val="007B32BF"/>
    <w:rsid w:val="007B3323"/>
    <w:rsid w:val="007B33F3"/>
    <w:rsid w:val="007B35F2"/>
    <w:rsid w:val="007B36C3"/>
    <w:rsid w:val="007B37DB"/>
    <w:rsid w:val="007B3885"/>
    <w:rsid w:val="007B38B3"/>
    <w:rsid w:val="007B3996"/>
    <w:rsid w:val="007B3CC3"/>
    <w:rsid w:val="007B3D3B"/>
    <w:rsid w:val="007B3D94"/>
    <w:rsid w:val="007B3DCF"/>
    <w:rsid w:val="007B3E20"/>
    <w:rsid w:val="007B3F25"/>
    <w:rsid w:val="007B4281"/>
    <w:rsid w:val="007B4B2C"/>
    <w:rsid w:val="007B4C66"/>
    <w:rsid w:val="007B4C8B"/>
    <w:rsid w:val="007B4D88"/>
    <w:rsid w:val="007B4F20"/>
    <w:rsid w:val="007B5150"/>
    <w:rsid w:val="007B51AE"/>
    <w:rsid w:val="007B5365"/>
    <w:rsid w:val="007B5851"/>
    <w:rsid w:val="007B58EE"/>
    <w:rsid w:val="007B5AD7"/>
    <w:rsid w:val="007B5C71"/>
    <w:rsid w:val="007B5D26"/>
    <w:rsid w:val="007B5E34"/>
    <w:rsid w:val="007B6088"/>
    <w:rsid w:val="007B6449"/>
    <w:rsid w:val="007B6464"/>
    <w:rsid w:val="007B67E4"/>
    <w:rsid w:val="007B6807"/>
    <w:rsid w:val="007B6AE2"/>
    <w:rsid w:val="007B6EED"/>
    <w:rsid w:val="007B6FB7"/>
    <w:rsid w:val="007B7173"/>
    <w:rsid w:val="007B728B"/>
    <w:rsid w:val="007B7331"/>
    <w:rsid w:val="007B73C8"/>
    <w:rsid w:val="007B7457"/>
    <w:rsid w:val="007B7903"/>
    <w:rsid w:val="007B7931"/>
    <w:rsid w:val="007B79B9"/>
    <w:rsid w:val="007B7A5E"/>
    <w:rsid w:val="007B7E0C"/>
    <w:rsid w:val="007C0078"/>
    <w:rsid w:val="007C01DC"/>
    <w:rsid w:val="007C04E3"/>
    <w:rsid w:val="007C05DA"/>
    <w:rsid w:val="007C0739"/>
    <w:rsid w:val="007C0845"/>
    <w:rsid w:val="007C0D0B"/>
    <w:rsid w:val="007C0DA7"/>
    <w:rsid w:val="007C0DD5"/>
    <w:rsid w:val="007C116D"/>
    <w:rsid w:val="007C11C9"/>
    <w:rsid w:val="007C1236"/>
    <w:rsid w:val="007C1242"/>
    <w:rsid w:val="007C13FC"/>
    <w:rsid w:val="007C16BF"/>
    <w:rsid w:val="007C173B"/>
    <w:rsid w:val="007C1BE3"/>
    <w:rsid w:val="007C1D6F"/>
    <w:rsid w:val="007C2137"/>
    <w:rsid w:val="007C2281"/>
    <w:rsid w:val="007C2387"/>
    <w:rsid w:val="007C27D6"/>
    <w:rsid w:val="007C2B83"/>
    <w:rsid w:val="007C2D96"/>
    <w:rsid w:val="007C310C"/>
    <w:rsid w:val="007C34E1"/>
    <w:rsid w:val="007C34FE"/>
    <w:rsid w:val="007C3FFD"/>
    <w:rsid w:val="007C4253"/>
    <w:rsid w:val="007C4340"/>
    <w:rsid w:val="007C435D"/>
    <w:rsid w:val="007C45E7"/>
    <w:rsid w:val="007C4643"/>
    <w:rsid w:val="007C48FE"/>
    <w:rsid w:val="007C4C54"/>
    <w:rsid w:val="007C4CFC"/>
    <w:rsid w:val="007C4D61"/>
    <w:rsid w:val="007C4EFC"/>
    <w:rsid w:val="007C505D"/>
    <w:rsid w:val="007C55C2"/>
    <w:rsid w:val="007C5866"/>
    <w:rsid w:val="007C5873"/>
    <w:rsid w:val="007C5A92"/>
    <w:rsid w:val="007C5B72"/>
    <w:rsid w:val="007C5D3A"/>
    <w:rsid w:val="007C5DB6"/>
    <w:rsid w:val="007C606E"/>
    <w:rsid w:val="007C621B"/>
    <w:rsid w:val="007C644A"/>
    <w:rsid w:val="007C6594"/>
    <w:rsid w:val="007C65F7"/>
    <w:rsid w:val="007C6648"/>
    <w:rsid w:val="007C66BF"/>
    <w:rsid w:val="007C6911"/>
    <w:rsid w:val="007C6A0A"/>
    <w:rsid w:val="007C6AA7"/>
    <w:rsid w:val="007C6C03"/>
    <w:rsid w:val="007C7028"/>
    <w:rsid w:val="007C7046"/>
    <w:rsid w:val="007C70F8"/>
    <w:rsid w:val="007C714F"/>
    <w:rsid w:val="007C72DA"/>
    <w:rsid w:val="007C7305"/>
    <w:rsid w:val="007C746B"/>
    <w:rsid w:val="007C76DB"/>
    <w:rsid w:val="007C76F2"/>
    <w:rsid w:val="007C7B45"/>
    <w:rsid w:val="007C7D96"/>
    <w:rsid w:val="007C7F01"/>
    <w:rsid w:val="007D0261"/>
    <w:rsid w:val="007D0277"/>
    <w:rsid w:val="007D06E0"/>
    <w:rsid w:val="007D0739"/>
    <w:rsid w:val="007D09EC"/>
    <w:rsid w:val="007D0A9C"/>
    <w:rsid w:val="007D0AC3"/>
    <w:rsid w:val="007D0B33"/>
    <w:rsid w:val="007D129B"/>
    <w:rsid w:val="007D144F"/>
    <w:rsid w:val="007D14F4"/>
    <w:rsid w:val="007D1BD9"/>
    <w:rsid w:val="007D1D30"/>
    <w:rsid w:val="007D1E98"/>
    <w:rsid w:val="007D210B"/>
    <w:rsid w:val="007D2118"/>
    <w:rsid w:val="007D23D1"/>
    <w:rsid w:val="007D24F2"/>
    <w:rsid w:val="007D251E"/>
    <w:rsid w:val="007D2589"/>
    <w:rsid w:val="007D25F9"/>
    <w:rsid w:val="007D28BD"/>
    <w:rsid w:val="007D28D6"/>
    <w:rsid w:val="007D28ED"/>
    <w:rsid w:val="007D2E40"/>
    <w:rsid w:val="007D3164"/>
    <w:rsid w:val="007D3448"/>
    <w:rsid w:val="007D3809"/>
    <w:rsid w:val="007D40F4"/>
    <w:rsid w:val="007D46BA"/>
    <w:rsid w:val="007D4813"/>
    <w:rsid w:val="007D4DFC"/>
    <w:rsid w:val="007D4E94"/>
    <w:rsid w:val="007D4EC1"/>
    <w:rsid w:val="007D55B5"/>
    <w:rsid w:val="007D5657"/>
    <w:rsid w:val="007D589E"/>
    <w:rsid w:val="007D5FC0"/>
    <w:rsid w:val="007D61F3"/>
    <w:rsid w:val="007D6210"/>
    <w:rsid w:val="007D68CB"/>
    <w:rsid w:val="007D68DA"/>
    <w:rsid w:val="007D6FAC"/>
    <w:rsid w:val="007D742E"/>
    <w:rsid w:val="007D74EA"/>
    <w:rsid w:val="007D78F5"/>
    <w:rsid w:val="007D79F3"/>
    <w:rsid w:val="007D7A8C"/>
    <w:rsid w:val="007D7F66"/>
    <w:rsid w:val="007E01DA"/>
    <w:rsid w:val="007E0282"/>
    <w:rsid w:val="007E07FB"/>
    <w:rsid w:val="007E08D6"/>
    <w:rsid w:val="007E0C9A"/>
    <w:rsid w:val="007E0CC6"/>
    <w:rsid w:val="007E0F6A"/>
    <w:rsid w:val="007E102E"/>
    <w:rsid w:val="007E115C"/>
    <w:rsid w:val="007E1183"/>
    <w:rsid w:val="007E1222"/>
    <w:rsid w:val="007E12F7"/>
    <w:rsid w:val="007E15AC"/>
    <w:rsid w:val="007E1718"/>
    <w:rsid w:val="007E1804"/>
    <w:rsid w:val="007E1812"/>
    <w:rsid w:val="007E198F"/>
    <w:rsid w:val="007E1A1B"/>
    <w:rsid w:val="007E1AA0"/>
    <w:rsid w:val="007E1D2F"/>
    <w:rsid w:val="007E1E44"/>
    <w:rsid w:val="007E1F8B"/>
    <w:rsid w:val="007E235E"/>
    <w:rsid w:val="007E280B"/>
    <w:rsid w:val="007E2962"/>
    <w:rsid w:val="007E2AB7"/>
    <w:rsid w:val="007E2C31"/>
    <w:rsid w:val="007E2CE9"/>
    <w:rsid w:val="007E30D1"/>
    <w:rsid w:val="007E30D2"/>
    <w:rsid w:val="007E3239"/>
    <w:rsid w:val="007E329D"/>
    <w:rsid w:val="007E3704"/>
    <w:rsid w:val="007E39EB"/>
    <w:rsid w:val="007E3A33"/>
    <w:rsid w:val="007E3C9D"/>
    <w:rsid w:val="007E3D3C"/>
    <w:rsid w:val="007E3D4C"/>
    <w:rsid w:val="007E3E30"/>
    <w:rsid w:val="007E3E74"/>
    <w:rsid w:val="007E4152"/>
    <w:rsid w:val="007E43A1"/>
    <w:rsid w:val="007E4872"/>
    <w:rsid w:val="007E50FB"/>
    <w:rsid w:val="007E51BF"/>
    <w:rsid w:val="007E5369"/>
    <w:rsid w:val="007E53A8"/>
    <w:rsid w:val="007E54AA"/>
    <w:rsid w:val="007E55CA"/>
    <w:rsid w:val="007E5623"/>
    <w:rsid w:val="007E5C36"/>
    <w:rsid w:val="007E5C6D"/>
    <w:rsid w:val="007E5CE0"/>
    <w:rsid w:val="007E5E42"/>
    <w:rsid w:val="007E6381"/>
    <w:rsid w:val="007E66B2"/>
    <w:rsid w:val="007E68D3"/>
    <w:rsid w:val="007E6A72"/>
    <w:rsid w:val="007E6B6E"/>
    <w:rsid w:val="007E6E73"/>
    <w:rsid w:val="007E6EE1"/>
    <w:rsid w:val="007E7025"/>
    <w:rsid w:val="007E71EF"/>
    <w:rsid w:val="007E73C3"/>
    <w:rsid w:val="007E75EB"/>
    <w:rsid w:val="007E7B12"/>
    <w:rsid w:val="007E7C23"/>
    <w:rsid w:val="007E7D3A"/>
    <w:rsid w:val="007E7EF3"/>
    <w:rsid w:val="007F01A8"/>
    <w:rsid w:val="007F0224"/>
    <w:rsid w:val="007F0261"/>
    <w:rsid w:val="007F0637"/>
    <w:rsid w:val="007F0B8F"/>
    <w:rsid w:val="007F0DEA"/>
    <w:rsid w:val="007F1D05"/>
    <w:rsid w:val="007F1F75"/>
    <w:rsid w:val="007F27DD"/>
    <w:rsid w:val="007F2B21"/>
    <w:rsid w:val="007F2BB6"/>
    <w:rsid w:val="007F2BC0"/>
    <w:rsid w:val="007F2D92"/>
    <w:rsid w:val="007F2E16"/>
    <w:rsid w:val="007F2F6E"/>
    <w:rsid w:val="007F305F"/>
    <w:rsid w:val="007F314E"/>
    <w:rsid w:val="007F324B"/>
    <w:rsid w:val="007F3313"/>
    <w:rsid w:val="007F36BD"/>
    <w:rsid w:val="007F3738"/>
    <w:rsid w:val="007F3897"/>
    <w:rsid w:val="007F3928"/>
    <w:rsid w:val="007F3970"/>
    <w:rsid w:val="007F39C9"/>
    <w:rsid w:val="007F3A11"/>
    <w:rsid w:val="007F3A7F"/>
    <w:rsid w:val="007F3AAE"/>
    <w:rsid w:val="007F402D"/>
    <w:rsid w:val="007F416C"/>
    <w:rsid w:val="007F43EE"/>
    <w:rsid w:val="007F4485"/>
    <w:rsid w:val="007F4618"/>
    <w:rsid w:val="007F4A73"/>
    <w:rsid w:val="007F4A97"/>
    <w:rsid w:val="007F4D4B"/>
    <w:rsid w:val="007F4DB4"/>
    <w:rsid w:val="007F4F2A"/>
    <w:rsid w:val="007F5678"/>
    <w:rsid w:val="007F572A"/>
    <w:rsid w:val="007F5B07"/>
    <w:rsid w:val="007F5BDC"/>
    <w:rsid w:val="007F5E57"/>
    <w:rsid w:val="007F5ECC"/>
    <w:rsid w:val="007F6472"/>
    <w:rsid w:val="007F659A"/>
    <w:rsid w:val="007F69D9"/>
    <w:rsid w:val="007F6BBB"/>
    <w:rsid w:val="007F6EEF"/>
    <w:rsid w:val="007F798F"/>
    <w:rsid w:val="007F7B2D"/>
    <w:rsid w:val="007F7C76"/>
    <w:rsid w:val="007F7D5A"/>
    <w:rsid w:val="0080008D"/>
    <w:rsid w:val="008001AE"/>
    <w:rsid w:val="00800241"/>
    <w:rsid w:val="0080043C"/>
    <w:rsid w:val="008004D4"/>
    <w:rsid w:val="00800578"/>
    <w:rsid w:val="00800793"/>
    <w:rsid w:val="00800829"/>
    <w:rsid w:val="00800C4F"/>
    <w:rsid w:val="00800D2A"/>
    <w:rsid w:val="00800FE0"/>
    <w:rsid w:val="008011AC"/>
    <w:rsid w:val="0080134E"/>
    <w:rsid w:val="008013BC"/>
    <w:rsid w:val="008014EC"/>
    <w:rsid w:val="00801727"/>
    <w:rsid w:val="008018AD"/>
    <w:rsid w:val="00801C0D"/>
    <w:rsid w:val="00801C5F"/>
    <w:rsid w:val="00801C7B"/>
    <w:rsid w:val="00801D9F"/>
    <w:rsid w:val="00801EDE"/>
    <w:rsid w:val="0080200F"/>
    <w:rsid w:val="0080213C"/>
    <w:rsid w:val="0080215B"/>
    <w:rsid w:val="008021E2"/>
    <w:rsid w:val="0080236F"/>
    <w:rsid w:val="00802401"/>
    <w:rsid w:val="0080254B"/>
    <w:rsid w:val="00802563"/>
    <w:rsid w:val="008026C1"/>
    <w:rsid w:val="0080280D"/>
    <w:rsid w:val="00802E4B"/>
    <w:rsid w:val="00802F62"/>
    <w:rsid w:val="00802FEB"/>
    <w:rsid w:val="00803217"/>
    <w:rsid w:val="0080325F"/>
    <w:rsid w:val="00803444"/>
    <w:rsid w:val="008035C6"/>
    <w:rsid w:val="00803621"/>
    <w:rsid w:val="0080367B"/>
    <w:rsid w:val="008037D5"/>
    <w:rsid w:val="008039C1"/>
    <w:rsid w:val="00803B59"/>
    <w:rsid w:val="00803D1E"/>
    <w:rsid w:val="00804005"/>
    <w:rsid w:val="0080404C"/>
    <w:rsid w:val="0080451A"/>
    <w:rsid w:val="0080464E"/>
    <w:rsid w:val="008046AB"/>
    <w:rsid w:val="00804712"/>
    <w:rsid w:val="00804809"/>
    <w:rsid w:val="008049AC"/>
    <w:rsid w:val="00804A2E"/>
    <w:rsid w:val="00804CB9"/>
    <w:rsid w:val="00804ED6"/>
    <w:rsid w:val="00805123"/>
    <w:rsid w:val="00805349"/>
    <w:rsid w:val="00805689"/>
    <w:rsid w:val="008057E5"/>
    <w:rsid w:val="0080586C"/>
    <w:rsid w:val="00805872"/>
    <w:rsid w:val="00805956"/>
    <w:rsid w:val="00805B08"/>
    <w:rsid w:val="00805C7A"/>
    <w:rsid w:val="00805DAA"/>
    <w:rsid w:val="00805E1E"/>
    <w:rsid w:val="00805FA2"/>
    <w:rsid w:val="00806141"/>
    <w:rsid w:val="0080623F"/>
    <w:rsid w:val="00806403"/>
    <w:rsid w:val="00806548"/>
    <w:rsid w:val="0080669D"/>
    <w:rsid w:val="00806787"/>
    <w:rsid w:val="00806913"/>
    <w:rsid w:val="00806A0D"/>
    <w:rsid w:val="00806AEF"/>
    <w:rsid w:val="00806B2A"/>
    <w:rsid w:val="00806B4B"/>
    <w:rsid w:val="00806CE5"/>
    <w:rsid w:val="00806E45"/>
    <w:rsid w:val="0080701C"/>
    <w:rsid w:val="00807341"/>
    <w:rsid w:val="008074B0"/>
    <w:rsid w:val="008075EE"/>
    <w:rsid w:val="008076A7"/>
    <w:rsid w:val="008076CF"/>
    <w:rsid w:val="0080786F"/>
    <w:rsid w:val="00807A0C"/>
    <w:rsid w:val="00807B4A"/>
    <w:rsid w:val="00807E6A"/>
    <w:rsid w:val="008100AA"/>
    <w:rsid w:val="008100B3"/>
    <w:rsid w:val="00810228"/>
    <w:rsid w:val="00810288"/>
    <w:rsid w:val="008102CB"/>
    <w:rsid w:val="0081069D"/>
    <w:rsid w:val="008106F8"/>
    <w:rsid w:val="00810707"/>
    <w:rsid w:val="00810AB3"/>
    <w:rsid w:val="00810D9D"/>
    <w:rsid w:val="00810FCB"/>
    <w:rsid w:val="00811210"/>
    <w:rsid w:val="0081127C"/>
    <w:rsid w:val="008112F9"/>
    <w:rsid w:val="00811398"/>
    <w:rsid w:val="008116B9"/>
    <w:rsid w:val="00811B37"/>
    <w:rsid w:val="00811B79"/>
    <w:rsid w:val="00811E61"/>
    <w:rsid w:val="008120C4"/>
    <w:rsid w:val="00812142"/>
    <w:rsid w:val="00812154"/>
    <w:rsid w:val="008121E2"/>
    <w:rsid w:val="00812232"/>
    <w:rsid w:val="0081225B"/>
    <w:rsid w:val="0081241B"/>
    <w:rsid w:val="008124E4"/>
    <w:rsid w:val="0081272D"/>
    <w:rsid w:val="00812766"/>
    <w:rsid w:val="00812B2A"/>
    <w:rsid w:val="00812DF7"/>
    <w:rsid w:val="008132B7"/>
    <w:rsid w:val="008139DE"/>
    <w:rsid w:val="00813A8C"/>
    <w:rsid w:val="00813D55"/>
    <w:rsid w:val="00813EF2"/>
    <w:rsid w:val="00813F03"/>
    <w:rsid w:val="00813F0B"/>
    <w:rsid w:val="008140C5"/>
    <w:rsid w:val="0081411F"/>
    <w:rsid w:val="008141CD"/>
    <w:rsid w:val="00814296"/>
    <w:rsid w:val="008142B8"/>
    <w:rsid w:val="00814732"/>
    <w:rsid w:val="0081482B"/>
    <w:rsid w:val="008148B4"/>
    <w:rsid w:val="008148B7"/>
    <w:rsid w:val="00814A9C"/>
    <w:rsid w:val="00814B63"/>
    <w:rsid w:val="00814C62"/>
    <w:rsid w:val="00814C8D"/>
    <w:rsid w:val="00814DD8"/>
    <w:rsid w:val="00815128"/>
    <w:rsid w:val="0081516E"/>
    <w:rsid w:val="008151BF"/>
    <w:rsid w:val="008152EB"/>
    <w:rsid w:val="00815469"/>
    <w:rsid w:val="00815505"/>
    <w:rsid w:val="008156E9"/>
    <w:rsid w:val="008156ED"/>
    <w:rsid w:val="00815808"/>
    <w:rsid w:val="00815B28"/>
    <w:rsid w:val="00815BB2"/>
    <w:rsid w:val="0081604A"/>
    <w:rsid w:val="008163F1"/>
    <w:rsid w:val="00816470"/>
    <w:rsid w:val="008165B2"/>
    <w:rsid w:val="0081676F"/>
    <w:rsid w:val="00816C25"/>
    <w:rsid w:val="00816D32"/>
    <w:rsid w:val="00816D8B"/>
    <w:rsid w:val="0081752B"/>
    <w:rsid w:val="00817719"/>
    <w:rsid w:val="0081775E"/>
    <w:rsid w:val="00817818"/>
    <w:rsid w:val="00817934"/>
    <w:rsid w:val="00817952"/>
    <w:rsid w:val="00817C12"/>
    <w:rsid w:val="00817C76"/>
    <w:rsid w:val="00817D08"/>
    <w:rsid w:val="00817EA1"/>
    <w:rsid w:val="00817EC6"/>
    <w:rsid w:val="00817FE0"/>
    <w:rsid w:val="0082032A"/>
    <w:rsid w:val="00820831"/>
    <w:rsid w:val="00820927"/>
    <w:rsid w:val="008209B8"/>
    <w:rsid w:val="008209C7"/>
    <w:rsid w:val="008209F7"/>
    <w:rsid w:val="00820C9C"/>
    <w:rsid w:val="008212FF"/>
    <w:rsid w:val="00821759"/>
    <w:rsid w:val="00821931"/>
    <w:rsid w:val="00821944"/>
    <w:rsid w:val="00821CE8"/>
    <w:rsid w:val="00821D5A"/>
    <w:rsid w:val="008221DC"/>
    <w:rsid w:val="008222B6"/>
    <w:rsid w:val="00822601"/>
    <w:rsid w:val="00822613"/>
    <w:rsid w:val="008226C7"/>
    <w:rsid w:val="00822BD7"/>
    <w:rsid w:val="00822FA7"/>
    <w:rsid w:val="00823098"/>
    <w:rsid w:val="008230F0"/>
    <w:rsid w:val="0082316B"/>
    <w:rsid w:val="00823405"/>
    <w:rsid w:val="00823471"/>
    <w:rsid w:val="0082349E"/>
    <w:rsid w:val="00823814"/>
    <w:rsid w:val="00823840"/>
    <w:rsid w:val="00823A0A"/>
    <w:rsid w:val="00823B75"/>
    <w:rsid w:val="00823C77"/>
    <w:rsid w:val="00823DDF"/>
    <w:rsid w:val="00823EB6"/>
    <w:rsid w:val="00823EF1"/>
    <w:rsid w:val="00824329"/>
    <w:rsid w:val="008246F5"/>
    <w:rsid w:val="00824876"/>
    <w:rsid w:val="00824A05"/>
    <w:rsid w:val="00824B62"/>
    <w:rsid w:val="008250A5"/>
    <w:rsid w:val="0082512A"/>
    <w:rsid w:val="00825200"/>
    <w:rsid w:val="00825384"/>
    <w:rsid w:val="0082547A"/>
    <w:rsid w:val="00825481"/>
    <w:rsid w:val="008257E5"/>
    <w:rsid w:val="00825B5E"/>
    <w:rsid w:val="00825B9B"/>
    <w:rsid w:val="00825D82"/>
    <w:rsid w:val="00825E33"/>
    <w:rsid w:val="00825F3A"/>
    <w:rsid w:val="0082651C"/>
    <w:rsid w:val="00826526"/>
    <w:rsid w:val="00826637"/>
    <w:rsid w:val="00826752"/>
    <w:rsid w:val="00826863"/>
    <w:rsid w:val="00826A84"/>
    <w:rsid w:val="00826B37"/>
    <w:rsid w:val="00826CE1"/>
    <w:rsid w:val="00826FA3"/>
    <w:rsid w:val="00827066"/>
    <w:rsid w:val="00827118"/>
    <w:rsid w:val="0082716F"/>
    <w:rsid w:val="008272C7"/>
    <w:rsid w:val="00827670"/>
    <w:rsid w:val="00827678"/>
    <w:rsid w:val="008276A5"/>
    <w:rsid w:val="0082772A"/>
    <w:rsid w:val="0082792F"/>
    <w:rsid w:val="0082796D"/>
    <w:rsid w:val="00827BF3"/>
    <w:rsid w:val="00827DCA"/>
    <w:rsid w:val="0083001C"/>
    <w:rsid w:val="008300A6"/>
    <w:rsid w:val="008300B0"/>
    <w:rsid w:val="00830166"/>
    <w:rsid w:val="0083040E"/>
    <w:rsid w:val="00830512"/>
    <w:rsid w:val="00830648"/>
    <w:rsid w:val="008307FA"/>
    <w:rsid w:val="0083094B"/>
    <w:rsid w:val="008309CB"/>
    <w:rsid w:val="00830F25"/>
    <w:rsid w:val="0083119B"/>
    <w:rsid w:val="00831329"/>
    <w:rsid w:val="008313A8"/>
    <w:rsid w:val="00831748"/>
    <w:rsid w:val="00831933"/>
    <w:rsid w:val="00831B44"/>
    <w:rsid w:val="00831DB2"/>
    <w:rsid w:val="00831E42"/>
    <w:rsid w:val="00832308"/>
    <w:rsid w:val="008323D8"/>
    <w:rsid w:val="008324C8"/>
    <w:rsid w:val="00832548"/>
    <w:rsid w:val="00832752"/>
    <w:rsid w:val="008327D4"/>
    <w:rsid w:val="00832815"/>
    <w:rsid w:val="00832C9C"/>
    <w:rsid w:val="00832CE0"/>
    <w:rsid w:val="00832EFA"/>
    <w:rsid w:val="00832F42"/>
    <w:rsid w:val="00832F4C"/>
    <w:rsid w:val="00832FED"/>
    <w:rsid w:val="00833006"/>
    <w:rsid w:val="00833012"/>
    <w:rsid w:val="00833089"/>
    <w:rsid w:val="008336B3"/>
    <w:rsid w:val="00833A73"/>
    <w:rsid w:val="00833CE4"/>
    <w:rsid w:val="00833FA5"/>
    <w:rsid w:val="00833FB9"/>
    <w:rsid w:val="008342B9"/>
    <w:rsid w:val="008344E3"/>
    <w:rsid w:val="008349E7"/>
    <w:rsid w:val="00834B99"/>
    <w:rsid w:val="00834C46"/>
    <w:rsid w:val="00834CA4"/>
    <w:rsid w:val="00834CB9"/>
    <w:rsid w:val="008352D1"/>
    <w:rsid w:val="008352EF"/>
    <w:rsid w:val="008353D4"/>
    <w:rsid w:val="008359FA"/>
    <w:rsid w:val="00835CDF"/>
    <w:rsid w:val="00835D73"/>
    <w:rsid w:val="008360BC"/>
    <w:rsid w:val="008361CA"/>
    <w:rsid w:val="00836284"/>
    <w:rsid w:val="008362D1"/>
    <w:rsid w:val="0083634A"/>
    <w:rsid w:val="0083663F"/>
    <w:rsid w:val="0083667A"/>
    <w:rsid w:val="00836855"/>
    <w:rsid w:val="008368A0"/>
    <w:rsid w:val="008368CE"/>
    <w:rsid w:val="00836AF3"/>
    <w:rsid w:val="00836B15"/>
    <w:rsid w:val="00836D5A"/>
    <w:rsid w:val="00836E34"/>
    <w:rsid w:val="00836F16"/>
    <w:rsid w:val="00837082"/>
    <w:rsid w:val="0083713A"/>
    <w:rsid w:val="0083725C"/>
    <w:rsid w:val="008374AA"/>
    <w:rsid w:val="00837512"/>
    <w:rsid w:val="0083771B"/>
    <w:rsid w:val="00837864"/>
    <w:rsid w:val="008378D1"/>
    <w:rsid w:val="00837BF1"/>
    <w:rsid w:val="0084009C"/>
    <w:rsid w:val="008401C7"/>
    <w:rsid w:val="008404F8"/>
    <w:rsid w:val="008405AF"/>
    <w:rsid w:val="00840792"/>
    <w:rsid w:val="008407F7"/>
    <w:rsid w:val="00840D40"/>
    <w:rsid w:val="00840D48"/>
    <w:rsid w:val="00840E45"/>
    <w:rsid w:val="00840E93"/>
    <w:rsid w:val="00841144"/>
    <w:rsid w:val="0084118A"/>
    <w:rsid w:val="008411C3"/>
    <w:rsid w:val="008412DA"/>
    <w:rsid w:val="008414F9"/>
    <w:rsid w:val="00841678"/>
    <w:rsid w:val="00841BE0"/>
    <w:rsid w:val="00841D5D"/>
    <w:rsid w:val="00841DFE"/>
    <w:rsid w:val="00841F57"/>
    <w:rsid w:val="00841F7E"/>
    <w:rsid w:val="008420EA"/>
    <w:rsid w:val="00842113"/>
    <w:rsid w:val="0084253B"/>
    <w:rsid w:val="008427B7"/>
    <w:rsid w:val="00842C5F"/>
    <w:rsid w:val="00842D9B"/>
    <w:rsid w:val="0084300C"/>
    <w:rsid w:val="0084325C"/>
    <w:rsid w:val="008432A6"/>
    <w:rsid w:val="00843430"/>
    <w:rsid w:val="008434E9"/>
    <w:rsid w:val="00843977"/>
    <w:rsid w:val="008439F9"/>
    <w:rsid w:val="00843A14"/>
    <w:rsid w:val="008444A8"/>
    <w:rsid w:val="0084452C"/>
    <w:rsid w:val="008446EB"/>
    <w:rsid w:val="008447BB"/>
    <w:rsid w:val="00844C1A"/>
    <w:rsid w:val="00844D2D"/>
    <w:rsid w:val="00844F02"/>
    <w:rsid w:val="00844F09"/>
    <w:rsid w:val="00844F3D"/>
    <w:rsid w:val="00845201"/>
    <w:rsid w:val="0084525F"/>
    <w:rsid w:val="008452AF"/>
    <w:rsid w:val="008453C8"/>
    <w:rsid w:val="008456A0"/>
    <w:rsid w:val="008456D8"/>
    <w:rsid w:val="00845843"/>
    <w:rsid w:val="00845A45"/>
    <w:rsid w:val="00845AEF"/>
    <w:rsid w:val="00845EF0"/>
    <w:rsid w:val="008460AF"/>
    <w:rsid w:val="00846996"/>
    <w:rsid w:val="008469B5"/>
    <w:rsid w:val="00846D5E"/>
    <w:rsid w:val="00847428"/>
    <w:rsid w:val="00847466"/>
    <w:rsid w:val="008474DB"/>
    <w:rsid w:val="00847792"/>
    <w:rsid w:val="00847958"/>
    <w:rsid w:val="00847C8A"/>
    <w:rsid w:val="00847F0E"/>
    <w:rsid w:val="00847FAC"/>
    <w:rsid w:val="008501C3"/>
    <w:rsid w:val="008502FF"/>
    <w:rsid w:val="00850425"/>
    <w:rsid w:val="0085046B"/>
    <w:rsid w:val="00850672"/>
    <w:rsid w:val="008507B1"/>
    <w:rsid w:val="008508F0"/>
    <w:rsid w:val="00850A14"/>
    <w:rsid w:val="00851300"/>
    <w:rsid w:val="00851AFC"/>
    <w:rsid w:val="00852056"/>
    <w:rsid w:val="008521F1"/>
    <w:rsid w:val="008521FD"/>
    <w:rsid w:val="008522A5"/>
    <w:rsid w:val="008526B9"/>
    <w:rsid w:val="00852CF3"/>
    <w:rsid w:val="00852DFE"/>
    <w:rsid w:val="00852EF1"/>
    <w:rsid w:val="008530C9"/>
    <w:rsid w:val="008532CE"/>
    <w:rsid w:val="008535F6"/>
    <w:rsid w:val="0085376A"/>
    <w:rsid w:val="00853B0D"/>
    <w:rsid w:val="00853B42"/>
    <w:rsid w:val="00853EA6"/>
    <w:rsid w:val="00854068"/>
    <w:rsid w:val="0085418B"/>
    <w:rsid w:val="008541B6"/>
    <w:rsid w:val="00854364"/>
    <w:rsid w:val="008544F3"/>
    <w:rsid w:val="0085487E"/>
    <w:rsid w:val="00854953"/>
    <w:rsid w:val="0085501A"/>
    <w:rsid w:val="008551CD"/>
    <w:rsid w:val="00855231"/>
    <w:rsid w:val="0085554C"/>
    <w:rsid w:val="00855597"/>
    <w:rsid w:val="008555CB"/>
    <w:rsid w:val="0085576A"/>
    <w:rsid w:val="00855963"/>
    <w:rsid w:val="00855975"/>
    <w:rsid w:val="00855B33"/>
    <w:rsid w:val="00855C43"/>
    <w:rsid w:val="00855E7A"/>
    <w:rsid w:val="008565D1"/>
    <w:rsid w:val="008567C9"/>
    <w:rsid w:val="00856E02"/>
    <w:rsid w:val="00856FD5"/>
    <w:rsid w:val="0085708A"/>
    <w:rsid w:val="008574A0"/>
    <w:rsid w:val="00857A3B"/>
    <w:rsid w:val="00857B8D"/>
    <w:rsid w:val="00857CE9"/>
    <w:rsid w:val="00857E9C"/>
    <w:rsid w:val="00857F30"/>
    <w:rsid w:val="00857F51"/>
    <w:rsid w:val="00860059"/>
    <w:rsid w:val="008600CD"/>
    <w:rsid w:val="008601FC"/>
    <w:rsid w:val="00860459"/>
    <w:rsid w:val="00860784"/>
    <w:rsid w:val="00860793"/>
    <w:rsid w:val="00860AA5"/>
    <w:rsid w:val="00860B81"/>
    <w:rsid w:val="00860C8A"/>
    <w:rsid w:val="00860D92"/>
    <w:rsid w:val="00860F01"/>
    <w:rsid w:val="00860F21"/>
    <w:rsid w:val="008611AE"/>
    <w:rsid w:val="0086160E"/>
    <w:rsid w:val="00861768"/>
    <w:rsid w:val="00861937"/>
    <w:rsid w:val="00861AD0"/>
    <w:rsid w:val="00861AF7"/>
    <w:rsid w:val="00861FE3"/>
    <w:rsid w:val="008621B2"/>
    <w:rsid w:val="00862328"/>
    <w:rsid w:val="008623F8"/>
    <w:rsid w:val="0086243A"/>
    <w:rsid w:val="00862B3F"/>
    <w:rsid w:val="00862BB8"/>
    <w:rsid w:val="00862E2B"/>
    <w:rsid w:val="00862E3F"/>
    <w:rsid w:val="00862F41"/>
    <w:rsid w:val="00862FAE"/>
    <w:rsid w:val="0086300B"/>
    <w:rsid w:val="0086339E"/>
    <w:rsid w:val="008635B2"/>
    <w:rsid w:val="00863631"/>
    <w:rsid w:val="008636D4"/>
    <w:rsid w:val="00863870"/>
    <w:rsid w:val="008639A1"/>
    <w:rsid w:val="00863AAD"/>
    <w:rsid w:val="00863AB0"/>
    <w:rsid w:val="00863FE5"/>
    <w:rsid w:val="008643AC"/>
    <w:rsid w:val="0086449F"/>
    <w:rsid w:val="0086477F"/>
    <w:rsid w:val="00864909"/>
    <w:rsid w:val="00864980"/>
    <w:rsid w:val="00864CBF"/>
    <w:rsid w:val="00864D6B"/>
    <w:rsid w:val="00864E9D"/>
    <w:rsid w:val="00864EF7"/>
    <w:rsid w:val="008652DF"/>
    <w:rsid w:val="00865504"/>
    <w:rsid w:val="00865509"/>
    <w:rsid w:val="00865801"/>
    <w:rsid w:val="00865837"/>
    <w:rsid w:val="00865D46"/>
    <w:rsid w:val="00865E82"/>
    <w:rsid w:val="00865EE5"/>
    <w:rsid w:val="00865F59"/>
    <w:rsid w:val="00866473"/>
    <w:rsid w:val="008666D2"/>
    <w:rsid w:val="00866D53"/>
    <w:rsid w:val="00866D9C"/>
    <w:rsid w:val="00866F89"/>
    <w:rsid w:val="00867257"/>
    <w:rsid w:val="00867389"/>
    <w:rsid w:val="0086738F"/>
    <w:rsid w:val="00867456"/>
    <w:rsid w:val="008677F7"/>
    <w:rsid w:val="00867B82"/>
    <w:rsid w:val="00867D27"/>
    <w:rsid w:val="00867D72"/>
    <w:rsid w:val="00870051"/>
    <w:rsid w:val="008701C2"/>
    <w:rsid w:val="00870565"/>
    <w:rsid w:val="00870666"/>
    <w:rsid w:val="00870729"/>
    <w:rsid w:val="008708DE"/>
    <w:rsid w:val="00870D76"/>
    <w:rsid w:val="00870E08"/>
    <w:rsid w:val="00870F80"/>
    <w:rsid w:val="00871126"/>
    <w:rsid w:val="00871136"/>
    <w:rsid w:val="008712CB"/>
    <w:rsid w:val="008713D0"/>
    <w:rsid w:val="00871730"/>
    <w:rsid w:val="00871B57"/>
    <w:rsid w:val="008721EB"/>
    <w:rsid w:val="0087226B"/>
    <w:rsid w:val="0087236C"/>
    <w:rsid w:val="00872561"/>
    <w:rsid w:val="00872B65"/>
    <w:rsid w:val="0087325B"/>
    <w:rsid w:val="008733DA"/>
    <w:rsid w:val="008734A6"/>
    <w:rsid w:val="0087365E"/>
    <w:rsid w:val="00873B8C"/>
    <w:rsid w:val="00873B9C"/>
    <w:rsid w:val="00873F23"/>
    <w:rsid w:val="00874062"/>
    <w:rsid w:val="008740E8"/>
    <w:rsid w:val="00874112"/>
    <w:rsid w:val="00874181"/>
    <w:rsid w:val="008741E1"/>
    <w:rsid w:val="008744DC"/>
    <w:rsid w:val="00874841"/>
    <w:rsid w:val="00874983"/>
    <w:rsid w:val="00874A56"/>
    <w:rsid w:val="00874C1A"/>
    <w:rsid w:val="00874D43"/>
    <w:rsid w:val="00875079"/>
    <w:rsid w:val="008751E4"/>
    <w:rsid w:val="0087570F"/>
    <w:rsid w:val="0087576F"/>
    <w:rsid w:val="0087588A"/>
    <w:rsid w:val="00875A2B"/>
    <w:rsid w:val="00875E7E"/>
    <w:rsid w:val="00875EBC"/>
    <w:rsid w:val="0087653E"/>
    <w:rsid w:val="008766C9"/>
    <w:rsid w:val="0087671F"/>
    <w:rsid w:val="00876980"/>
    <w:rsid w:val="00876A14"/>
    <w:rsid w:val="00877317"/>
    <w:rsid w:val="0087733F"/>
    <w:rsid w:val="00877629"/>
    <w:rsid w:val="008776B8"/>
    <w:rsid w:val="00877D93"/>
    <w:rsid w:val="00877E38"/>
    <w:rsid w:val="00877FA6"/>
    <w:rsid w:val="008805EE"/>
    <w:rsid w:val="008807FB"/>
    <w:rsid w:val="00880AE2"/>
    <w:rsid w:val="00880C02"/>
    <w:rsid w:val="00881176"/>
    <w:rsid w:val="008812B1"/>
    <w:rsid w:val="0088154E"/>
    <w:rsid w:val="00881582"/>
    <w:rsid w:val="00881A0D"/>
    <w:rsid w:val="00881C12"/>
    <w:rsid w:val="00881DF4"/>
    <w:rsid w:val="00881F6F"/>
    <w:rsid w:val="00882174"/>
    <w:rsid w:val="00882198"/>
    <w:rsid w:val="008823B7"/>
    <w:rsid w:val="00882806"/>
    <w:rsid w:val="0088285B"/>
    <w:rsid w:val="00882867"/>
    <w:rsid w:val="00882917"/>
    <w:rsid w:val="00882A04"/>
    <w:rsid w:val="00882C3E"/>
    <w:rsid w:val="00882CDC"/>
    <w:rsid w:val="00882DDD"/>
    <w:rsid w:val="00882E2C"/>
    <w:rsid w:val="00883958"/>
    <w:rsid w:val="008839B8"/>
    <w:rsid w:val="00884306"/>
    <w:rsid w:val="0088433F"/>
    <w:rsid w:val="00884509"/>
    <w:rsid w:val="0088451E"/>
    <w:rsid w:val="008847C3"/>
    <w:rsid w:val="00884BE5"/>
    <w:rsid w:val="00884C56"/>
    <w:rsid w:val="00884CD6"/>
    <w:rsid w:val="00884D37"/>
    <w:rsid w:val="00884D42"/>
    <w:rsid w:val="00884E77"/>
    <w:rsid w:val="0088515C"/>
    <w:rsid w:val="008852CD"/>
    <w:rsid w:val="00885332"/>
    <w:rsid w:val="00885715"/>
    <w:rsid w:val="008857C5"/>
    <w:rsid w:val="008857ED"/>
    <w:rsid w:val="00885AB6"/>
    <w:rsid w:val="00885CF6"/>
    <w:rsid w:val="00886151"/>
    <w:rsid w:val="00886581"/>
    <w:rsid w:val="00886A19"/>
    <w:rsid w:val="00886B7D"/>
    <w:rsid w:val="00886EAC"/>
    <w:rsid w:val="00886FA7"/>
    <w:rsid w:val="008875E8"/>
    <w:rsid w:val="0088771D"/>
    <w:rsid w:val="0088773E"/>
    <w:rsid w:val="008877AE"/>
    <w:rsid w:val="008900D2"/>
    <w:rsid w:val="00890223"/>
    <w:rsid w:val="00890282"/>
    <w:rsid w:val="008902A7"/>
    <w:rsid w:val="008902BD"/>
    <w:rsid w:val="00890472"/>
    <w:rsid w:val="00890519"/>
    <w:rsid w:val="0089072F"/>
    <w:rsid w:val="008909D5"/>
    <w:rsid w:val="00890B96"/>
    <w:rsid w:val="00890C4A"/>
    <w:rsid w:val="00890C68"/>
    <w:rsid w:val="00890F85"/>
    <w:rsid w:val="00891ACE"/>
    <w:rsid w:val="00891B19"/>
    <w:rsid w:val="00891F71"/>
    <w:rsid w:val="00892130"/>
    <w:rsid w:val="008923CD"/>
    <w:rsid w:val="00892530"/>
    <w:rsid w:val="0089265F"/>
    <w:rsid w:val="008926F0"/>
    <w:rsid w:val="0089275A"/>
    <w:rsid w:val="008928BB"/>
    <w:rsid w:val="00892916"/>
    <w:rsid w:val="008929BB"/>
    <w:rsid w:val="00892B57"/>
    <w:rsid w:val="00892BCF"/>
    <w:rsid w:val="00892DF4"/>
    <w:rsid w:val="00893039"/>
    <w:rsid w:val="0089319D"/>
    <w:rsid w:val="00893254"/>
    <w:rsid w:val="008932D4"/>
    <w:rsid w:val="00893492"/>
    <w:rsid w:val="0089375F"/>
    <w:rsid w:val="00893B76"/>
    <w:rsid w:val="00893CC1"/>
    <w:rsid w:val="00894044"/>
    <w:rsid w:val="00894059"/>
    <w:rsid w:val="00894153"/>
    <w:rsid w:val="008943AF"/>
    <w:rsid w:val="008943B6"/>
    <w:rsid w:val="00894639"/>
    <w:rsid w:val="00894787"/>
    <w:rsid w:val="00894AA2"/>
    <w:rsid w:val="00894C82"/>
    <w:rsid w:val="00894D3C"/>
    <w:rsid w:val="00894FBD"/>
    <w:rsid w:val="00895527"/>
    <w:rsid w:val="008959E6"/>
    <w:rsid w:val="00895B98"/>
    <w:rsid w:val="00895D52"/>
    <w:rsid w:val="00895D8F"/>
    <w:rsid w:val="00895F5C"/>
    <w:rsid w:val="008960C7"/>
    <w:rsid w:val="008965F3"/>
    <w:rsid w:val="00896799"/>
    <w:rsid w:val="008967F7"/>
    <w:rsid w:val="008968DE"/>
    <w:rsid w:val="00896994"/>
    <w:rsid w:val="00896DC1"/>
    <w:rsid w:val="00896EA6"/>
    <w:rsid w:val="00896EEE"/>
    <w:rsid w:val="00896F44"/>
    <w:rsid w:val="0089728B"/>
    <w:rsid w:val="0089740C"/>
    <w:rsid w:val="0089777A"/>
    <w:rsid w:val="00897828"/>
    <w:rsid w:val="0089796C"/>
    <w:rsid w:val="008979C9"/>
    <w:rsid w:val="00897A69"/>
    <w:rsid w:val="00897E51"/>
    <w:rsid w:val="00897EDD"/>
    <w:rsid w:val="00897F88"/>
    <w:rsid w:val="008A01E5"/>
    <w:rsid w:val="008A0462"/>
    <w:rsid w:val="008A0549"/>
    <w:rsid w:val="008A07B4"/>
    <w:rsid w:val="008A0A67"/>
    <w:rsid w:val="008A0ECB"/>
    <w:rsid w:val="008A1846"/>
    <w:rsid w:val="008A1BA5"/>
    <w:rsid w:val="008A1C36"/>
    <w:rsid w:val="008A1D04"/>
    <w:rsid w:val="008A2829"/>
    <w:rsid w:val="008A2C71"/>
    <w:rsid w:val="008A2E28"/>
    <w:rsid w:val="008A2EDB"/>
    <w:rsid w:val="008A3039"/>
    <w:rsid w:val="008A3052"/>
    <w:rsid w:val="008A348A"/>
    <w:rsid w:val="008A37DC"/>
    <w:rsid w:val="008A396E"/>
    <w:rsid w:val="008A3BCA"/>
    <w:rsid w:val="008A3EA5"/>
    <w:rsid w:val="008A3FEF"/>
    <w:rsid w:val="008A41D5"/>
    <w:rsid w:val="008A41F0"/>
    <w:rsid w:val="008A4438"/>
    <w:rsid w:val="008A44A3"/>
    <w:rsid w:val="008A4899"/>
    <w:rsid w:val="008A4AA2"/>
    <w:rsid w:val="008A4BB5"/>
    <w:rsid w:val="008A4C1C"/>
    <w:rsid w:val="008A4C9B"/>
    <w:rsid w:val="008A4F2A"/>
    <w:rsid w:val="008A508C"/>
    <w:rsid w:val="008A5115"/>
    <w:rsid w:val="008A5159"/>
    <w:rsid w:val="008A554D"/>
    <w:rsid w:val="008A55B5"/>
    <w:rsid w:val="008A5698"/>
    <w:rsid w:val="008A58C8"/>
    <w:rsid w:val="008A5AAA"/>
    <w:rsid w:val="008A5AAB"/>
    <w:rsid w:val="008A5B84"/>
    <w:rsid w:val="008A5E47"/>
    <w:rsid w:val="008A5FEF"/>
    <w:rsid w:val="008A609D"/>
    <w:rsid w:val="008A6172"/>
    <w:rsid w:val="008A631A"/>
    <w:rsid w:val="008A653C"/>
    <w:rsid w:val="008A65FF"/>
    <w:rsid w:val="008A661C"/>
    <w:rsid w:val="008A6738"/>
    <w:rsid w:val="008A6880"/>
    <w:rsid w:val="008A6A49"/>
    <w:rsid w:val="008A6A58"/>
    <w:rsid w:val="008A6AED"/>
    <w:rsid w:val="008A6C56"/>
    <w:rsid w:val="008A6F00"/>
    <w:rsid w:val="008A7015"/>
    <w:rsid w:val="008A7213"/>
    <w:rsid w:val="008A7272"/>
    <w:rsid w:val="008A7371"/>
    <w:rsid w:val="008A75A0"/>
    <w:rsid w:val="008A775D"/>
    <w:rsid w:val="008A7B4C"/>
    <w:rsid w:val="008A7CA6"/>
    <w:rsid w:val="008B0113"/>
    <w:rsid w:val="008B0203"/>
    <w:rsid w:val="008B035B"/>
    <w:rsid w:val="008B06F8"/>
    <w:rsid w:val="008B07B0"/>
    <w:rsid w:val="008B0AD6"/>
    <w:rsid w:val="008B0D79"/>
    <w:rsid w:val="008B0E52"/>
    <w:rsid w:val="008B13F8"/>
    <w:rsid w:val="008B1412"/>
    <w:rsid w:val="008B1435"/>
    <w:rsid w:val="008B14BE"/>
    <w:rsid w:val="008B1644"/>
    <w:rsid w:val="008B17D9"/>
    <w:rsid w:val="008B1BC9"/>
    <w:rsid w:val="008B1C69"/>
    <w:rsid w:val="008B1CA3"/>
    <w:rsid w:val="008B1E72"/>
    <w:rsid w:val="008B284C"/>
    <w:rsid w:val="008B2892"/>
    <w:rsid w:val="008B2EE6"/>
    <w:rsid w:val="008B2F08"/>
    <w:rsid w:val="008B3157"/>
    <w:rsid w:val="008B32DD"/>
    <w:rsid w:val="008B3646"/>
    <w:rsid w:val="008B3721"/>
    <w:rsid w:val="008B3825"/>
    <w:rsid w:val="008B390B"/>
    <w:rsid w:val="008B3D0E"/>
    <w:rsid w:val="008B3D9E"/>
    <w:rsid w:val="008B3EC8"/>
    <w:rsid w:val="008B3F37"/>
    <w:rsid w:val="008B3F4F"/>
    <w:rsid w:val="008B434A"/>
    <w:rsid w:val="008B4434"/>
    <w:rsid w:val="008B467B"/>
    <w:rsid w:val="008B4690"/>
    <w:rsid w:val="008B49E3"/>
    <w:rsid w:val="008B4C8E"/>
    <w:rsid w:val="008B4F0A"/>
    <w:rsid w:val="008B4FC8"/>
    <w:rsid w:val="008B5071"/>
    <w:rsid w:val="008B50BE"/>
    <w:rsid w:val="008B5292"/>
    <w:rsid w:val="008B541F"/>
    <w:rsid w:val="008B5561"/>
    <w:rsid w:val="008B5632"/>
    <w:rsid w:val="008B575C"/>
    <w:rsid w:val="008B5838"/>
    <w:rsid w:val="008B593D"/>
    <w:rsid w:val="008B5A01"/>
    <w:rsid w:val="008B5A94"/>
    <w:rsid w:val="008B5B9F"/>
    <w:rsid w:val="008B5FCF"/>
    <w:rsid w:val="008B6074"/>
    <w:rsid w:val="008B6077"/>
    <w:rsid w:val="008B62EA"/>
    <w:rsid w:val="008B6ADB"/>
    <w:rsid w:val="008B6BCE"/>
    <w:rsid w:val="008B7044"/>
    <w:rsid w:val="008B7837"/>
    <w:rsid w:val="008B7967"/>
    <w:rsid w:val="008B7A6F"/>
    <w:rsid w:val="008B7AC5"/>
    <w:rsid w:val="008B7B0A"/>
    <w:rsid w:val="008B7BB3"/>
    <w:rsid w:val="008B7DB6"/>
    <w:rsid w:val="008B7FB2"/>
    <w:rsid w:val="008B7FD2"/>
    <w:rsid w:val="008C0375"/>
    <w:rsid w:val="008C074F"/>
    <w:rsid w:val="008C0B8E"/>
    <w:rsid w:val="008C1280"/>
    <w:rsid w:val="008C14CC"/>
    <w:rsid w:val="008C160A"/>
    <w:rsid w:val="008C1687"/>
    <w:rsid w:val="008C1727"/>
    <w:rsid w:val="008C1893"/>
    <w:rsid w:val="008C1904"/>
    <w:rsid w:val="008C1941"/>
    <w:rsid w:val="008C1966"/>
    <w:rsid w:val="008C1C3C"/>
    <w:rsid w:val="008C1C59"/>
    <w:rsid w:val="008C1C6F"/>
    <w:rsid w:val="008C2006"/>
    <w:rsid w:val="008C2288"/>
    <w:rsid w:val="008C24E1"/>
    <w:rsid w:val="008C2501"/>
    <w:rsid w:val="008C255A"/>
    <w:rsid w:val="008C2562"/>
    <w:rsid w:val="008C2622"/>
    <w:rsid w:val="008C26AE"/>
    <w:rsid w:val="008C2F0F"/>
    <w:rsid w:val="008C2F12"/>
    <w:rsid w:val="008C34B0"/>
    <w:rsid w:val="008C357A"/>
    <w:rsid w:val="008C3652"/>
    <w:rsid w:val="008C3841"/>
    <w:rsid w:val="008C39F1"/>
    <w:rsid w:val="008C3C21"/>
    <w:rsid w:val="008C3D3D"/>
    <w:rsid w:val="008C477A"/>
    <w:rsid w:val="008C49DC"/>
    <w:rsid w:val="008C49E1"/>
    <w:rsid w:val="008C4F15"/>
    <w:rsid w:val="008C546C"/>
    <w:rsid w:val="008C5557"/>
    <w:rsid w:val="008C59B5"/>
    <w:rsid w:val="008C5B1A"/>
    <w:rsid w:val="008C5C80"/>
    <w:rsid w:val="008C5EC4"/>
    <w:rsid w:val="008C5EE7"/>
    <w:rsid w:val="008C5FC3"/>
    <w:rsid w:val="008C615F"/>
    <w:rsid w:val="008C6298"/>
    <w:rsid w:val="008C63A1"/>
    <w:rsid w:val="008C663E"/>
    <w:rsid w:val="008C6936"/>
    <w:rsid w:val="008C6963"/>
    <w:rsid w:val="008C69A5"/>
    <w:rsid w:val="008C6D59"/>
    <w:rsid w:val="008C6DDD"/>
    <w:rsid w:val="008C7188"/>
    <w:rsid w:val="008C73DD"/>
    <w:rsid w:val="008C74E2"/>
    <w:rsid w:val="008C75E3"/>
    <w:rsid w:val="008C7EB7"/>
    <w:rsid w:val="008C7ECA"/>
    <w:rsid w:val="008D0498"/>
    <w:rsid w:val="008D05C2"/>
    <w:rsid w:val="008D0F66"/>
    <w:rsid w:val="008D0FED"/>
    <w:rsid w:val="008D10ED"/>
    <w:rsid w:val="008D118B"/>
    <w:rsid w:val="008D15D2"/>
    <w:rsid w:val="008D167B"/>
    <w:rsid w:val="008D17E5"/>
    <w:rsid w:val="008D1A94"/>
    <w:rsid w:val="008D1C63"/>
    <w:rsid w:val="008D1E46"/>
    <w:rsid w:val="008D1ED2"/>
    <w:rsid w:val="008D1F8B"/>
    <w:rsid w:val="008D261B"/>
    <w:rsid w:val="008D2651"/>
    <w:rsid w:val="008D280C"/>
    <w:rsid w:val="008D2810"/>
    <w:rsid w:val="008D2873"/>
    <w:rsid w:val="008D2928"/>
    <w:rsid w:val="008D2976"/>
    <w:rsid w:val="008D2BB0"/>
    <w:rsid w:val="008D2CB3"/>
    <w:rsid w:val="008D2E3A"/>
    <w:rsid w:val="008D2F21"/>
    <w:rsid w:val="008D31B9"/>
    <w:rsid w:val="008D3378"/>
    <w:rsid w:val="008D33CA"/>
    <w:rsid w:val="008D34DF"/>
    <w:rsid w:val="008D3617"/>
    <w:rsid w:val="008D36FC"/>
    <w:rsid w:val="008D383D"/>
    <w:rsid w:val="008D3BAD"/>
    <w:rsid w:val="008D3F42"/>
    <w:rsid w:val="008D3F6E"/>
    <w:rsid w:val="008D4018"/>
    <w:rsid w:val="008D4123"/>
    <w:rsid w:val="008D433D"/>
    <w:rsid w:val="008D48F3"/>
    <w:rsid w:val="008D492B"/>
    <w:rsid w:val="008D4B4D"/>
    <w:rsid w:val="008D5253"/>
    <w:rsid w:val="008D53CA"/>
    <w:rsid w:val="008D53D0"/>
    <w:rsid w:val="008D5576"/>
    <w:rsid w:val="008D5612"/>
    <w:rsid w:val="008D5A31"/>
    <w:rsid w:val="008D5D9F"/>
    <w:rsid w:val="008D5E2C"/>
    <w:rsid w:val="008D5F27"/>
    <w:rsid w:val="008D5F32"/>
    <w:rsid w:val="008D5F7F"/>
    <w:rsid w:val="008D63E3"/>
    <w:rsid w:val="008D641F"/>
    <w:rsid w:val="008D6596"/>
    <w:rsid w:val="008D66EE"/>
    <w:rsid w:val="008D695F"/>
    <w:rsid w:val="008D6A04"/>
    <w:rsid w:val="008D6A63"/>
    <w:rsid w:val="008D76C7"/>
    <w:rsid w:val="008D7763"/>
    <w:rsid w:val="008D7BE1"/>
    <w:rsid w:val="008D7CB2"/>
    <w:rsid w:val="008E0102"/>
    <w:rsid w:val="008E024D"/>
    <w:rsid w:val="008E0466"/>
    <w:rsid w:val="008E04E3"/>
    <w:rsid w:val="008E0570"/>
    <w:rsid w:val="008E08DE"/>
    <w:rsid w:val="008E0BFF"/>
    <w:rsid w:val="008E1365"/>
    <w:rsid w:val="008E1367"/>
    <w:rsid w:val="008E1428"/>
    <w:rsid w:val="008E14A8"/>
    <w:rsid w:val="008E15C1"/>
    <w:rsid w:val="008E15DF"/>
    <w:rsid w:val="008E1601"/>
    <w:rsid w:val="008E1634"/>
    <w:rsid w:val="008E1AA3"/>
    <w:rsid w:val="008E1EBB"/>
    <w:rsid w:val="008E20CD"/>
    <w:rsid w:val="008E21CA"/>
    <w:rsid w:val="008E22B8"/>
    <w:rsid w:val="008E249C"/>
    <w:rsid w:val="008E268F"/>
    <w:rsid w:val="008E2783"/>
    <w:rsid w:val="008E282E"/>
    <w:rsid w:val="008E28A2"/>
    <w:rsid w:val="008E2902"/>
    <w:rsid w:val="008E2978"/>
    <w:rsid w:val="008E2A01"/>
    <w:rsid w:val="008E2CF2"/>
    <w:rsid w:val="008E2DE6"/>
    <w:rsid w:val="008E2F73"/>
    <w:rsid w:val="008E3123"/>
    <w:rsid w:val="008E3689"/>
    <w:rsid w:val="008E36B6"/>
    <w:rsid w:val="008E37B0"/>
    <w:rsid w:val="008E3AF2"/>
    <w:rsid w:val="008E3CD3"/>
    <w:rsid w:val="008E3CD5"/>
    <w:rsid w:val="008E3E26"/>
    <w:rsid w:val="008E3EE9"/>
    <w:rsid w:val="008E3F6D"/>
    <w:rsid w:val="008E41E9"/>
    <w:rsid w:val="008E44E1"/>
    <w:rsid w:val="008E4AE6"/>
    <w:rsid w:val="008E4BFB"/>
    <w:rsid w:val="008E4D89"/>
    <w:rsid w:val="008E4E09"/>
    <w:rsid w:val="008E4E68"/>
    <w:rsid w:val="008E4E77"/>
    <w:rsid w:val="008E4FAA"/>
    <w:rsid w:val="008E50B3"/>
    <w:rsid w:val="008E518B"/>
    <w:rsid w:val="008E5402"/>
    <w:rsid w:val="008E587D"/>
    <w:rsid w:val="008E5942"/>
    <w:rsid w:val="008E5B9E"/>
    <w:rsid w:val="008E5DED"/>
    <w:rsid w:val="008E6244"/>
    <w:rsid w:val="008E6265"/>
    <w:rsid w:val="008E68C0"/>
    <w:rsid w:val="008E6931"/>
    <w:rsid w:val="008E6A62"/>
    <w:rsid w:val="008E6B06"/>
    <w:rsid w:val="008E6CE0"/>
    <w:rsid w:val="008E6F11"/>
    <w:rsid w:val="008E6F30"/>
    <w:rsid w:val="008E7094"/>
    <w:rsid w:val="008E7405"/>
    <w:rsid w:val="008E748F"/>
    <w:rsid w:val="008E7585"/>
    <w:rsid w:val="008E78DC"/>
    <w:rsid w:val="008E793E"/>
    <w:rsid w:val="008E7A6E"/>
    <w:rsid w:val="008E7BD0"/>
    <w:rsid w:val="008E7CB9"/>
    <w:rsid w:val="008F0193"/>
    <w:rsid w:val="008F04AC"/>
    <w:rsid w:val="008F05EA"/>
    <w:rsid w:val="008F0CF1"/>
    <w:rsid w:val="008F1149"/>
    <w:rsid w:val="008F1180"/>
    <w:rsid w:val="008F14DF"/>
    <w:rsid w:val="008F16F8"/>
    <w:rsid w:val="008F183F"/>
    <w:rsid w:val="008F1840"/>
    <w:rsid w:val="008F185B"/>
    <w:rsid w:val="008F1C11"/>
    <w:rsid w:val="008F1D6B"/>
    <w:rsid w:val="008F1E39"/>
    <w:rsid w:val="008F1F10"/>
    <w:rsid w:val="008F2165"/>
    <w:rsid w:val="008F2305"/>
    <w:rsid w:val="008F23BC"/>
    <w:rsid w:val="008F2543"/>
    <w:rsid w:val="008F2588"/>
    <w:rsid w:val="008F2619"/>
    <w:rsid w:val="008F2A4B"/>
    <w:rsid w:val="008F2DBE"/>
    <w:rsid w:val="008F2E4A"/>
    <w:rsid w:val="008F3018"/>
    <w:rsid w:val="008F3125"/>
    <w:rsid w:val="008F3760"/>
    <w:rsid w:val="008F38BA"/>
    <w:rsid w:val="008F3BCC"/>
    <w:rsid w:val="008F3E33"/>
    <w:rsid w:val="008F3E53"/>
    <w:rsid w:val="008F4190"/>
    <w:rsid w:val="008F44B2"/>
    <w:rsid w:val="008F4993"/>
    <w:rsid w:val="008F4B2B"/>
    <w:rsid w:val="008F4BE7"/>
    <w:rsid w:val="008F4D88"/>
    <w:rsid w:val="008F4E99"/>
    <w:rsid w:val="008F525B"/>
    <w:rsid w:val="008F548E"/>
    <w:rsid w:val="008F5C5F"/>
    <w:rsid w:val="008F5C8C"/>
    <w:rsid w:val="008F6018"/>
    <w:rsid w:val="008F6158"/>
    <w:rsid w:val="008F68B5"/>
    <w:rsid w:val="008F68C4"/>
    <w:rsid w:val="008F68E5"/>
    <w:rsid w:val="008F6949"/>
    <w:rsid w:val="008F69E0"/>
    <w:rsid w:val="008F6B95"/>
    <w:rsid w:val="008F6BA7"/>
    <w:rsid w:val="008F6EBE"/>
    <w:rsid w:val="008F6EC4"/>
    <w:rsid w:val="008F6FA9"/>
    <w:rsid w:val="008F701F"/>
    <w:rsid w:val="008F70F3"/>
    <w:rsid w:val="008F7517"/>
    <w:rsid w:val="008F76FF"/>
    <w:rsid w:val="008F7DA4"/>
    <w:rsid w:val="008F7E90"/>
    <w:rsid w:val="008F7FF4"/>
    <w:rsid w:val="009001D6"/>
    <w:rsid w:val="009002F1"/>
    <w:rsid w:val="009003D5"/>
    <w:rsid w:val="009005A0"/>
    <w:rsid w:val="0090068B"/>
    <w:rsid w:val="009006C7"/>
    <w:rsid w:val="00900724"/>
    <w:rsid w:val="009008B6"/>
    <w:rsid w:val="0090093E"/>
    <w:rsid w:val="00900E55"/>
    <w:rsid w:val="00900F55"/>
    <w:rsid w:val="00900FAE"/>
    <w:rsid w:val="00900FCB"/>
    <w:rsid w:val="0090143F"/>
    <w:rsid w:val="0090164F"/>
    <w:rsid w:val="00901692"/>
    <w:rsid w:val="0090187E"/>
    <w:rsid w:val="0090192D"/>
    <w:rsid w:val="00901B43"/>
    <w:rsid w:val="0090212E"/>
    <w:rsid w:val="009021F9"/>
    <w:rsid w:val="009023D2"/>
    <w:rsid w:val="0090241E"/>
    <w:rsid w:val="00902497"/>
    <w:rsid w:val="00902697"/>
    <w:rsid w:val="009026CA"/>
    <w:rsid w:val="00902842"/>
    <w:rsid w:val="0090287B"/>
    <w:rsid w:val="009028AD"/>
    <w:rsid w:val="00902A4F"/>
    <w:rsid w:val="00902C0D"/>
    <w:rsid w:val="009031B5"/>
    <w:rsid w:val="0090328B"/>
    <w:rsid w:val="0090384F"/>
    <w:rsid w:val="00903B53"/>
    <w:rsid w:val="00903C3F"/>
    <w:rsid w:val="00903D7E"/>
    <w:rsid w:val="00903F34"/>
    <w:rsid w:val="0090418E"/>
    <w:rsid w:val="009041D5"/>
    <w:rsid w:val="009042FB"/>
    <w:rsid w:val="009043B6"/>
    <w:rsid w:val="00904606"/>
    <w:rsid w:val="0090493F"/>
    <w:rsid w:val="0090499B"/>
    <w:rsid w:val="00904AAE"/>
    <w:rsid w:val="00904D2B"/>
    <w:rsid w:val="00904F21"/>
    <w:rsid w:val="0090549C"/>
    <w:rsid w:val="009054E2"/>
    <w:rsid w:val="00905586"/>
    <w:rsid w:val="00905672"/>
    <w:rsid w:val="009056B8"/>
    <w:rsid w:val="00905721"/>
    <w:rsid w:val="00905D0B"/>
    <w:rsid w:val="00906056"/>
    <w:rsid w:val="009060E1"/>
    <w:rsid w:val="00906151"/>
    <w:rsid w:val="0090625A"/>
    <w:rsid w:val="00906635"/>
    <w:rsid w:val="0090676A"/>
    <w:rsid w:val="009068C9"/>
    <w:rsid w:val="00906CCC"/>
    <w:rsid w:val="00906DED"/>
    <w:rsid w:val="00907188"/>
    <w:rsid w:val="009077AE"/>
    <w:rsid w:val="009077D5"/>
    <w:rsid w:val="00907C13"/>
    <w:rsid w:val="00907CD2"/>
    <w:rsid w:val="00907D73"/>
    <w:rsid w:val="0091023E"/>
    <w:rsid w:val="0091045F"/>
    <w:rsid w:val="00910BA7"/>
    <w:rsid w:val="00910FC3"/>
    <w:rsid w:val="0091120B"/>
    <w:rsid w:val="0091163D"/>
    <w:rsid w:val="00911873"/>
    <w:rsid w:val="00911958"/>
    <w:rsid w:val="00911B2C"/>
    <w:rsid w:val="00911B45"/>
    <w:rsid w:val="00911C3D"/>
    <w:rsid w:val="00911CE5"/>
    <w:rsid w:val="00911D45"/>
    <w:rsid w:val="00911DF1"/>
    <w:rsid w:val="00911E8A"/>
    <w:rsid w:val="00911F20"/>
    <w:rsid w:val="009122B7"/>
    <w:rsid w:val="009122C9"/>
    <w:rsid w:val="00912649"/>
    <w:rsid w:val="009127E0"/>
    <w:rsid w:val="009128CB"/>
    <w:rsid w:val="009128EE"/>
    <w:rsid w:val="009129A8"/>
    <w:rsid w:val="00912B6C"/>
    <w:rsid w:val="00912C9D"/>
    <w:rsid w:val="00912EDC"/>
    <w:rsid w:val="00912EE9"/>
    <w:rsid w:val="00912F34"/>
    <w:rsid w:val="009136B8"/>
    <w:rsid w:val="00913898"/>
    <w:rsid w:val="00913899"/>
    <w:rsid w:val="00913A44"/>
    <w:rsid w:val="00913C51"/>
    <w:rsid w:val="00913EBD"/>
    <w:rsid w:val="00913F14"/>
    <w:rsid w:val="009141DB"/>
    <w:rsid w:val="009142FF"/>
    <w:rsid w:val="009148EE"/>
    <w:rsid w:val="0091497F"/>
    <w:rsid w:val="00914A4F"/>
    <w:rsid w:val="00914A91"/>
    <w:rsid w:val="00914B52"/>
    <w:rsid w:val="00914D77"/>
    <w:rsid w:val="00914DD0"/>
    <w:rsid w:val="0091500D"/>
    <w:rsid w:val="0091509D"/>
    <w:rsid w:val="009150B7"/>
    <w:rsid w:val="009150FE"/>
    <w:rsid w:val="00915141"/>
    <w:rsid w:val="009156A3"/>
    <w:rsid w:val="009157CD"/>
    <w:rsid w:val="009157F8"/>
    <w:rsid w:val="00915CB9"/>
    <w:rsid w:val="00915DAC"/>
    <w:rsid w:val="00916054"/>
    <w:rsid w:val="009160A0"/>
    <w:rsid w:val="00916251"/>
    <w:rsid w:val="00916489"/>
    <w:rsid w:val="009166F1"/>
    <w:rsid w:val="00916885"/>
    <w:rsid w:val="00916A06"/>
    <w:rsid w:val="00916ACD"/>
    <w:rsid w:val="00916DA8"/>
    <w:rsid w:val="00917023"/>
    <w:rsid w:val="00917410"/>
    <w:rsid w:val="009174E2"/>
    <w:rsid w:val="00917552"/>
    <w:rsid w:val="00917A53"/>
    <w:rsid w:val="00917ABF"/>
    <w:rsid w:val="00917ADC"/>
    <w:rsid w:val="00917B98"/>
    <w:rsid w:val="00917CBC"/>
    <w:rsid w:val="00917DCB"/>
    <w:rsid w:val="009202BE"/>
    <w:rsid w:val="009202EC"/>
    <w:rsid w:val="009202FF"/>
    <w:rsid w:val="009204B5"/>
    <w:rsid w:val="00920554"/>
    <w:rsid w:val="009205CC"/>
    <w:rsid w:val="00920A13"/>
    <w:rsid w:val="00920F85"/>
    <w:rsid w:val="00921351"/>
    <w:rsid w:val="0092166B"/>
    <w:rsid w:val="00921879"/>
    <w:rsid w:val="0092196F"/>
    <w:rsid w:val="00921F9B"/>
    <w:rsid w:val="009221AF"/>
    <w:rsid w:val="009225A8"/>
    <w:rsid w:val="0092289D"/>
    <w:rsid w:val="009229B4"/>
    <w:rsid w:val="00922BE6"/>
    <w:rsid w:val="00922C94"/>
    <w:rsid w:val="0092309F"/>
    <w:rsid w:val="00923237"/>
    <w:rsid w:val="00923441"/>
    <w:rsid w:val="00923727"/>
    <w:rsid w:val="0092388A"/>
    <w:rsid w:val="00923A3B"/>
    <w:rsid w:val="00923B94"/>
    <w:rsid w:val="00923C13"/>
    <w:rsid w:val="00923ED6"/>
    <w:rsid w:val="0092403C"/>
    <w:rsid w:val="00924134"/>
    <w:rsid w:val="009242BA"/>
    <w:rsid w:val="0092491F"/>
    <w:rsid w:val="00924A50"/>
    <w:rsid w:val="00924C37"/>
    <w:rsid w:val="00924EEA"/>
    <w:rsid w:val="00924FA7"/>
    <w:rsid w:val="00925113"/>
    <w:rsid w:val="009252A6"/>
    <w:rsid w:val="00925444"/>
    <w:rsid w:val="00925451"/>
    <w:rsid w:val="0092568B"/>
    <w:rsid w:val="009258A9"/>
    <w:rsid w:val="00925947"/>
    <w:rsid w:val="00925987"/>
    <w:rsid w:val="00925C7D"/>
    <w:rsid w:val="00925FAF"/>
    <w:rsid w:val="00926185"/>
    <w:rsid w:val="00926265"/>
    <w:rsid w:val="00926374"/>
    <w:rsid w:val="00926B6D"/>
    <w:rsid w:val="00926DA6"/>
    <w:rsid w:val="00926E2E"/>
    <w:rsid w:val="00926F12"/>
    <w:rsid w:val="00926FF5"/>
    <w:rsid w:val="009274E4"/>
    <w:rsid w:val="009276B9"/>
    <w:rsid w:val="00927771"/>
    <w:rsid w:val="0092780D"/>
    <w:rsid w:val="00927983"/>
    <w:rsid w:val="00927A89"/>
    <w:rsid w:val="00927C59"/>
    <w:rsid w:val="009300CC"/>
    <w:rsid w:val="009300EE"/>
    <w:rsid w:val="00930103"/>
    <w:rsid w:val="0093038F"/>
    <w:rsid w:val="009303D9"/>
    <w:rsid w:val="00930453"/>
    <w:rsid w:val="009304B8"/>
    <w:rsid w:val="009304C6"/>
    <w:rsid w:val="009307DC"/>
    <w:rsid w:val="009309A4"/>
    <w:rsid w:val="00930B70"/>
    <w:rsid w:val="00930C31"/>
    <w:rsid w:val="00930D2E"/>
    <w:rsid w:val="00930FC5"/>
    <w:rsid w:val="009311EF"/>
    <w:rsid w:val="009313D6"/>
    <w:rsid w:val="009314C6"/>
    <w:rsid w:val="0093198C"/>
    <w:rsid w:val="00931A24"/>
    <w:rsid w:val="00931A3A"/>
    <w:rsid w:val="00931BF1"/>
    <w:rsid w:val="00931CD1"/>
    <w:rsid w:val="00931D99"/>
    <w:rsid w:val="00931DA8"/>
    <w:rsid w:val="00932061"/>
    <w:rsid w:val="0093226C"/>
    <w:rsid w:val="00932389"/>
    <w:rsid w:val="009325D3"/>
    <w:rsid w:val="0093276F"/>
    <w:rsid w:val="009328FD"/>
    <w:rsid w:val="00932936"/>
    <w:rsid w:val="00932AF3"/>
    <w:rsid w:val="0093318A"/>
    <w:rsid w:val="00933224"/>
    <w:rsid w:val="00933490"/>
    <w:rsid w:val="009334EA"/>
    <w:rsid w:val="00933A56"/>
    <w:rsid w:val="00933C69"/>
    <w:rsid w:val="00933F5E"/>
    <w:rsid w:val="0093406E"/>
    <w:rsid w:val="009341D4"/>
    <w:rsid w:val="0093494E"/>
    <w:rsid w:val="00934AC9"/>
    <w:rsid w:val="00934BB2"/>
    <w:rsid w:val="00934BD0"/>
    <w:rsid w:val="00934D9B"/>
    <w:rsid w:val="00934F55"/>
    <w:rsid w:val="009352A3"/>
    <w:rsid w:val="0093549F"/>
    <w:rsid w:val="009356E8"/>
    <w:rsid w:val="0093580C"/>
    <w:rsid w:val="00935814"/>
    <w:rsid w:val="00935CDC"/>
    <w:rsid w:val="00935DFD"/>
    <w:rsid w:val="00935E38"/>
    <w:rsid w:val="00935ED6"/>
    <w:rsid w:val="00936741"/>
    <w:rsid w:val="00936837"/>
    <w:rsid w:val="00936AF3"/>
    <w:rsid w:val="009371FB"/>
    <w:rsid w:val="00937210"/>
    <w:rsid w:val="009376CD"/>
    <w:rsid w:val="00937703"/>
    <w:rsid w:val="00937769"/>
    <w:rsid w:val="00937846"/>
    <w:rsid w:val="009378A5"/>
    <w:rsid w:val="00937D94"/>
    <w:rsid w:val="00940080"/>
    <w:rsid w:val="00940421"/>
    <w:rsid w:val="00940435"/>
    <w:rsid w:val="0094066E"/>
    <w:rsid w:val="00940805"/>
    <w:rsid w:val="00940C6B"/>
    <w:rsid w:val="00940DFD"/>
    <w:rsid w:val="00940E3C"/>
    <w:rsid w:val="00941113"/>
    <w:rsid w:val="0094192B"/>
    <w:rsid w:val="0094198C"/>
    <w:rsid w:val="00941C12"/>
    <w:rsid w:val="00941CF4"/>
    <w:rsid w:val="00941E75"/>
    <w:rsid w:val="00941FDE"/>
    <w:rsid w:val="0094210C"/>
    <w:rsid w:val="00942161"/>
    <w:rsid w:val="0094235E"/>
    <w:rsid w:val="009426B5"/>
    <w:rsid w:val="009427FE"/>
    <w:rsid w:val="00942B51"/>
    <w:rsid w:val="00942C37"/>
    <w:rsid w:val="00942CE1"/>
    <w:rsid w:val="00942E08"/>
    <w:rsid w:val="00943522"/>
    <w:rsid w:val="009437B4"/>
    <w:rsid w:val="00943D18"/>
    <w:rsid w:val="00943F42"/>
    <w:rsid w:val="0094427C"/>
    <w:rsid w:val="00944601"/>
    <w:rsid w:val="009447A2"/>
    <w:rsid w:val="0094487A"/>
    <w:rsid w:val="00944C59"/>
    <w:rsid w:val="00944CD3"/>
    <w:rsid w:val="00944F18"/>
    <w:rsid w:val="00945042"/>
    <w:rsid w:val="00945244"/>
    <w:rsid w:val="0094556B"/>
    <w:rsid w:val="00945745"/>
    <w:rsid w:val="00945780"/>
    <w:rsid w:val="00945940"/>
    <w:rsid w:val="009459B4"/>
    <w:rsid w:val="009459DC"/>
    <w:rsid w:val="009459FC"/>
    <w:rsid w:val="00945B66"/>
    <w:rsid w:val="00945E95"/>
    <w:rsid w:val="00945F88"/>
    <w:rsid w:val="00946046"/>
    <w:rsid w:val="00946187"/>
    <w:rsid w:val="0094621C"/>
    <w:rsid w:val="009462B4"/>
    <w:rsid w:val="00946D8D"/>
    <w:rsid w:val="00946E2B"/>
    <w:rsid w:val="00946F90"/>
    <w:rsid w:val="00946FAE"/>
    <w:rsid w:val="00947313"/>
    <w:rsid w:val="0094748F"/>
    <w:rsid w:val="00947981"/>
    <w:rsid w:val="00947A85"/>
    <w:rsid w:val="00947B85"/>
    <w:rsid w:val="00947DBB"/>
    <w:rsid w:val="00950249"/>
    <w:rsid w:val="009505A7"/>
    <w:rsid w:val="00950BD6"/>
    <w:rsid w:val="00950C9F"/>
    <w:rsid w:val="00950EE4"/>
    <w:rsid w:val="00950F02"/>
    <w:rsid w:val="009510EA"/>
    <w:rsid w:val="00951118"/>
    <w:rsid w:val="00951215"/>
    <w:rsid w:val="0095149E"/>
    <w:rsid w:val="00951538"/>
    <w:rsid w:val="00951637"/>
    <w:rsid w:val="00951665"/>
    <w:rsid w:val="0095167D"/>
    <w:rsid w:val="00951B9C"/>
    <w:rsid w:val="00951C43"/>
    <w:rsid w:val="009520B6"/>
    <w:rsid w:val="00952172"/>
    <w:rsid w:val="009522C8"/>
    <w:rsid w:val="00952447"/>
    <w:rsid w:val="00952491"/>
    <w:rsid w:val="0095267A"/>
    <w:rsid w:val="009526ED"/>
    <w:rsid w:val="0095278C"/>
    <w:rsid w:val="0095297C"/>
    <w:rsid w:val="00952F8C"/>
    <w:rsid w:val="00953321"/>
    <w:rsid w:val="009536A7"/>
    <w:rsid w:val="00953776"/>
    <w:rsid w:val="009538D7"/>
    <w:rsid w:val="00953BC6"/>
    <w:rsid w:val="00953C08"/>
    <w:rsid w:val="00953C70"/>
    <w:rsid w:val="00953F7C"/>
    <w:rsid w:val="00954029"/>
    <w:rsid w:val="0095435B"/>
    <w:rsid w:val="009543C4"/>
    <w:rsid w:val="0095445D"/>
    <w:rsid w:val="00954682"/>
    <w:rsid w:val="009547C5"/>
    <w:rsid w:val="00954921"/>
    <w:rsid w:val="009549C3"/>
    <w:rsid w:val="00954B3C"/>
    <w:rsid w:val="009550CD"/>
    <w:rsid w:val="009551EE"/>
    <w:rsid w:val="0095542A"/>
    <w:rsid w:val="00955522"/>
    <w:rsid w:val="009561EF"/>
    <w:rsid w:val="0095649E"/>
    <w:rsid w:val="0095659F"/>
    <w:rsid w:val="0095666C"/>
    <w:rsid w:val="00956747"/>
    <w:rsid w:val="00956883"/>
    <w:rsid w:val="00956A09"/>
    <w:rsid w:val="00956AD5"/>
    <w:rsid w:val="00956B73"/>
    <w:rsid w:val="00956E68"/>
    <w:rsid w:val="00956F03"/>
    <w:rsid w:val="00956F4F"/>
    <w:rsid w:val="0095718C"/>
    <w:rsid w:val="00957232"/>
    <w:rsid w:val="0095728E"/>
    <w:rsid w:val="009575DA"/>
    <w:rsid w:val="0095761D"/>
    <w:rsid w:val="00957A28"/>
    <w:rsid w:val="00957AB2"/>
    <w:rsid w:val="00957D28"/>
    <w:rsid w:val="00957D3E"/>
    <w:rsid w:val="00957FE2"/>
    <w:rsid w:val="0096021E"/>
    <w:rsid w:val="00960227"/>
    <w:rsid w:val="0096042F"/>
    <w:rsid w:val="009606BE"/>
    <w:rsid w:val="00960B13"/>
    <w:rsid w:val="00960BDD"/>
    <w:rsid w:val="00960C8E"/>
    <w:rsid w:val="00961071"/>
    <w:rsid w:val="009610B4"/>
    <w:rsid w:val="0096126C"/>
    <w:rsid w:val="009612AA"/>
    <w:rsid w:val="0096165B"/>
    <w:rsid w:val="00961929"/>
    <w:rsid w:val="00961C1E"/>
    <w:rsid w:val="00962456"/>
    <w:rsid w:val="00962B4A"/>
    <w:rsid w:val="00962B98"/>
    <w:rsid w:val="00962BCF"/>
    <w:rsid w:val="00962DC4"/>
    <w:rsid w:val="0096319E"/>
    <w:rsid w:val="009633DE"/>
    <w:rsid w:val="00963507"/>
    <w:rsid w:val="00963703"/>
    <w:rsid w:val="00963B36"/>
    <w:rsid w:val="00963BC3"/>
    <w:rsid w:val="00963CA0"/>
    <w:rsid w:val="00964241"/>
    <w:rsid w:val="00964388"/>
    <w:rsid w:val="00964507"/>
    <w:rsid w:val="009646D7"/>
    <w:rsid w:val="0096485D"/>
    <w:rsid w:val="00964BE4"/>
    <w:rsid w:val="00964F60"/>
    <w:rsid w:val="009650E5"/>
    <w:rsid w:val="00965104"/>
    <w:rsid w:val="0096558F"/>
    <w:rsid w:val="009656C3"/>
    <w:rsid w:val="00965AFB"/>
    <w:rsid w:val="00965ED4"/>
    <w:rsid w:val="00966027"/>
    <w:rsid w:val="009661DD"/>
    <w:rsid w:val="00966209"/>
    <w:rsid w:val="0096675D"/>
    <w:rsid w:val="00966E9F"/>
    <w:rsid w:val="00967090"/>
    <w:rsid w:val="009672F3"/>
    <w:rsid w:val="0096748D"/>
    <w:rsid w:val="009674B1"/>
    <w:rsid w:val="009674B7"/>
    <w:rsid w:val="00967DCE"/>
    <w:rsid w:val="00967F36"/>
    <w:rsid w:val="00970100"/>
    <w:rsid w:val="00970258"/>
    <w:rsid w:val="0097058D"/>
    <w:rsid w:val="0097091A"/>
    <w:rsid w:val="009709DD"/>
    <w:rsid w:val="00970C5E"/>
    <w:rsid w:val="00970D1C"/>
    <w:rsid w:val="00970E94"/>
    <w:rsid w:val="00970EDC"/>
    <w:rsid w:val="00971107"/>
    <w:rsid w:val="0097123D"/>
    <w:rsid w:val="00971418"/>
    <w:rsid w:val="009714AC"/>
    <w:rsid w:val="009714B8"/>
    <w:rsid w:val="009714FC"/>
    <w:rsid w:val="009715B9"/>
    <w:rsid w:val="009716D9"/>
    <w:rsid w:val="00971847"/>
    <w:rsid w:val="00971876"/>
    <w:rsid w:val="0097203A"/>
    <w:rsid w:val="00972082"/>
    <w:rsid w:val="009722FB"/>
    <w:rsid w:val="0097236B"/>
    <w:rsid w:val="009723AD"/>
    <w:rsid w:val="009723B5"/>
    <w:rsid w:val="009728EE"/>
    <w:rsid w:val="0097293B"/>
    <w:rsid w:val="009729FD"/>
    <w:rsid w:val="00972A24"/>
    <w:rsid w:val="00972A3A"/>
    <w:rsid w:val="00972B7F"/>
    <w:rsid w:val="00972D64"/>
    <w:rsid w:val="00972E65"/>
    <w:rsid w:val="00972FC1"/>
    <w:rsid w:val="00973098"/>
    <w:rsid w:val="0097347E"/>
    <w:rsid w:val="00973577"/>
    <w:rsid w:val="00973841"/>
    <w:rsid w:val="009738D8"/>
    <w:rsid w:val="00973E0C"/>
    <w:rsid w:val="00973E91"/>
    <w:rsid w:val="00973EE2"/>
    <w:rsid w:val="00974015"/>
    <w:rsid w:val="009742F2"/>
    <w:rsid w:val="00974915"/>
    <w:rsid w:val="00974D06"/>
    <w:rsid w:val="00974D75"/>
    <w:rsid w:val="00974E5C"/>
    <w:rsid w:val="00974F66"/>
    <w:rsid w:val="00974F89"/>
    <w:rsid w:val="00974FFE"/>
    <w:rsid w:val="0097508B"/>
    <w:rsid w:val="00975514"/>
    <w:rsid w:val="0097561F"/>
    <w:rsid w:val="00975621"/>
    <w:rsid w:val="0097563A"/>
    <w:rsid w:val="009757EB"/>
    <w:rsid w:val="00975974"/>
    <w:rsid w:val="00975C45"/>
    <w:rsid w:val="00975DB8"/>
    <w:rsid w:val="00975E64"/>
    <w:rsid w:val="00975ED9"/>
    <w:rsid w:val="00975F04"/>
    <w:rsid w:val="00975F1C"/>
    <w:rsid w:val="00975F87"/>
    <w:rsid w:val="00976023"/>
    <w:rsid w:val="00976135"/>
    <w:rsid w:val="009765EB"/>
    <w:rsid w:val="009765F4"/>
    <w:rsid w:val="00976641"/>
    <w:rsid w:val="00976A56"/>
    <w:rsid w:val="00976A85"/>
    <w:rsid w:val="00976B1D"/>
    <w:rsid w:val="00976D3A"/>
    <w:rsid w:val="00977234"/>
    <w:rsid w:val="00977271"/>
    <w:rsid w:val="009775D0"/>
    <w:rsid w:val="0097761A"/>
    <w:rsid w:val="00977918"/>
    <w:rsid w:val="0097799E"/>
    <w:rsid w:val="009779F1"/>
    <w:rsid w:val="00977A59"/>
    <w:rsid w:val="00977F36"/>
    <w:rsid w:val="0098007C"/>
    <w:rsid w:val="009801E4"/>
    <w:rsid w:val="00980370"/>
    <w:rsid w:val="009803AE"/>
    <w:rsid w:val="009809B8"/>
    <w:rsid w:val="00980A68"/>
    <w:rsid w:val="00980C0F"/>
    <w:rsid w:val="00980F63"/>
    <w:rsid w:val="00980FFD"/>
    <w:rsid w:val="00981248"/>
    <w:rsid w:val="0098148A"/>
    <w:rsid w:val="009814E0"/>
    <w:rsid w:val="009815CB"/>
    <w:rsid w:val="00981658"/>
    <w:rsid w:val="00981723"/>
    <w:rsid w:val="00981A04"/>
    <w:rsid w:val="00981C6B"/>
    <w:rsid w:val="00981C93"/>
    <w:rsid w:val="00981D43"/>
    <w:rsid w:val="00981D55"/>
    <w:rsid w:val="00981FC7"/>
    <w:rsid w:val="009821EA"/>
    <w:rsid w:val="00982262"/>
    <w:rsid w:val="0098260C"/>
    <w:rsid w:val="00982720"/>
    <w:rsid w:val="00982865"/>
    <w:rsid w:val="009828A1"/>
    <w:rsid w:val="00982A02"/>
    <w:rsid w:val="00982BCB"/>
    <w:rsid w:val="0098312D"/>
    <w:rsid w:val="0098313C"/>
    <w:rsid w:val="0098364E"/>
    <w:rsid w:val="009839F3"/>
    <w:rsid w:val="00983A27"/>
    <w:rsid w:val="00983CD5"/>
    <w:rsid w:val="00983E38"/>
    <w:rsid w:val="00983EC2"/>
    <w:rsid w:val="00983F28"/>
    <w:rsid w:val="0098406E"/>
    <w:rsid w:val="00984257"/>
    <w:rsid w:val="009844C5"/>
    <w:rsid w:val="00984AB1"/>
    <w:rsid w:val="00984ABD"/>
    <w:rsid w:val="00984BFD"/>
    <w:rsid w:val="00984C9E"/>
    <w:rsid w:val="00984D6B"/>
    <w:rsid w:val="00984D85"/>
    <w:rsid w:val="00985083"/>
    <w:rsid w:val="009851AC"/>
    <w:rsid w:val="00985764"/>
    <w:rsid w:val="009857C5"/>
    <w:rsid w:val="00985AE8"/>
    <w:rsid w:val="00986281"/>
    <w:rsid w:val="009862FF"/>
    <w:rsid w:val="009867E8"/>
    <w:rsid w:val="009868B0"/>
    <w:rsid w:val="00986AB1"/>
    <w:rsid w:val="00986EDB"/>
    <w:rsid w:val="00986F24"/>
    <w:rsid w:val="0098754F"/>
    <w:rsid w:val="0098764C"/>
    <w:rsid w:val="009877A9"/>
    <w:rsid w:val="009878E4"/>
    <w:rsid w:val="00987C36"/>
    <w:rsid w:val="00990052"/>
    <w:rsid w:val="009904B3"/>
    <w:rsid w:val="009904E3"/>
    <w:rsid w:val="0099072A"/>
    <w:rsid w:val="0099082B"/>
    <w:rsid w:val="00990C52"/>
    <w:rsid w:val="00990D2F"/>
    <w:rsid w:val="00990E92"/>
    <w:rsid w:val="00990F16"/>
    <w:rsid w:val="00990F45"/>
    <w:rsid w:val="00991295"/>
    <w:rsid w:val="009912B1"/>
    <w:rsid w:val="009913AF"/>
    <w:rsid w:val="00991512"/>
    <w:rsid w:val="00991648"/>
    <w:rsid w:val="00991787"/>
    <w:rsid w:val="00991939"/>
    <w:rsid w:val="00991BC9"/>
    <w:rsid w:val="009921AA"/>
    <w:rsid w:val="0099268A"/>
    <w:rsid w:val="009926C1"/>
    <w:rsid w:val="0099280E"/>
    <w:rsid w:val="0099284E"/>
    <w:rsid w:val="00992B6F"/>
    <w:rsid w:val="0099301E"/>
    <w:rsid w:val="009931A7"/>
    <w:rsid w:val="009931FE"/>
    <w:rsid w:val="009934D5"/>
    <w:rsid w:val="00993711"/>
    <w:rsid w:val="0099388A"/>
    <w:rsid w:val="00993C3B"/>
    <w:rsid w:val="00993D72"/>
    <w:rsid w:val="009944D3"/>
    <w:rsid w:val="009945A4"/>
    <w:rsid w:val="009947BE"/>
    <w:rsid w:val="00994A8C"/>
    <w:rsid w:val="00994AB2"/>
    <w:rsid w:val="00994BD2"/>
    <w:rsid w:val="00994C9A"/>
    <w:rsid w:val="00994D80"/>
    <w:rsid w:val="00994DE7"/>
    <w:rsid w:val="00995028"/>
    <w:rsid w:val="00995041"/>
    <w:rsid w:val="009951BF"/>
    <w:rsid w:val="009952F4"/>
    <w:rsid w:val="009953CF"/>
    <w:rsid w:val="009956AA"/>
    <w:rsid w:val="009956EA"/>
    <w:rsid w:val="009959E9"/>
    <w:rsid w:val="00995E6B"/>
    <w:rsid w:val="00995E75"/>
    <w:rsid w:val="0099613E"/>
    <w:rsid w:val="00996298"/>
    <w:rsid w:val="009968B0"/>
    <w:rsid w:val="009969D2"/>
    <w:rsid w:val="00996B3C"/>
    <w:rsid w:val="00996DF1"/>
    <w:rsid w:val="00996E44"/>
    <w:rsid w:val="0099721B"/>
    <w:rsid w:val="009972B2"/>
    <w:rsid w:val="0099737D"/>
    <w:rsid w:val="009973B8"/>
    <w:rsid w:val="00997796"/>
    <w:rsid w:val="00997C23"/>
    <w:rsid w:val="00997C59"/>
    <w:rsid w:val="00997DCB"/>
    <w:rsid w:val="00997F25"/>
    <w:rsid w:val="009A0035"/>
    <w:rsid w:val="009A0278"/>
    <w:rsid w:val="009A0400"/>
    <w:rsid w:val="009A04BF"/>
    <w:rsid w:val="009A050D"/>
    <w:rsid w:val="009A0A3E"/>
    <w:rsid w:val="009A0B59"/>
    <w:rsid w:val="009A0C00"/>
    <w:rsid w:val="009A1536"/>
    <w:rsid w:val="009A19E7"/>
    <w:rsid w:val="009A1A18"/>
    <w:rsid w:val="009A1B11"/>
    <w:rsid w:val="009A1E2B"/>
    <w:rsid w:val="009A2199"/>
    <w:rsid w:val="009A21CF"/>
    <w:rsid w:val="009A22FF"/>
    <w:rsid w:val="009A2565"/>
    <w:rsid w:val="009A25D3"/>
    <w:rsid w:val="009A260C"/>
    <w:rsid w:val="009A26C2"/>
    <w:rsid w:val="009A26FC"/>
    <w:rsid w:val="009A2757"/>
    <w:rsid w:val="009A27BB"/>
    <w:rsid w:val="009A2C99"/>
    <w:rsid w:val="009A2E7F"/>
    <w:rsid w:val="009A3076"/>
    <w:rsid w:val="009A3402"/>
    <w:rsid w:val="009A3A1E"/>
    <w:rsid w:val="009A3A9D"/>
    <w:rsid w:val="009A3B8F"/>
    <w:rsid w:val="009A3D6A"/>
    <w:rsid w:val="009A3DC3"/>
    <w:rsid w:val="009A3E16"/>
    <w:rsid w:val="009A3E34"/>
    <w:rsid w:val="009A4385"/>
    <w:rsid w:val="009A441C"/>
    <w:rsid w:val="009A467C"/>
    <w:rsid w:val="009A49B1"/>
    <w:rsid w:val="009A4A99"/>
    <w:rsid w:val="009A4D08"/>
    <w:rsid w:val="009A4D44"/>
    <w:rsid w:val="009A5443"/>
    <w:rsid w:val="009A5770"/>
    <w:rsid w:val="009A5889"/>
    <w:rsid w:val="009A5907"/>
    <w:rsid w:val="009A5AB8"/>
    <w:rsid w:val="009A5D5A"/>
    <w:rsid w:val="009A5EC8"/>
    <w:rsid w:val="009A5F07"/>
    <w:rsid w:val="009A5FAA"/>
    <w:rsid w:val="009A6011"/>
    <w:rsid w:val="009A61C7"/>
    <w:rsid w:val="009A6566"/>
    <w:rsid w:val="009A65DF"/>
    <w:rsid w:val="009A67A1"/>
    <w:rsid w:val="009A683A"/>
    <w:rsid w:val="009A6CE3"/>
    <w:rsid w:val="009A6D0F"/>
    <w:rsid w:val="009A6E2C"/>
    <w:rsid w:val="009A6F47"/>
    <w:rsid w:val="009A6FFB"/>
    <w:rsid w:val="009A7151"/>
    <w:rsid w:val="009A73FA"/>
    <w:rsid w:val="009A7722"/>
    <w:rsid w:val="009A7736"/>
    <w:rsid w:val="009A7936"/>
    <w:rsid w:val="009A7C1B"/>
    <w:rsid w:val="009A7CAD"/>
    <w:rsid w:val="009A7FDB"/>
    <w:rsid w:val="009B06CF"/>
    <w:rsid w:val="009B079F"/>
    <w:rsid w:val="009B089F"/>
    <w:rsid w:val="009B0BE3"/>
    <w:rsid w:val="009B0D41"/>
    <w:rsid w:val="009B124B"/>
    <w:rsid w:val="009B126B"/>
    <w:rsid w:val="009B1299"/>
    <w:rsid w:val="009B1311"/>
    <w:rsid w:val="009B1384"/>
    <w:rsid w:val="009B17F0"/>
    <w:rsid w:val="009B1D6A"/>
    <w:rsid w:val="009B1FE0"/>
    <w:rsid w:val="009B2084"/>
    <w:rsid w:val="009B20BB"/>
    <w:rsid w:val="009B2321"/>
    <w:rsid w:val="009B2485"/>
    <w:rsid w:val="009B256F"/>
    <w:rsid w:val="009B25F6"/>
    <w:rsid w:val="009B266B"/>
    <w:rsid w:val="009B27FE"/>
    <w:rsid w:val="009B2890"/>
    <w:rsid w:val="009B2B94"/>
    <w:rsid w:val="009B2C69"/>
    <w:rsid w:val="009B304C"/>
    <w:rsid w:val="009B3083"/>
    <w:rsid w:val="009B32C1"/>
    <w:rsid w:val="009B3790"/>
    <w:rsid w:val="009B37D6"/>
    <w:rsid w:val="009B3A4C"/>
    <w:rsid w:val="009B3B9F"/>
    <w:rsid w:val="009B3D72"/>
    <w:rsid w:val="009B445A"/>
    <w:rsid w:val="009B44FE"/>
    <w:rsid w:val="009B4803"/>
    <w:rsid w:val="009B4886"/>
    <w:rsid w:val="009B4970"/>
    <w:rsid w:val="009B50A6"/>
    <w:rsid w:val="009B5347"/>
    <w:rsid w:val="009B5696"/>
    <w:rsid w:val="009B587F"/>
    <w:rsid w:val="009B5B1C"/>
    <w:rsid w:val="009B5DAD"/>
    <w:rsid w:val="009B5E9A"/>
    <w:rsid w:val="009B601E"/>
    <w:rsid w:val="009B60BE"/>
    <w:rsid w:val="009B6437"/>
    <w:rsid w:val="009B681E"/>
    <w:rsid w:val="009B688D"/>
    <w:rsid w:val="009B69CD"/>
    <w:rsid w:val="009B7080"/>
    <w:rsid w:val="009B70C7"/>
    <w:rsid w:val="009B7126"/>
    <w:rsid w:val="009B7699"/>
    <w:rsid w:val="009B76A8"/>
    <w:rsid w:val="009B78A4"/>
    <w:rsid w:val="009B7A66"/>
    <w:rsid w:val="009B7DD2"/>
    <w:rsid w:val="009C0110"/>
    <w:rsid w:val="009C01C5"/>
    <w:rsid w:val="009C0236"/>
    <w:rsid w:val="009C04CE"/>
    <w:rsid w:val="009C05ED"/>
    <w:rsid w:val="009C0720"/>
    <w:rsid w:val="009C076C"/>
    <w:rsid w:val="009C094A"/>
    <w:rsid w:val="009C0D7A"/>
    <w:rsid w:val="009C0ED2"/>
    <w:rsid w:val="009C10C7"/>
    <w:rsid w:val="009C1263"/>
    <w:rsid w:val="009C12D4"/>
    <w:rsid w:val="009C1361"/>
    <w:rsid w:val="009C144D"/>
    <w:rsid w:val="009C147E"/>
    <w:rsid w:val="009C17FB"/>
    <w:rsid w:val="009C1898"/>
    <w:rsid w:val="009C19B0"/>
    <w:rsid w:val="009C20B5"/>
    <w:rsid w:val="009C2434"/>
    <w:rsid w:val="009C2660"/>
    <w:rsid w:val="009C2677"/>
    <w:rsid w:val="009C29F2"/>
    <w:rsid w:val="009C2A7E"/>
    <w:rsid w:val="009C2BF2"/>
    <w:rsid w:val="009C2E6C"/>
    <w:rsid w:val="009C30B4"/>
    <w:rsid w:val="009C32C9"/>
    <w:rsid w:val="009C38AB"/>
    <w:rsid w:val="009C3A6F"/>
    <w:rsid w:val="009C3AF9"/>
    <w:rsid w:val="009C3CD3"/>
    <w:rsid w:val="009C3D4D"/>
    <w:rsid w:val="009C3DCE"/>
    <w:rsid w:val="009C3DF4"/>
    <w:rsid w:val="009C3F5B"/>
    <w:rsid w:val="009C45AA"/>
    <w:rsid w:val="009C492D"/>
    <w:rsid w:val="009C4DFD"/>
    <w:rsid w:val="009C4EA8"/>
    <w:rsid w:val="009C530E"/>
    <w:rsid w:val="009C535C"/>
    <w:rsid w:val="009C5665"/>
    <w:rsid w:val="009C5672"/>
    <w:rsid w:val="009C5804"/>
    <w:rsid w:val="009C5B50"/>
    <w:rsid w:val="009C5B69"/>
    <w:rsid w:val="009C5D96"/>
    <w:rsid w:val="009C5FD9"/>
    <w:rsid w:val="009C61EC"/>
    <w:rsid w:val="009C621F"/>
    <w:rsid w:val="009C6650"/>
    <w:rsid w:val="009C671B"/>
    <w:rsid w:val="009C672A"/>
    <w:rsid w:val="009C6992"/>
    <w:rsid w:val="009C6A1A"/>
    <w:rsid w:val="009C7AE3"/>
    <w:rsid w:val="009C7AF2"/>
    <w:rsid w:val="009C7B7C"/>
    <w:rsid w:val="009C7CE1"/>
    <w:rsid w:val="009C7D0A"/>
    <w:rsid w:val="009C7E52"/>
    <w:rsid w:val="009D013D"/>
    <w:rsid w:val="009D0189"/>
    <w:rsid w:val="009D01EB"/>
    <w:rsid w:val="009D01EC"/>
    <w:rsid w:val="009D0258"/>
    <w:rsid w:val="009D02AD"/>
    <w:rsid w:val="009D0352"/>
    <w:rsid w:val="009D05C2"/>
    <w:rsid w:val="009D0814"/>
    <w:rsid w:val="009D0955"/>
    <w:rsid w:val="009D095B"/>
    <w:rsid w:val="009D0BA4"/>
    <w:rsid w:val="009D1396"/>
    <w:rsid w:val="009D140B"/>
    <w:rsid w:val="009D176D"/>
    <w:rsid w:val="009D1B0E"/>
    <w:rsid w:val="009D1E18"/>
    <w:rsid w:val="009D1E2B"/>
    <w:rsid w:val="009D1E34"/>
    <w:rsid w:val="009D1FF6"/>
    <w:rsid w:val="009D2248"/>
    <w:rsid w:val="009D22D5"/>
    <w:rsid w:val="009D252C"/>
    <w:rsid w:val="009D2565"/>
    <w:rsid w:val="009D257C"/>
    <w:rsid w:val="009D2F43"/>
    <w:rsid w:val="009D30A2"/>
    <w:rsid w:val="009D321F"/>
    <w:rsid w:val="009D32D7"/>
    <w:rsid w:val="009D340E"/>
    <w:rsid w:val="009D360A"/>
    <w:rsid w:val="009D3613"/>
    <w:rsid w:val="009D3700"/>
    <w:rsid w:val="009D3809"/>
    <w:rsid w:val="009D3978"/>
    <w:rsid w:val="009D3998"/>
    <w:rsid w:val="009D39DE"/>
    <w:rsid w:val="009D3A49"/>
    <w:rsid w:val="009D3B17"/>
    <w:rsid w:val="009D3C3B"/>
    <w:rsid w:val="009D3DCF"/>
    <w:rsid w:val="009D3DE3"/>
    <w:rsid w:val="009D4087"/>
    <w:rsid w:val="009D4091"/>
    <w:rsid w:val="009D4125"/>
    <w:rsid w:val="009D43A4"/>
    <w:rsid w:val="009D4458"/>
    <w:rsid w:val="009D481D"/>
    <w:rsid w:val="009D4A6D"/>
    <w:rsid w:val="009D4C07"/>
    <w:rsid w:val="009D4C48"/>
    <w:rsid w:val="009D4C55"/>
    <w:rsid w:val="009D4D75"/>
    <w:rsid w:val="009D4E0C"/>
    <w:rsid w:val="009D509F"/>
    <w:rsid w:val="009D524B"/>
    <w:rsid w:val="009D5489"/>
    <w:rsid w:val="009D55B3"/>
    <w:rsid w:val="009D5806"/>
    <w:rsid w:val="009D5CD1"/>
    <w:rsid w:val="009D5DC0"/>
    <w:rsid w:val="009D5E61"/>
    <w:rsid w:val="009D5E73"/>
    <w:rsid w:val="009D6003"/>
    <w:rsid w:val="009D6693"/>
    <w:rsid w:val="009D675A"/>
    <w:rsid w:val="009D6916"/>
    <w:rsid w:val="009D6973"/>
    <w:rsid w:val="009D6B08"/>
    <w:rsid w:val="009D6E12"/>
    <w:rsid w:val="009D6EB1"/>
    <w:rsid w:val="009D701E"/>
    <w:rsid w:val="009D7303"/>
    <w:rsid w:val="009D7316"/>
    <w:rsid w:val="009D736F"/>
    <w:rsid w:val="009D73C7"/>
    <w:rsid w:val="009D7833"/>
    <w:rsid w:val="009D7922"/>
    <w:rsid w:val="009D79B5"/>
    <w:rsid w:val="009D7AA0"/>
    <w:rsid w:val="009D7B1B"/>
    <w:rsid w:val="009D7EC6"/>
    <w:rsid w:val="009E00A3"/>
    <w:rsid w:val="009E0481"/>
    <w:rsid w:val="009E06A7"/>
    <w:rsid w:val="009E07E3"/>
    <w:rsid w:val="009E0C6A"/>
    <w:rsid w:val="009E0C70"/>
    <w:rsid w:val="009E0E47"/>
    <w:rsid w:val="009E0F08"/>
    <w:rsid w:val="009E0F72"/>
    <w:rsid w:val="009E0FA4"/>
    <w:rsid w:val="009E1068"/>
    <w:rsid w:val="009E154D"/>
    <w:rsid w:val="009E155B"/>
    <w:rsid w:val="009E16E1"/>
    <w:rsid w:val="009E1730"/>
    <w:rsid w:val="009E1874"/>
    <w:rsid w:val="009E19AF"/>
    <w:rsid w:val="009E1C80"/>
    <w:rsid w:val="009E1E73"/>
    <w:rsid w:val="009E1F1A"/>
    <w:rsid w:val="009E1F47"/>
    <w:rsid w:val="009E20B1"/>
    <w:rsid w:val="009E22D3"/>
    <w:rsid w:val="009E2464"/>
    <w:rsid w:val="009E26E5"/>
    <w:rsid w:val="009E2887"/>
    <w:rsid w:val="009E2971"/>
    <w:rsid w:val="009E2A70"/>
    <w:rsid w:val="009E2A9B"/>
    <w:rsid w:val="009E2B3A"/>
    <w:rsid w:val="009E2B8B"/>
    <w:rsid w:val="009E2DFF"/>
    <w:rsid w:val="009E303A"/>
    <w:rsid w:val="009E31E3"/>
    <w:rsid w:val="009E3374"/>
    <w:rsid w:val="009E34BC"/>
    <w:rsid w:val="009E34BD"/>
    <w:rsid w:val="009E352B"/>
    <w:rsid w:val="009E3762"/>
    <w:rsid w:val="009E3A17"/>
    <w:rsid w:val="009E3E47"/>
    <w:rsid w:val="009E3E60"/>
    <w:rsid w:val="009E401E"/>
    <w:rsid w:val="009E402A"/>
    <w:rsid w:val="009E424F"/>
    <w:rsid w:val="009E465F"/>
    <w:rsid w:val="009E4FBA"/>
    <w:rsid w:val="009E4FBD"/>
    <w:rsid w:val="009E5095"/>
    <w:rsid w:val="009E5238"/>
    <w:rsid w:val="009E5709"/>
    <w:rsid w:val="009E57F5"/>
    <w:rsid w:val="009E58CB"/>
    <w:rsid w:val="009E5ACA"/>
    <w:rsid w:val="009E5B23"/>
    <w:rsid w:val="009E5D25"/>
    <w:rsid w:val="009E5E77"/>
    <w:rsid w:val="009E5F37"/>
    <w:rsid w:val="009E5F8C"/>
    <w:rsid w:val="009E6033"/>
    <w:rsid w:val="009E6253"/>
    <w:rsid w:val="009E629D"/>
    <w:rsid w:val="009E6346"/>
    <w:rsid w:val="009E63C3"/>
    <w:rsid w:val="009E66DB"/>
    <w:rsid w:val="009E6810"/>
    <w:rsid w:val="009E6A5E"/>
    <w:rsid w:val="009E6C09"/>
    <w:rsid w:val="009E6C35"/>
    <w:rsid w:val="009E6D58"/>
    <w:rsid w:val="009E714F"/>
    <w:rsid w:val="009E7300"/>
    <w:rsid w:val="009E763D"/>
    <w:rsid w:val="009E784D"/>
    <w:rsid w:val="009E79FA"/>
    <w:rsid w:val="009E7AA3"/>
    <w:rsid w:val="009F02D9"/>
    <w:rsid w:val="009F04ED"/>
    <w:rsid w:val="009F07E9"/>
    <w:rsid w:val="009F0847"/>
    <w:rsid w:val="009F0BDD"/>
    <w:rsid w:val="009F0D19"/>
    <w:rsid w:val="009F113C"/>
    <w:rsid w:val="009F12F9"/>
    <w:rsid w:val="009F13E4"/>
    <w:rsid w:val="009F155C"/>
    <w:rsid w:val="009F1CFE"/>
    <w:rsid w:val="009F1E0B"/>
    <w:rsid w:val="009F221B"/>
    <w:rsid w:val="009F23F4"/>
    <w:rsid w:val="009F24DE"/>
    <w:rsid w:val="009F25B7"/>
    <w:rsid w:val="009F25F5"/>
    <w:rsid w:val="009F28B9"/>
    <w:rsid w:val="009F2907"/>
    <w:rsid w:val="009F2BA6"/>
    <w:rsid w:val="009F2D11"/>
    <w:rsid w:val="009F2D6E"/>
    <w:rsid w:val="009F2F9C"/>
    <w:rsid w:val="009F3467"/>
    <w:rsid w:val="009F37DE"/>
    <w:rsid w:val="009F3832"/>
    <w:rsid w:val="009F3888"/>
    <w:rsid w:val="009F3BF7"/>
    <w:rsid w:val="009F3CCA"/>
    <w:rsid w:val="009F402E"/>
    <w:rsid w:val="009F40F8"/>
    <w:rsid w:val="009F41F5"/>
    <w:rsid w:val="009F4273"/>
    <w:rsid w:val="009F4403"/>
    <w:rsid w:val="009F487F"/>
    <w:rsid w:val="009F48AC"/>
    <w:rsid w:val="009F4932"/>
    <w:rsid w:val="009F49BD"/>
    <w:rsid w:val="009F4AB1"/>
    <w:rsid w:val="009F4C80"/>
    <w:rsid w:val="009F4CF4"/>
    <w:rsid w:val="009F4E2F"/>
    <w:rsid w:val="009F4E6F"/>
    <w:rsid w:val="009F4E7C"/>
    <w:rsid w:val="009F4F0F"/>
    <w:rsid w:val="009F4FBA"/>
    <w:rsid w:val="009F4FF6"/>
    <w:rsid w:val="009F511E"/>
    <w:rsid w:val="009F5284"/>
    <w:rsid w:val="009F5313"/>
    <w:rsid w:val="009F537B"/>
    <w:rsid w:val="009F5463"/>
    <w:rsid w:val="009F548D"/>
    <w:rsid w:val="009F56D4"/>
    <w:rsid w:val="009F580B"/>
    <w:rsid w:val="009F5A6A"/>
    <w:rsid w:val="009F5A70"/>
    <w:rsid w:val="009F5B90"/>
    <w:rsid w:val="009F5BED"/>
    <w:rsid w:val="009F5C1C"/>
    <w:rsid w:val="009F5C55"/>
    <w:rsid w:val="009F5E11"/>
    <w:rsid w:val="009F5EC9"/>
    <w:rsid w:val="009F6030"/>
    <w:rsid w:val="009F68C6"/>
    <w:rsid w:val="009F6D2B"/>
    <w:rsid w:val="009F6ED0"/>
    <w:rsid w:val="009F72C8"/>
    <w:rsid w:val="009F7A25"/>
    <w:rsid w:val="009F7C5D"/>
    <w:rsid w:val="009F7C98"/>
    <w:rsid w:val="009F7E1A"/>
    <w:rsid w:val="00A00072"/>
    <w:rsid w:val="00A00256"/>
    <w:rsid w:val="00A002FE"/>
    <w:rsid w:val="00A003FF"/>
    <w:rsid w:val="00A00A38"/>
    <w:rsid w:val="00A00B57"/>
    <w:rsid w:val="00A00DE0"/>
    <w:rsid w:val="00A00DE7"/>
    <w:rsid w:val="00A0116D"/>
    <w:rsid w:val="00A013E5"/>
    <w:rsid w:val="00A013EB"/>
    <w:rsid w:val="00A01622"/>
    <w:rsid w:val="00A0166A"/>
    <w:rsid w:val="00A0181F"/>
    <w:rsid w:val="00A01894"/>
    <w:rsid w:val="00A018CF"/>
    <w:rsid w:val="00A0193F"/>
    <w:rsid w:val="00A01F26"/>
    <w:rsid w:val="00A020BB"/>
    <w:rsid w:val="00A025B0"/>
    <w:rsid w:val="00A0281B"/>
    <w:rsid w:val="00A02EFB"/>
    <w:rsid w:val="00A03314"/>
    <w:rsid w:val="00A033E8"/>
    <w:rsid w:val="00A035B6"/>
    <w:rsid w:val="00A038E4"/>
    <w:rsid w:val="00A03CD9"/>
    <w:rsid w:val="00A0401B"/>
    <w:rsid w:val="00A040B7"/>
    <w:rsid w:val="00A04132"/>
    <w:rsid w:val="00A04136"/>
    <w:rsid w:val="00A04257"/>
    <w:rsid w:val="00A04A71"/>
    <w:rsid w:val="00A04B5B"/>
    <w:rsid w:val="00A04D00"/>
    <w:rsid w:val="00A04D25"/>
    <w:rsid w:val="00A04D5B"/>
    <w:rsid w:val="00A05084"/>
    <w:rsid w:val="00A052E8"/>
    <w:rsid w:val="00A0544A"/>
    <w:rsid w:val="00A055E0"/>
    <w:rsid w:val="00A0577E"/>
    <w:rsid w:val="00A059CA"/>
    <w:rsid w:val="00A059FC"/>
    <w:rsid w:val="00A05B14"/>
    <w:rsid w:val="00A05BDF"/>
    <w:rsid w:val="00A05C94"/>
    <w:rsid w:val="00A05F6D"/>
    <w:rsid w:val="00A0626A"/>
    <w:rsid w:val="00A0642A"/>
    <w:rsid w:val="00A067F5"/>
    <w:rsid w:val="00A0744A"/>
    <w:rsid w:val="00A074ED"/>
    <w:rsid w:val="00A074FD"/>
    <w:rsid w:val="00A07531"/>
    <w:rsid w:val="00A078A9"/>
    <w:rsid w:val="00A07B89"/>
    <w:rsid w:val="00A07C9E"/>
    <w:rsid w:val="00A07E51"/>
    <w:rsid w:val="00A10026"/>
    <w:rsid w:val="00A1026A"/>
    <w:rsid w:val="00A10471"/>
    <w:rsid w:val="00A105A9"/>
    <w:rsid w:val="00A10629"/>
    <w:rsid w:val="00A1066A"/>
    <w:rsid w:val="00A1081E"/>
    <w:rsid w:val="00A108DE"/>
    <w:rsid w:val="00A109E5"/>
    <w:rsid w:val="00A1119D"/>
    <w:rsid w:val="00A1120F"/>
    <w:rsid w:val="00A1124B"/>
    <w:rsid w:val="00A112E1"/>
    <w:rsid w:val="00A1146B"/>
    <w:rsid w:val="00A114EA"/>
    <w:rsid w:val="00A114F2"/>
    <w:rsid w:val="00A11578"/>
    <w:rsid w:val="00A1193F"/>
    <w:rsid w:val="00A119C8"/>
    <w:rsid w:val="00A11AA1"/>
    <w:rsid w:val="00A11D30"/>
    <w:rsid w:val="00A11D7A"/>
    <w:rsid w:val="00A11E1F"/>
    <w:rsid w:val="00A11FA2"/>
    <w:rsid w:val="00A124AB"/>
    <w:rsid w:val="00A124FD"/>
    <w:rsid w:val="00A12A87"/>
    <w:rsid w:val="00A12BE8"/>
    <w:rsid w:val="00A12DD2"/>
    <w:rsid w:val="00A12E2F"/>
    <w:rsid w:val="00A13104"/>
    <w:rsid w:val="00A1328C"/>
    <w:rsid w:val="00A13300"/>
    <w:rsid w:val="00A13900"/>
    <w:rsid w:val="00A13B92"/>
    <w:rsid w:val="00A13CA3"/>
    <w:rsid w:val="00A13CCC"/>
    <w:rsid w:val="00A141CA"/>
    <w:rsid w:val="00A142DA"/>
    <w:rsid w:val="00A1449F"/>
    <w:rsid w:val="00A14696"/>
    <w:rsid w:val="00A14702"/>
    <w:rsid w:val="00A14ACC"/>
    <w:rsid w:val="00A14DA1"/>
    <w:rsid w:val="00A15AD6"/>
    <w:rsid w:val="00A15BB3"/>
    <w:rsid w:val="00A15CC4"/>
    <w:rsid w:val="00A15F59"/>
    <w:rsid w:val="00A160A5"/>
    <w:rsid w:val="00A162D3"/>
    <w:rsid w:val="00A1642F"/>
    <w:rsid w:val="00A16787"/>
    <w:rsid w:val="00A168BD"/>
    <w:rsid w:val="00A16F32"/>
    <w:rsid w:val="00A1716D"/>
    <w:rsid w:val="00A171CF"/>
    <w:rsid w:val="00A1754E"/>
    <w:rsid w:val="00A1797F"/>
    <w:rsid w:val="00A17C1C"/>
    <w:rsid w:val="00A17DF4"/>
    <w:rsid w:val="00A17E21"/>
    <w:rsid w:val="00A17E57"/>
    <w:rsid w:val="00A20040"/>
    <w:rsid w:val="00A20061"/>
    <w:rsid w:val="00A20188"/>
    <w:rsid w:val="00A20381"/>
    <w:rsid w:val="00A20736"/>
    <w:rsid w:val="00A20868"/>
    <w:rsid w:val="00A209A9"/>
    <w:rsid w:val="00A20BA8"/>
    <w:rsid w:val="00A20C11"/>
    <w:rsid w:val="00A21090"/>
    <w:rsid w:val="00A21109"/>
    <w:rsid w:val="00A215E1"/>
    <w:rsid w:val="00A21698"/>
    <w:rsid w:val="00A21776"/>
    <w:rsid w:val="00A21C3E"/>
    <w:rsid w:val="00A21EB2"/>
    <w:rsid w:val="00A22066"/>
    <w:rsid w:val="00A22164"/>
    <w:rsid w:val="00A22309"/>
    <w:rsid w:val="00A22369"/>
    <w:rsid w:val="00A22669"/>
    <w:rsid w:val="00A22738"/>
    <w:rsid w:val="00A229BD"/>
    <w:rsid w:val="00A22CE3"/>
    <w:rsid w:val="00A22EFA"/>
    <w:rsid w:val="00A22EFD"/>
    <w:rsid w:val="00A22F57"/>
    <w:rsid w:val="00A22FE4"/>
    <w:rsid w:val="00A2327D"/>
    <w:rsid w:val="00A23733"/>
    <w:rsid w:val="00A23946"/>
    <w:rsid w:val="00A23A1B"/>
    <w:rsid w:val="00A23AA1"/>
    <w:rsid w:val="00A23B0B"/>
    <w:rsid w:val="00A23C1D"/>
    <w:rsid w:val="00A23CDB"/>
    <w:rsid w:val="00A23DD0"/>
    <w:rsid w:val="00A23E6F"/>
    <w:rsid w:val="00A241C7"/>
    <w:rsid w:val="00A24652"/>
    <w:rsid w:val="00A248E2"/>
    <w:rsid w:val="00A24989"/>
    <w:rsid w:val="00A24B61"/>
    <w:rsid w:val="00A24B93"/>
    <w:rsid w:val="00A253EC"/>
    <w:rsid w:val="00A254FA"/>
    <w:rsid w:val="00A25664"/>
    <w:rsid w:val="00A256D5"/>
    <w:rsid w:val="00A259E5"/>
    <w:rsid w:val="00A25B78"/>
    <w:rsid w:val="00A25C78"/>
    <w:rsid w:val="00A25C99"/>
    <w:rsid w:val="00A25EC3"/>
    <w:rsid w:val="00A25F40"/>
    <w:rsid w:val="00A25FC3"/>
    <w:rsid w:val="00A26AF6"/>
    <w:rsid w:val="00A26CC4"/>
    <w:rsid w:val="00A26DC3"/>
    <w:rsid w:val="00A26F01"/>
    <w:rsid w:val="00A26F76"/>
    <w:rsid w:val="00A2703F"/>
    <w:rsid w:val="00A2722A"/>
    <w:rsid w:val="00A27399"/>
    <w:rsid w:val="00A274C4"/>
    <w:rsid w:val="00A276AC"/>
    <w:rsid w:val="00A27898"/>
    <w:rsid w:val="00A278B9"/>
    <w:rsid w:val="00A27938"/>
    <w:rsid w:val="00A27F84"/>
    <w:rsid w:val="00A3005D"/>
    <w:rsid w:val="00A301DE"/>
    <w:rsid w:val="00A302AA"/>
    <w:rsid w:val="00A303CB"/>
    <w:rsid w:val="00A30443"/>
    <w:rsid w:val="00A3067D"/>
    <w:rsid w:val="00A3072D"/>
    <w:rsid w:val="00A3091D"/>
    <w:rsid w:val="00A30A69"/>
    <w:rsid w:val="00A30ADD"/>
    <w:rsid w:val="00A30CDD"/>
    <w:rsid w:val="00A30DC2"/>
    <w:rsid w:val="00A31049"/>
    <w:rsid w:val="00A311FC"/>
    <w:rsid w:val="00A312FF"/>
    <w:rsid w:val="00A31330"/>
    <w:rsid w:val="00A31357"/>
    <w:rsid w:val="00A313AA"/>
    <w:rsid w:val="00A3172C"/>
    <w:rsid w:val="00A31A53"/>
    <w:rsid w:val="00A31DD2"/>
    <w:rsid w:val="00A31DFB"/>
    <w:rsid w:val="00A31F02"/>
    <w:rsid w:val="00A320BB"/>
    <w:rsid w:val="00A3214C"/>
    <w:rsid w:val="00A32170"/>
    <w:rsid w:val="00A3219E"/>
    <w:rsid w:val="00A32363"/>
    <w:rsid w:val="00A323A8"/>
    <w:rsid w:val="00A32B2B"/>
    <w:rsid w:val="00A32D63"/>
    <w:rsid w:val="00A331D2"/>
    <w:rsid w:val="00A33CBA"/>
    <w:rsid w:val="00A33E05"/>
    <w:rsid w:val="00A33E0C"/>
    <w:rsid w:val="00A3428A"/>
    <w:rsid w:val="00A3434E"/>
    <w:rsid w:val="00A34418"/>
    <w:rsid w:val="00A34536"/>
    <w:rsid w:val="00A347C5"/>
    <w:rsid w:val="00A34837"/>
    <w:rsid w:val="00A34C5E"/>
    <w:rsid w:val="00A34D5B"/>
    <w:rsid w:val="00A34E3B"/>
    <w:rsid w:val="00A34E9D"/>
    <w:rsid w:val="00A351D9"/>
    <w:rsid w:val="00A35667"/>
    <w:rsid w:val="00A356BC"/>
    <w:rsid w:val="00A35BC3"/>
    <w:rsid w:val="00A35FB4"/>
    <w:rsid w:val="00A3658F"/>
    <w:rsid w:val="00A365E8"/>
    <w:rsid w:val="00A369D5"/>
    <w:rsid w:val="00A36C6B"/>
    <w:rsid w:val="00A36E82"/>
    <w:rsid w:val="00A36EA8"/>
    <w:rsid w:val="00A37121"/>
    <w:rsid w:val="00A372D2"/>
    <w:rsid w:val="00A37330"/>
    <w:rsid w:val="00A373DB"/>
    <w:rsid w:val="00A3769A"/>
    <w:rsid w:val="00A376C0"/>
    <w:rsid w:val="00A37D59"/>
    <w:rsid w:val="00A40282"/>
    <w:rsid w:val="00A403BF"/>
    <w:rsid w:val="00A4049E"/>
    <w:rsid w:val="00A4061F"/>
    <w:rsid w:val="00A40665"/>
    <w:rsid w:val="00A40AF0"/>
    <w:rsid w:val="00A40B97"/>
    <w:rsid w:val="00A40C0D"/>
    <w:rsid w:val="00A40C24"/>
    <w:rsid w:val="00A40CE7"/>
    <w:rsid w:val="00A40CEB"/>
    <w:rsid w:val="00A40DB9"/>
    <w:rsid w:val="00A40E32"/>
    <w:rsid w:val="00A4129C"/>
    <w:rsid w:val="00A413E6"/>
    <w:rsid w:val="00A4140E"/>
    <w:rsid w:val="00A41912"/>
    <w:rsid w:val="00A41A11"/>
    <w:rsid w:val="00A41B5B"/>
    <w:rsid w:val="00A41BC3"/>
    <w:rsid w:val="00A41C71"/>
    <w:rsid w:val="00A41D32"/>
    <w:rsid w:val="00A41DB4"/>
    <w:rsid w:val="00A41F29"/>
    <w:rsid w:val="00A41F83"/>
    <w:rsid w:val="00A42218"/>
    <w:rsid w:val="00A423EE"/>
    <w:rsid w:val="00A4243E"/>
    <w:rsid w:val="00A42699"/>
    <w:rsid w:val="00A42B16"/>
    <w:rsid w:val="00A42BE2"/>
    <w:rsid w:val="00A4334E"/>
    <w:rsid w:val="00A4345F"/>
    <w:rsid w:val="00A43B4C"/>
    <w:rsid w:val="00A441B7"/>
    <w:rsid w:val="00A442C4"/>
    <w:rsid w:val="00A443A8"/>
    <w:rsid w:val="00A443B4"/>
    <w:rsid w:val="00A446FA"/>
    <w:rsid w:val="00A44C0C"/>
    <w:rsid w:val="00A44C29"/>
    <w:rsid w:val="00A44C3D"/>
    <w:rsid w:val="00A44CD6"/>
    <w:rsid w:val="00A44ED9"/>
    <w:rsid w:val="00A44F58"/>
    <w:rsid w:val="00A45160"/>
    <w:rsid w:val="00A45314"/>
    <w:rsid w:val="00A45460"/>
    <w:rsid w:val="00A45678"/>
    <w:rsid w:val="00A456F2"/>
    <w:rsid w:val="00A456FD"/>
    <w:rsid w:val="00A45700"/>
    <w:rsid w:val="00A45C22"/>
    <w:rsid w:val="00A45F37"/>
    <w:rsid w:val="00A45F99"/>
    <w:rsid w:val="00A460F8"/>
    <w:rsid w:val="00A46347"/>
    <w:rsid w:val="00A463F4"/>
    <w:rsid w:val="00A46481"/>
    <w:rsid w:val="00A46560"/>
    <w:rsid w:val="00A46649"/>
    <w:rsid w:val="00A4668E"/>
    <w:rsid w:val="00A467FD"/>
    <w:rsid w:val="00A4681A"/>
    <w:rsid w:val="00A468EE"/>
    <w:rsid w:val="00A46DF7"/>
    <w:rsid w:val="00A46E62"/>
    <w:rsid w:val="00A46FA8"/>
    <w:rsid w:val="00A4744D"/>
    <w:rsid w:val="00A47496"/>
    <w:rsid w:val="00A47559"/>
    <w:rsid w:val="00A4796E"/>
    <w:rsid w:val="00A479AA"/>
    <w:rsid w:val="00A47B54"/>
    <w:rsid w:val="00A47D28"/>
    <w:rsid w:val="00A47FE0"/>
    <w:rsid w:val="00A50215"/>
    <w:rsid w:val="00A503CA"/>
    <w:rsid w:val="00A503FE"/>
    <w:rsid w:val="00A5051F"/>
    <w:rsid w:val="00A505C1"/>
    <w:rsid w:val="00A5070B"/>
    <w:rsid w:val="00A50782"/>
    <w:rsid w:val="00A509CB"/>
    <w:rsid w:val="00A50A9D"/>
    <w:rsid w:val="00A50E3E"/>
    <w:rsid w:val="00A5107D"/>
    <w:rsid w:val="00A51080"/>
    <w:rsid w:val="00A511AA"/>
    <w:rsid w:val="00A511C9"/>
    <w:rsid w:val="00A51B9A"/>
    <w:rsid w:val="00A51DF5"/>
    <w:rsid w:val="00A51E2A"/>
    <w:rsid w:val="00A521F9"/>
    <w:rsid w:val="00A52220"/>
    <w:rsid w:val="00A526F9"/>
    <w:rsid w:val="00A52709"/>
    <w:rsid w:val="00A527B3"/>
    <w:rsid w:val="00A52A28"/>
    <w:rsid w:val="00A52D90"/>
    <w:rsid w:val="00A530D1"/>
    <w:rsid w:val="00A532BC"/>
    <w:rsid w:val="00A533B9"/>
    <w:rsid w:val="00A533DA"/>
    <w:rsid w:val="00A53F0A"/>
    <w:rsid w:val="00A540AE"/>
    <w:rsid w:val="00A541A8"/>
    <w:rsid w:val="00A545EA"/>
    <w:rsid w:val="00A54709"/>
    <w:rsid w:val="00A54711"/>
    <w:rsid w:val="00A54945"/>
    <w:rsid w:val="00A54992"/>
    <w:rsid w:val="00A549A3"/>
    <w:rsid w:val="00A54ACE"/>
    <w:rsid w:val="00A54ADF"/>
    <w:rsid w:val="00A54AE0"/>
    <w:rsid w:val="00A54B71"/>
    <w:rsid w:val="00A54CB4"/>
    <w:rsid w:val="00A54EE8"/>
    <w:rsid w:val="00A54FC3"/>
    <w:rsid w:val="00A55767"/>
    <w:rsid w:val="00A55777"/>
    <w:rsid w:val="00A558D4"/>
    <w:rsid w:val="00A55A1F"/>
    <w:rsid w:val="00A55C90"/>
    <w:rsid w:val="00A55D95"/>
    <w:rsid w:val="00A55F3B"/>
    <w:rsid w:val="00A560CF"/>
    <w:rsid w:val="00A56412"/>
    <w:rsid w:val="00A5653F"/>
    <w:rsid w:val="00A5692F"/>
    <w:rsid w:val="00A56ABC"/>
    <w:rsid w:val="00A56B3F"/>
    <w:rsid w:val="00A56C35"/>
    <w:rsid w:val="00A56CDA"/>
    <w:rsid w:val="00A56D30"/>
    <w:rsid w:val="00A56EA4"/>
    <w:rsid w:val="00A56F33"/>
    <w:rsid w:val="00A56F41"/>
    <w:rsid w:val="00A56F86"/>
    <w:rsid w:val="00A5707C"/>
    <w:rsid w:val="00A5740B"/>
    <w:rsid w:val="00A57585"/>
    <w:rsid w:val="00A5764F"/>
    <w:rsid w:val="00A57950"/>
    <w:rsid w:val="00A57BC8"/>
    <w:rsid w:val="00A57D95"/>
    <w:rsid w:val="00A60273"/>
    <w:rsid w:val="00A602D5"/>
    <w:rsid w:val="00A603C5"/>
    <w:rsid w:val="00A6044D"/>
    <w:rsid w:val="00A60613"/>
    <w:rsid w:val="00A60A49"/>
    <w:rsid w:val="00A60CEE"/>
    <w:rsid w:val="00A60DB0"/>
    <w:rsid w:val="00A6101E"/>
    <w:rsid w:val="00A613D9"/>
    <w:rsid w:val="00A615CF"/>
    <w:rsid w:val="00A6174E"/>
    <w:rsid w:val="00A61773"/>
    <w:rsid w:val="00A6180B"/>
    <w:rsid w:val="00A619BE"/>
    <w:rsid w:val="00A61ABA"/>
    <w:rsid w:val="00A61C58"/>
    <w:rsid w:val="00A6201A"/>
    <w:rsid w:val="00A6203A"/>
    <w:rsid w:val="00A62346"/>
    <w:rsid w:val="00A623E5"/>
    <w:rsid w:val="00A623E6"/>
    <w:rsid w:val="00A62472"/>
    <w:rsid w:val="00A6260B"/>
    <w:rsid w:val="00A626A3"/>
    <w:rsid w:val="00A627AC"/>
    <w:rsid w:val="00A62905"/>
    <w:rsid w:val="00A62C3E"/>
    <w:rsid w:val="00A62F63"/>
    <w:rsid w:val="00A631ED"/>
    <w:rsid w:val="00A63215"/>
    <w:rsid w:val="00A63237"/>
    <w:rsid w:val="00A633B7"/>
    <w:rsid w:val="00A6355A"/>
    <w:rsid w:val="00A63565"/>
    <w:rsid w:val="00A63621"/>
    <w:rsid w:val="00A63699"/>
    <w:rsid w:val="00A636FB"/>
    <w:rsid w:val="00A637B0"/>
    <w:rsid w:val="00A63830"/>
    <w:rsid w:val="00A638FD"/>
    <w:rsid w:val="00A63C31"/>
    <w:rsid w:val="00A63C54"/>
    <w:rsid w:val="00A63E67"/>
    <w:rsid w:val="00A63FF6"/>
    <w:rsid w:val="00A6407C"/>
    <w:rsid w:val="00A64313"/>
    <w:rsid w:val="00A643A1"/>
    <w:rsid w:val="00A6461F"/>
    <w:rsid w:val="00A6468F"/>
    <w:rsid w:val="00A64AC4"/>
    <w:rsid w:val="00A64B93"/>
    <w:rsid w:val="00A64EAC"/>
    <w:rsid w:val="00A64ED4"/>
    <w:rsid w:val="00A6508F"/>
    <w:rsid w:val="00A65100"/>
    <w:rsid w:val="00A652A3"/>
    <w:rsid w:val="00A652B8"/>
    <w:rsid w:val="00A653A0"/>
    <w:rsid w:val="00A65570"/>
    <w:rsid w:val="00A657DC"/>
    <w:rsid w:val="00A659A3"/>
    <w:rsid w:val="00A65AB4"/>
    <w:rsid w:val="00A65D05"/>
    <w:rsid w:val="00A65E69"/>
    <w:rsid w:val="00A664DB"/>
    <w:rsid w:val="00A66604"/>
    <w:rsid w:val="00A666FA"/>
    <w:rsid w:val="00A66C96"/>
    <w:rsid w:val="00A66CCF"/>
    <w:rsid w:val="00A6701D"/>
    <w:rsid w:val="00A6714F"/>
    <w:rsid w:val="00A67256"/>
    <w:rsid w:val="00A675C1"/>
    <w:rsid w:val="00A6777D"/>
    <w:rsid w:val="00A6778D"/>
    <w:rsid w:val="00A67E2B"/>
    <w:rsid w:val="00A70158"/>
    <w:rsid w:val="00A70363"/>
    <w:rsid w:val="00A70624"/>
    <w:rsid w:val="00A708AF"/>
    <w:rsid w:val="00A70922"/>
    <w:rsid w:val="00A70DB3"/>
    <w:rsid w:val="00A70F24"/>
    <w:rsid w:val="00A71387"/>
    <w:rsid w:val="00A71643"/>
    <w:rsid w:val="00A71672"/>
    <w:rsid w:val="00A7179E"/>
    <w:rsid w:val="00A717DA"/>
    <w:rsid w:val="00A717DD"/>
    <w:rsid w:val="00A71926"/>
    <w:rsid w:val="00A719AE"/>
    <w:rsid w:val="00A71ADE"/>
    <w:rsid w:val="00A71BF4"/>
    <w:rsid w:val="00A71C95"/>
    <w:rsid w:val="00A71E57"/>
    <w:rsid w:val="00A71F87"/>
    <w:rsid w:val="00A72078"/>
    <w:rsid w:val="00A720CE"/>
    <w:rsid w:val="00A72153"/>
    <w:rsid w:val="00A7233F"/>
    <w:rsid w:val="00A724A1"/>
    <w:rsid w:val="00A726B0"/>
    <w:rsid w:val="00A72DBB"/>
    <w:rsid w:val="00A72EB3"/>
    <w:rsid w:val="00A72F10"/>
    <w:rsid w:val="00A72F41"/>
    <w:rsid w:val="00A72F84"/>
    <w:rsid w:val="00A730B5"/>
    <w:rsid w:val="00A731B4"/>
    <w:rsid w:val="00A73265"/>
    <w:rsid w:val="00A73754"/>
    <w:rsid w:val="00A737A7"/>
    <w:rsid w:val="00A73A3D"/>
    <w:rsid w:val="00A73A7F"/>
    <w:rsid w:val="00A73BBF"/>
    <w:rsid w:val="00A73C50"/>
    <w:rsid w:val="00A7436C"/>
    <w:rsid w:val="00A74453"/>
    <w:rsid w:val="00A748F9"/>
    <w:rsid w:val="00A749AA"/>
    <w:rsid w:val="00A749FB"/>
    <w:rsid w:val="00A74B65"/>
    <w:rsid w:val="00A74E0E"/>
    <w:rsid w:val="00A74F19"/>
    <w:rsid w:val="00A75016"/>
    <w:rsid w:val="00A7535B"/>
    <w:rsid w:val="00A75545"/>
    <w:rsid w:val="00A756F7"/>
    <w:rsid w:val="00A758D7"/>
    <w:rsid w:val="00A7595C"/>
    <w:rsid w:val="00A759B8"/>
    <w:rsid w:val="00A75C13"/>
    <w:rsid w:val="00A75FA4"/>
    <w:rsid w:val="00A75FDC"/>
    <w:rsid w:val="00A761D7"/>
    <w:rsid w:val="00A76540"/>
    <w:rsid w:val="00A76708"/>
    <w:rsid w:val="00A7683F"/>
    <w:rsid w:val="00A76975"/>
    <w:rsid w:val="00A769CE"/>
    <w:rsid w:val="00A76BD0"/>
    <w:rsid w:val="00A76CD3"/>
    <w:rsid w:val="00A76D68"/>
    <w:rsid w:val="00A76DE7"/>
    <w:rsid w:val="00A770F0"/>
    <w:rsid w:val="00A7728E"/>
    <w:rsid w:val="00A772B0"/>
    <w:rsid w:val="00A772DB"/>
    <w:rsid w:val="00A7757E"/>
    <w:rsid w:val="00A7764E"/>
    <w:rsid w:val="00A77955"/>
    <w:rsid w:val="00A800E4"/>
    <w:rsid w:val="00A8035C"/>
    <w:rsid w:val="00A803CF"/>
    <w:rsid w:val="00A803E3"/>
    <w:rsid w:val="00A80576"/>
    <w:rsid w:val="00A80777"/>
    <w:rsid w:val="00A80941"/>
    <w:rsid w:val="00A80B45"/>
    <w:rsid w:val="00A80D85"/>
    <w:rsid w:val="00A811E7"/>
    <w:rsid w:val="00A813BD"/>
    <w:rsid w:val="00A8160E"/>
    <w:rsid w:val="00A81C89"/>
    <w:rsid w:val="00A81DF1"/>
    <w:rsid w:val="00A820D8"/>
    <w:rsid w:val="00A82189"/>
    <w:rsid w:val="00A82234"/>
    <w:rsid w:val="00A822B8"/>
    <w:rsid w:val="00A825EE"/>
    <w:rsid w:val="00A826A1"/>
    <w:rsid w:val="00A83520"/>
    <w:rsid w:val="00A8352A"/>
    <w:rsid w:val="00A8352E"/>
    <w:rsid w:val="00A83708"/>
    <w:rsid w:val="00A83942"/>
    <w:rsid w:val="00A83A5C"/>
    <w:rsid w:val="00A83B77"/>
    <w:rsid w:val="00A83C66"/>
    <w:rsid w:val="00A843CC"/>
    <w:rsid w:val="00A845A3"/>
    <w:rsid w:val="00A845F1"/>
    <w:rsid w:val="00A8470F"/>
    <w:rsid w:val="00A848F9"/>
    <w:rsid w:val="00A84B8B"/>
    <w:rsid w:val="00A84DF4"/>
    <w:rsid w:val="00A8517A"/>
    <w:rsid w:val="00A8530E"/>
    <w:rsid w:val="00A85671"/>
    <w:rsid w:val="00A8585E"/>
    <w:rsid w:val="00A858AA"/>
    <w:rsid w:val="00A858FA"/>
    <w:rsid w:val="00A85BF5"/>
    <w:rsid w:val="00A85C2D"/>
    <w:rsid w:val="00A85CF5"/>
    <w:rsid w:val="00A85E56"/>
    <w:rsid w:val="00A85FF6"/>
    <w:rsid w:val="00A860D2"/>
    <w:rsid w:val="00A862FA"/>
    <w:rsid w:val="00A8651E"/>
    <w:rsid w:val="00A868CA"/>
    <w:rsid w:val="00A86993"/>
    <w:rsid w:val="00A86AE9"/>
    <w:rsid w:val="00A86B6F"/>
    <w:rsid w:val="00A86BA2"/>
    <w:rsid w:val="00A86C11"/>
    <w:rsid w:val="00A86CF6"/>
    <w:rsid w:val="00A86F4A"/>
    <w:rsid w:val="00A87213"/>
    <w:rsid w:val="00A874A9"/>
    <w:rsid w:val="00A874D1"/>
    <w:rsid w:val="00A8776F"/>
    <w:rsid w:val="00A8795B"/>
    <w:rsid w:val="00A87988"/>
    <w:rsid w:val="00A87ACE"/>
    <w:rsid w:val="00A87DD4"/>
    <w:rsid w:val="00A87F9C"/>
    <w:rsid w:val="00A90345"/>
    <w:rsid w:val="00A9058C"/>
    <w:rsid w:val="00A90701"/>
    <w:rsid w:val="00A909C0"/>
    <w:rsid w:val="00A90BBE"/>
    <w:rsid w:val="00A90E1C"/>
    <w:rsid w:val="00A90E55"/>
    <w:rsid w:val="00A91043"/>
    <w:rsid w:val="00A91249"/>
    <w:rsid w:val="00A91296"/>
    <w:rsid w:val="00A91408"/>
    <w:rsid w:val="00A914CB"/>
    <w:rsid w:val="00A91602"/>
    <w:rsid w:val="00A91640"/>
    <w:rsid w:val="00A91744"/>
    <w:rsid w:val="00A917B8"/>
    <w:rsid w:val="00A917DB"/>
    <w:rsid w:val="00A918AE"/>
    <w:rsid w:val="00A91B65"/>
    <w:rsid w:val="00A91C51"/>
    <w:rsid w:val="00A91D07"/>
    <w:rsid w:val="00A92892"/>
    <w:rsid w:val="00A92933"/>
    <w:rsid w:val="00A92D64"/>
    <w:rsid w:val="00A92EC7"/>
    <w:rsid w:val="00A9358E"/>
    <w:rsid w:val="00A938B2"/>
    <w:rsid w:val="00A93A1C"/>
    <w:rsid w:val="00A93C17"/>
    <w:rsid w:val="00A93C4F"/>
    <w:rsid w:val="00A93E77"/>
    <w:rsid w:val="00A93F25"/>
    <w:rsid w:val="00A9418F"/>
    <w:rsid w:val="00A9442F"/>
    <w:rsid w:val="00A9468F"/>
    <w:rsid w:val="00A94C27"/>
    <w:rsid w:val="00A94EA7"/>
    <w:rsid w:val="00A94F2F"/>
    <w:rsid w:val="00A94F74"/>
    <w:rsid w:val="00A951EA"/>
    <w:rsid w:val="00A951FD"/>
    <w:rsid w:val="00A95347"/>
    <w:rsid w:val="00A953F1"/>
    <w:rsid w:val="00A95434"/>
    <w:rsid w:val="00A95515"/>
    <w:rsid w:val="00A95634"/>
    <w:rsid w:val="00A95640"/>
    <w:rsid w:val="00A95708"/>
    <w:rsid w:val="00A95798"/>
    <w:rsid w:val="00A95808"/>
    <w:rsid w:val="00A95962"/>
    <w:rsid w:val="00A95993"/>
    <w:rsid w:val="00A964A2"/>
    <w:rsid w:val="00A96C30"/>
    <w:rsid w:val="00A970C2"/>
    <w:rsid w:val="00A97299"/>
    <w:rsid w:val="00A979F1"/>
    <w:rsid w:val="00AA0050"/>
    <w:rsid w:val="00AA020E"/>
    <w:rsid w:val="00AA080F"/>
    <w:rsid w:val="00AA0C7B"/>
    <w:rsid w:val="00AA0C8C"/>
    <w:rsid w:val="00AA0E27"/>
    <w:rsid w:val="00AA1082"/>
    <w:rsid w:val="00AA11A7"/>
    <w:rsid w:val="00AA11B4"/>
    <w:rsid w:val="00AA143A"/>
    <w:rsid w:val="00AA17C5"/>
    <w:rsid w:val="00AA1C8D"/>
    <w:rsid w:val="00AA2438"/>
    <w:rsid w:val="00AA24AA"/>
    <w:rsid w:val="00AA24AB"/>
    <w:rsid w:val="00AA24DB"/>
    <w:rsid w:val="00AA2792"/>
    <w:rsid w:val="00AA2BC7"/>
    <w:rsid w:val="00AA2C6A"/>
    <w:rsid w:val="00AA2FC6"/>
    <w:rsid w:val="00AA2FE9"/>
    <w:rsid w:val="00AA30BF"/>
    <w:rsid w:val="00AA33F9"/>
    <w:rsid w:val="00AA34E2"/>
    <w:rsid w:val="00AA35C8"/>
    <w:rsid w:val="00AA37A2"/>
    <w:rsid w:val="00AA3816"/>
    <w:rsid w:val="00AA3B57"/>
    <w:rsid w:val="00AA3B6B"/>
    <w:rsid w:val="00AA3EEB"/>
    <w:rsid w:val="00AA425D"/>
    <w:rsid w:val="00AA465C"/>
    <w:rsid w:val="00AA47B7"/>
    <w:rsid w:val="00AA4853"/>
    <w:rsid w:val="00AA4A72"/>
    <w:rsid w:val="00AA4C3C"/>
    <w:rsid w:val="00AA4CB1"/>
    <w:rsid w:val="00AA4D7B"/>
    <w:rsid w:val="00AA5241"/>
    <w:rsid w:val="00AA53E8"/>
    <w:rsid w:val="00AA55EE"/>
    <w:rsid w:val="00AA568B"/>
    <w:rsid w:val="00AA5723"/>
    <w:rsid w:val="00AA574B"/>
    <w:rsid w:val="00AA574D"/>
    <w:rsid w:val="00AA586A"/>
    <w:rsid w:val="00AA5B6A"/>
    <w:rsid w:val="00AA5E2E"/>
    <w:rsid w:val="00AA607A"/>
    <w:rsid w:val="00AA6432"/>
    <w:rsid w:val="00AA6689"/>
    <w:rsid w:val="00AA6AA0"/>
    <w:rsid w:val="00AA6BE4"/>
    <w:rsid w:val="00AA6BEA"/>
    <w:rsid w:val="00AA705A"/>
    <w:rsid w:val="00AA716C"/>
    <w:rsid w:val="00AA75BA"/>
    <w:rsid w:val="00AA75CE"/>
    <w:rsid w:val="00AA7855"/>
    <w:rsid w:val="00AA79EC"/>
    <w:rsid w:val="00AA7C24"/>
    <w:rsid w:val="00AB0099"/>
    <w:rsid w:val="00AB02D1"/>
    <w:rsid w:val="00AB0416"/>
    <w:rsid w:val="00AB044A"/>
    <w:rsid w:val="00AB0489"/>
    <w:rsid w:val="00AB04A4"/>
    <w:rsid w:val="00AB06F2"/>
    <w:rsid w:val="00AB0D37"/>
    <w:rsid w:val="00AB1035"/>
    <w:rsid w:val="00AB11A8"/>
    <w:rsid w:val="00AB15B8"/>
    <w:rsid w:val="00AB1B61"/>
    <w:rsid w:val="00AB1C66"/>
    <w:rsid w:val="00AB1CA0"/>
    <w:rsid w:val="00AB1D66"/>
    <w:rsid w:val="00AB1E74"/>
    <w:rsid w:val="00AB274E"/>
    <w:rsid w:val="00AB2C3F"/>
    <w:rsid w:val="00AB2E3D"/>
    <w:rsid w:val="00AB309D"/>
    <w:rsid w:val="00AB359B"/>
    <w:rsid w:val="00AB39B0"/>
    <w:rsid w:val="00AB422D"/>
    <w:rsid w:val="00AB4769"/>
    <w:rsid w:val="00AB48F2"/>
    <w:rsid w:val="00AB4B73"/>
    <w:rsid w:val="00AB4FFE"/>
    <w:rsid w:val="00AB5039"/>
    <w:rsid w:val="00AB5178"/>
    <w:rsid w:val="00AB5939"/>
    <w:rsid w:val="00AB5A5D"/>
    <w:rsid w:val="00AB5A77"/>
    <w:rsid w:val="00AB5C1D"/>
    <w:rsid w:val="00AB5DE4"/>
    <w:rsid w:val="00AB5E38"/>
    <w:rsid w:val="00AB6041"/>
    <w:rsid w:val="00AB606B"/>
    <w:rsid w:val="00AB6086"/>
    <w:rsid w:val="00AB60F9"/>
    <w:rsid w:val="00AB61A6"/>
    <w:rsid w:val="00AB64B0"/>
    <w:rsid w:val="00AB6B6A"/>
    <w:rsid w:val="00AB6D11"/>
    <w:rsid w:val="00AB762B"/>
    <w:rsid w:val="00AB79E2"/>
    <w:rsid w:val="00AB7CF8"/>
    <w:rsid w:val="00AC0190"/>
    <w:rsid w:val="00AC0456"/>
    <w:rsid w:val="00AC0593"/>
    <w:rsid w:val="00AC086F"/>
    <w:rsid w:val="00AC0B43"/>
    <w:rsid w:val="00AC145C"/>
    <w:rsid w:val="00AC188F"/>
    <w:rsid w:val="00AC1ACD"/>
    <w:rsid w:val="00AC1D5F"/>
    <w:rsid w:val="00AC1D89"/>
    <w:rsid w:val="00AC1F48"/>
    <w:rsid w:val="00AC1FDC"/>
    <w:rsid w:val="00AC206E"/>
    <w:rsid w:val="00AC2353"/>
    <w:rsid w:val="00AC25EC"/>
    <w:rsid w:val="00AC280F"/>
    <w:rsid w:val="00AC2835"/>
    <w:rsid w:val="00AC2AF7"/>
    <w:rsid w:val="00AC2E9C"/>
    <w:rsid w:val="00AC3359"/>
    <w:rsid w:val="00AC36E2"/>
    <w:rsid w:val="00AC36F4"/>
    <w:rsid w:val="00AC3BC5"/>
    <w:rsid w:val="00AC3C6E"/>
    <w:rsid w:val="00AC4233"/>
    <w:rsid w:val="00AC4658"/>
    <w:rsid w:val="00AC4659"/>
    <w:rsid w:val="00AC47BC"/>
    <w:rsid w:val="00AC4A8D"/>
    <w:rsid w:val="00AC4C79"/>
    <w:rsid w:val="00AC4CB5"/>
    <w:rsid w:val="00AC4F91"/>
    <w:rsid w:val="00AC4FB0"/>
    <w:rsid w:val="00AC51F3"/>
    <w:rsid w:val="00AC5378"/>
    <w:rsid w:val="00AC57F1"/>
    <w:rsid w:val="00AC5E33"/>
    <w:rsid w:val="00AC61B4"/>
    <w:rsid w:val="00AC6742"/>
    <w:rsid w:val="00AC67A7"/>
    <w:rsid w:val="00AC6881"/>
    <w:rsid w:val="00AC68D6"/>
    <w:rsid w:val="00AC6A83"/>
    <w:rsid w:val="00AC6EE5"/>
    <w:rsid w:val="00AC7191"/>
    <w:rsid w:val="00AC7221"/>
    <w:rsid w:val="00AC7AE7"/>
    <w:rsid w:val="00AC7D9F"/>
    <w:rsid w:val="00AC7DFD"/>
    <w:rsid w:val="00AC7E21"/>
    <w:rsid w:val="00AD0252"/>
    <w:rsid w:val="00AD02D9"/>
    <w:rsid w:val="00AD03A6"/>
    <w:rsid w:val="00AD046B"/>
    <w:rsid w:val="00AD0508"/>
    <w:rsid w:val="00AD0573"/>
    <w:rsid w:val="00AD075B"/>
    <w:rsid w:val="00AD1492"/>
    <w:rsid w:val="00AD1541"/>
    <w:rsid w:val="00AD15B1"/>
    <w:rsid w:val="00AD16CE"/>
    <w:rsid w:val="00AD1958"/>
    <w:rsid w:val="00AD21AA"/>
    <w:rsid w:val="00AD24E9"/>
    <w:rsid w:val="00AD27A2"/>
    <w:rsid w:val="00AD282B"/>
    <w:rsid w:val="00AD2981"/>
    <w:rsid w:val="00AD2F2A"/>
    <w:rsid w:val="00AD30FD"/>
    <w:rsid w:val="00AD33F6"/>
    <w:rsid w:val="00AD3426"/>
    <w:rsid w:val="00AD34AA"/>
    <w:rsid w:val="00AD3999"/>
    <w:rsid w:val="00AD39FE"/>
    <w:rsid w:val="00AD3BA9"/>
    <w:rsid w:val="00AD3EF0"/>
    <w:rsid w:val="00AD3F10"/>
    <w:rsid w:val="00AD41B6"/>
    <w:rsid w:val="00AD4380"/>
    <w:rsid w:val="00AD454C"/>
    <w:rsid w:val="00AD4AA9"/>
    <w:rsid w:val="00AD4FCB"/>
    <w:rsid w:val="00AD5031"/>
    <w:rsid w:val="00AD5353"/>
    <w:rsid w:val="00AD553B"/>
    <w:rsid w:val="00AD5BB9"/>
    <w:rsid w:val="00AD5BFF"/>
    <w:rsid w:val="00AD6146"/>
    <w:rsid w:val="00AD61F7"/>
    <w:rsid w:val="00AD649E"/>
    <w:rsid w:val="00AD6635"/>
    <w:rsid w:val="00AD6659"/>
    <w:rsid w:val="00AD6A08"/>
    <w:rsid w:val="00AD6AE0"/>
    <w:rsid w:val="00AD6B00"/>
    <w:rsid w:val="00AD7437"/>
    <w:rsid w:val="00AD7521"/>
    <w:rsid w:val="00AD7581"/>
    <w:rsid w:val="00AD7AFC"/>
    <w:rsid w:val="00AD7E46"/>
    <w:rsid w:val="00AE0448"/>
    <w:rsid w:val="00AE04A7"/>
    <w:rsid w:val="00AE0598"/>
    <w:rsid w:val="00AE06C9"/>
    <w:rsid w:val="00AE0749"/>
    <w:rsid w:val="00AE092F"/>
    <w:rsid w:val="00AE0975"/>
    <w:rsid w:val="00AE0988"/>
    <w:rsid w:val="00AE0C89"/>
    <w:rsid w:val="00AE0DAA"/>
    <w:rsid w:val="00AE0DAE"/>
    <w:rsid w:val="00AE0F70"/>
    <w:rsid w:val="00AE1015"/>
    <w:rsid w:val="00AE1022"/>
    <w:rsid w:val="00AE11A3"/>
    <w:rsid w:val="00AE1276"/>
    <w:rsid w:val="00AE1347"/>
    <w:rsid w:val="00AE197E"/>
    <w:rsid w:val="00AE2244"/>
    <w:rsid w:val="00AE22C6"/>
    <w:rsid w:val="00AE2542"/>
    <w:rsid w:val="00AE257E"/>
    <w:rsid w:val="00AE26FD"/>
    <w:rsid w:val="00AE2A38"/>
    <w:rsid w:val="00AE2B39"/>
    <w:rsid w:val="00AE2B5D"/>
    <w:rsid w:val="00AE2DB3"/>
    <w:rsid w:val="00AE2F68"/>
    <w:rsid w:val="00AE2F71"/>
    <w:rsid w:val="00AE310E"/>
    <w:rsid w:val="00AE3179"/>
    <w:rsid w:val="00AE3223"/>
    <w:rsid w:val="00AE35BF"/>
    <w:rsid w:val="00AE3659"/>
    <w:rsid w:val="00AE372E"/>
    <w:rsid w:val="00AE39E2"/>
    <w:rsid w:val="00AE3D32"/>
    <w:rsid w:val="00AE3DB7"/>
    <w:rsid w:val="00AE3EBB"/>
    <w:rsid w:val="00AE3F35"/>
    <w:rsid w:val="00AE443D"/>
    <w:rsid w:val="00AE4495"/>
    <w:rsid w:val="00AE4610"/>
    <w:rsid w:val="00AE4673"/>
    <w:rsid w:val="00AE47D2"/>
    <w:rsid w:val="00AE49B1"/>
    <w:rsid w:val="00AE4B4D"/>
    <w:rsid w:val="00AE4B4F"/>
    <w:rsid w:val="00AE4B54"/>
    <w:rsid w:val="00AE4B68"/>
    <w:rsid w:val="00AE4C49"/>
    <w:rsid w:val="00AE4EF4"/>
    <w:rsid w:val="00AE4F26"/>
    <w:rsid w:val="00AE501D"/>
    <w:rsid w:val="00AE51EB"/>
    <w:rsid w:val="00AE563D"/>
    <w:rsid w:val="00AE58A9"/>
    <w:rsid w:val="00AE5926"/>
    <w:rsid w:val="00AE59BD"/>
    <w:rsid w:val="00AE5BB7"/>
    <w:rsid w:val="00AE5F62"/>
    <w:rsid w:val="00AE5FFA"/>
    <w:rsid w:val="00AE60F1"/>
    <w:rsid w:val="00AE6219"/>
    <w:rsid w:val="00AE64F4"/>
    <w:rsid w:val="00AE655F"/>
    <w:rsid w:val="00AE684D"/>
    <w:rsid w:val="00AE6A0C"/>
    <w:rsid w:val="00AE6AD7"/>
    <w:rsid w:val="00AE6B7A"/>
    <w:rsid w:val="00AE6D17"/>
    <w:rsid w:val="00AE6DD9"/>
    <w:rsid w:val="00AE7148"/>
    <w:rsid w:val="00AE7179"/>
    <w:rsid w:val="00AE731A"/>
    <w:rsid w:val="00AE7513"/>
    <w:rsid w:val="00AE76D5"/>
    <w:rsid w:val="00AE78EB"/>
    <w:rsid w:val="00AE7F45"/>
    <w:rsid w:val="00AF004B"/>
    <w:rsid w:val="00AF043F"/>
    <w:rsid w:val="00AF0972"/>
    <w:rsid w:val="00AF0A6B"/>
    <w:rsid w:val="00AF0A9C"/>
    <w:rsid w:val="00AF0C90"/>
    <w:rsid w:val="00AF10A6"/>
    <w:rsid w:val="00AF111F"/>
    <w:rsid w:val="00AF1A74"/>
    <w:rsid w:val="00AF1A8B"/>
    <w:rsid w:val="00AF1AC0"/>
    <w:rsid w:val="00AF1B7C"/>
    <w:rsid w:val="00AF1B90"/>
    <w:rsid w:val="00AF1BEC"/>
    <w:rsid w:val="00AF1CC6"/>
    <w:rsid w:val="00AF1DA7"/>
    <w:rsid w:val="00AF1DDF"/>
    <w:rsid w:val="00AF1E3D"/>
    <w:rsid w:val="00AF1F67"/>
    <w:rsid w:val="00AF2083"/>
    <w:rsid w:val="00AF2361"/>
    <w:rsid w:val="00AF24D3"/>
    <w:rsid w:val="00AF2680"/>
    <w:rsid w:val="00AF2687"/>
    <w:rsid w:val="00AF26C0"/>
    <w:rsid w:val="00AF2818"/>
    <w:rsid w:val="00AF2CDF"/>
    <w:rsid w:val="00AF2D05"/>
    <w:rsid w:val="00AF3377"/>
    <w:rsid w:val="00AF35C1"/>
    <w:rsid w:val="00AF36B6"/>
    <w:rsid w:val="00AF3906"/>
    <w:rsid w:val="00AF3C42"/>
    <w:rsid w:val="00AF3F48"/>
    <w:rsid w:val="00AF404B"/>
    <w:rsid w:val="00AF46E6"/>
    <w:rsid w:val="00AF47AB"/>
    <w:rsid w:val="00AF484A"/>
    <w:rsid w:val="00AF49D3"/>
    <w:rsid w:val="00AF4A89"/>
    <w:rsid w:val="00AF4ABC"/>
    <w:rsid w:val="00AF4D18"/>
    <w:rsid w:val="00AF527D"/>
    <w:rsid w:val="00AF54A8"/>
    <w:rsid w:val="00AF57C8"/>
    <w:rsid w:val="00AF59C1"/>
    <w:rsid w:val="00AF5C27"/>
    <w:rsid w:val="00AF5C3E"/>
    <w:rsid w:val="00AF5DF7"/>
    <w:rsid w:val="00AF5F77"/>
    <w:rsid w:val="00AF6055"/>
    <w:rsid w:val="00AF6100"/>
    <w:rsid w:val="00AF6680"/>
    <w:rsid w:val="00AF670E"/>
    <w:rsid w:val="00AF671A"/>
    <w:rsid w:val="00AF688A"/>
    <w:rsid w:val="00AF6A86"/>
    <w:rsid w:val="00AF6B30"/>
    <w:rsid w:val="00AF6C8B"/>
    <w:rsid w:val="00AF6EA6"/>
    <w:rsid w:val="00AF6F16"/>
    <w:rsid w:val="00AF6F66"/>
    <w:rsid w:val="00AF6FCF"/>
    <w:rsid w:val="00AF7376"/>
    <w:rsid w:val="00AF7C27"/>
    <w:rsid w:val="00AF7E41"/>
    <w:rsid w:val="00AF7EF1"/>
    <w:rsid w:val="00B001DE"/>
    <w:rsid w:val="00B001F2"/>
    <w:rsid w:val="00B002CE"/>
    <w:rsid w:val="00B00405"/>
    <w:rsid w:val="00B00836"/>
    <w:rsid w:val="00B00BEE"/>
    <w:rsid w:val="00B010A3"/>
    <w:rsid w:val="00B01133"/>
    <w:rsid w:val="00B0159F"/>
    <w:rsid w:val="00B01AA1"/>
    <w:rsid w:val="00B01E4A"/>
    <w:rsid w:val="00B01EEE"/>
    <w:rsid w:val="00B0201A"/>
    <w:rsid w:val="00B0221D"/>
    <w:rsid w:val="00B0230D"/>
    <w:rsid w:val="00B02406"/>
    <w:rsid w:val="00B025CB"/>
    <w:rsid w:val="00B02733"/>
    <w:rsid w:val="00B0282A"/>
    <w:rsid w:val="00B0297C"/>
    <w:rsid w:val="00B02D7B"/>
    <w:rsid w:val="00B02F85"/>
    <w:rsid w:val="00B02FA6"/>
    <w:rsid w:val="00B02FE4"/>
    <w:rsid w:val="00B0338A"/>
    <w:rsid w:val="00B0343D"/>
    <w:rsid w:val="00B036E2"/>
    <w:rsid w:val="00B03774"/>
    <w:rsid w:val="00B03CB7"/>
    <w:rsid w:val="00B03D49"/>
    <w:rsid w:val="00B03D51"/>
    <w:rsid w:val="00B03E6A"/>
    <w:rsid w:val="00B03F94"/>
    <w:rsid w:val="00B04046"/>
    <w:rsid w:val="00B04B6A"/>
    <w:rsid w:val="00B04B6D"/>
    <w:rsid w:val="00B04EEB"/>
    <w:rsid w:val="00B04F5E"/>
    <w:rsid w:val="00B04FE7"/>
    <w:rsid w:val="00B04FF4"/>
    <w:rsid w:val="00B05321"/>
    <w:rsid w:val="00B054DF"/>
    <w:rsid w:val="00B056D3"/>
    <w:rsid w:val="00B059C8"/>
    <w:rsid w:val="00B05A93"/>
    <w:rsid w:val="00B06086"/>
    <w:rsid w:val="00B0664B"/>
    <w:rsid w:val="00B067D3"/>
    <w:rsid w:val="00B06B6B"/>
    <w:rsid w:val="00B06DFC"/>
    <w:rsid w:val="00B0723C"/>
    <w:rsid w:val="00B07431"/>
    <w:rsid w:val="00B07774"/>
    <w:rsid w:val="00B07947"/>
    <w:rsid w:val="00B07A3A"/>
    <w:rsid w:val="00B07A7B"/>
    <w:rsid w:val="00B07CA4"/>
    <w:rsid w:val="00B07E77"/>
    <w:rsid w:val="00B07F29"/>
    <w:rsid w:val="00B07F5B"/>
    <w:rsid w:val="00B07FFD"/>
    <w:rsid w:val="00B103D9"/>
    <w:rsid w:val="00B107D4"/>
    <w:rsid w:val="00B109AE"/>
    <w:rsid w:val="00B10B03"/>
    <w:rsid w:val="00B10BD4"/>
    <w:rsid w:val="00B1100A"/>
    <w:rsid w:val="00B11386"/>
    <w:rsid w:val="00B1157A"/>
    <w:rsid w:val="00B11900"/>
    <w:rsid w:val="00B11ABA"/>
    <w:rsid w:val="00B11BFE"/>
    <w:rsid w:val="00B11C2A"/>
    <w:rsid w:val="00B11ECF"/>
    <w:rsid w:val="00B12037"/>
    <w:rsid w:val="00B12116"/>
    <w:rsid w:val="00B124AD"/>
    <w:rsid w:val="00B1257F"/>
    <w:rsid w:val="00B125CB"/>
    <w:rsid w:val="00B12614"/>
    <w:rsid w:val="00B1278C"/>
    <w:rsid w:val="00B12A22"/>
    <w:rsid w:val="00B12E77"/>
    <w:rsid w:val="00B12EB5"/>
    <w:rsid w:val="00B12FF4"/>
    <w:rsid w:val="00B130A3"/>
    <w:rsid w:val="00B13323"/>
    <w:rsid w:val="00B136B9"/>
    <w:rsid w:val="00B13739"/>
    <w:rsid w:val="00B13757"/>
    <w:rsid w:val="00B13F4C"/>
    <w:rsid w:val="00B140E2"/>
    <w:rsid w:val="00B14172"/>
    <w:rsid w:val="00B14241"/>
    <w:rsid w:val="00B14760"/>
    <w:rsid w:val="00B14BD7"/>
    <w:rsid w:val="00B14EF1"/>
    <w:rsid w:val="00B15071"/>
    <w:rsid w:val="00B1556F"/>
    <w:rsid w:val="00B15594"/>
    <w:rsid w:val="00B1579F"/>
    <w:rsid w:val="00B159ED"/>
    <w:rsid w:val="00B15AD6"/>
    <w:rsid w:val="00B15B7A"/>
    <w:rsid w:val="00B15D0F"/>
    <w:rsid w:val="00B15E88"/>
    <w:rsid w:val="00B1600F"/>
    <w:rsid w:val="00B16031"/>
    <w:rsid w:val="00B1616B"/>
    <w:rsid w:val="00B16194"/>
    <w:rsid w:val="00B161CE"/>
    <w:rsid w:val="00B1638E"/>
    <w:rsid w:val="00B163DA"/>
    <w:rsid w:val="00B168AE"/>
    <w:rsid w:val="00B16E84"/>
    <w:rsid w:val="00B16F53"/>
    <w:rsid w:val="00B17150"/>
    <w:rsid w:val="00B172DD"/>
    <w:rsid w:val="00B173F5"/>
    <w:rsid w:val="00B17422"/>
    <w:rsid w:val="00B174E8"/>
    <w:rsid w:val="00B175BA"/>
    <w:rsid w:val="00B175FC"/>
    <w:rsid w:val="00B176F2"/>
    <w:rsid w:val="00B177C2"/>
    <w:rsid w:val="00B17805"/>
    <w:rsid w:val="00B17A2C"/>
    <w:rsid w:val="00B17D56"/>
    <w:rsid w:val="00B17DD2"/>
    <w:rsid w:val="00B200EF"/>
    <w:rsid w:val="00B2029A"/>
    <w:rsid w:val="00B20319"/>
    <w:rsid w:val="00B2041A"/>
    <w:rsid w:val="00B2073D"/>
    <w:rsid w:val="00B207C5"/>
    <w:rsid w:val="00B207ED"/>
    <w:rsid w:val="00B208CD"/>
    <w:rsid w:val="00B210F7"/>
    <w:rsid w:val="00B21471"/>
    <w:rsid w:val="00B218BA"/>
    <w:rsid w:val="00B21952"/>
    <w:rsid w:val="00B21D36"/>
    <w:rsid w:val="00B2244D"/>
    <w:rsid w:val="00B22571"/>
    <w:rsid w:val="00B225F8"/>
    <w:rsid w:val="00B2263B"/>
    <w:rsid w:val="00B2264E"/>
    <w:rsid w:val="00B22736"/>
    <w:rsid w:val="00B22765"/>
    <w:rsid w:val="00B228CC"/>
    <w:rsid w:val="00B22AAF"/>
    <w:rsid w:val="00B2323C"/>
    <w:rsid w:val="00B23309"/>
    <w:rsid w:val="00B23358"/>
    <w:rsid w:val="00B236A7"/>
    <w:rsid w:val="00B23AD7"/>
    <w:rsid w:val="00B23C03"/>
    <w:rsid w:val="00B23D61"/>
    <w:rsid w:val="00B23EF5"/>
    <w:rsid w:val="00B23F60"/>
    <w:rsid w:val="00B24283"/>
    <w:rsid w:val="00B242A4"/>
    <w:rsid w:val="00B242D4"/>
    <w:rsid w:val="00B246D6"/>
    <w:rsid w:val="00B2474C"/>
    <w:rsid w:val="00B24892"/>
    <w:rsid w:val="00B24B77"/>
    <w:rsid w:val="00B25065"/>
    <w:rsid w:val="00B250E1"/>
    <w:rsid w:val="00B25376"/>
    <w:rsid w:val="00B2546C"/>
    <w:rsid w:val="00B2584D"/>
    <w:rsid w:val="00B26021"/>
    <w:rsid w:val="00B2617E"/>
    <w:rsid w:val="00B264AD"/>
    <w:rsid w:val="00B26568"/>
    <w:rsid w:val="00B26711"/>
    <w:rsid w:val="00B268A0"/>
    <w:rsid w:val="00B26A2E"/>
    <w:rsid w:val="00B26BFF"/>
    <w:rsid w:val="00B26C09"/>
    <w:rsid w:val="00B26D08"/>
    <w:rsid w:val="00B26EDD"/>
    <w:rsid w:val="00B27718"/>
    <w:rsid w:val="00B277DE"/>
    <w:rsid w:val="00B27B20"/>
    <w:rsid w:val="00B27FDE"/>
    <w:rsid w:val="00B30143"/>
    <w:rsid w:val="00B303C2"/>
    <w:rsid w:val="00B303DB"/>
    <w:rsid w:val="00B3054D"/>
    <w:rsid w:val="00B30597"/>
    <w:rsid w:val="00B3076B"/>
    <w:rsid w:val="00B3097F"/>
    <w:rsid w:val="00B3102D"/>
    <w:rsid w:val="00B31422"/>
    <w:rsid w:val="00B316B0"/>
    <w:rsid w:val="00B317AC"/>
    <w:rsid w:val="00B319D4"/>
    <w:rsid w:val="00B31ABB"/>
    <w:rsid w:val="00B31B58"/>
    <w:rsid w:val="00B31BBC"/>
    <w:rsid w:val="00B31C05"/>
    <w:rsid w:val="00B31CA0"/>
    <w:rsid w:val="00B31E24"/>
    <w:rsid w:val="00B32034"/>
    <w:rsid w:val="00B32094"/>
    <w:rsid w:val="00B32115"/>
    <w:rsid w:val="00B32365"/>
    <w:rsid w:val="00B32460"/>
    <w:rsid w:val="00B32484"/>
    <w:rsid w:val="00B324E1"/>
    <w:rsid w:val="00B32506"/>
    <w:rsid w:val="00B32866"/>
    <w:rsid w:val="00B32868"/>
    <w:rsid w:val="00B329E9"/>
    <w:rsid w:val="00B32A19"/>
    <w:rsid w:val="00B32D57"/>
    <w:rsid w:val="00B32F79"/>
    <w:rsid w:val="00B3343D"/>
    <w:rsid w:val="00B3368B"/>
    <w:rsid w:val="00B3385C"/>
    <w:rsid w:val="00B33899"/>
    <w:rsid w:val="00B33A83"/>
    <w:rsid w:val="00B33BE7"/>
    <w:rsid w:val="00B34013"/>
    <w:rsid w:val="00B3434D"/>
    <w:rsid w:val="00B34622"/>
    <w:rsid w:val="00B34668"/>
    <w:rsid w:val="00B347A2"/>
    <w:rsid w:val="00B34916"/>
    <w:rsid w:val="00B34AA6"/>
    <w:rsid w:val="00B34C8F"/>
    <w:rsid w:val="00B34D28"/>
    <w:rsid w:val="00B34DAD"/>
    <w:rsid w:val="00B35020"/>
    <w:rsid w:val="00B350A7"/>
    <w:rsid w:val="00B35134"/>
    <w:rsid w:val="00B35704"/>
    <w:rsid w:val="00B3577B"/>
    <w:rsid w:val="00B357A7"/>
    <w:rsid w:val="00B3612A"/>
    <w:rsid w:val="00B3625F"/>
    <w:rsid w:val="00B363EA"/>
    <w:rsid w:val="00B363F2"/>
    <w:rsid w:val="00B3683B"/>
    <w:rsid w:val="00B36A73"/>
    <w:rsid w:val="00B36B2C"/>
    <w:rsid w:val="00B36C01"/>
    <w:rsid w:val="00B36DDD"/>
    <w:rsid w:val="00B372DF"/>
    <w:rsid w:val="00B37310"/>
    <w:rsid w:val="00B375BC"/>
    <w:rsid w:val="00B3780A"/>
    <w:rsid w:val="00B379A7"/>
    <w:rsid w:val="00B379D6"/>
    <w:rsid w:val="00B37B06"/>
    <w:rsid w:val="00B37B20"/>
    <w:rsid w:val="00B37C92"/>
    <w:rsid w:val="00B37EA9"/>
    <w:rsid w:val="00B3CAEA"/>
    <w:rsid w:val="00B403F7"/>
    <w:rsid w:val="00B405A9"/>
    <w:rsid w:val="00B409AD"/>
    <w:rsid w:val="00B409C9"/>
    <w:rsid w:val="00B41006"/>
    <w:rsid w:val="00B41214"/>
    <w:rsid w:val="00B4124A"/>
    <w:rsid w:val="00B413F0"/>
    <w:rsid w:val="00B41465"/>
    <w:rsid w:val="00B414E1"/>
    <w:rsid w:val="00B41573"/>
    <w:rsid w:val="00B416E3"/>
    <w:rsid w:val="00B4176D"/>
    <w:rsid w:val="00B41AE2"/>
    <w:rsid w:val="00B41B79"/>
    <w:rsid w:val="00B41B81"/>
    <w:rsid w:val="00B41C16"/>
    <w:rsid w:val="00B41C40"/>
    <w:rsid w:val="00B41DA1"/>
    <w:rsid w:val="00B4207E"/>
    <w:rsid w:val="00B42122"/>
    <w:rsid w:val="00B4221C"/>
    <w:rsid w:val="00B4244A"/>
    <w:rsid w:val="00B42777"/>
    <w:rsid w:val="00B4292D"/>
    <w:rsid w:val="00B42AF2"/>
    <w:rsid w:val="00B42C24"/>
    <w:rsid w:val="00B42DA2"/>
    <w:rsid w:val="00B42E21"/>
    <w:rsid w:val="00B431CF"/>
    <w:rsid w:val="00B433EF"/>
    <w:rsid w:val="00B435A0"/>
    <w:rsid w:val="00B4374D"/>
    <w:rsid w:val="00B4375A"/>
    <w:rsid w:val="00B439C6"/>
    <w:rsid w:val="00B43B0B"/>
    <w:rsid w:val="00B43E48"/>
    <w:rsid w:val="00B43EAC"/>
    <w:rsid w:val="00B440AD"/>
    <w:rsid w:val="00B44323"/>
    <w:rsid w:val="00B44337"/>
    <w:rsid w:val="00B44450"/>
    <w:rsid w:val="00B44479"/>
    <w:rsid w:val="00B4457D"/>
    <w:rsid w:val="00B446B9"/>
    <w:rsid w:val="00B447E3"/>
    <w:rsid w:val="00B44B1A"/>
    <w:rsid w:val="00B44B57"/>
    <w:rsid w:val="00B44D0D"/>
    <w:rsid w:val="00B44F68"/>
    <w:rsid w:val="00B4532C"/>
    <w:rsid w:val="00B454CB"/>
    <w:rsid w:val="00B459F1"/>
    <w:rsid w:val="00B45C3B"/>
    <w:rsid w:val="00B45DB3"/>
    <w:rsid w:val="00B461FA"/>
    <w:rsid w:val="00B46787"/>
    <w:rsid w:val="00B468C2"/>
    <w:rsid w:val="00B468FF"/>
    <w:rsid w:val="00B46930"/>
    <w:rsid w:val="00B46941"/>
    <w:rsid w:val="00B4699F"/>
    <w:rsid w:val="00B46A9A"/>
    <w:rsid w:val="00B46B86"/>
    <w:rsid w:val="00B473AC"/>
    <w:rsid w:val="00B474DC"/>
    <w:rsid w:val="00B475C9"/>
    <w:rsid w:val="00B4779B"/>
    <w:rsid w:val="00B47B2D"/>
    <w:rsid w:val="00B47BF6"/>
    <w:rsid w:val="00B47CFC"/>
    <w:rsid w:val="00B47DC4"/>
    <w:rsid w:val="00B47F92"/>
    <w:rsid w:val="00B5006A"/>
    <w:rsid w:val="00B50084"/>
    <w:rsid w:val="00B50198"/>
    <w:rsid w:val="00B501C5"/>
    <w:rsid w:val="00B501D5"/>
    <w:rsid w:val="00B50282"/>
    <w:rsid w:val="00B506BC"/>
    <w:rsid w:val="00B507D1"/>
    <w:rsid w:val="00B507DF"/>
    <w:rsid w:val="00B50A22"/>
    <w:rsid w:val="00B50ABE"/>
    <w:rsid w:val="00B50AC0"/>
    <w:rsid w:val="00B50CD9"/>
    <w:rsid w:val="00B50D5D"/>
    <w:rsid w:val="00B50E14"/>
    <w:rsid w:val="00B50F68"/>
    <w:rsid w:val="00B510C1"/>
    <w:rsid w:val="00B513E0"/>
    <w:rsid w:val="00B51547"/>
    <w:rsid w:val="00B5154E"/>
    <w:rsid w:val="00B51A14"/>
    <w:rsid w:val="00B51C24"/>
    <w:rsid w:val="00B51CAA"/>
    <w:rsid w:val="00B51F3C"/>
    <w:rsid w:val="00B51FB9"/>
    <w:rsid w:val="00B522D9"/>
    <w:rsid w:val="00B525E7"/>
    <w:rsid w:val="00B52619"/>
    <w:rsid w:val="00B52738"/>
    <w:rsid w:val="00B528CA"/>
    <w:rsid w:val="00B52C83"/>
    <w:rsid w:val="00B52E22"/>
    <w:rsid w:val="00B5313C"/>
    <w:rsid w:val="00B5313F"/>
    <w:rsid w:val="00B531D4"/>
    <w:rsid w:val="00B534A8"/>
    <w:rsid w:val="00B53566"/>
    <w:rsid w:val="00B5393C"/>
    <w:rsid w:val="00B53A82"/>
    <w:rsid w:val="00B53E00"/>
    <w:rsid w:val="00B54159"/>
    <w:rsid w:val="00B54186"/>
    <w:rsid w:val="00B54564"/>
    <w:rsid w:val="00B546E6"/>
    <w:rsid w:val="00B5478C"/>
    <w:rsid w:val="00B5478D"/>
    <w:rsid w:val="00B5505A"/>
    <w:rsid w:val="00B55102"/>
    <w:rsid w:val="00B551F7"/>
    <w:rsid w:val="00B552D5"/>
    <w:rsid w:val="00B5534D"/>
    <w:rsid w:val="00B55649"/>
    <w:rsid w:val="00B55FAB"/>
    <w:rsid w:val="00B561B7"/>
    <w:rsid w:val="00B561BA"/>
    <w:rsid w:val="00B566B3"/>
    <w:rsid w:val="00B56C41"/>
    <w:rsid w:val="00B56E0D"/>
    <w:rsid w:val="00B56F9E"/>
    <w:rsid w:val="00B57321"/>
    <w:rsid w:val="00B57396"/>
    <w:rsid w:val="00B5745A"/>
    <w:rsid w:val="00B57568"/>
    <w:rsid w:val="00B576CD"/>
    <w:rsid w:val="00B5790D"/>
    <w:rsid w:val="00B57D00"/>
    <w:rsid w:val="00B57E45"/>
    <w:rsid w:val="00B60005"/>
    <w:rsid w:val="00B600C4"/>
    <w:rsid w:val="00B60182"/>
    <w:rsid w:val="00B6046E"/>
    <w:rsid w:val="00B6080F"/>
    <w:rsid w:val="00B60850"/>
    <w:rsid w:val="00B608E9"/>
    <w:rsid w:val="00B60C6D"/>
    <w:rsid w:val="00B60D1D"/>
    <w:rsid w:val="00B60D4E"/>
    <w:rsid w:val="00B60EB9"/>
    <w:rsid w:val="00B61079"/>
    <w:rsid w:val="00B61198"/>
    <w:rsid w:val="00B61515"/>
    <w:rsid w:val="00B61742"/>
    <w:rsid w:val="00B61850"/>
    <w:rsid w:val="00B6185A"/>
    <w:rsid w:val="00B61B2F"/>
    <w:rsid w:val="00B61DFB"/>
    <w:rsid w:val="00B61FF4"/>
    <w:rsid w:val="00B62036"/>
    <w:rsid w:val="00B6236D"/>
    <w:rsid w:val="00B62383"/>
    <w:rsid w:val="00B62559"/>
    <w:rsid w:val="00B62610"/>
    <w:rsid w:val="00B626C1"/>
    <w:rsid w:val="00B627C0"/>
    <w:rsid w:val="00B62AD1"/>
    <w:rsid w:val="00B62C25"/>
    <w:rsid w:val="00B62D8C"/>
    <w:rsid w:val="00B62E9F"/>
    <w:rsid w:val="00B6308D"/>
    <w:rsid w:val="00B6335F"/>
    <w:rsid w:val="00B6350C"/>
    <w:rsid w:val="00B63534"/>
    <w:rsid w:val="00B635DB"/>
    <w:rsid w:val="00B63667"/>
    <w:rsid w:val="00B638AE"/>
    <w:rsid w:val="00B63958"/>
    <w:rsid w:val="00B63D9A"/>
    <w:rsid w:val="00B63EFB"/>
    <w:rsid w:val="00B6442B"/>
    <w:rsid w:val="00B6451F"/>
    <w:rsid w:val="00B64611"/>
    <w:rsid w:val="00B646FD"/>
    <w:rsid w:val="00B6481F"/>
    <w:rsid w:val="00B64A99"/>
    <w:rsid w:val="00B64CA2"/>
    <w:rsid w:val="00B64E42"/>
    <w:rsid w:val="00B64E50"/>
    <w:rsid w:val="00B64F5B"/>
    <w:rsid w:val="00B6511B"/>
    <w:rsid w:val="00B65570"/>
    <w:rsid w:val="00B6598E"/>
    <w:rsid w:val="00B65D08"/>
    <w:rsid w:val="00B65FEF"/>
    <w:rsid w:val="00B66152"/>
    <w:rsid w:val="00B66304"/>
    <w:rsid w:val="00B6638F"/>
    <w:rsid w:val="00B66412"/>
    <w:rsid w:val="00B6646A"/>
    <w:rsid w:val="00B66521"/>
    <w:rsid w:val="00B66542"/>
    <w:rsid w:val="00B6666D"/>
    <w:rsid w:val="00B66795"/>
    <w:rsid w:val="00B6686B"/>
    <w:rsid w:val="00B66951"/>
    <w:rsid w:val="00B66A14"/>
    <w:rsid w:val="00B66BD9"/>
    <w:rsid w:val="00B67028"/>
    <w:rsid w:val="00B670EA"/>
    <w:rsid w:val="00B67185"/>
    <w:rsid w:val="00B671FB"/>
    <w:rsid w:val="00B672A5"/>
    <w:rsid w:val="00B676E2"/>
    <w:rsid w:val="00B67B8D"/>
    <w:rsid w:val="00B67BA2"/>
    <w:rsid w:val="00B70336"/>
    <w:rsid w:val="00B7044E"/>
    <w:rsid w:val="00B70908"/>
    <w:rsid w:val="00B70954"/>
    <w:rsid w:val="00B70C04"/>
    <w:rsid w:val="00B70CD6"/>
    <w:rsid w:val="00B70D16"/>
    <w:rsid w:val="00B70D83"/>
    <w:rsid w:val="00B71039"/>
    <w:rsid w:val="00B71120"/>
    <w:rsid w:val="00B7113D"/>
    <w:rsid w:val="00B71308"/>
    <w:rsid w:val="00B71629"/>
    <w:rsid w:val="00B7167B"/>
    <w:rsid w:val="00B71867"/>
    <w:rsid w:val="00B71A1C"/>
    <w:rsid w:val="00B71C36"/>
    <w:rsid w:val="00B71CDE"/>
    <w:rsid w:val="00B71D1B"/>
    <w:rsid w:val="00B71EBF"/>
    <w:rsid w:val="00B71F9B"/>
    <w:rsid w:val="00B72199"/>
    <w:rsid w:val="00B724D9"/>
    <w:rsid w:val="00B72782"/>
    <w:rsid w:val="00B727B5"/>
    <w:rsid w:val="00B728FC"/>
    <w:rsid w:val="00B72A0E"/>
    <w:rsid w:val="00B72B20"/>
    <w:rsid w:val="00B72BB5"/>
    <w:rsid w:val="00B72DBC"/>
    <w:rsid w:val="00B72E1C"/>
    <w:rsid w:val="00B72E46"/>
    <w:rsid w:val="00B72EB2"/>
    <w:rsid w:val="00B732BA"/>
    <w:rsid w:val="00B7331D"/>
    <w:rsid w:val="00B735D2"/>
    <w:rsid w:val="00B73C40"/>
    <w:rsid w:val="00B73EFB"/>
    <w:rsid w:val="00B73FC7"/>
    <w:rsid w:val="00B741F3"/>
    <w:rsid w:val="00B744E9"/>
    <w:rsid w:val="00B74529"/>
    <w:rsid w:val="00B745CD"/>
    <w:rsid w:val="00B747CC"/>
    <w:rsid w:val="00B74CE5"/>
    <w:rsid w:val="00B74CF8"/>
    <w:rsid w:val="00B75114"/>
    <w:rsid w:val="00B756FB"/>
    <w:rsid w:val="00B7583F"/>
    <w:rsid w:val="00B758A0"/>
    <w:rsid w:val="00B75B5E"/>
    <w:rsid w:val="00B75BFB"/>
    <w:rsid w:val="00B75E56"/>
    <w:rsid w:val="00B75F35"/>
    <w:rsid w:val="00B760C5"/>
    <w:rsid w:val="00B76598"/>
    <w:rsid w:val="00B76640"/>
    <w:rsid w:val="00B76A0D"/>
    <w:rsid w:val="00B76AE2"/>
    <w:rsid w:val="00B76B7C"/>
    <w:rsid w:val="00B76CC9"/>
    <w:rsid w:val="00B76DC5"/>
    <w:rsid w:val="00B76F37"/>
    <w:rsid w:val="00B76FF5"/>
    <w:rsid w:val="00B7706D"/>
    <w:rsid w:val="00B7708A"/>
    <w:rsid w:val="00B77272"/>
    <w:rsid w:val="00B7738E"/>
    <w:rsid w:val="00B77759"/>
    <w:rsid w:val="00B778B5"/>
    <w:rsid w:val="00B77BB6"/>
    <w:rsid w:val="00B80387"/>
    <w:rsid w:val="00B805AE"/>
    <w:rsid w:val="00B806EA"/>
    <w:rsid w:val="00B8074F"/>
    <w:rsid w:val="00B80830"/>
    <w:rsid w:val="00B80835"/>
    <w:rsid w:val="00B80AE5"/>
    <w:rsid w:val="00B80D08"/>
    <w:rsid w:val="00B80D30"/>
    <w:rsid w:val="00B80D76"/>
    <w:rsid w:val="00B813BB"/>
    <w:rsid w:val="00B816AA"/>
    <w:rsid w:val="00B817B3"/>
    <w:rsid w:val="00B81869"/>
    <w:rsid w:val="00B81A3A"/>
    <w:rsid w:val="00B81A61"/>
    <w:rsid w:val="00B8211A"/>
    <w:rsid w:val="00B82180"/>
    <w:rsid w:val="00B8223A"/>
    <w:rsid w:val="00B8248F"/>
    <w:rsid w:val="00B82986"/>
    <w:rsid w:val="00B82B7C"/>
    <w:rsid w:val="00B82C97"/>
    <w:rsid w:val="00B82D50"/>
    <w:rsid w:val="00B82D82"/>
    <w:rsid w:val="00B82FC3"/>
    <w:rsid w:val="00B832A4"/>
    <w:rsid w:val="00B83565"/>
    <w:rsid w:val="00B836EB"/>
    <w:rsid w:val="00B838F3"/>
    <w:rsid w:val="00B83BE0"/>
    <w:rsid w:val="00B83C1F"/>
    <w:rsid w:val="00B83CB8"/>
    <w:rsid w:val="00B83DCD"/>
    <w:rsid w:val="00B84162"/>
    <w:rsid w:val="00B84754"/>
    <w:rsid w:val="00B848B5"/>
    <w:rsid w:val="00B849C2"/>
    <w:rsid w:val="00B84AF0"/>
    <w:rsid w:val="00B84DCF"/>
    <w:rsid w:val="00B84ECC"/>
    <w:rsid w:val="00B84FEA"/>
    <w:rsid w:val="00B8536C"/>
    <w:rsid w:val="00B85666"/>
    <w:rsid w:val="00B85DF4"/>
    <w:rsid w:val="00B85F7E"/>
    <w:rsid w:val="00B862FC"/>
    <w:rsid w:val="00B86421"/>
    <w:rsid w:val="00B866B7"/>
    <w:rsid w:val="00B867A0"/>
    <w:rsid w:val="00B868B6"/>
    <w:rsid w:val="00B86A36"/>
    <w:rsid w:val="00B86B05"/>
    <w:rsid w:val="00B86CC2"/>
    <w:rsid w:val="00B86E47"/>
    <w:rsid w:val="00B86E8A"/>
    <w:rsid w:val="00B872B5"/>
    <w:rsid w:val="00B87392"/>
    <w:rsid w:val="00B873D8"/>
    <w:rsid w:val="00B87444"/>
    <w:rsid w:val="00B87492"/>
    <w:rsid w:val="00B87B2B"/>
    <w:rsid w:val="00B87B67"/>
    <w:rsid w:val="00B87B74"/>
    <w:rsid w:val="00B87C0F"/>
    <w:rsid w:val="00B87E6F"/>
    <w:rsid w:val="00B90194"/>
    <w:rsid w:val="00B90561"/>
    <w:rsid w:val="00B9064E"/>
    <w:rsid w:val="00B906DE"/>
    <w:rsid w:val="00B90E5E"/>
    <w:rsid w:val="00B90F69"/>
    <w:rsid w:val="00B9104F"/>
    <w:rsid w:val="00B9148C"/>
    <w:rsid w:val="00B9172D"/>
    <w:rsid w:val="00B9179A"/>
    <w:rsid w:val="00B91BF8"/>
    <w:rsid w:val="00B91E23"/>
    <w:rsid w:val="00B91E88"/>
    <w:rsid w:val="00B91F58"/>
    <w:rsid w:val="00B9213A"/>
    <w:rsid w:val="00B92450"/>
    <w:rsid w:val="00B92F54"/>
    <w:rsid w:val="00B935E8"/>
    <w:rsid w:val="00B937EA"/>
    <w:rsid w:val="00B9381E"/>
    <w:rsid w:val="00B938CA"/>
    <w:rsid w:val="00B93922"/>
    <w:rsid w:val="00B93C96"/>
    <w:rsid w:val="00B943FE"/>
    <w:rsid w:val="00B9450E"/>
    <w:rsid w:val="00B94524"/>
    <w:rsid w:val="00B94845"/>
    <w:rsid w:val="00B948DB"/>
    <w:rsid w:val="00B94EC3"/>
    <w:rsid w:val="00B9511C"/>
    <w:rsid w:val="00B95225"/>
    <w:rsid w:val="00B953D6"/>
    <w:rsid w:val="00B954B8"/>
    <w:rsid w:val="00B95756"/>
    <w:rsid w:val="00B958E0"/>
    <w:rsid w:val="00B95B26"/>
    <w:rsid w:val="00B95DF6"/>
    <w:rsid w:val="00B96206"/>
    <w:rsid w:val="00B964CF"/>
    <w:rsid w:val="00B9662D"/>
    <w:rsid w:val="00B966BD"/>
    <w:rsid w:val="00B96A9D"/>
    <w:rsid w:val="00B96A9E"/>
    <w:rsid w:val="00B96ADA"/>
    <w:rsid w:val="00B96B97"/>
    <w:rsid w:val="00B96BC0"/>
    <w:rsid w:val="00B96F8E"/>
    <w:rsid w:val="00B97124"/>
    <w:rsid w:val="00B971C3"/>
    <w:rsid w:val="00B97612"/>
    <w:rsid w:val="00B9777A"/>
    <w:rsid w:val="00B977C4"/>
    <w:rsid w:val="00B977C9"/>
    <w:rsid w:val="00B97921"/>
    <w:rsid w:val="00B97AE5"/>
    <w:rsid w:val="00B97BDB"/>
    <w:rsid w:val="00B97F0E"/>
    <w:rsid w:val="00B97F10"/>
    <w:rsid w:val="00BA011A"/>
    <w:rsid w:val="00BA0436"/>
    <w:rsid w:val="00BA0689"/>
    <w:rsid w:val="00BA095C"/>
    <w:rsid w:val="00BA09C1"/>
    <w:rsid w:val="00BA11AC"/>
    <w:rsid w:val="00BA11CD"/>
    <w:rsid w:val="00BA1411"/>
    <w:rsid w:val="00BA1447"/>
    <w:rsid w:val="00BA1781"/>
    <w:rsid w:val="00BA1808"/>
    <w:rsid w:val="00BA189E"/>
    <w:rsid w:val="00BA1953"/>
    <w:rsid w:val="00BA1EFD"/>
    <w:rsid w:val="00BA2060"/>
    <w:rsid w:val="00BA210C"/>
    <w:rsid w:val="00BA2161"/>
    <w:rsid w:val="00BA2239"/>
    <w:rsid w:val="00BA254F"/>
    <w:rsid w:val="00BA2781"/>
    <w:rsid w:val="00BA281F"/>
    <w:rsid w:val="00BA2A12"/>
    <w:rsid w:val="00BA2CF4"/>
    <w:rsid w:val="00BA2D0B"/>
    <w:rsid w:val="00BA2E1D"/>
    <w:rsid w:val="00BA2F63"/>
    <w:rsid w:val="00BA2FA8"/>
    <w:rsid w:val="00BA2FE6"/>
    <w:rsid w:val="00BA30C6"/>
    <w:rsid w:val="00BA32F8"/>
    <w:rsid w:val="00BA3331"/>
    <w:rsid w:val="00BA357A"/>
    <w:rsid w:val="00BA36B3"/>
    <w:rsid w:val="00BA3B69"/>
    <w:rsid w:val="00BA3D6B"/>
    <w:rsid w:val="00BA3E53"/>
    <w:rsid w:val="00BA3E90"/>
    <w:rsid w:val="00BA3F75"/>
    <w:rsid w:val="00BA45BD"/>
    <w:rsid w:val="00BA4729"/>
    <w:rsid w:val="00BA4899"/>
    <w:rsid w:val="00BA4B45"/>
    <w:rsid w:val="00BA4BA7"/>
    <w:rsid w:val="00BA5176"/>
    <w:rsid w:val="00BA5471"/>
    <w:rsid w:val="00BA5486"/>
    <w:rsid w:val="00BA55B3"/>
    <w:rsid w:val="00BA5645"/>
    <w:rsid w:val="00BA57D8"/>
    <w:rsid w:val="00BA59A6"/>
    <w:rsid w:val="00BA59FA"/>
    <w:rsid w:val="00BA5DF0"/>
    <w:rsid w:val="00BA5FE8"/>
    <w:rsid w:val="00BA65D7"/>
    <w:rsid w:val="00BA6C30"/>
    <w:rsid w:val="00BA6CEE"/>
    <w:rsid w:val="00BA6DA4"/>
    <w:rsid w:val="00BA7799"/>
    <w:rsid w:val="00BA7949"/>
    <w:rsid w:val="00BA79EE"/>
    <w:rsid w:val="00BA7D0F"/>
    <w:rsid w:val="00BA7E8C"/>
    <w:rsid w:val="00BB01DE"/>
    <w:rsid w:val="00BB024B"/>
    <w:rsid w:val="00BB0680"/>
    <w:rsid w:val="00BB06C1"/>
    <w:rsid w:val="00BB0BD1"/>
    <w:rsid w:val="00BB0BDA"/>
    <w:rsid w:val="00BB0D75"/>
    <w:rsid w:val="00BB0EE8"/>
    <w:rsid w:val="00BB0F40"/>
    <w:rsid w:val="00BB1093"/>
    <w:rsid w:val="00BB11E9"/>
    <w:rsid w:val="00BB1251"/>
    <w:rsid w:val="00BB14E3"/>
    <w:rsid w:val="00BB1781"/>
    <w:rsid w:val="00BB17B9"/>
    <w:rsid w:val="00BB1BF7"/>
    <w:rsid w:val="00BB1C61"/>
    <w:rsid w:val="00BB1DE4"/>
    <w:rsid w:val="00BB1ECC"/>
    <w:rsid w:val="00BB2271"/>
    <w:rsid w:val="00BB22E8"/>
    <w:rsid w:val="00BB2395"/>
    <w:rsid w:val="00BB23C1"/>
    <w:rsid w:val="00BB2538"/>
    <w:rsid w:val="00BB25F6"/>
    <w:rsid w:val="00BB28D8"/>
    <w:rsid w:val="00BB2A88"/>
    <w:rsid w:val="00BB2ACE"/>
    <w:rsid w:val="00BB2DE8"/>
    <w:rsid w:val="00BB366C"/>
    <w:rsid w:val="00BB3A48"/>
    <w:rsid w:val="00BB3A5F"/>
    <w:rsid w:val="00BB3B6D"/>
    <w:rsid w:val="00BB3C5E"/>
    <w:rsid w:val="00BB3D9D"/>
    <w:rsid w:val="00BB3E97"/>
    <w:rsid w:val="00BB3F07"/>
    <w:rsid w:val="00BB40B1"/>
    <w:rsid w:val="00BB467D"/>
    <w:rsid w:val="00BB46E8"/>
    <w:rsid w:val="00BB4A00"/>
    <w:rsid w:val="00BB4C6A"/>
    <w:rsid w:val="00BB4ED3"/>
    <w:rsid w:val="00BB4ED8"/>
    <w:rsid w:val="00BB5017"/>
    <w:rsid w:val="00BB542E"/>
    <w:rsid w:val="00BB54AD"/>
    <w:rsid w:val="00BB568E"/>
    <w:rsid w:val="00BB56DF"/>
    <w:rsid w:val="00BB58CF"/>
    <w:rsid w:val="00BB5A82"/>
    <w:rsid w:val="00BB5A8F"/>
    <w:rsid w:val="00BB5C27"/>
    <w:rsid w:val="00BB606C"/>
    <w:rsid w:val="00BB6698"/>
    <w:rsid w:val="00BB6830"/>
    <w:rsid w:val="00BB6933"/>
    <w:rsid w:val="00BB6A28"/>
    <w:rsid w:val="00BB6C72"/>
    <w:rsid w:val="00BB6C73"/>
    <w:rsid w:val="00BB6CBE"/>
    <w:rsid w:val="00BB6D7D"/>
    <w:rsid w:val="00BB6E55"/>
    <w:rsid w:val="00BB74BE"/>
    <w:rsid w:val="00BB7731"/>
    <w:rsid w:val="00BB791C"/>
    <w:rsid w:val="00BB7938"/>
    <w:rsid w:val="00BB7C08"/>
    <w:rsid w:val="00BB7E81"/>
    <w:rsid w:val="00BB7F5A"/>
    <w:rsid w:val="00BB7FB2"/>
    <w:rsid w:val="00BB7FC5"/>
    <w:rsid w:val="00BC005C"/>
    <w:rsid w:val="00BC0186"/>
    <w:rsid w:val="00BC04C7"/>
    <w:rsid w:val="00BC0623"/>
    <w:rsid w:val="00BC08BA"/>
    <w:rsid w:val="00BC099F"/>
    <w:rsid w:val="00BC0C25"/>
    <w:rsid w:val="00BC0E52"/>
    <w:rsid w:val="00BC0ED5"/>
    <w:rsid w:val="00BC1132"/>
    <w:rsid w:val="00BC132F"/>
    <w:rsid w:val="00BC13CD"/>
    <w:rsid w:val="00BC13DC"/>
    <w:rsid w:val="00BC1B40"/>
    <w:rsid w:val="00BC23AB"/>
    <w:rsid w:val="00BC25ED"/>
    <w:rsid w:val="00BC25F6"/>
    <w:rsid w:val="00BC26E6"/>
    <w:rsid w:val="00BC29E6"/>
    <w:rsid w:val="00BC2B83"/>
    <w:rsid w:val="00BC2DFF"/>
    <w:rsid w:val="00BC2F41"/>
    <w:rsid w:val="00BC2F7C"/>
    <w:rsid w:val="00BC31B8"/>
    <w:rsid w:val="00BC32A4"/>
    <w:rsid w:val="00BC34A1"/>
    <w:rsid w:val="00BC3532"/>
    <w:rsid w:val="00BC359B"/>
    <w:rsid w:val="00BC35BC"/>
    <w:rsid w:val="00BC3658"/>
    <w:rsid w:val="00BC37F4"/>
    <w:rsid w:val="00BC3A2A"/>
    <w:rsid w:val="00BC3D18"/>
    <w:rsid w:val="00BC3DA4"/>
    <w:rsid w:val="00BC3FB2"/>
    <w:rsid w:val="00BC40CD"/>
    <w:rsid w:val="00BC4180"/>
    <w:rsid w:val="00BC438E"/>
    <w:rsid w:val="00BC44CD"/>
    <w:rsid w:val="00BC460F"/>
    <w:rsid w:val="00BC48EC"/>
    <w:rsid w:val="00BC4C1C"/>
    <w:rsid w:val="00BC52E4"/>
    <w:rsid w:val="00BC536F"/>
    <w:rsid w:val="00BC53ED"/>
    <w:rsid w:val="00BC5882"/>
    <w:rsid w:val="00BC5949"/>
    <w:rsid w:val="00BC5AA2"/>
    <w:rsid w:val="00BC5ADA"/>
    <w:rsid w:val="00BC5C5B"/>
    <w:rsid w:val="00BC5E00"/>
    <w:rsid w:val="00BC5F47"/>
    <w:rsid w:val="00BC608F"/>
    <w:rsid w:val="00BC63F4"/>
    <w:rsid w:val="00BC6457"/>
    <w:rsid w:val="00BC64EC"/>
    <w:rsid w:val="00BC650E"/>
    <w:rsid w:val="00BC651D"/>
    <w:rsid w:val="00BC65A3"/>
    <w:rsid w:val="00BC66BA"/>
    <w:rsid w:val="00BC66F5"/>
    <w:rsid w:val="00BC681D"/>
    <w:rsid w:val="00BC691F"/>
    <w:rsid w:val="00BC6DA1"/>
    <w:rsid w:val="00BC6DFF"/>
    <w:rsid w:val="00BC6FE6"/>
    <w:rsid w:val="00BC717B"/>
    <w:rsid w:val="00BC71F5"/>
    <w:rsid w:val="00BC7315"/>
    <w:rsid w:val="00BC748E"/>
    <w:rsid w:val="00BC7521"/>
    <w:rsid w:val="00BC7713"/>
    <w:rsid w:val="00BC7818"/>
    <w:rsid w:val="00BC7819"/>
    <w:rsid w:val="00BC792B"/>
    <w:rsid w:val="00BC7AB5"/>
    <w:rsid w:val="00BC7BDA"/>
    <w:rsid w:val="00BC7C50"/>
    <w:rsid w:val="00BC7C93"/>
    <w:rsid w:val="00BD0007"/>
    <w:rsid w:val="00BD01D8"/>
    <w:rsid w:val="00BD02A2"/>
    <w:rsid w:val="00BD0374"/>
    <w:rsid w:val="00BD06B7"/>
    <w:rsid w:val="00BD0A3F"/>
    <w:rsid w:val="00BD0B5A"/>
    <w:rsid w:val="00BD0C17"/>
    <w:rsid w:val="00BD0CE6"/>
    <w:rsid w:val="00BD0CF1"/>
    <w:rsid w:val="00BD0E79"/>
    <w:rsid w:val="00BD131A"/>
    <w:rsid w:val="00BD19D6"/>
    <w:rsid w:val="00BD1A27"/>
    <w:rsid w:val="00BD1CB4"/>
    <w:rsid w:val="00BD1D59"/>
    <w:rsid w:val="00BD1D9C"/>
    <w:rsid w:val="00BD1FF8"/>
    <w:rsid w:val="00BD212E"/>
    <w:rsid w:val="00BD2421"/>
    <w:rsid w:val="00BD2661"/>
    <w:rsid w:val="00BD2691"/>
    <w:rsid w:val="00BD2CAC"/>
    <w:rsid w:val="00BD2CF6"/>
    <w:rsid w:val="00BD3107"/>
    <w:rsid w:val="00BD3418"/>
    <w:rsid w:val="00BD3767"/>
    <w:rsid w:val="00BD39A6"/>
    <w:rsid w:val="00BD3F9A"/>
    <w:rsid w:val="00BD40A0"/>
    <w:rsid w:val="00BD40A3"/>
    <w:rsid w:val="00BD4118"/>
    <w:rsid w:val="00BD4338"/>
    <w:rsid w:val="00BD528E"/>
    <w:rsid w:val="00BD52B5"/>
    <w:rsid w:val="00BD54C2"/>
    <w:rsid w:val="00BD54DD"/>
    <w:rsid w:val="00BD5984"/>
    <w:rsid w:val="00BD59FB"/>
    <w:rsid w:val="00BD5A4F"/>
    <w:rsid w:val="00BD5E29"/>
    <w:rsid w:val="00BD5ED5"/>
    <w:rsid w:val="00BD5F53"/>
    <w:rsid w:val="00BD609B"/>
    <w:rsid w:val="00BD612B"/>
    <w:rsid w:val="00BD64F7"/>
    <w:rsid w:val="00BD650F"/>
    <w:rsid w:val="00BD65B3"/>
    <w:rsid w:val="00BD6971"/>
    <w:rsid w:val="00BD6A57"/>
    <w:rsid w:val="00BD6B51"/>
    <w:rsid w:val="00BD6B78"/>
    <w:rsid w:val="00BD6BC8"/>
    <w:rsid w:val="00BD6FA1"/>
    <w:rsid w:val="00BD70AB"/>
    <w:rsid w:val="00BD724F"/>
    <w:rsid w:val="00BD72F4"/>
    <w:rsid w:val="00BD73DE"/>
    <w:rsid w:val="00BD7741"/>
    <w:rsid w:val="00BD78CB"/>
    <w:rsid w:val="00BD797A"/>
    <w:rsid w:val="00BD7A4E"/>
    <w:rsid w:val="00BD7C63"/>
    <w:rsid w:val="00BD7CA7"/>
    <w:rsid w:val="00BD7D9D"/>
    <w:rsid w:val="00BD7ED8"/>
    <w:rsid w:val="00BD7F8F"/>
    <w:rsid w:val="00BE0178"/>
    <w:rsid w:val="00BE01D8"/>
    <w:rsid w:val="00BE022E"/>
    <w:rsid w:val="00BE02B3"/>
    <w:rsid w:val="00BE02DD"/>
    <w:rsid w:val="00BE080B"/>
    <w:rsid w:val="00BE08B3"/>
    <w:rsid w:val="00BE0B49"/>
    <w:rsid w:val="00BE0D89"/>
    <w:rsid w:val="00BE0EF7"/>
    <w:rsid w:val="00BE0FC7"/>
    <w:rsid w:val="00BE113B"/>
    <w:rsid w:val="00BE1195"/>
    <w:rsid w:val="00BE121B"/>
    <w:rsid w:val="00BE125E"/>
    <w:rsid w:val="00BE15B0"/>
    <w:rsid w:val="00BE15F1"/>
    <w:rsid w:val="00BE19F7"/>
    <w:rsid w:val="00BE1CE7"/>
    <w:rsid w:val="00BE1D94"/>
    <w:rsid w:val="00BE1E14"/>
    <w:rsid w:val="00BE1E7E"/>
    <w:rsid w:val="00BE210A"/>
    <w:rsid w:val="00BE2352"/>
    <w:rsid w:val="00BE2365"/>
    <w:rsid w:val="00BE2953"/>
    <w:rsid w:val="00BE2A94"/>
    <w:rsid w:val="00BE2B91"/>
    <w:rsid w:val="00BE2CAE"/>
    <w:rsid w:val="00BE2D37"/>
    <w:rsid w:val="00BE2E7D"/>
    <w:rsid w:val="00BE2F06"/>
    <w:rsid w:val="00BE323E"/>
    <w:rsid w:val="00BE3599"/>
    <w:rsid w:val="00BE3A02"/>
    <w:rsid w:val="00BE3D09"/>
    <w:rsid w:val="00BE3D8C"/>
    <w:rsid w:val="00BE3F1F"/>
    <w:rsid w:val="00BE3F90"/>
    <w:rsid w:val="00BE419D"/>
    <w:rsid w:val="00BE430E"/>
    <w:rsid w:val="00BE43BD"/>
    <w:rsid w:val="00BE43F3"/>
    <w:rsid w:val="00BE446D"/>
    <w:rsid w:val="00BE475E"/>
    <w:rsid w:val="00BE48B2"/>
    <w:rsid w:val="00BE4927"/>
    <w:rsid w:val="00BE50BE"/>
    <w:rsid w:val="00BE511E"/>
    <w:rsid w:val="00BE5192"/>
    <w:rsid w:val="00BE5564"/>
    <w:rsid w:val="00BE5712"/>
    <w:rsid w:val="00BE578E"/>
    <w:rsid w:val="00BE59D4"/>
    <w:rsid w:val="00BE5BF1"/>
    <w:rsid w:val="00BE5F19"/>
    <w:rsid w:val="00BE5FEC"/>
    <w:rsid w:val="00BE626D"/>
    <w:rsid w:val="00BE6271"/>
    <w:rsid w:val="00BE674D"/>
    <w:rsid w:val="00BE67B2"/>
    <w:rsid w:val="00BE68BC"/>
    <w:rsid w:val="00BE69D2"/>
    <w:rsid w:val="00BE6AE9"/>
    <w:rsid w:val="00BE6F6B"/>
    <w:rsid w:val="00BE6FF5"/>
    <w:rsid w:val="00BE7308"/>
    <w:rsid w:val="00BE74E4"/>
    <w:rsid w:val="00BE75F8"/>
    <w:rsid w:val="00BE7782"/>
    <w:rsid w:val="00BE789B"/>
    <w:rsid w:val="00BE7B25"/>
    <w:rsid w:val="00BE7CA0"/>
    <w:rsid w:val="00BE7EBD"/>
    <w:rsid w:val="00BF001E"/>
    <w:rsid w:val="00BF00B5"/>
    <w:rsid w:val="00BF0265"/>
    <w:rsid w:val="00BF03B3"/>
    <w:rsid w:val="00BF0690"/>
    <w:rsid w:val="00BF0803"/>
    <w:rsid w:val="00BF082D"/>
    <w:rsid w:val="00BF0CCD"/>
    <w:rsid w:val="00BF0E3C"/>
    <w:rsid w:val="00BF10EA"/>
    <w:rsid w:val="00BF119A"/>
    <w:rsid w:val="00BF15E0"/>
    <w:rsid w:val="00BF171A"/>
    <w:rsid w:val="00BF1825"/>
    <w:rsid w:val="00BF1D3E"/>
    <w:rsid w:val="00BF1EFD"/>
    <w:rsid w:val="00BF20BF"/>
    <w:rsid w:val="00BF20D6"/>
    <w:rsid w:val="00BF2566"/>
    <w:rsid w:val="00BF27A0"/>
    <w:rsid w:val="00BF2928"/>
    <w:rsid w:val="00BF2A2E"/>
    <w:rsid w:val="00BF2DFA"/>
    <w:rsid w:val="00BF3173"/>
    <w:rsid w:val="00BF34E8"/>
    <w:rsid w:val="00BF35F7"/>
    <w:rsid w:val="00BF36D4"/>
    <w:rsid w:val="00BF3BD9"/>
    <w:rsid w:val="00BF3C28"/>
    <w:rsid w:val="00BF3E0E"/>
    <w:rsid w:val="00BF3FA6"/>
    <w:rsid w:val="00BF415D"/>
    <w:rsid w:val="00BF431C"/>
    <w:rsid w:val="00BF44EB"/>
    <w:rsid w:val="00BF4657"/>
    <w:rsid w:val="00BF470D"/>
    <w:rsid w:val="00BF494F"/>
    <w:rsid w:val="00BF4AA9"/>
    <w:rsid w:val="00BF4EF6"/>
    <w:rsid w:val="00BF5070"/>
    <w:rsid w:val="00BF5209"/>
    <w:rsid w:val="00BF532F"/>
    <w:rsid w:val="00BF5350"/>
    <w:rsid w:val="00BF56AA"/>
    <w:rsid w:val="00BF56DF"/>
    <w:rsid w:val="00BF5831"/>
    <w:rsid w:val="00BF5CED"/>
    <w:rsid w:val="00BF6226"/>
    <w:rsid w:val="00BF678B"/>
    <w:rsid w:val="00BF6BE3"/>
    <w:rsid w:val="00BF6C97"/>
    <w:rsid w:val="00BF6E3B"/>
    <w:rsid w:val="00BF7743"/>
    <w:rsid w:val="00BF7A8C"/>
    <w:rsid w:val="00BF7A9D"/>
    <w:rsid w:val="00BF7D71"/>
    <w:rsid w:val="00C00274"/>
    <w:rsid w:val="00C00A0F"/>
    <w:rsid w:val="00C00DE4"/>
    <w:rsid w:val="00C00E3C"/>
    <w:rsid w:val="00C00E5B"/>
    <w:rsid w:val="00C01344"/>
    <w:rsid w:val="00C01460"/>
    <w:rsid w:val="00C015DF"/>
    <w:rsid w:val="00C01896"/>
    <w:rsid w:val="00C01B06"/>
    <w:rsid w:val="00C01CE2"/>
    <w:rsid w:val="00C01EA0"/>
    <w:rsid w:val="00C01EBE"/>
    <w:rsid w:val="00C01F14"/>
    <w:rsid w:val="00C0207C"/>
    <w:rsid w:val="00C0289B"/>
    <w:rsid w:val="00C02B35"/>
    <w:rsid w:val="00C02CBD"/>
    <w:rsid w:val="00C0310C"/>
    <w:rsid w:val="00C03136"/>
    <w:rsid w:val="00C0330F"/>
    <w:rsid w:val="00C033D8"/>
    <w:rsid w:val="00C03463"/>
    <w:rsid w:val="00C034B8"/>
    <w:rsid w:val="00C035EB"/>
    <w:rsid w:val="00C03792"/>
    <w:rsid w:val="00C038FB"/>
    <w:rsid w:val="00C039D5"/>
    <w:rsid w:val="00C03A83"/>
    <w:rsid w:val="00C03C80"/>
    <w:rsid w:val="00C03E56"/>
    <w:rsid w:val="00C03FB1"/>
    <w:rsid w:val="00C040C1"/>
    <w:rsid w:val="00C04184"/>
    <w:rsid w:val="00C045F8"/>
    <w:rsid w:val="00C04647"/>
    <w:rsid w:val="00C047FB"/>
    <w:rsid w:val="00C05178"/>
    <w:rsid w:val="00C052CE"/>
    <w:rsid w:val="00C055C6"/>
    <w:rsid w:val="00C05785"/>
    <w:rsid w:val="00C057B7"/>
    <w:rsid w:val="00C057FB"/>
    <w:rsid w:val="00C05A23"/>
    <w:rsid w:val="00C05BF7"/>
    <w:rsid w:val="00C05D55"/>
    <w:rsid w:val="00C05F26"/>
    <w:rsid w:val="00C06169"/>
    <w:rsid w:val="00C0622E"/>
    <w:rsid w:val="00C06297"/>
    <w:rsid w:val="00C06598"/>
    <w:rsid w:val="00C0661E"/>
    <w:rsid w:val="00C067A3"/>
    <w:rsid w:val="00C06841"/>
    <w:rsid w:val="00C069B5"/>
    <w:rsid w:val="00C06BA0"/>
    <w:rsid w:val="00C06C4F"/>
    <w:rsid w:val="00C06FA0"/>
    <w:rsid w:val="00C06FDE"/>
    <w:rsid w:val="00C07423"/>
    <w:rsid w:val="00C07632"/>
    <w:rsid w:val="00C076D9"/>
    <w:rsid w:val="00C07AC2"/>
    <w:rsid w:val="00C07B6B"/>
    <w:rsid w:val="00C07C95"/>
    <w:rsid w:val="00C10016"/>
    <w:rsid w:val="00C104CE"/>
    <w:rsid w:val="00C10B92"/>
    <w:rsid w:val="00C10CEC"/>
    <w:rsid w:val="00C10D87"/>
    <w:rsid w:val="00C10EE6"/>
    <w:rsid w:val="00C1102F"/>
    <w:rsid w:val="00C110FD"/>
    <w:rsid w:val="00C11705"/>
    <w:rsid w:val="00C11D39"/>
    <w:rsid w:val="00C11DD4"/>
    <w:rsid w:val="00C11F4E"/>
    <w:rsid w:val="00C120C1"/>
    <w:rsid w:val="00C12100"/>
    <w:rsid w:val="00C121D1"/>
    <w:rsid w:val="00C122BA"/>
    <w:rsid w:val="00C12321"/>
    <w:rsid w:val="00C123F9"/>
    <w:rsid w:val="00C12507"/>
    <w:rsid w:val="00C126A2"/>
    <w:rsid w:val="00C12D75"/>
    <w:rsid w:val="00C12DF5"/>
    <w:rsid w:val="00C12FE2"/>
    <w:rsid w:val="00C130E1"/>
    <w:rsid w:val="00C13245"/>
    <w:rsid w:val="00C13296"/>
    <w:rsid w:val="00C132ED"/>
    <w:rsid w:val="00C1372C"/>
    <w:rsid w:val="00C13787"/>
    <w:rsid w:val="00C13A44"/>
    <w:rsid w:val="00C13E8A"/>
    <w:rsid w:val="00C13F4A"/>
    <w:rsid w:val="00C14056"/>
    <w:rsid w:val="00C14078"/>
    <w:rsid w:val="00C14101"/>
    <w:rsid w:val="00C14393"/>
    <w:rsid w:val="00C146BB"/>
    <w:rsid w:val="00C1495A"/>
    <w:rsid w:val="00C14CCA"/>
    <w:rsid w:val="00C14F1B"/>
    <w:rsid w:val="00C15106"/>
    <w:rsid w:val="00C15186"/>
    <w:rsid w:val="00C15405"/>
    <w:rsid w:val="00C15C21"/>
    <w:rsid w:val="00C15F24"/>
    <w:rsid w:val="00C160A8"/>
    <w:rsid w:val="00C161DD"/>
    <w:rsid w:val="00C163A4"/>
    <w:rsid w:val="00C16475"/>
    <w:rsid w:val="00C1688B"/>
    <w:rsid w:val="00C1693D"/>
    <w:rsid w:val="00C16956"/>
    <w:rsid w:val="00C16A9D"/>
    <w:rsid w:val="00C170E0"/>
    <w:rsid w:val="00C174E5"/>
    <w:rsid w:val="00C176A3"/>
    <w:rsid w:val="00C17A29"/>
    <w:rsid w:val="00C17C3A"/>
    <w:rsid w:val="00C17C5D"/>
    <w:rsid w:val="00C17D93"/>
    <w:rsid w:val="00C17DAF"/>
    <w:rsid w:val="00C17DD0"/>
    <w:rsid w:val="00C17E24"/>
    <w:rsid w:val="00C202E1"/>
    <w:rsid w:val="00C20394"/>
    <w:rsid w:val="00C2041F"/>
    <w:rsid w:val="00C2060B"/>
    <w:rsid w:val="00C2075F"/>
    <w:rsid w:val="00C2085F"/>
    <w:rsid w:val="00C2123B"/>
    <w:rsid w:val="00C21368"/>
    <w:rsid w:val="00C2185C"/>
    <w:rsid w:val="00C218DB"/>
    <w:rsid w:val="00C21998"/>
    <w:rsid w:val="00C21AD7"/>
    <w:rsid w:val="00C21CC4"/>
    <w:rsid w:val="00C21FDD"/>
    <w:rsid w:val="00C2206E"/>
    <w:rsid w:val="00C22392"/>
    <w:rsid w:val="00C226EC"/>
    <w:rsid w:val="00C22820"/>
    <w:rsid w:val="00C228A0"/>
    <w:rsid w:val="00C22A6D"/>
    <w:rsid w:val="00C22B00"/>
    <w:rsid w:val="00C22C36"/>
    <w:rsid w:val="00C22DAB"/>
    <w:rsid w:val="00C22DC9"/>
    <w:rsid w:val="00C22E04"/>
    <w:rsid w:val="00C2333A"/>
    <w:rsid w:val="00C236D0"/>
    <w:rsid w:val="00C2371E"/>
    <w:rsid w:val="00C23C62"/>
    <w:rsid w:val="00C23D66"/>
    <w:rsid w:val="00C23E01"/>
    <w:rsid w:val="00C23E52"/>
    <w:rsid w:val="00C24047"/>
    <w:rsid w:val="00C249E7"/>
    <w:rsid w:val="00C24B61"/>
    <w:rsid w:val="00C24B99"/>
    <w:rsid w:val="00C2508A"/>
    <w:rsid w:val="00C25557"/>
    <w:rsid w:val="00C25778"/>
    <w:rsid w:val="00C257C0"/>
    <w:rsid w:val="00C2593E"/>
    <w:rsid w:val="00C259E5"/>
    <w:rsid w:val="00C25A6E"/>
    <w:rsid w:val="00C25D34"/>
    <w:rsid w:val="00C25F80"/>
    <w:rsid w:val="00C25FC7"/>
    <w:rsid w:val="00C26103"/>
    <w:rsid w:val="00C26469"/>
    <w:rsid w:val="00C2650D"/>
    <w:rsid w:val="00C2657B"/>
    <w:rsid w:val="00C265A6"/>
    <w:rsid w:val="00C26913"/>
    <w:rsid w:val="00C26E82"/>
    <w:rsid w:val="00C271F5"/>
    <w:rsid w:val="00C2724F"/>
    <w:rsid w:val="00C27341"/>
    <w:rsid w:val="00C273D9"/>
    <w:rsid w:val="00C27629"/>
    <w:rsid w:val="00C276B6"/>
    <w:rsid w:val="00C2770E"/>
    <w:rsid w:val="00C278E5"/>
    <w:rsid w:val="00C27C41"/>
    <w:rsid w:val="00C27C86"/>
    <w:rsid w:val="00C27F2B"/>
    <w:rsid w:val="00C27FCC"/>
    <w:rsid w:val="00C301E5"/>
    <w:rsid w:val="00C30719"/>
    <w:rsid w:val="00C307ED"/>
    <w:rsid w:val="00C308F8"/>
    <w:rsid w:val="00C309D0"/>
    <w:rsid w:val="00C30C63"/>
    <w:rsid w:val="00C30F35"/>
    <w:rsid w:val="00C310D5"/>
    <w:rsid w:val="00C31212"/>
    <w:rsid w:val="00C3122E"/>
    <w:rsid w:val="00C3133F"/>
    <w:rsid w:val="00C3134A"/>
    <w:rsid w:val="00C31AD5"/>
    <w:rsid w:val="00C31AEF"/>
    <w:rsid w:val="00C31B0D"/>
    <w:rsid w:val="00C31B4E"/>
    <w:rsid w:val="00C31B62"/>
    <w:rsid w:val="00C31ECF"/>
    <w:rsid w:val="00C3203E"/>
    <w:rsid w:val="00C32182"/>
    <w:rsid w:val="00C322D8"/>
    <w:rsid w:val="00C32420"/>
    <w:rsid w:val="00C327C6"/>
    <w:rsid w:val="00C32830"/>
    <w:rsid w:val="00C32CFF"/>
    <w:rsid w:val="00C32D6B"/>
    <w:rsid w:val="00C3324E"/>
    <w:rsid w:val="00C33420"/>
    <w:rsid w:val="00C3349C"/>
    <w:rsid w:val="00C334C6"/>
    <w:rsid w:val="00C33544"/>
    <w:rsid w:val="00C33808"/>
    <w:rsid w:val="00C33CE4"/>
    <w:rsid w:val="00C33E10"/>
    <w:rsid w:val="00C33F56"/>
    <w:rsid w:val="00C345DB"/>
    <w:rsid w:val="00C34AC8"/>
    <w:rsid w:val="00C34F4B"/>
    <w:rsid w:val="00C34FA2"/>
    <w:rsid w:val="00C3523A"/>
    <w:rsid w:val="00C35295"/>
    <w:rsid w:val="00C3539C"/>
    <w:rsid w:val="00C35570"/>
    <w:rsid w:val="00C356C3"/>
    <w:rsid w:val="00C357AB"/>
    <w:rsid w:val="00C35C47"/>
    <w:rsid w:val="00C35CE9"/>
    <w:rsid w:val="00C35D11"/>
    <w:rsid w:val="00C361D0"/>
    <w:rsid w:val="00C365D9"/>
    <w:rsid w:val="00C36AA9"/>
    <w:rsid w:val="00C36DBB"/>
    <w:rsid w:val="00C36DED"/>
    <w:rsid w:val="00C370D1"/>
    <w:rsid w:val="00C37107"/>
    <w:rsid w:val="00C371E3"/>
    <w:rsid w:val="00C3767D"/>
    <w:rsid w:val="00C376AB"/>
    <w:rsid w:val="00C376DE"/>
    <w:rsid w:val="00C37957"/>
    <w:rsid w:val="00C37C4D"/>
    <w:rsid w:val="00C40127"/>
    <w:rsid w:val="00C402A3"/>
    <w:rsid w:val="00C403CE"/>
    <w:rsid w:val="00C407EE"/>
    <w:rsid w:val="00C4094B"/>
    <w:rsid w:val="00C40CF0"/>
    <w:rsid w:val="00C41256"/>
    <w:rsid w:val="00C414AA"/>
    <w:rsid w:val="00C4174B"/>
    <w:rsid w:val="00C4182D"/>
    <w:rsid w:val="00C41A63"/>
    <w:rsid w:val="00C41BCD"/>
    <w:rsid w:val="00C41F4C"/>
    <w:rsid w:val="00C420A8"/>
    <w:rsid w:val="00C421D1"/>
    <w:rsid w:val="00C42335"/>
    <w:rsid w:val="00C423B6"/>
    <w:rsid w:val="00C42492"/>
    <w:rsid w:val="00C429E5"/>
    <w:rsid w:val="00C42A66"/>
    <w:rsid w:val="00C42BCB"/>
    <w:rsid w:val="00C42CBB"/>
    <w:rsid w:val="00C42F61"/>
    <w:rsid w:val="00C430E1"/>
    <w:rsid w:val="00C4339C"/>
    <w:rsid w:val="00C4398F"/>
    <w:rsid w:val="00C43CA5"/>
    <w:rsid w:val="00C4410C"/>
    <w:rsid w:val="00C444B7"/>
    <w:rsid w:val="00C44597"/>
    <w:rsid w:val="00C445F0"/>
    <w:rsid w:val="00C44A38"/>
    <w:rsid w:val="00C44A3A"/>
    <w:rsid w:val="00C44D72"/>
    <w:rsid w:val="00C44F4E"/>
    <w:rsid w:val="00C44FB1"/>
    <w:rsid w:val="00C44FF4"/>
    <w:rsid w:val="00C450A0"/>
    <w:rsid w:val="00C454C7"/>
    <w:rsid w:val="00C456FA"/>
    <w:rsid w:val="00C45C30"/>
    <w:rsid w:val="00C4626D"/>
    <w:rsid w:val="00C46488"/>
    <w:rsid w:val="00C464BF"/>
    <w:rsid w:val="00C46519"/>
    <w:rsid w:val="00C46578"/>
    <w:rsid w:val="00C469DE"/>
    <w:rsid w:val="00C46B5C"/>
    <w:rsid w:val="00C46DFF"/>
    <w:rsid w:val="00C472EE"/>
    <w:rsid w:val="00C473B6"/>
    <w:rsid w:val="00C474DB"/>
    <w:rsid w:val="00C474E0"/>
    <w:rsid w:val="00C47546"/>
    <w:rsid w:val="00C47609"/>
    <w:rsid w:val="00C478D9"/>
    <w:rsid w:val="00C50153"/>
    <w:rsid w:val="00C501C5"/>
    <w:rsid w:val="00C50225"/>
    <w:rsid w:val="00C502CF"/>
    <w:rsid w:val="00C50312"/>
    <w:rsid w:val="00C50595"/>
    <w:rsid w:val="00C50659"/>
    <w:rsid w:val="00C50B92"/>
    <w:rsid w:val="00C50DDC"/>
    <w:rsid w:val="00C50E68"/>
    <w:rsid w:val="00C51086"/>
    <w:rsid w:val="00C512B9"/>
    <w:rsid w:val="00C51492"/>
    <w:rsid w:val="00C5160D"/>
    <w:rsid w:val="00C517BE"/>
    <w:rsid w:val="00C5181F"/>
    <w:rsid w:val="00C51A29"/>
    <w:rsid w:val="00C51B19"/>
    <w:rsid w:val="00C51B78"/>
    <w:rsid w:val="00C51F39"/>
    <w:rsid w:val="00C51F7E"/>
    <w:rsid w:val="00C5212B"/>
    <w:rsid w:val="00C521C6"/>
    <w:rsid w:val="00C52202"/>
    <w:rsid w:val="00C52207"/>
    <w:rsid w:val="00C52380"/>
    <w:rsid w:val="00C524A7"/>
    <w:rsid w:val="00C524E4"/>
    <w:rsid w:val="00C52508"/>
    <w:rsid w:val="00C528BA"/>
    <w:rsid w:val="00C52C84"/>
    <w:rsid w:val="00C52D21"/>
    <w:rsid w:val="00C52FB5"/>
    <w:rsid w:val="00C530B9"/>
    <w:rsid w:val="00C5366F"/>
    <w:rsid w:val="00C53913"/>
    <w:rsid w:val="00C53BC5"/>
    <w:rsid w:val="00C53D56"/>
    <w:rsid w:val="00C542D2"/>
    <w:rsid w:val="00C54604"/>
    <w:rsid w:val="00C54700"/>
    <w:rsid w:val="00C54789"/>
    <w:rsid w:val="00C54BCE"/>
    <w:rsid w:val="00C5504C"/>
    <w:rsid w:val="00C550C2"/>
    <w:rsid w:val="00C5520F"/>
    <w:rsid w:val="00C553AD"/>
    <w:rsid w:val="00C5594C"/>
    <w:rsid w:val="00C55DEF"/>
    <w:rsid w:val="00C55E3E"/>
    <w:rsid w:val="00C55EF3"/>
    <w:rsid w:val="00C5629D"/>
    <w:rsid w:val="00C56386"/>
    <w:rsid w:val="00C56457"/>
    <w:rsid w:val="00C564AB"/>
    <w:rsid w:val="00C567CE"/>
    <w:rsid w:val="00C56BD2"/>
    <w:rsid w:val="00C56D1C"/>
    <w:rsid w:val="00C56DF5"/>
    <w:rsid w:val="00C56E29"/>
    <w:rsid w:val="00C571B6"/>
    <w:rsid w:val="00C57A35"/>
    <w:rsid w:val="00C57BC5"/>
    <w:rsid w:val="00C57E04"/>
    <w:rsid w:val="00C57E95"/>
    <w:rsid w:val="00C600F2"/>
    <w:rsid w:val="00C601F2"/>
    <w:rsid w:val="00C60599"/>
    <w:rsid w:val="00C60810"/>
    <w:rsid w:val="00C609F7"/>
    <w:rsid w:val="00C60A74"/>
    <w:rsid w:val="00C60DDA"/>
    <w:rsid w:val="00C6108D"/>
    <w:rsid w:val="00C61097"/>
    <w:rsid w:val="00C613E8"/>
    <w:rsid w:val="00C61524"/>
    <w:rsid w:val="00C61686"/>
    <w:rsid w:val="00C6170B"/>
    <w:rsid w:val="00C61825"/>
    <w:rsid w:val="00C61968"/>
    <w:rsid w:val="00C61A0C"/>
    <w:rsid w:val="00C61C20"/>
    <w:rsid w:val="00C6216B"/>
    <w:rsid w:val="00C6223B"/>
    <w:rsid w:val="00C62703"/>
    <w:rsid w:val="00C6293D"/>
    <w:rsid w:val="00C629CE"/>
    <w:rsid w:val="00C62CBE"/>
    <w:rsid w:val="00C62CE5"/>
    <w:rsid w:val="00C62D86"/>
    <w:rsid w:val="00C6322B"/>
    <w:rsid w:val="00C6336E"/>
    <w:rsid w:val="00C63705"/>
    <w:rsid w:val="00C63733"/>
    <w:rsid w:val="00C6374A"/>
    <w:rsid w:val="00C63E88"/>
    <w:rsid w:val="00C64513"/>
    <w:rsid w:val="00C647E5"/>
    <w:rsid w:val="00C64A7A"/>
    <w:rsid w:val="00C64C31"/>
    <w:rsid w:val="00C64DAC"/>
    <w:rsid w:val="00C65160"/>
    <w:rsid w:val="00C651FF"/>
    <w:rsid w:val="00C653D0"/>
    <w:rsid w:val="00C6548B"/>
    <w:rsid w:val="00C654CA"/>
    <w:rsid w:val="00C654E5"/>
    <w:rsid w:val="00C655A4"/>
    <w:rsid w:val="00C657F5"/>
    <w:rsid w:val="00C65807"/>
    <w:rsid w:val="00C65956"/>
    <w:rsid w:val="00C65D2A"/>
    <w:rsid w:val="00C665E9"/>
    <w:rsid w:val="00C6687A"/>
    <w:rsid w:val="00C66B73"/>
    <w:rsid w:val="00C66E04"/>
    <w:rsid w:val="00C66EDE"/>
    <w:rsid w:val="00C66EE0"/>
    <w:rsid w:val="00C6703F"/>
    <w:rsid w:val="00C6724D"/>
    <w:rsid w:val="00C6747C"/>
    <w:rsid w:val="00C675FD"/>
    <w:rsid w:val="00C67712"/>
    <w:rsid w:val="00C67744"/>
    <w:rsid w:val="00C67937"/>
    <w:rsid w:val="00C67D5F"/>
    <w:rsid w:val="00C67DD0"/>
    <w:rsid w:val="00C703AE"/>
    <w:rsid w:val="00C70451"/>
    <w:rsid w:val="00C704CE"/>
    <w:rsid w:val="00C70817"/>
    <w:rsid w:val="00C70B8D"/>
    <w:rsid w:val="00C70BE0"/>
    <w:rsid w:val="00C70E8A"/>
    <w:rsid w:val="00C70E90"/>
    <w:rsid w:val="00C7131B"/>
    <w:rsid w:val="00C71401"/>
    <w:rsid w:val="00C7147B"/>
    <w:rsid w:val="00C714C3"/>
    <w:rsid w:val="00C715FA"/>
    <w:rsid w:val="00C716BC"/>
    <w:rsid w:val="00C71743"/>
    <w:rsid w:val="00C71888"/>
    <w:rsid w:val="00C718D1"/>
    <w:rsid w:val="00C71E4F"/>
    <w:rsid w:val="00C71F56"/>
    <w:rsid w:val="00C7215F"/>
    <w:rsid w:val="00C7218C"/>
    <w:rsid w:val="00C7224E"/>
    <w:rsid w:val="00C72313"/>
    <w:rsid w:val="00C72336"/>
    <w:rsid w:val="00C7238B"/>
    <w:rsid w:val="00C72418"/>
    <w:rsid w:val="00C726B8"/>
    <w:rsid w:val="00C7278E"/>
    <w:rsid w:val="00C729A0"/>
    <w:rsid w:val="00C72E18"/>
    <w:rsid w:val="00C72E9E"/>
    <w:rsid w:val="00C72EDB"/>
    <w:rsid w:val="00C73199"/>
    <w:rsid w:val="00C7330E"/>
    <w:rsid w:val="00C7379B"/>
    <w:rsid w:val="00C737A2"/>
    <w:rsid w:val="00C73B28"/>
    <w:rsid w:val="00C742A8"/>
    <w:rsid w:val="00C7437C"/>
    <w:rsid w:val="00C74489"/>
    <w:rsid w:val="00C74534"/>
    <w:rsid w:val="00C74615"/>
    <w:rsid w:val="00C74769"/>
    <w:rsid w:val="00C7477F"/>
    <w:rsid w:val="00C747DC"/>
    <w:rsid w:val="00C74942"/>
    <w:rsid w:val="00C74AFD"/>
    <w:rsid w:val="00C74D46"/>
    <w:rsid w:val="00C74F94"/>
    <w:rsid w:val="00C7512C"/>
    <w:rsid w:val="00C7515B"/>
    <w:rsid w:val="00C7533E"/>
    <w:rsid w:val="00C75782"/>
    <w:rsid w:val="00C75B11"/>
    <w:rsid w:val="00C75B54"/>
    <w:rsid w:val="00C75EFF"/>
    <w:rsid w:val="00C75F9F"/>
    <w:rsid w:val="00C760DA"/>
    <w:rsid w:val="00C76314"/>
    <w:rsid w:val="00C763D1"/>
    <w:rsid w:val="00C763DE"/>
    <w:rsid w:val="00C7674E"/>
    <w:rsid w:val="00C768AA"/>
    <w:rsid w:val="00C771A2"/>
    <w:rsid w:val="00C7730B"/>
    <w:rsid w:val="00C777CF"/>
    <w:rsid w:val="00C778DF"/>
    <w:rsid w:val="00C77B05"/>
    <w:rsid w:val="00C77C14"/>
    <w:rsid w:val="00C77E05"/>
    <w:rsid w:val="00C77E7D"/>
    <w:rsid w:val="00C77E92"/>
    <w:rsid w:val="00C8002F"/>
    <w:rsid w:val="00C8010D"/>
    <w:rsid w:val="00C80142"/>
    <w:rsid w:val="00C80A03"/>
    <w:rsid w:val="00C80D57"/>
    <w:rsid w:val="00C80DDC"/>
    <w:rsid w:val="00C80ED4"/>
    <w:rsid w:val="00C810FE"/>
    <w:rsid w:val="00C81131"/>
    <w:rsid w:val="00C81513"/>
    <w:rsid w:val="00C81523"/>
    <w:rsid w:val="00C815A8"/>
    <w:rsid w:val="00C81811"/>
    <w:rsid w:val="00C81D0E"/>
    <w:rsid w:val="00C81F0E"/>
    <w:rsid w:val="00C81F1F"/>
    <w:rsid w:val="00C81F94"/>
    <w:rsid w:val="00C82163"/>
    <w:rsid w:val="00C8218D"/>
    <w:rsid w:val="00C828A2"/>
    <w:rsid w:val="00C829A2"/>
    <w:rsid w:val="00C82DC6"/>
    <w:rsid w:val="00C82F1B"/>
    <w:rsid w:val="00C82F29"/>
    <w:rsid w:val="00C82FF1"/>
    <w:rsid w:val="00C83482"/>
    <w:rsid w:val="00C834D1"/>
    <w:rsid w:val="00C8377F"/>
    <w:rsid w:val="00C83AE5"/>
    <w:rsid w:val="00C83B15"/>
    <w:rsid w:val="00C83BEC"/>
    <w:rsid w:val="00C83C80"/>
    <w:rsid w:val="00C83CC0"/>
    <w:rsid w:val="00C843C3"/>
    <w:rsid w:val="00C84B87"/>
    <w:rsid w:val="00C84C4C"/>
    <w:rsid w:val="00C84CC7"/>
    <w:rsid w:val="00C84E29"/>
    <w:rsid w:val="00C84F1F"/>
    <w:rsid w:val="00C851B0"/>
    <w:rsid w:val="00C8524D"/>
    <w:rsid w:val="00C85267"/>
    <w:rsid w:val="00C852B3"/>
    <w:rsid w:val="00C85367"/>
    <w:rsid w:val="00C856AE"/>
    <w:rsid w:val="00C85791"/>
    <w:rsid w:val="00C85AB1"/>
    <w:rsid w:val="00C85CF8"/>
    <w:rsid w:val="00C85F3D"/>
    <w:rsid w:val="00C863E7"/>
    <w:rsid w:val="00C8649F"/>
    <w:rsid w:val="00C864AD"/>
    <w:rsid w:val="00C8651C"/>
    <w:rsid w:val="00C86747"/>
    <w:rsid w:val="00C86883"/>
    <w:rsid w:val="00C86B48"/>
    <w:rsid w:val="00C86C45"/>
    <w:rsid w:val="00C87010"/>
    <w:rsid w:val="00C87114"/>
    <w:rsid w:val="00C87274"/>
    <w:rsid w:val="00C87326"/>
    <w:rsid w:val="00C874A6"/>
    <w:rsid w:val="00C8750E"/>
    <w:rsid w:val="00C87669"/>
    <w:rsid w:val="00C879A3"/>
    <w:rsid w:val="00C87D8B"/>
    <w:rsid w:val="00C90027"/>
    <w:rsid w:val="00C90118"/>
    <w:rsid w:val="00C903DE"/>
    <w:rsid w:val="00C904BF"/>
    <w:rsid w:val="00C90585"/>
    <w:rsid w:val="00C906A2"/>
    <w:rsid w:val="00C90972"/>
    <w:rsid w:val="00C90B6F"/>
    <w:rsid w:val="00C910BC"/>
    <w:rsid w:val="00C91172"/>
    <w:rsid w:val="00C91249"/>
    <w:rsid w:val="00C912FB"/>
    <w:rsid w:val="00C9144D"/>
    <w:rsid w:val="00C915BD"/>
    <w:rsid w:val="00C91722"/>
    <w:rsid w:val="00C9184A"/>
    <w:rsid w:val="00C91CF3"/>
    <w:rsid w:val="00C91EBB"/>
    <w:rsid w:val="00C91F36"/>
    <w:rsid w:val="00C91F47"/>
    <w:rsid w:val="00C92242"/>
    <w:rsid w:val="00C9248F"/>
    <w:rsid w:val="00C9249C"/>
    <w:rsid w:val="00C926B6"/>
    <w:rsid w:val="00C9279A"/>
    <w:rsid w:val="00C92974"/>
    <w:rsid w:val="00C92A68"/>
    <w:rsid w:val="00C92A7B"/>
    <w:rsid w:val="00C92AB1"/>
    <w:rsid w:val="00C92B98"/>
    <w:rsid w:val="00C92E72"/>
    <w:rsid w:val="00C92FF6"/>
    <w:rsid w:val="00C93095"/>
    <w:rsid w:val="00C93547"/>
    <w:rsid w:val="00C9381E"/>
    <w:rsid w:val="00C93861"/>
    <w:rsid w:val="00C93CDD"/>
    <w:rsid w:val="00C93E70"/>
    <w:rsid w:val="00C940B9"/>
    <w:rsid w:val="00C941FD"/>
    <w:rsid w:val="00C942F8"/>
    <w:rsid w:val="00C943E3"/>
    <w:rsid w:val="00C94A48"/>
    <w:rsid w:val="00C94AEB"/>
    <w:rsid w:val="00C94B80"/>
    <w:rsid w:val="00C94C11"/>
    <w:rsid w:val="00C94C65"/>
    <w:rsid w:val="00C94CFB"/>
    <w:rsid w:val="00C94F50"/>
    <w:rsid w:val="00C950AE"/>
    <w:rsid w:val="00C95422"/>
    <w:rsid w:val="00C95470"/>
    <w:rsid w:val="00C9565C"/>
    <w:rsid w:val="00C95FAB"/>
    <w:rsid w:val="00C961FD"/>
    <w:rsid w:val="00C96AF2"/>
    <w:rsid w:val="00C96DE0"/>
    <w:rsid w:val="00C96E0D"/>
    <w:rsid w:val="00C96F51"/>
    <w:rsid w:val="00C9714F"/>
    <w:rsid w:val="00C975FF"/>
    <w:rsid w:val="00C9760F"/>
    <w:rsid w:val="00C976E7"/>
    <w:rsid w:val="00C9771D"/>
    <w:rsid w:val="00C97771"/>
    <w:rsid w:val="00C97BF8"/>
    <w:rsid w:val="00C97F6B"/>
    <w:rsid w:val="00CA0108"/>
    <w:rsid w:val="00CA0220"/>
    <w:rsid w:val="00CA02E5"/>
    <w:rsid w:val="00CA04AF"/>
    <w:rsid w:val="00CA04F5"/>
    <w:rsid w:val="00CA08E9"/>
    <w:rsid w:val="00CA097D"/>
    <w:rsid w:val="00CA097F"/>
    <w:rsid w:val="00CA0A4A"/>
    <w:rsid w:val="00CA0BE7"/>
    <w:rsid w:val="00CA0C2D"/>
    <w:rsid w:val="00CA0EDC"/>
    <w:rsid w:val="00CA1052"/>
    <w:rsid w:val="00CA1146"/>
    <w:rsid w:val="00CA140C"/>
    <w:rsid w:val="00CA1439"/>
    <w:rsid w:val="00CA14C8"/>
    <w:rsid w:val="00CA160F"/>
    <w:rsid w:val="00CA170E"/>
    <w:rsid w:val="00CA19FD"/>
    <w:rsid w:val="00CA1B3B"/>
    <w:rsid w:val="00CA21A8"/>
    <w:rsid w:val="00CA21F8"/>
    <w:rsid w:val="00CA2229"/>
    <w:rsid w:val="00CA239E"/>
    <w:rsid w:val="00CA27D2"/>
    <w:rsid w:val="00CA2954"/>
    <w:rsid w:val="00CA29EA"/>
    <w:rsid w:val="00CA2D50"/>
    <w:rsid w:val="00CA304D"/>
    <w:rsid w:val="00CA307E"/>
    <w:rsid w:val="00CA346B"/>
    <w:rsid w:val="00CA35A5"/>
    <w:rsid w:val="00CA374A"/>
    <w:rsid w:val="00CA3A4C"/>
    <w:rsid w:val="00CA3DB7"/>
    <w:rsid w:val="00CA3DBC"/>
    <w:rsid w:val="00CA3E1A"/>
    <w:rsid w:val="00CA3E76"/>
    <w:rsid w:val="00CA3E8C"/>
    <w:rsid w:val="00CA4419"/>
    <w:rsid w:val="00CA44EC"/>
    <w:rsid w:val="00CA4555"/>
    <w:rsid w:val="00CA46B2"/>
    <w:rsid w:val="00CA46DD"/>
    <w:rsid w:val="00CA47E1"/>
    <w:rsid w:val="00CA484F"/>
    <w:rsid w:val="00CA4CD6"/>
    <w:rsid w:val="00CA50EF"/>
    <w:rsid w:val="00CA5177"/>
    <w:rsid w:val="00CA5418"/>
    <w:rsid w:val="00CA54B7"/>
    <w:rsid w:val="00CA5579"/>
    <w:rsid w:val="00CA5E9F"/>
    <w:rsid w:val="00CA61D1"/>
    <w:rsid w:val="00CA6294"/>
    <w:rsid w:val="00CA63D2"/>
    <w:rsid w:val="00CA6416"/>
    <w:rsid w:val="00CA6A80"/>
    <w:rsid w:val="00CA6F5C"/>
    <w:rsid w:val="00CA6FDF"/>
    <w:rsid w:val="00CA7273"/>
    <w:rsid w:val="00CA73E9"/>
    <w:rsid w:val="00CA7595"/>
    <w:rsid w:val="00CA76B9"/>
    <w:rsid w:val="00CA7831"/>
    <w:rsid w:val="00CA794A"/>
    <w:rsid w:val="00CA7B0F"/>
    <w:rsid w:val="00CA7F51"/>
    <w:rsid w:val="00CB00A2"/>
    <w:rsid w:val="00CB0141"/>
    <w:rsid w:val="00CB0340"/>
    <w:rsid w:val="00CB0A80"/>
    <w:rsid w:val="00CB0B0D"/>
    <w:rsid w:val="00CB129A"/>
    <w:rsid w:val="00CB12FE"/>
    <w:rsid w:val="00CB1498"/>
    <w:rsid w:val="00CB169B"/>
    <w:rsid w:val="00CB1701"/>
    <w:rsid w:val="00CB19BE"/>
    <w:rsid w:val="00CB2103"/>
    <w:rsid w:val="00CB217C"/>
    <w:rsid w:val="00CB2195"/>
    <w:rsid w:val="00CB26EC"/>
    <w:rsid w:val="00CB2B1D"/>
    <w:rsid w:val="00CB2C21"/>
    <w:rsid w:val="00CB2C7C"/>
    <w:rsid w:val="00CB2D72"/>
    <w:rsid w:val="00CB2E49"/>
    <w:rsid w:val="00CB30DF"/>
    <w:rsid w:val="00CB316D"/>
    <w:rsid w:val="00CB3388"/>
    <w:rsid w:val="00CB34FC"/>
    <w:rsid w:val="00CB35C4"/>
    <w:rsid w:val="00CB3A49"/>
    <w:rsid w:val="00CB3AF3"/>
    <w:rsid w:val="00CB3BBD"/>
    <w:rsid w:val="00CB3C1E"/>
    <w:rsid w:val="00CB3C52"/>
    <w:rsid w:val="00CB3CAE"/>
    <w:rsid w:val="00CB3D05"/>
    <w:rsid w:val="00CB3E51"/>
    <w:rsid w:val="00CB3F42"/>
    <w:rsid w:val="00CB412D"/>
    <w:rsid w:val="00CB4141"/>
    <w:rsid w:val="00CB41DA"/>
    <w:rsid w:val="00CB4206"/>
    <w:rsid w:val="00CB42E0"/>
    <w:rsid w:val="00CB4301"/>
    <w:rsid w:val="00CB4464"/>
    <w:rsid w:val="00CB4723"/>
    <w:rsid w:val="00CB491D"/>
    <w:rsid w:val="00CB4DA5"/>
    <w:rsid w:val="00CB4F30"/>
    <w:rsid w:val="00CB5165"/>
    <w:rsid w:val="00CB527A"/>
    <w:rsid w:val="00CB5B12"/>
    <w:rsid w:val="00CB5C16"/>
    <w:rsid w:val="00CB5E3A"/>
    <w:rsid w:val="00CB60C0"/>
    <w:rsid w:val="00CB62B3"/>
    <w:rsid w:val="00CB63BF"/>
    <w:rsid w:val="00CB6545"/>
    <w:rsid w:val="00CB6600"/>
    <w:rsid w:val="00CB6686"/>
    <w:rsid w:val="00CB69F0"/>
    <w:rsid w:val="00CB6C2E"/>
    <w:rsid w:val="00CB6C57"/>
    <w:rsid w:val="00CB6C8A"/>
    <w:rsid w:val="00CB6CC0"/>
    <w:rsid w:val="00CB6F2B"/>
    <w:rsid w:val="00CB7095"/>
    <w:rsid w:val="00CB7325"/>
    <w:rsid w:val="00CB74DD"/>
    <w:rsid w:val="00CB782D"/>
    <w:rsid w:val="00CB7A20"/>
    <w:rsid w:val="00CB7A8F"/>
    <w:rsid w:val="00CB7D27"/>
    <w:rsid w:val="00CB7D5B"/>
    <w:rsid w:val="00CB7ED6"/>
    <w:rsid w:val="00CC0226"/>
    <w:rsid w:val="00CC039A"/>
    <w:rsid w:val="00CC03A2"/>
    <w:rsid w:val="00CC075A"/>
    <w:rsid w:val="00CC09AF"/>
    <w:rsid w:val="00CC09E7"/>
    <w:rsid w:val="00CC0B28"/>
    <w:rsid w:val="00CC0BDC"/>
    <w:rsid w:val="00CC0CCA"/>
    <w:rsid w:val="00CC0DF4"/>
    <w:rsid w:val="00CC0E42"/>
    <w:rsid w:val="00CC1413"/>
    <w:rsid w:val="00CC1733"/>
    <w:rsid w:val="00CC1817"/>
    <w:rsid w:val="00CC1A45"/>
    <w:rsid w:val="00CC1A56"/>
    <w:rsid w:val="00CC1BB1"/>
    <w:rsid w:val="00CC1CCD"/>
    <w:rsid w:val="00CC212F"/>
    <w:rsid w:val="00CC242F"/>
    <w:rsid w:val="00CC256D"/>
    <w:rsid w:val="00CC25BC"/>
    <w:rsid w:val="00CC2755"/>
    <w:rsid w:val="00CC2787"/>
    <w:rsid w:val="00CC2D46"/>
    <w:rsid w:val="00CC2E8C"/>
    <w:rsid w:val="00CC2F8A"/>
    <w:rsid w:val="00CC32C5"/>
    <w:rsid w:val="00CC3340"/>
    <w:rsid w:val="00CC34AB"/>
    <w:rsid w:val="00CC378E"/>
    <w:rsid w:val="00CC3863"/>
    <w:rsid w:val="00CC3AB5"/>
    <w:rsid w:val="00CC3B9A"/>
    <w:rsid w:val="00CC3DBB"/>
    <w:rsid w:val="00CC4084"/>
    <w:rsid w:val="00CC41C8"/>
    <w:rsid w:val="00CC429C"/>
    <w:rsid w:val="00CC4614"/>
    <w:rsid w:val="00CC4662"/>
    <w:rsid w:val="00CC46EB"/>
    <w:rsid w:val="00CC480A"/>
    <w:rsid w:val="00CC4ABE"/>
    <w:rsid w:val="00CC4D48"/>
    <w:rsid w:val="00CC4E77"/>
    <w:rsid w:val="00CC5106"/>
    <w:rsid w:val="00CC5207"/>
    <w:rsid w:val="00CC58B4"/>
    <w:rsid w:val="00CC5B18"/>
    <w:rsid w:val="00CC5C55"/>
    <w:rsid w:val="00CC5CAE"/>
    <w:rsid w:val="00CC5DC7"/>
    <w:rsid w:val="00CC621E"/>
    <w:rsid w:val="00CC627E"/>
    <w:rsid w:val="00CC703C"/>
    <w:rsid w:val="00CC7123"/>
    <w:rsid w:val="00CC7387"/>
    <w:rsid w:val="00CC789A"/>
    <w:rsid w:val="00CC798C"/>
    <w:rsid w:val="00CC7E63"/>
    <w:rsid w:val="00CC7F06"/>
    <w:rsid w:val="00CD0252"/>
    <w:rsid w:val="00CD0267"/>
    <w:rsid w:val="00CD0902"/>
    <w:rsid w:val="00CD0EEE"/>
    <w:rsid w:val="00CD0F38"/>
    <w:rsid w:val="00CD1455"/>
    <w:rsid w:val="00CD1678"/>
    <w:rsid w:val="00CD16EC"/>
    <w:rsid w:val="00CD1A08"/>
    <w:rsid w:val="00CD1E82"/>
    <w:rsid w:val="00CD1F76"/>
    <w:rsid w:val="00CD204E"/>
    <w:rsid w:val="00CD20DD"/>
    <w:rsid w:val="00CD2295"/>
    <w:rsid w:val="00CD2371"/>
    <w:rsid w:val="00CD25DF"/>
    <w:rsid w:val="00CD2762"/>
    <w:rsid w:val="00CD2796"/>
    <w:rsid w:val="00CD279A"/>
    <w:rsid w:val="00CD2870"/>
    <w:rsid w:val="00CD28DC"/>
    <w:rsid w:val="00CD2978"/>
    <w:rsid w:val="00CD2A09"/>
    <w:rsid w:val="00CD2A36"/>
    <w:rsid w:val="00CD2F7E"/>
    <w:rsid w:val="00CD328B"/>
    <w:rsid w:val="00CD3369"/>
    <w:rsid w:val="00CD343A"/>
    <w:rsid w:val="00CD3749"/>
    <w:rsid w:val="00CD3807"/>
    <w:rsid w:val="00CD392B"/>
    <w:rsid w:val="00CD3B4C"/>
    <w:rsid w:val="00CD3DBE"/>
    <w:rsid w:val="00CD3F0F"/>
    <w:rsid w:val="00CD4068"/>
    <w:rsid w:val="00CD413B"/>
    <w:rsid w:val="00CD41FB"/>
    <w:rsid w:val="00CD4389"/>
    <w:rsid w:val="00CD4482"/>
    <w:rsid w:val="00CD4544"/>
    <w:rsid w:val="00CD45C3"/>
    <w:rsid w:val="00CD4642"/>
    <w:rsid w:val="00CD464E"/>
    <w:rsid w:val="00CD473C"/>
    <w:rsid w:val="00CD4E0C"/>
    <w:rsid w:val="00CD4E8D"/>
    <w:rsid w:val="00CD4FD3"/>
    <w:rsid w:val="00CD5015"/>
    <w:rsid w:val="00CD50C5"/>
    <w:rsid w:val="00CD532B"/>
    <w:rsid w:val="00CD58A1"/>
    <w:rsid w:val="00CD598A"/>
    <w:rsid w:val="00CD5AB8"/>
    <w:rsid w:val="00CD5B06"/>
    <w:rsid w:val="00CD6406"/>
    <w:rsid w:val="00CD6468"/>
    <w:rsid w:val="00CD6678"/>
    <w:rsid w:val="00CD67CD"/>
    <w:rsid w:val="00CD69BE"/>
    <w:rsid w:val="00CD6AD4"/>
    <w:rsid w:val="00CD6BEA"/>
    <w:rsid w:val="00CD6DD7"/>
    <w:rsid w:val="00CD6E9A"/>
    <w:rsid w:val="00CD737A"/>
    <w:rsid w:val="00CD7381"/>
    <w:rsid w:val="00CD762D"/>
    <w:rsid w:val="00CD763B"/>
    <w:rsid w:val="00CD7912"/>
    <w:rsid w:val="00CD7C39"/>
    <w:rsid w:val="00CE010B"/>
    <w:rsid w:val="00CE02C7"/>
    <w:rsid w:val="00CE02EB"/>
    <w:rsid w:val="00CE0369"/>
    <w:rsid w:val="00CE07C9"/>
    <w:rsid w:val="00CE0B8E"/>
    <w:rsid w:val="00CE0C2D"/>
    <w:rsid w:val="00CE0C6C"/>
    <w:rsid w:val="00CE0F5D"/>
    <w:rsid w:val="00CE1040"/>
    <w:rsid w:val="00CE11DC"/>
    <w:rsid w:val="00CE12B6"/>
    <w:rsid w:val="00CE13BF"/>
    <w:rsid w:val="00CE1A08"/>
    <w:rsid w:val="00CE21C9"/>
    <w:rsid w:val="00CE24A9"/>
    <w:rsid w:val="00CE25FE"/>
    <w:rsid w:val="00CE2921"/>
    <w:rsid w:val="00CE2A2A"/>
    <w:rsid w:val="00CE2AC5"/>
    <w:rsid w:val="00CE2C04"/>
    <w:rsid w:val="00CE2CF9"/>
    <w:rsid w:val="00CE2D23"/>
    <w:rsid w:val="00CE2E5C"/>
    <w:rsid w:val="00CE2EA0"/>
    <w:rsid w:val="00CE33C9"/>
    <w:rsid w:val="00CE3B87"/>
    <w:rsid w:val="00CE3BD1"/>
    <w:rsid w:val="00CE3E30"/>
    <w:rsid w:val="00CE3EC2"/>
    <w:rsid w:val="00CE412E"/>
    <w:rsid w:val="00CE43B2"/>
    <w:rsid w:val="00CE44EF"/>
    <w:rsid w:val="00CE4C3C"/>
    <w:rsid w:val="00CE4D50"/>
    <w:rsid w:val="00CE4E95"/>
    <w:rsid w:val="00CE4FBB"/>
    <w:rsid w:val="00CE5103"/>
    <w:rsid w:val="00CE5490"/>
    <w:rsid w:val="00CE599B"/>
    <w:rsid w:val="00CE5AF9"/>
    <w:rsid w:val="00CE5BFA"/>
    <w:rsid w:val="00CE5D1A"/>
    <w:rsid w:val="00CE5ECE"/>
    <w:rsid w:val="00CE630C"/>
    <w:rsid w:val="00CE6382"/>
    <w:rsid w:val="00CE6B00"/>
    <w:rsid w:val="00CE6BED"/>
    <w:rsid w:val="00CE6CAF"/>
    <w:rsid w:val="00CE6D71"/>
    <w:rsid w:val="00CE7095"/>
    <w:rsid w:val="00CE7165"/>
    <w:rsid w:val="00CE74EA"/>
    <w:rsid w:val="00CE75A3"/>
    <w:rsid w:val="00CE7643"/>
    <w:rsid w:val="00CE778A"/>
    <w:rsid w:val="00CE7C36"/>
    <w:rsid w:val="00CE7DB2"/>
    <w:rsid w:val="00CE7E42"/>
    <w:rsid w:val="00CE7E5E"/>
    <w:rsid w:val="00CE7E99"/>
    <w:rsid w:val="00CE7EAE"/>
    <w:rsid w:val="00CE7ED8"/>
    <w:rsid w:val="00CE7EFD"/>
    <w:rsid w:val="00CF00F0"/>
    <w:rsid w:val="00CF0138"/>
    <w:rsid w:val="00CF023C"/>
    <w:rsid w:val="00CF0266"/>
    <w:rsid w:val="00CF0279"/>
    <w:rsid w:val="00CF0341"/>
    <w:rsid w:val="00CF04D2"/>
    <w:rsid w:val="00CF063B"/>
    <w:rsid w:val="00CF0827"/>
    <w:rsid w:val="00CF0A5E"/>
    <w:rsid w:val="00CF0DA6"/>
    <w:rsid w:val="00CF13CD"/>
    <w:rsid w:val="00CF1445"/>
    <w:rsid w:val="00CF14A5"/>
    <w:rsid w:val="00CF15E0"/>
    <w:rsid w:val="00CF1689"/>
    <w:rsid w:val="00CF1775"/>
    <w:rsid w:val="00CF18F4"/>
    <w:rsid w:val="00CF1C4D"/>
    <w:rsid w:val="00CF1C81"/>
    <w:rsid w:val="00CF1C8A"/>
    <w:rsid w:val="00CF1E03"/>
    <w:rsid w:val="00CF2354"/>
    <w:rsid w:val="00CF2523"/>
    <w:rsid w:val="00CF2BCB"/>
    <w:rsid w:val="00CF2C2E"/>
    <w:rsid w:val="00CF3074"/>
    <w:rsid w:val="00CF3141"/>
    <w:rsid w:val="00CF318B"/>
    <w:rsid w:val="00CF32DA"/>
    <w:rsid w:val="00CF330D"/>
    <w:rsid w:val="00CF3667"/>
    <w:rsid w:val="00CF38B6"/>
    <w:rsid w:val="00CF3905"/>
    <w:rsid w:val="00CF41A9"/>
    <w:rsid w:val="00CF4247"/>
    <w:rsid w:val="00CF477F"/>
    <w:rsid w:val="00CF4817"/>
    <w:rsid w:val="00CF48F4"/>
    <w:rsid w:val="00CF4979"/>
    <w:rsid w:val="00CF4CE2"/>
    <w:rsid w:val="00CF4D54"/>
    <w:rsid w:val="00CF4D5F"/>
    <w:rsid w:val="00CF4E1B"/>
    <w:rsid w:val="00CF50EB"/>
    <w:rsid w:val="00CF51E7"/>
    <w:rsid w:val="00CF53D2"/>
    <w:rsid w:val="00CF5608"/>
    <w:rsid w:val="00CF5681"/>
    <w:rsid w:val="00CF5890"/>
    <w:rsid w:val="00CF59C0"/>
    <w:rsid w:val="00CF59D3"/>
    <w:rsid w:val="00CF5AC3"/>
    <w:rsid w:val="00CF5BCE"/>
    <w:rsid w:val="00CF5BD8"/>
    <w:rsid w:val="00CF61B9"/>
    <w:rsid w:val="00CF624C"/>
    <w:rsid w:val="00CF64D7"/>
    <w:rsid w:val="00CF65A8"/>
    <w:rsid w:val="00CF681E"/>
    <w:rsid w:val="00CF685A"/>
    <w:rsid w:val="00CF68F9"/>
    <w:rsid w:val="00CF69C7"/>
    <w:rsid w:val="00CF6DCD"/>
    <w:rsid w:val="00CF6FE1"/>
    <w:rsid w:val="00CF7014"/>
    <w:rsid w:val="00CF72AD"/>
    <w:rsid w:val="00CF73A7"/>
    <w:rsid w:val="00CF745D"/>
    <w:rsid w:val="00CF74D1"/>
    <w:rsid w:val="00CF78E9"/>
    <w:rsid w:val="00CF7DFB"/>
    <w:rsid w:val="00D0014E"/>
    <w:rsid w:val="00D001B6"/>
    <w:rsid w:val="00D001B7"/>
    <w:rsid w:val="00D0020E"/>
    <w:rsid w:val="00D0025A"/>
    <w:rsid w:val="00D00AED"/>
    <w:rsid w:val="00D00CF9"/>
    <w:rsid w:val="00D00E61"/>
    <w:rsid w:val="00D00F56"/>
    <w:rsid w:val="00D010BE"/>
    <w:rsid w:val="00D0115D"/>
    <w:rsid w:val="00D01425"/>
    <w:rsid w:val="00D0156F"/>
    <w:rsid w:val="00D017D8"/>
    <w:rsid w:val="00D0193D"/>
    <w:rsid w:val="00D019E3"/>
    <w:rsid w:val="00D01A9B"/>
    <w:rsid w:val="00D01AE9"/>
    <w:rsid w:val="00D01AFC"/>
    <w:rsid w:val="00D01C64"/>
    <w:rsid w:val="00D01CE8"/>
    <w:rsid w:val="00D01E6A"/>
    <w:rsid w:val="00D02155"/>
    <w:rsid w:val="00D02482"/>
    <w:rsid w:val="00D02560"/>
    <w:rsid w:val="00D02843"/>
    <w:rsid w:val="00D02CB9"/>
    <w:rsid w:val="00D02E38"/>
    <w:rsid w:val="00D02F9C"/>
    <w:rsid w:val="00D03061"/>
    <w:rsid w:val="00D0334E"/>
    <w:rsid w:val="00D03386"/>
    <w:rsid w:val="00D03436"/>
    <w:rsid w:val="00D0349A"/>
    <w:rsid w:val="00D034BA"/>
    <w:rsid w:val="00D03550"/>
    <w:rsid w:val="00D0359B"/>
    <w:rsid w:val="00D03BF4"/>
    <w:rsid w:val="00D03F0E"/>
    <w:rsid w:val="00D040AB"/>
    <w:rsid w:val="00D04182"/>
    <w:rsid w:val="00D0428D"/>
    <w:rsid w:val="00D04478"/>
    <w:rsid w:val="00D04643"/>
    <w:rsid w:val="00D047E6"/>
    <w:rsid w:val="00D047F1"/>
    <w:rsid w:val="00D04827"/>
    <w:rsid w:val="00D049B7"/>
    <w:rsid w:val="00D04D2F"/>
    <w:rsid w:val="00D04E82"/>
    <w:rsid w:val="00D050B4"/>
    <w:rsid w:val="00D05204"/>
    <w:rsid w:val="00D057EC"/>
    <w:rsid w:val="00D05802"/>
    <w:rsid w:val="00D0581A"/>
    <w:rsid w:val="00D058F6"/>
    <w:rsid w:val="00D05A39"/>
    <w:rsid w:val="00D05E11"/>
    <w:rsid w:val="00D06188"/>
    <w:rsid w:val="00D061AB"/>
    <w:rsid w:val="00D06293"/>
    <w:rsid w:val="00D06305"/>
    <w:rsid w:val="00D0637E"/>
    <w:rsid w:val="00D06388"/>
    <w:rsid w:val="00D06431"/>
    <w:rsid w:val="00D0644C"/>
    <w:rsid w:val="00D068C7"/>
    <w:rsid w:val="00D06CD3"/>
    <w:rsid w:val="00D06EBF"/>
    <w:rsid w:val="00D06EFB"/>
    <w:rsid w:val="00D06F99"/>
    <w:rsid w:val="00D06FC0"/>
    <w:rsid w:val="00D07127"/>
    <w:rsid w:val="00D073F0"/>
    <w:rsid w:val="00D074AF"/>
    <w:rsid w:val="00D0750C"/>
    <w:rsid w:val="00D07608"/>
    <w:rsid w:val="00D076FE"/>
    <w:rsid w:val="00D07910"/>
    <w:rsid w:val="00D07937"/>
    <w:rsid w:val="00D07B1C"/>
    <w:rsid w:val="00D07D59"/>
    <w:rsid w:val="00D07E63"/>
    <w:rsid w:val="00D102D0"/>
    <w:rsid w:val="00D103F9"/>
    <w:rsid w:val="00D10BE3"/>
    <w:rsid w:val="00D10C4E"/>
    <w:rsid w:val="00D10E15"/>
    <w:rsid w:val="00D110BE"/>
    <w:rsid w:val="00D11313"/>
    <w:rsid w:val="00D113CC"/>
    <w:rsid w:val="00D11593"/>
    <w:rsid w:val="00D11697"/>
    <w:rsid w:val="00D11CC0"/>
    <w:rsid w:val="00D11DE2"/>
    <w:rsid w:val="00D11E15"/>
    <w:rsid w:val="00D11FA4"/>
    <w:rsid w:val="00D12079"/>
    <w:rsid w:val="00D120F5"/>
    <w:rsid w:val="00D124A3"/>
    <w:rsid w:val="00D127CD"/>
    <w:rsid w:val="00D12B10"/>
    <w:rsid w:val="00D13115"/>
    <w:rsid w:val="00D133C1"/>
    <w:rsid w:val="00D134A3"/>
    <w:rsid w:val="00D134A9"/>
    <w:rsid w:val="00D134D2"/>
    <w:rsid w:val="00D1351F"/>
    <w:rsid w:val="00D137B9"/>
    <w:rsid w:val="00D137FD"/>
    <w:rsid w:val="00D13A5A"/>
    <w:rsid w:val="00D13A80"/>
    <w:rsid w:val="00D13A9B"/>
    <w:rsid w:val="00D13E60"/>
    <w:rsid w:val="00D140D2"/>
    <w:rsid w:val="00D1446E"/>
    <w:rsid w:val="00D14749"/>
    <w:rsid w:val="00D14814"/>
    <w:rsid w:val="00D148CE"/>
    <w:rsid w:val="00D149DD"/>
    <w:rsid w:val="00D14CA2"/>
    <w:rsid w:val="00D14F8B"/>
    <w:rsid w:val="00D15292"/>
    <w:rsid w:val="00D1529E"/>
    <w:rsid w:val="00D154FE"/>
    <w:rsid w:val="00D1558F"/>
    <w:rsid w:val="00D15847"/>
    <w:rsid w:val="00D15981"/>
    <w:rsid w:val="00D15983"/>
    <w:rsid w:val="00D15B39"/>
    <w:rsid w:val="00D15B8E"/>
    <w:rsid w:val="00D15F4D"/>
    <w:rsid w:val="00D1601A"/>
    <w:rsid w:val="00D1613F"/>
    <w:rsid w:val="00D161C6"/>
    <w:rsid w:val="00D161E2"/>
    <w:rsid w:val="00D162C5"/>
    <w:rsid w:val="00D16374"/>
    <w:rsid w:val="00D16662"/>
    <w:rsid w:val="00D16677"/>
    <w:rsid w:val="00D1691E"/>
    <w:rsid w:val="00D1696F"/>
    <w:rsid w:val="00D16AAF"/>
    <w:rsid w:val="00D16C86"/>
    <w:rsid w:val="00D16DF9"/>
    <w:rsid w:val="00D17138"/>
    <w:rsid w:val="00D174F0"/>
    <w:rsid w:val="00D1774B"/>
    <w:rsid w:val="00D17760"/>
    <w:rsid w:val="00D1777E"/>
    <w:rsid w:val="00D17854"/>
    <w:rsid w:val="00D17B37"/>
    <w:rsid w:val="00D17B59"/>
    <w:rsid w:val="00D17C2D"/>
    <w:rsid w:val="00D17F2E"/>
    <w:rsid w:val="00D17FFC"/>
    <w:rsid w:val="00D2002E"/>
    <w:rsid w:val="00D205E5"/>
    <w:rsid w:val="00D2072E"/>
    <w:rsid w:val="00D2076C"/>
    <w:rsid w:val="00D208A0"/>
    <w:rsid w:val="00D20A7A"/>
    <w:rsid w:val="00D20CA9"/>
    <w:rsid w:val="00D20CFD"/>
    <w:rsid w:val="00D20ECC"/>
    <w:rsid w:val="00D20F96"/>
    <w:rsid w:val="00D21138"/>
    <w:rsid w:val="00D21250"/>
    <w:rsid w:val="00D2131A"/>
    <w:rsid w:val="00D21364"/>
    <w:rsid w:val="00D21831"/>
    <w:rsid w:val="00D219D3"/>
    <w:rsid w:val="00D21C25"/>
    <w:rsid w:val="00D21C75"/>
    <w:rsid w:val="00D21CD9"/>
    <w:rsid w:val="00D21FF9"/>
    <w:rsid w:val="00D2294B"/>
    <w:rsid w:val="00D22C10"/>
    <w:rsid w:val="00D22E1A"/>
    <w:rsid w:val="00D22E5C"/>
    <w:rsid w:val="00D230D4"/>
    <w:rsid w:val="00D23198"/>
    <w:rsid w:val="00D231E7"/>
    <w:rsid w:val="00D23391"/>
    <w:rsid w:val="00D23563"/>
    <w:rsid w:val="00D23749"/>
    <w:rsid w:val="00D23858"/>
    <w:rsid w:val="00D23B53"/>
    <w:rsid w:val="00D245A5"/>
    <w:rsid w:val="00D24722"/>
    <w:rsid w:val="00D2492C"/>
    <w:rsid w:val="00D249D4"/>
    <w:rsid w:val="00D24DB7"/>
    <w:rsid w:val="00D24DEB"/>
    <w:rsid w:val="00D250DB"/>
    <w:rsid w:val="00D2521F"/>
    <w:rsid w:val="00D25282"/>
    <w:rsid w:val="00D25CE2"/>
    <w:rsid w:val="00D25D5E"/>
    <w:rsid w:val="00D25DC0"/>
    <w:rsid w:val="00D25EB6"/>
    <w:rsid w:val="00D26295"/>
    <w:rsid w:val="00D266E5"/>
    <w:rsid w:val="00D26717"/>
    <w:rsid w:val="00D2687C"/>
    <w:rsid w:val="00D2691E"/>
    <w:rsid w:val="00D26961"/>
    <w:rsid w:val="00D26A53"/>
    <w:rsid w:val="00D26A94"/>
    <w:rsid w:val="00D26FD5"/>
    <w:rsid w:val="00D272A3"/>
    <w:rsid w:val="00D273CD"/>
    <w:rsid w:val="00D27586"/>
    <w:rsid w:val="00D276A9"/>
    <w:rsid w:val="00D27735"/>
    <w:rsid w:val="00D27979"/>
    <w:rsid w:val="00D27C64"/>
    <w:rsid w:val="00D27C8F"/>
    <w:rsid w:val="00D27E46"/>
    <w:rsid w:val="00D27F50"/>
    <w:rsid w:val="00D27F8D"/>
    <w:rsid w:val="00D304BC"/>
    <w:rsid w:val="00D3087E"/>
    <w:rsid w:val="00D30D66"/>
    <w:rsid w:val="00D30E21"/>
    <w:rsid w:val="00D30E22"/>
    <w:rsid w:val="00D311FD"/>
    <w:rsid w:val="00D31558"/>
    <w:rsid w:val="00D31683"/>
    <w:rsid w:val="00D318B6"/>
    <w:rsid w:val="00D31910"/>
    <w:rsid w:val="00D31A29"/>
    <w:rsid w:val="00D31B4E"/>
    <w:rsid w:val="00D31DC1"/>
    <w:rsid w:val="00D31FB0"/>
    <w:rsid w:val="00D3203E"/>
    <w:rsid w:val="00D3205C"/>
    <w:rsid w:val="00D321FA"/>
    <w:rsid w:val="00D322B8"/>
    <w:rsid w:val="00D328A9"/>
    <w:rsid w:val="00D32AEB"/>
    <w:rsid w:val="00D32D05"/>
    <w:rsid w:val="00D32F3A"/>
    <w:rsid w:val="00D33004"/>
    <w:rsid w:val="00D336DC"/>
    <w:rsid w:val="00D338A0"/>
    <w:rsid w:val="00D338AB"/>
    <w:rsid w:val="00D338C2"/>
    <w:rsid w:val="00D33C49"/>
    <w:rsid w:val="00D33CA3"/>
    <w:rsid w:val="00D33E16"/>
    <w:rsid w:val="00D3423B"/>
    <w:rsid w:val="00D34293"/>
    <w:rsid w:val="00D34591"/>
    <w:rsid w:val="00D34769"/>
    <w:rsid w:val="00D34780"/>
    <w:rsid w:val="00D34804"/>
    <w:rsid w:val="00D34ABD"/>
    <w:rsid w:val="00D34C9F"/>
    <w:rsid w:val="00D34D90"/>
    <w:rsid w:val="00D34DD8"/>
    <w:rsid w:val="00D34EDC"/>
    <w:rsid w:val="00D34F13"/>
    <w:rsid w:val="00D34F59"/>
    <w:rsid w:val="00D34FB9"/>
    <w:rsid w:val="00D3502C"/>
    <w:rsid w:val="00D350C4"/>
    <w:rsid w:val="00D353F9"/>
    <w:rsid w:val="00D35593"/>
    <w:rsid w:val="00D355F1"/>
    <w:rsid w:val="00D35654"/>
    <w:rsid w:val="00D35D71"/>
    <w:rsid w:val="00D361AE"/>
    <w:rsid w:val="00D362F8"/>
    <w:rsid w:val="00D363DB"/>
    <w:rsid w:val="00D36466"/>
    <w:rsid w:val="00D3663F"/>
    <w:rsid w:val="00D368C4"/>
    <w:rsid w:val="00D369E9"/>
    <w:rsid w:val="00D36A74"/>
    <w:rsid w:val="00D36C3D"/>
    <w:rsid w:val="00D36F05"/>
    <w:rsid w:val="00D3707C"/>
    <w:rsid w:val="00D3725A"/>
    <w:rsid w:val="00D372EE"/>
    <w:rsid w:val="00D373A8"/>
    <w:rsid w:val="00D375B5"/>
    <w:rsid w:val="00D37604"/>
    <w:rsid w:val="00D3762D"/>
    <w:rsid w:val="00D3778E"/>
    <w:rsid w:val="00D3787C"/>
    <w:rsid w:val="00D37954"/>
    <w:rsid w:val="00D37C9E"/>
    <w:rsid w:val="00D37F0E"/>
    <w:rsid w:val="00D40627"/>
    <w:rsid w:val="00D40A58"/>
    <w:rsid w:val="00D40C19"/>
    <w:rsid w:val="00D40CBF"/>
    <w:rsid w:val="00D40E75"/>
    <w:rsid w:val="00D40FE8"/>
    <w:rsid w:val="00D410FB"/>
    <w:rsid w:val="00D41442"/>
    <w:rsid w:val="00D414D1"/>
    <w:rsid w:val="00D414EC"/>
    <w:rsid w:val="00D41564"/>
    <w:rsid w:val="00D41626"/>
    <w:rsid w:val="00D416A7"/>
    <w:rsid w:val="00D41783"/>
    <w:rsid w:val="00D41AD0"/>
    <w:rsid w:val="00D41B1B"/>
    <w:rsid w:val="00D41DA8"/>
    <w:rsid w:val="00D41EE1"/>
    <w:rsid w:val="00D41F98"/>
    <w:rsid w:val="00D41FFD"/>
    <w:rsid w:val="00D42070"/>
    <w:rsid w:val="00D42239"/>
    <w:rsid w:val="00D422D6"/>
    <w:rsid w:val="00D422FB"/>
    <w:rsid w:val="00D42354"/>
    <w:rsid w:val="00D423FA"/>
    <w:rsid w:val="00D4277D"/>
    <w:rsid w:val="00D42C2B"/>
    <w:rsid w:val="00D42D37"/>
    <w:rsid w:val="00D42F9D"/>
    <w:rsid w:val="00D43103"/>
    <w:rsid w:val="00D43144"/>
    <w:rsid w:val="00D43568"/>
    <w:rsid w:val="00D4358E"/>
    <w:rsid w:val="00D435BB"/>
    <w:rsid w:val="00D43704"/>
    <w:rsid w:val="00D44274"/>
    <w:rsid w:val="00D443C7"/>
    <w:rsid w:val="00D444B9"/>
    <w:rsid w:val="00D446DC"/>
    <w:rsid w:val="00D44DDB"/>
    <w:rsid w:val="00D44F53"/>
    <w:rsid w:val="00D4528D"/>
    <w:rsid w:val="00D45324"/>
    <w:rsid w:val="00D454AF"/>
    <w:rsid w:val="00D45522"/>
    <w:rsid w:val="00D4558F"/>
    <w:rsid w:val="00D455A2"/>
    <w:rsid w:val="00D45839"/>
    <w:rsid w:val="00D4592E"/>
    <w:rsid w:val="00D45975"/>
    <w:rsid w:val="00D45F94"/>
    <w:rsid w:val="00D46451"/>
    <w:rsid w:val="00D4677E"/>
    <w:rsid w:val="00D467BB"/>
    <w:rsid w:val="00D46AC4"/>
    <w:rsid w:val="00D46B7A"/>
    <w:rsid w:val="00D46B8A"/>
    <w:rsid w:val="00D46BF6"/>
    <w:rsid w:val="00D46C79"/>
    <w:rsid w:val="00D46D94"/>
    <w:rsid w:val="00D46E69"/>
    <w:rsid w:val="00D4731D"/>
    <w:rsid w:val="00D475BA"/>
    <w:rsid w:val="00D47A13"/>
    <w:rsid w:val="00D47BA9"/>
    <w:rsid w:val="00D47C2E"/>
    <w:rsid w:val="00D47C91"/>
    <w:rsid w:val="00D47ECA"/>
    <w:rsid w:val="00D47F1D"/>
    <w:rsid w:val="00D47F6E"/>
    <w:rsid w:val="00D506DA"/>
    <w:rsid w:val="00D50822"/>
    <w:rsid w:val="00D50A82"/>
    <w:rsid w:val="00D50D0C"/>
    <w:rsid w:val="00D50D4F"/>
    <w:rsid w:val="00D50EE3"/>
    <w:rsid w:val="00D5130D"/>
    <w:rsid w:val="00D51561"/>
    <w:rsid w:val="00D5163D"/>
    <w:rsid w:val="00D518D0"/>
    <w:rsid w:val="00D51A45"/>
    <w:rsid w:val="00D51D74"/>
    <w:rsid w:val="00D51F0A"/>
    <w:rsid w:val="00D51F52"/>
    <w:rsid w:val="00D523B0"/>
    <w:rsid w:val="00D523CD"/>
    <w:rsid w:val="00D5252D"/>
    <w:rsid w:val="00D52CC2"/>
    <w:rsid w:val="00D530C2"/>
    <w:rsid w:val="00D5331B"/>
    <w:rsid w:val="00D533F3"/>
    <w:rsid w:val="00D533F6"/>
    <w:rsid w:val="00D537FD"/>
    <w:rsid w:val="00D53C70"/>
    <w:rsid w:val="00D53D14"/>
    <w:rsid w:val="00D54447"/>
    <w:rsid w:val="00D54468"/>
    <w:rsid w:val="00D544E7"/>
    <w:rsid w:val="00D54556"/>
    <w:rsid w:val="00D54ACD"/>
    <w:rsid w:val="00D54C6A"/>
    <w:rsid w:val="00D5546F"/>
    <w:rsid w:val="00D55723"/>
    <w:rsid w:val="00D55AE9"/>
    <w:rsid w:val="00D55BF9"/>
    <w:rsid w:val="00D55DC1"/>
    <w:rsid w:val="00D55F89"/>
    <w:rsid w:val="00D56039"/>
    <w:rsid w:val="00D56360"/>
    <w:rsid w:val="00D56411"/>
    <w:rsid w:val="00D56440"/>
    <w:rsid w:val="00D56463"/>
    <w:rsid w:val="00D5665A"/>
    <w:rsid w:val="00D569D3"/>
    <w:rsid w:val="00D56C77"/>
    <w:rsid w:val="00D570AA"/>
    <w:rsid w:val="00D5749A"/>
    <w:rsid w:val="00D575C4"/>
    <w:rsid w:val="00D576A4"/>
    <w:rsid w:val="00D57944"/>
    <w:rsid w:val="00D57AE6"/>
    <w:rsid w:val="00D57AFD"/>
    <w:rsid w:val="00D57B05"/>
    <w:rsid w:val="00D57BE3"/>
    <w:rsid w:val="00D57DEC"/>
    <w:rsid w:val="00D57E79"/>
    <w:rsid w:val="00D6000F"/>
    <w:rsid w:val="00D601C9"/>
    <w:rsid w:val="00D603C5"/>
    <w:rsid w:val="00D6043F"/>
    <w:rsid w:val="00D604A8"/>
    <w:rsid w:val="00D60BF7"/>
    <w:rsid w:val="00D60C22"/>
    <w:rsid w:val="00D60C98"/>
    <w:rsid w:val="00D610ED"/>
    <w:rsid w:val="00D61166"/>
    <w:rsid w:val="00D61684"/>
    <w:rsid w:val="00D61701"/>
    <w:rsid w:val="00D6177D"/>
    <w:rsid w:val="00D617FF"/>
    <w:rsid w:val="00D61847"/>
    <w:rsid w:val="00D6196E"/>
    <w:rsid w:val="00D61B1E"/>
    <w:rsid w:val="00D61BA3"/>
    <w:rsid w:val="00D61F60"/>
    <w:rsid w:val="00D62524"/>
    <w:rsid w:val="00D62740"/>
    <w:rsid w:val="00D628DD"/>
    <w:rsid w:val="00D62BB7"/>
    <w:rsid w:val="00D62C3D"/>
    <w:rsid w:val="00D62E00"/>
    <w:rsid w:val="00D62F3E"/>
    <w:rsid w:val="00D630C7"/>
    <w:rsid w:val="00D63129"/>
    <w:rsid w:val="00D63186"/>
    <w:rsid w:val="00D6321D"/>
    <w:rsid w:val="00D6331E"/>
    <w:rsid w:val="00D63493"/>
    <w:rsid w:val="00D6350B"/>
    <w:rsid w:val="00D63562"/>
    <w:rsid w:val="00D6368D"/>
    <w:rsid w:val="00D638C2"/>
    <w:rsid w:val="00D63903"/>
    <w:rsid w:val="00D63ABD"/>
    <w:rsid w:val="00D63B05"/>
    <w:rsid w:val="00D63F96"/>
    <w:rsid w:val="00D64223"/>
    <w:rsid w:val="00D64362"/>
    <w:rsid w:val="00D6446C"/>
    <w:rsid w:val="00D6448A"/>
    <w:rsid w:val="00D647B6"/>
    <w:rsid w:val="00D648A8"/>
    <w:rsid w:val="00D648FC"/>
    <w:rsid w:val="00D64A30"/>
    <w:rsid w:val="00D64D09"/>
    <w:rsid w:val="00D653CD"/>
    <w:rsid w:val="00D659DB"/>
    <w:rsid w:val="00D65B17"/>
    <w:rsid w:val="00D65B78"/>
    <w:rsid w:val="00D65C21"/>
    <w:rsid w:val="00D65C30"/>
    <w:rsid w:val="00D65D49"/>
    <w:rsid w:val="00D65E1A"/>
    <w:rsid w:val="00D65F26"/>
    <w:rsid w:val="00D660E7"/>
    <w:rsid w:val="00D66466"/>
    <w:rsid w:val="00D66BF8"/>
    <w:rsid w:val="00D66C97"/>
    <w:rsid w:val="00D670B5"/>
    <w:rsid w:val="00D67391"/>
    <w:rsid w:val="00D6741A"/>
    <w:rsid w:val="00D67460"/>
    <w:rsid w:val="00D6765A"/>
    <w:rsid w:val="00D67783"/>
    <w:rsid w:val="00D67B1F"/>
    <w:rsid w:val="00D67BB6"/>
    <w:rsid w:val="00D67E02"/>
    <w:rsid w:val="00D70079"/>
    <w:rsid w:val="00D70437"/>
    <w:rsid w:val="00D7066C"/>
    <w:rsid w:val="00D70703"/>
    <w:rsid w:val="00D7081F"/>
    <w:rsid w:val="00D708E7"/>
    <w:rsid w:val="00D70E3D"/>
    <w:rsid w:val="00D70FDB"/>
    <w:rsid w:val="00D71065"/>
    <w:rsid w:val="00D71277"/>
    <w:rsid w:val="00D714E6"/>
    <w:rsid w:val="00D719A9"/>
    <w:rsid w:val="00D71E24"/>
    <w:rsid w:val="00D72273"/>
    <w:rsid w:val="00D72547"/>
    <w:rsid w:val="00D72B53"/>
    <w:rsid w:val="00D72C54"/>
    <w:rsid w:val="00D73135"/>
    <w:rsid w:val="00D731DB"/>
    <w:rsid w:val="00D732BB"/>
    <w:rsid w:val="00D735A3"/>
    <w:rsid w:val="00D73A0C"/>
    <w:rsid w:val="00D73B71"/>
    <w:rsid w:val="00D73F7A"/>
    <w:rsid w:val="00D7453A"/>
    <w:rsid w:val="00D74826"/>
    <w:rsid w:val="00D7485D"/>
    <w:rsid w:val="00D74CC8"/>
    <w:rsid w:val="00D75234"/>
    <w:rsid w:val="00D75255"/>
    <w:rsid w:val="00D75714"/>
    <w:rsid w:val="00D75869"/>
    <w:rsid w:val="00D7586A"/>
    <w:rsid w:val="00D75A59"/>
    <w:rsid w:val="00D75B2E"/>
    <w:rsid w:val="00D75C82"/>
    <w:rsid w:val="00D75C89"/>
    <w:rsid w:val="00D75D89"/>
    <w:rsid w:val="00D75E7A"/>
    <w:rsid w:val="00D75FF4"/>
    <w:rsid w:val="00D7643F"/>
    <w:rsid w:val="00D7688C"/>
    <w:rsid w:val="00D7690E"/>
    <w:rsid w:val="00D76AC0"/>
    <w:rsid w:val="00D76B25"/>
    <w:rsid w:val="00D77002"/>
    <w:rsid w:val="00D770DE"/>
    <w:rsid w:val="00D77136"/>
    <w:rsid w:val="00D77149"/>
    <w:rsid w:val="00D7716A"/>
    <w:rsid w:val="00D771AC"/>
    <w:rsid w:val="00D77295"/>
    <w:rsid w:val="00D774E9"/>
    <w:rsid w:val="00D77556"/>
    <w:rsid w:val="00D7758E"/>
    <w:rsid w:val="00D77628"/>
    <w:rsid w:val="00D7768F"/>
    <w:rsid w:val="00D77A7C"/>
    <w:rsid w:val="00D77C03"/>
    <w:rsid w:val="00D77C33"/>
    <w:rsid w:val="00D77D6F"/>
    <w:rsid w:val="00D77F50"/>
    <w:rsid w:val="00D801BC"/>
    <w:rsid w:val="00D802C7"/>
    <w:rsid w:val="00D8053D"/>
    <w:rsid w:val="00D80601"/>
    <w:rsid w:val="00D808F2"/>
    <w:rsid w:val="00D80A7A"/>
    <w:rsid w:val="00D80AAF"/>
    <w:rsid w:val="00D80CD7"/>
    <w:rsid w:val="00D80E9E"/>
    <w:rsid w:val="00D80EB4"/>
    <w:rsid w:val="00D81075"/>
    <w:rsid w:val="00D811AC"/>
    <w:rsid w:val="00D812D7"/>
    <w:rsid w:val="00D81591"/>
    <w:rsid w:val="00D8166D"/>
    <w:rsid w:val="00D81782"/>
    <w:rsid w:val="00D819B9"/>
    <w:rsid w:val="00D81AC7"/>
    <w:rsid w:val="00D81BA7"/>
    <w:rsid w:val="00D81C89"/>
    <w:rsid w:val="00D81CC1"/>
    <w:rsid w:val="00D81DC1"/>
    <w:rsid w:val="00D81EAF"/>
    <w:rsid w:val="00D821D3"/>
    <w:rsid w:val="00D823FF"/>
    <w:rsid w:val="00D82541"/>
    <w:rsid w:val="00D82763"/>
    <w:rsid w:val="00D827C7"/>
    <w:rsid w:val="00D82821"/>
    <w:rsid w:val="00D828EB"/>
    <w:rsid w:val="00D82B5F"/>
    <w:rsid w:val="00D82BDB"/>
    <w:rsid w:val="00D82C2B"/>
    <w:rsid w:val="00D82D36"/>
    <w:rsid w:val="00D82EEA"/>
    <w:rsid w:val="00D830FC"/>
    <w:rsid w:val="00D834C7"/>
    <w:rsid w:val="00D83542"/>
    <w:rsid w:val="00D835F8"/>
    <w:rsid w:val="00D8368C"/>
    <w:rsid w:val="00D83859"/>
    <w:rsid w:val="00D842D2"/>
    <w:rsid w:val="00D84741"/>
    <w:rsid w:val="00D849E3"/>
    <w:rsid w:val="00D84CD0"/>
    <w:rsid w:val="00D84CE3"/>
    <w:rsid w:val="00D850CE"/>
    <w:rsid w:val="00D8523A"/>
    <w:rsid w:val="00D85372"/>
    <w:rsid w:val="00D85431"/>
    <w:rsid w:val="00D8552F"/>
    <w:rsid w:val="00D85605"/>
    <w:rsid w:val="00D856F9"/>
    <w:rsid w:val="00D85A0F"/>
    <w:rsid w:val="00D85A28"/>
    <w:rsid w:val="00D85A39"/>
    <w:rsid w:val="00D85ADB"/>
    <w:rsid w:val="00D85FE6"/>
    <w:rsid w:val="00D8608D"/>
    <w:rsid w:val="00D86144"/>
    <w:rsid w:val="00D866FA"/>
    <w:rsid w:val="00D868BC"/>
    <w:rsid w:val="00D868F8"/>
    <w:rsid w:val="00D86AC0"/>
    <w:rsid w:val="00D86E6A"/>
    <w:rsid w:val="00D87082"/>
    <w:rsid w:val="00D870EA"/>
    <w:rsid w:val="00D8744A"/>
    <w:rsid w:val="00D87811"/>
    <w:rsid w:val="00D87856"/>
    <w:rsid w:val="00D87865"/>
    <w:rsid w:val="00D87888"/>
    <w:rsid w:val="00D87DD5"/>
    <w:rsid w:val="00D87E58"/>
    <w:rsid w:val="00D90028"/>
    <w:rsid w:val="00D901BF"/>
    <w:rsid w:val="00D90273"/>
    <w:rsid w:val="00D9054B"/>
    <w:rsid w:val="00D90633"/>
    <w:rsid w:val="00D906A0"/>
    <w:rsid w:val="00D91271"/>
    <w:rsid w:val="00D912E6"/>
    <w:rsid w:val="00D9132B"/>
    <w:rsid w:val="00D915D7"/>
    <w:rsid w:val="00D91728"/>
    <w:rsid w:val="00D91934"/>
    <w:rsid w:val="00D91964"/>
    <w:rsid w:val="00D91A2F"/>
    <w:rsid w:val="00D91A51"/>
    <w:rsid w:val="00D91AEC"/>
    <w:rsid w:val="00D91C99"/>
    <w:rsid w:val="00D91DA8"/>
    <w:rsid w:val="00D91EF5"/>
    <w:rsid w:val="00D92195"/>
    <w:rsid w:val="00D9223A"/>
    <w:rsid w:val="00D928DA"/>
    <w:rsid w:val="00D92B65"/>
    <w:rsid w:val="00D92C96"/>
    <w:rsid w:val="00D92E57"/>
    <w:rsid w:val="00D932DC"/>
    <w:rsid w:val="00D93368"/>
    <w:rsid w:val="00D93574"/>
    <w:rsid w:val="00D93595"/>
    <w:rsid w:val="00D93759"/>
    <w:rsid w:val="00D938FA"/>
    <w:rsid w:val="00D9393B"/>
    <w:rsid w:val="00D93CF0"/>
    <w:rsid w:val="00D93E02"/>
    <w:rsid w:val="00D93F3E"/>
    <w:rsid w:val="00D94042"/>
    <w:rsid w:val="00D9417F"/>
    <w:rsid w:val="00D94216"/>
    <w:rsid w:val="00D94260"/>
    <w:rsid w:val="00D942A1"/>
    <w:rsid w:val="00D94F29"/>
    <w:rsid w:val="00D9500C"/>
    <w:rsid w:val="00D950B9"/>
    <w:rsid w:val="00D9517B"/>
    <w:rsid w:val="00D95321"/>
    <w:rsid w:val="00D9570E"/>
    <w:rsid w:val="00D959AA"/>
    <w:rsid w:val="00D95A25"/>
    <w:rsid w:val="00D95C63"/>
    <w:rsid w:val="00D95CD8"/>
    <w:rsid w:val="00D95E11"/>
    <w:rsid w:val="00D95E49"/>
    <w:rsid w:val="00D962F6"/>
    <w:rsid w:val="00D96342"/>
    <w:rsid w:val="00D965A9"/>
    <w:rsid w:val="00D96745"/>
    <w:rsid w:val="00D967A1"/>
    <w:rsid w:val="00D967DE"/>
    <w:rsid w:val="00D967F3"/>
    <w:rsid w:val="00D96995"/>
    <w:rsid w:val="00D96A6E"/>
    <w:rsid w:val="00D96B2A"/>
    <w:rsid w:val="00D96BC0"/>
    <w:rsid w:val="00D96DA1"/>
    <w:rsid w:val="00D971A4"/>
    <w:rsid w:val="00D971AD"/>
    <w:rsid w:val="00D974C7"/>
    <w:rsid w:val="00D97695"/>
    <w:rsid w:val="00D9784D"/>
    <w:rsid w:val="00D97A04"/>
    <w:rsid w:val="00D97BA5"/>
    <w:rsid w:val="00D97E93"/>
    <w:rsid w:val="00D97F4A"/>
    <w:rsid w:val="00DA0144"/>
    <w:rsid w:val="00DA046C"/>
    <w:rsid w:val="00DA08DF"/>
    <w:rsid w:val="00DA0D25"/>
    <w:rsid w:val="00DA0F1C"/>
    <w:rsid w:val="00DA0F1D"/>
    <w:rsid w:val="00DA0F50"/>
    <w:rsid w:val="00DA1017"/>
    <w:rsid w:val="00DA1138"/>
    <w:rsid w:val="00DA118B"/>
    <w:rsid w:val="00DA1420"/>
    <w:rsid w:val="00DA1B90"/>
    <w:rsid w:val="00DA249E"/>
    <w:rsid w:val="00DA2519"/>
    <w:rsid w:val="00DA27F4"/>
    <w:rsid w:val="00DA29EC"/>
    <w:rsid w:val="00DA2D9E"/>
    <w:rsid w:val="00DA2F1D"/>
    <w:rsid w:val="00DA2FBD"/>
    <w:rsid w:val="00DA3208"/>
    <w:rsid w:val="00DA3357"/>
    <w:rsid w:val="00DA3424"/>
    <w:rsid w:val="00DA355C"/>
    <w:rsid w:val="00DA3672"/>
    <w:rsid w:val="00DA38C8"/>
    <w:rsid w:val="00DA3A0B"/>
    <w:rsid w:val="00DA3F74"/>
    <w:rsid w:val="00DA4071"/>
    <w:rsid w:val="00DA417A"/>
    <w:rsid w:val="00DA42C5"/>
    <w:rsid w:val="00DA441E"/>
    <w:rsid w:val="00DA46FE"/>
    <w:rsid w:val="00DA4711"/>
    <w:rsid w:val="00DA47C7"/>
    <w:rsid w:val="00DA4838"/>
    <w:rsid w:val="00DA48EA"/>
    <w:rsid w:val="00DA4937"/>
    <w:rsid w:val="00DA4A72"/>
    <w:rsid w:val="00DA4B6C"/>
    <w:rsid w:val="00DA503B"/>
    <w:rsid w:val="00DA50C9"/>
    <w:rsid w:val="00DA526C"/>
    <w:rsid w:val="00DA529E"/>
    <w:rsid w:val="00DA534D"/>
    <w:rsid w:val="00DA5376"/>
    <w:rsid w:val="00DA5409"/>
    <w:rsid w:val="00DA545E"/>
    <w:rsid w:val="00DA55CF"/>
    <w:rsid w:val="00DA570A"/>
    <w:rsid w:val="00DA58C4"/>
    <w:rsid w:val="00DA5B13"/>
    <w:rsid w:val="00DA5BCB"/>
    <w:rsid w:val="00DA5DC5"/>
    <w:rsid w:val="00DA5E52"/>
    <w:rsid w:val="00DA5EF9"/>
    <w:rsid w:val="00DA6013"/>
    <w:rsid w:val="00DA6171"/>
    <w:rsid w:val="00DA659B"/>
    <w:rsid w:val="00DA685B"/>
    <w:rsid w:val="00DA69DA"/>
    <w:rsid w:val="00DA6A2F"/>
    <w:rsid w:val="00DA6A56"/>
    <w:rsid w:val="00DA6AC9"/>
    <w:rsid w:val="00DA6D3D"/>
    <w:rsid w:val="00DA6E19"/>
    <w:rsid w:val="00DA7148"/>
    <w:rsid w:val="00DA717B"/>
    <w:rsid w:val="00DA7369"/>
    <w:rsid w:val="00DA7421"/>
    <w:rsid w:val="00DA76AC"/>
    <w:rsid w:val="00DA7A14"/>
    <w:rsid w:val="00DA7A9A"/>
    <w:rsid w:val="00DA7EB3"/>
    <w:rsid w:val="00DA7FAD"/>
    <w:rsid w:val="00DA7FE8"/>
    <w:rsid w:val="00DB00A0"/>
    <w:rsid w:val="00DB00BF"/>
    <w:rsid w:val="00DB01F9"/>
    <w:rsid w:val="00DB0251"/>
    <w:rsid w:val="00DB04B1"/>
    <w:rsid w:val="00DB05C4"/>
    <w:rsid w:val="00DB0714"/>
    <w:rsid w:val="00DB0866"/>
    <w:rsid w:val="00DB097A"/>
    <w:rsid w:val="00DB0DBD"/>
    <w:rsid w:val="00DB0FDE"/>
    <w:rsid w:val="00DB11DA"/>
    <w:rsid w:val="00DB12CC"/>
    <w:rsid w:val="00DB14CA"/>
    <w:rsid w:val="00DB1502"/>
    <w:rsid w:val="00DB16AC"/>
    <w:rsid w:val="00DB16FB"/>
    <w:rsid w:val="00DB1848"/>
    <w:rsid w:val="00DB1AC2"/>
    <w:rsid w:val="00DB1D48"/>
    <w:rsid w:val="00DB1E39"/>
    <w:rsid w:val="00DB1E7B"/>
    <w:rsid w:val="00DB20C9"/>
    <w:rsid w:val="00DB225E"/>
    <w:rsid w:val="00DB22E8"/>
    <w:rsid w:val="00DB239E"/>
    <w:rsid w:val="00DB255F"/>
    <w:rsid w:val="00DB25B8"/>
    <w:rsid w:val="00DB2CD4"/>
    <w:rsid w:val="00DB2E8F"/>
    <w:rsid w:val="00DB303F"/>
    <w:rsid w:val="00DB30B2"/>
    <w:rsid w:val="00DB311E"/>
    <w:rsid w:val="00DB31F2"/>
    <w:rsid w:val="00DB3376"/>
    <w:rsid w:val="00DB356F"/>
    <w:rsid w:val="00DB38F7"/>
    <w:rsid w:val="00DB3D91"/>
    <w:rsid w:val="00DB404D"/>
    <w:rsid w:val="00DB418C"/>
    <w:rsid w:val="00DB4734"/>
    <w:rsid w:val="00DB4C3A"/>
    <w:rsid w:val="00DB4D48"/>
    <w:rsid w:val="00DB4F1F"/>
    <w:rsid w:val="00DB53A0"/>
    <w:rsid w:val="00DB5533"/>
    <w:rsid w:val="00DB5796"/>
    <w:rsid w:val="00DB5AF2"/>
    <w:rsid w:val="00DB5C14"/>
    <w:rsid w:val="00DB5CE9"/>
    <w:rsid w:val="00DB5D66"/>
    <w:rsid w:val="00DB5DFB"/>
    <w:rsid w:val="00DB621E"/>
    <w:rsid w:val="00DB653D"/>
    <w:rsid w:val="00DB6950"/>
    <w:rsid w:val="00DB6D25"/>
    <w:rsid w:val="00DB6D7F"/>
    <w:rsid w:val="00DB6ECD"/>
    <w:rsid w:val="00DB72B4"/>
    <w:rsid w:val="00DB7484"/>
    <w:rsid w:val="00DB7897"/>
    <w:rsid w:val="00DB7A52"/>
    <w:rsid w:val="00DB7C54"/>
    <w:rsid w:val="00DB7D44"/>
    <w:rsid w:val="00DB7E4A"/>
    <w:rsid w:val="00DB7EF8"/>
    <w:rsid w:val="00DB7F3C"/>
    <w:rsid w:val="00DB7FB3"/>
    <w:rsid w:val="00DC044F"/>
    <w:rsid w:val="00DC05FC"/>
    <w:rsid w:val="00DC0DFF"/>
    <w:rsid w:val="00DC0E78"/>
    <w:rsid w:val="00DC0EAE"/>
    <w:rsid w:val="00DC1183"/>
    <w:rsid w:val="00DC1D3C"/>
    <w:rsid w:val="00DC1F34"/>
    <w:rsid w:val="00DC1FB7"/>
    <w:rsid w:val="00DC20D2"/>
    <w:rsid w:val="00DC217A"/>
    <w:rsid w:val="00DC2444"/>
    <w:rsid w:val="00DC24FE"/>
    <w:rsid w:val="00DC25C3"/>
    <w:rsid w:val="00DC25DF"/>
    <w:rsid w:val="00DC26F1"/>
    <w:rsid w:val="00DC2F45"/>
    <w:rsid w:val="00DC2FD4"/>
    <w:rsid w:val="00DC30AE"/>
    <w:rsid w:val="00DC3344"/>
    <w:rsid w:val="00DC34C1"/>
    <w:rsid w:val="00DC36D9"/>
    <w:rsid w:val="00DC3703"/>
    <w:rsid w:val="00DC37F9"/>
    <w:rsid w:val="00DC3A30"/>
    <w:rsid w:val="00DC3BB8"/>
    <w:rsid w:val="00DC401B"/>
    <w:rsid w:val="00DC422B"/>
    <w:rsid w:val="00DC4279"/>
    <w:rsid w:val="00DC42A9"/>
    <w:rsid w:val="00DC4370"/>
    <w:rsid w:val="00DC4584"/>
    <w:rsid w:val="00DC462F"/>
    <w:rsid w:val="00DC48D8"/>
    <w:rsid w:val="00DC4952"/>
    <w:rsid w:val="00DC4994"/>
    <w:rsid w:val="00DC49C9"/>
    <w:rsid w:val="00DC4A67"/>
    <w:rsid w:val="00DC4AB3"/>
    <w:rsid w:val="00DC4C08"/>
    <w:rsid w:val="00DC4D22"/>
    <w:rsid w:val="00DC5171"/>
    <w:rsid w:val="00DC52AB"/>
    <w:rsid w:val="00DC55D6"/>
    <w:rsid w:val="00DC5930"/>
    <w:rsid w:val="00DC5988"/>
    <w:rsid w:val="00DC60CB"/>
    <w:rsid w:val="00DC62F2"/>
    <w:rsid w:val="00DC6478"/>
    <w:rsid w:val="00DC6551"/>
    <w:rsid w:val="00DC66AF"/>
    <w:rsid w:val="00DC6723"/>
    <w:rsid w:val="00DC68EE"/>
    <w:rsid w:val="00DC6BE8"/>
    <w:rsid w:val="00DC6EA1"/>
    <w:rsid w:val="00DC724A"/>
    <w:rsid w:val="00DC724E"/>
    <w:rsid w:val="00DC7398"/>
    <w:rsid w:val="00DC76BF"/>
    <w:rsid w:val="00DC7752"/>
    <w:rsid w:val="00DC7EE1"/>
    <w:rsid w:val="00DC7EFB"/>
    <w:rsid w:val="00DC7FF3"/>
    <w:rsid w:val="00DD004D"/>
    <w:rsid w:val="00DD00BF"/>
    <w:rsid w:val="00DD0229"/>
    <w:rsid w:val="00DD0408"/>
    <w:rsid w:val="00DD048E"/>
    <w:rsid w:val="00DD0767"/>
    <w:rsid w:val="00DD07E4"/>
    <w:rsid w:val="00DD0B1C"/>
    <w:rsid w:val="00DD0C3E"/>
    <w:rsid w:val="00DD0D05"/>
    <w:rsid w:val="00DD133D"/>
    <w:rsid w:val="00DD137F"/>
    <w:rsid w:val="00DD159A"/>
    <w:rsid w:val="00DD166F"/>
    <w:rsid w:val="00DD1D2E"/>
    <w:rsid w:val="00DD23F0"/>
    <w:rsid w:val="00DD25F5"/>
    <w:rsid w:val="00DD287D"/>
    <w:rsid w:val="00DD2CEF"/>
    <w:rsid w:val="00DD2F72"/>
    <w:rsid w:val="00DD3013"/>
    <w:rsid w:val="00DD301E"/>
    <w:rsid w:val="00DD313A"/>
    <w:rsid w:val="00DD34FA"/>
    <w:rsid w:val="00DD3609"/>
    <w:rsid w:val="00DD372B"/>
    <w:rsid w:val="00DD379D"/>
    <w:rsid w:val="00DD3A2C"/>
    <w:rsid w:val="00DD3CD2"/>
    <w:rsid w:val="00DD3CE5"/>
    <w:rsid w:val="00DD3DD2"/>
    <w:rsid w:val="00DD3EDF"/>
    <w:rsid w:val="00DD3F23"/>
    <w:rsid w:val="00DD40A8"/>
    <w:rsid w:val="00DD4134"/>
    <w:rsid w:val="00DD44F4"/>
    <w:rsid w:val="00DD470E"/>
    <w:rsid w:val="00DD4728"/>
    <w:rsid w:val="00DD4729"/>
    <w:rsid w:val="00DD48F4"/>
    <w:rsid w:val="00DD4989"/>
    <w:rsid w:val="00DD49F6"/>
    <w:rsid w:val="00DD4EFA"/>
    <w:rsid w:val="00DD5074"/>
    <w:rsid w:val="00DD5374"/>
    <w:rsid w:val="00DD5387"/>
    <w:rsid w:val="00DD53E3"/>
    <w:rsid w:val="00DD57D8"/>
    <w:rsid w:val="00DD57DA"/>
    <w:rsid w:val="00DD5CB4"/>
    <w:rsid w:val="00DD5CB9"/>
    <w:rsid w:val="00DD5D64"/>
    <w:rsid w:val="00DD5E9A"/>
    <w:rsid w:val="00DD6171"/>
    <w:rsid w:val="00DD61D6"/>
    <w:rsid w:val="00DD61F7"/>
    <w:rsid w:val="00DD64A8"/>
    <w:rsid w:val="00DD6C70"/>
    <w:rsid w:val="00DD6F46"/>
    <w:rsid w:val="00DD70AE"/>
    <w:rsid w:val="00DD70DE"/>
    <w:rsid w:val="00DD737C"/>
    <w:rsid w:val="00DD76CF"/>
    <w:rsid w:val="00DD772D"/>
    <w:rsid w:val="00DD7765"/>
    <w:rsid w:val="00DD79B8"/>
    <w:rsid w:val="00DD7A05"/>
    <w:rsid w:val="00DD7E3A"/>
    <w:rsid w:val="00DE028C"/>
    <w:rsid w:val="00DE03CE"/>
    <w:rsid w:val="00DE04B5"/>
    <w:rsid w:val="00DE0806"/>
    <w:rsid w:val="00DE08B1"/>
    <w:rsid w:val="00DE09AB"/>
    <w:rsid w:val="00DE09CE"/>
    <w:rsid w:val="00DE0E77"/>
    <w:rsid w:val="00DE124D"/>
    <w:rsid w:val="00DE12F7"/>
    <w:rsid w:val="00DE15D1"/>
    <w:rsid w:val="00DE17BC"/>
    <w:rsid w:val="00DE1A0C"/>
    <w:rsid w:val="00DE1E95"/>
    <w:rsid w:val="00DE220F"/>
    <w:rsid w:val="00DE2673"/>
    <w:rsid w:val="00DE27C5"/>
    <w:rsid w:val="00DE290D"/>
    <w:rsid w:val="00DE297A"/>
    <w:rsid w:val="00DE31EB"/>
    <w:rsid w:val="00DE33C1"/>
    <w:rsid w:val="00DE3695"/>
    <w:rsid w:val="00DE36FA"/>
    <w:rsid w:val="00DE3883"/>
    <w:rsid w:val="00DE3A2D"/>
    <w:rsid w:val="00DE3BC6"/>
    <w:rsid w:val="00DE3F63"/>
    <w:rsid w:val="00DE3FE5"/>
    <w:rsid w:val="00DE4219"/>
    <w:rsid w:val="00DE443C"/>
    <w:rsid w:val="00DE48D0"/>
    <w:rsid w:val="00DE49D3"/>
    <w:rsid w:val="00DE4B75"/>
    <w:rsid w:val="00DE4C38"/>
    <w:rsid w:val="00DE4D5D"/>
    <w:rsid w:val="00DE4DA7"/>
    <w:rsid w:val="00DE54FD"/>
    <w:rsid w:val="00DE5C26"/>
    <w:rsid w:val="00DE608C"/>
    <w:rsid w:val="00DE635F"/>
    <w:rsid w:val="00DE63E9"/>
    <w:rsid w:val="00DE6645"/>
    <w:rsid w:val="00DE665B"/>
    <w:rsid w:val="00DE671B"/>
    <w:rsid w:val="00DE6877"/>
    <w:rsid w:val="00DE6B0A"/>
    <w:rsid w:val="00DE6C84"/>
    <w:rsid w:val="00DE6CFF"/>
    <w:rsid w:val="00DE6F2B"/>
    <w:rsid w:val="00DE713A"/>
    <w:rsid w:val="00DE7215"/>
    <w:rsid w:val="00DE7441"/>
    <w:rsid w:val="00DE7528"/>
    <w:rsid w:val="00DE76D8"/>
    <w:rsid w:val="00DE76EF"/>
    <w:rsid w:val="00DE7AD5"/>
    <w:rsid w:val="00DE7ADA"/>
    <w:rsid w:val="00DE7F9F"/>
    <w:rsid w:val="00DF0027"/>
    <w:rsid w:val="00DF0153"/>
    <w:rsid w:val="00DF0828"/>
    <w:rsid w:val="00DF0F4C"/>
    <w:rsid w:val="00DF0F86"/>
    <w:rsid w:val="00DF1115"/>
    <w:rsid w:val="00DF11E4"/>
    <w:rsid w:val="00DF1353"/>
    <w:rsid w:val="00DF1591"/>
    <w:rsid w:val="00DF17ED"/>
    <w:rsid w:val="00DF1950"/>
    <w:rsid w:val="00DF1AD5"/>
    <w:rsid w:val="00DF1B20"/>
    <w:rsid w:val="00DF1CEB"/>
    <w:rsid w:val="00DF1EB1"/>
    <w:rsid w:val="00DF1EFD"/>
    <w:rsid w:val="00DF1F1B"/>
    <w:rsid w:val="00DF213C"/>
    <w:rsid w:val="00DF22C9"/>
    <w:rsid w:val="00DF22D0"/>
    <w:rsid w:val="00DF23C7"/>
    <w:rsid w:val="00DF23E8"/>
    <w:rsid w:val="00DF2763"/>
    <w:rsid w:val="00DF283A"/>
    <w:rsid w:val="00DF283F"/>
    <w:rsid w:val="00DF2C03"/>
    <w:rsid w:val="00DF3042"/>
    <w:rsid w:val="00DF3433"/>
    <w:rsid w:val="00DF38B8"/>
    <w:rsid w:val="00DF3984"/>
    <w:rsid w:val="00DF3DE9"/>
    <w:rsid w:val="00DF3FA4"/>
    <w:rsid w:val="00DF458E"/>
    <w:rsid w:val="00DF480E"/>
    <w:rsid w:val="00DF4814"/>
    <w:rsid w:val="00DF49CB"/>
    <w:rsid w:val="00DF4C53"/>
    <w:rsid w:val="00DF5382"/>
    <w:rsid w:val="00DF53E9"/>
    <w:rsid w:val="00DF5584"/>
    <w:rsid w:val="00DF57CC"/>
    <w:rsid w:val="00DF5832"/>
    <w:rsid w:val="00DF5888"/>
    <w:rsid w:val="00DF592E"/>
    <w:rsid w:val="00DF5AA2"/>
    <w:rsid w:val="00DF5B33"/>
    <w:rsid w:val="00DF5B3B"/>
    <w:rsid w:val="00DF5BAD"/>
    <w:rsid w:val="00DF5C90"/>
    <w:rsid w:val="00DF5D22"/>
    <w:rsid w:val="00DF5DBB"/>
    <w:rsid w:val="00DF622A"/>
    <w:rsid w:val="00DF6265"/>
    <w:rsid w:val="00DF63E0"/>
    <w:rsid w:val="00DF648F"/>
    <w:rsid w:val="00DF6C20"/>
    <w:rsid w:val="00DF71A4"/>
    <w:rsid w:val="00DF74CC"/>
    <w:rsid w:val="00DF7521"/>
    <w:rsid w:val="00DF7643"/>
    <w:rsid w:val="00DF7A4B"/>
    <w:rsid w:val="00DF7AC6"/>
    <w:rsid w:val="00DF7B0E"/>
    <w:rsid w:val="00DF7C8A"/>
    <w:rsid w:val="00DF7C9C"/>
    <w:rsid w:val="00E00000"/>
    <w:rsid w:val="00E00092"/>
    <w:rsid w:val="00E000B3"/>
    <w:rsid w:val="00E00219"/>
    <w:rsid w:val="00E0024A"/>
    <w:rsid w:val="00E00B12"/>
    <w:rsid w:val="00E00F19"/>
    <w:rsid w:val="00E01178"/>
    <w:rsid w:val="00E0132A"/>
    <w:rsid w:val="00E01414"/>
    <w:rsid w:val="00E015E0"/>
    <w:rsid w:val="00E01643"/>
    <w:rsid w:val="00E0168B"/>
    <w:rsid w:val="00E01765"/>
    <w:rsid w:val="00E017DB"/>
    <w:rsid w:val="00E01DB7"/>
    <w:rsid w:val="00E02406"/>
    <w:rsid w:val="00E026A1"/>
    <w:rsid w:val="00E026AC"/>
    <w:rsid w:val="00E026C9"/>
    <w:rsid w:val="00E02792"/>
    <w:rsid w:val="00E02A64"/>
    <w:rsid w:val="00E02C4C"/>
    <w:rsid w:val="00E036CD"/>
    <w:rsid w:val="00E039D1"/>
    <w:rsid w:val="00E03E86"/>
    <w:rsid w:val="00E04020"/>
    <w:rsid w:val="00E041F3"/>
    <w:rsid w:val="00E0427C"/>
    <w:rsid w:val="00E042CB"/>
    <w:rsid w:val="00E0472B"/>
    <w:rsid w:val="00E04D74"/>
    <w:rsid w:val="00E04E0A"/>
    <w:rsid w:val="00E04F15"/>
    <w:rsid w:val="00E05165"/>
    <w:rsid w:val="00E053FA"/>
    <w:rsid w:val="00E0549D"/>
    <w:rsid w:val="00E0552A"/>
    <w:rsid w:val="00E0567F"/>
    <w:rsid w:val="00E05E16"/>
    <w:rsid w:val="00E05E2D"/>
    <w:rsid w:val="00E06010"/>
    <w:rsid w:val="00E06B9E"/>
    <w:rsid w:val="00E06C5E"/>
    <w:rsid w:val="00E07128"/>
    <w:rsid w:val="00E076B4"/>
    <w:rsid w:val="00E07D78"/>
    <w:rsid w:val="00E07EEE"/>
    <w:rsid w:val="00E101DE"/>
    <w:rsid w:val="00E103CB"/>
    <w:rsid w:val="00E107DD"/>
    <w:rsid w:val="00E108BE"/>
    <w:rsid w:val="00E10D00"/>
    <w:rsid w:val="00E10D01"/>
    <w:rsid w:val="00E10FCD"/>
    <w:rsid w:val="00E11385"/>
    <w:rsid w:val="00E115D3"/>
    <w:rsid w:val="00E11664"/>
    <w:rsid w:val="00E1198C"/>
    <w:rsid w:val="00E119DF"/>
    <w:rsid w:val="00E11EA2"/>
    <w:rsid w:val="00E11FD9"/>
    <w:rsid w:val="00E12286"/>
    <w:rsid w:val="00E1241B"/>
    <w:rsid w:val="00E12552"/>
    <w:rsid w:val="00E1287B"/>
    <w:rsid w:val="00E12B0B"/>
    <w:rsid w:val="00E1314E"/>
    <w:rsid w:val="00E131CD"/>
    <w:rsid w:val="00E13542"/>
    <w:rsid w:val="00E136D9"/>
    <w:rsid w:val="00E13A0D"/>
    <w:rsid w:val="00E13DEE"/>
    <w:rsid w:val="00E13FAF"/>
    <w:rsid w:val="00E140CE"/>
    <w:rsid w:val="00E14179"/>
    <w:rsid w:val="00E143D3"/>
    <w:rsid w:val="00E1455E"/>
    <w:rsid w:val="00E14789"/>
    <w:rsid w:val="00E147C1"/>
    <w:rsid w:val="00E1483D"/>
    <w:rsid w:val="00E14842"/>
    <w:rsid w:val="00E148CC"/>
    <w:rsid w:val="00E14B0E"/>
    <w:rsid w:val="00E14D7A"/>
    <w:rsid w:val="00E1533E"/>
    <w:rsid w:val="00E155D4"/>
    <w:rsid w:val="00E159BC"/>
    <w:rsid w:val="00E15B6F"/>
    <w:rsid w:val="00E15E8E"/>
    <w:rsid w:val="00E15FE1"/>
    <w:rsid w:val="00E160CA"/>
    <w:rsid w:val="00E161EA"/>
    <w:rsid w:val="00E165AD"/>
    <w:rsid w:val="00E16638"/>
    <w:rsid w:val="00E16AE7"/>
    <w:rsid w:val="00E16B70"/>
    <w:rsid w:val="00E16D2C"/>
    <w:rsid w:val="00E16E03"/>
    <w:rsid w:val="00E17098"/>
    <w:rsid w:val="00E170F2"/>
    <w:rsid w:val="00E1724C"/>
    <w:rsid w:val="00E1776D"/>
    <w:rsid w:val="00E177E6"/>
    <w:rsid w:val="00E17A35"/>
    <w:rsid w:val="00E17D81"/>
    <w:rsid w:val="00E17F7D"/>
    <w:rsid w:val="00E17F8B"/>
    <w:rsid w:val="00E200FE"/>
    <w:rsid w:val="00E2013A"/>
    <w:rsid w:val="00E2018A"/>
    <w:rsid w:val="00E201E4"/>
    <w:rsid w:val="00E201EC"/>
    <w:rsid w:val="00E20417"/>
    <w:rsid w:val="00E20707"/>
    <w:rsid w:val="00E207B5"/>
    <w:rsid w:val="00E20972"/>
    <w:rsid w:val="00E20D20"/>
    <w:rsid w:val="00E20D9C"/>
    <w:rsid w:val="00E20E22"/>
    <w:rsid w:val="00E2130B"/>
    <w:rsid w:val="00E21477"/>
    <w:rsid w:val="00E2163D"/>
    <w:rsid w:val="00E21745"/>
    <w:rsid w:val="00E21784"/>
    <w:rsid w:val="00E21B65"/>
    <w:rsid w:val="00E22314"/>
    <w:rsid w:val="00E223F6"/>
    <w:rsid w:val="00E2271A"/>
    <w:rsid w:val="00E22827"/>
    <w:rsid w:val="00E22927"/>
    <w:rsid w:val="00E22A8C"/>
    <w:rsid w:val="00E22B54"/>
    <w:rsid w:val="00E23029"/>
    <w:rsid w:val="00E23231"/>
    <w:rsid w:val="00E23374"/>
    <w:rsid w:val="00E234D0"/>
    <w:rsid w:val="00E23568"/>
    <w:rsid w:val="00E235FB"/>
    <w:rsid w:val="00E23B01"/>
    <w:rsid w:val="00E240E3"/>
    <w:rsid w:val="00E2416E"/>
    <w:rsid w:val="00E24C44"/>
    <w:rsid w:val="00E24C7C"/>
    <w:rsid w:val="00E24D00"/>
    <w:rsid w:val="00E24D59"/>
    <w:rsid w:val="00E24F55"/>
    <w:rsid w:val="00E252A4"/>
    <w:rsid w:val="00E25489"/>
    <w:rsid w:val="00E2549F"/>
    <w:rsid w:val="00E2561D"/>
    <w:rsid w:val="00E25958"/>
    <w:rsid w:val="00E25A01"/>
    <w:rsid w:val="00E25A66"/>
    <w:rsid w:val="00E25B17"/>
    <w:rsid w:val="00E25B85"/>
    <w:rsid w:val="00E25E48"/>
    <w:rsid w:val="00E2610B"/>
    <w:rsid w:val="00E26483"/>
    <w:rsid w:val="00E26970"/>
    <w:rsid w:val="00E26A35"/>
    <w:rsid w:val="00E26A5A"/>
    <w:rsid w:val="00E26E28"/>
    <w:rsid w:val="00E27282"/>
    <w:rsid w:val="00E2748C"/>
    <w:rsid w:val="00E275D7"/>
    <w:rsid w:val="00E27A72"/>
    <w:rsid w:val="00E27C15"/>
    <w:rsid w:val="00E27D66"/>
    <w:rsid w:val="00E30085"/>
    <w:rsid w:val="00E300AB"/>
    <w:rsid w:val="00E30138"/>
    <w:rsid w:val="00E30140"/>
    <w:rsid w:val="00E306F9"/>
    <w:rsid w:val="00E307E0"/>
    <w:rsid w:val="00E308A5"/>
    <w:rsid w:val="00E30B53"/>
    <w:rsid w:val="00E30BEB"/>
    <w:rsid w:val="00E30D14"/>
    <w:rsid w:val="00E30D4D"/>
    <w:rsid w:val="00E30E74"/>
    <w:rsid w:val="00E30F4D"/>
    <w:rsid w:val="00E310D2"/>
    <w:rsid w:val="00E31146"/>
    <w:rsid w:val="00E3152F"/>
    <w:rsid w:val="00E316BC"/>
    <w:rsid w:val="00E317EE"/>
    <w:rsid w:val="00E31898"/>
    <w:rsid w:val="00E31EAE"/>
    <w:rsid w:val="00E320AA"/>
    <w:rsid w:val="00E3232E"/>
    <w:rsid w:val="00E32442"/>
    <w:rsid w:val="00E325AA"/>
    <w:rsid w:val="00E3269E"/>
    <w:rsid w:val="00E3298F"/>
    <w:rsid w:val="00E32D68"/>
    <w:rsid w:val="00E330FD"/>
    <w:rsid w:val="00E33520"/>
    <w:rsid w:val="00E335ED"/>
    <w:rsid w:val="00E336C2"/>
    <w:rsid w:val="00E336DC"/>
    <w:rsid w:val="00E336FD"/>
    <w:rsid w:val="00E33725"/>
    <w:rsid w:val="00E33856"/>
    <w:rsid w:val="00E33AB6"/>
    <w:rsid w:val="00E33EF6"/>
    <w:rsid w:val="00E33F16"/>
    <w:rsid w:val="00E3422F"/>
    <w:rsid w:val="00E3482A"/>
    <w:rsid w:val="00E34902"/>
    <w:rsid w:val="00E34992"/>
    <w:rsid w:val="00E349EF"/>
    <w:rsid w:val="00E34A8F"/>
    <w:rsid w:val="00E34C3B"/>
    <w:rsid w:val="00E34E0F"/>
    <w:rsid w:val="00E35018"/>
    <w:rsid w:val="00E35029"/>
    <w:rsid w:val="00E3518B"/>
    <w:rsid w:val="00E351CC"/>
    <w:rsid w:val="00E355D8"/>
    <w:rsid w:val="00E35634"/>
    <w:rsid w:val="00E359B3"/>
    <w:rsid w:val="00E35A2F"/>
    <w:rsid w:val="00E35B0D"/>
    <w:rsid w:val="00E36169"/>
    <w:rsid w:val="00E3628B"/>
    <w:rsid w:val="00E367C5"/>
    <w:rsid w:val="00E36851"/>
    <w:rsid w:val="00E3686D"/>
    <w:rsid w:val="00E369D0"/>
    <w:rsid w:val="00E36A99"/>
    <w:rsid w:val="00E3715D"/>
    <w:rsid w:val="00E37302"/>
    <w:rsid w:val="00E37AA2"/>
    <w:rsid w:val="00E37B7D"/>
    <w:rsid w:val="00E37C4C"/>
    <w:rsid w:val="00E37ECF"/>
    <w:rsid w:val="00E37EDF"/>
    <w:rsid w:val="00E37F6A"/>
    <w:rsid w:val="00E40334"/>
    <w:rsid w:val="00E4041D"/>
    <w:rsid w:val="00E407A4"/>
    <w:rsid w:val="00E40864"/>
    <w:rsid w:val="00E408F3"/>
    <w:rsid w:val="00E415B7"/>
    <w:rsid w:val="00E41844"/>
    <w:rsid w:val="00E418D5"/>
    <w:rsid w:val="00E41AF1"/>
    <w:rsid w:val="00E41B86"/>
    <w:rsid w:val="00E41CA4"/>
    <w:rsid w:val="00E41CE1"/>
    <w:rsid w:val="00E42002"/>
    <w:rsid w:val="00E42532"/>
    <w:rsid w:val="00E42539"/>
    <w:rsid w:val="00E4275D"/>
    <w:rsid w:val="00E42E2F"/>
    <w:rsid w:val="00E430AE"/>
    <w:rsid w:val="00E433F2"/>
    <w:rsid w:val="00E43503"/>
    <w:rsid w:val="00E43917"/>
    <w:rsid w:val="00E43CBC"/>
    <w:rsid w:val="00E43D5B"/>
    <w:rsid w:val="00E43F98"/>
    <w:rsid w:val="00E4409E"/>
    <w:rsid w:val="00E44360"/>
    <w:rsid w:val="00E4437E"/>
    <w:rsid w:val="00E443CA"/>
    <w:rsid w:val="00E4448F"/>
    <w:rsid w:val="00E448AB"/>
    <w:rsid w:val="00E44BE5"/>
    <w:rsid w:val="00E44E91"/>
    <w:rsid w:val="00E45189"/>
    <w:rsid w:val="00E45432"/>
    <w:rsid w:val="00E45807"/>
    <w:rsid w:val="00E458BE"/>
    <w:rsid w:val="00E45D24"/>
    <w:rsid w:val="00E45F4E"/>
    <w:rsid w:val="00E45FA1"/>
    <w:rsid w:val="00E461CE"/>
    <w:rsid w:val="00E461FA"/>
    <w:rsid w:val="00E4623E"/>
    <w:rsid w:val="00E46428"/>
    <w:rsid w:val="00E4650D"/>
    <w:rsid w:val="00E469C7"/>
    <w:rsid w:val="00E46C7F"/>
    <w:rsid w:val="00E47080"/>
    <w:rsid w:val="00E47089"/>
    <w:rsid w:val="00E471EA"/>
    <w:rsid w:val="00E4732E"/>
    <w:rsid w:val="00E47374"/>
    <w:rsid w:val="00E474A1"/>
    <w:rsid w:val="00E4751C"/>
    <w:rsid w:val="00E475B5"/>
    <w:rsid w:val="00E47A78"/>
    <w:rsid w:val="00E47DD8"/>
    <w:rsid w:val="00E47FA2"/>
    <w:rsid w:val="00E50418"/>
    <w:rsid w:val="00E5045C"/>
    <w:rsid w:val="00E50918"/>
    <w:rsid w:val="00E50C71"/>
    <w:rsid w:val="00E50F42"/>
    <w:rsid w:val="00E51356"/>
    <w:rsid w:val="00E516B4"/>
    <w:rsid w:val="00E5195D"/>
    <w:rsid w:val="00E51A50"/>
    <w:rsid w:val="00E51A64"/>
    <w:rsid w:val="00E520C0"/>
    <w:rsid w:val="00E525C6"/>
    <w:rsid w:val="00E528D7"/>
    <w:rsid w:val="00E52932"/>
    <w:rsid w:val="00E529B4"/>
    <w:rsid w:val="00E52B0D"/>
    <w:rsid w:val="00E52DE7"/>
    <w:rsid w:val="00E52DFB"/>
    <w:rsid w:val="00E52E03"/>
    <w:rsid w:val="00E535B7"/>
    <w:rsid w:val="00E5364E"/>
    <w:rsid w:val="00E53766"/>
    <w:rsid w:val="00E53794"/>
    <w:rsid w:val="00E539FE"/>
    <w:rsid w:val="00E53EA3"/>
    <w:rsid w:val="00E54090"/>
    <w:rsid w:val="00E540E1"/>
    <w:rsid w:val="00E54190"/>
    <w:rsid w:val="00E541CF"/>
    <w:rsid w:val="00E5452A"/>
    <w:rsid w:val="00E546F1"/>
    <w:rsid w:val="00E54831"/>
    <w:rsid w:val="00E548FD"/>
    <w:rsid w:val="00E54943"/>
    <w:rsid w:val="00E549CF"/>
    <w:rsid w:val="00E549FD"/>
    <w:rsid w:val="00E54BB2"/>
    <w:rsid w:val="00E54EE1"/>
    <w:rsid w:val="00E55300"/>
    <w:rsid w:val="00E5537F"/>
    <w:rsid w:val="00E553BB"/>
    <w:rsid w:val="00E555F8"/>
    <w:rsid w:val="00E559B7"/>
    <w:rsid w:val="00E55E8B"/>
    <w:rsid w:val="00E560E9"/>
    <w:rsid w:val="00E56112"/>
    <w:rsid w:val="00E5623D"/>
    <w:rsid w:val="00E563B0"/>
    <w:rsid w:val="00E56834"/>
    <w:rsid w:val="00E5688B"/>
    <w:rsid w:val="00E568B5"/>
    <w:rsid w:val="00E56A40"/>
    <w:rsid w:val="00E56C28"/>
    <w:rsid w:val="00E56C58"/>
    <w:rsid w:val="00E56CF3"/>
    <w:rsid w:val="00E56FF0"/>
    <w:rsid w:val="00E57028"/>
    <w:rsid w:val="00E570A6"/>
    <w:rsid w:val="00E570FD"/>
    <w:rsid w:val="00E571AA"/>
    <w:rsid w:val="00E57403"/>
    <w:rsid w:val="00E57529"/>
    <w:rsid w:val="00E57783"/>
    <w:rsid w:val="00E5796A"/>
    <w:rsid w:val="00E57B0B"/>
    <w:rsid w:val="00E57DC5"/>
    <w:rsid w:val="00E57DF8"/>
    <w:rsid w:val="00E57E03"/>
    <w:rsid w:val="00E57E11"/>
    <w:rsid w:val="00E57E95"/>
    <w:rsid w:val="00E60016"/>
    <w:rsid w:val="00E60377"/>
    <w:rsid w:val="00E604DA"/>
    <w:rsid w:val="00E60A6B"/>
    <w:rsid w:val="00E60B64"/>
    <w:rsid w:val="00E60C8E"/>
    <w:rsid w:val="00E60EDE"/>
    <w:rsid w:val="00E60F57"/>
    <w:rsid w:val="00E6101F"/>
    <w:rsid w:val="00E61070"/>
    <w:rsid w:val="00E610DF"/>
    <w:rsid w:val="00E614EA"/>
    <w:rsid w:val="00E61966"/>
    <w:rsid w:val="00E61ABC"/>
    <w:rsid w:val="00E61CD9"/>
    <w:rsid w:val="00E61D65"/>
    <w:rsid w:val="00E61EB5"/>
    <w:rsid w:val="00E6252D"/>
    <w:rsid w:val="00E625D7"/>
    <w:rsid w:val="00E62620"/>
    <w:rsid w:val="00E62688"/>
    <w:rsid w:val="00E62737"/>
    <w:rsid w:val="00E62868"/>
    <w:rsid w:val="00E62B70"/>
    <w:rsid w:val="00E62C37"/>
    <w:rsid w:val="00E62C3C"/>
    <w:rsid w:val="00E62C77"/>
    <w:rsid w:val="00E62C9A"/>
    <w:rsid w:val="00E62D31"/>
    <w:rsid w:val="00E6300E"/>
    <w:rsid w:val="00E6303C"/>
    <w:rsid w:val="00E63054"/>
    <w:rsid w:val="00E631A0"/>
    <w:rsid w:val="00E631EF"/>
    <w:rsid w:val="00E63315"/>
    <w:rsid w:val="00E63330"/>
    <w:rsid w:val="00E6359D"/>
    <w:rsid w:val="00E63B8A"/>
    <w:rsid w:val="00E640DE"/>
    <w:rsid w:val="00E64298"/>
    <w:rsid w:val="00E643E5"/>
    <w:rsid w:val="00E64458"/>
    <w:rsid w:val="00E64825"/>
    <w:rsid w:val="00E648CF"/>
    <w:rsid w:val="00E64933"/>
    <w:rsid w:val="00E649C1"/>
    <w:rsid w:val="00E64A37"/>
    <w:rsid w:val="00E64D04"/>
    <w:rsid w:val="00E64F28"/>
    <w:rsid w:val="00E65A39"/>
    <w:rsid w:val="00E65B74"/>
    <w:rsid w:val="00E65D7C"/>
    <w:rsid w:val="00E65F50"/>
    <w:rsid w:val="00E660E6"/>
    <w:rsid w:val="00E661D2"/>
    <w:rsid w:val="00E668A1"/>
    <w:rsid w:val="00E66A7E"/>
    <w:rsid w:val="00E66D5C"/>
    <w:rsid w:val="00E66EC7"/>
    <w:rsid w:val="00E66FFB"/>
    <w:rsid w:val="00E67044"/>
    <w:rsid w:val="00E6756A"/>
    <w:rsid w:val="00E67726"/>
    <w:rsid w:val="00E67BB9"/>
    <w:rsid w:val="00E67F8D"/>
    <w:rsid w:val="00E70186"/>
    <w:rsid w:val="00E70349"/>
    <w:rsid w:val="00E7049B"/>
    <w:rsid w:val="00E705FF"/>
    <w:rsid w:val="00E70BDE"/>
    <w:rsid w:val="00E70CE8"/>
    <w:rsid w:val="00E712A7"/>
    <w:rsid w:val="00E71307"/>
    <w:rsid w:val="00E713E4"/>
    <w:rsid w:val="00E71BAE"/>
    <w:rsid w:val="00E71C73"/>
    <w:rsid w:val="00E71D20"/>
    <w:rsid w:val="00E71DB1"/>
    <w:rsid w:val="00E71E4B"/>
    <w:rsid w:val="00E7209E"/>
    <w:rsid w:val="00E72198"/>
    <w:rsid w:val="00E721FF"/>
    <w:rsid w:val="00E72379"/>
    <w:rsid w:val="00E723A5"/>
    <w:rsid w:val="00E724C1"/>
    <w:rsid w:val="00E7288F"/>
    <w:rsid w:val="00E72899"/>
    <w:rsid w:val="00E728DC"/>
    <w:rsid w:val="00E72C4E"/>
    <w:rsid w:val="00E72C77"/>
    <w:rsid w:val="00E72F6E"/>
    <w:rsid w:val="00E731A0"/>
    <w:rsid w:val="00E7320A"/>
    <w:rsid w:val="00E73380"/>
    <w:rsid w:val="00E7382A"/>
    <w:rsid w:val="00E73A15"/>
    <w:rsid w:val="00E73A18"/>
    <w:rsid w:val="00E73BD7"/>
    <w:rsid w:val="00E73BD8"/>
    <w:rsid w:val="00E73D26"/>
    <w:rsid w:val="00E73FC4"/>
    <w:rsid w:val="00E73FF1"/>
    <w:rsid w:val="00E740B4"/>
    <w:rsid w:val="00E740CA"/>
    <w:rsid w:val="00E74177"/>
    <w:rsid w:val="00E7427C"/>
    <w:rsid w:val="00E74436"/>
    <w:rsid w:val="00E74453"/>
    <w:rsid w:val="00E749F7"/>
    <w:rsid w:val="00E75008"/>
    <w:rsid w:val="00E75AED"/>
    <w:rsid w:val="00E75C3F"/>
    <w:rsid w:val="00E76A8A"/>
    <w:rsid w:val="00E76B74"/>
    <w:rsid w:val="00E76BE6"/>
    <w:rsid w:val="00E76BEA"/>
    <w:rsid w:val="00E76C93"/>
    <w:rsid w:val="00E76F17"/>
    <w:rsid w:val="00E76FF0"/>
    <w:rsid w:val="00E770EC"/>
    <w:rsid w:val="00E772C3"/>
    <w:rsid w:val="00E772C7"/>
    <w:rsid w:val="00E7770A"/>
    <w:rsid w:val="00E777A3"/>
    <w:rsid w:val="00E77B48"/>
    <w:rsid w:val="00E77B79"/>
    <w:rsid w:val="00E77C7F"/>
    <w:rsid w:val="00E80037"/>
    <w:rsid w:val="00E8022C"/>
    <w:rsid w:val="00E80722"/>
    <w:rsid w:val="00E814DA"/>
    <w:rsid w:val="00E8196C"/>
    <w:rsid w:val="00E81971"/>
    <w:rsid w:val="00E81A0F"/>
    <w:rsid w:val="00E82277"/>
    <w:rsid w:val="00E8253B"/>
    <w:rsid w:val="00E82969"/>
    <w:rsid w:val="00E82BDC"/>
    <w:rsid w:val="00E82ED3"/>
    <w:rsid w:val="00E82F8E"/>
    <w:rsid w:val="00E82F9A"/>
    <w:rsid w:val="00E8317B"/>
    <w:rsid w:val="00E83362"/>
    <w:rsid w:val="00E834EE"/>
    <w:rsid w:val="00E83815"/>
    <w:rsid w:val="00E83955"/>
    <w:rsid w:val="00E83BA2"/>
    <w:rsid w:val="00E83EB2"/>
    <w:rsid w:val="00E84209"/>
    <w:rsid w:val="00E84214"/>
    <w:rsid w:val="00E842AA"/>
    <w:rsid w:val="00E84675"/>
    <w:rsid w:val="00E84917"/>
    <w:rsid w:val="00E84CA0"/>
    <w:rsid w:val="00E84E54"/>
    <w:rsid w:val="00E84FC4"/>
    <w:rsid w:val="00E85111"/>
    <w:rsid w:val="00E85155"/>
    <w:rsid w:val="00E8565D"/>
    <w:rsid w:val="00E85933"/>
    <w:rsid w:val="00E85AF7"/>
    <w:rsid w:val="00E85BF6"/>
    <w:rsid w:val="00E85F18"/>
    <w:rsid w:val="00E860A6"/>
    <w:rsid w:val="00E86813"/>
    <w:rsid w:val="00E86ACC"/>
    <w:rsid w:val="00E86B9B"/>
    <w:rsid w:val="00E86FE0"/>
    <w:rsid w:val="00E87000"/>
    <w:rsid w:val="00E877C5"/>
    <w:rsid w:val="00E90145"/>
    <w:rsid w:val="00E903DF"/>
    <w:rsid w:val="00E90625"/>
    <w:rsid w:val="00E9086C"/>
    <w:rsid w:val="00E9096F"/>
    <w:rsid w:val="00E90DD5"/>
    <w:rsid w:val="00E91847"/>
    <w:rsid w:val="00E91B29"/>
    <w:rsid w:val="00E91B62"/>
    <w:rsid w:val="00E91C78"/>
    <w:rsid w:val="00E91E91"/>
    <w:rsid w:val="00E91EAB"/>
    <w:rsid w:val="00E91F56"/>
    <w:rsid w:val="00E9248F"/>
    <w:rsid w:val="00E92511"/>
    <w:rsid w:val="00E9270F"/>
    <w:rsid w:val="00E927A7"/>
    <w:rsid w:val="00E927E4"/>
    <w:rsid w:val="00E92A25"/>
    <w:rsid w:val="00E92D38"/>
    <w:rsid w:val="00E92E59"/>
    <w:rsid w:val="00E92E94"/>
    <w:rsid w:val="00E92F22"/>
    <w:rsid w:val="00E93088"/>
    <w:rsid w:val="00E93712"/>
    <w:rsid w:val="00E93748"/>
    <w:rsid w:val="00E93785"/>
    <w:rsid w:val="00E9379D"/>
    <w:rsid w:val="00E93902"/>
    <w:rsid w:val="00E9392F"/>
    <w:rsid w:val="00E93AAF"/>
    <w:rsid w:val="00E94224"/>
    <w:rsid w:val="00E94624"/>
    <w:rsid w:val="00E947B9"/>
    <w:rsid w:val="00E948E4"/>
    <w:rsid w:val="00E949E2"/>
    <w:rsid w:val="00E94B95"/>
    <w:rsid w:val="00E94E6F"/>
    <w:rsid w:val="00E94FFF"/>
    <w:rsid w:val="00E95303"/>
    <w:rsid w:val="00E95305"/>
    <w:rsid w:val="00E95380"/>
    <w:rsid w:val="00E95503"/>
    <w:rsid w:val="00E95574"/>
    <w:rsid w:val="00E956A9"/>
    <w:rsid w:val="00E9593B"/>
    <w:rsid w:val="00E95A9E"/>
    <w:rsid w:val="00E95AF5"/>
    <w:rsid w:val="00E95B15"/>
    <w:rsid w:val="00E95D76"/>
    <w:rsid w:val="00E95F75"/>
    <w:rsid w:val="00E96069"/>
    <w:rsid w:val="00E961CC"/>
    <w:rsid w:val="00E963FD"/>
    <w:rsid w:val="00E96451"/>
    <w:rsid w:val="00E96533"/>
    <w:rsid w:val="00E9653F"/>
    <w:rsid w:val="00E9679B"/>
    <w:rsid w:val="00E967F6"/>
    <w:rsid w:val="00E96983"/>
    <w:rsid w:val="00E96D14"/>
    <w:rsid w:val="00E970DD"/>
    <w:rsid w:val="00E972EF"/>
    <w:rsid w:val="00E9731A"/>
    <w:rsid w:val="00E9740B"/>
    <w:rsid w:val="00E976AA"/>
    <w:rsid w:val="00E977E4"/>
    <w:rsid w:val="00E97893"/>
    <w:rsid w:val="00E97A38"/>
    <w:rsid w:val="00E97D88"/>
    <w:rsid w:val="00EA00D1"/>
    <w:rsid w:val="00EA02D3"/>
    <w:rsid w:val="00EA0353"/>
    <w:rsid w:val="00EA04E2"/>
    <w:rsid w:val="00EA0697"/>
    <w:rsid w:val="00EA0719"/>
    <w:rsid w:val="00EA0798"/>
    <w:rsid w:val="00EA0EB5"/>
    <w:rsid w:val="00EA0FD2"/>
    <w:rsid w:val="00EA169F"/>
    <w:rsid w:val="00EA1A00"/>
    <w:rsid w:val="00EA1AAE"/>
    <w:rsid w:val="00EA1BB2"/>
    <w:rsid w:val="00EA1DCD"/>
    <w:rsid w:val="00EA1F9A"/>
    <w:rsid w:val="00EA2300"/>
    <w:rsid w:val="00EA26A0"/>
    <w:rsid w:val="00EA27B3"/>
    <w:rsid w:val="00EA27B7"/>
    <w:rsid w:val="00EA2A63"/>
    <w:rsid w:val="00EA2A6D"/>
    <w:rsid w:val="00EA2F12"/>
    <w:rsid w:val="00EA2F80"/>
    <w:rsid w:val="00EA30BC"/>
    <w:rsid w:val="00EA3151"/>
    <w:rsid w:val="00EA31AB"/>
    <w:rsid w:val="00EA3E36"/>
    <w:rsid w:val="00EA3ECA"/>
    <w:rsid w:val="00EA42C3"/>
    <w:rsid w:val="00EA439D"/>
    <w:rsid w:val="00EA44A3"/>
    <w:rsid w:val="00EA4655"/>
    <w:rsid w:val="00EA4728"/>
    <w:rsid w:val="00EA4CBA"/>
    <w:rsid w:val="00EA4EA6"/>
    <w:rsid w:val="00EA4ECC"/>
    <w:rsid w:val="00EA5212"/>
    <w:rsid w:val="00EA526E"/>
    <w:rsid w:val="00EA52E9"/>
    <w:rsid w:val="00EA5448"/>
    <w:rsid w:val="00EA58F9"/>
    <w:rsid w:val="00EA5A01"/>
    <w:rsid w:val="00EA5BFC"/>
    <w:rsid w:val="00EA5C3A"/>
    <w:rsid w:val="00EA5D25"/>
    <w:rsid w:val="00EA5FE5"/>
    <w:rsid w:val="00EA6160"/>
    <w:rsid w:val="00EA620F"/>
    <w:rsid w:val="00EA6318"/>
    <w:rsid w:val="00EA6CFB"/>
    <w:rsid w:val="00EA6D1F"/>
    <w:rsid w:val="00EA7042"/>
    <w:rsid w:val="00EA740E"/>
    <w:rsid w:val="00EA75CB"/>
    <w:rsid w:val="00EA7A28"/>
    <w:rsid w:val="00EA7FD6"/>
    <w:rsid w:val="00EB02D5"/>
    <w:rsid w:val="00EB0EB7"/>
    <w:rsid w:val="00EB119B"/>
    <w:rsid w:val="00EB1220"/>
    <w:rsid w:val="00EB125D"/>
    <w:rsid w:val="00EB136F"/>
    <w:rsid w:val="00EB13C8"/>
    <w:rsid w:val="00EB1593"/>
    <w:rsid w:val="00EB1C9C"/>
    <w:rsid w:val="00EB1E4F"/>
    <w:rsid w:val="00EB1FD2"/>
    <w:rsid w:val="00EB27AD"/>
    <w:rsid w:val="00EB2875"/>
    <w:rsid w:val="00EB2876"/>
    <w:rsid w:val="00EB29BB"/>
    <w:rsid w:val="00EB2C4E"/>
    <w:rsid w:val="00EB2DD2"/>
    <w:rsid w:val="00EB2E76"/>
    <w:rsid w:val="00EB3147"/>
    <w:rsid w:val="00EB3340"/>
    <w:rsid w:val="00EB334A"/>
    <w:rsid w:val="00EB33B3"/>
    <w:rsid w:val="00EB3722"/>
    <w:rsid w:val="00EB374E"/>
    <w:rsid w:val="00EB3805"/>
    <w:rsid w:val="00EB40C4"/>
    <w:rsid w:val="00EB42D8"/>
    <w:rsid w:val="00EB4518"/>
    <w:rsid w:val="00EB464C"/>
    <w:rsid w:val="00EB484E"/>
    <w:rsid w:val="00EB4A98"/>
    <w:rsid w:val="00EB4AFE"/>
    <w:rsid w:val="00EB4B22"/>
    <w:rsid w:val="00EB4BA2"/>
    <w:rsid w:val="00EB4D3D"/>
    <w:rsid w:val="00EB5124"/>
    <w:rsid w:val="00EB5397"/>
    <w:rsid w:val="00EB5812"/>
    <w:rsid w:val="00EB5997"/>
    <w:rsid w:val="00EB59BD"/>
    <w:rsid w:val="00EB5A67"/>
    <w:rsid w:val="00EB5AE5"/>
    <w:rsid w:val="00EB5ED1"/>
    <w:rsid w:val="00EB60FD"/>
    <w:rsid w:val="00EB61CD"/>
    <w:rsid w:val="00EB61EE"/>
    <w:rsid w:val="00EB640D"/>
    <w:rsid w:val="00EB649B"/>
    <w:rsid w:val="00EB6550"/>
    <w:rsid w:val="00EB65FC"/>
    <w:rsid w:val="00EB678B"/>
    <w:rsid w:val="00EB67AA"/>
    <w:rsid w:val="00EB67E0"/>
    <w:rsid w:val="00EB6A70"/>
    <w:rsid w:val="00EB6AE2"/>
    <w:rsid w:val="00EB6B4A"/>
    <w:rsid w:val="00EB6ECD"/>
    <w:rsid w:val="00EB71FE"/>
    <w:rsid w:val="00EB7248"/>
    <w:rsid w:val="00EB7287"/>
    <w:rsid w:val="00EB7453"/>
    <w:rsid w:val="00EB766E"/>
    <w:rsid w:val="00EB775F"/>
    <w:rsid w:val="00EB78D6"/>
    <w:rsid w:val="00EB7E4B"/>
    <w:rsid w:val="00EB7EF1"/>
    <w:rsid w:val="00EB7F5F"/>
    <w:rsid w:val="00EC0155"/>
    <w:rsid w:val="00EC01EF"/>
    <w:rsid w:val="00EC0293"/>
    <w:rsid w:val="00EC035E"/>
    <w:rsid w:val="00EC0480"/>
    <w:rsid w:val="00EC0A58"/>
    <w:rsid w:val="00EC0B23"/>
    <w:rsid w:val="00EC0D6A"/>
    <w:rsid w:val="00EC11D2"/>
    <w:rsid w:val="00EC1875"/>
    <w:rsid w:val="00EC1E97"/>
    <w:rsid w:val="00EC217F"/>
    <w:rsid w:val="00EC2244"/>
    <w:rsid w:val="00EC22E7"/>
    <w:rsid w:val="00EC2330"/>
    <w:rsid w:val="00EC2753"/>
    <w:rsid w:val="00EC2863"/>
    <w:rsid w:val="00EC299B"/>
    <w:rsid w:val="00EC2B03"/>
    <w:rsid w:val="00EC2C12"/>
    <w:rsid w:val="00EC2C2D"/>
    <w:rsid w:val="00EC2F05"/>
    <w:rsid w:val="00EC310C"/>
    <w:rsid w:val="00EC3124"/>
    <w:rsid w:val="00EC33DF"/>
    <w:rsid w:val="00EC3925"/>
    <w:rsid w:val="00EC3A22"/>
    <w:rsid w:val="00EC3A4A"/>
    <w:rsid w:val="00EC3B59"/>
    <w:rsid w:val="00EC3F70"/>
    <w:rsid w:val="00EC431B"/>
    <w:rsid w:val="00EC43F9"/>
    <w:rsid w:val="00EC4941"/>
    <w:rsid w:val="00EC4990"/>
    <w:rsid w:val="00EC49E4"/>
    <w:rsid w:val="00EC4AEC"/>
    <w:rsid w:val="00EC4BEF"/>
    <w:rsid w:val="00EC4C09"/>
    <w:rsid w:val="00EC4D47"/>
    <w:rsid w:val="00EC4E8D"/>
    <w:rsid w:val="00EC5167"/>
    <w:rsid w:val="00EC52CE"/>
    <w:rsid w:val="00EC53CE"/>
    <w:rsid w:val="00EC542B"/>
    <w:rsid w:val="00EC5567"/>
    <w:rsid w:val="00EC55AF"/>
    <w:rsid w:val="00EC58E2"/>
    <w:rsid w:val="00EC59E4"/>
    <w:rsid w:val="00EC5ACB"/>
    <w:rsid w:val="00EC65B2"/>
    <w:rsid w:val="00EC6625"/>
    <w:rsid w:val="00EC6675"/>
    <w:rsid w:val="00EC68E0"/>
    <w:rsid w:val="00EC6995"/>
    <w:rsid w:val="00EC6D3B"/>
    <w:rsid w:val="00EC6F8D"/>
    <w:rsid w:val="00EC7126"/>
    <w:rsid w:val="00EC7132"/>
    <w:rsid w:val="00EC762E"/>
    <w:rsid w:val="00EC7638"/>
    <w:rsid w:val="00EC78C6"/>
    <w:rsid w:val="00EC7971"/>
    <w:rsid w:val="00EC7A5D"/>
    <w:rsid w:val="00EC7AA2"/>
    <w:rsid w:val="00EC7B76"/>
    <w:rsid w:val="00ED00AF"/>
    <w:rsid w:val="00ED0369"/>
    <w:rsid w:val="00ED037A"/>
    <w:rsid w:val="00ED0387"/>
    <w:rsid w:val="00ED075F"/>
    <w:rsid w:val="00ED0971"/>
    <w:rsid w:val="00ED098B"/>
    <w:rsid w:val="00ED09B9"/>
    <w:rsid w:val="00ED0B1F"/>
    <w:rsid w:val="00ED1130"/>
    <w:rsid w:val="00ED113B"/>
    <w:rsid w:val="00ED120B"/>
    <w:rsid w:val="00ED1237"/>
    <w:rsid w:val="00ED13B0"/>
    <w:rsid w:val="00ED1851"/>
    <w:rsid w:val="00ED1B75"/>
    <w:rsid w:val="00ED1B85"/>
    <w:rsid w:val="00ED1C03"/>
    <w:rsid w:val="00ED1C98"/>
    <w:rsid w:val="00ED1DAE"/>
    <w:rsid w:val="00ED1E48"/>
    <w:rsid w:val="00ED1F31"/>
    <w:rsid w:val="00ED1FD1"/>
    <w:rsid w:val="00ED2012"/>
    <w:rsid w:val="00ED2169"/>
    <w:rsid w:val="00ED281B"/>
    <w:rsid w:val="00ED29AA"/>
    <w:rsid w:val="00ED2CC2"/>
    <w:rsid w:val="00ED2EA1"/>
    <w:rsid w:val="00ED3147"/>
    <w:rsid w:val="00ED3310"/>
    <w:rsid w:val="00ED33B4"/>
    <w:rsid w:val="00ED3414"/>
    <w:rsid w:val="00ED379D"/>
    <w:rsid w:val="00ED39F6"/>
    <w:rsid w:val="00ED3BAB"/>
    <w:rsid w:val="00ED43D6"/>
    <w:rsid w:val="00ED46AD"/>
    <w:rsid w:val="00ED4CCB"/>
    <w:rsid w:val="00ED5197"/>
    <w:rsid w:val="00ED53D1"/>
    <w:rsid w:val="00ED5559"/>
    <w:rsid w:val="00ED55CF"/>
    <w:rsid w:val="00ED565E"/>
    <w:rsid w:val="00ED5BE9"/>
    <w:rsid w:val="00ED5C19"/>
    <w:rsid w:val="00ED5D35"/>
    <w:rsid w:val="00ED5D90"/>
    <w:rsid w:val="00ED5E58"/>
    <w:rsid w:val="00ED6286"/>
    <w:rsid w:val="00ED629C"/>
    <w:rsid w:val="00ED62C2"/>
    <w:rsid w:val="00ED6410"/>
    <w:rsid w:val="00ED66CA"/>
    <w:rsid w:val="00ED6F8F"/>
    <w:rsid w:val="00ED71EE"/>
    <w:rsid w:val="00ED72FC"/>
    <w:rsid w:val="00EDE076"/>
    <w:rsid w:val="00EE0767"/>
    <w:rsid w:val="00EE080C"/>
    <w:rsid w:val="00EE0BBE"/>
    <w:rsid w:val="00EE0DDB"/>
    <w:rsid w:val="00EE105E"/>
    <w:rsid w:val="00EE1450"/>
    <w:rsid w:val="00EE174C"/>
    <w:rsid w:val="00EE1C6B"/>
    <w:rsid w:val="00EE1D1A"/>
    <w:rsid w:val="00EE1FCF"/>
    <w:rsid w:val="00EE1FE5"/>
    <w:rsid w:val="00EE208A"/>
    <w:rsid w:val="00EE2244"/>
    <w:rsid w:val="00EE226E"/>
    <w:rsid w:val="00EE22EA"/>
    <w:rsid w:val="00EE245F"/>
    <w:rsid w:val="00EE28BA"/>
    <w:rsid w:val="00EE28F6"/>
    <w:rsid w:val="00EE2967"/>
    <w:rsid w:val="00EE2A4B"/>
    <w:rsid w:val="00EE2CA8"/>
    <w:rsid w:val="00EE2EE4"/>
    <w:rsid w:val="00EE3640"/>
    <w:rsid w:val="00EE3684"/>
    <w:rsid w:val="00EE3C42"/>
    <w:rsid w:val="00EE3F10"/>
    <w:rsid w:val="00EE3F16"/>
    <w:rsid w:val="00EE409E"/>
    <w:rsid w:val="00EE42F5"/>
    <w:rsid w:val="00EE4361"/>
    <w:rsid w:val="00EE4403"/>
    <w:rsid w:val="00EE4451"/>
    <w:rsid w:val="00EE47D2"/>
    <w:rsid w:val="00EE4A4B"/>
    <w:rsid w:val="00EE4D89"/>
    <w:rsid w:val="00EE4F63"/>
    <w:rsid w:val="00EE5022"/>
    <w:rsid w:val="00EE5455"/>
    <w:rsid w:val="00EE554F"/>
    <w:rsid w:val="00EE55E3"/>
    <w:rsid w:val="00EE59E5"/>
    <w:rsid w:val="00EE5A95"/>
    <w:rsid w:val="00EE5B9A"/>
    <w:rsid w:val="00EE5CA8"/>
    <w:rsid w:val="00EE5CE5"/>
    <w:rsid w:val="00EE602E"/>
    <w:rsid w:val="00EE6210"/>
    <w:rsid w:val="00EE635F"/>
    <w:rsid w:val="00EE6556"/>
    <w:rsid w:val="00EE665D"/>
    <w:rsid w:val="00EE67D5"/>
    <w:rsid w:val="00EE6862"/>
    <w:rsid w:val="00EE6A35"/>
    <w:rsid w:val="00EE6AF7"/>
    <w:rsid w:val="00EE6B26"/>
    <w:rsid w:val="00EE6BC9"/>
    <w:rsid w:val="00EE6C27"/>
    <w:rsid w:val="00EE6E6F"/>
    <w:rsid w:val="00EE6F2A"/>
    <w:rsid w:val="00EE7360"/>
    <w:rsid w:val="00EE737E"/>
    <w:rsid w:val="00EE753D"/>
    <w:rsid w:val="00EE7715"/>
    <w:rsid w:val="00EE780F"/>
    <w:rsid w:val="00EE7972"/>
    <w:rsid w:val="00EE7D1D"/>
    <w:rsid w:val="00EE7DEE"/>
    <w:rsid w:val="00EE7DF7"/>
    <w:rsid w:val="00EE7E4C"/>
    <w:rsid w:val="00EE7EC3"/>
    <w:rsid w:val="00EE7FD9"/>
    <w:rsid w:val="00EF07D0"/>
    <w:rsid w:val="00EF0C8D"/>
    <w:rsid w:val="00EF0DB5"/>
    <w:rsid w:val="00EF1151"/>
    <w:rsid w:val="00EF11E6"/>
    <w:rsid w:val="00EF1301"/>
    <w:rsid w:val="00EF1459"/>
    <w:rsid w:val="00EF189C"/>
    <w:rsid w:val="00EF1997"/>
    <w:rsid w:val="00EF1C13"/>
    <w:rsid w:val="00EF214B"/>
    <w:rsid w:val="00EF23EA"/>
    <w:rsid w:val="00EF2443"/>
    <w:rsid w:val="00EF2A92"/>
    <w:rsid w:val="00EF2BD9"/>
    <w:rsid w:val="00EF2D83"/>
    <w:rsid w:val="00EF2ECD"/>
    <w:rsid w:val="00EF3289"/>
    <w:rsid w:val="00EF3443"/>
    <w:rsid w:val="00EF3493"/>
    <w:rsid w:val="00EF34AB"/>
    <w:rsid w:val="00EF3543"/>
    <w:rsid w:val="00EF35AB"/>
    <w:rsid w:val="00EF35FB"/>
    <w:rsid w:val="00EF36AB"/>
    <w:rsid w:val="00EF3985"/>
    <w:rsid w:val="00EF3A87"/>
    <w:rsid w:val="00EF3B18"/>
    <w:rsid w:val="00EF3DF6"/>
    <w:rsid w:val="00EF3E50"/>
    <w:rsid w:val="00EF3EDC"/>
    <w:rsid w:val="00EF3F59"/>
    <w:rsid w:val="00EF406C"/>
    <w:rsid w:val="00EF4071"/>
    <w:rsid w:val="00EF4080"/>
    <w:rsid w:val="00EF40CE"/>
    <w:rsid w:val="00EF425B"/>
    <w:rsid w:val="00EF4278"/>
    <w:rsid w:val="00EF430C"/>
    <w:rsid w:val="00EF4463"/>
    <w:rsid w:val="00EF45DA"/>
    <w:rsid w:val="00EF4796"/>
    <w:rsid w:val="00EF487D"/>
    <w:rsid w:val="00EF4BE7"/>
    <w:rsid w:val="00EF4C1F"/>
    <w:rsid w:val="00EF4CAB"/>
    <w:rsid w:val="00EF4CB5"/>
    <w:rsid w:val="00EF4F43"/>
    <w:rsid w:val="00EF5094"/>
    <w:rsid w:val="00EF52FA"/>
    <w:rsid w:val="00EF5849"/>
    <w:rsid w:val="00EF5BFE"/>
    <w:rsid w:val="00EF5C18"/>
    <w:rsid w:val="00EF5F1B"/>
    <w:rsid w:val="00EF62DF"/>
    <w:rsid w:val="00EF6396"/>
    <w:rsid w:val="00EF64F0"/>
    <w:rsid w:val="00EF65A2"/>
    <w:rsid w:val="00EF65CC"/>
    <w:rsid w:val="00EF65EC"/>
    <w:rsid w:val="00EF6622"/>
    <w:rsid w:val="00EF6663"/>
    <w:rsid w:val="00EF6749"/>
    <w:rsid w:val="00EF6772"/>
    <w:rsid w:val="00EF679E"/>
    <w:rsid w:val="00EF693A"/>
    <w:rsid w:val="00EF6BC0"/>
    <w:rsid w:val="00EF6D0F"/>
    <w:rsid w:val="00EF70CF"/>
    <w:rsid w:val="00EF7264"/>
    <w:rsid w:val="00EF738C"/>
    <w:rsid w:val="00EF7675"/>
    <w:rsid w:val="00EF7750"/>
    <w:rsid w:val="00EF77CD"/>
    <w:rsid w:val="00EF7937"/>
    <w:rsid w:val="00EF7C93"/>
    <w:rsid w:val="00EF7CBE"/>
    <w:rsid w:val="00EF7CFD"/>
    <w:rsid w:val="00EF7EE4"/>
    <w:rsid w:val="00EF7F30"/>
    <w:rsid w:val="00EF7F83"/>
    <w:rsid w:val="00F00228"/>
    <w:rsid w:val="00F0039D"/>
    <w:rsid w:val="00F00521"/>
    <w:rsid w:val="00F0052E"/>
    <w:rsid w:val="00F006D3"/>
    <w:rsid w:val="00F00930"/>
    <w:rsid w:val="00F00A4C"/>
    <w:rsid w:val="00F00A8C"/>
    <w:rsid w:val="00F00BA0"/>
    <w:rsid w:val="00F00E64"/>
    <w:rsid w:val="00F00EDF"/>
    <w:rsid w:val="00F00F41"/>
    <w:rsid w:val="00F01292"/>
    <w:rsid w:val="00F01482"/>
    <w:rsid w:val="00F01762"/>
    <w:rsid w:val="00F01A22"/>
    <w:rsid w:val="00F01E22"/>
    <w:rsid w:val="00F01E39"/>
    <w:rsid w:val="00F01E52"/>
    <w:rsid w:val="00F01E54"/>
    <w:rsid w:val="00F01E87"/>
    <w:rsid w:val="00F02067"/>
    <w:rsid w:val="00F024DB"/>
    <w:rsid w:val="00F027E6"/>
    <w:rsid w:val="00F0287C"/>
    <w:rsid w:val="00F02BB3"/>
    <w:rsid w:val="00F02BDB"/>
    <w:rsid w:val="00F02D7E"/>
    <w:rsid w:val="00F02F5D"/>
    <w:rsid w:val="00F02FC2"/>
    <w:rsid w:val="00F03018"/>
    <w:rsid w:val="00F0342B"/>
    <w:rsid w:val="00F036A8"/>
    <w:rsid w:val="00F0376D"/>
    <w:rsid w:val="00F03CDB"/>
    <w:rsid w:val="00F03CF7"/>
    <w:rsid w:val="00F03E79"/>
    <w:rsid w:val="00F040B6"/>
    <w:rsid w:val="00F04197"/>
    <w:rsid w:val="00F041FB"/>
    <w:rsid w:val="00F0438F"/>
    <w:rsid w:val="00F0457B"/>
    <w:rsid w:val="00F046E5"/>
    <w:rsid w:val="00F04ABD"/>
    <w:rsid w:val="00F04B7E"/>
    <w:rsid w:val="00F04B90"/>
    <w:rsid w:val="00F04BB4"/>
    <w:rsid w:val="00F0512C"/>
    <w:rsid w:val="00F0537E"/>
    <w:rsid w:val="00F0567C"/>
    <w:rsid w:val="00F0576C"/>
    <w:rsid w:val="00F0596C"/>
    <w:rsid w:val="00F05989"/>
    <w:rsid w:val="00F060D8"/>
    <w:rsid w:val="00F062A1"/>
    <w:rsid w:val="00F0638D"/>
    <w:rsid w:val="00F06495"/>
    <w:rsid w:val="00F065E4"/>
    <w:rsid w:val="00F0663F"/>
    <w:rsid w:val="00F066E0"/>
    <w:rsid w:val="00F066F0"/>
    <w:rsid w:val="00F0671B"/>
    <w:rsid w:val="00F06876"/>
    <w:rsid w:val="00F06C85"/>
    <w:rsid w:val="00F06FE0"/>
    <w:rsid w:val="00F071BE"/>
    <w:rsid w:val="00F07293"/>
    <w:rsid w:val="00F07308"/>
    <w:rsid w:val="00F073C2"/>
    <w:rsid w:val="00F0773C"/>
    <w:rsid w:val="00F07932"/>
    <w:rsid w:val="00F079AA"/>
    <w:rsid w:val="00F07C70"/>
    <w:rsid w:val="00F07EEB"/>
    <w:rsid w:val="00F1004F"/>
    <w:rsid w:val="00F100F2"/>
    <w:rsid w:val="00F10170"/>
    <w:rsid w:val="00F10178"/>
    <w:rsid w:val="00F10638"/>
    <w:rsid w:val="00F10784"/>
    <w:rsid w:val="00F10805"/>
    <w:rsid w:val="00F1084B"/>
    <w:rsid w:val="00F10CA0"/>
    <w:rsid w:val="00F10E2A"/>
    <w:rsid w:val="00F11059"/>
    <w:rsid w:val="00F11171"/>
    <w:rsid w:val="00F11256"/>
    <w:rsid w:val="00F113A3"/>
    <w:rsid w:val="00F116E3"/>
    <w:rsid w:val="00F119B6"/>
    <w:rsid w:val="00F11B09"/>
    <w:rsid w:val="00F11C18"/>
    <w:rsid w:val="00F11CA5"/>
    <w:rsid w:val="00F1212C"/>
    <w:rsid w:val="00F126B4"/>
    <w:rsid w:val="00F12B3A"/>
    <w:rsid w:val="00F12C39"/>
    <w:rsid w:val="00F12DC0"/>
    <w:rsid w:val="00F13085"/>
    <w:rsid w:val="00F1324F"/>
    <w:rsid w:val="00F13434"/>
    <w:rsid w:val="00F13816"/>
    <w:rsid w:val="00F138CF"/>
    <w:rsid w:val="00F139C8"/>
    <w:rsid w:val="00F13F5A"/>
    <w:rsid w:val="00F14131"/>
    <w:rsid w:val="00F1414D"/>
    <w:rsid w:val="00F14272"/>
    <w:rsid w:val="00F144E3"/>
    <w:rsid w:val="00F14520"/>
    <w:rsid w:val="00F14618"/>
    <w:rsid w:val="00F146F2"/>
    <w:rsid w:val="00F1471D"/>
    <w:rsid w:val="00F14A4D"/>
    <w:rsid w:val="00F14D7E"/>
    <w:rsid w:val="00F14F9E"/>
    <w:rsid w:val="00F14FB9"/>
    <w:rsid w:val="00F150E4"/>
    <w:rsid w:val="00F150FE"/>
    <w:rsid w:val="00F1513D"/>
    <w:rsid w:val="00F1567D"/>
    <w:rsid w:val="00F1568E"/>
    <w:rsid w:val="00F15D7E"/>
    <w:rsid w:val="00F15E3F"/>
    <w:rsid w:val="00F16422"/>
    <w:rsid w:val="00F164C4"/>
    <w:rsid w:val="00F1661A"/>
    <w:rsid w:val="00F16657"/>
    <w:rsid w:val="00F166EB"/>
    <w:rsid w:val="00F1678F"/>
    <w:rsid w:val="00F16875"/>
    <w:rsid w:val="00F169DC"/>
    <w:rsid w:val="00F16B05"/>
    <w:rsid w:val="00F16C6E"/>
    <w:rsid w:val="00F16E3F"/>
    <w:rsid w:val="00F178B6"/>
    <w:rsid w:val="00F17957"/>
    <w:rsid w:val="00F17C46"/>
    <w:rsid w:val="00F17CBF"/>
    <w:rsid w:val="00F17F26"/>
    <w:rsid w:val="00F2002C"/>
    <w:rsid w:val="00F200D0"/>
    <w:rsid w:val="00F202A4"/>
    <w:rsid w:val="00F203F1"/>
    <w:rsid w:val="00F20498"/>
    <w:rsid w:val="00F20515"/>
    <w:rsid w:val="00F205B1"/>
    <w:rsid w:val="00F20A51"/>
    <w:rsid w:val="00F20B9C"/>
    <w:rsid w:val="00F20F87"/>
    <w:rsid w:val="00F2138B"/>
    <w:rsid w:val="00F214BB"/>
    <w:rsid w:val="00F2152A"/>
    <w:rsid w:val="00F216D2"/>
    <w:rsid w:val="00F2174D"/>
    <w:rsid w:val="00F21868"/>
    <w:rsid w:val="00F21AD0"/>
    <w:rsid w:val="00F21E7F"/>
    <w:rsid w:val="00F21EE2"/>
    <w:rsid w:val="00F220E9"/>
    <w:rsid w:val="00F22152"/>
    <w:rsid w:val="00F22473"/>
    <w:rsid w:val="00F2266C"/>
    <w:rsid w:val="00F22677"/>
    <w:rsid w:val="00F22FA1"/>
    <w:rsid w:val="00F23299"/>
    <w:rsid w:val="00F23357"/>
    <w:rsid w:val="00F23503"/>
    <w:rsid w:val="00F23522"/>
    <w:rsid w:val="00F236F9"/>
    <w:rsid w:val="00F23743"/>
    <w:rsid w:val="00F238D5"/>
    <w:rsid w:val="00F23DD1"/>
    <w:rsid w:val="00F23F33"/>
    <w:rsid w:val="00F24118"/>
    <w:rsid w:val="00F244D6"/>
    <w:rsid w:val="00F24667"/>
    <w:rsid w:val="00F24A5C"/>
    <w:rsid w:val="00F24BB5"/>
    <w:rsid w:val="00F24D0D"/>
    <w:rsid w:val="00F2510F"/>
    <w:rsid w:val="00F25234"/>
    <w:rsid w:val="00F25472"/>
    <w:rsid w:val="00F257F7"/>
    <w:rsid w:val="00F25882"/>
    <w:rsid w:val="00F25B65"/>
    <w:rsid w:val="00F25EB3"/>
    <w:rsid w:val="00F25EDE"/>
    <w:rsid w:val="00F260F3"/>
    <w:rsid w:val="00F264C6"/>
    <w:rsid w:val="00F2662F"/>
    <w:rsid w:val="00F266F5"/>
    <w:rsid w:val="00F2685B"/>
    <w:rsid w:val="00F26998"/>
    <w:rsid w:val="00F26C0B"/>
    <w:rsid w:val="00F26C4D"/>
    <w:rsid w:val="00F26E47"/>
    <w:rsid w:val="00F26ECC"/>
    <w:rsid w:val="00F27519"/>
    <w:rsid w:val="00F27574"/>
    <w:rsid w:val="00F2767A"/>
    <w:rsid w:val="00F276DE"/>
    <w:rsid w:val="00F27976"/>
    <w:rsid w:val="00F27DD1"/>
    <w:rsid w:val="00F27E30"/>
    <w:rsid w:val="00F27E9F"/>
    <w:rsid w:val="00F300C0"/>
    <w:rsid w:val="00F30173"/>
    <w:rsid w:val="00F30248"/>
    <w:rsid w:val="00F303B4"/>
    <w:rsid w:val="00F307F0"/>
    <w:rsid w:val="00F30909"/>
    <w:rsid w:val="00F30956"/>
    <w:rsid w:val="00F30960"/>
    <w:rsid w:val="00F3096A"/>
    <w:rsid w:val="00F309E2"/>
    <w:rsid w:val="00F30AD8"/>
    <w:rsid w:val="00F30C5F"/>
    <w:rsid w:val="00F30D53"/>
    <w:rsid w:val="00F30E8D"/>
    <w:rsid w:val="00F30EBD"/>
    <w:rsid w:val="00F30F80"/>
    <w:rsid w:val="00F30F8F"/>
    <w:rsid w:val="00F312BA"/>
    <w:rsid w:val="00F316ED"/>
    <w:rsid w:val="00F317B2"/>
    <w:rsid w:val="00F317CC"/>
    <w:rsid w:val="00F31AB5"/>
    <w:rsid w:val="00F320A4"/>
    <w:rsid w:val="00F321C6"/>
    <w:rsid w:val="00F323CB"/>
    <w:rsid w:val="00F32404"/>
    <w:rsid w:val="00F32868"/>
    <w:rsid w:val="00F32891"/>
    <w:rsid w:val="00F32907"/>
    <w:rsid w:val="00F32DF8"/>
    <w:rsid w:val="00F330A8"/>
    <w:rsid w:val="00F33100"/>
    <w:rsid w:val="00F33332"/>
    <w:rsid w:val="00F334F0"/>
    <w:rsid w:val="00F3354B"/>
    <w:rsid w:val="00F336BE"/>
    <w:rsid w:val="00F337FE"/>
    <w:rsid w:val="00F33864"/>
    <w:rsid w:val="00F34082"/>
    <w:rsid w:val="00F342B8"/>
    <w:rsid w:val="00F34603"/>
    <w:rsid w:val="00F34630"/>
    <w:rsid w:val="00F34A04"/>
    <w:rsid w:val="00F34DEF"/>
    <w:rsid w:val="00F350E8"/>
    <w:rsid w:val="00F3522B"/>
    <w:rsid w:val="00F35249"/>
    <w:rsid w:val="00F35968"/>
    <w:rsid w:val="00F35AA4"/>
    <w:rsid w:val="00F35D06"/>
    <w:rsid w:val="00F35D12"/>
    <w:rsid w:val="00F35D84"/>
    <w:rsid w:val="00F35EE6"/>
    <w:rsid w:val="00F35F8D"/>
    <w:rsid w:val="00F35FD8"/>
    <w:rsid w:val="00F3674E"/>
    <w:rsid w:val="00F36848"/>
    <w:rsid w:val="00F36E40"/>
    <w:rsid w:val="00F36F77"/>
    <w:rsid w:val="00F36FF3"/>
    <w:rsid w:val="00F370D8"/>
    <w:rsid w:val="00F370DB"/>
    <w:rsid w:val="00F400C3"/>
    <w:rsid w:val="00F404FA"/>
    <w:rsid w:val="00F40864"/>
    <w:rsid w:val="00F40BE2"/>
    <w:rsid w:val="00F40F38"/>
    <w:rsid w:val="00F40F89"/>
    <w:rsid w:val="00F414B3"/>
    <w:rsid w:val="00F41BB3"/>
    <w:rsid w:val="00F42168"/>
    <w:rsid w:val="00F421FB"/>
    <w:rsid w:val="00F425AC"/>
    <w:rsid w:val="00F42684"/>
    <w:rsid w:val="00F427E4"/>
    <w:rsid w:val="00F42CDC"/>
    <w:rsid w:val="00F42DAF"/>
    <w:rsid w:val="00F42E08"/>
    <w:rsid w:val="00F42F98"/>
    <w:rsid w:val="00F431CC"/>
    <w:rsid w:val="00F43236"/>
    <w:rsid w:val="00F43467"/>
    <w:rsid w:val="00F43517"/>
    <w:rsid w:val="00F43638"/>
    <w:rsid w:val="00F43657"/>
    <w:rsid w:val="00F4366E"/>
    <w:rsid w:val="00F43914"/>
    <w:rsid w:val="00F43DDC"/>
    <w:rsid w:val="00F43DF7"/>
    <w:rsid w:val="00F43E77"/>
    <w:rsid w:val="00F445F9"/>
    <w:rsid w:val="00F44688"/>
    <w:rsid w:val="00F44BE3"/>
    <w:rsid w:val="00F44C91"/>
    <w:rsid w:val="00F44C98"/>
    <w:rsid w:val="00F44CCC"/>
    <w:rsid w:val="00F44D72"/>
    <w:rsid w:val="00F44DAB"/>
    <w:rsid w:val="00F45264"/>
    <w:rsid w:val="00F45271"/>
    <w:rsid w:val="00F45876"/>
    <w:rsid w:val="00F45A37"/>
    <w:rsid w:val="00F45F74"/>
    <w:rsid w:val="00F46079"/>
    <w:rsid w:val="00F460E1"/>
    <w:rsid w:val="00F46216"/>
    <w:rsid w:val="00F462D4"/>
    <w:rsid w:val="00F46529"/>
    <w:rsid w:val="00F46770"/>
    <w:rsid w:val="00F467E2"/>
    <w:rsid w:val="00F469B2"/>
    <w:rsid w:val="00F46D6E"/>
    <w:rsid w:val="00F46DF8"/>
    <w:rsid w:val="00F46EE6"/>
    <w:rsid w:val="00F475AD"/>
    <w:rsid w:val="00F475B8"/>
    <w:rsid w:val="00F4776A"/>
    <w:rsid w:val="00F477F5"/>
    <w:rsid w:val="00F47933"/>
    <w:rsid w:val="00F47CBF"/>
    <w:rsid w:val="00F47E4C"/>
    <w:rsid w:val="00F47E9D"/>
    <w:rsid w:val="00F50199"/>
    <w:rsid w:val="00F5023C"/>
    <w:rsid w:val="00F5052E"/>
    <w:rsid w:val="00F5069E"/>
    <w:rsid w:val="00F50905"/>
    <w:rsid w:val="00F50A96"/>
    <w:rsid w:val="00F50E20"/>
    <w:rsid w:val="00F50E3E"/>
    <w:rsid w:val="00F50FC9"/>
    <w:rsid w:val="00F51235"/>
    <w:rsid w:val="00F5138F"/>
    <w:rsid w:val="00F514A8"/>
    <w:rsid w:val="00F517B3"/>
    <w:rsid w:val="00F51A58"/>
    <w:rsid w:val="00F51C06"/>
    <w:rsid w:val="00F51FD1"/>
    <w:rsid w:val="00F5206A"/>
    <w:rsid w:val="00F5218D"/>
    <w:rsid w:val="00F52200"/>
    <w:rsid w:val="00F5256B"/>
    <w:rsid w:val="00F52737"/>
    <w:rsid w:val="00F52835"/>
    <w:rsid w:val="00F529C4"/>
    <w:rsid w:val="00F529F5"/>
    <w:rsid w:val="00F52A7D"/>
    <w:rsid w:val="00F53042"/>
    <w:rsid w:val="00F533E4"/>
    <w:rsid w:val="00F53491"/>
    <w:rsid w:val="00F5364C"/>
    <w:rsid w:val="00F53A2A"/>
    <w:rsid w:val="00F53B53"/>
    <w:rsid w:val="00F53DE3"/>
    <w:rsid w:val="00F53FD2"/>
    <w:rsid w:val="00F540D5"/>
    <w:rsid w:val="00F5495C"/>
    <w:rsid w:val="00F54AF1"/>
    <w:rsid w:val="00F54B13"/>
    <w:rsid w:val="00F54E8E"/>
    <w:rsid w:val="00F54EF2"/>
    <w:rsid w:val="00F54F38"/>
    <w:rsid w:val="00F54FDF"/>
    <w:rsid w:val="00F55210"/>
    <w:rsid w:val="00F552C1"/>
    <w:rsid w:val="00F5544B"/>
    <w:rsid w:val="00F5551F"/>
    <w:rsid w:val="00F55553"/>
    <w:rsid w:val="00F5585D"/>
    <w:rsid w:val="00F55907"/>
    <w:rsid w:val="00F5598A"/>
    <w:rsid w:val="00F55A2E"/>
    <w:rsid w:val="00F55D2B"/>
    <w:rsid w:val="00F55E41"/>
    <w:rsid w:val="00F5615C"/>
    <w:rsid w:val="00F56300"/>
    <w:rsid w:val="00F5638D"/>
    <w:rsid w:val="00F56760"/>
    <w:rsid w:val="00F56898"/>
    <w:rsid w:val="00F569C4"/>
    <w:rsid w:val="00F56BC5"/>
    <w:rsid w:val="00F56D3A"/>
    <w:rsid w:val="00F574BD"/>
    <w:rsid w:val="00F57596"/>
    <w:rsid w:val="00F57935"/>
    <w:rsid w:val="00F57AA4"/>
    <w:rsid w:val="00F60292"/>
    <w:rsid w:val="00F602A6"/>
    <w:rsid w:val="00F60436"/>
    <w:rsid w:val="00F60465"/>
    <w:rsid w:val="00F604FF"/>
    <w:rsid w:val="00F6099B"/>
    <w:rsid w:val="00F60D8D"/>
    <w:rsid w:val="00F60E23"/>
    <w:rsid w:val="00F6100C"/>
    <w:rsid w:val="00F613FD"/>
    <w:rsid w:val="00F614A8"/>
    <w:rsid w:val="00F61753"/>
    <w:rsid w:val="00F61AE5"/>
    <w:rsid w:val="00F6244E"/>
    <w:rsid w:val="00F627D4"/>
    <w:rsid w:val="00F62A88"/>
    <w:rsid w:val="00F62B20"/>
    <w:rsid w:val="00F63205"/>
    <w:rsid w:val="00F63409"/>
    <w:rsid w:val="00F6345E"/>
    <w:rsid w:val="00F637F1"/>
    <w:rsid w:val="00F6388A"/>
    <w:rsid w:val="00F63AB2"/>
    <w:rsid w:val="00F63D4C"/>
    <w:rsid w:val="00F63DD4"/>
    <w:rsid w:val="00F63EFE"/>
    <w:rsid w:val="00F64094"/>
    <w:rsid w:val="00F645AC"/>
    <w:rsid w:val="00F64649"/>
    <w:rsid w:val="00F647BF"/>
    <w:rsid w:val="00F64D27"/>
    <w:rsid w:val="00F64E8B"/>
    <w:rsid w:val="00F64EF1"/>
    <w:rsid w:val="00F64F8C"/>
    <w:rsid w:val="00F65087"/>
    <w:rsid w:val="00F652C9"/>
    <w:rsid w:val="00F654F3"/>
    <w:rsid w:val="00F655A9"/>
    <w:rsid w:val="00F65E88"/>
    <w:rsid w:val="00F65EB6"/>
    <w:rsid w:val="00F66191"/>
    <w:rsid w:val="00F6650C"/>
    <w:rsid w:val="00F6652E"/>
    <w:rsid w:val="00F66960"/>
    <w:rsid w:val="00F66C0D"/>
    <w:rsid w:val="00F67102"/>
    <w:rsid w:val="00F672EC"/>
    <w:rsid w:val="00F674CD"/>
    <w:rsid w:val="00F6770C"/>
    <w:rsid w:val="00F677A2"/>
    <w:rsid w:val="00F67828"/>
    <w:rsid w:val="00F67B94"/>
    <w:rsid w:val="00F67CF0"/>
    <w:rsid w:val="00F67D15"/>
    <w:rsid w:val="00F67E5A"/>
    <w:rsid w:val="00F67F4E"/>
    <w:rsid w:val="00F70344"/>
    <w:rsid w:val="00F704AA"/>
    <w:rsid w:val="00F706DB"/>
    <w:rsid w:val="00F70837"/>
    <w:rsid w:val="00F70A2E"/>
    <w:rsid w:val="00F70B17"/>
    <w:rsid w:val="00F70B20"/>
    <w:rsid w:val="00F70D44"/>
    <w:rsid w:val="00F711D3"/>
    <w:rsid w:val="00F71399"/>
    <w:rsid w:val="00F714EF"/>
    <w:rsid w:val="00F715A4"/>
    <w:rsid w:val="00F716EF"/>
    <w:rsid w:val="00F718E9"/>
    <w:rsid w:val="00F7193A"/>
    <w:rsid w:val="00F71C37"/>
    <w:rsid w:val="00F71CA8"/>
    <w:rsid w:val="00F71D97"/>
    <w:rsid w:val="00F71F83"/>
    <w:rsid w:val="00F7203A"/>
    <w:rsid w:val="00F7226E"/>
    <w:rsid w:val="00F723C1"/>
    <w:rsid w:val="00F7246D"/>
    <w:rsid w:val="00F7263D"/>
    <w:rsid w:val="00F727D7"/>
    <w:rsid w:val="00F72B6F"/>
    <w:rsid w:val="00F72DBD"/>
    <w:rsid w:val="00F736D9"/>
    <w:rsid w:val="00F73760"/>
    <w:rsid w:val="00F73B24"/>
    <w:rsid w:val="00F73F5D"/>
    <w:rsid w:val="00F74007"/>
    <w:rsid w:val="00F74222"/>
    <w:rsid w:val="00F74A5F"/>
    <w:rsid w:val="00F74A7F"/>
    <w:rsid w:val="00F74D47"/>
    <w:rsid w:val="00F74D57"/>
    <w:rsid w:val="00F74EB1"/>
    <w:rsid w:val="00F74EB8"/>
    <w:rsid w:val="00F752C1"/>
    <w:rsid w:val="00F753CC"/>
    <w:rsid w:val="00F75531"/>
    <w:rsid w:val="00F75854"/>
    <w:rsid w:val="00F759B1"/>
    <w:rsid w:val="00F75A5F"/>
    <w:rsid w:val="00F75C17"/>
    <w:rsid w:val="00F75C47"/>
    <w:rsid w:val="00F75C81"/>
    <w:rsid w:val="00F75C83"/>
    <w:rsid w:val="00F75E4A"/>
    <w:rsid w:val="00F760E5"/>
    <w:rsid w:val="00F76419"/>
    <w:rsid w:val="00F76485"/>
    <w:rsid w:val="00F7650D"/>
    <w:rsid w:val="00F76842"/>
    <w:rsid w:val="00F76B63"/>
    <w:rsid w:val="00F76E85"/>
    <w:rsid w:val="00F76F02"/>
    <w:rsid w:val="00F77159"/>
    <w:rsid w:val="00F7736B"/>
    <w:rsid w:val="00F77A03"/>
    <w:rsid w:val="00F77A5D"/>
    <w:rsid w:val="00F77EDA"/>
    <w:rsid w:val="00F77FBE"/>
    <w:rsid w:val="00F80100"/>
    <w:rsid w:val="00F801E1"/>
    <w:rsid w:val="00F80272"/>
    <w:rsid w:val="00F80607"/>
    <w:rsid w:val="00F8070C"/>
    <w:rsid w:val="00F807B2"/>
    <w:rsid w:val="00F8086E"/>
    <w:rsid w:val="00F80AFF"/>
    <w:rsid w:val="00F80BB5"/>
    <w:rsid w:val="00F80BB8"/>
    <w:rsid w:val="00F80C0F"/>
    <w:rsid w:val="00F80EA3"/>
    <w:rsid w:val="00F80ED4"/>
    <w:rsid w:val="00F80F9C"/>
    <w:rsid w:val="00F81132"/>
    <w:rsid w:val="00F8120B"/>
    <w:rsid w:val="00F815F1"/>
    <w:rsid w:val="00F816BB"/>
    <w:rsid w:val="00F81899"/>
    <w:rsid w:val="00F819F9"/>
    <w:rsid w:val="00F81D60"/>
    <w:rsid w:val="00F81F59"/>
    <w:rsid w:val="00F81FFD"/>
    <w:rsid w:val="00F8220B"/>
    <w:rsid w:val="00F82407"/>
    <w:rsid w:val="00F8260C"/>
    <w:rsid w:val="00F82741"/>
    <w:rsid w:val="00F82F6F"/>
    <w:rsid w:val="00F82FEB"/>
    <w:rsid w:val="00F83133"/>
    <w:rsid w:val="00F831A1"/>
    <w:rsid w:val="00F832BF"/>
    <w:rsid w:val="00F83475"/>
    <w:rsid w:val="00F835BD"/>
    <w:rsid w:val="00F836BF"/>
    <w:rsid w:val="00F8394E"/>
    <w:rsid w:val="00F83A3E"/>
    <w:rsid w:val="00F83D8E"/>
    <w:rsid w:val="00F83F12"/>
    <w:rsid w:val="00F83F3E"/>
    <w:rsid w:val="00F83FC5"/>
    <w:rsid w:val="00F840FB"/>
    <w:rsid w:val="00F8426D"/>
    <w:rsid w:val="00F8445F"/>
    <w:rsid w:val="00F84808"/>
    <w:rsid w:val="00F84B80"/>
    <w:rsid w:val="00F84F26"/>
    <w:rsid w:val="00F8536C"/>
    <w:rsid w:val="00F8543D"/>
    <w:rsid w:val="00F856D8"/>
    <w:rsid w:val="00F85729"/>
    <w:rsid w:val="00F8584B"/>
    <w:rsid w:val="00F8586B"/>
    <w:rsid w:val="00F85885"/>
    <w:rsid w:val="00F85991"/>
    <w:rsid w:val="00F85A0F"/>
    <w:rsid w:val="00F85A55"/>
    <w:rsid w:val="00F85CB0"/>
    <w:rsid w:val="00F8610B"/>
    <w:rsid w:val="00F862FA"/>
    <w:rsid w:val="00F864A3"/>
    <w:rsid w:val="00F864B2"/>
    <w:rsid w:val="00F867AD"/>
    <w:rsid w:val="00F86958"/>
    <w:rsid w:val="00F870F6"/>
    <w:rsid w:val="00F8738A"/>
    <w:rsid w:val="00F87661"/>
    <w:rsid w:val="00F87870"/>
    <w:rsid w:val="00F87B26"/>
    <w:rsid w:val="00F87B90"/>
    <w:rsid w:val="00F87C39"/>
    <w:rsid w:val="00F87C44"/>
    <w:rsid w:val="00F87E45"/>
    <w:rsid w:val="00F90186"/>
    <w:rsid w:val="00F904DF"/>
    <w:rsid w:val="00F90666"/>
    <w:rsid w:val="00F90819"/>
    <w:rsid w:val="00F90981"/>
    <w:rsid w:val="00F910A9"/>
    <w:rsid w:val="00F913C9"/>
    <w:rsid w:val="00F91AFC"/>
    <w:rsid w:val="00F91B55"/>
    <w:rsid w:val="00F91B65"/>
    <w:rsid w:val="00F91BCB"/>
    <w:rsid w:val="00F91FF2"/>
    <w:rsid w:val="00F9216A"/>
    <w:rsid w:val="00F923EA"/>
    <w:rsid w:val="00F92546"/>
    <w:rsid w:val="00F92563"/>
    <w:rsid w:val="00F9267A"/>
    <w:rsid w:val="00F9281E"/>
    <w:rsid w:val="00F92D39"/>
    <w:rsid w:val="00F92DFC"/>
    <w:rsid w:val="00F92E0B"/>
    <w:rsid w:val="00F92F34"/>
    <w:rsid w:val="00F93073"/>
    <w:rsid w:val="00F9321C"/>
    <w:rsid w:val="00F935C5"/>
    <w:rsid w:val="00F9372C"/>
    <w:rsid w:val="00F937D8"/>
    <w:rsid w:val="00F93E61"/>
    <w:rsid w:val="00F93EEC"/>
    <w:rsid w:val="00F9415F"/>
    <w:rsid w:val="00F94571"/>
    <w:rsid w:val="00F94695"/>
    <w:rsid w:val="00F94A59"/>
    <w:rsid w:val="00F94CA2"/>
    <w:rsid w:val="00F94D34"/>
    <w:rsid w:val="00F95193"/>
    <w:rsid w:val="00F951E6"/>
    <w:rsid w:val="00F9521A"/>
    <w:rsid w:val="00F95388"/>
    <w:rsid w:val="00F953FD"/>
    <w:rsid w:val="00F955FC"/>
    <w:rsid w:val="00F95A93"/>
    <w:rsid w:val="00F95E6B"/>
    <w:rsid w:val="00F96068"/>
    <w:rsid w:val="00F961A1"/>
    <w:rsid w:val="00F965B0"/>
    <w:rsid w:val="00F9663D"/>
    <w:rsid w:val="00F966B5"/>
    <w:rsid w:val="00F96851"/>
    <w:rsid w:val="00F96D5E"/>
    <w:rsid w:val="00F970AE"/>
    <w:rsid w:val="00F972F9"/>
    <w:rsid w:val="00F9741A"/>
    <w:rsid w:val="00F979F9"/>
    <w:rsid w:val="00F97A2F"/>
    <w:rsid w:val="00F97A56"/>
    <w:rsid w:val="00F97B7D"/>
    <w:rsid w:val="00F97E63"/>
    <w:rsid w:val="00FA011B"/>
    <w:rsid w:val="00FA0417"/>
    <w:rsid w:val="00FA065C"/>
    <w:rsid w:val="00FA0727"/>
    <w:rsid w:val="00FA082B"/>
    <w:rsid w:val="00FA0A87"/>
    <w:rsid w:val="00FA0F55"/>
    <w:rsid w:val="00FA14F8"/>
    <w:rsid w:val="00FA1CBF"/>
    <w:rsid w:val="00FA1EA3"/>
    <w:rsid w:val="00FA2008"/>
    <w:rsid w:val="00FA2330"/>
    <w:rsid w:val="00FA2A3C"/>
    <w:rsid w:val="00FA2B97"/>
    <w:rsid w:val="00FA30ED"/>
    <w:rsid w:val="00FA3203"/>
    <w:rsid w:val="00FA3762"/>
    <w:rsid w:val="00FA3A8A"/>
    <w:rsid w:val="00FA3B4B"/>
    <w:rsid w:val="00FA3B7F"/>
    <w:rsid w:val="00FA3ECA"/>
    <w:rsid w:val="00FA4242"/>
    <w:rsid w:val="00FA45C2"/>
    <w:rsid w:val="00FA478B"/>
    <w:rsid w:val="00FA4790"/>
    <w:rsid w:val="00FA48FD"/>
    <w:rsid w:val="00FA4BBC"/>
    <w:rsid w:val="00FA4C04"/>
    <w:rsid w:val="00FA4C8F"/>
    <w:rsid w:val="00FA4D0E"/>
    <w:rsid w:val="00FA4E74"/>
    <w:rsid w:val="00FA4F44"/>
    <w:rsid w:val="00FA5007"/>
    <w:rsid w:val="00FA5033"/>
    <w:rsid w:val="00FA503D"/>
    <w:rsid w:val="00FA5335"/>
    <w:rsid w:val="00FA5A2C"/>
    <w:rsid w:val="00FA5C11"/>
    <w:rsid w:val="00FA5DBA"/>
    <w:rsid w:val="00FA5FFB"/>
    <w:rsid w:val="00FA62F2"/>
    <w:rsid w:val="00FA65F2"/>
    <w:rsid w:val="00FA690E"/>
    <w:rsid w:val="00FA6B4D"/>
    <w:rsid w:val="00FA6CE3"/>
    <w:rsid w:val="00FA6D72"/>
    <w:rsid w:val="00FA705E"/>
    <w:rsid w:val="00FA711C"/>
    <w:rsid w:val="00FA73A3"/>
    <w:rsid w:val="00FA7635"/>
    <w:rsid w:val="00FA7654"/>
    <w:rsid w:val="00FA78E4"/>
    <w:rsid w:val="00FA7DC3"/>
    <w:rsid w:val="00FA7E91"/>
    <w:rsid w:val="00FB02F2"/>
    <w:rsid w:val="00FB04FF"/>
    <w:rsid w:val="00FB0646"/>
    <w:rsid w:val="00FB0653"/>
    <w:rsid w:val="00FB0911"/>
    <w:rsid w:val="00FB0B84"/>
    <w:rsid w:val="00FB0C0C"/>
    <w:rsid w:val="00FB0CD4"/>
    <w:rsid w:val="00FB0CFE"/>
    <w:rsid w:val="00FB0ECA"/>
    <w:rsid w:val="00FB0ED8"/>
    <w:rsid w:val="00FB0FA2"/>
    <w:rsid w:val="00FB10F4"/>
    <w:rsid w:val="00FB127C"/>
    <w:rsid w:val="00FB13CC"/>
    <w:rsid w:val="00FB16A8"/>
    <w:rsid w:val="00FB1741"/>
    <w:rsid w:val="00FB188D"/>
    <w:rsid w:val="00FB1BC4"/>
    <w:rsid w:val="00FB1F88"/>
    <w:rsid w:val="00FB205E"/>
    <w:rsid w:val="00FB22C9"/>
    <w:rsid w:val="00FB2573"/>
    <w:rsid w:val="00FB26CE"/>
    <w:rsid w:val="00FB2A64"/>
    <w:rsid w:val="00FB2B01"/>
    <w:rsid w:val="00FB2B33"/>
    <w:rsid w:val="00FB2E47"/>
    <w:rsid w:val="00FB2F02"/>
    <w:rsid w:val="00FB2FEF"/>
    <w:rsid w:val="00FB3284"/>
    <w:rsid w:val="00FB3868"/>
    <w:rsid w:val="00FB3E7A"/>
    <w:rsid w:val="00FB4044"/>
    <w:rsid w:val="00FB406B"/>
    <w:rsid w:val="00FB4209"/>
    <w:rsid w:val="00FB44EF"/>
    <w:rsid w:val="00FB495C"/>
    <w:rsid w:val="00FB49CC"/>
    <w:rsid w:val="00FB4B31"/>
    <w:rsid w:val="00FB4CAB"/>
    <w:rsid w:val="00FB5018"/>
    <w:rsid w:val="00FB5080"/>
    <w:rsid w:val="00FB518E"/>
    <w:rsid w:val="00FB520C"/>
    <w:rsid w:val="00FB52B0"/>
    <w:rsid w:val="00FB537F"/>
    <w:rsid w:val="00FB53DB"/>
    <w:rsid w:val="00FB5619"/>
    <w:rsid w:val="00FB5623"/>
    <w:rsid w:val="00FB5699"/>
    <w:rsid w:val="00FB5B09"/>
    <w:rsid w:val="00FB5B63"/>
    <w:rsid w:val="00FB5DBD"/>
    <w:rsid w:val="00FB5F9F"/>
    <w:rsid w:val="00FB63AA"/>
    <w:rsid w:val="00FB672B"/>
    <w:rsid w:val="00FB6912"/>
    <w:rsid w:val="00FB722B"/>
    <w:rsid w:val="00FB7387"/>
    <w:rsid w:val="00FB73BE"/>
    <w:rsid w:val="00FB7797"/>
    <w:rsid w:val="00FB77A9"/>
    <w:rsid w:val="00FB79F7"/>
    <w:rsid w:val="00FC05FC"/>
    <w:rsid w:val="00FC0694"/>
    <w:rsid w:val="00FC0901"/>
    <w:rsid w:val="00FC0CE2"/>
    <w:rsid w:val="00FC0CE8"/>
    <w:rsid w:val="00FC0D72"/>
    <w:rsid w:val="00FC0F20"/>
    <w:rsid w:val="00FC141C"/>
    <w:rsid w:val="00FC181F"/>
    <w:rsid w:val="00FC1908"/>
    <w:rsid w:val="00FC1CA4"/>
    <w:rsid w:val="00FC1D7B"/>
    <w:rsid w:val="00FC2085"/>
    <w:rsid w:val="00FC20CB"/>
    <w:rsid w:val="00FC2135"/>
    <w:rsid w:val="00FC25B5"/>
    <w:rsid w:val="00FC266C"/>
    <w:rsid w:val="00FC2671"/>
    <w:rsid w:val="00FC2740"/>
    <w:rsid w:val="00FC28F2"/>
    <w:rsid w:val="00FC2BEB"/>
    <w:rsid w:val="00FC2D27"/>
    <w:rsid w:val="00FC32FD"/>
    <w:rsid w:val="00FC3316"/>
    <w:rsid w:val="00FC34C1"/>
    <w:rsid w:val="00FC3549"/>
    <w:rsid w:val="00FC37C9"/>
    <w:rsid w:val="00FC3CD6"/>
    <w:rsid w:val="00FC3D46"/>
    <w:rsid w:val="00FC4284"/>
    <w:rsid w:val="00FC48F8"/>
    <w:rsid w:val="00FC4954"/>
    <w:rsid w:val="00FC4AA1"/>
    <w:rsid w:val="00FC4ABE"/>
    <w:rsid w:val="00FC4B96"/>
    <w:rsid w:val="00FC4C08"/>
    <w:rsid w:val="00FC4D5C"/>
    <w:rsid w:val="00FC4F2E"/>
    <w:rsid w:val="00FC5198"/>
    <w:rsid w:val="00FC5340"/>
    <w:rsid w:val="00FC53D3"/>
    <w:rsid w:val="00FC5463"/>
    <w:rsid w:val="00FC5BB3"/>
    <w:rsid w:val="00FC5C8A"/>
    <w:rsid w:val="00FC5CAA"/>
    <w:rsid w:val="00FC5CCF"/>
    <w:rsid w:val="00FC5E48"/>
    <w:rsid w:val="00FC61B8"/>
    <w:rsid w:val="00FC61CF"/>
    <w:rsid w:val="00FC63D7"/>
    <w:rsid w:val="00FC64DC"/>
    <w:rsid w:val="00FC6590"/>
    <w:rsid w:val="00FC6764"/>
    <w:rsid w:val="00FC67FD"/>
    <w:rsid w:val="00FC69EE"/>
    <w:rsid w:val="00FC6A23"/>
    <w:rsid w:val="00FC6D4B"/>
    <w:rsid w:val="00FC6E0A"/>
    <w:rsid w:val="00FC6E8A"/>
    <w:rsid w:val="00FC6F1F"/>
    <w:rsid w:val="00FC716F"/>
    <w:rsid w:val="00FC78C5"/>
    <w:rsid w:val="00FC7AD3"/>
    <w:rsid w:val="00FC7D1D"/>
    <w:rsid w:val="00FC7E61"/>
    <w:rsid w:val="00FD0208"/>
    <w:rsid w:val="00FD0309"/>
    <w:rsid w:val="00FD036D"/>
    <w:rsid w:val="00FD077D"/>
    <w:rsid w:val="00FD0901"/>
    <w:rsid w:val="00FD0CFB"/>
    <w:rsid w:val="00FD0E28"/>
    <w:rsid w:val="00FD0F69"/>
    <w:rsid w:val="00FD1460"/>
    <w:rsid w:val="00FD1492"/>
    <w:rsid w:val="00FD160A"/>
    <w:rsid w:val="00FD166E"/>
    <w:rsid w:val="00FD1720"/>
    <w:rsid w:val="00FD1797"/>
    <w:rsid w:val="00FD193F"/>
    <w:rsid w:val="00FD1A33"/>
    <w:rsid w:val="00FD1A60"/>
    <w:rsid w:val="00FD1A6C"/>
    <w:rsid w:val="00FD1BD9"/>
    <w:rsid w:val="00FD1FAA"/>
    <w:rsid w:val="00FD20A7"/>
    <w:rsid w:val="00FD2133"/>
    <w:rsid w:val="00FD2169"/>
    <w:rsid w:val="00FD2244"/>
    <w:rsid w:val="00FD23EB"/>
    <w:rsid w:val="00FD243D"/>
    <w:rsid w:val="00FD24FA"/>
    <w:rsid w:val="00FD2635"/>
    <w:rsid w:val="00FD2801"/>
    <w:rsid w:val="00FD28F9"/>
    <w:rsid w:val="00FD299F"/>
    <w:rsid w:val="00FD29DC"/>
    <w:rsid w:val="00FD2BAF"/>
    <w:rsid w:val="00FD2D74"/>
    <w:rsid w:val="00FD2D8E"/>
    <w:rsid w:val="00FD3068"/>
    <w:rsid w:val="00FD32A1"/>
    <w:rsid w:val="00FD3613"/>
    <w:rsid w:val="00FD3BFB"/>
    <w:rsid w:val="00FD3C55"/>
    <w:rsid w:val="00FD42E0"/>
    <w:rsid w:val="00FD42F5"/>
    <w:rsid w:val="00FD46A5"/>
    <w:rsid w:val="00FD46CD"/>
    <w:rsid w:val="00FD47A9"/>
    <w:rsid w:val="00FD47EC"/>
    <w:rsid w:val="00FD47F8"/>
    <w:rsid w:val="00FD48F5"/>
    <w:rsid w:val="00FD4BB4"/>
    <w:rsid w:val="00FD4E01"/>
    <w:rsid w:val="00FD4FF5"/>
    <w:rsid w:val="00FD5408"/>
    <w:rsid w:val="00FD56F8"/>
    <w:rsid w:val="00FD5837"/>
    <w:rsid w:val="00FD5A68"/>
    <w:rsid w:val="00FD5B29"/>
    <w:rsid w:val="00FD5D4E"/>
    <w:rsid w:val="00FD60E2"/>
    <w:rsid w:val="00FD61F0"/>
    <w:rsid w:val="00FD6225"/>
    <w:rsid w:val="00FD6331"/>
    <w:rsid w:val="00FD6685"/>
    <w:rsid w:val="00FD6977"/>
    <w:rsid w:val="00FD6ACC"/>
    <w:rsid w:val="00FD6F26"/>
    <w:rsid w:val="00FD6F27"/>
    <w:rsid w:val="00FD70D8"/>
    <w:rsid w:val="00FD7459"/>
    <w:rsid w:val="00FD755D"/>
    <w:rsid w:val="00FD75D3"/>
    <w:rsid w:val="00FD75D7"/>
    <w:rsid w:val="00FD76D4"/>
    <w:rsid w:val="00FD7764"/>
    <w:rsid w:val="00FD7B71"/>
    <w:rsid w:val="00FD7CE5"/>
    <w:rsid w:val="00FE004D"/>
    <w:rsid w:val="00FE00AF"/>
    <w:rsid w:val="00FE011C"/>
    <w:rsid w:val="00FE035D"/>
    <w:rsid w:val="00FE0386"/>
    <w:rsid w:val="00FE04F5"/>
    <w:rsid w:val="00FE052B"/>
    <w:rsid w:val="00FE06F7"/>
    <w:rsid w:val="00FE07BB"/>
    <w:rsid w:val="00FE08CE"/>
    <w:rsid w:val="00FE091C"/>
    <w:rsid w:val="00FE0A0C"/>
    <w:rsid w:val="00FE0AF4"/>
    <w:rsid w:val="00FE0C0C"/>
    <w:rsid w:val="00FE0E33"/>
    <w:rsid w:val="00FE0E50"/>
    <w:rsid w:val="00FE0F64"/>
    <w:rsid w:val="00FE10D5"/>
    <w:rsid w:val="00FE1706"/>
    <w:rsid w:val="00FE18E4"/>
    <w:rsid w:val="00FE19F0"/>
    <w:rsid w:val="00FE1E71"/>
    <w:rsid w:val="00FE2099"/>
    <w:rsid w:val="00FE209E"/>
    <w:rsid w:val="00FE260B"/>
    <w:rsid w:val="00FE269C"/>
    <w:rsid w:val="00FE27DB"/>
    <w:rsid w:val="00FE29E4"/>
    <w:rsid w:val="00FE2B2D"/>
    <w:rsid w:val="00FE2DD5"/>
    <w:rsid w:val="00FE2F68"/>
    <w:rsid w:val="00FE321F"/>
    <w:rsid w:val="00FE327A"/>
    <w:rsid w:val="00FE3562"/>
    <w:rsid w:val="00FE387B"/>
    <w:rsid w:val="00FE39B9"/>
    <w:rsid w:val="00FE3C8C"/>
    <w:rsid w:val="00FE3EF4"/>
    <w:rsid w:val="00FE40BE"/>
    <w:rsid w:val="00FE455B"/>
    <w:rsid w:val="00FE4D17"/>
    <w:rsid w:val="00FE5293"/>
    <w:rsid w:val="00FE54F9"/>
    <w:rsid w:val="00FE5599"/>
    <w:rsid w:val="00FE55C6"/>
    <w:rsid w:val="00FE5600"/>
    <w:rsid w:val="00FE588E"/>
    <w:rsid w:val="00FE5E5B"/>
    <w:rsid w:val="00FE6594"/>
    <w:rsid w:val="00FE65B8"/>
    <w:rsid w:val="00FE67AC"/>
    <w:rsid w:val="00FE6A81"/>
    <w:rsid w:val="00FE6EB2"/>
    <w:rsid w:val="00FE6F52"/>
    <w:rsid w:val="00FE7185"/>
    <w:rsid w:val="00FE71C7"/>
    <w:rsid w:val="00FE72D1"/>
    <w:rsid w:val="00FE72EF"/>
    <w:rsid w:val="00FE76E2"/>
    <w:rsid w:val="00FE7851"/>
    <w:rsid w:val="00FE78FA"/>
    <w:rsid w:val="00FE7988"/>
    <w:rsid w:val="00FE7DA9"/>
    <w:rsid w:val="00FF0188"/>
    <w:rsid w:val="00FF0707"/>
    <w:rsid w:val="00FF094B"/>
    <w:rsid w:val="00FF0B10"/>
    <w:rsid w:val="00FF0C00"/>
    <w:rsid w:val="00FF0C57"/>
    <w:rsid w:val="00FF0D14"/>
    <w:rsid w:val="00FF0ECE"/>
    <w:rsid w:val="00FF129F"/>
    <w:rsid w:val="00FF13E9"/>
    <w:rsid w:val="00FF19B6"/>
    <w:rsid w:val="00FF19D4"/>
    <w:rsid w:val="00FF1A4F"/>
    <w:rsid w:val="00FF1A74"/>
    <w:rsid w:val="00FF1E69"/>
    <w:rsid w:val="00FF1F5B"/>
    <w:rsid w:val="00FF22BD"/>
    <w:rsid w:val="00FF232D"/>
    <w:rsid w:val="00FF24D0"/>
    <w:rsid w:val="00FF27F6"/>
    <w:rsid w:val="00FF28FF"/>
    <w:rsid w:val="00FF2C1A"/>
    <w:rsid w:val="00FF2C6C"/>
    <w:rsid w:val="00FF2D6E"/>
    <w:rsid w:val="00FF2F59"/>
    <w:rsid w:val="00FF3416"/>
    <w:rsid w:val="00FF35C0"/>
    <w:rsid w:val="00FF3817"/>
    <w:rsid w:val="00FF39FB"/>
    <w:rsid w:val="00FF3E87"/>
    <w:rsid w:val="00FF40C6"/>
    <w:rsid w:val="00FF4346"/>
    <w:rsid w:val="00FF442B"/>
    <w:rsid w:val="00FF4AA8"/>
    <w:rsid w:val="00FF4FB5"/>
    <w:rsid w:val="00FF5009"/>
    <w:rsid w:val="00FF5107"/>
    <w:rsid w:val="00FF53BC"/>
    <w:rsid w:val="00FF5458"/>
    <w:rsid w:val="00FF54B0"/>
    <w:rsid w:val="00FF54DD"/>
    <w:rsid w:val="00FF5503"/>
    <w:rsid w:val="00FF5711"/>
    <w:rsid w:val="00FF58FE"/>
    <w:rsid w:val="00FF59F0"/>
    <w:rsid w:val="00FF5A06"/>
    <w:rsid w:val="00FF5E3F"/>
    <w:rsid w:val="00FF5E76"/>
    <w:rsid w:val="00FF61B8"/>
    <w:rsid w:val="00FF65F7"/>
    <w:rsid w:val="00FF6A92"/>
    <w:rsid w:val="00FF6AA1"/>
    <w:rsid w:val="00FF6C14"/>
    <w:rsid w:val="00FF6F59"/>
    <w:rsid w:val="00FF7010"/>
    <w:rsid w:val="00FF72B6"/>
    <w:rsid w:val="00FF72BA"/>
    <w:rsid w:val="00FF7466"/>
    <w:rsid w:val="00FF74EA"/>
    <w:rsid w:val="00FF7500"/>
    <w:rsid w:val="00FF7878"/>
    <w:rsid w:val="00FF7C3E"/>
    <w:rsid w:val="011A499B"/>
    <w:rsid w:val="01516FD8"/>
    <w:rsid w:val="01C3539A"/>
    <w:rsid w:val="01C998EB"/>
    <w:rsid w:val="01D174CF"/>
    <w:rsid w:val="022FCF08"/>
    <w:rsid w:val="023F9C8C"/>
    <w:rsid w:val="02578906"/>
    <w:rsid w:val="027B3BA2"/>
    <w:rsid w:val="0297CB04"/>
    <w:rsid w:val="02A96368"/>
    <w:rsid w:val="02BCC1DE"/>
    <w:rsid w:val="02BF2CCF"/>
    <w:rsid w:val="02F29B11"/>
    <w:rsid w:val="031096C2"/>
    <w:rsid w:val="03219916"/>
    <w:rsid w:val="0328A830"/>
    <w:rsid w:val="0332D3AA"/>
    <w:rsid w:val="03414EBC"/>
    <w:rsid w:val="035A9E04"/>
    <w:rsid w:val="036FD234"/>
    <w:rsid w:val="037DEAFD"/>
    <w:rsid w:val="03970786"/>
    <w:rsid w:val="03D11A2C"/>
    <w:rsid w:val="0407981C"/>
    <w:rsid w:val="041DBE7D"/>
    <w:rsid w:val="043CA2D7"/>
    <w:rsid w:val="0441D355"/>
    <w:rsid w:val="044C8377"/>
    <w:rsid w:val="0460631F"/>
    <w:rsid w:val="0467F624"/>
    <w:rsid w:val="04C1F70C"/>
    <w:rsid w:val="04C5A0E0"/>
    <w:rsid w:val="04E9B913"/>
    <w:rsid w:val="051EB275"/>
    <w:rsid w:val="05223AFA"/>
    <w:rsid w:val="0524D3EB"/>
    <w:rsid w:val="056F0DDF"/>
    <w:rsid w:val="057BB7C6"/>
    <w:rsid w:val="05AB7BB1"/>
    <w:rsid w:val="05B88BA2"/>
    <w:rsid w:val="060F49EF"/>
    <w:rsid w:val="062FD4C2"/>
    <w:rsid w:val="06482A79"/>
    <w:rsid w:val="06529AE7"/>
    <w:rsid w:val="065A5283"/>
    <w:rsid w:val="0661CA05"/>
    <w:rsid w:val="06785ECA"/>
    <w:rsid w:val="06F88266"/>
    <w:rsid w:val="0719FF26"/>
    <w:rsid w:val="07265BC1"/>
    <w:rsid w:val="07358468"/>
    <w:rsid w:val="07658EFC"/>
    <w:rsid w:val="078CD043"/>
    <w:rsid w:val="07A282E4"/>
    <w:rsid w:val="07D646D2"/>
    <w:rsid w:val="080B8DAF"/>
    <w:rsid w:val="083EBB73"/>
    <w:rsid w:val="087FE8D2"/>
    <w:rsid w:val="08834C82"/>
    <w:rsid w:val="0888F8BA"/>
    <w:rsid w:val="089DFDCA"/>
    <w:rsid w:val="089ECB15"/>
    <w:rsid w:val="09702FDC"/>
    <w:rsid w:val="097C24F8"/>
    <w:rsid w:val="0991F293"/>
    <w:rsid w:val="099BDCFA"/>
    <w:rsid w:val="09B82341"/>
    <w:rsid w:val="09D65D44"/>
    <w:rsid w:val="09D67C0B"/>
    <w:rsid w:val="09D7B613"/>
    <w:rsid w:val="09F50E0C"/>
    <w:rsid w:val="09F92B1A"/>
    <w:rsid w:val="0A22ABC3"/>
    <w:rsid w:val="0A234151"/>
    <w:rsid w:val="0A40D861"/>
    <w:rsid w:val="0A76CB00"/>
    <w:rsid w:val="0A7973ED"/>
    <w:rsid w:val="0A82A720"/>
    <w:rsid w:val="0AC2E0B2"/>
    <w:rsid w:val="0B133A5A"/>
    <w:rsid w:val="0B164AD4"/>
    <w:rsid w:val="0B279C14"/>
    <w:rsid w:val="0B4595BA"/>
    <w:rsid w:val="0B57A39F"/>
    <w:rsid w:val="0B5C0C56"/>
    <w:rsid w:val="0B837445"/>
    <w:rsid w:val="0B8B92C9"/>
    <w:rsid w:val="0BBBF968"/>
    <w:rsid w:val="0BBE817E"/>
    <w:rsid w:val="0BDCB19A"/>
    <w:rsid w:val="0BE240E4"/>
    <w:rsid w:val="0BEDE083"/>
    <w:rsid w:val="0BF9BE85"/>
    <w:rsid w:val="0BFCA82F"/>
    <w:rsid w:val="0C22C673"/>
    <w:rsid w:val="0C23D11B"/>
    <w:rsid w:val="0C4B3D86"/>
    <w:rsid w:val="0C4ED0D0"/>
    <w:rsid w:val="0C547161"/>
    <w:rsid w:val="0CACF490"/>
    <w:rsid w:val="0D3E177C"/>
    <w:rsid w:val="0D4D68F5"/>
    <w:rsid w:val="0D5D1382"/>
    <w:rsid w:val="0D635C9E"/>
    <w:rsid w:val="0D67441C"/>
    <w:rsid w:val="0D918952"/>
    <w:rsid w:val="0DA0F334"/>
    <w:rsid w:val="0DA76C9D"/>
    <w:rsid w:val="0DB6D5A4"/>
    <w:rsid w:val="0DD04200"/>
    <w:rsid w:val="0DD84F66"/>
    <w:rsid w:val="0DEE5A71"/>
    <w:rsid w:val="0DF7CA00"/>
    <w:rsid w:val="0E0EC23F"/>
    <w:rsid w:val="0E3BDBD1"/>
    <w:rsid w:val="0E5A8BAC"/>
    <w:rsid w:val="0E67F447"/>
    <w:rsid w:val="0E724B5D"/>
    <w:rsid w:val="0E747CB2"/>
    <w:rsid w:val="0EB41F5A"/>
    <w:rsid w:val="0EBF51EA"/>
    <w:rsid w:val="0EE02B2D"/>
    <w:rsid w:val="0EEAE92C"/>
    <w:rsid w:val="0EED25EC"/>
    <w:rsid w:val="0F5E8D2E"/>
    <w:rsid w:val="0F90A156"/>
    <w:rsid w:val="0FA88FCD"/>
    <w:rsid w:val="0FC68793"/>
    <w:rsid w:val="0FD2087F"/>
    <w:rsid w:val="0FEB1F04"/>
    <w:rsid w:val="10070BBE"/>
    <w:rsid w:val="103E5017"/>
    <w:rsid w:val="1043B79C"/>
    <w:rsid w:val="105A1D30"/>
    <w:rsid w:val="1063EACD"/>
    <w:rsid w:val="107792FD"/>
    <w:rsid w:val="10A05B23"/>
    <w:rsid w:val="10DB1AE4"/>
    <w:rsid w:val="10E8D6C3"/>
    <w:rsid w:val="111FCD34"/>
    <w:rsid w:val="1144629F"/>
    <w:rsid w:val="1159205C"/>
    <w:rsid w:val="1166D37B"/>
    <w:rsid w:val="1181CEAD"/>
    <w:rsid w:val="1199DD4A"/>
    <w:rsid w:val="11ADE43F"/>
    <w:rsid w:val="11D642BC"/>
    <w:rsid w:val="11F6C35D"/>
    <w:rsid w:val="126105C1"/>
    <w:rsid w:val="12612EA0"/>
    <w:rsid w:val="1287BA48"/>
    <w:rsid w:val="12D70C91"/>
    <w:rsid w:val="12F3ACD8"/>
    <w:rsid w:val="1304AC57"/>
    <w:rsid w:val="136CF621"/>
    <w:rsid w:val="136E9FE3"/>
    <w:rsid w:val="1371FB72"/>
    <w:rsid w:val="13736762"/>
    <w:rsid w:val="138BA472"/>
    <w:rsid w:val="13AA40E0"/>
    <w:rsid w:val="13EE24A6"/>
    <w:rsid w:val="140A684F"/>
    <w:rsid w:val="1479E75D"/>
    <w:rsid w:val="147AE57D"/>
    <w:rsid w:val="148F8845"/>
    <w:rsid w:val="14F91EB9"/>
    <w:rsid w:val="1542765E"/>
    <w:rsid w:val="154A27EB"/>
    <w:rsid w:val="155074D7"/>
    <w:rsid w:val="1553BBCD"/>
    <w:rsid w:val="155BA209"/>
    <w:rsid w:val="1591C17F"/>
    <w:rsid w:val="15952493"/>
    <w:rsid w:val="15A31B3A"/>
    <w:rsid w:val="15B072CC"/>
    <w:rsid w:val="15B0805C"/>
    <w:rsid w:val="15CF53F4"/>
    <w:rsid w:val="15DBF45C"/>
    <w:rsid w:val="15F5C1C4"/>
    <w:rsid w:val="15FE771B"/>
    <w:rsid w:val="160B013C"/>
    <w:rsid w:val="166501F6"/>
    <w:rsid w:val="16D11DBC"/>
    <w:rsid w:val="16E1DDB5"/>
    <w:rsid w:val="16F1BA62"/>
    <w:rsid w:val="17115A71"/>
    <w:rsid w:val="1727795B"/>
    <w:rsid w:val="175344A9"/>
    <w:rsid w:val="1774A91C"/>
    <w:rsid w:val="1777F242"/>
    <w:rsid w:val="1782D379"/>
    <w:rsid w:val="17D82B7E"/>
    <w:rsid w:val="184CFC99"/>
    <w:rsid w:val="185876C6"/>
    <w:rsid w:val="189F41B6"/>
    <w:rsid w:val="18A0BC37"/>
    <w:rsid w:val="18C1064D"/>
    <w:rsid w:val="18DC090A"/>
    <w:rsid w:val="1923A19B"/>
    <w:rsid w:val="194164AE"/>
    <w:rsid w:val="196942E1"/>
    <w:rsid w:val="196F6AB1"/>
    <w:rsid w:val="19736947"/>
    <w:rsid w:val="1985ACF8"/>
    <w:rsid w:val="19AB53B6"/>
    <w:rsid w:val="19D3E4E3"/>
    <w:rsid w:val="19E45678"/>
    <w:rsid w:val="19F1BDAC"/>
    <w:rsid w:val="19F3B7F5"/>
    <w:rsid w:val="1A015066"/>
    <w:rsid w:val="1A1B9B1B"/>
    <w:rsid w:val="1A61220C"/>
    <w:rsid w:val="1A6B9D73"/>
    <w:rsid w:val="1ABD3639"/>
    <w:rsid w:val="1ABDF9E7"/>
    <w:rsid w:val="1AE9D18F"/>
    <w:rsid w:val="1AFA3A1D"/>
    <w:rsid w:val="1B0F39A8"/>
    <w:rsid w:val="1B3E8E04"/>
    <w:rsid w:val="1B7803F1"/>
    <w:rsid w:val="1B782EBB"/>
    <w:rsid w:val="1B91A86D"/>
    <w:rsid w:val="1B964218"/>
    <w:rsid w:val="1B9AB3E0"/>
    <w:rsid w:val="1BAC82D4"/>
    <w:rsid w:val="1BE0A785"/>
    <w:rsid w:val="1BE3B26C"/>
    <w:rsid w:val="1C04F4D9"/>
    <w:rsid w:val="1C1B283C"/>
    <w:rsid w:val="1C320B29"/>
    <w:rsid w:val="1C53939A"/>
    <w:rsid w:val="1C627970"/>
    <w:rsid w:val="1C6FB0DD"/>
    <w:rsid w:val="1C7EAF3E"/>
    <w:rsid w:val="1CA2553C"/>
    <w:rsid w:val="1CB8C46F"/>
    <w:rsid w:val="1D21D55C"/>
    <w:rsid w:val="1D2F2A52"/>
    <w:rsid w:val="1D3887F9"/>
    <w:rsid w:val="1D54A7DF"/>
    <w:rsid w:val="1D62207D"/>
    <w:rsid w:val="1D88233A"/>
    <w:rsid w:val="1DCB827D"/>
    <w:rsid w:val="1DEDD9B9"/>
    <w:rsid w:val="1E0B813E"/>
    <w:rsid w:val="1E13F0C7"/>
    <w:rsid w:val="1E208EB5"/>
    <w:rsid w:val="1E2D5568"/>
    <w:rsid w:val="1E2DB15B"/>
    <w:rsid w:val="1E3529AC"/>
    <w:rsid w:val="1E3D2EAE"/>
    <w:rsid w:val="1E46D33B"/>
    <w:rsid w:val="1E5C2519"/>
    <w:rsid w:val="1E9610A3"/>
    <w:rsid w:val="1E9B640E"/>
    <w:rsid w:val="1E9F3E5E"/>
    <w:rsid w:val="1F1F8E47"/>
    <w:rsid w:val="1F3D7C01"/>
    <w:rsid w:val="1F3EC893"/>
    <w:rsid w:val="1F470A52"/>
    <w:rsid w:val="1F62C299"/>
    <w:rsid w:val="1F928265"/>
    <w:rsid w:val="1FBD7CFB"/>
    <w:rsid w:val="1FC28441"/>
    <w:rsid w:val="1FCE1667"/>
    <w:rsid w:val="1FF90AAB"/>
    <w:rsid w:val="2016CE0B"/>
    <w:rsid w:val="202A0E37"/>
    <w:rsid w:val="203839F8"/>
    <w:rsid w:val="205D2661"/>
    <w:rsid w:val="2063AB5D"/>
    <w:rsid w:val="2064C5C8"/>
    <w:rsid w:val="207379D8"/>
    <w:rsid w:val="207B5F90"/>
    <w:rsid w:val="209F3A21"/>
    <w:rsid w:val="20CFD298"/>
    <w:rsid w:val="20D5B9A0"/>
    <w:rsid w:val="20E82431"/>
    <w:rsid w:val="21120A1B"/>
    <w:rsid w:val="213E6656"/>
    <w:rsid w:val="21543EE6"/>
    <w:rsid w:val="21615851"/>
    <w:rsid w:val="216B7A5F"/>
    <w:rsid w:val="2193BEBE"/>
    <w:rsid w:val="219A6587"/>
    <w:rsid w:val="219E64AA"/>
    <w:rsid w:val="21CC2B82"/>
    <w:rsid w:val="21DD9E57"/>
    <w:rsid w:val="21DFBF99"/>
    <w:rsid w:val="21F36F8D"/>
    <w:rsid w:val="220DC651"/>
    <w:rsid w:val="22265ECA"/>
    <w:rsid w:val="223C043D"/>
    <w:rsid w:val="22486742"/>
    <w:rsid w:val="225D1EA6"/>
    <w:rsid w:val="22627DF2"/>
    <w:rsid w:val="2268CE87"/>
    <w:rsid w:val="22733A3E"/>
    <w:rsid w:val="2277F440"/>
    <w:rsid w:val="228B6AC9"/>
    <w:rsid w:val="228CE37B"/>
    <w:rsid w:val="228CEE0F"/>
    <w:rsid w:val="22A372FE"/>
    <w:rsid w:val="22CE4FD3"/>
    <w:rsid w:val="23207779"/>
    <w:rsid w:val="232CF259"/>
    <w:rsid w:val="233476A6"/>
    <w:rsid w:val="2372C5DE"/>
    <w:rsid w:val="237ED552"/>
    <w:rsid w:val="238FC0B4"/>
    <w:rsid w:val="23A8684B"/>
    <w:rsid w:val="23AF582E"/>
    <w:rsid w:val="23B8904F"/>
    <w:rsid w:val="23EA2158"/>
    <w:rsid w:val="2404A61A"/>
    <w:rsid w:val="24625217"/>
    <w:rsid w:val="2474CD46"/>
    <w:rsid w:val="24FECDDA"/>
    <w:rsid w:val="2544A356"/>
    <w:rsid w:val="25586757"/>
    <w:rsid w:val="25AEDAA2"/>
    <w:rsid w:val="25BB19B8"/>
    <w:rsid w:val="260B19C8"/>
    <w:rsid w:val="262BD110"/>
    <w:rsid w:val="264D2417"/>
    <w:rsid w:val="2655EEE5"/>
    <w:rsid w:val="2656A005"/>
    <w:rsid w:val="265D18CB"/>
    <w:rsid w:val="26607BE8"/>
    <w:rsid w:val="267B5595"/>
    <w:rsid w:val="268AA079"/>
    <w:rsid w:val="26A8D629"/>
    <w:rsid w:val="26AE7326"/>
    <w:rsid w:val="26C9A7EE"/>
    <w:rsid w:val="26F2D0FD"/>
    <w:rsid w:val="26FC533E"/>
    <w:rsid w:val="2701E743"/>
    <w:rsid w:val="27284C65"/>
    <w:rsid w:val="272F2469"/>
    <w:rsid w:val="2742AA28"/>
    <w:rsid w:val="278007A3"/>
    <w:rsid w:val="2780FA1D"/>
    <w:rsid w:val="27B67535"/>
    <w:rsid w:val="27DBE586"/>
    <w:rsid w:val="27E0CCD6"/>
    <w:rsid w:val="2851B995"/>
    <w:rsid w:val="2857619F"/>
    <w:rsid w:val="28A5A007"/>
    <w:rsid w:val="28C92319"/>
    <w:rsid w:val="28D0331E"/>
    <w:rsid w:val="28D1513A"/>
    <w:rsid w:val="28E104D1"/>
    <w:rsid w:val="28EEE61B"/>
    <w:rsid w:val="29119961"/>
    <w:rsid w:val="29264F97"/>
    <w:rsid w:val="29577297"/>
    <w:rsid w:val="2980AF42"/>
    <w:rsid w:val="2987B4C2"/>
    <w:rsid w:val="29882916"/>
    <w:rsid w:val="29887F1C"/>
    <w:rsid w:val="298F92E3"/>
    <w:rsid w:val="2990BC92"/>
    <w:rsid w:val="2A43C74F"/>
    <w:rsid w:val="2A5B19A4"/>
    <w:rsid w:val="2A5DD7C2"/>
    <w:rsid w:val="2A977A94"/>
    <w:rsid w:val="2AA25F4D"/>
    <w:rsid w:val="2ACE9E4F"/>
    <w:rsid w:val="2B3365FA"/>
    <w:rsid w:val="2B3D5656"/>
    <w:rsid w:val="2B62F58C"/>
    <w:rsid w:val="2B74B873"/>
    <w:rsid w:val="2BA8162F"/>
    <w:rsid w:val="2BB33565"/>
    <w:rsid w:val="2BCBE003"/>
    <w:rsid w:val="2BDB1432"/>
    <w:rsid w:val="2BE60C96"/>
    <w:rsid w:val="2BF8696D"/>
    <w:rsid w:val="2C43B3AF"/>
    <w:rsid w:val="2C4F8362"/>
    <w:rsid w:val="2C527E6B"/>
    <w:rsid w:val="2C6CD97D"/>
    <w:rsid w:val="2C9EAD04"/>
    <w:rsid w:val="2CA67F04"/>
    <w:rsid w:val="2CAB6C60"/>
    <w:rsid w:val="2CD9E2BB"/>
    <w:rsid w:val="2CDB9A50"/>
    <w:rsid w:val="2CF095C8"/>
    <w:rsid w:val="2D0A96FD"/>
    <w:rsid w:val="2D0C2F3A"/>
    <w:rsid w:val="2D175335"/>
    <w:rsid w:val="2D1B52CD"/>
    <w:rsid w:val="2D29B806"/>
    <w:rsid w:val="2D441491"/>
    <w:rsid w:val="2D52A30C"/>
    <w:rsid w:val="2D6421EE"/>
    <w:rsid w:val="2D688378"/>
    <w:rsid w:val="2D809D06"/>
    <w:rsid w:val="2DF830DE"/>
    <w:rsid w:val="2DFEFF9A"/>
    <w:rsid w:val="2E04CDC2"/>
    <w:rsid w:val="2E0CF65E"/>
    <w:rsid w:val="2E143892"/>
    <w:rsid w:val="2E1C0BFE"/>
    <w:rsid w:val="2E3C45D3"/>
    <w:rsid w:val="2E45EB30"/>
    <w:rsid w:val="2E49FB2C"/>
    <w:rsid w:val="2E5BE752"/>
    <w:rsid w:val="2E69197A"/>
    <w:rsid w:val="2E73A0EA"/>
    <w:rsid w:val="2E81AFEC"/>
    <w:rsid w:val="2ECD7DA3"/>
    <w:rsid w:val="2F6C1E3D"/>
    <w:rsid w:val="2F8103A0"/>
    <w:rsid w:val="2FA41DF6"/>
    <w:rsid w:val="2FC9766D"/>
    <w:rsid w:val="2FD9DDC6"/>
    <w:rsid w:val="2FE7CDC0"/>
    <w:rsid w:val="2FEBF10C"/>
    <w:rsid w:val="2FECE95F"/>
    <w:rsid w:val="2FF78F77"/>
    <w:rsid w:val="2FFAE3EB"/>
    <w:rsid w:val="30223521"/>
    <w:rsid w:val="30238197"/>
    <w:rsid w:val="305BA81D"/>
    <w:rsid w:val="30666192"/>
    <w:rsid w:val="30726802"/>
    <w:rsid w:val="30869FB0"/>
    <w:rsid w:val="30BE1ED5"/>
    <w:rsid w:val="30C34814"/>
    <w:rsid w:val="30DA47A7"/>
    <w:rsid w:val="30EEC0B9"/>
    <w:rsid w:val="3102D612"/>
    <w:rsid w:val="311378CB"/>
    <w:rsid w:val="312A2748"/>
    <w:rsid w:val="31351109"/>
    <w:rsid w:val="3141D0CB"/>
    <w:rsid w:val="31433381"/>
    <w:rsid w:val="31538360"/>
    <w:rsid w:val="317BB21F"/>
    <w:rsid w:val="31814AD5"/>
    <w:rsid w:val="319847E3"/>
    <w:rsid w:val="319F18F3"/>
    <w:rsid w:val="31B04417"/>
    <w:rsid w:val="31C77944"/>
    <w:rsid w:val="31D3767C"/>
    <w:rsid w:val="31D4954B"/>
    <w:rsid w:val="3243930F"/>
    <w:rsid w:val="3257DCDC"/>
    <w:rsid w:val="3260D9B6"/>
    <w:rsid w:val="328D694C"/>
    <w:rsid w:val="3294ED8E"/>
    <w:rsid w:val="329A7118"/>
    <w:rsid w:val="32ACCCAA"/>
    <w:rsid w:val="32FEDEC0"/>
    <w:rsid w:val="331CF3BD"/>
    <w:rsid w:val="3358DE0B"/>
    <w:rsid w:val="3364C584"/>
    <w:rsid w:val="336859C6"/>
    <w:rsid w:val="336EFEAA"/>
    <w:rsid w:val="33BBF043"/>
    <w:rsid w:val="33DA6BB2"/>
    <w:rsid w:val="33E7766C"/>
    <w:rsid w:val="3409733D"/>
    <w:rsid w:val="34127C1B"/>
    <w:rsid w:val="3414ACD6"/>
    <w:rsid w:val="34A9F2DD"/>
    <w:rsid w:val="34B9FAE4"/>
    <w:rsid w:val="34CFC848"/>
    <w:rsid w:val="34D1C6DD"/>
    <w:rsid w:val="34DD238E"/>
    <w:rsid w:val="3504DE45"/>
    <w:rsid w:val="350862F8"/>
    <w:rsid w:val="351366D0"/>
    <w:rsid w:val="3537169D"/>
    <w:rsid w:val="35993656"/>
    <w:rsid w:val="35AFBF7E"/>
    <w:rsid w:val="35FA671C"/>
    <w:rsid w:val="36021F78"/>
    <w:rsid w:val="364326D5"/>
    <w:rsid w:val="369801EA"/>
    <w:rsid w:val="369DE08C"/>
    <w:rsid w:val="36A28831"/>
    <w:rsid w:val="36BFD06B"/>
    <w:rsid w:val="36D58642"/>
    <w:rsid w:val="36D90B52"/>
    <w:rsid w:val="370A5B82"/>
    <w:rsid w:val="370C1752"/>
    <w:rsid w:val="3712F639"/>
    <w:rsid w:val="372989EA"/>
    <w:rsid w:val="37672B0C"/>
    <w:rsid w:val="37695FB6"/>
    <w:rsid w:val="37BB3B8D"/>
    <w:rsid w:val="37CE2C46"/>
    <w:rsid w:val="37CEF153"/>
    <w:rsid w:val="37F2A5A3"/>
    <w:rsid w:val="380BDFC2"/>
    <w:rsid w:val="3810188B"/>
    <w:rsid w:val="3812F0BE"/>
    <w:rsid w:val="38292294"/>
    <w:rsid w:val="38335674"/>
    <w:rsid w:val="3855F62B"/>
    <w:rsid w:val="38DD26F7"/>
    <w:rsid w:val="38F678C2"/>
    <w:rsid w:val="3910CBCA"/>
    <w:rsid w:val="39234909"/>
    <w:rsid w:val="393B4969"/>
    <w:rsid w:val="395ACA7A"/>
    <w:rsid w:val="3977E1F0"/>
    <w:rsid w:val="39A72306"/>
    <w:rsid w:val="39C9DAAE"/>
    <w:rsid w:val="39F26418"/>
    <w:rsid w:val="3A58F19C"/>
    <w:rsid w:val="3A649D80"/>
    <w:rsid w:val="3A95D59A"/>
    <w:rsid w:val="3AE309CB"/>
    <w:rsid w:val="3B2411A2"/>
    <w:rsid w:val="3B3AA13A"/>
    <w:rsid w:val="3B4D0B01"/>
    <w:rsid w:val="3B58BCD1"/>
    <w:rsid w:val="3B655802"/>
    <w:rsid w:val="3B66E006"/>
    <w:rsid w:val="3B7B0F5B"/>
    <w:rsid w:val="3BB04DEB"/>
    <w:rsid w:val="3BB4549D"/>
    <w:rsid w:val="3BB7C2CB"/>
    <w:rsid w:val="3BBE81EB"/>
    <w:rsid w:val="3BC09309"/>
    <w:rsid w:val="3BD048FC"/>
    <w:rsid w:val="3BD7C657"/>
    <w:rsid w:val="3BE10350"/>
    <w:rsid w:val="3BEF4AE1"/>
    <w:rsid w:val="3C135202"/>
    <w:rsid w:val="3C152ABD"/>
    <w:rsid w:val="3C69D5BB"/>
    <w:rsid w:val="3C82E823"/>
    <w:rsid w:val="3C9AFBC9"/>
    <w:rsid w:val="3C9F3FD9"/>
    <w:rsid w:val="3CB7F7FC"/>
    <w:rsid w:val="3CD6DE4B"/>
    <w:rsid w:val="3D065817"/>
    <w:rsid w:val="3D1EA66C"/>
    <w:rsid w:val="3D3FF8BD"/>
    <w:rsid w:val="3D4F96E7"/>
    <w:rsid w:val="3D5F094B"/>
    <w:rsid w:val="3D6AB47C"/>
    <w:rsid w:val="3D722EA1"/>
    <w:rsid w:val="3D81E535"/>
    <w:rsid w:val="3D86C5B4"/>
    <w:rsid w:val="3D890D30"/>
    <w:rsid w:val="3D914B1D"/>
    <w:rsid w:val="3D9384A2"/>
    <w:rsid w:val="3D9DDD21"/>
    <w:rsid w:val="3DFCFD9F"/>
    <w:rsid w:val="3E0B6DF7"/>
    <w:rsid w:val="3E3355FB"/>
    <w:rsid w:val="3E3504B6"/>
    <w:rsid w:val="3E6BEAA5"/>
    <w:rsid w:val="3E6BF3A0"/>
    <w:rsid w:val="3E729709"/>
    <w:rsid w:val="3E8B5C1A"/>
    <w:rsid w:val="3EBCA112"/>
    <w:rsid w:val="3ED05B7D"/>
    <w:rsid w:val="3F56B500"/>
    <w:rsid w:val="3F642D74"/>
    <w:rsid w:val="3FA75C66"/>
    <w:rsid w:val="3FB6375E"/>
    <w:rsid w:val="3FB8A4DD"/>
    <w:rsid w:val="3FC2F54B"/>
    <w:rsid w:val="3FDFC94C"/>
    <w:rsid w:val="4022F7B2"/>
    <w:rsid w:val="406C3401"/>
    <w:rsid w:val="40B6DEC2"/>
    <w:rsid w:val="40BC3D8C"/>
    <w:rsid w:val="40D06829"/>
    <w:rsid w:val="40F980A5"/>
    <w:rsid w:val="41088097"/>
    <w:rsid w:val="4108832D"/>
    <w:rsid w:val="41256CDA"/>
    <w:rsid w:val="4162DB31"/>
    <w:rsid w:val="4184D079"/>
    <w:rsid w:val="41A9407A"/>
    <w:rsid w:val="420916E5"/>
    <w:rsid w:val="422733E4"/>
    <w:rsid w:val="42441EC6"/>
    <w:rsid w:val="42B0A38D"/>
    <w:rsid w:val="42DAED7E"/>
    <w:rsid w:val="42F13D29"/>
    <w:rsid w:val="42F97DD1"/>
    <w:rsid w:val="430B33BB"/>
    <w:rsid w:val="43A96CA9"/>
    <w:rsid w:val="43CD72C2"/>
    <w:rsid w:val="443858D8"/>
    <w:rsid w:val="443C3B6C"/>
    <w:rsid w:val="447A652B"/>
    <w:rsid w:val="449E6DEE"/>
    <w:rsid w:val="44A0916E"/>
    <w:rsid w:val="4509F90E"/>
    <w:rsid w:val="451084D3"/>
    <w:rsid w:val="451B956F"/>
    <w:rsid w:val="45268590"/>
    <w:rsid w:val="452923E5"/>
    <w:rsid w:val="452E99CB"/>
    <w:rsid w:val="4534C32A"/>
    <w:rsid w:val="453A9875"/>
    <w:rsid w:val="458AF2AF"/>
    <w:rsid w:val="459FC7CC"/>
    <w:rsid w:val="45D21FCE"/>
    <w:rsid w:val="45D94AD5"/>
    <w:rsid w:val="4602E7DC"/>
    <w:rsid w:val="46143707"/>
    <w:rsid w:val="46936541"/>
    <w:rsid w:val="46C37646"/>
    <w:rsid w:val="46ED51DF"/>
    <w:rsid w:val="473048A4"/>
    <w:rsid w:val="4792F50A"/>
    <w:rsid w:val="47C7C723"/>
    <w:rsid w:val="47CF605E"/>
    <w:rsid w:val="47CFCC9D"/>
    <w:rsid w:val="47D2E47D"/>
    <w:rsid w:val="480B80C1"/>
    <w:rsid w:val="48182098"/>
    <w:rsid w:val="483E5AD3"/>
    <w:rsid w:val="4844C5E7"/>
    <w:rsid w:val="4847F066"/>
    <w:rsid w:val="48616EB5"/>
    <w:rsid w:val="489539EA"/>
    <w:rsid w:val="491BB019"/>
    <w:rsid w:val="493CFB5B"/>
    <w:rsid w:val="497A9BB3"/>
    <w:rsid w:val="4996FFC0"/>
    <w:rsid w:val="49A922BD"/>
    <w:rsid w:val="49B0CE61"/>
    <w:rsid w:val="49DC63DD"/>
    <w:rsid w:val="4A377FDE"/>
    <w:rsid w:val="4A544A6F"/>
    <w:rsid w:val="4AB8989C"/>
    <w:rsid w:val="4AC52446"/>
    <w:rsid w:val="4B23055F"/>
    <w:rsid w:val="4B23938F"/>
    <w:rsid w:val="4B453D54"/>
    <w:rsid w:val="4B4F13F6"/>
    <w:rsid w:val="4B542B5F"/>
    <w:rsid w:val="4B558BE5"/>
    <w:rsid w:val="4B5AE8BA"/>
    <w:rsid w:val="4B610A37"/>
    <w:rsid w:val="4BA3F810"/>
    <w:rsid w:val="4C058C7F"/>
    <w:rsid w:val="4C26B721"/>
    <w:rsid w:val="4C78F140"/>
    <w:rsid w:val="4C95239C"/>
    <w:rsid w:val="4C9958F7"/>
    <w:rsid w:val="4CA84315"/>
    <w:rsid w:val="4CAD14FA"/>
    <w:rsid w:val="4CB6B773"/>
    <w:rsid w:val="4CD3C125"/>
    <w:rsid w:val="4CD5BB32"/>
    <w:rsid w:val="4CE77682"/>
    <w:rsid w:val="4CF38CEA"/>
    <w:rsid w:val="4CF3D66C"/>
    <w:rsid w:val="4CF74FBD"/>
    <w:rsid w:val="4D02850F"/>
    <w:rsid w:val="4D11F30D"/>
    <w:rsid w:val="4D3125B2"/>
    <w:rsid w:val="4D3A63EB"/>
    <w:rsid w:val="4D54A596"/>
    <w:rsid w:val="4DB4AE79"/>
    <w:rsid w:val="4DBC350E"/>
    <w:rsid w:val="4DD2FF25"/>
    <w:rsid w:val="4E228228"/>
    <w:rsid w:val="4E445B5F"/>
    <w:rsid w:val="4E8FB641"/>
    <w:rsid w:val="4EBEE0EF"/>
    <w:rsid w:val="4EC1EED2"/>
    <w:rsid w:val="4ECE5282"/>
    <w:rsid w:val="4F17E34A"/>
    <w:rsid w:val="4F391899"/>
    <w:rsid w:val="4F5CE230"/>
    <w:rsid w:val="4F5D1FDF"/>
    <w:rsid w:val="4F66645F"/>
    <w:rsid w:val="4F726B2E"/>
    <w:rsid w:val="4F79EC97"/>
    <w:rsid w:val="4F93724D"/>
    <w:rsid w:val="4F97D67F"/>
    <w:rsid w:val="4FC13EC2"/>
    <w:rsid w:val="4FE23069"/>
    <w:rsid w:val="4FE79BFD"/>
    <w:rsid w:val="50153883"/>
    <w:rsid w:val="502EF21B"/>
    <w:rsid w:val="50710CF9"/>
    <w:rsid w:val="509CBD0D"/>
    <w:rsid w:val="50B31CBC"/>
    <w:rsid w:val="50E66196"/>
    <w:rsid w:val="510133EC"/>
    <w:rsid w:val="51033D8F"/>
    <w:rsid w:val="510779C5"/>
    <w:rsid w:val="51228C39"/>
    <w:rsid w:val="51416D04"/>
    <w:rsid w:val="51454A30"/>
    <w:rsid w:val="515711E7"/>
    <w:rsid w:val="51660244"/>
    <w:rsid w:val="51855389"/>
    <w:rsid w:val="518C560B"/>
    <w:rsid w:val="51E20BF0"/>
    <w:rsid w:val="521152D1"/>
    <w:rsid w:val="52331BD0"/>
    <w:rsid w:val="523854E8"/>
    <w:rsid w:val="52515530"/>
    <w:rsid w:val="529C217C"/>
    <w:rsid w:val="52A46E80"/>
    <w:rsid w:val="52BB1CAF"/>
    <w:rsid w:val="52E85A9D"/>
    <w:rsid w:val="52EC115F"/>
    <w:rsid w:val="52FAC3C9"/>
    <w:rsid w:val="5376C43E"/>
    <w:rsid w:val="53880995"/>
    <w:rsid w:val="5394BE89"/>
    <w:rsid w:val="53B1B99A"/>
    <w:rsid w:val="53B251AB"/>
    <w:rsid w:val="53CAC0EA"/>
    <w:rsid w:val="542229DB"/>
    <w:rsid w:val="545B2DBD"/>
    <w:rsid w:val="545B450D"/>
    <w:rsid w:val="5462B1DF"/>
    <w:rsid w:val="5469FBC1"/>
    <w:rsid w:val="54FB65F0"/>
    <w:rsid w:val="551165BF"/>
    <w:rsid w:val="556C257F"/>
    <w:rsid w:val="55922D67"/>
    <w:rsid w:val="55E8FDC4"/>
    <w:rsid w:val="5610AD0A"/>
    <w:rsid w:val="561C0830"/>
    <w:rsid w:val="561CA6CD"/>
    <w:rsid w:val="56247553"/>
    <w:rsid w:val="56739F9D"/>
    <w:rsid w:val="56769C80"/>
    <w:rsid w:val="56B87E0A"/>
    <w:rsid w:val="56D77282"/>
    <w:rsid w:val="56F8FC83"/>
    <w:rsid w:val="571B726E"/>
    <w:rsid w:val="572697B8"/>
    <w:rsid w:val="5726BC27"/>
    <w:rsid w:val="5752EADB"/>
    <w:rsid w:val="57D79963"/>
    <w:rsid w:val="58098816"/>
    <w:rsid w:val="58242D14"/>
    <w:rsid w:val="58320583"/>
    <w:rsid w:val="584BEAB9"/>
    <w:rsid w:val="584FE96C"/>
    <w:rsid w:val="5870FC84"/>
    <w:rsid w:val="58954DF1"/>
    <w:rsid w:val="58A1D50A"/>
    <w:rsid w:val="58BA121A"/>
    <w:rsid w:val="592D0053"/>
    <w:rsid w:val="596E470C"/>
    <w:rsid w:val="59C97F98"/>
    <w:rsid w:val="59E5A4AD"/>
    <w:rsid w:val="5A478254"/>
    <w:rsid w:val="5A5D9E86"/>
    <w:rsid w:val="5A601691"/>
    <w:rsid w:val="5A6094D6"/>
    <w:rsid w:val="5A69B15F"/>
    <w:rsid w:val="5A85B5EA"/>
    <w:rsid w:val="5AA113F6"/>
    <w:rsid w:val="5AA24416"/>
    <w:rsid w:val="5AA615E4"/>
    <w:rsid w:val="5AC80D54"/>
    <w:rsid w:val="5ADCF9A4"/>
    <w:rsid w:val="5AF2488A"/>
    <w:rsid w:val="5B058ECA"/>
    <w:rsid w:val="5B08F49E"/>
    <w:rsid w:val="5B0F163B"/>
    <w:rsid w:val="5B19CC92"/>
    <w:rsid w:val="5B2191AC"/>
    <w:rsid w:val="5B423CAB"/>
    <w:rsid w:val="5BB0F815"/>
    <w:rsid w:val="5BDFFC53"/>
    <w:rsid w:val="5C26CFB0"/>
    <w:rsid w:val="5C31A947"/>
    <w:rsid w:val="5C3AF36C"/>
    <w:rsid w:val="5C58A59C"/>
    <w:rsid w:val="5C60E948"/>
    <w:rsid w:val="5C71005F"/>
    <w:rsid w:val="5C78335C"/>
    <w:rsid w:val="5CA0A9F0"/>
    <w:rsid w:val="5CD618E9"/>
    <w:rsid w:val="5CEF53D2"/>
    <w:rsid w:val="5D2C23B5"/>
    <w:rsid w:val="5D6C5C6E"/>
    <w:rsid w:val="5DB7AB8B"/>
    <w:rsid w:val="5E03AB64"/>
    <w:rsid w:val="5E29E51F"/>
    <w:rsid w:val="5E550A86"/>
    <w:rsid w:val="5E84006D"/>
    <w:rsid w:val="5E8A705F"/>
    <w:rsid w:val="5EB888DD"/>
    <w:rsid w:val="5EF1DE50"/>
    <w:rsid w:val="5F134825"/>
    <w:rsid w:val="5F4BEB82"/>
    <w:rsid w:val="5F8B9B24"/>
    <w:rsid w:val="5FAC3E2E"/>
    <w:rsid w:val="5FC78A9F"/>
    <w:rsid w:val="5FEC3C99"/>
    <w:rsid w:val="60002C0A"/>
    <w:rsid w:val="60239115"/>
    <w:rsid w:val="6077E23A"/>
    <w:rsid w:val="607CBDE6"/>
    <w:rsid w:val="60DF6EAA"/>
    <w:rsid w:val="60EF5422"/>
    <w:rsid w:val="60F594F4"/>
    <w:rsid w:val="6143E201"/>
    <w:rsid w:val="61769E97"/>
    <w:rsid w:val="61B08DF9"/>
    <w:rsid w:val="61DC85A8"/>
    <w:rsid w:val="61DE5541"/>
    <w:rsid w:val="61F5FC0B"/>
    <w:rsid w:val="61F6D632"/>
    <w:rsid w:val="61FF6A29"/>
    <w:rsid w:val="62068DDA"/>
    <w:rsid w:val="62123031"/>
    <w:rsid w:val="62ACA1A5"/>
    <w:rsid w:val="633D3C01"/>
    <w:rsid w:val="6349DCF5"/>
    <w:rsid w:val="63556342"/>
    <w:rsid w:val="635BA85D"/>
    <w:rsid w:val="636C6A88"/>
    <w:rsid w:val="6376A6AC"/>
    <w:rsid w:val="6382851C"/>
    <w:rsid w:val="638A8B98"/>
    <w:rsid w:val="63A4DBF8"/>
    <w:rsid w:val="63B74536"/>
    <w:rsid w:val="63C6FB8D"/>
    <w:rsid w:val="63CA2C3F"/>
    <w:rsid w:val="63D5B831"/>
    <w:rsid w:val="63FDD85A"/>
    <w:rsid w:val="63FE0D25"/>
    <w:rsid w:val="641D3DD6"/>
    <w:rsid w:val="642F27F6"/>
    <w:rsid w:val="645E8956"/>
    <w:rsid w:val="6482E117"/>
    <w:rsid w:val="64A01EF4"/>
    <w:rsid w:val="64C58567"/>
    <w:rsid w:val="64C69FA4"/>
    <w:rsid w:val="64D114AC"/>
    <w:rsid w:val="64D27331"/>
    <w:rsid w:val="64F543C5"/>
    <w:rsid w:val="6553882F"/>
    <w:rsid w:val="656D5A24"/>
    <w:rsid w:val="65787A69"/>
    <w:rsid w:val="65963B86"/>
    <w:rsid w:val="6597CFA6"/>
    <w:rsid w:val="65BF061C"/>
    <w:rsid w:val="65EEF131"/>
    <w:rsid w:val="65F97930"/>
    <w:rsid w:val="6601AECA"/>
    <w:rsid w:val="66743AB3"/>
    <w:rsid w:val="66765020"/>
    <w:rsid w:val="66D3F913"/>
    <w:rsid w:val="66FF5314"/>
    <w:rsid w:val="671DD120"/>
    <w:rsid w:val="67330ACA"/>
    <w:rsid w:val="6733A007"/>
    <w:rsid w:val="674D82A2"/>
    <w:rsid w:val="67512D76"/>
    <w:rsid w:val="676D0C8D"/>
    <w:rsid w:val="6776030D"/>
    <w:rsid w:val="6789F90B"/>
    <w:rsid w:val="679056D0"/>
    <w:rsid w:val="6796FFC2"/>
    <w:rsid w:val="67D456C8"/>
    <w:rsid w:val="6817EF4F"/>
    <w:rsid w:val="686421C0"/>
    <w:rsid w:val="686D49EC"/>
    <w:rsid w:val="6873D63A"/>
    <w:rsid w:val="68796A43"/>
    <w:rsid w:val="68BA5F84"/>
    <w:rsid w:val="6909854B"/>
    <w:rsid w:val="6956DC1A"/>
    <w:rsid w:val="696C9BF3"/>
    <w:rsid w:val="697659CD"/>
    <w:rsid w:val="699067CF"/>
    <w:rsid w:val="69B0FAE1"/>
    <w:rsid w:val="69CA5626"/>
    <w:rsid w:val="69E4D39F"/>
    <w:rsid w:val="69EFD6CE"/>
    <w:rsid w:val="6A0B649B"/>
    <w:rsid w:val="6A18E94F"/>
    <w:rsid w:val="6A2418FA"/>
    <w:rsid w:val="6A50FAE7"/>
    <w:rsid w:val="6A76F70A"/>
    <w:rsid w:val="6AC55957"/>
    <w:rsid w:val="6B01D8A9"/>
    <w:rsid w:val="6B4ABD62"/>
    <w:rsid w:val="6B605B25"/>
    <w:rsid w:val="6B7AE75D"/>
    <w:rsid w:val="6B81C16B"/>
    <w:rsid w:val="6C0EC04C"/>
    <w:rsid w:val="6C369DD9"/>
    <w:rsid w:val="6C4F39DF"/>
    <w:rsid w:val="6C5BAED0"/>
    <w:rsid w:val="6C7C57CE"/>
    <w:rsid w:val="6CAE6C13"/>
    <w:rsid w:val="6D0D6522"/>
    <w:rsid w:val="6D184989"/>
    <w:rsid w:val="6D185E8D"/>
    <w:rsid w:val="6D1B6C4B"/>
    <w:rsid w:val="6D26DF8F"/>
    <w:rsid w:val="6D44D249"/>
    <w:rsid w:val="6D4F8D6E"/>
    <w:rsid w:val="6D87CB19"/>
    <w:rsid w:val="6D90B782"/>
    <w:rsid w:val="6D999C31"/>
    <w:rsid w:val="6DAC2A28"/>
    <w:rsid w:val="6E1EB9CC"/>
    <w:rsid w:val="6E2526CA"/>
    <w:rsid w:val="6E489F69"/>
    <w:rsid w:val="6E7CFA1F"/>
    <w:rsid w:val="6EA54383"/>
    <w:rsid w:val="6EF50A47"/>
    <w:rsid w:val="6EF5C986"/>
    <w:rsid w:val="6F018E43"/>
    <w:rsid w:val="6F25A898"/>
    <w:rsid w:val="6F2F6F53"/>
    <w:rsid w:val="6F3354AE"/>
    <w:rsid w:val="6F405D76"/>
    <w:rsid w:val="6F7303F8"/>
    <w:rsid w:val="6F7BE293"/>
    <w:rsid w:val="6F9CD4A1"/>
    <w:rsid w:val="6FBAEA49"/>
    <w:rsid w:val="6FDA97AC"/>
    <w:rsid w:val="6FE89A69"/>
    <w:rsid w:val="7004BC1A"/>
    <w:rsid w:val="70793E7A"/>
    <w:rsid w:val="71808687"/>
    <w:rsid w:val="71919E41"/>
    <w:rsid w:val="71979F63"/>
    <w:rsid w:val="71A84804"/>
    <w:rsid w:val="71BF13BA"/>
    <w:rsid w:val="71C5A39C"/>
    <w:rsid w:val="71CBC88C"/>
    <w:rsid w:val="71E81C74"/>
    <w:rsid w:val="71FB6377"/>
    <w:rsid w:val="722BCB90"/>
    <w:rsid w:val="72414918"/>
    <w:rsid w:val="72780192"/>
    <w:rsid w:val="72C3E8E9"/>
    <w:rsid w:val="72DFC293"/>
    <w:rsid w:val="72E3A8F9"/>
    <w:rsid w:val="72FC78C0"/>
    <w:rsid w:val="730EA228"/>
    <w:rsid w:val="7329CA61"/>
    <w:rsid w:val="73554DFA"/>
    <w:rsid w:val="73613694"/>
    <w:rsid w:val="7368D3B4"/>
    <w:rsid w:val="7371B640"/>
    <w:rsid w:val="7376E3A6"/>
    <w:rsid w:val="7389B1F1"/>
    <w:rsid w:val="73999746"/>
    <w:rsid w:val="739B7643"/>
    <w:rsid w:val="73B18640"/>
    <w:rsid w:val="73E0BA46"/>
    <w:rsid w:val="73E6C545"/>
    <w:rsid w:val="73EE0729"/>
    <w:rsid w:val="7403D177"/>
    <w:rsid w:val="744514DE"/>
    <w:rsid w:val="744F53B6"/>
    <w:rsid w:val="7452482C"/>
    <w:rsid w:val="747491AE"/>
    <w:rsid w:val="74752BF4"/>
    <w:rsid w:val="74F4785A"/>
    <w:rsid w:val="755F4905"/>
    <w:rsid w:val="75A9847D"/>
    <w:rsid w:val="75B3E136"/>
    <w:rsid w:val="75D035C4"/>
    <w:rsid w:val="75E68322"/>
    <w:rsid w:val="75E742BA"/>
    <w:rsid w:val="762A1B53"/>
    <w:rsid w:val="764F69F8"/>
    <w:rsid w:val="76582B64"/>
    <w:rsid w:val="7669A763"/>
    <w:rsid w:val="76756500"/>
    <w:rsid w:val="767FB7A9"/>
    <w:rsid w:val="7692C1BD"/>
    <w:rsid w:val="7698AF8F"/>
    <w:rsid w:val="76B145DE"/>
    <w:rsid w:val="76CCB4FA"/>
    <w:rsid w:val="76DDB6E1"/>
    <w:rsid w:val="7707B6B5"/>
    <w:rsid w:val="7716EA2D"/>
    <w:rsid w:val="773F8F8F"/>
    <w:rsid w:val="779FDAE4"/>
    <w:rsid w:val="77B219BC"/>
    <w:rsid w:val="77C0B3D7"/>
    <w:rsid w:val="77DE4392"/>
    <w:rsid w:val="7803DDFC"/>
    <w:rsid w:val="780A7239"/>
    <w:rsid w:val="7847065D"/>
    <w:rsid w:val="784AAD79"/>
    <w:rsid w:val="7876398B"/>
    <w:rsid w:val="78B463B9"/>
    <w:rsid w:val="78C26721"/>
    <w:rsid w:val="78CDC9E3"/>
    <w:rsid w:val="78D5557A"/>
    <w:rsid w:val="78E00403"/>
    <w:rsid w:val="7938F8D9"/>
    <w:rsid w:val="79B0C386"/>
    <w:rsid w:val="7A009B89"/>
    <w:rsid w:val="7A0DBF5C"/>
    <w:rsid w:val="7A0ECD89"/>
    <w:rsid w:val="7A2493E7"/>
    <w:rsid w:val="7A59EE9D"/>
    <w:rsid w:val="7A6837BF"/>
    <w:rsid w:val="7A74BE67"/>
    <w:rsid w:val="7A8546AF"/>
    <w:rsid w:val="7AA02A41"/>
    <w:rsid w:val="7AD4EB05"/>
    <w:rsid w:val="7B0403E6"/>
    <w:rsid w:val="7B16FD19"/>
    <w:rsid w:val="7B4B762B"/>
    <w:rsid w:val="7B55E35C"/>
    <w:rsid w:val="7B7A3891"/>
    <w:rsid w:val="7BA2AA2D"/>
    <w:rsid w:val="7BA7764A"/>
    <w:rsid w:val="7BAA4E73"/>
    <w:rsid w:val="7BCF2702"/>
    <w:rsid w:val="7BD6505F"/>
    <w:rsid w:val="7C0011DF"/>
    <w:rsid w:val="7C611CFE"/>
    <w:rsid w:val="7C827005"/>
    <w:rsid w:val="7C874B10"/>
    <w:rsid w:val="7C8870D5"/>
    <w:rsid w:val="7CC54014"/>
    <w:rsid w:val="7CD7FCCB"/>
    <w:rsid w:val="7CE2B84A"/>
    <w:rsid w:val="7CF7CF8A"/>
    <w:rsid w:val="7D002BC6"/>
    <w:rsid w:val="7D41EA45"/>
    <w:rsid w:val="7D64C71D"/>
    <w:rsid w:val="7D95E2AD"/>
    <w:rsid w:val="7D977593"/>
    <w:rsid w:val="7DA4FABB"/>
    <w:rsid w:val="7DAD8BFA"/>
    <w:rsid w:val="7DF45FFC"/>
    <w:rsid w:val="7E1B4FBF"/>
    <w:rsid w:val="7E39347B"/>
    <w:rsid w:val="7E39BC0C"/>
    <w:rsid w:val="7E39E102"/>
    <w:rsid w:val="7E573892"/>
    <w:rsid w:val="7E763B5E"/>
    <w:rsid w:val="7E968A3E"/>
    <w:rsid w:val="7EBA111F"/>
    <w:rsid w:val="7ED7CD79"/>
    <w:rsid w:val="7EF6AB49"/>
    <w:rsid w:val="7F09B720"/>
    <w:rsid w:val="7F45552B"/>
    <w:rsid w:val="7F61A611"/>
    <w:rsid w:val="7F874763"/>
    <w:rsid w:val="7FADFDA1"/>
    <w:rsid w:val="7FAE259D"/>
    <w:rsid w:val="7FB76AE8"/>
    <w:rsid w:val="7FD59BFD"/>
    <w:rsid w:val="7FDEACF8"/>
    <w:rsid w:val="7FEE5CAC"/>
    <w:rsid w:val="7FFBC6B5"/>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7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9B5E9A"/>
    <w:pPr>
      <w:spacing w:after="200"/>
    </w:pPr>
  </w:style>
  <w:style w:type="paragraph" w:styleId="Heading1">
    <w:name w:val="heading 1"/>
    <w:aliases w:val="CER Heading 1"/>
    <w:basedOn w:val="Contents"/>
    <w:next w:val="Heading2"/>
    <w:link w:val="Heading1Char"/>
    <w:uiPriority w:val="9"/>
    <w:qFormat/>
    <w:rsid w:val="009B5E9A"/>
    <w:pPr>
      <w:numPr>
        <w:numId w:val="4"/>
      </w:numPr>
      <w:spacing w:before="360" w:after="120"/>
      <w:outlineLvl w:val="0"/>
    </w:pPr>
    <w:rPr>
      <w:b/>
      <w:bCs/>
      <w:color w:val="auto"/>
    </w:rPr>
  </w:style>
  <w:style w:type="paragraph" w:styleId="Heading2">
    <w:name w:val="heading 2"/>
    <w:aliases w:val="CER Heading 2"/>
    <w:basedOn w:val="Normal"/>
    <w:next w:val="Normal"/>
    <w:link w:val="Heading2Char"/>
    <w:uiPriority w:val="9"/>
    <w:qFormat/>
    <w:rsid w:val="00435650"/>
    <w:pPr>
      <w:keepNext/>
      <w:keepLines/>
      <w:numPr>
        <w:ilvl w:val="1"/>
        <w:numId w:val="4"/>
      </w:numPr>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9"/>
    <w:qFormat/>
    <w:rsid w:val="005C0A94"/>
    <w:pPr>
      <w:keepNext/>
      <w:keepLines/>
      <w:numPr>
        <w:ilvl w:val="2"/>
        <w:numId w:val="4"/>
      </w:numPr>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9"/>
    <w:unhideWhenUsed/>
    <w:qFormat/>
    <w:rsid w:val="005C0A94"/>
    <w:pPr>
      <w:keepNext/>
      <w:numPr>
        <w:ilvl w:val="3"/>
        <w:numId w:val="4"/>
      </w:numPr>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numPr>
        <w:ilvl w:val="4"/>
        <w:numId w:val="4"/>
      </w:numPr>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numPr>
        <w:ilvl w:val="5"/>
        <w:numId w:val="4"/>
      </w:numPr>
      <w:tabs>
        <w:tab w:val="left" w:pos="1633"/>
      </w:tabs>
      <w:spacing w:before="240"/>
      <w:outlineLvl w:val="5"/>
    </w:pPr>
    <w:rPr>
      <w:rFonts w:eastAsiaTheme="minorEastAsia" w:cstheme="minorBidi"/>
      <w:b/>
      <w:bCs/>
      <w:sz w:val="21"/>
    </w:rPr>
  </w:style>
  <w:style w:type="paragraph" w:styleId="Heading7">
    <w:name w:val="heading 7"/>
    <w:basedOn w:val="Normal"/>
    <w:next w:val="Normal"/>
    <w:link w:val="Heading7Char"/>
    <w:uiPriority w:val="99"/>
    <w:unhideWhenUsed/>
    <w:rsid w:val="00521016"/>
    <w:pPr>
      <w:keepNext/>
      <w:keepLines/>
      <w:numPr>
        <w:ilvl w:val="6"/>
        <w:numId w:val="4"/>
      </w:numPr>
      <w:spacing w:before="200" w:after="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9"/>
    <w:semiHidden/>
    <w:unhideWhenUsed/>
    <w:qFormat/>
    <w:rsid w:val="005A796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5A796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9"/>
    <w:rsid w:val="00435650"/>
    <w:rPr>
      <w:rFonts w:asciiTheme="majorHAnsi" w:eastAsia="Times New Roman" w:hAnsiTheme="majorHAnsi" w:cstheme="minorHAnsi"/>
      <w:b/>
      <w:bCs/>
      <w:sz w:val="32"/>
      <w:szCs w:val="32"/>
      <w:lang w:eastAsia="en-US"/>
    </w:rPr>
  </w:style>
  <w:style w:type="character" w:customStyle="1" w:styleId="Heading1Char">
    <w:name w:val="Heading 1 Char"/>
    <w:aliases w:val="CER Heading 1 Char"/>
    <w:basedOn w:val="DefaultParagraphFont"/>
    <w:link w:val="Heading1"/>
    <w:uiPriority w:val="9"/>
    <w:rsid w:val="009B5E9A"/>
    <w:rPr>
      <w:rFonts w:ascii="Calibri" w:eastAsia="Times New Roman" w:hAnsi="Calibri" w:cs="Calibri"/>
      <w:b/>
      <w:bCs/>
      <w:kern w:val="32"/>
      <w:sz w:val="40"/>
      <w:szCs w:val="24"/>
      <w:lang w:eastAsia="en-US"/>
    </w:rPr>
  </w:style>
  <w:style w:type="character" w:customStyle="1" w:styleId="Heading3Char">
    <w:name w:val="Heading 3 Char"/>
    <w:aliases w:val="CER Heading 3 Char"/>
    <w:basedOn w:val="DefaultParagraphFont"/>
    <w:link w:val="Heading3"/>
    <w:uiPriority w:val="9"/>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9"/>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Theme="minorHAnsi" w:eastAsiaTheme="minorEastAsia" w:hAnsiTheme="minorHAnsi" w:cstheme="minorBidi"/>
      <w:b/>
      <w:bCs/>
      <w:color w:val="000000" w:themeColor="text1"/>
      <w:sz w:val="21"/>
      <w:szCs w:val="22"/>
      <w:lang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style>
  <w:style w:type="character" w:customStyle="1" w:styleId="CERbulletsChar">
    <w:name w:val="CER bullets Char"/>
    <w:basedOn w:val="DefaultParagraphFont"/>
    <w:link w:val="CERbullets"/>
    <w:uiPriority w:val="7"/>
    <w:rsid w:val="004458B4"/>
  </w:style>
  <w:style w:type="table" w:customStyle="1" w:styleId="CERTable">
    <w:name w:val="CER Table"/>
    <w:basedOn w:val="TableNormal"/>
    <w:uiPriority w:val="99"/>
    <w:rsid w:val="004458B4"/>
    <w:pPr>
      <w:spacing w:before="120"/>
    </w:pPr>
    <w:rPr>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95267A"/>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241741"/>
    <w:pPr>
      <w:numPr>
        <w:numId w:val="2"/>
      </w:numPr>
      <w:tabs>
        <w:tab w:val="num" w:pos="360"/>
      </w:tabs>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241741"/>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73B24"/>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C00A0F"/>
    <w:pPr>
      <w:tabs>
        <w:tab w:val="left" w:pos="880"/>
        <w:tab w:val="right" w:leader="dot" w:pos="10450"/>
      </w:tabs>
      <w:spacing w:before="180" w:after="180"/>
      <w:ind w:left="221"/>
    </w:pPr>
    <w:rPr>
      <w:sz w:val="20"/>
      <w:szCs w:val="20"/>
    </w:rPr>
  </w:style>
  <w:style w:type="paragraph" w:styleId="TOC1">
    <w:name w:val="toc 1"/>
    <w:basedOn w:val="Normal"/>
    <w:next w:val="Normal"/>
    <w:autoRedefine/>
    <w:uiPriority w:val="39"/>
    <w:unhideWhenUsed/>
    <w:rsid w:val="00A86BA2"/>
    <w:pPr>
      <w:tabs>
        <w:tab w:val="left" w:pos="880"/>
        <w:tab w:val="right" w:leader="dot" w:pos="10450"/>
      </w:tabs>
      <w:spacing w:before="180" w:after="180"/>
    </w:pPr>
    <w:rPr>
      <w:b/>
      <w:bCs/>
      <w:sz w:val="20"/>
      <w:szCs w:val="20"/>
    </w:rPr>
  </w:style>
  <w:style w:type="paragraph" w:styleId="TOC3">
    <w:name w:val="toc 3"/>
    <w:basedOn w:val="Normal"/>
    <w:next w:val="Normal"/>
    <w:autoRedefine/>
    <w:uiPriority w:val="39"/>
    <w:unhideWhenUsed/>
    <w:rsid w:val="00BC7AB5"/>
    <w:pPr>
      <w:spacing w:after="0"/>
      <w:ind w:left="440"/>
    </w:pPr>
    <w:rPr>
      <w:i/>
      <w:iCs/>
      <w:sz w:val="20"/>
      <w:szCs w:val="20"/>
    </w:rPr>
  </w:style>
  <w:style w:type="paragraph" w:styleId="TOC4">
    <w:name w:val="toc 4"/>
    <w:basedOn w:val="Normal"/>
    <w:next w:val="Normal"/>
    <w:autoRedefine/>
    <w:uiPriority w:val="39"/>
    <w:unhideWhenUsed/>
    <w:rsid w:val="00EB7F5F"/>
    <w:pPr>
      <w:spacing w:after="0"/>
      <w:ind w:left="660"/>
    </w:pPr>
    <w:rPr>
      <w:sz w:val="18"/>
      <w:szCs w:val="18"/>
    </w:r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eastAsia="Times New Roman"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sz w:val="24"/>
    </w:r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AE64F4"/>
    <w:pPr>
      <w:spacing w:after="160" w:line="259" w:lineRule="auto"/>
      <w:ind w:left="720"/>
      <w:contextualSpacing/>
    </w:pPr>
    <w:rPr>
      <w:rFonts w:eastAsiaTheme="minorHAnsi" w:cstheme="minorBidi"/>
    </w:rPr>
  </w:style>
  <w:style w:type="character" w:styleId="CommentReference">
    <w:name w:val="annotation reference"/>
    <w:basedOn w:val="DefaultParagraphFont"/>
    <w:uiPriority w:val="99"/>
    <w:semiHidden/>
    <w:unhideWhenUsed/>
    <w:rsid w:val="00AE64F4"/>
    <w:rPr>
      <w:sz w:val="16"/>
      <w:szCs w:val="16"/>
    </w:rPr>
  </w:style>
  <w:style w:type="paragraph" w:styleId="CommentText">
    <w:name w:val="annotation text"/>
    <w:basedOn w:val="Normal"/>
    <w:link w:val="CommentTextChar"/>
    <w:uiPriority w:val="99"/>
    <w:unhideWhenUsed/>
    <w:rsid w:val="00AE64F4"/>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AE64F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E64F4"/>
    <w:rPr>
      <w:b/>
      <w:bCs/>
    </w:rPr>
  </w:style>
  <w:style w:type="character" w:customStyle="1" w:styleId="CommentSubjectChar">
    <w:name w:val="Comment Subject Char"/>
    <w:basedOn w:val="CommentTextChar"/>
    <w:link w:val="CommentSubject"/>
    <w:uiPriority w:val="99"/>
    <w:semiHidden/>
    <w:rsid w:val="00AE64F4"/>
    <w:rPr>
      <w:rFonts w:asciiTheme="minorHAnsi" w:eastAsiaTheme="minorHAnsi" w:hAnsiTheme="minorHAnsi" w:cstheme="minorBidi"/>
      <w:b/>
      <w:bCs/>
      <w:lang w:eastAsia="en-US"/>
    </w:rPr>
  </w:style>
  <w:style w:type="paragraph" w:styleId="Revision">
    <w:name w:val="Revision"/>
    <w:hidden/>
    <w:uiPriority w:val="99"/>
    <w:semiHidden/>
    <w:rsid w:val="00AE64F4"/>
    <w:rPr>
      <w:rFonts w:asciiTheme="minorHAnsi" w:eastAsiaTheme="minorHAnsi" w:hAnsiTheme="minorHAnsi" w:cstheme="minorBidi"/>
      <w:lang w:eastAsia="en-US"/>
    </w:rPr>
  </w:style>
  <w:style w:type="paragraph" w:styleId="FootnoteText">
    <w:name w:val="footnote text"/>
    <w:basedOn w:val="Normal"/>
    <w:link w:val="FootnoteTextChar"/>
    <w:uiPriority w:val="99"/>
    <w:unhideWhenUsed/>
    <w:rsid w:val="00AE64F4"/>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AE64F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AE64F4"/>
    <w:rPr>
      <w:vertAlign w:val="superscript"/>
    </w:rPr>
  </w:style>
  <w:style w:type="character" w:styleId="UnresolvedMention">
    <w:name w:val="Unresolved Mention"/>
    <w:basedOn w:val="DefaultParagraphFont"/>
    <w:uiPriority w:val="99"/>
    <w:semiHidden/>
    <w:unhideWhenUsed/>
    <w:rsid w:val="004469B4"/>
    <w:rPr>
      <w:color w:val="605E5C"/>
      <w:shd w:val="clear" w:color="auto" w:fill="E1DFDD"/>
    </w:rPr>
  </w:style>
  <w:style w:type="paragraph" w:styleId="TOCHeading">
    <w:name w:val="TOC Heading"/>
    <w:basedOn w:val="Heading1"/>
    <w:next w:val="Normal"/>
    <w:uiPriority w:val="39"/>
    <w:unhideWhenUsed/>
    <w:qFormat/>
    <w:rsid w:val="00D63186"/>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TOC5">
    <w:name w:val="toc 5"/>
    <w:basedOn w:val="Normal"/>
    <w:next w:val="Normal"/>
    <w:autoRedefine/>
    <w:uiPriority w:val="39"/>
    <w:unhideWhenUsed/>
    <w:rsid w:val="00D63186"/>
    <w:pPr>
      <w:spacing w:after="0"/>
      <w:ind w:left="880"/>
    </w:pPr>
    <w:rPr>
      <w:sz w:val="18"/>
      <w:szCs w:val="18"/>
    </w:rPr>
  </w:style>
  <w:style w:type="paragraph" w:styleId="TOC6">
    <w:name w:val="toc 6"/>
    <w:basedOn w:val="Normal"/>
    <w:next w:val="Normal"/>
    <w:autoRedefine/>
    <w:uiPriority w:val="39"/>
    <w:unhideWhenUsed/>
    <w:rsid w:val="00D63186"/>
    <w:pPr>
      <w:spacing w:after="0"/>
      <w:ind w:left="1100"/>
    </w:pPr>
    <w:rPr>
      <w:sz w:val="18"/>
      <w:szCs w:val="18"/>
    </w:rPr>
  </w:style>
  <w:style w:type="paragraph" w:styleId="TOC7">
    <w:name w:val="toc 7"/>
    <w:basedOn w:val="Normal"/>
    <w:next w:val="Normal"/>
    <w:autoRedefine/>
    <w:uiPriority w:val="39"/>
    <w:unhideWhenUsed/>
    <w:rsid w:val="00D63186"/>
    <w:pPr>
      <w:spacing w:after="0"/>
      <w:ind w:left="1320"/>
    </w:pPr>
    <w:rPr>
      <w:sz w:val="18"/>
      <w:szCs w:val="18"/>
    </w:rPr>
  </w:style>
  <w:style w:type="paragraph" w:styleId="TOC8">
    <w:name w:val="toc 8"/>
    <w:basedOn w:val="Normal"/>
    <w:next w:val="Normal"/>
    <w:autoRedefine/>
    <w:uiPriority w:val="39"/>
    <w:unhideWhenUsed/>
    <w:rsid w:val="00D63186"/>
    <w:pPr>
      <w:spacing w:after="0"/>
      <w:ind w:left="1540"/>
    </w:pPr>
    <w:rPr>
      <w:sz w:val="18"/>
      <w:szCs w:val="18"/>
    </w:rPr>
  </w:style>
  <w:style w:type="paragraph" w:styleId="TOC9">
    <w:name w:val="toc 9"/>
    <w:basedOn w:val="Normal"/>
    <w:next w:val="Normal"/>
    <w:autoRedefine/>
    <w:uiPriority w:val="39"/>
    <w:unhideWhenUsed/>
    <w:rsid w:val="00D63186"/>
    <w:pPr>
      <w:spacing w:after="0"/>
      <w:ind w:left="1760"/>
    </w:pPr>
    <w:rPr>
      <w:sz w:val="18"/>
      <w:szCs w:val="18"/>
    </w:rPr>
  </w:style>
  <w:style w:type="character" w:styleId="Mention">
    <w:name w:val="Mention"/>
    <w:basedOn w:val="DefaultParagraphFont"/>
    <w:uiPriority w:val="99"/>
    <w:unhideWhenUsed/>
    <w:rsid w:val="00CE4E95"/>
    <w:rPr>
      <w:color w:val="2B579A"/>
      <w:shd w:val="clear" w:color="auto" w:fill="E1DFDD"/>
    </w:rPr>
  </w:style>
  <w:style w:type="paragraph" w:customStyle="1" w:styleId="Default">
    <w:name w:val="Default"/>
    <w:rsid w:val="00695FE4"/>
    <w:pPr>
      <w:autoSpaceDE w:val="0"/>
      <w:autoSpaceDN w:val="0"/>
      <w:adjustRightInd w:val="0"/>
    </w:pPr>
    <w:rPr>
      <w:rFonts w:cs="Calibri"/>
      <w:color w:val="000000"/>
      <w:sz w:val="24"/>
      <w:szCs w:val="24"/>
    </w:rPr>
  </w:style>
  <w:style w:type="paragraph" w:customStyle="1" w:styleId="subsection">
    <w:name w:val="subsection"/>
    <w:aliases w:val="ss,t_Main,Subsection"/>
    <w:basedOn w:val="Normal"/>
    <w:link w:val="subsectionChar"/>
    <w:qFormat/>
    <w:rsid w:val="002D64B3"/>
    <w:pPr>
      <w:tabs>
        <w:tab w:val="right" w:pos="1021"/>
      </w:tabs>
      <w:spacing w:before="180" w:after="0"/>
      <w:ind w:left="1134" w:hanging="1134"/>
    </w:pPr>
    <w:rPr>
      <w:rFonts w:ascii="Times New Roman" w:eastAsia="Times New Roman" w:hAnsi="Times New Roman"/>
      <w:szCs w:val="20"/>
    </w:rPr>
  </w:style>
  <w:style w:type="paragraph" w:customStyle="1" w:styleId="paragraph">
    <w:name w:val="paragraph"/>
    <w:aliases w:val="a,t_Para"/>
    <w:basedOn w:val="Normal"/>
    <w:link w:val="paragraphChar"/>
    <w:qFormat/>
    <w:rsid w:val="002D64B3"/>
    <w:pPr>
      <w:tabs>
        <w:tab w:val="right" w:pos="1531"/>
      </w:tabs>
      <w:spacing w:before="40" w:after="0"/>
      <w:ind w:left="1644" w:hanging="1644"/>
    </w:pPr>
    <w:rPr>
      <w:rFonts w:ascii="Times New Roman" w:eastAsia="Times New Roman" w:hAnsi="Times New Roman"/>
      <w:szCs w:val="20"/>
    </w:rPr>
  </w:style>
  <w:style w:type="character" w:customStyle="1" w:styleId="subsectionChar">
    <w:name w:val="subsection Char"/>
    <w:aliases w:val="ss Char"/>
    <w:basedOn w:val="DefaultParagraphFont"/>
    <w:link w:val="subsection"/>
    <w:locked/>
    <w:rsid w:val="002D64B3"/>
    <w:rPr>
      <w:rFonts w:ascii="Times New Roman" w:eastAsia="Times New Roman" w:hAnsi="Times New Roman"/>
      <w:sz w:val="22"/>
    </w:rPr>
  </w:style>
  <w:style w:type="character" w:customStyle="1" w:styleId="paragraphChar">
    <w:name w:val="paragraph Char"/>
    <w:aliases w:val="a Char"/>
    <w:link w:val="paragraph"/>
    <w:rsid w:val="002D64B3"/>
    <w:rPr>
      <w:rFonts w:ascii="Times New Roman" w:eastAsia="Times New Roman" w:hAnsi="Times New Roman"/>
      <w:sz w:val="22"/>
    </w:rPr>
  </w:style>
  <w:style w:type="paragraph" w:customStyle="1" w:styleId="SubsectionHead">
    <w:name w:val="SubsectionHead"/>
    <w:aliases w:val="ssh"/>
    <w:basedOn w:val="Normal"/>
    <w:next w:val="subsection"/>
    <w:rsid w:val="009F4932"/>
    <w:pPr>
      <w:keepNext/>
      <w:keepLines/>
      <w:spacing w:before="240" w:after="0"/>
      <w:ind w:left="1134"/>
    </w:pPr>
    <w:rPr>
      <w:rFonts w:ascii="Times New Roman" w:eastAsia="Times New Roman" w:hAnsi="Times New Roman"/>
      <w:i/>
      <w:szCs w:val="20"/>
    </w:rPr>
  </w:style>
  <w:style w:type="character" w:customStyle="1" w:styleId="normaltextrun">
    <w:name w:val="normaltextrun"/>
    <w:basedOn w:val="DefaultParagraphFont"/>
    <w:rsid w:val="00A55777"/>
  </w:style>
  <w:style w:type="character" w:customStyle="1" w:styleId="eop">
    <w:name w:val="eop"/>
    <w:basedOn w:val="DefaultParagraphFont"/>
    <w:rsid w:val="00A55777"/>
  </w:style>
  <w:style w:type="character" w:customStyle="1" w:styleId="cf01">
    <w:name w:val="cf01"/>
    <w:basedOn w:val="DefaultParagraphFont"/>
    <w:rsid w:val="00D24722"/>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6B5909"/>
    <w:rPr>
      <w:rFonts w:asciiTheme="minorHAnsi" w:eastAsiaTheme="minorHAnsi" w:hAnsiTheme="minorHAnsi" w:cstheme="minorBidi"/>
      <w:sz w:val="22"/>
      <w:szCs w:val="22"/>
      <w:lang w:eastAsia="en-US"/>
    </w:rPr>
  </w:style>
  <w:style w:type="paragraph" w:customStyle="1" w:styleId="acthead5">
    <w:name w:val="acthead5"/>
    <w:basedOn w:val="Normal"/>
    <w:rsid w:val="00AD02D9"/>
    <w:pPr>
      <w:spacing w:before="100" w:beforeAutospacing="1" w:after="100" w:afterAutospacing="1"/>
    </w:pPr>
    <w:rPr>
      <w:rFonts w:ascii="Times New Roman" w:eastAsia="Times New Roman" w:hAnsi="Times New Roman"/>
      <w:sz w:val="24"/>
    </w:rPr>
  </w:style>
  <w:style w:type="paragraph" w:customStyle="1" w:styleId="nmain">
    <w:name w:val="nmain"/>
    <w:basedOn w:val="Normal"/>
    <w:rsid w:val="00AD02D9"/>
    <w:pPr>
      <w:spacing w:before="100" w:beforeAutospacing="1" w:after="100" w:afterAutospacing="1"/>
    </w:pPr>
    <w:rPr>
      <w:rFonts w:ascii="Times New Roman" w:eastAsia="Times New Roman" w:hAnsi="Times New Roman"/>
      <w:sz w:val="24"/>
    </w:rPr>
  </w:style>
  <w:style w:type="paragraph" w:customStyle="1" w:styleId="paragraphsub">
    <w:name w:val="paragraphsub"/>
    <w:basedOn w:val="Normal"/>
    <w:rsid w:val="00FA6B4D"/>
    <w:pPr>
      <w:spacing w:before="100" w:beforeAutospacing="1" w:after="100" w:afterAutospacing="1"/>
    </w:pPr>
    <w:rPr>
      <w:rFonts w:ascii="Times New Roman" w:eastAsia="Times New Roman" w:hAnsi="Times New Roman"/>
      <w:sz w:val="24"/>
    </w:rPr>
  </w:style>
  <w:style w:type="character" w:customStyle="1" w:styleId="cf11">
    <w:name w:val="cf11"/>
    <w:basedOn w:val="DefaultParagraphFont"/>
    <w:rsid w:val="00C571B6"/>
    <w:rPr>
      <w:rFonts w:ascii="Segoe UI" w:hAnsi="Segoe UI" w:cs="Segoe UI" w:hint="default"/>
      <w:sz w:val="18"/>
      <w:szCs w:val="18"/>
    </w:rPr>
  </w:style>
  <w:style w:type="paragraph" w:customStyle="1" w:styleId="Bullet">
    <w:name w:val="Bullet"/>
    <w:aliases w:val="b1,b"/>
    <w:basedOn w:val="Normal"/>
    <w:rsid w:val="00D523B0"/>
    <w:pPr>
      <w:tabs>
        <w:tab w:val="num" w:pos="604"/>
        <w:tab w:val="left" w:pos="964"/>
      </w:tabs>
      <w:spacing w:before="60" w:after="120" w:line="280" w:lineRule="atLeast"/>
      <w:ind w:left="604" w:hanging="37"/>
    </w:pPr>
    <w:rPr>
      <w:rFonts w:eastAsia="Times New Roman"/>
    </w:rPr>
  </w:style>
  <w:style w:type="character" w:customStyle="1" w:styleId="Heading8Char">
    <w:name w:val="Heading 8 Char"/>
    <w:basedOn w:val="DefaultParagraphFont"/>
    <w:link w:val="Heading8"/>
    <w:uiPriority w:val="99"/>
    <w:semiHidden/>
    <w:rsid w:val="009B0D4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9"/>
    <w:semiHidden/>
    <w:rsid w:val="009B0D41"/>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B5B09"/>
    <w:rPr>
      <w:i/>
      <w:iCs/>
    </w:rPr>
  </w:style>
  <w:style w:type="paragraph" w:customStyle="1" w:styleId="subsection2">
    <w:name w:val="subsection2"/>
    <w:aliases w:val="ss2"/>
    <w:basedOn w:val="Normal"/>
    <w:next w:val="subsection"/>
    <w:rsid w:val="00B32866"/>
    <w:pPr>
      <w:spacing w:before="40" w:after="0"/>
      <w:ind w:left="1134"/>
    </w:pPr>
    <w:rPr>
      <w:rFonts w:ascii="Times New Roman" w:eastAsia="Times New Roman" w:hAnsi="Times New Roman"/>
      <w:szCs w:val="20"/>
    </w:rPr>
  </w:style>
  <w:style w:type="paragraph" w:customStyle="1" w:styleId="toc30">
    <w:name w:val="toc 30"/>
    <w:basedOn w:val="Normal"/>
    <w:next w:val="Normal"/>
    <w:autoRedefine/>
    <w:uiPriority w:val="39"/>
    <w:unhideWhenUsed/>
    <w:rsid w:val="00F22152"/>
    <w:pPr>
      <w:tabs>
        <w:tab w:val="left" w:pos="879"/>
        <w:tab w:val="left" w:pos="1320"/>
        <w:tab w:val="right" w:leader="dot" w:pos="9730"/>
      </w:tabs>
      <w:spacing w:after="100"/>
    </w:pPr>
  </w:style>
  <w:style w:type="paragraph" w:customStyle="1" w:styleId="pf0">
    <w:name w:val="pf0"/>
    <w:basedOn w:val="Normal"/>
    <w:rsid w:val="00DA50C9"/>
    <w:pPr>
      <w:spacing w:before="100" w:beforeAutospacing="1" w:after="100" w:afterAutospacing="1"/>
    </w:pPr>
    <w:rPr>
      <w:rFonts w:ascii="Times New Roman" w:eastAsia="Times New Roman" w:hAnsi="Times New Roman"/>
      <w:sz w:val="24"/>
    </w:rPr>
  </w:style>
  <w:style w:type="paragraph" w:customStyle="1" w:styleId="toc300">
    <w:name w:val="toc 300"/>
    <w:basedOn w:val="Normal"/>
    <w:next w:val="Normal"/>
    <w:autoRedefine/>
    <w:uiPriority w:val="39"/>
    <w:unhideWhenUsed/>
    <w:rsid w:val="007A12C4"/>
    <w:pPr>
      <w:tabs>
        <w:tab w:val="left" w:pos="879"/>
        <w:tab w:val="left" w:pos="1320"/>
        <w:tab w:val="right" w:leader="dot" w:pos="9730"/>
      </w:tabs>
      <w:spacing w:after="100"/>
    </w:pPr>
  </w:style>
  <w:style w:type="paragraph" w:customStyle="1" w:styleId="toc3000">
    <w:name w:val="toc 3000"/>
    <w:basedOn w:val="Normal"/>
    <w:next w:val="Normal"/>
    <w:autoRedefine/>
    <w:uiPriority w:val="39"/>
    <w:unhideWhenUsed/>
    <w:rsid w:val="00535BB7"/>
    <w:pPr>
      <w:tabs>
        <w:tab w:val="left" w:pos="879"/>
        <w:tab w:val="left" w:pos="1320"/>
        <w:tab w:val="right" w:leader="dot" w:pos="9730"/>
      </w:tabs>
      <w:spacing w:after="100"/>
    </w:pPr>
  </w:style>
  <w:style w:type="paragraph" w:customStyle="1" w:styleId="xmsonormal">
    <w:name w:val="x_msonormal"/>
    <w:basedOn w:val="Normal"/>
    <w:rsid w:val="0022789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666875">
      <w:bodyDiv w:val="1"/>
      <w:marLeft w:val="0"/>
      <w:marRight w:val="0"/>
      <w:marTop w:val="0"/>
      <w:marBottom w:val="0"/>
      <w:divBdr>
        <w:top w:val="none" w:sz="0" w:space="0" w:color="auto"/>
        <w:left w:val="none" w:sz="0" w:space="0" w:color="auto"/>
        <w:bottom w:val="none" w:sz="0" w:space="0" w:color="auto"/>
        <w:right w:val="none" w:sz="0" w:space="0" w:color="auto"/>
      </w:divBdr>
      <w:divsChild>
        <w:div w:id="144007717">
          <w:marLeft w:val="0"/>
          <w:marRight w:val="0"/>
          <w:marTop w:val="0"/>
          <w:marBottom w:val="0"/>
          <w:divBdr>
            <w:top w:val="none" w:sz="0" w:space="0" w:color="auto"/>
            <w:left w:val="none" w:sz="0" w:space="0" w:color="auto"/>
            <w:bottom w:val="none" w:sz="0" w:space="0" w:color="auto"/>
            <w:right w:val="none" w:sz="0" w:space="0" w:color="auto"/>
          </w:divBdr>
        </w:div>
        <w:div w:id="766342267">
          <w:marLeft w:val="0"/>
          <w:marRight w:val="0"/>
          <w:marTop w:val="0"/>
          <w:marBottom w:val="0"/>
          <w:divBdr>
            <w:top w:val="none" w:sz="0" w:space="0" w:color="auto"/>
            <w:left w:val="none" w:sz="0" w:space="0" w:color="auto"/>
            <w:bottom w:val="none" w:sz="0" w:space="0" w:color="auto"/>
            <w:right w:val="none" w:sz="0" w:space="0" w:color="auto"/>
          </w:divBdr>
        </w:div>
        <w:div w:id="971865414">
          <w:marLeft w:val="0"/>
          <w:marRight w:val="0"/>
          <w:marTop w:val="0"/>
          <w:marBottom w:val="0"/>
          <w:divBdr>
            <w:top w:val="none" w:sz="0" w:space="0" w:color="auto"/>
            <w:left w:val="none" w:sz="0" w:space="0" w:color="auto"/>
            <w:bottom w:val="none" w:sz="0" w:space="0" w:color="auto"/>
            <w:right w:val="none" w:sz="0" w:space="0" w:color="auto"/>
          </w:divBdr>
        </w:div>
        <w:div w:id="1087071614">
          <w:marLeft w:val="0"/>
          <w:marRight w:val="0"/>
          <w:marTop w:val="0"/>
          <w:marBottom w:val="0"/>
          <w:divBdr>
            <w:top w:val="none" w:sz="0" w:space="0" w:color="auto"/>
            <w:left w:val="none" w:sz="0" w:space="0" w:color="auto"/>
            <w:bottom w:val="none" w:sz="0" w:space="0" w:color="auto"/>
            <w:right w:val="none" w:sz="0" w:space="0" w:color="auto"/>
          </w:divBdr>
          <w:divsChild>
            <w:div w:id="252011152">
              <w:marLeft w:val="-75"/>
              <w:marRight w:val="0"/>
              <w:marTop w:val="30"/>
              <w:marBottom w:val="30"/>
              <w:divBdr>
                <w:top w:val="none" w:sz="0" w:space="0" w:color="auto"/>
                <w:left w:val="none" w:sz="0" w:space="0" w:color="auto"/>
                <w:bottom w:val="none" w:sz="0" w:space="0" w:color="auto"/>
                <w:right w:val="none" w:sz="0" w:space="0" w:color="auto"/>
              </w:divBdr>
              <w:divsChild>
                <w:div w:id="55708583">
                  <w:marLeft w:val="0"/>
                  <w:marRight w:val="0"/>
                  <w:marTop w:val="0"/>
                  <w:marBottom w:val="0"/>
                  <w:divBdr>
                    <w:top w:val="none" w:sz="0" w:space="0" w:color="auto"/>
                    <w:left w:val="none" w:sz="0" w:space="0" w:color="auto"/>
                    <w:bottom w:val="none" w:sz="0" w:space="0" w:color="auto"/>
                    <w:right w:val="none" w:sz="0" w:space="0" w:color="auto"/>
                  </w:divBdr>
                  <w:divsChild>
                    <w:div w:id="1450976032">
                      <w:marLeft w:val="0"/>
                      <w:marRight w:val="0"/>
                      <w:marTop w:val="0"/>
                      <w:marBottom w:val="0"/>
                      <w:divBdr>
                        <w:top w:val="none" w:sz="0" w:space="0" w:color="auto"/>
                        <w:left w:val="none" w:sz="0" w:space="0" w:color="auto"/>
                        <w:bottom w:val="none" w:sz="0" w:space="0" w:color="auto"/>
                        <w:right w:val="none" w:sz="0" w:space="0" w:color="auto"/>
                      </w:divBdr>
                    </w:div>
                  </w:divsChild>
                </w:div>
                <w:div w:id="61097909">
                  <w:marLeft w:val="0"/>
                  <w:marRight w:val="0"/>
                  <w:marTop w:val="0"/>
                  <w:marBottom w:val="0"/>
                  <w:divBdr>
                    <w:top w:val="none" w:sz="0" w:space="0" w:color="auto"/>
                    <w:left w:val="none" w:sz="0" w:space="0" w:color="auto"/>
                    <w:bottom w:val="none" w:sz="0" w:space="0" w:color="auto"/>
                    <w:right w:val="none" w:sz="0" w:space="0" w:color="auto"/>
                  </w:divBdr>
                  <w:divsChild>
                    <w:div w:id="431052532">
                      <w:marLeft w:val="0"/>
                      <w:marRight w:val="0"/>
                      <w:marTop w:val="0"/>
                      <w:marBottom w:val="0"/>
                      <w:divBdr>
                        <w:top w:val="none" w:sz="0" w:space="0" w:color="auto"/>
                        <w:left w:val="none" w:sz="0" w:space="0" w:color="auto"/>
                        <w:bottom w:val="none" w:sz="0" w:space="0" w:color="auto"/>
                        <w:right w:val="none" w:sz="0" w:space="0" w:color="auto"/>
                      </w:divBdr>
                    </w:div>
                  </w:divsChild>
                </w:div>
                <w:div w:id="119809321">
                  <w:marLeft w:val="0"/>
                  <w:marRight w:val="0"/>
                  <w:marTop w:val="0"/>
                  <w:marBottom w:val="0"/>
                  <w:divBdr>
                    <w:top w:val="none" w:sz="0" w:space="0" w:color="auto"/>
                    <w:left w:val="none" w:sz="0" w:space="0" w:color="auto"/>
                    <w:bottom w:val="none" w:sz="0" w:space="0" w:color="auto"/>
                    <w:right w:val="none" w:sz="0" w:space="0" w:color="auto"/>
                  </w:divBdr>
                  <w:divsChild>
                    <w:div w:id="1187447905">
                      <w:marLeft w:val="0"/>
                      <w:marRight w:val="0"/>
                      <w:marTop w:val="0"/>
                      <w:marBottom w:val="0"/>
                      <w:divBdr>
                        <w:top w:val="none" w:sz="0" w:space="0" w:color="auto"/>
                        <w:left w:val="none" w:sz="0" w:space="0" w:color="auto"/>
                        <w:bottom w:val="none" w:sz="0" w:space="0" w:color="auto"/>
                        <w:right w:val="none" w:sz="0" w:space="0" w:color="auto"/>
                      </w:divBdr>
                    </w:div>
                  </w:divsChild>
                </w:div>
                <w:div w:id="295452141">
                  <w:marLeft w:val="0"/>
                  <w:marRight w:val="0"/>
                  <w:marTop w:val="0"/>
                  <w:marBottom w:val="0"/>
                  <w:divBdr>
                    <w:top w:val="none" w:sz="0" w:space="0" w:color="auto"/>
                    <w:left w:val="none" w:sz="0" w:space="0" w:color="auto"/>
                    <w:bottom w:val="none" w:sz="0" w:space="0" w:color="auto"/>
                    <w:right w:val="none" w:sz="0" w:space="0" w:color="auto"/>
                  </w:divBdr>
                  <w:divsChild>
                    <w:div w:id="237130058">
                      <w:marLeft w:val="0"/>
                      <w:marRight w:val="0"/>
                      <w:marTop w:val="0"/>
                      <w:marBottom w:val="0"/>
                      <w:divBdr>
                        <w:top w:val="none" w:sz="0" w:space="0" w:color="auto"/>
                        <w:left w:val="none" w:sz="0" w:space="0" w:color="auto"/>
                        <w:bottom w:val="none" w:sz="0" w:space="0" w:color="auto"/>
                        <w:right w:val="none" w:sz="0" w:space="0" w:color="auto"/>
                      </w:divBdr>
                    </w:div>
                  </w:divsChild>
                </w:div>
                <w:div w:id="363141367">
                  <w:marLeft w:val="0"/>
                  <w:marRight w:val="0"/>
                  <w:marTop w:val="0"/>
                  <w:marBottom w:val="0"/>
                  <w:divBdr>
                    <w:top w:val="none" w:sz="0" w:space="0" w:color="auto"/>
                    <w:left w:val="none" w:sz="0" w:space="0" w:color="auto"/>
                    <w:bottom w:val="none" w:sz="0" w:space="0" w:color="auto"/>
                    <w:right w:val="none" w:sz="0" w:space="0" w:color="auto"/>
                  </w:divBdr>
                  <w:divsChild>
                    <w:div w:id="119341910">
                      <w:marLeft w:val="0"/>
                      <w:marRight w:val="0"/>
                      <w:marTop w:val="0"/>
                      <w:marBottom w:val="0"/>
                      <w:divBdr>
                        <w:top w:val="none" w:sz="0" w:space="0" w:color="auto"/>
                        <w:left w:val="none" w:sz="0" w:space="0" w:color="auto"/>
                        <w:bottom w:val="none" w:sz="0" w:space="0" w:color="auto"/>
                        <w:right w:val="none" w:sz="0" w:space="0" w:color="auto"/>
                      </w:divBdr>
                    </w:div>
                    <w:div w:id="1835604113">
                      <w:marLeft w:val="0"/>
                      <w:marRight w:val="0"/>
                      <w:marTop w:val="0"/>
                      <w:marBottom w:val="0"/>
                      <w:divBdr>
                        <w:top w:val="none" w:sz="0" w:space="0" w:color="auto"/>
                        <w:left w:val="none" w:sz="0" w:space="0" w:color="auto"/>
                        <w:bottom w:val="none" w:sz="0" w:space="0" w:color="auto"/>
                        <w:right w:val="none" w:sz="0" w:space="0" w:color="auto"/>
                      </w:divBdr>
                    </w:div>
                  </w:divsChild>
                </w:div>
                <w:div w:id="505944102">
                  <w:marLeft w:val="0"/>
                  <w:marRight w:val="0"/>
                  <w:marTop w:val="0"/>
                  <w:marBottom w:val="0"/>
                  <w:divBdr>
                    <w:top w:val="none" w:sz="0" w:space="0" w:color="auto"/>
                    <w:left w:val="none" w:sz="0" w:space="0" w:color="auto"/>
                    <w:bottom w:val="none" w:sz="0" w:space="0" w:color="auto"/>
                    <w:right w:val="none" w:sz="0" w:space="0" w:color="auto"/>
                  </w:divBdr>
                  <w:divsChild>
                    <w:div w:id="613827963">
                      <w:marLeft w:val="0"/>
                      <w:marRight w:val="0"/>
                      <w:marTop w:val="0"/>
                      <w:marBottom w:val="0"/>
                      <w:divBdr>
                        <w:top w:val="none" w:sz="0" w:space="0" w:color="auto"/>
                        <w:left w:val="none" w:sz="0" w:space="0" w:color="auto"/>
                        <w:bottom w:val="none" w:sz="0" w:space="0" w:color="auto"/>
                        <w:right w:val="none" w:sz="0" w:space="0" w:color="auto"/>
                      </w:divBdr>
                    </w:div>
                  </w:divsChild>
                </w:div>
                <w:div w:id="635991800">
                  <w:marLeft w:val="0"/>
                  <w:marRight w:val="0"/>
                  <w:marTop w:val="0"/>
                  <w:marBottom w:val="0"/>
                  <w:divBdr>
                    <w:top w:val="none" w:sz="0" w:space="0" w:color="auto"/>
                    <w:left w:val="none" w:sz="0" w:space="0" w:color="auto"/>
                    <w:bottom w:val="none" w:sz="0" w:space="0" w:color="auto"/>
                    <w:right w:val="none" w:sz="0" w:space="0" w:color="auto"/>
                  </w:divBdr>
                  <w:divsChild>
                    <w:div w:id="236478101">
                      <w:marLeft w:val="0"/>
                      <w:marRight w:val="0"/>
                      <w:marTop w:val="0"/>
                      <w:marBottom w:val="0"/>
                      <w:divBdr>
                        <w:top w:val="none" w:sz="0" w:space="0" w:color="auto"/>
                        <w:left w:val="none" w:sz="0" w:space="0" w:color="auto"/>
                        <w:bottom w:val="none" w:sz="0" w:space="0" w:color="auto"/>
                        <w:right w:val="none" w:sz="0" w:space="0" w:color="auto"/>
                      </w:divBdr>
                    </w:div>
                  </w:divsChild>
                </w:div>
                <w:div w:id="647242580">
                  <w:marLeft w:val="0"/>
                  <w:marRight w:val="0"/>
                  <w:marTop w:val="0"/>
                  <w:marBottom w:val="0"/>
                  <w:divBdr>
                    <w:top w:val="none" w:sz="0" w:space="0" w:color="auto"/>
                    <w:left w:val="none" w:sz="0" w:space="0" w:color="auto"/>
                    <w:bottom w:val="none" w:sz="0" w:space="0" w:color="auto"/>
                    <w:right w:val="none" w:sz="0" w:space="0" w:color="auto"/>
                  </w:divBdr>
                  <w:divsChild>
                    <w:div w:id="538710565">
                      <w:marLeft w:val="0"/>
                      <w:marRight w:val="0"/>
                      <w:marTop w:val="0"/>
                      <w:marBottom w:val="0"/>
                      <w:divBdr>
                        <w:top w:val="none" w:sz="0" w:space="0" w:color="auto"/>
                        <w:left w:val="none" w:sz="0" w:space="0" w:color="auto"/>
                        <w:bottom w:val="none" w:sz="0" w:space="0" w:color="auto"/>
                        <w:right w:val="none" w:sz="0" w:space="0" w:color="auto"/>
                      </w:divBdr>
                    </w:div>
                  </w:divsChild>
                </w:div>
                <w:div w:id="663751062">
                  <w:marLeft w:val="0"/>
                  <w:marRight w:val="0"/>
                  <w:marTop w:val="0"/>
                  <w:marBottom w:val="0"/>
                  <w:divBdr>
                    <w:top w:val="none" w:sz="0" w:space="0" w:color="auto"/>
                    <w:left w:val="none" w:sz="0" w:space="0" w:color="auto"/>
                    <w:bottom w:val="none" w:sz="0" w:space="0" w:color="auto"/>
                    <w:right w:val="none" w:sz="0" w:space="0" w:color="auto"/>
                  </w:divBdr>
                  <w:divsChild>
                    <w:div w:id="2010523552">
                      <w:marLeft w:val="0"/>
                      <w:marRight w:val="0"/>
                      <w:marTop w:val="0"/>
                      <w:marBottom w:val="0"/>
                      <w:divBdr>
                        <w:top w:val="none" w:sz="0" w:space="0" w:color="auto"/>
                        <w:left w:val="none" w:sz="0" w:space="0" w:color="auto"/>
                        <w:bottom w:val="none" w:sz="0" w:space="0" w:color="auto"/>
                        <w:right w:val="none" w:sz="0" w:space="0" w:color="auto"/>
                      </w:divBdr>
                    </w:div>
                  </w:divsChild>
                </w:div>
                <w:div w:id="1036077028">
                  <w:marLeft w:val="0"/>
                  <w:marRight w:val="0"/>
                  <w:marTop w:val="0"/>
                  <w:marBottom w:val="0"/>
                  <w:divBdr>
                    <w:top w:val="none" w:sz="0" w:space="0" w:color="auto"/>
                    <w:left w:val="none" w:sz="0" w:space="0" w:color="auto"/>
                    <w:bottom w:val="none" w:sz="0" w:space="0" w:color="auto"/>
                    <w:right w:val="none" w:sz="0" w:space="0" w:color="auto"/>
                  </w:divBdr>
                  <w:divsChild>
                    <w:div w:id="137461370">
                      <w:marLeft w:val="0"/>
                      <w:marRight w:val="0"/>
                      <w:marTop w:val="0"/>
                      <w:marBottom w:val="0"/>
                      <w:divBdr>
                        <w:top w:val="none" w:sz="0" w:space="0" w:color="auto"/>
                        <w:left w:val="none" w:sz="0" w:space="0" w:color="auto"/>
                        <w:bottom w:val="none" w:sz="0" w:space="0" w:color="auto"/>
                        <w:right w:val="none" w:sz="0" w:space="0" w:color="auto"/>
                      </w:divBdr>
                    </w:div>
                  </w:divsChild>
                </w:div>
                <w:div w:id="1114324152">
                  <w:marLeft w:val="0"/>
                  <w:marRight w:val="0"/>
                  <w:marTop w:val="0"/>
                  <w:marBottom w:val="0"/>
                  <w:divBdr>
                    <w:top w:val="none" w:sz="0" w:space="0" w:color="auto"/>
                    <w:left w:val="none" w:sz="0" w:space="0" w:color="auto"/>
                    <w:bottom w:val="none" w:sz="0" w:space="0" w:color="auto"/>
                    <w:right w:val="none" w:sz="0" w:space="0" w:color="auto"/>
                  </w:divBdr>
                  <w:divsChild>
                    <w:div w:id="278494533">
                      <w:marLeft w:val="0"/>
                      <w:marRight w:val="0"/>
                      <w:marTop w:val="0"/>
                      <w:marBottom w:val="0"/>
                      <w:divBdr>
                        <w:top w:val="none" w:sz="0" w:space="0" w:color="auto"/>
                        <w:left w:val="none" w:sz="0" w:space="0" w:color="auto"/>
                        <w:bottom w:val="none" w:sz="0" w:space="0" w:color="auto"/>
                        <w:right w:val="none" w:sz="0" w:space="0" w:color="auto"/>
                      </w:divBdr>
                    </w:div>
                    <w:div w:id="2106923385">
                      <w:marLeft w:val="0"/>
                      <w:marRight w:val="0"/>
                      <w:marTop w:val="0"/>
                      <w:marBottom w:val="0"/>
                      <w:divBdr>
                        <w:top w:val="none" w:sz="0" w:space="0" w:color="auto"/>
                        <w:left w:val="none" w:sz="0" w:space="0" w:color="auto"/>
                        <w:bottom w:val="none" w:sz="0" w:space="0" w:color="auto"/>
                        <w:right w:val="none" w:sz="0" w:space="0" w:color="auto"/>
                      </w:divBdr>
                    </w:div>
                  </w:divsChild>
                </w:div>
                <w:div w:id="1222063195">
                  <w:marLeft w:val="0"/>
                  <w:marRight w:val="0"/>
                  <w:marTop w:val="0"/>
                  <w:marBottom w:val="0"/>
                  <w:divBdr>
                    <w:top w:val="none" w:sz="0" w:space="0" w:color="auto"/>
                    <w:left w:val="none" w:sz="0" w:space="0" w:color="auto"/>
                    <w:bottom w:val="none" w:sz="0" w:space="0" w:color="auto"/>
                    <w:right w:val="none" w:sz="0" w:space="0" w:color="auto"/>
                  </w:divBdr>
                  <w:divsChild>
                    <w:div w:id="1754281029">
                      <w:marLeft w:val="0"/>
                      <w:marRight w:val="0"/>
                      <w:marTop w:val="0"/>
                      <w:marBottom w:val="0"/>
                      <w:divBdr>
                        <w:top w:val="none" w:sz="0" w:space="0" w:color="auto"/>
                        <w:left w:val="none" w:sz="0" w:space="0" w:color="auto"/>
                        <w:bottom w:val="none" w:sz="0" w:space="0" w:color="auto"/>
                        <w:right w:val="none" w:sz="0" w:space="0" w:color="auto"/>
                      </w:divBdr>
                    </w:div>
                  </w:divsChild>
                </w:div>
                <w:div w:id="1301766450">
                  <w:marLeft w:val="0"/>
                  <w:marRight w:val="0"/>
                  <w:marTop w:val="0"/>
                  <w:marBottom w:val="0"/>
                  <w:divBdr>
                    <w:top w:val="none" w:sz="0" w:space="0" w:color="auto"/>
                    <w:left w:val="none" w:sz="0" w:space="0" w:color="auto"/>
                    <w:bottom w:val="none" w:sz="0" w:space="0" w:color="auto"/>
                    <w:right w:val="none" w:sz="0" w:space="0" w:color="auto"/>
                  </w:divBdr>
                  <w:divsChild>
                    <w:div w:id="1835411841">
                      <w:marLeft w:val="0"/>
                      <w:marRight w:val="0"/>
                      <w:marTop w:val="0"/>
                      <w:marBottom w:val="0"/>
                      <w:divBdr>
                        <w:top w:val="none" w:sz="0" w:space="0" w:color="auto"/>
                        <w:left w:val="none" w:sz="0" w:space="0" w:color="auto"/>
                        <w:bottom w:val="none" w:sz="0" w:space="0" w:color="auto"/>
                        <w:right w:val="none" w:sz="0" w:space="0" w:color="auto"/>
                      </w:divBdr>
                    </w:div>
                  </w:divsChild>
                </w:div>
                <w:div w:id="1369381240">
                  <w:marLeft w:val="0"/>
                  <w:marRight w:val="0"/>
                  <w:marTop w:val="0"/>
                  <w:marBottom w:val="0"/>
                  <w:divBdr>
                    <w:top w:val="none" w:sz="0" w:space="0" w:color="auto"/>
                    <w:left w:val="none" w:sz="0" w:space="0" w:color="auto"/>
                    <w:bottom w:val="none" w:sz="0" w:space="0" w:color="auto"/>
                    <w:right w:val="none" w:sz="0" w:space="0" w:color="auto"/>
                  </w:divBdr>
                  <w:divsChild>
                    <w:div w:id="1423641840">
                      <w:marLeft w:val="0"/>
                      <w:marRight w:val="0"/>
                      <w:marTop w:val="0"/>
                      <w:marBottom w:val="0"/>
                      <w:divBdr>
                        <w:top w:val="none" w:sz="0" w:space="0" w:color="auto"/>
                        <w:left w:val="none" w:sz="0" w:space="0" w:color="auto"/>
                        <w:bottom w:val="none" w:sz="0" w:space="0" w:color="auto"/>
                        <w:right w:val="none" w:sz="0" w:space="0" w:color="auto"/>
                      </w:divBdr>
                    </w:div>
                  </w:divsChild>
                </w:div>
                <w:div w:id="1418863724">
                  <w:marLeft w:val="0"/>
                  <w:marRight w:val="0"/>
                  <w:marTop w:val="0"/>
                  <w:marBottom w:val="0"/>
                  <w:divBdr>
                    <w:top w:val="none" w:sz="0" w:space="0" w:color="auto"/>
                    <w:left w:val="none" w:sz="0" w:space="0" w:color="auto"/>
                    <w:bottom w:val="none" w:sz="0" w:space="0" w:color="auto"/>
                    <w:right w:val="none" w:sz="0" w:space="0" w:color="auto"/>
                  </w:divBdr>
                  <w:divsChild>
                    <w:div w:id="100532336">
                      <w:marLeft w:val="0"/>
                      <w:marRight w:val="0"/>
                      <w:marTop w:val="0"/>
                      <w:marBottom w:val="0"/>
                      <w:divBdr>
                        <w:top w:val="none" w:sz="0" w:space="0" w:color="auto"/>
                        <w:left w:val="none" w:sz="0" w:space="0" w:color="auto"/>
                        <w:bottom w:val="none" w:sz="0" w:space="0" w:color="auto"/>
                        <w:right w:val="none" w:sz="0" w:space="0" w:color="auto"/>
                      </w:divBdr>
                    </w:div>
                  </w:divsChild>
                </w:div>
                <w:div w:id="1622490005">
                  <w:marLeft w:val="0"/>
                  <w:marRight w:val="0"/>
                  <w:marTop w:val="0"/>
                  <w:marBottom w:val="0"/>
                  <w:divBdr>
                    <w:top w:val="none" w:sz="0" w:space="0" w:color="auto"/>
                    <w:left w:val="none" w:sz="0" w:space="0" w:color="auto"/>
                    <w:bottom w:val="none" w:sz="0" w:space="0" w:color="auto"/>
                    <w:right w:val="none" w:sz="0" w:space="0" w:color="auto"/>
                  </w:divBdr>
                  <w:divsChild>
                    <w:div w:id="1389917578">
                      <w:marLeft w:val="0"/>
                      <w:marRight w:val="0"/>
                      <w:marTop w:val="0"/>
                      <w:marBottom w:val="0"/>
                      <w:divBdr>
                        <w:top w:val="none" w:sz="0" w:space="0" w:color="auto"/>
                        <w:left w:val="none" w:sz="0" w:space="0" w:color="auto"/>
                        <w:bottom w:val="none" w:sz="0" w:space="0" w:color="auto"/>
                        <w:right w:val="none" w:sz="0" w:space="0" w:color="auto"/>
                      </w:divBdr>
                    </w:div>
                  </w:divsChild>
                </w:div>
                <w:div w:id="1652127782">
                  <w:marLeft w:val="0"/>
                  <w:marRight w:val="0"/>
                  <w:marTop w:val="0"/>
                  <w:marBottom w:val="0"/>
                  <w:divBdr>
                    <w:top w:val="none" w:sz="0" w:space="0" w:color="auto"/>
                    <w:left w:val="none" w:sz="0" w:space="0" w:color="auto"/>
                    <w:bottom w:val="none" w:sz="0" w:space="0" w:color="auto"/>
                    <w:right w:val="none" w:sz="0" w:space="0" w:color="auto"/>
                  </w:divBdr>
                  <w:divsChild>
                    <w:div w:id="779764203">
                      <w:marLeft w:val="0"/>
                      <w:marRight w:val="0"/>
                      <w:marTop w:val="0"/>
                      <w:marBottom w:val="0"/>
                      <w:divBdr>
                        <w:top w:val="none" w:sz="0" w:space="0" w:color="auto"/>
                        <w:left w:val="none" w:sz="0" w:space="0" w:color="auto"/>
                        <w:bottom w:val="none" w:sz="0" w:space="0" w:color="auto"/>
                        <w:right w:val="none" w:sz="0" w:space="0" w:color="auto"/>
                      </w:divBdr>
                    </w:div>
                  </w:divsChild>
                </w:div>
                <w:div w:id="1705249597">
                  <w:marLeft w:val="0"/>
                  <w:marRight w:val="0"/>
                  <w:marTop w:val="0"/>
                  <w:marBottom w:val="0"/>
                  <w:divBdr>
                    <w:top w:val="none" w:sz="0" w:space="0" w:color="auto"/>
                    <w:left w:val="none" w:sz="0" w:space="0" w:color="auto"/>
                    <w:bottom w:val="none" w:sz="0" w:space="0" w:color="auto"/>
                    <w:right w:val="none" w:sz="0" w:space="0" w:color="auto"/>
                  </w:divBdr>
                  <w:divsChild>
                    <w:div w:id="1357270634">
                      <w:marLeft w:val="0"/>
                      <w:marRight w:val="0"/>
                      <w:marTop w:val="0"/>
                      <w:marBottom w:val="0"/>
                      <w:divBdr>
                        <w:top w:val="none" w:sz="0" w:space="0" w:color="auto"/>
                        <w:left w:val="none" w:sz="0" w:space="0" w:color="auto"/>
                        <w:bottom w:val="none" w:sz="0" w:space="0" w:color="auto"/>
                        <w:right w:val="none" w:sz="0" w:space="0" w:color="auto"/>
                      </w:divBdr>
                    </w:div>
                  </w:divsChild>
                </w:div>
                <w:div w:id="1840004492">
                  <w:marLeft w:val="0"/>
                  <w:marRight w:val="0"/>
                  <w:marTop w:val="0"/>
                  <w:marBottom w:val="0"/>
                  <w:divBdr>
                    <w:top w:val="none" w:sz="0" w:space="0" w:color="auto"/>
                    <w:left w:val="none" w:sz="0" w:space="0" w:color="auto"/>
                    <w:bottom w:val="none" w:sz="0" w:space="0" w:color="auto"/>
                    <w:right w:val="none" w:sz="0" w:space="0" w:color="auto"/>
                  </w:divBdr>
                  <w:divsChild>
                    <w:div w:id="45834396">
                      <w:marLeft w:val="0"/>
                      <w:marRight w:val="0"/>
                      <w:marTop w:val="0"/>
                      <w:marBottom w:val="0"/>
                      <w:divBdr>
                        <w:top w:val="none" w:sz="0" w:space="0" w:color="auto"/>
                        <w:left w:val="none" w:sz="0" w:space="0" w:color="auto"/>
                        <w:bottom w:val="none" w:sz="0" w:space="0" w:color="auto"/>
                        <w:right w:val="none" w:sz="0" w:space="0" w:color="auto"/>
                      </w:divBdr>
                    </w:div>
                  </w:divsChild>
                </w:div>
                <w:div w:id="2045249823">
                  <w:marLeft w:val="0"/>
                  <w:marRight w:val="0"/>
                  <w:marTop w:val="0"/>
                  <w:marBottom w:val="0"/>
                  <w:divBdr>
                    <w:top w:val="none" w:sz="0" w:space="0" w:color="auto"/>
                    <w:left w:val="none" w:sz="0" w:space="0" w:color="auto"/>
                    <w:bottom w:val="none" w:sz="0" w:space="0" w:color="auto"/>
                    <w:right w:val="none" w:sz="0" w:space="0" w:color="auto"/>
                  </w:divBdr>
                  <w:divsChild>
                    <w:div w:id="12094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1432">
          <w:marLeft w:val="0"/>
          <w:marRight w:val="0"/>
          <w:marTop w:val="0"/>
          <w:marBottom w:val="0"/>
          <w:divBdr>
            <w:top w:val="none" w:sz="0" w:space="0" w:color="auto"/>
            <w:left w:val="none" w:sz="0" w:space="0" w:color="auto"/>
            <w:bottom w:val="none" w:sz="0" w:space="0" w:color="auto"/>
            <w:right w:val="none" w:sz="0" w:space="0" w:color="auto"/>
          </w:divBdr>
        </w:div>
        <w:div w:id="1221281434">
          <w:marLeft w:val="0"/>
          <w:marRight w:val="0"/>
          <w:marTop w:val="0"/>
          <w:marBottom w:val="0"/>
          <w:divBdr>
            <w:top w:val="none" w:sz="0" w:space="0" w:color="auto"/>
            <w:left w:val="none" w:sz="0" w:space="0" w:color="auto"/>
            <w:bottom w:val="none" w:sz="0" w:space="0" w:color="auto"/>
            <w:right w:val="none" w:sz="0" w:space="0" w:color="auto"/>
          </w:divBdr>
        </w:div>
      </w:divsChild>
    </w:div>
    <w:div w:id="715853210">
      <w:bodyDiv w:val="1"/>
      <w:marLeft w:val="0"/>
      <w:marRight w:val="0"/>
      <w:marTop w:val="0"/>
      <w:marBottom w:val="0"/>
      <w:divBdr>
        <w:top w:val="none" w:sz="0" w:space="0" w:color="auto"/>
        <w:left w:val="none" w:sz="0" w:space="0" w:color="auto"/>
        <w:bottom w:val="none" w:sz="0" w:space="0" w:color="auto"/>
        <w:right w:val="none" w:sz="0" w:space="0" w:color="auto"/>
      </w:divBdr>
    </w:div>
    <w:div w:id="734202119">
      <w:bodyDiv w:val="1"/>
      <w:marLeft w:val="0"/>
      <w:marRight w:val="0"/>
      <w:marTop w:val="0"/>
      <w:marBottom w:val="0"/>
      <w:divBdr>
        <w:top w:val="none" w:sz="0" w:space="0" w:color="auto"/>
        <w:left w:val="none" w:sz="0" w:space="0" w:color="auto"/>
        <w:bottom w:val="none" w:sz="0" w:space="0" w:color="auto"/>
        <w:right w:val="none" w:sz="0" w:space="0" w:color="auto"/>
      </w:divBdr>
    </w:div>
    <w:div w:id="745684134">
      <w:bodyDiv w:val="1"/>
      <w:marLeft w:val="0"/>
      <w:marRight w:val="0"/>
      <w:marTop w:val="0"/>
      <w:marBottom w:val="0"/>
      <w:divBdr>
        <w:top w:val="none" w:sz="0" w:space="0" w:color="auto"/>
        <w:left w:val="none" w:sz="0" w:space="0" w:color="auto"/>
        <w:bottom w:val="none" w:sz="0" w:space="0" w:color="auto"/>
        <w:right w:val="none" w:sz="0" w:space="0" w:color="auto"/>
      </w:divBdr>
    </w:div>
    <w:div w:id="870067378">
      <w:bodyDiv w:val="1"/>
      <w:marLeft w:val="0"/>
      <w:marRight w:val="0"/>
      <w:marTop w:val="0"/>
      <w:marBottom w:val="0"/>
      <w:divBdr>
        <w:top w:val="none" w:sz="0" w:space="0" w:color="auto"/>
        <w:left w:val="none" w:sz="0" w:space="0" w:color="auto"/>
        <w:bottom w:val="none" w:sz="0" w:space="0" w:color="auto"/>
        <w:right w:val="none" w:sz="0" w:space="0" w:color="auto"/>
      </w:divBdr>
      <w:divsChild>
        <w:div w:id="8021945">
          <w:marLeft w:val="0"/>
          <w:marRight w:val="0"/>
          <w:marTop w:val="0"/>
          <w:marBottom w:val="0"/>
          <w:divBdr>
            <w:top w:val="none" w:sz="0" w:space="0" w:color="auto"/>
            <w:left w:val="none" w:sz="0" w:space="0" w:color="auto"/>
            <w:bottom w:val="none" w:sz="0" w:space="0" w:color="auto"/>
            <w:right w:val="none" w:sz="0" w:space="0" w:color="auto"/>
          </w:divBdr>
        </w:div>
        <w:div w:id="30615804">
          <w:marLeft w:val="0"/>
          <w:marRight w:val="0"/>
          <w:marTop w:val="0"/>
          <w:marBottom w:val="0"/>
          <w:divBdr>
            <w:top w:val="none" w:sz="0" w:space="0" w:color="auto"/>
            <w:left w:val="none" w:sz="0" w:space="0" w:color="auto"/>
            <w:bottom w:val="none" w:sz="0" w:space="0" w:color="auto"/>
            <w:right w:val="none" w:sz="0" w:space="0" w:color="auto"/>
          </w:divBdr>
        </w:div>
        <w:div w:id="40979224">
          <w:marLeft w:val="0"/>
          <w:marRight w:val="0"/>
          <w:marTop w:val="0"/>
          <w:marBottom w:val="0"/>
          <w:divBdr>
            <w:top w:val="none" w:sz="0" w:space="0" w:color="auto"/>
            <w:left w:val="none" w:sz="0" w:space="0" w:color="auto"/>
            <w:bottom w:val="none" w:sz="0" w:space="0" w:color="auto"/>
            <w:right w:val="none" w:sz="0" w:space="0" w:color="auto"/>
          </w:divBdr>
        </w:div>
        <w:div w:id="51000483">
          <w:marLeft w:val="0"/>
          <w:marRight w:val="0"/>
          <w:marTop w:val="0"/>
          <w:marBottom w:val="0"/>
          <w:divBdr>
            <w:top w:val="none" w:sz="0" w:space="0" w:color="auto"/>
            <w:left w:val="none" w:sz="0" w:space="0" w:color="auto"/>
            <w:bottom w:val="none" w:sz="0" w:space="0" w:color="auto"/>
            <w:right w:val="none" w:sz="0" w:space="0" w:color="auto"/>
          </w:divBdr>
        </w:div>
        <w:div w:id="57482188">
          <w:marLeft w:val="0"/>
          <w:marRight w:val="0"/>
          <w:marTop w:val="0"/>
          <w:marBottom w:val="0"/>
          <w:divBdr>
            <w:top w:val="none" w:sz="0" w:space="0" w:color="auto"/>
            <w:left w:val="none" w:sz="0" w:space="0" w:color="auto"/>
            <w:bottom w:val="none" w:sz="0" w:space="0" w:color="auto"/>
            <w:right w:val="none" w:sz="0" w:space="0" w:color="auto"/>
          </w:divBdr>
        </w:div>
        <w:div w:id="99495745">
          <w:marLeft w:val="0"/>
          <w:marRight w:val="0"/>
          <w:marTop w:val="0"/>
          <w:marBottom w:val="0"/>
          <w:divBdr>
            <w:top w:val="none" w:sz="0" w:space="0" w:color="auto"/>
            <w:left w:val="none" w:sz="0" w:space="0" w:color="auto"/>
            <w:bottom w:val="none" w:sz="0" w:space="0" w:color="auto"/>
            <w:right w:val="none" w:sz="0" w:space="0" w:color="auto"/>
          </w:divBdr>
        </w:div>
        <w:div w:id="117770741">
          <w:marLeft w:val="0"/>
          <w:marRight w:val="0"/>
          <w:marTop w:val="0"/>
          <w:marBottom w:val="0"/>
          <w:divBdr>
            <w:top w:val="none" w:sz="0" w:space="0" w:color="auto"/>
            <w:left w:val="none" w:sz="0" w:space="0" w:color="auto"/>
            <w:bottom w:val="none" w:sz="0" w:space="0" w:color="auto"/>
            <w:right w:val="none" w:sz="0" w:space="0" w:color="auto"/>
          </w:divBdr>
        </w:div>
        <w:div w:id="162622577">
          <w:marLeft w:val="0"/>
          <w:marRight w:val="0"/>
          <w:marTop w:val="0"/>
          <w:marBottom w:val="0"/>
          <w:divBdr>
            <w:top w:val="none" w:sz="0" w:space="0" w:color="auto"/>
            <w:left w:val="none" w:sz="0" w:space="0" w:color="auto"/>
            <w:bottom w:val="none" w:sz="0" w:space="0" w:color="auto"/>
            <w:right w:val="none" w:sz="0" w:space="0" w:color="auto"/>
          </w:divBdr>
        </w:div>
        <w:div w:id="237862907">
          <w:marLeft w:val="0"/>
          <w:marRight w:val="0"/>
          <w:marTop w:val="0"/>
          <w:marBottom w:val="0"/>
          <w:divBdr>
            <w:top w:val="none" w:sz="0" w:space="0" w:color="auto"/>
            <w:left w:val="none" w:sz="0" w:space="0" w:color="auto"/>
            <w:bottom w:val="none" w:sz="0" w:space="0" w:color="auto"/>
            <w:right w:val="none" w:sz="0" w:space="0" w:color="auto"/>
          </w:divBdr>
        </w:div>
        <w:div w:id="245308246">
          <w:marLeft w:val="0"/>
          <w:marRight w:val="0"/>
          <w:marTop w:val="0"/>
          <w:marBottom w:val="0"/>
          <w:divBdr>
            <w:top w:val="none" w:sz="0" w:space="0" w:color="auto"/>
            <w:left w:val="none" w:sz="0" w:space="0" w:color="auto"/>
            <w:bottom w:val="none" w:sz="0" w:space="0" w:color="auto"/>
            <w:right w:val="none" w:sz="0" w:space="0" w:color="auto"/>
          </w:divBdr>
        </w:div>
        <w:div w:id="264309306">
          <w:marLeft w:val="0"/>
          <w:marRight w:val="0"/>
          <w:marTop w:val="0"/>
          <w:marBottom w:val="0"/>
          <w:divBdr>
            <w:top w:val="none" w:sz="0" w:space="0" w:color="auto"/>
            <w:left w:val="none" w:sz="0" w:space="0" w:color="auto"/>
            <w:bottom w:val="none" w:sz="0" w:space="0" w:color="auto"/>
            <w:right w:val="none" w:sz="0" w:space="0" w:color="auto"/>
          </w:divBdr>
        </w:div>
        <w:div w:id="304242996">
          <w:marLeft w:val="0"/>
          <w:marRight w:val="0"/>
          <w:marTop w:val="0"/>
          <w:marBottom w:val="0"/>
          <w:divBdr>
            <w:top w:val="none" w:sz="0" w:space="0" w:color="auto"/>
            <w:left w:val="none" w:sz="0" w:space="0" w:color="auto"/>
            <w:bottom w:val="none" w:sz="0" w:space="0" w:color="auto"/>
            <w:right w:val="none" w:sz="0" w:space="0" w:color="auto"/>
          </w:divBdr>
        </w:div>
        <w:div w:id="308826543">
          <w:marLeft w:val="0"/>
          <w:marRight w:val="0"/>
          <w:marTop w:val="0"/>
          <w:marBottom w:val="0"/>
          <w:divBdr>
            <w:top w:val="none" w:sz="0" w:space="0" w:color="auto"/>
            <w:left w:val="none" w:sz="0" w:space="0" w:color="auto"/>
            <w:bottom w:val="none" w:sz="0" w:space="0" w:color="auto"/>
            <w:right w:val="none" w:sz="0" w:space="0" w:color="auto"/>
          </w:divBdr>
        </w:div>
        <w:div w:id="316955606">
          <w:marLeft w:val="0"/>
          <w:marRight w:val="0"/>
          <w:marTop w:val="0"/>
          <w:marBottom w:val="0"/>
          <w:divBdr>
            <w:top w:val="none" w:sz="0" w:space="0" w:color="auto"/>
            <w:left w:val="none" w:sz="0" w:space="0" w:color="auto"/>
            <w:bottom w:val="none" w:sz="0" w:space="0" w:color="auto"/>
            <w:right w:val="none" w:sz="0" w:space="0" w:color="auto"/>
          </w:divBdr>
        </w:div>
        <w:div w:id="370764122">
          <w:marLeft w:val="0"/>
          <w:marRight w:val="0"/>
          <w:marTop w:val="0"/>
          <w:marBottom w:val="0"/>
          <w:divBdr>
            <w:top w:val="none" w:sz="0" w:space="0" w:color="auto"/>
            <w:left w:val="none" w:sz="0" w:space="0" w:color="auto"/>
            <w:bottom w:val="none" w:sz="0" w:space="0" w:color="auto"/>
            <w:right w:val="none" w:sz="0" w:space="0" w:color="auto"/>
          </w:divBdr>
        </w:div>
        <w:div w:id="373433453">
          <w:marLeft w:val="0"/>
          <w:marRight w:val="0"/>
          <w:marTop w:val="0"/>
          <w:marBottom w:val="0"/>
          <w:divBdr>
            <w:top w:val="none" w:sz="0" w:space="0" w:color="auto"/>
            <w:left w:val="none" w:sz="0" w:space="0" w:color="auto"/>
            <w:bottom w:val="none" w:sz="0" w:space="0" w:color="auto"/>
            <w:right w:val="none" w:sz="0" w:space="0" w:color="auto"/>
          </w:divBdr>
        </w:div>
        <w:div w:id="375197808">
          <w:marLeft w:val="0"/>
          <w:marRight w:val="0"/>
          <w:marTop w:val="0"/>
          <w:marBottom w:val="0"/>
          <w:divBdr>
            <w:top w:val="none" w:sz="0" w:space="0" w:color="auto"/>
            <w:left w:val="none" w:sz="0" w:space="0" w:color="auto"/>
            <w:bottom w:val="none" w:sz="0" w:space="0" w:color="auto"/>
            <w:right w:val="none" w:sz="0" w:space="0" w:color="auto"/>
          </w:divBdr>
        </w:div>
        <w:div w:id="385837119">
          <w:marLeft w:val="0"/>
          <w:marRight w:val="0"/>
          <w:marTop w:val="0"/>
          <w:marBottom w:val="0"/>
          <w:divBdr>
            <w:top w:val="none" w:sz="0" w:space="0" w:color="auto"/>
            <w:left w:val="none" w:sz="0" w:space="0" w:color="auto"/>
            <w:bottom w:val="none" w:sz="0" w:space="0" w:color="auto"/>
            <w:right w:val="none" w:sz="0" w:space="0" w:color="auto"/>
          </w:divBdr>
        </w:div>
        <w:div w:id="400449217">
          <w:marLeft w:val="0"/>
          <w:marRight w:val="0"/>
          <w:marTop w:val="0"/>
          <w:marBottom w:val="0"/>
          <w:divBdr>
            <w:top w:val="none" w:sz="0" w:space="0" w:color="auto"/>
            <w:left w:val="none" w:sz="0" w:space="0" w:color="auto"/>
            <w:bottom w:val="none" w:sz="0" w:space="0" w:color="auto"/>
            <w:right w:val="none" w:sz="0" w:space="0" w:color="auto"/>
          </w:divBdr>
        </w:div>
        <w:div w:id="410733401">
          <w:marLeft w:val="0"/>
          <w:marRight w:val="0"/>
          <w:marTop w:val="0"/>
          <w:marBottom w:val="0"/>
          <w:divBdr>
            <w:top w:val="none" w:sz="0" w:space="0" w:color="auto"/>
            <w:left w:val="none" w:sz="0" w:space="0" w:color="auto"/>
            <w:bottom w:val="none" w:sz="0" w:space="0" w:color="auto"/>
            <w:right w:val="none" w:sz="0" w:space="0" w:color="auto"/>
          </w:divBdr>
        </w:div>
        <w:div w:id="442192540">
          <w:marLeft w:val="0"/>
          <w:marRight w:val="0"/>
          <w:marTop w:val="0"/>
          <w:marBottom w:val="0"/>
          <w:divBdr>
            <w:top w:val="none" w:sz="0" w:space="0" w:color="auto"/>
            <w:left w:val="none" w:sz="0" w:space="0" w:color="auto"/>
            <w:bottom w:val="none" w:sz="0" w:space="0" w:color="auto"/>
            <w:right w:val="none" w:sz="0" w:space="0" w:color="auto"/>
          </w:divBdr>
        </w:div>
        <w:div w:id="451945581">
          <w:marLeft w:val="0"/>
          <w:marRight w:val="0"/>
          <w:marTop w:val="0"/>
          <w:marBottom w:val="0"/>
          <w:divBdr>
            <w:top w:val="none" w:sz="0" w:space="0" w:color="auto"/>
            <w:left w:val="none" w:sz="0" w:space="0" w:color="auto"/>
            <w:bottom w:val="none" w:sz="0" w:space="0" w:color="auto"/>
            <w:right w:val="none" w:sz="0" w:space="0" w:color="auto"/>
          </w:divBdr>
        </w:div>
        <w:div w:id="470750578">
          <w:marLeft w:val="0"/>
          <w:marRight w:val="0"/>
          <w:marTop w:val="0"/>
          <w:marBottom w:val="0"/>
          <w:divBdr>
            <w:top w:val="none" w:sz="0" w:space="0" w:color="auto"/>
            <w:left w:val="none" w:sz="0" w:space="0" w:color="auto"/>
            <w:bottom w:val="none" w:sz="0" w:space="0" w:color="auto"/>
            <w:right w:val="none" w:sz="0" w:space="0" w:color="auto"/>
          </w:divBdr>
        </w:div>
        <w:div w:id="492837197">
          <w:marLeft w:val="0"/>
          <w:marRight w:val="0"/>
          <w:marTop w:val="0"/>
          <w:marBottom w:val="0"/>
          <w:divBdr>
            <w:top w:val="none" w:sz="0" w:space="0" w:color="auto"/>
            <w:left w:val="none" w:sz="0" w:space="0" w:color="auto"/>
            <w:bottom w:val="none" w:sz="0" w:space="0" w:color="auto"/>
            <w:right w:val="none" w:sz="0" w:space="0" w:color="auto"/>
          </w:divBdr>
        </w:div>
        <w:div w:id="525869471">
          <w:marLeft w:val="0"/>
          <w:marRight w:val="0"/>
          <w:marTop w:val="0"/>
          <w:marBottom w:val="0"/>
          <w:divBdr>
            <w:top w:val="none" w:sz="0" w:space="0" w:color="auto"/>
            <w:left w:val="none" w:sz="0" w:space="0" w:color="auto"/>
            <w:bottom w:val="none" w:sz="0" w:space="0" w:color="auto"/>
            <w:right w:val="none" w:sz="0" w:space="0" w:color="auto"/>
          </w:divBdr>
        </w:div>
        <w:div w:id="544685406">
          <w:marLeft w:val="0"/>
          <w:marRight w:val="0"/>
          <w:marTop w:val="0"/>
          <w:marBottom w:val="0"/>
          <w:divBdr>
            <w:top w:val="none" w:sz="0" w:space="0" w:color="auto"/>
            <w:left w:val="none" w:sz="0" w:space="0" w:color="auto"/>
            <w:bottom w:val="none" w:sz="0" w:space="0" w:color="auto"/>
            <w:right w:val="none" w:sz="0" w:space="0" w:color="auto"/>
          </w:divBdr>
        </w:div>
        <w:div w:id="551618691">
          <w:marLeft w:val="0"/>
          <w:marRight w:val="0"/>
          <w:marTop w:val="0"/>
          <w:marBottom w:val="0"/>
          <w:divBdr>
            <w:top w:val="none" w:sz="0" w:space="0" w:color="auto"/>
            <w:left w:val="none" w:sz="0" w:space="0" w:color="auto"/>
            <w:bottom w:val="none" w:sz="0" w:space="0" w:color="auto"/>
            <w:right w:val="none" w:sz="0" w:space="0" w:color="auto"/>
          </w:divBdr>
        </w:div>
        <w:div w:id="572155834">
          <w:marLeft w:val="0"/>
          <w:marRight w:val="0"/>
          <w:marTop w:val="0"/>
          <w:marBottom w:val="0"/>
          <w:divBdr>
            <w:top w:val="none" w:sz="0" w:space="0" w:color="auto"/>
            <w:left w:val="none" w:sz="0" w:space="0" w:color="auto"/>
            <w:bottom w:val="none" w:sz="0" w:space="0" w:color="auto"/>
            <w:right w:val="none" w:sz="0" w:space="0" w:color="auto"/>
          </w:divBdr>
        </w:div>
        <w:div w:id="576017318">
          <w:marLeft w:val="0"/>
          <w:marRight w:val="0"/>
          <w:marTop w:val="0"/>
          <w:marBottom w:val="0"/>
          <w:divBdr>
            <w:top w:val="none" w:sz="0" w:space="0" w:color="auto"/>
            <w:left w:val="none" w:sz="0" w:space="0" w:color="auto"/>
            <w:bottom w:val="none" w:sz="0" w:space="0" w:color="auto"/>
            <w:right w:val="none" w:sz="0" w:space="0" w:color="auto"/>
          </w:divBdr>
        </w:div>
        <w:div w:id="603805324">
          <w:marLeft w:val="0"/>
          <w:marRight w:val="0"/>
          <w:marTop w:val="0"/>
          <w:marBottom w:val="0"/>
          <w:divBdr>
            <w:top w:val="none" w:sz="0" w:space="0" w:color="auto"/>
            <w:left w:val="none" w:sz="0" w:space="0" w:color="auto"/>
            <w:bottom w:val="none" w:sz="0" w:space="0" w:color="auto"/>
            <w:right w:val="none" w:sz="0" w:space="0" w:color="auto"/>
          </w:divBdr>
        </w:div>
        <w:div w:id="658193315">
          <w:marLeft w:val="0"/>
          <w:marRight w:val="0"/>
          <w:marTop w:val="0"/>
          <w:marBottom w:val="0"/>
          <w:divBdr>
            <w:top w:val="none" w:sz="0" w:space="0" w:color="auto"/>
            <w:left w:val="none" w:sz="0" w:space="0" w:color="auto"/>
            <w:bottom w:val="none" w:sz="0" w:space="0" w:color="auto"/>
            <w:right w:val="none" w:sz="0" w:space="0" w:color="auto"/>
          </w:divBdr>
        </w:div>
        <w:div w:id="661276427">
          <w:marLeft w:val="0"/>
          <w:marRight w:val="0"/>
          <w:marTop w:val="0"/>
          <w:marBottom w:val="0"/>
          <w:divBdr>
            <w:top w:val="none" w:sz="0" w:space="0" w:color="auto"/>
            <w:left w:val="none" w:sz="0" w:space="0" w:color="auto"/>
            <w:bottom w:val="none" w:sz="0" w:space="0" w:color="auto"/>
            <w:right w:val="none" w:sz="0" w:space="0" w:color="auto"/>
          </w:divBdr>
        </w:div>
        <w:div w:id="666979873">
          <w:marLeft w:val="0"/>
          <w:marRight w:val="0"/>
          <w:marTop w:val="0"/>
          <w:marBottom w:val="0"/>
          <w:divBdr>
            <w:top w:val="none" w:sz="0" w:space="0" w:color="auto"/>
            <w:left w:val="none" w:sz="0" w:space="0" w:color="auto"/>
            <w:bottom w:val="none" w:sz="0" w:space="0" w:color="auto"/>
            <w:right w:val="none" w:sz="0" w:space="0" w:color="auto"/>
          </w:divBdr>
        </w:div>
        <w:div w:id="713234075">
          <w:marLeft w:val="0"/>
          <w:marRight w:val="0"/>
          <w:marTop w:val="0"/>
          <w:marBottom w:val="0"/>
          <w:divBdr>
            <w:top w:val="none" w:sz="0" w:space="0" w:color="auto"/>
            <w:left w:val="none" w:sz="0" w:space="0" w:color="auto"/>
            <w:bottom w:val="none" w:sz="0" w:space="0" w:color="auto"/>
            <w:right w:val="none" w:sz="0" w:space="0" w:color="auto"/>
          </w:divBdr>
        </w:div>
        <w:div w:id="746153817">
          <w:marLeft w:val="0"/>
          <w:marRight w:val="0"/>
          <w:marTop w:val="0"/>
          <w:marBottom w:val="0"/>
          <w:divBdr>
            <w:top w:val="none" w:sz="0" w:space="0" w:color="auto"/>
            <w:left w:val="none" w:sz="0" w:space="0" w:color="auto"/>
            <w:bottom w:val="none" w:sz="0" w:space="0" w:color="auto"/>
            <w:right w:val="none" w:sz="0" w:space="0" w:color="auto"/>
          </w:divBdr>
        </w:div>
        <w:div w:id="784421133">
          <w:marLeft w:val="0"/>
          <w:marRight w:val="0"/>
          <w:marTop w:val="0"/>
          <w:marBottom w:val="0"/>
          <w:divBdr>
            <w:top w:val="none" w:sz="0" w:space="0" w:color="auto"/>
            <w:left w:val="none" w:sz="0" w:space="0" w:color="auto"/>
            <w:bottom w:val="none" w:sz="0" w:space="0" w:color="auto"/>
            <w:right w:val="none" w:sz="0" w:space="0" w:color="auto"/>
          </w:divBdr>
        </w:div>
        <w:div w:id="792287873">
          <w:marLeft w:val="0"/>
          <w:marRight w:val="0"/>
          <w:marTop w:val="0"/>
          <w:marBottom w:val="0"/>
          <w:divBdr>
            <w:top w:val="none" w:sz="0" w:space="0" w:color="auto"/>
            <w:left w:val="none" w:sz="0" w:space="0" w:color="auto"/>
            <w:bottom w:val="none" w:sz="0" w:space="0" w:color="auto"/>
            <w:right w:val="none" w:sz="0" w:space="0" w:color="auto"/>
          </w:divBdr>
        </w:div>
        <w:div w:id="795831300">
          <w:marLeft w:val="0"/>
          <w:marRight w:val="0"/>
          <w:marTop w:val="0"/>
          <w:marBottom w:val="0"/>
          <w:divBdr>
            <w:top w:val="none" w:sz="0" w:space="0" w:color="auto"/>
            <w:left w:val="none" w:sz="0" w:space="0" w:color="auto"/>
            <w:bottom w:val="none" w:sz="0" w:space="0" w:color="auto"/>
            <w:right w:val="none" w:sz="0" w:space="0" w:color="auto"/>
          </w:divBdr>
        </w:div>
        <w:div w:id="816261208">
          <w:marLeft w:val="0"/>
          <w:marRight w:val="0"/>
          <w:marTop w:val="0"/>
          <w:marBottom w:val="0"/>
          <w:divBdr>
            <w:top w:val="none" w:sz="0" w:space="0" w:color="auto"/>
            <w:left w:val="none" w:sz="0" w:space="0" w:color="auto"/>
            <w:bottom w:val="none" w:sz="0" w:space="0" w:color="auto"/>
            <w:right w:val="none" w:sz="0" w:space="0" w:color="auto"/>
          </w:divBdr>
        </w:div>
        <w:div w:id="865215602">
          <w:marLeft w:val="0"/>
          <w:marRight w:val="0"/>
          <w:marTop w:val="0"/>
          <w:marBottom w:val="0"/>
          <w:divBdr>
            <w:top w:val="none" w:sz="0" w:space="0" w:color="auto"/>
            <w:left w:val="none" w:sz="0" w:space="0" w:color="auto"/>
            <w:bottom w:val="none" w:sz="0" w:space="0" w:color="auto"/>
            <w:right w:val="none" w:sz="0" w:space="0" w:color="auto"/>
          </w:divBdr>
        </w:div>
        <w:div w:id="932512870">
          <w:marLeft w:val="0"/>
          <w:marRight w:val="0"/>
          <w:marTop w:val="0"/>
          <w:marBottom w:val="0"/>
          <w:divBdr>
            <w:top w:val="none" w:sz="0" w:space="0" w:color="auto"/>
            <w:left w:val="none" w:sz="0" w:space="0" w:color="auto"/>
            <w:bottom w:val="none" w:sz="0" w:space="0" w:color="auto"/>
            <w:right w:val="none" w:sz="0" w:space="0" w:color="auto"/>
          </w:divBdr>
        </w:div>
        <w:div w:id="954092844">
          <w:marLeft w:val="0"/>
          <w:marRight w:val="0"/>
          <w:marTop w:val="0"/>
          <w:marBottom w:val="0"/>
          <w:divBdr>
            <w:top w:val="none" w:sz="0" w:space="0" w:color="auto"/>
            <w:left w:val="none" w:sz="0" w:space="0" w:color="auto"/>
            <w:bottom w:val="none" w:sz="0" w:space="0" w:color="auto"/>
            <w:right w:val="none" w:sz="0" w:space="0" w:color="auto"/>
          </w:divBdr>
        </w:div>
        <w:div w:id="988241846">
          <w:marLeft w:val="0"/>
          <w:marRight w:val="0"/>
          <w:marTop w:val="0"/>
          <w:marBottom w:val="0"/>
          <w:divBdr>
            <w:top w:val="none" w:sz="0" w:space="0" w:color="auto"/>
            <w:left w:val="none" w:sz="0" w:space="0" w:color="auto"/>
            <w:bottom w:val="none" w:sz="0" w:space="0" w:color="auto"/>
            <w:right w:val="none" w:sz="0" w:space="0" w:color="auto"/>
          </w:divBdr>
        </w:div>
        <w:div w:id="993067218">
          <w:marLeft w:val="0"/>
          <w:marRight w:val="0"/>
          <w:marTop w:val="0"/>
          <w:marBottom w:val="0"/>
          <w:divBdr>
            <w:top w:val="none" w:sz="0" w:space="0" w:color="auto"/>
            <w:left w:val="none" w:sz="0" w:space="0" w:color="auto"/>
            <w:bottom w:val="none" w:sz="0" w:space="0" w:color="auto"/>
            <w:right w:val="none" w:sz="0" w:space="0" w:color="auto"/>
          </w:divBdr>
        </w:div>
        <w:div w:id="999386894">
          <w:marLeft w:val="0"/>
          <w:marRight w:val="0"/>
          <w:marTop w:val="0"/>
          <w:marBottom w:val="0"/>
          <w:divBdr>
            <w:top w:val="none" w:sz="0" w:space="0" w:color="auto"/>
            <w:left w:val="none" w:sz="0" w:space="0" w:color="auto"/>
            <w:bottom w:val="none" w:sz="0" w:space="0" w:color="auto"/>
            <w:right w:val="none" w:sz="0" w:space="0" w:color="auto"/>
          </w:divBdr>
        </w:div>
        <w:div w:id="1015809044">
          <w:marLeft w:val="0"/>
          <w:marRight w:val="0"/>
          <w:marTop w:val="0"/>
          <w:marBottom w:val="0"/>
          <w:divBdr>
            <w:top w:val="none" w:sz="0" w:space="0" w:color="auto"/>
            <w:left w:val="none" w:sz="0" w:space="0" w:color="auto"/>
            <w:bottom w:val="none" w:sz="0" w:space="0" w:color="auto"/>
            <w:right w:val="none" w:sz="0" w:space="0" w:color="auto"/>
          </w:divBdr>
        </w:div>
        <w:div w:id="1024357054">
          <w:marLeft w:val="0"/>
          <w:marRight w:val="0"/>
          <w:marTop w:val="0"/>
          <w:marBottom w:val="0"/>
          <w:divBdr>
            <w:top w:val="none" w:sz="0" w:space="0" w:color="auto"/>
            <w:left w:val="none" w:sz="0" w:space="0" w:color="auto"/>
            <w:bottom w:val="none" w:sz="0" w:space="0" w:color="auto"/>
            <w:right w:val="none" w:sz="0" w:space="0" w:color="auto"/>
          </w:divBdr>
        </w:div>
        <w:div w:id="1044597971">
          <w:marLeft w:val="0"/>
          <w:marRight w:val="0"/>
          <w:marTop w:val="0"/>
          <w:marBottom w:val="0"/>
          <w:divBdr>
            <w:top w:val="none" w:sz="0" w:space="0" w:color="auto"/>
            <w:left w:val="none" w:sz="0" w:space="0" w:color="auto"/>
            <w:bottom w:val="none" w:sz="0" w:space="0" w:color="auto"/>
            <w:right w:val="none" w:sz="0" w:space="0" w:color="auto"/>
          </w:divBdr>
        </w:div>
        <w:div w:id="1046177952">
          <w:marLeft w:val="0"/>
          <w:marRight w:val="0"/>
          <w:marTop w:val="0"/>
          <w:marBottom w:val="0"/>
          <w:divBdr>
            <w:top w:val="none" w:sz="0" w:space="0" w:color="auto"/>
            <w:left w:val="none" w:sz="0" w:space="0" w:color="auto"/>
            <w:bottom w:val="none" w:sz="0" w:space="0" w:color="auto"/>
            <w:right w:val="none" w:sz="0" w:space="0" w:color="auto"/>
          </w:divBdr>
        </w:div>
        <w:div w:id="1046838147">
          <w:marLeft w:val="0"/>
          <w:marRight w:val="0"/>
          <w:marTop w:val="0"/>
          <w:marBottom w:val="0"/>
          <w:divBdr>
            <w:top w:val="none" w:sz="0" w:space="0" w:color="auto"/>
            <w:left w:val="none" w:sz="0" w:space="0" w:color="auto"/>
            <w:bottom w:val="none" w:sz="0" w:space="0" w:color="auto"/>
            <w:right w:val="none" w:sz="0" w:space="0" w:color="auto"/>
          </w:divBdr>
        </w:div>
        <w:div w:id="1099763481">
          <w:marLeft w:val="0"/>
          <w:marRight w:val="0"/>
          <w:marTop w:val="0"/>
          <w:marBottom w:val="0"/>
          <w:divBdr>
            <w:top w:val="none" w:sz="0" w:space="0" w:color="auto"/>
            <w:left w:val="none" w:sz="0" w:space="0" w:color="auto"/>
            <w:bottom w:val="none" w:sz="0" w:space="0" w:color="auto"/>
            <w:right w:val="none" w:sz="0" w:space="0" w:color="auto"/>
          </w:divBdr>
        </w:div>
        <w:div w:id="1109206969">
          <w:marLeft w:val="0"/>
          <w:marRight w:val="0"/>
          <w:marTop w:val="0"/>
          <w:marBottom w:val="0"/>
          <w:divBdr>
            <w:top w:val="none" w:sz="0" w:space="0" w:color="auto"/>
            <w:left w:val="none" w:sz="0" w:space="0" w:color="auto"/>
            <w:bottom w:val="none" w:sz="0" w:space="0" w:color="auto"/>
            <w:right w:val="none" w:sz="0" w:space="0" w:color="auto"/>
          </w:divBdr>
        </w:div>
        <w:div w:id="1110858197">
          <w:marLeft w:val="0"/>
          <w:marRight w:val="0"/>
          <w:marTop w:val="0"/>
          <w:marBottom w:val="0"/>
          <w:divBdr>
            <w:top w:val="none" w:sz="0" w:space="0" w:color="auto"/>
            <w:left w:val="none" w:sz="0" w:space="0" w:color="auto"/>
            <w:bottom w:val="none" w:sz="0" w:space="0" w:color="auto"/>
            <w:right w:val="none" w:sz="0" w:space="0" w:color="auto"/>
          </w:divBdr>
        </w:div>
        <w:div w:id="1116094176">
          <w:marLeft w:val="0"/>
          <w:marRight w:val="0"/>
          <w:marTop w:val="0"/>
          <w:marBottom w:val="0"/>
          <w:divBdr>
            <w:top w:val="none" w:sz="0" w:space="0" w:color="auto"/>
            <w:left w:val="none" w:sz="0" w:space="0" w:color="auto"/>
            <w:bottom w:val="none" w:sz="0" w:space="0" w:color="auto"/>
            <w:right w:val="none" w:sz="0" w:space="0" w:color="auto"/>
          </w:divBdr>
        </w:div>
        <w:div w:id="1158617736">
          <w:marLeft w:val="0"/>
          <w:marRight w:val="0"/>
          <w:marTop w:val="0"/>
          <w:marBottom w:val="0"/>
          <w:divBdr>
            <w:top w:val="none" w:sz="0" w:space="0" w:color="auto"/>
            <w:left w:val="none" w:sz="0" w:space="0" w:color="auto"/>
            <w:bottom w:val="none" w:sz="0" w:space="0" w:color="auto"/>
            <w:right w:val="none" w:sz="0" w:space="0" w:color="auto"/>
          </w:divBdr>
        </w:div>
        <w:div w:id="1167593509">
          <w:marLeft w:val="0"/>
          <w:marRight w:val="0"/>
          <w:marTop w:val="0"/>
          <w:marBottom w:val="0"/>
          <w:divBdr>
            <w:top w:val="none" w:sz="0" w:space="0" w:color="auto"/>
            <w:left w:val="none" w:sz="0" w:space="0" w:color="auto"/>
            <w:bottom w:val="none" w:sz="0" w:space="0" w:color="auto"/>
            <w:right w:val="none" w:sz="0" w:space="0" w:color="auto"/>
          </w:divBdr>
        </w:div>
        <w:div w:id="1172571293">
          <w:marLeft w:val="0"/>
          <w:marRight w:val="0"/>
          <w:marTop w:val="0"/>
          <w:marBottom w:val="0"/>
          <w:divBdr>
            <w:top w:val="none" w:sz="0" w:space="0" w:color="auto"/>
            <w:left w:val="none" w:sz="0" w:space="0" w:color="auto"/>
            <w:bottom w:val="none" w:sz="0" w:space="0" w:color="auto"/>
            <w:right w:val="none" w:sz="0" w:space="0" w:color="auto"/>
          </w:divBdr>
        </w:div>
        <w:div w:id="1172767333">
          <w:marLeft w:val="0"/>
          <w:marRight w:val="0"/>
          <w:marTop w:val="0"/>
          <w:marBottom w:val="0"/>
          <w:divBdr>
            <w:top w:val="none" w:sz="0" w:space="0" w:color="auto"/>
            <w:left w:val="none" w:sz="0" w:space="0" w:color="auto"/>
            <w:bottom w:val="none" w:sz="0" w:space="0" w:color="auto"/>
            <w:right w:val="none" w:sz="0" w:space="0" w:color="auto"/>
          </w:divBdr>
        </w:div>
        <w:div w:id="1173107406">
          <w:marLeft w:val="0"/>
          <w:marRight w:val="0"/>
          <w:marTop w:val="0"/>
          <w:marBottom w:val="0"/>
          <w:divBdr>
            <w:top w:val="none" w:sz="0" w:space="0" w:color="auto"/>
            <w:left w:val="none" w:sz="0" w:space="0" w:color="auto"/>
            <w:bottom w:val="none" w:sz="0" w:space="0" w:color="auto"/>
            <w:right w:val="none" w:sz="0" w:space="0" w:color="auto"/>
          </w:divBdr>
        </w:div>
        <w:div w:id="1177117689">
          <w:marLeft w:val="0"/>
          <w:marRight w:val="0"/>
          <w:marTop w:val="0"/>
          <w:marBottom w:val="0"/>
          <w:divBdr>
            <w:top w:val="none" w:sz="0" w:space="0" w:color="auto"/>
            <w:left w:val="none" w:sz="0" w:space="0" w:color="auto"/>
            <w:bottom w:val="none" w:sz="0" w:space="0" w:color="auto"/>
            <w:right w:val="none" w:sz="0" w:space="0" w:color="auto"/>
          </w:divBdr>
        </w:div>
        <w:div w:id="1249541424">
          <w:marLeft w:val="0"/>
          <w:marRight w:val="0"/>
          <w:marTop w:val="0"/>
          <w:marBottom w:val="0"/>
          <w:divBdr>
            <w:top w:val="none" w:sz="0" w:space="0" w:color="auto"/>
            <w:left w:val="none" w:sz="0" w:space="0" w:color="auto"/>
            <w:bottom w:val="none" w:sz="0" w:space="0" w:color="auto"/>
            <w:right w:val="none" w:sz="0" w:space="0" w:color="auto"/>
          </w:divBdr>
        </w:div>
        <w:div w:id="1280181896">
          <w:marLeft w:val="0"/>
          <w:marRight w:val="0"/>
          <w:marTop w:val="0"/>
          <w:marBottom w:val="0"/>
          <w:divBdr>
            <w:top w:val="none" w:sz="0" w:space="0" w:color="auto"/>
            <w:left w:val="none" w:sz="0" w:space="0" w:color="auto"/>
            <w:bottom w:val="none" w:sz="0" w:space="0" w:color="auto"/>
            <w:right w:val="none" w:sz="0" w:space="0" w:color="auto"/>
          </w:divBdr>
        </w:div>
        <w:div w:id="1287657824">
          <w:marLeft w:val="0"/>
          <w:marRight w:val="0"/>
          <w:marTop w:val="0"/>
          <w:marBottom w:val="0"/>
          <w:divBdr>
            <w:top w:val="none" w:sz="0" w:space="0" w:color="auto"/>
            <w:left w:val="none" w:sz="0" w:space="0" w:color="auto"/>
            <w:bottom w:val="none" w:sz="0" w:space="0" w:color="auto"/>
            <w:right w:val="none" w:sz="0" w:space="0" w:color="auto"/>
          </w:divBdr>
        </w:div>
        <w:div w:id="1296108274">
          <w:marLeft w:val="0"/>
          <w:marRight w:val="0"/>
          <w:marTop w:val="0"/>
          <w:marBottom w:val="0"/>
          <w:divBdr>
            <w:top w:val="none" w:sz="0" w:space="0" w:color="auto"/>
            <w:left w:val="none" w:sz="0" w:space="0" w:color="auto"/>
            <w:bottom w:val="none" w:sz="0" w:space="0" w:color="auto"/>
            <w:right w:val="none" w:sz="0" w:space="0" w:color="auto"/>
          </w:divBdr>
        </w:div>
        <w:div w:id="1301378942">
          <w:marLeft w:val="0"/>
          <w:marRight w:val="0"/>
          <w:marTop w:val="0"/>
          <w:marBottom w:val="0"/>
          <w:divBdr>
            <w:top w:val="none" w:sz="0" w:space="0" w:color="auto"/>
            <w:left w:val="none" w:sz="0" w:space="0" w:color="auto"/>
            <w:bottom w:val="none" w:sz="0" w:space="0" w:color="auto"/>
            <w:right w:val="none" w:sz="0" w:space="0" w:color="auto"/>
          </w:divBdr>
        </w:div>
        <w:div w:id="1306468549">
          <w:marLeft w:val="0"/>
          <w:marRight w:val="0"/>
          <w:marTop w:val="0"/>
          <w:marBottom w:val="0"/>
          <w:divBdr>
            <w:top w:val="none" w:sz="0" w:space="0" w:color="auto"/>
            <w:left w:val="none" w:sz="0" w:space="0" w:color="auto"/>
            <w:bottom w:val="none" w:sz="0" w:space="0" w:color="auto"/>
            <w:right w:val="none" w:sz="0" w:space="0" w:color="auto"/>
          </w:divBdr>
        </w:div>
        <w:div w:id="1315332016">
          <w:marLeft w:val="0"/>
          <w:marRight w:val="0"/>
          <w:marTop w:val="0"/>
          <w:marBottom w:val="0"/>
          <w:divBdr>
            <w:top w:val="none" w:sz="0" w:space="0" w:color="auto"/>
            <w:left w:val="none" w:sz="0" w:space="0" w:color="auto"/>
            <w:bottom w:val="none" w:sz="0" w:space="0" w:color="auto"/>
            <w:right w:val="none" w:sz="0" w:space="0" w:color="auto"/>
          </w:divBdr>
        </w:div>
        <w:div w:id="1316376326">
          <w:marLeft w:val="0"/>
          <w:marRight w:val="0"/>
          <w:marTop w:val="0"/>
          <w:marBottom w:val="0"/>
          <w:divBdr>
            <w:top w:val="none" w:sz="0" w:space="0" w:color="auto"/>
            <w:left w:val="none" w:sz="0" w:space="0" w:color="auto"/>
            <w:bottom w:val="none" w:sz="0" w:space="0" w:color="auto"/>
            <w:right w:val="none" w:sz="0" w:space="0" w:color="auto"/>
          </w:divBdr>
        </w:div>
        <w:div w:id="1381248503">
          <w:marLeft w:val="0"/>
          <w:marRight w:val="0"/>
          <w:marTop w:val="0"/>
          <w:marBottom w:val="0"/>
          <w:divBdr>
            <w:top w:val="none" w:sz="0" w:space="0" w:color="auto"/>
            <w:left w:val="none" w:sz="0" w:space="0" w:color="auto"/>
            <w:bottom w:val="none" w:sz="0" w:space="0" w:color="auto"/>
            <w:right w:val="none" w:sz="0" w:space="0" w:color="auto"/>
          </w:divBdr>
        </w:div>
        <w:div w:id="1387799898">
          <w:marLeft w:val="0"/>
          <w:marRight w:val="0"/>
          <w:marTop w:val="0"/>
          <w:marBottom w:val="0"/>
          <w:divBdr>
            <w:top w:val="none" w:sz="0" w:space="0" w:color="auto"/>
            <w:left w:val="none" w:sz="0" w:space="0" w:color="auto"/>
            <w:bottom w:val="none" w:sz="0" w:space="0" w:color="auto"/>
            <w:right w:val="none" w:sz="0" w:space="0" w:color="auto"/>
          </w:divBdr>
        </w:div>
        <w:div w:id="1389037493">
          <w:marLeft w:val="0"/>
          <w:marRight w:val="0"/>
          <w:marTop w:val="0"/>
          <w:marBottom w:val="0"/>
          <w:divBdr>
            <w:top w:val="none" w:sz="0" w:space="0" w:color="auto"/>
            <w:left w:val="none" w:sz="0" w:space="0" w:color="auto"/>
            <w:bottom w:val="none" w:sz="0" w:space="0" w:color="auto"/>
            <w:right w:val="none" w:sz="0" w:space="0" w:color="auto"/>
          </w:divBdr>
        </w:div>
        <w:div w:id="1389381165">
          <w:marLeft w:val="0"/>
          <w:marRight w:val="0"/>
          <w:marTop w:val="0"/>
          <w:marBottom w:val="0"/>
          <w:divBdr>
            <w:top w:val="none" w:sz="0" w:space="0" w:color="auto"/>
            <w:left w:val="none" w:sz="0" w:space="0" w:color="auto"/>
            <w:bottom w:val="none" w:sz="0" w:space="0" w:color="auto"/>
            <w:right w:val="none" w:sz="0" w:space="0" w:color="auto"/>
          </w:divBdr>
        </w:div>
        <w:div w:id="1402827018">
          <w:marLeft w:val="0"/>
          <w:marRight w:val="0"/>
          <w:marTop w:val="0"/>
          <w:marBottom w:val="0"/>
          <w:divBdr>
            <w:top w:val="none" w:sz="0" w:space="0" w:color="auto"/>
            <w:left w:val="none" w:sz="0" w:space="0" w:color="auto"/>
            <w:bottom w:val="none" w:sz="0" w:space="0" w:color="auto"/>
            <w:right w:val="none" w:sz="0" w:space="0" w:color="auto"/>
          </w:divBdr>
        </w:div>
        <w:div w:id="1437019849">
          <w:marLeft w:val="0"/>
          <w:marRight w:val="0"/>
          <w:marTop w:val="0"/>
          <w:marBottom w:val="0"/>
          <w:divBdr>
            <w:top w:val="none" w:sz="0" w:space="0" w:color="auto"/>
            <w:left w:val="none" w:sz="0" w:space="0" w:color="auto"/>
            <w:bottom w:val="none" w:sz="0" w:space="0" w:color="auto"/>
            <w:right w:val="none" w:sz="0" w:space="0" w:color="auto"/>
          </w:divBdr>
        </w:div>
        <w:div w:id="1446387301">
          <w:marLeft w:val="0"/>
          <w:marRight w:val="0"/>
          <w:marTop w:val="0"/>
          <w:marBottom w:val="0"/>
          <w:divBdr>
            <w:top w:val="none" w:sz="0" w:space="0" w:color="auto"/>
            <w:left w:val="none" w:sz="0" w:space="0" w:color="auto"/>
            <w:bottom w:val="none" w:sz="0" w:space="0" w:color="auto"/>
            <w:right w:val="none" w:sz="0" w:space="0" w:color="auto"/>
          </w:divBdr>
        </w:div>
        <w:div w:id="1463110824">
          <w:marLeft w:val="0"/>
          <w:marRight w:val="0"/>
          <w:marTop w:val="0"/>
          <w:marBottom w:val="0"/>
          <w:divBdr>
            <w:top w:val="none" w:sz="0" w:space="0" w:color="auto"/>
            <w:left w:val="none" w:sz="0" w:space="0" w:color="auto"/>
            <w:bottom w:val="none" w:sz="0" w:space="0" w:color="auto"/>
            <w:right w:val="none" w:sz="0" w:space="0" w:color="auto"/>
          </w:divBdr>
        </w:div>
        <w:div w:id="1475489975">
          <w:marLeft w:val="0"/>
          <w:marRight w:val="0"/>
          <w:marTop w:val="0"/>
          <w:marBottom w:val="0"/>
          <w:divBdr>
            <w:top w:val="none" w:sz="0" w:space="0" w:color="auto"/>
            <w:left w:val="none" w:sz="0" w:space="0" w:color="auto"/>
            <w:bottom w:val="none" w:sz="0" w:space="0" w:color="auto"/>
            <w:right w:val="none" w:sz="0" w:space="0" w:color="auto"/>
          </w:divBdr>
        </w:div>
        <w:div w:id="1496143252">
          <w:marLeft w:val="0"/>
          <w:marRight w:val="0"/>
          <w:marTop w:val="0"/>
          <w:marBottom w:val="0"/>
          <w:divBdr>
            <w:top w:val="none" w:sz="0" w:space="0" w:color="auto"/>
            <w:left w:val="none" w:sz="0" w:space="0" w:color="auto"/>
            <w:bottom w:val="none" w:sz="0" w:space="0" w:color="auto"/>
            <w:right w:val="none" w:sz="0" w:space="0" w:color="auto"/>
          </w:divBdr>
        </w:div>
        <w:div w:id="1507482143">
          <w:marLeft w:val="0"/>
          <w:marRight w:val="0"/>
          <w:marTop w:val="0"/>
          <w:marBottom w:val="0"/>
          <w:divBdr>
            <w:top w:val="none" w:sz="0" w:space="0" w:color="auto"/>
            <w:left w:val="none" w:sz="0" w:space="0" w:color="auto"/>
            <w:bottom w:val="none" w:sz="0" w:space="0" w:color="auto"/>
            <w:right w:val="none" w:sz="0" w:space="0" w:color="auto"/>
          </w:divBdr>
        </w:div>
        <w:div w:id="1515459505">
          <w:marLeft w:val="0"/>
          <w:marRight w:val="0"/>
          <w:marTop w:val="0"/>
          <w:marBottom w:val="0"/>
          <w:divBdr>
            <w:top w:val="none" w:sz="0" w:space="0" w:color="auto"/>
            <w:left w:val="none" w:sz="0" w:space="0" w:color="auto"/>
            <w:bottom w:val="none" w:sz="0" w:space="0" w:color="auto"/>
            <w:right w:val="none" w:sz="0" w:space="0" w:color="auto"/>
          </w:divBdr>
        </w:div>
        <w:div w:id="1543593304">
          <w:marLeft w:val="0"/>
          <w:marRight w:val="0"/>
          <w:marTop w:val="0"/>
          <w:marBottom w:val="0"/>
          <w:divBdr>
            <w:top w:val="none" w:sz="0" w:space="0" w:color="auto"/>
            <w:left w:val="none" w:sz="0" w:space="0" w:color="auto"/>
            <w:bottom w:val="none" w:sz="0" w:space="0" w:color="auto"/>
            <w:right w:val="none" w:sz="0" w:space="0" w:color="auto"/>
          </w:divBdr>
        </w:div>
        <w:div w:id="1547140701">
          <w:marLeft w:val="0"/>
          <w:marRight w:val="0"/>
          <w:marTop w:val="0"/>
          <w:marBottom w:val="0"/>
          <w:divBdr>
            <w:top w:val="none" w:sz="0" w:space="0" w:color="auto"/>
            <w:left w:val="none" w:sz="0" w:space="0" w:color="auto"/>
            <w:bottom w:val="none" w:sz="0" w:space="0" w:color="auto"/>
            <w:right w:val="none" w:sz="0" w:space="0" w:color="auto"/>
          </w:divBdr>
        </w:div>
        <w:div w:id="1559364972">
          <w:marLeft w:val="0"/>
          <w:marRight w:val="0"/>
          <w:marTop w:val="0"/>
          <w:marBottom w:val="0"/>
          <w:divBdr>
            <w:top w:val="none" w:sz="0" w:space="0" w:color="auto"/>
            <w:left w:val="none" w:sz="0" w:space="0" w:color="auto"/>
            <w:bottom w:val="none" w:sz="0" w:space="0" w:color="auto"/>
            <w:right w:val="none" w:sz="0" w:space="0" w:color="auto"/>
          </w:divBdr>
        </w:div>
        <w:div w:id="1560167904">
          <w:marLeft w:val="0"/>
          <w:marRight w:val="0"/>
          <w:marTop w:val="0"/>
          <w:marBottom w:val="0"/>
          <w:divBdr>
            <w:top w:val="none" w:sz="0" w:space="0" w:color="auto"/>
            <w:left w:val="none" w:sz="0" w:space="0" w:color="auto"/>
            <w:bottom w:val="none" w:sz="0" w:space="0" w:color="auto"/>
            <w:right w:val="none" w:sz="0" w:space="0" w:color="auto"/>
          </w:divBdr>
        </w:div>
        <w:div w:id="1587689836">
          <w:marLeft w:val="0"/>
          <w:marRight w:val="0"/>
          <w:marTop w:val="0"/>
          <w:marBottom w:val="0"/>
          <w:divBdr>
            <w:top w:val="none" w:sz="0" w:space="0" w:color="auto"/>
            <w:left w:val="none" w:sz="0" w:space="0" w:color="auto"/>
            <w:bottom w:val="none" w:sz="0" w:space="0" w:color="auto"/>
            <w:right w:val="none" w:sz="0" w:space="0" w:color="auto"/>
          </w:divBdr>
        </w:div>
        <w:div w:id="1595551465">
          <w:marLeft w:val="0"/>
          <w:marRight w:val="0"/>
          <w:marTop w:val="0"/>
          <w:marBottom w:val="0"/>
          <w:divBdr>
            <w:top w:val="none" w:sz="0" w:space="0" w:color="auto"/>
            <w:left w:val="none" w:sz="0" w:space="0" w:color="auto"/>
            <w:bottom w:val="none" w:sz="0" w:space="0" w:color="auto"/>
            <w:right w:val="none" w:sz="0" w:space="0" w:color="auto"/>
          </w:divBdr>
        </w:div>
        <w:div w:id="1599482905">
          <w:marLeft w:val="0"/>
          <w:marRight w:val="0"/>
          <w:marTop w:val="0"/>
          <w:marBottom w:val="0"/>
          <w:divBdr>
            <w:top w:val="none" w:sz="0" w:space="0" w:color="auto"/>
            <w:left w:val="none" w:sz="0" w:space="0" w:color="auto"/>
            <w:bottom w:val="none" w:sz="0" w:space="0" w:color="auto"/>
            <w:right w:val="none" w:sz="0" w:space="0" w:color="auto"/>
          </w:divBdr>
        </w:div>
        <w:div w:id="1622960399">
          <w:marLeft w:val="0"/>
          <w:marRight w:val="0"/>
          <w:marTop w:val="0"/>
          <w:marBottom w:val="0"/>
          <w:divBdr>
            <w:top w:val="none" w:sz="0" w:space="0" w:color="auto"/>
            <w:left w:val="none" w:sz="0" w:space="0" w:color="auto"/>
            <w:bottom w:val="none" w:sz="0" w:space="0" w:color="auto"/>
            <w:right w:val="none" w:sz="0" w:space="0" w:color="auto"/>
          </w:divBdr>
        </w:div>
        <w:div w:id="1638222686">
          <w:marLeft w:val="0"/>
          <w:marRight w:val="0"/>
          <w:marTop w:val="0"/>
          <w:marBottom w:val="0"/>
          <w:divBdr>
            <w:top w:val="none" w:sz="0" w:space="0" w:color="auto"/>
            <w:left w:val="none" w:sz="0" w:space="0" w:color="auto"/>
            <w:bottom w:val="none" w:sz="0" w:space="0" w:color="auto"/>
            <w:right w:val="none" w:sz="0" w:space="0" w:color="auto"/>
          </w:divBdr>
        </w:div>
        <w:div w:id="1679966925">
          <w:marLeft w:val="0"/>
          <w:marRight w:val="0"/>
          <w:marTop w:val="0"/>
          <w:marBottom w:val="0"/>
          <w:divBdr>
            <w:top w:val="none" w:sz="0" w:space="0" w:color="auto"/>
            <w:left w:val="none" w:sz="0" w:space="0" w:color="auto"/>
            <w:bottom w:val="none" w:sz="0" w:space="0" w:color="auto"/>
            <w:right w:val="none" w:sz="0" w:space="0" w:color="auto"/>
          </w:divBdr>
        </w:div>
        <w:div w:id="1755741748">
          <w:marLeft w:val="0"/>
          <w:marRight w:val="0"/>
          <w:marTop w:val="0"/>
          <w:marBottom w:val="0"/>
          <w:divBdr>
            <w:top w:val="none" w:sz="0" w:space="0" w:color="auto"/>
            <w:left w:val="none" w:sz="0" w:space="0" w:color="auto"/>
            <w:bottom w:val="none" w:sz="0" w:space="0" w:color="auto"/>
            <w:right w:val="none" w:sz="0" w:space="0" w:color="auto"/>
          </w:divBdr>
        </w:div>
        <w:div w:id="1776751145">
          <w:marLeft w:val="0"/>
          <w:marRight w:val="0"/>
          <w:marTop w:val="0"/>
          <w:marBottom w:val="0"/>
          <w:divBdr>
            <w:top w:val="none" w:sz="0" w:space="0" w:color="auto"/>
            <w:left w:val="none" w:sz="0" w:space="0" w:color="auto"/>
            <w:bottom w:val="none" w:sz="0" w:space="0" w:color="auto"/>
            <w:right w:val="none" w:sz="0" w:space="0" w:color="auto"/>
          </w:divBdr>
        </w:div>
        <w:div w:id="1783721801">
          <w:marLeft w:val="0"/>
          <w:marRight w:val="0"/>
          <w:marTop w:val="0"/>
          <w:marBottom w:val="0"/>
          <w:divBdr>
            <w:top w:val="none" w:sz="0" w:space="0" w:color="auto"/>
            <w:left w:val="none" w:sz="0" w:space="0" w:color="auto"/>
            <w:bottom w:val="none" w:sz="0" w:space="0" w:color="auto"/>
            <w:right w:val="none" w:sz="0" w:space="0" w:color="auto"/>
          </w:divBdr>
        </w:div>
        <w:div w:id="1787894294">
          <w:marLeft w:val="0"/>
          <w:marRight w:val="0"/>
          <w:marTop w:val="0"/>
          <w:marBottom w:val="0"/>
          <w:divBdr>
            <w:top w:val="none" w:sz="0" w:space="0" w:color="auto"/>
            <w:left w:val="none" w:sz="0" w:space="0" w:color="auto"/>
            <w:bottom w:val="none" w:sz="0" w:space="0" w:color="auto"/>
            <w:right w:val="none" w:sz="0" w:space="0" w:color="auto"/>
          </w:divBdr>
        </w:div>
        <w:div w:id="1808013474">
          <w:marLeft w:val="0"/>
          <w:marRight w:val="0"/>
          <w:marTop w:val="0"/>
          <w:marBottom w:val="0"/>
          <w:divBdr>
            <w:top w:val="none" w:sz="0" w:space="0" w:color="auto"/>
            <w:left w:val="none" w:sz="0" w:space="0" w:color="auto"/>
            <w:bottom w:val="none" w:sz="0" w:space="0" w:color="auto"/>
            <w:right w:val="none" w:sz="0" w:space="0" w:color="auto"/>
          </w:divBdr>
        </w:div>
        <w:div w:id="1813907228">
          <w:marLeft w:val="0"/>
          <w:marRight w:val="0"/>
          <w:marTop w:val="0"/>
          <w:marBottom w:val="0"/>
          <w:divBdr>
            <w:top w:val="none" w:sz="0" w:space="0" w:color="auto"/>
            <w:left w:val="none" w:sz="0" w:space="0" w:color="auto"/>
            <w:bottom w:val="none" w:sz="0" w:space="0" w:color="auto"/>
            <w:right w:val="none" w:sz="0" w:space="0" w:color="auto"/>
          </w:divBdr>
        </w:div>
        <w:div w:id="1826358379">
          <w:marLeft w:val="0"/>
          <w:marRight w:val="0"/>
          <w:marTop w:val="0"/>
          <w:marBottom w:val="0"/>
          <w:divBdr>
            <w:top w:val="none" w:sz="0" w:space="0" w:color="auto"/>
            <w:left w:val="none" w:sz="0" w:space="0" w:color="auto"/>
            <w:bottom w:val="none" w:sz="0" w:space="0" w:color="auto"/>
            <w:right w:val="none" w:sz="0" w:space="0" w:color="auto"/>
          </w:divBdr>
        </w:div>
        <w:div w:id="1837836962">
          <w:marLeft w:val="0"/>
          <w:marRight w:val="0"/>
          <w:marTop w:val="0"/>
          <w:marBottom w:val="0"/>
          <w:divBdr>
            <w:top w:val="none" w:sz="0" w:space="0" w:color="auto"/>
            <w:left w:val="none" w:sz="0" w:space="0" w:color="auto"/>
            <w:bottom w:val="none" w:sz="0" w:space="0" w:color="auto"/>
            <w:right w:val="none" w:sz="0" w:space="0" w:color="auto"/>
          </w:divBdr>
        </w:div>
        <w:div w:id="1841963860">
          <w:marLeft w:val="0"/>
          <w:marRight w:val="0"/>
          <w:marTop w:val="0"/>
          <w:marBottom w:val="0"/>
          <w:divBdr>
            <w:top w:val="none" w:sz="0" w:space="0" w:color="auto"/>
            <w:left w:val="none" w:sz="0" w:space="0" w:color="auto"/>
            <w:bottom w:val="none" w:sz="0" w:space="0" w:color="auto"/>
            <w:right w:val="none" w:sz="0" w:space="0" w:color="auto"/>
          </w:divBdr>
        </w:div>
        <w:div w:id="1858616992">
          <w:marLeft w:val="0"/>
          <w:marRight w:val="0"/>
          <w:marTop w:val="0"/>
          <w:marBottom w:val="0"/>
          <w:divBdr>
            <w:top w:val="none" w:sz="0" w:space="0" w:color="auto"/>
            <w:left w:val="none" w:sz="0" w:space="0" w:color="auto"/>
            <w:bottom w:val="none" w:sz="0" w:space="0" w:color="auto"/>
            <w:right w:val="none" w:sz="0" w:space="0" w:color="auto"/>
          </w:divBdr>
        </w:div>
        <w:div w:id="1903904451">
          <w:marLeft w:val="0"/>
          <w:marRight w:val="0"/>
          <w:marTop w:val="0"/>
          <w:marBottom w:val="0"/>
          <w:divBdr>
            <w:top w:val="none" w:sz="0" w:space="0" w:color="auto"/>
            <w:left w:val="none" w:sz="0" w:space="0" w:color="auto"/>
            <w:bottom w:val="none" w:sz="0" w:space="0" w:color="auto"/>
            <w:right w:val="none" w:sz="0" w:space="0" w:color="auto"/>
          </w:divBdr>
        </w:div>
        <w:div w:id="1922908125">
          <w:marLeft w:val="0"/>
          <w:marRight w:val="0"/>
          <w:marTop w:val="0"/>
          <w:marBottom w:val="0"/>
          <w:divBdr>
            <w:top w:val="none" w:sz="0" w:space="0" w:color="auto"/>
            <w:left w:val="none" w:sz="0" w:space="0" w:color="auto"/>
            <w:bottom w:val="none" w:sz="0" w:space="0" w:color="auto"/>
            <w:right w:val="none" w:sz="0" w:space="0" w:color="auto"/>
          </w:divBdr>
        </w:div>
        <w:div w:id="1927374105">
          <w:marLeft w:val="0"/>
          <w:marRight w:val="0"/>
          <w:marTop w:val="0"/>
          <w:marBottom w:val="0"/>
          <w:divBdr>
            <w:top w:val="none" w:sz="0" w:space="0" w:color="auto"/>
            <w:left w:val="none" w:sz="0" w:space="0" w:color="auto"/>
            <w:bottom w:val="none" w:sz="0" w:space="0" w:color="auto"/>
            <w:right w:val="none" w:sz="0" w:space="0" w:color="auto"/>
          </w:divBdr>
        </w:div>
        <w:div w:id="1927498851">
          <w:marLeft w:val="0"/>
          <w:marRight w:val="0"/>
          <w:marTop w:val="0"/>
          <w:marBottom w:val="0"/>
          <w:divBdr>
            <w:top w:val="none" w:sz="0" w:space="0" w:color="auto"/>
            <w:left w:val="none" w:sz="0" w:space="0" w:color="auto"/>
            <w:bottom w:val="none" w:sz="0" w:space="0" w:color="auto"/>
            <w:right w:val="none" w:sz="0" w:space="0" w:color="auto"/>
          </w:divBdr>
        </w:div>
        <w:div w:id="1937131507">
          <w:marLeft w:val="0"/>
          <w:marRight w:val="0"/>
          <w:marTop w:val="0"/>
          <w:marBottom w:val="0"/>
          <w:divBdr>
            <w:top w:val="none" w:sz="0" w:space="0" w:color="auto"/>
            <w:left w:val="none" w:sz="0" w:space="0" w:color="auto"/>
            <w:bottom w:val="none" w:sz="0" w:space="0" w:color="auto"/>
            <w:right w:val="none" w:sz="0" w:space="0" w:color="auto"/>
          </w:divBdr>
        </w:div>
        <w:div w:id="1968849213">
          <w:marLeft w:val="0"/>
          <w:marRight w:val="0"/>
          <w:marTop w:val="0"/>
          <w:marBottom w:val="0"/>
          <w:divBdr>
            <w:top w:val="none" w:sz="0" w:space="0" w:color="auto"/>
            <w:left w:val="none" w:sz="0" w:space="0" w:color="auto"/>
            <w:bottom w:val="none" w:sz="0" w:space="0" w:color="auto"/>
            <w:right w:val="none" w:sz="0" w:space="0" w:color="auto"/>
          </w:divBdr>
        </w:div>
        <w:div w:id="1974021508">
          <w:marLeft w:val="0"/>
          <w:marRight w:val="0"/>
          <w:marTop w:val="0"/>
          <w:marBottom w:val="0"/>
          <w:divBdr>
            <w:top w:val="none" w:sz="0" w:space="0" w:color="auto"/>
            <w:left w:val="none" w:sz="0" w:space="0" w:color="auto"/>
            <w:bottom w:val="none" w:sz="0" w:space="0" w:color="auto"/>
            <w:right w:val="none" w:sz="0" w:space="0" w:color="auto"/>
          </w:divBdr>
        </w:div>
        <w:div w:id="1976327609">
          <w:marLeft w:val="0"/>
          <w:marRight w:val="0"/>
          <w:marTop w:val="0"/>
          <w:marBottom w:val="0"/>
          <w:divBdr>
            <w:top w:val="none" w:sz="0" w:space="0" w:color="auto"/>
            <w:left w:val="none" w:sz="0" w:space="0" w:color="auto"/>
            <w:bottom w:val="none" w:sz="0" w:space="0" w:color="auto"/>
            <w:right w:val="none" w:sz="0" w:space="0" w:color="auto"/>
          </w:divBdr>
        </w:div>
        <w:div w:id="1979678281">
          <w:marLeft w:val="0"/>
          <w:marRight w:val="0"/>
          <w:marTop w:val="0"/>
          <w:marBottom w:val="0"/>
          <w:divBdr>
            <w:top w:val="none" w:sz="0" w:space="0" w:color="auto"/>
            <w:left w:val="none" w:sz="0" w:space="0" w:color="auto"/>
            <w:bottom w:val="none" w:sz="0" w:space="0" w:color="auto"/>
            <w:right w:val="none" w:sz="0" w:space="0" w:color="auto"/>
          </w:divBdr>
        </w:div>
        <w:div w:id="1987510882">
          <w:marLeft w:val="0"/>
          <w:marRight w:val="0"/>
          <w:marTop w:val="0"/>
          <w:marBottom w:val="0"/>
          <w:divBdr>
            <w:top w:val="none" w:sz="0" w:space="0" w:color="auto"/>
            <w:left w:val="none" w:sz="0" w:space="0" w:color="auto"/>
            <w:bottom w:val="none" w:sz="0" w:space="0" w:color="auto"/>
            <w:right w:val="none" w:sz="0" w:space="0" w:color="auto"/>
          </w:divBdr>
        </w:div>
        <w:div w:id="1992443317">
          <w:marLeft w:val="0"/>
          <w:marRight w:val="0"/>
          <w:marTop w:val="0"/>
          <w:marBottom w:val="0"/>
          <w:divBdr>
            <w:top w:val="none" w:sz="0" w:space="0" w:color="auto"/>
            <w:left w:val="none" w:sz="0" w:space="0" w:color="auto"/>
            <w:bottom w:val="none" w:sz="0" w:space="0" w:color="auto"/>
            <w:right w:val="none" w:sz="0" w:space="0" w:color="auto"/>
          </w:divBdr>
        </w:div>
        <w:div w:id="1997683732">
          <w:marLeft w:val="0"/>
          <w:marRight w:val="0"/>
          <w:marTop w:val="0"/>
          <w:marBottom w:val="0"/>
          <w:divBdr>
            <w:top w:val="none" w:sz="0" w:space="0" w:color="auto"/>
            <w:left w:val="none" w:sz="0" w:space="0" w:color="auto"/>
            <w:bottom w:val="none" w:sz="0" w:space="0" w:color="auto"/>
            <w:right w:val="none" w:sz="0" w:space="0" w:color="auto"/>
          </w:divBdr>
        </w:div>
        <w:div w:id="1999455367">
          <w:marLeft w:val="0"/>
          <w:marRight w:val="0"/>
          <w:marTop w:val="0"/>
          <w:marBottom w:val="0"/>
          <w:divBdr>
            <w:top w:val="none" w:sz="0" w:space="0" w:color="auto"/>
            <w:left w:val="none" w:sz="0" w:space="0" w:color="auto"/>
            <w:bottom w:val="none" w:sz="0" w:space="0" w:color="auto"/>
            <w:right w:val="none" w:sz="0" w:space="0" w:color="auto"/>
          </w:divBdr>
        </w:div>
        <w:div w:id="2016178274">
          <w:marLeft w:val="0"/>
          <w:marRight w:val="0"/>
          <w:marTop w:val="0"/>
          <w:marBottom w:val="0"/>
          <w:divBdr>
            <w:top w:val="none" w:sz="0" w:space="0" w:color="auto"/>
            <w:left w:val="none" w:sz="0" w:space="0" w:color="auto"/>
            <w:bottom w:val="none" w:sz="0" w:space="0" w:color="auto"/>
            <w:right w:val="none" w:sz="0" w:space="0" w:color="auto"/>
          </w:divBdr>
        </w:div>
        <w:div w:id="2033913280">
          <w:marLeft w:val="0"/>
          <w:marRight w:val="0"/>
          <w:marTop w:val="0"/>
          <w:marBottom w:val="0"/>
          <w:divBdr>
            <w:top w:val="none" w:sz="0" w:space="0" w:color="auto"/>
            <w:left w:val="none" w:sz="0" w:space="0" w:color="auto"/>
            <w:bottom w:val="none" w:sz="0" w:space="0" w:color="auto"/>
            <w:right w:val="none" w:sz="0" w:space="0" w:color="auto"/>
          </w:divBdr>
        </w:div>
        <w:div w:id="2038237695">
          <w:marLeft w:val="0"/>
          <w:marRight w:val="0"/>
          <w:marTop w:val="0"/>
          <w:marBottom w:val="0"/>
          <w:divBdr>
            <w:top w:val="none" w:sz="0" w:space="0" w:color="auto"/>
            <w:left w:val="none" w:sz="0" w:space="0" w:color="auto"/>
            <w:bottom w:val="none" w:sz="0" w:space="0" w:color="auto"/>
            <w:right w:val="none" w:sz="0" w:space="0" w:color="auto"/>
          </w:divBdr>
        </w:div>
        <w:div w:id="2052069715">
          <w:marLeft w:val="0"/>
          <w:marRight w:val="0"/>
          <w:marTop w:val="0"/>
          <w:marBottom w:val="0"/>
          <w:divBdr>
            <w:top w:val="none" w:sz="0" w:space="0" w:color="auto"/>
            <w:left w:val="none" w:sz="0" w:space="0" w:color="auto"/>
            <w:bottom w:val="none" w:sz="0" w:space="0" w:color="auto"/>
            <w:right w:val="none" w:sz="0" w:space="0" w:color="auto"/>
          </w:divBdr>
        </w:div>
        <w:div w:id="2055883573">
          <w:marLeft w:val="0"/>
          <w:marRight w:val="0"/>
          <w:marTop w:val="0"/>
          <w:marBottom w:val="0"/>
          <w:divBdr>
            <w:top w:val="none" w:sz="0" w:space="0" w:color="auto"/>
            <w:left w:val="none" w:sz="0" w:space="0" w:color="auto"/>
            <w:bottom w:val="none" w:sz="0" w:space="0" w:color="auto"/>
            <w:right w:val="none" w:sz="0" w:space="0" w:color="auto"/>
          </w:divBdr>
        </w:div>
        <w:div w:id="2081097012">
          <w:marLeft w:val="0"/>
          <w:marRight w:val="0"/>
          <w:marTop w:val="0"/>
          <w:marBottom w:val="0"/>
          <w:divBdr>
            <w:top w:val="none" w:sz="0" w:space="0" w:color="auto"/>
            <w:left w:val="none" w:sz="0" w:space="0" w:color="auto"/>
            <w:bottom w:val="none" w:sz="0" w:space="0" w:color="auto"/>
            <w:right w:val="none" w:sz="0" w:space="0" w:color="auto"/>
          </w:divBdr>
        </w:div>
        <w:div w:id="2122873163">
          <w:marLeft w:val="0"/>
          <w:marRight w:val="0"/>
          <w:marTop w:val="0"/>
          <w:marBottom w:val="0"/>
          <w:divBdr>
            <w:top w:val="none" w:sz="0" w:space="0" w:color="auto"/>
            <w:left w:val="none" w:sz="0" w:space="0" w:color="auto"/>
            <w:bottom w:val="none" w:sz="0" w:space="0" w:color="auto"/>
            <w:right w:val="none" w:sz="0" w:space="0" w:color="auto"/>
          </w:divBdr>
        </w:div>
        <w:div w:id="2144422124">
          <w:marLeft w:val="0"/>
          <w:marRight w:val="0"/>
          <w:marTop w:val="0"/>
          <w:marBottom w:val="0"/>
          <w:divBdr>
            <w:top w:val="none" w:sz="0" w:space="0" w:color="auto"/>
            <w:left w:val="none" w:sz="0" w:space="0" w:color="auto"/>
            <w:bottom w:val="none" w:sz="0" w:space="0" w:color="auto"/>
            <w:right w:val="none" w:sz="0" w:space="0" w:color="auto"/>
          </w:divBdr>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56977250">
      <w:bodyDiv w:val="1"/>
      <w:marLeft w:val="0"/>
      <w:marRight w:val="0"/>
      <w:marTop w:val="0"/>
      <w:marBottom w:val="0"/>
      <w:divBdr>
        <w:top w:val="none" w:sz="0" w:space="0" w:color="auto"/>
        <w:left w:val="none" w:sz="0" w:space="0" w:color="auto"/>
        <w:bottom w:val="none" w:sz="0" w:space="0" w:color="auto"/>
        <w:right w:val="none" w:sz="0" w:space="0" w:color="auto"/>
      </w:divBdr>
      <w:divsChild>
        <w:div w:id="789433">
          <w:marLeft w:val="0"/>
          <w:marRight w:val="0"/>
          <w:marTop w:val="0"/>
          <w:marBottom w:val="0"/>
          <w:divBdr>
            <w:top w:val="none" w:sz="0" w:space="0" w:color="auto"/>
            <w:left w:val="none" w:sz="0" w:space="0" w:color="auto"/>
            <w:bottom w:val="none" w:sz="0" w:space="0" w:color="auto"/>
            <w:right w:val="none" w:sz="0" w:space="0" w:color="auto"/>
          </w:divBdr>
        </w:div>
        <w:div w:id="11493026">
          <w:marLeft w:val="0"/>
          <w:marRight w:val="0"/>
          <w:marTop w:val="0"/>
          <w:marBottom w:val="0"/>
          <w:divBdr>
            <w:top w:val="none" w:sz="0" w:space="0" w:color="auto"/>
            <w:left w:val="none" w:sz="0" w:space="0" w:color="auto"/>
            <w:bottom w:val="none" w:sz="0" w:space="0" w:color="auto"/>
            <w:right w:val="none" w:sz="0" w:space="0" w:color="auto"/>
          </w:divBdr>
        </w:div>
        <w:div w:id="19286528">
          <w:marLeft w:val="0"/>
          <w:marRight w:val="0"/>
          <w:marTop w:val="0"/>
          <w:marBottom w:val="0"/>
          <w:divBdr>
            <w:top w:val="none" w:sz="0" w:space="0" w:color="auto"/>
            <w:left w:val="none" w:sz="0" w:space="0" w:color="auto"/>
            <w:bottom w:val="none" w:sz="0" w:space="0" w:color="auto"/>
            <w:right w:val="none" w:sz="0" w:space="0" w:color="auto"/>
          </w:divBdr>
        </w:div>
        <w:div w:id="84302570">
          <w:marLeft w:val="0"/>
          <w:marRight w:val="0"/>
          <w:marTop w:val="0"/>
          <w:marBottom w:val="0"/>
          <w:divBdr>
            <w:top w:val="none" w:sz="0" w:space="0" w:color="auto"/>
            <w:left w:val="none" w:sz="0" w:space="0" w:color="auto"/>
            <w:bottom w:val="none" w:sz="0" w:space="0" w:color="auto"/>
            <w:right w:val="none" w:sz="0" w:space="0" w:color="auto"/>
          </w:divBdr>
        </w:div>
        <w:div w:id="92362612">
          <w:marLeft w:val="0"/>
          <w:marRight w:val="0"/>
          <w:marTop w:val="0"/>
          <w:marBottom w:val="0"/>
          <w:divBdr>
            <w:top w:val="none" w:sz="0" w:space="0" w:color="auto"/>
            <w:left w:val="none" w:sz="0" w:space="0" w:color="auto"/>
            <w:bottom w:val="none" w:sz="0" w:space="0" w:color="auto"/>
            <w:right w:val="none" w:sz="0" w:space="0" w:color="auto"/>
          </w:divBdr>
        </w:div>
        <w:div w:id="105924663">
          <w:marLeft w:val="0"/>
          <w:marRight w:val="0"/>
          <w:marTop w:val="0"/>
          <w:marBottom w:val="0"/>
          <w:divBdr>
            <w:top w:val="none" w:sz="0" w:space="0" w:color="auto"/>
            <w:left w:val="none" w:sz="0" w:space="0" w:color="auto"/>
            <w:bottom w:val="none" w:sz="0" w:space="0" w:color="auto"/>
            <w:right w:val="none" w:sz="0" w:space="0" w:color="auto"/>
          </w:divBdr>
        </w:div>
        <w:div w:id="135336588">
          <w:marLeft w:val="0"/>
          <w:marRight w:val="0"/>
          <w:marTop w:val="0"/>
          <w:marBottom w:val="0"/>
          <w:divBdr>
            <w:top w:val="none" w:sz="0" w:space="0" w:color="auto"/>
            <w:left w:val="none" w:sz="0" w:space="0" w:color="auto"/>
            <w:bottom w:val="none" w:sz="0" w:space="0" w:color="auto"/>
            <w:right w:val="none" w:sz="0" w:space="0" w:color="auto"/>
          </w:divBdr>
        </w:div>
        <w:div w:id="141585465">
          <w:marLeft w:val="0"/>
          <w:marRight w:val="0"/>
          <w:marTop w:val="0"/>
          <w:marBottom w:val="0"/>
          <w:divBdr>
            <w:top w:val="none" w:sz="0" w:space="0" w:color="auto"/>
            <w:left w:val="none" w:sz="0" w:space="0" w:color="auto"/>
            <w:bottom w:val="none" w:sz="0" w:space="0" w:color="auto"/>
            <w:right w:val="none" w:sz="0" w:space="0" w:color="auto"/>
          </w:divBdr>
        </w:div>
        <w:div w:id="145900008">
          <w:marLeft w:val="0"/>
          <w:marRight w:val="0"/>
          <w:marTop w:val="0"/>
          <w:marBottom w:val="0"/>
          <w:divBdr>
            <w:top w:val="none" w:sz="0" w:space="0" w:color="auto"/>
            <w:left w:val="none" w:sz="0" w:space="0" w:color="auto"/>
            <w:bottom w:val="none" w:sz="0" w:space="0" w:color="auto"/>
            <w:right w:val="none" w:sz="0" w:space="0" w:color="auto"/>
          </w:divBdr>
        </w:div>
        <w:div w:id="153373195">
          <w:marLeft w:val="0"/>
          <w:marRight w:val="0"/>
          <w:marTop w:val="0"/>
          <w:marBottom w:val="0"/>
          <w:divBdr>
            <w:top w:val="none" w:sz="0" w:space="0" w:color="auto"/>
            <w:left w:val="none" w:sz="0" w:space="0" w:color="auto"/>
            <w:bottom w:val="none" w:sz="0" w:space="0" w:color="auto"/>
            <w:right w:val="none" w:sz="0" w:space="0" w:color="auto"/>
          </w:divBdr>
        </w:div>
        <w:div w:id="159319573">
          <w:marLeft w:val="0"/>
          <w:marRight w:val="0"/>
          <w:marTop w:val="0"/>
          <w:marBottom w:val="0"/>
          <w:divBdr>
            <w:top w:val="none" w:sz="0" w:space="0" w:color="auto"/>
            <w:left w:val="none" w:sz="0" w:space="0" w:color="auto"/>
            <w:bottom w:val="none" w:sz="0" w:space="0" w:color="auto"/>
            <w:right w:val="none" w:sz="0" w:space="0" w:color="auto"/>
          </w:divBdr>
        </w:div>
        <w:div w:id="165823508">
          <w:marLeft w:val="0"/>
          <w:marRight w:val="0"/>
          <w:marTop w:val="0"/>
          <w:marBottom w:val="0"/>
          <w:divBdr>
            <w:top w:val="none" w:sz="0" w:space="0" w:color="auto"/>
            <w:left w:val="none" w:sz="0" w:space="0" w:color="auto"/>
            <w:bottom w:val="none" w:sz="0" w:space="0" w:color="auto"/>
            <w:right w:val="none" w:sz="0" w:space="0" w:color="auto"/>
          </w:divBdr>
        </w:div>
        <w:div w:id="192689710">
          <w:marLeft w:val="0"/>
          <w:marRight w:val="0"/>
          <w:marTop w:val="0"/>
          <w:marBottom w:val="0"/>
          <w:divBdr>
            <w:top w:val="none" w:sz="0" w:space="0" w:color="auto"/>
            <w:left w:val="none" w:sz="0" w:space="0" w:color="auto"/>
            <w:bottom w:val="none" w:sz="0" w:space="0" w:color="auto"/>
            <w:right w:val="none" w:sz="0" w:space="0" w:color="auto"/>
          </w:divBdr>
        </w:div>
        <w:div w:id="232737739">
          <w:marLeft w:val="0"/>
          <w:marRight w:val="0"/>
          <w:marTop w:val="0"/>
          <w:marBottom w:val="0"/>
          <w:divBdr>
            <w:top w:val="none" w:sz="0" w:space="0" w:color="auto"/>
            <w:left w:val="none" w:sz="0" w:space="0" w:color="auto"/>
            <w:bottom w:val="none" w:sz="0" w:space="0" w:color="auto"/>
            <w:right w:val="none" w:sz="0" w:space="0" w:color="auto"/>
          </w:divBdr>
        </w:div>
        <w:div w:id="259291819">
          <w:marLeft w:val="0"/>
          <w:marRight w:val="0"/>
          <w:marTop w:val="0"/>
          <w:marBottom w:val="0"/>
          <w:divBdr>
            <w:top w:val="none" w:sz="0" w:space="0" w:color="auto"/>
            <w:left w:val="none" w:sz="0" w:space="0" w:color="auto"/>
            <w:bottom w:val="none" w:sz="0" w:space="0" w:color="auto"/>
            <w:right w:val="none" w:sz="0" w:space="0" w:color="auto"/>
          </w:divBdr>
        </w:div>
        <w:div w:id="295795281">
          <w:marLeft w:val="0"/>
          <w:marRight w:val="0"/>
          <w:marTop w:val="0"/>
          <w:marBottom w:val="0"/>
          <w:divBdr>
            <w:top w:val="none" w:sz="0" w:space="0" w:color="auto"/>
            <w:left w:val="none" w:sz="0" w:space="0" w:color="auto"/>
            <w:bottom w:val="none" w:sz="0" w:space="0" w:color="auto"/>
            <w:right w:val="none" w:sz="0" w:space="0" w:color="auto"/>
          </w:divBdr>
        </w:div>
        <w:div w:id="307443314">
          <w:marLeft w:val="0"/>
          <w:marRight w:val="0"/>
          <w:marTop w:val="0"/>
          <w:marBottom w:val="0"/>
          <w:divBdr>
            <w:top w:val="none" w:sz="0" w:space="0" w:color="auto"/>
            <w:left w:val="none" w:sz="0" w:space="0" w:color="auto"/>
            <w:bottom w:val="none" w:sz="0" w:space="0" w:color="auto"/>
            <w:right w:val="none" w:sz="0" w:space="0" w:color="auto"/>
          </w:divBdr>
        </w:div>
        <w:div w:id="333266216">
          <w:marLeft w:val="0"/>
          <w:marRight w:val="0"/>
          <w:marTop w:val="0"/>
          <w:marBottom w:val="0"/>
          <w:divBdr>
            <w:top w:val="none" w:sz="0" w:space="0" w:color="auto"/>
            <w:left w:val="none" w:sz="0" w:space="0" w:color="auto"/>
            <w:bottom w:val="none" w:sz="0" w:space="0" w:color="auto"/>
            <w:right w:val="none" w:sz="0" w:space="0" w:color="auto"/>
          </w:divBdr>
        </w:div>
        <w:div w:id="337004127">
          <w:marLeft w:val="0"/>
          <w:marRight w:val="0"/>
          <w:marTop w:val="0"/>
          <w:marBottom w:val="0"/>
          <w:divBdr>
            <w:top w:val="none" w:sz="0" w:space="0" w:color="auto"/>
            <w:left w:val="none" w:sz="0" w:space="0" w:color="auto"/>
            <w:bottom w:val="none" w:sz="0" w:space="0" w:color="auto"/>
            <w:right w:val="none" w:sz="0" w:space="0" w:color="auto"/>
          </w:divBdr>
        </w:div>
        <w:div w:id="346256267">
          <w:marLeft w:val="0"/>
          <w:marRight w:val="0"/>
          <w:marTop w:val="0"/>
          <w:marBottom w:val="0"/>
          <w:divBdr>
            <w:top w:val="none" w:sz="0" w:space="0" w:color="auto"/>
            <w:left w:val="none" w:sz="0" w:space="0" w:color="auto"/>
            <w:bottom w:val="none" w:sz="0" w:space="0" w:color="auto"/>
            <w:right w:val="none" w:sz="0" w:space="0" w:color="auto"/>
          </w:divBdr>
        </w:div>
        <w:div w:id="358312634">
          <w:marLeft w:val="0"/>
          <w:marRight w:val="0"/>
          <w:marTop w:val="0"/>
          <w:marBottom w:val="0"/>
          <w:divBdr>
            <w:top w:val="none" w:sz="0" w:space="0" w:color="auto"/>
            <w:left w:val="none" w:sz="0" w:space="0" w:color="auto"/>
            <w:bottom w:val="none" w:sz="0" w:space="0" w:color="auto"/>
            <w:right w:val="none" w:sz="0" w:space="0" w:color="auto"/>
          </w:divBdr>
        </w:div>
        <w:div w:id="362098998">
          <w:marLeft w:val="0"/>
          <w:marRight w:val="0"/>
          <w:marTop w:val="0"/>
          <w:marBottom w:val="0"/>
          <w:divBdr>
            <w:top w:val="none" w:sz="0" w:space="0" w:color="auto"/>
            <w:left w:val="none" w:sz="0" w:space="0" w:color="auto"/>
            <w:bottom w:val="none" w:sz="0" w:space="0" w:color="auto"/>
            <w:right w:val="none" w:sz="0" w:space="0" w:color="auto"/>
          </w:divBdr>
        </w:div>
        <w:div w:id="384069141">
          <w:marLeft w:val="0"/>
          <w:marRight w:val="0"/>
          <w:marTop w:val="0"/>
          <w:marBottom w:val="0"/>
          <w:divBdr>
            <w:top w:val="none" w:sz="0" w:space="0" w:color="auto"/>
            <w:left w:val="none" w:sz="0" w:space="0" w:color="auto"/>
            <w:bottom w:val="none" w:sz="0" w:space="0" w:color="auto"/>
            <w:right w:val="none" w:sz="0" w:space="0" w:color="auto"/>
          </w:divBdr>
        </w:div>
        <w:div w:id="386537965">
          <w:marLeft w:val="0"/>
          <w:marRight w:val="0"/>
          <w:marTop w:val="0"/>
          <w:marBottom w:val="0"/>
          <w:divBdr>
            <w:top w:val="none" w:sz="0" w:space="0" w:color="auto"/>
            <w:left w:val="none" w:sz="0" w:space="0" w:color="auto"/>
            <w:bottom w:val="none" w:sz="0" w:space="0" w:color="auto"/>
            <w:right w:val="none" w:sz="0" w:space="0" w:color="auto"/>
          </w:divBdr>
        </w:div>
        <w:div w:id="397021169">
          <w:marLeft w:val="0"/>
          <w:marRight w:val="0"/>
          <w:marTop w:val="0"/>
          <w:marBottom w:val="0"/>
          <w:divBdr>
            <w:top w:val="none" w:sz="0" w:space="0" w:color="auto"/>
            <w:left w:val="none" w:sz="0" w:space="0" w:color="auto"/>
            <w:bottom w:val="none" w:sz="0" w:space="0" w:color="auto"/>
            <w:right w:val="none" w:sz="0" w:space="0" w:color="auto"/>
          </w:divBdr>
        </w:div>
        <w:div w:id="433210402">
          <w:marLeft w:val="0"/>
          <w:marRight w:val="0"/>
          <w:marTop w:val="0"/>
          <w:marBottom w:val="0"/>
          <w:divBdr>
            <w:top w:val="none" w:sz="0" w:space="0" w:color="auto"/>
            <w:left w:val="none" w:sz="0" w:space="0" w:color="auto"/>
            <w:bottom w:val="none" w:sz="0" w:space="0" w:color="auto"/>
            <w:right w:val="none" w:sz="0" w:space="0" w:color="auto"/>
          </w:divBdr>
        </w:div>
        <w:div w:id="442923059">
          <w:marLeft w:val="0"/>
          <w:marRight w:val="0"/>
          <w:marTop w:val="0"/>
          <w:marBottom w:val="0"/>
          <w:divBdr>
            <w:top w:val="none" w:sz="0" w:space="0" w:color="auto"/>
            <w:left w:val="none" w:sz="0" w:space="0" w:color="auto"/>
            <w:bottom w:val="none" w:sz="0" w:space="0" w:color="auto"/>
            <w:right w:val="none" w:sz="0" w:space="0" w:color="auto"/>
          </w:divBdr>
        </w:div>
        <w:div w:id="459231621">
          <w:marLeft w:val="0"/>
          <w:marRight w:val="0"/>
          <w:marTop w:val="0"/>
          <w:marBottom w:val="0"/>
          <w:divBdr>
            <w:top w:val="none" w:sz="0" w:space="0" w:color="auto"/>
            <w:left w:val="none" w:sz="0" w:space="0" w:color="auto"/>
            <w:bottom w:val="none" w:sz="0" w:space="0" w:color="auto"/>
            <w:right w:val="none" w:sz="0" w:space="0" w:color="auto"/>
          </w:divBdr>
        </w:div>
        <w:div w:id="521212649">
          <w:marLeft w:val="0"/>
          <w:marRight w:val="0"/>
          <w:marTop w:val="0"/>
          <w:marBottom w:val="0"/>
          <w:divBdr>
            <w:top w:val="none" w:sz="0" w:space="0" w:color="auto"/>
            <w:left w:val="none" w:sz="0" w:space="0" w:color="auto"/>
            <w:bottom w:val="none" w:sz="0" w:space="0" w:color="auto"/>
            <w:right w:val="none" w:sz="0" w:space="0" w:color="auto"/>
          </w:divBdr>
        </w:div>
        <w:div w:id="556358789">
          <w:marLeft w:val="0"/>
          <w:marRight w:val="0"/>
          <w:marTop w:val="0"/>
          <w:marBottom w:val="0"/>
          <w:divBdr>
            <w:top w:val="none" w:sz="0" w:space="0" w:color="auto"/>
            <w:left w:val="none" w:sz="0" w:space="0" w:color="auto"/>
            <w:bottom w:val="none" w:sz="0" w:space="0" w:color="auto"/>
            <w:right w:val="none" w:sz="0" w:space="0" w:color="auto"/>
          </w:divBdr>
        </w:div>
        <w:div w:id="596326631">
          <w:marLeft w:val="0"/>
          <w:marRight w:val="0"/>
          <w:marTop w:val="0"/>
          <w:marBottom w:val="0"/>
          <w:divBdr>
            <w:top w:val="none" w:sz="0" w:space="0" w:color="auto"/>
            <w:left w:val="none" w:sz="0" w:space="0" w:color="auto"/>
            <w:bottom w:val="none" w:sz="0" w:space="0" w:color="auto"/>
            <w:right w:val="none" w:sz="0" w:space="0" w:color="auto"/>
          </w:divBdr>
        </w:div>
        <w:div w:id="621887674">
          <w:marLeft w:val="0"/>
          <w:marRight w:val="0"/>
          <w:marTop w:val="0"/>
          <w:marBottom w:val="0"/>
          <w:divBdr>
            <w:top w:val="none" w:sz="0" w:space="0" w:color="auto"/>
            <w:left w:val="none" w:sz="0" w:space="0" w:color="auto"/>
            <w:bottom w:val="none" w:sz="0" w:space="0" w:color="auto"/>
            <w:right w:val="none" w:sz="0" w:space="0" w:color="auto"/>
          </w:divBdr>
        </w:div>
        <w:div w:id="624387395">
          <w:marLeft w:val="0"/>
          <w:marRight w:val="0"/>
          <w:marTop w:val="0"/>
          <w:marBottom w:val="0"/>
          <w:divBdr>
            <w:top w:val="none" w:sz="0" w:space="0" w:color="auto"/>
            <w:left w:val="none" w:sz="0" w:space="0" w:color="auto"/>
            <w:bottom w:val="none" w:sz="0" w:space="0" w:color="auto"/>
            <w:right w:val="none" w:sz="0" w:space="0" w:color="auto"/>
          </w:divBdr>
        </w:div>
        <w:div w:id="648823462">
          <w:marLeft w:val="0"/>
          <w:marRight w:val="0"/>
          <w:marTop w:val="0"/>
          <w:marBottom w:val="0"/>
          <w:divBdr>
            <w:top w:val="none" w:sz="0" w:space="0" w:color="auto"/>
            <w:left w:val="none" w:sz="0" w:space="0" w:color="auto"/>
            <w:bottom w:val="none" w:sz="0" w:space="0" w:color="auto"/>
            <w:right w:val="none" w:sz="0" w:space="0" w:color="auto"/>
          </w:divBdr>
        </w:div>
        <w:div w:id="660425735">
          <w:marLeft w:val="0"/>
          <w:marRight w:val="0"/>
          <w:marTop w:val="0"/>
          <w:marBottom w:val="0"/>
          <w:divBdr>
            <w:top w:val="none" w:sz="0" w:space="0" w:color="auto"/>
            <w:left w:val="none" w:sz="0" w:space="0" w:color="auto"/>
            <w:bottom w:val="none" w:sz="0" w:space="0" w:color="auto"/>
            <w:right w:val="none" w:sz="0" w:space="0" w:color="auto"/>
          </w:divBdr>
        </w:div>
        <w:div w:id="669522598">
          <w:marLeft w:val="0"/>
          <w:marRight w:val="0"/>
          <w:marTop w:val="0"/>
          <w:marBottom w:val="0"/>
          <w:divBdr>
            <w:top w:val="none" w:sz="0" w:space="0" w:color="auto"/>
            <w:left w:val="none" w:sz="0" w:space="0" w:color="auto"/>
            <w:bottom w:val="none" w:sz="0" w:space="0" w:color="auto"/>
            <w:right w:val="none" w:sz="0" w:space="0" w:color="auto"/>
          </w:divBdr>
        </w:div>
        <w:div w:id="680282419">
          <w:marLeft w:val="0"/>
          <w:marRight w:val="0"/>
          <w:marTop w:val="0"/>
          <w:marBottom w:val="0"/>
          <w:divBdr>
            <w:top w:val="none" w:sz="0" w:space="0" w:color="auto"/>
            <w:left w:val="none" w:sz="0" w:space="0" w:color="auto"/>
            <w:bottom w:val="none" w:sz="0" w:space="0" w:color="auto"/>
            <w:right w:val="none" w:sz="0" w:space="0" w:color="auto"/>
          </w:divBdr>
        </w:div>
        <w:div w:id="686752774">
          <w:marLeft w:val="0"/>
          <w:marRight w:val="0"/>
          <w:marTop w:val="0"/>
          <w:marBottom w:val="0"/>
          <w:divBdr>
            <w:top w:val="none" w:sz="0" w:space="0" w:color="auto"/>
            <w:left w:val="none" w:sz="0" w:space="0" w:color="auto"/>
            <w:bottom w:val="none" w:sz="0" w:space="0" w:color="auto"/>
            <w:right w:val="none" w:sz="0" w:space="0" w:color="auto"/>
          </w:divBdr>
        </w:div>
        <w:div w:id="718938862">
          <w:marLeft w:val="0"/>
          <w:marRight w:val="0"/>
          <w:marTop w:val="0"/>
          <w:marBottom w:val="0"/>
          <w:divBdr>
            <w:top w:val="none" w:sz="0" w:space="0" w:color="auto"/>
            <w:left w:val="none" w:sz="0" w:space="0" w:color="auto"/>
            <w:bottom w:val="none" w:sz="0" w:space="0" w:color="auto"/>
            <w:right w:val="none" w:sz="0" w:space="0" w:color="auto"/>
          </w:divBdr>
        </w:div>
        <w:div w:id="720599011">
          <w:marLeft w:val="0"/>
          <w:marRight w:val="0"/>
          <w:marTop w:val="0"/>
          <w:marBottom w:val="0"/>
          <w:divBdr>
            <w:top w:val="none" w:sz="0" w:space="0" w:color="auto"/>
            <w:left w:val="none" w:sz="0" w:space="0" w:color="auto"/>
            <w:bottom w:val="none" w:sz="0" w:space="0" w:color="auto"/>
            <w:right w:val="none" w:sz="0" w:space="0" w:color="auto"/>
          </w:divBdr>
        </w:div>
        <w:div w:id="723143988">
          <w:marLeft w:val="0"/>
          <w:marRight w:val="0"/>
          <w:marTop w:val="0"/>
          <w:marBottom w:val="0"/>
          <w:divBdr>
            <w:top w:val="none" w:sz="0" w:space="0" w:color="auto"/>
            <w:left w:val="none" w:sz="0" w:space="0" w:color="auto"/>
            <w:bottom w:val="none" w:sz="0" w:space="0" w:color="auto"/>
            <w:right w:val="none" w:sz="0" w:space="0" w:color="auto"/>
          </w:divBdr>
        </w:div>
        <w:div w:id="756753431">
          <w:marLeft w:val="0"/>
          <w:marRight w:val="0"/>
          <w:marTop w:val="0"/>
          <w:marBottom w:val="0"/>
          <w:divBdr>
            <w:top w:val="none" w:sz="0" w:space="0" w:color="auto"/>
            <w:left w:val="none" w:sz="0" w:space="0" w:color="auto"/>
            <w:bottom w:val="none" w:sz="0" w:space="0" w:color="auto"/>
            <w:right w:val="none" w:sz="0" w:space="0" w:color="auto"/>
          </w:divBdr>
        </w:div>
        <w:div w:id="783698809">
          <w:marLeft w:val="0"/>
          <w:marRight w:val="0"/>
          <w:marTop w:val="0"/>
          <w:marBottom w:val="0"/>
          <w:divBdr>
            <w:top w:val="none" w:sz="0" w:space="0" w:color="auto"/>
            <w:left w:val="none" w:sz="0" w:space="0" w:color="auto"/>
            <w:bottom w:val="none" w:sz="0" w:space="0" w:color="auto"/>
            <w:right w:val="none" w:sz="0" w:space="0" w:color="auto"/>
          </w:divBdr>
        </w:div>
        <w:div w:id="798306521">
          <w:marLeft w:val="0"/>
          <w:marRight w:val="0"/>
          <w:marTop w:val="0"/>
          <w:marBottom w:val="0"/>
          <w:divBdr>
            <w:top w:val="none" w:sz="0" w:space="0" w:color="auto"/>
            <w:left w:val="none" w:sz="0" w:space="0" w:color="auto"/>
            <w:bottom w:val="none" w:sz="0" w:space="0" w:color="auto"/>
            <w:right w:val="none" w:sz="0" w:space="0" w:color="auto"/>
          </w:divBdr>
        </w:div>
        <w:div w:id="820584223">
          <w:marLeft w:val="0"/>
          <w:marRight w:val="0"/>
          <w:marTop w:val="0"/>
          <w:marBottom w:val="0"/>
          <w:divBdr>
            <w:top w:val="none" w:sz="0" w:space="0" w:color="auto"/>
            <w:left w:val="none" w:sz="0" w:space="0" w:color="auto"/>
            <w:bottom w:val="none" w:sz="0" w:space="0" w:color="auto"/>
            <w:right w:val="none" w:sz="0" w:space="0" w:color="auto"/>
          </w:divBdr>
        </w:div>
        <w:div w:id="829171663">
          <w:marLeft w:val="0"/>
          <w:marRight w:val="0"/>
          <w:marTop w:val="0"/>
          <w:marBottom w:val="0"/>
          <w:divBdr>
            <w:top w:val="none" w:sz="0" w:space="0" w:color="auto"/>
            <w:left w:val="none" w:sz="0" w:space="0" w:color="auto"/>
            <w:bottom w:val="none" w:sz="0" w:space="0" w:color="auto"/>
            <w:right w:val="none" w:sz="0" w:space="0" w:color="auto"/>
          </w:divBdr>
        </w:div>
        <w:div w:id="829250943">
          <w:marLeft w:val="0"/>
          <w:marRight w:val="0"/>
          <w:marTop w:val="0"/>
          <w:marBottom w:val="0"/>
          <w:divBdr>
            <w:top w:val="none" w:sz="0" w:space="0" w:color="auto"/>
            <w:left w:val="none" w:sz="0" w:space="0" w:color="auto"/>
            <w:bottom w:val="none" w:sz="0" w:space="0" w:color="auto"/>
            <w:right w:val="none" w:sz="0" w:space="0" w:color="auto"/>
          </w:divBdr>
        </w:div>
        <w:div w:id="847452496">
          <w:marLeft w:val="0"/>
          <w:marRight w:val="0"/>
          <w:marTop w:val="0"/>
          <w:marBottom w:val="0"/>
          <w:divBdr>
            <w:top w:val="none" w:sz="0" w:space="0" w:color="auto"/>
            <w:left w:val="none" w:sz="0" w:space="0" w:color="auto"/>
            <w:bottom w:val="none" w:sz="0" w:space="0" w:color="auto"/>
            <w:right w:val="none" w:sz="0" w:space="0" w:color="auto"/>
          </w:divBdr>
        </w:div>
        <w:div w:id="847524915">
          <w:marLeft w:val="0"/>
          <w:marRight w:val="0"/>
          <w:marTop w:val="0"/>
          <w:marBottom w:val="0"/>
          <w:divBdr>
            <w:top w:val="none" w:sz="0" w:space="0" w:color="auto"/>
            <w:left w:val="none" w:sz="0" w:space="0" w:color="auto"/>
            <w:bottom w:val="none" w:sz="0" w:space="0" w:color="auto"/>
            <w:right w:val="none" w:sz="0" w:space="0" w:color="auto"/>
          </w:divBdr>
        </w:div>
        <w:div w:id="874318133">
          <w:marLeft w:val="0"/>
          <w:marRight w:val="0"/>
          <w:marTop w:val="0"/>
          <w:marBottom w:val="0"/>
          <w:divBdr>
            <w:top w:val="none" w:sz="0" w:space="0" w:color="auto"/>
            <w:left w:val="none" w:sz="0" w:space="0" w:color="auto"/>
            <w:bottom w:val="none" w:sz="0" w:space="0" w:color="auto"/>
            <w:right w:val="none" w:sz="0" w:space="0" w:color="auto"/>
          </w:divBdr>
        </w:div>
        <w:div w:id="933250785">
          <w:marLeft w:val="0"/>
          <w:marRight w:val="0"/>
          <w:marTop w:val="0"/>
          <w:marBottom w:val="0"/>
          <w:divBdr>
            <w:top w:val="none" w:sz="0" w:space="0" w:color="auto"/>
            <w:left w:val="none" w:sz="0" w:space="0" w:color="auto"/>
            <w:bottom w:val="none" w:sz="0" w:space="0" w:color="auto"/>
            <w:right w:val="none" w:sz="0" w:space="0" w:color="auto"/>
          </w:divBdr>
        </w:div>
        <w:div w:id="947085580">
          <w:marLeft w:val="0"/>
          <w:marRight w:val="0"/>
          <w:marTop w:val="0"/>
          <w:marBottom w:val="0"/>
          <w:divBdr>
            <w:top w:val="none" w:sz="0" w:space="0" w:color="auto"/>
            <w:left w:val="none" w:sz="0" w:space="0" w:color="auto"/>
            <w:bottom w:val="none" w:sz="0" w:space="0" w:color="auto"/>
            <w:right w:val="none" w:sz="0" w:space="0" w:color="auto"/>
          </w:divBdr>
        </w:div>
        <w:div w:id="974485712">
          <w:marLeft w:val="0"/>
          <w:marRight w:val="0"/>
          <w:marTop w:val="0"/>
          <w:marBottom w:val="0"/>
          <w:divBdr>
            <w:top w:val="none" w:sz="0" w:space="0" w:color="auto"/>
            <w:left w:val="none" w:sz="0" w:space="0" w:color="auto"/>
            <w:bottom w:val="none" w:sz="0" w:space="0" w:color="auto"/>
            <w:right w:val="none" w:sz="0" w:space="0" w:color="auto"/>
          </w:divBdr>
        </w:div>
        <w:div w:id="982152468">
          <w:marLeft w:val="0"/>
          <w:marRight w:val="0"/>
          <w:marTop w:val="0"/>
          <w:marBottom w:val="0"/>
          <w:divBdr>
            <w:top w:val="none" w:sz="0" w:space="0" w:color="auto"/>
            <w:left w:val="none" w:sz="0" w:space="0" w:color="auto"/>
            <w:bottom w:val="none" w:sz="0" w:space="0" w:color="auto"/>
            <w:right w:val="none" w:sz="0" w:space="0" w:color="auto"/>
          </w:divBdr>
        </w:div>
        <w:div w:id="982660215">
          <w:marLeft w:val="0"/>
          <w:marRight w:val="0"/>
          <w:marTop w:val="0"/>
          <w:marBottom w:val="0"/>
          <w:divBdr>
            <w:top w:val="none" w:sz="0" w:space="0" w:color="auto"/>
            <w:left w:val="none" w:sz="0" w:space="0" w:color="auto"/>
            <w:bottom w:val="none" w:sz="0" w:space="0" w:color="auto"/>
            <w:right w:val="none" w:sz="0" w:space="0" w:color="auto"/>
          </w:divBdr>
        </w:div>
        <w:div w:id="1031954653">
          <w:marLeft w:val="0"/>
          <w:marRight w:val="0"/>
          <w:marTop w:val="0"/>
          <w:marBottom w:val="0"/>
          <w:divBdr>
            <w:top w:val="none" w:sz="0" w:space="0" w:color="auto"/>
            <w:left w:val="none" w:sz="0" w:space="0" w:color="auto"/>
            <w:bottom w:val="none" w:sz="0" w:space="0" w:color="auto"/>
            <w:right w:val="none" w:sz="0" w:space="0" w:color="auto"/>
          </w:divBdr>
        </w:div>
        <w:div w:id="1058816983">
          <w:marLeft w:val="0"/>
          <w:marRight w:val="0"/>
          <w:marTop w:val="0"/>
          <w:marBottom w:val="0"/>
          <w:divBdr>
            <w:top w:val="none" w:sz="0" w:space="0" w:color="auto"/>
            <w:left w:val="none" w:sz="0" w:space="0" w:color="auto"/>
            <w:bottom w:val="none" w:sz="0" w:space="0" w:color="auto"/>
            <w:right w:val="none" w:sz="0" w:space="0" w:color="auto"/>
          </w:divBdr>
        </w:div>
        <w:div w:id="1059396841">
          <w:marLeft w:val="0"/>
          <w:marRight w:val="0"/>
          <w:marTop w:val="0"/>
          <w:marBottom w:val="0"/>
          <w:divBdr>
            <w:top w:val="none" w:sz="0" w:space="0" w:color="auto"/>
            <w:left w:val="none" w:sz="0" w:space="0" w:color="auto"/>
            <w:bottom w:val="none" w:sz="0" w:space="0" w:color="auto"/>
            <w:right w:val="none" w:sz="0" w:space="0" w:color="auto"/>
          </w:divBdr>
        </w:div>
        <w:div w:id="1062287968">
          <w:marLeft w:val="0"/>
          <w:marRight w:val="0"/>
          <w:marTop w:val="0"/>
          <w:marBottom w:val="0"/>
          <w:divBdr>
            <w:top w:val="none" w:sz="0" w:space="0" w:color="auto"/>
            <w:left w:val="none" w:sz="0" w:space="0" w:color="auto"/>
            <w:bottom w:val="none" w:sz="0" w:space="0" w:color="auto"/>
            <w:right w:val="none" w:sz="0" w:space="0" w:color="auto"/>
          </w:divBdr>
        </w:div>
        <w:div w:id="1063330305">
          <w:marLeft w:val="0"/>
          <w:marRight w:val="0"/>
          <w:marTop w:val="0"/>
          <w:marBottom w:val="0"/>
          <w:divBdr>
            <w:top w:val="none" w:sz="0" w:space="0" w:color="auto"/>
            <w:left w:val="none" w:sz="0" w:space="0" w:color="auto"/>
            <w:bottom w:val="none" w:sz="0" w:space="0" w:color="auto"/>
            <w:right w:val="none" w:sz="0" w:space="0" w:color="auto"/>
          </w:divBdr>
        </w:div>
        <w:div w:id="1066998195">
          <w:marLeft w:val="0"/>
          <w:marRight w:val="0"/>
          <w:marTop w:val="0"/>
          <w:marBottom w:val="0"/>
          <w:divBdr>
            <w:top w:val="none" w:sz="0" w:space="0" w:color="auto"/>
            <w:left w:val="none" w:sz="0" w:space="0" w:color="auto"/>
            <w:bottom w:val="none" w:sz="0" w:space="0" w:color="auto"/>
            <w:right w:val="none" w:sz="0" w:space="0" w:color="auto"/>
          </w:divBdr>
        </w:div>
        <w:div w:id="1093893878">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0"/>
          <w:marBottom w:val="0"/>
          <w:divBdr>
            <w:top w:val="none" w:sz="0" w:space="0" w:color="auto"/>
            <w:left w:val="none" w:sz="0" w:space="0" w:color="auto"/>
            <w:bottom w:val="none" w:sz="0" w:space="0" w:color="auto"/>
            <w:right w:val="none" w:sz="0" w:space="0" w:color="auto"/>
          </w:divBdr>
        </w:div>
        <w:div w:id="1102645946">
          <w:marLeft w:val="0"/>
          <w:marRight w:val="0"/>
          <w:marTop w:val="0"/>
          <w:marBottom w:val="0"/>
          <w:divBdr>
            <w:top w:val="none" w:sz="0" w:space="0" w:color="auto"/>
            <w:left w:val="none" w:sz="0" w:space="0" w:color="auto"/>
            <w:bottom w:val="none" w:sz="0" w:space="0" w:color="auto"/>
            <w:right w:val="none" w:sz="0" w:space="0" w:color="auto"/>
          </w:divBdr>
        </w:div>
        <w:div w:id="1112045373">
          <w:marLeft w:val="0"/>
          <w:marRight w:val="0"/>
          <w:marTop w:val="0"/>
          <w:marBottom w:val="0"/>
          <w:divBdr>
            <w:top w:val="none" w:sz="0" w:space="0" w:color="auto"/>
            <w:left w:val="none" w:sz="0" w:space="0" w:color="auto"/>
            <w:bottom w:val="none" w:sz="0" w:space="0" w:color="auto"/>
            <w:right w:val="none" w:sz="0" w:space="0" w:color="auto"/>
          </w:divBdr>
        </w:div>
        <w:div w:id="1119762150">
          <w:marLeft w:val="0"/>
          <w:marRight w:val="0"/>
          <w:marTop w:val="0"/>
          <w:marBottom w:val="0"/>
          <w:divBdr>
            <w:top w:val="none" w:sz="0" w:space="0" w:color="auto"/>
            <w:left w:val="none" w:sz="0" w:space="0" w:color="auto"/>
            <w:bottom w:val="none" w:sz="0" w:space="0" w:color="auto"/>
            <w:right w:val="none" w:sz="0" w:space="0" w:color="auto"/>
          </w:divBdr>
        </w:div>
        <w:div w:id="1156068482">
          <w:marLeft w:val="0"/>
          <w:marRight w:val="0"/>
          <w:marTop w:val="0"/>
          <w:marBottom w:val="0"/>
          <w:divBdr>
            <w:top w:val="none" w:sz="0" w:space="0" w:color="auto"/>
            <w:left w:val="none" w:sz="0" w:space="0" w:color="auto"/>
            <w:bottom w:val="none" w:sz="0" w:space="0" w:color="auto"/>
            <w:right w:val="none" w:sz="0" w:space="0" w:color="auto"/>
          </w:divBdr>
        </w:div>
        <w:div w:id="1174608344">
          <w:marLeft w:val="0"/>
          <w:marRight w:val="0"/>
          <w:marTop w:val="0"/>
          <w:marBottom w:val="0"/>
          <w:divBdr>
            <w:top w:val="none" w:sz="0" w:space="0" w:color="auto"/>
            <w:left w:val="none" w:sz="0" w:space="0" w:color="auto"/>
            <w:bottom w:val="none" w:sz="0" w:space="0" w:color="auto"/>
            <w:right w:val="none" w:sz="0" w:space="0" w:color="auto"/>
          </w:divBdr>
        </w:div>
        <w:div w:id="1189611350">
          <w:marLeft w:val="0"/>
          <w:marRight w:val="0"/>
          <w:marTop w:val="0"/>
          <w:marBottom w:val="0"/>
          <w:divBdr>
            <w:top w:val="none" w:sz="0" w:space="0" w:color="auto"/>
            <w:left w:val="none" w:sz="0" w:space="0" w:color="auto"/>
            <w:bottom w:val="none" w:sz="0" w:space="0" w:color="auto"/>
            <w:right w:val="none" w:sz="0" w:space="0" w:color="auto"/>
          </w:divBdr>
        </w:div>
        <w:div w:id="1192105889">
          <w:marLeft w:val="0"/>
          <w:marRight w:val="0"/>
          <w:marTop w:val="0"/>
          <w:marBottom w:val="0"/>
          <w:divBdr>
            <w:top w:val="none" w:sz="0" w:space="0" w:color="auto"/>
            <w:left w:val="none" w:sz="0" w:space="0" w:color="auto"/>
            <w:bottom w:val="none" w:sz="0" w:space="0" w:color="auto"/>
            <w:right w:val="none" w:sz="0" w:space="0" w:color="auto"/>
          </w:divBdr>
        </w:div>
        <w:div w:id="1200780482">
          <w:marLeft w:val="0"/>
          <w:marRight w:val="0"/>
          <w:marTop w:val="0"/>
          <w:marBottom w:val="0"/>
          <w:divBdr>
            <w:top w:val="none" w:sz="0" w:space="0" w:color="auto"/>
            <w:left w:val="none" w:sz="0" w:space="0" w:color="auto"/>
            <w:bottom w:val="none" w:sz="0" w:space="0" w:color="auto"/>
            <w:right w:val="none" w:sz="0" w:space="0" w:color="auto"/>
          </w:divBdr>
        </w:div>
        <w:div w:id="1234437985">
          <w:marLeft w:val="0"/>
          <w:marRight w:val="0"/>
          <w:marTop w:val="0"/>
          <w:marBottom w:val="0"/>
          <w:divBdr>
            <w:top w:val="none" w:sz="0" w:space="0" w:color="auto"/>
            <w:left w:val="none" w:sz="0" w:space="0" w:color="auto"/>
            <w:bottom w:val="none" w:sz="0" w:space="0" w:color="auto"/>
            <w:right w:val="none" w:sz="0" w:space="0" w:color="auto"/>
          </w:divBdr>
        </w:div>
        <w:div w:id="1241597469">
          <w:marLeft w:val="0"/>
          <w:marRight w:val="0"/>
          <w:marTop w:val="0"/>
          <w:marBottom w:val="0"/>
          <w:divBdr>
            <w:top w:val="none" w:sz="0" w:space="0" w:color="auto"/>
            <w:left w:val="none" w:sz="0" w:space="0" w:color="auto"/>
            <w:bottom w:val="none" w:sz="0" w:space="0" w:color="auto"/>
            <w:right w:val="none" w:sz="0" w:space="0" w:color="auto"/>
          </w:divBdr>
        </w:div>
        <w:div w:id="1243832399">
          <w:marLeft w:val="0"/>
          <w:marRight w:val="0"/>
          <w:marTop w:val="0"/>
          <w:marBottom w:val="0"/>
          <w:divBdr>
            <w:top w:val="none" w:sz="0" w:space="0" w:color="auto"/>
            <w:left w:val="none" w:sz="0" w:space="0" w:color="auto"/>
            <w:bottom w:val="none" w:sz="0" w:space="0" w:color="auto"/>
            <w:right w:val="none" w:sz="0" w:space="0" w:color="auto"/>
          </w:divBdr>
        </w:div>
        <w:div w:id="1249650893">
          <w:marLeft w:val="0"/>
          <w:marRight w:val="0"/>
          <w:marTop w:val="0"/>
          <w:marBottom w:val="0"/>
          <w:divBdr>
            <w:top w:val="none" w:sz="0" w:space="0" w:color="auto"/>
            <w:left w:val="none" w:sz="0" w:space="0" w:color="auto"/>
            <w:bottom w:val="none" w:sz="0" w:space="0" w:color="auto"/>
            <w:right w:val="none" w:sz="0" w:space="0" w:color="auto"/>
          </w:divBdr>
        </w:div>
        <w:div w:id="1277760595">
          <w:marLeft w:val="0"/>
          <w:marRight w:val="0"/>
          <w:marTop w:val="0"/>
          <w:marBottom w:val="0"/>
          <w:divBdr>
            <w:top w:val="none" w:sz="0" w:space="0" w:color="auto"/>
            <w:left w:val="none" w:sz="0" w:space="0" w:color="auto"/>
            <w:bottom w:val="none" w:sz="0" w:space="0" w:color="auto"/>
            <w:right w:val="none" w:sz="0" w:space="0" w:color="auto"/>
          </w:divBdr>
        </w:div>
        <w:div w:id="1292442971">
          <w:marLeft w:val="0"/>
          <w:marRight w:val="0"/>
          <w:marTop w:val="0"/>
          <w:marBottom w:val="0"/>
          <w:divBdr>
            <w:top w:val="none" w:sz="0" w:space="0" w:color="auto"/>
            <w:left w:val="none" w:sz="0" w:space="0" w:color="auto"/>
            <w:bottom w:val="none" w:sz="0" w:space="0" w:color="auto"/>
            <w:right w:val="none" w:sz="0" w:space="0" w:color="auto"/>
          </w:divBdr>
        </w:div>
        <w:div w:id="1293828744">
          <w:marLeft w:val="0"/>
          <w:marRight w:val="0"/>
          <w:marTop w:val="0"/>
          <w:marBottom w:val="0"/>
          <w:divBdr>
            <w:top w:val="none" w:sz="0" w:space="0" w:color="auto"/>
            <w:left w:val="none" w:sz="0" w:space="0" w:color="auto"/>
            <w:bottom w:val="none" w:sz="0" w:space="0" w:color="auto"/>
            <w:right w:val="none" w:sz="0" w:space="0" w:color="auto"/>
          </w:divBdr>
        </w:div>
        <w:div w:id="1312252269">
          <w:marLeft w:val="0"/>
          <w:marRight w:val="0"/>
          <w:marTop w:val="0"/>
          <w:marBottom w:val="0"/>
          <w:divBdr>
            <w:top w:val="none" w:sz="0" w:space="0" w:color="auto"/>
            <w:left w:val="none" w:sz="0" w:space="0" w:color="auto"/>
            <w:bottom w:val="none" w:sz="0" w:space="0" w:color="auto"/>
            <w:right w:val="none" w:sz="0" w:space="0" w:color="auto"/>
          </w:divBdr>
        </w:div>
        <w:div w:id="1351688067">
          <w:marLeft w:val="0"/>
          <w:marRight w:val="0"/>
          <w:marTop w:val="0"/>
          <w:marBottom w:val="0"/>
          <w:divBdr>
            <w:top w:val="none" w:sz="0" w:space="0" w:color="auto"/>
            <w:left w:val="none" w:sz="0" w:space="0" w:color="auto"/>
            <w:bottom w:val="none" w:sz="0" w:space="0" w:color="auto"/>
            <w:right w:val="none" w:sz="0" w:space="0" w:color="auto"/>
          </w:divBdr>
        </w:div>
        <w:div w:id="1361203622">
          <w:marLeft w:val="0"/>
          <w:marRight w:val="0"/>
          <w:marTop w:val="0"/>
          <w:marBottom w:val="0"/>
          <w:divBdr>
            <w:top w:val="none" w:sz="0" w:space="0" w:color="auto"/>
            <w:left w:val="none" w:sz="0" w:space="0" w:color="auto"/>
            <w:bottom w:val="none" w:sz="0" w:space="0" w:color="auto"/>
            <w:right w:val="none" w:sz="0" w:space="0" w:color="auto"/>
          </w:divBdr>
        </w:div>
        <w:div w:id="1373192504">
          <w:marLeft w:val="0"/>
          <w:marRight w:val="0"/>
          <w:marTop w:val="0"/>
          <w:marBottom w:val="0"/>
          <w:divBdr>
            <w:top w:val="none" w:sz="0" w:space="0" w:color="auto"/>
            <w:left w:val="none" w:sz="0" w:space="0" w:color="auto"/>
            <w:bottom w:val="none" w:sz="0" w:space="0" w:color="auto"/>
            <w:right w:val="none" w:sz="0" w:space="0" w:color="auto"/>
          </w:divBdr>
        </w:div>
        <w:div w:id="1396201888">
          <w:marLeft w:val="0"/>
          <w:marRight w:val="0"/>
          <w:marTop w:val="0"/>
          <w:marBottom w:val="0"/>
          <w:divBdr>
            <w:top w:val="none" w:sz="0" w:space="0" w:color="auto"/>
            <w:left w:val="none" w:sz="0" w:space="0" w:color="auto"/>
            <w:bottom w:val="none" w:sz="0" w:space="0" w:color="auto"/>
            <w:right w:val="none" w:sz="0" w:space="0" w:color="auto"/>
          </w:divBdr>
        </w:div>
        <w:div w:id="1426802515">
          <w:marLeft w:val="0"/>
          <w:marRight w:val="0"/>
          <w:marTop w:val="0"/>
          <w:marBottom w:val="0"/>
          <w:divBdr>
            <w:top w:val="none" w:sz="0" w:space="0" w:color="auto"/>
            <w:left w:val="none" w:sz="0" w:space="0" w:color="auto"/>
            <w:bottom w:val="none" w:sz="0" w:space="0" w:color="auto"/>
            <w:right w:val="none" w:sz="0" w:space="0" w:color="auto"/>
          </w:divBdr>
        </w:div>
        <w:div w:id="1439325572">
          <w:marLeft w:val="0"/>
          <w:marRight w:val="0"/>
          <w:marTop w:val="0"/>
          <w:marBottom w:val="0"/>
          <w:divBdr>
            <w:top w:val="none" w:sz="0" w:space="0" w:color="auto"/>
            <w:left w:val="none" w:sz="0" w:space="0" w:color="auto"/>
            <w:bottom w:val="none" w:sz="0" w:space="0" w:color="auto"/>
            <w:right w:val="none" w:sz="0" w:space="0" w:color="auto"/>
          </w:divBdr>
        </w:div>
        <w:div w:id="1509951643">
          <w:marLeft w:val="0"/>
          <w:marRight w:val="0"/>
          <w:marTop w:val="0"/>
          <w:marBottom w:val="0"/>
          <w:divBdr>
            <w:top w:val="none" w:sz="0" w:space="0" w:color="auto"/>
            <w:left w:val="none" w:sz="0" w:space="0" w:color="auto"/>
            <w:bottom w:val="none" w:sz="0" w:space="0" w:color="auto"/>
            <w:right w:val="none" w:sz="0" w:space="0" w:color="auto"/>
          </w:divBdr>
        </w:div>
        <w:div w:id="1518469589">
          <w:marLeft w:val="0"/>
          <w:marRight w:val="0"/>
          <w:marTop w:val="0"/>
          <w:marBottom w:val="0"/>
          <w:divBdr>
            <w:top w:val="none" w:sz="0" w:space="0" w:color="auto"/>
            <w:left w:val="none" w:sz="0" w:space="0" w:color="auto"/>
            <w:bottom w:val="none" w:sz="0" w:space="0" w:color="auto"/>
            <w:right w:val="none" w:sz="0" w:space="0" w:color="auto"/>
          </w:divBdr>
        </w:div>
        <w:div w:id="1523595355">
          <w:marLeft w:val="0"/>
          <w:marRight w:val="0"/>
          <w:marTop w:val="0"/>
          <w:marBottom w:val="0"/>
          <w:divBdr>
            <w:top w:val="none" w:sz="0" w:space="0" w:color="auto"/>
            <w:left w:val="none" w:sz="0" w:space="0" w:color="auto"/>
            <w:bottom w:val="none" w:sz="0" w:space="0" w:color="auto"/>
            <w:right w:val="none" w:sz="0" w:space="0" w:color="auto"/>
          </w:divBdr>
        </w:div>
        <w:div w:id="1524320435">
          <w:marLeft w:val="0"/>
          <w:marRight w:val="0"/>
          <w:marTop w:val="0"/>
          <w:marBottom w:val="0"/>
          <w:divBdr>
            <w:top w:val="none" w:sz="0" w:space="0" w:color="auto"/>
            <w:left w:val="none" w:sz="0" w:space="0" w:color="auto"/>
            <w:bottom w:val="none" w:sz="0" w:space="0" w:color="auto"/>
            <w:right w:val="none" w:sz="0" w:space="0" w:color="auto"/>
          </w:divBdr>
        </w:div>
        <w:div w:id="1565944327">
          <w:marLeft w:val="0"/>
          <w:marRight w:val="0"/>
          <w:marTop w:val="0"/>
          <w:marBottom w:val="0"/>
          <w:divBdr>
            <w:top w:val="none" w:sz="0" w:space="0" w:color="auto"/>
            <w:left w:val="none" w:sz="0" w:space="0" w:color="auto"/>
            <w:bottom w:val="none" w:sz="0" w:space="0" w:color="auto"/>
            <w:right w:val="none" w:sz="0" w:space="0" w:color="auto"/>
          </w:divBdr>
        </w:div>
        <w:div w:id="1609046666">
          <w:marLeft w:val="0"/>
          <w:marRight w:val="0"/>
          <w:marTop w:val="0"/>
          <w:marBottom w:val="0"/>
          <w:divBdr>
            <w:top w:val="none" w:sz="0" w:space="0" w:color="auto"/>
            <w:left w:val="none" w:sz="0" w:space="0" w:color="auto"/>
            <w:bottom w:val="none" w:sz="0" w:space="0" w:color="auto"/>
            <w:right w:val="none" w:sz="0" w:space="0" w:color="auto"/>
          </w:divBdr>
        </w:div>
        <w:div w:id="1633554904">
          <w:marLeft w:val="0"/>
          <w:marRight w:val="0"/>
          <w:marTop w:val="0"/>
          <w:marBottom w:val="0"/>
          <w:divBdr>
            <w:top w:val="none" w:sz="0" w:space="0" w:color="auto"/>
            <w:left w:val="none" w:sz="0" w:space="0" w:color="auto"/>
            <w:bottom w:val="none" w:sz="0" w:space="0" w:color="auto"/>
            <w:right w:val="none" w:sz="0" w:space="0" w:color="auto"/>
          </w:divBdr>
        </w:div>
        <w:div w:id="1652783661">
          <w:marLeft w:val="0"/>
          <w:marRight w:val="0"/>
          <w:marTop w:val="0"/>
          <w:marBottom w:val="0"/>
          <w:divBdr>
            <w:top w:val="none" w:sz="0" w:space="0" w:color="auto"/>
            <w:left w:val="none" w:sz="0" w:space="0" w:color="auto"/>
            <w:bottom w:val="none" w:sz="0" w:space="0" w:color="auto"/>
            <w:right w:val="none" w:sz="0" w:space="0" w:color="auto"/>
          </w:divBdr>
        </w:div>
        <w:div w:id="1657799168">
          <w:marLeft w:val="0"/>
          <w:marRight w:val="0"/>
          <w:marTop w:val="0"/>
          <w:marBottom w:val="0"/>
          <w:divBdr>
            <w:top w:val="none" w:sz="0" w:space="0" w:color="auto"/>
            <w:left w:val="none" w:sz="0" w:space="0" w:color="auto"/>
            <w:bottom w:val="none" w:sz="0" w:space="0" w:color="auto"/>
            <w:right w:val="none" w:sz="0" w:space="0" w:color="auto"/>
          </w:divBdr>
        </w:div>
        <w:div w:id="1707099516">
          <w:marLeft w:val="0"/>
          <w:marRight w:val="0"/>
          <w:marTop w:val="0"/>
          <w:marBottom w:val="0"/>
          <w:divBdr>
            <w:top w:val="none" w:sz="0" w:space="0" w:color="auto"/>
            <w:left w:val="none" w:sz="0" w:space="0" w:color="auto"/>
            <w:bottom w:val="none" w:sz="0" w:space="0" w:color="auto"/>
            <w:right w:val="none" w:sz="0" w:space="0" w:color="auto"/>
          </w:divBdr>
        </w:div>
        <w:div w:id="1718551713">
          <w:marLeft w:val="0"/>
          <w:marRight w:val="0"/>
          <w:marTop w:val="0"/>
          <w:marBottom w:val="0"/>
          <w:divBdr>
            <w:top w:val="none" w:sz="0" w:space="0" w:color="auto"/>
            <w:left w:val="none" w:sz="0" w:space="0" w:color="auto"/>
            <w:bottom w:val="none" w:sz="0" w:space="0" w:color="auto"/>
            <w:right w:val="none" w:sz="0" w:space="0" w:color="auto"/>
          </w:divBdr>
        </w:div>
        <w:div w:id="1744253020">
          <w:marLeft w:val="0"/>
          <w:marRight w:val="0"/>
          <w:marTop w:val="0"/>
          <w:marBottom w:val="0"/>
          <w:divBdr>
            <w:top w:val="none" w:sz="0" w:space="0" w:color="auto"/>
            <w:left w:val="none" w:sz="0" w:space="0" w:color="auto"/>
            <w:bottom w:val="none" w:sz="0" w:space="0" w:color="auto"/>
            <w:right w:val="none" w:sz="0" w:space="0" w:color="auto"/>
          </w:divBdr>
        </w:div>
        <w:div w:id="1745838274">
          <w:marLeft w:val="0"/>
          <w:marRight w:val="0"/>
          <w:marTop w:val="0"/>
          <w:marBottom w:val="0"/>
          <w:divBdr>
            <w:top w:val="none" w:sz="0" w:space="0" w:color="auto"/>
            <w:left w:val="none" w:sz="0" w:space="0" w:color="auto"/>
            <w:bottom w:val="none" w:sz="0" w:space="0" w:color="auto"/>
            <w:right w:val="none" w:sz="0" w:space="0" w:color="auto"/>
          </w:divBdr>
        </w:div>
        <w:div w:id="1791240321">
          <w:marLeft w:val="0"/>
          <w:marRight w:val="0"/>
          <w:marTop w:val="0"/>
          <w:marBottom w:val="0"/>
          <w:divBdr>
            <w:top w:val="none" w:sz="0" w:space="0" w:color="auto"/>
            <w:left w:val="none" w:sz="0" w:space="0" w:color="auto"/>
            <w:bottom w:val="none" w:sz="0" w:space="0" w:color="auto"/>
            <w:right w:val="none" w:sz="0" w:space="0" w:color="auto"/>
          </w:divBdr>
        </w:div>
        <w:div w:id="1793327530">
          <w:marLeft w:val="0"/>
          <w:marRight w:val="0"/>
          <w:marTop w:val="0"/>
          <w:marBottom w:val="0"/>
          <w:divBdr>
            <w:top w:val="none" w:sz="0" w:space="0" w:color="auto"/>
            <w:left w:val="none" w:sz="0" w:space="0" w:color="auto"/>
            <w:bottom w:val="none" w:sz="0" w:space="0" w:color="auto"/>
            <w:right w:val="none" w:sz="0" w:space="0" w:color="auto"/>
          </w:divBdr>
        </w:div>
        <w:div w:id="1798332611">
          <w:marLeft w:val="0"/>
          <w:marRight w:val="0"/>
          <w:marTop w:val="0"/>
          <w:marBottom w:val="0"/>
          <w:divBdr>
            <w:top w:val="none" w:sz="0" w:space="0" w:color="auto"/>
            <w:left w:val="none" w:sz="0" w:space="0" w:color="auto"/>
            <w:bottom w:val="none" w:sz="0" w:space="0" w:color="auto"/>
            <w:right w:val="none" w:sz="0" w:space="0" w:color="auto"/>
          </w:divBdr>
        </w:div>
        <w:div w:id="1803965725">
          <w:marLeft w:val="0"/>
          <w:marRight w:val="0"/>
          <w:marTop w:val="0"/>
          <w:marBottom w:val="0"/>
          <w:divBdr>
            <w:top w:val="none" w:sz="0" w:space="0" w:color="auto"/>
            <w:left w:val="none" w:sz="0" w:space="0" w:color="auto"/>
            <w:bottom w:val="none" w:sz="0" w:space="0" w:color="auto"/>
            <w:right w:val="none" w:sz="0" w:space="0" w:color="auto"/>
          </w:divBdr>
        </w:div>
        <w:div w:id="1817261572">
          <w:marLeft w:val="0"/>
          <w:marRight w:val="0"/>
          <w:marTop w:val="0"/>
          <w:marBottom w:val="0"/>
          <w:divBdr>
            <w:top w:val="none" w:sz="0" w:space="0" w:color="auto"/>
            <w:left w:val="none" w:sz="0" w:space="0" w:color="auto"/>
            <w:bottom w:val="none" w:sz="0" w:space="0" w:color="auto"/>
            <w:right w:val="none" w:sz="0" w:space="0" w:color="auto"/>
          </w:divBdr>
        </w:div>
        <w:div w:id="1826430994">
          <w:marLeft w:val="0"/>
          <w:marRight w:val="0"/>
          <w:marTop w:val="0"/>
          <w:marBottom w:val="0"/>
          <w:divBdr>
            <w:top w:val="none" w:sz="0" w:space="0" w:color="auto"/>
            <w:left w:val="none" w:sz="0" w:space="0" w:color="auto"/>
            <w:bottom w:val="none" w:sz="0" w:space="0" w:color="auto"/>
            <w:right w:val="none" w:sz="0" w:space="0" w:color="auto"/>
          </w:divBdr>
        </w:div>
        <w:div w:id="1855654355">
          <w:marLeft w:val="0"/>
          <w:marRight w:val="0"/>
          <w:marTop w:val="0"/>
          <w:marBottom w:val="0"/>
          <w:divBdr>
            <w:top w:val="none" w:sz="0" w:space="0" w:color="auto"/>
            <w:left w:val="none" w:sz="0" w:space="0" w:color="auto"/>
            <w:bottom w:val="none" w:sz="0" w:space="0" w:color="auto"/>
            <w:right w:val="none" w:sz="0" w:space="0" w:color="auto"/>
          </w:divBdr>
        </w:div>
        <w:div w:id="1878812450">
          <w:marLeft w:val="0"/>
          <w:marRight w:val="0"/>
          <w:marTop w:val="0"/>
          <w:marBottom w:val="0"/>
          <w:divBdr>
            <w:top w:val="none" w:sz="0" w:space="0" w:color="auto"/>
            <w:left w:val="none" w:sz="0" w:space="0" w:color="auto"/>
            <w:bottom w:val="none" w:sz="0" w:space="0" w:color="auto"/>
            <w:right w:val="none" w:sz="0" w:space="0" w:color="auto"/>
          </w:divBdr>
        </w:div>
        <w:div w:id="1878857799">
          <w:marLeft w:val="0"/>
          <w:marRight w:val="0"/>
          <w:marTop w:val="0"/>
          <w:marBottom w:val="0"/>
          <w:divBdr>
            <w:top w:val="none" w:sz="0" w:space="0" w:color="auto"/>
            <w:left w:val="none" w:sz="0" w:space="0" w:color="auto"/>
            <w:bottom w:val="none" w:sz="0" w:space="0" w:color="auto"/>
            <w:right w:val="none" w:sz="0" w:space="0" w:color="auto"/>
          </w:divBdr>
        </w:div>
        <w:div w:id="1906257621">
          <w:marLeft w:val="0"/>
          <w:marRight w:val="0"/>
          <w:marTop w:val="0"/>
          <w:marBottom w:val="0"/>
          <w:divBdr>
            <w:top w:val="none" w:sz="0" w:space="0" w:color="auto"/>
            <w:left w:val="none" w:sz="0" w:space="0" w:color="auto"/>
            <w:bottom w:val="none" w:sz="0" w:space="0" w:color="auto"/>
            <w:right w:val="none" w:sz="0" w:space="0" w:color="auto"/>
          </w:divBdr>
        </w:div>
        <w:div w:id="1909723261">
          <w:marLeft w:val="0"/>
          <w:marRight w:val="0"/>
          <w:marTop w:val="0"/>
          <w:marBottom w:val="0"/>
          <w:divBdr>
            <w:top w:val="none" w:sz="0" w:space="0" w:color="auto"/>
            <w:left w:val="none" w:sz="0" w:space="0" w:color="auto"/>
            <w:bottom w:val="none" w:sz="0" w:space="0" w:color="auto"/>
            <w:right w:val="none" w:sz="0" w:space="0" w:color="auto"/>
          </w:divBdr>
        </w:div>
        <w:div w:id="1953707337">
          <w:marLeft w:val="0"/>
          <w:marRight w:val="0"/>
          <w:marTop w:val="0"/>
          <w:marBottom w:val="0"/>
          <w:divBdr>
            <w:top w:val="none" w:sz="0" w:space="0" w:color="auto"/>
            <w:left w:val="none" w:sz="0" w:space="0" w:color="auto"/>
            <w:bottom w:val="none" w:sz="0" w:space="0" w:color="auto"/>
            <w:right w:val="none" w:sz="0" w:space="0" w:color="auto"/>
          </w:divBdr>
        </w:div>
        <w:div w:id="2002998968">
          <w:marLeft w:val="0"/>
          <w:marRight w:val="0"/>
          <w:marTop w:val="0"/>
          <w:marBottom w:val="0"/>
          <w:divBdr>
            <w:top w:val="none" w:sz="0" w:space="0" w:color="auto"/>
            <w:left w:val="none" w:sz="0" w:space="0" w:color="auto"/>
            <w:bottom w:val="none" w:sz="0" w:space="0" w:color="auto"/>
            <w:right w:val="none" w:sz="0" w:space="0" w:color="auto"/>
          </w:divBdr>
        </w:div>
        <w:div w:id="2016807969">
          <w:marLeft w:val="0"/>
          <w:marRight w:val="0"/>
          <w:marTop w:val="0"/>
          <w:marBottom w:val="0"/>
          <w:divBdr>
            <w:top w:val="none" w:sz="0" w:space="0" w:color="auto"/>
            <w:left w:val="none" w:sz="0" w:space="0" w:color="auto"/>
            <w:bottom w:val="none" w:sz="0" w:space="0" w:color="auto"/>
            <w:right w:val="none" w:sz="0" w:space="0" w:color="auto"/>
          </w:divBdr>
        </w:div>
        <w:div w:id="2025282717">
          <w:marLeft w:val="0"/>
          <w:marRight w:val="0"/>
          <w:marTop w:val="0"/>
          <w:marBottom w:val="0"/>
          <w:divBdr>
            <w:top w:val="none" w:sz="0" w:space="0" w:color="auto"/>
            <w:left w:val="none" w:sz="0" w:space="0" w:color="auto"/>
            <w:bottom w:val="none" w:sz="0" w:space="0" w:color="auto"/>
            <w:right w:val="none" w:sz="0" w:space="0" w:color="auto"/>
          </w:divBdr>
        </w:div>
        <w:div w:id="2028293382">
          <w:marLeft w:val="0"/>
          <w:marRight w:val="0"/>
          <w:marTop w:val="0"/>
          <w:marBottom w:val="0"/>
          <w:divBdr>
            <w:top w:val="none" w:sz="0" w:space="0" w:color="auto"/>
            <w:left w:val="none" w:sz="0" w:space="0" w:color="auto"/>
            <w:bottom w:val="none" w:sz="0" w:space="0" w:color="auto"/>
            <w:right w:val="none" w:sz="0" w:space="0" w:color="auto"/>
          </w:divBdr>
        </w:div>
        <w:div w:id="2067029917">
          <w:marLeft w:val="0"/>
          <w:marRight w:val="0"/>
          <w:marTop w:val="0"/>
          <w:marBottom w:val="0"/>
          <w:divBdr>
            <w:top w:val="none" w:sz="0" w:space="0" w:color="auto"/>
            <w:left w:val="none" w:sz="0" w:space="0" w:color="auto"/>
            <w:bottom w:val="none" w:sz="0" w:space="0" w:color="auto"/>
            <w:right w:val="none" w:sz="0" w:space="0" w:color="auto"/>
          </w:divBdr>
        </w:div>
        <w:div w:id="2090928199">
          <w:marLeft w:val="0"/>
          <w:marRight w:val="0"/>
          <w:marTop w:val="0"/>
          <w:marBottom w:val="0"/>
          <w:divBdr>
            <w:top w:val="none" w:sz="0" w:space="0" w:color="auto"/>
            <w:left w:val="none" w:sz="0" w:space="0" w:color="auto"/>
            <w:bottom w:val="none" w:sz="0" w:space="0" w:color="auto"/>
            <w:right w:val="none" w:sz="0" w:space="0" w:color="auto"/>
          </w:divBdr>
        </w:div>
        <w:div w:id="2094275140">
          <w:marLeft w:val="0"/>
          <w:marRight w:val="0"/>
          <w:marTop w:val="0"/>
          <w:marBottom w:val="0"/>
          <w:divBdr>
            <w:top w:val="none" w:sz="0" w:space="0" w:color="auto"/>
            <w:left w:val="none" w:sz="0" w:space="0" w:color="auto"/>
            <w:bottom w:val="none" w:sz="0" w:space="0" w:color="auto"/>
            <w:right w:val="none" w:sz="0" w:space="0" w:color="auto"/>
          </w:divBdr>
        </w:div>
        <w:div w:id="2113671777">
          <w:marLeft w:val="0"/>
          <w:marRight w:val="0"/>
          <w:marTop w:val="0"/>
          <w:marBottom w:val="0"/>
          <w:divBdr>
            <w:top w:val="none" w:sz="0" w:space="0" w:color="auto"/>
            <w:left w:val="none" w:sz="0" w:space="0" w:color="auto"/>
            <w:bottom w:val="none" w:sz="0" w:space="0" w:color="auto"/>
            <w:right w:val="none" w:sz="0" w:space="0" w:color="auto"/>
          </w:divBdr>
        </w:div>
        <w:div w:id="2137212595">
          <w:marLeft w:val="0"/>
          <w:marRight w:val="0"/>
          <w:marTop w:val="0"/>
          <w:marBottom w:val="0"/>
          <w:divBdr>
            <w:top w:val="none" w:sz="0" w:space="0" w:color="auto"/>
            <w:left w:val="none" w:sz="0" w:space="0" w:color="auto"/>
            <w:bottom w:val="none" w:sz="0" w:space="0" w:color="auto"/>
            <w:right w:val="none" w:sz="0" w:space="0" w:color="auto"/>
          </w:divBdr>
        </w:div>
        <w:div w:id="2138058670">
          <w:marLeft w:val="0"/>
          <w:marRight w:val="0"/>
          <w:marTop w:val="0"/>
          <w:marBottom w:val="0"/>
          <w:divBdr>
            <w:top w:val="none" w:sz="0" w:space="0" w:color="auto"/>
            <w:left w:val="none" w:sz="0" w:space="0" w:color="auto"/>
            <w:bottom w:val="none" w:sz="0" w:space="0" w:color="auto"/>
            <w:right w:val="none" w:sz="0" w:space="0" w:color="auto"/>
          </w:divBdr>
        </w:div>
        <w:div w:id="2145727987">
          <w:marLeft w:val="0"/>
          <w:marRight w:val="0"/>
          <w:marTop w:val="0"/>
          <w:marBottom w:val="0"/>
          <w:divBdr>
            <w:top w:val="none" w:sz="0" w:space="0" w:color="auto"/>
            <w:left w:val="none" w:sz="0" w:space="0" w:color="auto"/>
            <w:bottom w:val="none" w:sz="0" w:space="0" w:color="auto"/>
            <w:right w:val="none" w:sz="0" w:space="0" w:color="auto"/>
          </w:divBdr>
        </w:div>
      </w:divsChild>
    </w:div>
    <w:div w:id="1297491981">
      <w:bodyDiv w:val="1"/>
      <w:marLeft w:val="0"/>
      <w:marRight w:val="0"/>
      <w:marTop w:val="0"/>
      <w:marBottom w:val="0"/>
      <w:divBdr>
        <w:top w:val="none" w:sz="0" w:space="0" w:color="auto"/>
        <w:left w:val="none" w:sz="0" w:space="0" w:color="auto"/>
        <w:bottom w:val="none" w:sz="0" w:space="0" w:color="auto"/>
        <w:right w:val="none" w:sz="0" w:space="0" w:color="auto"/>
      </w:divBdr>
    </w:div>
    <w:div w:id="1344938156">
      <w:bodyDiv w:val="1"/>
      <w:marLeft w:val="0"/>
      <w:marRight w:val="0"/>
      <w:marTop w:val="0"/>
      <w:marBottom w:val="0"/>
      <w:divBdr>
        <w:top w:val="none" w:sz="0" w:space="0" w:color="auto"/>
        <w:left w:val="none" w:sz="0" w:space="0" w:color="auto"/>
        <w:bottom w:val="none" w:sz="0" w:space="0" w:color="auto"/>
        <w:right w:val="none" w:sz="0" w:space="0" w:color="auto"/>
      </w:divBdr>
    </w:div>
    <w:div w:id="1353342702">
      <w:bodyDiv w:val="1"/>
      <w:marLeft w:val="0"/>
      <w:marRight w:val="0"/>
      <w:marTop w:val="0"/>
      <w:marBottom w:val="0"/>
      <w:divBdr>
        <w:top w:val="none" w:sz="0" w:space="0" w:color="auto"/>
        <w:left w:val="none" w:sz="0" w:space="0" w:color="auto"/>
        <w:bottom w:val="none" w:sz="0" w:space="0" w:color="auto"/>
        <w:right w:val="none" w:sz="0" w:space="0" w:color="auto"/>
      </w:divBdr>
    </w:div>
    <w:div w:id="1385061567">
      <w:bodyDiv w:val="1"/>
      <w:marLeft w:val="0"/>
      <w:marRight w:val="0"/>
      <w:marTop w:val="0"/>
      <w:marBottom w:val="0"/>
      <w:divBdr>
        <w:top w:val="none" w:sz="0" w:space="0" w:color="auto"/>
        <w:left w:val="none" w:sz="0" w:space="0" w:color="auto"/>
        <w:bottom w:val="none" w:sz="0" w:space="0" w:color="auto"/>
        <w:right w:val="none" w:sz="0" w:space="0" w:color="auto"/>
      </w:divBdr>
    </w:div>
    <w:div w:id="1411123640">
      <w:bodyDiv w:val="1"/>
      <w:marLeft w:val="0"/>
      <w:marRight w:val="0"/>
      <w:marTop w:val="0"/>
      <w:marBottom w:val="0"/>
      <w:divBdr>
        <w:top w:val="none" w:sz="0" w:space="0" w:color="auto"/>
        <w:left w:val="none" w:sz="0" w:space="0" w:color="auto"/>
        <w:bottom w:val="none" w:sz="0" w:space="0" w:color="auto"/>
        <w:right w:val="none" w:sz="0" w:space="0" w:color="auto"/>
      </w:divBdr>
    </w:div>
    <w:div w:id="1414817778">
      <w:bodyDiv w:val="1"/>
      <w:marLeft w:val="0"/>
      <w:marRight w:val="0"/>
      <w:marTop w:val="0"/>
      <w:marBottom w:val="0"/>
      <w:divBdr>
        <w:top w:val="none" w:sz="0" w:space="0" w:color="auto"/>
        <w:left w:val="none" w:sz="0" w:space="0" w:color="auto"/>
        <w:bottom w:val="none" w:sz="0" w:space="0" w:color="auto"/>
        <w:right w:val="none" w:sz="0" w:space="0" w:color="auto"/>
      </w:divBdr>
      <w:divsChild>
        <w:div w:id="17121508">
          <w:marLeft w:val="0"/>
          <w:marRight w:val="0"/>
          <w:marTop w:val="0"/>
          <w:marBottom w:val="0"/>
          <w:divBdr>
            <w:top w:val="none" w:sz="0" w:space="0" w:color="auto"/>
            <w:left w:val="none" w:sz="0" w:space="0" w:color="auto"/>
            <w:bottom w:val="none" w:sz="0" w:space="0" w:color="auto"/>
            <w:right w:val="none" w:sz="0" w:space="0" w:color="auto"/>
          </w:divBdr>
        </w:div>
        <w:div w:id="25955197">
          <w:marLeft w:val="0"/>
          <w:marRight w:val="0"/>
          <w:marTop w:val="0"/>
          <w:marBottom w:val="0"/>
          <w:divBdr>
            <w:top w:val="none" w:sz="0" w:space="0" w:color="auto"/>
            <w:left w:val="none" w:sz="0" w:space="0" w:color="auto"/>
            <w:bottom w:val="none" w:sz="0" w:space="0" w:color="auto"/>
            <w:right w:val="none" w:sz="0" w:space="0" w:color="auto"/>
          </w:divBdr>
        </w:div>
        <w:div w:id="59790664">
          <w:marLeft w:val="0"/>
          <w:marRight w:val="0"/>
          <w:marTop w:val="0"/>
          <w:marBottom w:val="0"/>
          <w:divBdr>
            <w:top w:val="none" w:sz="0" w:space="0" w:color="auto"/>
            <w:left w:val="none" w:sz="0" w:space="0" w:color="auto"/>
            <w:bottom w:val="none" w:sz="0" w:space="0" w:color="auto"/>
            <w:right w:val="none" w:sz="0" w:space="0" w:color="auto"/>
          </w:divBdr>
        </w:div>
        <w:div w:id="82773014">
          <w:marLeft w:val="0"/>
          <w:marRight w:val="0"/>
          <w:marTop w:val="0"/>
          <w:marBottom w:val="0"/>
          <w:divBdr>
            <w:top w:val="none" w:sz="0" w:space="0" w:color="auto"/>
            <w:left w:val="none" w:sz="0" w:space="0" w:color="auto"/>
            <w:bottom w:val="none" w:sz="0" w:space="0" w:color="auto"/>
            <w:right w:val="none" w:sz="0" w:space="0" w:color="auto"/>
          </w:divBdr>
        </w:div>
        <w:div w:id="130560174">
          <w:marLeft w:val="0"/>
          <w:marRight w:val="0"/>
          <w:marTop w:val="0"/>
          <w:marBottom w:val="0"/>
          <w:divBdr>
            <w:top w:val="none" w:sz="0" w:space="0" w:color="auto"/>
            <w:left w:val="none" w:sz="0" w:space="0" w:color="auto"/>
            <w:bottom w:val="none" w:sz="0" w:space="0" w:color="auto"/>
            <w:right w:val="none" w:sz="0" w:space="0" w:color="auto"/>
          </w:divBdr>
        </w:div>
        <w:div w:id="148133198">
          <w:marLeft w:val="0"/>
          <w:marRight w:val="0"/>
          <w:marTop w:val="0"/>
          <w:marBottom w:val="0"/>
          <w:divBdr>
            <w:top w:val="none" w:sz="0" w:space="0" w:color="auto"/>
            <w:left w:val="none" w:sz="0" w:space="0" w:color="auto"/>
            <w:bottom w:val="none" w:sz="0" w:space="0" w:color="auto"/>
            <w:right w:val="none" w:sz="0" w:space="0" w:color="auto"/>
          </w:divBdr>
        </w:div>
        <w:div w:id="154299563">
          <w:marLeft w:val="0"/>
          <w:marRight w:val="0"/>
          <w:marTop w:val="0"/>
          <w:marBottom w:val="0"/>
          <w:divBdr>
            <w:top w:val="none" w:sz="0" w:space="0" w:color="auto"/>
            <w:left w:val="none" w:sz="0" w:space="0" w:color="auto"/>
            <w:bottom w:val="none" w:sz="0" w:space="0" w:color="auto"/>
            <w:right w:val="none" w:sz="0" w:space="0" w:color="auto"/>
          </w:divBdr>
        </w:div>
        <w:div w:id="194084260">
          <w:marLeft w:val="0"/>
          <w:marRight w:val="0"/>
          <w:marTop w:val="0"/>
          <w:marBottom w:val="0"/>
          <w:divBdr>
            <w:top w:val="none" w:sz="0" w:space="0" w:color="auto"/>
            <w:left w:val="none" w:sz="0" w:space="0" w:color="auto"/>
            <w:bottom w:val="none" w:sz="0" w:space="0" w:color="auto"/>
            <w:right w:val="none" w:sz="0" w:space="0" w:color="auto"/>
          </w:divBdr>
        </w:div>
        <w:div w:id="198445049">
          <w:marLeft w:val="0"/>
          <w:marRight w:val="0"/>
          <w:marTop w:val="0"/>
          <w:marBottom w:val="0"/>
          <w:divBdr>
            <w:top w:val="none" w:sz="0" w:space="0" w:color="auto"/>
            <w:left w:val="none" w:sz="0" w:space="0" w:color="auto"/>
            <w:bottom w:val="none" w:sz="0" w:space="0" w:color="auto"/>
            <w:right w:val="none" w:sz="0" w:space="0" w:color="auto"/>
          </w:divBdr>
        </w:div>
        <w:div w:id="210774930">
          <w:marLeft w:val="0"/>
          <w:marRight w:val="0"/>
          <w:marTop w:val="0"/>
          <w:marBottom w:val="0"/>
          <w:divBdr>
            <w:top w:val="none" w:sz="0" w:space="0" w:color="auto"/>
            <w:left w:val="none" w:sz="0" w:space="0" w:color="auto"/>
            <w:bottom w:val="none" w:sz="0" w:space="0" w:color="auto"/>
            <w:right w:val="none" w:sz="0" w:space="0" w:color="auto"/>
          </w:divBdr>
        </w:div>
        <w:div w:id="220865933">
          <w:marLeft w:val="0"/>
          <w:marRight w:val="0"/>
          <w:marTop w:val="0"/>
          <w:marBottom w:val="0"/>
          <w:divBdr>
            <w:top w:val="none" w:sz="0" w:space="0" w:color="auto"/>
            <w:left w:val="none" w:sz="0" w:space="0" w:color="auto"/>
            <w:bottom w:val="none" w:sz="0" w:space="0" w:color="auto"/>
            <w:right w:val="none" w:sz="0" w:space="0" w:color="auto"/>
          </w:divBdr>
        </w:div>
        <w:div w:id="255869954">
          <w:marLeft w:val="0"/>
          <w:marRight w:val="0"/>
          <w:marTop w:val="0"/>
          <w:marBottom w:val="0"/>
          <w:divBdr>
            <w:top w:val="none" w:sz="0" w:space="0" w:color="auto"/>
            <w:left w:val="none" w:sz="0" w:space="0" w:color="auto"/>
            <w:bottom w:val="none" w:sz="0" w:space="0" w:color="auto"/>
            <w:right w:val="none" w:sz="0" w:space="0" w:color="auto"/>
          </w:divBdr>
        </w:div>
        <w:div w:id="268702960">
          <w:marLeft w:val="0"/>
          <w:marRight w:val="0"/>
          <w:marTop w:val="0"/>
          <w:marBottom w:val="0"/>
          <w:divBdr>
            <w:top w:val="none" w:sz="0" w:space="0" w:color="auto"/>
            <w:left w:val="none" w:sz="0" w:space="0" w:color="auto"/>
            <w:bottom w:val="none" w:sz="0" w:space="0" w:color="auto"/>
            <w:right w:val="none" w:sz="0" w:space="0" w:color="auto"/>
          </w:divBdr>
        </w:div>
        <w:div w:id="293027003">
          <w:marLeft w:val="0"/>
          <w:marRight w:val="0"/>
          <w:marTop w:val="0"/>
          <w:marBottom w:val="0"/>
          <w:divBdr>
            <w:top w:val="none" w:sz="0" w:space="0" w:color="auto"/>
            <w:left w:val="none" w:sz="0" w:space="0" w:color="auto"/>
            <w:bottom w:val="none" w:sz="0" w:space="0" w:color="auto"/>
            <w:right w:val="none" w:sz="0" w:space="0" w:color="auto"/>
          </w:divBdr>
        </w:div>
        <w:div w:id="301812420">
          <w:marLeft w:val="0"/>
          <w:marRight w:val="0"/>
          <w:marTop w:val="0"/>
          <w:marBottom w:val="0"/>
          <w:divBdr>
            <w:top w:val="none" w:sz="0" w:space="0" w:color="auto"/>
            <w:left w:val="none" w:sz="0" w:space="0" w:color="auto"/>
            <w:bottom w:val="none" w:sz="0" w:space="0" w:color="auto"/>
            <w:right w:val="none" w:sz="0" w:space="0" w:color="auto"/>
          </w:divBdr>
        </w:div>
        <w:div w:id="307249879">
          <w:marLeft w:val="0"/>
          <w:marRight w:val="0"/>
          <w:marTop w:val="0"/>
          <w:marBottom w:val="0"/>
          <w:divBdr>
            <w:top w:val="none" w:sz="0" w:space="0" w:color="auto"/>
            <w:left w:val="none" w:sz="0" w:space="0" w:color="auto"/>
            <w:bottom w:val="none" w:sz="0" w:space="0" w:color="auto"/>
            <w:right w:val="none" w:sz="0" w:space="0" w:color="auto"/>
          </w:divBdr>
        </w:div>
        <w:div w:id="310060398">
          <w:marLeft w:val="0"/>
          <w:marRight w:val="0"/>
          <w:marTop w:val="0"/>
          <w:marBottom w:val="0"/>
          <w:divBdr>
            <w:top w:val="none" w:sz="0" w:space="0" w:color="auto"/>
            <w:left w:val="none" w:sz="0" w:space="0" w:color="auto"/>
            <w:bottom w:val="none" w:sz="0" w:space="0" w:color="auto"/>
            <w:right w:val="none" w:sz="0" w:space="0" w:color="auto"/>
          </w:divBdr>
        </w:div>
        <w:div w:id="326830218">
          <w:marLeft w:val="0"/>
          <w:marRight w:val="0"/>
          <w:marTop w:val="0"/>
          <w:marBottom w:val="0"/>
          <w:divBdr>
            <w:top w:val="none" w:sz="0" w:space="0" w:color="auto"/>
            <w:left w:val="none" w:sz="0" w:space="0" w:color="auto"/>
            <w:bottom w:val="none" w:sz="0" w:space="0" w:color="auto"/>
            <w:right w:val="none" w:sz="0" w:space="0" w:color="auto"/>
          </w:divBdr>
        </w:div>
        <w:div w:id="329717741">
          <w:marLeft w:val="0"/>
          <w:marRight w:val="0"/>
          <w:marTop w:val="0"/>
          <w:marBottom w:val="0"/>
          <w:divBdr>
            <w:top w:val="none" w:sz="0" w:space="0" w:color="auto"/>
            <w:left w:val="none" w:sz="0" w:space="0" w:color="auto"/>
            <w:bottom w:val="none" w:sz="0" w:space="0" w:color="auto"/>
            <w:right w:val="none" w:sz="0" w:space="0" w:color="auto"/>
          </w:divBdr>
        </w:div>
        <w:div w:id="330524224">
          <w:marLeft w:val="0"/>
          <w:marRight w:val="0"/>
          <w:marTop w:val="0"/>
          <w:marBottom w:val="0"/>
          <w:divBdr>
            <w:top w:val="none" w:sz="0" w:space="0" w:color="auto"/>
            <w:left w:val="none" w:sz="0" w:space="0" w:color="auto"/>
            <w:bottom w:val="none" w:sz="0" w:space="0" w:color="auto"/>
            <w:right w:val="none" w:sz="0" w:space="0" w:color="auto"/>
          </w:divBdr>
        </w:div>
        <w:div w:id="362246824">
          <w:marLeft w:val="0"/>
          <w:marRight w:val="0"/>
          <w:marTop w:val="0"/>
          <w:marBottom w:val="0"/>
          <w:divBdr>
            <w:top w:val="none" w:sz="0" w:space="0" w:color="auto"/>
            <w:left w:val="none" w:sz="0" w:space="0" w:color="auto"/>
            <w:bottom w:val="none" w:sz="0" w:space="0" w:color="auto"/>
            <w:right w:val="none" w:sz="0" w:space="0" w:color="auto"/>
          </w:divBdr>
        </w:div>
        <w:div w:id="362370633">
          <w:marLeft w:val="0"/>
          <w:marRight w:val="0"/>
          <w:marTop w:val="0"/>
          <w:marBottom w:val="0"/>
          <w:divBdr>
            <w:top w:val="none" w:sz="0" w:space="0" w:color="auto"/>
            <w:left w:val="none" w:sz="0" w:space="0" w:color="auto"/>
            <w:bottom w:val="none" w:sz="0" w:space="0" w:color="auto"/>
            <w:right w:val="none" w:sz="0" w:space="0" w:color="auto"/>
          </w:divBdr>
        </w:div>
        <w:div w:id="377752613">
          <w:marLeft w:val="0"/>
          <w:marRight w:val="0"/>
          <w:marTop w:val="0"/>
          <w:marBottom w:val="0"/>
          <w:divBdr>
            <w:top w:val="none" w:sz="0" w:space="0" w:color="auto"/>
            <w:left w:val="none" w:sz="0" w:space="0" w:color="auto"/>
            <w:bottom w:val="none" w:sz="0" w:space="0" w:color="auto"/>
            <w:right w:val="none" w:sz="0" w:space="0" w:color="auto"/>
          </w:divBdr>
        </w:div>
        <w:div w:id="389039812">
          <w:marLeft w:val="0"/>
          <w:marRight w:val="0"/>
          <w:marTop w:val="0"/>
          <w:marBottom w:val="0"/>
          <w:divBdr>
            <w:top w:val="none" w:sz="0" w:space="0" w:color="auto"/>
            <w:left w:val="none" w:sz="0" w:space="0" w:color="auto"/>
            <w:bottom w:val="none" w:sz="0" w:space="0" w:color="auto"/>
            <w:right w:val="none" w:sz="0" w:space="0" w:color="auto"/>
          </w:divBdr>
        </w:div>
        <w:div w:id="415250255">
          <w:marLeft w:val="0"/>
          <w:marRight w:val="0"/>
          <w:marTop w:val="0"/>
          <w:marBottom w:val="0"/>
          <w:divBdr>
            <w:top w:val="none" w:sz="0" w:space="0" w:color="auto"/>
            <w:left w:val="none" w:sz="0" w:space="0" w:color="auto"/>
            <w:bottom w:val="none" w:sz="0" w:space="0" w:color="auto"/>
            <w:right w:val="none" w:sz="0" w:space="0" w:color="auto"/>
          </w:divBdr>
        </w:div>
        <w:div w:id="441148040">
          <w:marLeft w:val="0"/>
          <w:marRight w:val="0"/>
          <w:marTop w:val="0"/>
          <w:marBottom w:val="0"/>
          <w:divBdr>
            <w:top w:val="none" w:sz="0" w:space="0" w:color="auto"/>
            <w:left w:val="none" w:sz="0" w:space="0" w:color="auto"/>
            <w:bottom w:val="none" w:sz="0" w:space="0" w:color="auto"/>
            <w:right w:val="none" w:sz="0" w:space="0" w:color="auto"/>
          </w:divBdr>
        </w:div>
        <w:div w:id="455947530">
          <w:marLeft w:val="0"/>
          <w:marRight w:val="0"/>
          <w:marTop w:val="0"/>
          <w:marBottom w:val="0"/>
          <w:divBdr>
            <w:top w:val="none" w:sz="0" w:space="0" w:color="auto"/>
            <w:left w:val="none" w:sz="0" w:space="0" w:color="auto"/>
            <w:bottom w:val="none" w:sz="0" w:space="0" w:color="auto"/>
            <w:right w:val="none" w:sz="0" w:space="0" w:color="auto"/>
          </w:divBdr>
        </w:div>
        <w:div w:id="467937829">
          <w:marLeft w:val="0"/>
          <w:marRight w:val="0"/>
          <w:marTop w:val="0"/>
          <w:marBottom w:val="0"/>
          <w:divBdr>
            <w:top w:val="none" w:sz="0" w:space="0" w:color="auto"/>
            <w:left w:val="none" w:sz="0" w:space="0" w:color="auto"/>
            <w:bottom w:val="none" w:sz="0" w:space="0" w:color="auto"/>
            <w:right w:val="none" w:sz="0" w:space="0" w:color="auto"/>
          </w:divBdr>
        </w:div>
        <w:div w:id="493255290">
          <w:marLeft w:val="0"/>
          <w:marRight w:val="0"/>
          <w:marTop w:val="0"/>
          <w:marBottom w:val="0"/>
          <w:divBdr>
            <w:top w:val="none" w:sz="0" w:space="0" w:color="auto"/>
            <w:left w:val="none" w:sz="0" w:space="0" w:color="auto"/>
            <w:bottom w:val="none" w:sz="0" w:space="0" w:color="auto"/>
            <w:right w:val="none" w:sz="0" w:space="0" w:color="auto"/>
          </w:divBdr>
        </w:div>
        <w:div w:id="497965724">
          <w:marLeft w:val="0"/>
          <w:marRight w:val="0"/>
          <w:marTop w:val="0"/>
          <w:marBottom w:val="0"/>
          <w:divBdr>
            <w:top w:val="none" w:sz="0" w:space="0" w:color="auto"/>
            <w:left w:val="none" w:sz="0" w:space="0" w:color="auto"/>
            <w:bottom w:val="none" w:sz="0" w:space="0" w:color="auto"/>
            <w:right w:val="none" w:sz="0" w:space="0" w:color="auto"/>
          </w:divBdr>
        </w:div>
        <w:div w:id="512837034">
          <w:marLeft w:val="0"/>
          <w:marRight w:val="0"/>
          <w:marTop w:val="0"/>
          <w:marBottom w:val="0"/>
          <w:divBdr>
            <w:top w:val="none" w:sz="0" w:space="0" w:color="auto"/>
            <w:left w:val="none" w:sz="0" w:space="0" w:color="auto"/>
            <w:bottom w:val="none" w:sz="0" w:space="0" w:color="auto"/>
            <w:right w:val="none" w:sz="0" w:space="0" w:color="auto"/>
          </w:divBdr>
        </w:div>
        <w:div w:id="556355698">
          <w:marLeft w:val="0"/>
          <w:marRight w:val="0"/>
          <w:marTop w:val="0"/>
          <w:marBottom w:val="0"/>
          <w:divBdr>
            <w:top w:val="none" w:sz="0" w:space="0" w:color="auto"/>
            <w:left w:val="none" w:sz="0" w:space="0" w:color="auto"/>
            <w:bottom w:val="none" w:sz="0" w:space="0" w:color="auto"/>
            <w:right w:val="none" w:sz="0" w:space="0" w:color="auto"/>
          </w:divBdr>
        </w:div>
        <w:div w:id="622342463">
          <w:marLeft w:val="0"/>
          <w:marRight w:val="0"/>
          <w:marTop w:val="0"/>
          <w:marBottom w:val="0"/>
          <w:divBdr>
            <w:top w:val="none" w:sz="0" w:space="0" w:color="auto"/>
            <w:left w:val="none" w:sz="0" w:space="0" w:color="auto"/>
            <w:bottom w:val="none" w:sz="0" w:space="0" w:color="auto"/>
            <w:right w:val="none" w:sz="0" w:space="0" w:color="auto"/>
          </w:divBdr>
        </w:div>
        <w:div w:id="640036282">
          <w:marLeft w:val="0"/>
          <w:marRight w:val="0"/>
          <w:marTop w:val="0"/>
          <w:marBottom w:val="0"/>
          <w:divBdr>
            <w:top w:val="none" w:sz="0" w:space="0" w:color="auto"/>
            <w:left w:val="none" w:sz="0" w:space="0" w:color="auto"/>
            <w:bottom w:val="none" w:sz="0" w:space="0" w:color="auto"/>
            <w:right w:val="none" w:sz="0" w:space="0" w:color="auto"/>
          </w:divBdr>
        </w:div>
        <w:div w:id="650450357">
          <w:marLeft w:val="0"/>
          <w:marRight w:val="0"/>
          <w:marTop w:val="0"/>
          <w:marBottom w:val="0"/>
          <w:divBdr>
            <w:top w:val="none" w:sz="0" w:space="0" w:color="auto"/>
            <w:left w:val="none" w:sz="0" w:space="0" w:color="auto"/>
            <w:bottom w:val="none" w:sz="0" w:space="0" w:color="auto"/>
            <w:right w:val="none" w:sz="0" w:space="0" w:color="auto"/>
          </w:divBdr>
        </w:div>
        <w:div w:id="656767495">
          <w:marLeft w:val="0"/>
          <w:marRight w:val="0"/>
          <w:marTop w:val="0"/>
          <w:marBottom w:val="0"/>
          <w:divBdr>
            <w:top w:val="none" w:sz="0" w:space="0" w:color="auto"/>
            <w:left w:val="none" w:sz="0" w:space="0" w:color="auto"/>
            <w:bottom w:val="none" w:sz="0" w:space="0" w:color="auto"/>
            <w:right w:val="none" w:sz="0" w:space="0" w:color="auto"/>
          </w:divBdr>
        </w:div>
        <w:div w:id="677997873">
          <w:marLeft w:val="0"/>
          <w:marRight w:val="0"/>
          <w:marTop w:val="0"/>
          <w:marBottom w:val="0"/>
          <w:divBdr>
            <w:top w:val="none" w:sz="0" w:space="0" w:color="auto"/>
            <w:left w:val="none" w:sz="0" w:space="0" w:color="auto"/>
            <w:bottom w:val="none" w:sz="0" w:space="0" w:color="auto"/>
            <w:right w:val="none" w:sz="0" w:space="0" w:color="auto"/>
          </w:divBdr>
        </w:div>
        <w:div w:id="690954216">
          <w:marLeft w:val="0"/>
          <w:marRight w:val="0"/>
          <w:marTop w:val="0"/>
          <w:marBottom w:val="0"/>
          <w:divBdr>
            <w:top w:val="none" w:sz="0" w:space="0" w:color="auto"/>
            <w:left w:val="none" w:sz="0" w:space="0" w:color="auto"/>
            <w:bottom w:val="none" w:sz="0" w:space="0" w:color="auto"/>
            <w:right w:val="none" w:sz="0" w:space="0" w:color="auto"/>
          </w:divBdr>
        </w:div>
        <w:div w:id="695539780">
          <w:marLeft w:val="0"/>
          <w:marRight w:val="0"/>
          <w:marTop w:val="0"/>
          <w:marBottom w:val="0"/>
          <w:divBdr>
            <w:top w:val="none" w:sz="0" w:space="0" w:color="auto"/>
            <w:left w:val="none" w:sz="0" w:space="0" w:color="auto"/>
            <w:bottom w:val="none" w:sz="0" w:space="0" w:color="auto"/>
            <w:right w:val="none" w:sz="0" w:space="0" w:color="auto"/>
          </w:divBdr>
        </w:div>
        <w:div w:id="697199575">
          <w:marLeft w:val="0"/>
          <w:marRight w:val="0"/>
          <w:marTop w:val="0"/>
          <w:marBottom w:val="0"/>
          <w:divBdr>
            <w:top w:val="none" w:sz="0" w:space="0" w:color="auto"/>
            <w:left w:val="none" w:sz="0" w:space="0" w:color="auto"/>
            <w:bottom w:val="none" w:sz="0" w:space="0" w:color="auto"/>
            <w:right w:val="none" w:sz="0" w:space="0" w:color="auto"/>
          </w:divBdr>
        </w:div>
        <w:div w:id="702631130">
          <w:marLeft w:val="0"/>
          <w:marRight w:val="0"/>
          <w:marTop w:val="0"/>
          <w:marBottom w:val="0"/>
          <w:divBdr>
            <w:top w:val="none" w:sz="0" w:space="0" w:color="auto"/>
            <w:left w:val="none" w:sz="0" w:space="0" w:color="auto"/>
            <w:bottom w:val="none" w:sz="0" w:space="0" w:color="auto"/>
            <w:right w:val="none" w:sz="0" w:space="0" w:color="auto"/>
          </w:divBdr>
        </w:div>
        <w:div w:id="718549681">
          <w:marLeft w:val="0"/>
          <w:marRight w:val="0"/>
          <w:marTop w:val="0"/>
          <w:marBottom w:val="0"/>
          <w:divBdr>
            <w:top w:val="none" w:sz="0" w:space="0" w:color="auto"/>
            <w:left w:val="none" w:sz="0" w:space="0" w:color="auto"/>
            <w:bottom w:val="none" w:sz="0" w:space="0" w:color="auto"/>
            <w:right w:val="none" w:sz="0" w:space="0" w:color="auto"/>
          </w:divBdr>
        </w:div>
        <w:div w:id="736167835">
          <w:marLeft w:val="0"/>
          <w:marRight w:val="0"/>
          <w:marTop w:val="0"/>
          <w:marBottom w:val="0"/>
          <w:divBdr>
            <w:top w:val="none" w:sz="0" w:space="0" w:color="auto"/>
            <w:left w:val="none" w:sz="0" w:space="0" w:color="auto"/>
            <w:bottom w:val="none" w:sz="0" w:space="0" w:color="auto"/>
            <w:right w:val="none" w:sz="0" w:space="0" w:color="auto"/>
          </w:divBdr>
        </w:div>
        <w:div w:id="737434486">
          <w:marLeft w:val="0"/>
          <w:marRight w:val="0"/>
          <w:marTop w:val="0"/>
          <w:marBottom w:val="0"/>
          <w:divBdr>
            <w:top w:val="none" w:sz="0" w:space="0" w:color="auto"/>
            <w:left w:val="none" w:sz="0" w:space="0" w:color="auto"/>
            <w:bottom w:val="none" w:sz="0" w:space="0" w:color="auto"/>
            <w:right w:val="none" w:sz="0" w:space="0" w:color="auto"/>
          </w:divBdr>
        </w:div>
        <w:div w:id="740055863">
          <w:marLeft w:val="0"/>
          <w:marRight w:val="0"/>
          <w:marTop w:val="0"/>
          <w:marBottom w:val="0"/>
          <w:divBdr>
            <w:top w:val="none" w:sz="0" w:space="0" w:color="auto"/>
            <w:left w:val="none" w:sz="0" w:space="0" w:color="auto"/>
            <w:bottom w:val="none" w:sz="0" w:space="0" w:color="auto"/>
            <w:right w:val="none" w:sz="0" w:space="0" w:color="auto"/>
          </w:divBdr>
        </w:div>
        <w:div w:id="750809820">
          <w:marLeft w:val="0"/>
          <w:marRight w:val="0"/>
          <w:marTop w:val="0"/>
          <w:marBottom w:val="0"/>
          <w:divBdr>
            <w:top w:val="none" w:sz="0" w:space="0" w:color="auto"/>
            <w:left w:val="none" w:sz="0" w:space="0" w:color="auto"/>
            <w:bottom w:val="none" w:sz="0" w:space="0" w:color="auto"/>
            <w:right w:val="none" w:sz="0" w:space="0" w:color="auto"/>
          </w:divBdr>
        </w:div>
        <w:div w:id="773212522">
          <w:marLeft w:val="0"/>
          <w:marRight w:val="0"/>
          <w:marTop w:val="0"/>
          <w:marBottom w:val="0"/>
          <w:divBdr>
            <w:top w:val="none" w:sz="0" w:space="0" w:color="auto"/>
            <w:left w:val="none" w:sz="0" w:space="0" w:color="auto"/>
            <w:bottom w:val="none" w:sz="0" w:space="0" w:color="auto"/>
            <w:right w:val="none" w:sz="0" w:space="0" w:color="auto"/>
          </w:divBdr>
        </w:div>
        <w:div w:id="822741201">
          <w:marLeft w:val="0"/>
          <w:marRight w:val="0"/>
          <w:marTop w:val="0"/>
          <w:marBottom w:val="0"/>
          <w:divBdr>
            <w:top w:val="none" w:sz="0" w:space="0" w:color="auto"/>
            <w:left w:val="none" w:sz="0" w:space="0" w:color="auto"/>
            <w:bottom w:val="none" w:sz="0" w:space="0" w:color="auto"/>
            <w:right w:val="none" w:sz="0" w:space="0" w:color="auto"/>
          </w:divBdr>
        </w:div>
        <w:div w:id="833301924">
          <w:marLeft w:val="0"/>
          <w:marRight w:val="0"/>
          <w:marTop w:val="0"/>
          <w:marBottom w:val="0"/>
          <w:divBdr>
            <w:top w:val="none" w:sz="0" w:space="0" w:color="auto"/>
            <w:left w:val="none" w:sz="0" w:space="0" w:color="auto"/>
            <w:bottom w:val="none" w:sz="0" w:space="0" w:color="auto"/>
            <w:right w:val="none" w:sz="0" w:space="0" w:color="auto"/>
          </w:divBdr>
        </w:div>
        <w:div w:id="835614982">
          <w:marLeft w:val="0"/>
          <w:marRight w:val="0"/>
          <w:marTop w:val="0"/>
          <w:marBottom w:val="0"/>
          <w:divBdr>
            <w:top w:val="none" w:sz="0" w:space="0" w:color="auto"/>
            <w:left w:val="none" w:sz="0" w:space="0" w:color="auto"/>
            <w:bottom w:val="none" w:sz="0" w:space="0" w:color="auto"/>
            <w:right w:val="none" w:sz="0" w:space="0" w:color="auto"/>
          </w:divBdr>
        </w:div>
        <w:div w:id="856621081">
          <w:marLeft w:val="0"/>
          <w:marRight w:val="0"/>
          <w:marTop w:val="0"/>
          <w:marBottom w:val="0"/>
          <w:divBdr>
            <w:top w:val="none" w:sz="0" w:space="0" w:color="auto"/>
            <w:left w:val="none" w:sz="0" w:space="0" w:color="auto"/>
            <w:bottom w:val="none" w:sz="0" w:space="0" w:color="auto"/>
            <w:right w:val="none" w:sz="0" w:space="0" w:color="auto"/>
          </w:divBdr>
        </w:div>
        <w:div w:id="869415065">
          <w:marLeft w:val="0"/>
          <w:marRight w:val="0"/>
          <w:marTop w:val="0"/>
          <w:marBottom w:val="0"/>
          <w:divBdr>
            <w:top w:val="none" w:sz="0" w:space="0" w:color="auto"/>
            <w:left w:val="none" w:sz="0" w:space="0" w:color="auto"/>
            <w:bottom w:val="none" w:sz="0" w:space="0" w:color="auto"/>
            <w:right w:val="none" w:sz="0" w:space="0" w:color="auto"/>
          </w:divBdr>
        </w:div>
        <w:div w:id="876699195">
          <w:marLeft w:val="0"/>
          <w:marRight w:val="0"/>
          <w:marTop w:val="0"/>
          <w:marBottom w:val="0"/>
          <w:divBdr>
            <w:top w:val="none" w:sz="0" w:space="0" w:color="auto"/>
            <w:left w:val="none" w:sz="0" w:space="0" w:color="auto"/>
            <w:bottom w:val="none" w:sz="0" w:space="0" w:color="auto"/>
            <w:right w:val="none" w:sz="0" w:space="0" w:color="auto"/>
          </w:divBdr>
        </w:div>
        <w:div w:id="900099181">
          <w:marLeft w:val="0"/>
          <w:marRight w:val="0"/>
          <w:marTop w:val="0"/>
          <w:marBottom w:val="0"/>
          <w:divBdr>
            <w:top w:val="none" w:sz="0" w:space="0" w:color="auto"/>
            <w:left w:val="none" w:sz="0" w:space="0" w:color="auto"/>
            <w:bottom w:val="none" w:sz="0" w:space="0" w:color="auto"/>
            <w:right w:val="none" w:sz="0" w:space="0" w:color="auto"/>
          </w:divBdr>
        </w:div>
        <w:div w:id="942611579">
          <w:marLeft w:val="0"/>
          <w:marRight w:val="0"/>
          <w:marTop w:val="0"/>
          <w:marBottom w:val="0"/>
          <w:divBdr>
            <w:top w:val="none" w:sz="0" w:space="0" w:color="auto"/>
            <w:left w:val="none" w:sz="0" w:space="0" w:color="auto"/>
            <w:bottom w:val="none" w:sz="0" w:space="0" w:color="auto"/>
            <w:right w:val="none" w:sz="0" w:space="0" w:color="auto"/>
          </w:divBdr>
        </w:div>
        <w:div w:id="980767093">
          <w:marLeft w:val="0"/>
          <w:marRight w:val="0"/>
          <w:marTop w:val="0"/>
          <w:marBottom w:val="0"/>
          <w:divBdr>
            <w:top w:val="none" w:sz="0" w:space="0" w:color="auto"/>
            <w:left w:val="none" w:sz="0" w:space="0" w:color="auto"/>
            <w:bottom w:val="none" w:sz="0" w:space="0" w:color="auto"/>
            <w:right w:val="none" w:sz="0" w:space="0" w:color="auto"/>
          </w:divBdr>
        </w:div>
        <w:div w:id="986055432">
          <w:marLeft w:val="0"/>
          <w:marRight w:val="0"/>
          <w:marTop w:val="0"/>
          <w:marBottom w:val="0"/>
          <w:divBdr>
            <w:top w:val="none" w:sz="0" w:space="0" w:color="auto"/>
            <w:left w:val="none" w:sz="0" w:space="0" w:color="auto"/>
            <w:bottom w:val="none" w:sz="0" w:space="0" w:color="auto"/>
            <w:right w:val="none" w:sz="0" w:space="0" w:color="auto"/>
          </w:divBdr>
        </w:div>
        <w:div w:id="1006133006">
          <w:marLeft w:val="0"/>
          <w:marRight w:val="0"/>
          <w:marTop w:val="0"/>
          <w:marBottom w:val="0"/>
          <w:divBdr>
            <w:top w:val="none" w:sz="0" w:space="0" w:color="auto"/>
            <w:left w:val="none" w:sz="0" w:space="0" w:color="auto"/>
            <w:bottom w:val="none" w:sz="0" w:space="0" w:color="auto"/>
            <w:right w:val="none" w:sz="0" w:space="0" w:color="auto"/>
          </w:divBdr>
        </w:div>
        <w:div w:id="1013000252">
          <w:marLeft w:val="0"/>
          <w:marRight w:val="0"/>
          <w:marTop w:val="0"/>
          <w:marBottom w:val="0"/>
          <w:divBdr>
            <w:top w:val="none" w:sz="0" w:space="0" w:color="auto"/>
            <w:left w:val="none" w:sz="0" w:space="0" w:color="auto"/>
            <w:bottom w:val="none" w:sz="0" w:space="0" w:color="auto"/>
            <w:right w:val="none" w:sz="0" w:space="0" w:color="auto"/>
          </w:divBdr>
        </w:div>
        <w:div w:id="1020355338">
          <w:marLeft w:val="0"/>
          <w:marRight w:val="0"/>
          <w:marTop w:val="0"/>
          <w:marBottom w:val="0"/>
          <w:divBdr>
            <w:top w:val="none" w:sz="0" w:space="0" w:color="auto"/>
            <w:left w:val="none" w:sz="0" w:space="0" w:color="auto"/>
            <w:bottom w:val="none" w:sz="0" w:space="0" w:color="auto"/>
            <w:right w:val="none" w:sz="0" w:space="0" w:color="auto"/>
          </w:divBdr>
        </w:div>
        <w:div w:id="1027947057">
          <w:marLeft w:val="0"/>
          <w:marRight w:val="0"/>
          <w:marTop w:val="0"/>
          <w:marBottom w:val="0"/>
          <w:divBdr>
            <w:top w:val="none" w:sz="0" w:space="0" w:color="auto"/>
            <w:left w:val="none" w:sz="0" w:space="0" w:color="auto"/>
            <w:bottom w:val="none" w:sz="0" w:space="0" w:color="auto"/>
            <w:right w:val="none" w:sz="0" w:space="0" w:color="auto"/>
          </w:divBdr>
        </w:div>
        <w:div w:id="1028067284">
          <w:marLeft w:val="0"/>
          <w:marRight w:val="0"/>
          <w:marTop w:val="0"/>
          <w:marBottom w:val="0"/>
          <w:divBdr>
            <w:top w:val="none" w:sz="0" w:space="0" w:color="auto"/>
            <w:left w:val="none" w:sz="0" w:space="0" w:color="auto"/>
            <w:bottom w:val="none" w:sz="0" w:space="0" w:color="auto"/>
            <w:right w:val="none" w:sz="0" w:space="0" w:color="auto"/>
          </w:divBdr>
        </w:div>
        <w:div w:id="1051727071">
          <w:marLeft w:val="0"/>
          <w:marRight w:val="0"/>
          <w:marTop w:val="0"/>
          <w:marBottom w:val="0"/>
          <w:divBdr>
            <w:top w:val="none" w:sz="0" w:space="0" w:color="auto"/>
            <w:left w:val="none" w:sz="0" w:space="0" w:color="auto"/>
            <w:bottom w:val="none" w:sz="0" w:space="0" w:color="auto"/>
            <w:right w:val="none" w:sz="0" w:space="0" w:color="auto"/>
          </w:divBdr>
        </w:div>
        <w:div w:id="1074743038">
          <w:marLeft w:val="0"/>
          <w:marRight w:val="0"/>
          <w:marTop w:val="0"/>
          <w:marBottom w:val="0"/>
          <w:divBdr>
            <w:top w:val="none" w:sz="0" w:space="0" w:color="auto"/>
            <w:left w:val="none" w:sz="0" w:space="0" w:color="auto"/>
            <w:bottom w:val="none" w:sz="0" w:space="0" w:color="auto"/>
            <w:right w:val="none" w:sz="0" w:space="0" w:color="auto"/>
          </w:divBdr>
        </w:div>
        <w:div w:id="1077870852">
          <w:marLeft w:val="0"/>
          <w:marRight w:val="0"/>
          <w:marTop w:val="0"/>
          <w:marBottom w:val="0"/>
          <w:divBdr>
            <w:top w:val="none" w:sz="0" w:space="0" w:color="auto"/>
            <w:left w:val="none" w:sz="0" w:space="0" w:color="auto"/>
            <w:bottom w:val="none" w:sz="0" w:space="0" w:color="auto"/>
            <w:right w:val="none" w:sz="0" w:space="0" w:color="auto"/>
          </w:divBdr>
        </w:div>
        <w:div w:id="1102922856">
          <w:marLeft w:val="0"/>
          <w:marRight w:val="0"/>
          <w:marTop w:val="0"/>
          <w:marBottom w:val="0"/>
          <w:divBdr>
            <w:top w:val="none" w:sz="0" w:space="0" w:color="auto"/>
            <w:left w:val="none" w:sz="0" w:space="0" w:color="auto"/>
            <w:bottom w:val="none" w:sz="0" w:space="0" w:color="auto"/>
            <w:right w:val="none" w:sz="0" w:space="0" w:color="auto"/>
          </w:divBdr>
        </w:div>
        <w:div w:id="1104764423">
          <w:marLeft w:val="0"/>
          <w:marRight w:val="0"/>
          <w:marTop w:val="0"/>
          <w:marBottom w:val="0"/>
          <w:divBdr>
            <w:top w:val="none" w:sz="0" w:space="0" w:color="auto"/>
            <w:left w:val="none" w:sz="0" w:space="0" w:color="auto"/>
            <w:bottom w:val="none" w:sz="0" w:space="0" w:color="auto"/>
            <w:right w:val="none" w:sz="0" w:space="0" w:color="auto"/>
          </w:divBdr>
        </w:div>
        <w:div w:id="1110902396">
          <w:marLeft w:val="0"/>
          <w:marRight w:val="0"/>
          <w:marTop w:val="0"/>
          <w:marBottom w:val="0"/>
          <w:divBdr>
            <w:top w:val="none" w:sz="0" w:space="0" w:color="auto"/>
            <w:left w:val="none" w:sz="0" w:space="0" w:color="auto"/>
            <w:bottom w:val="none" w:sz="0" w:space="0" w:color="auto"/>
            <w:right w:val="none" w:sz="0" w:space="0" w:color="auto"/>
          </w:divBdr>
        </w:div>
        <w:div w:id="1134762458">
          <w:marLeft w:val="0"/>
          <w:marRight w:val="0"/>
          <w:marTop w:val="0"/>
          <w:marBottom w:val="0"/>
          <w:divBdr>
            <w:top w:val="none" w:sz="0" w:space="0" w:color="auto"/>
            <w:left w:val="none" w:sz="0" w:space="0" w:color="auto"/>
            <w:bottom w:val="none" w:sz="0" w:space="0" w:color="auto"/>
            <w:right w:val="none" w:sz="0" w:space="0" w:color="auto"/>
          </w:divBdr>
        </w:div>
        <w:div w:id="1153986999">
          <w:marLeft w:val="0"/>
          <w:marRight w:val="0"/>
          <w:marTop w:val="0"/>
          <w:marBottom w:val="0"/>
          <w:divBdr>
            <w:top w:val="none" w:sz="0" w:space="0" w:color="auto"/>
            <w:left w:val="none" w:sz="0" w:space="0" w:color="auto"/>
            <w:bottom w:val="none" w:sz="0" w:space="0" w:color="auto"/>
            <w:right w:val="none" w:sz="0" w:space="0" w:color="auto"/>
          </w:divBdr>
        </w:div>
        <w:div w:id="1186941800">
          <w:marLeft w:val="0"/>
          <w:marRight w:val="0"/>
          <w:marTop w:val="0"/>
          <w:marBottom w:val="0"/>
          <w:divBdr>
            <w:top w:val="none" w:sz="0" w:space="0" w:color="auto"/>
            <w:left w:val="none" w:sz="0" w:space="0" w:color="auto"/>
            <w:bottom w:val="none" w:sz="0" w:space="0" w:color="auto"/>
            <w:right w:val="none" w:sz="0" w:space="0" w:color="auto"/>
          </w:divBdr>
        </w:div>
        <w:div w:id="1218978553">
          <w:marLeft w:val="0"/>
          <w:marRight w:val="0"/>
          <w:marTop w:val="0"/>
          <w:marBottom w:val="0"/>
          <w:divBdr>
            <w:top w:val="none" w:sz="0" w:space="0" w:color="auto"/>
            <w:left w:val="none" w:sz="0" w:space="0" w:color="auto"/>
            <w:bottom w:val="none" w:sz="0" w:space="0" w:color="auto"/>
            <w:right w:val="none" w:sz="0" w:space="0" w:color="auto"/>
          </w:divBdr>
        </w:div>
        <w:div w:id="1255283842">
          <w:marLeft w:val="0"/>
          <w:marRight w:val="0"/>
          <w:marTop w:val="0"/>
          <w:marBottom w:val="0"/>
          <w:divBdr>
            <w:top w:val="none" w:sz="0" w:space="0" w:color="auto"/>
            <w:left w:val="none" w:sz="0" w:space="0" w:color="auto"/>
            <w:bottom w:val="none" w:sz="0" w:space="0" w:color="auto"/>
            <w:right w:val="none" w:sz="0" w:space="0" w:color="auto"/>
          </w:divBdr>
        </w:div>
        <w:div w:id="1266621511">
          <w:marLeft w:val="0"/>
          <w:marRight w:val="0"/>
          <w:marTop w:val="0"/>
          <w:marBottom w:val="0"/>
          <w:divBdr>
            <w:top w:val="none" w:sz="0" w:space="0" w:color="auto"/>
            <w:left w:val="none" w:sz="0" w:space="0" w:color="auto"/>
            <w:bottom w:val="none" w:sz="0" w:space="0" w:color="auto"/>
            <w:right w:val="none" w:sz="0" w:space="0" w:color="auto"/>
          </w:divBdr>
        </w:div>
        <w:div w:id="1300843310">
          <w:marLeft w:val="0"/>
          <w:marRight w:val="0"/>
          <w:marTop w:val="0"/>
          <w:marBottom w:val="0"/>
          <w:divBdr>
            <w:top w:val="none" w:sz="0" w:space="0" w:color="auto"/>
            <w:left w:val="none" w:sz="0" w:space="0" w:color="auto"/>
            <w:bottom w:val="none" w:sz="0" w:space="0" w:color="auto"/>
            <w:right w:val="none" w:sz="0" w:space="0" w:color="auto"/>
          </w:divBdr>
        </w:div>
        <w:div w:id="1303264943">
          <w:marLeft w:val="0"/>
          <w:marRight w:val="0"/>
          <w:marTop w:val="0"/>
          <w:marBottom w:val="0"/>
          <w:divBdr>
            <w:top w:val="none" w:sz="0" w:space="0" w:color="auto"/>
            <w:left w:val="none" w:sz="0" w:space="0" w:color="auto"/>
            <w:bottom w:val="none" w:sz="0" w:space="0" w:color="auto"/>
            <w:right w:val="none" w:sz="0" w:space="0" w:color="auto"/>
          </w:divBdr>
        </w:div>
        <w:div w:id="1316639106">
          <w:marLeft w:val="0"/>
          <w:marRight w:val="0"/>
          <w:marTop w:val="0"/>
          <w:marBottom w:val="0"/>
          <w:divBdr>
            <w:top w:val="none" w:sz="0" w:space="0" w:color="auto"/>
            <w:left w:val="none" w:sz="0" w:space="0" w:color="auto"/>
            <w:bottom w:val="none" w:sz="0" w:space="0" w:color="auto"/>
            <w:right w:val="none" w:sz="0" w:space="0" w:color="auto"/>
          </w:divBdr>
        </w:div>
        <w:div w:id="1328170651">
          <w:marLeft w:val="0"/>
          <w:marRight w:val="0"/>
          <w:marTop w:val="0"/>
          <w:marBottom w:val="0"/>
          <w:divBdr>
            <w:top w:val="none" w:sz="0" w:space="0" w:color="auto"/>
            <w:left w:val="none" w:sz="0" w:space="0" w:color="auto"/>
            <w:bottom w:val="none" w:sz="0" w:space="0" w:color="auto"/>
            <w:right w:val="none" w:sz="0" w:space="0" w:color="auto"/>
          </w:divBdr>
        </w:div>
        <w:div w:id="1333989852">
          <w:marLeft w:val="0"/>
          <w:marRight w:val="0"/>
          <w:marTop w:val="0"/>
          <w:marBottom w:val="0"/>
          <w:divBdr>
            <w:top w:val="none" w:sz="0" w:space="0" w:color="auto"/>
            <w:left w:val="none" w:sz="0" w:space="0" w:color="auto"/>
            <w:bottom w:val="none" w:sz="0" w:space="0" w:color="auto"/>
            <w:right w:val="none" w:sz="0" w:space="0" w:color="auto"/>
          </w:divBdr>
        </w:div>
        <w:div w:id="1334257674">
          <w:marLeft w:val="0"/>
          <w:marRight w:val="0"/>
          <w:marTop w:val="0"/>
          <w:marBottom w:val="0"/>
          <w:divBdr>
            <w:top w:val="none" w:sz="0" w:space="0" w:color="auto"/>
            <w:left w:val="none" w:sz="0" w:space="0" w:color="auto"/>
            <w:bottom w:val="none" w:sz="0" w:space="0" w:color="auto"/>
            <w:right w:val="none" w:sz="0" w:space="0" w:color="auto"/>
          </w:divBdr>
        </w:div>
        <w:div w:id="1336810270">
          <w:marLeft w:val="0"/>
          <w:marRight w:val="0"/>
          <w:marTop w:val="0"/>
          <w:marBottom w:val="0"/>
          <w:divBdr>
            <w:top w:val="none" w:sz="0" w:space="0" w:color="auto"/>
            <w:left w:val="none" w:sz="0" w:space="0" w:color="auto"/>
            <w:bottom w:val="none" w:sz="0" w:space="0" w:color="auto"/>
            <w:right w:val="none" w:sz="0" w:space="0" w:color="auto"/>
          </w:divBdr>
        </w:div>
        <w:div w:id="1345129932">
          <w:marLeft w:val="0"/>
          <w:marRight w:val="0"/>
          <w:marTop w:val="0"/>
          <w:marBottom w:val="0"/>
          <w:divBdr>
            <w:top w:val="none" w:sz="0" w:space="0" w:color="auto"/>
            <w:left w:val="none" w:sz="0" w:space="0" w:color="auto"/>
            <w:bottom w:val="none" w:sz="0" w:space="0" w:color="auto"/>
            <w:right w:val="none" w:sz="0" w:space="0" w:color="auto"/>
          </w:divBdr>
        </w:div>
        <w:div w:id="1345858192">
          <w:marLeft w:val="0"/>
          <w:marRight w:val="0"/>
          <w:marTop w:val="0"/>
          <w:marBottom w:val="0"/>
          <w:divBdr>
            <w:top w:val="none" w:sz="0" w:space="0" w:color="auto"/>
            <w:left w:val="none" w:sz="0" w:space="0" w:color="auto"/>
            <w:bottom w:val="none" w:sz="0" w:space="0" w:color="auto"/>
            <w:right w:val="none" w:sz="0" w:space="0" w:color="auto"/>
          </w:divBdr>
        </w:div>
        <w:div w:id="1375037533">
          <w:marLeft w:val="0"/>
          <w:marRight w:val="0"/>
          <w:marTop w:val="0"/>
          <w:marBottom w:val="0"/>
          <w:divBdr>
            <w:top w:val="none" w:sz="0" w:space="0" w:color="auto"/>
            <w:left w:val="none" w:sz="0" w:space="0" w:color="auto"/>
            <w:bottom w:val="none" w:sz="0" w:space="0" w:color="auto"/>
            <w:right w:val="none" w:sz="0" w:space="0" w:color="auto"/>
          </w:divBdr>
        </w:div>
        <w:div w:id="1394351551">
          <w:marLeft w:val="0"/>
          <w:marRight w:val="0"/>
          <w:marTop w:val="0"/>
          <w:marBottom w:val="0"/>
          <w:divBdr>
            <w:top w:val="none" w:sz="0" w:space="0" w:color="auto"/>
            <w:left w:val="none" w:sz="0" w:space="0" w:color="auto"/>
            <w:bottom w:val="none" w:sz="0" w:space="0" w:color="auto"/>
            <w:right w:val="none" w:sz="0" w:space="0" w:color="auto"/>
          </w:divBdr>
        </w:div>
        <w:div w:id="1435324682">
          <w:marLeft w:val="0"/>
          <w:marRight w:val="0"/>
          <w:marTop w:val="0"/>
          <w:marBottom w:val="0"/>
          <w:divBdr>
            <w:top w:val="none" w:sz="0" w:space="0" w:color="auto"/>
            <w:left w:val="none" w:sz="0" w:space="0" w:color="auto"/>
            <w:bottom w:val="none" w:sz="0" w:space="0" w:color="auto"/>
            <w:right w:val="none" w:sz="0" w:space="0" w:color="auto"/>
          </w:divBdr>
        </w:div>
        <w:div w:id="1450736108">
          <w:marLeft w:val="0"/>
          <w:marRight w:val="0"/>
          <w:marTop w:val="0"/>
          <w:marBottom w:val="0"/>
          <w:divBdr>
            <w:top w:val="none" w:sz="0" w:space="0" w:color="auto"/>
            <w:left w:val="none" w:sz="0" w:space="0" w:color="auto"/>
            <w:bottom w:val="none" w:sz="0" w:space="0" w:color="auto"/>
            <w:right w:val="none" w:sz="0" w:space="0" w:color="auto"/>
          </w:divBdr>
        </w:div>
        <w:div w:id="1451826280">
          <w:marLeft w:val="0"/>
          <w:marRight w:val="0"/>
          <w:marTop w:val="0"/>
          <w:marBottom w:val="0"/>
          <w:divBdr>
            <w:top w:val="none" w:sz="0" w:space="0" w:color="auto"/>
            <w:left w:val="none" w:sz="0" w:space="0" w:color="auto"/>
            <w:bottom w:val="none" w:sz="0" w:space="0" w:color="auto"/>
            <w:right w:val="none" w:sz="0" w:space="0" w:color="auto"/>
          </w:divBdr>
        </w:div>
        <w:div w:id="1459303098">
          <w:marLeft w:val="0"/>
          <w:marRight w:val="0"/>
          <w:marTop w:val="0"/>
          <w:marBottom w:val="0"/>
          <w:divBdr>
            <w:top w:val="none" w:sz="0" w:space="0" w:color="auto"/>
            <w:left w:val="none" w:sz="0" w:space="0" w:color="auto"/>
            <w:bottom w:val="none" w:sz="0" w:space="0" w:color="auto"/>
            <w:right w:val="none" w:sz="0" w:space="0" w:color="auto"/>
          </w:divBdr>
        </w:div>
        <w:div w:id="1460298356">
          <w:marLeft w:val="0"/>
          <w:marRight w:val="0"/>
          <w:marTop w:val="0"/>
          <w:marBottom w:val="0"/>
          <w:divBdr>
            <w:top w:val="none" w:sz="0" w:space="0" w:color="auto"/>
            <w:left w:val="none" w:sz="0" w:space="0" w:color="auto"/>
            <w:bottom w:val="none" w:sz="0" w:space="0" w:color="auto"/>
            <w:right w:val="none" w:sz="0" w:space="0" w:color="auto"/>
          </w:divBdr>
        </w:div>
        <w:div w:id="1498032437">
          <w:marLeft w:val="0"/>
          <w:marRight w:val="0"/>
          <w:marTop w:val="0"/>
          <w:marBottom w:val="0"/>
          <w:divBdr>
            <w:top w:val="none" w:sz="0" w:space="0" w:color="auto"/>
            <w:left w:val="none" w:sz="0" w:space="0" w:color="auto"/>
            <w:bottom w:val="none" w:sz="0" w:space="0" w:color="auto"/>
            <w:right w:val="none" w:sz="0" w:space="0" w:color="auto"/>
          </w:divBdr>
        </w:div>
        <w:div w:id="1518615578">
          <w:marLeft w:val="0"/>
          <w:marRight w:val="0"/>
          <w:marTop w:val="0"/>
          <w:marBottom w:val="0"/>
          <w:divBdr>
            <w:top w:val="none" w:sz="0" w:space="0" w:color="auto"/>
            <w:left w:val="none" w:sz="0" w:space="0" w:color="auto"/>
            <w:bottom w:val="none" w:sz="0" w:space="0" w:color="auto"/>
            <w:right w:val="none" w:sz="0" w:space="0" w:color="auto"/>
          </w:divBdr>
        </w:div>
        <w:div w:id="1524124592">
          <w:marLeft w:val="0"/>
          <w:marRight w:val="0"/>
          <w:marTop w:val="0"/>
          <w:marBottom w:val="0"/>
          <w:divBdr>
            <w:top w:val="none" w:sz="0" w:space="0" w:color="auto"/>
            <w:left w:val="none" w:sz="0" w:space="0" w:color="auto"/>
            <w:bottom w:val="none" w:sz="0" w:space="0" w:color="auto"/>
            <w:right w:val="none" w:sz="0" w:space="0" w:color="auto"/>
          </w:divBdr>
        </w:div>
        <w:div w:id="1583680415">
          <w:marLeft w:val="0"/>
          <w:marRight w:val="0"/>
          <w:marTop w:val="0"/>
          <w:marBottom w:val="0"/>
          <w:divBdr>
            <w:top w:val="none" w:sz="0" w:space="0" w:color="auto"/>
            <w:left w:val="none" w:sz="0" w:space="0" w:color="auto"/>
            <w:bottom w:val="none" w:sz="0" w:space="0" w:color="auto"/>
            <w:right w:val="none" w:sz="0" w:space="0" w:color="auto"/>
          </w:divBdr>
        </w:div>
        <w:div w:id="1585921388">
          <w:marLeft w:val="0"/>
          <w:marRight w:val="0"/>
          <w:marTop w:val="0"/>
          <w:marBottom w:val="0"/>
          <w:divBdr>
            <w:top w:val="none" w:sz="0" w:space="0" w:color="auto"/>
            <w:left w:val="none" w:sz="0" w:space="0" w:color="auto"/>
            <w:bottom w:val="none" w:sz="0" w:space="0" w:color="auto"/>
            <w:right w:val="none" w:sz="0" w:space="0" w:color="auto"/>
          </w:divBdr>
        </w:div>
        <w:div w:id="1619946117">
          <w:marLeft w:val="0"/>
          <w:marRight w:val="0"/>
          <w:marTop w:val="0"/>
          <w:marBottom w:val="0"/>
          <w:divBdr>
            <w:top w:val="none" w:sz="0" w:space="0" w:color="auto"/>
            <w:left w:val="none" w:sz="0" w:space="0" w:color="auto"/>
            <w:bottom w:val="none" w:sz="0" w:space="0" w:color="auto"/>
            <w:right w:val="none" w:sz="0" w:space="0" w:color="auto"/>
          </w:divBdr>
        </w:div>
        <w:div w:id="1637099137">
          <w:marLeft w:val="0"/>
          <w:marRight w:val="0"/>
          <w:marTop w:val="0"/>
          <w:marBottom w:val="0"/>
          <w:divBdr>
            <w:top w:val="none" w:sz="0" w:space="0" w:color="auto"/>
            <w:left w:val="none" w:sz="0" w:space="0" w:color="auto"/>
            <w:bottom w:val="none" w:sz="0" w:space="0" w:color="auto"/>
            <w:right w:val="none" w:sz="0" w:space="0" w:color="auto"/>
          </w:divBdr>
        </w:div>
        <w:div w:id="1658679806">
          <w:marLeft w:val="0"/>
          <w:marRight w:val="0"/>
          <w:marTop w:val="0"/>
          <w:marBottom w:val="0"/>
          <w:divBdr>
            <w:top w:val="none" w:sz="0" w:space="0" w:color="auto"/>
            <w:left w:val="none" w:sz="0" w:space="0" w:color="auto"/>
            <w:bottom w:val="none" w:sz="0" w:space="0" w:color="auto"/>
            <w:right w:val="none" w:sz="0" w:space="0" w:color="auto"/>
          </w:divBdr>
        </w:div>
        <w:div w:id="1663004997">
          <w:marLeft w:val="0"/>
          <w:marRight w:val="0"/>
          <w:marTop w:val="0"/>
          <w:marBottom w:val="0"/>
          <w:divBdr>
            <w:top w:val="none" w:sz="0" w:space="0" w:color="auto"/>
            <w:left w:val="none" w:sz="0" w:space="0" w:color="auto"/>
            <w:bottom w:val="none" w:sz="0" w:space="0" w:color="auto"/>
            <w:right w:val="none" w:sz="0" w:space="0" w:color="auto"/>
          </w:divBdr>
        </w:div>
        <w:div w:id="1704011252">
          <w:marLeft w:val="0"/>
          <w:marRight w:val="0"/>
          <w:marTop w:val="0"/>
          <w:marBottom w:val="0"/>
          <w:divBdr>
            <w:top w:val="none" w:sz="0" w:space="0" w:color="auto"/>
            <w:left w:val="none" w:sz="0" w:space="0" w:color="auto"/>
            <w:bottom w:val="none" w:sz="0" w:space="0" w:color="auto"/>
            <w:right w:val="none" w:sz="0" w:space="0" w:color="auto"/>
          </w:divBdr>
        </w:div>
        <w:div w:id="1713338944">
          <w:marLeft w:val="0"/>
          <w:marRight w:val="0"/>
          <w:marTop w:val="0"/>
          <w:marBottom w:val="0"/>
          <w:divBdr>
            <w:top w:val="none" w:sz="0" w:space="0" w:color="auto"/>
            <w:left w:val="none" w:sz="0" w:space="0" w:color="auto"/>
            <w:bottom w:val="none" w:sz="0" w:space="0" w:color="auto"/>
            <w:right w:val="none" w:sz="0" w:space="0" w:color="auto"/>
          </w:divBdr>
        </w:div>
        <w:div w:id="1763065444">
          <w:marLeft w:val="0"/>
          <w:marRight w:val="0"/>
          <w:marTop w:val="0"/>
          <w:marBottom w:val="0"/>
          <w:divBdr>
            <w:top w:val="none" w:sz="0" w:space="0" w:color="auto"/>
            <w:left w:val="none" w:sz="0" w:space="0" w:color="auto"/>
            <w:bottom w:val="none" w:sz="0" w:space="0" w:color="auto"/>
            <w:right w:val="none" w:sz="0" w:space="0" w:color="auto"/>
          </w:divBdr>
        </w:div>
        <w:div w:id="1791317956">
          <w:marLeft w:val="0"/>
          <w:marRight w:val="0"/>
          <w:marTop w:val="0"/>
          <w:marBottom w:val="0"/>
          <w:divBdr>
            <w:top w:val="none" w:sz="0" w:space="0" w:color="auto"/>
            <w:left w:val="none" w:sz="0" w:space="0" w:color="auto"/>
            <w:bottom w:val="none" w:sz="0" w:space="0" w:color="auto"/>
            <w:right w:val="none" w:sz="0" w:space="0" w:color="auto"/>
          </w:divBdr>
        </w:div>
        <w:div w:id="1795127466">
          <w:marLeft w:val="0"/>
          <w:marRight w:val="0"/>
          <w:marTop w:val="0"/>
          <w:marBottom w:val="0"/>
          <w:divBdr>
            <w:top w:val="none" w:sz="0" w:space="0" w:color="auto"/>
            <w:left w:val="none" w:sz="0" w:space="0" w:color="auto"/>
            <w:bottom w:val="none" w:sz="0" w:space="0" w:color="auto"/>
            <w:right w:val="none" w:sz="0" w:space="0" w:color="auto"/>
          </w:divBdr>
        </w:div>
        <w:div w:id="1818761106">
          <w:marLeft w:val="0"/>
          <w:marRight w:val="0"/>
          <w:marTop w:val="0"/>
          <w:marBottom w:val="0"/>
          <w:divBdr>
            <w:top w:val="none" w:sz="0" w:space="0" w:color="auto"/>
            <w:left w:val="none" w:sz="0" w:space="0" w:color="auto"/>
            <w:bottom w:val="none" w:sz="0" w:space="0" w:color="auto"/>
            <w:right w:val="none" w:sz="0" w:space="0" w:color="auto"/>
          </w:divBdr>
        </w:div>
        <w:div w:id="1825927204">
          <w:marLeft w:val="0"/>
          <w:marRight w:val="0"/>
          <w:marTop w:val="0"/>
          <w:marBottom w:val="0"/>
          <w:divBdr>
            <w:top w:val="none" w:sz="0" w:space="0" w:color="auto"/>
            <w:left w:val="none" w:sz="0" w:space="0" w:color="auto"/>
            <w:bottom w:val="none" w:sz="0" w:space="0" w:color="auto"/>
            <w:right w:val="none" w:sz="0" w:space="0" w:color="auto"/>
          </w:divBdr>
        </w:div>
        <w:div w:id="1832402643">
          <w:marLeft w:val="0"/>
          <w:marRight w:val="0"/>
          <w:marTop w:val="0"/>
          <w:marBottom w:val="0"/>
          <w:divBdr>
            <w:top w:val="none" w:sz="0" w:space="0" w:color="auto"/>
            <w:left w:val="none" w:sz="0" w:space="0" w:color="auto"/>
            <w:bottom w:val="none" w:sz="0" w:space="0" w:color="auto"/>
            <w:right w:val="none" w:sz="0" w:space="0" w:color="auto"/>
          </w:divBdr>
        </w:div>
        <w:div w:id="1885285657">
          <w:marLeft w:val="0"/>
          <w:marRight w:val="0"/>
          <w:marTop w:val="0"/>
          <w:marBottom w:val="0"/>
          <w:divBdr>
            <w:top w:val="none" w:sz="0" w:space="0" w:color="auto"/>
            <w:left w:val="none" w:sz="0" w:space="0" w:color="auto"/>
            <w:bottom w:val="none" w:sz="0" w:space="0" w:color="auto"/>
            <w:right w:val="none" w:sz="0" w:space="0" w:color="auto"/>
          </w:divBdr>
        </w:div>
        <w:div w:id="1885629394">
          <w:marLeft w:val="0"/>
          <w:marRight w:val="0"/>
          <w:marTop w:val="0"/>
          <w:marBottom w:val="0"/>
          <w:divBdr>
            <w:top w:val="none" w:sz="0" w:space="0" w:color="auto"/>
            <w:left w:val="none" w:sz="0" w:space="0" w:color="auto"/>
            <w:bottom w:val="none" w:sz="0" w:space="0" w:color="auto"/>
            <w:right w:val="none" w:sz="0" w:space="0" w:color="auto"/>
          </w:divBdr>
        </w:div>
        <w:div w:id="1888183166">
          <w:marLeft w:val="0"/>
          <w:marRight w:val="0"/>
          <w:marTop w:val="0"/>
          <w:marBottom w:val="0"/>
          <w:divBdr>
            <w:top w:val="none" w:sz="0" w:space="0" w:color="auto"/>
            <w:left w:val="none" w:sz="0" w:space="0" w:color="auto"/>
            <w:bottom w:val="none" w:sz="0" w:space="0" w:color="auto"/>
            <w:right w:val="none" w:sz="0" w:space="0" w:color="auto"/>
          </w:divBdr>
        </w:div>
        <w:div w:id="1898861830">
          <w:marLeft w:val="0"/>
          <w:marRight w:val="0"/>
          <w:marTop w:val="0"/>
          <w:marBottom w:val="0"/>
          <w:divBdr>
            <w:top w:val="none" w:sz="0" w:space="0" w:color="auto"/>
            <w:left w:val="none" w:sz="0" w:space="0" w:color="auto"/>
            <w:bottom w:val="none" w:sz="0" w:space="0" w:color="auto"/>
            <w:right w:val="none" w:sz="0" w:space="0" w:color="auto"/>
          </w:divBdr>
        </w:div>
        <w:div w:id="1911884449">
          <w:marLeft w:val="0"/>
          <w:marRight w:val="0"/>
          <w:marTop w:val="0"/>
          <w:marBottom w:val="0"/>
          <w:divBdr>
            <w:top w:val="none" w:sz="0" w:space="0" w:color="auto"/>
            <w:left w:val="none" w:sz="0" w:space="0" w:color="auto"/>
            <w:bottom w:val="none" w:sz="0" w:space="0" w:color="auto"/>
            <w:right w:val="none" w:sz="0" w:space="0" w:color="auto"/>
          </w:divBdr>
        </w:div>
        <w:div w:id="1914123812">
          <w:marLeft w:val="0"/>
          <w:marRight w:val="0"/>
          <w:marTop w:val="0"/>
          <w:marBottom w:val="0"/>
          <w:divBdr>
            <w:top w:val="none" w:sz="0" w:space="0" w:color="auto"/>
            <w:left w:val="none" w:sz="0" w:space="0" w:color="auto"/>
            <w:bottom w:val="none" w:sz="0" w:space="0" w:color="auto"/>
            <w:right w:val="none" w:sz="0" w:space="0" w:color="auto"/>
          </w:divBdr>
        </w:div>
        <w:div w:id="1934782153">
          <w:marLeft w:val="0"/>
          <w:marRight w:val="0"/>
          <w:marTop w:val="0"/>
          <w:marBottom w:val="0"/>
          <w:divBdr>
            <w:top w:val="none" w:sz="0" w:space="0" w:color="auto"/>
            <w:left w:val="none" w:sz="0" w:space="0" w:color="auto"/>
            <w:bottom w:val="none" w:sz="0" w:space="0" w:color="auto"/>
            <w:right w:val="none" w:sz="0" w:space="0" w:color="auto"/>
          </w:divBdr>
        </w:div>
        <w:div w:id="1951545213">
          <w:marLeft w:val="0"/>
          <w:marRight w:val="0"/>
          <w:marTop w:val="0"/>
          <w:marBottom w:val="0"/>
          <w:divBdr>
            <w:top w:val="none" w:sz="0" w:space="0" w:color="auto"/>
            <w:left w:val="none" w:sz="0" w:space="0" w:color="auto"/>
            <w:bottom w:val="none" w:sz="0" w:space="0" w:color="auto"/>
            <w:right w:val="none" w:sz="0" w:space="0" w:color="auto"/>
          </w:divBdr>
        </w:div>
        <w:div w:id="1954242790">
          <w:marLeft w:val="0"/>
          <w:marRight w:val="0"/>
          <w:marTop w:val="0"/>
          <w:marBottom w:val="0"/>
          <w:divBdr>
            <w:top w:val="none" w:sz="0" w:space="0" w:color="auto"/>
            <w:left w:val="none" w:sz="0" w:space="0" w:color="auto"/>
            <w:bottom w:val="none" w:sz="0" w:space="0" w:color="auto"/>
            <w:right w:val="none" w:sz="0" w:space="0" w:color="auto"/>
          </w:divBdr>
        </w:div>
        <w:div w:id="1970620454">
          <w:marLeft w:val="0"/>
          <w:marRight w:val="0"/>
          <w:marTop w:val="0"/>
          <w:marBottom w:val="0"/>
          <w:divBdr>
            <w:top w:val="none" w:sz="0" w:space="0" w:color="auto"/>
            <w:left w:val="none" w:sz="0" w:space="0" w:color="auto"/>
            <w:bottom w:val="none" w:sz="0" w:space="0" w:color="auto"/>
            <w:right w:val="none" w:sz="0" w:space="0" w:color="auto"/>
          </w:divBdr>
        </w:div>
        <w:div w:id="1974827188">
          <w:marLeft w:val="0"/>
          <w:marRight w:val="0"/>
          <w:marTop w:val="0"/>
          <w:marBottom w:val="0"/>
          <w:divBdr>
            <w:top w:val="none" w:sz="0" w:space="0" w:color="auto"/>
            <w:left w:val="none" w:sz="0" w:space="0" w:color="auto"/>
            <w:bottom w:val="none" w:sz="0" w:space="0" w:color="auto"/>
            <w:right w:val="none" w:sz="0" w:space="0" w:color="auto"/>
          </w:divBdr>
        </w:div>
        <w:div w:id="1983801189">
          <w:marLeft w:val="0"/>
          <w:marRight w:val="0"/>
          <w:marTop w:val="0"/>
          <w:marBottom w:val="0"/>
          <w:divBdr>
            <w:top w:val="none" w:sz="0" w:space="0" w:color="auto"/>
            <w:left w:val="none" w:sz="0" w:space="0" w:color="auto"/>
            <w:bottom w:val="none" w:sz="0" w:space="0" w:color="auto"/>
            <w:right w:val="none" w:sz="0" w:space="0" w:color="auto"/>
          </w:divBdr>
        </w:div>
        <w:div w:id="1986815578">
          <w:marLeft w:val="0"/>
          <w:marRight w:val="0"/>
          <w:marTop w:val="0"/>
          <w:marBottom w:val="0"/>
          <w:divBdr>
            <w:top w:val="none" w:sz="0" w:space="0" w:color="auto"/>
            <w:left w:val="none" w:sz="0" w:space="0" w:color="auto"/>
            <w:bottom w:val="none" w:sz="0" w:space="0" w:color="auto"/>
            <w:right w:val="none" w:sz="0" w:space="0" w:color="auto"/>
          </w:divBdr>
        </w:div>
        <w:div w:id="2068217488">
          <w:marLeft w:val="0"/>
          <w:marRight w:val="0"/>
          <w:marTop w:val="0"/>
          <w:marBottom w:val="0"/>
          <w:divBdr>
            <w:top w:val="none" w:sz="0" w:space="0" w:color="auto"/>
            <w:left w:val="none" w:sz="0" w:space="0" w:color="auto"/>
            <w:bottom w:val="none" w:sz="0" w:space="0" w:color="auto"/>
            <w:right w:val="none" w:sz="0" w:space="0" w:color="auto"/>
          </w:divBdr>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42742468">
      <w:bodyDiv w:val="1"/>
      <w:marLeft w:val="0"/>
      <w:marRight w:val="0"/>
      <w:marTop w:val="0"/>
      <w:marBottom w:val="0"/>
      <w:divBdr>
        <w:top w:val="none" w:sz="0" w:space="0" w:color="auto"/>
        <w:left w:val="none" w:sz="0" w:space="0" w:color="auto"/>
        <w:bottom w:val="none" w:sz="0" w:space="0" w:color="auto"/>
        <w:right w:val="none" w:sz="0" w:space="0" w:color="auto"/>
      </w:divBdr>
      <w:divsChild>
        <w:div w:id="14384569">
          <w:marLeft w:val="0"/>
          <w:marRight w:val="0"/>
          <w:marTop w:val="0"/>
          <w:marBottom w:val="0"/>
          <w:divBdr>
            <w:top w:val="none" w:sz="0" w:space="0" w:color="auto"/>
            <w:left w:val="none" w:sz="0" w:space="0" w:color="auto"/>
            <w:bottom w:val="none" w:sz="0" w:space="0" w:color="auto"/>
            <w:right w:val="none" w:sz="0" w:space="0" w:color="auto"/>
          </w:divBdr>
        </w:div>
        <w:div w:id="29577343">
          <w:marLeft w:val="0"/>
          <w:marRight w:val="0"/>
          <w:marTop w:val="0"/>
          <w:marBottom w:val="0"/>
          <w:divBdr>
            <w:top w:val="none" w:sz="0" w:space="0" w:color="auto"/>
            <w:left w:val="none" w:sz="0" w:space="0" w:color="auto"/>
            <w:bottom w:val="none" w:sz="0" w:space="0" w:color="auto"/>
            <w:right w:val="none" w:sz="0" w:space="0" w:color="auto"/>
          </w:divBdr>
        </w:div>
        <w:div w:id="90858764">
          <w:marLeft w:val="0"/>
          <w:marRight w:val="0"/>
          <w:marTop w:val="0"/>
          <w:marBottom w:val="0"/>
          <w:divBdr>
            <w:top w:val="none" w:sz="0" w:space="0" w:color="auto"/>
            <w:left w:val="none" w:sz="0" w:space="0" w:color="auto"/>
            <w:bottom w:val="none" w:sz="0" w:space="0" w:color="auto"/>
            <w:right w:val="none" w:sz="0" w:space="0" w:color="auto"/>
          </w:divBdr>
        </w:div>
        <w:div w:id="92483505">
          <w:marLeft w:val="0"/>
          <w:marRight w:val="0"/>
          <w:marTop w:val="0"/>
          <w:marBottom w:val="0"/>
          <w:divBdr>
            <w:top w:val="none" w:sz="0" w:space="0" w:color="auto"/>
            <w:left w:val="none" w:sz="0" w:space="0" w:color="auto"/>
            <w:bottom w:val="none" w:sz="0" w:space="0" w:color="auto"/>
            <w:right w:val="none" w:sz="0" w:space="0" w:color="auto"/>
          </w:divBdr>
        </w:div>
        <w:div w:id="94980261">
          <w:marLeft w:val="0"/>
          <w:marRight w:val="0"/>
          <w:marTop w:val="0"/>
          <w:marBottom w:val="0"/>
          <w:divBdr>
            <w:top w:val="none" w:sz="0" w:space="0" w:color="auto"/>
            <w:left w:val="none" w:sz="0" w:space="0" w:color="auto"/>
            <w:bottom w:val="none" w:sz="0" w:space="0" w:color="auto"/>
            <w:right w:val="none" w:sz="0" w:space="0" w:color="auto"/>
          </w:divBdr>
        </w:div>
        <w:div w:id="110588341">
          <w:marLeft w:val="0"/>
          <w:marRight w:val="0"/>
          <w:marTop w:val="0"/>
          <w:marBottom w:val="0"/>
          <w:divBdr>
            <w:top w:val="none" w:sz="0" w:space="0" w:color="auto"/>
            <w:left w:val="none" w:sz="0" w:space="0" w:color="auto"/>
            <w:bottom w:val="none" w:sz="0" w:space="0" w:color="auto"/>
            <w:right w:val="none" w:sz="0" w:space="0" w:color="auto"/>
          </w:divBdr>
        </w:div>
        <w:div w:id="135074924">
          <w:marLeft w:val="0"/>
          <w:marRight w:val="0"/>
          <w:marTop w:val="0"/>
          <w:marBottom w:val="0"/>
          <w:divBdr>
            <w:top w:val="none" w:sz="0" w:space="0" w:color="auto"/>
            <w:left w:val="none" w:sz="0" w:space="0" w:color="auto"/>
            <w:bottom w:val="none" w:sz="0" w:space="0" w:color="auto"/>
            <w:right w:val="none" w:sz="0" w:space="0" w:color="auto"/>
          </w:divBdr>
        </w:div>
        <w:div w:id="155609877">
          <w:marLeft w:val="0"/>
          <w:marRight w:val="0"/>
          <w:marTop w:val="0"/>
          <w:marBottom w:val="0"/>
          <w:divBdr>
            <w:top w:val="none" w:sz="0" w:space="0" w:color="auto"/>
            <w:left w:val="none" w:sz="0" w:space="0" w:color="auto"/>
            <w:bottom w:val="none" w:sz="0" w:space="0" w:color="auto"/>
            <w:right w:val="none" w:sz="0" w:space="0" w:color="auto"/>
          </w:divBdr>
        </w:div>
        <w:div w:id="168061264">
          <w:marLeft w:val="0"/>
          <w:marRight w:val="0"/>
          <w:marTop w:val="0"/>
          <w:marBottom w:val="0"/>
          <w:divBdr>
            <w:top w:val="none" w:sz="0" w:space="0" w:color="auto"/>
            <w:left w:val="none" w:sz="0" w:space="0" w:color="auto"/>
            <w:bottom w:val="none" w:sz="0" w:space="0" w:color="auto"/>
            <w:right w:val="none" w:sz="0" w:space="0" w:color="auto"/>
          </w:divBdr>
        </w:div>
        <w:div w:id="179128477">
          <w:marLeft w:val="0"/>
          <w:marRight w:val="0"/>
          <w:marTop w:val="0"/>
          <w:marBottom w:val="0"/>
          <w:divBdr>
            <w:top w:val="none" w:sz="0" w:space="0" w:color="auto"/>
            <w:left w:val="none" w:sz="0" w:space="0" w:color="auto"/>
            <w:bottom w:val="none" w:sz="0" w:space="0" w:color="auto"/>
            <w:right w:val="none" w:sz="0" w:space="0" w:color="auto"/>
          </w:divBdr>
        </w:div>
        <w:div w:id="197358606">
          <w:marLeft w:val="0"/>
          <w:marRight w:val="0"/>
          <w:marTop w:val="0"/>
          <w:marBottom w:val="0"/>
          <w:divBdr>
            <w:top w:val="none" w:sz="0" w:space="0" w:color="auto"/>
            <w:left w:val="none" w:sz="0" w:space="0" w:color="auto"/>
            <w:bottom w:val="none" w:sz="0" w:space="0" w:color="auto"/>
            <w:right w:val="none" w:sz="0" w:space="0" w:color="auto"/>
          </w:divBdr>
        </w:div>
        <w:div w:id="217715673">
          <w:marLeft w:val="0"/>
          <w:marRight w:val="0"/>
          <w:marTop w:val="0"/>
          <w:marBottom w:val="0"/>
          <w:divBdr>
            <w:top w:val="none" w:sz="0" w:space="0" w:color="auto"/>
            <w:left w:val="none" w:sz="0" w:space="0" w:color="auto"/>
            <w:bottom w:val="none" w:sz="0" w:space="0" w:color="auto"/>
            <w:right w:val="none" w:sz="0" w:space="0" w:color="auto"/>
          </w:divBdr>
        </w:div>
        <w:div w:id="225265991">
          <w:marLeft w:val="0"/>
          <w:marRight w:val="0"/>
          <w:marTop w:val="0"/>
          <w:marBottom w:val="0"/>
          <w:divBdr>
            <w:top w:val="none" w:sz="0" w:space="0" w:color="auto"/>
            <w:left w:val="none" w:sz="0" w:space="0" w:color="auto"/>
            <w:bottom w:val="none" w:sz="0" w:space="0" w:color="auto"/>
            <w:right w:val="none" w:sz="0" w:space="0" w:color="auto"/>
          </w:divBdr>
        </w:div>
        <w:div w:id="261845644">
          <w:marLeft w:val="0"/>
          <w:marRight w:val="0"/>
          <w:marTop w:val="0"/>
          <w:marBottom w:val="0"/>
          <w:divBdr>
            <w:top w:val="none" w:sz="0" w:space="0" w:color="auto"/>
            <w:left w:val="none" w:sz="0" w:space="0" w:color="auto"/>
            <w:bottom w:val="none" w:sz="0" w:space="0" w:color="auto"/>
            <w:right w:val="none" w:sz="0" w:space="0" w:color="auto"/>
          </w:divBdr>
        </w:div>
        <w:div w:id="274870093">
          <w:marLeft w:val="0"/>
          <w:marRight w:val="0"/>
          <w:marTop w:val="0"/>
          <w:marBottom w:val="0"/>
          <w:divBdr>
            <w:top w:val="none" w:sz="0" w:space="0" w:color="auto"/>
            <w:left w:val="none" w:sz="0" w:space="0" w:color="auto"/>
            <w:bottom w:val="none" w:sz="0" w:space="0" w:color="auto"/>
            <w:right w:val="none" w:sz="0" w:space="0" w:color="auto"/>
          </w:divBdr>
        </w:div>
        <w:div w:id="275985785">
          <w:marLeft w:val="0"/>
          <w:marRight w:val="0"/>
          <w:marTop w:val="0"/>
          <w:marBottom w:val="0"/>
          <w:divBdr>
            <w:top w:val="none" w:sz="0" w:space="0" w:color="auto"/>
            <w:left w:val="none" w:sz="0" w:space="0" w:color="auto"/>
            <w:bottom w:val="none" w:sz="0" w:space="0" w:color="auto"/>
            <w:right w:val="none" w:sz="0" w:space="0" w:color="auto"/>
          </w:divBdr>
        </w:div>
        <w:div w:id="287469820">
          <w:marLeft w:val="0"/>
          <w:marRight w:val="0"/>
          <w:marTop w:val="0"/>
          <w:marBottom w:val="0"/>
          <w:divBdr>
            <w:top w:val="none" w:sz="0" w:space="0" w:color="auto"/>
            <w:left w:val="none" w:sz="0" w:space="0" w:color="auto"/>
            <w:bottom w:val="none" w:sz="0" w:space="0" w:color="auto"/>
            <w:right w:val="none" w:sz="0" w:space="0" w:color="auto"/>
          </w:divBdr>
        </w:div>
        <w:div w:id="294724620">
          <w:marLeft w:val="0"/>
          <w:marRight w:val="0"/>
          <w:marTop w:val="0"/>
          <w:marBottom w:val="0"/>
          <w:divBdr>
            <w:top w:val="none" w:sz="0" w:space="0" w:color="auto"/>
            <w:left w:val="none" w:sz="0" w:space="0" w:color="auto"/>
            <w:bottom w:val="none" w:sz="0" w:space="0" w:color="auto"/>
            <w:right w:val="none" w:sz="0" w:space="0" w:color="auto"/>
          </w:divBdr>
        </w:div>
        <w:div w:id="297687673">
          <w:marLeft w:val="0"/>
          <w:marRight w:val="0"/>
          <w:marTop w:val="0"/>
          <w:marBottom w:val="0"/>
          <w:divBdr>
            <w:top w:val="none" w:sz="0" w:space="0" w:color="auto"/>
            <w:left w:val="none" w:sz="0" w:space="0" w:color="auto"/>
            <w:bottom w:val="none" w:sz="0" w:space="0" w:color="auto"/>
            <w:right w:val="none" w:sz="0" w:space="0" w:color="auto"/>
          </w:divBdr>
        </w:div>
        <w:div w:id="311758994">
          <w:marLeft w:val="0"/>
          <w:marRight w:val="0"/>
          <w:marTop w:val="0"/>
          <w:marBottom w:val="0"/>
          <w:divBdr>
            <w:top w:val="none" w:sz="0" w:space="0" w:color="auto"/>
            <w:left w:val="none" w:sz="0" w:space="0" w:color="auto"/>
            <w:bottom w:val="none" w:sz="0" w:space="0" w:color="auto"/>
            <w:right w:val="none" w:sz="0" w:space="0" w:color="auto"/>
          </w:divBdr>
        </w:div>
        <w:div w:id="312148684">
          <w:marLeft w:val="0"/>
          <w:marRight w:val="0"/>
          <w:marTop w:val="0"/>
          <w:marBottom w:val="0"/>
          <w:divBdr>
            <w:top w:val="none" w:sz="0" w:space="0" w:color="auto"/>
            <w:left w:val="none" w:sz="0" w:space="0" w:color="auto"/>
            <w:bottom w:val="none" w:sz="0" w:space="0" w:color="auto"/>
            <w:right w:val="none" w:sz="0" w:space="0" w:color="auto"/>
          </w:divBdr>
        </w:div>
        <w:div w:id="332072183">
          <w:marLeft w:val="0"/>
          <w:marRight w:val="0"/>
          <w:marTop w:val="0"/>
          <w:marBottom w:val="0"/>
          <w:divBdr>
            <w:top w:val="none" w:sz="0" w:space="0" w:color="auto"/>
            <w:left w:val="none" w:sz="0" w:space="0" w:color="auto"/>
            <w:bottom w:val="none" w:sz="0" w:space="0" w:color="auto"/>
            <w:right w:val="none" w:sz="0" w:space="0" w:color="auto"/>
          </w:divBdr>
        </w:div>
        <w:div w:id="354309181">
          <w:marLeft w:val="0"/>
          <w:marRight w:val="0"/>
          <w:marTop w:val="0"/>
          <w:marBottom w:val="0"/>
          <w:divBdr>
            <w:top w:val="none" w:sz="0" w:space="0" w:color="auto"/>
            <w:left w:val="none" w:sz="0" w:space="0" w:color="auto"/>
            <w:bottom w:val="none" w:sz="0" w:space="0" w:color="auto"/>
            <w:right w:val="none" w:sz="0" w:space="0" w:color="auto"/>
          </w:divBdr>
        </w:div>
        <w:div w:id="357125004">
          <w:marLeft w:val="0"/>
          <w:marRight w:val="0"/>
          <w:marTop w:val="0"/>
          <w:marBottom w:val="0"/>
          <w:divBdr>
            <w:top w:val="none" w:sz="0" w:space="0" w:color="auto"/>
            <w:left w:val="none" w:sz="0" w:space="0" w:color="auto"/>
            <w:bottom w:val="none" w:sz="0" w:space="0" w:color="auto"/>
            <w:right w:val="none" w:sz="0" w:space="0" w:color="auto"/>
          </w:divBdr>
        </w:div>
        <w:div w:id="366881749">
          <w:marLeft w:val="0"/>
          <w:marRight w:val="0"/>
          <w:marTop w:val="0"/>
          <w:marBottom w:val="0"/>
          <w:divBdr>
            <w:top w:val="none" w:sz="0" w:space="0" w:color="auto"/>
            <w:left w:val="none" w:sz="0" w:space="0" w:color="auto"/>
            <w:bottom w:val="none" w:sz="0" w:space="0" w:color="auto"/>
            <w:right w:val="none" w:sz="0" w:space="0" w:color="auto"/>
          </w:divBdr>
        </w:div>
        <w:div w:id="386682537">
          <w:marLeft w:val="0"/>
          <w:marRight w:val="0"/>
          <w:marTop w:val="0"/>
          <w:marBottom w:val="0"/>
          <w:divBdr>
            <w:top w:val="none" w:sz="0" w:space="0" w:color="auto"/>
            <w:left w:val="none" w:sz="0" w:space="0" w:color="auto"/>
            <w:bottom w:val="none" w:sz="0" w:space="0" w:color="auto"/>
            <w:right w:val="none" w:sz="0" w:space="0" w:color="auto"/>
          </w:divBdr>
        </w:div>
        <w:div w:id="460653260">
          <w:marLeft w:val="0"/>
          <w:marRight w:val="0"/>
          <w:marTop w:val="0"/>
          <w:marBottom w:val="0"/>
          <w:divBdr>
            <w:top w:val="none" w:sz="0" w:space="0" w:color="auto"/>
            <w:left w:val="none" w:sz="0" w:space="0" w:color="auto"/>
            <w:bottom w:val="none" w:sz="0" w:space="0" w:color="auto"/>
            <w:right w:val="none" w:sz="0" w:space="0" w:color="auto"/>
          </w:divBdr>
        </w:div>
        <w:div w:id="502280999">
          <w:marLeft w:val="0"/>
          <w:marRight w:val="0"/>
          <w:marTop w:val="0"/>
          <w:marBottom w:val="0"/>
          <w:divBdr>
            <w:top w:val="none" w:sz="0" w:space="0" w:color="auto"/>
            <w:left w:val="none" w:sz="0" w:space="0" w:color="auto"/>
            <w:bottom w:val="none" w:sz="0" w:space="0" w:color="auto"/>
            <w:right w:val="none" w:sz="0" w:space="0" w:color="auto"/>
          </w:divBdr>
        </w:div>
        <w:div w:id="538208224">
          <w:marLeft w:val="0"/>
          <w:marRight w:val="0"/>
          <w:marTop w:val="0"/>
          <w:marBottom w:val="0"/>
          <w:divBdr>
            <w:top w:val="none" w:sz="0" w:space="0" w:color="auto"/>
            <w:left w:val="none" w:sz="0" w:space="0" w:color="auto"/>
            <w:bottom w:val="none" w:sz="0" w:space="0" w:color="auto"/>
            <w:right w:val="none" w:sz="0" w:space="0" w:color="auto"/>
          </w:divBdr>
        </w:div>
        <w:div w:id="538208511">
          <w:marLeft w:val="0"/>
          <w:marRight w:val="0"/>
          <w:marTop w:val="0"/>
          <w:marBottom w:val="0"/>
          <w:divBdr>
            <w:top w:val="none" w:sz="0" w:space="0" w:color="auto"/>
            <w:left w:val="none" w:sz="0" w:space="0" w:color="auto"/>
            <w:bottom w:val="none" w:sz="0" w:space="0" w:color="auto"/>
            <w:right w:val="none" w:sz="0" w:space="0" w:color="auto"/>
          </w:divBdr>
        </w:div>
        <w:div w:id="541752650">
          <w:marLeft w:val="0"/>
          <w:marRight w:val="0"/>
          <w:marTop w:val="0"/>
          <w:marBottom w:val="0"/>
          <w:divBdr>
            <w:top w:val="none" w:sz="0" w:space="0" w:color="auto"/>
            <w:left w:val="none" w:sz="0" w:space="0" w:color="auto"/>
            <w:bottom w:val="none" w:sz="0" w:space="0" w:color="auto"/>
            <w:right w:val="none" w:sz="0" w:space="0" w:color="auto"/>
          </w:divBdr>
        </w:div>
        <w:div w:id="547424142">
          <w:marLeft w:val="0"/>
          <w:marRight w:val="0"/>
          <w:marTop w:val="0"/>
          <w:marBottom w:val="0"/>
          <w:divBdr>
            <w:top w:val="none" w:sz="0" w:space="0" w:color="auto"/>
            <w:left w:val="none" w:sz="0" w:space="0" w:color="auto"/>
            <w:bottom w:val="none" w:sz="0" w:space="0" w:color="auto"/>
            <w:right w:val="none" w:sz="0" w:space="0" w:color="auto"/>
          </w:divBdr>
        </w:div>
        <w:div w:id="576403608">
          <w:marLeft w:val="0"/>
          <w:marRight w:val="0"/>
          <w:marTop w:val="0"/>
          <w:marBottom w:val="0"/>
          <w:divBdr>
            <w:top w:val="none" w:sz="0" w:space="0" w:color="auto"/>
            <w:left w:val="none" w:sz="0" w:space="0" w:color="auto"/>
            <w:bottom w:val="none" w:sz="0" w:space="0" w:color="auto"/>
            <w:right w:val="none" w:sz="0" w:space="0" w:color="auto"/>
          </w:divBdr>
        </w:div>
        <w:div w:id="600572725">
          <w:marLeft w:val="0"/>
          <w:marRight w:val="0"/>
          <w:marTop w:val="0"/>
          <w:marBottom w:val="0"/>
          <w:divBdr>
            <w:top w:val="none" w:sz="0" w:space="0" w:color="auto"/>
            <w:left w:val="none" w:sz="0" w:space="0" w:color="auto"/>
            <w:bottom w:val="none" w:sz="0" w:space="0" w:color="auto"/>
            <w:right w:val="none" w:sz="0" w:space="0" w:color="auto"/>
          </w:divBdr>
        </w:div>
        <w:div w:id="619995553">
          <w:marLeft w:val="0"/>
          <w:marRight w:val="0"/>
          <w:marTop w:val="0"/>
          <w:marBottom w:val="0"/>
          <w:divBdr>
            <w:top w:val="none" w:sz="0" w:space="0" w:color="auto"/>
            <w:left w:val="none" w:sz="0" w:space="0" w:color="auto"/>
            <w:bottom w:val="none" w:sz="0" w:space="0" w:color="auto"/>
            <w:right w:val="none" w:sz="0" w:space="0" w:color="auto"/>
          </w:divBdr>
        </w:div>
        <w:div w:id="625821072">
          <w:marLeft w:val="0"/>
          <w:marRight w:val="0"/>
          <w:marTop w:val="0"/>
          <w:marBottom w:val="0"/>
          <w:divBdr>
            <w:top w:val="none" w:sz="0" w:space="0" w:color="auto"/>
            <w:left w:val="none" w:sz="0" w:space="0" w:color="auto"/>
            <w:bottom w:val="none" w:sz="0" w:space="0" w:color="auto"/>
            <w:right w:val="none" w:sz="0" w:space="0" w:color="auto"/>
          </w:divBdr>
        </w:div>
        <w:div w:id="631836141">
          <w:marLeft w:val="0"/>
          <w:marRight w:val="0"/>
          <w:marTop w:val="0"/>
          <w:marBottom w:val="0"/>
          <w:divBdr>
            <w:top w:val="none" w:sz="0" w:space="0" w:color="auto"/>
            <w:left w:val="none" w:sz="0" w:space="0" w:color="auto"/>
            <w:bottom w:val="none" w:sz="0" w:space="0" w:color="auto"/>
            <w:right w:val="none" w:sz="0" w:space="0" w:color="auto"/>
          </w:divBdr>
        </w:div>
        <w:div w:id="652375039">
          <w:marLeft w:val="0"/>
          <w:marRight w:val="0"/>
          <w:marTop w:val="0"/>
          <w:marBottom w:val="0"/>
          <w:divBdr>
            <w:top w:val="none" w:sz="0" w:space="0" w:color="auto"/>
            <w:left w:val="none" w:sz="0" w:space="0" w:color="auto"/>
            <w:bottom w:val="none" w:sz="0" w:space="0" w:color="auto"/>
            <w:right w:val="none" w:sz="0" w:space="0" w:color="auto"/>
          </w:divBdr>
        </w:div>
        <w:div w:id="653147257">
          <w:marLeft w:val="0"/>
          <w:marRight w:val="0"/>
          <w:marTop w:val="0"/>
          <w:marBottom w:val="0"/>
          <w:divBdr>
            <w:top w:val="none" w:sz="0" w:space="0" w:color="auto"/>
            <w:left w:val="none" w:sz="0" w:space="0" w:color="auto"/>
            <w:bottom w:val="none" w:sz="0" w:space="0" w:color="auto"/>
            <w:right w:val="none" w:sz="0" w:space="0" w:color="auto"/>
          </w:divBdr>
        </w:div>
        <w:div w:id="663822842">
          <w:marLeft w:val="0"/>
          <w:marRight w:val="0"/>
          <w:marTop w:val="0"/>
          <w:marBottom w:val="0"/>
          <w:divBdr>
            <w:top w:val="none" w:sz="0" w:space="0" w:color="auto"/>
            <w:left w:val="none" w:sz="0" w:space="0" w:color="auto"/>
            <w:bottom w:val="none" w:sz="0" w:space="0" w:color="auto"/>
            <w:right w:val="none" w:sz="0" w:space="0" w:color="auto"/>
          </w:divBdr>
        </w:div>
        <w:div w:id="676887213">
          <w:marLeft w:val="0"/>
          <w:marRight w:val="0"/>
          <w:marTop w:val="0"/>
          <w:marBottom w:val="0"/>
          <w:divBdr>
            <w:top w:val="none" w:sz="0" w:space="0" w:color="auto"/>
            <w:left w:val="none" w:sz="0" w:space="0" w:color="auto"/>
            <w:bottom w:val="none" w:sz="0" w:space="0" w:color="auto"/>
            <w:right w:val="none" w:sz="0" w:space="0" w:color="auto"/>
          </w:divBdr>
        </w:div>
        <w:div w:id="697202902">
          <w:marLeft w:val="0"/>
          <w:marRight w:val="0"/>
          <w:marTop w:val="0"/>
          <w:marBottom w:val="0"/>
          <w:divBdr>
            <w:top w:val="none" w:sz="0" w:space="0" w:color="auto"/>
            <w:left w:val="none" w:sz="0" w:space="0" w:color="auto"/>
            <w:bottom w:val="none" w:sz="0" w:space="0" w:color="auto"/>
            <w:right w:val="none" w:sz="0" w:space="0" w:color="auto"/>
          </w:divBdr>
        </w:div>
        <w:div w:id="711151622">
          <w:marLeft w:val="0"/>
          <w:marRight w:val="0"/>
          <w:marTop w:val="0"/>
          <w:marBottom w:val="0"/>
          <w:divBdr>
            <w:top w:val="none" w:sz="0" w:space="0" w:color="auto"/>
            <w:left w:val="none" w:sz="0" w:space="0" w:color="auto"/>
            <w:bottom w:val="none" w:sz="0" w:space="0" w:color="auto"/>
            <w:right w:val="none" w:sz="0" w:space="0" w:color="auto"/>
          </w:divBdr>
        </w:div>
        <w:div w:id="730158365">
          <w:marLeft w:val="0"/>
          <w:marRight w:val="0"/>
          <w:marTop w:val="0"/>
          <w:marBottom w:val="0"/>
          <w:divBdr>
            <w:top w:val="none" w:sz="0" w:space="0" w:color="auto"/>
            <w:left w:val="none" w:sz="0" w:space="0" w:color="auto"/>
            <w:bottom w:val="none" w:sz="0" w:space="0" w:color="auto"/>
            <w:right w:val="none" w:sz="0" w:space="0" w:color="auto"/>
          </w:divBdr>
        </w:div>
        <w:div w:id="776874765">
          <w:marLeft w:val="0"/>
          <w:marRight w:val="0"/>
          <w:marTop w:val="0"/>
          <w:marBottom w:val="0"/>
          <w:divBdr>
            <w:top w:val="none" w:sz="0" w:space="0" w:color="auto"/>
            <w:left w:val="none" w:sz="0" w:space="0" w:color="auto"/>
            <w:bottom w:val="none" w:sz="0" w:space="0" w:color="auto"/>
            <w:right w:val="none" w:sz="0" w:space="0" w:color="auto"/>
          </w:divBdr>
        </w:div>
        <w:div w:id="813109581">
          <w:marLeft w:val="0"/>
          <w:marRight w:val="0"/>
          <w:marTop w:val="0"/>
          <w:marBottom w:val="0"/>
          <w:divBdr>
            <w:top w:val="none" w:sz="0" w:space="0" w:color="auto"/>
            <w:left w:val="none" w:sz="0" w:space="0" w:color="auto"/>
            <w:bottom w:val="none" w:sz="0" w:space="0" w:color="auto"/>
            <w:right w:val="none" w:sz="0" w:space="0" w:color="auto"/>
          </w:divBdr>
        </w:div>
        <w:div w:id="815876263">
          <w:marLeft w:val="0"/>
          <w:marRight w:val="0"/>
          <w:marTop w:val="0"/>
          <w:marBottom w:val="0"/>
          <w:divBdr>
            <w:top w:val="none" w:sz="0" w:space="0" w:color="auto"/>
            <w:left w:val="none" w:sz="0" w:space="0" w:color="auto"/>
            <w:bottom w:val="none" w:sz="0" w:space="0" w:color="auto"/>
            <w:right w:val="none" w:sz="0" w:space="0" w:color="auto"/>
          </w:divBdr>
        </w:div>
        <w:div w:id="833377915">
          <w:marLeft w:val="0"/>
          <w:marRight w:val="0"/>
          <w:marTop w:val="0"/>
          <w:marBottom w:val="0"/>
          <w:divBdr>
            <w:top w:val="none" w:sz="0" w:space="0" w:color="auto"/>
            <w:left w:val="none" w:sz="0" w:space="0" w:color="auto"/>
            <w:bottom w:val="none" w:sz="0" w:space="0" w:color="auto"/>
            <w:right w:val="none" w:sz="0" w:space="0" w:color="auto"/>
          </w:divBdr>
        </w:div>
        <w:div w:id="839153077">
          <w:marLeft w:val="0"/>
          <w:marRight w:val="0"/>
          <w:marTop w:val="0"/>
          <w:marBottom w:val="0"/>
          <w:divBdr>
            <w:top w:val="none" w:sz="0" w:space="0" w:color="auto"/>
            <w:left w:val="none" w:sz="0" w:space="0" w:color="auto"/>
            <w:bottom w:val="none" w:sz="0" w:space="0" w:color="auto"/>
            <w:right w:val="none" w:sz="0" w:space="0" w:color="auto"/>
          </w:divBdr>
        </w:div>
        <w:div w:id="859125725">
          <w:marLeft w:val="0"/>
          <w:marRight w:val="0"/>
          <w:marTop w:val="0"/>
          <w:marBottom w:val="0"/>
          <w:divBdr>
            <w:top w:val="none" w:sz="0" w:space="0" w:color="auto"/>
            <w:left w:val="none" w:sz="0" w:space="0" w:color="auto"/>
            <w:bottom w:val="none" w:sz="0" w:space="0" w:color="auto"/>
            <w:right w:val="none" w:sz="0" w:space="0" w:color="auto"/>
          </w:divBdr>
        </w:div>
        <w:div w:id="864682081">
          <w:marLeft w:val="0"/>
          <w:marRight w:val="0"/>
          <w:marTop w:val="0"/>
          <w:marBottom w:val="0"/>
          <w:divBdr>
            <w:top w:val="none" w:sz="0" w:space="0" w:color="auto"/>
            <w:left w:val="none" w:sz="0" w:space="0" w:color="auto"/>
            <w:bottom w:val="none" w:sz="0" w:space="0" w:color="auto"/>
            <w:right w:val="none" w:sz="0" w:space="0" w:color="auto"/>
          </w:divBdr>
        </w:div>
        <w:div w:id="885876950">
          <w:marLeft w:val="0"/>
          <w:marRight w:val="0"/>
          <w:marTop w:val="0"/>
          <w:marBottom w:val="0"/>
          <w:divBdr>
            <w:top w:val="none" w:sz="0" w:space="0" w:color="auto"/>
            <w:left w:val="none" w:sz="0" w:space="0" w:color="auto"/>
            <w:bottom w:val="none" w:sz="0" w:space="0" w:color="auto"/>
            <w:right w:val="none" w:sz="0" w:space="0" w:color="auto"/>
          </w:divBdr>
        </w:div>
        <w:div w:id="906964065">
          <w:marLeft w:val="0"/>
          <w:marRight w:val="0"/>
          <w:marTop w:val="0"/>
          <w:marBottom w:val="0"/>
          <w:divBdr>
            <w:top w:val="none" w:sz="0" w:space="0" w:color="auto"/>
            <w:left w:val="none" w:sz="0" w:space="0" w:color="auto"/>
            <w:bottom w:val="none" w:sz="0" w:space="0" w:color="auto"/>
            <w:right w:val="none" w:sz="0" w:space="0" w:color="auto"/>
          </w:divBdr>
        </w:div>
        <w:div w:id="915557525">
          <w:marLeft w:val="0"/>
          <w:marRight w:val="0"/>
          <w:marTop w:val="0"/>
          <w:marBottom w:val="0"/>
          <w:divBdr>
            <w:top w:val="none" w:sz="0" w:space="0" w:color="auto"/>
            <w:left w:val="none" w:sz="0" w:space="0" w:color="auto"/>
            <w:bottom w:val="none" w:sz="0" w:space="0" w:color="auto"/>
            <w:right w:val="none" w:sz="0" w:space="0" w:color="auto"/>
          </w:divBdr>
        </w:div>
        <w:div w:id="919754979">
          <w:marLeft w:val="0"/>
          <w:marRight w:val="0"/>
          <w:marTop w:val="0"/>
          <w:marBottom w:val="0"/>
          <w:divBdr>
            <w:top w:val="none" w:sz="0" w:space="0" w:color="auto"/>
            <w:left w:val="none" w:sz="0" w:space="0" w:color="auto"/>
            <w:bottom w:val="none" w:sz="0" w:space="0" w:color="auto"/>
            <w:right w:val="none" w:sz="0" w:space="0" w:color="auto"/>
          </w:divBdr>
        </w:div>
        <w:div w:id="937909921">
          <w:marLeft w:val="0"/>
          <w:marRight w:val="0"/>
          <w:marTop w:val="0"/>
          <w:marBottom w:val="0"/>
          <w:divBdr>
            <w:top w:val="none" w:sz="0" w:space="0" w:color="auto"/>
            <w:left w:val="none" w:sz="0" w:space="0" w:color="auto"/>
            <w:bottom w:val="none" w:sz="0" w:space="0" w:color="auto"/>
            <w:right w:val="none" w:sz="0" w:space="0" w:color="auto"/>
          </w:divBdr>
        </w:div>
        <w:div w:id="939989668">
          <w:marLeft w:val="0"/>
          <w:marRight w:val="0"/>
          <w:marTop w:val="0"/>
          <w:marBottom w:val="0"/>
          <w:divBdr>
            <w:top w:val="none" w:sz="0" w:space="0" w:color="auto"/>
            <w:left w:val="none" w:sz="0" w:space="0" w:color="auto"/>
            <w:bottom w:val="none" w:sz="0" w:space="0" w:color="auto"/>
            <w:right w:val="none" w:sz="0" w:space="0" w:color="auto"/>
          </w:divBdr>
        </w:div>
        <w:div w:id="962343545">
          <w:marLeft w:val="0"/>
          <w:marRight w:val="0"/>
          <w:marTop w:val="0"/>
          <w:marBottom w:val="0"/>
          <w:divBdr>
            <w:top w:val="none" w:sz="0" w:space="0" w:color="auto"/>
            <w:left w:val="none" w:sz="0" w:space="0" w:color="auto"/>
            <w:bottom w:val="none" w:sz="0" w:space="0" w:color="auto"/>
            <w:right w:val="none" w:sz="0" w:space="0" w:color="auto"/>
          </w:divBdr>
        </w:div>
        <w:div w:id="966273171">
          <w:marLeft w:val="0"/>
          <w:marRight w:val="0"/>
          <w:marTop w:val="0"/>
          <w:marBottom w:val="0"/>
          <w:divBdr>
            <w:top w:val="none" w:sz="0" w:space="0" w:color="auto"/>
            <w:left w:val="none" w:sz="0" w:space="0" w:color="auto"/>
            <w:bottom w:val="none" w:sz="0" w:space="0" w:color="auto"/>
            <w:right w:val="none" w:sz="0" w:space="0" w:color="auto"/>
          </w:divBdr>
        </w:div>
        <w:div w:id="984772648">
          <w:marLeft w:val="0"/>
          <w:marRight w:val="0"/>
          <w:marTop w:val="0"/>
          <w:marBottom w:val="0"/>
          <w:divBdr>
            <w:top w:val="none" w:sz="0" w:space="0" w:color="auto"/>
            <w:left w:val="none" w:sz="0" w:space="0" w:color="auto"/>
            <w:bottom w:val="none" w:sz="0" w:space="0" w:color="auto"/>
            <w:right w:val="none" w:sz="0" w:space="0" w:color="auto"/>
          </w:divBdr>
        </w:div>
        <w:div w:id="987637979">
          <w:marLeft w:val="0"/>
          <w:marRight w:val="0"/>
          <w:marTop w:val="0"/>
          <w:marBottom w:val="0"/>
          <w:divBdr>
            <w:top w:val="none" w:sz="0" w:space="0" w:color="auto"/>
            <w:left w:val="none" w:sz="0" w:space="0" w:color="auto"/>
            <w:bottom w:val="none" w:sz="0" w:space="0" w:color="auto"/>
            <w:right w:val="none" w:sz="0" w:space="0" w:color="auto"/>
          </w:divBdr>
        </w:div>
        <w:div w:id="991370926">
          <w:marLeft w:val="0"/>
          <w:marRight w:val="0"/>
          <w:marTop w:val="0"/>
          <w:marBottom w:val="0"/>
          <w:divBdr>
            <w:top w:val="none" w:sz="0" w:space="0" w:color="auto"/>
            <w:left w:val="none" w:sz="0" w:space="0" w:color="auto"/>
            <w:bottom w:val="none" w:sz="0" w:space="0" w:color="auto"/>
            <w:right w:val="none" w:sz="0" w:space="0" w:color="auto"/>
          </w:divBdr>
        </w:div>
        <w:div w:id="1022246548">
          <w:marLeft w:val="0"/>
          <w:marRight w:val="0"/>
          <w:marTop w:val="0"/>
          <w:marBottom w:val="0"/>
          <w:divBdr>
            <w:top w:val="none" w:sz="0" w:space="0" w:color="auto"/>
            <w:left w:val="none" w:sz="0" w:space="0" w:color="auto"/>
            <w:bottom w:val="none" w:sz="0" w:space="0" w:color="auto"/>
            <w:right w:val="none" w:sz="0" w:space="0" w:color="auto"/>
          </w:divBdr>
        </w:div>
        <w:div w:id="1035345774">
          <w:marLeft w:val="0"/>
          <w:marRight w:val="0"/>
          <w:marTop w:val="0"/>
          <w:marBottom w:val="0"/>
          <w:divBdr>
            <w:top w:val="none" w:sz="0" w:space="0" w:color="auto"/>
            <w:left w:val="none" w:sz="0" w:space="0" w:color="auto"/>
            <w:bottom w:val="none" w:sz="0" w:space="0" w:color="auto"/>
            <w:right w:val="none" w:sz="0" w:space="0" w:color="auto"/>
          </w:divBdr>
        </w:div>
        <w:div w:id="1036009279">
          <w:marLeft w:val="0"/>
          <w:marRight w:val="0"/>
          <w:marTop w:val="0"/>
          <w:marBottom w:val="0"/>
          <w:divBdr>
            <w:top w:val="none" w:sz="0" w:space="0" w:color="auto"/>
            <w:left w:val="none" w:sz="0" w:space="0" w:color="auto"/>
            <w:bottom w:val="none" w:sz="0" w:space="0" w:color="auto"/>
            <w:right w:val="none" w:sz="0" w:space="0" w:color="auto"/>
          </w:divBdr>
        </w:div>
        <w:div w:id="1041630883">
          <w:marLeft w:val="0"/>
          <w:marRight w:val="0"/>
          <w:marTop w:val="0"/>
          <w:marBottom w:val="0"/>
          <w:divBdr>
            <w:top w:val="none" w:sz="0" w:space="0" w:color="auto"/>
            <w:left w:val="none" w:sz="0" w:space="0" w:color="auto"/>
            <w:bottom w:val="none" w:sz="0" w:space="0" w:color="auto"/>
            <w:right w:val="none" w:sz="0" w:space="0" w:color="auto"/>
          </w:divBdr>
        </w:div>
        <w:div w:id="1041632716">
          <w:marLeft w:val="0"/>
          <w:marRight w:val="0"/>
          <w:marTop w:val="0"/>
          <w:marBottom w:val="0"/>
          <w:divBdr>
            <w:top w:val="none" w:sz="0" w:space="0" w:color="auto"/>
            <w:left w:val="none" w:sz="0" w:space="0" w:color="auto"/>
            <w:bottom w:val="none" w:sz="0" w:space="0" w:color="auto"/>
            <w:right w:val="none" w:sz="0" w:space="0" w:color="auto"/>
          </w:divBdr>
        </w:div>
        <w:div w:id="1081870399">
          <w:marLeft w:val="0"/>
          <w:marRight w:val="0"/>
          <w:marTop w:val="0"/>
          <w:marBottom w:val="0"/>
          <w:divBdr>
            <w:top w:val="none" w:sz="0" w:space="0" w:color="auto"/>
            <w:left w:val="none" w:sz="0" w:space="0" w:color="auto"/>
            <w:bottom w:val="none" w:sz="0" w:space="0" w:color="auto"/>
            <w:right w:val="none" w:sz="0" w:space="0" w:color="auto"/>
          </w:divBdr>
        </w:div>
        <w:div w:id="1093627099">
          <w:marLeft w:val="0"/>
          <w:marRight w:val="0"/>
          <w:marTop w:val="0"/>
          <w:marBottom w:val="0"/>
          <w:divBdr>
            <w:top w:val="none" w:sz="0" w:space="0" w:color="auto"/>
            <w:left w:val="none" w:sz="0" w:space="0" w:color="auto"/>
            <w:bottom w:val="none" w:sz="0" w:space="0" w:color="auto"/>
            <w:right w:val="none" w:sz="0" w:space="0" w:color="auto"/>
          </w:divBdr>
        </w:div>
        <w:div w:id="1099108175">
          <w:marLeft w:val="0"/>
          <w:marRight w:val="0"/>
          <w:marTop w:val="0"/>
          <w:marBottom w:val="0"/>
          <w:divBdr>
            <w:top w:val="none" w:sz="0" w:space="0" w:color="auto"/>
            <w:left w:val="none" w:sz="0" w:space="0" w:color="auto"/>
            <w:bottom w:val="none" w:sz="0" w:space="0" w:color="auto"/>
            <w:right w:val="none" w:sz="0" w:space="0" w:color="auto"/>
          </w:divBdr>
        </w:div>
        <w:div w:id="1104880644">
          <w:marLeft w:val="0"/>
          <w:marRight w:val="0"/>
          <w:marTop w:val="0"/>
          <w:marBottom w:val="0"/>
          <w:divBdr>
            <w:top w:val="none" w:sz="0" w:space="0" w:color="auto"/>
            <w:left w:val="none" w:sz="0" w:space="0" w:color="auto"/>
            <w:bottom w:val="none" w:sz="0" w:space="0" w:color="auto"/>
            <w:right w:val="none" w:sz="0" w:space="0" w:color="auto"/>
          </w:divBdr>
        </w:div>
        <w:div w:id="1160073916">
          <w:marLeft w:val="0"/>
          <w:marRight w:val="0"/>
          <w:marTop w:val="0"/>
          <w:marBottom w:val="0"/>
          <w:divBdr>
            <w:top w:val="none" w:sz="0" w:space="0" w:color="auto"/>
            <w:left w:val="none" w:sz="0" w:space="0" w:color="auto"/>
            <w:bottom w:val="none" w:sz="0" w:space="0" w:color="auto"/>
            <w:right w:val="none" w:sz="0" w:space="0" w:color="auto"/>
          </w:divBdr>
        </w:div>
        <w:div w:id="1164472258">
          <w:marLeft w:val="0"/>
          <w:marRight w:val="0"/>
          <w:marTop w:val="0"/>
          <w:marBottom w:val="0"/>
          <w:divBdr>
            <w:top w:val="none" w:sz="0" w:space="0" w:color="auto"/>
            <w:left w:val="none" w:sz="0" w:space="0" w:color="auto"/>
            <w:bottom w:val="none" w:sz="0" w:space="0" w:color="auto"/>
            <w:right w:val="none" w:sz="0" w:space="0" w:color="auto"/>
          </w:divBdr>
        </w:div>
        <w:div w:id="1171339277">
          <w:marLeft w:val="0"/>
          <w:marRight w:val="0"/>
          <w:marTop w:val="0"/>
          <w:marBottom w:val="0"/>
          <w:divBdr>
            <w:top w:val="none" w:sz="0" w:space="0" w:color="auto"/>
            <w:left w:val="none" w:sz="0" w:space="0" w:color="auto"/>
            <w:bottom w:val="none" w:sz="0" w:space="0" w:color="auto"/>
            <w:right w:val="none" w:sz="0" w:space="0" w:color="auto"/>
          </w:divBdr>
        </w:div>
        <w:div w:id="1172909001">
          <w:marLeft w:val="0"/>
          <w:marRight w:val="0"/>
          <w:marTop w:val="0"/>
          <w:marBottom w:val="0"/>
          <w:divBdr>
            <w:top w:val="none" w:sz="0" w:space="0" w:color="auto"/>
            <w:left w:val="none" w:sz="0" w:space="0" w:color="auto"/>
            <w:bottom w:val="none" w:sz="0" w:space="0" w:color="auto"/>
            <w:right w:val="none" w:sz="0" w:space="0" w:color="auto"/>
          </w:divBdr>
        </w:div>
        <w:div w:id="118358995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1188760406">
          <w:marLeft w:val="0"/>
          <w:marRight w:val="0"/>
          <w:marTop w:val="0"/>
          <w:marBottom w:val="0"/>
          <w:divBdr>
            <w:top w:val="none" w:sz="0" w:space="0" w:color="auto"/>
            <w:left w:val="none" w:sz="0" w:space="0" w:color="auto"/>
            <w:bottom w:val="none" w:sz="0" w:space="0" w:color="auto"/>
            <w:right w:val="none" w:sz="0" w:space="0" w:color="auto"/>
          </w:divBdr>
        </w:div>
        <w:div w:id="1202740684">
          <w:marLeft w:val="0"/>
          <w:marRight w:val="0"/>
          <w:marTop w:val="0"/>
          <w:marBottom w:val="0"/>
          <w:divBdr>
            <w:top w:val="none" w:sz="0" w:space="0" w:color="auto"/>
            <w:left w:val="none" w:sz="0" w:space="0" w:color="auto"/>
            <w:bottom w:val="none" w:sz="0" w:space="0" w:color="auto"/>
            <w:right w:val="none" w:sz="0" w:space="0" w:color="auto"/>
          </w:divBdr>
        </w:div>
        <w:div w:id="1216625599">
          <w:marLeft w:val="0"/>
          <w:marRight w:val="0"/>
          <w:marTop w:val="0"/>
          <w:marBottom w:val="0"/>
          <w:divBdr>
            <w:top w:val="none" w:sz="0" w:space="0" w:color="auto"/>
            <w:left w:val="none" w:sz="0" w:space="0" w:color="auto"/>
            <w:bottom w:val="none" w:sz="0" w:space="0" w:color="auto"/>
            <w:right w:val="none" w:sz="0" w:space="0" w:color="auto"/>
          </w:divBdr>
        </w:div>
        <w:div w:id="1226455603">
          <w:marLeft w:val="0"/>
          <w:marRight w:val="0"/>
          <w:marTop w:val="0"/>
          <w:marBottom w:val="0"/>
          <w:divBdr>
            <w:top w:val="none" w:sz="0" w:space="0" w:color="auto"/>
            <w:left w:val="none" w:sz="0" w:space="0" w:color="auto"/>
            <w:bottom w:val="none" w:sz="0" w:space="0" w:color="auto"/>
            <w:right w:val="none" w:sz="0" w:space="0" w:color="auto"/>
          </w:divBdr>
        </w:div>
        <w:div w:id="1241715728">
          <w:marLeft w:val="0"/>
          <w:marRight w:val="0"/>
          <w:marTop w:val="0"/>
          <w:marBottom w:val="0"/>
          <w:divBdr>
            <w:top w:val="none" w:sz="0" w:space="0" w:color="auto"/>
            <w:left w:val="none" w:sz="0" w:space="0" w:color="auto"/>
            <w:bottom w:val="none" w:sz="0" w:space="0" w:color="auto"/>
            <w:right w:val="none" w:sz="0" w:space="0" w:color="auto"/>
          </w:divBdr>
        </w:div>
        <w:div w:id="1259101281">
          <w:marLeft w:val="0"/>
          <w:marRight w:val="0"/>
          <w:marTop w:val="0"/>
          <w:marBottom w:val="0"/>
          <w:divBdr>
            <w:top w:val="none" w:sz="0" w:space="0" w:color="auto"/>
            <w:left w:val="none" w:sz="0" w:space="0" w:color="auto"/>
            <w:bottom w:val="none" w:sz="0" w:space="0" w:color="auto"/>
            <w:right w:val="none" w:sz="0" w:space="0" w:color="auto"/>
          </w:divBdr>
        </w:div>
        <w:div w:id="1260720133">
          <w:marLeft w:val="0"/>
          <w:marRight w:val="0"/>
          <w:marTop w:val="0"/>
          <w:marBottom w:val="0"/>
          <w:divBdr>
            <w:top w:val="none" w:sz="0" w:space="0" w:color="auto"/>
            <w:left w:val="none" w:sz="0" w:space="0" w:color="auto"/>
            <w:bottom w:val="none" w:sz="0" w:space="0" w:color="auto"/>
            <w:right w:val="none" w:sz="0" w:space="0" w:color="auto"/>
          </w:divBdr>
        </w:div>
        <w:div w:id="1303852350">
          <w:marLeft w:val="0"/>
          <w:marRight w:val="0"/>
          <w:marTop w:val="0"/>
          <w:marBottom w:val="0"/>
          <w:divBdr>
            <w:top w:val="none" w:sz="0" w:space="0" w:color="auto"/>
            <w:left w:val="none" w:sz="0" w:space="0" w:color="auto"/>
            <w:bottom w:val="none" w:sz="0" w:space="0" w:color="auto"/>
            <w:right w:val="none" w:sz="0" w:space="0" w:color="auto"/>
          </w:divBdr>
        </w:div>
        <w:div w:id="1316109194">
          <w:marLeft w:val="0"/>
          <w:marRight w:val="0"/>
          <w:marTop w:val="0"/>
          <w:marBottom w:val="0"/>
          <w:divBdr>
            <w:top w:val="none" w:sz="0" w:space="0" w:color="auto"/>
            <w:left w:val="none" w:sz="0" w:space="0" w:color="auto"/>
            <w:bottom w:val="none" w:sz="0" w:space="0" w:color="auto"/>
            <w:right w:val="none" w:sz="0" w:space="0" w:color="auto"/>
          </w:divBdr>
        </w:div>
        <w:div w:id="1324894702">
          <w:marLeft w:val="0"/>
          <w:marRight w:val="0"/>
          <w:marTop w:val="0"/>
          <w:marBottom w:val="0"/>
          <w:divBdr>
            <w:top w:val="none" w:sz="0" w:space="0" w:color="auto"/>
            <w:left w:val="none" w:sz="0" w:space="0" w:color="auto"/>
            <w:bottom w:val="none" w:sz="0" w:space="0" w:color="auto"/>
            <w:right w:val="none" w:sz="0" w:space="0" w:color="auto"/>
          </w:divBdr>
        </w:div>
        <w:div w:id="1358316080">
          <w:marLeft w:val="0"/>
          <w:marRight w:val="0"/>
          <w:marTop w:val="0"/>
          <w:marBottom w:val="0"/>
          <w:divBdr>
            <w:top w:val="none" w:sz="0" w:space="0" w:color="auto"/>
            <w:left w:val="none" w:sz="0" w:space="0" w:color="auto"/>
            <w:bottom w:val="none" w:sz="0" w:space="0" w:color="auto"/>
            <w:right w:val="none" w:sz="0" w:space="0" w:color="auto"/>
          </w:divBdr>
        </w:div>
        <w:div w:id="1411463316">
          <w:marLeft w:val="0"/>
          <w:marRight w:val="0"/>
          <w:marTop w:val="0"/>
          <w:marBottom w:val="0"/>
          <w:divBdr>
            <w:top w:val="none" w:sz="0" w:space="0" w:color="auto"/>
            <w:left w:val="none" w:sz="0" w:space="0" w:color="auto"/>
            <w:bottom w:val="none" w:sz="0" w:space="0" w:color="auto"/>
            <w:right w:val="none" w:sz="0" w:space="0" w:color="auto"/>
          </w:divBdr>
        </w:div>
        <w:div w:id="1417289924">
          <w:marLeft w:val="0"/>
          <w:marRight w:val="0"/>
          <w:marTop w:val="0"/>
          <w:marBottom w:val="0"/>
          <w:divBdr>
            <w:top w:val="none" w:sz="0" w:space="0" w:color="auto"/>
            <w:left w:val="none" w:sz="0" w:space="0" w:color="auto"/>
            <w:bottom w:val="none" w:sz="0" w:space="0" w:color="auto"/>
            <w:right w:val="none" w:sz="0" w:space="0" w:color="auto"/>
          </w:divBdr>
        </w:div>
        <w:div w:id="1424451613">
          <w:marLeft w:val="0"/>
          <w:marRight w:val="0"/>
          <w:marTop w:val="0"/>
          <w:marBottom w:val="0"/>
          <w:divBdr>
            <w:top w:val="none" w:sz="0" w:space="0" w:color="auto"/>
            <w:left w:val="none" w:sz="0" w:space="0" w:color="auto"/>
            <w:bottom w:val="none" w:sz="0" w:space="0" w:color="auto"/>
            <w:right w:val="none" w:sz="0" w:space="0" w:color="auto"/>
          </w:divBdr>
        </w:div>
        <w:div w:id="1430546999">
          <w:marLeft w:val="0"/>
          <w:marRight w:val="0"/>
          <w:marTop w:val="0"/>
          <w:marBottom w:val="0"/>
          <w:divBdr>
            <w:top w:val="none" w:sz="0" w:space="0" w:color="auto"/>
            <w:left w:val="none" w:sz="0" w:space="0" w:color="auto"/>
            <w:bottom w:val="none" w:sz="0" w:space="0" w:color="auto"/>
            <w:right w:val="none" w:sz="0" w:space="0" w:color="auto"/>
          </w:divBdr>
        </w:div>
        <w:div w:id="1455172433">
          <w:marLeft w:val="0"/>
          <w:marRight w:val="0"/>
          <w:marTop w:val="0"/>
          <w:marBottom w:val="0"/>
          <w:divBdr>
            <w:top w:val="none" w:sz="0" w:space="0" w:color="auto"/>
            <w:left w:val="none" w:sz="0" w:space="0" w:color="auto"/>
            <w:bottom w:val="none" w:sz="0" w:space="0" w:color="auto"/>
            <w:right w:val="none" w:sz="0" w:space="0" w:color="auto"/>
          </w:divBdr>
        </w:div>
        <w:div w:id="1483499908">
          <w:marLeft w:val="0"/>
          <w:marRight w:val="0"/>
          <w:marTop w:val="0"/>
          <w:marBottom w:val="0"/>
          <w:divBdr>
            <w:top w:val="none" w:sz="0" w:space="0" w:color="auto"/>
            <w:left w:val="none" w:sz="0" w:space="0" w:color="auto"/>
            <w:bottom w:val="none" w:sz="0" w:space="0" w:color="auto"/>
            <w:right w:val="none" w:sz="0" w:space="0" w:color="auto"/>
          </w:divBdr>
        </w:div>
        <w:div w:id="1502702153">
          <w:marLeft w:val="0"/>
          <w:marRight w:val="0"/>
          <w:marTop w:val="0"/>
          <w:marBottom w:val="0"/>
          <w:divBdr>
            <w:top w:val="none" w:sz="0" w:space="0" w:color="auto"/>
            <w:left w:val="none" w:sz="0" w:space="0" w:color="auto"/>
            <w:bottom w:val="none" w:sz="0" w:space="0" w:color="auto"/>
            <w:right w:val="none" w:sz="0" w:space="0" w:color="auto"/>
          </w:divBdr>
        </w:div>
        <w:div w:id="1508254481">
          <w:marLeft w:val="0"/>
          <w:marRight w:val="0"/>
          <w:marTop w:val="0"/>
          <w:marBottom w:val="0"/>
          <w:divBdr>
            <w:top w:val="none" w:sz="0" w:space="0" w:color="auto"/>
            <w:left w:val="none" w:sz="0" w:space="0" w:color="auto"/>
            <w:bottom w:val="none" w:sz="0" w:space="0" w:color="auto"/>
            <w:right w:val="none" w:sz="0" w:space="0" w:color="auto"/>
          </w:divBdr>
        </w:div>
        <w:div w:id="1547986801">
          <w:marLeft w:val="0"/>
          <w:marRight w:val="0"/>
          <w:marTop w:val="0"/>
          <w:marBottom w:val="0"/>
          <w:divBdr>
            <w:top w:val="none" w:sz="0" w:space="0" w:color="auto"/>
            <w:left w:val="none" w:sz="0" w:space="0" w:color="auto"/>
            <w:bottom w:val="none" w:sz="0" w:space="0" w:color="auto"/>
            <w:right w:val="none" w:sz="0" w:space="0" w:color="auto"/>
          </w:divBdr>
        </w:div>
        <w:div w:id="1556743371">
          <w:marLeft w:val="0"/>
          <w:marRight w:val="0"/>
          <w:marTop w:val="0"/>
          <w:marBottom w:val="0"/>
          <w:divBdr>
            <w:top w:val="none" w:sz="0" w:space="0" w:color="auto"/>
            <w:left w:val="none" w:sz="0" w:space="0" w:color="auto"/>
            <w:bottom w:val="none" w:sz="0" w:space="0" w:color="auto"/>
            <w:right w:val="none" w:sz="0" w:space="0" w:color="auto"/>
          </w:divBdr>
        </w:div>
        <w:div w:id="1570849901">
          <w:marLeft w:val="0"/>
          <w:marRight w:val="0"/>
          <w:marTop w:val="0"/>
          <w:marBottom w:val="0"/>
          <w:divBdr>
            <w:top w:val="none" w:sz="0" w:space="0" w:color="auto"/>
            <w:left w:val="none" w:sz="0" w:space="0" w:color="auto"/>
            <w:bottom w:val="none" w:sz="0" w:space="0" w:color="auto"/>
            <w:right w:val="none" w:sz="0" w:space="0" w:color="auto"/>
          </w:divBdr>
        </w:div>
        <w:div w:id="1615794041">
          <w:marLeft w:val="0"/>
          <w:marRight w:val="0"/>
          <w:marTop w:val="0"/>
          <w:marBottom w:val="0"/>
          <w:divBdr>
            <w:top w:val="none" w:sz="0" w:space="0" w:color="auto"/>
            <w:left w:val="none" w:sz="0" w:space="0" w:color="auto"/>
            <w:bottom w:val="none" w:sz="0" w:space="0" w:color="auto"/>
            <w:right w:val="none" w:sz="0" w:space="0" w:color="auto"/>
          </w:divBdr>
        </w:div>
        <w:div w:id="1639453962">
          <w:marLeft w:val="0"/>
          <w:marRight w:val="0"/>
          <w:marTop w:val="0"/>
          <w:marBottom w:val="0"/>
          <w:divBdr>
            <w:top w:val="none" w:sz="0" w:space="0" w:color="auto"/>
            <w:left w:val="none" w:sz="0" w:space="0" w:color="auto"/>
            <w:bottom w:val="none" w:sz="0" w:space="0" w:color="auto"/>
            <w:right w:val="none" w:sz="0" w:space="0" w:color="auto"/>
          </w:divBdr>
        </w:div>
        <w:div w:id="1659920530">
          <w:marLeft w:val="0"/>
          <w:marRight w:val="0"/>
          <w:marTop w:val="0"/>
          <w:marBottom w:val="0"/>
          <w:divBdr>
            <w:top w:val="none" w:sz="0" w:space="0" w:color="auto"/>
            <w:left w:val="none" w:sz="0" w:space="0" w:color="auto"/>
            <w:bottom w:val="none" w:sz="0" w:space="0" w:color="auto"/>
            <w:right w:val="none" w:sz="0" w:space="0" w:color="auto"/>
          </w:divBdr>
        </w:div>
        <w:div w:id="1772236469">
          <w:marLeft w:val="0"/>
          <w:marRight w:val="0"/>
          <w:marTop w:val="0"/>
          <w:marBottom w:val="0"/>
          <w:divBdr>
            <w:top w:val="none" w:sz="0" w:space="0" w:color="auto"/>
            <w:left w:val="none" w:sz="0" w:space="0" w:color="auto"/>
            <w:bottom w:val="none" w:sz="0" w:space="0" w:color="auto"/>
            <w:right w:val="none" w:sz="0" w:space="0" w:color="auto"/>
          </w:divBdr>
        </w:div>
        <w:div w:id="1785808161">
          <w:marLeft w:val="0"/>
          <w:marRight w:val="0"/>
          <w:marTop w:val="0"/>
          <w:marBottom w:val="0"/>
          <w:divBdr>
            <w:top w:val="none" w:sz="0" w:space="0" w:color="auto"/>
            <w:left w:val="none" w:sz="0" w:space="0" w:color="auto"/>
            <w:bottom w:val="none" w:sz="0" w:space="0" w:color="auto"/>
            <w:right w:val="none" w:sz="0" w:space="0" w:color="auto"/>
          </w:divBdr>
        </w:div>
        <w:div w:id="1821457562">
          <w:marLeft w:val="0"/>
          <w:marRight w:val="0"/>
          <w:marTop w:val="0"/>
          <w:marBottom w:val="0"/>
          <w:divBdr>
            <w:top w:val="none" w:sz="0" w:space="0" w:color="auto"/>
            <w:left w:val="none" w:sz="0" w:space="0" w:color="auto"/>
            <w:bottom w:val="none" w:sz="0" w:space="0" w:color="auto"/>
            <w:right w:val="none" w:sz="0" w:space="0" w:color="auto"/>
          </w:divBdr>
        </w:div>
        <w:div w:id="1838613159">
          <w:marLeft w:val="0"/>
          <w:marRight w:val="0"/>
          <w:marTop w:val="0"/>
          <w:marBottom w:val="0"/>
          <w:divBdr>
            <w:top w:val="none" w:sz="0" w:space="0" w:color="auto"/>
            <w:left w:val="none" w:sz="0" w:space="0" w:color="auto"/>
            <w:bottom w:val="none" w:sz="0" w:space="0" w:color="auto"/>
            <w:right w:val="none" w:sz="0" w:space="0" w:color="auto"/>
          </w:divBdr>
        </w:div>
        <w:div w:id="1849176365">
          <w:marLeft w:val="0"/>
          <w:marRight w:val="0"/>
          <w:marTop w:val="0"/>
          <w:marBottom w:val="0"/>
          <w:divBdr>
            <w:top w:val="none" w:sz="0" w:space="0" w:color="auto"/>
            <w:left w:val="none" w:sz="0" w:space="0" w:color="auto"/>
            <w:bottom w:val="none" w:sz="0" w:space="0" w:color="auto"/>
            <w:right w:val="none" w:sz="0" w:space="0" w:color="auto"/>
          </w:divBdr>
        </w:div>
        <w:div w:id="1857384143">
          <w:marLeft w:val="0"/>
          <w:marRight w:val="0"/>
          <w:marTop w:val="0"/>
          <w:marBottom w:val="0"/>
          <w:divBdr>
            <w:top w:val="none" w:sz="0" w:space="0" w:color="auto"/>
            <w:left w:val="none" w:sz="0" w:space="0" w:color="auto"/>
            <w:bottom w:val="none" w:sz="0" w:space="0" w:color="auto"/>
            <w:right w:val="none" w:sz="0" w:space="0" w:color="auto"/>
          </w:divBdr>
        </w:div>
        <w:div w:id="1874538263">
          <w:marLeft w:val="0"/>
          <w:marRight w:val="0"/>
          <w:marTop w:val="0"/>
          <w:marBottom w:val="0"/>
          <w:divBdr>
            <w:top w:val="none" w:sz="0" w:space="0" w:color="auto"/>
            <w:left w:val="none" w:sz="0" w:space="0" w:color="auto"/>
            <w:bottom w:val="none" w:sz="0" w:space="0" w:color="auto"/>
            <w:right w:val="none" w:sz="0" w:space="0" w:color="auto"/>
          </w:divBdr>
        </w:div>
        <w:div w:id="1935701060">
          <w:marLeft w:val="0"/>
          <w:marRight w:val="0"/>
          <w:marTop w:val="0"/>
          <w:marBottom w:val="0"/>
          <w:divBdr>
            <w:top w:val="none" w:sz="0" w:space="0" w:color="auto"/>
            <w:left w:val="none" w:sz="0" w:space="0" w:color="auto"/>
            <w:bottom w:val="none" w:sz="0" w:space="0" w:color="auto"/>
            <w:right w:val="none" w:sz="0" w:space="0" w:color="auto"/>
          </w:divBdr>
        </w:div>
        <w:div w:id="1949777934">
          <w:marLeft w:val="0"/>
          <w:marRight w:val="0"/>
          <w:marTop w:val="0"/>
          <w:marBottom w:val="0"/>
          <w:divBdr>
            <w:top w:val="none" w:sz="0" w:space="0" w:color="auto"/>
            <w:left w:val="none" w:sz="0" w:space="0" w:color="auto"/>
            <w:bottom w:val="none" w:sz="0" w:space="0" w:color="auto"/>
            <w:right w:val="none" w:sz="0" w:space="0" w:color="auto"/>
          </w:divBdr>
        </w:div>
        <w:div w:id="1965578850">
          <w:marLeft w:val="0"/>
          <w:marRight w:val="0"/>
          <w:marTop w:val="0"/>
          <w:marBottom w:val="0"/>
          <w:divBdr>
            <w:top w:val="none" w:sz="0" w:space="0" w:color="auto"/>
            <w:left w:val="none" w:sz="0" w:space="0" w:color="auto"/>
            <w:bottom w:val="none" w:sz="0" w:space="0" w:color="auto"/>
            <w:right w:val="none" w:sz="0" w:space="0" w:color="auto"/>
          </w:divBdr>
        </w:div>
        <w:div w:id="1993636788">
          <w:marLeft w:val="0"/>
          <w:marRight w:val="0"/>
          <w:marTop w:val="0"/>
          <w:marBottom w:val="0"/>
          <w:divBdr>
            <w:top w:val="none" w:sz="0" w:space="0" w:color="auto"/>
            <w:left w:val="none" w:sz="0" w:space="0" w:color="auto"/>
            <w:bottom w:val="none" w:sz="0" w:space="0" w:color="auto"/>
            <w:right w:val="none" w:sz="0" w:space="0" w:color="auto"/>
          </w:divBdr>
        </w:div>
        <w:div w:id="2085178949">
          <w:marLeft w:val="0"/>
          <w:marRight w:val="0"/>
          <w:marTop w:val="0"/>
          <w:marBottom w:val="0"/>
          <w:divBdr>
            <w:top w:val="none" w:sz="0" w:space="0" w:color="auto"/>
            <w:left w:val="none" w:sz="0" w:space="0" w:color="auto"/>
            <w:bottom w:val="none" w:sz="0" w:space="0" w:color="auto"/>
            <w:right w:val="none" w:sz="0" w:space="0" w:color="auto"/>
          </w:divBdr>
        </w:div>
        <w:div w:id="2088571983">
          <w:marLeft w:val="0"/>
          <w:marRight w:val="0"/>
          <w:marTop w:val="0"/>
          <w:marBottom w:val="0"/>
          <w:divBdr>
            <w:top w:val="none" w:sz="0" w:space="0" w:color="auto"/>
            <w:left w:val="none" w:sz="0" w:space="0" w:color="auto"/>
            <w:bottom w:val="none" w:sz="0" w:space="0" w:color="auto"/>
            <w:right w:val="none" w:sz="0" w:space="0" w:color="auto"/>
          </w:divBdr>
        </w:div>
        <w:div w:id="2092118890">
          <w:marLeft w:val="0"/>
          <w:marRight w:val="0"/>
          <w:marTop w:val="0"/>
          <w:marBottom w:val="0"/>
          <w:divBdr>
            <w:top w:val="none" w:sz="0" w:space="0" w:color="auto"/>
            <w:left w:val="none" w:sz="0" w:space="0" w:color="auto"/>
            <w:bottom w:val="none" w:sz="0" w:space="0" w:color="auto"/>
            <w:right w:val="none" w:sz="0" w:space="0" w:color="auto"/>
          </w:divBdr>
        </w:div>
        <w:div w:id="2102145289">
          <w:marLeft w:val="0"/>
          <w:marRight w:val="0"/>
          <w:marTop w:val="0"/>
          <w:marBottom w:val="0"/>
          <w:divBdr>
            <w:top w:val="none" w:sz="0" w:space="0" w:color="auto"/>
            <w:left w:val="none" w:sz="0" w:space="0" w:color="auto"/>
            <w:bottom w:val="none" w:sz="0" w:space="0" w:color="auto"/>
            <w:right w:val="none" w:sz="0" w:space="0" w:color="auto"/>
          </w:divBdr>
        </w:div>
        <w:div w:id="2102867479">
          <w:marLeft w:val="0"/>
          <w:marRight w:val="0"/>
          <w:marTop w:val="0"/>
          <w:marBottom w:val="0"/>
          <w:divBdr>
            <w:top w:val="none" w:sz="0" w:space="0" w:color="auto"/>
            <w:left w:val="none" w:sz="0" w:space="0" w:color="auto"/>
            <w:bottom w:val="none" w:sz="0" w:space="0" w:color="auto"/>
            <w:right w:val="none" w:sz="0" w:space="0" w:color="auto"/>
          </w:divBdr>
        </w:div>
        <w:div w:id="2109233671">
          <w:marLeft w:val="0"/>
          <w:marRight w:val="0"/>
          <w:marTop w:val="0"/>
          <w:marBottom w:val="0"/>
          <w:divBdr>
            <w:top w:val="none" w:sz="0" w:space="0" w:color="auto"/>
            <w:left w:val="none" w:sz="0" w:space="0" w:color="auto"/>
            <w:bottom w:val="none" w:sz="0" w:space="0" w:color="auto"/>
            <w:right w:val="none" w:sz="0" w:space="0" w:color="auto"/>
          </w:divBdr>
        </w:div>
        <w:div w:id="2126389869">
          <w:marLeft w:val="0"/>
          <w:marRight w:val="0"/>
          <w:marTop w:val="0"/>
          <w:marBottom w:val="0"/>
          <w:divBdr>
            <w:top w:val="none" w:sz="0" w:space="0" w:color="auto"/>
            <w:left w:val="none" w:sz="0" w:space="0" w:color="auto"/>
            <w:bottom w:val="none" w:sz="0" w:space="0" w:color="auto"/>
            <w:right w:val="none" w:sz="0" w:space="0" w:color="auto"/>
          </w:divBdr>
        </w:div>
        <w:div w:id="2127774889">
          <w:marLeft w:val="0"/>
          <w:marRight w:val="0"/>
          <w:marTop w:val="0"/>
          <w:marBottom w:val="0"/>
          <w:divBdr>
            <w:top w:val="none" w:sz="0" w:space="0" w:color="auto"/>
            <w:left w:val="none" w:sz="0" w:space="0" w:color="auto"/>
            <w:bottom w:val="none" w:sz="0" w:space="0" w:color="auto"/>
            <w:right w:val="none" w:sz="0" w:space="0" w:color="auto"/>
          </w:divBdr>
        </w:div>
      </w:divsChild>
    </w:div>
    <w:div w:id="1643191907">
      <w:bodyDiv w:val="1"/>
      <w:marLeft w:val="0"/>
      <w:marRight w:val="0"/>
      <w:marTop w:val="0"/>
      <w:marBottom w:val="0"/>
      <w:divBdr>
        <w:top w:val="none" w:sz="0" w:space="0" w:color="auto"/>
        <w:left w:val="none" w:sz="0" w:space="0" w:color="auto"/>
        <w:bottom w:val="none" w:sz="0" w:space="0" w:color="auto"/>
        <w:right w:val="none" w:sz="0" w:space="0" w:color="auto"/>
      </w:divBdr>
    </w:div>
    <w:div w:id="1648317856">
      <w:bodyDiv w:val="1"/>
      <w:marLeft w:val="0"/>
      <w:marRight w:val="0"/>
      <w:marTop w:val="0"/>
      <w:marBottom w:val="0"/>
      <w:divBdr>
        <w:top w:val="none" w:sz="0" w:space="0" w:color="auto"/>
        <w:left w:val="none" w:sz="0" w:space="0" w:color="auto"/>
        <w:bottom w:val="none" w:sz="0" w:space="0" w:color="auto"/>
        <w:right w:val="none" w:sz="0" w:space="0" w:color="auto"/>
      </w:divBdr>
    </w:div>
    <w:div w:id="1705406588">
      <w:bodyDiv w:val="1"/>
      <w:marLeft w:val="0"/>
      <w:marRight w:val="0"/>
      <w:marTop w:val="0"/>
      <w:marBottom w:val="0"/>
      <w:divBdr>
        <w:top w:val="none" w:sz="0" w:space="0" w:color="auto"/>
        <w:left w:val="none" w:sz="0" w:space="0" w:color="auto"/>
        <w:bottom w:val="none" w:sz="0" w:space="0" w:color="auto"/>
        <w:right w:val="none" w:sz="0" w:space="0" w:color="auto"/>
      </w:divBdr>
    </w:div>
    <w:div w:id="1738673640">
      <w:bodyDiv w:val="1"/>
      <w:marLeft w:val="0"/>
      <w:marRight w:val="0"/>
      <w:marTop w:val="0"/>
      <w:marBottom w:val="0"/>
      <w:divBdr>
        <w:top w:val="none" w:sz="0" w:space="0" w:color="auto"/>
        <w:left w:val="none" w:sz="0" w:space="0" w:color="auto"/>
        <w:bottom w:val="none" w:sz="0" w:space="0" w:color="auto"/>
        <w:right w:val="none" w:sz="0" w:space="0" w:color="auto"/>
      </w:divBdr>
      <w:divsChild>
        <w:div w:id="795879875">
          <w:marLeft w:val="0"/>
          <w:marRight w:val="0"/>
          <w:marTop w:val="0"/>
          <w:marBottom w:val="0"/>
          <w:divBdr>
            <w:top w:val="none" w:sz="0" w:space="0" w:color="auto"/>
            <w:left w:val="none" w:sz="0" w:space="0" w:color="auto"/>
            <w:bottom w:val="none" w:sz="0" w:space="0" w:color="auto"/>
            <w:right w:val="none" w:sz="0" w:space="0" w:color="auto"/>
          </w:divBdr>
        </w:div>
        <w:div w:id="1040127197">
          <w:marLeft w:val="0"/>
          <w:marRight w:val="0"/>
          <w:marTop w:val="0"/>
          <w:marBottom w:val="0"/>
          <w:divBdr>
            <w:top w:val="none" w:sz="0" w:space="0" w:color="auto"/>
            <w:left w:val="none" w:sz="0" w:space="0" w:color="auto"/>
            <w:bottom w:val="none" w:sz="0" w:space="0" w:color="auto"/>
            <w:right w:val="none" w:sz="0" w:space="0" w:color="auto"/>
          </w:divBdr>
        </w:div>
      </w:divsChild>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67517489">
      <w:bodyDiv w:val="1"/>
      <w:marLeft w:val="0"/>
      <w:marRight w:val="0"/>
      <w:marTop w:val="0"/>
      <w:marBottom w:val="0"/>
      <w:divBdr>
        <w:top w:val="none" w:sz="0" w:space="0" w:color="auto"/>
        <w:left w:val="none" w:sz="0" w:space="0" w:color="auto"/>
        <w:bottom w:val="none" w:sz="0" w:space="0" w:color="auto"/>
        <w:right w:val="none" w:sz="0" w:space="0" w:color="auto"/>
      </w:divBdr>
    </w:div>
    <w:div w:id="1887063247">
      <w:bodyDiv w:val="1"/>
      <w:marLeft w:val="0"/>
      <w:marRight w:val="0"/>
      <w:marTop w:val="0"/>
      <w:marBottom w:val="0"/>
      <w:divBdr>
        <w:top w:val="none" w:sz="0" w:space="0" w:color="auto"/>
        <w:left w:val="none" w:sz="0" w:space="0" w:color="auto"/>
        <w:bottom w:val="none" w:sz="0" w:space="0" w:color="auto"/>
        <w:right w:val="none" w:sz="0" w:space="0" w:color="auto"/>
      </w:divBdr>
    </w:div>
    <w:div w:id="1997490500">
      <w:bodyDiv w:val="1"/>
      <w:marLeft w:val="0"/>
      <w:marRight w:val="0"/>
      <w:marTop w:val="0"/>
      <w:marBottom w:val="0"/>
      <w:divBdr>
        <w:top w:val="none" w:sz="0" w:space="0" w:color="auto"/>
        <w:left w:val="none" w:sz="0" w:space="0" w:color="auto"/>
        <w:bottom w:val="none" w:sz="0" w:space="0" w:color="auto"/>
        <w:right w:val="none" w:sz="0" w:space="0" w:color="auto"/>
      </w:divBdr>
      <w:divsChild>
        <w:div w:id="63402724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mailto:Safeguard.Mechanism@dcceew.gov.au" TargetMode="External"/><Relationship Id="rId21" Type="http://schemas.openxmlformats.org/officeDocument/2006/relationships/hyperlink" Target="https://www.legislation.gov.au/F2015L01637/latest/versions" TargetMode="External"/><Relationship Id="rId42" Type="http://schemas.openxmlformats.org/officeDocument/2006/relationships/hyperlink" Target="https://www.legislation.gov.au/Series/F2008L02230" TargetMode="External"/><Relationship Id="rId47" Type="http://schemas.openxmlformats.org/officeDocument/2006/relationships/hyperlink" Target="https://www.legislation.gov.au/Series/F2008L02309" TargetMode="External"/><Relationship Id="rId63" Type="http://schemas.openxmlformats.org/officeDocument/2006/relationships/hyperlink" Target="https://www.legislation.gov.au/Series/F2008L02309" TargetMode="External"/><Relationship Id="rId68" Type="http://schemas.openxmlformats.org/officeDocument/2006/relationships/hyperlink" Target="mailto:CER-safeguardbaselines@cer.gov.au" TargetMode="External"/><Relationship Id="rId2" Type="http://schemas.openxmlformats.org/officeDocument/2006/relationships/customXml" Target="../customXml/item2.xml"/><Relationship Id="rId16" Type="http://schemas.openxmlformats.org/officeDocument/2006/relationships/hyperlink" Target="https://www.legislation.gov.au/C2007A00175/latest/versions" TargetMode="External"/><Relationship Id="rId29" Type="http://schemas.openxmlformats.org/officeDocument/2006/relationships/hyperlink" Target="mailto:cer-safeguardbaselines@cer.gov.au" TargetMode="External"/><Relationship Id="rId11" Type="http://schemas.openxmlformats.org/officeDocument/2006/relationships/hyperlink" Target="https://www.legislation.gov.au/Series/C2007A00175" TargetMode="External"/><Relationship Id="rId24" Type="http://schemas.openxmlformats.org/officeDocument/2006/relationships/hyperlink" Target="https://www.cleanenergyregulator.gov.au/NGER/The-Safeguard-Mechanism/The-Safeguard-Mechanism-for-financial-years-commencing-on-or-after-1-July-2023" TargetMode="External"/><Relationship Id="rId32" Type="http://schemas.openxmlformats.org/officeDocument/2006/relationships/hyperlink" Target="https://cer.gov.au/online-systems" TargetMode="External"/><Relationship Id="rId37" Type="http://schemas.openxmlformats.org/officeDocument/2006/relationships/hyperlink" Target="https://www.dcceew.gov.au/climate-change/publications/safeguard-mechanism-document" TargetMode="External"/><Relationship Id="rId40" Type="http://schemas.openxmlformats.org/officeDocument/2006/relationships/hyperlink" Target="https://www.dcceew.gov.au/climate-change/publications/safeguard-mechanism-document" TargetMode="External"/><Relationship Id="rId45" Type="http://schemas.openxmlformats.org/officeDocument/2006/relationships/hyperlink" Target="https://www.legislation.gov.au/" TargetMode="External"/><Relationship Id="rId53" Type="http://schemas.openxmlformats.org/officeDocument/2006/relationships/hyperlink" Target="https://www.dcceew.gov.au/climate-change/publications/safeguard-mechanism-document" TargetMode="External"/><Relationship Id="rId58" Type="http://schemas.openxmlformats.org/officeDocument/2006/relationships/hyperlink" Target="https://cer.gov.au/schemes/audits-our-schemes/find-auditor" TargetMode="External"/><Relationship Id="rId66" Type="http://schemas.openxmlformats.org/officeDocument/2006/relationships/hyperlink" Target="mailto:CER-safeguardbaselines@cer.gov.au"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cer.gov.au/schemes/national-greenhouse-and-energy-reporting-scheme/about-emissions-and-energy-data" TargetMode="External"/><Relationship Id="rId19" Type="http://schemas.openxmlformats.org/officeDocument/2006/relationships/hyperlink" Target="https://www.legislation.gov.au/C2007A00175/latest/versions" TargetMode="External"/><Relationship Id="rId14" Type="http://schemas.openxmlformats.org/officeDocument/2006/relationships/hyperlink" Target="https://www.legislation.gov.au/F2015L01637/latest/versions" TargetMode="External"/><Relationship Id="rId22" Type="http://schemas.openxmlformats.org/officeDocument/2006/relationships/hyperlink" Target="https://www.dcceew.gov.au/climate-change/publications/safeguard-mechanism-document" TargetMode="External"/><Relationship Id="rId27" Type="http://schemas.openxmlformats.org/officeDocument/2006/relationships/hyperlink" Target="https://cer.gov.au/online-systems" TargetMode="External"/><Relationship Id="rId30" Type="http://schemas.openxmlformats.org/officeDocument/2006/relationships/hyperlink" Target="https://cer.gov.au/online-systems" TargetMode="External"/><Relationship Id="rId35" Type="http://schemas.openxmlformats.org/officeDocument/2006/relationships/hyperlink" Target="https://cer.gov.au/document_page/nger-online-services-user-guide" TargetMode="External"/><Relationship Id="rId43" Type="http://schemas.openxmlformats.org/officeDocument/2006/relationships/hyperlink" Target="https://www.legislation.gov.au/Series/F2008L02309" TargetMode="External"/><Relationship Id="rId48" Type="http://schemas.openxmlformats.org/officeDocument/2006/relationships/hyperlink" Target="https://cer.gov.au/schemes/national-greenhouse-and-energy-reporting-scheme/about-emissions-and-energy-data/global-warming-potential" TargetMode="External"/><Relationship Id="rId56" Type="http://schemas.openxmlformats.org/officeDocument/2006/relationships/hyperlink" Target="https://www.dcceew.gov.au/climate-change/publications/safeguard-mechanism-document" TargetMode="External"/><Relationship Id="rId64" Type="http://schemas.openxmlformats.org/officeDocument/2006/relationships/hyperlink" Target="https://cer.gov.au/document_page/methods-and-measurement-criteria-guideline"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dcceew.gov.au/climate-change/publications/safeguard-mechanism-document" TargetMode="External"/><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www.legislation.gov.au/Series/F2008L02230" TargetMode="External"/><Relationship Id="rId17" Type="http://schemas.openxmlformats.org/officeDocument/2006/relationships/hyperlink" Target="https://www.legislation.gov.au/F2008L02230/latest/text" TargetMode="External"/><Relationship Id="rId25" Type="http://schemas.openxmlformats.org/officeDocument/2006/relationships/hyperlink" Target="https://cer.gov.au/online-systems" TargetMode="External"/><Relationship Id="rId33" Type="http://schemas.openxmlformats.org/officeDocument/2006/relationships/hyperlink" Target="mailto:cer-safeguardbaselines@cer.gov.au" TargetMode="External"/><Relationship Id="rId38" Type="http://schemas.openxmlformats.org/officeDocument/2006/relationships/hyperlink" Target="https://www.dcceew.gov.au/climate-change/publications/safeguard-mechanism-document" TargetMode="External"/><Relationship Id="rId46" Type="http://schemas.openxmlformats.org/officeDocument/2006/relationships/hyperlink" Target="https://cer.gov.au/schemes/national-greenhouse-and-energy-reporting-scheme/report-emissions-and-energy/amendments-to-national-greenhouse-and-energy-reporting-legislation" TargetMode="External"/><Relationship Id="rId59" Type="http://schemas.openxmlformats.org/officeDocument/2006/relationships/hyperlink" Target="https://www.legislation.gov.au/F2010L00053/latest/text" TargetMode="External"/><Relationship Id="rId67" Type="http://schemas.openxmlformats.org/officeDocument/2006/relationships/hyperlink" Target="mailto:cer-nger-reporting@cer.gov.au" TargetMode="External"/><Relationship Id="rId20" Type="http://schemas.openxmlformats.org/officeDocument/2006/relationships/hyperlink" Target="https://www.legislation.gov.au/C2007A00175/latest/versions" TargetMode="External"/><Relationship Id="rId41" Type="http://schemas.openxmlformats.org/officeDocument/2006/relationships/hyperlink" Target="https://www.legislation.gov.au/Series/F2008L02309" TargetMode="External"/><Relationship Id="rId54" Type="http://schemas.openxmlformats.org/officeDocument/2006/relationships/hyperlink" Target="https://www.dcceew.gov.au/climate-change/publications/safeguard-mechanism-document" TargetMode="External"/><Relationship Id="rId62" Type="http://schemas.openxmlformats.org/officeDocument/2006/relationships/hyperlink" Target="https://www.legislation.gov.au/Series/F2008L02230"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au/F2015L01637/latest/versions" TargetMode="External"/><Relationship Id="rId23" Type="http://schemas.openxmlformats.org/officeDocument/2006/relationships/hyperlink" Target="https://cer.gov.au/schemes/national-greenhouse-and-energy-reporting-scheme/about-emissions-and-energy-data/emissions" TargetMode="External"/><Relationship Id="rId28" Type="http://schemas.openxmlformats.org/officeDocument/2006/relationships/hyperlink" Target="https://cer.gov.au/online-systems" TargetMode="External"/><Relationship Id="rId36" Type="http://schemas.openxmlformats.org/officeDocument/2006/relationships/hyperlink" Target="https://cer.gov.au/schemes/national-greenhouse-and-energy-reporting-scheme/register-nger-reporter" TargetMode="External"/><Relationship Id="rId49" Type="http://schemas.openxmlformats.org/officeDocument/2006/relationships/hyperlink" Target="https://cer.gov.au/schemes/national-greenhouse-and-energy-reporting-scheme/about-emissions-and-energy-data/global-warming-potential" TargetMode="External"/><Relationship Id="rId57" Type="http://schemas.openxmlformats.org/officeDocument/2006/relationships/hyperlink" Target="https://cer.gov.au/online-systems" TargetMode="External"/><Relationship Id="rId10" Type="http://schemas.openxmlformats.org/officeDocument/2006/relationships/hyperlink" Target="https://www.legislation.gov.au/Series/F2015L01637" TargetMode="External"/><Relationship Id="rId31" Type="http://schemas.openxmlformats.org/officeDocument/2006/relationships/hyperlink" Target="https://cer.gov.au/document_page/nger-online-services-user-guide" TargetMode="External"/><Relationship Id="rId44" Type="http://schemas.openxmlformats.org/officeDocument/2006/relationships/hyperlink" Target="https://cer.gov.au/schemes/national-greenhouse-and-energy-reporting-scheme" TargetMode="External"/><Relationship Id="rId52" Type="http://schemas.openxmlformats.org/officeDocument/2006/relationships/hyperlink" Target="https://www.dcceew.gov.au/climate-change/publications/safeguard-mechanism-document" TargetMode="External"/><Relationship Id="rId60" Type="http://schemas.openxmlformats.org/officeDocument/2006/relationships/hyperlink" Target="https://cer.gov.au/document_page/emissions-intensity-audit-report-template" TargetMode="External"/><Relationship Id="rId65" Type="http://schemas.openxmlformats.org/officeDocument/2006/relationships/hyperlink" Target="mailto:CER-safeguardbaselines@cer.gov.au" TargetMode="External"/><Relationship Id="rId73"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legislation.gov.au/C2007A00175/latest/versions" TargetMode="External"/><Relationship Id="rId18" Type="http://schemas.openxmlformats.org/officeDocument/2006/relationships/hyperlink" Target="https://www.legislation.gov.au/C2007A00175/latest/versions" TargetMode="External"/><Relationship Id="rId39" Type="http://schemas.openxmlformats.org/officeDocument/2006/relationships/hyperlink" Target="mailto:cer-safeguardbaselines@cer.gov.au" TargetMode="External"/><Relationship Id="rId34" Type="http://schemas.openxmlformats.org/officeDocument/2006/relationships/hyperlink" Target="https://www.cleanenergyregulator.gov.au/NGER/Reporting-cycle/Assess-your-obligations/Reporting-thresholds" TargetMode="External"/><Relationship Id="rId50" Type="http://schemas.openxmlformats.org/officeDocument/2006/relationships/hyperlink" Target="https://www.dcceew.gov.au/climate-change/publications/safeguard-mechanism-document" TargetMode="External"/><Relationship Id="rId55" Type="http://schemas.openxmlformats.org/officeDocument/2006/relationships/hyperlink" Target="https://www.dcceew.gov.au/climate-change/publications/safeguard-mechanism-document" TargetMode="External"/><Relationship Id="rId7" Type="http://schemas.openxmlformats.org/officeDocument/2006/relationships/footnotes" Target="footnotes.xml"/><Relationship Id="rId7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cer.gov.au/document/nger-client-portal-user-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87D34-FE5A-45DC-90BB-9D7DA18D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20552</Words>
  <Characters>115302</Characters>
  <Application>Microsoft Office Word</Application>
  <DocSecurity>8</DocSecurity>
  <Lines>1890</Lines>
  <Paragraphs>1053</Paragraphs>
  <ScaleCrop>false</ScaleCrop>
  <HeadingPairs>
    <vt:vector size="2" baseType="variant">
      <vt:variant>
        <vt:lpstr>Title</vt:lpstr>
      </vt:variant>
      <vt:variant>
        <vt:i4>1</vt:i4>
      </vt:variant>
    </vt:vector>
  </HeadingPairs>
  <TitlesOfParts>
    <vt:vector size="1" baseType="lpstr">
      <vt:lpstr>Emissions-intensity determination application guideline</vt:lpstr>
    </vt:vector>
  </TitlesOfParts>
  <Company/>
  <LinksUpToDate>false</LinksUpToDate>
  <CharactersWithSpaces>134801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Emissions-intensity determination application guideline</dc:title>
  <dc:subject/>
  <dc:creator/>
  <cp:keywords/>
  <cp:lastModifiedBy/>
  <cp:revision>1</cp:revision>
  <dcterms:created xsi:type="dcterms:W3CDTF">2025-09-09T23:18:00Z</dcterms:created>
  <dcterms:modified xsi:type="dcterms:W3CDTF">2025-09-10T00:10:00Z</dcterms:modified>
  <cp:contentStatus/>
</cp:coreProperties>
</file>