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02C9" w14:textId="69E94298" w:rsidR="00977234" w:rsidRDefault="00B16D30" w:rsidP="00146FC8">
      <w:pPr>
        <w:pStyle w:val="CERcovertitle"/>
        <w:tabs>
          <w:tab w:val="left" w:pos="5103"/>
        </w:tabs>
        <w:spacing w:before="2520"/>
        <w:ind w:left="5103" w:right="-41"/>
      </w:pPr>
      <w:r>
        <w:drawing>
          <wp:anchor distT="0" distB="0" distL="114300" distR="114300" simplePos="0" relativeHeight="251658242" behindDoc="0" locked="0" layoutInCell="1" allowOverlap="1" wp14:anchorId="711A514B" wp14:editId="491A345E">
            <wp:simplePos x="0" y="0"/>
            <wp:positionH relativeFrom="column">
              <wp:posOffset>180975</wp:posOffset>
            </wp:positionH>
            <wp:positionV relativeFrom="page">
              <wp:posOffset>2381250</wp:posOffset>
            </wp:positionV>
            <wp:extent cx="2664000" cy="2664000"/>
            <wp:effectExtent l="0" t="0" r="0" b="0"/>
            <wp:wrapNone/>
            <wp:docPr id="22" name="Graphic 22" descr="Gear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ears outline">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2664000" cy="2664000"/>
                    </a:xfrm>
                    <a:prstGeom prst="rect">
                      <a:avLst/>
                    </a:prstGeom>
                  </pic:spPr>
                </pic:pic>
              </a:graphicData>
            </a:graphic>
            <wp14:sizeRelH relativeFrom="page">
              <wp14:pctWidth>0</wp14:pctWidth>
            </wp14:sizeRelH>
            <wp14:sizeRelV relativeFrom="page">
              <wp14:pctHeight>0</wp14:pctHeight>
            </wp14:sizeRelV>
          </wp:anchor>
        </w:drawing>
      </w:r>
      <w:r w:rsidR="001813DE" w:rsidRPr="001813DE">
        <w:rPr>
          <w:rFonts w:asciiTheme="minorHAnsi" w:hAnsiTheme="minorHAnsi"/>
        </w:rPr>
        <mc:AlternateContent>
          <mc:Choice Requires="wps">
            <w:drawing>
              <wp:anchor distT="0" distB="0" distL="114300" distR="114300" simplePos="0" relativeHeight="251658240" behindDoc="0" locked="0" layoutInCell="1" allowOverlap="1" wp14:anchorId="41A7BA9F" wp14:editId="70E064B5">
                <wp:simplePos x="0" y="0"/>
                <wp:positionH relativeFrom="column">
                  <wp:posOffset>-19050</wp:posOffset>
                </wp:positionH>
                <wp:positionV relativeFrom="paragraph">
                  <wp:posOffset>893445</wp:posOffset>
                </wp:positionV>
                <wp:extent cx="6192000" cy="6185230"/>
                <wp:effectExtent l="0" t="0" r="0" b="6350"/>
                <wp:wrapNone/>
                <wp:docPr id="15" name="Freeform: Shape 15">
                  <a:extLst xmlns:a="http://schemas.openxmlformats.org/drawingml/2006/main">
                    <a:ext uri="{FF2B5EF4-FFF2-40B4-BE49-F238E27FC236}">
                      <a16:creationId xmlns:a16="http://schemas.microsoft.com/office/drawing/2014/main" id="{833A9379-F33B-6747-102E-56A33714938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2000" cy="6185230"/>
                        </a:xfrm>
                        <a:custGeom>
                          <a:avLst/>
                          <a:gdLst>
                            <a:gd name="connsiteX0" fmla="*/ 5805660 w 7550841"/>
                            <a:gd name="connsiteY0" fmla="*/ 5698644 h 7542959"/>
                            <a:gd name="connsiteX1" fmla="*/ 7449582 w 7550841"/>
                            <a:gd name="connsiteY1" fmla="*/ 5698644 h 7542959"/>
                            <a:gd name="connsiteX2" fmla="*/ 7550841 w 7550841"/>
                            <a:gd name="connsiteY2" fmla="*/ 5788610 h 7542959"/>
                            <a:gd name="connsiteX3" fmla="*/ 7550841 w 7550841"/>
                            <a:gd name="connsiteY3" fmla="*/ 7441836 h 7542959"/>
                            <a:gd name="connsiteX4" fmla="*/ 7449582 w 7550841"/>
                            <a:gd name="connsiteY4" fmla="*/ 7542959 h 7542959"/>
                            <a:gd name="connsiteX5" fmla="*/ 5805660 w 7550841"/>
                            <a:gd name="connsiteY5" fmla="*/ 7542959 h 7542959"/>
                            <a:gd name="connsiteX6" fmla="*/ 5704401 w 7550841"/>
                            <a:gd name="connsiteY6" fmla="*/ 7441836 h 7542959"/>
                            <a:gd name="connsiteX7" fmla="*/ 5704401 w 7550841"/>
                            <a:gd name="connsiteY7" fmla="*/ 5788610 h 7542959"/>
                            <a:gd name="connsiteX8" fmla="*/ 3894784 w 7550841"/>
                            <a:gd name="connsiteY8" fmla="*/ 5698644 h 7542959"/>
                            <a:gd name="connsiteX9" fmla="*/ 5559985 w 7550841"/>
                            <a:gd name="connsiteY9" fmla="*/ 5698644 h 7542959"/>
                            <a:gd name="connsiteX10" fmla="*/ 5650604 w 7550841"/>
                            <a:gd name="connsiteY10" fmla="*/ 5788610 h 7542959"/>
                            <a:gd name="connsiteX11" fmla="*/ 5650604 w 7550841"/>
                            <a:gd name="connsiteY11" fmla="*/ 7441836 h 7542959"/>
                            <a:gd name="connsiteX12" fmla="*/ 5559985 w 7550841"/>
                            <a:gd name="connsiteY12" fmla="*/ 7542959 h 7542959"/>
                            <a:gd name="connsiteX13" fmla="*/ 3894784 w 7550841"/>
                            <a:gd name="connsiteY13" fmla="*/ 7542959 h 7542959"/>
                            <a:gd name="connsiteX14" fmla="*/ 3804166 w 7550841"/>
                            <a:gd name="connsiteY14" fmla="*/ 7441836 h 7542959"/>
                            <a:gd name="connsiteX15" fmla="*/ 3804166 w 7550841"/>
                            <a:gd name="connsiteY15" fmla="*/ 5788610 h 7542959"/>
                            <a:gd name="connsiteX16" fmla="*/ 2001855 w 7550841"/>
                            <a:gd name="connsiteY16" fmla="*/ 5698644 h 7542959"/>
                            <a:gd name="connsiteX17" fmla="*/ 3645777 w 7550841"/>
                            <a:gd name="connsiteY17" fmla="*/ 5698644 h 7542959"/>
                            <a:gd name="connsiteX18" fmla="*/ 3747036 w 7550841"/>
                            <a:gd name="connsiteY18" fmla="*/ 5788610 h 7542959"/>
                            <a:gd name="connsiteX19" fmla="*/ 3747036 w 7550841"/>
                            <a:gd name="connsiteY19" fmla="*/ 7441836 h 7542959"/>
                            <a:gd name="connsiteX20" fmla="*/ 3645777 w 7550841"/>
                            <a:gd name="connsiteY20" fmla="*/ 7542959 h 7542959"/>
                            <a:gd name="connsiteX21" fmla="*/ 2001855 w 7550841"/>
                            <a:gd name="connsiteY21" fmla="*/ 7542959 h 7542959"/>
                            <a:gd name="connsiteX22" fmla="*/ 1900596 w 7550841"/>
                            <a:gd name="connsiteY22" fmla="*/ 7441836 h 7542959"/>
                            <a:gd name="connsiteX23" fmla="*/ 1900596 w 7550841"/>
                            <a:gd name="connsiteY23" fmla="*/ 5788610 h 7542959"/>
                            <a:gd name="connsiteX24" fmla="*/ 3894784 w 7550841"/>
                            <a:gd name="connsiteY24" fmla="*/ 3796819 h 7542959"/>
                            <a:gd name="connsiteX25" fmla="*/ 5115195 w 7550841"/>
                            <a:gd name="connsiteY25" fmla="*/ 3796819 h 7542959"/>
                            <a:gd name="connsiteX26" fmla="*/ 5559985 w 7550841"/>
                            <a:gd name="connsiteY26" fmla="*/ 3796819 h 7542959"/>
                            <a:gd name="connsiteX27" fmla="*/ 5805660 w 7550841"/>
                            <a:gd name="connsiteY27" fmla="*/ 3796819 h 7542959"/>
                            <a:gd name="connsiteX28" fmla="*/ 6759117 w 7550841"/>
                            <a:gd name="connsiteY28" fmla="*/ 3796819 h 7542959"/>
                            <a:gd name="connsiteX29" fmla="*/ 7449582 w 7550841"/>
                            <a:gd name="connsiteY29" fmla="*/ 3796819 h 7542959"/>
                            <a:gd name="connsiteX30" fmla="*/ 7550841 w 7550841"/>
                            <a:gd name="connsiteY30" fmla="*/ 3886786 h 7542959"/>
                            <a:gd name="connsiteX31" fmla="*/ 7550841 w 7550841"/>
                            <a:gd name="connsiteY31" fmla="*/ 5540012 h 7542959"/>
                            <a:gd name="connsiteX32" fmla="*/ 7449582 w 7550841"/>
                            <a:gd name="connsiteY32" fmla="*/ 5641134 h 7542959"/>
                            <a:gd name="connsiteX33" fmla="*/ 6759117 w 7550841"/>
                            <a:gd name="connsiteY33" fmla="*/ 5641134 h 7542959"/>
                            <a:gd name="connsiteX34" fmla="*/ 5805660 w 7550841"/>
                            <a:gd name="connsiteY34" fmla="*/ 5641134 h 7542959"/>
                            <a:gd name="connsiteX35" fmla="*/ 5559985 w 7550841"/>
                            <a:gd name="connsiteY35" fmla="*/ 5641134 h 7542959"/>
                            <a:gd name="connsiteX36" fmla="*/ 5115195 w 7550841"/>
                            <a:gd name="connsiteY36" fmla="*/ 5641134 h 7542959"/>
                            <a:gd name="connsiteX37" fmla="*/ 3894784 w 7550841"/>
                            <a:gd name="connsiteY37" fmla="*/ 5641134 h 7542959"/>
                            <a:gd name="connsiteX38" fmla="*/ 3804166 w 7550841"/>
                            <a:gd name="connsiteY38" fmla="*/ 5551150 h 7542959"/>
                            <a:gd name="connsiteX39" fmla="*/ 3804166 w 7550841"/>
                            <a:gd name="connsiteY39" fmla="*/ 3897961 h 7542959"/>
                            <a:gd name="connsiteX40" fmla="*/ 1991217 w 7550841"/>
                            <a:gd name="connsiteY40" fmla="*/ 3796819 h 7542959"/>
                            <a:gd name="connsiteX41" fmla="*/ 3656417 w 7550841"/>
                            <a:gd name="connsiteY41" fmla="*/ 3796819 h 7542959"/>
                            <a:gd name="connsiteX42" fmla="*/ 3747036 w 7550841"/>
                            <a:gd name="connsiteY42" fmla="*/ 3897961 h 7542959"/>
                            <a:gd name="connsiteX43" fmla="*/ 3747036 w 7550841"/>
                            <a:gd name="connsiteY43" fmla="*/ 5551150 h 7542959"/>
                            <a:gd name="connsiteX44" fmla="*/ 3656417 w 7550841"/>
                            <a:gd name="connsiteY44" fmla="*/ 5641134 h 7542959"/>
                            <a:gd name="connsiteX45" fmla="*/ 1991217 w 7550841"/>
                            <a:gd name="connsiteY45" fmla="*/ 5641134 h 7542959"/>
                            <a:gd name="connsiteX46" fmla="*/ 1900599 w 7550841"/>
                            <a:gd name="connsiteY46" fmla="*/ 5551150 h 7542959"/>
                            <a:gd name="connsiteX47" fmla="*/ 1900599 w 7550841"/>
                            <a:gd name="connsiteY47" fmla="*/ 3897961 h 7542959"/>
                            <a:gd name="connsiteX48" fmla="*/ 90980 w 7550841"/>
                            <a:gd name="connsiteY48" fmla="*/ 3796819 h 7542959"/>
                            <a:gd name="connsiteX49" fmla="*/ 1756180 w 7550841"/>
                            <a:gd name="connsiteY49" fmla="*/ 3796819 h 7542959"/>
                            <a:gd name="connsiteX50" fmla="*/ 1846799 w 7550841"/>
                            <a:gd name="connsiteY50" fmla="*/ 3886785 h 7542959"/>
                            <a:gd name="connsiteX51" fmla="*/ 1846799 w 7550841"/>
                            <a:gd name="connsiteY51" fmla="*/ 5540011 h 7542959"/>
                            <a:gd name="connsiteX52" fmla="*/ 1756180 w 7550841"/>
                            <a:gd name="connsiteY52" fmla="*/ 5641134 h 7542959"/>
                            <a:gd name="connsiteX53" fmla="*/ 90980 w 7550841"/>
                            <a:gd name="connsiteY53" fmla="*/ 5641134 h 7542959"/>
                            <a:gd name="connsiteX54" fmla="*/ 361 w 7550841"/>
                            <a:gd name="connsiteY54" fmla="*/ 5540011 h 7542959"/>
                            <a:gd name="connsiteX55" fmla="*/ 361 w 7550841"/>
                            <a:gd name="connsiteY55" fmla="*/ 3886785 h 7542959"/>
                            <a:gd name="connsiteX56" fmla="*/ 90009 w 7550841"/>
                            <a:gd name="connsiteY56" fmla="*/ 0 h 7542959"/>
                            <a:gd name="connsiteX57" fmla="*/ 3645017 w 7550841"/>
                            <a:gd name="connsiteY57" fmla="*/ 0 h 7542959"/>
                            <a:gd name="connsiteX58" fmla="*/ 3735026 w 7550841"/>
                            <a:gd name="connsiteY58" fmla="*/ 90009 h 7542959"/>
                            <a:gd name="connsiteX59" fmla="*/ 3735026 w 7550841"/>
                            <a:gd name="connsiteY59" fmla="*/ 1226288 h 7542959"/>
                            <a:gd name="connsiteX60" fmla="*/ 3735026 w 7550841"/>
                            <a:gd name="connsiteY60" fmla="*/ 1744021 h 7542959"/>
                            <a:gd name="connsiteX61" fmla="*/ 3735026 w 7550841"/>
                            <a:gd name="connsiteY61" fmla="*/ 1991367 h 7542959"/>
                            <a:gd name="connsiteX62" fmla="*/ 3735026 w 7550841"/>
                            <a:gd name="connsiteY62" fmla="*/ 2879939 h 7542959"/>
                            <a:gd name="connsiteX63" fmla="*/ 3735026 w 7550841"/>
                            <a:gd name="connsiteY63" fmla="*/ 3633858 h 7542959"/>
                            <a:gd name="connsiteX64" fmla="*/ 3645017 w 7550841"/>
                            <a:gd name="connsiteY64" fmla="*/ 3735028 h 7542959"/>
                            <a:gd name="connsiteX65" fmla="*/ 2689118 w 7550841"/>
                            <a:gd name="connsiteY65" fmla="*/ 3735028 h 7542959"/>
                            <a:gd name="connsiteX66" fmla="*/ 1991366 w 7550841"/>
                            <a:gd name="connsiteY66" fmla="*/ 3735028 h 7542959"/>
                            <a:gd name="connsiteX67" fmla="*/ 1744020 w 7550841"/>
                            <a:gd name="connsiteY67" fmla="*/ 3735028 h 7542959"/>
                            <a:gd name="connsiteX68" fmla="*/ 1035107 w 7550841"/>
                            <a:gd name="connsiteY68" fmla="*/ 3735028 h 7542959"/>
                            <a:gd name="connsiteX69" fmla="*/ 90009 w 7550841"/>
                            <a:gd name="connsiteY69" fmla="*/ 3735028 h 7542959"/>
                            <a:gd name="connsiteX70" fmla="*/ 0 w 7550841"/>
                            <a:gd name="connsiteY70" fmla="*/ 3633858 h 7542959"/>
                            <a:gd name="connsiteX71" fmla="*/ 0 w 7550841"/>
                            <a:gd name="connsiteY71" fmla="*/ 2879939 h 7542959"/>
                            <a:gd name="connsiteX72" fmla="*/ 0 w 7550841"/>
                            <a:gd name="connsiteY72" fmla="*/ 1991367 h 7542959"/>
                            <a:gd name="connsiteX73" fmla="*/ 0 w 7550841"/>
                            <a:gd name="connsiteY73" fmla="*/ 1744021 h 7542959"/>
                            <a:gd name="connsiteX74" fmla="*/ 0 w 7550841"/>
                            <a:gd name="connsiteY74" fmla="*/ 1226288 h 7542959"/>
                            <a:gd name="connsiteX75" fmla="*/ 0 w 7550841"/>
                            <a:gd name="connsiteY75" fmla="*/ 90009 h 7542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Lst>
                          <a:rect l="l" t="t" r="r" b="b"/>
                          <a:pathLst>
                            <a:path w="7550841" h="7542959">
                              <a:moveTo>
                                <a:pt x="5805660" y="5698644"/>
                              </a:moveTo>
                              <a:lnTo>
                                <a:pt x="7449582" y="5698644"/>
                              </a:lnTo>
                              <a:lnTo>
                                <a:pt x="7550841" y="5788610"/>
                              </a:lnTo>
                              <a:lnTo>
                                <a:pt x="7550841" y="7441836"/>
                              </a:lnTo>
                              <a:lnTo>
                                <a:pt x="7449582" y="7542959"/>
                              </a:lnTo>
                              <a:lnTo>
                                <a:pt x="5805660" y="7542959"/>
                              </a:lnTo>
                              <a:lnTo>
                                <a:pt x="5704401" y="7441836"/>
                              </a:lnTo>
                              <a:lnTo>
                                <a:pt x="5704401" y="5788610"/>
                              </a:lnTo>
                              <a:close/>
                              <a:moveTo>
                                <a:pt x="3894784" y="5698644"/>
                              </a:moveTo>
                              <a:lnTo>
                                <a:pt x="5559985" y="5698644"/>
                              </a:lnTo>
                              <a:lnTo>
                                <a:pt x="5650604" y="5788610"/>
                              </a:lnTo>
                              <a:lnTo>
                                <a:pt x="5650604" y="7441836"/>
                              </a:lnTo>
                              <a:lnTo>
                                <a:pt x="5559985" y="7542959"/>
                              </a:lnTo>
                              <a:lnTo>
                                <a:pt x="3894784" y="7542959"/>
                              </a:lnTo>
                              <a:lnTo>
                                <a:pt x="3804166" y="7441836"/>
                              </a:lnTo>
                              <a:lnTo>
                                <a:pt x="3804166" y="5788610"/>
                              </a:lnTo>
                              <a:close/>
                              <a:moveTo>
                                <a:pt x="2001855" y="5698644"/>
                              </a:moveTo>
                              <a:lnTo>
                                <a:pt x="3645777" y="5698644"/>
                              </a:lnTo>
                              <a:lnTo>
                                <a:pt x="3747036" y="5788610"/>
                              </a:lnTo>
                              <a:lnTo>
                                <a:pt x="3747036" y="7441836"/>
                              </a:lnTo>
                              <a:lnTo>
                                <a:pt x="3645777" y="7542959"/>
                              </a:lnTo>
                              <a:lnTo>
                                <a:pt x="2001855" y="7542959"/>
                              </a:lnTo>
                              <a:lnTo>
                                <a:pt x="1900596" y="7441836"/>
                              </a:lnTo>
                              <a:lnTo>
                                <a:pt x="1900596" y="5788610"/>
                              </a:lnTo>
                              <a:close/>
                              <a:moveTo>
                                <a:pt x="3894784" y="3796819"/>
                              </a:moveTo>
                              <a:lnTo>
                                <a:pt x="5115195" y="3796819"/>
                              </a:lnTo>
                              <a:lnTo>
                                <a:pt x="5559985" y="3796819"/>
                              </a:lnTo>
                              <a:lnTo>
                                <a:pt x="5805660" y="3796819"/>
                              </a:lnTo>
                              <a:lnTo>
                                <a:pt x="6759117" y="3796819"/>
                              </a:lnTo>
                              <a:lnTo>
                                <a:pt x="7449582" y="3796819"/>
                              </a:lnTo>
                              <a:lnTo>
                                <a:pt x="7550841" y="3886786"/>
                              </a:lnTo>
                              <a:lnTo>
                                <a:pt x="7550841" y="5540012"/>
                              </a:lnTo>
                              <a:lnTo>
                                <a:pt x="7449582" y="5641134"/>
                              </a:lnTo>
                              <a:lnTo>
                                <a:pt x="6759117" y="5641134"/>
                              </a:lnTo>
                              <a:lnTo>
                                <a:pt x="5805660" y="5641134"/>
                              </a:lnTo>
                              <a:lnTo>
                                <a:pt x="5559985" y="5641134"/>
                              </a:lnTo>
                              <a:lnTo>
                                <a:pt x="5115195" y="5641134"/>
                              </a:lnTo>
                              <a:lnTo>
                                <a:pt x="3894784" y="5641134"/>
                              </a:lnTo>
                              <a:lnTo>
                                <a:pt x="3804166" y="5551150"/>
                              </a:lnTo>
                              <a:lnTo>
                                <a:pt x="3804166" y="3897961"/>
                              </a:lnTo>
                              <a:close/>
                              <a:moveTo>
                                <a:pt x="1991217" y="3796819"/>
                              </a:moveTo>
                              <a:lnTo>
                                <a:pt x="3656417" y="3796819"/>
                              </a:lnTo>
                              <a:lnTo>
                                <a:pt x="3747036" y="3897961"/>
                              </a:lnTo>
                              <a:lnTo>
                                <a:pt x="3747036" y="5551150"/>
                              </a:lnTo>
                              <a:lnTo>
                                <a:pt x="3656417" y="5641134"/>
                              </a:lnTo>
                              <a:lnTo>
                                <a:pt x="1991217" y="5641134"/>
                              </a:lnTo>
                              <a:lnTo>
                                <a:pt x="1900599" y="5551150"/>
                              </a:lnTo>
                              <a:lnTo>
                                <a:pt x="1900599" y="3897961"/>
                              </a:lnTo>
                              <a:close/>
                              <a:moveTo>
                                <a:pt x="90980" y="3796819"/>
                              </a:moveTo>
                              <a:lnTo>
                                <a:pt x="1756180" y="3796819"/>
                              </a:lnTo>
                              <a:lnTo>
                                <a:pt x="1846799" y="3886785"/>
                              </a:lnTo>
                              <a:lnTo>
                                <a:pt x="1846799" y="5540011"/>
                              </a:lnTo>
                              <a:lnTo>
                                <a:pt x="1756180" y="5641134"/>
                              </a:lnTo>
                              <a:lnTo>
                                <a:pt x="90980" y="5641134"/>
                              </a:lnTo>
                              <a:lnTo>
                                <a:pt x="361" y="5540011"/>
                              </a:lnTo>
                              <a:lnTo>
                                <a:pt x="361" y="3886785"/>
                              </a:lnTo>
                              <a:close/>
                              <a:moveTo>
                                <a:pt x="90009" y="0"/>
                              </a:moveTo>
                              <a:lnTo>
                                <a:pt x="3645017" y="0"/>
                              </a:lnTo>
                              <a:lnTo>
                                <a:pt x="3735026" y="90009"/>
                              </a:lnTo>
                              <a:lnTo>
                                <a:pt x="3735026" y="1226288"/>
                              </a:lnTo>
                              <a:lnTo>
                                <a:pt x="3735026" y="1744021"/>
                              </a:lnTo>
                              <a:lnTo>
                                <a:pt x="3735026" y="1991367"/>
                              </a:lnTo>
                              <a:lnTo>
                                <a:pt x="3735026" y="2879939"/>
                              </a:lnTo>
                              <a:lnTo>
                                <a:pt x="3735026" y="3633858"/>
                              </a:lnTo>
                              <a:lnTo>
                                <a:pt x="3645017" y="3735028"/>
                              </a:lnTo>
                              <a:lnTo>
                                <a:pt x="2689118" y="3735028"/>
                              </a:lnTo>
                              <a:lnTo>
                                <a:pt x="1991366" y="3735028"/>
                              </a:lnTo>
                              <a:lnTo>
                                <a:pt x="1744020" y="3735028"/>
                              </a:lnTo>
                              <a:lnTo>
                                <a:pt x="1035107" y="3735028"/>
                              </a:lnTo>
                              <a:lnTo>
                                <a:pt x="90009" y="3735028"/>
                              </a:lnTo>
                              <a:lnTo>
                                <a:pt x="0" y="3633858"/>
                              </a:lnTo>
                              <a:lnTo>
                                <a:pt x="0" y="2879939"/>
                              </a:lnTo>
                              <a:lnTo>
                                <a:pt x="0" y="1991367"/>
                              </a:lnTo>
                              <a:lnTo>
                                <a:pt x="0" y="1744021"/>
                              </a:lnTo>
                              <a:lnTo>
                                <a:pt x="0" y="1226288"/>
                              </a:lnTo>
                              <a:lnTo>
                                <a:pt x="0" y="90009"/>
                              </a:lnTo>
                              <a:close/>
                            </a:path>
                          </a:pathLst>
                        </a:custGeom>
                        <a:solidFill>
                          <a:srgbClr val="D9E696"/>
                        </a:solidFill>
                        <a:ln>
                          <a:noFill/>
                        </a:ln>
                        <a:effectLst/>
                      </wps:spPr>
                      <wps:bodyPr wrap="square" anchor="ctr">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svg="http://schemas.microsoft.com/office/drawing/2016/SVG/main" xmlns:a16="http://schemas.microsoft.com/office/drawing/2014/main" xmlns:a14="http://schemas.microsoft.com/office/drawing/2010/main" xmlns:arto="http://schemas.microsoft.com/office/word/2006/arto">
            <w:pict w14:anchorId="34F3EB94">
              <v:shape id="Freeform: Shape 15" style="position:absolute;margin-left:-1.5pt;margin-top:70.35pt;width:487.55pt;height:487.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coordsize="7550841,7542959" o:spid="_x0000_s1026" fillcolor="#d9e696" stroked="f" path="m5805660,5698644r1643922,l7550841,5788610r,1653226l7449582,7542959r-1643922,l5704401,7441836r,-1653226l5805660,5698644xm3894784,5698644r1665201,l5650604,5788610r,1653226l5559985,7542959r-1665201,l3804166,7441836r,-1653226l3894784,5698644xm2001855,5698644r1643922,l3747036,5788610r,1653226l3645777,7542959r-1643922,l1900596,7441836r,-1653226l2001855,5698644xm3894784,3796819r1220411,l5559985,3796819r245675,l6759117,3796819r690465,l7550841,3886786r,1653226l7449582,5641134r-690465,l5805660,5641134r-245675,l5115195,5641134r-1220411,l3804166,5551150r,-1653189l3894784,3796819xm1991217,3796819r1665200,l3747036,3897961r,1653189l3656417,5641134r-1665200,l1900599,5551150r,-1653189l1991217,3796819xm90980,3796819r1665200,l1846799,3886785r,1653226l1756180,5641134r-1665200,l361,5540011r,-1653226l90980,3796819xm90009,l3645017,r90009,90009l3735026,1226288r,517733l3735026,1991367r,888572l3735026,3633858r-90009,101170l2689118,3735028r-697752,l1744020,3735028r-708913,l90009,3735028,,3633858,,2879939,,1991367,,1744021,,1226288,,90009,9000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" w14:anchorId="54A1EC9B">
                <v:path arrowok="t" o:connecttype="custom" o:connectlocs="4760880,4672891;6108963,4672891;6192000,4746663;6192000,6102309;6108963,6185230;4760880,6185230;4677843,6102309;4677843,4746663;3193883,4672891;4559416,4672891;4633728,4746663;4633728,6102309;4559416,6185230;3193883,6185230;3119572,6102309;3119572,4746663;1641603,4672891;2989687,4672891;3072724,4746663;3072724,6102309;2989687,6185230;1641603,6185230;1558567,6102309;1558567,4746663;3193883,3113393;4194670,3113393;4559416,3113393;4760880,3113393;5542754,3113393;6108963,3113393;6192000,3187166;6192000,4542812;6108963,4625733;5542754,4625733;4760880,4625733;4559416,4625733;4194670,4625733;3193883,4625733;3119572,4551946;3119572,3196330;1632880,3113393;2998412,3113393;3072724,3196330;3072724,4551946;2998412,4625733;1632880,4625733;1558569,4551946;1558569,3196330;74607,3113393;1440140,3113393;1514451,3187166;1514451,4542812;1440140,4625733;74607,4625733;296,4542812;296,3187166;73811,0;2989064,0;3062875,73807;3062875,1005557;3062875,1430098;3062875,1632922;3062875,2361551;3062875,2979765;2989064,3062725;2205187,3062725;1633002,3062725;1430168,3062725;848830,3062725;73811,3062725;0,2979765;0,2361551;0,1632922;0,1430098;0,1005557;0,73807" o:connectangles="0,0,0,0,0,0,0,0,0,0,0,0,0,0,0,0,0,0,0,0,0,0,0,0,0,0,0,0,0,0,0,0,0,0,0,0,0,0,0,0,0,0,0,0,0,0,0,0,0,0,0,0,0,0,0,0,0,0,0,0,0,0,0,0,0,0,0,0,0,0,0,0,0,0,0,0"/>
                <o:lock v:ext="edit" aspectratio="t"/>
              </v:shape>
            </w:pict>
          </mc:Fallback>
        </mc:AlternateContent>
      </w:r>
      <w:r w:rsidR="0022354F" w:rsidRPr="0022354F">
        <w:rPr>
          <w:rFonts w:asciiTheme="minorHAnsi" w:hAnsiTheme="minorHAnsi"/>
          <w:sz w:val="54"/>
          <w:szCs w:val="54"/>
        </w:rPr>
        <w:t>Emissions and Energy Reporting System validation</w:t>
      </w:r>
      <w:r w:rsidR="00B1772D">
        <w:rPr>
          <w:rFonts w:asciiTheme="minorHAnsi" w:hAnsiTheme="minorHAnsi"/>
          <w:sz w:val="54"/>
          <w:szCs w:val="54"/>
        </w:rPr>
        <w:t>s</w:t>
      </w:r>
      <w:r w:rsidR="00676E96" w:rsidRPr="0022354F">
        <w:rPr>
          <w:rFonts w:asciiTheme="minorHAnsi" w:hAnsiTheme="minorHAnsi"/>
          <w:sz w:val="54"/>
          <w:szCs w:val="54"/>
        </w:rPr>
        <w:t xml:space="preserve"> </w:t>
      </w:r>
      <w:r w:rsidR="0022354F" w:rsidRPr="0022354F">
        <w:rPr>
          <w:rFonts w:asciiTheme="minorHAnsi" w:hAnsiTheme="minorHAnsi"/>
          <w:sz w:val="54"/>
          <w:szCs w:val="54"/>
        </w:rPr>
        <w:t>guideline</w:t>
      </w:r>
    </w:p>
    <w:p w14:paraId="3B543F96" w14:textId="7DBB1671" w:rsidR="003A5739" w:rsidRPr="00531F3B" w:rsidRDefault="009B5541" w:rsidP="001813DE">
      <w:pPr>
        <w:pStyle w:val="BodyText1"/>
        <w:tabs>
          <w:tab w:val="left" w:pos="3969"/>
        </w:tabs>
        <w:ind w:left="5103" w:right="101"/>
      </w:pPr>
      <w:r>
        <w:t>July</w:t>
      </w:r>
      <w:r w:rsidR="0055212B">
        <w:t xml:space="preserve"> </w:t>
      </w:r>
      <w:r w:rsidR="0068486A">
        <w:t>202</w:t>
      </w:r>
      <w:r w:rsidR="002D5556">
        <w:t>6</w:t>
      </w:r>
    </w:p>
    <w:p w14:paraId="6519C78F" w14:textId="03C371E9" w:rsidR="00235142" w:rsidRPr="00874B8F" w:rsidRDefault="00346AEF" w:rsidP="002C225B">
      <w:pPr>
        <w:pStyle w:val="Contents"/>
      </w:pPr>
      <w:bookmarkStart w:id="0" w:name="_Toc108024591"/>
      <w:r>
        <w:rPr>
          <w:noProof/>
        </w:rPr>
        <w:drawing>
          <wp:anchor distT="0" distB="0" distL="114300" distR="114300" simplePos="0" relativeHeight="251658243" behindDoc="0" locked="0" layoutInCell="1" allowOverlap="1" wp14:anchorId="68F54FFC" wp14:editId="5A2FA83C">
            <wp:simplePos x="0" y="0"/>
            <wp:positionH relativeFrom="column">
              <wp:posOffset>1619250</wp:posOffset>
            </wp:positionH>
            <wp:positionV relativeFrom="page">
              <wp:posOffset>6944995</wp:posOffset>
            </wp:positionV>
            <wp:extent cx="1327785" cy="130619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11">
                      <a:duotone>
                        <a:prstClr val="black"/>
                        <a:schemeClr val="accent1">
                          <a:lumMod val="60000"/>
                          <a:lumOff val="40000"/>
                          <a:tint val="45000"/>
                          <a:satMod val="400000"/>
                        </a:schemeClr>
                      </a:duotone>
                      <a:extLst>
                        <a:ext uri="{BEBA8EAE-BF5A-486C-A8C5-ECC9F3942E4B}">
                          <a14:imgProps xmlns:a14="http://schemas.microsoft.com/office/drawing/2010/main">
                            <a14:imgLayer r:embed="rId12">
                              <a14:imgEffect>
                                <a14:colorTemperature colorTemp="11200"/>
                              </a14:imgEffect>
                              <a14:imgEffect>
                                <a14:saturation sat="400000"/>
                              </a14:imgEffect>
                            </a14:imgLayer>
                          </a14:imgProps>
                        </a:ext>
                      </a:extLst>
                    </a:blip>
                    <a:stretch>
                      <a:fillRect/>
                    </a:stretch>
                  </pic:blipFill>
                  <pic:spPr>
                    <a:xfrm>
                      <a:off x="0" y="0"/>
                      <a:ext cx="1327785" cy="1306195"/>
                    </a:xfrm>
                    <a:prstGeom prst="rect">
                      <a:avLst/>
                    </a:prstGeom>
                  </pic:spPr>
                </pic:pic>
              </a:graphicData>
            </a:graphic>
            <wp14:sizeRelH relativeFrom="page">
              <wp14:pctWidth>0</wp14:pctWidth>
            </wp14:sizeRelH>
            <wp14:sizeRelV relativeFrom="page">
              <wp14:pctHeight>0</wp14:pctHeight>
            </wp14:sizeRelV>
          </wp:anchor>
        </w:drawing>
      </w:r>
      <w:r w:rsidR="00166FC1">
        <w:rPr>
          <w:noProof/>
        </w:rPr>
        <w:drawing>
          <wp:anchor distT="0" distB="0" distL="114300" distR="114300" simplePos="0" relativeHeight="251658247" behindDoc="0" locked="0" layoutInCell="1" allowOverlap="1" wp14:anchorId="1F99CBE1" wp14:editId="639DA6C4">
            <wp:simplePos x="0" y="0"/>
            <wp:positionH relativeFrom="column">
              <wp:posOffset>4772025</wp:posOffset>
            </wp:positionH>
            <wp:positionV relativeFrom="page">
              <wp:posOffset>6929120</wp:posOffset>
            </wp:positionV>
            <wp:extent cx="1328400" cy="1328400"/>
            <wp:effectExtent l="0" t="0" r="5715" b="0"/>
            <wp:wrapNone/>
            <wp:docPr id="27" name="Graphic 27" descr="Bulldozer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Bulldozer outline">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48085B">
        <w:rPr>
          <w:noProof/>
        </w:rPr>
        <w:drawing>
          <wp:anchor distT="0" distB="0" distL="114300" distR="114300" simplePos="0" relativeHeight="251658246" behindDoc="0" locked="0" layoutInCell="1" allowOverlap="1" wp14:anchorId="321350E1" wp14:editId="4D7A4014">
            <wp:simplePos x="0" y="0"/>
            <wp:positionH relativeFrom="column">
              <wp:posOffset>3848100</wp:posOffset>
            </wp:positionH>
            <wp:positionV relativeFrom="page">
              <wp:posOffset>5262245</wp:posOffset>
            </wp:positionV>
            <wp:extent cx="1419860" cy="1419860"/>
            <wp:effectExtent l="0" t="0" r="8890" b="0"/>
            <wp:wrapNone/>
            <wp:docPr id="20" name="Graphic 20" descr="Solar Panel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olar Panels outline">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1419860" cy="1419860"/>
                    </a:xfrm>
                    <a:prstGeom prst="rect">
                      <a:avLst/>
                    </a:prstGeom>
                  </pic:spPr>
                </pic:pic>
              </a:graphicData>
            </a:graphic>
            <wp14:sizeRelH relativeFrom="page">
              <wp14:pctWidth>0</wp14:pctWidth>
            </wp14:sizeRelH>
            <wp14:sizeRelV relativeFrom="page">
              <wp14:pctHeight>0</wp14:pctHeight>
            </wp14:sizeRelV>
          </wp:anchor>
        </w:drawing>
      </w:r>
      <w:r w:rsidR="00B45921">
        <w:rPr>
          <w:noProof/>
        </w:rPr>
        <w:drawing>
          <wp:anchor distT="0" distB="0" distL="114300" distR="114300" simplePos="0" relativeHeight="251658245" behindDoc="0" locked="0" layoutInCell="1" allowOverlap="1" wp14:anchorId="51D0E73D" wp14:editId="4687BAD5">
            <wp:simplePos x="0" y="0"/>
            <wp:positionH relativeFrom="column">
              <wp:posOffset>1657350</wp:posOffset>
            </wp:positionH>
            <wp:positionV relativeFrom="page">
              <wp:posOffset>5367020</wp:posOffset>
            </wp:positionV>
            <wp:extent cx="1327785" cy="1327785"/>
            <wp:effectExtent l="0" t="0" r="0" b="0"/>
            <wp:wrapNone/>
            <wp:docPr id="18" name="Graphic 18" descr="Factory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actory outline">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241" behindDoc="0" locked="0" layoutInCell="1" allowOverlap="1" wp14:anchorId="4B5271F4" wp14:editId="35E4E506">
            <wp:simplePos x="0" y="0"/>
            <wp:positionH relativeFrom="column">
              <wp:posOffset>76200</wp:posOffset>
            </wp:positionH>
            <wp:positionV relativeFrom="page">
              <wp:posOffset>5372100</wp:posOffset>
            </wp:positionV>
            <wp:extent cx="1327785" cy="1327785"/>
            <wp:effectExtent l="0" t="0" r="5715" b="0"/>
            <wp:wrapNone/>
            <wp:docPr id="16" name="Graphic 16" descr="Power Plant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ower Plant outline">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244" behindDoc="0" locked="0" layoutInCell="1" allowOverlap="1" wp14:anchorId="27AA53C8" wp14:editId="3178DEBE">
            <wp:simplePos x="0" y="0"/>
            <wp:positionH relativeFrom="column">
              <wp:posOffset>3197923</wp:posOffset>
            </wp:positionH>
            <wp:positionV relativeFrom="page">
              <wp:posOffset>6931025</wp:posOffset>
            </wp:positionV>
            <wp:extent cx="1328400" cy="1328400"/>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21">
                      <a:duotone>
                        <a:prstClr val="black"/>
                        <a:schemeClr val="accent1">
                          <a:lumMod val="40000"/>
                          <a:lumOff val="60000"/>
                          <a:tint val="45000"/>
                          <a:satMod val="400000"/>
                        </a:schemeClr>
                      </a:duotone>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3A5739" w:rsidRPr="00531F3B">
        <w:br w:type="page"/>
      </w:r>
      <w:bookmarkStart w:id="1" w:name="_Toc447009035"/>
      <w:bookmarkStart w:id="2" w:name="_Toc413749884"/>
      <w:r w:rsidR="00235142" w:rsidRPr="00874B8F">
        <w:lastRenderedPageBreak/>
        <w:t>Contents</w:t>
      </w:r>
      <w:bookmarkEnd w:id="0"/>
    </w:p>
    <w:bookmarkEnd w:id="1"/>
    <w:bookmarkEnd w:id="2"/>
    <w:p w14:paraId="1488457A" w14:textId="7103BF40" w:rsidR="00865A35" w:rsidRDefault="00235142">
      <w:pPr>
        <w:pStyle w:val="TOC1"/>
        <w:rPr>
          <w:rFonts w:eastAsiaTheme="minorEastAsia" w:cstheme="minorBidi"/>
          <w:b w:val="0"/>
          <w:noProof/>
          <w:color w:val="auto"/>
          <w:kern w:val="2"/>
          <w:sz w:val="24"/>
          <w:lang w:eastAsia="en-AU"/>
          <w14:ligatures w14:val="standardContextual"/>
        </w:rPr>
      </w:pPr>
      <w:r>
        <w:fldChar w:fldCharType="begin"/>
      </w:r>
      <w:r>
        <w:instrText xml:space="preserve"> TOC  \* MERGEFORMAT </w:instrText>
      </w:r>
      <w:r>
        <w:fldChar w:fldCharType="separate"/>
      </w:r>
      <w:r w:rsidR="00865A35" w:rsidRPr="00F24EA0">
        <w:rPr>
          <w:noProof/>
          <w:lang w:val="en-GB"/>
        </w:rPr>
        <w:t>Disclaimer</w:t>
      </w:r>
      <w:r w:rsidR="00865A35">
        <w:rPr>
          <w:noProof/>
        </w:rPr>
        <w:tab/>
      </w:r>
      <w:r w:rsidR="00865A35">
        <w:rPr>
          <w:noProof/>
        </w:rPr>
        <w:fldChar w:fldCharType="begin"/>
      </w:r>
      <w:r w:rsidR="00865A35">
        <w:rPr>
          <w:noProof/>
        </w:rPr>
        <w:instrText xml:space="preserve"> PAGEREF _Toc235705176 \h </w:instrText>
      </w:r>
      <w:r w:rsidR="00865A35">
        <w:rPr>
          <w:noProof/>
        </w:rPr>
      </w:r>
      <w:r w:rsidR="00865A35">
        <w:rPr>
          <w:noProof/>
        </w:rPr>
        <w:fldChar w:fldCharType="separate"/>
      </w:r>
      <w:r w:rsidR="00865A35">
        <w:rPr>
          <w:noProof/>
        </w:rPr>
        <w:t>3</w:t>
      </w:r>
      <w:r w:rsidR="00865A35">
        <w:rPr>
          <w:noProof/>
        </w:rPr>
        <w:fldChar w:fldCharType="end"/>
      </w:r>
    </w:p>
    <w:p w14:paraId="4ADE0860" w14:textId="4BF939C0" w:rsidR="00865A35" w:rsidRDefault="00865A35">
      <w:pPr>
        <w:pStyle w:val="TOC1"/>
        <w:rPr>
          <w:rFonts w:eastAsiaTheme="minorEastAsia" w:cstheme="minorBidi"/>
          <w:b w:val="0"/>
          <w:noProof/>
          <w:color w:val="auto"/>
          <w:kern w:val="2"/>
          <w:sz w:val="24"/>
          <w:lang w:eastAsia="en-AU"/>
          <w14:ligatures w14:val="standardContextual"/>
        </w:rPr>
      </w:pPr>
      <w:r>
        <w:rPr>
          <w:noProof/>
        </w:rPr>
        <w:t>2025–26 updates</w:t>
      </w:r>
      <w:r>
        <w:rPr>
          <w:noProof/>
        </w:rPr>
        <w:tab/>
      </w:r>
      <w:r>
        <w:rPr>
          <w:noProof/>
        </w:rPr>
        <w:fldChar w:fldCharType="begin"/>
      </w:r>
      <w:r>
        <w:rPr>
          <w:noProof/>
        </w:rPr>
        <w:instrText xml:space="preserve"> PAGEREF _Toc235705177 \h </w:instrText>
      </w:r>
      <w:r>
        <w:rPr>
          <w:noProof/>
        </w:rPr>
      </w:r>
      <w:r>
        <w:rPr>
          <w:noProof/>
        </w:rPr>
        <w:fldChar w:fldCharType="separate"/>
      </w:r>
      <w:r>
        <w:rPr>
          <w:noProof/>
        </w:rPr>
        <w:t>4</w:t>
      </w:r>
      <w:r>
        <w:rPr>
          <w:noProof/>
        </w:rPr>
        <w:fldChar w:fldCharType="end"/>
      </w:r>
    </w:p>
    <w:p w14:paraId="42F42769" w14:textId="5265A49F" w:rsidR="00865A35" w:rsidRDefault="00865A35">
      <w:pPr>
        <w:pStyle w:val="TOC1"/>
        <w:tabs>
          <w:tab w:val="left" w:pos="440"/>
        </w:tabs>
        <w:rPr>
          <w:rFonts w:eastAsiaTheme="minorEastAsia" w:cstheme="minorBidi"/>
          <w:b w:val="0"/>
          <w:noProof/>
          <w:color w:val="auto"/>
          <w:kern w:val="2"/>
          <w:sz w:val="24"/>
          <w:lang w:eastAsia="en-AU"/>
          <w14:ligatures w14:val="standardContextual"/>
        </w:rPr>
      </w:pPr>
      <w:r w:rsidRPr="00F24EA0">
        <w:rPr>
          <w:noProof/>
          <w:lang w:val="en-GB"/>
        </w:rPr>
        <w:t>1.</w:t>
      </w:r>
      <w:r>
        <w:rPr>
          <w:rFonts w:eastAsiaTheme="minorEastAsia" w:cstheme="minorBidi"/>
          <w:b w:val="0"/>
          <w:noProof/>
          <w:color w:val="auto"/>
          <w:kern w:val="2"/>
          <w:sz w:val="24"/>
          <w:lang w:eastAsia="en-AU"/>
          <w14:ligatures w14:val="standardContextual"/>
        </w:rPr>
        <w:tab/>
      </w:r>
      <w:r>
        <w:rPr>
          <w:noProof/>
        </w:rPr>
        <w:t>Introduction</w:t>
      </w:r>
      <w:r>
        <w:rPr>
          <w:noProof/>
        </w:rPr>
        <w:tab/>
      </w:r>
      <w:r>
        <w:rPr>
          <w:noProof/>
        </w:rPr>
        <w:fldChar w:fldCharType="begin"/>
      </w:r>
      <w:r>
        <w:rPr>
          <w:noProof/>
        </w:rPr>
        <w:instrText xml:space="preserve"> PAGEREF _Toc235705178 \h </w:instrText>
      </w:r>
      <w:r>
        <w:rPr>
          <w:noProof/>
        </w:rPr>
      </w:r>
      <w:r>
        <w:rPr>
          <w:noProof/>
        </w:rPr>
        <w:fldChar w:fldCharType="separate"/>
      </w:r>
      <w:r>
        <w:rPr>
          <w:noProof/>
        </w:rPr>
        <w:t>4</w:t>
      </w:r>
      <w:r>
        <w:rPr>
          <w:noProof/>
        </w:rPr>
        <w:fldChar w:fldCharType="end"/>
      </w:r>
    </w:p>
    <w:p w14:paraId="2B98CD80" w14:textId="0508B474" w:rsidR="00865A35" w:rsidRDefault="00865A35">
      <w:pPr>
        <w:pStyle w:val="TOC1"/>
        <w:tabs>
          <w:tab w:val="left" w:pos="440"/>
        </w:tabs>
        <w:rPr>
          <w:rFonts w:eastAsiaTheme="minorEastAsia" w:cstheme="minorBidi"/>
          <w:b w:val="0"/>
          <w:noProof/>
          <w:color w:val="auto"/>
          <w:kern w:val="2"/>
          <w:sz w:val="24"/>
          <w:lang w:eastAsia="en-AU"/>
          <w14:ligatures w14:val="standardContextual"/>
        </w:rPr>
      </w:pPr>
      <w:r>
        <w:rPr>
          <w:noProof/>
        </w:rPr>
        <w:t>2.</w:t>
      </w:r>
      <w:r>
        <w:rPr>
          <w:rFonts w:eastAsiaTheme="minorEastAsia" w:cstheme="minorBidi"/>
          <w:b w:val="0"/>
          <w:noProof/>
          <w:color w:val="auto"/>
          <w:kern w:val="2"/>
          <w:sz w:val="24"/>
          <w:lang w:eastAsia="en-AU"/>
          <w14:ligatures w14:val="standardContextual"/>
        </w:rPr>
        <w:tab/>
      </w:r>
      <w:r>
        <w:rPr>
          <w:noProof/>
        </w:rPr>
        <w:t>Complying with the NGER Scheme</w:t>
      </w:r>
      <w:r>
        <w:rPr>
          <w:noProof/>
        </w:rPr>
        <w:tab/>
      </w:r>
      <w:r>
        <w:rPr>
          <w:noProof/>
        </w:rPr>
        <w:fldChar w:fldCharType="begin"/>
      </w:r>
      <w:r>
        <w:rPr>
          <w:noProof/>
        </w:rPr>
        <w:instrText xml:space="preserve"> PAGEREF _Toc235705179 \h </w:instrText>
      </w:r>
      <w:r>
        <w:rPr>
          <w:noProof/>
        </w:rPr>
      </w:r>
      <w:r>
        <w:rPr>
          <w:noProof/>
        </w:rPr>
        <w:fldChar w:fldCharType="separate"/>
      </w:r>
      <w:r>
        <w:rPr>
          <w:noProof/>
        </w:rPr>
        <w:t>4</w:t>
      </w:r>
      <w:r>
        <w:rPr>
          <w:noProof/>
        </w:rPr>
        <w:fldChar w:fldCharType="end"/>
      </w:r>
    </w:p>
    <w:p w14:paraId="20105FA0" w14:textId="16D5AC00" w:rsidR="00865A35" w:rsidRDefault="00865A35">
      <w:pPr>
        <w:pStyle w:val="TOC1"/>
        <w:tabs>
          <w:tab w:val="left" w:pos="440"/>
        </w:tabs>
        <w:rPr>
          <w:rFonts w:eastAsiaTheme="minorEastAsia" w:cstheme="minorBidi"/>
          <w:b w:val="0"/>
          <w:noProof/>
          <w:color w:val="auto"/>
          <w:kern w:val="2"/>
          <w:sz w:val="24"/>
          <w:lang w:eastAsia="en-AU"/>
          <w14:ligatures w14:val="standardContextual"/>
        </w:rPr>
      </w:pPr>
      <w:r>
        <w:rPr>
          <w:noProof/>
          <w:lang w:eastAsia="en-AU"/>
        </w:rPr>
        <w:t>3.</w:t>
      </w:r>
      <w:r>
        <w:rPr>
          <w:rFonts w:eastAsiaTheme="minorEastAsia" w:cstheme="minorBidi"/>
          <w:b w:val="0"/>
          <w:noProof/>
          <w:color w:val="auto"/>
          <w:kern w:val="2"/>
          <w:sz w:val="24"/>
          <w:lang w:eastAsia="en-AU"/>
          <w14:ligatures w14:val="standardContextual"/>
        </w:rPr>
        <w:tab/>
      </w:r>
      <w:r>
        <w:rPr>
          <w:noProof/>
        </w:rPr>
        <w:t>Validations</w:t>
      </w:r>
      <w:r w:rsidRPr="00F24EA0">
        <w:rPr>
          <w:noProof/>
          <w:lang w:val="en-GB"/>
        </w:rPr>
        <w:t xml:space="preserve"> in EERS</w:t>
      </w:r>
      <w:r>
        <w:rPr>
          <w:noProof/>
        </w:rPr>
        <w:tab/>
      </w:r>
      <w:r>
        <w:rPr>
          <w:noProof/>
        </w:rPr>
        <w:fldChar w:fldCharType="begin"/>
      </w:r>
      <w:r>
        <w:rPr>
          <w:noProof/>
        </w:rPr>
        <w:instrText xml:space="preserve"> PAGEREF _Toc235705180 \h </w:instrText>
      </w:r>
      <w:r>
        <w:rPr>
          <w:noProof/>
        </w:rPr>
      </w:r>
      <w:r>
        <w:rPr>
          <w:noProof/>
        </w:rPr>
        <w:fldChar w:fldCharType="separate"/>
      </w:r>
      <w:r>
        <w:rPr>
          <w:noProof/>
        </w:rPr>
        <w:t>4</w:t>
      </w:r>
      <w:r>
        <w:rPr>
          <w:noProof/>
        </w:rPr>
        <w:fldChar w:fldCharType="end"/>
      </w:r>
    </w:p>
    <w:p w14:paraId="2F31327A" w14:textId="5242162C" w:rsidR="00865A35" w:rsidRDefault="00865A35">
      <w:pPr>
        <w:pStyle w:val="TOC2"/>
        <w:tabs>
          <w:tab w:val="left" w:pos="960"/>
          <w:tab w:val="right" w:leader="dot" w:pos="9730"/>
        </w:tabs>
        <w:rPr>
          <w:rFonts w:eastAsiaTheme="minorEastAsia" w:cstheme="minorBidi"/>
          <w:noProof/>
          <w:color w:val="auto"/>
          <w:kern w:val="2"/>
          <w:sz w:val="24"/>
          <w:lang w:eastAsia="en-AU"/>
          <w14:ligatures w14:val="standardContextual"/>
        </w:rPr>
      </w:pPr>
      <w:r>
        <w:rPr>
          <w:noProof/>
          <w:lang w:eastAsia="en-AU"/>
        </w:rPr>
        <w:t>3.1.</w:t>
      </w:r>
      <w:r>
        <w:rPr>
          <w:rFonts w:eastAsiaTheme="minorEastAsia" w:cstheme="minorBidi"/>
          <w:noProof/>
          <w:color w:val="auto"/>
          <w:kern w:val="2"/>
          <w:sz w:val="24"/>
          <w:lang w:eastAsia="en-AU"/>
          <w14:ligatures w14:val="standardContextual"/>
        </w:rPr>
        <w:tab/>
      </w:r>
      <w:r>
        <w:rPr>
          <w:noProof/>
          <w:lang w:eastAsia="en-AU"/>
        </w:rPr>
        <w:t>Navigating the Validate Page</w:t>
      </w:r>
      <w:r>
        <w:rPr>
          <w:noProof/>
        </w:rPr>
        <w:tab/>
      </w:r>
      <w:r>
        <w:rPr>
          <w:noProof/>
        </w:rPr>
        <w:fldChar w:fldCharType="begin"/>
      </w:r>
      <w:r>
        <w:rPr>
          <w:noProof/>
        </w:rPr>
        <w:instrText xml:space="preserve"> PAGEREF _Toc235705181 \h </w:instrText>
      </w:r>
      <w:r>
        <w:rPr>
          <w:noProof/>
        </w:rPr>
      </w:r>
      <w:r>
        <w:rPr>
          <w:noProof/>
        </w:rPr>
        <w:fldChar w:fldCharType="separate"/>
      </w:r>
      <w:r>
        <w:rPr>
          <w:noProof/>
        </w:rPr>
        <w:t>5</w:t>
      </w:r>
      <w:r>
        <w:rPr>
          <w:noProof/>
        </w:rPr>
        <w:fldChar w:fldCharType="end"/>
      </w:r>
    </w:p>
    <w:p w14:paraId="0D6A3263" w14:textId="21AD3A97" w:rsidR="00865A35" w:rsidRDefault="00865A35">
      <w:pPr>
        <w:pStyle w:val="TOC2"/>
        <w:tabs>
          <w:tab w:val="left" w:pos="960"/>
          <w:tab w:val="right" w:leader="dot" w:pos="9730"/>
        </w:tabs>
        <w:rPr>
          <w:rFonts w:eastAsiaTheme="minorEastAsia" w:cstheme="minorBidi"/>
          <w:noProof/>
          <w:color w:val="auto"/>
          <w:kern w:val="2"/>
          <w:sz w:val="24"/>
          <w:lang w:eastAsia="en-AU"/>
          <w14:ligatures w14:val="standardContextual"/>
        </w:rPr>
      </w:pPr>
      <w:r w:rsidRPr="00F24EA0">
        <w:rPr>
          <w:noProof/>
        </w:rPr>
        <w:t>3.2.</w:t>
      </w:r>
      <w:r>
        <w:rPr>
          <w:rFonts w:eastAsiaTheme="minorEastAsia" w:cstheme="minorBidi"/>
          <w:noProof/>
          <w:color w:val="auto"/>
          <w:kern w:val="2"/>
          <w:sz w:val="24"/>
          <w:lang w:eastAsia="en-AU"/>
          <w14:ligatures w14:val="standardContextual"/>
        </w:rPr>
        <w:tab/>
      </w:r>
      <w:r w:rsidRPr="00F24EA0">
        <w:rPr>
          <w:noProof/>
        </w:rPr>
        <w:t>Addressing validations by correcting data</w:t>
      </w:r>
      <w:r>
        <w:rPr>
          <w:noProof/>
        </w:rPr>
        <w:tab/>
      </w:r>
      <w:r>
        <w:rPr>
          <w:noProof/>
        </w:rPr>
        <w:fldChar w:fldCharType="begin"/>
      </w:r>
      <w:r>
        <w:rPr>
          <w:noProof/>
        </w:rPr>
        <w:instrText xml:space="preserve"> PAGEREF _Toc235705182 \h </w:instrText>
      </w:r>
      <w:r>
        <w:rPr>
          <w:noProof/>
        </w:rPr>
      </w:r>
      <w:r>
        <w:rPr>
          <w:noProof/>
        </w:rPr>
        <w:fldChar w:fldCharType="separate"/>
      </w:r>
      <w:r>
        <w:rPr>
          <w:noProof/>
        </w:rPr>
        <w:t>5</w:t>
      </w:r>
      <w:r>
        <w:rPr>
          <w:noProof/>
        </w:rPr>
        <w:fldChar w:fldCharType="end"/>
      </w:r>
    </w:p>
    <w:p w14:paraId="3E1BBF0E" w14:textId="5118F298" w:rsidR="00865A35" w:rsidRDefault="00865A35">
      <w:pPr>
        <w:pStyle w:val="TOC2"/>
        <w:tabs>
          <w:tab w:val="left" w:pos="960"/>
          <w:tab w:val="right" w:leader="dot" w:pos="9730"/>
        </w:tabs>
        <w:rPr>
          <w:rFonts w:eastAsiaTheme="minorEastAsia" w:cstheme="minorBidi"/>
          <w:noProof/>
          <w:color w:val="auto"/>
          <w:kern w:val="2"/>
          <w:sz w:val="24"/>
          <w:lang w:eastAsia="en-AU"/>
          <w14:ligatures w14:val="standardContextual"/>
        </w:rPr>
      </w:pPr>
      <w:r w:rsidRPr="00F24EA0">
        <w:rPr>
          <w:noProof/>
        </w:rPr>
        <w:t>3.3.</w:t>
      </w:r>
      <w:r>
        <w:rPr>
          <w:rFonts w:eastAsiaTheme="minorEastAsia" w:cstheme="minorBidi"/>
          <w:noProof/>
          <w:color w:val="auto"/>
          <w:kern w:val="2"/>
          <w:sz w:val="24"/>
          <w:lang w:eastAsia="en-AU"/>
          <w14:ligatures w14:val="standardContextual"/>
        </w:rPr>
        <w:tab/>
      </w:r>
      <w:r w:rsidRPr="00F24EA0">
        <w:rPr>
          <w:noProof/>
        </w:rPr>
        <w:t>Acknowledging validations</w:t>
      </w:r>
      <w:r>
        <w:rPr>
          <w:noProof/>
        </w:rPr>
        <w:tab/>
      </w:r>
      <w:r>
        <w:rPr>
          <w:noProof/>
        </w:rPr>
        <w:fldChar w:fldCharType="begin"/>
      </w:r>
      <w:r>
        <w:rPr>
          <w:noProof/>
        </w:rPr>
        <w:instrText xml:space="preserve"> PAGEREF _Toc235705183 \h </w:instrText>
      </w:r>
      <w:r>
        <w:rPr>
          <w:noProof/>
        </w:rPr>
      </w:r>
      <w:r>
        <w:rPr>
          <w:noProof/>
        </w:rPr>
        <w:fldChar w:fldCharType="separate"/>
      </w:r>
      <w:r>
        <w:rPr>
          <w:noProof/>
        </w:rPr>
        <w:t>6</w:t>
      </w:r>
      <w:r>
        <w:rPr>
          <w:noProof/>
        </w:rPr>
        <w:fldChar w:fldCharType="end"/>
      </w:r>
    </w:p>
    <w:p w14:paraId="497D53AD" w14:textId="6485C2DF" w:rsidR="00865A35" w:rsidRDefault="00865A35">
      <w:pPr>
        <w:pStyle w:val="TOC1"/>
        <w:tabs>
          <w:tab w:val="left" w:pos="440"/>
        </w:tabs>
        <w:rPr>
          <w:rFonts w:eastAsiaTheme="minorEastAsia" w:cstheme="minorBidi"/>
          <w:b w:val="0"/>
          <w:noProof/>
          <w:color w:val="auto"/>
          <w:kern w:val="2"/>
          <w:sz w:val="24"/>
          <w:lang w:eastAsia="en-AU"/>
          <w14:ligatures w14:val="standardContextual"/>
        </w:rPr>
      </w:pPr>
      <w:r>
        <w:rPr>
          <w:noProof/>
        </w:rPr>
        <w:t>4.</w:t>
      </w:r>
      <w:r>
        <w:rPr>
          <w:rFonts w:eastAsiaTheme="minorEastAsia" w:cstheme="minorBidi"/>
          <w:b w:val="0"/>
          <w:noProof/>
          <w:color w:val="auto"/>
          <w:kern w:val="2"/>
          <w:sz w:val="24"/>
          <w:lang w:eastAsia="en-AU"/>
          <w14:ligatures w14:val="standardContextual"/>
        </w:rPr>
        <w:tab/>
      </w:r>
      <w:r>
        <w:rPr>
          <w:noProof/>
        </w:rPr>
        <w:t>List of validation messages in EERS</w:t>
      </w:r>
      <w:r>
        <w:rPr>
          <w:noProof/>
        </w:rPr>
        <w:tab/>
      </w:r>
      <w:r>
        <w:rPr>
          <w:noProof/>
        </w:rPr>
        <w:fldChar w:fldCharType="begin"/>
      </w:r>
      <w:r>
        <w:rPr>
          <w:noProof/>
        </w:rPr>
        <w:instrText xml:space="preserve"> PAGEREF _Toc235705184 \h </w:instrText>
      </w:r>
      <w:r>
        <w:rPr>
          <w:noProof/>
        </w:rPr>
      </w:r>
      <w:r>
        <w:rPr>
          <w:noProof/>
        </w:rPr>
        <w:fldChar w:fldCharType="separate"/>
      </w:r>
      <w:r>
        <w:rPr>
          <w:noProof/>
        </w:rPr>
        <w:t>7</w:t>
      </w:r>
      <w:r>
        <w:rPr>
          <w:noProof/>
        </w:rPr>
        <w:fldChar w:fldCharType="end"/>
      </w:r>
    </w:p>
    <w:p w14:paraId="67FFFAA6" w14:textId="47923D7E" w:rsidR="00865A35" w:rsidRDefault="00865A35">
      <w:pPr>
        <w:pStyle w:val="TOC3"/>
        <w:rPr>
          <w:rFonts w:eastAsiaTheme="minorEastAsia" w:cstheme="minorBidi"/>
          <w:noProof/>
          <w:color w:val="auto"/>
          <w:kern w:val="2"/>
          <w:sz w:val="24"/>
          <w:lang w:eastAsia="en-AU"/>
          <w14:ligatures w14:val="standardContextual"/>
        </w:rPr>
      </w:pPr>
      <w:r w:rsidRPr="00F24EA0">
        <w:rPr>
          <w:noProof/>
          <w:lang w:val="en-GB"/>
        </w:rPr>
        <w:t xml:space="preserve">Electricity </w:t>
      </w:r>
      <w:r>
        <w:rPr>
          <w:noProof/>
        </w:rPr>
        <w:t>production</w:t>
      </w:r>
      <w:r>
        <w:rPr>
          <w:noProof/>
        </w:rPr>
        <w:tab/>
      </w:r>
      <w:r>
        <w:rPr>
          <w:noProof/>
        </w:rPr>
        <w:fldChar w:fldCharType="begin"/>
      </w:r>
      <w:r>
        <w:rPr>
          <w:noProof/>
        </w:rPr>
        <w:instrText xml:space="preserve"> PAGEREF _Toc235705185 \h </w:instrText>
      </w:r>
      <w:r>
        <w:rPr>
          <w:noProof/>
        </w:rPr>
      </w:r>
      <w:r>
        <w:rPr>
          <w:noProof/>
        </w:rPr>
        <w:fldChar w:fldCharType="separate"/>
      </w:r>
      <w:r>
        <w:rPr>
          <w:noProof/>
        </w:rPr>
        <w:t>7</w:t>
      </w:r>
      <w:r>
        <w:rPr>
          <w:noProof/>
        </w:rPr>
        <w:fldChar w:fldCharType="end"/>
      </w:r>
    </w:p>
    <w:p w14:paraId="623F943C" w14:textId="56F7B054" w:rsidR="00865A35" w:rsidRDefault="00865A35">
      <w:pPr>
        <w:pStyle w:val="TOC3"/>
        <w:rPr>
          <w:rFonts w:eastAsiaTheme="minorEastAsia" w:cstheme="minorBidi"/>
          <w:noProof/>
          <w:color w:val="auto"/>
          <w:kern w:val="2"/>
          <w:sz w:val="24"/>
          <w:lang w:eastAsia="en-AU"/>
          <w14:ligatures w14:val="standardContextual"/>
        </w:rPr>
      </w:pPr>
      <w:r w:rsidRPr="00F24EA0">
        <w:rPr>
          <w:noProof/>
          <w:lang w:val="en-GB"/>
        </w:rPr>
        <w:t>Electricity consumption</w:t>
      </w:r>
      <w:r>
        <w:rPr>
          <w:noProof/>
        </w:rPr>
        <w:tab/>
      </w:r>
      <w:r>
        <w:rPr>
          <w:noProof/>
        </w:rPr>
        <w:fldChar w:fldCharType="begin"/>
      </w:r>
      <w:r>
        <w:rPr>
          <w:noProof/>
        </w:rPr>
        <w:instrText xml:space="preserve"> PAGEREF _Toc235705186 \h </w:instrText>
      </w:r>
      <w:r>
        <w:rPr>
          <w:noProof/>
        </w:rPr>
      </w:r>
      <w:r>
        <w:rPr>
          <w:noProof/>
        </w:rPr>
        <w:fldChar w:fldCharType="separate"/>
      </w:r>
      <w:r>
        <w:rPr>
          <w:noProof/>
        </w:rPr>
        <w:t>8</w:t>
      </w:r>
      <w:r>
        <w:rPr>
          <w:noProof/>
        </w:rPr>
        <w:fldChar w:fldCharType="end"/>
      </w:r>
    </w:p>
    <w:p w14:paraId="3C26AB26" w14:textId="2F5B94FE" w:rsidR="00865A35" w:rsidRDefault="00865A35">
      <w:pPr>
        <w:pStyle w:val="TOC3"/>
        <w:rPr>
          <w:rFonts w:eastAsiaTheme="minorEastAsia" w:cstheme="minorBidi"/>
          <w:noProof/>
          <w:color w:val="auto"/>
          <w:kern w:val="2"/>
          <w:sz w:val="24"/>
          <w:lang w:eastAsia="en-AU"/>
          <w14:ligatures w14:val="standardContextual"/>
        </w:rPr>
      </w:pPr>
      <w:r w:rsidRPr="00F24EA0">
        <w:rPr>
          <w:noProof/>
          <w:lang w:val="en-GB"/>
        </w:rPr>
        <w:t>Market-based scope 2 emissions</w:t>
      </w:r>
      <w:r>
        <w:rPr>
          <w:noProof/>
        </w:rPr>
        <w:tab/>
      </w:r>
      <w:r>
        <w:rPr>
          <w:noProof/>
        </w:rPr>
        <w:fldChar w:fldCharType="begin"/>
      </w:r>
      <w:r>
        <w:rPr>
          <w:noProof/>
        </w:rPr>
        <w:instrText xml:space="preserve"> PAGEREF _Toc235705187 \h </w:instrText>
      </w:r>
      <w:r>
        <w:rPr>
          <w:noProof/>
        </w:rPr>
      </w:r>
      <w:r>
        <w:rPr>
          <w:noProof/>
        </w:rPr>
        <w:fldChar w:fldCharType="separate"/>
      </w:r>
      <w:r>
        <w:rPr>
          <w:noProof/>
        </w:rPr>
        <w:t>9</w:t>
      </w:r>
      <w:r>
        <w:rPr>
          <w:noProof/>
        </w:rPr>
        <w:fldChar w:fldCharType="end"/>
      </w:r>
    </w:p>
    <w:p w14:paraId="3280931E" w14:textId="3DE294F9" w:rsidR="00865A35" w:rsidRDefault="00865A35">
      <w:pPr>
        <w:pStyle w:val="TOC3"/>
        <w:rPr>
          <w:rFonts w:eastAsiaTheme="minorEastAsia" w:cstheme="minorBidi"/>
          <w:noProof/>
          <w:color w:val="auto"/>
          <w:kern w:val="2"/>
          <w:sz w:val="24"/>
          <w:lang w:eastAsia="en-AU"/>
          <w14:ligatures w14:val="standardContextual"/>
        </w:rPr>
      </w:pPr>
      <w:r>
        <w:rPr>
          <w:noProof/>
        </w:rPr>
        <w:t>Uncertainty</w:t>
      </w:r>
      <w:r>
        <w:rPr>
          <w:noProof/>
        </w:rPr>
        <w:tab/>
      </w:r>
      <w:r>
        <w:rPr>
          <w:noProof/>
        </w:rPr>
        <w:fldChar w:fldCharType="begin"/>
      </w:r>
      <w:r>
        <w:rPr>
          <w:noProof/>
        </w:rPr>
        <w:instrText xml:space="preserve"> PAGEREF _Toc235705188 \h </w:instrText>
      </w:r>
      <w:r>
        <w:rPr>
          <w:noProof/>
        </w:rPr>
      </w:r>
      <w:r>
        <w:rPr>
          <w:noProof/>
        </w:rPr>
        <w:fldChar w:fldCharType="separate"/>
      </w:r>
      <w:r>
        <w:rPr>
          <w:noProof/>
        </w:rPr>
        <w:t>11</w:t>
      </w:r>
      <w:r>
        <w:rPr>
          <w:noProof/>
        </w:rPr>
        <w:fldChar w:fldCharType="end"/>
      </w:r>
    </w:p>
    <w:p w14:paraId="0998B63A" w14:textId="37A97770" w:rsidR="00865A35" w:rsidRDefault="00865A35">
      <w:pPr>
        <w:pStyle w:val="TOC1"/>
        <w:tabs>
          <w:tab w:val="left" w:pos="440"/>
        </w:tabs>
        <w:rPr>
          <w:rFonts w:eastAsiaTheme="minorEastAsia" w:cstheme="minorBidi"/>
          <w:b w:val="0"/>
          <w:noProof/>
          <w:color w:val="auto"/>
          <w:kern w:val="2"/>
          <w:sz w:val="24"/>
          <w:lang w:eastAsia="en-AU"/>
          <w14:ligatures w14:val="standardContextual"/>
        </w:rPr>
      </w:pPr>
      <w:r w:rsidRPr="00F24EA0">
        <w:rPr>
          <w:noProof/>
          <w:lang w:val="en-GB"/>
        </w:rPr>
        <w:t>5.</w:t>
      </w:r>
      <w:r>
        <w:rPr>
          <w:rFonts w:eastAsiaTheme="minorEastAsia" w:cstheme="minorBidi"/>
          <w:b w:val="0"/>
          <w:noProof/>
          <w:color w:val="auto"/>
          <w:kern w:val="2"/>
          <w:sz w:val="24"/>
          <w:lang w:eastAsia="en-AU"/>
          <w14:ligatures w14:val="standardContextual"/>
        </w:rPr>
        <w:tab/>
      </w:r>
      <w:r w:rsidRPr="00F24EA0">
        <w:rPr>
          <w:noProof/>
          <w:lang w:val="en-GB"/>
        </w:rPr>
        <w:t xml:space="preserve">More </w:t>
      </w:r>
      <w:r>
        <w:rPr>
          <w:noProof/>
        </w:rPr>
        <w:t>information</w:t>
      </w:r>
      <w:r>
        <w:rPr>
          <w:noProof/>
        </w:rPr>
        <w:tab/>
      </w:r>
      <w:r>
        <w:rPr>
          <w:noProof/>
        </w:rPr>
        <w:fldChar w:fldCharType="begin"/>
      </w:r>
      <w:r>
        <w:rPr>
          <w:noProof/>
        </w:rPr>
        <w:instrText xml:space="preserve"> PAGEREF _Toc235705189 \h </w:instrText>
      </w:r>
      <w:r>
        <w:rPr>
          <w:noProof/>
        </w:rPr>
      </w:r>
      <w:r>
        <w:rPr>
          <w:noProof/>
        </w:rPr>
        <w:fldChar w:fldCharType="separate"/>
      </w:r>
      <w:r>
        <w:rPr>
          <w:noProof/>
        </w:rPr>
        <w:t>12</w:t>
      </w:r>
      <w:r>
        <w:rPr>
          <w:noProof/>
        </w:rPr>
        <w:fldChar w:fldCharType="end"/>
      </w:r>
    </w:p>
    <w:p w14:paraId="074E4271" w14:textId="429377C2" w:rsidR="00531AE9" w:rsidRDefault="00235142" w:rsidP="00C24AC3">
      <w:r>
        <w:fldChar w:fldCharType="end"/>
      </w:r>
    </w:p>
    <w:p w14:paraId="0E5C5A3D" w14:textId="77777777" w:rsidR="00531AE9" w:rsidRDefault="00531AE9">
      <w:pPr>
        <w:spacing w:after="0"/>
      </w:pPr>
      <w:r>
        <w:br w:type="page"/>
      </w:r>
    </w:p>
    <w:p w14:paraId="3B504D84" w14:textId="36C7B02C" w:rsidR="004A5763" w:rsidRDefault="004A5763" w:rsidP="004A5763">
      <w:pPr>
        <w:pStyle w:val="Heading1"/>
        <w:rPr>
          <w:color w:val="auto"/>
          <w:szCs w:val="22"/>
          <w:lang w:val="en-GB" w:eastAsia="en-AU"/>
        </w:rPr>
      </w:pPr>
      <w:bookmarkStart w:id="3" w:name="_Toc106974705"/>
      <w:bookmarkStart w:id="4" w:name="_Toc235705176"/>
      <w:bookmarkStart w:id="5" w:name="_Hlk45530197"/>
      <w:bookmarkStart w:id="6" w:name="_Toc518477231"/>
      <w:r w:rsidRPr="009B1191">
        <w:rPr>
          <w:lang w:val="en-GB"/>
        </w:rPr>
        <w:lastRenderedPageBreak/>
        <w:t>Disclaimer</w:t>
      </w:r>
      <w:bookmarkEnd w:id="3"/>
      <w:bookmarkEnd w:id="4"/>
    </w:p>
    <w:p w14:paraId="12BAA4E9" w14:textId="117F265C" w:rsidR="004A5763" w:rsidRPr="000B3301" w:rsidRDefault="004A5763" w:rsidP="00AD1C47">
      <w:pPr>
        <w:autoSpaceDE w:val="0"/>
        <w:autoSpaceDN w:val="0"/>
        <w:adjustRightInd w:val="0"/>
        <w:spacing w:after="0"/>
        <w:rPr>
          <w:lang w:eastAsia="en-AU"/>
        </w:rPr>
      </w:pPr>
      <w:r w:rsidRPr="000B3301">
        <w:rPr>
          <w:lang w:eastAsia="en-AU"/>
        </w:rPr>
        <w:t>This</w:t>
      </w:r>
      <w:r w:rsidRPr="000B3301">
        <w:rPr>
          <w:i/>
          <w:iCs/>
          <w:lang w:eastAsia="en-AU"/>
        </w:rPr>
        <w:t xml:space="preserve"> </w:t>
      </w:r>
      <w:r w:rsidRPr="000B3301">
        <w:rPr>
          <w:lang w:eastAsia="en-AU"/>
        </w:rPr>
        <w:t>guideline has been developed by the Clean Energy Regulator (</w:t>
      </w:r>
      <w:r w:rsidR="2BA057E8" w:rsidRPr="000B3301">
        <w:rPr>
          <w:lang w:eastAsia="en-AU"/>
        </w:rPr>
        <w:t>CER</w:t>
      </w:r>
      <w:r w:rsidRPr="000B3301">
        <w:rPr>
          <w:lang w:eastAsia="en-AU"/>
        </w:rPr>
        <w:t xml:space="preserve">) to assist entities to comply with their reporting obligations under the </w:t>
      </w:r>
      <w:hyperlink r:id="rId22" w:tooltip="A link to the Australian Government legislation - the National Greenhouse and Energy reporting act 2007" w:history="1">
        <w:r w:rsidRPr="000B3301">
          <w:rPr>
            <w:rStyle w:val="Hyperlink"/>
            <w:i/>
            <w:iCs/>
            <w:lang w:eastAsia="en-AU"/>
          </w:rPr>
          <w:t>National Greenhouse and Energy Reporting Act 2007</w:t>
        </w:r>
      </w:hyperlink>
      <w:bookmarkStart w:id="7" w:name="_Ref105748531"/>
      <w:r w:rsidRPr="00A469D7">
        <w:rPr>
          <w:rStyle w:val="FootnoteReference"/>
          <w:color w:val="000000"/>
          <w:lang w:eastAsia="en-AU"/>
        </w:rPr>
        <w:footnoteReference w:id="2"/>
      </w:r>
      <w:bookmarkEnd w:id="7"/>
      <w:r w:rsidRPr="000B3301">
        <w:rPr>
          <w:i/>
          <w:iCs/>
          <w:lang w:eastAsia="en-AU"/>
        </w:rPr>
        <w:t xml:space="preserve"> </w:t>
      </w:r>
      <w:r w:rsidRPr="000B3301">
        <w:rPr>
          <w:iCs/>
          <w:lang w:eastAsia="en-AU"/>
        </w:rPr>
        <w:t>(NGER Act)</w:t>
      </w:r>
      <w:r w:rsidRPr="000B3301">
        <w:rPr>
          <w:i/>
          <w:iCs/>
          <w:lang w:eastAsia="en-AU"/>
        </w:rPr>
        <w:t xml:space="preserve"> </w:t>
      </w:r>
      <w:r w:rsidRPr="000B3301">
        <w:rPr>
          <w:lang w:eastAsia="en-AU"/>
        </w:rPr>
        <w:t>and associated legislation.</w:t>
      </w:r>
    </w:p>
    <w:p w14:paraId="1D553DF6" w14:textId="77777777" w:rsidR="004A5763" w:rsidRPr="000B3301" w:rsidRDefault="004A5763" w:rsidP="00AD1C47">
      <w:pPr>
        <w:autoSpaceDE w:val="0"/>
        <w:autoSpaceDN w:val="0"/>
        <w:adjustRightInd w:val="0"/>
        <w:spacing w:after="0"/>
        <w:rPr>
          <w:lang w:eastAsia="en-AU"/>
        </w:rPr>
      </w:pPr>
    </w:p>
    <w:p w14:paraId="6A36CC7F" w14:textId="59FCC05E" w:rsidR="004A5763" w:rsidRPr="000B3301" w:rsidRDefault="004A5763" w:rsidP="00AD1C47">
      <w:pPr>
        <w:autoSpaceDE w:val="0"/>
        <w:autoSpaceDN w:val="0"/>
        <w:adjustRightInd w:val="0"/>
        <w:spacing w:after="0"/>
        <w:rPr>
          <w:lang w:eastAsia="en-AU"/>
        </w:rPr>
      </w:pPr>
      <w:r w:rsidRPr="004C131A">
        <w:rPr>
          <w:lang w:eastAsia="en-AU"/>
        </w:rPr>
        <w:t>This guideline only applies to the 20</w:t>
      </w:r>
      <w:r w:rsidR="00613609">
        <w:rPr>
          <w:lang w:eastAsia="en-AU"/>
        </w:rPr>
        <w:t>2</w:t>
      </w:r>
      <w:r w:rsidR="002D5556">
        <w:rPr>
          <w:lang w:eastAsia="en-AU"/>
        </w:rPr>
        <w:t>5</w:t>
      </w:r>
      <w:r w:rsidRPr="004C131A">
        <w:rPr>
          <w:lang w:eastAsia="en-AU"/>
        </w:rPr>
        <w:t>–</w:t>
      </w:r>
      <w:r w:rsidR="00613609">
        <w:rPr>
          <w:lang w:eastAsia="en-AU"/>
        </w:rPr>
        <w:t>2</w:t>
      </w:r>
      <w:r w:rsidR="002D5556">
        <w:rPr>
          <w:lang w:eastAsia="en-AU"/>
        </w:rPr>
        <w:t>6</w:t>
      </w:r>
      <w:r w:rsidRPr="004C131A">
        <w:rPr>
          <w:lang w:eastAsia="en-AU"/>
        </w:rPr>
        <w:t xml:space="preserve"> NGER reporting year and should be read in conjunction with the NGER Act</w:t>
      </w:r>
      <w:r w:rsidRPr="00F049CE">
        <w:rPr>
          <w:lang w:eastAsia="en-AU"/>
        </w:rPr>
        <w:t xml:space="preserve">, </w:t>
      </w:r>
      <w:hyperlink r:id="rId23" w:tooltip="A link to the Australian Government legislation - the National Greenhouse and Energy regulations 2008" w:history="1">
        <w:r w:rsidRPr="00AD1C47">
          <w:rPr>
            <w:rStyle w:val="Hyperlink"/>
            <w:lang w:eastAsia="en-AU"/>
          </w:rPr>
          <w:t>National Greenhouse and Energy Regulations 2008</w:t>
        </w:r>
      </w:hyperlink>
      <w:r w:rsidRPr="00F049CE">
        <w:rPr>
          <w:rStyle w:val="FootnoteReference"/>
          <w:color w:val="000000"/>
          <w:lang w:eastAsia="en-AU"/>
        </w:rPr>
        <w:footnoteReference w:id="3"/>
      </w:r>
      <w:r w:rsidRPr="00F049CE">
        <w:rPr>
          <w:color w:val="000000"/>
          <w:lang w:eastAsia="en-AU"/>
        </w:rPr>
        <w:t xml:space="preserve"> (</w:t>
      </w:r>
      <w:r w:rsidRPr="00F049CE">
        <w:rPr>
          <w:lang w:eastAsia="en-AU"/>
        </w:rPr>
        <w:t xml:space="preserve">NGER Regulations), and </w:t>
      </w:r>
      <w:hyperlink r:id="rId24" w:tooltip="A link to the Australian Government legislation - the National Greenhouse and Energy Measurement Determination" w:history="1">
        <w:r w:rsidRPr="00AD1C47">
          <w:rPr>
            <w:rStyle w:val="Hyperlink"/>
            <w:lang w:eastAsia="en-AU"/>
          </w:rPr>
          <w:t>National Greenhouse and Energy Reporting (Measurement) Determination 2008</w:t>
        </w:r>
      </w:hyperlink>
      <w:r w:rsidRPr="00F049CE">
        <w:rPr>
          <w:rStyle w:val="FootnoteReference"/>
          <w:color w:val="000000"/>
          <w:lang w:eastAsia="en-AU"/>
        </w:rPr>
        <w:footnoteReference w:id="4"/>
      </w:r>
      <w:r w:rsidRPr="00F049CE">
        <w:rPr>
          <w:lang w:eastAsia="en-AU"/>
        </w:rPr>
        <w:t xml:space="preserve"> (NGER Measurement Determination), as in</w:t>
      </w:r>
      <w:r w:rsidRPr="004C131A">
        <w:rPr>
          <w:lang w:eastAsia="en-AU"/>
        </w:rPr>
        <w:t xml:space="preserve"> force for this reporting period. These</w:t>
      </w:r>
      <w:r w:rsidRPr="000B3301">
        <w:rPr>
          <w:lang w:eastAsia="en-AU"/>
        </w:rPr>
        <w:t xml:space="preserve"> laws and their interpretation are subject to change, which may affect the accuracy of the information contained in the guideline. </w:t>
      </w:r>
    </w:p>
    <w:p w14:paraId="535024F0" w14:textId="77777777" w:rsidR="004A5763" w:rsidRPr="000B3301" w:rsidRDefault="004A5763" w:rsidP="00AD1C47">
      <w:pPr>
        <w:autoSpaceDE w:val="0"/>
        <w:autoSpaceDN w:val="0"/>
        <w:adjustRightInd w:val="0"/>
        <w:spacing w:after="0"/>
        <w:rPr>
          <w:lang w:eastAsia="en-AU"/>
        </w:rPr>
      </w:pPr>
    </w:p>
    <w:p w14:paraId="44A5EE3E" w14:textId="306E3BA4" w:rsidR="004A5763" w:rsidRPr="000B3301" w:rsidRDefault="004A5763" w:rsidP="00AD1C47">
      <w:pPr>
        <w:autoSpaceDE w:val="0"/>
        <w:autoSpaceDN w:val="0"/>
        <w:adjustRightInd w:val="0"/>
        <w:spacing w:after="0"/>
        <w:rPr>
          <w:lang w:eastAsia="en-AU"/>
        </w:rPr>
      </w:pPr>
      <w:r w:rsidRPr="000B3301">
        <w:rPr>
          <w:lang w:eastAsia="en-AU"/>
        </w:rPr>
        <w:t>The guidance provided in this document is not exhaustive, nor does it consider all circumstances applicable to all entities. Th</w:t>
      </w:r>
      <w:r>
        <w:rPr>
          <w:lang w:eastAsia="en-AU"/>
        </w:rPr>
        <w:t>is</w:t>
      </w:r>
      <w:r w:rsidRPr="000B3301">
        <w:rPr>
          <w:lang w:eastAsia="en-AU"/>
        </w:rPr>
        <w:t xml:space="preserve"> </w:t>
      </w:r>
      <w:r>
        <w:rPr>
          <w:lang w:eastAsia="en-AU"/>
        </w:rPr>
        <w:t>guidance</w:t>
      </w:r>
      <w:r w:rsidRPr="000B3301">
        <w:rPr>
          <w:lang w:eastAsia="en-AU"/>
        </w:rPr>
        <w:t xml:space="preserve"> is not intended to comprehensively deal with its subject area, and it is not a substitute for independent legal advice. Although entities are not bound to follow the guidance provided in this document, they must ensure they meet their obligations under the </w:t>
      </w:r>
      <w:hyperlink r:id="rId25" w:tooltip="A link to the NGER scheme page of the Clean Energy Regulator website" w:history="1">
        <w:r w:rsidRPr="00452C2E">
          <w:rPr>
            <w:rStyle w:val="Hyperlink"/>
            <w:lang w:eastAsia="en-AU"/>
          </w:rPr>
          <w:t xml:space="preserve">National Greenhouse and Energy Reporting (NGER) </w:t>
        </w:r>
        <w:r w:rsidR="001F0B19">
          <w:rPr>
            <w:rStyle w:val="Hyperlink"/>
            <w:lang w:eastAsia="en-AU"/>
          </w:rPr>
          <w:t>S</w:t>
        </w:r>
        <w:r w:rsidRPr="00452C2E">
          <w:rPr>
            <w:rStyle w:val="Hyperlink"/>
            <w:lang w:eastAsia="en-AU"/>
          </w:rPr>
          <w:t>cheme</w:t>
        </w:r>
      </w:hyperlink>
      <w:r>
        <w:rPr>
          <w:rStyle w:val="FootnoteReference"/>
          <w:lang w:eastAsia="en-AU"/>
        </w:rPr>
        <w:footnoteReference w:id="5"/>
      </w:r>
      <w:r w:rsidRPr="000B3301">
        <w:rPr>
          <w:lang w:eastAsia="en-AU"/>
        </w:rPr>
        <w:t xml:space="preserve"> at all times. </w:t>
      </w:r>
      <w:r w:rsidR="6BB99C54" w:rsidRPr="000B3301">
        <w:rPr>
          <w:lang w:eastAsia="en-AU"/>
        </w:rPr>
        <w:t>CER</w:t>
      </w:r>
      <w:r w:rsidRPr="000B3301">
        <w:rPr>
          <w:lang w:eastAsia="en-AU"/>
        </w:rPr>
        <w:t xml:space="preserve"> encourages all users of this </w:t>
      </w:r>
      <w:r>
        <w:rPr>
          <w:lang w:eastAsia="en-AU"/>
        </w:rPr>
        <w:t>guidance</w:t>
      </w:r>
      <w:r w:rsidRPr="000B3301">
        <w:rPr>
          <w:lang w:eastAsia="en-AU"/>
        </w:rPr>
        <w:t xml:space="preserve"> to seek independent legal advice before taking any action or decision </w:t>
      </w:r>
      <w:proofErr w:type="gramStart"/>
      <w:r w:rsidRPr="000B3301">
        <w:rPr>
          <w:lang w:eastAsia="en-AU"/>
        </w:rPr>
        <w:t>on the basis of</w:t>
      </w:r>
      <w:proofErr w:type="gramEnd"/>
      <w:r w:rsidRPr="000B3301">
        <w:rPr>
          <w:lang w:eastAsia="en-AU"/>
        </w:rPr>
        <w:t xml:space="preserve"> this </w:t>
      </w:r>
      <w:r>
        <w:rPr>
          <w:lang w:eastAsia="en-AU"/>
        </w:rPr>
        <w:t>guidance</w:t>
      </w:r>
      <w:r w:rsidRPr="000B3301">
        <w:rPr>
          <w:lang w:eastAsia="en-AU"/>
        </w:rPr>
        <w:t>.</w:t>
      </w:r>
    </w:p>
    <w:p w14:paraId="2CB19F4F" w14:textId="77777777" w:rsidR="004A5763" w:rsidRPr="000B3301" w:rsidRDefault="004A5763" w:rsidP="00AD1C47">
      <w:pPr>
        <w:autoSpaceDE w:val="0"/>
        <w:autoSpaceDN w:val="0"/>
        <w:adjustRightInd w:val="0"/>
        <w:spacing w:after="0"/>
        <w:rPr>
          <w:lang w:eastAsia="en-AU"/>
        </w:rPr>
      </w:pPr>
    </w:p>
    <w:p w14:paraId="35396AEC" w14:textId="180B54DC" w:rsidR="004A5763" w:rsidRPr="000B3301" w:rsidRDefault="5012ED85" w:rsidP="00AD1C47">
      <w:pPr>
        <w:autoSpaceDE w:val="0"/>
        <w:autoSpaceDN w:val="0"/>
        <w:adjustRightInd w:val="0"/>
        <w:spacing w:after="0"/>
        <w:rPr>
          <w:lang w:eastAsia="en-AU"/>
        </w:rPr>
      </w:pPr>
      <w:r w:rsidRPr="07004A67">
        <w:rPr>
          <w:lang w:eastAsia="en-AU"/>
        </w:rPr>
        <w:t>CER</w:t>
      </w:r>
      <w:r w:rsidR="004A5763" w:rsidRPr="07004A67">
        <w:rPr>
          <w:lang w:eastAsia="en-AU"/>
        </w:rPr>
        <w:t xml:space="preserve"> and the Australian Government will not be liable for any loss or damage from any cause (including negligence) whether arising directly, </w:t>
      </w:r>
      <w:r w:rsidR="00EF75FA" w:rsidRPr="07004A67">
        <w:rPr>
          <w:lang w:eastAsia="en-AU"/>
        </w:rPr>
        <w:t>incidentally,</w:t>
      </w:r>
      <w:r w:rsidR="004A5763" w:rsidRPr="07004A67">
        <w:rPr>
          <w:lang w:eastAsia="en-AU"/>
        </w:rPr>
        <w:t xml:space="preserve"> or as consequential loss, out of or in connection with, any use of this guideline or reliance on it, for any purpose.</w:t>
      </w:r>
    </w:p>
    <w:p w14:paraId="76C7B5AD" w14:textId="77777777" w:rsidR="004A5763" w:rsidRPr="000B3301" w:rsidRDefault="004A5763" w:rsidP="00AD1C47">
      <w:pPr>
        <w:autoSpaceDE w:val="0"/>
        <w:autoSpaceDN w:val="0"/>
        <w:adjustRightInd w:val="0"/>
        <w:spacing w:after="0"/>
        <w:rPr>
          <w:lang w:eastAsia="en-AU"/>
        </w:rPr>
      </w:pPr>
    </w:p>
    <w:p w14:paraId="669194CC" w14:textId="4040825E" w:rsidR="004A5763" w:rsidRPr="00A82423" w:rsidRDefault="004A5763" w:rsidP="00AD1C47">
      <w:pPr>
        <w:spacing w:after="0"/>
      </w:pPr>
      <w:r w:rsidRPr="07004A67">
        <w:rPr>
          <w:lang w:eastAsia="en-AU"/>
        </w:rPr>
        <w:t xml:space="preserve">If an entity chooses to meet their obligations under the NGER </w:t>
      </w:r>
      <w:r w:rsidR="001F0B19">
        <w:rPr>
          <w:lang w:eastAsia="en-AU"/>
        </w:rPr>
        <w:t>S</w:t>
      </w:r>
      <w:r w:rsidRPr="07004A67">
        <w:rPr>
          <w:lang w:eastAsia="en-AU"/>
        </w:rPr>
        <w:t xml:space="preserve">cheme in a manner that is inconsistent with the guidance provided in this document, </w:t>
      </w:r>
      <w:r w:rsidR="5A153098" w:rsidRPr="07004A67">
        <w:rPr>
          <w:lang w:eastAsia="en-AU"/>
        </w:rPr>
        <w:t>CER</w:t>
      </w:r>
      <w:r w:rsidRPr="07004A67">
        <w:rPr>
          <w:lang w:eastAsia="en-AU"/>
        </w:rPr>
        <w:t>, or an independent auditor, may require the entity to demonstrate that they are compliant with requirements of the NGER Act, NGER Regulations, and/or the NGER Measurement Determination. Entities are responsible for determining their obligations under the law and for applying the law to their individual circumstances.</w:t>
      </w:r>
    </w:p>
    <w:bookmarkEnd w:id="5"/>
    <w:p w14:paraId="674CC9AE" w14:textId="77777777" w:rsidR="004A5763" w:rsidRPr="009B1191" w:rsidRDefault="004A5763" w:rsidP="004A5763">
      <w:pPr>
        <w:rPr>
          <w:rFonts w:eastAsia="Times New Roman"/>
          <w:kern w:val="32"/>
          <w:lang w:val="en-GB"/>
        </w:rPr>
      </w:pPr>
      <w:r w:rsidRPr="009B1191">
        <w:rPr>
          <w:lang w:val="en-GB"/>
        </w:rPr>
        <w:br w:type="page"/>
      </w:r>
    </w:p>
    <w:p w14:paraId="07E20370" w14:textId="172D6253" w:rsidR="004A5763" w:rsidRPr="00DC7153" w:rsidRDefault="00D122D1" w:rsidP="004A5763">
      <w:pPr>
        <w:pStyle w:val="Heading1"/>
      </w:pPr>
      <w:bookmarkStart w:id="8" w:name="_Toc106974706"/>
      <w:bookmarkStart w:id="9" w:name="_Toc235705177"/>
      <w:r>
        <w:lastRenderedPageBreak/>
        <w:t>202</w:t>
      </w:r>
      <w:r w:rsidR="00C868BB">
        <w:t>5</w:t>
      </w:r>
      <w:r>
        <w:t>–2</w:t>
      </w:r>
      <w:r w:rsidR="00C868BB">
        <w:t>6</w:t>
      </w:r>
      <w:r w:rsidR="004A5763" w:rsidRPr="00DC7153">
        <w:t xml:space="preserve"> updates</w:t>
      </w:r>
      <w:bookmarkEnd w:id="8"/>
      <w:bookmarkEnd w:id="9"/>
    </w:p>
    <w:p w14:paraId="04AAA766" w14:textId="2320871A" w:rsidR="004A5763" w:rsidRPr="00DC7153" w:rsidRDefault="004A5763" w:rsidP="004A5763">
      <w:pPr>
        <w:rPr>
          <w:rFonts w:ascii="Calibri" w:hAnsi="Calibri" w:cs="Calibri"/>
          <w:color w:val="000000"/>
        </w:rPr>
      </w:pPr>
      <w:r w:rsidRPr="00DC7153">
        <w:rPr>
          <w:rFonts w:ascii="Calibri" w:hAnsi="Calibri" w:cs="Calibri"/>
          <w:color w:val="000000"/>
        </w:rPr>
        <w:t>Changes in this document for the 202</w:t>
      </w:r>
      <w:r w:rsidR="00C868BB">
        <w:rPr>
          <w:rFonts w:ascii="Calibri" w:hAnsi="Calibri" w:cs="Calibri"/>
          <w:color w:val="000000"/>
        </w:rPr>
        <w:t>5</w:t>
      </w:r>
      <w:r w:rsidRPr="00DC7153">
        <w:rPr>
          <w:rFonts w:ascii="Calibri" w:hAnsi="Calibri" w:cs="Calibri"/>
          <w:color w:val="000000"/>
        </w:rPr>
        <w:t>–2</w:t>
      </w:r>
      <w:r w:rsidR="00C868BB">
        <w:rPr>
          <w:rFonts w:ascii="Calibri" w:hAnsi="Calibri" w:cs="Calibri"/>
          <w:color w:val="000000"/>
        </w:rPr>
        <w:t>6</w:t>
      </w:r>
      <w:r w:rsidRPr="00DC7153">
        <w:rPr>
          <w:rFonts w:ascii="Calibri" w:hAnsi="Calibri" w:cs="Calibri"/>
          <w:color w:val="000000"/>
        </w:rPr>
        <w:t xml:space="preserve"> reporting year:</w:t>
      </w:r>
    </w:p>
    <w:p w14:paraId="2EBBDB88" w14:textId="39388524" w:rsidR="002D1570" w:rsidRPr="002D1570" w:rsidRDefault="00034101" w:rsidP="00E752C6">
      <w:pPr>
        <w:pStyle w:val="CERbullets"/>
        <w:rPr>
          <w:rStyle w:val="scxw12649272"/>
          <w:color w:val="000000" w:themeColor="text1"/>
        </w:rPr>
      </w:pPr>
      <w:r w:rsidRPr="00E752C6">
        <w:rPr>
          <w:rStyle w:val="scxw12649272"/>
        </w:rPr>
        <w:t>Chapter 4</w:t>
      </w:r>
      <w:r w:rsidR="004C3A1F">
        <w:rPr>
          <w:rStyle w:val="scxw12649272"/>
        </w:rPr>
        <w:t xml:space="preserve">: </w:t>
      </w:r>
      <w:r w:rsidRPr="00E752C6">
        <w:t>added two</w:t>
      </w:r>
      <w:r w:rsidRPr="00E752C6">
        <w:rPr>
          <w:rStyle w:val="scxw12649272"/>
        </w:rPr>
        <w:t xml:space="preserve"> market-based scope 2 emissions validations</w:t>
      </w:r>
      <w:r w:rsidR="00C63029">
        <w:rPr>
          <w:rStyle w:val="scxw12649272"/>
        </w:rPr>
        <w:t>.</w:t>
      </w:r>
    </w:p>
    <w:p w14:paraId="4921B18E" w14:textId="0683D6A1" w:rsidR="00D77B26" w:rsidRPr="002D1570" w:rsidRDefault="008578D3" w:rsidP="00FB57D1">
      <w:pPr>
        <w:pStyle w:val="CERbullets"/>
      </w:pPr>
      <w:r w:rsidRPr="00E752C6">
        <w:rPr>
          <w:rStyle w:val="normaltextrun"/>
        </w:rPr>
        <w:t xml:space="preserve">Minor stylistic and formatting changes have </w:t>
      </w:r>
      <w:r w:rsidR="00E752C6">
        <w:rPr>
          <w:rStyle w:val="normaltextrun"/>
        </w:rPr>
        <w:t xml:space="preserve">also </w:t>
      </w:r>
      <w:r w:rsidRPr="00E752C6">
        <w:rPr>
          <w:rStyle w:val="normaltextrun"/>
        </w:rPr>
        <w:t>been made to this document.</w:t>
      </w:r>
      <w:r w:rsidRPr="00E752C6">
        <w:rPr>
          <w:rStyle w:val="scxw12649272"/>
        </w:rPr>
        <w:t> </w:t>
      </w:r>
    </w:p>
    <w:p w14:paraId="2CA58115" w14:textId="3B15376B" w:rsidR="00D77B26" w:rsidRDefault="00D77B26" w:rsidP="00E752C6">
      <w:pPr>
        <w:pStyle w:val="paragraph"/>
        <w:spacing w:before="360" w:beforeAutospacing="0" w:after="0" w:afterAutospacing="0"/>
        <w:textAlignment w:val="baseline"/>
        <w:rPr>
          <w:rFonts w:ascii="Calibri" w:hAnsi="Calibri" w:cs="Calibri"/>
          <w:sz w:val="22"/>
          <w:szCs w:val="22"/>
        </w:rPr>
      </w:pPr>
      <w:r>
        <w:rPr>
          <w:rStyle w:val="normaltextrun"/>
          <w:rFonts w:ascii="Calibri" w:eastAsiaTheme="minorEastAsia" w:hAnsi="Calibri" w:cs="Calibri"/>
          <w:sz w:val="22"/>
        </w:rPr>
        <w:t xml:space="preserve">Read about the </w:t>
      </w:r>
      <w:hyperlink r:id="rId26" w:tooltip="A link to the NGER amendments page of the Clean Energy Regulator website" w:history="1">
        <w:r w:rsidR="00A01281" w:rsidRPr="00A01281">
          <w:rPr>
            <w:rStyle w:val="Hyperlink"/>
            <w:rFonts w:eastAsiaTheme="minorEastAsia" w:cs="Calibri"/>
          </w:rPr>
          <w:t xml:space="preserve">changes to the NGER Legislation for the </w:t>
        </w:r>
        <w:r w:rsidR="00D122D1">
          <w:rPr>
            <w:rStyle w:val="Hyperlink"/>
            <w:rFonts w:eastAsiaTheme="minorEastAsia" w:cs="Calibri"/>
          </w:rPr>
          <w:t>202</w:t>
        </w:r>
        <w:r w:rsidR="00A72457">
          <w:rPr>
            <w:rStyle w:val="Hyperlink"/>
            <w:rFonts w:eastAsiaTheme="minorEastAsia" w:cs="Calibri"/>
          </w:rPr>
          <w:t>5</w:t>
        </w:r>
        <w:r w:rsidR="00D122D1">
          <w:rPr>
            <w:rStyle w:val="Hyperlink"/>
            <w:rFonts w:eastAsiaTheme="minorEastAsia" w:cs="Calibri"/>
          </w:rPr>
          <w:t>–2</w:t>
        </w:r>
        <w:r w:rsidR="00A72457">
          <w:rPr>
            <w:rStyle w:val="Hyperlink"/>
            <w:rFonts w:eastAsiaTheme="minorEastAsia" w:cs="Calibri"/>
          </w:rPr>
          <w:t>6</w:t>
        </w:r>
        <w:r w:rsidR="00A01281" w:rsidRPr="00A01281">
          <w:rPr>
            <w:rStyle w:val="Hyperlink"/>
            <w:rFonts w:eastAsiaTheme="minorEastAsia" w:cs="Calibri"/>
          </w:rPr>
          <w:t xml:space="preserve"> reporting period</w:t>
        </w:r>
        <w:r w:rsidR="00C83115">
          <w:rPr>
            <w:rStyle w:val="FootnoteReference"/>
            <w:rFonts w:ascii="Calibri" w:eastAsiaTheme="minorEastAsia" w:hAnsi="Calibri" w:cs="Calibri"/>
            <w:color w:val="006C93" w:themeColor="accent3"/>
            <w:sz w:val="22"/>
            <w:u w:val="single"/>
          </w:rPr>
          <w:footnoteReference w:id="6"/>
        </w:r>
        <w:r w:rsidR="00A01281" w:rsidRPr="00A01281">
          <w:rPr>
            <w:rStyle w:val="Hyperlink"/>
            <w:rFonts w:eastAsiaTheme="minorEastAsia" w:cs="Calibri"/>
          </w:rPr>
          <w:t>.</w:t>
        </w:r>
      </w:hyperlink>
    </w:p>
    <w:p w14:paraId="7FBF9BB3" w14:textId="77777777" w:rsidR="004A5763" w:rsidRPr="009B1191" w:rsidRDefault="004A5763" w:rsidP="008578D3">
      <w:pPr>
        <w:pStyle w:val="Heading1"/>
        <w:numPr>
          <w:ilvl w:val="0"/>
          <w:numId w:val="41"/>
        </w:numPr>
        <w:rPr>
          <w:lang w:val="en-GB"/>
        </w:rPr>
      </w:pPr>
      <w:bookmarkStart w:id="10" w:name="_Toc106974707"/>
      <w:bookmarkStart w:id="11" w:name="_Toc235705178"/>
      <w:bookmarkEnd w:id="6"/>
      <w:r w:rsidRPr="009D2C6C">
        <w:t>Introduction</w:t>
      </w:r>
      <w:bookmarkEnd w:id="10"/>
      <w:bookmarkEnd w:id="11"/>
    </w:p>
    <w:p w14:paraId="74C510FE" w14:textId="05EC70D4" w:rsidR="004A5763" w:rsidRPr="009B1191" w:rsidRDefault="004A5763" w:rsidP="00FD0FF6">
      <w:pPr>
        <w:spacing w:before="240"/>
        <w:rPr>
          <w:lang w:val="en-GB"/>
        </w:rPr>
      </w:pPr>
      <w:r w:rsidRPr="009B1191">
        <w:rPr>
          <w:lang w:val="en-GB"/>
        </w:rPr>
        <w:t xml:space="preserve">This guide aims to assist reporting entities to further understand and comply with their legal obligations for reporting emissions and energy data through providing general information about validation </w:t>
      </w:r>
      <w:r w:rsidR="008D04EB">
        <w:rPr>
          <w:lang w:val="en-GB"/>
        </w:rPr>
        <w:t>messages</w:t>
      </w:r>
      <w:r>
        <w:rPr>
          <w:lang w:val="en-GB"/>
        </w:rPr>
        <w:t xml:space="preserve"> </w:t>
      </w:r>
      <w:r w:rsidRPr="009B1191">
        <w:rPr>
          <w:lang w:val="en-GB"/>
        </w:rPr>
        <w:t xml:space="preserve">in the </w:t>
      </w:r>
      <w:bookmarkStart w:id="12" w:name="_Hlk48740090"/>
      <w:r w:rsidR="00F02765">
        <w:fldChar w:fldCharType="begin"/>
      </w:r>
      <w:r w:rsidR="00F02765">
        <w:instrText>HYPERLINK "https://cer.gov.au/online-systems" \l "emissions-and-energy-reporting-system"</w:instrText>
      </w:r>
      <w:r w:rsidR="00F02765">
        <w:fldChar w:fldCharType="separate"/>
      </w:r>
      <w:r w:rsidRPr="00E752C6">
        <w:rPr>
          <w:rStyle w:val="Hyperlink"/>
          <w:rFonts w:asciiTheme="minorHAnsi" w:hAnsiTheme="minorHAnsi"/>
        </w:rPr>
        <w:t>Emissions and Energy Reporting System</w:t>
      </w:r>
      <w:bookmarkEnd w:id="12"/>
      <w:r w:rsidR="00F02765">
        <w:fldChar w:fldCharType="end"/>
      </w:r>
      <w:r>
        <w:rPr>
          <w:rStyle w:val="FootnoteReference"/>
          <w:color w:val="005874"/>
          <w:u w:val="single"/>
          <w:lang w:val="en-GB"/>
        </w:rPr>
        <w:footnoteReference w:id="7"/>
      </w:r>
      <w:r>
        <w:rPr>
          <w:lang w:val="en-GB"/>
        </w:rPr>
        <w:t xml:space="preserve"> (EERS)</w:t>
      </w:r>
      <w:r w:rsidRPr="009B1191">
        <w:rPr>
          <w:lang w:val="en-GB"/>
        </w:rPr>
        <w:t xml:space="preserve">. </w:t>
      </w:r>
      <w:r>
        <w:rPr>
          <w:lang w:val="en-GB"/>
        </w:rPr>
        <w:t xml:space="preserve">EERS is the system reporters use to </w:t>
      </w:r>
      <w:r w:rsidRPr="008C791D">
        <w:rPr>
          <w:lang w:val="en-GB"/>
        </w:rPr>
        <w:t xml:space="preserve">comply with legislative requirements </w:t>
      </w:r>
      <w:r>
        <w:rPr>
          <w:lang w:val="en-GB"/>
        </w:rPr>
        <w:t xml:space="preserve">for reporting annual emissions and energy data under the </w:t>
      </w:r>
      <w:r w:rsidR="0003674E">
        <w:rPr>
          <w:lang w:val="en-GB"/>
        </w:rPr>
        <w:t xml:space="preserve">National Greenhouse and Energy </w:t>
      </w:r>
      <w:r w:rsidR="003458AB">
        <w:rPr>
          <w:lang w:val="en-GB"/>
        </w:rPr>
        <w:t xml:space="preserve">Reporting </w:t>
      </w:r>
      <w:r w:rsidR="0003674E">
        <w:rPr>
          <w:lang w:val="en-GB"/>
        </w:rPr>
        <w:t>(</w:t>
      </w:r>
      <w:r>
        <w:rPr>
          <w:lang w:val="en-GB"/>
        </w:rPr>
        <w:t>NGER</w:t>
      </w:r>
      <w:r w:rsidR="0003674E">
        <w:rPr>
          <w:lang w:val="en-GB"/>
        </w:rPr>
        <w:t>)</w:t>
      </w:r>
      <w:r>
        <w:rPr>
          <w:lang w:val="en-GB"/>
        </w:rPr>
        <w:t xml:space="preserve"> Scheme.</w:t>
      </w:r>
    </w:p>
    <w:p w14:paraId="4729E0ED" w14:textId="51E4FFA0" w:rsidR="004A5763" w:rsidRPr="009D2C6C" w:rsidRDefault="004A5763" w:rsidP="00FD0FF6">
      <w:pPr>
        <w:pStyle w:val="Heading1"/>
        <w:numPr>
          <w:ilvl w:val="0"/>
          <w:numId w:val="41"/>
        </w:numPr>
      </w:pPr>
      <w:bookmarkStart w:id="13" w:name="_Toc106974708"/>
      <w:bookmarkStart w:id="14" w:name="_Toc235705179"/>
      <w:r w:rsidRPr="009D2C6C">
        <w:t>Complying with</w:t>
      </w:r>
      <w:r w:rsidR="0003674E">
        <w:t xml:space="preserve"> the</w:t>
      </w:r>
      <w:r w:rsidRPr="009D2C6C">
        <w:t xml:space="preserve"> </w:t>
      </w:r>
      <w:r w:rsidRPr="00AD4AB0">
        <w:t>NGER</w:t>
      </w:r>
      <w:bookmarkEnd w:id="13"/>
      <w:r w:rsidR="0003674E">
        <w:t xml:space="preserve"> Scheme</w:t>
      </w:r>
      <w:bookmarkEnd w:id="14"/>
    </w:p>
    <w:p w14:paraId="2CA6B94B" w14:textId="4FDCF72A" w:rsidR="004A5763" w:rsidRPr="009B1191" w:rsidRDefault="39F87142" w:rsidP="00D35E8F">
      <w:pPr>
        <w:spacing w:before="120"/>
        <w:rPr>
          <w:lang w:val="en-GB"/>
        </w:rPr>
      </w:pPr>
      <w:r w:rsidRPr="07004A67">
        <w:rPr>
          <w:lang w:val="en-GB"/>
        </w:rPr>
        <w:t>CER</w:t>
      </w:r>
      <w:r w:rsidR="004A5763" w:rsidRPr="00ED6074">
        <w:rPr>
          <w:lang w:val="en-GB"/>
        </w:rPr>
        <w:t xml:space="preserve"> has published a range of </w:t>
      </w:r>
      <w:r w:rsidR="009A272C" w:rsidRPr="00FB57D1">
        <w:t>resources</w:t>
      </w:r>
      <w:r w:rsidR="004A5763" w:rsidRPr="00ED6074">
        <w:rPr>
          <w:lang w:val="en-GB"/>
        </w:rPr>
        <w:t xml:space="preserve"> on </w:t>
      </w:r>
      <w:r w:rsidR="00673D8A">
        <w:rPr>
          <w:lang w:val="en-GB"/>
        </w:rPr>
        <w:t xml:space="preserve">the </w:t>
      </w:r>
      <w:hyperlink r:id="rId27" w:history="1">
        <w:r w:rsidR="00673D8A" w:rsidRPr="00673D8A">
          <w:rPr>
            <w:rStyle w:val="Hyperlink"/>
            <w:rFonts w:asciiTheme="minorHAnsi" w:hAnsiTheme="minorHAnsi"/>
            <w:lang w:val="en-GB"/>
          </w:rPr>
          <w:t>NGER reporter support dashboard</w:t>
        </w:r>
      </w:hyperlink>
      <w:r w:rsidR="009A272C">
        <w:rPr>
          <w:rStyle w:val="FootnoteReference"/>
          <w:lang w:val="en-GB"/>
        </w:rPr>
        <w:footnoteReference w:id="8"/>
      </w:r>
      <w:r w:rsidR="004A5763" w:rsidRPr="00ED6074">
        <w:rPr>
          <w:lang w:val="en-GB"/>
        </w:rPr>
        <w:t xml:space="preserve"> to help you to report </w:t>
      </w:r>
      <w:r w:rsidR="004A5763">
        <w:rPr>
          <w:lang w:val="en-GB"/>
        </w:rPr>
        <w:t xml:space="preserve">compliantly </w:t>
      </w:r>
      <w:r w:rsidR="004A5763" w:rsidRPr="00ED6074">
        <w:rPr>
          <w:lang w:val="en-GB"/>
        </w:rPr>
        <w:t>under the NGER Act.</w:t>
      </w:r>
      <w:r w:rsidR="004A5763">
        <w:rPr>
          <w:lang w:val="en-GB"/>
        </w:rPr>
        <w:t xml:space="preserve"> </w:t>
      </w:r>
      <w:r w:rsidR="004A5763" w:rsidRPr="009B1191">
        <w:rPr>
          <w:lang w:val="en-GB"/>
        </w:rPr>
        <w:t xml:space="preserve">Our approach </w:t>
      </w:r>
      <w:r w:rsidR="004A5763">
        <w:rPr>
          <w:lang w:val="en-GB"/>
        </w:rPr>
        <w:t xml:space="preserve">to compliance </w:t>
      </w:r>
      <w:r w:rsidR="004A5763" w:rsidRPr="009B1191">
        <w:rPr>
          <w:lang w:val="en-GB"/>
        </w:rPr>
        <w:t xml:space="preserve">is outlined in the </w:t>
      </w:r>
      <w:bookmarkStart w:id="15" w:name="_Hlk108024698"/>
      <w:r w:rsidR="00E7306A" w:rsidRPr="07004A67">
        <w:fldChar w:fldCharType="begin"/>
      </w:r>
      <w:r w:rsidR="00FC7DAD">
        <w:instrText>HYPERLINK "https://cer.gov.au/about-us/our-compliance-approach/compliance-policy-education-monitoring-and-enforcement-activities" \o "A link to the Compliance, education and enforcement policy page the Clean Energy Regulator website"</w:instrText>
      </w:r>
      <w:r w:rsidR="00E7306A" w:rsidRPr="07004A67">
        <w:fldChar w:fldCharType="separate"/>
      </w:r>
      <w:r w:rsidR="004A5763" w:rsidRPr="07004A67">
        <w:rPr>
          <w:rStyle w:val="Hyperlink"/>
          <w:rFonts w:asciiTheme="minorHAnsi" w:hAnsiTheme="minorHAnsi"/>
          <w:lang w:val="en-GB"/>
        </w:rPr>
        <w:t>compliance, education and enforcement policy</w:t>
      </w:r>
      <w:r w:rsidR="00E7306A" w:rsidRPr="07004A67">
        <w:rPr>
          <w:rStyle w:val="Hyperlink"/>
          <w:rFonts w:asciiTheme="minorHAnsi" w:hAnsiTheme="minorHAnsi"/>
          <w:lang w:val="en-GB"/>
        </w:rPr>
        <w:fldChar w:fldCharType="end"/>
      </w:r>
      <w:bookmarkEnd w:id="15"/>
      <w:r w:rsidR="00FA20C2" w:rsidRPr="5C925898">
        <w:rPr>
          <w:rStyle w:val="FootnoteReference"/>
          <w:color w:val="006C93" w:themeColor="accent3"/>
          <w:u w:val="single"/>
          <w:lang w:val="en-GB"/>
        </w:rPr>
        <w:footnoteReference w:id="9"/>
      </w:r>
      <w:r w:rsidR="004A5763" w:rsidRPr="009B1191">
        <w:rPr>
          <w:lang w:val="en-GB"/>
        </w:rPr>
        <w:t xml:space="preserve"> available on </w:t>
      </w:r>
      <w:r w:rsidR="004A5763">
        <w:rPr>
          <w:lang w:val="en-GB"/>
        </w:rPr>
        <w:t>our</w:t>
      </w:r>
      <w:r w:rsidR="004A5763" w:rsidRPr="009B1191">
        <w:rPr>
          <w:lang w:val="en-GB"/>
        </w:rPr>
        <w:t xml:space="preserve"> website.</w:t>
      </w:r>
    </w:p>
    <w:p w14:paraId="131F39E1" w14:textId="77777777" w:rsidR="004A5763" w:rsidRPr="009B1191" w:rsidRDefault="004A5763" w:rsidP="004A5763">
      <w:pPr>
        <w:rPr>
          <w:lang w:val="en-GB"/>
        </w:rPr>
      </w:pPr>
      <w:r w:rsidRPr="009B1191">
        <w:rPr>
          <w:lang w:val="en-GB"/>
        </w:rPr>
        <w:t>Corporations that fail to register and report or otherwise comply with their obligations may face significant penalties outlined in the NGER Act.</w:t>
      </w:r>
    </w:p>
    <w:p w14:paraId="62187DC8" w14:textId="5838E03E" w:rsidR="00E24EE0" w:rsidRDefault="004A5763" w:rsidP="00393C5A">
      <w:pPr>
        <w:pStyle w:val="Heading1"/>
        <w:numPr>
          <w:ilvl w:val="0"/>
          <w:numId w:val="41"/>
        </w:numPr>
        <w:rPr>
          <w:lang w:eastAsia="en-AU"/>
        </w:rPr>
      </w:pPr>
      <w:bookmarkStart w:id="16" w:name="_Toc106974709"/>
      <w:bookmarkStart w:id="17" w:name="_Toc235705180"/>
      <w:r w:rsidRPr="009D2C6C">
        <w:t>Validations</w:t>
      </w:r>
      <w:r w:rsidRPr="009B1191">
        <w:rPr>
          <w:lang w:val="en-GB"/>
        </w:rPr>
        <w:t xml:space="preserve"> in EERS</w:t>
      </w:r>
      <w:bookmarkEnd w:id="16"/>
      <w:bookmarkEnd w:id="17"/>
    </w:p>
    <w:p w14:paraId="183CC0B9" w14:textId="7582A7F8" w:rsidR="00C328FA" w:rsidRPr="00C328FA" w:rsidRDefault="00C328FA" w:rsidP="00D35E8F">
      <w:pPr>
        <w:spacing w:before="120" w:after="0"/>
        <w:rPr>
          <w:lang w:eastAsia="en-AU"/>
        </w:rPr>
      </w:pPr>
      <w:r w:rsidRPr="00C328FA">
        <w:rPr>
          <w:lang w:eastAsia="en-AU"/>
        </w:rPr>
        <w:t>Validation messages</w:t>
      </w:r>
      <w:r w:rsidR="007B0DFE">
        <w:rPr>
          <w:lang w:eastAsia="en-AU"/>
        </w:rPr>
        <w:t xml:space="preserve"> – </w:t>
      </w:r>
      <w:r w:rsidRPr="00C328FA">
        <w:rPr>
          <w:lang w:eastAsia="en-AU"/>
        </w:rPr>
        <w:t>referred to throughout this guideline as ‘validations’</w:t>
      </w:r>
      <w:r w:rsidR="007B0DFE">
        <w:rPr>
          <w:lang w:eastAsia="en-AU"/>
        </w:rPr>
        <w:t xml:space="preserve"> – </w:t>
      </w:r>
      <w:r w:rsidRPr="00C328FA">
        <w:rPr>
          <w:lang w:eastAsia="en-AU"/>
        </w:rPr>
        <w:t xml:space="preserve">are automated alerts generated by EERS. These </w:t>
      </w:r>
      <w:r w:rsidR="00A7147D">
        <w:rPr>
          <w:lang w:eastAsia="en-AU"/>
        </w:rPr>
        <w:t>messages</w:t>
      </w:r>
      <w:r w:rsidRPr="00C328FA">
        <w:rPr>
          <w:lang w:eastAsia="en-AU"/>
        </w:rPr>
        <w:t xml:space="preserve"> </w:t>
      </w:r>
      <w:r w:rsidR="00C579FC">
        <w:rPr>
          <w:lang w:eastAsia="en-AU"/>
        </w:rPr>
        <w:t>will appear</w:t>
      </w:r>
      <w:r w:rsidRPr="00C328FA">
        <w:rPr>
          <w:lang w:eastAsia="en-AU"/>
        </w:rPr>
        <w:t xml:space="preserve"> </w:t>
      </w:r>
      <w:r w:rsidR="00206788">
        <w:rPr>
          <w:lang w:eastAsia="en-AU"/>
        </w:rPr>
        <w:t>on the Validat</w:t>
      </w:r>
      <w:r w:rsidR="00474B11">
        <w:rPr>
          <w:lang w:eastAsia="en-AU"/>
        </w:rPr>
        <w:t>e</w:t>
      </w:r>
      <w:r w:rsidR="00206788">
        <w:rPr>
          <w:lang w:eastAsia="en-AU"/>
        </w:rPr>
        <w:t xml:space="preserve"> Page </w:t>
      </w:r>
      <w:r w:rsidRPr="00C328FA">
        <w:rPr>
          <w:lang w:eastAsia="en-AU"/>
        </w:rPr>
        <w:t xml:space="preserve">when </w:t>
      </w:r>
      <w:r w:rsidR="003A61D2">
        <w:rPr>
          <w:lang w:eastAsia="en-AU"/>
        </w:rPr>
        <w:t>EERS</w:t>
      </w:r>
      <w:r w:rsidRPr="00C328FA">
        <w:rPr>
          <w:lang w:eastAsia="en-AU"/>
        </w:rPr>
        <w:t xml:space="preserve"> identifies issues with the </w:t>
      </w:r>
      <w:r w:rsidR="00E83EB5">
        <w:rPr>
          <w:lang w:eastAsia="en-AU"/>
        </w:rPr>
        <w:t xml:space="preserve">entered </w:t>
      </w:r>
      <w:r w:rsidRPr="00C328FA">
        <w:rPr>
          <w:lang w:eastAsia="en-AU"/>
        </w:rPr>
        <w:t>data</w:t>
      </w:r>
      <w:r w:rsidR="00BE6331">
        <w:rPr>
          <w:lang w:eastAsia="en-AU"/>
        </w:rPr>
        <w:t xml:space="preserve"> entered</w:t>
      </w:r>
      <w:r w:rsidRPr="00C328FA">
        <w:rPr>
          <w:lang w:eastAsia="en-AU"/>
        </w:rPr>
        <w:t xml:space="preserve">. Validations are designed to assist </w:t>
      </w:r>
      <w:r w:rsidR="00E83EB5">
        <w:rPr>
          <w:lang w:eastAsia="en-AU"/>
        </w:rPr>
        <w:t>corporations</w:t>
      </w:r>
      <w:r w:rsidRPr="00C328FA">
        <w:rPr>
          <w:lang w:eastAsia="en-AU"/>
        </w:rPr>
        <w:t xml:space="preserve"> in submitting reports that comply with the requirements of the NGER Scheme and reduce the need for post-submission corrections.</w:t>
      </w:r>
      <w:r w:rsidR="003A61D2">
        <w:rPr>
          <w:lang w:eastAsia="en-AU"/>
        </w:rPr>
        <w:br/>
      </w:r>
    </w:p>
    <w:p w14:paraId="6DBA37B2" w14:textId="1E54469E" w:rsidR="00C328FA" w:rsidRPr="00C328FA" w:rsidRDefault="00A7147D" w:rsidP="00C328FA">
      <w:pPr>
        <w:spacing w:after="0"/>
        <w:rPr>
          <w:lang w:eastAsia="en-AU"/>
        </w:rPr>
      </w:pPr>
      <w:r>
        <w:rPr>
          <w:lang w:eastAsia="en-AU"/>
        </w:rPr>
        <w:t>Validations</w:t>
      </w:r>
      <w:r w:rsidR="00C328FA" w:rsidRPr="00C328FA">
        <w:rPr>
          <w:lang w:eastAsia="en-AU"/>
        </w:rPr>
        <w:t xml:space="preserve"> may arise </w:t>
      </w:r>
      <w:r w:rsidR="00955613">
        <w:rPr>
          <w:lang w:eastAsia="en-AU"/>
        </w:rPr>
        <w:t xml:space="preserve">for a range of </w:t>
      </w:r>
      <w:r w:rsidR="00474E27">
        <w:rPr>
          <w:lang w:eastAsia="en-AU"/>
        </w:rPr>
        <w:t>reasons</w:t>
      </w:r>
      <w:r w:rsidR="00955613">
        <w:rPr>
          <w:lang w:eastAsia="en-AU"/>
        </w:rPr>
        <w:t>,</w:t>
      </w:r>
      <w:r w:rsidR="00474E27">
        <w:rPr>
          <w:lang w:eastAsia="en-AU"/>
        </w:rPr>
        <w:t xml:space="preserve"> including</w:t>
      </w:r>
      <w:r w:rsidR="00C328FA" w:rsidRPr="00C328FA">
        <w:rPr>
          <w:lang w:eastAsia="en-AU"/>
        </w:rPr>
        <w:t>:</w:t>
      </w:r>
    </w:p>
    <w:p w14:paraId="1BF7943D" w14:textId="4AF6B98B" w:rsidR="00C328FA" w:rsidRPr="00C328FA" w:rsidRDefault="003145F7" w:rsidP="00C328FA">
      <w:pPr>
        <w:numPr>
          <w:ilvl w:val="0"/>
          <w:numId w:val="44"/>
        </w:numPr>
        <w:spacing w:after="0"/>
        <w:rPr>
          <w:lang w:eastAsia="en-AU"/>
        </w:rPr>
      </w:pPr>
      <w:r>
        <w:rPr>
          <w:lang w:eastAsia="en-AU"/>
        </w:rPr>
        <w:t>r</w:t>
      </w:r>
      <w:r w:rsidR="00C328FA" w:rsidRPr="00C328FA">
        <w:rPr>
          <w:lang w:eastAsia="en-AU"/>
        </w:rPr>
        <w:t xml:space="preserve">equired data has not been entered </w:t>
      </w:r>
    </w:p>
    <w:p w14:paraId="03FEA348" w14:textId="7638E834" w:rsidR="00C328FA" w:rsidRPr="00C328FA" w:rsidRDefault="003145F7" w:rsidP="00C328FA">
      <w:pPr>
        <w:numPr>
          <w:ilvl w:val="0"/>
          <w:numId w:val="44"/>
        </w:numPr>
        <w:spacing w:after="0"/>
        <w:rPr>
          <w:lang w:eastAsia="en-AU"/>
        </w:rPr>
      </w:pPr>
      <w:r>
        <w:rPr>
          <w:lang w:eastAsia="en-AU"/>
        </w:rPr>
        <w:t>d</w:t>
      </w:r>
      <w:r w:rsidR="00C328FA" w:rsidRPr="00C328FA">
        <w:rPr>
          <w:lang w:eastAsia="en-AU"/>
        </w:rPr>
        <w:t xml:space="preserve">ata has been entered incorrectly </w:t>
      </w:r>
    </w:p>
    <w:p w14:paraId="5ACAC0B2" w14:textId="00310383" w:rsidR="00C328FA" w:rsidRPr="00C328FA" w:rsidRDefault="003145F7" w:rsidP="00C328FA">
      <w:pPr>
        <w:numPr>
          <w:ilvl w:val="0"/>
          <w:numId w:val="44"/>
        </w:numPr>
        <w:spacing w:after="0"/>
        <w:rPr>
          <w:lang w:eastAsia="en-AU"/>
        </w:rPr>
      </w:pPr>
      <w:r>
        <w:rPr>
          <w:lang w:eastAsia="en-AU"/>
        </w:rPr>
        <w:t>d</w:t>
      </w:r>
      <w:r w:rsidR="00C328FA" w:rsidRPr="00C328FA">
        <w:rPr>
          <w:lang w:eastAsia="en-AU"/>
        </w:rPr>
        <w:t xml:space="preserve">ata appears inconsistent with other reported information </w:t>
      </w:r>
    </w:p>
    <w:p w14:paraId="2F4F47B4" w14:textId="73606C5D" w:rsidR="00C328FA" w:rsidRPr="00C328FA" w:rsidRDefault="003145F7" w:rsidP="00C328FA">
      <w:pPr>
        <w:numPr>
          <w:ilvl w:val="0"/>
          <w:numId w:val="44"/>
        </w:numPr>
        <w:spacing w:after="0"/>
        <w:rPr>
          <w:lang w:eastAsia="en-AU"/>
        </w:rPr>
      </w:pPr>
      <w:r>
        <w:rPr>
          <w:lang w:eastAsia="en-AU"/>
        </w:rPr>
        <w:t>t</w:t>
      </w:r>
      <w:r w:rsidR="00C328FA" w:rsidRPr="00C328FA">
        <w:rPr>
          <w:lang w:eastAsia="en-AU"/>
        </w:rPr>
        <w:t>hresholds or legislative requirements have not been met</w:t>
      </w:r>
    </w:p>
    <w:p w14:paraId="0F7E9278" w14:textId="552A1955" w:rsidR="00C328FA" w:rsidRDefault="003145F7" w:rsidP="00C328FA">
      <w:pPr>
        <w:numPr>
          <w:ilvl w:val="0"/>
          <w:numId w:val="44"/>
        </w:numPr>
        <w:spacing w:after="0"/>
        <w:rPr>
          <w:lang w:eastAsia="en-AU"/>
        </w:rPr>
      </w:pPr>
      <w:r>
        <w:rPr>
          <w:lang w:eastAsia="en-AU"/>
        </w:rPr>
        <w:t>u</w:t>
      </w:r>
      <w:r w:rsidR="00C328FA" w:rsidRPr="00C328FA">
        <w:rPr>
          <w:lang w:eastAsia="en-AU"/>
        </w:rPr>
        <w:t>ncertainty reporting is triggered but not completed</w:t>
      </w:r>
    </w:p>
    <w:p w14:paraId="41984D48" w14:textId="6DD0B379" w:rsidR="003A61D2" w:rsidRPr="00C328FA" w:rsidRDefault="003145F7" w:rsidP="00C328FA">
      <w:pPr>
        <w:numPr>
          <w:ilvl w:val="0"/>
          <w:numId w:val="44"/>
        </w:numPr>
        <w:spacing w:after="0"/>
        <w:rPr>
          <w:lang w:eastAsia="en-AU"/>
        </w:rPr>
      </w:pPr>
      <w:r>
        <w:rPr>
          <w:lang w:eastAsia="en-AU"/>
        </w:rPr>
        <w:t>s</w:t>
      </w:r>
      <w:r w:rsidR="003A61D2">
        <w:rPr>
          <w:lang w:eastAsia="en-AU"/>
        </w:rPr>
        <w:t xml:space="preserve">afeguard production variable reporting </w:t>
      </w:r>
      <w:r w:rsidR="00327099">
        <w:rPr>
          <w:lang w:eastAsia="en-AU"/>
        </w:rPr>
        <w:t>is triggered but not completed</w:t>
      </w:r>
      <w:r w:rsidR="0058540E">
        <w:rPr>
          <w:lang w:eastAsia="en-AU"/>
        </w:rPr>
        <w:t>.</w:t>
      </w:r>
      <w:r w:rsidR="002D1570">
        <w:rPr>
          <w:lang w:eastAsia="en-AU"/>
        </w:rPr>
        <w:br/>
      </w:r>
    </w:p>
    <w:p w14:paraId="45ECC6C2" w14:textId="651BEFC5" w:rsidR="004A5763" w:rsidRDefault="00C328FA">
      <w:pPr>
        <w:spacing w:after="0"/>
        <w:rPr>
          <w:lang w:eastAsia="en-AU"/>
        </w:rPr>
      </w:pPr>
      <w:r w:rsidRPr="00C328FA">
        <w:rPr>
          <w:lang w:eastAsia="en-AU"/>
        </w:rPr>
        <w:lastRenderedPageBreak/>
        <w:t>All validations must be addressed</w:t>
      </w:r>
      <w:r w:rsidR="000020BE">
        <w:rPr>
          <w:lang w:eastAsia="en-AU"/>
        </w:rPr>
        <w:t xml:space="preserve"> – </w:t>
      </w:r>
      <w:r w:rsidRPr="00C328FA">
        <w:rPr>
          <w:lang w:eastAsia="en-AU"/>
        </w:rPr>
        <w:t>either by correcting the data or acknowledging the message</w:t>
      </w:r>
      <w:r w:rsidR="000020BE">
        <w:rPr>
          <w:lang w:eastAsia="en-AU"/>
        </w:rPr>
        <w:t xml:space="preserve"> – </w:t>
      </w:r>
      <w:r w:rsidRPr="00C328FA">
        <w:rPr>
          <w:lang w:eastAsia="en-AU"/>
        </w:rPr>
        <w:t xml:space="preserve">before a report can be generated and submitted in EERS. </w:t>
      </w:r>
      <w:r w:rsidR="005372A3" w:rsidRPr="005372A3">
        <w:rPr>
          <w:lang w:eastAsia="en-AU"/>
        </w:rPr>
        <w:t>Addressing a validation enables submission of the report in EERS</w:t>
      </w:r>
      <w:r w:rsidR="00646B0F">
        <w:rPr>
          <w:lang w:eastAsia="en-AU"/>
        </w:rPr>
        <w:t>.</w:t>
      </w:r>
      <w:r w:rsidR="005372A3" w:rsidRPr="005372A3">
        <w:rPr>
          <w:lang w:eastAsia="en-AU"/>
        </w:rPr>
        <w:t xml:space="preserve"> </w:t>
      </w:r>
      <w:r w:rsidR="0036595A">
        <w:rPr>
          <w:lang w:eastAsia="en-AU"/>
        </w:rPr>
        <w:t>H</w:t>
      </w:r>
      <w:r w:rsidR="005372A3" w:rsidRPr="005372A3">
        <w:rPr>
          <w:lang w:eastAsia="en-AU"/>
        </w:rPr>
        <w:t>owever</w:t>
      </w:r>
      <w:r w:rsidR="0032303A">
        <w:rPr>
          <w:lang w:eastAsia="en-AU"/>
        </w:rPr>
        <w:t>,</w:t>
      </w:r>
      <w:r w:rsidR="005372A3" w:rsidRPr="005372A3">
        <w:rPr>
          <w:lang w:eastAsia="en-AU"/>
        </w:rPr>
        <w:t xml:space="preserve"> </w:t>
      </w:r>
      <w:r w:rsidR="00BB69AC">
        <w:rPr>
          <w:lang w:eastAsia="en-AU"/>
        </w:rPr>
        <w:t>this</w:t>
      </w:r>
      <w:r w:rsidR="005372A3" w:rsidRPr="005372A3">
        <w:rPr>
          <w:lang w:eastAsia="en-AU"/>
        </w:rPr>
        <w:t xml:space="preserve"> does not confirm the report is complete</w:t>
      </w:r>
      <w:r w:rsidR="00970992">
        <w:rPr>
          <w:lang w:eastAsia="en-AU"/>
        </w:rPr>
        <w:t xml:space="preserve">, </w:t>
      </w:r>
      <w:r w:rsidR="005372A3" w:rsidRPr="005372A3">
        <w:rPr>
          <w:lang w:eastAsia="en-AU"/>
        </w:rPr>
        <w:t>accurat</w:t>
      </w:r>
      <w:r w:rsidR="00970992">
        <w:rPr>
          <w:lang w:eastAsia="en-AU"/>
        </w:rPr>
        <w:t>e, or compliant with legislative requirements.</w:t>
      </w:r>
    </w:p>
    <w:p w14:paraId="25F82116" w14:textId="0DFEF0FB" w:rsidR="00AC01B2" w:rsidRDefault="00DE2243" w:rsidP="00FD0FF6">
      <w:pPr>
        <w:pStyle w:val="Heading2"/>
        <w:numPr>
          <w:ilvl w:val="1"/>
          <w:numId w:val="41"/>
        </w:numPr>
        <w:rPr>
          <w:lang w:eastAsia="en-AU"/>
        </w:rPr>
      </w:pPr>
      <w:bookmarkStart w:id="18" w:name="_Toc235705181"/>
      <w:r>
        <w:rPr>
          <w:lang w:eastAsia="en-AU"/>
        </w:rPr>
        <w:t>Navigating t</w:t>
      </w:r>
      <w:r w:rsidR="0030269A">
        <w:rPr>
          <w:lang w:eastAsia="en-AU"/>
        </w:rPr>
        <w:t>he Validate</w:t>
      </w:r>
      <w:r w:rsidR="00402B95">
        <w:rPr>
          <w:lang w:eastAsia="en-AU"/>
        </w:rPr>
        <w:t xml:space="preserve"> Page</w:t>
      </w:r>
      <w:bookmarkEnd w:id="18"/>
    </w:p>
    <w:p w14:paraId="780BB82A" w14:textId="77777777" w:rsidR="00892F22" w:rsidRDefault="00892F22">
      <w:pPr>
        <w:spacing w:after="0"/>
        <w:rPr>
          <w:lang w:eastAsia="en-AU"/>
        </w:rPr>
      </w:pPr>
    </w:p>
    <w:p w14:paraId="1539B7B0" w14:textId="29B754C5" w:rsidR="004B0518" w:rsidRPr="004B0518" w:rsidRDefault="004B0518" w:rsidP="004B0518">
      <w:pPr>
        <w:spacing w:after="0"/>
        <w:rPr>
          <w:lang w:eastAsia="en-AU"/>
        </w:rPr>
      </w:pPr>
      <w:r w:rsidRPr="004B0518">
        <w:rPr>
          <w:lang w:eastAsia="en-AU"/>
        </w:rPr>
        <w:t>The Validate Page in EERS is accessed via the ‘Function’ dropdown menu. It</w:t>
      </w:r>
      <w:r w:rsidR="00175469">
        <w:rPr>
          <w:lang w:eastAsia="en-AU"/>
        </w:rPr>
        <w:t xml:space="preserve"> </w:t>
      </w:r>
      <w:r w:rsidRPr="004B0518">
        <w:rPr>
          <w:lang w:eastAsia="en-AU"/>
        </w:rPr>
        <w:t>provides a central location for reviewing and managing validations. EERS checks data in real time for completeness, consistency with NGER legislation, and alignment with other reported activities.</w:t>
      </w:r>
    </w:p>
    <w:p w14:paraId="104D4A39" w14:textId="77777777" w:rsidR="004B0338" w:rsidRDefault="004B0338" w:rsidP="00E0241A">
      <w:pPr>
        <w:spacing w:after="0"/>
        <w:rPr>
          <w:lang w:eastAsia="en-AU"/>
        </w:rPr>
      </w:pPr>
    </w:p>
    <w:p w14:paraId="4EBE496F" w14:textId="54149FEE" w:rsidR="00446230" w:rsidRDefault="004B0518">
      <w:pPr>
        <w:spacing w:after="0"/>
        <w:rPr>
          <w:lang w:eastAsia="en-AU"/>
        </w:rPr>
      </w:pPr>
      <w:r>
        <w:rPr>
          <w:lang w:eastAsia="en-AU"/>
        </w:rPr>
        <w:t>Validations</w:t>
      </w:r>
      <w:r w:rsidR="00446230" w:rsidRPr="00446230">
        <w:rPr>
          <w:lang w:eastAsia="en-AU"/>
        </w:rPr>
        <w:t xml:space="preserve"> are </w:t>
      </w:r>
      <w:r>
        <w:rPr>
          <w:lang w:eastAsia="en-AU"/>
        </w:rPr>
        <w:t>grouped</w:t>
      </w:r>
      <w:r w:rsidR="00446230" w:rsidRPr="00446230">
        <w:rPr>
          <w:lang w:eastAsia="en-AU"/>
        </w:rPr>
        <w:t xml:space="preserve"> </w:t>
      </w:r>
      <w:r w:rsidR="008B2AF6">
        <w:rPr>
          <w:lang w:eastAsia="en-AU"/>
        </w:rPr>
        <w:t>into</w:t>
      </w:r>
      <w:r w:rsidR="00446230" w:rsidRPr="00446230">
        <w:rPr>
          <w:lang w:eastAsia="en-AU"/>
        </w:rPr>
        <w:t xml:space="preserve"> the following </w:t>
      </w:r>
      <w:r>
        <w:rPr>
          <w:lang w:eastAsia="en-AU"/>
        </w:rPr>
        <w:t>categories</w:t>
      </w:r>
      <w:r w:rsidR="00300F7F">
        <w:rPr>
          <w:lang w:eastAsia="en-AU"/>
        </w:rPr>
        <w:t>:</w:t>
      </w:r>
      <w:r w:rsidR="00446230" w:rsidRPr="00446230">
        <w:rPr>
          <w:lang w:eastAsia="en-AU"/>
        </w:rPr>
        <w:t xml:space="preserve"> </w:t>
      </w:r>
    </w:p>
    <w:p w14:paraId="3873C343" w14:textId="436E2993" w:rsidR="00446230" w:rsidRDefault="00446230" w:rsidP="00114EDD">
      <w:pPr>
        <w:pStyle w:val="CERbullets"/>
        <w:rPr>
          <w:lang w:eastAsia="en-AU"/>
        </w:rPr>
      </w:pPr>
      <w:r w:rsidRPr="00446230">
        <w:rPr>
          <w:lang w:eastAsia="en-AU"/>
        </w:rPr>
        <w:t xml:space="preserve">incomplete records </w:t>
      </w:r>
      <w:r w:rsidR="00FB30A2">
        <w:rPr>
          <w:lang w:eastAsia="en-AU"/>
        </w:rPr>
        <w:t xml:space="preserve">– missing required data </w:t>
      </w:r>
    </w:p>
    <w:p w14:paraId="0B19E80D" w14:textId="7D50C0C5" w:rsidR="00446230" w:rsidRDefault="00446230" w:rsidP="00114EDD">
      <w:pPr>
        <w:pStyle w:val="CERbullets"/>
        <w:rPr>
          <w:lang w:eastAsia="en-AU"/>
        </w:rPr>
      </w:pPr>
      <w:r w:rsidRPr="00446230">
        <w:rPr>
          <w:lang w:eastAsia="en-AU"/>
        </w:rPr>
        <w:t xml:space="preserve">safeguard production variables </w:t>
      </w:r>
      <w:r w:rsidR="00FB30A2">
        <w:rPr>
          <w:lang w:eastAsia="en-AU"/>
        </w:rPr>
        <w:t xml:space="preserve">– checks related to </w:t>
      </w:r>
      <w:r w:rsidR="00E964A3">
        <w:rPr>
          <w:lang w:eastAsia="en-AU"/>
        </w:rPr>
        <w:t>Safeguard</w:t>
      </w:r>
      <w:r w:rsidR="00FB30A2">
        <w:rPr>
          <w:lang w:eastAsia="en-AU"/>
        </w:rPr>
        <w:t xml:space="preserve"> Mechanism thresholds</w:t>
      </w:r>
    </w:p>
    <w:p w14:paraId="4609E9AC" w14:textId="4383F54D" w:rsidR="00446230" w:rsidRDefault="00446230" w:rsidP="00114EDD">
      <w:pPr>
        <w:pStyle w:val="CERbullets"/>
        <w:rPr>
          <w:lang w:eastAsia="en-AU"/>
        </w:rPr>
      </w:pPr>
      <w:r w:rsidRPr="00446230">
        <w:rPr>
          <w:lang w:eastAsia="en-AU"/>
        </w:rPr>
        <w:t xml:space="preserve">uncertainty </w:t>
      </w:r>
      <w:r w:rsidR="00FB30A2">
        <w:rPr>
          <w:lang w:eastAsia="en-AU"/>
        </w:rPr>
        <w:t>– triggered when emissions sources require uncertainty reporting</w:t>
      </w:r>
    </w:p>
    <w:p w14:paraId="35C3FBAD" w14:textId="68DF80C2" w:rsidR="00446230" w:rsidRDefault="00446230" w:rsidP="00114EDD">
      <w:pPr>
        <w:pStyle w:val="CERbullets"/>
        <w:rPr>
          <w:lang w:eastAsia="en-AU"/>
        </w:rPr>
      </w:pPr>
      <w:r w:rsidRPr="00446230">
        <w:rPr>
          <w:lang w:eastAsia="en-AU"/>
        </w:rPr>
        <w:t xml:space="preserve">small facility thresholds </w:t>
      </w:r>
      <w:r w:rsidR="00FB30A2">
        <w:rPr>
          <w:lang w:eastAsia="en-AU"/>
        </w:rPr>
        <w:t xml:space="preserve">– alerts when thresholds are not met or exceeded </w:t>
      </w:r>
    </w:p>
    <w:p w14:paraId="79C030CE" w14:textId="56EF63B3" w:rsidR="00446230" w:rsidRDefault="00446230" w:rsidP="00114EDD">
      <w:pPr>
        <w:pStyle w:val="CERbullets"/>
        <w:rPr>
          <w:lang w:eastAsia="en-AU"/>
        </w:rPr>
      </w:pPr>
      <w:r w:rsidRPr="00446230">
        <w:rPr>
          <w:lang w:eastAsia="en-AU"/>
        </w:rPr>
        <w:t>related activities</w:t>
      </w:r>
      <w:r w:rsidR="00FB30A2">
        <w:rPr>
          <w:lang w:eastAsia="en-AU"/>
        </w:rPr>
        <w:t xml:space="preserve"> – checks for consistency across linked activities. </w:t>
      </w:r>
    </w:p>
    <w:p w14:paraId="4649AF87" w14:textId="3F31252F" w:rsidR="00446230" w:rsidRDefault="00FD0FF6">
      <w:pPr>
        <w:spacing w:after="0"/>
        <w:rPr>
          <w:lang w:eastAsia="en-AU"/>
        </w:rPr>
      </w:pPr>
      <w:r>
        <w:rPr>
          <w:lang w:eastAsia="en-AU"/>
        </w:rPr>
        <w:t>U</w:t>
      </w:r>
      <w:r w:rsidR="00FB30A2">
        <w:rPr>
          <w:lang w:eastAsia="en-AU"/>
        </w:rPr>
        <w:t>p to</w:t>
      </w:r>
      <w:r w:rsidR="00556D0A">
        <w:rPr>
          <w:lang w:eastAsia="en-AU"/>
        </w:rPr>
        <w:t xml:space="preserve"> </w:t>
      </w:r>
      <w:r w:rsidR="00446230" w:rsidRPr="00446230">
        <w:rPr>
          <w:lang w:eastAsia="en-AU"/>
        </w:rPr>
        <w:t>25 validation</w:t>
      </w:r>
      <w:r w:rsidR="00DB7FB6">
        <w:rPr>
          <w:lang w:eastAsia="en-AU"/>
        </w:rPr>
        <w:t>s</w:t>
      </w:r>
      <w:r w:rsidR="00446230" w:rsidRPr="00446230">
        <w:rPr>
          <w:lang w:eastAsia="en-AU"/>
        </w:rPr>
        <w:t xml:space="preserve"> </w:t>
      </w:r>
      <w:r w:rsidR="00FB30A2">
        <w:rPr>
          <w:lang w:eastAsia="en-AU"/>
        </w:rPr>
        <w:t>are</w:t>
      </w:r>
      <w:r w:rsidR="00C62DA8">
        <w:rPr>
          <w:lang w:eastAsia="en-AU"/>
        </w:rPr>
        <w:t xml:space="preserve"> displayed </w:t>
      </w:r>
      <w:r w:rsidR="00446230" w:rsidRPr="00446230">
        <w:rPr>
          <w:lang w:eastAsia="en-AU"/>
        </w:rPr>
        <w:t xml:space="preserve">at a time. </w:t>
      </w:r>
      <w:r w:rsidR="005372F8" w:rsidRPr="007E7C40">
        <w:rPr>
          <w:lang w:eastAsia="en-AU"/>
        </w:rPr>
        <w:t>All validation</w:t>
      </w:r>
      <w:r w:rsidR="004413A5">
        <w:rPr>
          <w:lang w:eastAsia="en-AU"/>
        </w:rPr>
        <w:t>s</w:t>
      </w:r>
      <w:r w:rsidR="005372F8" w:rsidRPr="007E7C40">
        <w:rPr>
          <w:lang w:eastAsia="en-AU"/>
        </w:rPr>
        <w:t xml:space="preserve"> must be </w:t>
      </w:r>
      <w:proofErr w:type="gramStart"/>
      <w:r w:rsidR="005372F8" w:rsidRPr="007E7C40">
        <w:rPr>
          <w:lang w:eastAsia="en-AU"/>
        </w:rPr>
        <w:t>addressed  before</w:t>
      </w:r>
      <w:proofErr w:type="gramEnd"/>
      <w:r w:rsidR="005372F8" w:rsidRPr="007E7C40">
        <w:rPr>
          <w:lang w:eastAsia="en-AU"/>
        </w:rPr>
        <w:t xml:space="preserve"> an NGER report can be generated and submitted.</w:t>
      </w:r>
    </w:p>
    <w:p w14:paraId="164AA554" w14:textId="77777777" w:rsidR="004413A5" w:rsidRDefault="004413A5">
      <w:pPr>
        <w:spacing w:after="0"/>
        <w:rPr>
          <w:lang w:eastAsia="en-AU"/>
        </w:rPr>
      </w:pPr>
    </w:p>
    <w:p w14:paraId="2B672979" w14:textId="67E0A145" w:rsidR="00040E08" w:rsidRDefault="008C571E">
      <w:pPr>
        <w:spacing w:after="0"/>
        <w:rPr>
          <w:lang w:eastAsia="en-AU"/>
        </w:rPr>
      </w:pPr>
      <w:r>
        <w:rPr>
          <w:lang w:eastAsia="en-AU"/>
        </w:rPr>
        <w:t>For returning reporters</w:t>
      </w:r>
      <w:r w:rsidR="00C913C3">
        <w:rPr>
          <w:lang w:eastAsia="en-AU"/>
        </w:rPr>
        <w:t>,</w:t>
      </w:r>
      <w:r>
        <w:rPr>
          <w:lang w:eastAsia="en-AU"/>
        </w:rPr>
        <w:t xml:space="preserve"> </w:t>
      </w:r>
      <w:r w:rsidR="00F37255">
        <w:rPr>
          <w:lang w:eastAsia="en-AU"/>
        </w:rPr>
        <w:t xml:space="preserve">EERS workspaces </w:t>
      </w:r>
      <w:r w:rsidR="00271528">
        <w:rPr>
          <w:lang w:eastAsia="en-AU"/>
        </w:rPr>
        <w:t>will be</w:t>
      </w:r>
      <w:r w:rsidR="00F86917">
        <w:rPr>
          <w:lang w:eastAsia="en-AU"/>
        </w:rPr>
        <w:t xml:space="preserve"> pre-populated with </w:t>
      </w:r>
      <w:r w:rsidR="00A22924">
        <w:rPr>
          <w:lang w:eastAsia="en-AU"/>
        </w:rPr>
        <w:t xml:space="preserve">some </w:t>
      </w:r>
      <w:r w:rsidR="00F86917">
        <w:rPr>
          <w:lang w:eastAsia="en-AU"/>
        </w:rPr>
        <w:t xml:space="preserve">activity information </w:t>
      </w:r>
      <w:r w:rsidR="00973725">
        <w:rPr>
          <w:lang w:eastAsia="en-AU"/>
        </w:rPr>
        <w:t>reported in</w:t>
      </w:r>
      <w:r w:rsidR="00F86917">
        <w:rPr>
          <w:lang w:eastAsia="en-AU"/>
        </w:rPr>
        <w:t xml:space="preserve"> the previous reporting period</w:t>
      </w:r>
      <w:r w:rsidR="006C1F19">
        <w:rPr>
          <w:lang w:eastAsia="en-AU"/>
        </w:rPr>
        <w:t xml:space="preserve">. </w:t>
      </w:r>
      <w:r w:rsidR="001A067A">
        <w:rPr>
          <w:lang w:eastAsia="en-AU"/>
        </w:rPr>
        <w:t>F</w:t>
      </w:r>
      <w:r w:rsidR="00F86917">
        <w:rPr>
          <w:lang w:eastAsia="en-AU"/>
        </w:rPr>
        <w:t>ields that require a numerical quantity to be entered</w:t>
      </w:r>
      <w:r w:rsidR="001A067A">
        <w:rPr>
          <w:lang w:eastAsia="en-AU"/>
        </w:rPr>
        <w:t xml:space="preserve"> will not be pre-populated</w:t>
      </w:r>
      <w:r w:rsidR="00D663F0">
        <w:rPr>
          <w:lang w:eastAsia="en-AU"/>
        </w:rPr>
        <w:t>.</w:t>
      </w:r>
      <w:r w:rsidR="00B34CDD">
        <w:rPr>
          <w:lang w:eastAsia="en-AU"/>
        </w:rPr>
        <w:t xml:space="preserve"> </w:t>
      </w:r>
      <w:r w:rsidR="00D663F0">
        <w:rPr>
          <w:lang w:eastAsia="en-AU"/>
        </w:rPr>
        <w:t xml:space="preserve">This means </w:t>
      </w:r>
      <w:r w:rsidR="00874B73">
        <w:rPr>
          <w:lang w:eastAsia="en-AU"/>
        </w:rPr>
        <w:t>the first time</w:t>
      </w:r>
      <w:r w:rsidR="00380F67">
        <w:rPr>
          <w:lang w:eastAsia="en-AU"/>
        </w:rPr>
        <w:t xml:space="preserve"> </w:t>
      </w:r>
      <w:r w:rsidR="006E07A5">
        <w:rPr>
          <w:lang w:eastAsia="en-AU"/>
        </w:rPr>
        <w:t>a returning reporter</w:t>
      </w:r>
      <w:r w:rsidR="00380F67">
        <w:rPr>
          <w:lang w:eastAsia="en-AU"/>
        </w:rPr>
        <w:t xml:space="preserve"> open</w:t>
      </w:r>
      <w:r w:rsidR="00856E3F">
        <w:rPr>
          <w:lang w:eastAsia="en-AU"/>
        </w:rPr>
        <w:t>s</w:t>
      </w:r>
      <w:r w:rsidR="00380F67">
        <w:rPr>
          <w:lang w:eastAsia="en-AU"/>
        </w:rPr>
        <w:t xml:space="preserve"> the</w:t>
      </w:r>
      <w:r w:rsidR="009F101B">
        <w:rPr>
          <w:lang w:eastAsia="en-AU"/>
        </w:rPr>
        <w:t xml:space="preserve"> EERS workspace</w:t>
      </w:r>
      <w:r w:rsidR="00874B73">
        <w:rPr>
          <w:lang w:eastAsia="en-AU"/>
        </w:rPr>
        <w:t xml:space="preserve">, </w:t>
      </w:r>
      <w:r w:rsidR="00B5638E">
        <w:rPr>
          <w:lang w:eastAsia="en-AU"/>
        </w:rPr>
        <w:t xml:space="preserve">the </w:t>
      </w:r>
      <w:r w:rsidR="00856E3F">
        <w:rPr>
          <w:lang w:eastAsia="en-AU"/>
        </w:rPr>
        <w:t>v</w:t>
      </w:r>
      <w:r w:rsidR="00B5638E">
        <w:rPr>
          <w:lang w:eastAsia="en-AU"/>
        </w:rPr>
        <w:t xml:space="preserve">alidate page will </w:t>
      </w:r>
      <w:r w:rsidR="00DA34EF">
        <w:rPr>
          <w:lang w:eastAsia="en-AU"/>
        </w:rPr>
        <w:t>display</w:t>
      </w:r>
      <w:r w:rsidR="0063013E">
        <w:rPr>
          <w:lang w:eastAsia="en-AU"/>
        </w:rPr>
        <w:t xml:space="preserve"> </w:t>
      </w:r>
      <w:r w:rsidR="002C297D">
        <w:rPr>
          <w:lang w:eastAsia="en-AU"/>
        </w:rPr>
        <w:t xml:space="preserve">a series of </w:t>
      </w:r>
      <w:r w:rsidR="003E0489" w:rsidRPr="00762913">
        <w:rPr>
          <w:i/>
          <w:iCs/>
          <w:lang w:eastAsia="en-AU"/>
        </w:rPr>
        <w:t>‘</w:t>
      </w:r>
      <w:r w:rsidR="006917E7" w:rsidRPr="00762913">
        <w:rPr>
          <w:i/>
          <w:iCs/>
          <w:lang w:eastAsia="en-AU"/>
        </w:rPr>
        <w:t>Required field (s) incomplete’</w:t>
      </w:r>
      <w:r w:rsidR="006917E7">
        <w:rPr>
          <w:lang w:eastAsia="en-AU"/>
        </w:rPr>
        <w:t xml:space="preserve"> </w:t>
      </w:r>
      <w:r w:rsidR="009276B1">
        <w:rPr>
          <w:lang w:eastAsia="en-AU"/>
        </w:rPr>
        <w:t>validations</w:t>
      </w:r>
      <w:r w:rsidR="00B31B6A">
        <w:rPr>
          <w:lang w:eastAsia="en-AU"/>
        </w:rPr>
        <w:t>.</w:t>
      </w:r>
      <w:r w:rsidR="007255D1">
        <w:rPr>
          <w:lang w:eastAsia="en-AU"/>
        </w:rPr>
        <w:t xml:space="preserve"> </w:t>
      </w:r>
      <w:r w:rsidR="00B31B6A">
        <w:rPr>
          <w:lang w:eastAsia="en-AU"/>
        </w:rPr>
        <w:t xml:space="preserve">These will clear automatically </w:t>
      </w:r>
      <w:r w:rsidR="00F45B81">
        <w:rPr>
          <w:lang w:eastAsia="en-AU"/>
        </w:rPr>
        <w:t>once the relevant</w:t>
      </w:r>
      <w:r w:rsidR="00B31B6A">
        <w:rPr>
          <w:lang w:eastAsia="en-AU"/>
        </w:rPr>
        <w:t xml:space="preserve"> </w:t>
      </w:r>
      <w:r w:rsidR="003024B0">
        <w:rPr>
          <w:lang w:eastAsia="en-AU"/>
        </w:rPr>
        <w:t xml:space="preserve">activity data is entered. </w:t>
      </w:r>
      <w:r w:rsidR="0065381E">
        <w:rPr>
          <w:lang w:eastAsia="en-AU"/>
        </w:rPr>
        <w:t>For more info</w:t>
      </w:r>
      <w:r w:rsidR="00996466">
        <w:rPr>
          <w:lang w:eastAsia="en-AU"/>
        </w:rPr>
        <w:t>rmation on pre-populated data in an EERS workspace, read ‘</w:t>
      </w:r>
      <w:r w:rsidR="00962BE7" w:rsidRPr="00962BE7">
        <w:rPr>
          <w:lang w:eastAsia="en-AU"/>
        </w:rPr>
        <w:t>Carrying information over from the previous reporting period for an existing reporter</w:t>
      </w:r>
      <w:r w:rsidR="00962BE7">
        <w:rPr>
          <w:lang w:eastAsia="en-AU"/>
        </w:rPr>
        <w:t>’</w:t>
      </w:r>
      <w:r w:rsidR="00996466">
        <w:rPr>
          <w:lang w:eastAsia="en-AU"/>
        </w:rPr>
        <w:t xml:space="preserve"> in </w:t>
      </w:r>
      <w:hyperlink r:id="rId28" w:tooltip="A link to the Quick help topics guide on the Clean Energy Regulator website" w:history="1">
        <w:r w:rsidR="00996466" w:rsidRPr="00075881">
          <w:rPr>
            <w:rStyle w:val="Hyperlink"/>
            <w:rFonts w:asciiTheme="minorHAnsi" w:hAnsiTheme="minorHAnsi"/>
            <w:lang w:eastAsia="en-AU"/>
          </w:rPr>
          <w:t xml:space="preserve">NGER </w:t>
        </w:r>
        <w:r w:rsidR="00EC60FD">
          <w:rPr>
            <w:rStyle w:val="Hyperlink"/>
            <w:rFonts w:asciiTheme="minorHAnsi" w:hAnsiTheme="minorHAnsi"/>
            <w:lang w:eastAsia="en-AU"/>
          </w:rPr>
          <w:t>technical reporting information</w:t>
        </w:r>
      </w:hyperlink>
      <w:r w:rsidR="0022068E">
        <w:rPr>
          <w:rStyle w:val="FootnoteReference"/>
          <w:lang w:eastAsia="en-AU"/>
        </w:rPr>
        <w:footnoteReference w:id="10"/>
      </w:r>
      <w:r w:rsidR="00996466">
        <w:rPr>
          <w:lang w:eastAsia="en-AU"/>
        </w:rPr>
        <w:t xml:space="preserve">. </w:t>
      </w:r>
    </w:p>
    <w:p w14:paraId="2791D812" w14:textId="275199CC" w:rsidR="004A5763" w:rsidRPr="00CB7CC2" w:rsidRDefault="004A5763" w:rsidP="00762913">
      <w:pPr>
        <w:pStyle w:val="Heading2"/>
        <w:numPr>
          <w:ilvl w:val="1"/>
          <w:numId w:val="41"/>
        </w:numPr>
        <w:rPr>
          <w:rFonts w:eastAsia="Cambria"/>
        </w:rPr>
      </w:pPr>
      <w:bookmarkStart w:id="19" w:name="_Toc106974710"/>
      <w:bookmarkStart w:id="20" w:name="_Toc235705182"/>
      <w:r w:rsidRPr="00CB7CC2">
        <w:rPr>
          <w:rFonts w:eastAsia="Cambria"/>
        </w:rPr>
        <w:t>Addressing</w:t>
      </w:r>
      <w:r>
        <w:rPr>
          <w:rFonts w:eastAsia="Cambria"/>
        </w:rPr>
        <w:t xml:space="preserve"> validations</w:t>
      </w:r>
      <w:bookmarkEnd w:id="19"/>
      <w:r w:rsidR="004A133B">
        <w:rPr>
          <w:rFonts w:eastAsia="Cambria"/>
        </w:rPr>
        <w:t xml:space="preserve"> by correcting data</w:t>
      </w:r>
      <w:bookmarkEnd w:id="20"/>
    </w:p>
    <w:p w14:paraId="211AEAFB" w14:textId="48D2F4D7" w:rsidR="004A5763" w:rsidRDefault="004A5763" w:rsidP="00FD0FF6">
      <w:pPr>
        <w:spacing w:before="240"/>
        <w:rPr>
          <w:lang w:val="en-GB"/>
        </w:rPr>
      </w:pPr>
      <w:r>
        <w:rPr>
          <w:lang w:val="en-GB"/>
        </w:rPr>
        <w:t>To address a validation</w:t>
      </w:r>
      <w:r w:rsidR="00040E08">
        <w:rPr>
          <w:lang w:val="en-GB"/>
        </w:rPr>
        <w:t xml:space="preserve"> </w:t>
      </w:r>
      <w:r>
        <w:rPr>
          <w:lang w:val="en-GB"/>
        </w:rPr>
        <w:t>in EERS</w:t>
      </w:r>
      <w:r w:rsidR="004A133B">
        <w:rPr>
          <w:lang w:val="en-GB"/>
        </w:rPr>
        <w:t xml:space="preserve"> by correcting data</w:t>
      </w:r>
      <w:r>
        <w:rPr>
          <w:lang w:val="en-GB"/>
        </w:rPr>
        <w:t xml:space="preserve">, </w:t>
      </w:r>
      <w:r w:rsidR="002C5ACC">
        <w:rPr>
          <w:lang w:val="en-GB"/>
        </w:rPr>
        <w:t xml:space="preserve">select </w:t>
      </w:r>
      <w:r w:rsidR="00F301AC">
        <w:rPr>
          <w:lang w:val="en-GB"/>
        </w:rPr>
        <w:t>‘Validate’ from the Function drop-down menu. C</w:t>
      </w:r>
      <w:r>
        <w:rPr>
          <w:lang w:val="en-GB"/>
        </w:rPr>
        <w:t xml:space="preserve">lick on the associated </w:t>
      </w:r>
      <w:r w:rsidR="00CA6A31">
        <w:rPr>
          <w:lang w:val="en-GB"/>
        </w:rPr>
        <w:t xml:space="preserve">‘Edit’ </w:t>
      </w:r>
      <w:r w:rsidRPr="009B1191">
        <w:rPr>
          <w:lang w:val="en-GB"/>
        </w:rPr>
        <w:t>hyperlink</w:t>
      </w:r>
      <w:r w:rsidR="00CA6A31">
        <w:rPr>
          <w:lang w:val="en-GB"/>
        </w:rPr>
        <w:t xml:space="preserve"> under ‘Actions’</w:t>
      </w:r>
      <w:r w:rsidR="00F301AC">
        <w:rPr>
          <w:lang w:val="en-GB"/>
        </w:rPr>
        <w:t xml:space="preserve"> in the table</w:t>
      </w:r>
      <w:r w:rsidRPr="009B1191">
        <w:rPr>
          <w:lang w:val="en-GB"/>
        </w:rPr>
        <w:t>. This will</w:t>
      </w:r>
      <w:r>
        <w:rPr>
          <w:lang w:val="en-GB"/>
        </w:rPr>
        <w:t xml:space="preserve"> take you to </w:t>
      </w:r>
      <w:r w:rsidRPr="009B1191">
        <w:rPr>
          <w:lang w:val="en-GB"/>
        </w:rPr>
        <w:t xml:space="preserve">the relevant </w:t>
      </w:r>
      <w:r w:rsidR="002314CD">
        <w:rPr>
          <w:lang w:val="en-GB"/>
        </w:rPr>
        <w:t>record</w:t>
      </w:r>
      <w:r w:rsidR="002314CD" w:rsidRPr="009B1191">
        <w:rPr>
          <w:lang w:val="en-GB"/>
        </w:rPr>
        <w:t xml:space="preserve"> </w:t>
      </w:r>
      <w:r w:rsidRPr="009B1191">
        <w:rPr>
          <w:lang w:val="en-GB"/>
        </w:rPr>
        <w:t xml:space="preserve">within the </w:t>
      </w:r>
      <w:r w:rsidR="0FA24CA5" w:rsidRPr="725B4E5D">
        <w:rPr>
          <w:lang w:val="en-GB"/>
        </w:rPr>
        <w:t>‘</w:t>
      </w:r>
      <w:r w:rsidRPr="009B1191">
        <w:rPr>
          <w:lang w:val="en-GB"/>
        </w:rPr>
        <w:t xml:space="preserve">Data </w:t>
      </w:r>
      <w:r w:rsidRPr="725B4E5D">
        <w:rPr>
          <w:lang w:val="en-GB"/>
        </w:rPr>
        <w:t>Entry</w:t>
      </w:r>
      <w:r w:rsidR="170349E8" w:rsidRPr="725B4E5D">
        <w:rPr>
          <w:lang w:val="en-GB"/>
        </w:rPr>
        <w:t>’</w:t>
      </w:r>
      <w:r w:rsidRPr="009B1191">
        <w:rPr>
          <w:lang w:val="en-GB"/>
        </w:rPr>
        <w:t xml:space="preserve"> </w:t>
      </w:r>
      <w:r w:rsidR="00B43D49">
        <w:rPr>
          <w:lang w:val="en-GB"/>
        </w:rPr>
        <w:t>function</w:t>
      </w:r>
      <w:r w:rsidRPr="009B1191">
        <w:rPr>
          <w:lang w:val="en-GB"/>
        </w:rPr>
        <w:t xml:space="preserve">. </w:t>
      </w:r>
      <w:r w:rsidR="00314F8F">
        <w:rPr>
          <w:lang w:val="en-GB"/>
        </w:rPr>
        <w:t xml:space="preserve">The </w:t>
      </w:r>
      <w:r>
        <w:rPr>
          <w:lang w:val="en-GB"/>
        </w:rPr>
        <w:t xml:space="preserve">validation </w:t>
      </w:r>
      <w:r w:rsidRPr="009B1191">
        <w:rPr>
          <w:lang w:val="en-GB"/>
        </w:rPr>
        <w:t>will no longer be displayed once</w:t>
      </w:r>
      <w:r>
        <w:rPr>
          <w:lang w:val="en-GB"/>
        </w:rPr>
        <w:t xml:space="preserve"> it has been</w:t>
      </w:r>
      <w:r w:rsidRPr="009B1191">
        <w:rPr>
          <w:lang w:val="en-GB"/>
        </w:rPr>
        <w:t xml:space="preserve"> successfully addressed.</w:t>
      </w:r>
    </w:p>
    <w:p w14:paraId="150440D2" w14:textId="7189DAAA" w:rsidR="00320C62" w:rsidRDefault="006A6C60" w:rsidP="00865458">
      <w:pPr>
        <w:pStyle w:val="Caption"/>
        <w:spacing w:after="0"/>
        <w:rPr>
          <w:lang w:val="en-GB"/>
        </w:rPr>
      </w:pPr>
      <w:r>
        <w:lastRenderedPageBreak/>
        <w:t xml:space="preserve">Figure </w:t>
      </w:r>
      <w:r>
        <w:fldChar w:fldCharType="begin"/>
      </w:r>
      <w:r>
        <w:instrText>SEQ Figure \* ARABIC</w:instrText>
      </w:r>
      <w:r>
        <w:fldChar w:fldCharType="separate"/>
      </w:r>
      <w:r w:rsidR="00675542">
        <w:rPr>
          <w:noProof/>
        </w:rPr>
        <w:t>1</w:t>
      </w:r>
      <w:r>
        <w:fldChar w:fldCharType="end"/>
      </w:r>
      <w:r>
        <w:t xml:space="preserve"> </w:t>
      </w:r>
      <w:r w:rsidRPr="001B4219">
        <w:t xml:space="preserve">Example of Validation </w:t>
      </w:r>
      <w:r w:rsidR="004B35A8">
        <w:t>summary page</w:t>
      </w:r>
      <w:r w:rsidRPr="001B4219">
        <w:t xml:space="preserve"> in EERS.</w:t>
      </w:r>
      <w:r w:rsidR="00320C62" w:rsidRPr="00DA077A">
        <w:rPr>
          <w:b/>
          <w:bCs/>
          <w:noProof/>
        </w:rPr>
        <w:drawing>
          <wp:anchor distT="0" distB="0" distL="114300" distR="114300" simplePos="0" relativeHeight="251658248" behindDoc="0" locked="0" layoutInCell="1" allowOverlap="1" wp14:anchorId="677CB75B" wp14:editId="03AD6991">
            <wp:simplePos x="0" y="0"/>
            <wp:positionH relativeFrom="margin">
              <wp:align>left</wp:align>
            </wp:positionH>
            <wp:positionV relativeFrom="paragraph">
              <wp:posOffset>266700</wp:posOffset>
            </wp:positionV>
            <wp:extent cx="6184900" cy="3560445"/>
            <wp:effectExtent l="38100" t="38100" r="101600" b="97155"/>
            <wp:wrapSquare wrapText="bothSides"/>
            <wp:docPr id="1971846781" name="Picture 1" descr="A screen shot of EERS, showing the interface for validating a report's readiness for submission. Dropdown menus allow selection of reporting period (2023–2024) and function (Validate). A message indicates validation is incomplete, listing errors in facilities and uncertainties. Facility 6 has missing required fields, and uncertainty data is incomplete for some gas emissions. Users are prompted to edit records to resolve issues before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846781" name="Picture 1" descr="A screen shot of EERS, showing the interface for validating a report's readiness for submission. Dropdown menus allow selection of reporting period (2023–2024) and function (Validate). A message indicates validation is incomplete, listing errors in facilities and uncertainties. Facility 6 has missing required fields, and uncertainty data is incomplete for some gas emissions. Users are prompted to edit records to resolve issues before submission."/>
                    <pic:cNvPicPr/>
                  </pic:nvPicPr>
                  <pic:blipFill>
                    <a:blip r:embed="rId29"/>
                    <a:stretch>
                      <a:fillRect/>
                    </a:stretch>
                  </pic:blipFill>
                  <pic:spPr>
                    <a:xfrm>
                      <a:off x="0" y="0"/>
                      <a:ext cx="6184900" cy="3560445"/>
                    </a:xfrm>
                    <a:prstGeom prst="rect">
                      <a:avLst/>
                    </a:prstGeom>
                    <a:effectLst>
                      <a:outerShdw blurRad="50800" dist="38100" dir="2700000" algn="tl" rotWithShape="0">
                        <a:prstClr val="black">
                          <a:alpha val="40000"/>
                        </a:prstClr>
                      </a:outerShdw>
                    </a:effectLst>
                  </pic:spPr>
                </pic:pic>
              </a:graphicData>
            </a:graphic>
          </wp:anchor>
        </w:drawing>
      </w:r>
    </w:p>
    <w:p w14:paraId="20B55AC1" w14:textId="77777777" w:rsidR="004A5763" w:rsidRPr="00762913" w:rsidRDefault="004A5763" w:rsidP="00E83EB5">
      <w:pPr>
        <w:pStyle w:val="Heading2"/>
        <w:numPr>
          <w:ilvl w:val="1"/>
          <w:numId w:val="41"/>
        </w:numPr>
        <w:rPr>
          <w:rFonts w:eastAsia="Cambria"/>
        </w:rPr>
      </w:pPr>
      <w:bookmarkStart w:id="21" w:name="_Toc106974711"/>
      <w:bookmarkStart w:id="22" w:name="_Toc235705183"/>
      <w:r w:rsidRPr="00762913">
        <w:rPr>
          <w:rFonts w:eastAsia="Cambria"/>
        </w:rPr>
        <w:t>Acknowledging validations</w:t>
      </w:r>
      <w:bookmarkEnd w:id="21"/>
      <w:bookmarkEnd w:id="22"/>
    </w:p>
    <w:p w14:paraId="68676119" w14:textId="6C6C5ADB" w:rsidR="004A5763" w:rsidRPr="009B1191" w:rsidRDefault="004A5763" w:rsidP="00762913">
      <w:pPr>
        <w:spacing w:before="240"/>
        <w:rPr>
          <w:lang w:val="en-GB"/>
        </w:rPr>
      </w:pPr>
      <w:r>
        <w:rPr>
          <w:lang w:val="en-GB"/>
        </w:rPr>
        <w:t xml:space="preserve">Sometimes it is appropriate to acknowledge a validation without changing your data. This will generally mean </w:t>
      </w:r>
      <w:r w:rsidRPr="009B1191">
        <w:rPr>
          <w:lang w:val="en-GB"/>
        </w:rPr>
        <w:t>the reporting entity understands the</w:t>
      </w:r>
      <w:r>
        <w:rPr>
          <w:lang w:val="en-GB"/>
        </w:rPr>
        <w:t xml:space="preserve"> validation</w:t>
      </w:r>
      <w:r w:rsidRPr="009B1191">
        <w:rPr>
          <w:lang w:val="en-GB"/>
        </w:rPr>
        <w:t xml:space="preserve">, </w:t>
      </w:r>
      <w:r>
        <w:rPr>
          <w:lang w:val="en-GB"/>
        </w:rPr>
        <w:t xml:space="preserve">and notes </w:t>
      </w:r>
      <w:r w:rsidRPr="009B1191">
        <w:rPr>
          <w:lang w:val="en-GB"/>
        </w:rPr>
        <w:t xml:space="preserve">that it is not applicable to </w:t>
      </w:r>
      <w:r>
        <w:rPr>
          <w:lang w:val="en-GB"/>
        </w:rPr>
        <w:t xml:space="preserve">their </w:t>
      </w:r>
      <w:r w:rsidRPr="009B1191">
        <w:rPr>
          <w:lang w:val="en-GB"/>
        </w:rPr>
        <w:t>situation.</w:t>
      </w:r>
      <w:r>
        <w:rPr>
          <w:lang w:val="en-GB"/>
        </w:rPr>
        <w:t xml:space="preserve"> </w:t>
      </w:r>
      <w:r w:rsidRPr="009B1191">
        <w:rPr>
          <w:lang w:val="en-GB"/>
        </w:rPr>
        <w:t>For example, a reporting entity may report a fuel combustion activity designated for the purposes of electricity production and a</w:t>
      </w:r>
      <w:r>
        <w:rPr>
          <w:lang w:val="en-GB"/>
        </w:rPr>
        <w:t xml:space="preserve"> validation </w:t>
      </w:r>
      <w:r w:rsidRPr="009B1191">
        <w:rPr>
          <w:lang w:val="en-GB"/>
        </w:rPr>
        <w:t xml:space="preserve">could advise that an electricity production activity also needs to be reported. </w:t>
      </w:r>
      <w:r>
        <w:rPr>
          <w:lang w:val="en-GB"/>
        </w:rPr>
        <w:t>H</w:t>
      </w:r>
      <w:r w:rsidRPr="009B1191">
        <w:rPr>
          <w:lang w:val="en-GB"/>
        </w:rPr>
        <w:t xml:space="preserve">owever, </w:t>
      </w:r>
      <w:r>
        <w:rPr>
          <w:lang w:val="en-GB"/>
        </w:rPr>
        <w:t xml:space="preserve">if </w:t>
      </w:r>
      <w:r w:rsidRPr="009B1191">
        <w:rPr>
          <w:lang w:val="en-GB"/>
        </w:rPr>
        <w:t>the amount of electricity produced is below the reporting threshold, an electricity production activity may not need to be reported in EERS</w:t>
      </w:r>
      <w:r w:rsidR="000547A4">
        <w:rPr>
          <w:lang w:val="en-GB"/>
        </w:rPr>
        <w:t>,</w:t>
      </w:r>
      <w:r>
        <w:rPr>
          <w:lang w:val="en-GB"/>
        </w:rPr>
        <w:t xml:space="preserve"> and this validation can just be acknowledged.</w:t>
      </w:r>
    </w:p>
    <w:p w14:paraId="6104E4C1" w14:textId="36CB932E" w:rsidR="004A5763" w:rsidRDefault="004A5763" w:rsidP="004A5763">
      <w:pPr>
        <w:rPr>
          <w:lang w:val="en-GB"/>
        </w:rPr>
      </w:pPr>
      <w:r w:rsidRPr="009B1191">
        <w:rPr>
          <w:lang w:val="en-GB"/>
        </w:rPr>
        <w:t xml:space="preserve">Once a reporting entity has confirmed that </w:t>
      </w:r>
      <w:r>
        <w:rPr>
          <w:lang w:val="en-GB"/>
        </w:rPr>
        <w:t xml:space="preserve">a validation does not apply to their </w:t>
      </w:r>
      <w:r w:rsidRPr="009B1191">
        <w:rPr>
          <w:lang w:val="en-GB"/>
        </w:rPr>
        <w:t>situation, the</w:t>
      </w:r>
      <w:r>
        <w:rPr>
          <w:lang w:val="en-GB"/>
        </w:rPr>
        <w:t xml:space="preserve"> validation </w:t>
      </w:r>
      <w:r w:rsidRPr="009B1191">
        <w:rPr>
          <w:lang w:val="en-GB"/>
        </w:rPr>
        <w:t xml:space="preserve">can be acknowledged by clicking </w:t>
      </w:r>
      <w:r>
        <w:rPr>
          <w:lang w:val="en-GB"/>
        </w:rPr>
        <w:t>‘</w:t>
      </w:r>
      <w:r w:rsidRPr="009B1191">
        <w:rPr>
          <w:lang w:val="en-GB"/>
        </w:rPr>
        <w:t>Acknowledge</w:t>
      </w:r>
      <w:r>
        <w:rPr>
          <w:lang w:val="en-GB"/>
        </w:rPr>
        <w:t>’</w:t>
      </w:r>
      <w:r w:rsidR="0031225E">
        <w:rPr>
          <w:lang w:val="en-GB"/>
        </w:rPr>
        <w:t xml:space="preserve"> under the ‘Actions’ heading in the table</w:t>
      </w:r>
      <w:r w:rsidR="0074242D">
        <w:rPr>
          <w:lang w:val="en-GB"/>
        </w:rPr>
        <w:t xml:space="preserve">. You </w:t>
      </w:r>
      <w:r w:rsidR="001F2B52">
        <w:rPr>
          <w:lang w:val="en-GB"/>
        </w:rPr>
        <w:t>may</w:t>
      </w:r>
      <w:r w:rsidRPr="009B1191">
        <w:rPr>
          <w:lang w:val="en-GB"/>
        </w:rPr>
        <w:t xml:space="preserve"> </w:t>
      </w:r>
      <w:r w:rsidR="004F1760">
        <w:rPr>
          <w:lang w:val="en-GB"/>
        </w:rPr>
        <w:t>provide</w:t>
      </w:r>
      <w:r w:rsidR="00CC5663" w:rsidRPr="009B1191">
        <w:rPr>
          <w:lang w:val="en-GB"/>
        </w:rPr>
        <w:t xml:space="preserve"> comments in the free text field to explain the decision to acknowledge rather than </w:t>
      </w:r>
      <w:r w:rsidR="00CC5663">
        <w:rPr>
          <w:lang w:val="en-GB"/>
        </w:rPr>
        <w:t>address</w:t>
      </w:r>
      <w:r w:rsidR="00CC5663" w:rsidRPr="009B1191">
        <w:rPr>
          <w:lang w:val="en-GB"/>
        </w:rPr>
        <w:t xml:space="preserve"> the </w:t>
      </w:r>
      <w:r w:rsidR="00CC5663">
        <w:rPr>
          <w:lang w:val="en-GB"/>
        </w:rPr>
        <w:t>validation</w:t>
      </w:r>
      <w:r w:rsidR="00DC6FB4">
        <w:rPr>
          <w:lang w:val="en-GB"/>
        </w:rPr>
        <w:t xml:space="preserve"> by correcting data</w:t>
      </w:r>
      <w:r w:rsidR="00AD1D2E">
        <w:rPr>
          <w:lang w:val="en-GB"/>
        </w:rPr>
        <w:t>.</w:t>
      </w:r>
      <w:r w:rsidR="00CC5663" w:rsidRPr="009B1191">
        <w:rPr>
          <w:lang w:val="en-GB"/>
        </w:rPr>
        <w:t xml:space="preserve"> </w:t>
      </w:r>
      <w:r w:rsidR="00AD1D2E">
        <w:rPr>
          <w:lang w:val="en-GB"/>
        </w:rPr>
        <w:t>S</w:t>
      </w:r>
      <w:r w:rsidRPr="009B1191">
        <w:rPr>
          <w:lang w:val="en-GB"/>
        </w:rPr>
        <w:t xml:space="preserve">elect the </w:t>
      </w:r>
      <w:r>
        <w:rPr>
          <w:lang w:val="en-GB"/>
        </w:rPr>
        <w:t>‘</w:t>
      </w:r>
      <w:r w:rsidRPr="009B1191">
        <w:rPr>
          <w:lang w:val="en-GB"/>
        </w:rPr>
        <w:t>Acknowledge</w:t>
      </w:r>
      <w:r>
        <w:rPr>
          <w:lang w:val="en-GB"/>
        </w:rPr>
        <w:t>’</w:t>
      </w:r>
      <w:r w:rsidRPr="009B1191">
        <w:rPr>
          <w:lang w:val="en-GB"/>
        </w:rPr>
        <w:t xml:space="preserve"> </w:t>
      </w:r>
      <w:r w:rsidR="004677D6">
        <w:rPr>
          <w:lang w:val="en-GB"/>
        </w:rPr>
        <w:t>button</w:t>
      </w:r>
      <w:r w:rsidR="00AA24F5">
        <w:rPr>
          <w:lang w:val="en-GB"/>
        </w:rPr>
        <w:t xml:space="preserve"> in the pop out window</w:t>
      </w:r>
      <w:r w:rsidR="00651604">
        <w:rPr>
          <w:lang w:val="en-GB"/>
        </w:rPr>
        <w:t xml:space="preserve"> </w:t>
      </w:r>
      <w:r w:rsidR="0085252B">
        <w:rPr>
          <w:lang w:val="en-GB"/>
        </w:rPr>
        <w:t>to</w:t>
      </w:r>
      <w:r w:rsidR="00651604">
        <w:rPr>
          <w:lang w:val="en-GB"/>
        </w:rPr>
        <w:t xml:space="preserve"> complete</w:t>
      </w:r>
      <w:r w:rsidR="0000482E">
        <w:rPr>
          <w:lang w:val="en-GB"/>
        </w:rPr>
        <w:t xml:space="preserve"> the validation</w:t>
      </w:r>
      <w:r w:rsidR="0085252B">
        <w:rPr>
          <w:lang w:val="en-GB"/>
        </w:rPr>
        <w:t xml:space="preserve">. </w:t>
      </w:r>
    </w:p>
    <w:p w14:paraId="2FBA08F8" w14:textId="72324D25" w:rsidR="00083C4D" w:rsidRDefault="00083C4D" w:rsidP="004A5763">
      <w:r w:rsidRPr="00967BE4">
        <w:t xml:space="preserve">Acknowledgements </w:t>
      </w:r>
      <w:r w:rsidR="005D4E81">
        <w:t xml:space="preserve">and </w:t>
      </w:r>
      <w:r w:rsidR="00A1089A">
        <w:t xml:space="preserve">any </w:t>
      </w:r>
      <w:r w:rsidR="00D941B0">
        <w:t xml:space="preserve">comments you provide </w:t>
      </w:r>
      <w:r w:rsidRPr="00967BE4">
        <w:t xml:space="preserve">will </w:t>
      </w:r>
      <w:r w:rsidR="00A1089A">
        <w:t>remain on the</w:t>
      </w:r>
      <w:r w:rsidRPr="00967BE4">
        <w:t xml:space="preserve"> Validate page and will appear in the NGER pdf report when it is generated.</w:t>
      </w:r>
    </w:p>
    <w:p w14:paraId="157CDB9D" w14:textId="2984C26D" w:rsidR="000C4966" w:rsidRDefault="00CD2EBA" w:rsidP="00FB57D1">
      <w:pPr>
        <w:rPr>
          <w:rFonts w:ascii="Calibri Light" w:eastAsiaTheme="minorHAnsi" w:hAnsi="Calibri Light" w:cs="Calibri Light"/>
          <w:i/>
          <w:iCs/>
          <w:sz w:val="18"/>
          <w:szCs w:val="18"/>
        </w:rPr>
      </w:pPr>
      <w:r>
        <w:t xml:space="preserve">You may also provide more detail </w:t>
      </w:r>
      <w:r w:rsidR="00C55223">
        <w:t xml:space="preserve">about the acknowledgement </w:t>
      </w:r>
      <w:r>
        <w:t>in a basis of preparation (</w:t>
      </w:r>
      <w:proofErr w:type="spellStart"/>
      <w:r>
        <w:t>BoP</w:t>
      </w:r>
      <w:proofErr w:type="spellEnd"/>
      <w:r>
        <w:t>)</w:t>
      </w:r>
      <w:r w:rsidR="007E0071">
        <w:t xml:space="preserve"> which </w:t>
      </w:r>
      <w:r w:rsidR="002414C1">
        <w:t>can</w:t>
      </w:r>
      <w:r w:rsidR="007E0071">
        <w:t xml:space="preserve"> reduce the need for us to contact you to clarify </w:t>
      </w:r>
      <w:r w:rsidR="00C55223">
        <w:t>any</w:t>
      </w:r>
      <w:r w:rsidR="007E0071">
        <w:t xml:space="preserve"> information</w:t>
      </w:r>
      <w:r w:rsidR="008F55E7">
        <w:t xml:space="preserve"> </w:t>
      </w:r>
      <w:r w:rsidR="00C55223">
        <w:t xml:space="preserve">you </w:t>
      </w:r>
      <w:r w:rsidR="008F55E7">
        <w:t xml:space="preserve">provided. You can read </w:t>
      </w:r>
      <w:r w:rsidR="00AB4325">
        <w:t xml:space="preserve">about a </w:t>
      </w:r>
      <w:proofErr w:type="spellStart"/>
      <w:r w:rsidR="00AB4325">
        <w:t>BoP</w:t>
      </w:r>
      <w:proofErr w:type="spellEnd"/>
      <w:r w:rsidR="00AB4325">
        <w:t xml:space="preserve"> in the </w:t>
      </w:r>
      <w:hyperlink r:id="rId30" w:history="1">
        <w:r w:rsidR="00AB4325" w:rsidRPr="00E22BC3">
          <w:rPr>
            <w:rStyle w:val="Hyperlink"/>
            <w:rFonts w:asciiTheme="minorHAnsi" w:hAnsiTheme="minorHAnsi"/>
          </w:rPr>
          <w:t>NGER</w:t>
        </w:r>
        <w:r w:rsidR="00EC60FD">
          <w:rPr>
            <w:rStyle w:val="Hyperlink"/>
            <w:rFonts w:asciiTheme="minorHAnsi" w:hAnsiTheme="minorHAnsi"/>
          </w:rPr>
          <w:t xml:space="preserve"> technical reporting information</w:t>
        </w:r>
      </w:hyperlink>
      <w:r w:rsidR="008C43E3">
        <w:rPr>
          <w:rStyle w:val="FootnoteReference"/>
        </w:rPr>
        <w:footnoteReference w:id="11"/>
      </w:r>
      <w:r w:rsidR="00AB4325">
        <w:t xml:space="preserve">. </w:t>
      </w:r>
      <w:r w:rsidR="000C4966">
        <w:br w:type="page"/>
      </w:r>
    </w:p>
    <w:p w14:paraId="7A58E433" w14:textId="7912F3BA" w:rsidR="005442DD" w:rsidRPr="009B1191" w:rsidRDefault="005442DD" w:rsidP="007301F0">
      <w:pPr>
        <w:pStyle w:val="Caption"/>
        <w:rPr>
          <w:lang w:val="en-GB"/>
        </w:rPr>
      </w:pPr>
      <w:r>
        <w:lastRenderedPageBreak/>
        <w:t xml:space="preserve">Figure </w:t>
      </w:r>
      <w:r>
        <w:fldChar w:fldCharType="begin"/>
      </w:r>
      <w:r>
        <w:instrText>SEQ Figure \* ARABIC</w:instrText>
      </w:r>
      <w:r>
        <w:fldChar w:fldCharType="separate"/>
      </w:r>
      <w:r w:rsidR="00675542">
        <w:rPr>
          <w:noProof/>
        </w:rPr>
        <w:t>2</w:t>
      </w:r>
      <w:r>
        <w:fldChar w:fldCharType="end"/>
      </w:r>
      <w:r w:rsidR="004B35A8">
        <w:t xml:space="preserve"> Example of </w:t>
      </w:r>
      <w:r w:rsidR="002A50A8">
        <w:t>Acknowle</w:t>
      </w:r>
      <w:r w:rsidR="00C068EC">
        <w:t xml:space="preserve">dgement of </w:t>
      </w:r>
      <w:r w:rsidR="004F4B44">
        <w:t>Validation</w:t>
      </w:r>
    </w:p>
    <w:p w14:paraId="40834173" w14:textId="42BB46BD" w:rsidR="00CE2556" w:rsidRDefault="00FF2263" w:rsidP="004A5763">
      <w:pPr>
        <w:spacing w:line="276" w:lineRule="auto"/>
        <w:rPr>
          <w:b/>
          <w:lang w:val="en-GB"/>
        </w:rPr>
      </w:pPr>
      <w:r>
        <w:rPr>
          <w:noProof/>
        </w:rPr>
        <w:drawing>
          <wp:inline distT="0" distB="0" distL="0" distR="0" wp14:anchorId="37C2FE94" wp14:editId="607563D6">
            <wp:extent cx="6181725" cy="2333625"/>
            <wp:effectExtent l="38100" t="38100" r="104775" b="104775"/>
            <wp:docPr id="709667268" name="Picture 1" descr="An EERS screenshot showing a section titled &quot;Related activities&quot;. A warning message states that fuel combustion for electricity production lacks a corresponding electricity production activity. It references Regulation 4.20(3) and provides a link for more information. A table below lists one activity with columns for Facility, Activity, Acknowledge reason, and Actions. The activity is labeled &quot;electricity error test,&quot; marked as acknowledged, with options to edit the activity, view the facility, or edit the acknowled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667268" name="Picture 1" descr="An EERS screenshot showing a section titled &quot;Related activities&quot;. A warning message states that fuel combustion for electricity production lacks a corresponding electricity production activity. It references Regulation 4.20(3) and provides a link for more information. A table below lists one activity with columns for Facility, Activity, Acknowledge reason, and Actions. The activity is labeled &quot;electricity error test,&quot; marked as acknowledged, with options to edit the activity, view the facility, or edit the acknowledgemen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81725" cy="2333625"/>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0D6F100B" w14:textId="050034D3" w:rsidR="004A5763" w:rsidRPr="009B1191" w:rsidRDefault="004A5763" w:rsidP="00CE2BC6">
      <w:pPr>
        <w:pStyle w:val="BodyText1"/>
        <w:rPr>
          <w:lang w:val="en-GB"/>
        </w:rPr>
      </w:pPr>
      <w:r w:rsidRPr="008C791D">
        <w:rPr>
          <w:lang w:val="en-GB"/>
        </w:rPr>
        <w:t>When a source of emissions is reported which triggers the requirement to report uncertainty</w:t>
      </w:r>
      <w:r>
        <w:rPr>
          <w:lang w:val="en-GB"/>
        </w:rPr>
        <w:t>,</w:t>
      </w:r>
      <w:r w:rsidRPr="008C791D">
        <w:rPr>
          <w:lang w:val="en-GB"/>
        </w:rPr>
        <w:t xml:space="preserve"> and uncertainty has not been entered, a </w:t>
      </w:r>
      <w:r w:rsidRPr="000873CE">
        <w:rPr>
          <w:lang w:val="en-GB"/>
        </w:rPr>
        <w:t xml:space="preserve">validation </w:t>
      </w:r>
      <w:r w:rsidRPr="008C791D">
        <w:rPr>
          <w:lang w:val="en-GB"/>
        </w:rPr>
        <w:t xml:space="preserve">will appear. </w:t>
      </w:r>
      <w:r w:rsidRPr="000873CE">
        <w:rPr>
          <w:lang w:val="en-GB"/>
        </w:rPr>
        <w:t>Validations</w:t>
      </w:r>
      <w:r w:rsidRPr="008C791D">
        <w:rPr>
          <w:lang w:val="en-GB"/>
        </w:rPr>
        <w:t xml:space="preserve"> relating to uncertainty cannot be</w:t>
      </w:r>
      <w:r>
        <w:rPr>
          <w:lang w:val="en-GB"/>
        </w:rPr>
        <w:t xml:space="preserve"> resolved with an</w:t>
      </w:r>
      <w:r w:rsidRPr="008C791D">
        <w:rPr>
          <w:lang w:val="en-GB"/>
        </w:rPr>
        <w:t xml:space="preserve"> acknowledge</w:t>
      </w:r>
      <w:r>
        <w:rPr>
          <w:lang w:val="en-GB"/>
        </w:rPr>
        <w:t>ment</w:t>
      </w:r>
      <w:r w:rsidRPr="008C791D">
        <w:rPr>
          <w:lang w:val="en-GB"/>
        </w:rPr>
        <w:t xml:space="preserve"> and must be addressed before </w:t>
      </w:r>
      <w:r w:rsidR="005F2B71">
        <w:rPr>
          <w:lang w:val="en-GB"/>
        </w:rPr>
        <w:t>you</w:t>
      </w:r>
      <w:r w:rsidRPr="008C791D">
        <w:rPr>
          <w:lang w:val="en-GB"/>
        </w:rPr>
        <w:t xml:space="preserve"> can generate and submit a report. See the</w:t>
      </w:r>
      <w:r w:rsidR="005960D3">
        <w:rPr>
          <w:lang w:val="en-GB"/>
        </w:rPr>
        <w:t xml:space="preserve"> below</w:t>
      </w:r>
      <w:r w:rsidRPr="008C791D">
        <w:rPr>
          <w:lang w:val="en-GB"/>
        </w:rPr>
        <w:t xml:space="preserve"> </w:t>
      </w:r>
      <w:hyperlink w:anchor="_Validations_–_error" w:history="1">
        <w:r w:rsidRPr="00EC0DA3">
          <w:rPr>
            <w:rStyle w:val="Hyperlink"/>
            <w:rFonts w:asciiTheme="minorHAnsi" w:hAnsiTheme="minorHAnsi"/>
            <w:lang w:val="en-GB"/>
          </w:rPr>
          <w:t>list of validations in EERS</w:t>
        </w:r>
      </w:hyperlink>
      <w:r w:rsidRPr="008C791D">
        <w:rPr>
          <w:lang w:val="en-GB"/>
        </w:rPr>
        <w:t xml:space="preserve"> for more information.</w:t>
      </w:r>
      <w:r w:rsidR="00321D70">
        <w:rPr>
          <w:lang w:val="en-GB"/>
        </w:rPr>
        <w:br/>
      </w:r>
    </w:p>
    <w:p w14:paraId="7F3190A5" w14:textId="51D3BEC3" w:rsidR="004A5763" w:rsidRPr="009D2C6C" w:rsidRDefault="004A5763" w:rsidP="00CE2BC6">
      <w:pPr>
        <w:pStyle w:val="Heading1"/>
        <w:numPr>
          <w:ilvl w:val="0"/>
          <w:numId w:val="41"/>
        </w:numPr>
      </w:pPr>
      <w:bookmarkStart w:id="23" w:name="_Validations_–_error"/>
      <w:bookmarkStart w:id="24" w:name="_Toc106974713"/>
      <w:bookmarkStart w:id="25" w:name="_Toc235705184"/>
      <w:bookmarkEnd w:id="23"/>
      <w:r w:rsidRPr="009D2C6C">
        <w:t xml:space="preserve">List of </w:t>
      </w:r>
      <w:r w:rsidRPr="000873CE">
        <w:t>validation</w:t>
      </w:r>
      <w:r w:rsidRPr="009D2C6C">
        <w:t xml:space="preserve"> </w:t>
      </w:r>
      <w:r w:rsidR="009355C2">
        <w:t>messages</w:t>
      </w:r>
      <w:r w:rsidRPr="009D2C6C">
        <w:t xml:space="preserve"> in EERS</w:t>
      </w:r>
      <w:bookmarkEnd w:id="24"/>
      <w:bookmarkEnd w:id="25"/>
    </w:p>
    <w:p w14:paraId="06316252" w14:textId="6B63DAF6" w:rsidR="00D23ED6" w:rsidRDefault="004A5763">
      <w:pPr>
        <w:spacing w:after="0"/>
        <w:rPr>
          <w:rFonts w:asciiTheme="majorHAnsi" w:eastAsia="Times New Roman" w:hAnsiTheme="majorHAnsi" w:cstheme="majorHAnsi"/>
          <w:b/>
          <w:bCs/>
          <w:sz w:val="27"/>
          <w:szCs w:val="27"/>
          <w:lang w:val="en-GB"/>
        </w:rPr>
      </w:pPr>
      <w:r w:rsidRPr="009B1191">
        <w:rPr>
          <w:lang w:val="en-GB"/>
        </w:rPr>
        <w:t xml:space="preserve">The tables below present information </w:t>
      </w:r>
      <w:r>
        <w:rPr>
          <w:lang w:val="en-GB"/>
        </w:rPr>
        <w:t xml:space="preserve">on the various </w:t>
      </w:r>
      <w:r w:rsidRPr="000873CE">
        <w:rPr>
          <w:lang w:val="en-GB"/>
        </w:rPr>
        <w:t>validations</w:t>
      </w:r>
      <w:r>
        <w:rPr>
          <w:lang w:val="en-GB"/>
        </w:rPr>
        <w:t xml:space="preserve"> </w:t>
      </w:r>
      <w:r w:rsidRPr="009B1191">
        <w:rPr>
          <w:lang w:val="en-GB"/>
        </w:rPr>
        <w:t>in EERS. The</w:t>
      </w:r>
      <w:r w:rsidR="00403958">
        <w:rPr>
          <w:lang w:val="en-GB"/>
        </w:rPr>
        <w:t xml:space="preserve"> </w:t>
      </w:r>
      <w:r w:rsidRPr="009B1191">
        <w:rPr>
          <w:lang w:val="en-GB"/>
        </w:rPr>
        <w:t>tables provide brief explanations and links to relevant NGER legislation</w:t>
      </w:r>
      <w:r>
        <w:rPr>
          <w:lang w:val="en-GB"/>
        </w:rPr>
        <w:t xml:space="preserve"> and additional guidance</w:t>
      </w:r>
      <w:r w:rsidRPr="009B1191">
        <w:rPr>
          <w:lang w:val="en-GB"/>
        </w:rPr>
        <w:t xml:space="preserve">. If you require additional information regarding </w:t>
      </w:r>
      <w:r>
        <w:rPr>
          <w:lang w:val="en-GB"/>
        </w:rPr>
        <w:t xml:space="preserve">any of the following validations, please </w:t>
      </w:r>
      <w:hyperlink r:id="rId32" w:tooltip="A link to the Contact us page of the Clean Energy Regulator's website" w:history="1">
        <w:r w:rsidR="00EF2971">
          <w:rPr>
            <w:rStyle w:val="Hyperlink"/>
            <w:rFonts w:asciiTheme="minorHAnsi" w:hAnsiTheme="minorHAnsi"/>
            <w:lang w:val="en-GB"/>
          </w:rPr>
          <w:t xml:space="preserve">contact </w:t>
        </w:r>
        <w:r w:rsidR="009F1B11">
          <w:rPr>
            <w:rStyle w:val="Hyperlink"/>
            <w:rFonts w:asciiTheme="minorHAnsi" w:hAnsiTheme="minorHAnsi"/>
            <w:lang w:val="en-GB"/>
          </w:rPr>
          <w:t xml:space="preserve">the </w:t>
        </w:r>
        <w:r w:rsidR="00EF2971">
          <w:rPr>
            <w:rStyle w:val="Hyperlink"/>
            <w:rFonts w:asciiTheme="minorHAnsi" w:hAnsiTheme="minorHAnsi"/>
            <w:lang w:val="en-GB"/>
          </w:rPr>
          <w:t>CER</w:t>
        </w:r>
      </w:hyperlink>
      <w:r>
        <w:rPr>
          <w:rStyle w:val="FootnoteReference"/>
          <w:lang w:val="en-GB"/>
        </w:rPr>
        <w:footnoteReference w:id="12"/>
      </w:r>
      <w:r w:rsidR="3BA56803">
        <w:rPr>
          <w:lang w:val="en-GB"/>
        </w:rPr>
        <w:t>.</w:t>
      </w:r>
      <w:bookmarkStart w:id="26" w:name="_Toc518477237"/>
      <w:bookmarkStart w:id="27" w:name="_Toc519584956"/>
      <w:bookmarkStart w:id="28" w:name="_Toc106974716"/>
    </w:p>
    <w:p w14:paraId="0E10CECA" w14:textId="7332FD6E" w:rsidR="004A5763" w:rsidRPr="00F959F8" w:rsidRDefault="004A5763" w:rsidP="00DE6589">
      <w:pPr>
        <w:pStyle w:val="Heading3"/>
        <w:spacing w:after="240"/>
        <w:rPr>
          <w:lang w:val="en-GB"/>
        </w:rPr>
      </w:pPr>
      <w:bookmarkStart w:id="29" w:name="_Toc235705185"/>
      <w:r w:rsidRPr="00F959F8">
        <w:rPr>
          <w:lang w:val="en-GB"/>
        </w:rPr>
        <w:t xml:space="preserve">Electricity </w:t>
      </w:r>
      <w:r w:rsidRPr="00F959F8">
        <w:t>production</w:t>
      </w:r>
      <w:bookmarkEnd w:id="26"/>
      <w:bookmarkEnd w:id="27"/>
      <w:bookmarkEnd w:id="28"/>
      <w:bookmarkEnd w:id="29"/>
    </w:p>
    <w:tbl>
      <w:tblPr>
        <w:tblStyle w:val="CERTable"/>
        <w:tblW w:w="5000" w:type="pct"/>
        <w:tblLook w:val="06A0" w:firstRow="1" w:lastRow="0" w:firstColumn="1" w:lastColumn="0" w:noHBand="1" w:noVBand="1"/>
      </w:tblPr>
      <w:tblGrid>
        <w:gridCol w:w="1311"/>
        <w:gridCol w:w="8429"/>
      </w:tblGrid>
      <w:tr w:rsidR="004A5763" w:rsidRPr="00756136" w14:paraId="6AFB0F43" w14:textId="77777777" w:rsidTr="005960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pct"/>
          </w:tcPr>
          <w:p w14:paraId="35D9C678" w14:textId="77777777" w:rsidR="004A5763" w:rsidRPr="00113C7C" w:rsidRDefault="004A5763" w:rsidP="00DE6589">
            <w:pPr>
              <w:spacing w:after="0" w:line="276" w:lineRule="auto"/>
              <w:rPr>
                <w:szCs w:val="22"/>
                <w:lang w:val="en-GB"/>
              </w:rPr>
            </w:pPr>
            <w:r w:rsidRPr="00113C7C">
              <w:rPr>
                <w:szCs w:val="22"/>
                <w:lang w:val="en-GB"/>
              </w:rPr>
              <w:t>Validation message</w:t>
            </w:r>
          </w:p>
        </w:tc>
        <w:tc>
          <w:tcPr>
            <w:tcW w:w="4327" w:type="pct"/>
          </w:tcPr>
          <w:p w14:paraId="2F2E08F4" w14:textId="07819E35" w:rsidR="0054352C" w:rsidRPr="00756136" w:rsidRDefault="004A5763" w:rsidP="00DE6589">
            <w:pPr>
              <w:spacing w:after="0" w:line="276" w:lineRule="auto"/>
              <w:cnfStyle w:val="100000000000" w:firstRow="1" w:lastRow="0" w:firstColumn="0" w:lastColumn="0" w:oddVBand="0" w:evenVBand="0" w:oddHBand="0" w:evenHBand="0" w:firstRowFirstColumn="0" w:firstRowLastColumn="0" w:lastRowFirstColumn="0" w:lastRowLastColumn="0"/>
              <w:rPr>
                <w:szCs w:val="22"/>
                <w:lang w:val="en-GB"/>
              </w:rPr>
            </w:pPr>
            <w:r w:rsidRPr="00756136">
              <w:rPr>
                <w:szCs w:val="22"/>
                <w:lang w:val="en-GB"/>
              </w:rPr>
              <w:t>“</w:t>
            </w:r>
            <w:r w:rsidR="0054352C" w:rsidRPr="00756136">
              <w:rPr>
                <w:szCs w:val="22"/>
                <w:lang w:val="en-GB"/>
              </w:rPr>
              <w:t>Production of thermally generated electricity does not have corresponding fuel combustion activity</w:t>
            </w:r>
            <w:r w:rsidR="009478E4">
              <w:rPr>
                <w:szCs w:val="22"/>
                <w:lang w:val="en-GB"/>
              </w:rPr>
              <w:br/>
            </w:r>
          </w:p>
          <w:p w14:paraId="4EE60FDA" w14:textId="061425B8" w:rsidR="004A5763" w:rsidRPr="00756136" w:rsidRDefault="0054352C" w:rsidP="003313AC">
            <w:pPr>
              <w:spacing w:before="0" w:line="276" w:lineRule="auto"/>
              <w:cnfStyle w:val="100000000000" w:firstRow="1" w:lastRow="0" w:firstColumn="0" w:lastColumn="0" w:oddVBand="0" w:evenVBand="0" w:oddHBand="0" w:evenHBand="0" w:firstRowFirstColumn="0" w:firstRowLastColumn="0" w:lastRowFirstColumn="0" w:lastRowLastColumn="0"/>
              <w:rPr>
                <w:szCs w:val="22"/>
                <w:lang w:val="en-GB"/>
              </w:rPr>
            </w:pPr>
            <w:r w:rsidRPr="00D71FE8">
              <w:rPr>
                <w:b w:val="0"/>
                <w:bCs/>
                <w:szCs w:val="22"/>
                <w:lang w:val="en-GB"/>
              </w:rPr>
              <w:t>When the production of electricity (thermal generation) is reported, the reporter must also report the combustion of any fuel used to produce that electricity if the amount of electricity produced exceeds the threshold under Regulation 4.22(1)(a)(</w:t>
            </w:r>
            <w:proofErr w:type="spellStart"/>
            <w:r w:rsidRPr="00D71FE8">
              <w:rPr>
                <w:b w:val="0"/>
                <w:bCs/>
                <w:szCs w:val="22"/>
                <w:lang w:val="en-GB"/>
              </w:rPr>
              <w:t>i</w:t>
            </w:r>
            <w:proofErr w:type="spellEnd"/>
            <w:r w:rsidRPr="00D71FE8">
              <w:rPr>
                <w:b w:val="0"/>
                <w:bCs/>
                <w:szCs w:val="22"/>
                <w:lang w:val="en-GB"/>
              </w:rPr>
              <w:t>)</w:t>
            </w:r>
            <w:r w:rsidR="004A5763" w:rsidRPr="00D71FE8">
              <w:rPr>
                <w:b w:val="0"/>
                <w:bCs/>
                <w:szCs w:val="22"/>
                <w:lang w:val="en-GB"/>
              </w:rPr>
              <w:t>.</w:t>
            </w:r>
            <w:r w:rsidR="004A5763" w:rsidRPr="00756136">
              <w:rPr>
                <w:szCs w:val="22"/>
                <w:lang w:val="en-GB"/>
              </w:rPr>
              <w:t>”</w:t>
            </w:r>
          </w:p>
        </w:tc>
      </w:tr>
      <w:tr w:rsidR="004A5763" w:rsidRPr="00756136" w14:paraId="5569396F" w14:textId="77777777" w:rsidTr="0059607E">
        <w:tc>
          <w:tcPr>
            <w:cnfStyle w:val="001000000000" w:firstRow="0" w:lastRow="0" w:firstColumn="1" w:lastColumn="0" w:oddVBand="0" w:evenVBand="0" w:oddHBand="0" w:evenHBand="0" w:firstRowFirstColumn="0" w:firstRowLastColumn="0" w:lastRowFirstColumn="0" w:lastRowLastColumn="0"/>
            <w:tcW w:w="673" w:type="pct"/>
          </w:tcPr>
          <w:p w14:paraId="3C855ADA" w14:textId="77777777" w:rsidR="004A5763" w:rsidRPr="00756136" w:rsidRDefault="004A5763" w:rsidP="00DE6589">
            <w:pPr>
              <w:spacing w:after="0" w:line="276" w:lineRule="auto"/>
              <w:rPr>
                <w:szCs w:val="22"/>
                <w:lang w:val="en-GB"/>
              </w:rPr>
            </w:pPr>
            <w:r w:rsidRPr="00756136">
              <w:rPr>
                <w:szCs w:val="22"/>
                <w:lang w:val="en-GB"/>
              </w:rPr>
              <w:t>Explanation</w:t>
            </w:r>
          </w:p>
        </w:tc>
        <w:tc>
          <w:tcPr>
            <w:tcW w:w="4327" w:type="pct"/>
          </w:tcPr>
          <w:p w14:paraId="62FB2B0B" w14:textId="79513AF2" w:rsidR="004A5763" w:rsidRPr="00756136" w:rsidRDefault="004A5763" w:rsidP="003313AC">
            <w:pPr>
              <w:cnfStyle w:val="000000000000" w:firstRow="0" w:lastRow="0" w:firstColumn="0" w:lastColumn="0" w:oddVBand="0" w:evenVBand="0" w:oddHBand="0" w:evenHBand="0" w:firstRowFirstColumn="0" w:firstRowLastColumn="0" w:lastRowFirstColumn="0" w:lastRowLastColumn="0"/>
              <w:rPr>
                <w:lang w:val="en-GB"/>
              </w:rPr>
            </w:pPr>
            <w:r w:rsidRPr="00756136">
              <w:rPr>
                <w:lang w:val="en-GB"/>
              </w:rPr>
              <w:t xml:space="preserve">The above </w:t>
            </w:r>
            <w:r w:rsidR="000873CE">
              <w:rPr>
                <w:lang w:val="en-GB"/>
              </w:rPr>
              <w:t>validation</w:t>
            </w:r>
            <w:r w:rsidRPr="00756136">
              <w:rPr>
                <w:lang w:val="en-GB"/>
              </w:rPr>
              <w:t xml:space="preserve"> will appear when </w:t>
            </w:r>
            <w:r w:rsidR="00971A38" w:rsidRPr="00DF37A3">
              <w:rPr>
                <w:lang w:val="en-GB"/>
              </w:rPr>
              <w:t>production of thermally</w:t>
            </w:r>
            <w:r w:rsidR="00FB120C" w:rsidRPr="00DF37A3">
              <w:rPr>
                <w:lang w:val="en-GB"/>
              </w:rPr>
              <w:t xml:space="preserve"> generated electricity</w:t>
            </w:r>
            <w:r w:rsidR="00C41AF8" w:rsidRPr="00DF37A3">
              <w:rPr>
                <w:lang w:val="en-GB"/>
              </w:rPr>
              <w:t xml:space="preserve"> </w:t>
            </w:r>
            <w:r w:rsidR="00AE55C9" w:rsidRPr="00DF37A3">
              <w:rPr>
                <w:lang w:val="en-GB"/>
              </w:rPr>
              <w:t>has been reported but there is no corresponding</w:t>
            </w:r>
            <w:r w:rsidRPr="00756136">
              <w:rPr>
                <w:lang w:val="en-GB"/>
              </w:rPr>
              <w:t xml:space="preserve"> amount of fuel combusted to generate electricity</w:t>
            </w:r>
            <w:r w:rsidR="00756136" w:rsidRPr="00DF37A3">
              <w:rPr>
                <w:lang w:val="en-GB"/>
              </w:rPr>
              <w:t>.</w:t>
            </w:r>
          </w:p>
          <w:p w14:paraId="58AF3AA2" w14:textId="77777777" w:rsidR="004A5763" w:rsidRPr="00756136" w:rsidRDefault="004A5763" w:rsidP="003313AC">
            <w:pPr>
              <w:cnfStyle w:val="000000000000" w:firstRow="0" w:lastRow="0" w:firstColumn="0" w:lastColumn="0" w:oddVBand="0" w:evenVBand="0" w:oddHBand="0" w:evenHBand="0" w:firstRowFirstColumn="0" w:firstRowLastColumn="0" w:lastRowFirstColumn="0" w:lastRowLastColumn="0"/>
              <w:rPr>
                <w:b/>
                <w:lang w:val="en-GB"/>
              </w:rPr>
            </w:pPr>
            <w:r w:rsidRPr="00756136">
              <w:rPr>
                <w:lang w:val="en-GB"/>
              </w:rPr>
              <w:t>If electricity has been generated from a thermal process (for example, the combustion of a fuel in an engine used to drive a generator or produce steam used to drive a turbine), the amount of electricity generated and the amount of fuel combusted in the process must be reported, if relevant reporting thresholds have been met.</w:t>
            </w:r>
          </w:p>
        </w:tc>
      </w:tr>
      <w:tr w:rsidR="004A5763" w:rsidRPr="00E428A1" w14:paraId="15D6E743" w14:textId="77777777" w:rsidTr="0059607E">
        <w:tc>
          <w:tcPr>
            <w:cnfStyle w:val="001000000000" w:firstRow="0" w:lastRow="0" w:firstColumn="1" w:lastColumn="0" w:oddVBand="0" w:evenVBand="0" w:oddHBand="0" w:evenHBand="0" w:firstRowFirstColumn="0" w:firstRowLastColumn="0" w:lastRowFirstColumn="0" w:lastRowLastColumn="0"/>
            <w:tcW w:w="673" w:type="pct"/>
          </w:tcPr>
          <w:p w14:paraId="40CD3655" w14:textId="77777777" w:rsidR="004A5763" w:rsidRPr="00756136" w:rsidRDefault="004A5763" w:rsidP="004E4AFD">
            <w:pPr>
              <w:spacing w:after="0" w:line="276" w:lineRule="auto"/>
              <w:rPr>
                <w:szCs w:val="22"/>
                <w:lang w:val="en-GB"/>
              </w:rPr>
            </w:pPr>
            <w:r w:rsidRPr="00756136">
              <w:rPr>
                <w:szCs w:val="22"/>
                <w:lang w:val="en-GB"/>
              </w:rPr>
              <w:lastRenderedPageBreak/>
              <w:t>Suggested resolution</w:t>
            </w:r>
          </w:p>
        </w:tc>
        <w:tc>
          <w:tcPr>
            <w:tcW w:w="4327" w:type="pct"/>
          </w:tcPr>
          <w:p w14:paraId="1BAA4102" w14:textId="77777777" w:rsidR="004A5763" w:rsidRPr="00756136" w:rsidRDefault="004A5763" w:rsidP="003313AC">
            <w:pPr>
              <w:cnfStyle w:val="000000000000" w:firstRow="0" w:lastRow="0" w:firstColumn="0" w:lastColumn="0" w:oddVBand="0" w:evenVBand="0" w:oddHBand="0" w:evenHBand="0" w:firstRowFirstColumn="0" w:firstRowLastColumn="0" w:lastRowFirstColumn="0" w:lastRowLastColumn="0"/>
              <w:rPr>
                <w:lang w:val="en-GB"/>
              </w:rPr>
            </w:pPr>
            <w:r w:rsidRPr="00756136">
              <w:rPr>
                <w:lang w:val="en-GB"/>
              </w:rPr>
              <w:t xml:space="preserve">The thresholds for reporting the combustion of fuels to generate electricity are the same as for transport and stationary energy purposes. </w:t>
            </w:r>
          </w:p>
          <w:p w14:paraId="6D8CB34E" w14:textId="67D06F29" w:rsidR="004A5763" w:rsidRPr="00756136" w:rsidRDefault="004A5763" w:rsidP="003313AC">
            <w:pPr>
              <w:spacing w:before="0" w:after="0"/>
              <w:cnfStyle w:val="000000000000" w:firstRow="0" w:lastRow="0" w:firstColumn="0" w:lastColumn="0" w:oddVBand="0" w:evenVBand="0" w:oddHBand="0" w:evenHBand="0" w:firstRowFirstColumn="0" w:firstRowLastColumn="0" w:lastRowFirstColumn="0" w:lastRowLastColumn="0"/>
              <w:rPr>
                <w:lang w:val="en-GB"/>
              </w:rPr>
            </w:pPr>
            <w:r w:rsidRPr="00756136">
              <w:rPr>
                <w:lang w:val="en-GB"/>
              </w:rPr>
              <w:t xml:space="preserve">The following activities need to be </w:t>
            </w:r>
            <w:r w:rsidRPr="00756136" w:rsidDel="00B04D57">
              <w:rPr>
                <w:lang w:val="en-GB"/>
              </w:rPr>
              <w:t>reported</w:t>
            </w:r>
            <w:r w:rsidR="00B04D57" w:rsidRPr="00756136">
              <w:rPr>
                <w:lang w:val="en-GB"/>
              </w:rPr>
              <w:t xml:space="preserve"> if</w:t>
            </w:r>
            <w:r w:rsidRPr="00756136">
              <w:rPr>
                <w:lang w:val="en-GB"/>
              </w:rPr>
              <w:t xml:space="preserve"> the relevant reporting threshold has been met. The combustion of fuels to generate electricity when used in: </w:t>
            </w:r>
          </w:p>
          <w:p w14:paraId="49C79F69" w14:textId="77777777" w:rsidR="004A5763" w:rsidRPr="00756136" w:rsidRDefault="004A5763" w:rsidP="003313AC">
            <w:pPr>
              <w:pStyle w:val="CERbullets"/>
              <w:cnfStyle w:val="000000000000" w:firstRow="0" w:lastRow="0" w:firstColumn="0" w:lastColumn="0" w:oddVBand="0" w:evenVBand="0" w:oddHBand="0" w:evenHBand="0" w:firstRowFirstColumn="0" w:firstRowLastColumn="0" w:lastRowFirstColumn="0" w:lastRowLastColumn="0"/>
              <w:rPr>
                <w:lang w:val="en-GB"/>
              </w:rPr>
            </w:pPr>
            <w:r w:rsidRPr="00756136">
              <w:rPr>
                <w:lang w:val="en-GB"/>
              </w:rPr>
              <w:t>dedicated generators</w:t>
            </w:r>
          </w:p>
          <w:p w14:paraId="0A3B6487" w14:textId="42457613" w:rsidR="004A5763" w:rsidRPr="00756136" w:rsidRDefault="004A5763" w:rsidP="003313AC">
            <w:pPr>
              <w:pStyle w:val="CERbullets"/>
              <w:cnfStyle w:val="000000000000" w:firstRow="0" w:lastRow="0" w:firstColumn="0" w:lastColumn="0" w:oddVBand="0" w:evenVBand="0" w:oddHBand="0" w:evenHBand="0" w:firstRowFirstColumn="0" w:firstRowLastColumn="0" w:lastRowFirstColumn="0" w:lastRowLastColumn="0"/>
              <w:rPr>
                <w:lang w:val="en-GB"/>
              </w:rPr>
            </w:pPr>
            <w:r w:rsidRPr="00756136">
              <w:rPr>
                <w:lang w:val="en-GB"/>
              </w:rPr>
              <w:t>co-generation units</w:t>
            </w:r>
          </w:p>
          <w:p w14:paraId="238C394E" w14:textId="77777777" w:rsidR="004A5763" w:rsidRPr="00756136" w:rsidRDefault="004A5763" w:rsidP="003313AC">
            <w:pPr>
              <w:pStyle w:val="CERbullets"/>
              <w:cnfStyle w:val="000000000000" w:firstRow="0" w:lastRow="0" w:firstColumn="0" w:lastColumn="0" w:oddVBand="0" w:evenVBand="0" w:oddHBand="0" w:evenHBand="0" w:firstRowFirstColumn="0" w:firstRowLastColumn="0" w:lastRowFirstColumn="0" w:lastRowLastColumn="0"/>
              <w:rPr>
                <w:lang w:val="en-GB"/>
              </w:rPr>
            </w:pPr>
            <w:r w:rsidRPr="00756136">
              <w:rPr>
                <w:lang w:val="en-GB"/>
              </w:rPr>
              <w:t>engines that generate electricity in addition to performing another function.</w:t>
            </w:r>
          </w:p>
          <w:p w14:paraId="557F29E5" w14:textId="20CFB49B" w:rsidR="004A5763" w:rsidRPr="00756136" w:rsidRDefault="004A5763" w:rsidP="003313AC">
            <w:pPr>
              <w:cnfStyle w:val="000000000000" w:firstRow="0" w:lastRow="0" w:firstColumn="0" w:lastColumn="0" w:oddVBand="0" w:evenVBand="0" w:oddHBand="0" w:evenHBand="0" w:firstRowFirstColumn="0" w:firstRowLastColumn="0" w:lastRowFirstColumn="0" w:lastRowLastColumn="0"/>
              <w:rPr>
                <w:lang w:val="en-GB"/>
              </w:rPr>
            </w:pPr>
            <w:r w:rsidRPr="00756136">
              <w:rPr>
                <w:lang w:val="en-GB"/>
              </w:rPr>
              <w:t>Please refer to 4.22(1)(a)(</w:t>
            </w:r>
            <w:proofErr w:type="spellStart"/>
            <w:r w:rsidRPr="00756136">
              <w:rPr>
                <w:lang w:val="en-GB"/>
              </w:rPr>
              <w:t>i</w:t>
            </w:r>
            <w:proofErr w:type="spellEnd"/>
            <w:r w:rsidRPr="00756136">
              <w:rPr>
                <w:lang w:val="en-GB"/>
              </w:rPr>
              <w:t xml:space="preserve">) of the NGER Regulations. Guidance material for reporting fuel combustion and electricity production can be found </w:t>
            </w:r>
            <w:r w:rsidR="00545E8B">
              <w:rPr>
                <w:lang w:val="en-GB"/>
              </w:rPr>
              <w:t>o</w:t>
            </w:r>
            <w:r w:rsidRPr="00756136">
              <w:rPr>
                <w:lang w:val="en-GB"/>
              </w:rPr>
              <w:t xml:space="preserve">n the </w:t>
            </w:r>
            <w:bookmarkStart w:id="30" w:name="_Hlk48740205"/>
            <w:r w:rsidRPr="00CE64AA">
              <w:fldChar w:fldCharType="begin"/>
            </w:r>
            <w:r w:rsidR="002548D6">
              <w:rPr>
                <w:kern w:val="0"/>
              </w:rPr>
              <w:instrText>HYPERLINK "https://cer.gov.au/schemes/national-greenhouse-and-energy-reporting-scheme/report-emissions-and-energy/nger-reporting-guides" \o "A link to the NGER reporting guides page of the Clean Energy Regulator website"</w:instrText>
            </w:r>
            <w:r w:rsidRPr="00CE64AA">
              <w:fldChar w:fldCharType="separate"/>
            </w:r>
            <w:r w:rsidR="005C40E8" w:rsidRPr="00756136">
              <w:rPr>
                <w:rStyle w:val="Hyperlink"/>
                <w:rFonts w:asciiTheme="minorHAnsi" w:hAnsiTheme="minorHAnsi"/>
                <w:lang w:val="en-GB"/>
              </w:rPr>
              <w:t>NGER reporting guides</w:t>
            </w:r>
            <w:r w:rsidRPr="00CE64AA">
              <w:rPr>
                <w:rStyle w:val="Hyperlink"/>
                <w:rFonts w:asciiTheme="minorHAnsi" w:hAnsiTheme="minorHAnsi"/>
                <w:lang w:val="en-GB"/>
              </w:rPr>
              <w:fldChar w:fldCharType="end"/>
            </w:r>
            <w:bookmarkEnd w:id="30"/>
            <w:r w:rsidRPr="00756136">
              <w:rPr>
                <w:rStyle w:val="FootnoteReference"/>
                <w:color w:val="005874"/>
                <w:lang w:val="en-GB"/>
              </w:rPr>
              <w:footnoteReference w:id="13"/>
            </w:r>
            <w:r w:rsidR="00545E8B">
              <w:rPr>
                <w:rStyle w:val="Hyperlink"/>
                <w:rFonts w:asciiTheme="minorHAnsi" w:hAnsiTheme="minorHAnsi"/>
                <w:lang w:val="en-GB"/>
              </w:rPr>
              <w:t xml:space="preserve"> page</w:t>
            </w:r>
            <w:r w:rsidR="00D31FB9">
              <w:rPr>
                <w:rStyle w:val="Hyperlink"/>
                <w:rFonts w:asciiTheme="minorHAnsi" w:hAnsiTheme="minorHAnsi"/>
                <w:lang w:val="en-GB"/>
              </w:rPr>
              <w:t xml:space="preserve"> of our website</w:t>
            </w:r>
            <w:r w:rsidR="009E3031">
              <w:t>.</w:t>
            </w:r>
          </w:p>
          <w:p w14:paraId="0A7717C0" w14:textId="77777777" w:rsidR="004A5763" w:rsidRPr="00756136" w:rsidRDefault="004A5763" w:rsidP="003313AC">
            <w:pPr>
              <w:cnfStyle w:val="000000000000" w:firstRow="0" w:lastRow="0" w:firstColumn="0" w:lastColumn="0" w:oddVBand="0" w:evenVBand="0" w:oddHBand="0" w:evenHBand="0" w:firstRowFirstColumn="0" w:firstRowLastColumn="0" w:lastRowFirstColumn="0" w:lastRowLastColumn="0"/>
              <w:rPr>
                <w:szCs w:val="22"/>
                <w:lang w:val="en-GB"/>
              </w:rPr>
            </w:pPr>
            <w:r w:rsidRPr="00756136">
              <w:rPr>
                <w:lang w:val="en-GB"/>
              </w:rPr>
              <w:t>If the amount of fuel combusted to generate electricity falls below the reporting thresholds, and you have chosen not to include it in your report, you should acknowledge the validation message. You may also choose to include a comment to this effect.</w:t>
            </w:r>
          </w:p>
        </w:tc>
      </w:tr>
    </w:tbl>
    <w:p w14:paraId="7072A5E4" w14:textId="77777777" w:rsidR="004A5763" w:rsidRPr="00CE64AA" w:rsidRDefault="004A5763" w:rsidP="004A5763">
      <w:pPr>
        <w:spacing w:line="276" w:lineRule="auto"/>
        <w:rPr>
          <w:highlight w:val="yellow"/>
          <w:lang w:val="en-GB"/>
        </w:rPr>
      </w:pPr>
    </w:p>
    <w:p w14:paraId="73A1FDB8" w14:textId="77777777" w:rsidR="004A5763" w:rsidRPr="006A36A6" w:rsidRDefault="004A5763" w:rsidP="004E4AFD">
      <w:pPr>
        <w:pStyle w:val="Heading3"/>
        <w:spacing w:after="240"/>
        <w:rPr>
          <w:lang w:val="en-GB"/>
        </w:rPr>
      </w:pPr>
      <w:bookmarkStart w:id="31" w:name="_Toc518477238"/>
      <w:bookmarkStart w:id="32" w:name="_Toc519584957"/>
      <w:bookmarkStart w:id="33" w:name="_Toc106974717"/>
      <w:bookmarkStart w:id="34" w:name="_Toc235705186"/>
      <w:r w:rsidRPr="006A36A6">
        <w:rPr>
          <w:lang w:val="en-GB"/>
        </w:rPr>
        <w:t>Electricity consumption</w:t>
      </w:r>
      <w:bookmarkEnd w:id="31"/>
      <w:bookmarkEnd w:id="32"/>
      <w:bookmarkEnd w:id="33"/>
      <w:bookmarkEnd w:id="34"/>
    </w:p>
    <w:tbl>
      <w:tblPr>
        <w:tblStyle w:val="CERTable"/>
        <w:tblW w:w="5000" w:type="pct"/>
        <w:tblLook w:val="06A0" w:firstRow="1" w:lastRow="0" w:firstColumn="1" w:lastColumn="0" w:noHBand="1" w:noVBand="1"/>
      </w:tblPr>
      <w:tblGrid>
        <w:gridCol w:w="1311"/>
        <w:gridCol w:w="8429"/>
      </w:tblGrid>
      <w:tr w:rsidR="004A5763" w:rsidRPr="00DF08F6" w14:paraId="09D852F2" w14:textId="77777777" w:rsidTr="005960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pct"/>
          </w:tcPr>
          <w:p w14:paraId="288F7C7F" w14:textId="77777777" w:rsidR="004A5763" w:rsidRPr="00DF08F6" w:rsidRDefault="004A5763" w:rsidP="004E4AFD">
            <w:pPr>
              <w:spacing w:after="0" w:line="276" w:lineRule="auto"/>
              <w:rPr>
                <w:lang w:val="en-GB"/>
              </w:rPr>
            </w:pPr>
            <w:r w:rsidRPr="00B242A4">
              <w:rPr>
                <w:szCs w:val="22"/>
                <w:lang w:val="en-GB"/>
              </w:rPr>
              <w:t>Validation message</w:t>
            </w:r>
          </w:p>
        </w:tc>
        <w:tc>
          <w:tcPr>
            <w:tcW w:w="4327" w:type="pct"/>
          </w:tcPr>
          <w:p w14:paraId="03841062" w14:textId="14924962" w:rsidR="009908B3" w:rsidRPr="009908B3" w:rsidRDefault="004A5763" w:rsidP="009908B3">
            <w:pPr>
              <w:spacing w:line="276" w:lineRule="auto"/>
              <w:cnfStyle w:val="100000000000" w:firstRow="1" w:lastRow="0" w:firstColumn="0" w:lastColumn="0" w:oddVBand="0" w:evenVBand="0" w:oddHBand="0" w:evenHBand="0" w:firstRowFirstColumn="0" w:firstRowLastColumn="0" w:lastRowFirstColumn="0" w:lastRowLastColumn="0"/>
              <w:rPr>
                <w:lang w:val="en-GB"/>
              </w:rPr>
            </w:pPr>
            <w:r w:rsidRPr="00CC3444">
              <w:rPr>
                <w:lang w:val="en-GB"/>
              </w:rPr>
              <w:t>“</w:t>
            </w:r>
            <w:r w:rsidR="009908B3" w:rsidRPr="009908B3">
              <w:rPr>
                <w:lang w:val="en-GB"/>
              </w:rPr>
              <w:t>Combustion of fuel for electricity production does not have corresponding electricity production activity</w:t>
            </w:r>
          </w:p>
          <w:p w14:paraId="7BAF2982" w14:textId="33837DC5" w:rsidR="004A5763" w:rsidRPr="006D16C7" w:rsidRDefault="009908B3" w:rsidP="006606A8">
            <w:pPr>
              <w:spacing w:before="0" w:line="276" w:lineRule="auto"/>
              <w:cnfStyle w:val="100000000000" w:firstRow="1" w:lastRow="0" w:firstColumn="0" w:lastColumn="0" w:oddVBand="0" w:evenVBand="0" w:oddHBand="0" w:evenHBand="0" w:firstRowFirstColumn="0" w:firstRowLastColumn="0" w:lastRowFirstColumn="0" w:lastRowLastColumn="0"/>
              <w:rPr>
                <w:b w:val="0"/>
                <w:bCs/>
                <w:lang w:val="en-GB"/>
              </w:rPr>
            </w:pPr>
            <w:r w:rsidRPr="006D16C7">
              <w:rPr>
                <w:b w:val="0"/>
                <w:bCs/>
                <w:lang w:val="en-GB"/>
              </w:rPr>
              <w:t>When fuel combustion for the purpose of producing electricity is reported, the reporter must also report the production of 'electricity (thermal generation)' or 'electricity (biogas generation)' unless that amount falls below the threshold under Regulation 4.20(3).</w:t>
            </w:r>
            <w:r w:rsidR="003565F8" w:rsidRPr="006D16C7">
              <w:rPr>
                <w:b w:val="0"/>
                <w:bCs/>
                <w:lang w:val="en-GB"/>
              </w:rPr>
              <w:t>”</w:t>
            </w:r>
          </w:p>
        </w:tc>
      </w:tr>
      <w:tr w:rsidR="004A5763" w:rsidRPr="00DF08F6" w14:paraId="27BC2C4A" w14:textId="77777777" w:rsidTr="0059607E">
        <w:tc>
          <w:tcPr>
            <w:cnfStyle w:val="001000000000" w:firstRow="0" w:lastRow="0" w:firstColumn="1" w:lastColumn="0" w:oddVBand="0" w:evenVBand="0" w:oddHBand="0" w:evenHBand="0" w:firstRowFirstColumn="0" w:firstRowLastColumn="0" w:lastRowFirstColumn="0" w:lastRowLastColumn="0"/>
            <w:tcW w:w="673" w:type="pct"/>
          </w:tcPr>
          <w:p w14:paraId="4AF2C4FC" w14:textId="77777777" w:rsidR="004A5763" w:rsidRPr="00DF08F6" w:rsidRDefault="004A5763" w:rsidP="00327872">
            <w:pPr>
              <w:spacing w:after="0" w:line="276" w:lineRule="auto"/>
              <w:rPr>
                <w:lang w:val="en-GB"/>
              </w:rPr>
            </w:pPr>
            <w:r w:rsidRPr="00B242A4">
              <w:rPr>
                <w:szCs w:val="22"/>
                <w:lang w:val="en-GB"/>
              </w:rPr>
              <w:t>Explanation</w:t>
            </w:r>
          </w:p>
        </w:tc>
        <w:tc>
          <w:tcPr>
            <w:tcW w:w="4327" w:type="pct"/>
          </w:tcPr>
          <w:p w14:paraId="5FEF4657" w14:textId="2EA8DBDA" w:rsidR="004A5763" w:rsidRPr="00DF08F6" w:rsidRDefault="004A5763" w:rsidP="003313AC">
            <w:pPr>
              <w:cnfStyle w:val="000000000000" w:firstRow="0" w:lastRow="0" w:firstColumn="0" w:lastColumn="0" w:oddVBand="0" w:evenVBand="0" w:oddHBand="0" w:evenHBand="0" w:firstRowFirstColumn="0" w:firstRowLastColumn="0" w:lastRowFirstColumn="0" w:lastRowLastColumn="0"/>
              <w:rPr>
                <w:bCs/>
                <w:lang w:val="en-GB"/>
              </w:rPr>
            </w:pPr>
            <w:r w:rsidRPr="00DF08F6">
              <w:rPr>
                <w:bCs/>
                <w:lang w:val="en-GB"/>
              </w:rPr>
              <w:t xml:space="preserve">The above </w:t>
            </w:r>
            <w:r w:rsidR="000873CE">
              <w:rPr>
                <w:lang w:val="en-GB"/>
              </w:rPr>
              <w:t>validation</w:t>
            </w:r>
            <w:r w:rsidRPr="00DF08F6">
              <w:rPr>
                <w:bCs/>
                <w:lang w:val="en-GB"/>
              </w:rPr>
              <w:t xml:space="preserve"> will appear when the amount of electricity generated from a thermal process has not been reported for a facility, when the fuel combusted to generate electricity has been reported.</w:t>
            </w:r>
          </w:p>
          <w:p w14:paraId="2D421C8C" w14:textId="77777777" w:rsidR="004A5763" w:rsidRPr="00327872" w:rsidRDefault="004A5763" w:rsidP="003313AC">
            <w:pPr>
              <w:cnfStyle w:val="000000000000" w:firstRow="0" w:lastRow="0" w:firstColumn="0" w:lastColumn="0" w:oddVBand="0" w:evenVBand="0" w:oddHBand="0" w:evenHBand="0" w:firstRowFirstColumn="0" w:firstRowLastColumn="0" w:lastRowFirstColumn="0" w:lastRowLastColumn="0"/>
              <w:rPr>
                <w:bCs/>
                <w:lang w:val="en-GB"/>
              </w:rPr>
            </w:pPr>
            <w:r w:rsidRPr="00DF08F6">
              <w:rPr>
                <w:bCs/>
                <w:lang w:val="en-GB"/>
              </w:rPr>
              <w:t>If electricity has been generated from a thermal process, both the amount of fuel combusted in the process and the amount of electricity generated must be reported, if the relevant reporting threshold has been met. For example, the combustion of a fuel in an engine used to drive a generator or the production of steam to drive a turbine.</w:t>
            </w:r>
          </w:p>
        </w:tc>
      </w:tr>
      <w:tr w:rsidR="004A5763" w:rsidRPr="00E428A1" w14:paraId="5D04DF6A" w14:textId="77777777" w:rsidTr="0059607E">
        <w:tc>
          <w:tcPr>
            <w:cnfStyle w:val="001000000000" w:firstRow="0" w:lastRow="0" w:firstColumn="1" w:lastColumn="0" w:oddVBand="0" w:evenVBand="0" w:oddHBand="0" w:evenHBand="0" w:firstRowFirstColumn="0" w:firstRowLastColumn="0" w:lastRowFirstColumn="0" w:lastRowLastColumn="0"/>
            <w:tcW w:w="673" w:type="pct"/>
          </w:tcPr>
          <w:p w14:paraId="78FBCF0C" w14:textId="77777777" w:rsidR="004A5763" w:rsidRPr="00DF08F6" w:rsidRDefault="004A5763" w:rsidP="00327872">
            <w:pPr>
              <w:spacing w:after="0" w:line="276" w:lineRule="auto"/>
              <w:rPr>
                <w:lang w:val="en-GB"/>
              </w:rPr>
            </w:pPr>
            <w:r w:rsidRPr="003979E0">
              <w:rPr>
                <w:szCs w:val="22"/>
                <w:lang w:val="en-GB"/>
              </w:rPr>
              <w:lastRenderedPageBreak/>
              <w:t>Suggested resolution</w:t>
            </w:r>
          </w:p>
        </w:tc>
        <w:tc>
          <w:tcPr>
            <w:tcW w:w="4327" w:type="pct"/>
          </w:tcPr>
          <w:p w14:paraId="6F42FA17" w14:textId="77777777" w:rsidR="004A5763" w:rsidRPr="00DF08F6" w:rsidRDefault="004A5763" w:rsidP="003313AC">
            <w:pPr>
              <w:cnfStyle w:val="000000000000" w:firstRow="0" w:lastRow="0" w:firstColumn="0" w:lastColumn="0" w:oddVBand="0" w:evenVBand="0" w:oddHBand="0" w:evenHBand="0" w:firstRowFirstColumn="0" w:firstRowLastColumn="0" w:lastRowFirstColumn="0" w:lastRowLastColumn="0"/>
              <w:rPr>
                <w:bCs/>
                <w:lang w:val="en-GB"/>
              </w:rPr>
            </w:pPr>
            <w:r w:rsidRPr="00DF08F6">
              <w:rPr>
                <w:bCs/>
                <w:lang w:val="en-GB"/>
              </w:rPr>
              <w:t xml:space="preserve">If electricity has been generated at a facility from the combustion of fuels, the amount of electricity generated must be reported when the reporting threshold has been met. </w:t>
            </w:r>
          </w:p>
          <w:p w14:paraId="77813292" w14:textId="77777777" w:rsidR="004A5763" w:rsidRPr="00DF08F6" w:rsidRDefault="004A5763" w:rsidP="003313AC">
            <w:pPr>
              <w:cnfStyle w:val="000000000000" w:firstRow="0" w:lastRow="0" w:firstColumn="0" w:lastColumn="0" w:oddVBand="0" w:evenVBand="0" w:oddHBand="0" w:evenHBand="0" w:firstRowFirstColumn="0" w:firstRowLastColumn="0" w:lastRowFirstColumn="0" w:lastRowLastColumn="0"/>
              <w:rPr>
                <w:bCs/>
                <w:lang w:val="en-GB"/>
              </w:rPr>
            </w:pPr>
            <w:r w:rsidRPr="00DF08F6">
              <w:rPr>
                <w:bCs/>
                <w:lang w:val="en-GB"/>
              </w:rPr>
              <w:t xml:space="preserve">You will need to report separately each quantity of electricity that has been: </w:t>
            </w:r>
          </w:p>
          <w:p w14:paraId="327E12BC" w14:textId="77777777" w:rsidR="004A5763" w:rsidRPr="00DF08F6" w:rsidRDefault="004A5763" w:rsidP="001B337B">
            <w:pPr>
              <w:pStyle w:val="CERbullets"/>
              <w:ind w:left="357" w:hanging="357"/>
              <w:cnfStyle w:val="000000000000" w:firstRow="0" w:lastRow="0" w:firstColumn="0" w:lastColumn="0" w:oddVBand="0" w:evenVBand="0" w:oddHBand="0" w:evenHBand="0" w:firstRowFirstColumn="0" w:firstRowLastColumn="0" w:lastRowFirstColumn="0" w:lastRowLastColumn="0"/>
              <w:rPr>
                <w:bCs/>
                <w:lang w:val="en-GB"/>
              </w:rPr>
            </w:pPr>
            <w:r w:rsidRPr="00DF08F6">
              <w:rPr>
                <w:bCs/>
                <w:lang w:val="en-GB"/>
              </w:rPr>
              <w:t xml:space="preserve">supplied to an electricity transmission or distribution network </w:t>
            </w:r>
          </w:p>
          <w:p w14:paraId="29A18E57" w14:textId="77777777" w:rsidR="004A5763" w:rsidRPr="00DF08F6" w:rsidRDefault="004A5763" w:rsidP="001B337B">
            <w:pPr>
              <w:pStyle w:val="CERbullets"/>
              <w:ind w:left="357" w:hanging="357"/>
              <w:cnfStyle w:val="000000000000" w:firstRow="0" w:lastRow="0" w:firstColumn="0" w:lastColumn="0" w:oddVBand="0" w:evenVBand="0" w:oddHBand="0" w:evenHBand="0" w:firstRowFirstColumn="0" w:firstRowLastColumn="0" w:lastRowFirstColumn="0" w:lastRowLastColumn="0"/>
              <w:rPr>
                <w:bCs/>
                <w:lang w:val="en-GB"/>
              </w:rPr>
            </w:pPr>
            <w:r w:rsidRPr="00DF08F6">
              <w:rPr>
                <w:bCs/>
                <w:lang w:val="en-GB"/>
              </w:rPr>
              <w:t xml:space="preserve">supplied to another facility via direct connection </w:t>
            </w:r>
          </w:p>
          <w:p w14:paraId="35DE637E" w14:textId="77777777" w:rsidR="004A5763" w:rsidRPr="00DF08F6" w:rsidRDefault="004A5763" w:rsidP="001B337B">
            <w:pPr>
              <w:pStyle w:val="CERbullets"/>
              <w:ind w:left="357" w:hanging="357"/>
              <w:cnfStyle w:val="000000000000" w:firstRow="0" w:lastRow="0" w:firstColumn="0" w:lastColumn="0" w:oddVBand="0" w:evenVBand="0" w:oddHBand="0" w:evenHBand="0" w:firstRowFirstColumn="0" w:firstRowLastColumn="0" w:lastRowFirstColumn="0" w:lastRowLastColumn="0"/>
              <w:rPr>
                <w:bCs/>
                <w:lang w:val="en-GB"/>
              </w:rPr>
            </w:pPr>
            <w:r w:rsidRPr="00DF08F6">
              <w:rPr>
                <w:bCs/>
                <w:lang w:val="en-GB"/>
              </w:rPr>
              <w:t xml:space="preserve">generated for use onsite at the facility. </w:t>
            </w:r>
          </w:p>
          <w:p w14:paraId="2F9BA1FB" w14:textId="77777777" w:rsidR="004A5763" w:rsidRPr="00DF08F6" w:rsidRDefault="004A5763" w:rsidP="003313AC">
            <w:pPr>
              <w:cnfStyle w:val="000000000000" w:firstRow="0" w:lastRow="0" w:firstColumn="0" w:lastColumn="0" w:oddVBand="0" w:evenVBand="0" w:oddHBand="0" w:evenHBand="0" w:firstRowFirstColumn="0" w:firstRowLastColumn="0" w:lastRowFirstColumn="0" w:lastRowLastColumn="0"/>
              <w:rPr>
                <w:bCs/>
                <w:lang w:val="en-GB"/>
              </w:rPr>
            </w:pPr>
            <w:r w:rsidRPr="00DF08F6">
              <w:rPr>
                <w:bCs/>
                <w:lang w:val="en-GB"/>
              </w:rPr>
              <w:t>Please refer to Part 6.1 of the NGER Measurement Determination and Regulation 4.20 of the NGER Regulations.</w:t>
            </w:r>
          </w:p>
          <w:p w14:paraId="00A1DF6C" w14:textId="114AAE17" w:rsidR="004A5763" w:rsidRPr="00DF08F6" w:rsidRDefault="004A5763" w:rsidP="003313AC">
            <w:pPr>
              <w:cnfStyle w:val="000000000000" w:firstRow="0" w:lastRow="0" w:firstColumn="0" w:lastColumn="0" w:oddVBand="0" w:evenVBand="0" w:oddHBand="0" w:evenHBand="0" w:firstRowFirstColumn="0" w:firstRowLastColumn="0" w:lastRowFirstColumn="0" w:lastRowLastColumn="0"/>
              <w:rPr>
                <w:bCs/>
                <w:lang w:val="en-GB"/>
              </w:rPr>
            </w:pPr>
            <w:r w:rsidRPr="00DF08F6">
              <w:rPr>
                <w:bCs/>
                <w:lang w:val="en-GB"/>
              </w:rPr>
              <w:t xml:space="preserve">Guidance material for reporting fuel combustion and electricity production can be found on the </w:t>
            </w:r>
            <w:hyperlink r:id="rId33" w:tooltip="A link to the NGER reporting guides page of the Clean Energy Regulator website" w:history="1">
              <w:r w:rsidR="005C40E8" w:rsidRPr="00DF08F6">
                <w:rPr>
                  <w:rStyle w:val="Hyperlink"/>
                  <w:rFonts w:asciiTheme="minorHAnsi" w:hAnsiTheme="minorHAnsi"/>
                  <w:bCs/>
                  <w:lang w:val="en-GB"/>
                </w:rPr>
                <w:t>NGER reporting guides</w:t>
              </w:r>
            </w:hyperlink>
            <w:r w:rsidRPr="00DF08F6">
              <w:rPr>
                <w:rStyle w:val="FootnoteReference"/>
                <w:bCs/>
                <w:color w:val="005874"/>
                <w:lang w:val="en-GB"/>
              </w:rPr>
              <w:footnoteReference w:id="14"/>
            </w:r>
            <w:r w:rsidRPr="00DF08F6">
              <w:rPr>
                <w:bCs/>
                <w:lang w:val="en-GB"/>
              </w:rPr>
              <w:t xml:space="preserve"> page o</w:t>
            </w:r>
            <w:r w:rsidR="7FE32D17" w:rsidRPr="00DF08F6">
              <w:rPr>
                <w:bCs/>
                <w:lang w:val="en-GB"/>
              </w:rPr>
              <w:t>f</w:t>
            </w:r>
            <w:r w:rsidRPr="00DF08F6">
              <w:rPr>
                <w:bCs/>
                <w:lang w:val="en-GB"/>
              </w:rPr>
              <w:t xml:space="preserve"> our website.</w:t>
            </w:r>
          </w:p>
        </w:tc>
      </w:tr>
    </w:tbl>
    <w:p w14:paraId="15E99CD3" w14:textId="77777777" w:rsidR="00B56D35" w:rsidRPr="00B56D35" w:rsidRDefault="00B56D35" w:rsidP="00FB57D1">
      <w:pPr>
        <w:rPr>
          <w:lang w:val="en-GB"/>
        </w:rPr>
      </w:pPr>
      <w:bookmarkStart w:id="35" w:name="_Toc518477240"/>
      <w:bookmarkStart w:id="36" w:name="_Toc519584959"/>
    </w:p>
    <w:p w14:paraId="504C91A0" w14:textId="77AECB28" w:rsidR="00F63D54" w:rsidRPr="00F959F8" w:rsidRDefault="006C0AC7" w:rsidP="00F63D54">
      <w:pPr>
        <w:pStyle w:val="Heading3"/>
        <w:spacing w:after="240"/>
        <w:rPr>
          <w:lang w:val="en-GB"/>
        </w:rPr>
      </w:pPr>
      <w:bookmarkStart w:id="37" w:name="_Toc235705187"/>
      <w:r>
        <w:rPr>
          <w:lang w:val="en-GB"/>
        </w:rPr>
        <w:t>Market-based scope 2 emissions</w:t>
      </w:r>
      <w:bookmarkEnd w:id="37"/>
    </w:p>
    <w:tbl>
      <w:tblPr>
        <w:tblStyle w:val="CERTable"/>
        <w:tblW w:w="5000" w:type="pct"/>
        <w:tblLook w:val="0680" w:firstRow="0" w:lastRow="0" w:firstColumn="1" w:lastColumn="0" w:noHBand="1" w:noVBand="1"/>
      </w:tblPr>
      <w:tblGrid>
        <w:gridCol w:w="1311"/>
        <w:gridCol w:w="8429"/>
      </w:tblGrid>
      <w:tr w:rsidR="00F63D54" w:rsidRPr="00756136" w14:paraId="601CFEF8" w14:textId="77777777" w:rsidTr="005466A4">
        <w:tc>
          <w:tcPr>
            <w:cnfStyle w:val="001000000000" w:firstRow="0" w:lastRow="0" w:firstColumn="1" w:lastColumn="0" w:oddVBand="0" w:evenVBand="0" w:oddHBand="0" w:evenHBand="0" w:firstRowFirstColumn="0" w:firstRowLastColumn="0" w:lastRowFirstColumn="0" w:lastRowLastColumn="0"/>
            <w:tcW w:w="673" w:type="pct"/>
          </w:tcPr>
          <w:p w14:paraId="247B951F" w14:textId="77777777" w:rsidR="00F63D54" w:rsidRPr="00113C7C" w:rsidRDefault="00F63D54">
            <w:pPr>
              <w:spacing w:after="0" w:line="276" w:lineRule="auto"/>
              <w:rPr>
                <w:szCs w:val="22"/>
                <w:lang w:val="en-GB"/>
              </w:rPr>
            </w:pPr>
            <w:r w:rsidRPr="00113C7C">
              <w:rPr>
                <w:szCs w:val="22"/>
                <w:lang w:val="en-GB"/>
              </w:rPr>
              <w:t>Validation message</w:t>
            </w:r>
          </w:p>
        </w:tc>
        <w:tc>
          <w:tcPr>
            <w:tcW w:w="4327" w:type="pct"/>
          </w:tcPr>
          <w:p w14:paraId="2390547C" w14:textId="60509471" w:rsidR="00014691" w:rsidRPr="005466A4" w:rsidRDefault="00B56D35" w:rsidP="00FB57D1">
            <w:pPr>
              <w:spacing w:after="160" w:line="278" w:lineRule="auto"/>
              <w:cnfStyle w:val="000000000000" w:firstRow="0" w:lastRow="0" w:firstColumn="0" w:lastColumn="0" w:oddVBand="0" w:evenVBand="0" w:oddHBand="0" w:evenHBand="0" w:firstRowFirstColumn="0" w:firstRowLastColumn="0" w:lastRowFirstColumn="0" w:lastRowLastColumn="0"/>
              <w:rPr>
                <w:b/>
              </w:rPr>
            </w:pPr>
            <w:r w:rsidRPr="005466A4">
              <w:rPr>
                <w:b/>
              </w:rPr>
              <w:t>“</w:t>
            </w:r>
            <w:r w:rsidR="00014691" w:rsidRPr="005466A4">
              <w:rPr>
                <w:b/>
              </w:rPr>
              <w:t>Market-based scope 2 emissions activity has not been reported for this facility</w:t>
            </w:r>
          </w:p>
          <w:p w14:paraId="14496E66" w14:textId="20DE3A22" w:rsidR="00F63D54" w:rsidRPr="00756136" w:rsidRDefault="00014691" w:rsidP="00FB57D1">
            <w:pPr>
              <w:cnfStyle w:val="000000000000" w:firstRow="0" w:lastRow="0" w:firstColumn="0" w:lastColumn="0" w:oddVBand="0" w:evenVBand="0" w:oddHBand="0" w:evenHBand="0" w:firstRowFirstColumn="0" w:firstRowLastColumn="0" w:lastRowFirstColumn="0" w:lastRowLastColumn="0"/>
              <w:rPr>
                <w:szCs w:val="22"/>
                <w:lang w:val="en-GB"/>
              </w:rPr>
            </w:pPr>
            <w:r w:rsidRPr="00A96EE0">
              <w:rPr>
                <w:bCs/>
              </w:rPr>
              <w:t>If you choose to use the market-based method, you must report market-based scope 2 emissions for all facilities within your corporate structure that purchase or acquire electricity.</w:t>
            </w:r>
            <w:r w:rsidR="00B56D35" w:rsidRPr="00A96EE0">
              <w:rPr>
                <w:bCs/>
              </w:rPr>
              <w:t>”</w:t>
            </w:r>
          </w:p>
        </w:tc>
      </w:tr>
      <w:tr w:rsidR="00F63D54" w:rsidRPr="00756136" w14:paraId="5ED6AEFB" w14:textId="77777777" w:rsidTr="005466A4">
        <w:tc>
          <w:tcPr>
            <w:cnfStyle w:val="001000000000" w:firstRow="0" w:lastRow="0" w:firstColumn="1" w:lastColumn="0" w:oddVBand="0" w:evenVBand="0" w:oddHBand="0" w:evenHBand="0" w:firstRowFirstColumn="0" w:firstRowLastColumn="0" w:lastRowFirstColumn="0" w:lastRowLastColumn="0"/>
            <w:tcW w:w="673" w:type="pct"/>
          </w:tcPr>
          <w:p w14:paraId="536E479C" w14:textId="77777777" w:rsidR="00F63D54" w:rsidRPr="00756136" w:rsidRDefault="00F63D54">
            <w:pPr>
              <w:spacing w:after="0" w:line="276" w:lineRule="auto"/>
              <w:rPr>
                <w:szCs w:val="22"/>
                <w:lang w:val="en-GB"/>
              </w:rPr>
            </w:pPr>
            <w:r w:rsidRPr="00756136">
              <w:rPr>
                <w:szCs w:val="22"/>
                <w:lang w:val="en-GB"/>
              </w:rPr>
              <w:t>Explanation</w:t>
            </w:r>
          </w:p>
        </w:tc>
        <w:tc>
          <w:tcPr>
            <w:tcW w:w="4327" w:type="pct"/>
          </w:tcPr>
          <w:p w14:paraId="4C84BF4C" w14:textId="5E1A2520" w:rsidR="00D92C16" w:rsidRDefault="00F05D6F" w:rsidP="00D92C16">
            <w:pPr>
              <w:pStyle w:val="CERbullets"/>
              <w:numPr>
                <w:ilvl w:val="0"/>
                <w:numId w:val="0"/>
              </w:numPr>
              <w:cnfStyle w:val="000000000000" w:firstRow="0" w:lastRow="0" w:firstColumn="0" w:lastColumn="0" w:oddVBand="0" w:evenVBand="0" w:oddHBand="0" w:evenHBand="0" w:firstRowFirstColumn="0" w:firstRowLastColumn="0" w:lastRowFirstColumn="0" w:lastRowLastColumn="0"/>
            </w:pPr>
            <w:r>
              <w:t>When you choose to report a market-based scope 2 activity for a facility, you must report a market-based scope 2 emi</w:t>
            </w:r>
            <w:r w:rsidR="00652A28">
              <w:t>ssions activity for all facilities that</w:t>
            </w:r>
            <w:r w:rsidR="00305AC3">
              <w:t xml:space="preserve"> consume</w:t>
            </w:r>
            <w:r w:rsidR="00652A28">
              <w:t xml:space="preserve"> purchase</w:t>
            </w:r>
            <w:r w:rsidR="00305AC3">
              <w:t>d</w:t>
            </w:r>
            <w:r w:rsidR="00652A28">
              <w:t xml:space="preserve"> or acquire</w:t>
            </w:r>
            <w:r w:rsidR="00305AC3">
              <w:t>d</w:t>
            </w:r>
            <w:r w:rsidR="00652A28">
              <w:t xml:space="preserve"> electricity </w:t>
            </w:r>
            <w:r w:rsidR="00943FBF" w:rsidRPr="00B56D35">
              <w:t>(section 7.1(3) of the NGER Measurement Determination).</w:t>
            </w:r>
            <w:r w:rsidR="00D92C16">
              <w:br/>
            </w:r>
            <w:r w:rsidR="00D92C16">
              <w:br/>
            </w:r>
            <w:r w:rsidR="00D92C16" w:rsidRPr="00D92C16">
              <w:t>In most cases, this validation will need to be addressed by creating a market-based scope 2 emissions activity for the facility.</w:t>
            </w:r>
          </w:p>
          <w:p w14:paraId="5839A562" w14:textId="06D8FEA2" w:rsidR="00B51A80" w:rsidRPr="00BE6598" w:rsidRDefault="00B51A80" w:rsidP="005466A4">
            <w:pPr>
              <w:pStyle w:val="CERbullets"/>
              <w:numPr>
                <w:ilvl w:val="0"/>
                <w:numId w:val="0"/>
              </w:numPr>
              <w:cnfStyle w:val="000000000000" w:firstRow="0" w:lastRow="0" w:firstColumn="0" w:lastColumn="0" w:oddVBand="0" w:evenVBand="0" w:oddHBand="0" w:evenHBand="0" w:firstRowFirstColumn="0" w:firstRowLastColumn="0" w:lastRowFirstColumn="0" w:lastRowLastColumn="0"/>
            </w:pPr>
            <w:r w:rsidRPr="00B51A80">
              <w:t>There are limited circumstances where a market-based scope 2 emissions activity is not</w:t>
            </w:r>
            <w:r>
              <w:t xml:space="preserve"> </w:t>
            </w:r>
            <w:r w:rsidRPr="00B51A80">
              <w:t xml:space="preserve">required for a facility. These are uncommon and apply only where the </w:t>
            </w:r>
            <w:r w:rsidRPr="00BE6598">
              <w:t>facility:</w:t>
            </w:r>
          </w:p>
          <w:p w14:paraId="72E007F0" w14:textId="26EC0450" w:rsidR="008502ED" w:rsidRPr="00BE6598" w:rsidRDefault="008502ED" w:rsidP="008502ED">
            <w:pPr>
              <w:pStyle w:val="CERbullets"/>
              <w:cnfStyle w:val="000000000000" w:firstRow="0" w:lastRow="0" w:firstColumn="0" w:lastColumn="0" w:oddVBand="0" w:evenVBand="0" w:oddHBand="0" w:evenHBand="0" w:firstRowFirstColumn="0" w:firstRowLastColumn="0" w:lastRowFirstColumn="0" w:lastRowLastColumn="0"/>
            </w:pPr>
            <w:r w:rsidRPr="00BE6598">
              <w:t>did not purchase or acquire electricity during the reporting period</w:t>
            </w:r>
          </w:p>
          <w:p w14:paraId="38D4C565" w14:textId="77777777" w:rsidR="00822B39" w:rsidRPr="00BE6598" w:rsidRDefault="00822B39" w:rsidP="00822B39">
            <w:pPr>
              <w:pStyle w:val="CERbullets"/>
              <w:cnfStyle w:val="000000000000" w:firstRow="0" w:lastRow="0" w:firstColumn="0" w:lastColumn="0" w:oddVBand="0" w:evenVBand="0" w:oddHBand="0" w:evenHBand="0" w:firstRowFirstColumn="0" w:firstRowLastColumn="0" w:lastRowFirstColumn="0" w:lastRowLastColumn="0"/>
              <w:rPr>
                <w:lang w:val="en-GB"/>
              </w:rPr>
            </w:pPr>
            <w:r w:rsidRPr="00BE6598">
              <w:rPr>
                <w:lang w:val="en-GB"/>
              </w:rPr>
              <w:t>purchased or acquired electricity but none of the electricity was consumed by the operation of the facility, or</w:t>
            </w:r>
          </w:p>
          <w:p w14:paraId="55B13804" w14:textId="263EB6D2" w:rsidR="00D92C16" w:rsidRPr="00822B39" w:rsidRDefault="00822B39" w:rsidP="00822B39">
            <w:pPr>
              <w:pStyle w:val="CERbullets"/>
              <w:cnfStyle w:val="000000000000" w:firstRow="0" w:lastRow="0" w:firstColumn="0" w:lastColumn="0" w:oddVBand="0" w:evenVBand="0" w:oddHBand="0" w:evenHBand="0" w:firstRowFirstColumn="0" w:firstRowLastColumn="0" w:lastRowFirstColumn="0" w:lastRowLastColumn="0"/>
              <w:rPr>
                <w:lang w:val="en-GB"/>
              </w:rPr>
            </w:pPr>
            <w:r w:rsidRPr="00822B39">
              <w:rPr>
                <w:lang w:val="en-GB"/>
              </w:rPr>
              <w:t xml:space="preserve">purchased or acquired electricity and </w:t>
            </w:r>
            <w:r w:rsidR="000C3B02" w:rsidRPr="00822B39">
              <w:rPr>
                <w:lang w:val="en-GB"/>
              </w:rPr>
              <w:t>all</w:t>
            </w:r>
            <w:r w:rsidRPr="00822B39">
              <w:rPr>
                <w:lang w:val="en-GB"/>
              </w:rPr>
              <w:t xml:space="preserve"> that electricity was consumed as line losses in a transmission or distribution network.  </w:t>
            </w:r>
          </w:p>
          <w:p w14:paraId="0C916D83" w14:textId="085C4D02" w:rsidR="00652A28" w:rsidRPr="00B56D35" w:rsidRDefault="005B3C96" w:rsidP="00A1031E">
            <w:pPr>
              <w:pStyle w:val="CERbullets"/>
              <w:numPr>
                <w:ilvl w:val="0"/>
                <w:numId w:val="0"/>
              </w:numPr>
              <w:cnfStyle w:val="000000000000" w:firstRow="0" w:lastRow="0" w:firstColumn="0" w:lastColumn="0" w:oddVBand="0" w:evenVBand="0" w:oddHBand="0" w:evenHBand="0" w:firstRowFirstColumn="0" w:firstRowLastColumn="0" w:lastRowFirstColumn="0" w:lastRowLastColumn="0"/>
            </w:pPr>
            <w:r>
              <w:rPr>
                <w:lang w:val="en-GB"/>
              </w:rPr>
              <w:br/>
            </w:r>
            <w:r w:rsidR="00652A28" w:rsidRPr="00B56D35">
              <w:t>It is valid to report a market-based scope 2 emissions activity for a facility even if you do not allocate voluntarily surrendered large-scale generation certificates (LGCs)</w:t>
            </w:r>
            <w:r w:rsidR="00652A28">
              <w:t>, retired REGO certificates</w:t>
            </w:r>
            <w:r w:rsidR="00652A28" w:rsidRPr="00B56D35">
              <w:t xml:space="preserve"> or </w:t>
            </w:r>
            <w:proofErr w:type="spellStart"/>
            <w:r w:rsidR="00652A28" w:rsidRPr="00B56D35">
              <w:t>GreenPower</w:t>
            </w:r>
            <w:proofErr w:type="spellEnd"/>
            <w:r w:rsidR="00652A28" w:rsidRPr="00B56D35">
              <w:t xml:space="preserve"> electricity to that facility.</w:t>
            </w:r>
          </w:p>
          <w:p w14:paraId="3DCC39EB" w14:textId="7FEBDB94" w:rsidR="00F63D54" w:rsidRPr="00BE6598" w:rsidRDefault="00E8147C" w:rsidP="00BE6598">
            <w:pPr>
              <w:pStyle w:val="CERbullets"/>
              <w:numPr>
                <w:ilvl w:val="0"/>
                <w:numId w:val="0"/>
              </w:numPr>
              <w:cnfStyle w:val="000000000000" w:firstRow="0" w:lastRow="0" w:firstColumn="0" w:lastColumn="0" w:oddVBand="0" w:evenVBand="0" w:oddHBand="0" w:evenHBand="0" w:firstRowFirstColumn="0" w:firstRowLastColumn="0" w:lastRowFirstColumn="0" w:lastRowLastColumn="0"/>
              <w:rPr>
                <w:lang w:val="en-GB"/>
              </w:rPr>
            </w:pPr>
            <w:r>
              <w:t xml:space="preserve">Please refer to section 7.4 of the NGER Measurement Determination. </w:t>
            </w:r>
          </w:p>
        </w:tc>
      </w:tr>
      <w:tr w:rsidR="00F63D54" w:rsidRPr="00E428A1" w14:paraId="446A51D2" w14:textId="77777777" w:rsidTr="005466A4">
        <w:tc>
          <w:tcPr>
            <w:cnfStyle w:val="001000000000" w:firstRow="0" w:lastRow="0" w:firstColumn="1" w:lastColumn="0" w:oddVBand="0" w:evenVBand="0" w:oddHBand="0" w:evenHBand="0" w:firstRowFirstColumn="0" w:firstRowLastColumn="0" w:lastRowFirstColumn="0" w:lastRowLastColumn="0"/>
            <w:tcW w:w="673" w:type="pct"/>
          </w:tcPr>
          <w:p w14:paraId="6D03BF61" w14:textId="77777777" w:rsidR="00F63D54" w:rsidRPr="00756136" w:rsidRDefault="00F63D54">
            <w:pPr>
              <w:spacing w:after="0" w:line="276" w:lineRule="auto"/>
              <w:rPr>
                <w:szCs w:val="22"/>
                <w:lang w:val="en-GB"/>
              </w:rPr>
            </w:pPr>
            <w:r w:rsidRPr="00756136">
              <w:rPr>
                <w:szCs w:val="22"/>
                <w:lang w:val="en-GB"/>
              </w:rPr>
              <w:lastRenderedPageBreak/>
              <w:t>Suggested resolution</w:t>
            </w:r>
          </w:p>
        </w:tc>
        <w:tc>
          <w:tcPr>
            <w:tcW w:w="4327" w:type="pct"/>
          </w:tcPr>
          <w:p w14:paraId="39BFD776" w14:textId="15220279" w:rsidR="00C241BF" w:rsidRDefault="004A52FE" w:rsidP="00BA1A34">
            <w:pPr>
              <w:pStyle w:val="CERbullets"/>
              <w:cnfStyle w:val="000000000000" w:firstRow="0" w:lastRow="0" w:firstColumn="0" w:lastColumn="0" w:oddVBand="0" w:evenVBand="0" w:oddHBand="0" w:evenHBand="0" w:firstRowFirstColumn="0" w:firstRowLastColumn="0" w:lastRowFirstColumn="0" w:lastRowLastColumn="0"/>
            </w:pPr>
            <w:r>
              <w:t>Click ‘edit facility’ and create a market-based scope 2 emissions activity for this facility</w:t>
            </w:r>
            <w:r w:rsidR="00C241BF">
              <w:t xml:space="preserve"> if it is required</w:t>
            </w:r>
            <w:r w:rsidR="00C40229">
              <w:t>,</w:t>
            </w:r>
            <w:r w:rsidR="00E8147C">
              <w:t xml:space="preserve"> </w:t>
            </w:r>
            <w:r w:rsidR="00C40229">
              <w:t>or</w:t>
            </w:r>
          </w:p>
          <w:p w14:paraId="69DDC4A0" w14:textId="77BECB15" w:rsidR="004A52FE" w:rsidRPr="00B56D35" w:rsidRDefault="00E8147C" w:rsidP="00BA1A34">
            <w:pPr>
              <w:pStyle w:val="CERbullets"/>
              <w:cnfStyle w:val="000000000000" w:firstRow="0" w:lastRow="0" w:firstColumn="0" w:lastColumn="0" w:oddVBand="0" w:evenVBand="0" w:oddHBand="0" w:evenHBand="0" w:firstRowFirstColumn="0" w:firstRowLastColumn="0" w:lastRowFirstColumn="0" w:lastRowLastColumn="0"/>
            </w:pPr>
            <w:r>
              <w:t xml:space="preserve">Click ‘acknowledge’ </w:t>
            </w:r>
            <w:r w:rsidR="00555BFF">
              <w:t>if a market</w:t>
            </w:r>
            <w:r w:rsidR="004412EF">
              <w:t>-</w:t>
            </w:r>
            <w:r w:rsidR="00555BFF">
              <w:t>based scope 2 emissions activity is not required. You may provide additional context</w:t>
            </w:r>
            <w:r w:rsidR="004412EF">
              <w:t xml:space="preserve">. </w:t>
            </w:r>
          </w:p>
          <w:p w14:paraId="0508F9F8" w14:textId="79F9C83A" w:rsidR="00F63D54" w:rsidRPr="00BA1A34" w:rsidRDefault="00F63D54" w:rsidP="00DD3F9C">
            <w:pPr>
              <w:cnfStyle w:val="000000000000" w:firstRow="0" w:lastRow="0" w:firstColumn="0" w:lastColumn="0" w:oddVBand="0" w:evenVBand="0" w:oddHBand="0" w:evenHBand="0" w:firstRowFirstColumn="0" w:firstRowLastColumn="0" w:lastRowFirstColumn="0" w:lastRowLastColumn="0"/>
            </w:pPr>
          </w:p>
        </w:tc>
      </w:tr>
    </w:tbl>
    <w:p w14:paraId="16068824" w14:textId="77777777" w:rsidR="00B56D35" w:rsidRDefault="00B56D35">
      <w:pPr>
        <w:spacing w:after="0"/>
      </w:pPr>
    </w:p>
    <w:tbl>
      <w:tblPr>
        <w:tblStyle w:val="CERTable"/>
        <w:tblW w:w="5000" w:type="pct"/>
        <w:tblLook w:val="0680" w:firstRow="0" w:lastRow="0" w:firstColumn="1" w:lastColumn="0" w:noHBand="1" w:noVBand="1"/>
      </w:tblPr>
      <w:tblGrid>
        <w:gridCol w:w="1311"/>
        <w:gridCol w:w="8429"/>
      </w:tblGrid>
      <w:tr w:rsidR="00B56D35" w:rsidRPr="00756136" w14:paraId="26FE9815" w14:textId="77777777" w:rsidTr="004B6438">
        <w:tc>
          <w:tcPr>
            <w:cnfStyle w:val="001000000000" w:firstRow="0" w:lastRow="0" w:firstColumn="1" w:lastColumn="0" w:oddVBand="0" w:evenVBand="0" w:oddHBand="0" w:evenHBand="0" w:firstRowFirstColumn="0" w:firstRowLastColumn="0" w:lastRowFirstColumn="0" w:lastRowLastColumn="0"/>
            <w:tcW w:w="673" w:type="pct"/>
          </w:tcPr>
          <w:p w14:paraId="0185B346" w14:textId="77777777" w:rsidR="00B56D35" w:rsidRPr="00113C7C" w:rsidRDefault="00B56D35">
            <w:pPr>
              <w:spacing w:after="0" w:line="276" w:lineRule="auto"/>
              <w:rPr>
                <w:szCs w:val="22"/>
                <w:lang w:val="en-GB"/>
              </w:rPr>
            </w:pPr>
            <w:r w:rsidRPr="00113C7C">
              <w:rPr>
                <w:szCs w:val="22"/>
                <w:lang w:val="en-GB"/>
              </w:rPr>
              <w:t>Validation message</w:t>
            </w:r>
          </w:p>
        </w:tc>
        <w:tc>
          <w:tcPr>
            <w:tcW w:w="4327" w:type="pct"/>
          </w:tcPr>
          <w:p w14:paraId="0EA42050" w14:textId="70ACA67A" w:rsidR="00B56D35" w:rsidRPr="004B6438" w:rsidRDefault="00DD3F9C" w:rsidP="00116539">
            <w:pPr>
              <w:cnfStyle w:val="000000000000" w:firstRow="0" w:lastRow="0" w:firstColumn="0" w:lastColumn="0" w:oddVBand="0" w:evenVBand="0" w:oddHBand="0" w:evenHBand="0" w:firstRowFirstColumn="0" w:firstRowLastColumn="0" w:lastRowFirstColumn="0" w:lastRowLastColumn="0"/>
              <w:rPr>
                <w:b/>
                <w:bCs/>
              </w:rPr>
            </w:pPr>
            <w:r w:rsidRPr="004B6438">
              <w:rPr>
                <w:b/>
                <w:bCs/>
              </w:rPr>
              <w:t>“</w:t>
            </w:r>
            <w:r w:rsidR="00B56D35" w:rsidRPr="004B6438">
              <w:rPr>
                <w:b/>
                <w:bCs/>
              </w:rPr>
              <w:t>Market-based scope 2 emissions activity does not have a corresponding location-based scope 2 emissions activity</w:t>
            </w:r>
          </w:p>
          <w:p w14:paraId="49784BBE" w14:textId="60FF482B" w:rsidR="00B56D35" w:rsidRPr="00CE4A64" w:rsidRDefault="00B56D35">
            <w:pPr>
              <w:cnfStyle w:val="000000000000" w:firstRow="0" w:lastRow="0" w:firstColumn="0" w:lastColumn="0" w:oddVBand="0" w:evenVBand="0" w:oddHBand="0" w:evenHBand="0" w:firstRowFirstColumn="0" w:firstRowLastColumn="0" w:lastRowFirstColumn="0" w:lastRowLastColumn="0"/>
              <w:rPr>
                <w:bCs/>
                <w:szCs w:val="22"/>
                <w:lang w:val="en-GB"/>
              </w:rPr>
            </w:pPr>
            <w:r w:rsidRPr="006069AF">
              <w:t>If you report a market-based scope 2 emissions activity, you must also report the corresponding location-based scope 2 emissions activity.</w:t>
            </w:r>
            <w:r w:rsidR="00DD3F9C">
              <w:rPr>
                <w:bCs/>
              </w:rPr>
              <w:t>”</w:t>
            </w:r>
          </w:p>
        </w:tc>
      </w:tr>
      <w:tr w:rsidR="00B56D35" w:rsidRPr="00756136" w14:paraId="2484FBD7" w14:textId="77777777" w:rsidTr="004B6438">
        <w:tc>
          <w:tcPr>
            <w:cnfStyle w:val="001000000000" w:firstRow="0" w:lastRow="0" w:firstColumn="1" w:lastColumn="0" w:oddVBand="0" w:evenVBand="0" w:oddHBand="0" w:evenHBand="0" w:firstRowFirstColumn="0" w:firstRowLastColumn="0" w:lastRowFirstColumn="0" w:lastRowLastColumn="0"/>
            <w:tcW w:w="673" w:type="pct"/>
          </w:tcPr>
          <w:p w14:paraId="101D323A" w14:textId="77777777" w:rsidR="00B56D35" w:rsidRPr="00756136" w:rsidRDefault="00B56D35">
            <w:pPr>
              <w:spacing w:after="0" w:line="276" w:lineRule="auto"/>
              <w:rPr>
                <w:szCs w:val="22"/>
                <w:lang w:val="en-GB"/>
              </w:rPr>
            </w:pPr>
            <w:r w:rsidRPr="00756136">
              <w:rPr>
                <w:szCs w:val="22"/>
                <w:lang w:val="en-GB"/>
              </w:rPr>
              <w:t>Explanation</w:t>
            </w:r>
          </w:p>
        </w:tc>
        <w:tc>
          <w:tcPr>
            <w:tcW w:w="4327" w:type="pct"/>
          </w:tcPr>
          <w:p w14:paraId="1868AD42" w14:textId="3B5E54AD" w:rsidR="00A911B9" w:rsidRDefault="00DD3F9C">
            <w:pPr>
              <w:cnfStyle w:val="000000000000" w:firstRow="0" w:lastRow="0" w:firstColumn="0" w:lastColumn="0" w:oddVBand="0" w:evenVBand="0" w:oddHBand="0" w:evenHBand="0" w:firstRowFirstColumn="0" w:firstRowLastColumn="0" w:lastRowFirstColumn="0" w:lastRowLastColumn="0"/>
            </w:pPr>
            <w:r>
              <w:t>The above v</w:t>
            </w:r>
            <w:r w:rsidR="00B56D35" w:rsidRPr="00DD3F9C">
              <w:t xml:space="preserve">alidation will appear when </w:t>
            </w:r>
            <w:r w:rsidR="00A911B9">
              <w:t xml:space="preserve">a market-based scope 2 emissions activity has been reported for the facility, but a </w:t>
            </w:r>
            <w:r w:rsidR="00207742">
              <w:t xml:space="preserve">location-based scope 2 emission activity has not been reported. </w:t>
            </w:r>
          </w:p>
          <w:p w14:paraId="6B1F22BF" w14:textId="18C7BB83" w:rsidR="00B56D35" w:rsidRPr="00DD3F9C" w:rsidRDefault="00207742" w:rsidP="00116539">
            <w:pPr>
              <w:cnfStyle w:val="000000000000" w:firstRow="0" w:lastRow="0" w:firstColumn="0" w:lastColumn="0" w:oddVBand="0" w:evenVBand="0" w:oddHBand="0" w:evenHBand="0" w:firstRowFirstColumn="0" w:firstRowLastColumn="0" w:lastRowFirstColumn="0" w:lastRowLastColumn="0"/>
              <w:rPr>
                <w:b/>
              </w:rPr>
            </w:pPr>
            <w:r>
              <w:t xml:space="preserve">A </w:t>
            </w:r>
            <w:r w:rsidR="00B56D35" w:rsidRPr="00DD3F9C">
              <w:t xml:space="preserve">location-based scope 2 emissions activity </w:t>
            </w:r>
            <w:r>
              <w:t>must be reported</w:t>
            </w:r>
            <w:r w:rsidR="00B56D35" w:rsidRPr="00DD3F9C">
              <w:t xml:space="preserve"> </w:t>
            </w:r>
            <w:r>
              <w:t>if the</w:t>
            </w:r>
            <w:r w:rsidR="00B56D35" w:rsidRPr="00DD3F9C">
              <w:t xml:space="preserve"> amount of electricity purchased or acquired and consumed by the facility exceeds the threshold in section 7.1(2) of the NGER Measurement Determination</w:t>
            </w:r>
            <w:r>
              <w:t xml:space="preserve"> (20,000 kWh). </w:t>
            </w:r>
            <w:r w:rsidR="00620248">
              <w:br/>
            </w:r>
            <w:r w:rsidR="00620248">
              <w:br/>
              <w:t>Please refer to section 7.2 and 7.3 of the NGER Measurement Determination.</w:t>
            </w:r>
          </w:p>
        </w:tc>
      </w:tr>
      <w:tr w:rsidR="00B56D35" w:rsidRPr="00E428A1" w14:paraId="7BE1DF87" w14:textId="77777777" w:rsidTr="004B6438">
        <w:tc>
          <w:tcPr>
            <w:cnfStyle w:val="001000000000" w:firstRow="0" w:lastRow="0" w:firstColumn="1" w:lastColumn="0" w:oddVBand="0" w:evenVBand="0" w:oddHBand="0" w:evenHBand="0" w:firstRowFirstColumn="0" w:firstRowLastColumn="0" w:lastRowFirstColumn="0" w:lastRowLastColumn="0"/>
            <w:tcW w:w="673" w:type="pct"/>
          </w:tcPr>
          <w:p w14:paraId="1CBE23BA" w14:textId="77777777" w:rsidR="00B56D35" w:rsidRPr="00756136" w:rsidRDefault="00B56D35">
            <w:pPr>
              <w:spacing w:after="0" w:line="276" w:lineRule="auto"/>
              <w:rPr>
                <w:szCs w:val="22"/>
                <w:lang w:val="en-GB"/>
              </w:rPr>
            </w:pPr>
            <w:r w:rsidRPr="00756136">
              <w:rPr>
                <w:szCs w:val="22"/>
                <w:lang w:val="en-GB"/>
              </w:rPr>
              <w:t>Suggested resolution</w:t>
            </w:r>
          </w:p>
        </w:tc>
        <w:tc>
          <w:tcPr>
            <w:tcW w:w="4327" w:type="pct"/>
          </w:tcPr>
          <w:p w14:paraId="61D5613F" w14:textId="023CEF85" w:rsidR="00B56D35" w:rsidRPr="00DD3F9C" w:rsidRDefault="00620248">
            <w:pPr>
              <w:spacing w:after="160" w:line="278" w:lineRule="auto"/>
              <w:cnfStyle w:val="000000000000" w:firstRow="0" w:lastRow="0" w:firstColumn="0" w:lastColumn="0" w:oddVBand="0" w:evenVBand="0" w:oddHBand="0" w:evenHBand="0" w:firstRowFirstColumn="0" w:firstRowLastColumn="0" w:lastRowFirstColumn="0" w:lastRowLastColumn="0"/>
            </w:pPr>
            <w:r>
              <w:t>If the quantity</w:t>
            </w:r>
            <w:r w:rsidR="00B56D35" w:rsidRPr="00DD3F9C">
              <w:t xml:space="preserve"> of electricity purchased or acquired and consumed by the facility exceeds the </w:t>
            </w:r>
            <w:proofErr w:type="gramStart"/>
            <w:r w:rsidR="00B56D35" w:rsidRPr="00DD3F9C">
              <w:t>20,000 kWh</w:t>
            </w:r>
            <w:proofErr w:type="gramEnd"/>
            <w:r w:rsidR="00B56D35" w:rsidRPr="00DD3F9C">
              <w:t xml:space="preserve"> threshold</w:t>
            </w:r>
            <w:r>
              <w:t xml:space="preserve">, you must create a location-based scope 2 emissions activity for the facility. </w:t>
            </w:r>
            <w:r w:rsidR="0029472E">
              <w:t xml:space="preserve">Click ‘edit’ to view the facility and add the activity. </w:t>
            </w:r>
          </w:p>
          <w:p w14:paraId="5200985C" w14:textId="49F813AB" w:rsidR="00B56D35" w:rsidRPr="00756136" w:rsidRDefault="00620248" w:rsidP="00FB57D1">
            <w:pPr>
              <w:spacing w:after="160" w:line="278" w:lineRule="auto"/>
              <w:cnfStyle w:val="000000000000" w:firstRow="0" w:lastRow="0" w:firstColumn="0" w:lastColumn="0" w:oddVBand="0" w:evenVBand="0" w:oddHBand="0" w:evenHBand="0" w:firstRowFirstColumn="0" w:firstRowLastColumn="0" w:lastRowFirstColumn="0" w:lastRowLastColumn="0"/>
              <w:rPr>
                <w:szCs w:val="22"/>
                <w:lang w:val="en-GB"/>
              </w:rPr>
            </w:pPr>
            <w:r>
              <w:t xml:space="preserve">If the quantity of </w:t>
            </w:r>
            <w:r w:rsidRPr="00DD3F9C">
              <w:t xml:space="preserve">electricity purchased or acquired and consumed by the facility </w:t>
            </w:r>
            <w:r>
              <w:t>does not exceed</w:t>
            </w:r>
            <w:r w:rsidRPr="00DD3F9C">
              <w:t xml:space="preserve"> the </w:t>
            </w:r>
            <w:proofErr w:type="gramStart"/>
            <w:r w:rsidRPr="00DD3F9C">
              <w:t>20,000 kWh</w:t>
            </w:r>
            <w:proofErr w:type="gramEnd"/>
            <w:r w:rsidRPr="00DD3F9C">
              <w:t xml:space="preserve"> threshold</w:t>
            </w:r>
            <w:r>
              <w:t xml:space="preserve">, you </w:t>
            </w:r>
            <w:r w:rsidR="00E74D82">
              <w:t xml:space="preserve">may ‘acknowledge’ the validation.  </w:t>
            </w:r>
          </w:p>
        </w:tc>
      </w:tr>
    </w:tbl>
    <w:p w14:paraId="294EB954" w14:textId="31369533" w:rsidR="009132C8" w:rsidRDefault="009132C8">
      <w:pPr>
        <w:spacing w:after="0"/>
        <w:rPr>
          <w:rFonts w:asciiTheme="majorHAnsi" w:eastAsia="Times New Roman" w:hAnsiTheme="majorHAnsi" w:cstheme="majorHAnsi"/>
          <w:b/>
          <w:bCs/>
          <w:sz w:val="27"/>
          <w:szCs w:val="27"/>
        </w:rPr>
      </w:pPr>
      <w:r>
        <w:br w:type="page"/>
      </w:r>
    </w:p>
    <w:p w14:paraId="3570BE13" w14:textId="77777777" w:rsidR="004A5763" w:rsidRPr="004441CA" w:rsidRDefault="004A5763" w:rsidP="00327872">
      <w:pPr>
        <w:pStyle w:val="Heading3"/>
        <w:spacing w:after="240"/>
        <w:rPr>
          <w:lang w:val="en-GB"/>
        </w:rPr>
      </w:pPr>
      <w:bookmarkStart w:id="38" w:name="_Toc106974719"/>
      <w:bookmarkStart w:id="39" w:name="_Toc235705188"/>
      <w:r w:rsidRPr="004441CA">
        <w:lastRenderedPageBreak/>
        <w:t>Uncertainty</w:t>
      </w:r>
      <w:bookmarkEnd w:id="35"/>
      <w:bookmarkEnd w:id="36"/>
      <w:bookmarkEnd w:id="38"/>
      <w:bookmarkEnd w:id="39"/>
    </w:p>
    <w:tbl>
      <w:tblPr>
        <w:tblStyle w:val="CERTable"/>
        <w:tblW w:w="5000" w:type="pct"/>
        <w:tblLook w:val="06A0" w:firstRow="1" w:lastRow="0" w:firstColumn="1" w:lastColumn="0" w:noHBand="1" w:noVBand="1"/>
      </w:tblPr>
      <w:tblGrid>
        <w:gridCol w:w="3195"/>
        <w:gridCol w:w="6545"/>
      </w:tblGrid>
      <w:tr w:rsidR="004A5763" w:rsidRPr="00FB2745" w14:paraId="293FD915" w14:textId="77777777" w:rsidTr="00C231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4138A7A8" w14:textId="77777777" w:rsidR="004A5763" w:rsidRPr="00FB2745" w:rsidRDefault="004A5763" w:rsidP="00C231BC">
            <w:pPr>
              <w:spacing w:after="0" w:line="276" w:lineRule="auto"/>
              <w:rPr>
                <w:lang w:val="en-GB"/>
              </w:rPr>
            </w:pPr>
            <w:r w:rsidRPr="00D23ED6">
              <w:rPr>
                <w:szCs w:val="22"/>
                <w:lang w:val="en-GB"/>
              </w:rPr>
              <w:t>Validation message</w:t>
            </w:r>
          </w:p>
        </w:tc>
        <w:tc>
          <w:tcPr>
            <w:tcW w:w="0" w:type="pct"/>
          </w:tcPr>
          <w:p w14:paraId="7082651B" w14:textId="77777777" w:rsidR="004441CA" w:rsidRPr="00FB2745" w:rsidRDefault="004A5763" w:rsidP="004441CA">
            <w:pPr>
              <w:spacing w:line="276" w:lineRule="auto"/>
              <w:cnfStyle w:val="100000000000" w:firstRow="1" w:lastRow="0" w:firstColumn="0" w:lastColumn="0" w:oddVBand="0" w:evenVBand="0" w:oddHBand="0" w:evenHBand="0" w:firstRowFirstColumn="0" w:firstRowLastColumn="0" w:lastRowFirstColumn="0" w:lastRowLastColumn="0"/>
              <w:rPr>
                <w:lang w:val="en-GB"/>
              </w:rPr>
            </w:pPr>
            <w:r w:rsidRPr="00FB2745">
              <w:rPr>
                <w:lang w:val="en-GB"/>
              </w:rPr>
              <w:t>“</w:t>
            </w:r>
            <w:bookmarkStart w:id="40" w:name="_Hlk42772963"/>
            <w:r w:rsidR="004441CA" w:rsidRPr="00FB2745">
              <w:rPr>
                <w:lang w:val="en-GB"/>
              </w:rPr>
              <w:t>Uncertainties</w:t>
            </w:r>
          </w:p>
          <w:p w14:paraId="40CD90FC" w14:textId="5A197EC3" w:rsidR="004A5763" w:rsidRPr="00A32678" w:rsidRDefault="004441CA" w:rsidP="003313AC">
            <w:pPr>
              <w:spacing w:before="0" w:line="276" w:lineRule="auto"/>
              <w:cnfStyle w:val="100000000000" w:firstRow="1" w:lastRow="0" w:firstColumn="0" w:lastColumn="0" w:oddVBand="0" w:evenVBand="0" w:oddHBand="0" w:evenHBand="0" w:firstRowFirstColumn="0" w:firstRowLastColumn="0" w:lastRowFirstColumn="0" w:lastRowLastColumn="0"/>
              <w:rPr>
                <w:b w:val="0"/>
                <w:bCs/>
                <w:lang w:val="en-GB"/>
              </w:rPr>
            </w:pPr>
            <w:r w:rsidRPr="00C231BC">
              <w:rPr>
                <w:b w:val="0"/>
                <w:bCs/>
                <w:lang w:val="en-GB"/>
              </w:rPr>
              <w:t xml:space="preserve">Gas emissions for at least one facility </w:t>
            </w:r>
            <w:proofErr w:type="gramStart"/>
            <w:r w:rsidRPr="00C231BC">
              <w:rPr>
                <w:b w:val="0"/>
                <w:bCs/>
                <w:lang w:val="en-GB"/>
              </w:rPr>
              <w:t>has</w:t>
            </w:r>
            <w:proofErr w:type="gramEnd"/>
            <w:r w:rsidRPr="00C231BC">
              <w:rPr>
                <w:b w:val="0"/>
                <w:bCs/>
                <w:lang w:val="en-GB"/>
              </w:rPr>
              <w:t xml:space="preserve"> exceeded a threshold. Provide the percentage of uncertainties for those emissions. Changing emission values may result in previously recorded uncertainty percentages being cleared.</w:t>
            </w:r>
            <w:bookmarkEnd w:id="40"/>
            <w:r w:rsidR="002150D7" w:rsidRPr="00A32678">
              <w:rPr>
                <w:b w:val="0"/>
                <w:bCs/>
                <w:lang w:val="en-GB"/>
              </w:rPr>
              <w:t>”</w:t>
            </w:r>
          </w:p>
        </w:tc>
      </w:tr>
      <w:tr w:rsidR="004A5763" w:rsidRPr="00FB2745" w14:paraId="64B24F95" w14:textId="77777777" w:rsidTr="00C231BC">
        <w:tc>
          <w:tcPr>
            <w:cnfStyle w:val="001000000000" w:firstRow="0" w:lastRow="0" w:firstColumn="1" w:lastColumn="0" w:oddVBand="0" w:evenVBand="0" w:oddHBand="0" w:evenHBand="0" w:firstRowFirstColumn="0" w:firstRowLastColumn="0" w:lastRowFirstColumn="0" w:lastRowLastColumn="0"/>
            <w:tcW w:w="0" w:type="pct"/>
          </w:tcPr>
          <w:p w14:paraId="1177C3B0" w14:textId="77777777" w:rsidR="004A5763" w:rsidRPr="00FB2745" w:rsidRDefault="004A5763" w:rsidP="002150D7">
            <w:pPr>
              <w:spacing w:after="0" w:line="276" w:lineRule="auto"/>
              <w:rPr>
                <w:lang w:val="en-GB"/>
              </w:rPr>
            </w:pPr>
            <w:r w:rsidRPr="00D23ED6">
              <w:rPr>
                <w:szCs w:val="22"/>
                <w:lang w:val="en-GB"/>
              </w:rPr>
              <w:t>Explanation</w:t>
            </w:r>
          </w:p>
        </w:tc>
        <w:tc>
          <w:tcPr>
            <w:tcW w:w="0" w:type="pct"/>
          </w:tcPr>
          <w:p w14:paraId="715BB22C" w14:textId="77A64474" w:rsidR="004A5763" w:rsidRPr="00FB2745" w:rsidRDefault="004A5763" w:rsidP="003313AC">
            <w:pPr>
              <w:cnfStyle w:val="000000000000" w:firstRow="0" w:lastRow="0" w:firstColumn="0" w:lastColumn="0" w:oddVBand="0" w:evenVBand="0" w:oddHBand="0" w:evenHBand="0" w:firstRowFirstColumn="0" w:firstRowLastColumn="0" w:lastRowFirstColumn="0" w:lastRowLastColumn="0"/>
              <w:rPr>
                <w:lang w:val="en-GB"/>
              </w:rPr>
            </w:pPr>
            <w:r w:rsidRPr="00FB2745">
              <w:rPr>
                <w:lang w:val="en-GB"/>
              </w:rPr>
              <w:t>Th</w:t>
            </w:r>
            <w:r w:rsidR="00F47530">
              <w:rPr>
                <w:lang w:val="en-GB"/>
              </w:rPr>
              <w:t>e above</w:t>
            </w:r>
            <w:r w:rsidRPr="00FB2745">
              <w:rPr>
                <w:lang w:val="en-GB"/>
              </w:rPr>
              <w:t xml:space="preserve"> </w:t>
            </w:r>
            <w:r w:rsidR="003F5B05">
              <w:rPr>
                <w:lang w:val="en-GB"/>
              </w:rPr>
              <w:t>validation</w:t>
            </w:r>
            <w:r w:rsidRPr="00FB2745">
              <w:rPr>
                <w:lang w:val="en-GB"/>
              </w:rPr>
              <w:t xml:space="preserve"> will appear when a reporting entity has triggered the threshold</w:t>
            </w:r>
            <w:r w:rsidRPr="00FB2745">
              <w:rPr>
                <w:strike/>
                <w:lang w:val="en-GB"/>
              </w:rPr>
              <w:t>s</w:t>
            </w:r>
            <w:r w:rsidRPr="00FB2745">
              <w:rPr>
                <w:lang w:val="en-GB"/>
              </w:rPr>
              <w:t xml:space="preserve"> for the reporting of uncertainty</w:t>
            </w:r>
            <w:r w:rsidRPr="00FB2745">
              <w:rPr>
                <w:b/>
                <w:lang w:val="en-GB"/>
              </w:rPr>
              <w:t xml:space="preserve"> but</w:t>
            </w:r>
            <w:r w:rsidRPr="00FB2745">
              <w:rPr>
                <w:lang w:val="en-GB"/>
              </w:rPr>
              <w:t xml:space="preserve"> has failed to enter the uncertainty percentage in EERS. </w:t>
            </w:r>
            <w:r w:rsidR="00B04F6D" w:rsidRPr="009D7168">
              <w:rPr>
                <w:lang w:val="en-GB"/>
              </w:rPr>
              <w:t>The validation will</w:t>
            </w:r>
            <w:r w:rsidR="00FB2745" w:rsidRPr="009D7168">
              <w:rPr>
                <w:lang w:val="en-GB"/>
              </w:rPr>
              <w:t xml:space="preserve"> display as ‘incomplete’</w:t>
            </w:r>
            <w:r w:rsidR="00FB2745">
              <w:rPr>
                <w:lang w:val="en-GB"/>
              </w:rPr>
              <w:t xml:space="preserve"> (see</w:t>
            </w:r>
            <w:r w:rsidR="00F07336">
              <w:rPr>
                <w:lang w:val="en-GB"/>
              </w:rPr>
              <w:t xml:space="preserve"> </w:t>
            </w:r>
            <w:r w:rsidR="00F07336">
              <w:rPr>
                <w:lang w:val="en-GB"/>
              </w:rPr>
              <w:fldChar w:fldCharType="begin"/>
            </w:r>
            <w:r w:rsidR="00F07336">
              <w:rPr>
                <w:lang w:val="en-GB"/>
              </w:rPr>
              <w:instrText xml:space="preserve"> REF _Ref200535213 \h </w:instrText>
            </w:r>
            <w:r w:rsidR="00F07336">
              <w:rPr>
                <w:lang w:val="en-GB"/>
              </w:rPr>
            </w:r>
            <w:r w:rsidR="00F07336">
              <w:rPr>
                <w:lang w:val="en-GB"/>
              </w:rPr>
              <w:fldChar w:fldCharType="separate"/>
            </w:r>
            <w:r w:rsidR="00675542">
              <w:t xml:space="preserve">Figure </w:t>
            </w:r>
            <w:r w:rsidR="00675542">
              <w:rPr>
                <w:noProof/>
              </w:rPr>
              <w:t>3</w:t>
            </w:r>
            <w:r w:rsidR="00F07336">
              <w:rPr>
                <w:lang w:val="en-GB"/>
              </w:rPr>
              <w:fldChar w:fldCharType="end"/>
            </w:r>
            <w:r w:rsidR="00B63516">
              <w:rPr>
                <w:lang w:val="en-GB"/>
              </w:rPr>
              <w:t xml:space="preserve"> below)</w:t>
            </w:r>
            <w:r w:rsidR="00FB2745" w:rsidRPr="00C231BC">
              <w:rPr>
                <w:lang w:val="en-GB"/>
              </w:rPr>
              <w:t xml:space="preserve">. </w:t>
            </w:r>
            <w:r w:rsidRPr="00FB2745">
              <w:rPr>
                <w:lang w:val="en-GB"/>
              </w:rPr>
              <w:t>In this case, uncertainty must be reported before a report can be generated and submitted.</w:t>
            </w:r>
          </w:p>
          <w:p w14:paraId="3A9AEE3C" w14:textId="12FBA9EE" w:rsidR="0058693B" w:rsidRPr="00FB2745" w:rsidRDefault="009D08B6" w:rsidP="00FC7680">
            <w:pPr>
              <w:cnfStyle w:val="000000000000" w:firstRow="0" w:lastRow="0" w:firstColumn="0" w:lastColumn="0" w:oddVBand="0" w:evenVBand="0" w:oddHBand="0" w:evenHBand="0" w:firstRowFirstColumn="0" w:firstRowLastColumn="0" w:lastRowFirstColumn="0" w:lastRowLastColumn="0"/>
              <w:rPr>
                <w:lang w:val="en-GB"/>
              </w:rPr>
            </w:pPr>
            <w:r>
              <w:rPr>
                <w:lang w:val="en-GB"/>
              </w:rPr>
              <w:t>T</w:t>
            </w:r>
            <w:r w:rsidR="00244935" w:rsidRPr="00FB2745">
              <w:rPr>
                <w:lang w:val="en-GB"/>
              </w:rPr>
              <w:t xml:space="preserve">his </w:t>
            </w:r>
            <w:r w:rsidR="00DD5E94">
              <w:rPr>
                <w:lang w:val="en-GB"/>
              </w:rPr>
              <w:t>validation</w:t>
            </w:r>
            <w:r w:rsidR="00244935" w:rsidRPr="00FB2745">
              <w:rPr>
                <w:lang w:val="en-GB"/>
              </w:rPr>
              <w:t xml:space="preserve"> will also appear if </w:t>
            </w:r>
            <w:r w:rsidR="004E0B5A" w:rsidRPr="00FB2745">
              <w:rPr>
                <w:lang w:val="en-GB"/>
              </w:rPr>
              <w:t xml:space="preserve">any relevant activity data is altered after </w:t>
            </w:r>
            <w:r w:rsidR="00244935" w:rsidRPr="00FB2745">
              <w:rPr>
                <w:lang w:val="en-GB"/>
              </w:rPr>
              <w:t>report</w:t>
            </w:r>
            <w:r w:rsidR="004E0B5A" w:rsidRPr="00FB2745">
              <w:rPr>
                <w:lang w:val="en-GB"/>
              </w:rPr>
              <w:t>ing</w:t>
            </w:r>
            <w:r w:rsidR="00244935" w:rsidRPr="00FB2745">
              <w:rPr>
                <w:lang w:val="en-GB"/>
              </w:rPr>
              <w:t xml:space="preserve"> uncertainty</w:t>
            </w:r>
            <w:r w:rsidR="004E0B5A" w:rsidRPr="00FB2745">
              <w:rPr>
                <w:lang w:val="en-GB"/>
              </w:rPr>
              <w:t xml:space="preserve">. If </w:t>
            </w:r>
            <w:r w:rsidR="00FC7680" w:rsidRPr="00FB2745">
              <w:rPr>
                <w:lang w:val="en-GB"/>
              </w:rPr>
              <w:t>relevant activity data is altered, the uncertainty values will be cleared and</w:t>
            </w:r>
            <w:r w:rsidR="00F47530">
              <w:rPr>
                <w:lang w:val="en-GB"/>
              </w:rPr>
              <w:t xml:space="preserve"> will</w:t>
            </w:r>
            <w:r w:rsidR="00FC7680" w:rsidRPr="00FB2745">
              <w:rPr>
                <w:lang w:val="en-GB"/>
              </w:rPr>
              <w:t xml:space="preserve"> need to be recalculated.</w:t>
            </w:r>
          </w:p>
        </w:tc>
      </w:tr>
      <w:tr w:rsidR="004A5763" w:rsidRPr="00E428A1" w14:paraId="099E547A" w14:textId="77777777" w:rsidTr="009D7168">
        <w:tc>
          <w:tcPr>
            <w:cnfStyle w:val="001000000000" w:firstRow="0" w:lastRow="0" w:firstColumn="1" w:lastColumn="0" w:oddVBand="0" w:evenVBand="0" w:oddHBand="0" w:evenHBand="0" w:firstRowFirstColumn="0" w:firstRowLastColumn="0" w:lastRowFirstColumn="0" w:lastRowLastColumn="0"/>
            <w:tcW w:w="0" w:type="pct"/>
          </w:tcPr>
          <w:p w14:paraId="27A3F487" w14:textId="77777777" w:rsidR="004A5763" w:rsidRPr="00FB2745" w:rsidRDefault="004A5763" w:rsidP="009D7168">
            <w:pPr>
              <w:spacing w:after="0" w:line="276" w:lineRule="auto"/>
              <w:rPr>
                <w:lang w:val="en-GB"/>
              </w:rPr>
            </w:pPr>
            <w:r w:rsidRPr="00D23ED6">
              <w:rPr>
                <w:szCs w:val="22"/>
                <w:lang w:val="en-GB"/>
              </w:rPr>
              <w:t>Suggested resolution</w:t>
            </w:r>
          </w:p>
        </w:tc>
        <w:tc>
          <w:tcPr>
            <w:tcW w:w="0" w:type="pct"/>
          </w:tcPr>
          <w:p w14:paraId="57E89A03" w14:textId="2E32C115" w:rsidR="004A5763" w:rsidRPr="00FB2745" w:rsidRDefault="004A5763" w:rsidP="003313AC">
            <w:pPr>
              <w:cnfStyle w:val="000000000000" w:firstRow="0" w:lastRow="0" w:firstColumn="0" w:lastColumn="0" w:oddVBand="0" w:evenVBand="0" w:oddHBand="0" w:evenHBand="0" w:firstRowFirstColumn="0" w:firstRowLastColumn="0" w:lastRowFirstColumn="0" w:lastRowLastColumn="0"/>
              <w:rPr>
                <w:lang w:val="en-GB"/>
              </w:rPr>
            </w:pPr>
            <w:r w:rsidRPr="00FB2745">
              <w:rPr>
                <w:lang w:val="en-GB"/>
              </w:rPr>
              <w:t xml:space="preserve">Uncertainty must be reported for a facility if the </w:t>
            </w:r>
            <w:hyperlink r:id="rId34" w:anchor="types-of-emissions" w:tooltip="A link to the Emissions and energy types page of the Clean Energy Regulator's website" w:history="1">
              <w:r w:rsidRPr="00FB2745">
                <w:rPr>
                  <w:rStyle w:val="Hyperlink"/>
                  <w:rFonts w:asciiTheme="minorHAnsi" w:hAnsiTheme="minorHAnsi"/>
                  <w:lang w:val="en-GB"/>
                </w:rPr>
                <w:t>scope 1 emissions</w:t>
              </w:r>
            </w:hyperlink>
            <w:r w:rsidRPr="00FB2745">
              <w:rPr>
                <w:rStyle w:val="FootnoteReference"/>
                <w:color w:val="005874"/>
                <w:lang w:val="en-GB"/>
              </w:rPr>
              <w:footnoteReference w:id="15"/>
            </w:r>
            <w:r w:rsidRPr="00FB2745">
              <w:rPr>
                <w:lang w:val="en-GB"/>
              </w:rPr>
              <w:t xml:space="preserve"> from the combustion of an energy type or for a source are 25</w:t>
            </w:r>
            <w:r w:rsidR="00FE7430" w:rsidRPr="00FB2745">
              <w:rPr>
                <w:lang w:val="en-GB"/>
              </w:rPr>
              <w:t> </w:t>
            </w:r>
            <w:proofErr w:type="spellStart"/>
            <w:r w:rsidR="00B17A4F" w:rsidRPr="00FB2745">
              <w:rPr>
                <w:lang w:val="en-GB"/>
              </w:rPr>
              <w:t>kilo</w:t>
            </w:r>
            <w:r w:rsidR="00FE7430" w:rsidRPr="00FB2745">
              <w:rPr>
                <w:lang w:val="en-GB"/>
              </w:rPr>
              <w:t>tonnes</w:t>
            </w:r>
            <w:proofErr w:type="spellEnd"/>
            <w:r w:rsidR="00FE7430" w:rsidRPr="00FB2745" w:rsidDel="00B54B3D">
              <w:rPr>
                <w:lang w:val="en-GB"/>
              </w:rPr>
              <w:t> </w:t>
            </w:r>
            <w:r w:rsidR="00632D82" w:rsidRPr="00FB2745">
              <w:rPr>
                <w:lang w:val="en-GB"/>
              </w:rPr>
              <w:t>carbon dioxide equivalence (</w:t>
            </w:r>
            <w:r w:rsidR="00B17A4F" w:rsidRPr="00FB2745">
              <w:rPr>
                <w:lang w:val="en-GB"/>
              </w:rPr>
              <w:t>kt</w:t>
            </w:r>
            <w:r w:rsidR="00B54B3D" w:rsidRPr="00FB2745">
              <w:rPr>
                <w:lang w:val="en-GB"/>
              </w:rPr>
              <w:t> </w:t>
            </w:r>
            <w:r w:rsidRPr="00FB2745">
              <w:rPr>
                <w:lang w:val="en-GB"/>
              </w:rPr>
              <w:t>CO</w:t>
            </w:r>
            <w:r w:rsidRPr="00FB2745">
              <w:rPr>
                <w:vertAlign w:val="subscript"/>
                <w:lang w:val="en-GB"/>
              </w:rPr>
              <w:t>2</w:t>
            </w:r>
            <w:r w:rsidRPr="00FB2745">
              <w:rPr>
                <w:lang w:val="en-GB"/>
              </w:rPr>
              <w:t>-e</w:t>
            </w:r>
            <w:r w:rsidR="00632D82" w:rsidRPr="00FB2745">
              <w:rPr>
                <w:lang w:val="en-GB"/>
              </w:rPr>
              <w:t>)</w:t>
            </w:r>
            <w:r w:rsidRPr="00FB2745">
              <w:rPr>
                <w:lang w:val="en-GB"/>
              </w:rPr>
              <w:t xml:space="preserve"> or more in a reporting year. Uncertainty is not required to be aggregated to the facility</w:t>
            </w:r>
            <w:r w:rsidRPr="00FB2745">
              <w:rPr>
                <w:b/>
                <w:lang w:val="en-GB"/>
              </w:rPr>
              <w:t>,</w:t>
            </w:r>
            <w:r w:rsidRPr="00FB2745">
              <w:rPr>
                <w:lang w:val="en-GB"/>
              </w:rPr>
              <w:t xml:space="preserve"> corporation or group levels.</w:t>
            </w:r>
          </w:p>
          <w:p w14:paraId="11693D0F" w14:textId="77777777" w:rsidR="004A5763" w:rsidRPr="00FB2745" w:rsidRDefault="004A5763" w:rsidP="003313AC">
            <w:pPr>
              <w:cnfStyle w:val="000000000000" w:firstRow="0" w:lastRow="0" w:firstColumn="0" w:lastColumn="0" w:oddVBand="0" w:evenVBand="0" w:oddHBand="0" w:evenHBand="0" w:firstRowFirstColumn="0" w:firstRowLastColumn="0" w:lastRowFirstColumn="0" w:lastRowLastColumn="0"/>
              <w:rPr>
                <w:lang w:val="en-GB"/>
              </w:rPr>
            </w:pPr>
            <w:r w:rsidRPr="00FB2745">
              <w:rPr>
                <w:lang w:val="en-GB"/>
              </w:rPr>
              <w:t>Please refer to 4.17A and 4.08 of the NGER Regulations and Chapter 8 of the NGER Measurement Determination.</w:t>
            </w:r>
          </w:p>
          <w:p w14:paraId="0D58255F" w14:textId="6AF175A1" w:rsidR="004A5763" w:rsidRPr="00FB2745" w:rsidRDefault="004A5763" w:rsidP="003313AC">
            <w:pPr>
              <w:cnfStyle w:val="000000000000" w:firstRow="0" w:lastRow="0" w:firstColumn="0" w:lastColumn="0" w:oddVBand="0" w:evenVBand="0" w:oddHBand="0" w:evenHBand="0" w:firstRowFirstColumn="0" w:firstRowLastColumn="0" w:lastRowFirstColumn="0" w:lastRowLastColumn="0"/>
              <w:rPr>
                <w:lang w:val="en-GB"/>
              </w:rPr>
            </w:pPr>
            <w:r w:rsidRPr="00FB2745">
              <w:rPr>
                <w:lang w:val="en-GB"/>
              </w:rPr>
              <w:t xml:space="preserve">Guidance material for reporting of uncertainty can be found on the </w:t>
            </w:r>
            <w:hyperlink r:id="rId35" w:tooltip="A link to the NGER reporting guides page of the Clean Energy Regulator's website" w:history="1">
              <w:r w:rsidR="00871E0D" w:rsidRPr="00FB2745">
                <w:rPr>
                  <w:rStyle w:val="Hyperlink"/>
                  <w:rFonts w:asciiTheme="minorHAnsi" w:hAnsiTheme="minorHAnsi"/>
                  <w:lang w:val="en-GB"/>
                </w:rPr>
                <w:t xml:space="preserve">NGER </w:t>
              </w:r>
              <w:r w:rsidR="00794418">
                <w:rPr>
                  <w:rStyle w:val="Hyperlink"/>
                  <w:rFonts w:asciiTheme="minorHAnsi" w:hAnsiTheme="minorHAnsi"/>
                  <w:lang w:val="en-GB"/>
                </w:rPr>
                <w:t>r</w:t>
              </w:r>
              <w:r w:rsidR="00871E0D" w:rsidRPr="00FB2745">
                <w:rPr>
                  <w:rStyle w:val="Hyperlink"/>
                  <w:rFonts w:asciiTheme="minorHAnsi" w:hAnsiTheme="minorHAnsi"/>
                  <w:lang w:val="en-GB"/>
                </w:rPr>
                <w:t xml:space="preserve">eporting </w:t>
              </w:r>
              <w:r w:rsidR="00794418">
                <w:rPr>
                  <w:rStyle w:val="Hyperlink"/>
                  <w:rFonts w:asciiTheme="minorHAnsi" w:hAnsiTheme="minorHAnsi"/>
                  <w:lang w:val="en-GB"/>
                </w:rPr>
                <w:t>g</w:t>
              </w:r>
              <w:r w:rsidRPr="00FB2745">
                <w:rPr>
                  <w:rStyle w:val="Hyperlink"/>
                  <w:rFonts w:asciiTheme="minorHAnsi" w:hAnsiTheme="minorHAnsi"/>
                  <w:lang w:val="en-GB"/>
                </w:rPr>
                <w:t>uides</w:t>
              </w:r>
            </w:hyperlink>
            <w:r w:rsidRPr="00FB2745">
              <w:rPr>
                <w:rStyle w:val="FootnoteReference"/>
                <w:color w:val="005874"/>
                <w:lang w:val="en-GB"/>
              </w:rPr>
              <w:footnoteReference w:id="16"/>
            </w:r>
            <w:r w:rsidRPr="00FB2745">
              <w:rPr>
                <w:lang w:val="en-GB"/>
              </w:rPr>
              <w:t xml:space="preserve"> page o</w:t>
            </w:r>
            <w:r w:rsidR="78BA8FC8" w:rsidRPr="00FB2745">
              <w:rPr>
                <w:lang w:val="en-GB"/>
              </w:rPr>
              <w:t>f</w:t>
            </w:r>
            <w:r w:rsidRPr="00FB2745">
              <w:rPr>
                <w:lang w:val="en-GB"/>
              </w:rPr>
              <w:t xml:space="preserve"> our website.</w:t>
            </w:r>
          </w:p>
        </w:tc>
      </w:tr>
    </w:tbl>
    <w:p w14:paraId="4813FB93" w14:textId="77777777" w:rsidR="00F07336" w:rsidRDefault="00F07336" w:rsidP="000A740B">
      <w:pPr>
        <w:pStyle w:val="Caption"/>
      </w:pPr>
      <w:bookmarkStart w:id="41" w:name="_Further_information"/>
      <w:bookmarkStart w:id="42" w:name="_Hlk172196544"/>
      <w:bookmarkStart w:id="43" w:name="_Toc460397849"/>
      <w:bookmarkStart w:id="44" w:name="_Toc489614773"/>
      <w:bookmarkEnd w:id="41"/>
    </w:p>
    <w:p w14:paraId="6DBFE18C" w14:textId="562E0DD1" w:rsidR="00D23ED6" w:rsidRDefault="000A740B" w:rsidP="00D23ED6">
      <w:pPr>
        <w:pStyle w:val="Caption"/>
        <w:spacing w:before="240" w:after="0"/>
      </w:pPr>
      <w:bookmarkStart w:id="45" w:name="_Ref200535213"/>
      <w:r>
        <w:t xml:space="preserve">Figure </w:t>
      </w:r>
      <w:r>
        <w:fldChar w:fldCharType="begin"/>
      </w:r>
      <w:r>
        <w:instrText>SEQ Figure \* ARABIC</w:instrText>
      </w:r>
      <w:r>
        <w:fldChar w:fldCharType="separate"/>
      </w:r>
      <w:r w:rsidR="00675542">
        <w:rPr>
          <w:noProof/>
        </w:rPr>
        <w:t>3</w:t>
      </w:r>
      <w:r>
        <w:fldChar w:fldCharType="end"/>
      </w:r>
      <w:bookmarkEnd w:id="45"/>
      <w:r>
        <w:t xml:space="preserve"> Example of Incomplete uncertainty error</w:t>
      </w:r>
    </w:p>
    <w:p w14:paraId="7D8D47A7" w14:textId="70A7BB0D" w:rsidR="00FB2745" w:rsidRDefault="00FB2745" w:rsidP="009D7168">
      <w:pPr>
        <w:pStyle w:val="Caption"/>
        <w:spacing w:before="240" w:after="0"/>
        <w:rPr>
          <w:rFonts w:ascii="Calibri" w:eastAsia="Times New Roman" w:hAnsi="Calibri" w:cs="Calibri"/>
          <w:b/>
          <w:bCs/>
          <w:color w:val="000000"/>
          <w:sz w:val="27"/>
          <w:szCs w:val="27"/>
          <w:highlight w:val="yellow"/>
        </w:rPr>
      </w:pPr>
      <w:r w:rsidRPr="009904EE">
        <w:rPr>
          <w:rFonts w:ascii="Calibri" w:eastAsia="Times New Roman" w:hAnsi="Calibri" w:cs="Calibri"/>
          <w:b/>
          <w:bCs/>
          <w:noProof/>
          <w:color w:val="000000"/>
          <w:sz w:val="27"/>
          <w:szCs w:val="27"/>
        </w:rPr>
        <w:drawing>
          <wp:inline distT="0" distB="0" distL="0" distR="0" wp14:anchorId="3B1A0FD5" wp14:editId="4F5B1BD6">
            <wp:extent cx="6184900" cy="1073150"/>
            <wp:effectExtent l="0" t="0" r="6350" b="0"/>
            <wp:docPr id="46261331" name="Picture 1" descr="An EERS screenshot titled &quot;Uncertainties&quot; displaying a warning about gas emissions exceeding a threshold. Users are instructed to provide uncertainty percentages, with a note that changing emission values may clear existing data. A table below lists an error: &quot;One or more uncertainties have not been provided,&quot; with red text indicating required fields are incomplete. An action button labeled &quot;Edit uncertainties&quot; is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61331" name="Picture 1" descr="An EERS screenshot titled &quot;Uncertainties&quot; displaying a warning about gas emissions exceeding a threshold. Users are instructed to provide uncertainty percentages, with a note that changing emission values may clear existing data. A table below lists an error: &quot;One or more uncertainties have not been provided,&quot; with red text indicating required fields are incomplete. An action button labeled &quot;Edit uncertainties&quot; is available."/>
                    <pic:cNvPicPr/>
                  </pic:nvPicPr>
                  <pic:blipFill>
                    <a:blip r:embed="rId36"/>
                    <a:stretch>
                      <a:fillRect/>
                    </a:stretch>
                  </pic:blipFill>
                  <pic:spPr>
                    <a:xfrm>
                      <a:off x="0" y="0"/>
                      <a:ext cx="6184900" cy="1073150"/>
                    </a:xfrm>
                    <a:prstGeom prst="rect">
                      <a:avLst/>
                    </a:prstGeom>
                  </pic:spPr>
                </pic:pic>
              </a:graphicData>
            </a:graphic>
          </wp:inline>
        </w:drawing>
      </w:r>
    </w:p>
    <w:p w14:paraId="22928A80" w14:textId="4A7F7F19" w:rsidR="00F86350" w:rsidRPr="00C231BC" w:rsidRDefault="00D23ED6" w:rsidP="00C231BC">
      <w:pPr>
        <w:spacing w:before="240"/>
        <w:rPr>
          <w:rFonts w:ascii="Calibri" w:eastAsia="Times New Roman" w:hAnsi="Calibri" w:cs="Calibri"/>
          <w:b/>
          <w:bCs/>
          <w:color w:val="000000"/>
          <w:sz w:val="27"/>
          <w:szCs w:val="27"/>
        </w:rPr>
      </w:pPr>
      <w:r>
        <w:rPr>
          <w:rFonts w:ascii="Calibri" w:eastAsia="Times New Roman" w:hAnsi="Calibri" w:cs="Calibri"/>
          <w:b/>
          <w:bCs/>
          <w:color w:val="000000"/>
          <w:sz w:val="27"/>
          <w:szCs w:val="27"/>
        </w:rPr>
        <w:br w:type="page"/>
      </w:r>
      <w:r w:rsidR="00F86350" w:rsidRPr="00EA0C43">
        <w:rPr>
          <w:rFonts w:ascii="Calibri" w:eastAsia="Times New Roman" w:hAnsi="Calibri" w:cs="Calibri"/>
          <w:b/>
          <w:bCs/>
          <w:color w:val="000000"/>
          <w:sz w:val="27"/>
          <w:szCs w:val="27"/>
        </w:rPr>
        <w:lastRenderedPageBreak/>
        <w:t>Safeguard Mechanism</w:t>
      </w:r>
    </w:p>
    <w:tbl>
      <w:tblPr>
        <w:tblStyle w:val="CERTable1"/>
        <w:tblW w:w="5000" w:type="pct"/>
        <w:tblLayout w:type="fixed"/>
        <w:tblLook w:val="06A0" w:firstRow="1" w:lastRow="0" w:firstColumn="1" w:lastColumn="0" w:noHBand="1" w:noVBand="1"/>
      </w:tblPr>
      <w:tblGrid>
        <w:gridCol w:w="1418"/>
        <w:gridCol w:w="8322"/>
      </w:tblGrid>
      <w:tr w:rsidR="00353414" w:rsidRPr="00EA0C43" w14:paraId="3CE0DFF2" w14:textId="77777777" w:rsidTr="00C109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pct"/>
          </w:tcPr>
          <w:p w14:paraId="6AD80F23" w14:textId="77777777" w:rsidR="00F86350" w:rsidRPr="00EA0C43" w:rsidRDefault="00F86350" w:rsidP="00C231BC">
            <w:pPr>
              <w:spacing w:after="0" w:line="276" w:lineRule="auto"/>
              <w:rPr>
                <w:rFonts w:ascii="Calibri" w:eastAsia="Calibri" w:hAnsi="Calibri" w:cs="Calibri"/>
                <w:color w:val="000000"/>
                <w:lang w:val="en-GB"/>
                <w14:ligatures w14:val="standardContextual"/>
              </w:rPr>
            </w:pPr>
            <w:r w:rsidRPr="00C231BC">
              <w:rPr>
                <w:szCs w:val="22"/>
                <w:lang w:val="en-GB"/>
              </w:rPr>
              <w:t>Validation message</w:t>
            </w:r>
          </w:p>
        </w:tc>
        <w:tc>
          <w:tcPr>
            <w:tcW w:w="4272" w:type="pct"/>
          </w:tcPr>
          <w:p w14:paraId="09520C52" w14:textId="2755EECF" w:rsidR="00E45A2F" w:rsidRPr="00C1097F" w:rsidRDefault="00F86350" w:rsidP="00C1097F">
            <w:pPr>
              <w:spacing w:after="0" w:line="276" w:lineRule="auto"/>
              <w:cnfStyle w:val="100000000000" w:firstRow="1" w:lastRow="0" w:firstColumn="0" w:lastColumn="0" w:oddVBand="0" w:evenVBand="0" w:oddHBand="0" w:evenHBand="0" w:firstRowFirstColumn="0" w:firstRowLastColumn="0" w:lastRowFirstColumn="0" w:lastRowLastColumn="0"/>
              <w:rPr>
                <w:szCs w:val="22"/>
                <w:lang w:val="en-GB"/>
              </w:rPr>
            </w:pPr>
            <w:r w:rsidRPr="00C1097F">
              <w:rPr>
                <w:szCs w:val="22"/>
                <w:lang w:val="en-GB"/>
              </w:rPr>
              <w:t>“</w:t>
            </w:r>
            <w:r w:rsidR="00E45A2F" w:rsidRPr="00C1097F">
              <w:rPr>
                <w:szCs w:val="22"/>
                <w:lang w:val="en-GB"/>
              </w:rPr>
              <w:t>Safeguard production variables</w:t>
            </w:r>
          </w:p>
          <w:p w14:paraId="2BAF49AE" w14:textId="1BE8C87F" w:rsidR="00E45A2F" w:rsidRPr="00C231BC" w:rsidRDefault="00E45A2F" w:rsidP="00C1097F">
            <w:pPr>
              <w:spacing w:after="0" w:line="276" w:lineRule="auto"/>
              <w:cnfStyle w:val="100000000000" w:firstRow="1" w:lastRow="0" w:firstColumn="0" w:lastColumn="0" w:oddVBand="0" w:evenVBand="0" w:oddHBand="0" w:evenHBand="0" w:firstRowFirstColumn="0" w:firstRowLastColumn="0" w:lastRowFirstColumn="0" w:lastRowLastColumn="0"/>
              <w:rPr>
                <w:b w:val="0"/>
                <w:bCs/>
                <w:szCs w:val="22"/>
                <w:lang w:val="en-GB"/>
              </w:rPr>
            </w:pPr>
            <w:r w:rsidRPr="00C1097F">
              <w:rPr>
                <w:szCs w:val="22"/>
                <w:lang w:val="en-GB"/>
              </w:rPr>
              <w:t xml:space="preserve">Production variable quantities </w:t>
            </w:r>
            <w:r w:rsidRPr="00C231BC">
              <w:rPr>
                <w:b w:val="0"/>
                <w:bCs/>
                <w:szCs w:val="22"/>
                <w:lang w:val="en-GB"/>
              </w:rPr>
              <w:t>must be reported where a facility’s scope 1 </w:t>
            </w:r>
            <w:hyperlink r:id="rId37" w:tgtFrame="_blank" w:history="1">
              <w:r w:rsidRPr="00A64A50">
                <w:rPr>
                  <w:b w:val="0"/>
                  <w:bCs/>
                  <w:szCs w:val="22"/>
                  <w:u w:val="single"/>
                  <w:lang w:val="en-GB"/>
                </w:rPr>
                <w:t>covered emissions</w:t>
              </w:r>
            </w:hyperlink>
            <w:r w:rsidRPr="00C231BC">
              <w:rPr>
                <w:b w:val="0"/>
                <w:bCs/>
                <w:szCs w:val="22"/>
                <w:lang w:val="en-GB"/>
              </w:rPr>
              <w:t> (tCO2-e) exceed the Safeguard threshold of 100,000 tCO2-e in a financial year, or the facility has a </w:t>
            </w:r>
            <w:hyperlink r:id="rId38" w:anchor="apply-for-a-multi-year-monitoring-period" w:tgtFrame="_blank" w:history="1">
              <w:r w:rsidRPr="00A64A50">
                <w:rPr>
                  <w:b w:val="0"/>
                  <w:bCs/>
                  <w:szCs w:val="22"/>
                  <w:u w:val="single"/>
                  <w:lang w:val="en-GB"/>
                </w:rPr>
                <w:t>multi-year monitoring period</w:t>
              </w:r>
            </w:hyperlink>
            <w:r w:rsidR="00CF061B" w:rsidRPr="00C1097F">
              <w:rPr>
                <w:b w:val="0"/>
                <w:bCs/>
                <w:kern w:val="0"/>
                <w:szCs w:val="22"/>
                <w:lang w:val="en-GB"/>
              </w:rPr>
              <w:t>,</w:t>
            </w:r>
            <w:r w:rsidRPr="00C231BC">
              <w:rPr>
                <w:b w:val="0"/>
                <w:bCs/>
                <w:szCs w:val="22"/>
                <w:lang w:val="en-GB"/>
              </w:rPr>
              <w:t> or the facility is an ‘eligible facility’ as defined under section 58B of the </w:t>
            </w:r>
            <w:hyperlink r:id="rId39" w:tgtFrame="_blank" w:history="1">
              <w:r w:rsidRPr="00A64A50">
                <w:rPr>
                  <w:b w:val="0"/>
                  <w:bCs/>
                  <w:szCs w:val="22"/>
                  <w:u w:val="single"/>
                  <w:lang w:val="en-GB"/>
                </w:rPr>
                <w:t>Safeguard Rule</w:t>
              </w:r>
            </w:hyperlink>
            <w:r w:rsidRPr="00C231BC">
              <w:rPr>
                <w:b w:val="0"/>
                <w:bCs/>
                <w:szCs w:val="22"/>
                <w:lang w:val="en-GB"/>
              </w:rPr>
              <w:t>.  </w:t>
            </w:r>
          </w:p>
          <w:p w14:paraId="7DC9AC38" w14:textId="412A79D0" w:rsidR="00F86350" w:rsidRPr="00EA0C43" w:rsidRDefault="00E45A2F" w:rsidP="00C1097F">
            <w:pPr>
              <w:spacing w:line="276"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lang w:val="en-GB"/>
                <w14:ligatures w14:val="standardContextual"/>
              </w:rPr>
            </w:pPr>
            <w:r w:rsidRPr="00C231BC">
              <w:rPr>
                <w:b w:val="0"/>
                <w:bCs/>
                <w:szCs w:val="22"/>
                <w:lang w:val="en-GB"/>
              </w:rPr>
              <w:t>Production variable quantities are used to calculate the facility’s </w:t>
            </w:r>
            <w:hyperlink r:id="rId40" w:tgtFrame="_blank" w:history="1">
              <w:r w:rsidRPr="00A64A50">
                <w:rPr>
                  <w:b w:val="0"/>
                  <w:bCs/>
                  <w:szCs w:val="22"/>
                  <w:u w:val="single"/>
                  <w:lang w:val="en-GB"/>
                </w:rPr>
                <w:t>baseline emissions number</w:t>
              </w:r>
            </w:hyperlink>
            <w:r w:rsidRPr="00C231BC">
              <w:rPr>
                <w:b w:val="0"/>
                <w:bCs/>
                <w:szCs w:val="22"/>
                <w:lang w:val="en-GB"/>
              </w:rPr>
              <w:t> for the financial year, or part of a financial year if applicable.</w:t>
            </w:r>
            <w:r w:rsidR="00204730" w:rsidRPr="00C231BC">
              <w:rPr>
                <w:b w:val="0"/>
                <w:bCs/>
                <w:szCs w:val="22"/>
                <w:lang w:val="en-GB"/>
              </w:rPr>
              <w:t>”</w:t>
            </w:r>
          </w:p>
        </w:tc>
      </w:tr>
      <w:tr w:rsidR="00353414" w:rsidRPr="00EA0C43" w14:paraId="4D0C469A" w14:textId="77777777" w:rsidTr="00A32678">
        <w:tc>
          <w:tcPr>
            <w:cnfStyle w:val="001000000000" w:firstRow="0" w:lastRow="0" w:firstColumn="1" w:lastColumn="0" w:oddVBand="0" w:evenVBand="0" w:oddHBand="0" w:evenHBand="0" w:firstRowFirstColumn="0" w:firstRowLastColumn="0" w:lastRowFirstColumn="0" w:lastRowLastColumn="0"/>
            <w:tcW w:w="728" w:type="pct"/>
          </w:tcPr>
          <w:p w14:paraId="19FC2DA5" w14:textId="77777777" w:rsidR="00F86350" w:rsidRPr="00EA0C43" w:rsidRDefault="00F86350" w:rsidP="00A64A50">
            <w:pPr>
              <w:spacing w:after="0" w:line="276" w:lineRule="auto"/>
              <w:rPr>
                <w:rFonts w:ascii="Calibri" w:eastAsia="Calibri" w:hAnsi="Calibri" w:cs="Calibri"/>
                <w:color w:val="auto"/>
                <w:lang w:val="en-GB"/>
                <w14:ligatures w14:val="standardContextual"/>
              </w:rPr>
            </w:pPr>
            <w:r w:rsidRPr="00A64A50">
              <w:rPr>
                <w:szCs w:val="22"/>
                <w:lang w:val="en-GB"/>
              </w:rPr>
              <w:t>Explanation</w:t>
            </w:r>
          </w:p>
        </w:tc>
        <w:tc>
          <w:tcPr>
            <w:tcW w:w="4272" w:type="pct"/>
          </w:tcPr>
          <w:p w14:paraId="7DA2B233" w14:textId="3750569D" w:rsidR="00F86350" w:rsidRDefault="00F86350" w:rsidP="00A64A50">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14:ligatures w14:val="standardContextual"/>
              </w:rPr>
            </w:pPr>
            <w:r w:rsidRPr="00EA0C43">
              <w:rPr>
                <w:rFonts w:ascii="Calibri" w:eastAsia="Calibri" w:hAnsi="Calibri" w:cs="Calibri"/>
                <w:color w:val="auto"/>
                <w:lang w:val="en-GB"/>
                <w14:ligatures w14:val="standardContextual"/>
              </w:rPr>
              <w:t>Th</w:t>
            </w:r>
            <w:r w:rsidR="00CA6038">
              <w:rPr>
                <w:rFonts w:ascii="Calibri" w:eastAsia="Calibri" w:hAnsi="Calibri" w:cs="Calibri"/>
                <w:color w:val="auto"/>
                <w:lang w:val="en-GB"/>
                <w14:ligatures w14:val="standardContextual"/>
              </w:rPr>
              <w:t>e above</w:t>
            </w:r>
            <w:r w:rsidRPr="00EA0C43">
              <w:rPr>
                <w:rFonts w:ascii="Calibri" w:eastAsia="Calibri" w:hAnsi="Calibri" w:cs="Calibri"/>
                <w:color w:val="auto"/>
                <w:lang w:val="en-GB"/>
                <w14:ligatures w14:val="standardContextual"/>
              </w:rPr>
              <w:t xml:space="preserve"> </w:t>
            </w:r>
            <w:r w:rsidR="001C5353">
              <w:rPr>
                <w:rFonts w:ascii="Calibri" w:eastAsia="Calibri" w:hAnsi="Calibri" w:cs="Calibri"/>
                <w:color w:val="auto"/>
                <w:lang w:val="en-GB"/>
                <w14:ligatures w14:val="standardContextual"/>
              </w:rPr>
              <w:t xml:space="preserve">validation </w:t>
            </w:r>
            <w:r w:rsidRPr="00EA0C43">
              <w:rPr>
                <w:rFonts w:ascii="Calibri" w:eastAsia="Calibri" w:hAnsi="Calibri" w:cs="Calibri"/>
                <w:color w:val="auto"/>
                <w:lang w:val="en-GB"/>
                <w14:ligatures w14:val="standardContextual"/>
              </w:rPr>
              <w:t>will appear when a reporting entity</w:t>
            </w:r>
            <w:r w:rsidR="00AF2560">
              <w:rPr>
                <w:rFonts w:ascii="Calibri" w:eastAsia="Calibri" w:hAnsi="Calibri" w:cs="Calibri"/>
                <w:color w:val="auto"/>
                <w:lang w:val="en-GB"/>
                <w14:ligatures w14:val="standardContextual"/>
              </w:rPr>
              <w:t xml:space="preserve"> has a requirement under the </w:t>
            </w:r>
            <w:r w:rsidR="00D609CE">
              <w:rPr>
                <w:rFonts w:ascii="Calibri" w:eastAsia="Calibri" w:hAnsi="Calibri" w:cs="Calibri"/>
                <w:color w:val="auto"/>
                <w:lang w:val="en-GB"/>
                <w14:ligatures w14:val="standardContextual"/>
              </w:rPr>
              <w:t>Safeguard</w:t>
            </w:r>
            <w:r w:rsidR="00830B48">
              <w:rPr>
                <w:rFonts w:ascii="Calibri" w:eastAsia="Calibri" w:hAnsi="Calibri" w:cs="Calibri"/>
                <w:color w:val="auto"/>
                <w:lang w:val="en-GB"/>
                <w14:ligatures w14:val="standardContextual"/>
              </w:rPr>
              <w:t xml:space="preserve"> Mechanism</w:t>
            </w:r>
            <w:r w:rsidR="00AF2560">
              <w:rPr>
                <w:rFonts w:ascii="Calibri" w:eastAsia="Calibri" w:hAnsi="Calibri" w:cs="Calibri"/>
                <w:color w:val="auto"/>
                <w:lang w:val="en-GB"/>
                <w14:ligatures w14:val="standardContextual"/>
              </w:rPr>
              <w:t xml:space="preserve"> to provide </w:t>
            </w:r>
            <w:r w:rsidR="00DC5938">
              <w:rPr>
                <w:rFonts w:ascii="Calibri" w:eastAsia="Calibri" w:hAnsi="Calibri" w:cs="Calibri"/>
                <w:color w:val="auto"/>
                <w:lang w:val="en-GB"/>
                <w14:ligatures w14:val="standardContextual"/>
              </w:rPr>
              <w:t>the quantity of all</w:t>
            </w:r>
            <w:r w:rsidR="005840DA">
              <w:rPr>
                <w:rFonts w:ascii="Calibri" w:eastAsia="Calibri" w:hAnsi="Calibri" w:cs="Calibri"/>
                <w:color w:val="auto"/>
                <w:lang w:val="en-GB"/>
                <w14:ligatures w14:val="standardContextual"/>
              </w:rPr>
              <w:t xml:space="preserve"> </w:t>
            </w:r>
            <w:r w:rsidR="00AF2560">
              <w:rPr>
                <w:rFonts w:ascii="Calibri" w:eastAsia="Calibri" w:hAnsi="Calibri" w:cs="Calibri"/>
                <w:color w:val="auto"/>
                <w:lang w:val="en-GB"/>
                <w14:ligatures w14:val="standardContextual"/>
              </w:rPr>
              <w:t>production variable</w:t>
            </w:r>
            <w:r w:rsidR="00DC5938">
              <w:rPr>
                <w:rFonts w:ascii="Calibri" w:eastAsia="Calibri" w:hAnsi="Calibri" w:cs="Calibri"/>
                <w:color w:val="auto"/>
                <w:lang w:val="en-GB"/>
                <w14:ligatures w14:val="standardContextual"/>
              </w:rPr>
              <w:t>s</w:t>
            </w:r>
            <w:r w:rsidR="00AF2560">
              <w:rPr>
                <w:rFonts w:ascii="Calibri" w:eastAsia="Calibri" w:hAnsi="Calibri" w:cs="Calibri"/>
                <w:color w:val="auto"/>
                <w:lang w:val="en-GB"/>
                <w14:ligatures w14:val="standardContextual"/>
              </w:rPr>
              <w:t xml:space="preserve"> </w:t>
            </w:r>
            <w:r w:rsidR="005E74FE">
              <w:rPr>
                <w:rFonts w:ascii="Calibri" w:eastAsia="Calibri" w:hAnsi="Calibri" w:cs="Calibri"/>
                <w:color w:val="auto"/>
                <w:lang w:val="en-GB"/>
                <w14:ligatures w14:val="standardContextual"/>
              </w:rPr>
              <w:t xml:space="preserve">relevant to a facility </w:t>
            </w:r>
            <w:r w:rsidR="005C6D9D">
              <w:rPr>
                <w:rFonts w:ascii="Calibri" w:eastAsia="Calibri" w:hAnsi="Calibri" w:cs="Calibri"/>
                <w:color w:val="auto"/>
                <w:lang w:val="en-GB"/>
                <w14:ligatures w14:val="standardContextual"/>
              </w:rPr>
              <w:t xml:space="preserve">in the report. </w:t>
            </w:r>
            <w:r w:rsidR="00830B48">
              <w:rPr>
                <w:rFonts w:ascii="Calibri" w:eastAsia="Calibri" w:hAnsi="Calibri" w:cs="Calibri"/>
                <w:color w:val="auto"/>
                <w:lang w:val="en-GB"/>
                <w14:ligatures w14:val="standardContextual"/>
              </w:rPr>
              <w:t xml:space="preserve"> </w:t>
            </w:r>
          </w:p>
          <w:p w14:paraId="14098A53" w14:textId="1EBB20AC" w:rsidR="00084CE0" w:rsidRPr="00EA0C43" w:rsidRDefault="00084CE0" w:rsidP="002E4A2A">
            <w:pPr>
              <w:spacing w:before="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14:ligatures w14:val="standardContextual"/>
              </w:rPr>
            </w:pPr>
            <w:r w:rsidRPr="00EA0C43">
              <w:rPr>
                <w:rFonts w:ascii="Calibri" w:eastAsia="Calibri" w:hAnsi="Calibri" w:cs="Calibri"/>
                <w:color w:val="auto"/>
                <w14:ligatures w14:val="standardContextual"/>
              </w:rPr>
              <w:t xml:space="preserve">Further information on the </w:t>
            </w:r>
            <w:hyperlink r:id="rId41" w:tooltip="A link to the Safeguard Mechanism Scheme page on the Clean Energy Regulator's website" w:history="1">
              <w:r w:rsidRPr="00EA0C43">
                <w:rPr>
                  <w:rStyle w:val="Hyperlink"/>
                  <w:rFonts w:eastAsia="Calibri" w:cs="Calibri"/>
                  <w14:ligatures w14:val="standardContextual"/>
                </w:rPr>
                <w:t>Safeguard Mechanism</w:t>
              </w:r>
            </w:hyperlink>
            <w:r w:rsidRPr="00EA0C43">
              <w:rPr>
                <w:rStyle w:val="FootnoteReference"/>
                <w:rFonts w:ascii="Calibri" w:eastAsia="Calibri" w:hAnsi="Calibri" w:cs="Calibri"/>
                <w:color w:val="auto"/>
                <w14:ligatures w14:val="standardContextual"/>
              </w:rPr>
              <w:footnoteReference w:id="17"/>
            </w:r>
            <w:r w:rsidRPr="00EA0C43">
              <w:rPr>
                <w:rFonts w:ascii="Calibri" w:eastAsia="Calibri" w:hAnsi="Calibri" w:cs="Calibri"/>
                <w:color w:val="auto"/>
                <w14:ligatures w14:val="standardContextual"/>
              </w:rPr>
              <w:t xml:space="preserve"> is available on our website.</w:t>
            </w:r>
          </w:p>
        </w:tc>
      </w:tr>
      <w:tr w:rsidR="00353414" w:rsidRPr="00E428A1" w14:paraId="6BFC0959" w14:textId="77777777" w:rsidTr="00A32678">
        <w:tc>
          <w:tcPr>
            <w:cnfStyle w:val="001000000000" w:firstRow="0" w:lastRow="0" w:firstColumn="1" w:lastColumn="0" w:oddVBand="0" w:evenVBand="0" w:oddHBand="0" w:evenHBand="0" w:firstRowFirstColumn="0" w:firstRowLastColumn="0" w:lastRowFirstColumn="0" w:lastRowLastColumn="0"/>
            <w:tcW w:w="728" w:type="pct"/>
          </w:tcPr>
          <w:p w14:paraId="6AFD617A" w14:textId="77777777" w:rsidR="00F86350" w:rsidRPr="00EA0C43" w:rsidRDefault="00F86350" w:rsidP="00A50426">
            <w:pPr>
              <w:spacing w:after="0" w:line="276" w:lineRule="auto"/>
              <w:rPr>
                <w:rFonts w:ascii="Calibri" w:eastAsia="Calibri" w:hAnsi="Calibri" w:cs="Calibri"/>
                <w:color w:val="auto"/>
                <w:lang w:val="en-GB"/>
                <w14:ligatures w14:val="standardContextual"/>
              </w:rPr>
            </w:pPr>
            <w:r w:rsidRPr="00A50426">
              <w:rPr>
                <w:szCs w:val="22"/>
                <w:lang w:val="en-GB"/>
              </w:rPr>
              <w:t>Suggested resolution</w:t>
            </w:r>
          </w:p>
        </w:tc>
        <w:tc>
          <w:tcPr>
            <w:tcW w:w="4272" w:type="pct"/>
          </w:tcPr>
          <w:p w14:paraId="69E40761" w14:textId="70DA87DD" w:rsidR="00F86350" w:rsidRPr="00EA0C43" w:rsidRDefault="00F307B7" w:rsidP="00A32678">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14:ligatures w14:val="standardContextual"/>
              </w:rPr>
            </w:pPr>
            <w:r w:rsidRPr="00A50426">
              <w:rPr>
                <w:rFonts w:ascii="Calibri" w:eastAsia="Calibri" w:hAnsi="Calibri" w:cs="Calibri"/>
                <w:color w:val="auto"/>
                <w:lang w:val="en-GB"/>
                <w14:ligatures w14:val="standardContextual"/>
              </w:rPr>
              <w:t xml:space="preserve">Click </w:t>
            </w:r>
            <w:r w:rsidR="003144F3" w:rsidRPr="00A50426">
              <w:rPr>
                <w:rFonts w:ascii="Calibri" w:eastAsia="Calibri" w:hAnsi="Calibri" w:cs="Calibri"/>
                <w:color w:val="auto"/>
                <w:lang w:val="en-GB"/>
                <w14:ligatures w14:val="standardContextual"/>
              </w:rPr>
              <w:t xml:space="preserve">the ‘Edit production variables’ link under ‘Actions’ in the validation table. </w:t>
            </w:r>
            <w:r w:rsidR="0078434B" w:rsidRPr="00A50426">
              <w:rPr>
                <w:rFonts w:ascii="Calibri" w:eastAsia="Calibri" w:hAnsi="Calibri" w:cs="Calibri"/>
                <w:color w:val="auto"/>
                <w:lang w:val="en-GB"/>
                <w14:ligatures w14:val="standardContextual"/>
              </w:rPr>
              <w:t>This takes you to the</w:t>
            </w:r>
            <w:r w:rsidR="004A1AE8" w:rsidRPr="00A50426">
              <w:rPr>
                <w:rFonts w:ascii="Calibri" w:eastAsia="Calibri" w:hAnsi="Calibri" w:cs="Calibri"/>
                <w:color w:val="auto"/>
                <w:lang w:val="en-GB"/>
                <w14:ligatures w14:val="standardContextual"/>
              </w:rPr>
              <w:t xml:space="preserve"> ‘Production variables’ tab in the ‘Data entry’ function</w:t>
            </w:r>
            <w:r w:rsidR="008368DB" w:rsidRPr="00A50426">
              <w:rPr>
                <w:rFonts w:ascii="Calibri" w:eastAsia="Calibri" w:hAnsi="Calibri" w:cs="Calibri"/>
                <w:color w:val="auto"/>
                <w:lang w:val="en-GB"/>
                <w14:ligatures w14:val="standardContextual"/>
              </w:rPr>
              <w:t>, where you can</w:t>
            </w:r>
            <w:r w:rsidR="002A1A0F" w:rsidRPr="00A50426">
              <w:rPr>
                <w:rFonts w:ascii="Calibri" w:eastAsia="Calibri" w:hAnsi="Calibri" w:cs="Calibri"/>
                <w:color w:val="auto"/>
                <w:lang w:val="en-GB"/>
                <w14:ligatures w14:val="standardContextual"/>
              </w:rPr>
              <w:t xml:space="preserve"> </w:t>
            </w:r>
            <w:r w:rsidR="008368DB" w:rsidRPr="00A50426">
              <w:rPr>
                <w:rFonts w:ascii="Calibri" w:eastAsia="Calibri" w:hAnsi="Calibri" w:cs="Calibri"/>
                <w:color w:val="auto"/>
                <w:lang w:val="en-GB"/>
                <w14:ligatures w14:val="standardContextual"/>
              </w:rPr>
              <w:t xml:space="preserve">read </w:t>
            </w:r>
            <w:r w:rsidR="004C4BD8" w:rsidRPr="00A50426">
              <w:rPr>
                <w:rFonts w:ascii="Calibri" w:eastAsia="Calibri" w:hAnsi="Calibri" w:cs="Calibri"/>
                <w:color w:val="auto"/>
                <w:lang w:val="en-GB"/>
                <w14:ligatures w14:val="standardContextual"/>
              </w:rPr>
              <w:t xml:space="preserve">information about reporting production variables </w:t>
            </w:r>
            <w:r w:rsidR="00D3080F" w:rsidRPr="00A50426">
              <w:rPr>
                <w:rFonts w:ascii="Calibri" w:eastAsia="Calibri" w:hAnsi="Calibri" w:cs="Calibri"/>
                <w:color w:val="auto"/>
                <w:lang w:val="en-GB"/>
                <w14:ligatures w14:val="standardContextual"/>
              </w:rPr>
              <w:t xml:space="preserve">and report </w:t>
            </w:r>
            <w:r w:rsidR="006D13FC" w:rsidRPr="00A50426">
              <w:rPr>
                <w:rFonts w:ascii="Calibri" w:eastAsia="Calibri" w:hAnsi="Calibri" w:cs="Calibri"/>
                <w:color w:val="auto"/>
                <w:lang w:val="en-GB"/>
                <w14:ligatures w14:val="standardContextual"/>
              </w:rPr>
              <w:t>p</w:t>
            </w:r>
            <w:r w:rsidR="009D2C31" w:rsidRPr="00A50426">
              <w:rPr>
                <w:rFonts w:ascii="Calibri" w:eastAsia="Calibri" w:hAnsi="Calibri" w:cs="Calibri"/>
                <w:color w:val="auto"/>
                <w:lang w:val="en-GB"/>
                <w14:ligatures w14:val="standardContextual"/>
              </w:rPr>
              <w:t xml:space="preserve">roduction </w:t>
            </w:r>
            <w:r w:rsidR="00A40D65" w:rsidRPr="00A50426">
              <w:rPr>
                <w:rFonts w:ascii="Calibri" w:eastAsia="Calibri" w:hAnsi="Calibri" w:cs="Calibri"/>
                <w:color w:val="auto"/>
                <w:lang w:val="en-GB"/>
                <w14:ligatures w14:val="standardContextual"/>
              </w:rPr>
              <w:t>variable data</w:t>
            </w:r>
            <w:r w:rsidR="009D2C31" w:rsidRPr="00A50426">
              <w:rPr>
                <w:rFonts w:ascii="Calibri" w:eastAsia="Calibri" w:hAnsi="Calibri" w:cs="Calibri"/>
                <w:color w:val="auto"/>
                <w:lang w:val="en-GB"/>
                <w14:ligatures w14:val="standardContextual"/>
              </w:rPr>
              <w:t xml:space="preserve"> </w:t>
            </w:r>
            <w:r w:rsidR="006D13FC" w:rsidRPr="00A50426">
              <w:rPr>
                <w:rFonts w:ascii="Calibri" w:eastAsia="Calibri" w:hAnsi="Calibri" w:cs="Calibri"/>
                <w:color w:val="auto"/>
                <w:lang w:val="en-GB"/>
                <w14:ligatures w14:val="standardContextual"/>
              </w:rPr>
              <w:t xml:space="preserve">for </w:t>
            </w:r>
            <w:r w:rsidR="00A40D65" w:rsidRPr="00A50426">
              <w:rPr>
                <w:rFonts w:ascii="Calibri" w:eastAsia="Calibri" w:hAnsi="Calibri" w:cs="Calibri"/>
                <w:color w:val="auto"/>
                <w:lang w:val="en-GB"/>
                <w14:ligatures w14:val="standardContextual"/>
              </w:rPr>
              <w:t>your</w:t>
            </w:r>
            <w:r w:rsidR="006D13FC" w:rsidRPr="00A50426">
              <w:rPr>
                <w:rFonts w:ascii="Calibri" w:eastAsia="Calibri" w:hAnsi="Calibri" w:cs="Calibri"/>
                <w:color w:val="auto"/>
                <w:lang w:val="en-GB"/>
                <w14:ligatures w14:val="standardContextual"/>
              </w:rPr>
              <w:t xml:space="preserve"> facility</w:t>
            </w:r>
            <w:r w:rsidR="00A40D65" w:rsidRPr="00A50426">
              <w:rPr>
                <w:rFonts w:ascii="Calibri" w:eastAsia="Calibri" w:hAnsi="Calibri" w:cs="Calibri"/>
                <w:color w:val="auto"/>
                <w:lang w:val="en-GB"/>
                <w14:ligatures w14:val="standardContextual"/>
              </w:rPr>
              <w:t>.</w:t>
            </w:r>
            <w:r w:rsidR="00A40D65">
              <w:t xml:space="preserve"> </w:t>
            </w:r>
          </w:p>
        </w:tc>
      </w:tr>
      <w:bookmarkEnd w:id="42"/>
    </w:tbl>
    <w:p w14:paraId="6E71CEED" w14:textId="015347A4" w:rsidR="00F86350" w:rsidRPr="0056252B" w:rsidRDefault="00F86350" w:rsidP="00A50426">
      <w:pPr>
        <w:spacing w:after="160" w:line="259" w:lineRule="auto"/>
        <w:rPr>
          <w:rFonts w:ascii="Calibri" w:eastAsia="Times New Roman" w:hAnsi="Calibri" w:cs="Calibri"/>
          <w:b/>
          <w:bCs/>
          <w:color w:val="000000"/>
          <w:sz w:val="27"/>
          <w:szCs w:val="27"/>
          <w:lang w:val="en-GB"/>
        </w:rPr>
      </w:pPr>
    </w:p>
    <w:p w14:paraId="5921F65E" w14:textId="77777777" w:rsidR="004A5763" w:rsidRDefault="004A5763" w:rsidP="004A5763"/>
    <w:p w14:paraId="06F5642C" w14:textId="77777777" w:rsidR="004A5763" w:rsidRPr="009B1191" w:rsidRDefault="004A5763" w:rsidP="008C6C77">
      <w:pPr>
        <w:pStyle w:val="Heading1"/>
        <w:numPr>
          <w:ilvl w:val="0"/>
          <w:numId w:val="41"/>
        </w:numPr>
        <w:rPr>
          <w:lang w:val="en-GB"/>
        </w:rPr>
      </w:pPr>
      <w:bookmarkStart w:id="46" w:name="_Toc106974720"/>
      <w:bookmarkStart w:id="47" w:name="_Toc235705189"/>
      <w:r>
        <w:rPr>
          <w:lang w:val="en-GB"/>
        </w:rPr>
        <w:t>More</w:t>
      </w:r>
      <w:r w:rsidRPr="009B1191">
        <w:rPr>
          <w:lang w:val="en-GB"/>
        </w:rPr>
        <w:t xml:space="preserve"> </w:t>
      </w:r>
      <w:r w:rsidRPr="009D2C6C">
        <w:t>information</w:t>
      </w:r>
      <w:bookmarkEnd w:id="43"/>
      <w:bookmarkEnd w:id="44"/>
      <w:bookmarkEnd w:id="46"/>
      <w:bookmarkEnd w:id="47"/>
      <w:r w:rsidRPr="009B1191">
        <w:rPr>
          <w:lang w:val="en-GB"/>
        </w:rPr>
        <w:t xml:space="preserve"> </w:t>
      </w:r>
    </w:p>
    <w:p w14:paraId="0F108E4E" w14:textId="0210D866" w:rsidR="004A5763" w:rsidRPr="009B1191" w:rsidRDefault="004A5763" w:rsidP="004A5763">
      <w:pPr>
        <w:rPr>
          <w:lang w:val="en-GB"/>
        </w:rPr>
      </w:pPr>
      <w:r w:rsidRPr="009B1191">
        <w:rPr>
          <w:lang w:val="en-GB"/>
        </w:rPr>
        <w:t xml:space="preserve">For more information </w:t>
      </w:r>
      <w:r>
        <w:rPr>
          <w:lang w:val="en-GB"/>
        </w:rPr>
        <w:t>about</w:t>
      </w:r>
      <w:r w:rsidRPr="009B1191">
        <w:rPr>
          <w:lang w:val="en-GB"/>
        </w:rPr>
        <w:t xml:space="preserve"> EERS, please </w:t>
      </w:r>
      <w:r w:rsidR="349E9C60" w:rsidRPr="725B4E5D">
        <w:rPr>
          <w:lang w:val="en-GB"/>
        </w:rPr>
        <w:t>contact</w:t>
      </w:r>
      <w:r w:rsidRPr="725B4E5D">
        <w:rPr>
          <w:lang w:val="en-GB"/>
        </w:rPr>
        <w:t xml:space="preserve"> </w:t>
      </w:r>
      <w:r w:rsidR="3F2F3C64" w:rsidRPr="725B4E5D">
        <w:rPr>
          <w:lang w:val="en-GB"/>
        </w:rPr>
        <w:t>CER</w:t>
      </w:r>
      <w:r>
        <w:rPr>
          <w:lang w:val="en-GB"/>
        </w:rPr>
        <w:t>:</w:t>
      </w:r>
      <w:r w:rsidRPr="009B1191">
        <w:rPr>
          <w:lang w:val="en-GB"/>
        </w:rPr>
        <w:t xml:space="preserve"> </w:t>
      </w:r>
    </w:p>
    <w:p w14:paraId="09300129" w14:textId="77ADB022" w:rsidR="004A5763" w:rsidRPr="008C6C77" w:rsidRDefault="004A5763" w:rsidP="004A5763">
      <w:r w:rsidRPr="009B1191">
        <w:rPr>
          <w:lang w:val="en-GB"/>
        </w:rPr>
        <w:t xml:space="preserve">Email: </w:t>
      </w:r>
      <w:hyperlink r:id="rId42" w:history="1">
        <w:r w:rsidR="00A3263F">
          <w:rPr>
            <w:color w:val="005874"/>
            <w:szCs w:val="22"/>
            <w:u w:val="single"/>
          </w:rPr>
          <w:t>cer-nger-reporting@cer.gov.au</w:t>
        </w:r>
      </w:hyperlink>
    </w:p>
    <w:p w14:paraId="11A92590" w14:textId="77777777" w:rsidR="004A5763" w:rsidRPr="009B1191" w:rsidRDefault="004A5763" w:rsidP="004A5763">
      <w:pPr>
        <w:rPr>
          <w:lang w:val="en-GB"/>
        </w:rPr>
      </w:pPr>
      <w:r w:rsidRPr="009B1191">
        <w:rPr>
          <w:lang w:val="en-GB"/>
        </w:rPr>
        <w:t xml:space="preserve">Phone: </w:t>
      </w:r>
      <w:r w:rsidRPr="00C75F28">
        <w:rPr>
          <w:bCs/>
          <w:lang w:val="en-GB"/>
        </w:rPr>
        <w:t>1300 553 542</w:t>
      </w:r>
      <w:r w:rsidRPr="009B1191">
        <w:rPr>
          <w:lang w:val="en-GB"/>
        </w:rPr>
        <w:t xml:space="preserve"> within Australia </w:t>
      </w:r>
    </w:p>
    <w:p w14:paraId="2112CA79" w14:textId="24D13ABA" w:rsidR="004A5763" w:rsidRDefault="004A5763" w:rsidP="004A5763">
      <w:r>
        <w:t xml:space="preserve">See </w:t>
      </w:r>
      <w:hyperlink r:id="rId43" w:tooltip="A link to the Reporter support page of the Clean Energy Regulator's website" w:history="1">
        <w:r w:rsidR="004A359C">
          <w:rPr>
            <w:rStyle w:val="Hyperlink"/>
            <w:rFonts w:asciiTheme="minorHAnsi" w:hAnsiTheme="minorHAnsi"/>
          </w:rPr>
          <w:t>the Reporter support dashboard</w:t>
        </w:r>
      </w:hyperlink>
      <w:r w:rsidR="00310636">
        <w:rPr>
          <w:rStyle w:val="FootnoteReference"/>
          <w:color w:val="006C93" w:themeColor="accent3"/>
          <w:u w:val="single"/>
        </w:rPr>
        <w:footnoteReference w:id="18"/>
      </w:r>
      <w:r>
        <w:t xml:space="preserve"> for more guidance</w:t>
      </w:r>
      <w:r w:rsidR="00CA5D7B">
        <w:t>,</w:t>
      </w:r>
      <w:r>
        <w:t xml:space="preserve"> </w:t>
      </w:r>
      <w:r w:rsidR="00AC5619">
        <w:t>including</w:t>
      </w:r>
      <w:r>
        <w:t>:</w:t>
      </w:r>
    </w:p>
    <w:p w14:paraId="199463AD" w14:textId="365C6AEC" w:rsidR="004A5763" w:rsidRDefault="004A5763" w:rsidP="004A5763">
      <w:pPr>
        <w:pStyle w:val="CERbullets"/>
      </w:pPr>
      <w:r>
        <w:t xml:space="preserve">EERS </w:t>
      </w:r>
      <w:r w:rsidR="00AC5619">
        <w:t xml:space="preserve">navigation </w:t>
      </w:r>
      <w:r>
        <w:t>guide</w:t>
      </w:r>
    </w:p>
    <w:p w14:paraId="5661DEF2" w14:textId="77777777" w:rsidR="00AC5619" w:rsidRDefault="0099276F" w:rsidP="004A5763">
      <w:pPr>
        <w:pStyle w:val="CERbullets"/>
      </w:pPr>
      <w:r>
        <w:t>Online Services</w:t>
      </w:r>
      <w:r w:rsidR="004A5763">
        <w:t xml:space="preserve"> user guide</w:t>
      </w:r>
    </w:p>
    <w:p w14:paraId="6CC09765" w14:textId="09F8A2B7" w:rsidR="004A5763" w:rsidRPr="00F90DF8" w:rsidRDefault="00CA5D7B" w:rsidP="004A5763">
      <w:pPr>
        <w:pStyle w:val="CERbullets"/>
      </w:pPr>
      <w:r>
        <w:t>t</w:t>
      </w:r>
      <w:r w:rsidR="00AC5619">
        <w:t>raining videos</w:t>
      </w:r>
      <w:r w:rsidR="004A5763">
        <w:t>.</w:t>
      </w:r>
    </w:p>
    <w:p w14:paraId="337CFCB2" w14:textId="77777777" w:rsidR="004A5763" w:rsidRPr="00145357" w:rsidRDefault="004A5763" w:rsidP="004A5763">
      <w:pPr>
        <w:spacing w:line="276" w:lineRule="auto"/>
      </w:pPr>
    </w:p>
    <w:p w14:paraId="40B874F5" w14:textId="5E2BB0DB" w:rsidR="00235142" w:rsidRDefault="00235142" w:rsidP="00235142">
      <w:pPr>
        <w:spacing w:after="0"/>
      </w:pPr>
    </w:p>
    <w:sectPr w:rsidR="00235142" w:rsidSect="00AF78FC">
      <w:headerReference w:type="default" r:id="rId44"/>
      <w:footerReference w:type="even" r:id="rId45"/>
      <w:footerReference w:type="default" r:id="rId46"/>
      <w:headerReference w:type="first" r:id="rId47"/>
      <w:footerReference w:type="first" r:id="rId48"/>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1454D" w14:textId="77777777" w:rsidR="00A454A3" w:rsidRDefault="00A454A3" w:rsidP="00176C28">
      <w:r>
        <w:separator/>
      </w:r>
    </w:p>
    <w:p w14:paraId="609C8824" w14:textId="77777777" w:rsidR="00A454A3" w:rsidRDefault="00A454A3"/>
  </w:endnote>
  <w:endnote w:type="continuationSeparator" w:id="0">
    <w:p w14:paraId="0D136BDA" w14:textId="77777777" w:rsidR="00A454A3" w:rsidRDefault="00A454A3" w:rsidP="00176C28">
      <w:r>
        <w:continuationSeparator/>
      </w:r>
    </w:p>
    <w:p w14:paraId="3D1D41DE" w14:textId="77777777" w:rsidR="00A454A3" w:rsidRDefault="00A454A3"/>
  </w:endnote>
  <w:endnote w:type="continuationNotice" w:id="1">
    <w:p w14:paraId="670D1ECC" w14:textId="77777777" w:rsidR="00A454A3" w:rsidRDefault="00A454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1920" w14:textId="040D060B" w:rsidR="009633DE" w:rsidRDefault="009633DE" w:rsidP="003313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02A7BEB" w14:textId="105A5E38" w:rsidR="00977234" w:rsidRDefault="00977234" w:rsidP="009633DE">
    <w:pPr>
      <w:pStyle w:val="Footer"/>
      <w:ind w:right="360"/>
      <w:rPr>
        <w:rStyle w:val="PageNumber"/>
      </w:rPr>
    </w:pPr>
  </w:p>
  <w:p w14:paraId="302821B3" w14:textId="77777777" w:rsidR="00977234" w:rsidRDefault="00977234" w:rsidP="009633DE">
    <w:pPr>
      <w:pStyle w:val="Footer"/>
    </w:pPr>
  </w:p>
  <w:p w14:paraId="4C431A8C"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D5A3" w14:textId="619F145C" w:rsidR="006E3CA9" w:rsidRPr="00B50E27" w:rsidRDefault="002D18F3" w:rsidP="00C73199">
    <w:pPr>
      <w:pStyle w:val="Footer"/>
      <w:tabs>
        <w:tab w:val="clear" w:pos="2694"/>
        <w:tab w:val="clear" w:pos="3969"/>
        <w:tab w:val="clear" w:pos="6946"/>
        <w:tab w:val="clear" w:pos="9498"/>
        <w:tab w:val="center" w:pos="9639"/>
      </w:tabs>
      <w:spacing w:before="360" w:after="0"/>
      <w:ind w:left="0"/>
    </w:pPr>
    <w:r w:rsidRPr="002D18F3">
      <w:rPr>
        <w:b/>
        <w:bCs/>
      </w:rPr>
      <w:t>W:</w:t>
    </w:r>
    <w:r w:rsidRPr="002D18F3">
      <w:t xml:space="preserve"> </w:t>
    </w:r>
    <w:r w:rsidR="006E3CA9" w:rsidRPr="002D18F3">
      <w:t>www.</w:t>
    </w:r>
    <w:r w:rsidR="0087465B" w:rsidRPr="002D18F3">
      <w:t>c</w:t>
    </w:r>
    <w:r w:rsidR="0087465B">
      <w:t>e</w:t>
    </w:r>
    <w:r w:rsidR="0087465B" w:rsidRPr="002D18F3">
      <w:t>r</w:t>
    </w:r>
    <w:r w:rsidR="006E3CA9" w:rsidRPr="002D18F3">
      <w:t>.gov.au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enquiries@</w:t>
    </w:r>
    <w:r w:rsidR="0087465B" w:rsidRPr="002D18F3">
      <w:rPr>
        <w:rStyle w:val="PageNumber"/>
      </w:rPr>
      <w:t>c</w:t>
    </w:r>
    <w:r w:rsidR="0087465B">
      <w:rPr>
        <w:rStyle w:val="PageNumber"/>
      </w:rPr>
      <w:t>er</w:t>
    </w:r>
    <w:r w:rsidRPr="002D18F3">
      <w:rPr>
        <w:rStyle w:val="PageNumber"/>
      </w:rPr>
      <w:t>.gov.au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788087B7" w14:textId="467C511A" w:rsidR="00F76419" w:rsidRPr="009633DE" w:rsidRDefault="00F76419" w:rsidP="00E349EF">
    <w:pPr>
      <w:pStyle w:val="Footer"/>
      <w:spacing w:before="60"/>
      <w:jc w:val="center"/>
      <w:rPr>
        <w:rStyle w:val="Protectivemark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8CCF" w14:textId="7839AB4F" w:rsidR="0065750A" w:rsidRPr="009C30B4" w:rsidRDefault="00862D08" w:rsidP="00AA2792">
    <w:pPr>
      <w:tabs>
        <w:tab w:val="left" w:pos="2694"/>
        <w:tab w:val="left" w:pos="3969"/>
        <w:tab w:val="left" w:pos="6946"/>
        <w:tab w:val="right" w:pos="9498"/>
      </w:tabs>
      <w:spacing w:after="720"/>
      <w:ind w:right="242"/>
      <w:rPr>
        <w:color w:val="005874"/>
        <w:sz w:val="16"/>
        <w:szCs w:val="16"/>
      </w:rPr>
    </w:pPr>
    <w:r w:rsidRPr="00862D08">
      <w:t xml:space="preserve"> </w:t>
    </w:r>
    <w:r>
      <w:rPr>
        <w:noProof/>
      </w:rPr>
      <w:drawing>
        <wp:inline distT="0" distB="0" distL="0" distR="0" wp14:anchorId="24F8CBCA" wp14:editId="1428B1CC">
          <wp:extent cx="2097679" cy="6381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425" cy="65357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E271F" w14:textId="77777777" w:rsidR="00A454A3" w:rsidRDefault="00A454A3" w:rsidP="003C16ED">
      <w:r>
        <w:separator/>
      </w:r>
    </w:p>
  </w:footnote>
  <w:footnote w:type="continuationSeparator" w:id="0">
    <w:p w14:paraId="64F00E45" w14:textId="77777777" w:rsidR="00A454A3" w:rsidRDefault="00A454A3" w:rsidP="00176C28">
      <w:r>
        <w:continuationSeparator/>
      </w:r>
    </w:p>
    <w:p w14:paraId="68604C39" w14:textId="77777777" w:rsidR="00A454A3" w:rsidRDefault="00A454A3"/>
  </w:footnote>
  <w:footnote w:type="continuationNotice" w:id="1">
    <w:p w14:paraId="6264DF44" w14:textId="77777777" w:rsidR="00A454A3" w:rsidRDefault="00A454A3">
      <w:pPr>
        <w:spacing w:after="0"/>
      </w:pPr>
    </w:p>
  </w:footnote>
  <w:footnote w:id="2">
    <w:p w14:paraId="43860924" w14:textId="3FBC5E00" w:rsidR="004A5763" w:rsidRPr="00553E8C" w:rsidRDefault="004A5763" w:rsidP="004A5763">
      <w:pPr>
        <w:pStyle w:val="FootnoteText"/>
      </w:pPr>
      <w:r>
        <w:rPr>
          <w:rStyle w:val="FootnoteReference"/>
        </w:rPr>
        <w:footnoteRef/>
      </w:r>
      <w:r>
        <w:t xml:space="preserve"> </w:t>
      </w:r>
      <w:r w:rsidR="00774BC9" w:rsidRPr="00393C5A">
        <w:t>https://www.legislation.gov.au/Series/C2007A00175</w:t>
      </w:r>
      <w:r w:rsidRPr="00553E8C">
        <w:t xml:space="preserve"> </w:t>
      </w:r>
    </w:p>
  </w:footnote>
  <w:footnote w:id="3">
    <w:p w14:paraId="08197862" w14:textId="00F3995B" w:rsidR="004A5763" w:rsidRPr="00553E8C" w:rsidRDefault="004A5763" w:rsidP="004A5763">
      <w:pPr>
        <w:pStyle w:val="FootnoteText"/>
      </w:pPr>
      <w:r w:rsidRPr="00553E8C">
        <w:rPr>
          <w:rStyle w:val="FootnoteReference"/>
        </w:rPr>
        <w:footnoteRef/>
      </w:r>
      <w:r w:rsidRPr="00553E8C">
        <w:t xml:space="preserve"> </w:t>
      </w:r>
      <w:r w:rsidR="00774BC9" w:rsidRPr="00393C5A">
        <w:t>https://www.legislation.gov.au/Series/F2008L0223</w:t>
      </w:r>
    </w:p>
  </w:footnote>
  <w:footnote w:id="4">
    <w:p w14:paraId="542BF3F5" w14:textId="5E94FDA7" w:rsidR="004A5763" w:rsidRPr="00553E8C" w:rsidRDefault="004A5763" w:rsidP="004A5763">
      <w:pPr>
        <w:pStyle w:val="FootnoteText"/>
      </w:pPr>
      <w:r w:rsidRPr="00553E8C">
        <w:rPr>
          <w:rStyle w:val="FootnoteReference"/>
        </w:rPr>
        <w:footnoteRef/>
      </w:r>
      <w:r w:rsidRPr="00553E8C">
        <w:t xml:space="preserve"> </w:t>
      </w:r>
      <w:r w:rsidR="00774BC9" w:rsidRPr="00393C5A">
        <w:t>https://www.legislation.gov.au/Series/F2008L02309</w:t>
      </w:r>
      <w:r w:rsidRPr="00553E8C">
        <w:t xml:space="preserve"> </w:t>
      </w:r>
    </w:p>
  </w:footnote>
  <w:footnote w:id="5">
    <w:p w14:paraId="353AEC39" w14:textId="480E1BA8" w:rsidR="004A5763" w:rsidRPr="00740092" w:rsidRDefault="004A5763" w:rsidP="004A5763">
      <w:pPr>
        <w:pStyle w:val="FootnoteText"/>
      </w:pPr>
      <w:r w:rsidRPr="00553E8C">
        <w:rPr>
          <w:rStyle w:val="FootnoteReference"/>
        </w:rPr>
        <w:footnoteRef/>
      </w:r>
      <w:r w:rsidRPr="00553E8C">
        <w:t xml:space="preserve"> </w:t>
      </w:r>
      <w:r w:rsidR="00774BC9" w:rsidRPr="00393C5A">
        <w:t>https://cer.gov.au/schemes/national-greenhouse-and-energy-reporting-scheme</w:t>
      </w:r>
    </w:p>
  </w:footnote>
  <w:footnote w:id="6">
    <w:p w14:paraId="047AB87C" w14:textId="2B9CF2CC" w:rsidR="00C83115" w:rsidRPr="00FB57D1" w:rsidRDefault="00C83115">
      <w:pPr>
        <w:pStyle w:val="FootnoteText"/>
        <w:rPr>
          <w:lang w:val="en-AU"/>
        </w:rPr>
      </w:pPr>
      <w:r>
        <w:rPr>
          <w:rStyle w:val="FootnoteReference"/>
        </w:rPr>
        <w:footnoteRef/>
      </w:r>
      <w:r>
        <w:t xml:space="preserve"> </w:t>
      </w:r>
      <w:r w:rsidRPr="00C83115">
        <w:t>https://cer.gov.au/schemes/national-greenhouse-and-energy-reporting-scheme/report-emissions-and-energy/amendments</w:t>
      </w:r>
    </w:p>
  </w:footnote>
  <w:footnote w:id="7">
    <w:p w14:paraId="741B4268" w14:textId="30A06B4F" w:rsidR="004A5763" w:rsidRDefault="004A5763" w:rsidP="004A5763">
      <w:pPr>
        <w:pStyle w:val="FootnoteText"/>
      </w:pPr>
      <w:r>
        <w:rPr>
          <w:rStyle w:val="FootnoteReference"/>
        </w:rPr>
        <w:footnoteRef/>
      </w:r>
      <w:r>
        <w:t xml:space="preserve"> </w:t>
      </w:r>
      <w:r w:rsidR="00197692" w:rsidRPr="00393C5A">
        <w:t>https://cer.gov.au/online-systems#emissions-and-energy-reporting-system</w:t>
      </w:r>
      <w:r>
        <w:t xml:space="preserve"> </w:t>
      </w:r>
    </w:p>
  </w:footnote>
  <w:footnote w:id="8">
    <w:p w14:paraId="2CEA59F5" w14:textId="77777777" w:rsidR="009A272C" w:rsidRPr="00AD1C47" w:rsidRDefault="009A272C" w:rsidP="009A272C">
      <w:pPr>
        <w:pStyle w:val="FootnoteText"/>
        <w:rPr>
          <w:lang w:val="en-AU"/>
        </w:rPr>
      </w:pPr>
      <w:r>
        <w:rPr>
          <w:rStyle w:val="FootnoteReference"/>
        </w:rPr>
        <w:footnoteRef/>
      </w:r>
      <w:r w:rsidRPr="00FA20C2">
        <w:t xml:space="preserve"> </w:t>
      </w:r>
      <w:r w:rsidRPr="00F05FC0">
        <w:t>https://cer.gov.au/schemes/national-greenhouse-and-energy-reporting-scheme/report-emissions-and-energy/reporter-support</w:t>
      </w:r>
    </w:p>
  </w:footnote>
  <w:footnote w:id="9">
    <w:p w14:paraId="2930E028" w14:textId="3A2D1092" w:rsidR="00FA20C2" w:rsidRPr="00AD1C47" w:rsidRDefault="00FA20C2">
      <w:pPr>
        <w:pStyle w:val="FootnoteText"/>
        <w:rPr>
          <w:lang w:val="en-AU"/>
        </w:rPr>
      </w:pPr>
      <w:r>
        <w:rPr>
          <w:rStyle w:val="FootnoteReference"/>
        </w:rPr>
        <w:footnoteRef/>
      </w:r>
      <w:r>
        <w:t xml:space="preserve"> </w:t>
      </w:r>
      <w:r w:rsidR="00197692" w:rsidRPr="00393C5A">
        <w:t>https://cer.gov.au/about-us/our-compliance-approach/compliance-policy-education-monitoring-and-enforcement-activities</w:t>
      </w:r>
      <w:r>
        <w:t xml:space="preserve"> </w:t>
      </w:r>
    </w:p>
  </w:footnote>
  <w:footnote w:id="10">
    <w:p w14:paraId="34F5205A" w14:textId="74F7700D" w:rsidR="00EC60FD" w:rsidRDefault="0022068E" w:rsidP="00EC60FD">
      <w:r>
        <w:rPr>
          <w:rStyle w:val="FootnoteReference"/>
        </w:rPr>
        <w:footnoteRef/>
      </w:r>
      <w:r>
        <w:t xml:space="preserve"> </w:t>
      </w:r>
      <w:r w:rsidR="00EC60FD" w:rsidRPr="00EC60FD">
        <w:t xml:space="preserve"> </w:t>
      </w:r>
      <w:r w:rsidR="00EC60FD" w:rsidRPr="006D42CE">
        <w:t>https://cer.gov.au/document_page/nger-technical-reporting-information</w:t>
      </w:r>
    </w:p>
    <w:p w14:paraId="308C121B" w14:textId="3AE6ECCB" w:rsidR="0022068E" w:rsidRPr="0022068E" w:rsidRDefault="0022068E">
      <w:pPr>
        <w:pStyle w:val="FootnoteText"/>
        <w:rPr>
          <w:lang w:val="en-AU"/>
        </w:rPr>
      </w:pPr>
    </w:p>
  </w:footnote>
  <w:footnote w:id="11">
    <w:p w14:paraId="26ABE5C6" w14:textId="1B9576ED" w:rsidR="00EC60FD" w:rsidRDefault="008C43E3" w:rsidP="00EC60FD">
      <w:r>
        <w:rPr>
          <w:rStyle w:val="FootnoteReference"/>
        </w:rPr>
        <w:footnoteRef/>
      </w:r>
      <w:r>
        <w:t xml:space="preserve"> </w:t>
      </w:r>
      <w:r w:rsidR="00EC60FD" w:rsidRPr="00EC60FD">
        <w:t xml:space="preserve"> </w:t>
      </w:r>
      <w:r w:rsidR="00EC60FD" w:rsidRPr="006D42CE">
        <w:t>https://cer.gov.au/document_page/nger-technical-reporting-information</w:t>
      </w:r>
    </w:p>
    <w:p w14:paraId="161D1794" w14:textId="2B9AB0C7" w:rsidR="008C43E3" w:rsidRPr="00FB57D1" w:rsidRDefault="008C43E3">
      <w:pPr>
        <w:pStyle w:val="FootnoteText"/>
        <w:rPr>
          <w:lang w:val="en-AU"/>
        </w:rPr>
      </w:pPr>
    </w:p>
  </w:footnote>
  <w:footnote w:id="12">
    <w:p w14:paraId="54CF7E86" w14:textId="12C52BF9" w:rsidR="004A5763" w:rsidRDefault="004A5763" w:rsidP="004A5763">
      <w:pPr>
        <w:pStyle w:val="FootnoteText"/>
      </w:pPr>
      <w:r>
        <w:rPr>
          <w:rStyle w:val="FootnoteReference"/>
        </w:rPr>
        <w:footnoteRef/>
      </w:r>
      <w:r>
        <w:t xml:space="preserve"> </w:t>
      </w:r>
      <w:r w:rsidR="009C1EEA" w:rsidRPr="00393C5A">
        <w:t>https://cer.gov.au/about-us/contact-us</w:t>
      </w:r>
      <w:r>
        <w:t xml:space="preserve"> </w:t>
      </w:r>
    </w:p>
  </w:footnote>
  <w:footnote w:id="13">
    <w:p w14:paraId="7F83C00E" w14:textId="46C8F945" w:rsidR="004A5763" w:rsidRDefault="004A5763" w:rsidP="004A5763">
      <w:pPr>
        <w:pStyle w:val="FootnoteText"/>
      </w:pPr>
      <w:r>
        <w:rPr>
          <w:rStyle w:val="FootnoteReference"/>
        </w:rPr>
        <w:footnoteRef/>
      </w:r>
      <w:r>
        <w:t xml:space="preserve"> </w:t>
      </w:r>
      <w:r w:rsidR="00C5200F" w:rsidRPr="008C6C77">
        <w:t>https://cer.gov.au/schemes/national-greenhouse-and-energy-reporting-scheme/report-emissions-and-energy/nger-reporting-guides</w:t>
      </w:r>
      <w:r w:rsidR="00842151">
        <w:t xml:space="preserve"> </w:t>
      </w:r>
      <w:r>
        <w:t xml:space="preserve"> </w:t>
      </w:r>
    </w:p>
  </w:footnote>
  <w:footnote w:id="14">
    <w:p w14:paraId="5B4DBE2C" w14:textId="714041C7" w:rsidR="004A5763" w:rsidRDefault="004A5763" w:rsidP="004A5763">
      <w:pPr>
        <w:pStyle w:val="FootnoteText"/>
      </w:pPr>
      <w:r>
        <w:rPr>
          <w:rStyle w:val="FootnoteReference"/>
        </w:rPr>
        <w:footnoteRef/>
      </w:r>
      <w:r>
        <w:t xml:space="preserve"> </w:t>
      </w:r>
      <w:r w:rsidR="005835A8" w:rsidRPr="00393C5A">
        <w:t>https://cer.gov.au/schemes/national-greenhouse-and-energy-reporting-scheme/report-emissions-and-energy/nger-reporting-guides</w:t>
      </w:r>
      <w:r w:rsidR="00BB0DD7">
        <w:t xml:space="preserve"> </w:t>
      </w:r>
      <w:r>
        <w:t xml:space="preserve"> </w:t>
      </w:r>
    </w:p>
  </w:footnote>
  <w:footnote w:id="15">
    <w:p w14:paraId="6DADFB15" w14:textId="183DB341" w:rsidR="004A5763" w:rsidRDefault="004A5763" w:rsidP="004A5763">
      <w:pPr>
        <w:pStyle w:val="FootnoteText"/>
      </w:pPr>
      <w:r>
        <w:rPr>
          <w:rStyle w:val="FootnoteReference"/>
        </w:rPr>
        <w:footnoteRef/>
      </w:r>
      <w:r>
        <w:t xml:space="preserve"> </w:t>
      </w:r>
      <w:r w:rsidR="00794418" w:rsidRPr="00794418">
        <w:t>https://cer.gov.au/schemes/national-greenhouse-and-energy-reporting-scheme/about-emissions-and-energy-data/emissions-and-energy-types#types-of-emissions</w:t>
      </w:r>
    </w:p>
    <w:p w14:paraId="39027259" w14:textId="41927F0F" w:rsidR="00476738" w:rsidRDefault="002B2F55" w:rsidP="004A5763">
      <w:pPr>
        <w:pStyle w:val="FootnoteText"/>
      </w:pPr>
      <w:r>
        <w:rPr>
          <w:vertAlign w:val="superscript"/>
        </w:rPr>
        <w:t>14</w:t>
      </w:r>
      <w:r w:rsidR="007913B2">
        <w:t xml:space="preserve"> </w:t>
      </w:r>
      <w:r w:rsidR="002D5E74" w:rsidRPr="008C6C77">
        <w:t>https://cer.gov.au/schemes/national-greenhouse-and-energy-reporting-scheme/report-emissions-and-energy/nger-reporting-guides</w:t>
      </w:r>
      <w:r w:rsidR="009E2FEC">
        <w:t xml:space="preserve"> </w:t>
      </w:r>
    </w:p>
  </w:footnote>
  <w:footnote w:id="16">
    <w:p w14:paraId="468648C5" w14:textId="20FB3060" w:rsidR="004A5763" w:rsidRDefault="004A5763" w:rsidP="004A5763">
      <w:pPr>
        <w:pStyle w:val="FootnoteText"/>
      </w:pPr>
    </w:p>
  </w:footnote>
  <w:footnote w:id="17">
    <w:p w14:paraId="108A404E" w14:textId="2E6287DC" w:rsidR="00084CE0" w:rsidRPr="00736D03" w:rsidRDefault="00084CE0" w:rsidP="00084CE0">
      <w:pPr>
        <w:pStyle w:val="FootnoteText"/>
        <w:rPr>
          <w:lang w:val="en-AU"/>
        </w:rPr>
      </w:pPr>
      <w:r>
        <w:rPr>
          <w:rStyle w:val="FootnoteReference"/>
        </w:rPr>
        <w:footnoteRef/>
      </w:r>
      <w:r>
        <w:t xml:space="preserve"> </w:t>
      </w:r>
      <w:r w:rsidR="00AE0E11" w:rsidRPr="00393C5A">
        <w:t>https://cer.gov.au/schemes/safeguard-mechanism</w:t>
      </w:r>
      <w:r>
        <w:t xml:space="preserve"> </w:t>
      </w:r>
    </w:p>
  </w:footnote>
  <w:footnote w:id="18">
    <w:p w14:paraId="7EFC4961" w14:textId="04A79AD2" w:rsidR="00310636" w:rsidRPr="00736D03" w:rsidRDefault="00310636">
      <w:pPr>
        <w:pStyle w:val="FootnoteText"/>
        <w:rPr>
          <w:lang w:val="en-AU"/>
        </w:rPr>
      </w:pPr>
      <w:r>
        <w:rPr>
          <w:rStyle w:val="FootnoteReference"/>
        </w:rPr>
        <w:footnoteRef/>
      </w:r>
      <w:r>
        <w:t xml:space="preserve"> </w:t>
      </w:r>
      <w:r w:rsidR="001755DB" w:rsidRPr="00393C5A">
        <w:t>https://cer.gov.au/schemes/national-greenhouse-and-energy-reporting-scheme/report-emissions-and-energy/reporter-support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F2C3" w14:textId="77777777" w:rsidR="007D2FE2" w:rsidRDefault="007D2FE2" w:rsidP="00E349EF">
    <w:pPr>
      <w:pStyle w:val="LegislativesecrecyACT"/>
    </w:pPr>
  </w:p>
  <w:p w14:paraId="1657C533" w14:textId="7655B461" w:rsidR="00D81782" w:rsidRPr="00BE0DA3" w:rsidRDefault="00407A97" w:rsidP="00E349EF">
    <w:pPr>
      <w:pStyle w:val="LegislativesecrecyACT"/>
    </w:pPr>
    <w:r>
      <w:rPr>
        <w:noProof/>
      </w:rPr>
      <w:drawing>
        <wp:anchor distT="0" distB="0" distL="114300" distR="114300" simplePos="0" relativeHeight="251658240" behindDoc="0" locked="0" layoutInCell="1" allowOverlap="1" wp14:anchorId="31857C65" wp14:editId="31480086">
          <wp:simplePos x="0" y="0"/>
          <wp:positionH relativeFrom="column">
            <wp:posOffset>4721420</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3326" w14:textId="33E264B4" w:rsidR="00CA2954" w:rsidRDefault="008352D1" w:rsidP="00E349EF">
    <w:pPr>
      <w:pStyle w:val="Header"/>
      <w:spacing w:before="600"/>
    </w:pPr>
    <w:r>
      <w:rPr>
        <w:noProof/>
      </w:rPr>
      <w:t xml:space="preserve">  </w:t>
    </w:r>
    <w:r w:rsidR="00CA2954">
      <w:rPr>
        <w:noProof/>
      </w:rPr>
      <w:drawing>
        <wp:inline distT="0" distB="0" distL="0" distR="0" wp14:anchorId="5D91E6F5" wp14:editId="0F3E109B">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3E6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61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3EB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69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CA6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6E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0B32344A"/>
    <w:multiLevelType w:val="multilevel"/>
    <w:tmpl w:val="5146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B95FF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035D29"/>
    <w:multiLevelType w:val="hybridMultilevel"/>
    <w:tmpl w:val="8734659C"/>
    <w:lvl w:ilvl="0" w:tplc="7BA4DCB0">
      <w:start w:val="1"/>
      <w:numFmt w:val="decimal"/>
      <w:lvlText w:val="%1."/>
      <w:lvlJc w:val="left"/>
      <w:pPr>
        <w:ind w:left="1020" w:hanging="360"/>
      </w:pPr>
    </w:lvl>
    <w:lvl w:ilvl="1" w:tplc="105CF1AC">
      <w:start w:val="1"/>
      <w:numFmt w:val="decimal"/>
      <w:lvlText w:val="%2."/>
      <w:lvlJc w:val="left"/>
      <w:pPr>
        <w:ind w:left="1020" w:hanging="360"/>
      </w:pPr>
    </w:lvl>
    <w:lvl w:ilvl="2" w:tplc="FDB0FF92">
      <w:start w:val="1"/>
      <w:numFmt w:val="decimal"/>
      <w:lvlText w:val="%3."/>
      <w:lvlJc w:val="left"/>
      <w:pPr>
        <w:ind w:left="1020" w:hanging="360"/>
      </w:pPr>
    </w:lvl>
    <w:lvl w:ilvl="3" w:tplc="2038735C">
      <w:start w:val="1"/>
      <w:numFmt w:val="decimal"/>
      <w:lvlText w:val="%4."/>
      <w:lvlJc w:val="left"/>
      <w:pPr>
        <w:ind w:left="1020" w:hanging="360"/>
      </w:pPr>
    </w:lvl>
    <w:lvl w:ilvl="4" w:tplc="EB3032E0">
      <w:start w:val="1"/>
      <w:numFmt w:val="decimal"/>
      <w:lvlText w:val="%5."/>
      <w:lvlJc w:val="left"/>
      <w:pPr>
        <w:ind w:left="1020" w:hanging="360"/>
      </w:pPr>
    </w:lvl>
    <w:lvl w:ilvl="5" w:tplc="0130CEB6">
      <w:start w:val="1"/>
      <w:numFmt w:val="decimal"/>
      <w:lvlText w:val="%6."/>
      <w:lvlJc w:val="left"/>
      <w:pPr>
        <w:ind w:left="1020" w:hanging="360"/>
      </w:pPr>
    </w:lvl>
    <w:lvl w:ilvl="6" w:tplc="AB02DAF2">
      <w:start w:val="1"/>
      <w:numFmt w:val="decimal"/>
      <w:lvlText w:val="%7."/>
      <w:lvlJc w:val="left"/>
      <w:pPr>
        <w:ind w:left="1020" w:hanging="360"/>
      </w:pPr>
    </w:lvl>
    <w:lvl w:ilvl="7" w:tplc="F3D00840">
      <w:start w:val="1"/>
      <w:numFmt w:val="decimal"/>
      <w:lvlText w:val="%8."/>
      <w:lvlJc w:val="left"/>
      <w:pPr>
        <w:ind w:left="1020" w:hanging="360"/>
      </w:pPr>
    </w:lvl>
    <w:lvl w:ilvl="8" w:tplc="C40461F4">
      <w:start w:val="1"/>
      <w:numFmt w:val="decimal"/>
      <w:lvlText w:val="%9."/>
      <w:lvlJc w:val="left"/>
      <w:pPr>
        <w:ind w:left="1020" w:hanging="360"/>
      </w:pPr>
    </w:lvl>
  </w:abstractNum>
  <w:abstractNum w:abstractNumId="19"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6B93FF3"/>
    <w:multiLevelType w:val="hybridMultilevel"/>
    <w:tmpl w:val="E05A9B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5" w15:restartNumberingAfterBreak="0">
    <w:nsid w:val="3A120414"/>
    <w:multiLevelType w:val="hybridMultilevel"/>
    <w:tmpl w:val="3348C7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0EA1F6F"/>
    <w:multiLevelType w:val="multilevel"/>
    <w:tmpl w:val="3A7AD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C41E91"/>
    <w:multiLevelType w:val="multilevel"/>
    <w:tmpl w:val="C310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3"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C74CB4"/>
    <w:multiLevelType w:val="hybridMultilevel"/>
    <w:tmpl w:val="9BC20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DE218D"/>
    <w:multiLevelType w:val="hybridMultilevel"/>
    <w:tmpl w:val="B6FC75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50B16ED"/>
    <w:multiLevelType w:val="multilevel"/>
    <w:tmpl w:val="5A421D8A"/>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A3B715D"/>
    <w:multiLevelType w:val="multilevel"/>
    <w:tmpl w:val="FA68085E"/>
    <w:lvl w:ilvl="0">
      <w:start w:val="1"/>
      <w:numFmt w:val="decimal"/>
      <w:lvlText w:val="%1."/>
      <w:lvlJc w:val="left"/>
      <w:pPr>
        <w:ind w:left="360" w:hanging="36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A98787F"/>
    <w:multiLevelType w:val="hybridMultilevel"/>
    <w:tmpl w:val="E0466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29098879">
    <w:abstractNumId w:val="30"/>
  </w:num>
  <w:num w:numId="2" w16cid:durableId="355549327">
    <w:abstractNumId w:val="20"/>
  </w:num>
  <w:num w:numId="3" w16cid:durableId="484009946">
    <w:abstractNumId w:val="21"/>
  </w:num>
  <w:num w:numId="4" w16cid:durableId="1677614364">
    <w:abstractNumId w:val="13"/>
  </w:num>
  <w:num w:numId="5" w16cid:durableId="1080634054">
    <w:abstractNumId w:val="14"/>
  </w:num>
  <w:num w:numId="6" w16cid:durableId="1938826368">
    <w:abstractNumId w:val="24"/>
  </w:num>
  <w:num w:numId="7" w16cid:durableId="1180512755">
    <w:abstractNumId w:val="32"/>
  </w:num>
  <w:num w:numId="8" w16cid:durableId="349182103">
    <w:abstractNumId w:val="14"/>
  </w:num>
  <w:num w:numId="9" w16cid:durableId="1100220765">
    <w:abstractNumId w:val="9"/>
  </w:num>
  <w:num w:numId="10" w16cid:durableId="1767845994">
    <w:abstractNumId w:val="7"/>
  </w:num>
  <w:num w:numId="11" w16cid:durableId="943416742">
    <w:abstractNumId w:val="6"/>
  </w:num>
  <w:num w:numId="12" w16cid:durableId="634260657">
    <w:abstractNumId w:val="5"/>
  </w:num>
  <w:num w:numId="13" w16cid:durableId="965887893">
    <w:abstractNumId w:val="4"/>
  </w:num>
  <w:num w:numId="14" w16cid:durableId="1309171102">
    <w:abstractNumId w:val="8"/>
  </w:num>
  <w:num w:numId="15" w16cid:durableId="900944005">
    <w:abstractNumId w:val="3"/>
  </w:num>
  <w:num w:numId="16" w16cid:durableId="2145733509">
    <w:abstractNumId w:val="2"/>
  </w:num>
  <w:num w:numId="17" w16cid:durableId="957221764">
    <w:abstractNumId w:val="1"/>
  </w:num>
  <w:num w:numId="18" w16cid:durableId="75057081">
    <w:abstractNumId w:val="0"/>
  </w:num>
  <w:num w:numId="19" w16cid:durableId="1749379429">
    <w:abstractNumId w:val="12"/>
  </w:num>
  <w:num w:numId="20" w16cid:durableId="1170635759">
    <w:abstractNumId w:val="17"/>
  </w:num>
  <w:num w:numId="21" w16cid:durableId="352535495">
    <w:abstractNumId w:val="39"/>
  </w:num>
  <w:num w:numId="22" w16cid:durableId="624242072">
    <w:abstractNumId w:val="10"/>
  </w:num>
  <w:num w:numId="23" w16cid:durableId="1540043336">
    <w:abstractNumId w:val="42"/>
  </w:num>
  <w:num w:numId="24" w16cid:durableId="1389569016">
    <w:abstractNumId w:val="26"/>
  </w:num>
  <w:num w:numId="25" w16cid:durableId="679699028">
    <w:abstractNumId w:val="23"/>
  </w:num>
  <w:num w:numId="26" w16cid:durableId="34501187">
    <w:abstractNumId w:val="19"/>
  </w:num>
  <w:num w:numId="27" w16cid:durableId="50277554">
    <w:abstractNumId w:val="38"/>
  </w:num>
  <w:num w:numId="28" w16cid:durableId="592974337">
    <w:abstractNumId w:val="31"/>
  </w:num>
  <w:num w:numId="29" w16cid:durableId="1481579148">
    <w:abstractNumId w:val="29"/>
  </w:num>
  <w:num w:numId="30" w16cid:durableId="187374362">
    <w:abstractNumId w:val="33"/>
  </w:num>
  <w:num w:numId="31" w16cid:durableId="743844486">
    <w:abstractNumId w:val="37"/>
  </w:num>
  <w:num w:numId="32" w16cid:durableId="2026057537">
    <w:abstractNumId w:val="11"/>
  </w:num>
  <w:num w:numId="33" w16cid:durableId="2056928774">
    <w:abstractNumId w:val="34"/>
  </w:num>
  <w:num w:numId="34" w16cid:durableId="467282943">
    <w:abstractNumId w:val="25"/>
  </w:num>
  <w:num w:numId="35" w16cid:durableId="368267488">
    <w:abstractNumId w:val="41"/>
  </w:num>
  <w:num w:numId="36" w16cid:durableId="1033728258">
    <w:abstractNumId w:val="36"/>
  </w:num>
  <w:num w:numId="37" w16cid:durableId="384377190">
    <w:abstractNumId w:val="39"/>
  </w:num>
  <w:num w:numId="38" w16cid:durableId="21397300">
    <w:abstractNumId w:val="39"/>
  </w:num>
  <w:num w:numId="39" w16cid:durableId="534584381">
    <w:abstractNumId w:val="15"/>
  </w:num>
  <w:num w:numId="40" w16cid:durableId="543713855">
    <w:abstractNumId w:val="18"/>
  </w:num>
  <w:num w:numId="41" w16cid:durableId="946699812">
    <w:abstractNumId w:val="40"/>
  </w:num>
  <w:num w:numId="42" w16cid:durableId="1137800920">
    <w:abstractNumId w:val="16"/>
  </w:num>
  <w:num w:numId="43" w16cid:durableId="1914045648">
    <w:abstractNumId w:val="35"/>
  </w:num>
  <w:num w:numId="44" w16cid:durableId="1054086726">
    <w:abstractNumId w:val="28"/>
  </w:num>
  <w:num w:numId="45" w16cid:durableId="1471820890">
    <w:abstractNumId w:val="22"/>
  </w:num>
  <w:num w:numId="46" w16cid:durableId="110832527">
    <w:abstractNumId w:val="27"/>
  </w:num>
  <w:num w:numId="47" w16cid:durableId="95749562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trackedChange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B2"/>
    <w:rsid w:val="000005CE"/>
    <w:rsid w:val="00001319"/>
    <w:rsid w:val="00001B0D"/>
    <w:rsid w:val="0000208F"/>
    <w:rsid w:val="000020BE"/>
    <w:rsid w:val="00003283"/>
    <w:rsid w:val="00003808"/>
    <w:rsid w:val="00003C39"/>
    <w:rsid w:val="00003D71"/>
    <w:rsid w:val="0000407F"/>
    <w:rsid w:val="00004592"/>
    <w:rsid w:val="0000482E"/>
    <w:rsid w:val="00005778"/>
    <w:rsid w:val="00005868"/>
    <w:rsid w:val="000058DC"/>
    <w:rsid w:val="000061E8"/>
    <w:rsid w:val="0000658C"/>
    <w:rsid w:val="000071B2"/>
    <w:rsid w:val="00007501"/>
    <w:rsid w:val="000076C0"/>
    <w:rsid w:val="000079CD"/>
    <w:rsid w:val="00007A96"/>
    <w:rsid w:val="00007FBC"/>
    <w:rsid w:val="00010112"/>
    <w:rsid w:val="000106D7"/>
    <w:rsid w:val="00010BBE"/>
    <w:rsid w:val="00010EEC"/>
    <w:rsid w:val="00011437"/>
    <w:rsid w:val="000128BF"/>
    <w:rsid w:val="00012C75"/>
    <w:rsid w:val="00014607"/>
    <w:rsid w:val="0001462A"/>
    <w:rsid w:val="00014691"/>
    <w:rsid w:val="00014B5A"/>
    <w:rsid w:val="0001559C"/>
    <w:rsid w:val="000156FC"/>
    <w:rsid w:val="00015810"/>
    <w:rsid w:val="000159D7"/>
    <w:rsid w:val="00015DB7"/>
    <w:rsid w:val="00017660"/>
    <w:rsid w:val="00017B03"/>
    <w:rsid w:val="00020834"/>
    <w:rsid w:val="00021513"/>
    <w:rsid w:val="00021ECE"/>
    <w:rsid w:val="00022045"/>
    <w:rsid w:val="00022E24"/>
    <w:rsid w:val="00023270"/>
    <w:rsid w:val="0002459C"/>
    <w:rsid w:val="0002468B"/>
    <w:rsid w:val="00024984"/>
    <w:rsid w:val="0002509D"/>
    <w:rsid w:val="0002544E"/>
    <w:rsid w:val="00025F73"/>
    <w:rsid w:val="000262FE"/>
    <w:rsid w:val="0002635D"/>
    <w:rsid w:val="0002778E"/>
    <w:rsid w:val="000306C2"/>
    <w:rsid w:val="000306FD"/>
    <w:rsid w:val="00030ECC"/>
    <w:rsid w:val="00031090"/>
    <w:rsid w:val="00032827"/>
    <w:rsid w:val="00032F5C"/>
    <w:rsid w:val="000330E6"/>
    <w:rsid w:val="00033498"/>
    <w:rsid w:val="00033E00"/>
    <w:rsid w:val="00033F11"/>
    <w:rsid w:val="00034101"/>
    <w:rsid w:val="00034866"/>
    <w:rsid w:val="00034B94"/>
    <w:rsid w:val="00035321"/>
    <w:rsid w:val="00035580"/>
    <w:rsid w:val="0003582F"/>
    <w:rsid w:val="0003674E"/>
    <w:rsid w:val="00036990"/>
    <w:rsid w:val="000378B6"/>
    <w:rsid w:val="00037B1A"/>
    <w:rsid w:val="00040529"/>
    <w:rsid w:val="00040E08"/>
    <w:rsid w:val="00041E1A"/>
    <w:rsid w:val="000442D4"/>
    <w:rsid w:val="000442F7"/>
    <w:rsid w:val="0004437D"/>
    <w:rsid w:val="000443BF"/>
    <w:rsid w:val="00044422"/>
    <w:rsid w:val="00044D67"/>
    <w:rsid w:val="00044F83"/>
    <w:rsid w:val="00046255"/>
    <w:rsid w:val="0004634D"/>
    <w:rsid w:val="000464AF"/>
    <w:rsid w:val="0004697B"/>
    <w:rsid w:val="00046B2B"/>
    <w:rsid w:val="00046E64"/>
    <w:rsid w:val="000473F9"/>
    <w:rsid w:val="000475E4"/>
    <w:rsid w:val="00050475"/>
    <w:rsid w:val="000505C8"/>
    <w:rsid w:val="00051344"/>
    <w:rsid w:val="000521C7"/>
    <w:rsid w:val="00053078"/>
    <w:rsid w:val="00054088"/>
    <w:rsid w:val="000547A4"/>
    <w:rsid w:val="000563D8"/>
    <w:rsid w:val="00056922"/>
    <w:rsid w:val="00056FF0"/>
    <w:rsid w:val="00057653"/>
    <w:rsid w:val="00057942"/>
    <w:rsid w:val="00057BDC"/>
    <w:rsid w:val="00060090"/>
    <w:rsid w:val="00060E60"/>
    <w:rsid w:val="000610ED"/>
    <w:rsid w:val="00061889"/>
    <w:rsid w:val="00061BA3"/>
    <w:rsid w:val="00062539"/>
    <w:rsid w:val="000634C0"/>
    <w:rsid w:val="00063679"/>
    <w:rsid w:val="00065663"/>
    <w:rsid w:val="00066ED3"/>
    <w:rsid w:val="00067861"/>
    <w:rsid w:val="000678AA"/>
    <w:rsid w:val="00067BB9"/>
    <w:rsid w:val="00070B52"/>
    <w:rsid w:val="00071838"/>
    <w:rsid w:val="00072DFE"/>
    <w:rsid w:val="000730B0"/>
    <w:rsid w:val="000730C8"/>
    <w:rsid w:val="00073A4B"/>
    <w:rsid w:val="0007455C"/>
    <w:rsid w:val="000753BF"/>
    <w:rsid w:val="00075881"/>
    <w:rsid w:val="00075EA6"/>
    <w:rsid w:val="0007784F"/>
    <w:rsid w:val="000778DB"/>
    <w:rsid w:val="00077FD4"/>
    <w:rsid w:val="0008022A"/>
    <w:rsid w:val="00080484"/>
    <w:rsid w:val="00081258"/>
    <w:rsid w:val="0008242A"/>
    <w:rsid w:val="0008385C"/>
    <w:rsid w:val="00083B7E"/>
    <w:rsid w:val="00083C4D"/>
    <w:rsid w:val="00083FFC"/>
    <w:rsid w:val="00084CE0"/>
    <w:rsid w:val="00086709"/>
    <w:rsid w:val="000873CE"/>
    <w:rsid w:val="000873E6"/>
    <w:rsid w:val="000904B4"/>
    <w:rsid w:val="000906DE"/>
    <w:rsid w:val="00091534"/>
    <w:rsid w:val="000916AA"/>
    <w:rsid w:val="00091E04"/>
    <w:rsid w:val="00091E61"/>
    <w:rsid w:val="000922F9"/>
    <w:rsid w:val="00092F9C"/>
    <w:rsid w:val="00093CCE"/>
    <w:rsid w:val="00094095"/>
    <w:rsid w:val="000948C7"/>
    <w:rsid w:val="000948D5"/>
    <w:rsid w:val="000952D7"/>
    <w:rsid w:val="00095E6A"/>
    <w:rsid w:val="00096845"/>
    <w:rsid w:val="00096878"/>
    <w:rsid w:val="000968DD"/>
    <w:rsid w:val="000A0CC9"/>
    <w:rsid w:val="000A0DD5"/>
    <w:rsid w:val="000A0E7D"/>
    <w:rsid w:val="000A1A18"/>
    <w:rsid w:val="000A2FFC"/>
    <w:rsid w:val="000A3F5F"/>
    <w:rsid w:val="000A462E"/>
    <w:rsid w:val="000A61F7"/>
    <w:rsid w:val="000A6779"/>
    <w:rsid w:val="000A6F28"/>
    <w:rsid w:val="000A740B"/>
    <w:rsid w:val="000A7A1F"/>
    <w:rsid w:val="000B0328"/>
    <w:rsid w:val="000B0691"/>
    <w:rsid w:val="000B14A8"/>
    <w:rsid w:val="000B2225"/>
    <w:rsid w:val="000B2D19"/>
    <w:rsid w:val="000B2E8C"/>
    <w:rsid w:val="000B3EEC"/>
    <w:rsid w:val="000B420E"/>
    <w:rsid w:val="000B42D0"/>
    <w:rsid w:val="000B52EE"/>
    <w:rsid w:val="000B5684"/>
    <w:rsid w:val="000B60EF"/>
    <w:rsid w:val="000B6590"/>
    <w:rsid w:val="000B701A"/>
    <w:rsid w:val="000B7728"/>
    <w:rsid w:val="000B78DE"/>
    <w:rsid w:val="000B7D3F"/>
    <w:rsid w:val="000B7DAF"/>
    <w:rsid w:val="000C023B"/>
    <w:rsid w:val="000C0B1A"/>
    <w:rsid w:val="000C0B2C"/>
    <w:rsid w:val="000C0ECB"/>
    <w:rsid w:val="000C11F0"/>
    <w:rsid w:val="000C15B6"/>
    <w:rsid w:val="000C33C7"/>
    <w:rsid w:val="000C3B02"/>
    <w:rsid w:val="000C3D89"/>
    <w:rsid w:val="000C3EC2"/>
    <w:rsid w:val="000C4966"/>
    <w:rsid w:val="000C64B4"/>
    <w:rsid w:val="000C73C6"/>
    <w:rsid w:val="000C7725"/>
    <w:rsid w:val="000C7857"/>
    <w:rsid w:val="000C7997"/>
    <w:rsid w:val="000C7DB2"/>
    <w:rsid w:val="000D207D"/>
    <w:rsid w:val="000D291F"/>
    <w:rsid w:val="000D2E54"/>
    <w:rsid w:val="000D3204"/>
    <w:rsid w:val="000D3515"/>
    <w:rsid w:val="000D3663"/>
    <w:rsid w:val="000D49C0"/>
    <w:rsid w:val="000D4BA4"/>
    <w:rsid w:val="000D66C8"/>
    <w:rsid w:val="000D679B"/>
    <w:rsid w:val="000D6FE1"/>
    <w:rsid w:val="000E00D0"/>
    <w:rsid w:val="000E0323"/>
    <w:rsid w:val="000E0561"/>
    <w:rsid w:val="000E0712"/>
    <w:rsid w:val="000E0DC3"/>
    <w:rsid w:val="000E121A"/>
    <w:rsid w:val="000E1A48"/>
    <w:rsid w:val="000E343D"/>
    <w:rsid w:val="000E368A"/>
    <w:rsid w:val="000E3BAF"/>
    <w:rsid w:val="000E3E5D"/>
    <w:rsid w:val="000E42C6"/>
    <w:rsid w:val="000E48DE"/>
    <w:rsid w:val="000E4974"/>
    <w:rsid w:val="000E514F"/>
    <w:rsid w:val="000E5A13"/>
    <w:rsid w:val="000E6332"/>
    <w:rsid w:val="000E6A4D"/>
    <w:rsid w:val="000E6E48"/>
    <w:rsid w:val="000E71BF"/>
    <w:rsid w:val="000E7999"/>
    <w:rsid w:val="000E7B5E"/>
    <w:rsid w:val="000F0B1B"/>
    <w:rsid w:val="000F1342"/>
    <w:rsid w:val="000F1AD2"/>
    <w:rsid w:val="000F1C14"/>
    <w:rsid w:val="000F1CCD"/>
    <w:rsid w:val="000F20E3"/>
    <w:rsid w:val="000F2FEF"/>
    <w:rsid w:val="000F386E"/>
    <w:rsid w:val="000F50DC"/>
    <w:rsid w:val="000F5246"/>
    <w:rsid w:val="000F55DD"/>
    <w:rsid w:val="000F58C3"/>
    <w:rsid w:val="000F5BC4"/>
    <w:rsid w:val="000F5F5B"/>
    <w:rsid w:val="000F67C9"/>
    <w:rsid w:val="000F6B44"/>
    <w:rsid w:val="000F74D7"/>
    <w:rsid w:val="0010012F"/>
    <w:rsid w:val="001006C0"/>
    <w:rsid w:val="00100AF4"/>
    <w:rsid w:val="00100B2B"/>
    <w:rsid w:val="00100EE3"/>
    <w:rsid w:val="00102719"/>
    <w:rsid w:val="00103635"/>
    <w:rsid w:val="00103E99"/>
    <w:rsid w:val="0010550F"/>
    <w:rsid w:val="00105775"/>
    <w:rsid w:val="00105CBE"/>
    <w:rsid w:val="00106AAE"/>
    <w:rsid w:val="0010764B"/>
    <w:rsid w:val="00110697"/>
    <w:rsid w:val="001108C8"/>
    <w:rsid w:val="001113C7"/>
    <w:rsid w:val="00111529"/>
    <w:rsid w:val="001115C2"/>
    <w:rsid w:val="0011176F"/>
    <w:rsid w:val="00112E29"/>
    <w:rsid w:val="0011336F"/>
    <w:rsid w:val="00113C7C"/>
    <w:rsid w:val="00114EDD"/>
    <w:rsid w:val="001155DF"/>
    <w:rsid w:val="00116539"/>
    <w:rsid w:val="001167B5"/>
    <w:rsid w:val="00116A9F"/>
    <w:rsid w:val="00116BE0"/>
    <w:rsid w:val="00117664"/>
    <w:rsid w:val="00120DB4"/>
    <w:rsid w:val="00120F43"/>
    <w:rsid w:val="001224D6"/>
    <w:rsid w:val="0012258A"/>
    <w:rsid w:val="00122845"/>
    <w:rsid w:val="001234A6"/>
    <w:rsid w:val="00124212"/>
    <w:rsid w:val="0012512C"/>
    <w:rsid w:val="00125823"/>
    <w:rsid w:val="00126F2F"/>
    <w:rsid w:val="001276AA"/>
    <w:rsid w:val="00130826"/>
    <w:rsid w:val="00130F2A"/>
    <w:rsid w:val="0013176C"/>
    <w:rsid w:val="0013237C"/>
    <w:rsid w:val="001324D6"/>
    <w:rsid w:val="001326CC"/>
    <w:rsid w:val="0013290D"/>
    <w:rsid w:val="00133FB0"/>
    <w:rsid w:val="001345B1"/>
    <w:rsid w:val="001346F9"/>
    <w:rsid w:val="00134A08"/>
    <w:rsid w:val="00134B9B"/>
    <w:rsid w:val="0013525D"/>
    <w:rsid w:val="001353E5"/>
    <w:rsid w:val="001356E8"/>
    <w:rsid w:val="00135F2E"/>
    <w:rsid w:val="00136352"/>
    <w:rsid w:val="00136532"/>
    <w:rsid w:val="00140939"/>
    <w:rsid w:val="00141066"/>
    <w:rsid w:val="00141997"/>
    <w:rsid w:val="00142CD1"/>
    <w:rsid w:val="001434B2"/>
    <w:rsid w:val="00143CA4"/>
    <w:rsid w:val="0014403E"/>
    <w:rsid w:val="0014433A"/>
    <w:rsid w:val="00145202"/>
    <w:rsid w:val="0014605F"/>
    <w:rsid w:val="001461D6"/>
    <w:rsid w:val="001462BF"/>
    <w:rsid w:val="001463AA"/>
    <w:rsid w:val="00146B89"/>
    <w:rsid w:val="00146BE1"/>
    <w:rsid w:val="00146FC8"/>
    <w:rsid w:val="00147A1B"/>
    <w:rsid w:val="001512C0"/>
    <w:rsid w:val="001513CA"/>
    <w:rsid w:val="00151D71"/>
    <w:rsid w:val="001529CB"/>
    <w:rsid w:val="00152D0A"/>
    <w:rsid w:val="00152E95"/>
    <w:rsid w:val="00153EDB"/>
    <w:rsid w:val="00154399"/>
    <w:rsid w:val="001543E3"/>
    <w:rsid w:val="001544DD"/>
    <w:rsid w:val="001547FC"/>
    <w:rsid w:val="00154E1D"/>
    <w:rsid w:val="00155BCA"/>
    <w:rsid w:val="00157175"/>
    <w:rsid w:val="001578FD"/>
    <w:rsid w:val="001609FC"/>
    <w:rsid w:val="00160E1E"/>
    <w:rsid w:val="00162596"/>
    <w:rsid w:val="00163407"/>
    <w:rsid w:val="0016376C"/>
    <w:rsid w:val="00163FDD"/>
    <w:rsid w:val="001647E8"/>
    <w:rsid w:val="00164B1E"/>
    <w:rsid w:val="001650BC"/>
    <w:rsid w:val="001651F7"/>
    <w:rsid w:val="00166FC1"/>
    <w:rsid w:val="0016783B"/>
    <w:rsid w:val="00167DFC"/>
    <w:rsid w:val="0017247F"/>
    <w:rsid w:val="001725F8"/>
    <w:rsid w:val="00172F37"/>
    <w:rsid w:val="00172F8F"/>
    <w:rsid w:val="0017438D"/>
    <w:rsid w:val="00174E79"/>
    <w:rsid w:val="00175469"/>
    <w:rsid w:val="001755DB"/>
    <w:rsid w:val="00175D25"/>
    <w:rsid w:val="00176871"/>
    <w:rsid w:val="00176C28"/>
    <w:rsid w:val="001774E6"/>
    <w:rsid w:val="001778FF"/>
    <w:rsid w:val="001804FE"/>
    <w:rsid w:val="0018080F"/>
    <w:rsid w:val="001813DE"/>
    <w:rsid w:val="00181CCD"/>
    <w:rsid w:val="001827C3"/>
    <w:rsid w:val="00184EA3"/>
    <w:rsid w:val="00185A0C"/>
    <w:rsid w:val="001865E9"/>
    <w:rsid w:val="00186F71"/>
    <w:rsid w:val="0018794E"/>
    <w:rsid w:val="00190AAA"/>
    <w:rsid w:val="00190DD9"/>
    <w:rsid w:val="00191640"/>
    <w:rsid w:val="00191674"/>
    <w:rsid w:val="0019328F"/>
    <w:rsid w:val="00193A6C"/>
    <w:rsid w:val="00194325"/>
    <w:rsid w:val="00194580"/>
    <w:rsid w:val="00194B5A"/>
    <w:rsid w:val="00194D69"/>
    <w:rsid w:val="00196505"/>
    <w:rsid w:val="00196529"/>
    <w:rsid w:val="00197692"/>
    <w:rsid w:val="001979C0"/>
    <w:rsid w:val="00197F43"/>
    <w:rsid w:val="001A067A"/>
    <w:rsid w:val="001A0AC6"/>
    <w:rsid w:val="001A0C3E"/>
    <w:rsid w:val="001A1F3F"/>
    <w:rsid w:val="001A2CC2"/>
    <w:rsid w:val="001A31D0"/>
    <w:rsid w:val="001A4241"/>
    <w:rsid w:val="001A683C"/>
    <w:rsid w:val="001A6E37"/>
    <w:rsid w:val="001B0018"/>
    <w:rsid w:val="001B077E"/>
    <w:rsid w:val="001B18C3"/>
    <w:rsid w:val="001B1EB9"/>
    <w:rsid w:val="001B23EE"/>
    <w:rsid w:val="001B2EEC"/>
    <w:rsid w:val="001B337B"/>
    <w:rsid w:val="001B484B"/>
    <w:rsid w:val="001B559B"/>
    <w:rsid w:val="001B66AA"/>
    <w:rsid w:val="001B7525"/>
    <w:rsid w:val="001B7B19"/>
    <w:rsid w:val="001C03E6"/>
    <w:rsid w:val="001C0B30"/>
    <w:rsid w:val="001C14F5"/>
    <w:rsid w:val="001C1789"/>
    <w:rsid w:val="001C191F"/>
    <w:rsid w:val="001C28B1"/>
    <w:rsid w:val="001C3AA5"/>
    <w:rsid w:val="001C46A8"/>
    <w:rsid w:val="001C4995"/>
    <w:rsid w:val="001C5353"/>
    <w:rsid w:val="001C6D5D"/>
    <w:rsid w:val="001C6F20"/>
    <w:rsid w:val="001C7596"/>
    <w:rsid w:val="001C75B0"/>
    <w:rsid w:val="001C76D4"/>
    <w:rsid w:val="001C7D69"/>
    <w:rsid w:val="001D032D"/>
    <w:rsid w:val="001D099D"/>
    <w:rsid w:val="001D0A53"/>
    <w:rsid w:val="001D152C"/>
    <w:rsid w:val="001D1A3E"/>
    <w:rsid w:val="001D1C2B"/>
    <w:rsid w:val="001D2769"/>
    <w:rsid w:val="001D2DB3"/>
    <w:rsid w:val="001D34C6"/>
    <w:rsid w:val="001D3A61"/>
    <w:rsid w:val="001D49D9"/>
    <w:rsid w:val="001D545F"/>
    <w:rsid w:val="001D5E01"/>
    <w:rsid w:val="001D627F"/>
    <w:rsid w:val="001D6D0A"/>
    <w:rsid w:val="001D78AE"/>
    <w:rsid w:val="001D7E1D"/>
    <w:rsid w:val="001E03E6"/>
    <w:rsid w:val="001E1976"/>
    <w:rsid w:val="001E39FD"/>
    <w:rsid w:val="001E3C67"/>
    <w:rsid w:val="001E3DB2"/>
    <w:rsid w:val="001E452E"/>
    <w:rsid w:val="001E4C27"/>
    <w:rsid w:val="001E4C74"/>
    <w:rsid w:val="001E4D53"/>
    <w:rsid w:val="001E7B12"/>
    <w:rsid w:val="001F0368"/>
    <w:rsid w:val="001F03B5"/>
    <w:rsid w:val="001F05FA"/>
    <w:rsid w:val="001F0692"/>
    <w:rsid w:val="001F072F"/>
    <w:rsid w:val="001F08DF"/>
    <w:rsid w:val="001F0B19"/>
    <w:rsid w:val="001F1598"/>
    <w:rsid w:val="001F1D88"/>
    <w:rsid w:val="001F1F10"/>
    <w:rsid w:val="001F2268"/>
    <w:rsid w:val="001F264B"/>
    <w:rsid w:val="001F2B52"/>
    <w:rsid w:val="001F3122"/>
    <w:rsid w:val="001F3E0F"/>
    <w:rsid w:val="001F41A3"/>
    <w:rsid w:val="001F5D17"/>
    <w:rsid w:val="001F5F08"/>
    <w:rsid w:val="001F661E"/>
    <w:rsid w:val="001F6AEB"/>
    <w:rsid w:val="001F763C"/>
    <w:rsid w:val="001F79CD"/>
    <w:rsid w:val="001F7BF3"/>
    <w:rsid w:val="00201FF8"/>
    <w:rsid w:val="00202CB8"/>
    <w:rsid w:val="00203623"/>
    <w:rsid w:val="00203B84"/>
    <w:rsid w:val="00204730"/>
    <w:rsid w:val="00204880"/>
    <w:rsid w:val="00204A65"/>
    <w:rsid w:val="00204AC8"/>
    <w:rsid w:val="00204B7E"/>
    <w:rsid w:val="00205C14"/>
    <w:rsid w:val="002063E4"/>
    <w:rsid w:val="00206788"/>
    <w:rsid w:val="002069DB"/>
    <w:rsid w:val="00206BA4"/>
    <w:rsid w:val="00206CA9"/>
    <w:rsid w:val="00207003"/>
    <w:rsid w:val="00207742"/>
    <w:rsid w:val="00207F18"/>
    <w:rsid w:val="00207F74"/>
    <w:rsid w:val="0021002B"/>
    <w:rsid w:val="002108A8"/>
    <w:rsid w:val="00210BC7"/>
    <w:rsid w:val="002118E5"/>
    <w:rsid w:val="0021249A"/>
    <w:rsid w:val="002126CB"/>
    <w:rsid w:val="00212894"/>
    <w:rsid w:val="00213878"/>
    <w:rsid w:val="00214145"/>
    <w:rsid w:val="002144BA"/>
    <w:rsid w:val="00214A52"/>
    <w:rsid w:val="002150D7"/>
    <w:rsid w:val="00215591"/>
    <w:rsid w:val="00216081"/>
    <w:rsid w:val="00216E5D"/>
    <w:rsid w:val="0021752A"/>
    <w:rsid w:val="0021782A"/>
    <w:rsid w:val="0022036C"/>
    <w:rsid w:val="0022068E"/>
    <w:rsid w:val="00220692"/>
    <w:rsid w:val="0022133F"/>
    <w:rsid w:val="00222B73"/>
    <w:rsid w:val="0022354F"/>
    <w:rsid w:val="00223676"/>
    <w:rsid w:val="002241CA"/>
    <w:rsid w:val="002246E0"/>
    <w:rsid w:val="002253F4"/>
    <w:rsid w:val="00226182"/>
    <w:rsid w:val="00226886"/>
    <w:rsid w:val="0022706A"/>
    <w:rsid w:val="00227FB3"/>
    <w:rsid w:val="00230891"/>
    <w:rsid w:val="002312CC"/>
    <w:rsid w:val="002314CD"/>
    <w:rsid w:val="00231CDF"/>
    <w:rsid w:val="00231D3A"/>
    <w:rsid w:val="00231D52"/>
    <w:rsid w:val="00231F13"/>
    <w:rsid w:val="002321DC"/>
    <w:rsid w:val="00232433"/>
    <w:rsid w:val="0023292F"/>
    <w:rsid w:val="00232ED8"/>
    <w:rsid w:val="00233295"/>
    <w:rsid w:val="00233843"/>
    <w:rsid w:val="0023507D"/>
    <w:rsid w:val="0023510C"/>
    <w:rsid w:val="00235142"/>
    <w:rsid w:val="00235B98"/>
    <w:rsid w:val="00235F79"/>
    <w:rsid w:val="00236237"/>
    <w:rsid w:val="00236E68"/>
    <w:rsid w:val="00237439"/>
    <w:rsid w:val="00237C09"/>
    <w:rsid w:val="0024027D"/>
    <w:rsid w:val="00241249"/>
    <w:rsid w:val="00241369"/>
    <w:rsid w:val="002414C1"/>
    <w:rsid w:val="00242E9D"/>
    <w:rsid w:val="002432DD"/>
    <w:rsid w:val="00243833"/>
    <w:rsid w:val="00243B9F"/>
    <w:rsid w:val="00244935"/>
    <w:rsid w:val="00244D3C"/>
    <w:rsid w:val="00245956"/>
    <w:rsid w:val="00245BDD"/>
    <w:rsid w:val="0024680C"/>
    <w:rsid w:val="00250626"/>
    <w:rsid w:val="002508AA"/>
    <w:rsid w:val="00250A41"/>
    <w:rsid w:val="00252596"/>
    <w:rsid w:val="002531C4"/>
    <w:rsid w:val="002537CF"/>
    <w:rsid w:val="002539D4"/>
    <w:rsid w:val="00253BF2"/>
    <w:rsid w:val="00253FFC"/>
    <w:rsid w:val="00254222"/>
    <w:rsid w:val="002548D6"/>
    <w:rsid w:val="00254AAF"/>
    <w:rsid w:val="002555AA"/>
    <w:rsid w:val="002556D8"/>
    <w:rsid w:val="00255B90"/>
    <w:rsid w:val="00255C1F"/>
    <w:rsid w:val="00256372"/>
    <w:rsid w:val="00257B6D"/>
    <w:rsid w:val="00260301"/>
    <w:rsid w:val="0026070E"/>
    <w:rsid w:val="00260A0D"/>
    <w:rsid w:val="0026119B"/>
    <w:rsid w:val="002622E9"/>
    <w:rsid w:val="00262902"/>
    <w:rsid w:val="00262AEA"/>
    <w:rsid w:val="00262C42"/>
    <w:rsid w:val="00262D2C"/>
    <w:rsid w:val="00262FC0"/>
    <w:rsid w:val="0026370F"/>
    <w:rsid w:val="00263BEE"/>
    <w:rsid w:val="00265879"/>
    <w:rsid w:val="00266709"/>
    <w:rsid w:val="0026738D"/>
    <w:rsid w:val="0026777E"/>
    <w:rsid w:val="002678B9"/>
    <w:rsid w:val="00270902"/>
    <w:rsid w:val="00270F06"/>
    <w:rsid w:val="00271528"/>
    <w:rsid w:val="00271BB1"/>
    <w:rsid w:val="00271BCE"/>
    <w:rsid w:val="00271D05"/>
    <w:rsid w:val="00271F3D"/>
    <w:rsid w:val="00272DFC"/>
    <w:rsid w:val="002730C7"/>
    <w:rsid w:val="002747C0"/>
    <w:rsid w:val="0027559B"/>
    <w:rsid w:val="00275C6C"/>
    <w:rsid w:val="00277D2B"/>
    <w:rsid w:val="002803E2"/>
    <w:rsid w:val="002804AA"/>
    <w:rsid w:val="00280EC2"/>
    <w:rsid w:val="00280FC0"/>
    <w:rsid w:val="0028100E"/>
    <w:rsid w:val="00281EE5"/>
    <w:rsid w:val="00283003"/>
    <w:rsid w:val="00283331"/>
    <w:rsid w:val="00287D66"/>
    <w:rsid w:val="00287D6A"/>
    <w:rsid w:val="002908B1"/>
    <w:rsid w:val="00290DF8"/>
    <w:rsid w:val="00290E3D"/>
    <w:rsid w:val="00291263"/>
    <w:rsid w:val="00291BC3"/>
    <w:rsid w:val="0029262D"/>
    <w:rsid w:val="00292CF6"/>
    <w:rsid w:val="00293B08"/>
    <w:rsid w:val="00294297"/>
    <w:rsid w:val="0029472E"/>
    <w:rsid w:val="0029475A"/>
    <w:rsid w:val="00294F8D"/>
    <w:rsid w:val="00295530"/>
    <w:rsid w:val="00295944"/>
    <w:rsid w:val="0029594E"/>
    <w:rsid w:val="00295D9C"/>
    <w:rsid w:val="00296984"/>
    <w:rsid w:val="00296BFD"/>
    <w:rsid w:val="002A19C1"/>
    <w:rsid w:val="002A1A0F"/>
    <w:rsid w:val="002A1E23"/>
    <w:rsid w:val="002A1FEA"/>
    <w:rsid w:val="002A3DA3"/>
    <w:rsid w:val="002A42BF"/>
    <w:rsid w:val="002A4942"/>
    <w:rsid w:val="002A4EFF"/>
    <w:rsid w:val="002A50A8"/>
    <w:rsid w:val="002A5B60"/>
    <w:rsid w:val="002A6427"/>
    <w:rsid w:val="002A66C0"/>
    <w:rsid w:val="002A6A7F"/>
    <w:rsid w:val="002A7122"/>
    <w:rsid w:val="002A71D5"/>
    <w:rsid w:val="002A7EA6"/>
    <w:rsid w:val="002B0101"/>
    <w:rsid w:val="002B06AC"/>
    <w:rsid w:val="002B0AEB"/>
    <w:rsid w:val="002B0BEE"/>
    <w:rsid w:val="002B294D"/>
    <w:rsid w:val="002B2E6D"/>
    <w:rsid w:val="002B2F55"/>
    <w:rsid w:val="002B39C7"/>
    <w:rsid w:val="002B4528"/>
    <w:rsid w:val="002B4912"/>
    <w:rsid w:val="002B4FAD"/>
    <w:rsid w:val="002B55DB"/>
    <w:rsid w:val="002B609D"/>
    <w:rsid w:val="002B7F77"/>
    <w:rsid w:val="002C0AC2"/>
    <w:rsid w:val="002C1574"/>
    <w:rsid w:val="002C19F9"/>
    <w:rsid w:val="002C21E4"/>
    <w:rsid w:val="002C225B"/>
    <w:rsid w:val="002C297D"/>
    <w:rsid w:val="002C3A05"/>
    <w:rsid w:val="002C427B"/>
    <w:rsid w:val="002C4C03"/>
    <w:rsid w:val="002C55DE"/>
    <w:rsid w:val="002C5ACC"/>
    <w:rsid w:val="002C647B"/>
    <w:rsid w:val="002C6D71"/>
    <w:rsid w:val="002C702A"/>
    <w:rsid w:val="002D0181"/>
    <w:rsid w:val="002D01FE"/>
    <w:rsid w:val="002D04B8"/>
    <w:rsid w:val="002D128E"/>
    <w:rsid w:val="002D1570"/>
    <w:rsid w:val="002D18F3"/>
    <w:rsid w:val="002D1F77"/>
    <w:rsid w:val="002D20B2"/>
    <w:rsid w:val="002D222B"/>
    <w:rsid w:val="002D30B2"/>
    <w:rsid w:val="002D3ADB"/>
    <w:rsid w:val="002D4240"/>
    <w:rsid w:val="002D49E3"/>
    <w:rsid w:val="002D4BEB"/>
    <w:rsid w:val="002D5336"/>
    <w:rsid w:val="002D5556"/>
    <w:rsid w:val="002D5E74"/>
    <w:rsid w:val="002D601E"/>
    <w:rsid w:val="002D6DE9"/>
    <w:rsid w:val="002D6F62"/>
    <w:rsid w:val="002D70FA"/>
    <w:rsid w:val="002D78FB"/>
    <w:rsid w:val="002D7D41"/>
    <w:rsid w:val="002E0E9F"/>
    <w:rsid w:val="002E2CBE"/>
    <w:rsid w:val="002E3152"/>
    <w:rsid w:val="002E3796"/>
    <w:rsid w:val="002E3A3A"/>
    <w:rsid w:val="002E3A51"/>
    <w:rsid w:val="002E4A2A"/>
    <w:rsid w:val="002E645C"/>
    <w:rsid w:val="002E6D3E"/>
    <w:rsid w:val="002E7A67"/>
    <w:rsid w:val="002F0101"/>
    <w:rsid w:val="002F0931"/>
    <w:rsid w:val="002F0CE2"/>
    <w:rsid w:val="002F0D63"/>
    <w:rsid w:val="002F0E64"/>
    <w:rsid w:val="002F1321"/>
    <w:rsid w:val="002F1986"/>
    <w:rsid w:val="002F38EC"/>
    <w:rsid w:val="002F53FD"/>
    <w:rsid w:val="002F6236"/>
    <w:rsid w:val="0030046D"/>
    <w:rsid w:val="00300F7F"/>
    <w:rsid w:val="003014D7"/>
    <w:rsid w:val="00301D8B"/>
    <w:rsid w:val="003024B0"/>
    <w:rsid w:val="0030264B"/>
    <w:rsid w:val="0030269A"/>
    <w:rsid w:val="0030281B"/>
    <w:rsid w:val="003029B4"/>
    <w:rsid w:val="00302B89"/>
    <w:rsid w:val="003030FC"/>
    <w:rsid w:val="00303251"/>
    <w:rsid w:val="003045C3"/>
    <w:rsid w:val="00304825"/>
    <w:rsid w:val="00304C05"/>
    <w:rsid w:val="00305101"/>
    <w:rsid w:val="00305AC3"/>
    <w:rsid w:val="00307406"/>
    <w:rsid w:val="003076BE"/>
    <w:rsid w:val="00307FD0"/>
    <w:rsid w:val="00310636"/>
    <w:rsid w:val="0031195C"/>
    <w:rsid w:val="00311D78"/>
    <w:rsid w:val="0031225E"/>
    <w:rsid w:val="003122E8"/>
    <w:rsid w:val="003130C0"/>
    <w:rsid w:val="0031337B"/>
    <w:rsid w:val="0031416A"/>
    <w:rsid w:val="0031431A"/>
    <w:rsid w:val="003144F3"/>
    <w:rsid w:val="0031451C"/>
    <w:rsid w:val="003145F7"/>
    <w:rsid w:val="00314BAE"/>
    <w:rsid w:val="00314F8F"/>
    <w:rsid w:val="00315594"/>
    <w:rsid w:val="0031658C"/>
    <w:rsid w:val="00316E58"/>
    <w:rsid w:val="00317320"/>
    <w:rsid w:val="00317920"/>
    <w:rsid w:val="003204FC"/>
    <w:rsid w:val="00320C62"/>
    <w:rsid w:val="003214EA"/>
    <w:rsid w:val="0032157C"/>
    <w:rsid w:val="00321773"/>
    <w:rsid w:val="00321D70"/>
    <w:rsid w:val="00322331"/>
    <w:rsid w:val="003228E6"/>
    <w:rsid w:val="003229EC"/>
    <w:rsid w:val="0032303A"/>
    <w:rsid w:val="00324542"/>
    <w:rsid w:val="00324F60"/>
    <w:rsid w:val="003252DD"/>
    <w:rsid w:val="00325ADE"/>
    <w:rsid w:val="00326355"/>
    <w:rsid w:val="00326945"/>
    <w:rsid w:val="00326959"/>
    <w:rsid w:val="003269F3"/>
    <w:rsid w:val="00327099"/>
    <w:rsid w:val="00327813"/>
    <w:rsid w:val="00327872"/>
    <w:rsid w:val="00327C0A"/>
    <w:rsid w:val="00327EBC"/>
    <w:rsid w:val="0033120B"/>
    <w:rsid w:val="003313AC"/>
    <w:rsid w:val="00331D45"/>
    <w:rsid w:val="00332732"/>
    <w:rsid w:val="0033293E"/>
    <w:rsid w:val="00333C4C"/>
    <w:rsid w:val="00333D3C"/>
    <w:rsid w:val="003342F4"/>
    <w:rsid w:val="0033433D"/>
    <w:rsid w:val="003359A3"/>
    <w:rsid w:val="00335DF8"/>
    <w:rsid w:val="00336046"/>
    <w:rsid w:val="0033627C"/>
    <w:rsid w:val="00336F3B"/>
    <w:rsid w:val="00337CCB"/>
    <w:rsid w:val="0034190E"/>
    <w:rsid w:val="003427DD"/>
    <w:rsid w:val="0034328D"/>
    <w:rsid w:val="003448CE"/>
    <w:rsid w:val="003456B2"/>
    <w:rsid w:val="003458AB"/>
    <w:rsid w:val="00345A89"/>
    <w:rsid w:val="00345CDE"/>
    <w:rsid w:val="00345DEB"/>
    <w:rsid w:val="00346773"/>
    <w:rsid w:val="00346AEF"/>
    <w:rsid w:val="00346C14"/>
    <w:rsid w:val="0034742D"/>
    <w:rsid w:val="003475D1"/>
    <w:rsid w:val="0034791D"/>
    <w:rsid w:val="0035052F"/>
    <w:rsid w:val="003509F6"/>
    <w:rsid w:val="003509FF"/>
    <w:rsid w:val="00352779"/>
    <w:rsid w:val="00353235"/>
    <w:rsid w:val="00353414"/>
    <w:rsid w:val="00354085"/>
    <w:rsid w:val="0035430D"/>
    <w:rsid w:val="00356027"/>
    <w:rsid w:val="003565F8"/>
    <w:rsid w:val="003566D7"/>
    <w:rsid w:val="00356F0E"/>
    <w:rsid w:val="00357686"/>
    <w:rsid w:val="00357AD1"/>
    <w:rsid w:val="00357B6F"/>
    <w:rsid w:val="00357EB3"/>
    <w:rsid w:val="003609E7"/>
    <w:rsid w:val="00360F89"/>
    <w:rsid w:val="00361895"/>
    <w:rsid w:val="00363278"/>
    <w:rsid w:val="0036345A"/>
    <w:rsid w:val="00364D68"/>
    <w:rsid w:val="0036595A"/>
    <w:rsid w:val="00365CD3"/>
    <w:rsid w:val="00365D73"/>
    <w:rsid w:val="00366563"/>
    <w:rsid w:val="0036657A"/>
    <w:rsid w:val="00366DD4"/>
    <w:rsid w:val="003670BC"/>
    <w:rsid w:val="00367328"/>
    <w:rsid w:val="00367AC1"/>
    <w:rsid w:val="00367F70"/>
    <w:rsid w:val="00370CE8"/>
    <w:rsid w:val="00371059"/>
    <w:rsid w:val="00371B53"/>
    <w:rsid w:val="00371D97"/>
    <w:rsid w:val="003720B0"/>
    <w:rsid w:val="003723B2"/>
    <w:rsid w:val="0037272F"/>
    <w:rsid w:val="00372815"/>
    <w:rsid w:val="0037380D"/>
    <w:rsid w:val="003738E9"/>
    <w:rsid w:val="0037404D"/>
    <w:rsid w:val="00374707"/>
    <w:rsid w:val="00375B90"/>
    <w:rsid w:val="003769BA"/>
    <w:rsid w:val="00376A1B"/>
    <w:rsid w:val="00376C77"/>
    <w:rsid w:val="0037777F"/>
    <w:rsid w:val="00377B8F"/>
    <w:rsid w:val="00377F9E"/>
    <w:rsid w:val="00380BB8"/>
    <w:rsid w:val="00380ED4"/>
    <w:rsid w:val="00380F04"/>
    <w:rsid w:val="00380F14"/>
    <w:rsid w:val="00380F67"/>
    <w:rsid w:val="0038114F"/>
    <w:rsid w:val="0038137E"/>
    <w:rsid w:val="0038159C"/>
    <w:rsid w:val="00381E05"/>
    <w:rsid w:val="00384C88"/>
    <w:rsid w:val="003853AE"/>
    <w:rsid w:val="00386A58"/>
    <w:rsid w:val="0038748E"/>
    <w:rsid w:val="00387AC1"/>
    <w:rsid w:val="003913EA"/>
    <w:rsid w:val="003917F0"/>
    <w:rsid w:val="00391EC8"/>
    <w:rsid w:val="0039274F"/>
    <w:rsid w:val="00392D39"/>
    <w:rsid w:val="0039301E"/>
    <w:rsid w:val="003936C4"/>
    <w:rsid w:val="00393C5A"/>
    <w:rsid w:val="00393CB7"/>
    <w:rsid w:val="003956FF"/>
    <w:rsid w:val="00395CEE"/>
    <w:rsid w:val="00395D56"/>
    <w:rsid w:val="00396E29"/>
    <w:rsid w:val="00396F2B"/>
    <w:rsid w:val="003970AA"/>
    <w:rsid w:val="0039711F"/>
    <w:rsid w:val="00397196"/>
    <w:rsid w:val="003979E0"/>
    <w:rsid w:val="003A0D22"/>
    <w:rsid w:val="003A1467"/>
    <w:rsid w:val="003A1A91"/>
    <w:rsid w:val="003A2635"/>
    <w:rsid w:val="003A2B50"/>
    <w:rsid w:val="003A35C5"/>
    <w:rsid w:val="003A366E"/>
    <w:rsid w:val="003A3B0F"/>
    <w:rsid w:val="003A4077"/>
    <w:rsid w:val="003A4F1B"/>
    <w:rsid w:val="003A4F8C"/>
    <w:rsid w:val="003A5739"/>
    <w:rsid w:val="003A61AD"/>
    <w:rsid w:val="003A61D2"/>
    <w:rsid w:val="003A7187"/>
    <w:rsid w:val="003A760B"/>
    <w:rsid w:val="003A77C7"/>
    <w:rsid w:val="003A799D"/>
    <w:rsid w:val="003A7A9A"/>
    <w:rsid w:val="003A7D1B"/>
    <w:rsid w:val="003B056C"/>
    <w:rsid w:val="003B0942"/>
    <w:rsid w:val="003B1F23"/>
    <w:rsid w:val="003B2273"/>
    <w:rsid w:val="003B2DB5"/>
    <w:rsid w:val="003B3E70"/>
    <w:rsid w:val="003B43EB"/>
    <w:rsid w:val="003B4B54"/>
    <w:rsid w:val="003B55CB"/>
    <w:rsid w:val="003B5D5E"/>
    <w:rsid w:val="003B5E04"/>
    <w:rsid w:val="003C1184"/>
    <w:rsid w:val="003C1323"/>
    <w:rsid w:val="003C16ED"/>
    <w:rsid w:val="003C1F87"/>
    <w:rsid w:val="003C2BDA"/>
    <w:rsid w:val="003C4832"/>
    <w:rsid w:val="003C492C"/>
    <w:rsid w:val="003C4F0D"/>
    <w:rsid w:val="003C5E22"/>
    <w:rsid w:val="003C6036"/>
    <w:rsid w:val="003C6E11"/>
    <w:rsid w:val="003C6F89"/>
    <w:rsid w:val="003C729D"/>
    <w:rsid w:val="003C7B89"/>
    <w:rsid w:val="003D0FCB"/>
    <w:rsid w:val="003D10E0"/>
    <w:rsid w:val="003D186D"/>
    <w:rsid w:val="003D18FD"/>
    <w:rsid w:val="003D2A51"/>
    <w:rsid w:val="003D3651"/>
    <w:rsid w:val="003D4361"/>
    <w:rsid w:val="003D49EF"/>
    <w:rsid w:val="003D4EF8"/>
    <w:rsid w:val="003D51A1"/>
    <w:rsid w:val="003D53BF"/>
    <w:rsid w:val="003D57EC"/>
    <w:rsid w:val="003D5C96"/>
    <w:rsid w:val="003D6062"/>
    <w:rsid w:val="003D753C"/>
    <w:rsid w:val="003D7E56"/>
    <w:rsid w:val="003E042A"/>
    <w:rsid w:val="003E047D"/>
    <w:rsid w:val="003E0489"/>
    <w:rsid w:val="003E06BB"/>
    <w:rsid w:val="003E1694"/>
    <w:rsid w:val="003E1AA1"/>
    <w:rsid w:val="003E3914"/>
    <w:rsid w:val="003E3B30"/>
    <w:rsid w:val="003E43C7"/>
    <w:rsid w:val="003E4491"/>
    <w:rsid w:val="003E49D9"/>
    <w:rsid w:val="003E52CD"/>
    <w:rsid w:val="003E5981"/>
    <w:rsid w:val="003E5AA1"/>
    <w:rsid w:val="003E66F8"/>
    <w:rsid w:val="003E7977"/>
    <w:rsid w:val="003F01C8"/>
    <w:rsid w:val="003F10DE"/>
    <w:rsid w:val="003F1A13"/>
    <w:rsid w:val="003F2046"/>
    <w:rsid w:val="003F3DCA"/>
    <w:rsid w:val="003F3F43"/>
    <w:rsid w:val="003F3F9F"/>
    <w:rsid w:val="003F4A31"/>
    <w:rsid w:val="003F58AF"/>
    <w:rsid w:val="003F5B05"/>
    <w:rsid w:val="003F6704"/>
    <w:rsid w:val="003F67A4"/>
    <w:rsid w:val="003F7289"/>
    <w:rsid w:val="003F7DA2"/>
    <w:rsid w:val="003F7F67"/>
    <w:rsid w:val="00400BA0"/>
    <w:rsid w:val="00400D4D"/>
    <w:rsid w:val="00401C0F"/>
    <w:rsid w:val="00402B95"/>
    <w:rsid w:val="00403958"/>
    <w:rsid w:val="00404198"/>
    <w:rsid w:val="004047C3"/>
    <w:rsid w:val="00404854"/>
    <w:rsid w:val="00404940"/>
    <w:rsid w:val="0040500E"/>
    <w:rsid w:val="00405709"/>
    <w:rsid w:val="004059C9"/>
    <w:rsid w:val="00406A4D"/>
    <w:rsid w:val="00407A97"/>
    <w:rsid w:val="00407BCA"/>
    <w:rsid w:val="00410854"/>
    <w:rsid w:val="0041098C"/>
    <w:rsid w:val="0041162A"/>
    <w:rsid w:val="004119BF"/>
    <w:rsid w:val="00411A0E"/>
    <w:rsid w:val="00411E40"/>
    <w:rsid w:val="00411E5C"/>
    <w:rsid w:val="00411FD6"/>
    <w:rsid w:val="0041209D"/>
    <w:rsid w:val="00412231"/>
    <w:rsid w:val="00412887"/>
    <w:rsid w:val="00412E95"/>
    <w:rsid w:val="004136BC"/>
    <w:rsid w:val="00413791"/>
    <w:rsid w:val="00413EDB"/>
    <w:rsid w:val="0041427F"/>
    <w:rsid w:val="00414953"/>
    <w:rsid w:val="00415379"/>
    <w:rsid w:val="00417213"/>
    <w:rsid w:val="00417F51"/>
    <w:rsid w:val="00420905"/>
    <w:rsid w:val="00420BF6"/>
    <w:rsid w:val="0042150F"/>
    <w:rsid w:val="004217DC"/>
    <w:rsid w:val="004228F5"/>
    <w:rsid w:val="00422AF1"/>
    <w:rsid w:val="00423D8F"/>
    <w:rsid w:val="004245D1"/>
    <w:rsid w:val="00424CC6"/>
    <w:rsid w:val="00424E13"/>
    <w:rsid w:val="00426275"/>
    <w:rsid w:val="00426868"/>
    <w:rsid w:val="0042702E"/>
    <w:rsid w:val="00431B09"/>
    <w:rsid w:val="00431B67"/>
    <w:rsid w:val="0043351F"/>
    <w:rsid w:val="004336DA"/>
    <w:rsid w:val="0043432B"/>
    <w:rsid w:val="0043467A"/>
    <w:rsid w:val="00434FD4"/>
    <w:rsid w:val="00435692"/>
    <w:rsid w:val="00435F98"/>
    <w:rsid w:val="004368E5"/>
    <w:rsid w:val="00437125"/>
    <w:rsid w:val="004373F3"/>
    <w:rsid w:val="0044008F"/>
    <w:rsid w:val="00440C1F"/>
    <w:rsid w:val="004410FA"/>
    <w:rsid w:val="00441293"/>
    <w:rsid w:val="004412EF"/>
    <w:rsid w:val="004413A5"/>
    <w:rsid w:val="00441842"/>
    <w:rsid w:val="004428CE"/>
    <w:rsid w:val="00443AB0"/>
    <w:rsid w:val="004441CA"/>
    <w:rsid w:val="00444467"/>
    <w:rsid w:val="004447CF"/>
    <w:rsid w:val="004458B4"/>
    <w:rsid w:val="00445975"/>
    <w:rsid w:val="00446161"/>
    <w:rsid w:val="00446230"/>
    <w:rsid w:val="00446D8A"/>
    <w:rsid w:val="00450103"/>
    <w:rsid w:val="00450230"/>
    <w:rsid w:val="00450CE4"/>
    <w:rsid w:val="00450E37"/>
    <w:rsid w:val="00451F30"/>
    <w:rsid w:val="00452F15"/>
    <w:rsid w:val="00453141"/>
    <w:rsid w:val="00453ACC"/>
    <w:rsid w:val="00453F9E"/>
    <w:rsid w:val="00454A73"/>
    <w:rsid w:val="00454D66"/>
    <w:rsid w:val="00455455"/>
    <w:rsid w:val="004559EF"/>
    <w:rsid w:val="00455DE5"/>
    <w:rsid w:val="00457EB9"/>
    <w:rsid w:val="0046111B"/>
    <w:rsid w:val="004611A0"/>
    <w:rsid w:val="00461203"/>
    <w:rsid w:val="0046318D"/>
    <w:rsid w:val="0046422D"/>
    <w:rsid w:val="0046448D"/>
    <w:rsid w:val="00464BE2"/>
    <w:rsid w:val="00465287"/>
    <w:rsid w:val="004662F0"/>
    <w:rsid w:val="00467029"/>
    <w:rsid w:val="004677D6"/>
    <w:rsid w:val="00471682"/>
    <w:rsid w:val="004716B5"/>
    <w:rsid w:val="00471B85"/>
    <w:rsid w:val="00472094"/>
    <w:rsid w:val="004722D5"/>
    <w:rsid w:val="0047246A"/>
    <w:rsid w:val="00472B46"/>
    <w:rsid w:val="0047395F"/>
    <w:rsid w:val="00474285"/>
    <w:rsid w:val="00474872"/>
    <w:rsid w:val="004749E5"/>
    <w:rsid w:val="00474B11"/>
    <w:rsid w:val="00474DFA"/>
    <w:rsid w:val="00474E27"/>
    <w:rsid w:val="00475221"/>
    <w:rsid w:val="0047526D"/>
    <w:rsid w:val="00475717"/>
    <w:rsid w:val="00476120"/>
    <w:rsid w:val="00476738"/>
    <w:rsid w:val="00476A7B"/>
    <w:rsid w:val="00477B0A"/>
    <w:rsid w:val="00477CE8"/>
    <w:rsid w:val="00480102"/>
    <w:rsid w:val="00480154"/>
    <w:rsid w:val="0048085B"/>
    <w:rsid w:val="00480B47"/>
    <w:rsid w:val="004818C7"/>
    <w:rsid w:val="00483E3B"/>
    <w:rsid w:val="004841DB"/>
    <w:rsid w:val="00484DB7"/>
    <w:rsid w:val="00484E3F"/>
    <w:rsid w:val="004857B7"/>
    <w:rsid w:val="00485C22"/>
    <w:rsid w:val="00486041"/>
    <w:rsid w:val="0048616E"/>
    <w:rsid w:val="0048680D"/>
    <w:rsid w:val="004872FE"/>
    <w:rsid w:val="0048751E"/>
    <w:rsid w:val="0049047E"/>
    <w:rsid w:val="0049052A"/>
    <w:rsid w:val="00492ACF"/>
    <w:rsid w:val="0049334E"/>
    <w:rsid w:val="00493420"/>
    <w:rsid w:val="004938A5"/>
    <w:rsid w:val="004948E3"/>
    <w:rsid w:val="00494EF5"/>
    <w:rsid w:val="00494F07"/>
    <w:rsid w:val="00495873"/>
    <w:rsid w:val="004958BF"/>
    <w:rsid w:val="00495AFD"/>
    <w:rsid w:val="00496A39"/>
    <w:rsid w:val="00496B46"/>
    <w:rsid w:val="004A1140"/>
    <w:rsid w:val="004A133B"/>
    <w:rsid w:val="004A1AE8"/>
    <w:rsid w:val="004A21FF"/>
    <w:rsid w:val="004A2F6E"/>
    <w:rsid w:val="004A359C"/>
    <w:rsid w:val="004A3EAB"/>
    <w:rsid w:val="004A45AD"/>
    <w:rsid w:val="004A47AE"/>
    <w:rsid w:val="004A52FE"/>
    <w:rsid w:val="004A5763"/>
    <w:rsid w:val="004A581F"/>
    <w:rsid w:val="004A5B07"/>
    <w:rsid w:val="004A5F95"/>
    <w:rsid w:val="004A6959"/>
    <w:rsid w:val="004B0338"/>
    <w:rsid w:val="004B0518"/>
    <w:rsid w:val="004B0586"/>
    <w:rsid w:val="004B0DD1"/>
    <w:rsid w:val="004B0EBD"/>
    <w:rsid w:val="004B1238"/>
    <w:rsid w:val="004B1323"/>
    <w:rsid w:val="004B1342"/>
    <w:rsid w:val="004B151E"/>
    <w:rsid w:val="004B15B2"/>
    <w:rsid w:val="004B218F"/>
    <w:rsid w:val="004B282C"/>
    <w:rsid w:val="004B35A8"/>
    <w:rsid w:val="004B3852"/>
    <w:rsid w:val="004B5239"/>
    <w:rsid w:val="004B5272"/>
    <w:rsid w:val="004B5398"/>
    <w:rsid w:val="004B5F4D"/>
    <w:rsid w:val="004B6438"/>
    <w:rsid w:val="004B6573"/>
    <w:rsid w:val="004B6AF5"/>
    <w:rsid w:val="004B70A6"/>
    <w:rsid w:val="004B75E7"/>
    <w:rsid w:val="004C026E"/>
    <w:rsid w:val="004C0425"/>
    <w:rsid w:val="004C06D7"/>
    <w:rsid w:val="004C115B"/>
    <w:rsid w:val="004C11C3"/>
    <w:rsid w:val="004C146E"/>
    <w:rsid w:val="004C1B7D"/>
    <w:rsid w:val="004C1F18"/>
    <w:rsid w:val="004C3A1F"/>
    <w:rsid w:val="004C3DB0"/>
    <w:rsid w:val="004C4BD8"/>
    <w:rsid w:val="004C5D8D"/>
    <w:rsid w:val="004C6AA9"/>
    <w:rsid w:val="004C6BD5"/>
    <w:rsid w:val="004C6DF4"/>
    <w:rsid w:val="004C710C"/>
    <w:rsid w:val="004C7B8D"/>
    <w:rsid w:val="004D0162"/>
    <w:rsid w:val="004D06B4"/>
    <w:rsid w:val="004D07C4"/>
    <w:rsid w:val="004D0861"/>
    <w:rsid w:val="004D0965"/>
    <w:rsid w:val="004D127C"/>
    <w:rsid w:val="004D1CA2"/>
    <w:rsid w:val="004D207F"/>
    <w:rsid w:val="004D2A3B"/>
    <w:rsid w:val="004D3F8B"/>
    <w:rsid w:val="004D4C31"/>
    <w:rsid w:val="004D5F81"/>
    <w:rsid w:val="004D68AB"/>
    <w:rsid w:val="004D6BBD"/>
    <w:rsid w:val="004D70CF"/>
    <w:rsid w:val="004D71FE"/>
    <w:rsid w:val="004D7B70"/>
    <w:rsid w:val="004D7FAD"/>
    <w:rsid w:val="004E0B5A"/>
    <w:rsid w:val="004E109B"/>
    <w:rsid w:val="004E13A5"/>
    <w:rsid w:val="004E211A"/>
    <w:rsid w:val="004E216E"/>
    <w:rsid w:val="004E2894"/>
    <w:rsid w:val="004E4AFD"/>
    <w:rsid w:val="004E54A3"/>
    <w:rsid w:val="004E5B01"/>
    <w:rsid w:val="004E5F19"/>
    <w:rsid w:val="004E6030"/>
    <w:rsid w:val="004E619E"/>
    <w:rsid w:val="004E65E3"/>
    <w:rsid w:val="004E6B56"/>
    <w:rsid w:val="004E6B93"/>
    <w:rsid w:val="004E6E70"/>
    <w:rsid w:val="004E7597"/>
    <w:rsid w:val="004F04FD"/>
    <w:rsid w:val="004F08BF"/>
    <w:rsid w:val="004F12C3"/>
    <w:rsid w:val="004F1760"/>
    <w:rsid w:val="004F2057"/>
    <w:rsid w:val="004F23B4"/>
    <w:rsid w:val="004F4B44"/>
    <w:rsid w:val="004F4B6B"/>
    <w:rsid w:val="004F4BBD"/>
    <w:rsid w:val="004F4C5A"/>
    <w:rsid w:val="004F5E23"/>
    <w:rsid w:val="004F64BA"/>
    <w:rsid w:val="004F71C4"/>
    <w:rsid w:val="004F79FB"/>
    <w:rsid w:val="00500CE0"/>
    <w:rsid w:val="00501B90"/>
    <w:rsid w:val="00501CDF"/>
    <w:rsid w:val="00501D9B"/>
    <w:rsid w:val="00502388"/>
    <w:rsid w:val="00502C18"/>
    <w:rsid w:val="005040C0"/>
    <w:rsid w:val="00505D83"/>
    <w:rsid w:val="005070F9"/>
    <w:rsid w:val="0051017F"/>
    <w:rsid w:val="005105B4"/>
    <w:rsid w:val="00510657"/>
    <w:rsid w:val="0051157D"/>
    <w:rsid w:val="00511719"/>
    <w:rsid w:val="00512357"/>
    <w:rsid w:val="00512419"/>
    <w:rsid w:val="005130E0"/>
    <w:rsid w:val="0051313E"/>
    <w:rsid w:val="00513438"/>
    <w:rsid w:val="00513877"/>
    <w:rsid w:val="00513DA7"/>
    <w:rsid w:val="005155B2"/>
    <w:rsid w:val="00516089"/>
    <w:rsid w:val="00516309"/>
    <w:rsid w:val="005164A4"/>
    <w:rsid w:val="00516D24"/>
    <w:rsid w:val="005171C3"/>
    <w:rsid w:val="005174B0"/>
    <w:rsid w:val="005200BC"/>
    <w:rsid w:val="00520213"/>
    <w:rsid w:val="00521016"/>
    <w:rsid w:val="0052137C"/>
    <w:rsid w:val="00521668"/>
    <w:rsid w:val="00521D22"/>
    <w:rsid w:val="00522163"/>
    <w:rsid w:val="005230BD"/>
    <w:rsid w:val="00523284"/>
    <w:rsid w:val="00523590"/>
    <w:rsid w:val="005242BC"/>
    <w:rsid w:val="0052457E"/>
    <w:rsid w:val="005255D8"/>
    <w:rsid w:val="00525D48"/>
    <w:rsid w:val="00526351"/>
    <w:rsid w:val="005269D2"/>
    <w:rsid w:val="00526D4F"/>
    <w:rsid w:val="0052792A"/>
    <w:rsid w:val="00527983"/>
    <w:rsid w:val="00527CB3"/>
    <w:rsid w:val="00527E3F"/>
    <w:rsid w:val="00527E4C"/>
    <w:rsid w:val="005307F4"/>
    <w:rsid w:val="00530B20"/>
    <w:rsid w:val="005315BE"/>
    <w:rsid w:val="00531701"/>
    <w:rsid w:val="00531AE9"/>
    <w:rsid w:val="00531F3B"/>
    <w:rsid w:val="005327E9"/>
    <w:rsid w:val="00532B5E"/>
    <w:rsid w:val="005334E4"/>
    <w:rsid w:val="0053458A"/>
    <w:rsid w:val="005349FE"/>
    <w:rsid w:val="0053570C"/>
    <w:rsid w:val="00535ADC"/>
    <w:rsid w:val="00535E36"/>
    <w:rsid w:val="00536AFD"/>
    <w:rsid w:val="00536E05"/>
    <w:rsid w:val="005372A3"/>
    <w:rsid w:val="005372F8"/>
    <w:rsid w:val="00537A42"/>
    <w:rsid w:val="00540671"/>
    <w:rsid w:val="00540E71"/>
    <w:rsid w:val="0054199F"/>
    <w:rsid w:val="00542526"/>
    <w:rsid w:val="005430A4"/>
    <w:rsid w:val="005434A8"/>
    <w:rsid w:val="0054352C"/>
    <w:rsid w:val="005442DD"/>
    <w:rsid w:val="0054448F"/>
    <w:rsid w:val="00544589"/>
    <w:rsid w:val="00544A18"/>
    <w:rsid w:val="00544F1C"/>
    <w:rsid w:val="00545595"/>
    <w:rsid w:val="005459B9"/>
    <w:rsid w:val="00545E8B"/>
    <w:rsid w:val="005466A4"/>
    <w:rsid w:val="00546EFE"/>
    <w:rsid w:val="0055156A"/>
    <w:rsid w:val="0055212B"/>
    <w:rsid w:val="00552272"/>
    <w:rsid w:val="00553BC6"/>
    <w:rsid w:val="00553CFF"/>
    <w:rsid w:val="005545FC"/>
    <w:rsid w:val="00555A95"/>
    <w:rsid w:val="00555BFF"/>
    <w:rsid w:val="00556CDA"/>
    <w:rsid w:val="00556D0A"/>
    <w:rsid w:val="00556E53"/>
    <w:rsid w:val="005577F7"/>
    <w:rsid w:val="00560729"/>
    <w:rsid w:val="00561E4F"/>
    <w:rsid w:val="00561F8A"/>
    <w:rsid w:val="0056252B"/>
    <w:rsid w:val="0056264A"/>
    <w:rsid w:val="005629E3"/>
    <w:rsid w:val="00562F59"/>
    <w:rsid w:val="0056341C"/>
    <w:rsid w:val="00563BDF"/>
    <w:rsid w:val="00563C5D"/>
    <w:rsid w:val="0056431C"/>
    <w:rsid w:val="0056455B"/>
    <w:rsid w:val="005649C7"/>
    <w:rsid w:val="00564F13"/>
    <w:rsid w:val="00565531"/>
    <w:rsid w:val="0056580E"/>
    <w:rsid w:val="00565B68"/>
    <w:rsid w:val="00565C32"/>
    <w:rsid w:val="00566AD1"/>
    <w:rsid w:val="00566F1A"/>
    <w:rsid w:val="00567135"/>
    <w:rsid w:val="005718A4"/>
    <w:rsid w:val="005721A0"/>
    <w:rsid w:val="0057259D"/>
    <w:rsid w:val="00572EAE"/>
    <w:rsid w:val="005734A8"/>
    <w:rsid w:val="0057689B"/>
    <w:rsid w:val="00576BF3"/>
    <w:rsid w:val="00576CB8"/>
    <w:rsid w:val="00576EE9"/>
    <w:rsid w:val="00577349"/>
    <w:rsid w:val="00577395"/>
    <w:rsid w:val="00577AB6"/>
    <w:rsid w:val="00577EED"/>
    <w:rsid w:val="005800E5"/>
    <w:rsid w:val="005811CD"/>
    <w:rsid w:val="0058234E"/>
    <w:rsid w:val="005829CF"/>
    <w:rsid w:val="00582AB5"/>
    <w:rsid w:val="00583157"/>
    <w:rsid w:val="005835A8"/>
    <w:rsid w:val="00583B4C"/>
    <w:rsid w:val="00583D3E"/>
    <w:rsid w:val="005840DA"/>
    <w:rsid w:val="005846C3"/>
    <w:rsid w:val="005851B3"/>
    <w:rsid w:val="0058540E"/>
    <w:rsid w:val="00585915"/>
    <w:rsid w:val="00585D42"/>
    <w:rsid w:val="005860D4"/>
    <w:rsid w:val="0058693B"/>
    <w:rsid w:val="00586A6E"/>
    <w:rsid w:val="005871D8"/>
    <w:rsid w:val="005902DB"/>
    <w:rsid w:val="005924CD"/>
    <w:rsid w:val="005933F6"/>
    <w:rsid w:val="00593810"/>
    <w:rsid w:val="00593A8E"/>
    <w:rsid w:val="00594DE6"/>
    <w:rsid w:val="00595B7A"/>
    <w:rsid w:val="00596067"/>
    <w:rsid w:val="0059607E"/>
    <w:rsid w:val="005960D3"/>
    <w:rsid w:val="005960F1"/>
    <w:rsid w:val="00597EF5"/>
    <w:rsid w:val="005A0408"/>
    <w:rsid w:val="005A0B79"/>
    <w:rsid w:val="005A0F69"/>
    <w:rsid w:val="005A1822"/>
    <w:rsid w:val="005A1E78"/>
    <w:rsid w:val="005A2328"/>
    <w:rsid w:val="005A266D"/>
    <w:rsid w:val="005A31A1"/>
    <w:rsid w:val="005A3237"/>
    <w:rsid w:val="005A354E"/>
    <w:rsid w:val="005A3BED"/>
    <w:rsid w:val="005A3E82"/>
    <w:rsid w:val="005A40D9"/>
    <w:rsid w:val="005A43E2"/>
    <w:rsid w:val="005A545B"/>
    <w:rsid w:val="005A59F8"/>
    <w:rsid w:val="005A5F29"/>
    <w:rsid w:val="005A61BB"/>
    <w:rsid w:val="005A66FD"/>
    <w:rsid w:val="005A69B7"/>
    <w:rsid w:val="005A709D"/>
    <w:rsid w:val="005A7C37"/>
    <w:rsid w:val="005A7F6F"/>
    <w:rsid w:val="005B0A4F"/>
    <w:rsid w:val="005B0E2E"/>
    <w:rsid w:val="005B1362"/>
    <w:rsid w:val="005B188A"/>
    <w:rsid w:val="005B196A"/>
    <w:rsid w:val="005B2609"/>
    <w:rsid w:val="005B30C4"/>
    <w:rsid w:val="005B3C96"/>
    <w:rsid w:val="005B5998"/>
    <w:rsid w:val="005B60C4"/>
    <w:rsid w:val="005B6812"/>
    <w:rsid w:val="005B6B9D"/>
    <w:rsid w:val="005B6BC6"/>
    <w:rsid w:val="005C0A94"/>
    <w:rsid w:val="005C12DF"/>
    <w:rsid w:val="005C1F04"/>
    <w:rsid w:val="005C2A89"/>
    <w:rsid w:val="005C35B9"/>
    <w:rsid w:val="005C3F56"/>
    <w:rsid w:val="005C40E8"/>
    <w:rsid w:val="005C44AF"/>
    <w:rsid w:val="005C5700"/>
    <w:rsid w:val="005C5C6E"/>
    <w:rsid w:val="005C64CB"/>
    <w:rsid w:val="005C6D9D"/>
    <w:rsid w:val="005D0BD5"/>
    <w:rsid w:val="005D218E"/>
    <w:rsid w:val="005D26E0"/>
    <w:rsid w:val="005D297F"/>
    <w:rsid w:val="005D2F03"/>
    <w:rsid w:val="005D30A7"/>
    <w:rsid w:val="005D36ED"/>
    <w:rsid w:val="005D39F7"/>
    <w:rsid w:val="005D435A"/>
    <w:rsid w:val="005D47E3"/>
    <w:rsid w:val="005D4CBA"/>
    <w:rsid w:val="005D4D95"/>
    <w:rsid w:val="005D4E81"/>
    <w:rsid w:val="005D4F89"/>
    <w:rsid w:val="005D5044"/>
    <w:rsid w:val="005D538B"/>
    <w:rsid w:val="005D53AC"/>
    <w:rsid w:val="005D5975"/>
    <w:rsid w:val="005D5C16"/>
    <w:rsid w:val="005D5F49"/>
    <w:rsid w:val="005D611E"/>
    <w:rsid w:val="005D6B1C"/>
    <w:rsid w:val="005D6B81"/>
    <w:rsid w:val="005D76D4"/>
    <w:rsid w:val="005D7E3C"/>
    <w:rsid w:val="005E027F"/>
    <w:rsid w:val="005E2717"/>
    <w:rsid w:val="005E2857"/>
    <w:rsid w:val="005E2C39"/>
    <w:rsid w:val="005E320D"/>
    <w:rsid w:val="005E351C"/>
    <w:rsid w:val="005E36AE"/>
    <w:rsid w:val="005E447A"/>
    <w:rsid w:val="005E4A5C"/>
    <w:rsid w:val="005E5962"/>
    <w:rsid w:val="005E5E4E"/>
    <w:rsid w:val="005E6365"/>
    <w:rsid w:val="005E6C00"/>
    <w:rsid w:val="005E74FE"/>
    <w:rsid w:val="005F0555"/>
    <w:rsid w:val="005F29DB"/>
    <w:rsid w:val="005F2B71"/>
    <w:rsid w:val="005F2C41"/>
    <w:rsid w:val="005F32D4"/>
    <w:rsid w:val="005F3446"/>
    <w:rsid w:val="005F3C1F"/>
    <w:rsid w:val="005F4507"/>
    <w:rsid w:val="005F4717"/>
    <w:rsid w:val="005F4BE4"/>
    <w:rsid w:val="005F4D17"/>
    <w:rsid w:val="005F5011"/>
    <w:rsid w:val="005F6D54"/>
    <w:rsid w:val="0060100B"/>
    <w:rsid w:val="00601140"/>
    <w:rsid w:val="00601A13"/>
    <w:rsid w:val="00602E93"/>
    <w:rsid w:val="006030AD"/>
    <w:rsid w:val="00603865"/>
    <w:rsid w:val="00604D93"/>
    <w:rsid w:val="00604E63"/>
    <w:rsid w:val="006058CB"/>
    <w:rsid w:val="00605F76"/>
    <w:rsid w:val="006069AF"/>
    <w:rsid w:val="0060730D"/>
    <w:rsid w:val="00607852"/>
    <w:rsid w:val="0060790F"/>
    <w:rsid w:val="0061010A"/>
    <w:rsid w:val="00612D78"/>
    <w:rsid w:val="0061336D"/>
    <w:rsid w:val="00613609"/>
    <w:rsid w:val="00613EE9"/>
    <w:rsid w:val="0061487C"/>
    <w:rsid w:val="0061502E"/>
    <w:rsid w:val="0061570A"/>
    <w:rsid w:val="00616562"/>
    <w:rsid w:val="00616C40"/>
    <w:rsid w:val="00616E7A"/>
    <w:rsid w:val="00617359"/>
    <w:rsid w:val="00620248"/>
    <w:rsid w:val="00620572"/>
    <w:rsid w:val="006205BA"/>
    <w:rsid w:val="0062080A"/>
    <w:rsid w:val="0062082C"/>
    <w:rsid w:val="006208FB"/>
    <w:rsid w:val="00621965"/>
    <w:rsid w:val="006220EC"/>
    <w:rsid w:val="00622DA5"/>
    <w:rsid w:val="00622EF5"/>
    <w:rsid w:val="00623498"/>
    <w:rsid w:val="006240DB"/>
    <w:rsid w:val="00625841"/>
    <w:rsid w:val="00625C82"/>
    <w:rsid w:val="006266DB"/>
    <w:rsid w:val="00626FC9"/>
    <w:rsid w:val="006270F9"/>
    <w:rsid w:val="0062739A"/>
    <w:rsid w:val="00627981"/>
    <w:rsid w:val="00627DDF"/>
    <w:rsid w:val="0063013E"/>
    <w:rsid w:val="00632D82"/>
    <w:rsid w:val="00632E89"/>
    <w:rsid w:val="00634375"/>
    <w:rsid w:val="00636410"/>
    <w:rsid w:val="00636564"/>
    <w:rsid w:val="006371A0"/>
    <w:rsid w:val="00637E35"/>
    <w:rsid w:val="0064074E"/>
    <w:rsid w:val="0064078F"/>
    <w:rsid w:val="0064177E"/>
    <w:rsid w:val="006420CE"/>
    <w:rsid w:val="00642330"/>
    <w:rsid w:val="006423DF"/>
    <w:rsid w:val="00642FA0"/>
    <w:rsid w:val="00643223"/>
    <w:rsid w:val="00644746"/>
    <w:rsid w:val="006457D8"/>
    <w:rsid w:val="00646871"/>
    <w:rsid w:val="00646A4A"/>
    <w:rsid w:val="00646B0F"/>
    <w:rsid w:val="0064704F"/>
    <w:rsid w:val="006471A8"/>
    <w:rsid w:val="00647C25"/>
    <w:rsid w:val="00650BA2"/>
    <w:rsid w:val="00650CD2"/>
    <w:rsid w:val="0065121C"/>
    <w:rsid w:val="00651604"/>
    <w:rsid w:val="00651BD7"/>
    <w:rsid w:val="006521C4"/>
    <w:rsid w:val="00652363"/>
    <w:rsid w:val="00652A28"/>
    <w:rsid w:val="00652E72"/>
    <w:rsid w:val="00652E74"/>
    <w:rsid w:val="006530B0"/>
    <w:rsid w:val="00653184"/>
    <w:rsid w:val="0065381E"/>
    <w:rsid w:val="0065393F"/>
    <w:rsid w:val="00654382"/>
    <w:rsid w:val="00654C78"/>
    <w:rsid w:val="006555AA"/>
    <w:rsid w:val="00655B3B"/>
    <w:rsid w:val="00655C04"/>
    <w:rsid w:val="0065647A"/>
    <w:rsid w:val="006570D1"/>
    <w:rsid w:val="0065750A"/>
    <w:rsid w:val="0065780D"/>
    <w:rsid w:val="00657E17"/>
    <w:rsid w:val="00657EF1"/>
    <w:rsid w:val="006606A8"/>
    <w:rsid w:val="00661078"/>
    <w:rsid w:val="00662ED8"/>
    <w:rsid w:val="00663415"/>
    <w:rsid w:val="0066369E"/>
    <w:rsid w:val="00663760"/>
    <w:rsid w:val="006640FD"/>
    <w:rsid w:val="00664188"/>
    <w:rsid w:val="006654C0"/>
    <w:rsid w:val="00665761"/>
    <w:rsid w:val="00665EF3"/>
    <w:rsid w:val="006664D8"/>
    <w:rsid w:val="006667DB"/>
    <w:rsid w:val="00666847"/>
    <w:rsid w:val="00667A70"/>
    <w:rsid w:val="00671529"/>
    <w:rsid w:val="0067161B"/>
    <w:rsid w:val="00672272"/>
    <w:rsid w:val="00673177"/>
    <w:rsid w:val="0067350D"/>
    <w:rsid w:val="00673831"/>
    <w:rsid w:val="00673C07"/>
    <w:rsid w:val="00673D8A"/>
    <w:rsid w:val="00673FA9"/>
    <w:rsid w:val="00674756"/>
    <w:rsid w:val="00674932"/>
    <w:rsid w:val="00675542"/>
    <w:rsid w:val="006756E6"/>
    <w:rsid w:val="006759D9"/>
    <w:rsid w:val="00675F7C"/>
    <w:rsid w:val="0067637B"/>
    <w:rsid w:val="0067682F"/>
    <w:rsid w:val="00676BB5"/>
    <w:rsid w:val="00676E26"/>
    <w:rsid w:val="00676E96"/>
    <w:rsid w:val="006772FB"/>
    <w:rsid w:val="006776E5"/>
    <w:rsid w:val="006777DF"/>
    <w:rsid w:val="00677C93"/>
    <w:rsid w:val="00680642"/>
    <w:rsid w:val="00680B5A"/>
    <w:rsid w:val="00680E20"/>
    <w:rsid w:val="0068125F"/>
    <w:rsid w:val="006815EA"/>
    <w:rsid w:val="00681C14"/>
    <w:rsid w:val="00682080"/>
    <w:rsid w:val="00683C9C"/>
    <w:rsid w:val="00683CAE"/>
    <w:rsid w:val="00684393"/>
    <w:rsid w:val="006845AB"/>
    <w:rsid w:val="0068486A"/>
    <w:rsid w:val="00685EC6"/>
    <w:rsid w:val="00685FA3"/>
    <w:rsid w:val="00686895"/>
    <w:rsid w:val="006876A9"/>
    <w:rsid w:val="0068791C"/>
    <w:rsid w:val="00690EFC"/>
    <w:rsid w:val="00690F67"/>
    <w:rsid w:val="0069122F"/>
    <w:rsid w:val="006917E7"/>
    <w:rsid w:val="00691BCC"/>
    <w:rsid w:val="00691E90"/>
    <w:rsid w:val="00692B0A"/>
    <w:rsid w:val="00692FDA"/>
    <w:rsid w:val="00693461"/>
    <w:rsid w:val="00694AD0"/>
    <w:rsid w:val="00694B69"/>
    <w:rsid w:val="00695262"/>
    <w:rsid w:val="0069571E"/>
    <w:rsid w:val="00695CEC"/>
    <w:rsid w:val="00696904"/>
    <w:rsid w:val="00696BDE"/>
    <w:rsid w:val="00697F35"/>
    <w:rsid w:val="006A0EE3"/>
    <w:rsid w:val="006A1906"/>
    <w:rsid w:val="006A2C8B"/>
    <w:rsid w:val="006A36A6"/>
    <w:rsid w:val="006A375C"/>
    <w:rsid w:val="006A37D7"/>
    <w:rsid w:val="006A6C60"/>
    <w:rsid w:val="006A723D"/>
    <w:rsid w:val="006A72B2"/>
    <w:rsid w:val="006A7400"/>
    <w:rsid w:val="006A79B8"/>
    <w:rsid w:val="006A7A2C"/>
    <w:rsid w:val="006A7A4E"/>
    <w:rsid w:val="006B07F1"/>
    <w:rsid w:val="006B2C94"/>
    <w:rsid w:val="006B3F79"/>
    <w:rsid w:val="006B4240"/>
    <w:rsid w:val="006B4CD8"/>
    <w:rsid w:val="006B50C9"/>
    <w:rsid w:val="006B5716"/>
    <w:rsid w:val="006B76E8"/>
    <w:rsid w:val="006B7C56"/>
    <w:rsid w:val="006C0AC7"/>
    <w:rsid w:val="006C121A"/>
    <w:rsid w:val="006C1B64"/>
    <w:rsid w:val="006C1CEC"/>
    <w:rsid w:val="006C1F19"/>
    <w:rsid w:val="006C3970"/>
    <w:rsid w:val="006C517B"/>
    <w:rsid w:val="006C58B9"/>
    <w:rsid w:val="006C5CFC"/>
    <w:rsid w:val="006C5D6D"/>
    <w:rsid w:val="006C6497"/>
    <w:rsid w:val="006C673D"/>
    <w:rsid w:val="006C6DFE"/>
    <w:rsid w:val="006C6E28"/>
    <w:rsid w:val="006D00D2"/>
    <w:rsid w:val="006D0E31"/>
    <w:rsid w:val="006D13FC"/>
    <w:rsid w:val="006D16C7"/>
    <w:rsid w:val="006D1737"/>
    <w:rsid w:val="006D2C19"/>
    <w:rsid w:val="006D3780"/>
    <w:rsid w:val="006D557C"/>
    <w:rsid w:val="006D5EC0"/>
    <w:rsid w:val="006D6B6B"/>
    <w:rsid w:val="006D6CA2"/>
    <w:rsid w:val="006E07A5"/>
    <w:rsid w:val="006E0BE3"/>
    <w:rsid w:val="006E20EA"/>
    <w:rsid w:val="006E2152"/>
    <w:rsid w:val="006E278F"/>
    <w:rsid w:val="006E37C7"/>
    <w:rsid w:val="006E3CA9"/>
    <w:rsid w:val="006E455D"/>
    <w:rsid w:val="006E5E37"/>
    <w:rsid w:val="006E6786"/>
    <w:rsid w:val="006E6899"/>
    <w:rsid w:val="006E6BA7"/>
    <w:rsid w:val="006E701C"/>
    <w:rsid w:val="006F0145"/>
    <w:rsid w:val="006F0906"/>
    <w:rsid w:val="006F118A"/>
    <w:rsid w:val="006F1377"/>
    <w:rsid w:val="006F3BB4"/>
    <w:rsid w:val="006F4413"/>
    <w:rsid w:val="006F4457"/>
    <w:rsid w:val="006F4B99"/>
    <w:rsid w:val="006F5B71"/>
    <w:rsid w:val="006F5CD1"/>
    <w:rsid w:val="006F6A5D"/>
    <w:rsid w:val="006F7A7F"/>
    <w:rsid w:val="00701841"/>
    <w:rsid w:val="0070248A"/>
    <w:rsid w:val="00702863"/>
    <w:rsid w:val="00702B12"/>
    <w:rsid w:val="00702D68"/>
    <w:rsid w:val="00702FB0"/>
    <w:rsid w:val="007038CE"/>
    <w:rsid w:val="007042B6"/>
    <w:rsid w:val="00704727"/>
    <w:rsid w:val="00705AD3"/>
    <w:rsid w:val="00705E89"/>
    <w:rsid w:val="0070625B"/>
    <w:rsid w:val="007062C3"/>
    <w:rsid w:val="007076F8"/>
    <w:rsid w:val="00707E1C"/>
    <w:rsid w:val="007105B3"/>
    <w:rsid w:val="00710CA7"/>
    <w:rsid w:val="00710FDC"/>
    <w:rsid w:val="007113DB"/>
    <w:rsid w:val="00712389"/>
    <w:rsid w:val="00712858"/>
    <w:rsid w:val="00712A22"/>
    <w:rsid w:val="00714986"/>
    <w:rsid w:val="007150F6"/>
    <w:rsid w:val="00715B24"/>
    <w:rsid w:val="00716076"/>
    <w:rsid w:val="007160C2"/>
    <w:rsid w:val="007168EF"/>
    <w:rsid w:val="007169A8"/>
    <w:rsid w:val="007177F7"/>
    <w:rsid w:val="007211D3"/>
    <w:rsid w:val="00722779"/>
    <w:rsid w:val="007228B6"/>
    <w:rsid w:val="00722A7E"/>
    <w:rsid w:val="0072392D"/>
    <w:rsid w:val="007239FB"/>
    <w:rsid w:val="007246F8"/>
    <w:rsid w:val="0072484D"/>
    <w:rsid w:val="00724B10"/>
    <w:rsid w:val="00725306"/>
    <w:rsid w:val="007255D1"/>
    <w:rsid w:val="00725767"/>
    <w:rsid w:val="00725FC8"/>
    <w:rsid w:val="00726351"/>
    <w:rsid w:val="00726672"/>
    <w:rsid w:val="00726E1D"/>
    <w:rsid w:val="007270A5"/>
    <w:rsid w:val="007270BE"/>
    <w:rsid w:val="00727216"/>
    <w:rsid w:val="00727793"/>
    <w:rsid w:val="00727E15"/>
    <w:rsid w:val="007301F0"/>
    <w:rsid w:val="00730506"/>
    <w:rsid w:val="00730761"/>
    <w:rsid w:val="00730B85"/>
    <w:rsid w:val="00730FDA"/>
    <w:rsid w:val="00731E1E"/>
    <w:rsid w:val="0073279D"/>
    <w:rsid w:val="00732CAA"/>
    <w:rsid w:val="00733C45"/>
    <w:rsid w:val="00733D30"/>
    <w:rsid w:val="007344C3"/>
    <w:rsid w:val="00734D23"/>
    <w:rsid w:val="00734E55"/>
    <w:rsid w:val="00735942"/>
    <w:rsid w:val="00735E29"/>
    <w:rsid w:val="00736D03"/>
    <w:rsid w:val="00737483"/>
    <w:rsid w:val="007404F9"/>
    <w:rsid w:val="007414A7"/>
    <w:rsid w:val="00742014"/>
    <w:rsid w:val="0074242D"/>
    <w:rsid w:val="00742779"/>
    <w:rsid w:val="00743439"/>
    <w:rsid w:val="0074379E"/>
    <w:rsid w:val="007439F2"/>
    <w:rsid w:val="007449E7"/>
    <w:rsid w:val="0074510B"/>
    <w:rsid w:val="00746063"/>
    <w:rsid w:val="0074614F"/>
    <w:rsid w:val="00750060"/>
    <w:rsid w:val="00750AE0"/>
    <w:rsid w:val="00750D81"/>
    <w:rsid w:val="007518AF"/>
    <w:rsid w:val="00751C38"/>
    <w:rsid w:val="00751DB7"/>
    <w:rsid w:val="00752056"/>
    <w:rsid w:val="00752605"/>
    <w:rsid w:val="007528C6"/>
    <w:rsid w:val="007529A2"/>
    <w:rsid w:val="00752D21"/>
    <w:rsid w:val="00754184"/>
    <w:rsid w:val="007544E5"/>
    <w:rsid w:val="00754CAE"/>
    <w:rsid w:val="00754D33"/>
    <w:rsid w:val="00754F60"/>
    <w:rsid w:val="00756136"/>
    <w:rsid w:val="00756623"/>
    <w:rsid w:val="00756C88"/>
    <w:rsid w:val="0076054A"/>
    <w:rsid w:val="0076069E"/>
    <w:rsid w:val="00760DE4"/>
    <w:rsid w:val="0076104E"/>
    <w:rsid w:val="0076150E"/>
    <w:rsid w:val="0076187E"/>
    <w:rsid w:val="00761EE6"/>
    <w:rsid w:val="00762913"/>
    <w:rsid w:val="00763083"/>
    <w:rsid w:val="00763377"/>
    <w:rsid w:val="0076397A"/>
    <w:rsid w:val="00763A50"/>
    <w:rsid w:val="00763C99"/>
    <w:rsid w:val="0076442B"/>
    <w:rsid w:val="007644F8"/>
    <w:rsid w:val="00764C3B"/>
    <w:rsid w:val="00764DF3"/>
    <w:rsid w:val="00766BC9"/>
    <w:rsid w:val="00767FAB"/>
    <w:rsid w:val="007708E1"/>
    <w:rsid w:val="00771440"/>
    <w:rsid w:val="00772844"/>
    <w:rsid w:val="00772867"/>
    <w:rsid w:val="00773D90"/>
    <w:rsid w:val="00774BC9"/>
    <w:rsid w:val="00774DDD"/>
    <w:rsid w:val="00775529"/>
    <w:rsid w:val="0077597A"/>
    <w:rsid w:val="00775DC9"/>
    <w:rsid w:val="0077701B"/>
    <w:rsid w:val="0077717B"/>
    <w:rsid w:val="007773D1"/>
    <w:rsid w:val="00777943"/>
    <w:rsid w:val="007811AC"/>
    <w:rsid w:val="007813EC"/>
    <w:rsid w:val="0078323C"/>
    <w:rsid w:val="00783A3F"/>
    <w:rsid w:val="00783C45"/>
    <w:rsid w:val="00784135"/>
    <w:rsid w:val="0078434B"/>
    <w:rsid w:val="00785D55"/>
    <w:rsid w:val="0078618B"/>
    <w:rsid w:val="00786558"/>
    <w:rsid w:val="00786E16"/>
    <w:rsid w:val="007870EB"/>
    <w:rsid w:val="00787466"/>
    <w:rsid w:val="00787597"/>
    <w:rsid w:val="00787917"/>
    <w:rsid w:val="00787C0C"/>
    <w:rsid w:val="00790A22"/>
    <w:rsid w:val="00790E79"/>
    <w:rsid w:val="007913B2"/>
    <w:rsid w:val="00791E6E"/>
    <w:rsid w:val="00792797"/>
    <w:rsid w:val="007935AB"/>
    <w:rsid w:val="00793C38"/>
    <w:rsid w:val="00793F66"/>
    <w:rsid w:val="00794418"/>
    <w:rsid w:val="0079465A"/>
    <w:rsid w:val="0079486F"/>
    <w:rsid w:val="00794A9A"/>
    <w:rsid w:val="00794CC3"/>
    <w:rsid w:val="0079531F"/>
    <w:rsid w:val="007953D5"/>
    <w:rsid w:val="00795E04"/>
    <w:rsid w:val="007969D5"/>
    <w:rsid w:val="00797AD7"/>
    <w:rsid w:val="007A078A"/>
    <w:rsid w:val="007A1387"/>
    <w:rsid w:val="007A2B24"/>
    <w:rsid w:val="007A2D12"/>
    <w:rsid w:val="007A2F6D"/>
    <w:rsid w:val="007A35B6"/>
    <w:rsid w:val="007A3FB6"/>
    <w:rsid w:val="007A4C58"/>
    <w:rsid w:val="007A5246"/>
    <w:rsid w:val="007A5CF8"/>
    <w:rsid w:val="007A6ADF"/>
    <w:rsid w:val="007A6BD4"/>
    <w:rsid w:val="007A6CB1"/>
    <w:rsid w:val="007A6F3C"/>
    <w:rsid w:val="007A7658"/>
    <w:rsid w:val="007A7F38"/>
    <w:rsid w:val="007B01C6"/>
    <w:rsid w:val="007B0DFE"/>
    <w:rsid w:val="007B0E00"/>
    <w:rsid w:val="007B1226"/>
    <w:rsid w:val="007B128D"/>
    <w:rsid w:val="007B2652"/>
    <w:rsid w:val="007B297E"/>
    <w:rsid w:val="007B31E7"/>
    <w:rsid w:val="007B39A7"/>
    <w:rsid w:val="007B3D99"/>
    <w:rsid w:val="007B3E48"/>
    <w:rsid w:val="007B47F9"/>
    <w:rsid w:val="007B4811"/>
    <w:rsid w:val="007B51C5"/>
    <w:rsid w:val="007B59D9"/>
    <w:rsid w:val="007B659B"/>
    <w:rsid w:val="007B6EED"/>
    <w:rsid w:val="007B72A4"/>
    <w:rsid w:val="007C016C"/>
    <w:rsid w:val="007C0764"/>
    <w:rsid w:val="007C0772"/>
    <w:rsid w:val="007C0F84"/>
    <w:rsid w:val="007C0FC2"/>
    <w:rsid w:val="007C11BF"/>
    <w:rsid w:val="007C1C23"/>
    <w:rsid w:val="007C1F3C"/>
    <w:rsid w:val="007C288D"/>
    <w:rsid w:val="007C3017"/>
    <w:rsid w:val="007C310C"/>
    <w:rsid w:val="007C3886"/>
    <w:rsid w:val="007C3A8D"/>
    <w:rsid w:val="007C3E8E"/>
    <w:rsid w:val="007C529D"/>
    <w:rsid w:val="007C565D"/>
    <w:rsid w:val="007C633E"/>
    <w:rsid w:val="007C7046"/>
    <w:rsid w:val="007D14FF"/>
    <w:rsid w:val="007D175C"/>
    <w:rsid w:val="007D2827"/>
    <w:rsid w:val="007D2E04"/>
    <w:rsid w:val="007D2FE2"/>
    <w:rsid w:val="007D3877"/>
    <w:rsid w:val="007D3990"/>
    <w:rsid w:val="007D3D72"/>
    <w:rsid w:val="007D407A"/>
    <w:rsid w:val="007D40F4"/>
    <w:rsid w:val="007D47B1"/>
    <w:rsid w:val="007D4CD9"/>
    <w:rsid w:val="007D578A"/>
    <w:rsid w:val="007D6100"/>
    <w:rsid w:val="007D6F24"/>
    <w:rsid w:val="007D6F51"/>
    <w:rsid w:val="007D70B6"/>
    <w:rsid w:val="007D7BB6"/>
    <w:rsid w:val="007D7E9C"/>
    <w:rsid w:val="007E0071"/>
    <w:rsid w:val="007E1CEE"/>
    <w:rsid w:val="007E1E93"/>
    <w:rsid w:val="007E2827"/>
    <w:rsid w:val="007E2A86"/>
    <w:rsid w:val="007E2EC9"/>
    <w:rsid w:val="007E2F48"/>
    <w:rsid w:val="007E3F81"/>
    <w:rsid w:val="007E43D9"/>
    <w:rsid w:val="007E489B"/>
    <w:rsid w:val="007E4ED0"/>
    <w:rsid w:val="007E4F10"/>
    <w:rsid w:val="007E5269"/>
    <w:rsid w:val="007E556C"/>
    <w:rsid w:val="007E71DA"/>
    <w:rsid w:val="007E7F56"/>
    <w:rsid w:val="007F25FE"/>
    <w:rsid w:val="007F2FB2"/>
    <w:rsid w:val="007F35CA"/>
    <w:rsid w:val="007F3638"/>
    <w:rsid w:val="007F3928"/>
    <w:rsid w:val="007F3EC2"/>
    <w:rsid w:val="007F43FE"/>
    <w:rsid w:val="007F4B9B"/>
    <w:rsid w:val="007F4D81"/>
    <w:rsid w:val="007F510A"/>
    <w:rsid w:val="007F57D1"/>
    <w:rsid w:val="007F599B"/>
    <w:rsid w:val="007F754F"/>
    <w:rsid w:val="007F7740"/>
    <w:rsid w:val="00800075"/>
    <w:rsid w:val="00801BAB"/>
    <w:rsid w:val="00801EDE"/>
    <w:rsid w:val="00803A16"/>
    <w:rsid w:val="008042EC"/>
    <w:rsid w:val="0080493F"/>
    <w:rsid w:val="00804E7E"/>
    <w:rsid w:val="00805956"/>
    <w:rsid w:val="00810C12"/>
    <w:rsid w:val="008119D2"/>
    <w:rsid w:val="00811A32"/>
    <w:rsid w:val="00811CA2"/>
    <w:rsid w:val="00812368"/>
    <w:rsid w:val="008131BC"/>
    <w:rsid w:val="008137C3"/>
    <w:rsid w:val="00813DFD"/>
    <w:rsid w:val="00814279"/>
    <w:rsid w:val="00814D0C"/>
    <w:rsid w:val="0081517C"/>
    <w:rsid w:val="0081532E"/>
    <w:rsid w:val="00815C4F"/>
    <w:rsid w:val="00815F88"/>
    <w:rsid w:val="00816486"/>
    <w:rsid w:val="00816D8B"/>
    <w:rsid w:val="00817934"/>
    <w:rsid w:val="00820560"/>
    <w:rsid w:val="00820740"/>
    <w:rsid w:val="00821923"/>
    <w:rsid w:val="00821FAB"/>
    <w:rsid w:val="008225DB"/>
    <w:rsid w:val="00822B39"/>
    <w:rsid w:val="00823AB9"/>
    <w:rsid w:val="00823AC8"/>
    <w:rsid w:val="0082436E"/>
    <w:rsid w:val="008243FE"/>
    <w:rsid w:val="00824D10"/>
    <w:rsid w:val="00824DA3"/>
    <w:rsid w:val="00826134"/>
    <w:rsid w:val="008263FC"/>
    <w:rsid w:val="00826A84"/>
    <w:rsid w:val="00826F14"/>
    <w:rsid w:val="0082701B"/>
    <w:rsid w:val="00827759"/>
    <w:rsid w:val="00827E62"/>
    <w:rsid w:val="0083051B"/>
    <w:rsid w:val="00830B48"/>
    <w:rsid w:val="00831536"/>
    <w:rsid w:val="008322E6"/>
    <w:rsid w:val="00833126"/>
    <w:rsid w:val="0083371D"/>
    <w:rsid w:val="008352D1"/>
    <w:rsid w:val="008365B0"/>
    <w:rsid w:val="008368DB"/>
    <w:rsid w:val="0083796D"/>
    <w:rsid w:val="00837FA2"/>
    <w:rsid w:val="00840DAE"/>
    <w:rsid w:val="0084154A"/>
    <w:rsid w:val="00841AAD"/>
    <w:rsid w:val="00842151"/>
    <w:rsid w:val="00842928"/>
    <w:rsid w:val="00843837"/>
    <w:rsid w:val="008438D9"/>
    <w:rsid w:val="00843B9A"/>
    <w:rsid w:val="008444A8"/>
    <w:rsid w:val="00844BDD"/>
    <w:rsid w:val="0084502E"/>
    <w:rsid w:val="008460A3"/>
    <w:rsid w:val="0084667B"/>
    <w:rsid w:val="0084730B"/>
    <w:rsid w:val="008502ED"/>
    <w:rsid w:val="008504B7"/>
    <w:rsid w:val="008505D4"/>
    <w:rsid w:val="008519D4"/>
    <w:rsid w:val="00851B37"/>
    <w:rsid w:val="00851BAB"/>
    <w:rsid w:val="0085252B"/>
    <w:rsid w:val="008526A9"/>
    <w:rsid w:val="00852916"/>
    <w:rsid w:val="008554CE"/>
    <w:rsid w:val="00855706"/>
    <w:rsid w:val="0085581E"/>
    <w:rsid w:val="00855D3B"/>
    <w:rsid w:val="0085680E"/>
    <w:rsid w:val="00856E3F"/>
    <w:rsid w:val="0085731E"/>
    <w:rsid w:val="008578D3"/>
    <w:rsid w:val="0086000F"/>
    <w:rsid w:val="00860E9D"/>
    <w:rsid w:val="00860F57"/>
    <w:rsid w:val="00861F14"/>
    <w:rsid w:val="00862029"/>
    <w:rsid w:val="00862C93"/>
    <w:rsid w:val="00862CEC"/>
    <w:rsid w:val="00862D08"/>
    <w:rsid w:val="00862E2F"/>
    <w:rsid w:val="00863AA9"/>
    <w:rsid w:val="00864A57"/>
    <w:rsid w:val="00865066"/>
    <w:rsid w:val="00865458"/>
    <w:rsid w:val="00865A35"/>
    <w:rsid w:val="00866DD6"/>
    <w:rsid w:val="00866FCF"/>
    <w:rsid w:val="00870689"/>
    <w:rsid w:val="008706C6"/>
    <w:rsid w:val="0087072D"/>
    <w:rsid w:val="00871A1E"/>
    <w:rsid w:val="00871CDC"/>
    <w:rsid w:val="00871D0D"/>
    <w:rsid w:val="00871E0D"/>
    <w:rsid w:val="008721FB"/>
    <w:rsid w:val="00872776"/>
    <w:rsid w:val="008727EB"/>
    <w:rsid w:val="00873026"/>
    <w:rsid w:val="008738FE"/>
    <w:rsid w:val="00873D06"/>
    <w:rsid w:val="00873D4E"/>
    <w:rsid w:val="0087465B"/>
    <w:rsid w:val="008747A3"/>
    <w:rsid w:val="00874AF6"/>
    <w:rsid w:val="00874B73"/>
    <w:rsid w:val="00874C98"/>
    <w:rsid w:val="00875093"/>
    <w:rsid w:val="008755D2"/>
    <w:rsid w:val="00876013"/>
    <w:rsid w:val="0087611F"/>
    <w:rsid w:val="0087613A"/>
    <w:rsid w:val="00876B67"/>
    <w:rsid w:val="00877301"/>
    <w:rsid w:val="008775A2"/>
    <w:rsid w:val="00877FDC"/>
    <w:rsid w:val="008800D9"/>
    <w:rsid w:val="00880724"/>
    <w:rsid w:val="008820CE"/>
    <w:rsid w:val="00883564"/>
    <w:rsid w:val="00883AC7"/>
    <w:rsid w:val="00883B4E"/>
    <w:rsid w:val="00884753"/>
    <w:rsid w:val="00884759"/>
    <w:rsid w:val="00884ADA"/>
    <w:rsid w:val="00885A8C"/>
    <w:rsid w:val="00885AB6"/>
    <w:rsid w:val="00885E4E"/>
    <w:rsid w:val="00886A5B"/>
    <w:rsid w:val="008870BA"/>
    <w:rsid w:val="00887DF5"/>
    <w:rsid w:val="00890472"/>
    <w:rsid w:val="00890634"/>
    <w:rsid w:val="0089072C"/>
    <w:rsid w:val="00891207"/>
    <w:rsid w:val="00891488"/>
    <w:rsid w:val="0089175B"/>
    <w:rsid w:val="00891D60"/>
    <w:rsid w:val="008921F3"/>
    <w:rsid w:val="00892F22"/>
    <w:rsid w:val="00893ACC"/>
    <w:rsid w:val="00893F63"/>
    <w:rsid w:val="008944EB"/>
    <w:rsid w:val="008946CF"/>
    <w:rsid w:val="00894A8D"/>
    <w:rsid w:val="00894BA1"/>
    <w:rsid w:val="008957B0"/>
    <w:rsid w:val="0089647F"/>
    <w:rsid w:val="0089686C"/>
    <w:rsid w:val="00897823"/>
    <w:rsid w:val="00897A04"/>
    <w:rsid w:val="00897D66"/>
    <w:rsid w:val="008A0D02"/>
    <w:rsid w:val="008A0FE3"/>
    <w:rsid w:val="008A36D3"/>
    <w:rsid w:val="008A3BC1"/>
    <w:rsid w:val="008A4082"/>
    <w:rsid w:val="008A47BB"/>
    <w:rsid w:val="008A4F2A"/>
    <w:rsid w:val="008A551C"/>
    <w:rsid w:val="008A5875"/>
    <w:rsid w:val="008A6383"/>
    <w:rsid w:val="008A70C8"/>
    <w:rsid w:val="008A73D1"/>
    <w:rsid w:val="008A7470"/>
    <w:rsid w:val="008B0BA7"/>
    <w:rsid w:val="008B0D79"/>
    <w:rsid w:val="008B0F11"/>
    <w:rsid w:val="008B0FC9"/>
    <w:rsid w:val="008B2901"/>
    <w:rsid w:val="008B2AF6"/>
    <w:rsid w:val="008B3801"/>
    <w:rsid w:val="008B3807"/>
    <w:rsid w:val="008B3A70"/>
    <w:rsid w:val="008B3F5B"/>
    <w:rsid w:val="008B434A"/>
    <w:rsid w:val="008B4D2D"/>
    <w:rsid w:val="008B5772"/>
    <w:rsid w:val="008B5A39"/>
    <w:rsid w:val="008B6073"/>
    <w:rsid w:val="008B74F1"/>
    <w:rsid w:val="008B798E"/>
    <w:rsid w:val="008C01A4"/>
    <w:rsid w:val="008C1A30"/>
    <w:rsid w:val="008C1AE1"/>
    <w:rsid w:val="008C2011"/>
    <w:rsid w:val="008C24C3"/>
    <w:rsid w:val="008C43E3"/>
    <w:rsid w:val="008C571E"/>
    <w:rsid w:val="008C5745"/>
    <w:rsid w:val="008C5E29"/>
    <w:rsid w:val="008C63A1"/>
    <w:rsid w:val="008C6BB2"/>
    <w:rsid w:val="008C6C77"/>
    <w:rsid w:val="008C7095"/>
    <w:rsid w:val="008C7D40"/>
    <w:rsid w:val="008D04EB"/>
    <w:rsid w:val="008D15AF"/>
    <w:rsid w:val="008D15B1"/>
    <w:rsid w:val="008D42C9"/>
    <w:rsid w:val="008D575C"/>
    <w:rsid w:val="008D5B49"/>
    <w:rsid w:val="008D6252"/>
    <w:rsid w:val="008D683D"/>
    <w:rsid w:val="008D6B1C"/>
    <w:rsid w:val="008D72A7"/>
    <w:rsid w:val="008E150D"/>
    <w:rsid w:val="008E15DF"/>
    <w:rsid w:val="008E1950"/>
    <w:rsid w:val="008E1A59"/>
    <w:rsid w:val="008E21BD"/>
    <w:rsid w:val="008E27D1"/>
    <w:rsid w:val="008E2ACB"/>
    <w:rsid w:val="008E40C8"/>
    <w:rsid w:val="008E4624"/>
    <w:rsid w:val="008E5F08"/>
    <w:rsid w:val="008E60E9"/>
    <w:rsid w:val="008E689D"/>
    <w:rsid w:val="008E6CE0"/>
    <w:rsid w:val="008E7AFD"/>
    <w:rsid w:val="008F0162"/>
    <w:rsid w:val="008F07FB"/>
    <w:rsid w:val="008F095D"/>
    <w:rsid w:val="008F0CE9"/>
    <w:rsid w:val="008F0E6D"/>
    <w:rsid w:val="008F16D2"/>
    <w:rsid w:val="008F16F1"/>
    <w:rsid w:val="008F2D15"/>
    <w:rsid w:val="008F2DC8"/>
    <w:rsid w:val="008F36E5"/>
    <w:rsid w:val="008F4455"/>
    <w:rsid w:val="008F548E"/>
    <w:rsid w:val="008F553A"/>
    <w:rsid w:val="008F55E7"/>
    <w:rsid w:val="008F6BA7"/>
    <w:rsid w:val="008F6E5F"/>
    <w:rsid w:val="008F6E93"/>
    <w:rsid w:val="008F77D5"/>
    <w:rsid w:val="008F79E5"/>
    <w:rsid w:val="009023B6"/>
    <w:rsid w:val="00902579"/>
    <w:rsid w:val="00902EC6"/>
    <w:rsid w:val="0090374E"/>
    <w:rsid w:val="0090377B"/>
    <w:rsid w:val="009037DE"/>
    <w:rsid w:val="009052B1"/>
    <w:rsid w:val="00905845"/>
    <w:rsid w:val="00906DAB"/>
    <w:rsid w:val="00906DED"/>
    <w:rsid w:val="009070BD"/>
    <w:rsid w:val="0090757D"/>
    <w:rsid w:val="00907E5B"/>
    <w:rsid w:val="00910004"/>
    <w:rsid w:val="0091138C"/>
    <w:rsid w:val="0091306C"/>
    <w:rsid w:val="009132C8"/>
    <w:rsid w:val="009141FD"/>
    <w:rsid w:val="00914203"/>
    <w:rsid w:val="00914842"/>
    <w:rsid w:val="00917151"/>
    <w:rsid w:val="0091752C"/>
    <w:rsid w:val="00917869"/>
    <w:rsid w:val="00917D6E"/>
    <w:rsid w:val="00920983"/>
    <w:rsid w:val="0092390F"/>
    <w:rsid w:val="00923F6D"/>
    <w:rsid w:val="009244D2"/>
    <w:rsid w:val="00924AF8"/>
    <w:rsid w:val="0092543B"/>
    <w:rsid w:val="0092568B"/>
    <w:rsid w:val="00925B3C"/>
    <w:rsid w:val="009276B1"/>
    <w:rsid w:val="009277FA"/>
    <w:rsid w:val="00927C38"/>
    <w:rsid w:val="00930619"/>
    <w:rsid w:val="00930D2E"/>
    <w:rsid w:val="00932032"/>
    <w:rsid w:val="0093226C"/>
    <w:rsid w:val="00932B95"/>
    <w:rsid w:val="00932C55"/>
    <w:rsid w:val="00932CC8"/>
    <w:rsid w:val="00933D2F"/>
    <w:rsid w:val="00934200"/>
    <w:rsid w:val="009355C2"/>
    <w:rsid w:val="0093669E"/>
    <w:rsid w:val="009368FA"/>
    <w:rsid w:val="00936DCB"/>
    <w:rsid w:val="00936EA9"/>
    <w:rsid w:val="0093747E"/>
    <w:rsid w:val="009411E1"/>
    <w:rsid w:val="00941316"/>
    <w:rsid w:val="009416B4"/>
    <w:rsid w:val="00941804"/>
    <w:rsid w:val="0094197B"/>
    <w:rsid w:val="00941B63"/>
    <w:rsid w:val="00942422"/>
    <w:rsid w:val="00942509"/>
    <w:rsid w:val="00943FBF"/>
    <w:rsid w:val="00945570"/>
    <w:rsid w:val="009457CE"/>
    <w:rsid w:val="00946AFA"/>
    <w:rsid w:val="00946EAB"/>
    <w:rsid w:val="00946ED6"/>
    <w:rsid w:val="00947287"/>
    <w:rsid w:val="009478E4"/>
    <w:rsid w:val="00947EC2"/>
    <w:rsid w:val="009500BB"/>
    <w:rsid w:val="00950406"/>
    <w:rsid w:val="00950A0F"/>
    <w:rsid w:val="00952B85"/>
    <w:rsid w:val="00953A23"/>
    <w:rsid w:val="00953E77"/>
    <w:rsid w:val="009545A4"/>
    <w:rsid w:val="00954BB3"/>
    <w:rsid w:val="00955613"/>
    <w:rsid w:val="00955921"/>
    <w:rsid w:val="00955E02"/>
    <w:rsid w:val="00955E2F"/>
    <w:rsid w:val="009566E4"/>
    <w:rsid w:val="00956C06"/>
    <w:rsid w:val="00956C61"/>
    <w:rsid w:val="00957799"/>
    <w:rsid w:val="00957C5C"/>
    <w:rsid w:val="0096058D"/>
    <w:rsid w:val="00960AA2"/>
    <w:rsid w:val="00961CA1"/>
    <w:rsid w:val="00961FDD"/>
    <w:rsid w:val="00962B64"/>
    <w:rsid w:val="00962BE7"/>
    <w:rsid w:val="00962CFD"/>
    <w:rsid w:val="009633DE"/>
    <w:rsid w:val="009637FF"/>
    <w:rsid w:val="0096383E"/>
    <w:rsid w:val="00963878"/>
    <w:rsid w:val="00964377"/>
    <w:rsid w:val="00964611"/>
    <w:rsid w:val="0096552A"/>
    <w:rsid w:val="009666AE"/>
    <w:rsid w:val="0096680A"/>
    <w:rsid w:val="00966B43"/>
    <w:rsid w:val="009675F1"/>
    <w:rsid w:val="009677FE"/>
    <w:rsid w:val="00967A82"/>
    <w:rsid w:val="00967BE4"/>
    <w:rsid w:val="0097095A"/>
    <w:rsid w:val="00970992"/>
    <w:rsid w:val="0097117A"/>
    <w:rsid w:val="00971A38"/>
    <w:rsid w:val="00971B70"/>
    <w:rsid w:val="009720B7"/>
    <w:rsid w:val="00973725"/>
    <w:rsid w:val="00974010"/>
    <w:rsid w:val="00974449"/>
    <w:rsid w:val="0097478E"/>
    <w:rsid w:val="00974EF0"/>
    <w:rsid w:val="00975148"/>
    <w:rsid w:val="009757EB"/>
    <w:rsid w:val="00976F51"/>
    <w:rsid w:val="00977234"/>
    <w:rsid w:val="00977949"/>
    <w:rsid w:val="009801E4"/>
    <w:rsid w:val="009813C5"/>
    <w:rsid w:val="009816EF"/>
    <w:rsid w:val="009825D6"/>
    <w:rsid w:val="00982773"/>
    <w:rsid w:val="0098289B"/>
    <w:rsid w:val="00983F1E"/>
    <w:rsid w:val="00984481"/>
    <w:rsid w:val="009844A2"/>
    <w:rsid w:val="00984DC5"/>
    <w:rsid w:val="0098543B"/>
    <w:rsid w:val="00985528"/>
    <w:rsid w:val="00985E7C"/>
    <w:rsid w:val="009863D8"/>
    <w:rsid w:val="0098642D"/>
    <w:rsid w:val="00986656"/>
    <w:rsid w:val="009866E6"/>
    <w:rsid w:val="0098691C"/>
    <w:rsid w:val="00986E7F"/>
    <w:rsid w:val="00987102"/>
    <w:rsid w:val="00987133"/>
    <w:rsid w:val="009904DE"/>
    <w:rsid w:val="009904EE"/>
    <w:rsid w:val="009908B3"/>
    <w:rsid w:val="00990C52"/>
    <w:rsid w:val="0099276F"/>
    <w:rsid w:val="0099325E"/>
    <w:rsid w:val="00993747"/>
    <w:rsid w:val="009953EF"/>
    <w:rsid w:val="00995CFB"/>
    <w:rsid w:val="00995DCE"/>
    <w:rsid w:val="00996466"/>
    <w:rsid w:val="00996BFD"/>
    <w:rsid w:val="0099746B"/>
    <w:rsid w:val="009974E0"/>
    <w:rsid w:val="00997A21"/>
    <w:rsid w:val="00997EBE"/>
    <w:rsid w:val="009A07C1"/>
    <w:rsid w:val="009A0B6A"/>
    <w:rsid w:val="009A118E"/>
    <w:rsid w:val="009A20AB"/>
    <w:rsid w:val="009A2199"/>
    <w:rsid w:val="009A272C"/>
    <w:rsid w:val="009A2A11"/>
    <w:rsid w:val="009A2E7F"/>
    <w:rsid w:val="009A3B54"/>
    <w:rsid w:val="009A5769"/>
    <w:rsid w:val="009A6155"/>
    <w:rsid w:val="009A635A"/>
    <w:rsid w:val="009A6809"/>
    <w:rsid w:val="009B08E4"/>
    <w:rsid w:val="009B144B"/>
    <w:rsid w:val="009B17E2"/>
    <w:rsid w:val="009B17EC"/>
    <w:rsid w:val="009B1DDE"/>
    <w:rsid w:val="009B1EAB"/>
    <w:rsid w:val="009B2662"/>
    <w:rsid w:val="009B2BE9"/>
    <w:rsid w:val="009B2DE6"/>
    <w:rsid w:val="009B33AC"/>
    <w:rsid w:val="009B35A0"/>
    <w:rsid w:val="009B3C7E"/>
    <w:rsid w:val="009B3CEF"/>
    <w:rsid w:val="009B41B4"/>
    <w:rsid w:val="009B46FA"/>
    <w:rsid w:val="009B5541"/>
    <w:rsid w:val="009B657A"/>
    <w:rsid w:val="009B72FE"/>
    <w:rsid w:val="009B7A00"/>
    <w:rsid w:val="009C041A"/>
    <w:rsid w:val="009C094A"/>
    <w:rsid w:val="009C1224"/>
    <w:rsid w:val="009C1499"/>
    <w:rsid w:val="009C1878"/>
    <w:rsid w:val="009C1EEA"/>
    <w:rsid w:val="009C2820"/>
    <w:rsid w:val="009C2C01"/>
    <w:rsid w:val="009C30B4"/>
    <w:rsid w:val="009C4176"/>
    <w:rsid w:val="009C437C"/>
    <w:rsid w:val="009C64B4"/>
    <w:rsid w:val="009C6996"/>
    <w:rsid w:val="009D01EB"/>
    <w:rsid w:val="009D08B6"/>
    <w:rsid w:val="009D2C31"/>
    <w:rsid w:val="009D3ED7"/>
    <w:rsid w:val="009D4344"/>
    <w:rsid w:val="009D4D75"/>
    <w:rsid w:val="009D4EC5"/>
    <w:rsid w:val="009D5514"/>
    <w:rsid w:val="009D5899"/>
    <w:rsid w:val="009D5B0D"/>
    <w:rsid w:val="009D615C"/>
    <w:rsid w:val="009D616E"/>
    <w:rsid w:val="009D629B"/>
    <w:rsid w:val="009D64C5"/>
    <w:rsid w:val="009D7168"/>
    <w:rsid w:val="009E0254"/>
    <w:rsid w:val="009E150E"/>
    <w:rsid w:val="009E24BE"/>
    <w:rsid w:val="009E2636"/>
    <w:rsid w:val="009E27E6"/>
    <w:rsid w:val="009E2864"/>
    <w:rsid w:val="009E29CA"/>
    <w:rsid w:val="009E2ACC"/>
    <w:rsid w:val="009E2FEC"/>
    <w:rsid w:val="009E3031"/>
    <w:rsid w:val="009E3C75"/>
    <w:rsid w:val="009E42DB"/>
    <w:rsid w:val="009E4C92"/>
    <w:rsid w:val="009E5048"/>
    <w:rsid w:val="009E57AC"/>
    <w:rsid w:val="009E5F19"/>
    <w:rsid w:val="009E5F56"/>
    <w:rsid w:val="009E65CF"/>
    <w:rsid w:val="009E79FD"/>
    <w:rsid w:val="009E7F00"/>
    <w:rsid w:val="009F0B21"/>
    <w:rsid w:val="009F0CBC"/>
    <w:rsid w:val="009F0DA5"/>
    <w:rsid w:val="009F0DAF"/>
    <w:rsid w:val="009F101B"/>
    <w:rsid w:val="009F129A"/>
    <w:rsid w:val="009F1B11"/>
    <w:rsid w:val="009F3059"/>
    <w:rsid w:val="009F38D8"/>
    <w:rsid w:val="009F3D3A"/>
    <w:rsid w:val="009F40B8"/>
    <w:rsid w:val="009F4AB1"/>
    <w:rsid w:val="009F4AB7"/>
    <w:rsid w:val="009F53FA"/>
    <w:rsid w:val="009F5762"/>
    <w:rsid w:val="009F6F98"/>
    <w:rsid w:val="009F7941"/>
    <w:rsid w:val="009F7D01"/>
    <w:rsid w:val="00A00614"/>
    <w:rsid w:val="00A00E1C"/>
    <w:rsid w:val="00A01281"/>
    <w:rsid w:val="00A02E52"/>
    <w:rsid w:val="00A03084"/>
    <w:rsid w:val="00A048A8"/>
    <w:rsid w:val="00A04E17"/>
    <w:rsid w:val="00A04FE0"/>
    <w:rsid w:val="00A059EA"/>
    <w:rsid w:val="00A062D7"/>
    <w:rsid w:val="00A06A74"/>
    <w:rsid w:val="00A07988"/>
    <w:rsid w:val="00A1031E"/>
    <w:rsid w:val="00A1038F"/>
    <w:rsid w:val="00A1079B"/>
    <w:rsid w:val="00A107FA"/>
    <w:rsid w:val="00A1089A"/>
    <w:rsid w:val="00A10D60"/>
    <w:rsid w:val="00A114F2"/>
    <w:rsid w:val="00A115FE"/>
    <w:rsid w:val="00A12B25"/>
    <w:rsid w:val="00A13034"/>
    <w:rsid w:val="00A14176"/>
    <w:rsid w:val="00A149F8"/>
    <w:rsid w:val="00A15195"/>
    <w:rsid w:val="00A15544"/>
    <w:rsid w:val="00A15B27"/>
    <w:rsid w:val="00A15D3B"/>
    <w:rsid w:val="00A1652D"/>
    <w:rsid w:val="00A207F7"/>
    <w:rsid w:val="00A20F5D"/>
    <w:rsid w:val="00A21690"/>
    <w:rsid w:val="00A22924"/>
    <w:rsid w:val="00A22C91"/>
    <w:rsid w:val="00A23C1D"/>
    <w:rsid w:val="00A247F0"/>
    <w:rsid w:val="00A24AC3"/>
    <w:rsid w:val="00A25864"/>
    <w:rsid w:val="00A2697F"/>
    <w:rsid w:val="00A26CE7"/>
    <w:rsid w:val="00A27138"/>
    <w:rsid w:val="00A27F7B"/>
    <w:rsid w:val="00A317D3"/>
    <w:rsid w:val="00A31E61"/>
    <w:rsid w:val="00A32486"/>
    <w:rsid w:val="00A3263F"/>
    <w:rsid w:val="00A3264A"/>
    <w:rsid w:val="00A32678"/>
    <w:rsid w:val="00A32757"/>
    <w:rsid w:val="00A33E55"/>
    <w:rsid w:val="00A34444"/>
    <w:rsid w:val="00A346AE"/>
    <w:rsid w:val="00A34AFE"/>
    <w:rsid w:val="00A34C9F"/>
    <w:rsid w:val="00A352D2"/>
    <w:rsid w:val="00A3577F"/>
    <w:rsid w:val="00A363B6"/>
    <w:rsid w:val="00A3647E"/>
    <w:rsid w:val="00A374C4"/>
    <w:rsid w:val="00A376E3"/>
    <w:rsid w:val="00A378AD"/>
    <w:rsid w:val="00A40203"/>
    <w:rsid w:val="00A40724"/>
    <w:rsid w:val="00A40D65"/>
    <w:rsid w:val="00A4104A"/>
    <w:rsid w:val="00A41A11"/>
    <w:rsid w:val="00A41C4D"/>
    <w:rsid w:val="00A43A57"/>
    <w:rsid w:val="00A44C0C"/>
    <w:rsid w:val="00A454A3"/>
    <w:rsid w:val="00A46377"/>
    <w:rsid w:val="00A466DE"/>
    <w:rsid w:val="00A47356"/>
    <w:rsid w:val="00A47906"/>
    <w:rsid w:val="00A50426"/>
    <w:rsid w:val="00A50A9D"/>
    <w:rsid w:val="00A51959"/>
    <w:rsid w:val="00A52368"/>
    <w:rsid w:val="00A526DA"/>
    <w:rsid w:val="00A52DC4"/>
    <w:rsid w:val="00A52E2F"/>
    <w:rsid w:val="00A537A6"/>
    <w:rsid w:val="00A547AE"/>
    <w:rsid w:val="00A54F4B"/>
    <w:rsid w:val="00A55D5D"/>
    <w:rsid w:val="00A56857"/>
    <w:rsid w:val="00A57291"/>
    <w:rsid w:val="00A574BF"/>
    <w:rsid w:val="00A57772"/>
    <w:rsid w:val="00A57C75"/>
    <w:rsid w:val="00A57F20"/>
    <w:rsid w:val="00A60263"/>
    <w:rsid w:val="00A6043D"/>
    <w:rsid w:val="00A611FF"/>
    <w:rsid w:val="00A61627"/>
    <w:rsid w:val="00A626EC"/>
    <w:rsid w:val="00A63348"/>
    <w:rsid w:val="00A64221"/>
    <w:rsid w:val="00A646E2"/>
    <w:rsid w:val="00A64793"/>
    <w:rsid w:val="00A64A50"/>
    <w:rsid w:val="00A65536"/>
    <w:rsid w:val="00A65691"/>
    <w:rsid w:val="00A65B6A"/>
    <w:rsid w:val="00A667A6"/>
    <w:rsid w:val="00A667B4"/>
    <w:rsid w:val="00A67DCD"/>
    <w:rsid w:val="00A702A1"/>
    <w:rsid w:val="00A7147D"/>
    <w:rsid w:val="00A72186"/>
    <w:rsid w:val="00A72457"/>
    <w:rsid w:val="00A73645"/>
    <w:rsid w:val="00A74EED"/>
    <w:rsid w:val="00A75477"/>
    <w:rsid w:val="00A76367"/>
    <w:rsid w:val="00A765CA"/>
    <w:rsid w:val="00A76EAE"/>
    <w:rsid w:val="00A7728E"/>
    <w:rsid w:val="00A77964"/>
    <w:rsid w:val="00A77B9F"/>
    <w:rsid w:val="00A80797"/>
    <w:rsid w:val="00A81119"/>
    <w:rsid w:val="00A81404"/>
    <w:rsid w:val="00A81BA1"/>
    <w:rsid w:val="00A82D24"/>
    <w:rsid w:val="00A83AF2"/>
    <w:rsid w:val="00A84905"/>
    <w:rsid w:val="00A85D21"/>
    <w:rsid w:val="00A873A0"/>
    <w:rsid w:val="00A906A1"/>
    <w:rsid w:val="00A90D1A"/>
    <w:rsid w:val="00A911B9"/>
    <w:rsid w:val="00A91635"/>
    <w:rsid w:val="00A93995"/>
    <w:rsid w:val="00A945C0"/>
    <w:rsid w:val="00A94EBE"/>
    <w:rsid w:val="00A9562E"/>
    <w:rsid w:val="00A95B81"/>
    <w:rsid w:val="00A95FE5"/>
    <w:rsid w:val="00A9609D"/>
    <w:rsid w:val="00A96349"/>
    <w:rsid w:val="00A96EE0"/>
    <w:rsid w:val="00A971B7"/>
    <w:rsid w:val="00A97FE8"/>
    <w:rsid w:val="00AA0826"/>
    <w:rsid w:val="00AA1158"/>
    <w:rsid w:val="00AA24F5"/>
    <w:rsid w:val="00AA2792"/>
    <w:rsid w:val="00AA3DF9"/>
    <w:rsid w:val="00AA3F26"/>
    <w:rsid w:val="00AA43B5"/>
    <w:rsid w:val="00AA4DA3"/>
    <w:rsid w:val="00AA574B"/>
    <w:rsid w:val="00AA62D7"/>
    <w:rsid w:val="00AA704D"/>
    <w:rsid w:val="00AA705A"/>
    <w:rsid w:val="00AA7318"/>
    <w:rsid w:val="00AA732C"/>
    <w:rsid w:val="00AA77D0"/>
    <w:rsid w:val="00AA789E"/>
    <w:rsid w:val="00AB040D"/>
    <w:rsid w:val="00AB04A4"/>
    <w:rsid w:val="00AB1518"/>
    <w:rsid w:val="00AB1C89"/>
    <w:rsid w:val="00AB1D66"/>
    <w:rsid w:val="00AB2F4A"/>
    <w:rsid w:val="00AB34AF"/>
    <w:rsid w:val="00AB3985"/>
    <w:rsid w:val="00AB4325"/>
    <w:rsid w:val="00AB5E15"/>
    <w:rsid w:val="00AB7350"/>
    <w:rsid w:val="00AB7E17"/>
    <w:rsid w:val="00AC0165"/>
    <w:rsid w:val="00AC01B2"/>
    <w:rsid w:val="00AC1061"/>
    <w:rsid w:val="00AC1822"/>
    <w:rsid w:val="00AC2E50"/>
    <w:rsid w:val="00AC2F10"/>
    <w:rsid w:val="00AC3810"/>
    <w:rsid w:val="00AC3848"/>
    <w:rsid w:val="00AC4583"/>
    <w:rsid w:val="00AC483B"/>
    <w:rsid w:val="00AC4BB4"/>
    <w:rsid w:val="00AC4C61"/>
    <w:rsid w:val="00AC5619"/>
    <w:rsid w:val="00AC7AE7"/>
    <w:rsid w:val="00AC7FDF"/>
    <w:rsid w:val="00AD1541"/>
    <w:rsid w:val="00AD1C47"/>
    <w:rsid w:val="00AD1D2E"/>
    <w:rsid w:val="00AD2305"/>
    <w:rsid w:val="00AD24CA"/>
    <w:rsid w:val="00AD2754"/>
    <w:rsid w:val="00AD278A"/>
    <w:rsid w:val="00AD29ED"/>
    <w:rsid w:val="00AD369E"/>
    <w:rsid w:val="00AD3999"/>
    <w:rsid w:val="00AD418C"/>
    <w:rsid w:val="00AD421B"/>
    <w:rsid w:val="00AD45C8"/>
    <w:rsid w:val="00AD4AB0"/>
    <w:rsid w:val="00AD564E"/>
    <w:rsid w:val="00AD56E3"/>
    <w:rsid w:val="00AD5F76"/>
    <w:rsid w:val="00AD649E"/>
    <w:rsid w:val="00AD663F"/>
    <w:rsid w:val="00AD687A"/>
    <w:rsid w:val="00AD6881"/>
    <w:rsid w:val="00AD6DA9"/>
    <w:rsid w:val="00AD6F8B"/>
    <w:rsid w:val="00AD7E92"/>
    <w:rsid w:val="00AE0E11"/>
    <w:rsid w:val="00AE1DBE"/>
    <w:rsid w:val="00AE2100"/>
    <w:rsid w:val="00AE2945"/>
    <w:rsid w:val="00AE42A9"/>
    <w:rsid w:val="00AE4696"/>
    <w:rsid w:val="00AE4C2C"/>
    <w:rsid w:val="00AE4E89"/>
    <w:rsid w:val="00AE55C9"/>
    <w:rsid w:val="00AE56E1"/>
    <w:rsid w:val="00AE644A"/>
    <w:rsid w:val="00AE7D0C"/>
    <w:rsid w:val="00AF007F"/>
    <w:rsid w:val="00AF0304"/>
    <w:rsid w:val="00AF1369"/>
    <w:rsid w:val="00AF19D5"/>
    <w:rsid w:val="00AF2560"/>
    <w:rsid w:val="00AF298E"/>
    <w:rsid w:val="00AF42EF"/>
    <w:rsid w:val="00AF436E"/>
    <w:rsid w:val="00AF483E"/>
    <w:rsid w:val="00AF5F77"/>
    <w:rsid w:val="00AF629E"/>
    <w:rsid w:val="00AF78FC"/>
    <w:rsid w:val="00AF7D82"/>
    <w:rsid w:val="00B00DF4"/>
    <w:rsid w:val="00B02243"/>
    <w:rsid w:val="00B022DB"/>
    <w:rsid w:val="00B0354F"/>
    <w:rsid w:val="00B03E45"/>
    <w:rsid w:val="00B04D57"/>
    <w:rsid w:val="00B04F6D"/>
    <w:rsid w:val="00B0530F"/>
    <w:rsid w:val="00B05B11"/>
    <w:rsid w:val="00B06249"/>
    <w:rsid w:val="00B07ABA"/>
    <w:rsid w:val="00B07CAE"/>
    <w:rsid w:val="00B07E72"/>
    <w:rsid w:val="00B1032E"/>
    <w:rsid w:val="00B1057E"/>
    <w:rsid w:val="00B10784"/>
    <w:rsid w:val="00B10BCB"/>
    <w:rsid w:val="00B11F83"/>
    <w:rsid w:val="00B1226E"/>
    <w:rsid w:val="00B12369"/>
    <w:rsid w:val="00B12BF9"/>
    <w:rsid w:val="00B12D25"/>
    <w:rsid w:val="00B13EC5"/>
    <w:rsid w:val="00B13EF8"/>
    <w:rsid w:val="00B15015"/>
    <w:rsid w:val="00B153F1"/>
    <w:rsid w:val="00B157B4"/>
    <w:rsid w:val="00B1627E"/>
    <w:rsid w:val="00B16D30"/>
    <w:rsid w:val="00B16FA0"/>
    <w:rsid w:val="00B1772D"/>
    <w:rsid w:val="00B17A4F"/>
    <w:rsid w:val="00B20821"/>
    <w:rsid w:val="00B21044"/>
    <w:rsid w:val="00B21116"/>
    <w:rsid w:val="00B218ED"/>
    <w:rsid w:val="00B21CBC"/>
    <w:rsid w:val="00B2233D"/>
    <w:rsid w:val="00B242A4"/>
    <w:rsid w:val="00B248FE"/>
    <w:rsid w:val="00B2495C"/>
    <w:rsid w:val="00B24EE3"/>
    <w:rsid w:val="00B250C6"/>
    <w:rsid w:val="00B26AF4"/>
    <w:rsid w:val="00B27E28"/>
    <w:rsid w:val="00B27ED5"/>
    <w:rsid w:val="00B3004D"/>
    <w:rsid w:val="00B30BDA"/>
    <w:rsid w:val="00B30E2E"/>
    <w:rsid w:val="00B311A5"/>
    <w:rsid w:val="00B31296"/>
    <w:rsid w:val="00B31B6A"/>
    <w:rsid w:val="00B32350"/>
    <w:rsid w:val="00B326A4"/>
    <w:rsid w:val="00B32B80"/>
    <w:rsid w:val="00B32BF3"/>
    <w:rsid w:val="00B3310D"/>
    <w:rsid w:val="00B33183"/>
    <w:rsid w:val="00B339BF"/>
    <w:rsid w:val="00B33BD3"/>
    <w:rsid w:val="00B344C2"/>
    <w:rsid w:val="00B34CDD"/>
    <w:rsid w:val="00B35893"/>
    <w:rsid w:val="00B35989"/>
    <w:rsid w:val="00B36C1B"/>
    <w:rsid w:val="00B3772D"/>
    <w:rsid w:val="00B40054"/>
    <w:rsid w:val="00B4052B"/>
    <w:rsid w:val="00B406A0"/>
    <w:rsid w:val="00B40A4A"/>
    <w:rsid w:val="00B41187"/>
    <w:rsid w:val="00B42777"/>
    <w:rsid w:val="00B427C3"/>
    <w:rsid w:val="00B42BDA"/>
    <w:rsid w:val="00B43C27"/>
    <w:rsid w:val="00B43C73"/>
    <w:rsid w:val="00B43D49"/>
    <w:rsid w:val="00B44479"/>
    <w:rsid w:val="00B452CE"/>
    <w:rsid w:val="00B4582B"/>
    <w:rsid w:val="00B45921"/>
    <w:rsid w:val="00B45EBF"/>
    <w:rsid w:val="00B46154"/>
    <w:rsid w:val="00B468EB"/>
    <w:rsid w:val="00B47837"/>
    <w:rsid w:val="00B50B16"/>
    <w:rsid w:val="00B5158B"/>
    <w:rsid w:val="00B51A80"/>
    <w:rsid w:val="00B5266A"/>
    <w:rsid w:val="00B526B2"/>
    <w:rsid w:val="00B531D4"/>
    <w:rsid w:val="00B53505"/>
    <w:rsid w:val="00B53868"/>
    <w:rsid w:val="00B54B3D"/>
    <w:rsid w:val="00B54CE2"/>
    <w:rsid w:val="00B54DCC"/>
    <w:rsid w:val="00B557CC"/>
    <w:rsid w:val="00B5638E"/>
    <w:rsid w:val="00B56D35"/>
    <w:rsid w:val="00B56D86"/>
    <w:rsid w:val="00B574D7"/>
    <w:rsid w:val="00B61CD6"/>
    <w:rsid w:val="00B61CFE"/>
    <w:rsid w:val="00B6250A"/>
    <w:rsid w:val="00B63516"/>
    <w:rsid w:val="00B638CE"/>
    <w:rsid w:val="00B6607F"/>
    <w:rsid w:val="00B67EB4"/>
    <w:rsid w:val="00B70738"/>
    <w:rsid w:val="00B70E46"/>
    <w:rsid w:val="00B7107D"/>
    <w:rsid w:val="00B71A11"/>
    <w:rsid w:val="00B72ED4"/>
    <w:rsid w:val="00B7318E"/>
    <w:rsid w:val="00B7379D"/>
    <w:rsid w:val="00B74091"/>
    <w:rsid w:val="00B74144"/>
    <w:rsid w:val="00B74A46"/>
    <w:rsid w:val="00B751C5"/>
    <w:rsid w:val="00B76151"/>
    <w:rsid w:val="00B7758A"/>
    <w:rsid w:val="00B808EF"/>
    <w:rsid w:val="00B809B1"/>
    <w:rsid w:val="00B81414"/>
    <w:rsid w:val="00B8174A"/>
    <w:rsid w:val="00B819E0"/>
    <w:rsid w:val="00B81B89"/>
    <w:rsid w:val="00B82F60"/>
    <w:rsid w:val="00B831A9"/>
    <w:rsid w:val="00B832A4"/>
    <w:rsid w:val="00B8333B"/>
    <w:rsid w:val="00B83778"/>
    <w:rsid w:val="00B83DB5"/>
    <w:rsid w:val="00B84813"/>
    <w:rsid w:val="00B851E4"/>
    <w:rsid w:val="00B85EF8"/>
    <w:rsid w:val="00B86E79"/>
    <w:rsid w:val="00B9014C"/>
    <w:rsid w:val="00B909C8"/>
    <w:rsid w:val="00B90A98"/>
    <w:rsid w:val="00B92204"/>
    <w:rsid w:val="00B922B6"/>
    <w:rsid w:val="00B92699"/>
    <w:rsid w:val="00B92987"/>
    <w:rsid w:val="00B92C1F"/>
    <w:rsid w:val="00B92D5C"/>
    <w:rsid w:val="00B92DC8"/>
    <w:rsid w:val="00B932FE"/>
    <w:rsid w:val="00B93C56"/>
    <w:rsid w:val="00B95354"/>
    <w:rsid w:val="00B95D89"/>
    <w:rsid w:val="00B96054"/>
    <w:rsid w:val="00B963CE"/>
    <w:rsid w:val="00B96592"/>
    <w:rsid w:val="00B97172"/>
    <w:rsid w:val="00B97180"/>
    <w:rsid w:val="00B972CE"/>
    <w:rsid w:val="00B97EE9"/>
    <w:rsid w:val="00BA00AC"/>
    <w:rsid w:val="00BA106E"/>
    <w:rsid w:val="00BA12C1"/>
    <w:rsid w:val="00BA1A34"/>
    <w:rsid w:val="00BA1E32"/>
    <w:rsid w:val="00BA1E6C"/>
    <w:rsid w:val="00BA39F8"/>
    <w:rsid w:val="00BA3D6B"/>
    <w:rsid w:val="00BA42A0"/>
    <w:rsid w:val="00BA57A5"/>
    <w:rsid w:val="00BA5A72"/>
    <w:rsid w:val="00BA6000"/>
    <w:rsid w:val="00BA6661"/>
    <w:rsid w:val="00BA6716"/>
    <w:rsid w:val="00BA69A3"/>
    <w:rsid w:val="00BB0DD7"/>
    <w:rsid w:val="00BB1DA3"/>
    <w:rsid w:val="00BB2135"/>
    <w:rsid w:val="00BB39A4"/>
    <w:rsid w:val="00BB39DA"/>
    <w:rsid w:val="00BB4F35"/>
    <w:rsid w:val="00BB52F4"/>
    <w:rsid w:val="00BB5859"/>
    <w:rsid w:val="00BB5BD7"/>
    <w:rsid w:val="00BB69AC"/>
    <w:rsid w:val="00BB6D1E"/>
    <w:rsid w:val="00BB71AA"/>
    <w:rsid w:val="00BB77A2"/>
    <w:rsid w:val="00BB78CA"/>
    <w:rsid w:val="00BC0380"/>
    <w:rsid w:val="00BC1139"/>
    <w:rsid w:val="00BC3923"/>
    <w:rsid w:val="00BC40DE"/>
    <w:rsid w:val="00BC44C1"/>
    <w:rsid w:val="00BC487A"/>
    <w:rsid w:val="00BC5966"/>
    <w:rsid w:val="00BC6243"/>
    <w:rsid w:val="00BC658E"/>
    <w:rsid w:val="00BC732A"/>
    <w:rsid w:val="00BD0787"/>
    <w:rsid w:val="00BD1F1A"/>
    <w:rsid w:val="00BD20C8"/>
    <w:rsid w:val="00BD2434"/>
    <w:rsid w:val="00BD257C"/>
    <w:rsid w:val="00BD25ED"/>
    <w:rsid w:val="00BD3764"/>
    <w:rsid w:val="00BD3942"/>
    <w:rsid w:val="00BD39ED"/>
    <w:rsid w:val="00BD58D2"/>
    <w:rsid w:val="00BD5ED5"/>
    <w:rsid w:val="00BD61C8"/>
    <w:rsid w:val="00BD62A3"/>
    <w:rsid w:val="00BE0CB0"/>
    <w:rsid w:val="00BE0D80"/>
    <w:rsid w:val="00BE0DFC"/>
    <w:rsid w:val="00BE0F29"/>
    <w:rsid w:val="00BE24D1"/>
    <w:rsid w:val="00BE2611"/>
    <w:rsid w:val="00BE2A7C"/>
    <w:rsid w:val="00BE3994"/>
    <w:rsid w:val="00BE43A7"/>
    <w:rsid w:val="00BE496A"/>
    <w:rsid w:val="00BE4D31"/>
    <w:rsid w:val="00BE5C91"/>
    <w:rsid w:val="00BE6331"/>
    <w:rsid w:val="00BE6598"/>
    <w:rsid w:val="00BE6BFB"/>
    <w:rsid w:val="00BE755B"/>
    <w:rsid w:val="00BE7744"/>
    <w:rsid w:val="00BF046C"/>
    <w:rsid w:val="00BF0F74"/>
    <w:rsid w:val="00BF1DE6"/>
    <w:rsid w:val="00BF1F9D"/>
    <w:rsid w:val="00BF220F"/>
    <w:rsid w:val="00BF2557"/>
    <w:rsid w:val="00BF3903"/>
    <w:rsid w:val="00BF48BA"/>
    <w:rsid w:val="00BF58CB"/>
    <w:rsid w:val="00BF6BDC"/>
    <w:rsid w:val="00BF7092"/>
    <w:rsid w:val="00BF7357"/>
    <w:rsid w:val="00BF735B"/>
    <w:rsid w:val="00BF7586"/>
    <w:rsid w:val="00C01F74"/>
    <w:rsid w:val="00C02342"/>
    <w:rsid w:val="00C03037"/>
    <w:rsid w:val="00C033D8"/>
    <w:rsid w:val="00C03E54"/>
    <w:rsid w:val="00C0417E"/>
    <w:rsid w:val="00C04328"/>
    <w:rsid w:val="00C04A0B"/>
    <w:rsid w:val="00C05089"/>
    <w:rsid w:val="00C0516A"/>
    <w:rsid w:val="00C0560A"/>
    <w:rsid w:val="00C05A67"/>
    <w:rsid w:val="00C067A3"/>
    <w:rsid w:val="00C068EC"/>
    <w:rsid w:val="00C06B18"/>
    <w:rsid w:val="00C06FDE"/>
    <w:rsid w:val="00C075AB"/>
    <w:rsid w:val="00C07764"/>
    <w:rsid w:val="00C07B7C"/>
    <w:rsid w:val="00C07E77"/>
    <w:rsid w:val="00C1097F"/>
    <w:rsid w:val="00C11390"/>
    <w:rsid w:val="00C12064"/>
    <w:rsid w:val="00C13A44"/>
    <w:rsid w:val="00C14291"/>
    <w:rsid w:val="00C143A2"/>
    <w:rsid w:val="00C157A0"/>
    <w:rsid w:val="00C15C53"/>
    <w:rsid w:val="00C169B5"/>
    <w:rsid w:val="00C16A35"/>
    <w:rsid w:val="00C1714C"/>
    <w:rsid w:val="00C17233"/>
    <w:rsid w:val="00C175C1"/>
    <w:rsid w:val="00C17E5C"/>
    <w:rsid w:val="00C20D4B"/>
    <w:rsid w:val="00C2104C"/>
    <w:rsid w:val="00C2249D"/>
    <w:rsid w:val="00C231BC"/>
    <w:rsid w:val="00C241BF"/>
    <w:rsid w:val="00C24AC3"/>
    <w:rsid w:val="00C24C71"/>
    <w:rsid w:val="00C267DA"/>
    <w:rsid w:val="00C2685C"/>
    <w:rsid w:val="00C26950"/>
    <w:rsid w:val="00C269A8"/>
    <w:rsid w:val="00C26B8B"/>
    <w:rsid w:val="00C27341"/>
    <w:rsid w:val="00C27B8B"/>
    <w:rsid w:val="00C306CB"/>
    <w:rsid w:val="00C3077C"/>
    <w:rsid w:val="00C309F0"/>
    <w:rsid w:val="00C30CCB"/>
    <w:rsid w:val="00C3122E"/>
    <w:rsid w:val="00C31608"/>
    <w:rsid w:val="00C31C98"/>
    <w:rsid w:val="00C32504"/>
    <w:rsid w:val="00C328FA"/>
    <w:rsid w:val="00C33420"/>
    <w:rsid w:val="00C33543"/>
    <w:rsid w:val="00C33E0B"/>
    <w:rsid w:val="00C359D3"/>
    <w:rsid w:val="00C366BE"/>
    <w:rsid w:val="00C367EA"/>
    <w:rsid w:val="00C3684D"/>
    <w:rsid w:val="00C371E3"/>
    <w:rsid w:val="00C37396"/>
    <w:rsid w:val="00C37886"/>
    <w:rsid w:val="00C401E1"/>
    <w:rsid w:val="00C40229"/>
    <w:rsid w:val="00C40382"/>
    <w:rsid w:val="00C40C03"/>
    <w:rsid w:val="00C40CF0"/>
    <w:rsid w:val="00C41040"/>
    <w:rsid w:val="00C414A8"/>
    <w:rsid w:val="00C415EE"/>
    <w:rsid w:val="00C41A61"/>
    <w:rsid w:val="00C41AF8"/>
    <w:rsid w:val="00C41B1B"/>
    <w:rsid w:val="00C41E36"/>
    <w:rsid w:val="00C4293E"/>
    <w:rsid w:val="00C4479B"/>
    <w:rsid w:val="00C447A6"/>
    <w:rsid w:val="00C45388"/>
    <w:rsid w:val="00C4578C"/>
    <w:rsid w:val="00C45BB2"/>
    <w:rsid w:val="00C4628D"/>
    <w:rsid w:val="00C46685"/>
    <w:rsid w:val="00C47286"/>
    <w:rsid w:val="00C472E4"/>
    <w:rsid w:val="00C47609"/>
    <w:rsid w:val="00C479EC"/>
    <w:rsid w:val="00C50D32"/>
    <w:rsid w:val="00C51491"/>
    <w:rsid w:val="00C5200F"/>
    <w:rsid w:val="00C53731"/>
    <w:rsid w:val="00C53921"/>
    <w:rsid w:val="00C53AE9"/>
    <w:rsid w:val="00C53B93"/>
    <w:rsid w:val="00C54453"/>
    <w:rsid w:val="00C54657"/>
    <w:rsid w:val="00C546A9"/>
    <w:rsid w:val="00C55223"/>
    <w:rsid w:val="00C55A37"/>
    <w:rsid w:val="00C56034"/>
    <w:rsid w:val="00C5700E"/>
    <w:rsid w:val="00C571BE"/>
    <w:rsid w:val="00C579FC"/>
    <w:rsid w:val="00C609A0"/>
    <w:rsid w:val="00C61E6C"/>
    <w:rsid w:val="00C6225F"/>
    <w:rsid w:val="00C62DA8"/>
    <w:rsid w:val="00C63029"/>
    <w:rsid w:val="00C65A00"/>
    <w:rsid w:val="00C6665D"/>
    <w:rsid w:val="00C67119"/>
    <w:rsid w:val="00C67133"/>
    <w:rsid w:val="00C67138"/>
    <w:rsid w:val="00C674CF"/>
    <w:rsid w:val="00C67CAD"/>
    <w:rsid w:val="00C67F2D"/>
    <w:rsid w:val="00C67FFD"/>
    <w:rsid w:val="00C70489"/>
    <w:rsid w:val="00C70B37"/>
    <w:rsid w:val="00C71B31"/>
    <w:rsid w:val="00C72717"/>
    <w:rsid w:val="00C72DB2"/>
    <w:rsid w:val="00C72F12"/>
    <w:rsid w:val="00C73199"/>
    <w:rsid w:val="00C7322F"/>
    <w:rsid w:val="00C7326D"/>
    <w:rsid w:val="00C73FD9"/>
    <w:rsid w:val="00C742DE"/>
    <w:rsid w:val="00C748F9"/>
    <w:rsid w:val="00C74950"/>
    <w:rsid w:val="00C75083"/>
    <w:rsid w:val="00C75123"/>
    <w:rsid w:val="00C753AE"/>
    <w:rsid w:val="00C761D8"/>
    <w:rsid w:val="00C7624E"/>
    <w:rsid w:val="00C76C92"/>
    <w:rsid w:val="00C775C9"/>
    <w:rsid w:val="00C803C3"/>
    <w:rsid w:val="00C80634"/>
    <w:rsid w:val="00C809DE"/>
    <w:rsid w:val="00C8197B"/>
    <w:rsid w:val="00C83115"/>
    <w:rsid w:val="00C83EC7"/>
    <w:rsid w:val="00C843D5"/>
    <w:rsid w:val="00C850B0"/>
    <w:rsid w:val="00C861A0"/>
    <w:rsid w:val="00C868BB"/>
    <w:rsid w:val="00C86A40"/>
    <w:rsid w:val="00C86B48"/>
    <w:rsid w:val="00C86CB1"/>
    <w:rsid w:val="00C86D30"/>
    <w:rsid w:val="00C87C6A"/>
    <w:rsid w:val="00C9074C"/>
    <w:rsid w:val="00C90767"/>
    <w:rsid w:val="00C9081E"/>
    <w:rsid w:val="00C90C35"/>
    <w:rsid w:val="00C913C3"/>
    <w:rsid w:val="00C91B36"/>
    <w:rsid w:val="00C923D9"/>
    <w:rsid w:val="00C925CD"/>
    <w:rsid w:val="00C93074"/>
    <w:rsid w:val="00C941EF"/>
    <w:rsid w:val="00C95CA5"/>
    <w:rsid w:val="00C95CAB"/>
    <w:rsid w:val="00C95CD8"/>
    <w:rsid w:val="00C95D00"/>
    <w:rsid w:val="00C965DF"/>
    <w:rsid w:val="00C96B34"/>
    <w:rsid w:val="00C97023"/>
    <w:rsid w:val="00CA0D8E"/>
    <w:rsid w:val="00CA1F8C"/>
    <w:rsid w:val="00CA2954"/>
    <w:rsid w:val="00CA2C76"/>
    <w:rsid w:val="00CA2D67"/>
    <w:rsid w:val="00CA39FE"/>
    <w:rsid w:val="00CA3DBC"/>
    <w:rsid w:val="00CA414A"/>
    <w:rsid w:val="00CA480D"/>
    <w:rsid w:val="00CA48F6"/>
    <w:rsid w:val="00CA4C36"/>
    <w:rsid w:val="00CA4DA9"/>
    <w:rsid w:val="00CA4F85"/>
    <w:rsid w:val="00CA5D7B"/>
    <w:rsid w:val="00CA6038"/>
    <w:rsid w:val="00CA6077"/>
    <w:rsid w:val="00CA63D2"/>
    <w:rsid w:val="00CA666A"/>
    <w:rsid w:val="00CA694A"/>
    <w:rsid w:val="00CA6A31"/>
    <w:rsid w:val="00CA786D"/>
    <w:rsid w:val="00CA7F1C"/>
    <w:rsid w:val="00CB0C0D"/>
    <w:rsid w:val="00CB0E82"/>
    <w:rsid w:val="00CB11D5"/>
    <w:rsid w:val="00CB144B"/>
    <w:rsid w:val="00CB16F8"/>
    <w:rsid w:val="00CB2C53"/>
    <w:rsid w:val="00CB3372"/>
    <w:rsid w:val="00CB3CC0"/>
    <w:rsid w:val="00CB50B2"/>
    <w:rsid w:val="00CB51D6"/>
    <w:rsid w:val="00CB5441"/>
    <w:rsid w:val="00CB576E"/>
    <w:rsid w:val="00CB5BCA"/>
    <w:rsid w:val="00CB67FA"/>
    <w:rsid w:val="00CB7ED6"/>
    <w:rsid w:val="00CC0079"/>
    <w:rsid w:val="00CC13A8"/>
    <w:rsid w:val="00CC1ADA"/>
    <w:rsid w:val="00CC23CD"/>
    <w:rsid w:val="00CC2706"/>
    <w:rsid w:val="00CC271F"/>
    <w:rsid w:val="00CC31D4"/>
    <w:rsid w:val="00CC3444"/>
    <w:rsid w:val="00CC3914"/>
    <w:rsid w:val="00CC4AD4"/>
    <w:rsid w:val="00CC5663"/>
    <w:rsid w:val="00CC5A6B"/>
    <w:rsid w:val="00CC67D5"/>
    <w:rsid w:val="00CC75DF"/>
    <w:rsid w:val="00CD0114"/>
    <w:rsid w:val="00CD0F69"/>
    <w:rsid w:val="00CD1A18"/>
    <w:rsid w:val="00CD1B58"/>
    <w:rsid w:val="00CD1F47"/>
    <w:rsid w:val="00CD2147"/>
    <w:rsid w:val="00CD2904"/>
    <w:rsid w:val="00CD2DB2"/>
    <w:rsid w:val="00CD2EBA"/>
    <w:rsid w:val="00CD3038"/>
    <w:rsid w:val="00CD3CA3"/>
    <w:rsid w:val="00CD40A2"/>
    <w:rsid w:val="00CD4BC0"/>
    <w:rsid w:val="00CD55D5"/>
    <w:rsid w:val="00CD61DE"/>
    <w:rsid w:val="00CD6734"/>
    <w:rsid w:val="00CD6B76"/>
    <w:rsid w:val="00CD6D73"/>
    <w:rsid w:val="00CD7304"/>
    <w:rsid w:val="00CE09FD"/>
    <w:rsid w:val="00CE0E67"/>
    <w:rsid w:val="00CE2204"/>
    <w:rsid w:val="00CE2556"/>
    <w:rsid w:val="00CE2BC6"/>
    <w:rsid w:val="00CE2DE1"/>
    <w:rsid w:val="00CE37F0"/>
    <w:rsid w:val="00CE3E30"/>
    <w:rsid w:val="00CE44F0"/>
    <w:rsid w:val="00CE49B4"/>
    <w:rsid w:val="00CE4A64"/>
    <w:rsid w:val="00CE4D46"/>
    <w:rsid w:val="00CE52FD"/>
    <w:rsid w:val="00CE5A95"/>
    <w:rsid w:val="00CE64AA"/>
    <w:rsid w:val="00CE7C6A"/>
    <w:rsid w:val="00CE7D0D"/>
    <w:rsid w:val="00CF061B"/>
    <w:rsid w:val="00CF0F97"/>
    <w:rsid w:val="00CF112B"/>
    <w:rsid w:val="00CF18F4"/>
    <w:rsid w:val="00CF1ADC"/>
    <w:rsid w:val="00CF1C34"/>
    <w:rsid w:val="00CF2296"/>
    <w:rsid w:val="00CF28D6"/>
    <w:rsid w:val="00CF304B"/>
    <w:rsid w:val="00CF3D32"/>
    <w:rsid w:val="00CF44BF"/>
    <w:rsid w:val="00CF48BE"/>
    <w:rsid w:val="00CF4BB8"/>
    <w:rsid w:val="00CF4ED5"/>
    <w:rsid w:val="00CF5894"/>
    <w:rsid w:val="00CF5B0D"/>
    <w:rsid w:val="00CF6442"/>
    <w:rsid w:val="00CF6D5D"/>
    <w:rsid w:val="00CF7BF7"/>
    <w:rsid w:val="00D004F0"/>
    <w:rsid w:val="00D00F35"/>
    <w:rsid w:val="00D01049"/>
    <w:rsid w:val="00D02619"/>
    <w:rsid w:val="00D03E2B"/>
    <w:rsid w:val="00D043D2"/>
    <w:rsid w:val="00D052D8"/>
    <w:rsid w:val="00D05B75"/>
    <w:rsid w:val="00D05B7A"/>
    <w:rsid w:val="00D05D8F"/>
    <w:rsid w:val="00D05E4D"/>
    <w:rsid w:val="00D073E0"/>
    <w:rsid w:val="00D07937"/>
    <w:rsid w:val="00D102D0"/>
    <w:rsid w:val="00D116E1"/>
    <w:rsid w:val="00D118EF"/>
    <w:rsid w:val="00D122D1"/>
    <w:rsid w:val="00D1297B"/>
    <w:rsid w:val="00D13439"/>
    <w:rsid w:val="00D14274"/>
    <w:rsid w:val="00D1458F"/>
    <w:rsid w:val="00D1576A"/>
    <w:rsid w:val="00D16434"/>
    <w:rsid w:val="00D16D19"/>
    <w:rsid w:val="00D17274"/>
    <w:rsid w:val="00D172A8"/>
    <w:rsid w:val="00D17625"/>
    <w:rsid w:val="00D17B25"/>
    <w:rsid w:val="00D21652"/>
    <w:rsid w:val="00D216D8"/>
    <w:rsid w:val="00D22594"/>
    <w:rsid w:val="00D225DD"/>
    <w:rsid w:val="00D2262B"/>
    <w:rsid w:val="00D233E6"/>
    <w:rsid w:val="00D23C5D"/>
    <w:rsid w:val="00D23D42"/>
    <w:rsid w:val="00D23ED6"/>
    <w:rsid w:val="00D24786"/>
    <w:rsid w:val="00D252A8"/>
    <w:rsid w:val="00D25A39"/>
    <w:rsid w:val="00D25E9C"/>
    <w:rsid w:val="00D26407"/>
    <w:rsid w:val="00D26BC4"/>
    <w:rsid w:val="00D26CAF"/>
    <w:rsid w:val="00D27091"/>
    <w:rsid w:val="00D3080F"/>
    <w:rsid w:val="00D313BC"/>
    <w:rsid w:val="00D316C1"/>
    <w:rsid w:val="00D31835"/>
    <w:rsid w:val="00D31F16"/>
    <w:rsid w:val="00D31FB9"/>
    <w:rsid w:val="00D32358"/>
    <w:rsid w:val="00D33150"/>
    <w:rsid w:val="00D3341C"/>
    <w:rsid w:val="00D33459"/>
    <w:rsid w:val="00D33A6C"/>
    <w:rsid w:val="00D340C7"/>
    <w:rsid w:val="00D34258"/>
    <w:rsid w:val="00D3475B"/>
    <w:rsid w:val="00D34FD7"/>
    <w:rsid w:val="00D3539C"/>
    <w:rsid w:val="00D35BAC"/>
    <w:rsid w:val="00D35E8F"/>
    <w:rsid w:val="00D36424"/>
    <w:rsid w:val="00D368C4"/>
    <w:rsid w:val="00D36A11"/>
    <w:rsid w:val="00D36E05"/>
    <w:rsid w:val="00D37389"/>
    <w:rsid w:val="00D402DB"/>
    <w:rsid w:val="00D4082F"/>
    <w:rsid w:val="00D415D7"/>
    <w:rsid w:val="00D42938"/>
    <w:rsid w:val="00D42C8D"/>
    <w:rsid w:val="00D435BB"/>
    <w:rsid w:val="00D4393D"/>
    <w:rsid w:val="00D44E9A"/>
    <w:rsid w:val="00D454E0"/>
    <w:rsid w:val="00D45C0D"/>
    <w:rsid w:val="00D5024A"/>
    <w:rsid w:val="00D50B75"/>
    <w:rsid w:val="00D50F0D"/>
    <w:rsid w:val="00D5130D"/>
    <w:rsid w:val="00D51B3D"/>
    <w:rsid w:val="00D51F49"/>
    <w:rsid w:val="00D529AB"/>
    <w:rsid w:val="00D52A9C"/>
    <w:rsid w:val="00D52E1C"/>
    <w:rsid w:val="00D52E73"/>
    <w:rsid w:val="00D53975"/>
    <w:rsid w:val="00D53B66"/>
    <w:rsid w:val="00D53BEE"/>
    <w:rsid w:val="00D53CB8"/>
    <w:rsid w:val="00D54688"/>
    <w:rsid w:val="00D546B2"/>
    <w:rsid w:val="00D5494D"/>
    <w:rsid w:val="00D549AA"/>
    <w:rsid w:val="00D54DAF"/>
    <w:rsid w:val="00D5562E"/>
    <w:rsid w:val="00D55EFA"/>
    <w:rsid w:val="00D55EFC"/>
    <w:rsid w:val="00D569D9"/>
    <w:rsid w:val="00D56F48"/>
    <w:rsid w:val="00D57ACE"/>
    <w:rsid w:val="00D57FDD"/>
    <w:rsid w:val="00D609CE"/>
    <w:rsid w:val="00D60E38"/>
    <w:rsid w:val="00D60EF5"/>
    <w:rsid w:val="00D61FF6"/>
    <w:rsid w:val="00D63376"/>
    <w:rsid w:val="00D63523"/>
    <w:rsid w:val="00D663F0"/>
    <w:rsid w:val="00D669AF"/>
    <w:rsid w:val="00D67F6C"/>
    <w:rsid w:val="00D708E2"/>
    <w:rsid w:val="00D71FE8"/>
    <w:rsid w:val="00D722FC"/>
    <w:rsid w:val="00D73E13"/>
    <w:rsid w:val="00D73F42"/>
    <w:rsid w:val="00D752D9"/>
    <w:rsid w:val="00D75BF2"/>
    <w:rsid w:val="00D75DD4"/>
    <w:rsid w:val="00D76390"/>
    <w:rsid w:val="00D76CDA"/>
    <w:rsid w:val="00D777CD"/>
    <w:rsid w:val="00D77B26"/>
    <w:rsid w:val="00D80176"/>
    <w:rsid w:val="00D80675"/>
    <w:rsid w:val="00D807FD"/>
    <w:rsid w:val="00D80962"/>
    <w:rsid w:val="00D8158C"/>
    <w:rsid w:val="00D81669"/>
    <w:rsid w:val="00D81782"/>
    <w:rsid w:val="00D82CF5"/>
    <w:rsid w:val="00D835B1"/>
    <w:rsid w:val="00D835F4"/>
    <w:rsid w:val="00D839BB"/>
    <w:rsid w:val="00D83DE9"/>
    <w:rsid w:val="00D83EF0"/>
    <w:rsid w:val="00D84880"/>
    <w:rsid w:val="00D8573D"/>
    <w:rsid w:val="00D86235"/>
    <w:rsid w:val="00D86B6B"/>
    <w:rsid w:val="00D86EBE"/>
    <w:rsid w:val="00D8723D"/>
    <w:rsid w:val="00D879E0"/>
    <w:rsid w:val="00D87B38"/>
    <w:rsid w:val="00D90708"/>
    <w:rsid w:val="00D922ED"/>
    <w:rsid w:val="00D92C16"/>
    <w:rsid w:val="00D941B0"/>
    <w:rsid w:val="00D9447E"/>
    <w:rsid w:val="00D9464F"/>
    <w:rsid w:val="00D961A9"/>
    <w:rsid w:val="00D9664A"/>
    <w:rsid w:val="00D96A88"/>
    <w:rsid w:val="00DA030C"/>
    <w:rsid w:val="00DA033C"/>
    <w:rsid w:val="00DA042E"/>
    <w:rsid w:val="00DA327A"/>
    <w:rsid w:val="00DA34EF"/>
    <w:rsid w:val="00DA381C"/>
    <w:rsid w:val="00DA4142"/>
    <w:rsid w:val="00DA4457"/>
    <w:rsid w:val="00DA486E"/>
    <w:rsid w:val="00DA4E23"/>
    <w:rsid w:val="00DA5081"/>
    <w:rsid w:val="00DA5F10"/>
    <w:rsid w:val="00DA7EE1"/>
    <w:rsid w:val="00DB0C69"/>
    <w:rsid w:val="00DB1053"/>
    <w:rsid w:val="00DB120F"/>
    <w:rsid w:val="00DB16FB"/>
    <w:rsid w:val="00DB214B"/>
    <w:rsid w:val="00DB2985"/>
    <w:rsid w:val="00DB32FA"/>
    <w:rsid w:val="00DB356C"/>
    <w:rsid w:val="00DB38C3"/>
    <w:rsid w:val="00DB3AC3"/>
    <w:rsid w:val="00DB4387"/>
    <w:rsid w:val="00DB43AD"/>
    <w:rsid w:val="00DB4FE8"/>
    <w:rsid w:val="00DB5385"/>
    <w:rsid w:val="00DB54F6"/>
    <w:rsid w:val="00DB6AC3"/>
    <w:rsid w:val="00DB7149"/>
    <w:rsid w:val="00DB7494"/>
    <w:rsid w:val="00DB7E8C"/>
    <w:rsid w:val="00DB7FB6"/>
    <w:rsid w:val="00DC126F"/>
    <w:rsid w:val="00DC1377"/>
    <w:rsid w:val="00DC19EE"/>
    <w:rsid w:val="00DC1E0E"/>
    <w:rsid w:val="00DC3629"/>
    <w:rsid w:val="00DC3788"/>
    <w:rsid w:val="00DC3A30"/>
    <w:rsid w:val="00DC4F54"/>
    <w:rsid w:val="00DC515D"/>
    <w:rsid w:val="00DC5938"/>
    <w:rsid w:val="00DC6AAA"/>
    <w:rsid w:val="00DC6FB4"/>
    <w:rsid w:val="00DD096E"/>
    <w:rsid w:val="00DD0C67"/>
    <w:rsid w:val="00DD1F41"/>
    <w:rsid w:val="00DD3669"/>
    <w:rsid w:val="00DD3F9C"/>
    <w:rsid w:val="00DD40AD"/>
    <w:rsid w:val="00DD44D3"/>
    <w:rsid w:val="00DD5808"/>
    <w:rsid w:val="00DD5B8D"/>
    <w:rsid w:val="00DD5E94"/>
    <w:rsid w:val="00DD60C7"/>
    <w:rsid w:val="00DD61F7"/>
    <w:rsid w:val="00DD6382"/>
    <w:rsid w:val="00DD7906"/>
    <w:rsid w:val="00DD7B61"/>
    <w:rsid w:val="00DE02C9"/>
    <w:rsid w:val="00DE11BE"/>
    <w:rsid w:val="00DE1699"/>
    <w:rsid w:val="00DE17F9"/>
    <w:rsid w:val="00DE2243"/>
    <w:rsid w:val="00DE3AE2"/>
    <w:rsid w:val="00DE57E9"/>
    <w:rsid w:val="00DE6589"/>
    <w:rsid w:val="00DE6CB0"/>
    <w:rsid w:val="00DE6CFE"/>
    <w:rsid w:val="00DE6D64"/>
    <w:rsid w:val="00DE6EB2"/>
    <w:rsid w:val="00DE76BA"/>
    <w:rsid w:val="00DE7960"/>
    <w:rsid w:val="00DE7DEC"/>
    <w:rsid w:val="00DF08F6"/>
    <w:rsid w:val="00DF0F4C"/>
    <w:rsid w:val="00DF133B"/>
    <w:rsid w:val="00DF149F"/>
    <w:rsid w:val="00DF1CCA"/>
    <w:rsid w:val="00DF311E"/>
    <w:rsid w:val="00DF335A"/>
    <w:rsid w:val="00DF3599"/>
    <w:rsid w:val="00DF37A3"/>
    <w:rsid w:val="00DF3CF4"/>
    <w:rsid w:val="00DF438B"/>
    <w:rsid w:val="00DF43AF"/>
    <w:rsid w:val="00DF4814"/>
    <w:rsid w:val="00DF554B"/>
    <w:rsid w:val="00DF5FAB"/>
    <w:rsid w:val="00DF60F4"/>
    <w:rsid w:val="00DF648E"/>
    <w:rsid w:val="00DF687D"/>
    <w:rsid w:val="00DF6B6A"/>
    <w:rsid w:val="00E00B56"/>
    <w:rsid w:val="00E01813"/>
    <w:rsid w:val="00E0241A"/>
    <w:rsid w:val="00E02991"/>
    <w:rsid w:val="00E03941"/>
    <w:rsid w:val="00E040B2"/>
    <w:rsid w:val="00E042E3"/>
    <w:rsid w:val="00E04D82"/>
    <w:rsid w:val="00E04DA0"/>
    <w:rsid w:val="00E05221"/>
    <w:rsid w:val="00E0522E"/>
    <w:rsid w:val="00E052EB"/>
    <w:rsid w:val="00E05800"/>
    <w:rsid w:val="00E058C8"/>
    <w:rsid w:val="00E062C2"/>
    <w:rsid w:val="00E069F3"/>
    <w:rsid w:val="00E06E38"/>
    <w:rsid w:val="00E072CD"/>
    <w:rsid w:val="00E0741B"/>
    <w:rsid w:val="00E0745F"/>
    <w:rsid w:val="00E075EB"/>
    <w:rsid w:val="00E07C72"/>
    <w:rsid w:val="00E104F2"/>
    <w:rsid w:val="00E108BF"/>
    <w:rsid w:val="00E10C24"/>
    <w:rsid w:val="00E10F3D"/>
    <w:rsid w:val="00E117A0"/>
    <w:rsid w:val="00E12286"/>
    <w:rsid w:val="00E137F6"/>
    <w:rsid w:val="00E13DA7"/>
    <w:rsid w:val="00E14309"/>
    <w:rsid w:val="00E15845"/>
    <w:rsid w:val="00E1626D"/>
    <w:rsid w:val="00E17A35"/>
    <w:rsid w:val="00E17D2F"/>
    <w:rsid w:val="00E21109"/>
    <w:rsid w:val="00E21159"/>
    <w:rsid w:val="00E211BC"/>
    <w:rsid w:val="00E213DE"/>
    <w:rsid w:val="00E22BC3"/>
    <w:rsid w:val="00E230BC"/>
    <w:rsid w:val="00E2394C"/>
    <w:rsid w:val="00E2397A"/>
    <w:rsid w:val="00E23BB7"/>
    <w:rsid w:val="00E23DC0"/>
    <w:rsid w:val="00E24580"/>
    <w:rsid w:val="00E248B3"/>
    <w:rsid w:val="00E24A79"/>
    <w:rsid w:val="00E24D18"/>
    <w:rsid w:val="00E24EE0"/>
    <w:rsid w:val="00E251FD"/>
    <w:rsid w:val="00E25213"/>
    <w:rsid w:val="00E26096"/>
    <w:rsid w:val="00E27086"/>
    <w:rsid w:val="00E271D9"/>
    <w:rsid w:val="00E2760A"/>
    <w:rsid w:val="00E3089F"/>
    <w:rsid w:val="00E30B20"/>
    <w:rsid w:val="00E30EA2"/>
    <w:rsid w:val="00E31399"/>
    <w:rsid w:val="00E31DF3"/>
    <w:rsid w:val="00E32606"/>
    <w:rsid w:val="00E33A49"/>
    <w:rsid w:val="00E33E2B"/>
    <w:rsid w:val="00E349EF"/>
    <w:rsid w:val="00E353B5"/>
    <w:rsid w:val="00E3632E"/>
    <w:rsid w:val="00E37901"/>
    <w:rsid w:val="00E37A66"/>
    <w:rsid w:val="00E4001E"/>
    <w:rsid w:val="00E40C68"/>
    <w:rsid w:val="00E40EE6"/>
    <w:rsid w:val="00E41160"/>
    <w:rsid w:val="00E41CA8"/>
    <w:rsid w:val="00E41F78"/>
    <w:rsid w:val="00E424C5"/>
    <w:rsid w:val="00E4254C"/>
    <w:rsid w:val="00E428A1"/>
    <w:rsid w:val="00E42E7F"/>
    <w:rsid w:val="00E43887"/>
    <w:rsid w:val="00E44E10"/>
    <w:rsid w:val="00E45466"/>
    <w:rsid w:val="00E45A2F"/>
    <w:rsid w:val="00E463F9"/>
    <w:rsid w:val="00E464C6"/>
    <w:rsid w:val="00E46B18"/>
    <w:rsid w:val="00E46F71"/>
    <w:rsid w:val="00E50762"/>
    <w:rsid w:val="00E512C3"/>
    <w:rsid w:val="00E52462"/>
    <w:rsid w:val="00E535B5"/>
    <w:rsid w:val="00E544E4"/>
    <w:rsid w:val="00E5454F"/>
    <w:rsid w:val="00E54666"/>
    <w:rsid w:val="00E54D06"/>
    <w:rsid w:val="00E56463"/>
    <w:rsid w:val="00E56CE6"/>
    <w:rsid w:val="00E57591"/>
    <w:rsid w:val="00E57B12"/>
    <w:rsid w:val="00E60175"/>
    <w:rsid w:val="00E60790"/>
    <w:rsid w:val="00E60A5E"/>
    <w:rsid w:val="00E60C37"/>
    <w:rsid w:val="00E625E4"/>
    <w:rsid w:val="00E6273D"/>
    <w:rsid w:val="00E63A75"/>
    <w:rsid w:val="00E64A0E"/>
    <w:rsid w:val="00E64DDB"/>
    <w:rsid w:val="00E64E3B"/>
    <w:rsid w:val="00E64F67"/>
    <w:rsid w:val="00E6587E"/>
    <w:rsid w:val="00E65FAC"/>
    <w:rsid w:val="00E66651"/>
    <w:rsid w:val="00E67425"/>
    <w:rsid w:val="00E67F2E"/>
    <w:rsid w:val="00E71851"/>
    <w:rsid w:val="00E71A6C"/>
    <w:rsid w:val="00E71BAE"/>
    <w:rsid w:val="00E722D0"/>
    <w:rsid w:val="00E722EB"/>
    <w:rsid w:val="00E7306A"/>
    <w:rsid w:val="00E73D21"/>
    <w:rsid w:val="00E74A43"/>
    <w:rsid w:val="00E74BEA"/>
    <w:rsid w:val="00E74D82"/>
    <w:rsid w:val="00E752C6"/>
    <w:rsid w:val="00E75BAD"/>
    <w:rsid w:val="00E770EC"/>
    <w:rsid w:val="00E771FF"/>
    <w:rsid w:val="00E77C88"/>
    <w:rsid w:val="00E804BB"/>
    <w:rsid w:val="00E8147C"/>
    <w:rsid w:val="00E829BC"/>
    <w:rsid w:val="00E833EE"/>
    <w:rsid w:val="00E835A3"/>
    <w:rsid w:val="00E83EB5"/>
    <w:rsid w:val="00E83ED1"/>
    <w:rsid w:val="00E84130"/>
    <w:rsid w:val="00E844A9"/>
    <w:rsid w:val="00E85877"/>
    <w:rsid w:val="00E858C5"/>
    <w:rsid w:val="00E85BF6"/>
    <w:rsid w:val="00E875FD"/>
    <w:rsid w:val="00E87991"/>
    <w:rsid w:val="00E9004A"/>
    <w:rsid w:val="00E90110"/>
    <w:rsid w:val="00E9073B"/>
    <w:rsid w:val="00E90830"/>
    <w:rsid w:val="00E90AD8"/>
    <w:rsid w:val="00E92452"/>
    <w:rsid w:val="00E92616"/>
    <w:rsid w:val="00E93673"/>
    <w:rsid w:val="00E93C50"/>
    <w:rsid w:val="00E94836"/>
    <w:rsid w:val="00E94D0C"/>
    <w:rsid w:val="00E94E59"/>
    <w:rsid w:val="00E94FFF"/>
    <w:rsid w:val="00E956A9"/>
    <w:rsid w:val="00E95DC1"/>
    <w:rsid w:val="00E964A3"/>
    <w:rsid w:val="00EA034D"/>
    <w:rsid w:val="00EA0C43"/>
    <w:rsid w:val="00EA17DE"/>
    <w:rsid w:val="00EA185F"/>
    <w:rsid w:val="00EA237B"/>
    <w:rsid w:val="00EA2CDE"/>
    <w:rsid w:val="00EA2F3C"/>
    <w:rsid w:val="00EA32D6"/>
    <w:rsid w:val="00EA3C47"/>
    <w:rsid w:val="00EA415B"/>
    <w:rsid w:val="00EA4C95"/>
    <w:rsid w:val="00EA53D6"/>
    <w:rsid w:val="00EA5BF9"/>
    <w:rsid w:val="00EA6D67"/>
    <w:rsid w:val="00EA77C7"/>
    <w:rsid w:val="00EA78CD"/>
    <w:rsid w:val="00EA7A28"/>
    <w:rsid w:val="00EB0A89"/>
    <w:rsid w:val="00EB115D"/>
    <w:rsid w:val="00EB176C"/>
    <w:rsid w:val="00EB3BD1"/>
    <w:rsid w:val="00EB4BE9"/>
    <w:rsid w:val="00EB5532"/>
    <w:rsid w:val="00EB589A"/>
    <w:rsid w:val="00EB6ACB"/>
    <w:rsid w:val="00EB6B2A"/>
    <w:rsid w:val="00EB73C5"/>
    <w:rsid w:val="00EB7F5F"/>
    <w:rsid w:val="00EC0480"/>
    <w:rsid w:val="00EC058D"/>
    <w:rsid w:val="00EC063A"/>
    <w:rsid w:val="00EC0A4D"/>
    <w:rsid w:val="00EC0CB7"/>
    <w:rsid w:val="00EC0D15"/>
    <w:rsid w:val="00EC0DDF"/>
    <w:rsid w:val="00EC0F4B"/>
    <w:rsid w:val="00EC2189"/>
    <w:rsid w:val="00EC2817"/>
    <w:rsid w:val="00EC317C"/>
    <w:rsid w:val="00EC43C6"/>
    <w:rsid w:val="00EC60FD"/>
    <w:rsid w:val="00EC653E"/>
    <w:rsid w:val="00EC6CF4"/>
    <w:rsid w:val="00EC704B"/>
    <w:rsid w:val="00EC7A4E"/>
    <w:rsid w:val="00EC7BEB"/>
    <w:rsid w:val="00EC7E5A"/>
    <w:rsid w:val="00EC7E8C"/>
    <w:rsid w:val="00ED05E9"/>
    <w:rsid w:val="00ED0646"/>
    <w:rsid w:val="00ED1BC8"/>
    <w:rsid w:val="00ED1C03"/>
    <w:rsid w:val="00ED1E47"/>
    <w:rsid w:val="00ED20ED"/>
    <w:rsid w:val="00ED2DEE"/>
    <w:rsid w:val="00ED30DA"/>
    <w:rsid w:val="00ED3342"/>
    <w:rsid w:val="00ED3EA4"/>
    <w:rsid w:val="00ED7089"/>
    <w:rsid w:val="00ED7DC9"/>
    <w:rsid w:val="00EE0190"/>
    <w:rsid w:val="00EE06E1"/>
    <w:rsid w:val="00EE0DB6"/>
    <w:rsid w:val="00EE1211"/>
    <w:rsid w:val="00EE20EB"/>
    <w:rsid w:val="00EE2EA3"/>
    <w:rsid w:val="00EE30AD"/>
    <w:rsid w:val="00EE3138"/>
    <w:rsid w:val="00EE421E"/>
    <w:rsid w:val="00EE4464"/>
    <w:rsid w:val="00EE4744"/>
    <w:rsid w:val="00EE4C9D"/>
    <w:rsid w:val="00EE652B"/>
    <w:rsid w:val="00EE7B8C"/>
    <w:rsid w:val="00EF0B22"/>
    <w:rsid w:val="00EF1165"/>
    <w:rsid w:val="00EF1AE1"/>
    <w:rsid w:val="00EF2549"/>
    <w:rsid w:val="00EF2971"/>
    <w:rsid w:val="00EF3342"/>
    <w:rsid w:val="00EF45C7"/>
    <w:rsid w:val="00EF54F0"/>
    <w:rsid w:val="00EF56F2"/>
    <w:rsid w:val="00EF5D53"/>
    <w:rsid w:val="00EF672D"/>
    <w:rsid w:val="00EF7319"/>
    <w:rsid w:val="00EF75FA"/>
    <w:rsid w:val="00EF78BA"/>
    <w:rsid w:val="00EF7CED"/>
    <w:rsid w:val="00F00631"/>
    <w:rsid w:val="00F01DDE"/>
    <w:rsid w:val="00F025F4"/>
    <w:rsid w:val="00F02719"/>
    <w:rsid w:val="00F02747"/>
    <w:rsid w:val="00F02765"/>
    <w:rsid w:val="00F02982"/>
    <w:rsid w:val="00F0304A"/>
    <w:rsid w:val="00F04B91"/>
    <w:rsid w:val="00F04C31"/>
    <w:rsid w:val="00F054F0"/>
    <w:rsid w:val="00F05D6F"/>
    <w:rsid w:val="00F05FC0"/>
    <w:rsid w:val="00F060E9"/>
    <w:rsid w:val="00F06420"/>
    <w:rsid w:val="00F06444"/>
    <w:rsid w:val="00F07336"/>
    <w:rsid w:val="00F07D89"/>
    <w:rsid w:val="00F1084B"/>
    <w:rsid w:val="00F10A90"/>
    <w:rsid w:val="00F11A5E"/>
    <w:rsid w:val="00F13AA4"/>
    <w:rsid w:val="00F13AAF"/>
    <w:rsid w:val="00F1482E"/>
    <w:rsid w:val="00F14A84"/>
    <w:rsid w:val="00F15315"/>
    <w:rsid w:val="00F15763"/>
    <w:rsid w:val="00F15C5C"/>
    <w:rsid w:val="00F16430"/>
    <w:rsid w:val="00F16B7C"/>
    <w:rsid w:val="00F175E1"/>
    <w:rsid w:val="00F17BCC"/>
    <w:rsid w:val="00F2001D"/>
    <w:rsid w:val="00F200C3"/>
    <w:rsid w:val="00F210F2"/>
    <w:rsid w:val="00F220E4"/>
    <w:rsid w:val="00F22F51"/>
    <w:rsid w:val="00F23EB8"/>
    <w:rsid w:val="00F24347"/>
    <w:rsid w:val="00F248B7"/>
    <w:rsid w:val="00F26950"/>
    <w:rsid w:val="00F26B17"/>
    <w:rsid w:val="00F2717F"/>
    <w:rsid w:val="00F2767A"/>
    <w:rsid w:val="00F301AC"/>
    <w:rsid w:val="00F306D3"/>
    <w:rsid w:val="00F30769"/>
    <w:rsid w:val="00F307B7"/>
    <w:rsid w:val="00F310D2"/>
    <w:rsid w:val="00F32404"/>
    <w:rsid w:val="00F34A12"/>
    <w:rsid w:val="00F3522B"/>
    <w:rsid w:val="00F353EB"/>
    <w:rsid w:val="00F36A6F"/>
    <w:rsid w:val="00F37255"/>
    <w:rsid w:val="00F37B78"/>
    <w:rsid w:val="00F40511"/>
    <w:rsid w:val="00F40997"/>
    <w:rsid w:val="00F41A1D"/>
    <w:rsid w:val="00F41E46"/>
    <w:rsid w:val="00F41F5E"/>
    <w:rsid w:val="00F42157"/>
    <w:rsid w:val="00F429CF"/>
    <w:rsid w:val="00F444EB"/>
    <w:rsid w:val="00F4548E"/>
    <w:rsid w:val="00F45B81"/>
    <w:rsid w:val="00F47530"/>
    <w:rsid w:val="00F475CB"/>
    <w:rsid w:val="00F47A8C"/>
    <w:rsid w:val="00F5044A"/>
    <w:rsid w:val="00F50C08"/>
    <w:rsid w:val="00F50E4A"/>
    <w:rsid w:val="00F51272"/>
    <w:rsid w:val="00F51365"/>
    <w:rsid w:val="00F513EA"/>
    <w:rsid w:val="00F51C81"/>
    <w:rsid w:val="00F51DCC"/>
    <w:rsid w:val="00F524A5"/>
    <w:rsid w:val="00F538B1"/>
    <w:rsid w:val="00F54185"/>
    <w:rsid w:val="00F54AD2"/>
    <w:rsid w:val="00F54ED9"/>
    <w:rsid w:val="00F55047"/>
    <w:rsid w:val="00F55986"/>
    <w:rsid w:val="00F55CDE"/>
    <w:rsid w:val="00F5724A"/>
    <w:rsid w:val="00F578D8"/>
    <w:rsid w:val="00F57A2C"/>
    <w:rsid w:val="00F609D4"/>
    <w:rsid w:val="00F610FD"/>
    <w:rsid w:val="00F62530"/>
    <w:rsid w:val="00F6264C"/>
    <w:rsid w:val="00F62A0A"/>
    <w:rsid w:val="00F62A3A"/>
    <w:rsid w:val="00F63D54"/>
    <w:rsid w:val="00F64370"/>
    <w:rsid w:val="00F64A6F"/>
    <w:rsid w:val="00F65E79"/>
    <w:rsid w:val="00F66380"/>
    <w:rsid w:val="00F664CB"/>
    <w:rsid w:val="00F6741B"/>
    <w:rsid w:val="00F67F4E"/>
    <w:rsid w:val="00F7064D"/>
    <w:rsid w:val="00F70AFE"/>
    <w:rsid w:val="00F70B17"/>
    <w:rsid w:val="00F71330"/>
    <w:rsid w:val="00F71D97"/>
    <w:rsid w:val="00F7214D"/>
    <w:rsid w:val="00F72B92"/>
    <w:rsid w:val="00F72E3B"/>
    <w:rsid w:val="00F73547"/>
    <w:rsid w:val="00F73D6F"/>
    <w:rsid w:val="00F76419"/>
    <w:rsid w:val="00F768FA"/>
    <w:rsid w:val="00F76B6B"/>
    <w:rsid w:val="00F76C23"/>
    <w:rsid w:val="00F77339"/>
    <w:rsid w:val="00F77666"/>
    <w:rsid w:val="00F77C73"/>
    <w:rsid w:val="00F77D5E"/>
    <w:rsid w:val="00F8070C"/>
    <w:rsid w:val="00F80EB5"/>
    <w:rsid w:val="00F81698"/>
    <w:rsid w:val="00F81716"/>
    <w:rsid w:val="00F819D1"/>
    <w:rsid w:val="00F828D5"/>
    <w:rsid w:val="00F82EC7"/>
    <w:rsid w:val="00F831A1"/>
    <w:rsid w:val="00F8357F"/>
    <w:rsid w:val="00F83718"/>
    <w:rsid w:val="00F843AB"/>
    <w:rsid w:val="00F843AE"/>
    <w:rsid w:val="00F85407"/>
    <w:rsid w:val="00F85811"/>
    <w:rsid w:val="00F85991"/>
    <w:rsid w:val="00F85FBB"/>
    <w:rsid w:val="00F86350"/>
    <w:rsid w:val="00F86917"/>
    <w:rsid w:val="00F86AC7"/>
    <w:rsid w:val="00F86D54"/>
    <w:rsid w:val="00F90F2F"/>
    <w:rsid w:val="00F913C8"/>
    <w:rsid w:val="00F91DDF"/>
    <w:rsid w:val="00F926AB"/>
    <w:rsid w:val="00F9303C"/>
    <w:rsid w:val="00F9437C"/>
    <w:rsid w:val="00F94571"/>
    <w:rsid w:val="00F94D5C"/>
    <w:rsid w:val="00F95776"/>
    <w:rsid w:val="00F95941"/>
    <w:rsid w:val="00F959E3"/>
    <w:rsid w:val="00F959F8"/>
    <w:rsid w:val="00F95AB3"/>
    <w:rsid w:val="00F9638C"/>
    <w:rsid w:val="00F964BB"/>
    <w:rsid w:val="00F979D3"/>
    <w:rsid w:val="00FA0341"/>
    <w:rsid w:val="00FA1AAE"/>
    <w:rsid w:val="00FA20C2"/>
    <w:rsid w:val="00FA3294"/>
    <w:rsid w:val="00FA354C"/>
    <w:rsid w:val="00FA3F77"/>
    <w:rsid w:val="00FA411B"/>
    <w:rsid w:val="00FA51C9"/>
    <w:rsid w:val="00FA5E1A"/>
    <w:rsid w:val="00FA6DE7"/>
    <w:rsid w:val="00FA7635"/>
    <w:rsid w:val="00FA77CD"/>
    <w:rsid w:val="00FA7EC0"/>
    <w:rsid w:val="00FB03D7"/>
    <w:rsid w:val="00FB120C"/>
    <w:rsid w:val="00FB1944"/>
    <w:rsid w:val="00FB2260"/>
    <w:rsid w:val="00FB24D3"/>
    <w:rsid w:val="00FB26CE"/>
    <w:rsid w:val="00FB2745"/>
    <w:rsid w:val="00FB2AF8"/>
    <w:rsid w:val="00FB2AFC"/>
    <w:rsid w:val="00FB2CBD"/>
    <w:rsid w:val="00FB30A2"/>
    <w:rsid w:val="00FB34D7"/>
    <w:rsid w:val="00FB562C"/>
    <w:rsid w:val="00FB57D1"/>
    <w:rsid w:val="00FB6C98"/>
    <w:rsid w:val="00FC036B"/>
    <w:rsid w:val="00FC06CB"/>
    <w:rsid w:val="00FC0710"/>
    <w:rsid w:val="00FC07E2"/>
    <w:rsid w:val="00FC0C9C"/>
    <w:rsid w:val="00FC0CE2"/>
    <w:rsid w:val="00FC0E3C"/>
    <w:rsid w:val="00FC20CB"/>
    <w:rsid w:val="00FC24F5"/>
    <w:rsid w:val="00FC300C"/>
    <w:rsid w:val="00FC318E"/>
    <w:rsid w:val="00FC3CD6"/>
    <w:rsid w:val="00FC4A2D"/>
    <w:rsid w:val="00FC5100"/>
    <w:rsid w:val="00FC5531"/>
    <w:rsid w:val="00FC5CAA"/>
    <w:rsid w:val="00FC5E09"/>
    <w:rsid w:val="00FC630E"/>
    <w:rsid w:val="00FC6566"/>
    <w:rsid w:val="00FC6860"/>
    <w:rsid w:val="00FC68FF"/>
    <w:rsid w:val="00FC7680"/>
    <w:rsid w:val="00FC7DAD"/>
    <w:rsid w:val="00FD072A"/>
    <w:rsid w:val="00FD0FF6"/>
    <w:rsid w:val="00FD14FD"/>
    <w:rsid w:val="00FD1A19"/>
    <w:rsid w:val="00FD2635"/>
    <w:rsid w:val="00FD3672"/>
    <w:rsid w:val="00FD5483"/>
    <w:rsid w:val="00FD68B8"/>
    <w:rsid w:val="00FD73C8"/>
    <w:rsid w:val="00FD7A85"/>
    <w:rsid w:val="00FE07BB"/>
    <w:rsid w:val="00FE08CE"/>
    <w:rsid w:val="00FE1220"/>
    <w:rsid w:val="00FE1B3E"/>
    <w:rsid w:val="00FE24F2"/>
    <w:rsid w:val="00FE2D46"/>
    <w:rsid w:val="00FE2F68"/>
    <w:rsid w:val="00FE2FFD"/>
    <w:rsid w:val="00FE36D6"/>
    <w:rsid w:val="00FE3F16"/>
    <w:rsid w:val="00FE42A7"/>
    <w:rsid w:val="00FE4860"/>
    <w:rsid w:val="00FE4C94"/>
    <w:rsid w:val="00FE4D77"/>
    <w:rsid w:val="00FE61EA"/>
    <w:rsid w:val="00FE6593"/>
    <w:rsid w:val="00FE6A1A"/>
    <w:rsid w:val="00FE6B82"/>
    <w:rsid w:val="00FE6FDD"/>
    <w:rsid w:val="00FE7430"/>
    <w:rsid w:val="00FE7677"/>
    <w:rsid w:val="00FF01E3"/>
    <w:rsid w:val="00FF05D1"/>
    <w:rsid w:val="00FF1340"/>
    <w:rsid w:val="00FF2263"/>
    <w:rsid w:val="00FF2BA3"/>
    <w:rsid w:val="00FF2FDB"/>
    <w:rsid w:val="00FF3163"/>
    <w:rsid w:val="00FF3279"/>
    <w:rsid w:val="00FF34CD"/>
    <w:rsid w:val="00FF3687"/>
    <w:rsid w:val="00FF3FAE"/>
    <w:rsid w:val="00FF4421"/>
    <w:rsid w:val="00FF48DA"/>
    <w:rsid w:val="00FF4A6E"/>
    <w:rsid w:val="00FF4F58"/>
    <w:rsid w:val="00FF5B99"/>
    <w:rsid w:val="00FF623F"/>
    <w:rsid w:val="00FF638F"/>
    <w:rsid w:val="00FF6E8D"/>
    <w:rsid w:val="00FF757A"/>
    <w:rsid w:val="00FF7CF8"/>
    <w:rsid w:val="00FF7D18"/>
    <w:rsid w:val="02D515A0"/>
    <w:rsid w:val="02F0617D"/>
    <w:rsid w:val="042A5B62"/>
    <w:rsid w:val="069147E8"/>
    <w:rsid w:val="07004A67"/>
    <w:rsid w:val="070471E9"/>
    <w:rsid w:val="07D3E052"/>
    <w:rsid w:val="0850C34B"/>
    <w:rsid w:val="0980BD2B"/>
    <w:rsid w:val="0A23ED9E"/>
    <w:rsid w:val="0C2F6F06"/>
    <w:rsid w:val="0CF57ED0"/>
    <w:rsid w:val="0DB22C91"/>
    <w:rsid w:val="0F53DA7A"/>
    <w:rsid w:val="0FA24CA5"/>
    <w:rsid w:val="0FB856BE"/>
    <w:rsid w:val="170349E8"/>
    <w:rsid w:val="1A7E22A5"/>
    <w:rsid w:val="1AED2FD4"/>
    <w:rsid w:val="1BCF6E05"/>
    <w:rsid w:val="22F3B1DB"/>
    <w:rsid w:val="24B94E67"/>
    <w:rsid w:val="24CAD5CF"/>
    <w:rsid w:val="25122C75"/>
    <w:rsid w:val="25F3BA90"/>
    <w:rsid w:val="260A7708"/>
    <w:rsid w:val="270B1753"/>
    <w:rsid w:val="2BA057E8"/>
    <w:rsid w:val="2BFC23D1"/>
    <w:rsid w:val="2EB9DC79"/>
    <w:rsid w:val="3195ACE0"/>
    <w:rsid w:val="31CAC598"/>
    <w:rsid w:val="3320E477"/>
    <w:rsid w:val="340A2B54"/>
    <w:rsid w:val="349E9C60"/>
    <w:rsid w:val="35462A8B"/>
    <w:rsid w:val="355542D4"/>
    <w:rsid w:val="365D91D9"/>
    <w:rsid w:val="368886CB"/>
    <w:rsid w:val="39456883"/>
    <w:rsid w:val="39F87142"/>
    <w:rsid w:val="3AF15FFF"/>
    <w:rsid w:val="3BA56803"/>
    <w:rsid w:val="3BD3D764"/>
    <w:rsid w:val="3DD281AE"/>
    <w:rsid w:val="3E02BE1D"/>
    <w:rsid w:val="3E54EBFD"/>
    <w:rsid w:val="3E71071B"/>
    <w:rsid w:val="3F2F3C64"/>
    <w:rsid w:val="3F7C7155"/>
    <w:rsid w:val="427D2875"/>
    <w:rsid w:val="42C411C6"/>
    <w:rsid w:val="42D9A3BD"/>
    <w:rsid w:val="435957CA"/>
    <w:rsid w:val="442A0FA6"/>
    <w:rsid w:val="479AB9AF"/>
    <w:rsid w:val="49283029"/>
    <w:rsid w:val="4AED19F2"/>
    <w:rsid w:val="4D6AF102"/>
    <w:rsid w:val="4D8CFB82"/>
    <w:rsid w:val="4E49A884"/>
    <w:rsid w:val="5012ED85"/>
    <w:rsid w:val="5207661C"/>
    <w:rsid w:val="5242D16C"/>
    <w:rsid w:val="54C3B0FE"/>
    <w:rsid w:val="5779537F"/>
    <w:rsid w:val="5A153098"/>
    <w:rsid w:val="5C231F88"/>
    <w:rsid w:val="5C925898"/>
    <w:rsid w:val="5F623F9E"/>
    <w:rsid w:val="60E34F79"/>
    <w:rsid w:val="6141D855"/>
    <w:rsid w:val="63BF8C72"/>
    <w:rsid w:val="64A08A73"/>
    <w:rsid w:val="64BCCF91"/>
    <w:rsid w:val="64E96653"/>
    <w:rsid w:val="65B5F35B"/>
    <w:rsid w:val="67D27C6E"/>
    <w:rsid w:val="6A1158DD"/>
    <w:rsid w:val="6BB99C54"/>
    <w:rsid w:val="6E7C6823"/>
    <w:rsid w:val="6FBF9B85"/>
    <w:rsid w:val="707C4D8B"/>
    <w:rsid w:val="70AC997C"/>
    <w:rsid w:val="725B4E5D"/>
    <w:rsid w:val="7335B71D"/>
    <w:rsid w:val="743AE6BD"/>
    <w:rsid w:val="75A26790"/>
    <w:rsid w:val="75FE4BDA"/>
    <w:rsid w:val="762B06D1"/>
    <w:rsid w:val="78BA8FC8"/>
    <w:rsid w:val="794C38D7"/>
    <w:rsid w:val="7A2A85C9"/>
    <w:rsid w:val="7B47D62D"/>
    <w:rsid w:val="7F532901"/>
    <w:rsid w:val="7FE32D17"/>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D3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A7635"/>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CERbullets"/>
    <w:link w:val="CERnumberingChar"/>
    <w:uiPriority w:val="8"/>
    <w:qFormat/>
    <w:rsid w:val="00FE2F68"/>
    <w:pPr>
      <w:numPr>
        <w:numId w:val="0"/>
      </w:numPr>
    </w:pPr>
    <w:rPr>
      <w:lang w:val="en-US"/>
    </w:r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FE2F68"/>
    <w:rPr>
      <w:rFonts w:asciiTheme="minorHAnsi" w:hAnsiTheme="minorHAnsi" w:cstheme="minorHAnsi"/>
      <w:sz w:val="22"/>
      <w:szCs w:val="24"/>
      <w:lang w:val="en-US"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9633DE"/>
    <w:rPr>
      <w:rFonts w:asciiTheme="minorHAnsi" w:hAnsiTheme="minorHAnsi"/>
      <w:b/>
      <w:color w:val="FF0000"/>
      <w:sz w:val="24"/>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D77B26"/>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uiPriority w:val="34"/>
    <w:qFormat/>
    <w:rsid w:val="00235142"/>
    <w:pPr>
      <w:ind w:left="720"/>
      <w:contextualSpacing/>
    </w:pPr>
    <w:rPr>
      <w:lang w:val="en-GB"/>
    </w:rPr>
  </w:style>
  <w:style w:type="character" w:styleId="CommentReference">
    <w:name w:val="annotation reference"/>
    <w:basedOn w:val="DefaultParagraphFont"/>
    <w:uiPriority w:val="99"/>
    <w:unhideWhenUsed/>
    <w:rsid w:val="00235142"/>
    <w:rPr>
      <w:sz w:val="16"/>
      <w:szCs w:val="16"/>
    </w:rPr>
  </w:style>
  <w:style w:type="paragraph" w:styleId="CommentText">
    <w:name w:val="annotation text"/>
    <w:basedOn w:val="Normal"/>
    <w:link w:val="CommentTextChar"/>
    <w:uiPriority w:val="99"/>
    <w:unhideWhenUsed/>
    <w:rsid w:val="00235142"/>
    <w:rPr>
      <w:sz w:val="20"/>
      <w:szCs w:val="20"/>
      <w:lang w:val="en-GB"/>
    </w:rPr>
  </w:style>
  <w:style w:type="character" w:customStyle="1" w:styleId="CommentTextChar">
    <w:name w:val="Comment Text Char"/>
    <w:basedOn w:val="DefaultParagraphFont"/>
    <w:link w:val="CommentText"/>
    <w:uiPriority w:val="99"/>
    <w:rsid w:val="00235142"/>
    <w:rPr>
      <w:rFonts w:asciiTheme="minorHAnsi" w:hAnsiTheme="minorHAnsi" w:cstheme="minorHAnsi"/>
      <w:color w:val="000000" w:themeColor="text1"/>
      <w:lang w:val="en-GB" w:eastAsia="en-US"/>
    </w:rPr>
  </w:style>
  <w:style w:type="paragraph" w:styleId="FootnoteText">
    <w:name w:val="footnote text"/>
    <w:basedOn w:val="Normal"/>
    <w:link w:val="FootnoteTextChar"/>
    <w:uiPriority w:val="99"/>
    <w:semiHidden/>
    <w:unhideWhenUsed/>
    <w:rsid w:val="00235142"/>
    <w:pPr>
      <w:spacing w:after="0"/>
    </w:pPr>
    <w:rPr>
      <w:sz w:val="20"/>
      <w:szCs w:val="20"/>
      <w:lang w:val="en-GB"/>
    </w:rPr>
  </w:style>
  <w:style w:type="character" w:customStyle="1" w:styleId="FootnoteTextChar">
    <w:name w:val="Footnote Text Char"/>
    <w:basedOn w:val="DefaultParagraphFont"/>
    <w:link w:val="FootnoteText"/>
    <w:uiPriority w:val="99"/>
    <w:semiHidden/>
    <w:rsid w:val="00235142"/>
    <w:rPr>
      <w:rFonts w:asciiTheme="minorHAnsi" w:hAnsiTheme="minorHAnsi" w:cstheme="minorHAnsi"/>
      <w:color w:val="000000" w:themeColor="text1"/>
      <w:lang w:val="en-GB" w:eastAsia="en-US"/>
    </w:rPr>
  </w:style>
  <w:style w:type="character" w:styleId="FootnoteReference">
    <w:name w:val="footnote reference"/>
    <w:basedOn w:val="DefaultParagraphFont"/>
    <w:uiPriority w:val="99"/>
    <w:unhideWhenUsed/>
    <w:rsid w:val="00235142"/>
    <w:rPr>
      <w:vertAlign w:val="superscript"/>
    </w:rPr>
  </w:style>
  <w:style w:type="character" w:styleId="Mention">
    <w:name w:val="Mention"/>
    <w:basedOn w:val="DefaultParagraphFont"/>
    <w:uiPriority w:val="99"/>
    <w:unhideWhenUsed/>
    <w:rsid w:val="00D454E0"/>
    <w:rPr>
      <w:color w:val="2B579A"/>
      <w:shd w:val="clear" w:color="auto" w:fill="E1DFDD"/>
    </w:rPr>
  </w:style>
  <w:style w:type="character" w:styleId="UnresolvedMention">
    <w:name w:val="Unresolved Mention"/>
    <w:basedOn w:val="DefaultParagraphFont"/>
    <w:uiPriority w:val="99"/>
    <w:unhideWhenUsed/>
    <w:rsid w:val="00803A1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03A16"/>
    <w:rPr>
      <w:b/>
      <w:bCs/>
      <w:lang w:val="en-AU"/>
    </w:rPr>
  </w:style>
  <w:style w:type="character" w:customStyle="1" w:styleId="CommentSubjectChar">
    <w:name w:val="Comment Subject Char"/>
    <w:basedOn w:val="CommentTextChar"/>
    <w:link w:val="CommentSubject"/>
    <w:uiPriority w:val="99"/>
    <w:semiHidden/>
    <w:rsid w:val="00803A16"/>
    <w:rPr>
      <w:rFonts w:asciiTheme="minorHAnsi" w:hAnsiTheme="minorHAnsi" w:cstheme="minorHAnsi"/>
      <w:b/>
      <w:bCs/>
      <w:color w:val="000000" w:themeColor="text1"/>
      <w:lang w:val="en-GB" w:eastAsia="en-US"/>
    </w:rPr>
  </w:style>
  <w:style w:type="paragraph" w:styleId="Revision">
    <w:name w:val="Revision"/>
    <w:hidden/>
    <w:semiHidden/>
    <w:rsid w:val="00345DEB"/>
    <w:rPr>
      <w:rFonts w:asciiTheme="minorHAnsi" w:hAnsiTheme="minorHAnsi" w:cstheme="minorHAnsi"/>
      <w:color w:val="000000" w:themeColor="text1"/>
      <w:sz w:val="22"/>
      <w:szCs w:val="24"/>
      <w:lang w:eastAsia="en-US"/>
    </w:rPr>
  </w:style>
  <w:style w:type="paragraph" w:customStyle="1" w:styleId="paragraph">
    <w:name w:val="paragraph"/>
    <w:basedOn w:val="Normal"/>
    <w:rsid w:val="00D77B26"/>
    <w:pPr>
      <w:spacing w:before="100" w:beforeAutospacing="1" w:after="100" w:afterAutospacing="1"/>
    </w:pPr>
    <w:rPr>
      <w:rFonts w:ascii="Times New Roman" w:eastAsia="Times New Roman" w:hAnsi="Times New Roman" w:cs="Times New Roman"/>
      <w:color w:val="auto"/>
      <w:sz w:val="24"/>
      <w:lang w:eastAsia="en-AU"/>
    </w:rPr>
  </w:style>
  <w:style w:type="character" w:customStyle="1" w:styleId="normaltextrun">
    <w:name w:val="normaltextrun"/>
    <w:basedOn w:val="DefaultParagraphFont"/>
    <w:rsid w:val="00D77B26"/>
  </w:style>
  <w:style w:type="character" w:customStyle="1" w:styleId="scxw12649272">
    <w:name w:val="scxw12649272"/>
    <w:basedOn w:val="DefaultParagraphFont"/>
    <w:rsid w:val="00D77B26"/>
  </w:style>
  <w:style w:type="character" w:customStyle="1" w:styleId="eop">
    <w:name w:val="eop"/>
    <w:basedOn w:val="DefaultParagraphFont"/>
    <w:rsid w:val="00D77B26"/>
  </w:style>
  <w:style w:type="table" w:customStyle="1" w:styleId="CERTable1">
    <w:name w:val="CER Table1"/>
    <w:basedOn w:val="TableNormal"/>
    <w:uiPriority w:val="99"/>
    <w:rsid w:val="001D152C"/>
    <w:pPr>
      <w:spacing w:before="120"/>
    </w:pPr>
    <w:rPr>
      <w:rFonts w:ascii="Calibri" w:hAnsi="Calibri"/>
      <w:color w:val="000000"/>
      <w:kern w:val="2"/>
    </w:rPr>
    <w:tblPr>
      <w:tblStyleRowBandSize w:val="1"/>
      <w:tblBorders>
        <w:top w:val="single" w:sz="8" w:space="0" w:color="FCBA5C"/>
        <w:bottom w:val="single" w:sz="8" w:space="0" w:color="FCBA5C"/>
        <w:insideH w:val="single" w:sz="8" w:space="0" w:color="E8E8E8"/>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Calibri" w:hAnsi="Calibri"/>
        <w:b/>
        <w:color w:val="auto"/>
        <w:sz w:val="20"/>
      </w:rPr>
      <w:tblPr/>
      <w:tcPr>
        <w:tcBorders>
          <w:top w:val="nil"/>
          <w:left w:val="nil"/>
          <w:bottom w:val="single" w:sz="18" w:space="0" w:color="FCBA5C"/>
          <w:right w:val="nil"/>
          <w:insideH w:val="nil"/>
          <w:insideV w:val="nil"/>
          <w:tl2br w:val="nil"/>
          <w:tr2bl w:val="nil"/>
        </w:tcBorders>
        <w:shd w:val="clear" w:color="auto" w:fill="E8E8E8"/>
      </w:tcPr>
    </w:tblStylePr>
    <w:tblStylePr w:type="lastRow">
      <w:pPr>
        <w:wordWrap/>
        <w:spacing w:beforeLines="0" w:before="10" w:beforeAutospacing="0" w:afterLines="0" w:after="10" w:afterAutospacing="0"/>
      </w:pPr>
      <w:rPr>
        <w:rFonts w:ascii="Calibri" w:hAnsi="Calibri"/>
        <w:b/>
      </w:rPr>
      <w:tblPr/>
      <w:tcPr>
        <w:vAlign w:val="center"/>
      </w:tcPr>
    </w:tblStylePr>
    <w:tblStylePr w:type="firstCol">
      <w:pPr>
        <w:wordWrap/>
        <w:ind w:leftChars="0" w:left="0" w:rightChars="0" w:right="0"/>
        <w:contextualSpacing w:val="0"/>
      </w:pPr>
      <w:rPr>
        <w:rFonts w:ascii="Calibri" w:hAnsi="Calibri"/>
        <w:b/>
        <w:i w:val="0"/>
        <w:color w:val="000000"/>
      </w:rPr>
      <w:tblPr/>
      <w:tcPr>
        <w:shd w:val="clear" w:color="auto" w:fill="F2F2F2"/>
      </w:tcPr>
    </w:tblStylePr>
    <w:tblStylePr w:type="band1Horz">
      <w:rPr>
        <w:rFonts w:ascii="Calibri" w:hAnsi="Calibri"/>
      </w:rPr>
      <w:tblPr/>
      <w:tcPr>
        <w:tcBorders>
          <w:top w:val="nil"/>
          <w:left w:val="nil"/>
          <w:bottom w:val="single" w:sz="4" w:space="0" w:color="D1D1D1"/>
          <w:right w:val="nil"/>
          <w:insideH w:val="nil"/>
          <w:insideV w:val="nil"/>
          <w:tl2br w:val="nil"/>
          <w:tr2bl w:val="nil"/>
        </w:tcBorders>
      </w:tcPr>
    </w:tblStylePr>
    <w:tblStylePr w:type="band2Horz">
      <w:rPr>
        <w:rFonts w:ascii="Calibri" w:hAnsi="Calibri"/>
      </w:rPr>
      <w:tblPr/>
      <w:tcPr>
        <w:tcBorders>
          <w:insideH w:val="nil"/>
        </w:tcBorders>
      </w:tcPr>
    </w:tblStylePr>
  </w:style>
  <w:style w:type="character" w:customStyle="1" w:styleId="ui-provider">
    <w:name w:val="ui-provider"/>
    <w:basedOn w:val="DefaultParagraphFont"/>
    <w:rsid w:val="00DC1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33467">
      <w:bodyDiv w:val="1"/>
      <w:marLeft w:val="0"/>
      <w:marRight w:val="0"/>
      <w:marTop w:val="0"/>
      <w:marBottom w:val="0"/>
      <w:divBdr>
        <w:top w:val="none" w:sz="0" w:space="0" w:color="auto"/>
        <w:left w:val="none" w:sz="0" w:space="0" w:color="auto"/>
        <w:bottom w:val="none" w:sz="0" w:space="0" w:color="auto"/>
        <w:right w:val="none" w:sz="0" w:space="0" w:color="auto"/>
      </w:divBdr>
      <w:divsChild>
        <w:div w:id="896671069">
          <w:marLeft w:val="0"/>
          <w:marRight w:val="0"/>
          <w:marTop w:val="240"/>
          <w:marBottom w:val="0"/>
          <w:divBdr>
            <w:top w:val="single" w:sz="2" w:space="0" w:color="D4D4D4"/>
            <w:left w:val="single" w:sz="2" w:space="0" w:color="D4D4D4"/>
            <w:bottom w:val="single" w:sz="2" w:space="0" w:color="D4D4D4"/>
            <w:right w:val="single" w:sz="2" w:space="0" w:color="D4D4D4"/>
          </w:divBdr>
        </w:div>
      </w:divsChild>
    </w:div>
    <w:div w:id="337198482">
      <w:bodyDiv w:val="1"/>
      <w:marLeft w:val="0"/>
      <w:marRight w:val="0"/>
      <w:marTop w:val="0"/>
      <w:marBottom w:val="0"/>
      <w:divBdr>
        <w:top w:val="none" w:sz="0" w:space="0" w:color="auto"/>
        <w:left w:val="none" w:sz="0" w:space="0" w:color="auto"/>
        <w:bottom w:val="none" w:sz="0" w:space="0" w:color="auto"/>
        <w:right w:val="none" w:sz="0" w:space="0" w:color="auto"/>
      </w:divBdr>
    </w:div>
    <w:div w:id="585185196">
      <w:bodyDiv w:val="1"/>
      <w:marLeft w:val="0"/>
      <w:marRight w:val="0"/>
      <w:marTop w:val="0"/>
      <w:marBottom w:val="0"/>
      <w:divBdr>
        <w:top w:val="none" w:sz="0" w:space="0" w:color="auto"/>
        <w:left w:val="none" w:sz="0" w:space="0" w:color="auto"/>
        <w:bottom w:val="none" w:sz="0" w:space="0" w:color="auto"/>
        <w:right w:val="none" w:sz="0" w:space="0" w:color="auto"/>
      </w:divBdr>
    </w:div>
    <w:div w:id="785539014">
      <w:bodyDiv w:val="1"/>
      <w:marLeft w:val="0"/>
      <w:marRight w:val="0"/>
      <w:marTop w:val="0"/>
      <w:marBottom w:val="0"/>
      <w:divBdr>
        <w:top w:val="none" w:sz="0" w:space="0" w:color="auto"/>
        <w:left w:val="none" w:sz="0" w:space="0" w:color="auto"/>
        <w:bottom w:val="none" w:sz="0" w:space="0" w:color="auto"/>
        <w:right w:val="none" w:sz="0" w:space="0" w:color="auto"/>
      </w:divBdr>
      <w:divsChild>
        <w:div w:id="1932931470">
          <w:marLeft w:val="0"/>
          <w:marRight w:val="0"/>
          <w:marTop w:val="240"/>
          <w:marBottom w:val="0"/>
          <w:divBdr>
            <w:top w:val="single" w:sz="2" w:space="0" w:color="D4D4D4"/>
            <w:left w:val="single" w:sz="2" w:space="0" w:color="D4D4D4"/>
            <w:bottom w:val="single" w:sz="2" w:space="0" w:color="D4D4D4"/>
            <w:right w:val="single" w:sz="2" w:space="0" w:color="D4D4D4"/>
          </w:divBdr>
        </w:div>
      </w:divsChild>
    </w:div>
    <w:div w:id="929435056">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118337873">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99799685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svg"/><Relationship Id="rId26" Type="http://schemas.openxmlformats.org/officeDocument/2006/relationships/hyperlink" Target="https://cer.gov.au/schemes/national-greenhouse-and-energy-reporting-scheme/report-emissions-and-energy/amendments" TargetMode="External"/><Relationship Id="rId39" Type="http://schemas.openxmlformats.org/officeDocument/2006/relationships/hyperlink" Target="https://www.legislation.gov.au/F2015L01637/latest/versions" TargetMode="External"/><Relationship Id="rId21" Type="http://schemas.openxmlformats.org/officeDocument/2006/relationships/image" Target="media/image12.png"/><Relationship Id="rId34" Type="http://schemas.openxmlformats.org/officeDocument/2006/relationships/hyperlink" Target="https://cer.gov.au/schemes/national-greenhouse-and-energy-reporting-scheme/about-emissions-and-energy-data/emissions-and-energy-types" TargetMode="External"/><Relationship Id="rId42" Type="http://schemas.openxmlformats.org/officeDocument/2006/relationships/hyperlink" Target="mailto:cer-nger-reporting@cer.gov.au"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7.svg"/><Relationship Id="rId29" Type="http://schemas.openxmlformats.org/officeDocument/2006/relationships/image" Target="media/image13.png"/><Relationship Id="rId11" Type="http://schemas.openxmlformats.org/officeDocument/2006/relationships/image" Target="media/image3.png"/><Relationship Id="rId24" Type="http://schemas.openxmlformats.org/officeDocument/2006/relationships/hyperlink" Target="https://www.legislation.gov.au/Series/F2008L02309" TargetMode="External"/><Relationship Id="rId32" Type="http://schemas.openxmlformats.org/officeDocument/2006/relationships/hyperlink" Target="https://cer.gov.au/about-us/contact-us" TargetMode="External"/><Relationship Id="rId37" Type="http://schemas.openxmlformats.org/officeDocument/2006/relationships/hyperlink" Target="https://cer.gov.au/schemes/safeguard-mechanism" TargetMode="External"/><Relationship Id="rId40" Type="http://schemas.openxmlformats.org/officeDocument/2006/relationships/hyperlink" Target="https://cer.gov.au/schemes/safeguard-mechanism/safeguard-baselines"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www.legislation.gov.au/Series/F2008L02230" TargetMode="External"/><Relationship Id="rId28" Type="http://schemas.openxmlformats.org/officeDocument/2006/relationships/hyperlink" Target="https://cer.gov.au/document_page/nger-technical-reporting-information" TargetMode="External"/><Relationship Id="rId36" Type="http://schemas.openxmlformats.org/officeDocument/2006/relationships/image" Target="media/image15.png"/><Relationship Id="rId49" Type="http://schemas.openxmlformats.org/officeDocument/2006/relationships/fontTable" Target="fontTable.xml"/><Relationship Id="rId10" Type="http://schemas.openxmlformats.org/officeDocument/2006/relationships/image" Target="media/image2.svg"/><Relationship Id="rId19" Type="http://schemas.openxmlformats.org/officeDocument/2006/relationships/image" Target="media/image10.png"/><Relationship Id="rId31" Type="http://schemas.openxmlformats.org/officeDocument/2006/relationships/image" Target="media/image14.png"/><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svg"/><Relationship Id="rId22" Type="http://schemas.openxmlformats.org/officeDocument/2006/relationships/hyperlink" Target="https://www.legislation.gov.au/Series/C2007A00175" TargetMode="External"/><Relationship Id="rId27" Type="http://schemas.openxmlformats.org/officeDocument/2006/relationships/hyperlink" Target="https://cer.gov.au/schemes/national-greenhouse-and-energy-reporting-scheme/report-emissions-and-energy/reporter-support" TargetMode="External"/><Relationship Id="rId30" Type="http://schemas.openxmlformats.org/officeDocument/2006/relationships/hyperlink" Target="https://cer.gov.au/document_page/nger-technical-reporting-information" TargetMode="External"/><Relationship Id="rId35" Type="http://schemas.openxmlformats.org/officeDocument/2006/relationships/hyperlink" Target="https://cer.gov.au/schemes/national-greenhouse-and-energy-reporting-scheme/report-emissions-and-energy/nger-reporting-guides" TargetMode="External"/><Relationship Id="rId43" Type="http://schemas.openxmlformats.org/officeDocument/2006/relationships/hyperlink" Target="https://cer.gov.au/schemes/national-greenhouse-and-energy-reporting-scheme/report-emissions-and-energy/reporter-support" TargetMode="External"/><Relationship Id="rId48"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 Id="rId12" Type="http://schemas.microsoft.com/office/2007/relationships/hdphoto" Target="media/hdphoto1.wdp"/><Relationship Id="rId17" Type="http://schemas.openxmlformats.org/officeDocument/2006/relationships/image" Target="media/image8.png"/><Relationship Id="rId25" Type="http://schemas.openxmlformats.org/officeDocument/2006/relationships/hyperlink" Target="https://cer.gov.au/schemes/national-greenhouse-and-energy-reporting-scheme" TargetMode="External"/><Relationship Id="rId33" Type="http://schemas.openxmlformats.org/officeDocument/2006/relationships/hyperlink" Target="https://cer.gov.au/schemes/national-greenhouse-and-energy-reporting-scheme/report-emissions-and-energy/nger-reporting-guides" TargetMode="External"/><Relationship Id="rId38" Type="http://schemas.openxmlformats.org/officeDocument/2006/relationships/hyperlink" Target="https://cer.gov.au/schemes/safeguard-mechanism/managing-excess-emissions" TargetMode="External"/><Relationship Id="rId46" Type="http://schemas.openxmlformats.org/officeDocument/2006/relationships/footer" Target="footer2.xml"/><Relationship Id="rId20" Type="http://schemas.openxmlformats.org/officeDocument/2006/relationships/image" Target="media/image11.svg"/><Relationship Id="rId41" Type="http://schemas.openxmlformats.org/officeDocument/2006/relationships/hyperlink" Target="https://cer.gov.au/schemes/safeguard-mechanism"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18.png"/></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_rels/header2.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CER-updated fonts and colours">
  <a:themeElements>
    <a:clrScheme name="CER colour palette">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FA9607"/>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853DFF-2F3F-46FF-916D-F69F02A50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3362</Words>
  <Characters>19035</Characters>
  <Application>Microsoft Office Word</Application>
  <DocSecurity>0</DocSecurity>
  <Lines>396</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Emissions and Energy Reporting System validations guideline</dc:title>
  <dc:subject/>
  <dc:creator/>
  <cp:keywords/>
  <cp:lastModifiedBy/>
  <cp:revision>1</cp:revision>
  <dcterms:created xsi:type="dcterms:W3CDTF">2026-07-23T04:41:00Z</dcterms:created>
  <dcterms:modified xsi:type="dcterms:W3CDTF">2026-07-23T04:41:00Z</dcterms:modified>
  <cp:contentStatus/>
</cp:coreProperties>
</file>