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8F87E" w14:textId="3C355334" w:rsidR="00391E33" w:rsidRDefault="008D3F95" w:rsidP="00F30527">
      <w:r>
        <w:rPr>
          <w:noProof/>
        </w:rPr>
        <mc:AlternateContent>
          <mc:Choice Requires="wps">
            <w:drawing>
              <wp:anchor distT="45720" distB="45720" distL="114300" distR="114300" simplePos="0" relativeHeight="251658241" behindDoc="0" locked="0" layoutInCell="1" allowOverlap="1" wp14:anchorId="5E930AC0" wp14:editId="2BFDFEB6">
                <wp:simplePos x="0" y="0"/>
                <wp:positionH relativeFrom="margin">
                  <wp:posOffset>3420110</wp:posOffset>
                </wp:positionH>
                <wp:positionV relativeFrom="paragraph">
                  <wp:posOffset>843915</wp:posOffset>
                </wp:positionV>
                <wp:extent cx="2975610" cy="2225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2225040"/>
                        </a:xfrm>
                        <a:prstGeom prst="rect">
                          <a:avLst/>
                        </a:prstGeom>
                        <a:solidFill>
                          <a:srgbClr val="FFFFFF"/>
                        </a:solidFill>
                        <a:ln w="9525">
                          <a:noFill/>
                          <a:miter lim="800000"/>
                          <a:headEnd/>
                          <a:tailEnd/>
                        </a:ln>
                      </wps:spPr>
                      <wps:txbx>
                        <w:txbxContent>
                          <w:p w14:paraId="64D2CCE5" w14:textId="1FAC4BCE" w:rsidR="008D3F95" w:rsidRDefault="008D3F95" w:rsidP="008D3F95">
                            <w:pPr>
                              <w:pStyle w:val="Heading1"/>
                              <w:rPr>
                                <w:sz w:val="48"/>
                                <w:szCs w:val="48"/>
                              </w:rPr>
                            </w:pPr>
                            <w:r>
                              <w:rPr>
                                <w:sz w:val="48"/>
                                <w:szCs w:val="48"/>
                              </w:rPr>
                              <w:t xml:space="preserve">Contracts and </w:t>
                            </w:r>
                            <w:r w:rsidR="00F30527">
                              <w:rPr>
                                <w:sz w:val="48"/>
                                <w:szCs w:val="48"/>
                              </w:rPr>
                              <w:t>l</w:t>
                            </w:r>
                            <w:r>
                              <w:rPr>
                                <w:sz w:val="48"/>
                                <w:szCs w:val="48"/>
                              </w:rPr>
                              <w:t xml:space="preserve">easing </w:t>
                            </w:r>
                            <w:r w:rsidR="00F30527">
                              <w:rPr>
                                <w:sz w:val="48"/>
                                <w:szCs w:val="48"/>
                              </w:rPr>
                              <w:t>g</w:t>
                            </w:r>
                            <w:r>
                              <w:rPr>
                                <w:sz w:val="48"/>
                                <w:szCs w:val="48"/>
                              </w:rPr>
                              <w:t>uideline</w:t>
                            </w:r>
                          </w:p>
                          <w:p w14:paraId="060B4862" w14:textId="77777777" w:rsidR="008D3F95" w:rsidRDefault="008D3F95" w:rsidP="008D3F95"/>
                          <w:p w14:paraId="79E48D3F" w14:textId="70BA4C52" w:rsidR="008D3F95" w:rsidRPr="00F501F5" w:rsidRDefault="00F30527" w:rsidP="008D3F95">
                            <w:r>
                              <w:t>January</w:t>
                            </w:r>
                            <w:r w:rsidR="008D3F95">
                              <w:t xml:space="preserve"> 202</w:t>
                            </w:r>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30AC0" id="_x0000_t202" coordsize="21600,21600" o:spt="202" path="m,l,21600r21600,l21600,xe">
                <v:stroke joinstyle="miter"/>
                <v:path gradientshapeok="t" o:connecttype="rect"/>
              </v:shapetype>
              <v:shape id="Text Box 2" o:spid="_x0000_s1026" type="#_x0000_t202" style="position:absolute;margin-left:269.3pt;margin-top:66.45pt;width:234.3pt;height:175.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YcDQIAAPcDAAAOAAAAZHJzL2Uyb0RvYy54bWysU9tu2zAMfR+wfxD0vtgxkrYx4hRdugwD&#10;ugvQ7QNkWY6FyaJGKbG7rx8lp2nQvQ3Tg0CK1BF5eLS+HXvDjgq9Blvx+SznTFkJjbb7iv/4vnt3&#10;w5kPwjbCgFUVf1Ke327evlkPrlQFdGAahYxArC8HV/EuBFdmmZed6oWfgVOWgi1gLwK5uM8aFAOh&#10;9yYr8vwqGwAbhyCV93R6PwX5JuG3rZLha9t6FZipONUW0o5pr+Oebdai3KNwnZanMsQ/VNELbenR&#10;M9S9CIIdUP8F1WuJ4KENMwl9Bm2rpUo9UDfz/FU3j51wKvVC5Hh3psn/P1j55fjoviEL43sYaYCp&#10;Ce8eQP70zMK2E3av7hBh6JRo6OF5pCwbnC9PVyPVvvQRpB4+Q0NDFocACWhssY+sUJ+M0GkAT2fS&#10;1RiYpMNidb28mlNIUqwoimW+SGPJRPl83aEPHxX0LBoVR5pqghfHBx9iOaJ8TomveTC62WljkoP7&#10;emuQHQUpYJdW6uBVmrFsqPhqWSwTsoV4P4mj14EUanRf8Zs8rkkzkY4PtkkpQWgz2VSJsSd+IiUT&#10;OWGsR0qMPNXQPBFTCJMS6eeQ0QH+5mwgFVbc/zoIVJyZT5bYXs0XxAYLyVksrwty8DJSX0aElQRV&#10;8cDZZG5DknrkwcIdTaXVia+XSk61kroSjaefEOV76aesl/+6+QMAAP//AwBQSwMEFAAGAAgAAAAh&#10;ANfYfe/gAAAADAEAAA8AAABkcnMvZG93bnJldi54bWxMj0FugzAQRfeVegdrInVTNXYhAUIxUVup&#10;VbdJc4ABO4CCxwg7gdy+zqpZjv7T/2+K7Wx6dtGj6yxJeF0KYJpqqzpqJBx+v14yYM4jKewtaQlX&#10;7WBbPj4UmCs70U5f9r5hoYRcjhJa74ecc1e32qBb2kFTyI52NOjDOTZcjTiFctPzSIiEG+woLLQ4&#10;6M9W16f92Ug4/kzP681UfftDulslH9illb1K+bSY39+AeT37fxhu+kEdyuBU2TMpx3oJ6zhLAhqC&#10;ONoAuxFCpBGwSsIqi2PgZcHvnyj/AAAA//8DAFBLAQItABQABgAIAAAAIQC2gziS/gAAAOEBAAAT&#10;AAAAAAAAAAAAAAAAAAAAAABbQ29udGVudF9UeXBlc10ueG1sUEsBAi0AFAAGAAgAAAAhADj9If/W&#10;AAAAlAEAAAsAAAAAAAAAAAAAAAAALwEAAF9yZWxzLy5yZWxzUEsBAi0AFAAGAAgAAAAhAOvLFhwN&#10;AgAA9wMAAA4AAAAAAAAAAAAAAAAALgIAAGRycy9lMm9Eb2MueG1sUEsBAi0AFAAGAAgAAAAhANfY&#10;fe/gAAAADAEAAA8AAAAAAAAAAAAAAAAAZwQAAGRycy9kb3ducmV2LnhtbFBLBQYAAAAABAAEAPMA&#10;AAB0BQAAAAA=&#10;" stroked="f">
                <v:textbox>
                  <w:txbxContent>
                    <w:p w14:paraId="64D2CCE5" w14:textId="1FAC4BCE" w:rsidR="008D3F95" w:rsidRDefault="008D3F95" w:rsidP="008D3F95">
                      <w:pPr>
                        <w:pStyle w:val="Heading1"/>
                        <w:rPr>
                          <w:sz w:val="48"/>
                          <w:szCs w:val="48"/>
                        </w:rPr>
                      </w:pPr>
                      <w:r>
                        <w:rPr>
                          <w:sz w:val="48"/>
                          <w:szCs w:val="48"/>
                        </w:rPr>
                        <w:t xml:space="preserve">Contracts and </w:t>
                      </w:r>
                      <w:r w:rsidR="00F30527">
                        <w:rPr>
                          <w:sz w:val="48"/>
                          <w:szCs w:val="48"/>
                        </w:rPr>
                        <w:t>l</w:t>
                      </w:r>
                      <w:r>
                        <w:rPr>
                          <w:sz w:val="48"/>
                          <w:szCs w:val="48"/>
                        </w:rPr>
                        <w:t xml:space="preserve">easing </w:t>
                      </w:r>
                      <w:r w:rsidR="00F30527">
                        <w:rPr>
                          <w:sz w:val="48"/>
                          <w:szCs w:val="48"/>
                        </w:rPr>
                        <w:t>g</w:t>
                      </w:r>
                      <w:r>
                        <w:rPr>
                          <w:sz w:val="48"/>
                          <w:szCs w:val="48"/>
                        </w:rPr>
                        <w:t>uideline</w:t>
                      </w:r>
                    </w:p>
                    <w:p w14:paraId="060B4862" w14:textId="77777777" w:rsidR="008D3F95" w:rsidRDefault="008D3F95" w:rsidP="008D3F95"/>
                    <w:p w14:paraId="79E48D3F" w14:textId="70BA4C52" w:rsidR="008D3F95" w:rsidRPr="00F501F5" w:rsidRDefault="00F30527" w:rsidP="008D3F95">
                      <w:r>
                        <w:t>January</w:t>
                      </w:r>
                      <w:r w:rsidR="008D3F95">
                        <w:t xml:space="preserve"> 202</w:t>
                      </w:r>
                      <w:r>
                        <w:t>5</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356F88BE" wp14:editId="7BA68E5F">
            <wp:simplePos x="0" y="0"/>
            <wp:positionH relativeFrom="margin">
              <wp:posOffset>0</wp:posOffset>
            </wp:positionH>
            <wp:positionV relativeFrom="page">
              <wp:posOffset>1915160</wp:posOffset>
            </wp:positionV>
            <wp:extent cx="6736715" cy="6254115"/>
            <wp:effectExtent l="0" t="0" r="0" b="0"/>
            <wp:wrapTight wrapText="bothSides">
              <wp:wrapPolygon edited="0">
                <wp:start x="1344" y="132"/>
                <wp:lineTo x="1161" y="526"/>
                <wp:lineTo x="1099" y="15659"/>
                <wp:lineTo x="2993" y="16054"/>
                <wp:lineTo x="5864" y="16054"/>
                <wp:lineTo x="5864" y="20264"/>
                <wp:lineTo x="6047" y="20791"/>
                <wp:lineTo x="6108" y="20922"/>
                <wp:lineTo x="20218" y="20922"/>
                <wp:lineTo x="20279" y="20791"/>
                <wp:lineTo x="20462" y="20264"/>
                <wp:lineTo x="20523" y="10593"/>
                <wp:lineTo x="10811" y="9737"/>
                <wp:lineTo x="10750" y="526"/>
                <wp:lineTo x="10506" y="132"/>
                <wp:lineTo x="1344" y="132"/>
              </wp:wrapPolygon>
            </wp:wrapTight>
            <wp:docPr id="670816186"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16186" name="Picture 2" descr="A screenshot of a computer&#10;&#10;Description automatically generated"/>
                    <pic:cNvPicPr/>
                  </pic:nvPicPr>
                  <pic:blipFill rotWithShape="1">
                    <a:blip r:embed="rId9"/>
                    <a:srcRect l="3447" t="19313" r="3712" b="19791"/>
                    <a:stretch/>
                  </pic:blipFill>
                  <pic:spPr bwMode="auto">
                    <a:xfrm>
                      <a:off x="0" y="0"/>
                      <a:ext cx="6736715" cy="6254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0F3E" w:rsidRPr="00531F3B">
        <w:br w:type="page"/>
      </w:r>
    </w:p>
    <w:p w14:paraId="77B07711" w14:textId="3E83BEEF" w:rsidR="005C3EC6" w:rsidRPr="0083291B" w:rsidRDefault="005C3EC6" w:rsidP="00F30527">
      <w:pPr>
        <w:pStyle w:val="Heading1"/>
      </w:pPr>
      <w:bookmarkStart w:id="0" w:name="_Toc181882656"/>
      <w:r>
        <w:t>Disclaimer</w:t>
      </w:r>
      <w:bookmarkEnd w:id="0"/>
    </w:p>
    <w:p w14:paraId="47D4C0DC" w14:textId="77777777" w:rsidR="005C3EC6" w:rsidRPr="00EB4841" w:rsidRDefault="005C3EC6" w:rsidP="005C3EC6">
      <w:pPr>
        <w:spacing w:before="240"/>
        <w:rPr>
          <w:szCs w:val="22"/>
        </w:rPr>
      </w:pPr>
      <w:r w:rsidRPr="00EB4841">
        <w:rPr>
          <w:szCs w:val="22"/>
        </w:rPr>
        <w:t>This</w:t>
      </w:r>
      <w:r w:rsidRPr="00EB4841">
        <w:rPr>
          <w:i/>
          <w:szCs w:val="22"/>
        </w:rPr>
        <w:t xml:space="preserve"> </w:t>
      </w:r>
      <w:r w:rsidRPr="00EB4841">
        <w:rPr>
          <w:szCs w:val="22"/>
        </w:rPr>
        <w:t xml:space="preserve">guideline has been developed by the Clean Energy Regulator (CER) to assist entities to comply with their reporting obligations under the </w:t>
      </w:r>
      <w:hyperlink r:id="rId10" w:history="1">
        <w:r w:rsidRPr="00EB4841">
          <w:rPr>
            <w:rStyle w:val="Hyperlink"/>
            <w:i/>
            <w:szCs w:val="22"/>
          </w:rPr>
          <w:t>National Greenhouse and Energy Reporting Act 2007</w:t>
        </w:r>
      </w:hyperlink>
      <w:bookmarkStart w:id="1" w:name="_Ref105748531"/>
      <w:r w:rsidRPr="00EB4841">
        <w:rPr>
          <w:rStyle w:val="FootnoteReference"/>
          <w:color w:val="000000"/>
          <w:szCs w:val="22"/>
        </w:rPr>
        <w:footnoteReference w:id="2"/>
      </w:r>
      <w:bookmarkEnd w:id="1"/>
      <w:r w:rsidRPr="00EB4841">
        <w:rPr>
          <w:i/>
          <w:szCs w:val="22"/>
        </w:rPr>
        <w:t xml:space="preserve"> </w:t>
      </w:r>
      <w:r w:rsidRPr="00EB4841">
        <w:rPr>
          <w:szCs w:val="22"/>
        </w:rPr>
        <w:t>(NGER Act)</w:t>
      </w:r>
      <w:r w:rsidRPr="00EB4841">
        <w:rPr>
          <w:i/>
          <w:szCs w:val="22"/>
        </w:rPr>
        <w:t xml:space="preserve"> </w:t>
      </w:r>
      <w:r w:rsidRPr="00EB4841">
        <w:rPr>
          <w:szCs w:val="22"/>
        </w:rPr>
        <w:t>and associated legislation.</w:t>
      </w:r>
    </w:p>
    <w:p w14:paraId="47F79129" w14:textId="77777777" w:rsidR="005C3EC6" w:rsidRPr="00EB4841" w:rsidRDefault="005C3EC6" w:rsidP="005C3EC6">
      <w:pPr>
        <w:rPr>
          <w:szCs w:val="22"/>
        </w:rPr>
      </w:pPr>
      <w:r w:rsidRPr="00EB4841">
        <w:rPr>
          <w:szCs w:val="22"/>
        </w:rPr>
        <w:t xml:space="preserve">This guideline should be read in conjunction with the NGER Act, </w:t>
      </w:r>
      <w:hyperlink r:id="rId11" w:history="1">
        <w:r w:rsidRPr="00EB4841">
          <w:rPr>
            <w:rStyle w:val="Hyperlink"/>
            <w:szCs w:val="22"/>
          </w:rPr>
          <w:t>National Greenhouse and Energy Regulations 2008</w:t>
        </w:r>
      </w:hyperlink>
      <w:r w:rsidRPr="00EB4841">
        <w:rPr>
          <w:rStyle w:val="FootnoteReference"/>
          <w:color w:val="000000"/>
          <w:szCs w:val="22"/>
        </w:rPr>
        <w:footnoteReference w:id="3"/>
      </w:r>
      <w:r w:rsidRPr="00EB4841">
        <w:rPr>
          <w:color w:val="000000"/>
          <w:szCs w:val="22"/>
        </w:rPr>
        <w:t xml:space="preserve"> (</w:t>
      </w:r>
      <w:r w:rsidRPr="00EB4841">
        <w:rPr>
          <w:szCs w:val="22"/>
        </w:rPr>
        <w:t xml:space="preserve">NGER Regulations), and </w:t>
      </w:r>
      <w:hyperlink r:id="rId12" w:history="1">
        <w:r w:rsidRPr="00EB4841">
          <w:rPr>
            <w:rStyle w:val="Hyperlink"/>
            <w:szCs w:val="22"/>
          </w:rPr>
          <w:t>National Greenhouse and Energy Reporting (Measurement) Determination 2008</w:t>
        </w:r>
      </w:hyperlink>
      <w:r w:rsidRPr="00EB4841">
        <w:rPr>
          <w:rStyle w:val="FootnoteReference"/>
          <w:color w:val="000000"/>
          <w:szCs w:val="22"/>
        </w:rPr>
        <w:footnoteReference w:id="4"/>
      </w:r>
      <w:r w:rsidRPr="00EB4841">
        <w:rPr>
          <w:szCs w:val="22"/>
        </w:rPr>
        <w:t xml:space="preserve"> (NGER Measurement Determination), </w:t>
      </w:r>
      <w:r w:rsidRPr="00B439D2">
        <w:rPr>
          <w:szCs w:val="22"/>
        </w:rPr>
        <w:t>as in force for this reporting period.</w:t>
      </w:r>
      <w:r w:rsidRPr="008A49C8">
        <w:rPr>
          <w:szCs w:val="22"/>
        </w:rPr>
        <w:t xml:space="preserve"> These</w:t>
      </w:r>
      <w:r w:rsidRPr="00EB4841">
        <w:rPr>
          <w:szCs w:val="22"/>
        </w:rPr>
        <w:t xml:space="preserve"> laws and their interpretation are subject to change, which may affect the accuracy of the information contained in the guideline.</w:t>
      </w:r>
    </w:p>
    <w:p w14:paraId="7F88B88B" w14:textId="4576D8B6" w:rsidR="005C3EC6" w:rsidRPr="00EB4841" w:rsidRDefault="005C3EC6" w:rsidP="005C3EC6">
      <w:pPr>
        <w:rPr>
          <w:szCs w:val="22"/>
        </w:rPr>
      </w:pPr>
      <w:r w:rsidRPr="00EB4841">
        <w:rPr>
          <w:szCs w:val="22"/>
        </w:rPr>
        <w:t xml:space="preserve">The guidance provided in this document is not exhaustive, nor does it consider all circumstances applicable to all entities. This guidance is not intended to comprehensively deal with its subject area, and it is not a substitute for independent legal advice. Although entities are not bound to follow the guidance provided in this document, they must ensure they meet their obligations under the </w:t>
      </w:r>
      <w:hyperlink r:id="rId13" w:history="1">
        <w:r w:rsidRPr="00EB4841">
          <w:rPr>
            <w:rStyle w:val="Hyperlink"/>
            <w:szCs w:val="22"/>
          </w:rPr>
          <w:t>National Greenhouse and Energy Reporting (N</w:t>
        </w:r>
        <w:r w:rsidRPr="00EB4841">
          <w:rPr>
            <w:rStyle w:val="Hyperlink"/>
            <w:szCs w:val="22"/>
          </w:rPr>
          <w:t>G</w:t>
        </w:r>
        <w:r w:rsidRPr="00EB4841">
          <w:rPr>
            <w:rStyle w:val="Hyperlink"/>
            <w:szCs w:val="22"/>
          </w:rPr>
          <w:t xml:space="preserve">ER) </w:t>
        </w:r>
        <w:r w:rsidR="00F8245D">
          <w:rPr>
            <w:rStyle w:val="Hyperlink"/>
            <w:szCs w:val="22"/>
          </w:rPr>
          <w:t>S</w:t>
        </w:r>
        <w:r w:rsidRPr="00EB4841">
          <w:rPr>
            <w:rStyle w:val="Hyperlink"/>
            <w:szCs w:val="22"/>
          </w:rPr>
          <w:t>cheme</w:t>
        </w:r>
      </w:hyperlink>
      <w:r w:rsidRPr="00EB4841">
        <w:rPr>
          <w:rStyle w:val="FootnoteReference"/>
          <w:szCs w:val="22"/>
        </w:rPr>
        <w:footnoteReference w:id="5"/>
      </w:r>
      <w:r w:rsidRPr="00EB4841">
        <w:rPr>
          <w:szCs w:val="22"/>
        </w:rPr>
        <w:t xml:space="preserve"> at all times. The CER encourages all users of this guidance to seek independent legal advice before taking any action or decision </w:t>
      </w:r>
      <w:proofErr w:type="gramStart"/>
      <w:r w:rsidRPr="00EB4841">
        <w:rPr>
          <w:szCs w:val="22"/>
        </w:rPr>
        <w:t>on the basis of</w:t>
      </w:r>
      <w:proofErr w:type="gramEnd"/>
      <w:r w:rsidRPr="00EB4841">
        <w:rPr>
          <w:szCs w:val="22"/>
        </w:rPr>
        <w:t xml:space="preserve"> this guidance.</w:t>
      </w:r>
    </w:p>
    <w:p w14:paraId="3B1CA6DB" w14:textId="77777777" w:rsidR="005C3EC6" w:rsidRPr="00EB4841" w:rsidRDefault="005C3EC6" w:rsidP="005C3EC6">
      <w:pPr>
        <w:rPr>
          <w:szCs w:val="22"/>
        </w:rPr>
      </w:pPr>
      <w:r w:rsidRPr="00EB4841">
        <w:rPr>
          <w:szCs w:val="22"/>
        </w:rPr>
        <w:t>The CER and the Australian Government will not be liable for any loss or damage from any cause (including negligence) whether arising directly, incidentally or as consequential loss, out of or in connection with, any use of this guideline or reliance on it, for any purpose.</w:t>
      </w:r>
    </w:p>
    <w:p w14:paraId="5539EADC" w14:textId="77777777" w:rsidR="005C3EC6" w:rsidRPr="00EB4841" w:rsidRDefault="005C3EC6" w:rsidP="005C3EC6">
      <w:pPr>
        <w:rPr>
          <w:szCs w:val="22"/>
        </w:rPr>
      </w:pPr>
      <w:r w:rsidRPr="00EB4841">
        <w:rPr>
          <w:szCs w:val="22"/>
        </w:rPr>
        <w:t>If an entity chooses to meet their obligations under the NGER scheme in a manner that is inconsistent with the guidance provided in this document, the CER,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29F3E8D1" w14:textId="77777777" w:rsidR="005C3EC6" w:rsidRDefault="005C3EC6" w:rsidP="005C3EC6">
      <w:pPr>
        <w:spacing w:after="0"/>
        <w:rPr>
          <w:rFonts w:eastAsia="Times New Roman"/>
          <w:b/>
          <w:bCs/>
          <w:color w:val="005874"/>
          <w:kern w:val="32"/>
          <w:sz w:val="40"/>
        </w:rPr>
      </w:pPr>
      <w:r>
        <w:br w:type="page"/>
      </w:r>
    </w:p>
    <w:p w14:paraId="18226DEC" w14:textId="79EAA758" w:rsidR="00250193" w:rsidRPr="00250193" w:rsidRDefault="00B55B70" w:rsidP="00F8245D">
      <w:pPr>
        <w:pStyle w:val="Heading1"/>
      </w:pPr>
      <w:bookmarkStart w:id="2" w:name="_Toc181882657"/>
      <w:r w:rsidRPr="00B55B70">
        <w:lastRenderedPageBreak/>
        <w:t>Introduction</w:t>
      </w:r>
      <w:bookmarkEnd w:id="2"/>
      <w:r w:rsidRPr="00B55B70">
        <w:t xml:space="preserve"> </w:t>
      </w:r>
    </w:p>
    <w:p w14:paraId="4900ECD1" w14:textId="77EF53FB" w:rsidR="00CF0121" w:rsidRDefault="00CD5DDD" w:rsidP="482D98C5">
      <w:pPr>
        <w:rPr>
          <w:i/>
          <w:iCs/>
        </w:rPr>
      </w:pPr>
      <w:r>
        <w:t xml:space="preserve">The purpose of this guidance is to assist corporations in identifying </w:t>
      </w:r>
      <w:r w:rsidR="00053D77">
        <w:t>their reporting obligations for contractors and subcontractors</w:t>
      </w:r>
      <w:r>
        <w:t xml:space="preserve"> under the </w:t>
      </w:r>
      <w:r w:rsidRPr="482D98C5">
        <w:rPr>
          <w:i/>
          <w:iCs/>
        </w:rPr>
        <w:t xml:space="preserve">National Greenhouse and Energy Reporting Act 2007 </w:t>
      </w:r>
      <w:r w:rsidR="0020080A">
        <w:t xml:space="preserve">and </w:t>
      </w:r>
      <w:r w:rsidR="0020080A" w:rsidRPr="00F8245D">
        <w:t>National Greenhouse and Energy Reporting Regulations 2008</w:t>
      </w:r>
      <w:r w:rsidRPr="000B235C">
        <w:rPr>
          <w:i/>
          <w:iCs/>
        </w:rPr>
        <w:t>.</w:t>
      </w:r>
    </w:p>
    <w:p w14:paraId="4389D8B4" w14:textId="416F49F3" w:rsidR="00CF0121" w:rsidRPr="008A4282" w:rsidRDefault="00CF0121" w:rsidP="00F8245D">
      <w:pPr>
        <w:pStyle w:val="Heading2"/>
      </w:pPr>
      <w:bookmarkStart w:id="3" w:name="_Toc181882658"/>
      <w:r>
        <w:t xml:space="preserve">NGER </w:t>
      </w:r>
      <w:r w:rsidR="00CC0C4A">
        <w:t xml:space="preserve">legislation </w:t>
      </w:r>
      <w:r w:rsidR="00E8314F">
        <w:t>and</w:t>
      </w:r>
      <w:r>
        <w:t xml:space="preserve"> reporting contractors</w:t>
      </w:r>
      <w:bookmarkEnd w:id="3"/>
    </w:p>
    <w:p w14:paraId="572A15BD" w14:textId="75D390A6" w:rsidR="00CF0121" w:rsidRPr="00111910" w:rsidRDefault="005413D7" w:rsidP="00CF0121">
      <w:pPr>
        <w:pStyle w:val="CERnumbering"/>
        <w:numPr>
          <w:ilvl w:val="0"/>
          <w:numId w:val="0"/>
        </w:numPr>
        <w:rPr>
          <w:szCs w:val="22"/>
        </w:rPr>
      </w:pPr>
      <w:r>
        <w:rPr>
          <w:rStyle w:val="ui-provider"/>
        </w:rPr>
        <w:t xml:space="preserve">Division 2.4 of the </w:t>
      </w:r>
      <w:r w:rsidR="00EA427E">
        <w:t xml:space="preserve">NGER Regulations </w:t>
      </w:r>
      <w:r>
        <w:rPr>
          <w:rStyle w:val="ui-provider"/>
        </w:rPr>
        <w:t>looks at different circumstances in which an activity or activities will 'form a single undertaking or enterprise' for the purposes of section 9 of the NGER Act.</w:t>
      </w:r>
      <w:r w:rsidR="00481B03">
        <w:rPr>
          <w:rStyle w:val="ui-provider"/>
        </w:rPr>
        <w:t xml:space="preserve"> </w:t>
      </w:r>
      <w:r w:rsidR="00D73039">
        <w:rPr>
          <w:rStyle w:val="ui-provider"/>
        </w:rPr>
        <w:t>Many of t</w:t>
      </w:r>
      <w:r>
        <w:rPr>
          <w:rStyle w:val="ui-provider"/>
        </w:rPr>
        <w:t>he</w:t>
      </w:r>
      <w:r w:rsidR="00481B03">
        <w:rPr>
          <w:rStyle w:val="ui-provider"/>
        </w:rPr>
        <w:t>se</w:t>
      </w:r>
      <w:r>
        <w:rPr>
          <w:rStyle w:val="ui-provider"/>
        </w:rPr>
        <w:t xml:space="preserve"> </w:t>
      </w:r>
      <w:r w:rsidRPr="00E0096A">
        <w:rPr>
          <w:rStyle w:val="ui-provider"/>
        </w:rPr>
        <w:t>regulations allow for activities falling within the one sector (and any ancillary activities) to be linked</w:t>
      </w:r>
      <w:r w:rsidR="001E7213">
        <w:rPr>
          <w:rStyle w:val="ui-provider"/>
        </w:rPr>
        <w:t xml:space="preserve">, meaning </w:t>
      </w:r>
      <w:r w:rsidRPr="00E0096A">
        <w:rPr>
          <w:rStyle w:val="ui-provider"/>
        </w:rPr>
        <w:t xml:space="preserve">they </w:t>
      </w:r>
      <w:r w:rsidR="00BD0866">
        <w:rPr>
          <w:rStyle w:val="ui-provider"/>
        </w:rPr>
        <w:t>will</w:t>
      </w:r>
      <w:r w:rsidR="001E7213">
        <w:rPr>
          <w:rStyle w:val="ui-provider"/>
        </w:rPr>
        <w:t xml:space="preserve"> </w:t>
      </w:r>
      <w:r w:rsidRPr="00E0096A">
        <w:rPr>
          <w:rStyle w:val="ui-provider"/>
        </w:rPr>
        <w:t>be treated as a single facility.</w:t>
      </w:r>
      <w:r w:rsidR="00500190">
        <w:rPr>
          <w:rStyle w:val="ui-provider"/>
        </w:rPr>
        <w:t xml:space="preserve"> </w:t>
      </w:r>
      <w:r w:rsidR="00500190">
        <w:rPr>
          <w:szCs w:val="22"/>
        </w:rPr>
        <w:t>T</w:t>
      </w:r>
      <w:r w:rsidR="00CF0121" w:rsidRPr="00E0096A">
        <w:rPr>
          <w:szCs w:val="22"/>
        </w:rPr>
        <w:t>he facility’s reportable activities may</w:t>
      </w:r>
      <w:r w:rsidR="00500190">
        <w:rPr>
          <w:szCs w:val="22"/>
        </w:rPr>
        <w:t xml:space="preserve"> then</w:t>
      </w:r>
      <w:r w:rsidR="00CF0121" w:rsidRPr="00E0096A">
        <w:rPr>
          <w:szCs w:val="22"/>
        </w:rPr>
        <w:t xml:space="preserve"> include external workers, such as contractors, who have been employed to perform activities within the facility.</w:t>
      </w:r>
    </w:p>
    <w:p w14:paraId="3B3A971A" w14:textId="15DE1A12" w:rsidR="001C11C5" w:rsidRDefault="0040477E" w:rsidP="482D98C5">
      <w:pPr>
        <w:pStyle w:val="CERnumbering"/>
        <w:numPr>
          <w:ilvl w:val="0"/>
          <w:numId w:val="0"/>
        </w:numPr>
        <w:rPr>
          <w:lang w:val="en-US"/>
        </w:rPr>
      </w:pPr>
      <w:r>
        <w:rPr>
          <w:lang w:val="en-US"/>
        </w:rPr>
        <w:t>The</w:t>
      </w:r>
      <w:r w:rsidR="00CF0121" w:rsidRPr="482D98C5">
        <w:rPr>
          <w:lang w:val="en-US"/>
        </w:rPr>
        <w:t xml:space="preserve"> </w:t>
      </w:r>
      <w:r w:rsidR="006C3438">
        <w:rPr>
          <w:lang w:val="en-US"/>
        </w:rPr>
        <w:t xml:space="preserve">company </w:t>
      </w:r>
      <w:r w:rsidR="00CF0121" w:rsidRPr="482D98C5">
        <w:rPr>
          <w:lang w:val="en-US"/>
        </w:rPr>
        <w:t xml:space="preserve">that has operational control of a facility is responsible for collecting all greenhouse gas emissions and energy data </w:t>
      </w:r>
      <w:r w:rsidR="00370399">
        <w:rPr>
          <w:lang w:val="en-US"/>
        </w:rPr>
        <w:t>for</w:t>
      </w:r>
      <w:r w:rsidR="00CF0121" w:rsidRPr="482D98C5">
        <w:rPr>
          <w:lang w:val="en-US"/>
        </w:rPr>
        <w:t xml:space="preserve"> that facility. This includes </w:t>
      </w:r>
      <w:r w:rsidR="00814870" w:rsidRPr="482D98C5">
        <w:rPr>
          <w:lang w:val="en-US"/>
        </w:rPr>
        <w:t xml:space="preserve">the activities of contractors and subcontractors </w:t>
      </w:r>
      <w:r w:rsidR="000D2249">
        <w:rPr>
          <w:lang w:val="en-US"/>
        </w:rPr>
        <w:t>and</w:t>
      </w:r>
      <w:r w:rsidR="00814870">
        <w:rPr>
          <w:lang w:val="en-US"/>
        </w:rPr>
        <w:t xml:space="preserve"> their </w:t>
      </w:r>
      <w:r w:rsidR="00CF0121" w:rsidRPr="482D98C5">
        <w:rPr>
          <w:lang w:val="en-US"/>
        </w:rPr>
        <w:t>greenhouse gas emissions, a</w:t>
      </w:r>
      <w:r w:rsidR="00814870">
        <w:rPr>
          <w:lang w:val="en-US"/>
        </w:rPr>
        <w:t>s well as</w:t>
      </w:r>
      <w:r w:rsidR="00CF0121" w:rsidRPr="482D98C5">
        <w:rPr>
          <w:lang w:val="en-US"/>
        </w:rPr>
        <w:t xml:space="preserve"> energy </w:t>
      </w:r>
      <w:r w:rsidR="000D2249">
        <w:rPr>
          <w:lang w:val="en-US"/>
        </w:rPr>
        <w:t xml:space="preserve">they </w:t>
      </w:r>
      <w:r w:rsidR="00CF0121" w:rsidRPr="482D98C5">
        <w:rPr>
          <w:lang w:val="en-US"/>
        </w:rPr>
        <w:t xml:space="preserve">use and produce. </w:t>
      </w:r>
    </w:p>
    <w:p w14:paraId="0490E9AD" w14:textId="6439B7EC" w:rsidR="00CF0121" w:rsidRDefault="00CF0121" w:rsidP="482D98C5">
      <w:pPr>
        <w:pStyle w:val="CERnumbering"/>
        <w:numPr>
          <w:ilvl w:val="0"/>
          <w:numId w:val="0"/>
        </w:numPr>
        <w:rPr>
          <w:lang w:val="en-US"/>
        </w:rPr>
      </w:pPr>
      <w:r w:rsidRPr="482D98C5">
        <w:rPr>
          <w:lang w:val="en-US"/>
        </w:rPr>
        <w:t>Th</w:t>
      </w:r>
      <w:r w:rsidR="00D14E51">
        <w:rPr>
          <w:lang w:val="en-US"/>
        </w:rPr>
        <w:t>is means the</w:t>
      </w:r>
      <w:r w:rsidRPr="482D98C5">
        <w:rPr>
          <w:lang w:val="en-US"/>
        </w:rPr>
        <w:t xml:space="preserve"> </w:t>
      </w:r>
      <w:r w:rsidR="00AC6B27">
        <w:rPr>
          <w:lang w:val="en-US"/>
        </w:rPr>
        <w:t>company</w:t>
      </w:r>
      <w:r w:rsidR="00AC6B27" w:rsidRPr="482D98C5">
        <w:rPr>
          <w:lang w:val="en-US"/>
        </w:rPr>
        <w:t xml:space="preserve"> </w:t>
      </w:r>
      <w:r w:rsidRPr="482D98C5">
        <w:rPr>
          <w:lang w:val="en-US"/>
        </w:rPr>
        <w:t xml:space="preserve">with operational control is responsible for collecting contractor data and incorporating the data in its own </w:t>
      </w:r>
      <w:r w:rsidR="00AC6B27">
        <w:rPr>
          <w:lang w:val="en-US"/>
        </w:rPr>
        <w:t xml:space="preserve">NGER </w:t>
      </w:r>
      <w:r w:rsidRPr="482D98C5">
        <w:rPr>
          <w:lang w:val="en-US"/>
        </w:rPr>
        <w:t>report.</w:t>
      </w:r>
    </w:p>
    <w:p w14:paraId="5C53B6E3" w14:textId="39D5E71E" w:rsidR="00713601" w:rsidRDefault="00713601" w:rsidP="000D664D">
      <w:pPr>
        <w:pStyle w:val="CERnumbering"/>
        <w:numPr>
          <w:ilvl w:val="0"/>
          <w:numId w:val="0"/>
        </w:numPr>
      </w:pPr>
      <w:r>
        <w:t>In addition to reporting your contractor’s activities as part of your facility’s detailed activity data, you may also need to provide additional details about your contractor</w:t>
      </w:r>
      <w:r w:rsidR="003B1BCB">
        <w:t>.</w:t>
      </w:r>
      <w:r>
        <w:t xml:space="preserve"> </w:t>
      </w:r>
      <w:r w:rsidR="003B1BCB">
        <w:t xml:space="preserve">This will be required </w:t>
      </w:r>
      <w:r>
        <w:t xml:space="preserve">if the activities </w:t>
      </w:r>
      <w:r w:rsidR="003B1BCB">
        <w:t xml:space="preserve">they </w:t>
      </w:r>
      <w:r>
        <w:t xml:space="preserve">perform at your facility meet the thresholds listed under Regulation 4.30. </w:t>
      </w:r>
    </w:p>
    <w:p w14:paraId="28A2B651" w14:textId="62D6D206" w:rsidR="0050426B" w:rsidRPr="00541D9C" w:rsidRDefault="0050426B" w:rsidP="00F8245D">
      <w:pPr>
        <w:pStyle w:val="Heading2"/>
        <w:rPr>
          <w:rFonts w:eastAsiaTheme="majorEastAsia"/>
        </w:rPr>
      </w:pPr>
      <w:bookmarkStart w:id="4" w:name="_Toc181882659"/>
      <w:r w:rsidRPr="00541D9C">
        <w:rPr>
          <w:rFonts w:eastAsiaTheme="majorEastAsia"/>
        </w:rPr>
        <w:t xml:space="preserve">How </w:t>
      </w:r>
      <w:r w:rsidR="0092091E">
        <w:rPr>
          <w:rFonts w:eastAsiaTheme="majorEastAsia"/>
        </w:rPr>
        <w:t>to</w:t>
      </w:r>
      <w:r w:rsidRPr="00B0356C">
        <w:rPr>
          <w:rFonts w:eastAsiaTheme="majorEastAsia"/>
        </w:rPr>
        <w:t xml:space="preserve"> determine </w:t>
      </w:r>
      <w:r w:rsidR="00C35862">
        <w:rPr>
          <w:rFonts w:eastAsiaTheme="majorEastAsia"/>
        </w:rPr>
        <w:t>if</w:t>
      </w:r>
      <w:r w:rsidRPr="00541D9C">
        <w:rPr>
          <w:rFonts w:eastAsiaTheme="majorEastAsia"/>
        </w:rPr>
        <w:t xml:space="preserve"> contractors should be </w:t>
      </w:r>
      <w:r w:rsidR="0025382B">
        <w:rPr>
          <w:rFonts w:eastAsiaTheme="majorEastAsia"/>
        </w:rPr>
        <w:t xml:space="preserve">part of an NGER </w:t>
      </w:r>
      <w:r w:rsidRPr="00541D9C">
        <w:rPr>
          <w:rFonts w:eastAsiaTheme="majorEastAsia"/>
        </w:rPr>
        <w:t>report</w:t>
      </w:r>
      <w:bookmarkEnd w:id="4"/>
    </w:p>
    <w:p w14:paraId="05390564" w14:textId="62518C41" w:rsidR="0050426B" w:rsidRPr="00111910" w:rsidRDefault="00B52ED0" w:rsidP="0050426B">
      <w:pPr>
        <w:pStyle w:val="CERnumbering"/>
        <w:numPr>
          <w:ilvl w:val="0"/>
          <w:numId w:val="0"/>
        </w:numPr>
        <w:rPr>
          <w:b/>
          <w:bCs/>
          <w:szCs w:val="22"/>
        </w:rPr>
      </w:pPr>
      <w:r>
        <w:rPr>
          <w:szCs w:val="22"/>
          <w:lang w:val="en-US"/>
        </w:rPr>
        <w:t>A company</w:t>
      </w:r>
      <w:r w:rsidR="0050426B" w:rsidRPr="00111910">
        <w:rPr>
          <w:szCs w:val="22"/>
          <w:lang w:val="en-US"/>
        </w:rPr>
        <w:t xml:space="preserve"> should take t</w:t>
      </w:r>
      <w:r w:rsidR="00D07968">
        <w:rPr>
          <w:szCs w:val="22"/>
          <w:lang w:val="en-US"/>
        </w:rPr>
        <w:t>he following steps to</w:t>
      </w:r>
      <w:r w:rsidR="0050426B" w:rsidRPr="00111910">
        <w:rPr>
          <w:szCs w:val="22"/>
          <w:lang w:val="en-US"/>
        </w:rPr>
        <w:t xml:space="preserve"> determine if contractors should be reported as a part of a facility:</w:t>
      </w:r>
    </w:p>
    <w:p w14:paraId="77907723" w14:textId="161E0EDE" w:rsidR="0050426B" w:rsidRPr="00111910" w:rsidRDefault="0025382B" w:rsidP="0050426B">
      <w:pPr>
        <w:pStyle w:val="CERbullets"/>
      </w:pPr>
      <w:r>
        <w:t>i</w:t>
      </w:r>
      <w:r w:rsidR="0050426B" w:rsidRPr="00111910">
        <w:t>dentify all contractors working at the facility</w:t>
      </w:r>
    </w:p>
    <w:p w14:paraId="7C376130" w14:textId="523ABB6B" w:rsidR="0050426B" w:rsidRPr="00111910" w:rsidRDefault="0025382B" w:rsidP="0050426B">
      <w:pPr>
        <w:pStyle w:val="CERbullets"/>
      </w:pPr>
      <w:r>
        <w:t>d</w:t>
      </w:r>
      <w:r w:rsidR="0050426B" w:rsidRPr="00111910">
        <w:t>etermine if contractor activities form part of the facility</w:t>
      </w:r>
    </w:p>
    <w:p w14:paraId="739868CB" w14:textId="1D4C471C" w:rsidR="0050426B" w:rsidRPr="00111910" w:rsidRDefault="0025382B" w:rsidP="0050426B">
      <w:pPr>
        <w:pStyle w:val="CERbullets"/>
      </w:pPr>
      <w:r>
        <w:t>c</w:t>
      </w:r>
      <w:r w:rsidR="0050426B" w:rsidRPr="00111910">
        <w:t xml:space="preserve">ollect </w:t>
      </w:r>
      <w:r w:rsidR="0050426B" w:rsidRPr="00111910">
        <w:rPr>
          <w:lang w:val="en-US"/>
        </w:rPr>
        <w:t>greenhouse gas emissions, energy consumption and energy production data from all contractors that form part of the facility</w:t>
      </w:r>
    </w:p>
    <w:p w14:paraId="38F9256A" w14:textId="69D66C9D" w:rsidR="0050426B" w:rsidRPr="00111910" w:rsidRDefault="0025382B" w:rsidP="0050426B">
      <w:pPr>
        <w:pStyle w:val="CERbullets"/>
      </w:pPr>
      <w:r>
        <w:rPr>
          <w:lang w:val="en-US"/>
        </w:rPr>
        <w:t>c</w:t>
      </w:r>
      <w:r w:rsidR="0050426B" w:rsidRPr="00111910">
        <w:rPr>
          <w:lang w:val="en-US"/>
        </w:rPr>
        <w:t>ombine contractor data with the emissions and energy data from activities attributable to the company with operational control over the facility</w:t>
      </w:r>
    </w:p>
    <w:p w14:paraId="34F857A5" w14:textId="158CB6AB" w:rsidR="005B0052" w:rsidRPr="00541D9C" w:rsidRDefault="0025382B">
      <w:pPr>
        <w:pStyle w:val="CERbullets"/>
      </w:pPr>
      <w:r w:rsidRPr="7C8821F1">
        <w:rPr>
          <w:lang w:val="en-US"/>
        </w:rPr>
        <w:t>d</w:t>
      </w:r>
      <w:r w:rsidR="0050426B" w:rsidRPr="7C8821F1">
        <w:rPr>
          <w:lang w:val="en-US"/>
        </w:rPr>
        <w:t>etermine if any contractors meet the additional contractor reporting information</w:t>
      </w:r>
      <w:r w:rsidR="000B011E" w:rsidRPr="7C8821F1">
        <w:rPr>
          <w:lang w:val="en-US"/>
        </w:rPr>
        <w:t xml:space="preserve"> under</w:t>
      </w:r>
      <w:r w:rsidR="0050426B" w:rsidRPr="7C8821F1">
        <w:rPr>
          <w:lang w:val="en-US"/>
        </w:rPr>
        <w:t xml:space="preserve"> </w:t>
      </w:r>
      <w:r w:rsidR="00407ABD" w:rsidRPr="7C8821F1">
        <w:rPr>
          <w:lang w:val="en-US"/>
        </w:rPr>
        <w:t>r</w:t>
      </w:r>
      <w:r w:rsidR="0050426B" w:rsidRPr="7C8821F1">
        <w:rPr>
          <w:lang w:val="en-US"/>
        </w:rPr>
        <w:t xml:space="preserve">egulation 4.30 </w:t>
      </w:r>
      <w:r w:rsidR="0063491F" w:rsidRPr="7C8821F1">
        <w:rPr>
          <w:lang w:val="en-US"/>
        </w:rPr>
        <w:t xml:space="preserve">of the NGER Act </w:t>
      </w:r>
      <w:r w:rsidR="0050426B" w:rsidRPr="7C8821F1">
        <w:rPr>
          <w:lang w:val="en-US"/>
        </w:rPr>
        <w:t>and report this as required.</w:t>
      </w:r>
      <w:r w:rsidR="000830D2" w:rsidRPr="7C8821F1">
        <w:rPr>
          <w:lang w:val="en-US"/>
        </w:rPr>
        <w:t xml:space="preserve"> </w:t>
      </w:r>
    </w:p>
    <w:p w14:paraId="0A9A9643" w14:textId="423CE3B4" w:rsidR="000830D2" w:rsidRDefault="000830D2" w:rsidP="00541D9C">
      <w:pPr>
        <w:pStyle w:val="CERbullets"/>
        <w:numPr>
          <w:ilvl w:val="0"/>
          <w:numId w:val="0"/>
        </w:numPr>
      </w:pPr>
      <w:r>
        <w:t xml:space="preserve">For more information, refer to </w:t>
      </w:r>
      <w:r w:rsidRPr="00407ABD">
        <w:fldChar w:fldCharType="begin"/>
      </w:r>
      <w:r w:rsidRPr="00407ABD">
        <w:instrText xml:space="preserve"> REF _Ref168650290 \h  \* MERGEFORMAT </w:instrText>
      </w:r>
      <w:r w:rsidRPr="00407ABD">
        <w:fldChar w:fldCharType="separate"/>
      </w:r>
      <w:r w:rsidRPr="00407ABD">
        <w:t>Contractors that meet NGER thresholds</w:t>
      </w:r>
      <w:r w:rsidRPr="00407ABD">
        <w:fldChar w:fldCharType="end"/>
      </w:r>
      <w:r w:rsidRPr="00407ABD">
        <w:t>.</w:t>
      </w:r>
    </w:p>
    <w:p w14:paraId="61032ADA" w14:textId="14F51A8E" w:rsidR="00713601" w:rsidRPr="00111910" w:rsidRDefault="00CC0C4A" w:rsidP="00F85E9E">
      <w:pPr>
        <w:pStyle w:val="Heading3"/>
      </w:pPr>
      <w:bookmarkStart w:id="5" w:name="_Toc181882660"/>
      <w:r w:rsidRPr="00407ABD">
        <w:t>Example</w:t>
      </w:r>
      <w:r w:rsidR="00C50692">
        <w:t>s</w:t>
      </w:r>
      <w:bookmarkEnd w:id="5"/>
    </w:p>
    <w:p w14:paraId="0AAEE0A9" w14:textId="71C27E3F" w:rsidR="00C50692" w:rsidRDefault="00C50692" w:rsidP="00F85E9E">
      <w:pPr>
        <w:pStyle w:val="Heading4"/>
      </w:pPr>
      <w:r w:rsidRPr="00F85E9E">
        <w:t>Single site</w:t>
      </w:r>
      <w:r w:rsidR="00376879">
        <w:t xml:space="preserve"> facility</w:t>
      </w:r>
    </w:p>
    <w:p w14:paraId="7F94714B" w14:textId="28F4222A" w:rsidR="00944C41" w:rsidRDefault="00E21362" w:rsidP="482D98C5">
      <w:pPr>
        <w:pStyle w:val="BodyText1"/>
      </w:pPr>
      <w:r>
        <w:t>‘</w:t>
      </w:r>
      <w:r w:rsidR="0048272A">
        <w:t>Mining Company</w:t>
      </w:r>
      <w:r w:rsidR="00F310B5">
        <w:t xml:space="preserve"> </w:t>
      </w:r>
      <w:r w:rsidR="00B15EBA">
        <w:t>A</w:t>
      </w:r>
      <w:r>
        <w:t>’</w:t>
      </w:r>
      <w:r w:rsidR="00F310B5">
        <w:t xml:space="preserve"> mines and </w:t>
      </w:r>
      <w:r w:rsidR="004F6579">
        <w:t>processes mineral ore at a single site. A contracto</w:t>
      </w:r>
      <w:r w:rsidR="00F519C4">
        <w:t>r provides transport of the ore from the mine to the processing plant.</w:t>
      </w:r>
      <w:r w:rsidR="00A5489C">
        <w:t xml:space="preserve"> </w:t>
      </w:r>
      <w:r w:rsidR="00944C41">
        <w:t xml:space="preserve">Together these activities </w:t>
      </w:r>
      <w:r w:rsidR="004B0C05">
        <w:t>make up a facility.</w:t>
      </w:r>
    </w:p>
    <w:p w14:paraId="6E202845" w14:textId="1C454391" w:rsidR="002C4613" w:rsidRDefault="00F53469" w:rsidP="482D98C5">
      <w:pPr>
        <w:pStyle w:val="BodyText1"/>
      </w:pPr>
      <w:r>
        <w:t xml:space="preserve">Mining </w:t>
      </w:r>
      <w:r w:rsidR="00C74921">
        <w:t xml:space="preserve">Company </w:t>
      </w:r>
      <w:r w:rsidR="00AD3093">
        <w:t xml:space="preserve">A </w:t>
      </w:r>
      <w:r w:rsidR="00521B98">
        <w:t xml:space="preserve">has </w:t>
      </w:r>
      <w:r w:rsidR="00A34690">
        <w:t>operational</w:t>
      </w:r>
      <w:r w:rsidR="00521B98">
        <w:t xml:space="preserve"> control of the facility</w:t>
      </w:r>
      <w:r w:rsidR="00A34690">
        <w:t xml:space="preserve"> a</w:t>
      </w:r>
      <w:r w:rsidR="00521B98">
        <w:t xml:space="preserve">nd </w:t>
      </w:r>
      <w:r w:rsidR="00A34690">
        <w:t xml:space="preserve">is </w:t>
      </w:r>
      <w:r w:rsidR="00066D5F">
        <w:t>required to report the emissions and energy associated with the contractor's deliveries</w:t>
      </w:r>
      <w:r w:rsidR="00287780">
        <w:t>.</w:t>
      </w:r>
    </w:p>
    <w:p w14:paraId="0E393F13" w14:textId="42AF32BA" w:rsidR="00C50692" w:rsidRDefault="00C50692" w:rsidP="00F85E9E">
      <w:pPr>
        <w:pStyle w:val="Heading4"/>
      </w:pPr>
      <w:r>
        <w:t>Transport facility</w:t>
      </w:r>
    </w:p>
    <w:p w14:paraId="52D3BAD5" w14:textId="47F13FDE" w:rsidR="00C663BF" w:rsidRDefault="00C663BF" w:rsidP="482D98C5">
      <w:pPr>
        <w:pStyle w:val="BodyText1"/>
        <w:rPr>
          <w:b/>
          <w:bCs/>
          <w:sz w:val="28"/>
          <w:szCs w:val="28"/>
        </w:rPr>
      </w:pPr>
      <w:r>
        <w:t xml:space="preserve">'Transport Company A' uses a subcontractor to move some of its freight. Applying the concept of overall control, if Transport Company A was deemed to have overall control of the subcontractor's activities </w:t>
      </w:r>
      <w:r w:rsidR="00B360F4">
        <w:t>for</w:t>
      </w:r>
      <w:r>
        <w:t xml:space="preserve"> the facility, then Transport Company A would be required to report the emissions and energy associated with the subcontractor's deliveries. </w:t>
      </w:r>
    </w:p>
    <w:p w14:paraId="6E1F4143" w14:textId="042EA09F" w:rsidR="00C663BF" w:rsidRDefault="00C663BF" w:rsidP="00E56087">
      <w:pPr>
        <w:pStyle w:val="BodyText1"/>
        <w:jc w:val="center"/>
      </w:pPr>
      <w:r>
        <w:rPr>
          <w:noProof/>
        </w:rPr>
        <w:drawing>
          <wp:inline distT="0" distB="0" distL="0" distR="0" wp14:anchorId="0B6ABEFF" wp14:editId="5E146E2F">
            <wp:extent cx="5594223" cy="22479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4"/>
                    <a:srcRect t="20612" b="50970"/>
                    <a:stretch/>
                  </pic:blipFill>
                  <pic:spPr bwMode="auto">
                    <a:xfrm>
                      <a:off x="0" y="0"/>
                      <a:ext cx="5618225" cy="2257545"/>
                    </a:xfrm>
                    <a:prstGeom prst="rect">
                      <a:avLst/>
                    </a:prstGeom>
                    <a:ln>
                      <a:noFill/>
                    </a:ln>
                    <a:extLst>
                      <a:ext uri="{53640926-AAD7-44D8-BBD7-CCE9431645EC}">
                        <a14:shadowObscured xmlns:a14="http://schemas.microsoft.com/office/drawing/2010/main"/>
                      </a:ext>
                    </a:extLst>
                  </pic:spPr>
                </pic:pic>
              </a:graphicData>
            </a:graphic>
          </wp:inline>
        </w:drawing>
      </w:r>
    </w:p>
    <w:p w14:paraId="00CE0371" w14:textId="5BCC4B02" w:rsidR="00C663BF" w:rsidRDefault="00C663BF" w:rsidP="00C663BF">
      <w:r>
        <w:t xml:space="preserve">The subcontractor may also carry out activities for another corporation, Transport Company B, independently of Transport Company A. In this scenario, the concept of overall control would need to be applied again between Transport Company B and the subcontractor. </w:t>
      </w:r>
    </w:p>
    <w:p w14:paraId="52B73867" w14:textId="77777777" w:rsidR="00C663BF" w:rsidRDefault="00C663BF" w:rsidP="00C663BF">
      <w:r>
        <w:t>When overall control has been applied and the facility boundary is defined, the term ‘operational control’ is used. Operational control is the same as overall control except it relates to an entire facility while overall control relates to activities that constitute the facility.</w:t>
      </w:r>
    </w:p>
    <w:p w14:paraId="44A0B475" w14:textId="2F25EAC1" w:rsidR="00A21E39" w:rsidRPr="0086740F" w:rsidRDefault="007110D4" w:rsidP="0086740F">
      <w:pPr>
        <w:pStyle w:val="Heading3"/>
        <w:rPr>
          <w:b w:val="0"/>
          <w:bCs w:val="0"/>
        </w:rPr>
      </w:pPr>
      <w:bookmarkStart w:id="6" w:name="_Toc181882661"/>
      <w:r w:rsidRPr="003E6A5D">
        <w:t xml:space="preserve">Other contractor </w:t>
      </w:r>
      <w:r w:rsidR="00EC6337" w:rsidRPr="003E6A5D">
        <w:t>scenarios</w:t>
      </w:r>
      <w:bookmarkEnd w:id="6"/>
    </w:p>
    <w:p w14:paraId="25C69E6D" w14:textId="77777777" w:rsidR="00183238" w:rsidRPr="00F8245D" w:rsidRDefault="00183238" w:rsidP="00F8245D">
      <w:pPr>
        <w:pStyle w:val="Heading4"/>
      </w:pPr>
      <w:r w:rsidRPr="0086740F">
        <w:t>Third party managers or operators</w:t>
      </w:r>
    </w:p>
    <w:p w14:paraId="4FB88BFF" w14:textId="7D56BE3C" w:rsidR="00183238" w:rsidRDefault="00A077EA" w:rsidP="00183238">
      <w:pPr>
        <w:pStyle w:val="BodyText1"/>
      </w:pPr>
      <w:r>
        <w:t>The conditions specified in a contract will determine w</w:t>
      </w:r>
      <w:r w:rsidR="00493268">
        <w:t>ho is required to report wh</w:t>
      </w:r>
      <w:r>
        <w:t>en</w:t>
      </w:r>
      <w:r w:rsidR="00493268">
        <w:t xml:space="preserve"> there is a </w:t>
      </w:r>
      <w:r w:rsidR="00EC6337">
        <w:t>third-party</w:t>
      </w:r>
      <w:r w:rsidR="00493268">
        <w:t xml:space="preserve"> contractor or operator. </w:t>
      </w:r>
      <w:r w:rsidR="00774427">
        <w:t>Normally t</w:t>
      </w:r>
      <w:r w:rsidR="00183238">
        <w:t>he authority to introduce policies is expected to be shared between the owner and the manager or operator. The greatest authority to introduce policies is dependent on the contractual relationship</w:t>
      </w:r>
      <w:r w:rsidR="00A273A7">
        <w:t xml:space="preserve">. </w:t>
      </w:r>
      <w:r w:rsidR="00183238">
        <w:t>In some circumstances the greatest authority will rest with the facility manager as the corporation with day-to</w:t>
      </w:r>
      <w:r w:rsidR="00A633C0">
        <w:t>-</w:t>
      </w:r>
      <w:r w:rsidR="00183238">
        <w:t>day on-site managerial responsibility. This is, however, balanced against the ability to introduce operating and environmental policies, which may rest with the owner.</w:t>
      </w:r>
    </w:p>
    <w:p w14:paraId="75DF8BA7" w14:textId="0006FDE9" w:rsidR="00183238" w:rsidRDefault="00F8245D" w:rsidP="00183238">
      <w:pPr>
        <w:pStyle w:val="BodyText1"/>
      </w:pPr>
      <w:r>
        <w:t>S</w:t>
      </w:r>
      <w:r w:rsidR="00183238">
        <w:t xml:space="preserve">ee the </w:t>
      </w:r>
      <w:r w:rsidR="00E0096A" w:rsidRPr="0086740F">
        <w:t>Operational control supplementary guideline</w:t>
      </w:r>
      <w:r w:rsidR="00E0096A">
        <w:t xml:space="preserve"> on our website</w:t>
      </w:r>
      <w:r w:rsidR="00183238">
        <w:t>.</w:t>
      </w:r>
    </w:p>
    <w:p w14:paraId="471B3904" w14:textId="76909046" w:rsidR="001533DB" w:rsidRPr="0086740F" w:rsidRDefault="001533DB" w:rsidP="0086740F">
      <w:pPr>
        <w:pStyle w:val="Heading4"/>
        <w:rPr>
          <w:b w:val="0"/>
        </w:rPr>
      </w:pPr>
      <w:r w:rsidRPr="0086740F">
        <w:t xml:space="preserve">Leasing </w:t>
      </w:r>
      <w:r w:rsidR="00F8245D">
        <w:t>–</w:t>
      </w:r>
      <w:r w:rsidR="00A41CBA">
        <w:t xml:space="preserve"> </w:t>
      </w:r>
      <w:r w:rsidRPr="00B0356C">
        <w:t>novated leases and salary packaged vehicles</w:t>
      </w:r>
    </w:p>
    <w:p w14:paraId="00A6D319" w14:textId="77777777" w:rsidR="00C9054F" w:rsidRDefault="001533DB" w:rsidP="001533DB">
      <w:pPr>
        <w:pStyle w:val="BodyText1"/>
      </w:pPr>
      <w:r>
        <w:t>Where corporations have their own vehicle fleets that are used in day-to-day operations and/or those purchased for employees under a novated lease (salary packaged), overall control is applied to determine reporting responsibility.</w:t>
      </w:r>
    </w:p>
    <w:p w14:paraId="38DBDED7" w14:textId="6C5C8518" w:rsidR="00C9054F" w:rsidRDefault="00C9054F" w:rsidP="001533DB">
      <w:pPr>
        <w:pStyle w:val="BodyText1"/>
      </w:pPr>
      <w:r>
        <w:t xml:space="preserve">If a vehicle purchased or leased by the corporation is used mainly for activities associated with the operation of the facility, it would fall within the </w:t>
      </w:r>
      <w:r w:rsidR="004465CC">
        <w:t xml:space="preserve">definition of </w:t>
      </w:r>
      <w:r w:rsidR="00A412F5">
        <w:t>the</w:t>
      </w:r>
      <w:r>
        <w:t xml:space="preserve"> facility</w:t>
      </w:r>
      <w:r w:rsidR="00EE6699">
        <w:t>. T</w:t>
      </w:r>
      <w:r>
        <w:t>he emissions and energy consumption from this vehicle must be reported by the controlling corporation.</w:t>
      </w:r>
    </w:p>
    <w:p w14:paraId="7A673434" w14:textId="346AE4E7" w:rsidR="001533DB" w:rsidRDefault="001533DB" w:rsidP="001533DB">
      <w:pPr>
        <w:pStyle w:val="BodyText1"/>
      </w:pPr>
      <w:r>
        <w:t xml:space="preserve">If the employee has overall control of the salary packaged vehicle, it </w:t>
      </w:r>
      <w:r w:rsidR="00C9054F">
        <w:t>will</w:t>
      </w:r>
      <w:r>
        <w:t xml:space="preserve"> fall outside the </w:t>
      </w:r>
      <w:r w:rsidR="00A412F5">
        <w:t>definition of the</w:t>
      </w:r>
      <w:r>
        <w:t xml:space="preserve"> facility</w:t>
      </w:r>
      <w:r w:rsidR="00C9054F">
        <w:t>. The</w:t>
      </w:r>
      <w:r>
        <w:t xml:space="preserve"> emissions and energy consumption from this vehicle would not be reported. </w:t>
      </w:r>
    </w:p>
    <w:p w14:paraId="2D817AD3" w14:textId="2D2B107D" w:rsidR="00E2712A" w:rsidRPr="00F8245D" w:rsidRDefault="00E2712A" w:rsidP="00F8245D">
      <w:pPr>
        <w:pStyle w:val="Heading2"/>
      </w:pPr>
      <w:bookmarkStart w:id="7" w:name="_Toc181882662"/>
      <w:r w:rsidRPr="00213253">
        <w:rPr>
          <w:rFonts w:eastAsia="Cambria"/>
        </w:rPr>
        <w:t>Reporting contractor activities</w:t>
      </w:r>
      <w:bookmarkEnd w:id="7"/>
    </w:p>
    <w:p w14:paraId="0BD4A631" w14:textId="0DE60598" w:rsidR="00C663BF" w:rsidRDefault="008C7DFE" w:rsidP="00F8245D">
      <w:pPr>
        <w:pStyle w:val="Heading3"/>
      </w:pPr>
      <w:r>
        <w:t>Reporting minor activities</w:t>
      </w:r>
    </w:p>
    <w:p w14:paraId="1B842A6D" w14:textId="0AA4A23A" w:rsidR="00C663BF" w:rsidRPr="00111910" w:rsidRDefault="00C663BF" w:rsidP="00C663BF">
      <w:pPr>
        <w:pStyle w:val="CERnumbering"/>
        <w:numPr>
          <w:ilvl w:val="0"/>
          <w:numId w:val="0"/>
        </w:numPr>
      </w:pPr>
      <w:r>
        <w:t xml:space="preserve">If the </w:t>
      </w:r>
      <w:r w:rsidRPr="482D98C5">
        <w:rPr>
          <w:lang w:val="en-US"/>
        </w:rPr>
        <w:t>greenhouse gas emissions, energy consumption, or energy production attributable to contractor activities are relatively minor in comparison to the facility’s emissions and energy totals</w:t>
      </w:r>
      <w:r w:rsidR="00E63DE4">
        <w:rPr>
          <w:lang w:val="en-US"/>
        </w:rPr>
        <w:t>,</w:t>
      </w:r>
      <w:r w:rsidRPr="482D98C5">
        <w:rPr>
          <w:lang w:val="en-US"/>
        </w:rPr>
        <w:t xml:space="preserve"> it may be possible to use incidental reporting under </w:t>
      </w:r>
      <w:r w:rsidR="002164DE" w:rsidRPr="482D98C5">
        <w:rPr>
          <w:lang w:val="en-US"/>
        </w:rPr>
        <w:t xml:space="preserve">Regulation </w:t>
      </w:r>
      <w:r w:rsidRPr="482D98C5">
        <w:rPr>
          <w:lang w:val="en-US"/>
        </w:rPr>
        <w:t>4.27. This allows you to use your own method of estimation rather than a prescribed method in the Determination.</w:t>
      </w:r>
    </w:p>
    <w:p w14:paraId="385C54AA" w14:textId="07F09346" w:rsidR="00C663BF" w:rsidRPr="00111910" w:rsidRDefault="00C663BF" w:rsidP="00C663BF">
      <w:pPr>
        <w:pStyle w:val="CERnumbering"/>
        <w:numPr>
          <w:ilvl w:val="0"/>
          <w:numId w:val="0"/>
        </w:numPr>
      </w:pPr>
      <w:r>
        <w:t>The limits on the quantities of emissions and energy that can be reported using incidental provisions are provided in</w:t>
      </w:r>
      <w:r w:rsidR="002164DE">
        <w:t xml:space="preserve"> Regulation 4.27</w:t>
      </w:r>
      <w:r>
        <w:t>. Using the incidental method reduces the amount of information you need to include in your report about an activity.</w:t>
      </w:r>
    </w:p>
    <w:p w14:paraId="3FB6D23E" w14:textId="0E198611" w:rsidR="000033BE" w:rsidRDefault="00C663BF" w:rsidP="00C663BF">
      <w:pPr>
        <w:pStyle w:val="CERnumbering"/>
        <w:numPr>
          <w:ilvl w:val="0"/>
          <w:numId w:val="0"/>
        </w:numPr>
      </w:pPr>
      <w:r w:rsidRPr="482D98C5">
        <w:t xml:space="preserve">For more information on how to use the incidental method, please see the </w:t>
      </w:r>
      <w:r w:rsidR="001C69C6" w:rsidRPr="00213253">
        <w:t>Aggregated facility reporting, percentage estimates and incidental emissions and energy guideline on our website.</w:t>
      </w:r>
    </w:p>
    <w:p w14:paraId="47D4377E" w14:textId="77777777" w:rsidR="000033BE" w:rsidRDefault="002D2FEC" w:rsidP="00F8245D">
      <w:pPr>
        <w:pStyle w:val="Heading3"/>
      </w:pPr>
      <w:bookmarkStart w:id="8" w:name="_Ref168650290"/>
      <w:r w:rsidRPr="00213253">
        <w:t>Contractors that meet NGER thresholds</w:t>
      </w:r>
      <w:bookmarkEnd w:id="8"/>
    </w:p>
    <w:p w14:paraId="288D0C33" w14:textId="01A2A6EA" w:rsidR="00A47FE7" w:rsidRDefault="002D2FEC" w:rsidP="00F85E9E">
      <w:r>
        <w:t xml:space="preserve">In cases where contractors meet </w:t>
      </w:r>
      <w:r w:rsidR="00D16DF8">
        <w:t xml:space="preserve">an </w:t>
      </w:r>
      <w:r>
        <w:t xml:space="preserve">NGER threshold, they are required to report emissions and energy from all facilities under their operational control. In these scenarios, ‘double counting’ should be avoided if the concepts of overall control and operational control are applied correctly and consistently. </w:t>
      </w:r>
    </w:p>
    <w:p w14:paraId="6BD832C2" w14:textId="495E1606" w:rsidR="0069547B" w:rsidRDefault="002D2FEC" w:rsidP="002D2FEC">
      <w:pPr>
        <w:pStyle w:val="BodyText1"/>
      </w:pPr>
      <w:r>
        <w:t xml:space="preserve">For example, if Contractor A carries out an activity for Corporation B which is deemed under the overall control of Corporation B, then the emissions and energy associated with the activity will be reported by Corporation B, which has operational control of the facility. These emissions and energy are only counted once, by Corporation B, and are </w:t>
      </w:r>
      <w:r w:rsidR="00111600">
        <w:t>only</w:t>
      </w:r>
      <w:r>
        <w:t xml:space="preserve"> included in Corporation B's NGER report. </w:t>
      </w:r>
    </w:p>
    <w:p w14:paraId="31B2E364" w14:textId="397FB22E" w:rsidR="002D2FEC" w:rsidRDefault="002D2FEC" w:rsidP="002D2FEC">
      <w:pPr>
        <w:pStyle w:val="BodyText1"/>
      </w:pPr>
      <w:r>
        <w:t xml:space="preserve">The concepts of overall control and operational control are applied on a case-by-case basis. Overall control is applied to activities to determine if associated emissions and energy fall inside the </w:t>
      </w:r>
      <w:r w:rsidR="002818E8">
        <w:t>definition of the</w:t>
      </w:r>
      <w:r>
        <w:t xml:space="preserve"> facility. The reporting obligation lies with the corporation with operational control of the facility.</w:t>
      </w:r>
    </w:p>
    <w:p w14:paraId="7321FE4F" w14:textId="1AF0675A" w:rsidR="00AE62D4" w:rsidRDefault="007E2B86" w:rsidP="00AE62D4">
      <w:pPr>
        <w:pStyle w:val="CERnumbering"/>
        <w:numPr>
          <w:ilvl w:val="0"/>
          <w:numId w:val="0"/>
        </w:numPr>
      </w:pPr>
      <w:r>
        <w:t xml:space="preserve">Reporting </w:t>
      </w:r>
      <w:r w:rsidR="004D390F">
        <w:t xml:space="preserve">on contractor activity </w:t>
      </w:r>
      <w:r>
        <w:t>must be undertaken</w:t>
      </w:r>
      <w:r w:rsidR="00AE62D4">
        <w:t xml:space="preserve"> when the contractor’s activities </w:t>
      </w:r>
      <w:r>
        <w:t>alone meet any of these thresholds</w:t>
      </w:r>
      <w:r w:rsidR="00AE62D4">
        <w:t>:</w:t>
      </w:r>
    </w:p>
    <w:p w14:paraId="7A261136" w14:textId="7B00ADF6" w:rsidR="00AE62D4" w:rsidRDefault="00AE62D4" w:rsidP="008C053A">
      <w:pPr>
        <w:pStyle w:val="CERnumbering"/>
        <w:numPr>
          <w:ilvl w:val="0"/>
          <w:numId w:val="35"/>
        </w:numPr>
      </w:pPr>
      <w:r>
        <w:t>produce 25 kilotonnes or more of greenhouse gas emissions</w:t>
      </w:r>
    </w:p>
    <w:p w14:paraId="216F2FD7" w14:textId="13B9AA4F" w:rsidR="00AE62D4" w:rsidRDefault="00AE62D4" w:rsidP="00AE62D4">
      <w:pPr>
        <w:pStyle w:val="CERnumbering"/>
        <w:numPr>
          <w:ilvl w:val="0"/>
          <w:numId w:val="35"/>
        </w:numPr>
      </w:pPr>
      <w:r>
        <w:t>produce 100 terajoules or more of energy</w:t>
      </w:r>
    </w:p>
    <w:p w14:paraId="030F099F" w14:textId="388856AD" w:rsidR="00603865" w:rsidRDefault="00AE62D4" w:rsidP="00F8245D">
      <w:pPr>
        <w:pStyle w:val="CERnumbering"/>
        <w:numPr>
          <w:ilvl w:val="0"/>
          <w:numId w:val="35"/>
        </w:numPr>
      </w:pPr>
      <w:r>
        <w:t xml:space="preserve">consume 100 terajoules or more of energy. </w:t>
      </w:r>
    </w:p>
    <w:p w14:paraId="11ADAE3F" w14:textId="3EB4A24F" w:rsidR="00AE62D4" w:rsidRDefault="00AE62D4" w:rsidP="00AE62D4">
      <w:pPr>
        <w:pStyle w:val="CERnumbering"/>
        <w:numPr>
          <w:ilvl w:val="0"/>
          <w:numId w:val="0"/>
        </w:numPr>
      </w:pPr>
      <w:r>
        <w:t xml:space="preserve">If </w:t>
      </w:r>
      <w:r w:rsidR="006D54E1">
        <w:t xml:space="preserve">required to </w:t>
      </w:r>
      <w:r w:rsidR="00EB0399">
        <w:t>report on</w:t>
      </w:r>
      <w:r w:rsidR="00426B3C">
        <w:t xml:space="preserve"> a</w:t>
      </w:r>
      <w:r>
        <w:t xml:space="preserve"> contractor’s </w:t>
      </w:r>
      <w:proofErr w:type="gramStart"/>
      <w:r>
        <w:t>activities</w:t>
      </w:r>
      <w:proofErr w:type="gramEnd"/>
      <w:r>
        <w:t xml:space="preserve"> you will need to include the following details:</w:t>
      </w:r>
    </w:p>
    <w:p w14:paraId="4F0254D1" w14:textId="0FCF6287" w:rsidR="00AE62D4" w:rsidRDefault="00AE62D4" w:rsidP="00AE62D4">
      <w:pPr>
        <w:pStyle w:val="CERnumbering"/>
        <w:numPr>
          <w:ilvl w:val="0"/>
          <w:numId w:val="35"/>
        </w:numPr>
      </w:pPr>
      <w:r>
        <w:t>name of the contractor</w:t>
      </w:r>
    </w:p>
    <w:p w14:paraId="277CBD07" w14:textId="7D8D7CFE" w:rsidR="00AE62D4" w:rsidRDefault="00AE62D4" w:rsidP="00AE62D4">
      <w:pPr>
        <w:pStyle w:val="CERnumbering"/>
        <w:numPr>
          <w:ilvl w:val="0"/>
          <w:numId w:val="35"/>
        </w:numPr>
      </w:pPr>
      <w:r>
        <w:t>contractor’s identifying details (ABN, ACN, ARBN)</w:t>
      </w:r>
    </w:p>
    <w:p w14:paraId="776C8CFB" w14:textId="1CDC6F96" w:rsidR="00AE62D4" w:rsidRDefault="00AE62D4" w:rsidP="00AE62D4">
      <w:pPr>
        <w:pStyle w:val="CERnumbering"/>
        <w:numPr>
          <w:ilvl w:val="0"/>
          <w:numId w:val="35"/>
        </w:numPr>
      </w:pPr>
      <w:r>
        <w:t>total greenhouse gas emissions produced by the contractor’s activity or activities</w:t>
      </w:r>
    </w:p>
    <w:p w14:paraId="1A69786A" w14:textId="68CA0EF6" w:rsidR="00AE62D4" w:rsidRDefault="00AE62D4" w:rsidP="00AE62D4">
      <w:pPr>
        <w:pStyle w:val="CERnumbering"/>
        <w:numPr>
          <w:ilvl w:val="0"/>
          <w:numId w:val="35"/>
        </w:numPr>
      </w:pPr>
      <w:r>
        <w:t>total energy produced by the contractor’s activity or activities</w:t>
      </w:r>
    </w:p>
    <w:p w14:paraId="5106F88B" w14:textId="497C6128" w:rsidR="00F85E9E" w:rsidRDefault="00AE62D4" w:rsidP="00AE62D4">
      <w:pPr>
        <w:pStyle w:val="CERnumbering"/>
        <w:numPr>
          <w:ilvl w:val="0"/>
          <w:numId w:val="35"/>
        </w:numPr>
      </w:pPr>
      <w:r>
        <w:t>total energy consumed by the contractor’s activity or activities</w:t>
      </w:r>
      <w:r w:rsidR="005F5609">
        <w:t>.</w:t>
      </w:r>
    </w:p>
    <w:p w14:paraId="7DD28509" w14:textId="77777777" w:rsidR="00F8245D" w:rsidRDefault="00F8245D">
      <w:pPr>
        <w:spacing w:after="0"/>
        <w:rPr>
          <w:rFonts w:asciiTheme="majorHAnsi" w:eastAsia="Times New Roman" w:hAnsiTheme="majorHAnsi"/>
          <w:b/>
          <w:bCs/>
          <w:sz w:val="32"/>
          <w:szCs w:val="32"/>
        </w:rPr>
      </w:pPr>
      <w:r>
        <w:br w:type="page"/>
      </w:r>
    </w:p>
    <w:p w14:paraId="3442CAA3" w14:textId="27478553" w:rsidR="00C663BF" w:rsidRDefault="00C663BF" w:rsidP="00F8245D">
      <w:pPr>
        <w:pStyle w:val="Heading2"/>
      </w:pPr>
      <w:r w:rsidRPr="482D98C5">
        <w:t>Further information</w:t>
      </w:r>
    </w:p>
    <w:p w14:paraId="3E056E8B" w14:textId="79712C8D" w:rsidR="00C663BF" w:rsidRDefault="00C663BF" w:rsidP="00167D9D">
      <w:pPr>
        <w:pStyle w:val="BodyText1"/>
      </w:pPr>
      <w:r>
        <w:t xml:space="preserve">Email: </w:t>
      </w:r>
      <w:hyperlink r:id="rId15" w:history="1">
        <w:r w:rsidR="00054435" w:rsidRPr="00054435">
          <w:rPr>
            <w:rStyle w:val="Hyperlink"/>
            <w:rFonts w:asciiTheme="minorHAnsi" w:hAnsiTheme="minorHAnsi"/>
          </w:rPr>
          <w:t>reporting@cer.gov.au</w:t>
        </w:r>
      </w:hyperlink>
    </w:p>
    <w:p w14:paraId="7F8D7845" w14:textId="05C70DFE" w:rsidR="00C663BF" w:rsidRDefault="00C663BF" w:rsidP="00167D9D">
      <w:pPr>
        <w:pStyle w:val="BodyText1"/>
      </w:pPr>
      <w:r>
        <w:t xml:space="preserve"> Phone: 1300 553 542</w:t>
      </w:r>
    </w:p>
    <w:p w14:paraId="34916293" w14:textId="77777777" w:rsidR="0046270E" w:rsidRPr="0046270E" w:rsidRDefault="0046270E" w:rsidP="0046270E">
      <w:pPr>
        <w:pStyle w:val="BodyText1"/>
      </w:pPr>
      <w:r w:rsidRPr="0046270E">
        <w:t xml:space="preserve">Website: </w:t>
      </w:r>
      <w:hyperlink r:id="rId16" w:history="1">
        <w:r w:rsidRPr="0046270E">
          <w:rPr>
            <w:rStyle w:val="Hyperlink"/>
            <w:rFonts w:asciiTheme="minorHAnsi" w:hAnsiTheme="minorHAnsi"/>
          </w:rPr>
          <w:t>www.cer.gov.au</w:t>
        </w:r>
      </w:hyperlink>
      <w:r w:rsidRPr="0046270E">
        <w:t xml:space="preserve"> </w:t>
      </w:r>
    </w:p>
    <w:p w14:paraId="160F7273" w14:textId="3890CADA" w:rsidR="00C663BF" w:rsidRPr="00C663BF" w:rsidRDefault="00C663BF" w:rsidP="00167D9D">
      <w:pPr>
        <w:pStyle w:val="BodyText1"/>
        <w:rPr>
          <w:b/>
          <w:bCs/>
          <w:color w:val="006C93" w:themeColor="accent3"/>
          <w:sz w:val="28"/>
          <w:szCs w:val="28"/>
        </w:rPr>
      </w:pPr>
    </w:p>
    <w:sectPr w:rsidR="00C663BF" w:rsidRPr="00C663BF" w:rsidSect="00E349EF">
      <w:headerReference w:type="default" r:id="rId17"/>
      <w:footerReference w:type="even" r:id="rId18"/>
      <w:footerReference w:type="default" r:id="rId19"/>
      <w:headerReference w:type="first" r:id="rId20"/>
      <w:footerReference w:type="first" r:id="rId21"/>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2B9D9" w14:textId="77777777" w:rsidR="00695849" w:rsidRDefault="00695849" w:rsidP="00176C28">
      <w:r>
        <w:separator/>
      </w:r>
    </w:p>
    <w:p w14:paraId="662082BC" w14:textId="77777777" w:rsidR="00695849" w:rsidRDefault="00695849"/>
  </w:endnote>
  <w:endnote w:type="continuationSeparator" w:id="0">
    <w:p w14:paraId="4198FFA2" w14:textId="77777777" w:rsidR="00695849" w:rsidRDefault="00695849" w:rsidP="00176C28">
      <w:r>
        <w:continuationSeparator/>
      </w:r>
    </w:p>
    <w:p w14:paraId="2593B023" w14:textId="77777777" w:rsidR="00695849" w:rsidRDefault="00695849"/>
  </w:endnote>
  <w:endnote w:type="continuationNotice" w:id="1">
    <w:p w14:paraId="7697EA61" w14:textId="77777777" w:rsidR="00695849" w:rsidRDefault="006958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ACC7C"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23656D" w14:textId="77777777" w:rsidR="00977234" w:rsidRDefault="00977234" w:rsidP="009633DE">
    <w:pPr>
      <w:pStyle w:val="Footer"/>
      <w:ind w:right="360"/>
      <w:rPr>
        <w:rStyle w:val="PageNumber"/>
      </w:rPr>
    </w:pPr>
  </w:p>
  <w:p w14:paraId="14F6B8CD" w14:textId="77777777" w:rsidR="00977234" w:rsidRDefault="00977234" w:rsidP="009633DE">
    <w:pPr>
      <w:pStyle w:val="Footer"/>
    </w:pPr>
  </w:p>
  <w:p w14:paraId="581C5EC6"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6287" w14:textId="65D9D3E8" w:rsidR="00F76419" w:rsidRPr="00247EF5" w:rsidRDefault="002D18F3" w:rsidP="00247EF5">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31735E">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31735E">
      <w:rPr>
        <w:rStyle w:val="PageNumber"/>
      </w:rPr>
      <w:t>ce</w:t>
    </w:r>
    <w:r w:rsidR="0031735E" w:rsidRPr="002D18F3">
      <w:rPr>
        <w:rStyle w:val="PageNumber"/>
      </w:rPr>
      <w:t>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25D18FF0" w14:textId="50566A2C" w:rsidR="00F76419" w:rsidRPr="009633DE" w:rsidRDefault="000C5415"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4BC87" w14:textId="5FBAB408" w:rsidR="007A32A0" w:rsidRPr="000C5415" w:rsidRDefault="00921C88" w:rsidP="000C5415">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758CC4B" wp14:editId="610FB384">
          <wp:extent cx="2131578" cy="648000"/>
          <wp:effectExtent l="0" t="0" r="2540" b="0"/>
          <wp:docPr id="52669789" name="Picture 5266978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9789" name="Picture 52669789" descr="A black background with a black square&#10;&#10;Description automatically generated with medium confidence"/>
                  <pic:cNvPicPr/>
                </pic:nvPicPr>
                <pic:blipFill>
                  <a:blip r:embed="rId1"/>
                  <a:stretch>
                    <a:fillRect/>
                  </a:stretch>
                </pic:blipFill>
                <pic:spPr>
                  <a:xfrm>
                    <a:off x="0" y="0"/>
                    <a:ext cx="2131578" cy="648000"/>
                  </a:xfrm>
                  <a:prstGeom prst="rect">
                    <a:avLst/>
                  </a:prstGeom>
                </pic:spPr>
              </pic:pic>
            </a:graphicData>
          </a:graphic>
        </wp:inline>
      </w:drawing>
    </w:r>
  </w:p>
  <w:p w14:paraId="33D14AB4" w14:textId="77777777" w:rsidR="0065750A" w:rsidRPr="009C30B4" w:rsidRDefault="000C5415"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67F5A" w14:textId="77777777" w:rsidR="00695849" w:rsidRDefault="00695849" w:rsidP="00176C28">
      <w:r>
        <w:separator/>
      </w:r>
    </w:p>
    <w:p w14:paraId="71F085D2" w14:textId="77777777" w:rsidR="00695849" w:rsidRDefault="00695849"/>
  </w:footnote>
  <w:footnote w:type="continuationSeparator" w:id="0">
    <w:p w14:paraId="54B0F4A8" w14:textId="77777777" w:rsidR="00695849" w:rsidRDefault="00695849" w:rsidP="00176C28">
      <w:r>
        <w:continuationSeparator/>
      </w:r>
    </w:p>
    <w:p w14:paraId="23A6C446" w14:textId="77777777" w:rsidR="00695849" w:rsidRDefault="00695849"/>
  </w:footnote>
  <w:footnote w:type="continuationNotice" w:id="1">
    <w:p w14:paraId="3E7691E6" w14:textId="77777777" w:rsidR="00695849" w:rsidRDefault="00695849">
      <w:pPr>
        <w:spacing w:after="0"/>
      </w:pPr>
    </w:p>
  </w:footnote>
  <w:footnote w:id="2">
    <w:p w14:paraId="04D2B741" w14:textId="6CEF61E7" w:rsidR="005C3EC6" w:rsidRPr="00841F16" w:rsidRDefault="005C3EC6" w:rsidP="005C3EC6">
      <w:pPr>
        <w:pStyle w:val="FootnoteText"/>
      </w:pPr>
      <w:r>
        <w:rPr>
          <w:rStyle w:val="FootnoteReference"/>
        </w:rPr>
        <w:footnoteRef/>
      </w:r>
      <w:r>
        <w:t xml:space="preserve"> </w:t>
      </w:r>
      <w:r w:rsidRPr="00F8245D">
        <w:rPr>
          <w:rFonts w:ascii="Calibri" w:hAnsi="Calibri"/>
        </w:rPr>
        <w:t>https://www.legislation.gov.au/Series/C2007A00175</w:t>
      </w:r>
      <w:r w:rsidRPr="00841F16">
        <w:t xml:space="preserve"> </w:t>
      </w:r>
    </w:p>
  </w:footnote>
  <w:footnote w:id="3">
    <w:p w14:paraId="22CCF47C" w14:textId="2BA7855C" w:rsidR="005C3EC6" w:rsidRPr="00841F16" w:rsidRDefault="005C3EC6" w:rsidP="005C3EC6">
      <w:pPr>
        <w:pStyle w:val="FootnoteText"/>
      </w:pPr>
      <w:r w:rsidRPr="00841F16">
        <w:rPr>
          <w:rStyle w:val="FootnoteReference"/>
        </w:rPr>
        <w:footnoteRef/>
      </w:r>
      <w:r w:rsidRPr="00841F16">
        <w:t xml:space="preserve"> </w:t>
      </w:r>
      <w:r w:rsidRPr="00F8245D">
        <w:rPr>
          <w:rFonts w:ascii="Calibri" w:hAnsi="Calibri"/>
        </w:rPr>
        <w:t>https://www.legislation.gov.au/Series/F2008L0223</w:t>
      </w:r>
    </w:p>
  </w:footnote>
  <w:footnote w:id="4">
    <w:p w14:paraId="2BCBF18B" w14:textId="173599F0" w:rsidR="005C3EC6" w:rsidRPr="00841F16" w:rsidRDefault="005C3EC6" w:rsidP="005C3EC6">
      <w:pPr>
        <w:pStyle w:val="FootnoteText"/>
      </w:pPr>
      <w:r w:rsidRPr="00841F16">
        <w:rPr>
          <w:rStyle w:val="FootnoteReference"/>
        </w:rPr>
        <w:footnoteRef/>
      </w:r>
      <w:r w:rsidRPr="00841F16">
        <w:t xml:space="preserve"> </w:t>
      </w:r>
      <w:r w:rsidRPr="00F8245D">
        <w:rPr>
          <w:rFonts w:ascii="Calibri" w:hAnsi="Calibri"/>
        </w:rPr>
        <w:t>https://www.legislation.gov.au/Series/F2008L02309</w:t>
      </w:r>
      <w:r w:rsidRPr="00841F16">
        <w:t xml:space="preserve"> </w:t>
      </w:r>
    </w:p>
  </w:footnote>
  <w:footnote w:id="5">
    <w:p w14:paraId="49FE39B0" w14:textId="26C11271" w:rsidR="005C3EC6" w:rsidRPr="00740092" w:rsidRDefault="005C3EC6" w:rsidP="005C3EC6">
      <w:pPr>
        <w:pStyle w:val="FootnoteText"/>
      </w:pPr>
      <w:r w:rsidRPr="00841F16">
        <w:rPr>
          <w:rStyle w:val="FootnoteReference"/>
        </w:rPr>
        <w:footnoteRef/>
      </w:r>
      <w:r w:rsidRPr="00841F16">
        <w:t xml:space="preserve"> </w:t>
      </w:r>
      <w:r w:rsidR="00F8245D" w:rsidRPr="00F8245D">
        <w:t>https://cer.gov.au/schemes/national-greenhouse-and-energy-reporting-scheme</w:t>
      </w:r>
      <w:r w:rsidR="00F824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F90C" w14:textId="290CAC9F" w:rsidR="00D81782" w:rsidRDefault="000C5415" w:rsidP="00977234">
    <w:pPr>
      <w:pStyle w:val="Heading5"/>
      <w:tabs>
        <w:tab w:val="center" w:pos="4870"/>
        <w:tab w:val="left" w:pos="8745"/>
      </w:tabs>
      <w:spacing w:before="200" w:after="60"/>
      <w:jc w:val="center"/>
    </w:pPr>
    <w:r>
      <w:rPr>
        <w:rStyle w:val="Protectivemarker"/>
        <w:b/>
      </w:rPr>
      <w:t>OFFICIAL</w:t>
    </w:r>
  </w:p>
  <w:p w14:paraId="32863C65"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0EFDF413" wp14:editId="3F892FDB">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8E179" w14:textId="4B42EA22"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0CFDABD2" wp14:editId="7AB540CC">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0C5415">
      <w:rPr>
        <w:rStyle w:val="Protectivemarker"/>
        <w:b/>
      </w:rPr>
      <w:t>OFFICIAL</w:t>
    </w:r>
  </w:p>
  <w:p w14:paraId="4E0ED245" w14:textId="77777777" w:rsidR="003D3FC1" w:rsidRPr="00BE0DA3" w:rsidRDefault="003D3FC1" w:rsidP="003D3FC1">
    <w:pPr>
      <w:pStyle w:val="LegislativesecrecyACT"/>
    </w:pPr>
  </w:p>
  <w:p w14:paraId="29A58FD0" w14:textId="77777777" w:rsidR="00CA2954" w:rsidRPr="003D3FC1" w:rsidRDefault="003D3FC1" w:rsidP="003D3FC1">
    <w:pPr>
      <w:pStyle w:val="Header"/>
      <w:spacing w:before="240"/>
    </w:pPr>
    <w:r>
      <w:rPr>
        <w:noProof/>
      </w:rPr>
      <w:drawing>
        <wp:inline distT="0" distB="0" distL="0" distR="0" wp14:anchorId="1683C414" wp14:editId="5805F161">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B521E8"/>
    <w:multiLevelType w:val="hybridMultilevel"/>
    <w:tmpl w:val="CB9C9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0119268">
    <w:abstractNumId w:val="23"/>
  </w:num>
  <w:num w:numId="2" w16cid:durableId="251663827">
    <w:abstractNumId w:val="17"/>
  </w:num>
  <w:num w:numId="3" w16cid:durableId="483742560">
    <w:abstractNumId w:val="18"/>
  </w:num>
  <w:num w:numId="4" w16cid:durableId="1124613407">
    <w:abstractNumId w:val="13"/>
  </w:num>
  <w:num w:numId="5" w16cid:durableId="1162696740">
    <w:abstractNumId w:val="14"/>
  </w:num>
  <w:num w:numId="6" w16cid:durableId="1774939233">
    <w:abstractNumId w:val="20"/>
  </w:num>
  <w:num w:numId="7" w16cid:durableId="74280738">
    <w:abstractNumId w:val="26"/>
  </w:num>
  <w:num w:numId="8" w16cid:durableId="1927573666">
    <w:abstractNumId w:val="14"/>
  </w:num>
  <w:num w:numId="9" w16cid:durableId="1809855295">
    <w:abstractNumId w:val="9"/>
  </w:num>
  <w:num w:numId="10" w16cid:durableId="938177528">
    <w:abstractNumId w:val="7"/>
  </w:num>
  <w:num w:numId="11" w16cid:durableId="852767942">
    <w:abstractNumId w:val="6"/>
  </w:num>
  <w:num w:numId="12" w16cid:durableId="1692564787">
    <w:abstractNumId w:val="5"/>
  </w:num>
  <w:num w:numId="13" w16cid:durableId="640772208">
    <w:abstractNumId w:val="4"/>
  </w:num>
  <w:num w:numId="14" w16cid:durableId="1260092646">
    <w:abstractNumId w:val="8"/>
  </w:num>
  <w:num w:numId="15" w16cid:durableId="2077168423">
    <w:abstractNumId w:val="3"/>
  </w:num>
  <w:num w:numId="16" w16cid:durableId="591934493">
    <w:abstractNumId w:val="2"/>
  </w:num>
  <w:num w:numId="17" w16cid:durableId="540290298">
    <w:abstractNumId w:val="1"/>
  </w:num>
  <w:num w:numId="18" w16cid:durableId="1646593038">
    <w:abstractNumId w:val="0"/>
  </w:num>
  <w:num w:numId="19" w16cid:durableId="1319190167">
    <w:abstractNumId w:val="12"/>
  </w:num>
  <w:num w:numId="20" w16cid:durableId="971985186">
    <w:abstractNumId w:val="15"/>
  </w:num>
  <w:num w:numId="21" w16cid:durableId="1559897582">
    <w:abstractNumId w:val="31"/>
  </w:num>
  <w:num w:numId="22" w16cid:durableId="1986541574">
    <w:abstractNumId w:val="10"/>
  </w:num>
  <w:num w:numId="23" w16cid:durableId="297033022">
    <w:abstractNumId w:val="32"/>
  </w:num>
  <w:num w:numId="24" w16cid:durableId="233587078">
    <w:abstractNumId w:val="21"/>
  </w:num>
  <w:num w:numId="25" w16cid:durableId="1435395355">
    <w:abstractNumId w:val="19"/>
  </w:num>
  <w:num w:numId="26" w16cid:durableId="72360750">
    <w:abstractNumId w:val="16"/>
  </w:num>
  <w:num w:numId="27" w16cid:durableId="692147706">
    <w:abstractNumId w:val="30"/>
  </w:num>
  <w:num w:numId="28" w16cid:durableId="1787771944">
    <w:abstractNumId w:val="25"/>
  </w:num>
  <w:num w:numId="29" w16cid:durableId="1347944612">
    <w:abstractNumId w:val="22"/>
  </w:num>
  <w:num w:numId="30" w16cid:durableId="1012487548">
    <w:abstractNumId w:val="27"/>
  </w:num>
  <w:num w:numId="31" w16cid:durableId="1363900053">
    <w:abstractNumId w:val="29"/>
  </w:num>
  <w:num w:numId="32" w16cid:durableId="1007247132">
    <w:abstractNumId w:val="11"/>
  </w:num>
  <w:num w:numId="33" w16cid:durableId="128397705">
    <w:abstractNumId w:val="28"/>
  </w:num>
  <w:num w:numId="34" w16cid:durableId="354616372">
    <w:abstractNumId w:val="24"/>
  </w:num>
  <w:num w:numId="35" w16cid:durableId="9889486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BF"/>
    <w:rsid w:val="00000630"/>
    <w:rsid w:val="000033BE"/>
    <w:rsid w:val="00003972"/>
    <w:rsid w:val="00011D35"/>
    <w:rsid w:val="000124E0"/>
    <w:rsid w:val="00026431"/>
    <w:rsid w:val="00026D39"/>
    <w:rsid w:val="00031090"/>
    <w:rsid w:val="0003323B"/>
    <w:rsid w:val="00035321"/>
    <w:rsid w:val="0003582F"/>
    <w:rsid w:val="000378B6"/>
    <w:rsid w:val="000411BA"/>
    <w:rsid w:val="000431E0"/>
    <w:rsid w:val="000442F7"/>
    <w:rsid w:val="0004685C"/>
    <w:rsid w:val="00053D77"/>
    <w:rsid w:val="00054435"/>
    <w:rsid w:val="00056FF0"/>
    <w:rsid w:val="00057316"/>
    <w:rsid w:val="00066D5F"/>
    <w:rsid w:val="000678AA"/>
    <w:rsid w:val="0007220A"/>
    <w:rsid w:val="00073177"/>
    <w:rsid w:val="000776FC"/>
    <w:rsid w:val="000830D2"/>
    <w:rsid w:val="00083FFC"/>
    <w:rsid w:val="000873E6"/>
    <w:rsid w:val="000906DE"/>
    <w:rsid w:val="00096878"/>
    <w:rsid w:val="0009706F"/>
    <w:rsid w:val="000A0DD5"/>
    <w:rsid w:val="000A0E83"/>
    <w:rsid w:val="000A5CBE"/>
    <w:rsid w:val="000B011E"/>
    <w:rsid w:val="000B05C1"/>
    <w:rsid w:val="000B2225"/>
    <w:rsid w:val="000B235C"/>
    <w:rsid w:val="000B36CA"/>
    <w:rsid w:val="000B394E"/>
    <w:rsid w:val="000B4BCD"/>
    <w:rsid w:val="000B5F87"/>
    <w:rsid w:val="000C34F2"/>
    <w:rsid w:val="000C5415"/>
    <w:rsid w:val="000D2249"/>
    <w:rsid w:val="000D664D"/>
    <w:rsid w:val="000E5A13"/>
    <w:rsid w:val="000F55C4"/>
    <w:rsid w:val="000F65D1"/>
    <w:rsid w:val="000F6B44"/>
    <w:rsid w:val="000F75BC"/>
    <w:rsid w:val="0010249F"/>
    <w:rsid w:val="00104368"/>
    <w:rsid w:val="00111600"/>
    <w:rsid w:val="00112E29"/>
    <w:rsid w:val="001138BF"/>
    <w:rsid w:val="00114594"/>
    <w:rsid w:val="001241EE"/>
    <w:rsid w:val="001242C1"/>
    <w:rsid w:val="001276AA"/>
    <w:rsid w:val="00132FFC"/>
    <w:rsid w:val="00141DF3"/>
    <w:rsid w:val="001512C0"/>
    <w:rsid w:val="001533DB"/>
    <w:rsid w:val="00157175"/>
    <w:rsid w:val="00163FC4"/>
    <w:rsid w:val="001651F7"/>
    <w:rsid w:val="001662BD"/>
    <w:rsid w:val="00167D9D"/>
    <w:rsid w:val="00170950"/>
    <w:rsid w:val="00171D28"/>
    <w:rsid w:val="00172A76"/>
    <w:rsid w:val="00176390"/>
    <w:rsid w:val="00176871"/>
    <w:rsid w:val="00176C28"/>
    <w:rsid w:val="00177213"/>
    <w:rsid w:val="001813D4"/>
    <w:rsid w:val="00183238"/>
    <w:rsid w:val="00193A6C"/>
    <w:rsid w:val="00197224"/>
    <w:rsid w:val="0019750C"/>
    <w:rsid w:val="00197F43"/>
    <w:rsid w:val="001A3D3C"/>
    <w:rsid w:val="001B1CB8"/>
    <w:rsid w:val="001B66AA"/>
    <w:rsid w:val="001C11C5"/>
    <w:rsid w:val="001C191F"/>
    <w:rsid w:val="001C3008"/>
    <w:rsid w:val="001C69C6"/>
    <w:rsid w:val="001D1B2E"/>
    <w:rsid w:val="001D1C9E"/>
    <w:rsid w:val="001D2DB3"/>
    <w:rsid w:val="001D5E01"/>
    <w:rsid w:val="001E012A"/>
    <w:rsid w:val="001E3355"/>
    <w:rsid w:val="001E7213"/>
    <w:rsid w:val="0020080A"/>
    <w:rsid w:val="00204CCE"/>
    <w:rsid w:val="002118E5"/>
    <w:rsid w:val="00213253"/>
    <w:rsid w:val="00214EF4"/>
    <w:rsid w:val="002164DE"/>
    <w:rsid w:val="00216E5D"/>
    <w:rsid w:val="0021782A"/>
    <w:rsid w:val="00220ED3"/>
    <w:rsid w:val="00223273"/>
    <w:rsid w:val="00223676"/>
    <w:rsid w:val="00230255"/>
    <w:rsid w:val="0023486A"/>
    <w:rsid w:val="00235B98"/>
    <w:rsid w:val="00247EF5"/>
    <w:rsid w:val="00250193"/>
    <w:rsid w:val="00252D41"/>
    <w:rsid w:val="002537CF"/>
    <w:rsid w:val="0025382B"/>
    <w:rsid w:val="00253BE8"/>
    <w:rsid w:val="00253FFC"/>
    <w:rsid w:val="00254190"/>
    <w:rsid w:val="002621D0"/>
    <w:rsid w:val="002622E9"/>
    <w:rsid w:val="00270CB1"/>
    <w:rsid w:val="00271CB3"/>
    <w:rsid w:val="00275334"/>
    <w:rsid w:val="002818E8"/>
    <w:rsid w:val="00287780"/>
    <w:rsid w:val="00290DC4"/>
    <w:rsid w:val="00290E3D"/>
    <w:rsid w:val="0029262D"/>
    <w:rsid w:val="00293D51"/>
    <w:rsid w:val="00297788"/>
    <w:rsid w:val="002A7808"/>
    <w:rsid w:val="002A7EA6"/>
    <w:rsid w:val="002C087B"/>
    <w:rsid w:val="002C3EA2"/>
    <w:rsid w:val="002C427B"/>
    <w:rsid w:val="002C4613"/>
    <w:rsid w:val="002C702A"/>
    <w:rsid w:val="002D18F3"/>
    <w:rsid w:val="002D20A2"/>
    <w:rsid w:val="002D2FEC"/>
    <w:rsid w:val="002D30B2"/>
    <w:rsid w:val="002E0F47"/>
    <w:rsid w:val="002E3858"/>
    <w:rsid w:val="002E416E"/>
    <w:rsid w:val="002E61C5"/>
    <w:rsid w:val="002F1986"/>
    <w:rsid w:val="00303BC3"/>
    <w:rsid w:val="003044F8"/>
    <w:rsid w:val="003150A3"/>
    <w:rsid w:val="0031735E"/>
    <w:rsid w:val="00337B6B"/>
    <w:rsid w:val="00337CCB"/>
    <w:rsid w:val="00342FC1"/>
    <w:rsid w:val="003456B2"/>
    <w:rsid w:val="0036309B"/>
    <w:rsid w:val="003632A2"/>
    <w:rsid w:val="00365CD3"/>
    <w:rsid w:val="00366ED2"/>
    <w:rsid w:val="003670EB"/>
    <w:rsid w:val="00370399"/>
    <w:rsid w:val="00370CE8"/>
    <w:rsid w:val="00371059"/>
    <w:rsid w:val="00376879"/>
    <w:rsid w:val="003821B8"/>
    <w:rsid w:val="003828B1"/>
    <w:rsid w:val="00383A22"/>
    <w:rsid w:val="00384F0E"/>
    <w:rsid w:val="00391E33"/>
    <w:rsid w:val="003A0D22"/>
    <w:rsid w:val="003A5739"/>
    <w:rsid w:val="003A760B"/>
    <w:rsid w:val="003B056D"/>
    <w:rsid w:val="003B1BCB"/>
    <w:rsid w:val="003C400A"/>
    <w:rsid w:val="003D0407"/>
    <w:rsid w:val="003D39C1"/>
    <w:rsid w:val="003D3FC1"/>
    <w:rsid w:val="003D5806"/>
    <w:rsid w:val="003D7204"/>
    <w:rsid w:val="003D728A"/>
    <w:rsid w:val="003E4F4D"/>
    <w:rsid w:val="003E6A5D"/>
    <w:rsid w:val="003F25D7"/>
    <w:rsid w:val="003F30A3"/>
    <w:rsid w:val="004008F4"/>
    <w:rsid w:val="00400BA0"/>
    <w:rsid w:val="00400D4D"/>
    <w:rsid w:val="0040477E"/>
    <w:rsid w:val="00407A97"/>
    <w:rsid w:val="00407ABD"/>
    <w:rsid w:val="004112C4"/>
    <w:rsid w:val="0042041E"/>
    <w:rsid w:val="00420BF6"/>
    <w:rsid w:val="00424CC6"/>
    <w:rsid w:val="00426275"/>
    <w:rsid w:val="00426B3C"/>
    <w:rsid w:val="00427881"/>
    <w:rsid w:val="00431F26"/>
    <w:rsid w:val="00433D9A"/>
    <w:rsid w:val="00443D89"/>
    <w:rsid w:val="004458B4"/>
    <w:rsid w:val="004465CC"/>
    <w:rsid w:val="00453DBC"/>
    <w:rsid w:val="00455455"/>
    <w:rsid w:val="004559EF"/>
    <w:rsid w:val="0046270E"/>
    <w:rsid w:val="00462AA1"/>
    <w:rsid w:val="0046418C"/>
    <w:rsid w:val="00465287"/>
    <w:rsid w:val="004657F5"/>
    <w:rsid w:val="00470EF6"/>
    <w:rsid w:val="00471682"/>
    <w:rsid w:val="00480154"/>
    <w:rsid w:val="00481B03"/>
    <w:rsid w:val="0048272A"/>
    <w:rsid w:val="00487FAA"/>
    <w:rsid w:val="00493268"/>
    <w:rsid w:val="00494F07"/>
    <w:rsid w:val="004A092B"/>
    <w:rsid w:val="004A581F"/>
    <w:rsid w:val="004A5F95"/>
    <w:rsid w:val="004B0C05"/>
    <w:rsid w:val="004B5459"/>
    <w:rsid w:val="004B6AF5"/>
    <w:rsid w:val="004B6E86"/>
    <w:rsid w:val="004C240D"/>
    <w:rsid w:val="004C2552"/>
    <w:rsid w:val="004C4BC6"/>
    <w:rsid w:val="004C6DF4"/>
    <w:rsid w:val="004D0162"/>
    <w:rsid w:val="004D0A65"/>
    <w:rsid w:val="004D390F"/>
    <w:rsid w:val="004D3F8B"/>
    <w:rsid w:val="004D70CF"/>
    <w:rsid w:val="004D7325"/>
    <w:rsid w:val="004D7B22"/>
    <w:rsid w:val="004F6579"/>
    <w:rsid w:val="00500190"/>
    <w:rsid w:val="0050426B"/>
    <w:rsid w:val="00505BB4"/>
    <w:rsid w:val="005100EB"/>
    <w:rsid w:val="005122C6"/>
    <w:rsid w:val="005130F2"/>
    <w:rsid w:val="00516089"/>
    <w:rsid w:val="00521016"/>
    <w:rsid w:val="00521B98"/>
    <w:rsid w:val="005230BD"/>
    <w:rsid w:val="0052457E"/>
    <w:rsid w:val="00531F3B"/>
    <w:rsid w:val="0054032E"/>
    <w:rsid w:val="005404C2"/>
    <w:rsid w:val="005413D7"/>
    <w:rsid w:val="0054199F"/>
    <w:rsid w:val="00541D9C"/>
    <w:rsid w:val="005430A4"/>
    <w:rsid w:val="005437EA"/>
    <w:rsid w:val="0055197E"/>
    <w:rsid w:val="00554B98"/>
    <w:rsid w:val="005604DF"/>
    <w:rsid w:val="00564D38"/>
    <w:rsid w:val="005669C2"/>
    <w:rsid w:val="00585D42"/>
    <w:rsid w:val="0058648F"/>
    <w:rsid w:val="00586BAF"/>
    <w:rsid w:val="00590852"/>
    <w:rsid w:val="00591282"/>
    <w:rsid w:val="005A1A2B"/>
    <w:rsid w:val="005A266D"/>
    <w:rsid w:val="005A7704"/>
    <w:rsid w:val="005B0052"/>
    <w:rsid w:val="005B4776"/>
    <w:rsid w:val="005B5C2E"/>
    <w:rsid w:val="005C0A94"/>
    <w:rsid w:val="005C3EC6"/>
    <w:rsid w:val="005D09A0"/>
    <w:rsid w:val="005D341A"/>
    <w:rsid w:val="005D3CEE"/>
    <w:rsid w:val="005D4D95"/>
    <w:rsid w:val="005E5223"/>
    <w:rsid w:val="005F4BE4"/>
    <w:rsid w:val="005F5609"/>
    <w:rsid w:val="00600E1D"/>
    <w:rsid w:val="00602E93"/>
    <w:rsid w:val="00603865"/>
    <w:rsid w:val="0061010A"/>
    <w:rsid w:val="00610299"/>
    <w:rsid w:val="00612EB9"/>
    <w:rsid w:val="00616FEB"/>
    <w:rsid w:val="00617AD9"/>
    <w:rsid w:val="0062080A"/>
    <w:rsid w:val="00622DA5"/>
    <w:rsid w:val="00632E89"/>
    <w:rsid w:val="00634713"/>
    <w:rsid w:val="0063491F"/>
    <w:rsid w:val="0063505A"/>
    <w:rsid w:val="00640977"/>
    <w:rsid w:val="006423DF"/>
    <w:rsid w:val="006530B0"/>
    <w:rsid w:val="006540CA"/>
    <w:rsid w:val="00654C6C"/>
    <w:rsid w:val="0065750A"/>
    <w:rsid w:val="00661619"/>
    <w:rsid w:val="00662512"/>
    <w:rsid w:val="00662ED8"/>
    <w:rsid w:val="00670831"/>
    <w:rsid w:val="006737CD"/>
    <w:rsid w:val="00674932"/>
    <w:rsid w:val="006753F8"/>
    <w:rsid w:val="00675CF3"/>
    <w:rsid w:val="00680B5A"/>
    <w:rsid w:val="00690F3E"/>
    <w:rsid w:val="0069547B"/>
    <w:rsid w:val="00695849"/>
    <w:rsid w:val="006965F4"/>
    <w:rsid w:val="006A1906"/>
    <w:rsid w:val="006A1BAC"/>
    <w:rsid w:val="006A28DC"/>
    <w:rsid w:val="006A37D7"/>
    <w:rsid w:val="006A7A4E"/>
    <w:rsid w:val="006C121A"/>
    <w:rsid w:val="006C3438"/>
    <w:rsid w:val="006C58B9"/>
    <w:rsid w:val="006C66A1"/>
    <w:rsid w:val="006D54E1"/>
    <w:rsid w:val="006E1BAE"/>
    <w:rsid w:val="006E20EA"/>
    <w:rsid w:val="006E3CA9"/>
    <w:rsid w:val="006E56B9"/>
    <w:rsid w:val="006F0269"/>
    <w:rsid w:val="006F1101"/>
    <w:rsid w:val="006F32C9"/>
    <w:rsid w:val="00700C34"/>
    <w:rsid w:val="0070196E"/>
    <w:rsid w:val="00702575"/>
    <w:rsid w:val="007110D4"/>
    <w:rsid w:val="00713601"/>
    <w:rsid w:val="00724B10"/>
    <w:rsid w:val="007270A5"/>
    <w:rsid w:val="00730B7F"/>
    <w:rsid w:val="00733C45"/>
    <w:rsid w:val="00741B4D"/>
    <w:rsid w:val="00756F6E"/>
    <w:rsid w:val="0076397A"/>
    <w:rsid w:val="00767FAB"/>
    <w:rsid w:val="00774427"/>
    <w:rsid w:val="007760DE"/>
    <w:rsid w:val="007773D1"/>
    <w:rsid w:val="007805CB"/>
    <w:rsid w:val="007813EC"/>
    <w:rsid w:val="00783324"/>
    <w:rsid w:val="0078689F"/>
    <w:rsid w:val="0079061A"/>
    <w:rsid w:val="00790E79"/>
    <w:rsid w:val="00794993"/>
    <w:rsid w:val="00795FE7"/>
    <w:rsid w:val="007A0ADF"/>
    <w:rsid w:val="007A32A0"/>
    <w:rsid w:val="007A482C"/>
    <w:rsid w:val="007A5CF8"/>
    <w:rsid w:val="007B2652"/>
    <w:rsid w:val="007B31E7"/>
    <w:rsid w:val="007B5974"/>
    <w:rsid w:val="007B6EED"/>
    <w:rsid w:val="007C310C"/>
    <w:rsid w:val="007C4B2B"/>
    <w:rsid w:val="007C7046"/>
    <w:rsid w:val="007D40F4"/>
    <w:rsid w:val="007D59F9"/>
    <w:rsid w:val="007E2B86"/>
    <w:rsid w:val="007F03B5"/>
    <w:rsid w:val="007F3928"/>
    <w:rsid w:val="00800EC6"/>
    <w:rsid w:val="00801EDE"/>
    <w:rsid w:val="00805956"/>
    <w:rsid w:val="00812F6C"/>
    <w:rsid w:val="00814870"/>
    <w:rsid w:val="008160E5"/>
    <w:rsid w:val="00816D8B"/>
    <w:rsid w:val="00817934"/>
    <w:rsid w:val="00826A84"/>
    <w:rsid w:val="008352D1"/>
    <w:rsid w:val="00842E70"/>
    <w:rsid w:val="008444A8"/>
    <w:rsid w:val="008544C9"/>
    <w:rsid w:val="00866812"/>
    <w:rsid w:val="0086740F"/>
    <w:rsid w:val="0087458D"/>
    <w:rsid w:val="00885AB6"/>
    <w:rsid w:val="008872C2"/>
    <w:rsid w:val="00890472"/>
    <w:rsid w:val="008A4F2A"/>
    <w:rsid w:val="008B0370"/>
    <w:rsid w:val="008B0D79"/>
    <w:rsid w:val="008B434A"/>
    <w:rsid w:val="008B66C7"/>
    <w:rsid w:val="008C053A"/>
    <w:rsid w:val="008C3C03"/>
    <w:rsid w:val="008C63A1"/>
    <w:rsid w:val="008C65F1"/>
    <w:rsid w:val="008C7DFE"/>
    <w:rsid w:val="008D3F95"/>
    <w:rsid w:val="008E15DF"/>
    <w:rsid w:val="008E4458"/>
    <w:rsid w:val="008E6CE0"/>
    <w:rsid w:val="008F074C"/>
    <w:rsid w:val="008F548E"/>
    <w:rsid w:val="008F6BA7"/>
    <w:rsid w:val="00903C19"/>
    <w:rsid w:val="009044AE"/>
    <w:rsid w:val="00906DED"/>
    <w:rsid w:val="0091164E"/>
    <w:rsid w:val="00916029"/>
    <w:rsid w:val="0092091E"/>
    <w:rsid w:val="00921C88"/>
    <w:rsid w:val="00922350"/>
    <w:rsid w:val="0092568B"/>
    <w:rsid w:val="00930D2E"/>
    <w:rsid w:val="0093226C"/>
    <w:rsid w:val="00940DFC"/>
    <w:rsid w:val="00942D71"/>
    <w:rsid w:val="00944C41"/>
    <w:rsid w:val="0096297A"/>
    <w:rsid w:val="00962C11"/>
    <w:rsid w:val="009633DE"/>
    <w:rsid w:val="0096481D"/>
    <w:rsid w:val="009751F9"/>
    <w:rsid w:val="009757EB"/>
    <w:rsid w:val="00977234"/>
    <w:rsid w:val="009801E4"/>
    <w:rsid w:val="00981CCC"/>
    <w:rsid w:val="00986E75"/>
    <w:rsid w:val="00990C52"/>
    <w:rsid w:val="0099380D"/>
    <w:rsid w:val="009A0A3A"/>
    <w:rsid w:val="009A0A6A"/>
    <w:rsid w:val="009A2199"/>
    <w:rsid w:val="009A2E7F"/>
    <w:rsid w:val="009A305F"/>
    <w:rsid w:val="009A51A0"/>
    <w:rsid w:val="009B37DE"/>
    <w:rsid w:val="009C094A"/>
    <w:rsid w:val="009C30B4"/>
    <w:rsid w:val="009C6777"/>
    <w:rsid w:val="009D01EB"/>
    <w:rsid w:val="009D0CB0"/>
    <w:rsid w:val="009D4D75"/>
    <w:rsid w:val="009E54E7"/>
    <w:rsid w:val="009E5BC3"/>
    <w:rsid w:val="009E7D34"/>
    <w:rsid w:val="009F4AB1"/>
    <w:rsid w:val="009F7717"/>
    <w:rsid w:val="00A01BD1"/>
    <w:rsid w:val="00A077EA"/>
    <w:rsid w:val="00A114F2"/>
    <w:rsid w:val="00A12835"/>
    <w:rsid w:val="00A15937"/>
    <w:rsid w:val="00A15AD4"/>
    <w:rsid w:val="00A15FB1"/>
    <w:rsid w:val="00A21E39"/>
    <w:rsid w:val="00A236B4"/>
    <w:rsid w:val="00A23C1D"/>
    <w:rsid w:val="00A273A7"/>
    <w:rsid w:val="00A321BC"/>
    <w:rsid w:val="00A34690"/>
    <w:rsid w:val="00A412F5"/>
    <w:rsid w:val="00A41A11"/>
    <w:rsid w:val="00A41CBA"/>
    <w:rsid w:val="00A44C0C"/>
    <w:rsid w:val="00A47816"/>
    <w:rsid w:val="00A47FE7"/>
    <w:rsid w:val="00A50A9D"/>
    <w:rsid w:val="00A5489C"/>
    <w:rsid w:val="00A56761"/>
    <w:rsid w:val="00A57AFA"/>
    <w:rsid w:val="00A6248D"/>
    <w:rsid w:val="00A633C0"/>
    <w:rsid w:val="00A63722"/>
    <w:rsid w:val="00A72729"/>
    <w:rsid w:val="00A74BD9"/>
    <w:rsid w:val="00A77259"/>
    <w:rsid w:val="00A87AB4"/>
    <w:rsid w:val="00A91F1B"/>
    <w:rsid w:val="00A94580"/>
    <w:rsid w:val="00AA09F4"/>
    <w:rsid w:val="00AA1899"/>
    <w:rsid w:val="00AA2792"/>
    <w:rsid w:val="00AA574B"/>
    <w:rsid w:val="00AA705A"/>
    <w:rsid w:val="00AB04A4"/>
    <w:rsid w:val="00AB1D66"/>
    <w:rsid w:val="00AC22D8"/>
    <w:rsid w:val="00AC5EC8"/>
    <w:rsid w:val="00AC6B27"/>
    <w:rsid w:val="00AD1541"/>
    <w:rsid w:val="00AD3093"/>
    <w:rsid w:val="00AD3999"/>
    <w:rsid w:val="00AD567D"/>
    <w:rsid w:val="00AD649E"/>
    <w:rsid w:val="00AE62D4"/>
    <w:rsid w:val="00AF5F77"/>
    <w:rsid w:val="00B0356C"/>
    <w:rsid w:val="00B15C0E"/>
    <w:rsid w:val="00B15EBA"/>
    <w:rsid w:val="00B302C4"/>
    <w:rsid w:val="00B355CA"/>
    <w:rsid w:val="00B360F4"/>
    <w:rsid w:val="00B36D9D"/>
    <w:rsid w:val="00B40692"/>
    <w:rsid w:val="00B42777"/>
    <w:rsid w:val="00B44479"/>
    <w:rsid w:val="00B468FF"/>
    <w:rsid w:val="00B51BB3"/>
    <w:rsid w:val="00B52ED0"/>
    <w:rsid w:val="00B531D4"/>
    <w:rsid w:val="00B55B70"/>
    <w:rsid w:val="00B623E8"/>
    <w:rsid w:val="00B75561"/>
    <w:rsid w:val="00B75D96"/>
    <w:rsid w:val="00B774CE"/>
    <w:rsid w:val="00B832A4"/>
    <w:rsid w:val="00B95207"/>
    <w:rsid w:val="00BA01AD"/>
    <w:rsid w:val="00BA3D6B"/>
    <w:rsid w:val="00BA7920"/>
    <w:rsid w:val="00BB6CFE"/>
    <w:rsid w:val="00BD0866"/>
    <w:rsid w:val="00BD3243"/>
    <w:rsid w:val="00BD4494"/>
    <w:rsid w:val="00BD5ED5"/>
    <w:rsid w:val="00BD72FD"/>
    <w:rsid w:val="00BE7BD1"/>
    <w:rsid w:val="00BF0F62"/>
    <w:rsid w:val="00C033D8"/>
    <w:rsid w:val="00C04ACA"/>
    <w:rsid w:val="00C067A3"/>
    <w:rsid w:val="00C06FDE"/>
    <w:rsid w:val="00C11B7B"/>
    <w:rsid w:val="00C13A44"/>
    <w:rsid w:val="00C14750"/>
    <w:rsid w:val="00C20DE6"/>
    <w:rsid w:val="00C22180"/>
    <w:rsid w:val="00C266A2"/>
    <w:rsid w:val="00C27341"/>
    <w:rsid w:val="00C27EE0"/>
    <w:rsid w:val="00C300F3"/>
    <w:rsid w:val="00C3122E"/>
    <w:rsid w:val="00C33420"/>
    <w:rsid w:val="00C33640"/>
    <w:rsid w:val="00C35862"/>
    <w:rsid w:val="00C371E3"/>
    <w:rsid w:val="00C40CF0"/>
    <w:rsid w:val="00C47609"/>
    <w:rsid w:val="00C50692"/>
    <w:rsid w:val="00C55398"/>
    <w:rsid w:val="00C55624"/>
    <w:rsid w:val="00C663BF"/>
    <w:rsid w:val="00C7066E"/>
    <w:rsid w:val="00C73199"/>
    <w:rsid w:val="00C74921"/>
    <w:rsid w:val="00C75BA1"/>
    <w:rsid w:val="00C760A7"/>
    <w:rsid w:val="00C80179"/>
    <w:rsid w:val="00C86B48"/>
    <w:rsid w:val="00C8792A"/>
    <w:rsid w:val="00C8796D"/>
    <w:rsid w:val="00C9054F"/>
    <w:rsid w:val="00C90872"/>
    <w:rsid w:val="00C91C54"/>
    <w:rsid w:val="00C927AF"/>
    <w:rsid w:val="00C9309F"/>
    <w:rsid w:val="00CA2954"/>
    <w:rsid w:val="00CA3DBC"/>
    <w:rsid w:val="00CA410D"/>
    <w:rsid w:val="00CA63D2"/>
    <w:rsid w:val="00CB0660"/>
    <w:rsid w:val="00CB461A"/>
    <w:rsid w:val="00CB69DA"/>
    <w:rsid w:val="00CB7ED6"/>
    <w:rsid w:val="00CC0C4A"/>
    <w:rsid w:val="00CC4905"/>
    <w:rsid w:val="00CC7FD3"/>
    <w:rsid w:val="00CD5DDD"/>
    <w:rsid w:val="00CE3E30"/>
    <w:rsid w:val="00CE5255"/>
    <w:rsid w:val="00CE541E"/>
    <w:rsid w:val="00CE640B"/>
    <w:rsid w:val="00CF0121"/>
    <w:rsid w:val="00CF18F4"/>
    <w:rsid w:val="00CF44E2"/>
    <w:rsid w:val="00D04D69"/>
    <w:rsid w:val="00D076F4"/>
    <w:rsid w:val="00D07937"/>
    <w:rsid w:val="00D07968"/>
    <w:rsid w:val="00D102D0"/>
    <w:rsid w:val="00D109FD"/>
    <w:rsid w:val="00D14862"/>
    <w:rsid w:val="00D14E51"/>
    <w:rsid w:val="00D1584C"/>
    <w:rsid w:val="00D16DF8"/>
    <w:rsid w:val="00D32857"/>
    <w:rsid w:val="00D34997"/>
    <w:rsid w:val="00D40585"/>
    <w:rsid w:val="00D435BB"/>
    <w:rsid w:val="00D43EBA"/>
    <w:rsid w:val="00D5130D"/>
    <w:rsid w:val="00D532B7"/>
    <w:rsid w:val="00D53DC4"/>
    <w:rsid w:val="00D53E01"/>
    <w:rsid w:val="00D56A4C"/>
    <w:rsid w:val="00D62395"/>
    <w:rsid w:val="00D64B03"/>
    <w:rsid w:val="00D64D8E"/>
    <w:rsid w:val="00D721A3"/>
    <w:rsid w:val="00D73039"/>
    <w:rsid w:val="00D74521"/>
    <w:rsid w:val="00D81782"/>
    <w:rsid w:val="00D90BDF"/>
    <w:rsid w:val="00D955FE"/>
    <w:rsid w:val="00DA0572"/>
    <w:rsid w:val="00DA7B13"/>
    <w:rsid w:val="00DB0D7E"/>
    <w:rsid w:val="00DB16FB"/>
    <w:rsid w:val="00DC3A30"/>
    <w:rsid w:val="00DC59D7"/>
    <w:rsid w:val="00DC6BBA"/>
    <w:rsid w:val="00DC7FCA"/>
    <w:rsid w:val="00DD3B15"/>
    <w:rsid w:val="00DD61F7"/>
    <w:rsid w:val="00DE57EB"/>
    <w:rsid w:val="00DE5B62"/>
    <w:rsid w:val="00DF0F4C"/>
    <w:rsid w:val="00DF4814"/>
    <w:rsid w:val="00DF5BE0"/>
    <w:rsid w:val="00E0096A"/>
    <w:rsid w:val="00E0263D"/>
    <w:rsid w:val="00E12286"/>
    <w:rsid w:val="00E15518"/>
    <w:rsid w:val="00E17A35"/>
    <w:rsid w:val="00E21362"/>
    <w:rsid w:val="00E229C5"/>
    <w:rsid w:val="00E249D3"/>
    <w:rsid w:val="00E2712A"/>
    <w:rsid w:val="00E30820"/>
    <w:rsid w:val="00E34691"/>
    <w:rsid w:val="00E349EF"/>
    <w:rsid w:val="00E53DC2"/>
    <w:rsid w:val="00E5517D"/>
    <w:rsid w:val="00E56087"/>
    <w:rsid w:val="00E62855"/>
    <w:rsid w:val="00E63DE4"/>
    <w:rsid w:val="00E67DC8"/>
    <w:rsid w:val="00E71BAE"/>
    <w:rsid w:val="00E74D6C"/>
    <w:rsid w:val="00E7644C"/>
    <w:rsid w:val="00E770EC"/>
    <w:rsid w:val="00E80725"/>
    <w:rsid w:val="00E8314F"/>
    <w:rsid w:val="00E85BF6"/>
    <w:rsid w:val="00E9129C"/>
    <w:rsid w:val="00E94FFF"/>
    <w:rsid w:val="00E956A9"/>
    <w:rsid w:val="00EA215D"/>
    <w:rsid w:val="00EA427E"/>
    <w:rsid w:val="00EA5E34"/>
    <w:rsid w:val="00EA7A28"/>
    <w:rsid w:val="00EB0399"/>
    <w:rsid w:val="00EB07A3"/>
    <w:rsid w:val="00EB7F5F"/>
    <w:rsid w:val="00EC0480"/>
    <w:rsid w:val="00EC6337"/>
    <w:rsid w:val="00EC6665"/>
    <w:rsid w:val="00ED00FE"/>
    <w:rsid w:val="00ED427D"/>
    <w:rsid w:val="00EE3336"/>
    <w:rsid w:val="00EE6699"/>
    <w:rsid w:val="00F038D4"/>
    <w:rsid w:val="00F048A4"/>
    <w:rsid w:val="00F1084B"/>
    <w:rsid w:val="00F10CAD"/>
    <w:rsid w:val="00F14F1E"/>
    <w:rsid w:val="00F1605F"/>
    <w:rsid w:val="00F170EF"/>
    <w:rsid w:val="00F24484"/>
    <w:rsid w:val="00F25BC6"/>
    <w:rsid w:val="00F2767A"/>
    <w:rsid w:val="00F30527"/>
    <w:rsid w:val="00F310B5"/>
    <w:rsid w:val="00F32404"/>
    <w:rsid w:val="00F32803"/>
    <w:rsid w:val="00F3522B"/>
    <w:rsid w:val="00F4606F"/>
    <w:rsid w:val="00F519C4"/>
    <w:rsid w:val="00F53469"/>
    <w:rsid w:val="00F67F4E"/>
    <w:rsid w:val="00F70B17"/>
    <w:rsid w:val="00F71D97"/>
    <w:rsid w:val="00F7442C"/>
    <w:rsid w:val="00F76419"/>
    <w:rsid w:val="00F7676E"/>
    <w:rsid w:val="00F77E0B"/>
    <w:rsid w:val="00F8070C"/>
    <w:rsid w:val="00F81562"/>
    <w:rsid w:val="00F8245D"/>
    <w:rsid w:val="00F8252D"/>
    <w:rsid w:val="00F831A1"/>
    <w:rsid w:val="00F85E9E"/>
    <w:rsid w:val="00F86554"/>
    <w:rsid w:val="00F87457"/>
    <w:rsid w:val="00F93FA2"/>
    <w:rsid w:val="00F94571"/>
    <w:rsid w:val="00F96ADA"/>
    <w:rsid w:val="00FA1EDE"/>
    <w:rsid w:val="00FA2A56"/>
    <w:rsid w:val="00FA7635"/>
    <w:rsid w:val="00FB0EDE"/>
    <w:rsid w:val="00FB26CE"/>
    <w:rsid w:val="00FC0CE2"/>
    <w:rsid w:val="00FC20CB"/>
    <w:rsid w:val="00FC3CD6"/>
    <w:rsid w:val="00FC43FE"/>
    <w:rsid w:val="00FC5CAA"/>
    <w:rsid w:val="00FC6AA8"/>
    <w:rsid w:val="00FD2635"/>
    <w:rsid w:val="00FD3E9E"/>
    <w:rsid w:val="00FE07BB"/>
    <w:rsid w:val="00FE08CE"/>
    <w:rsid w:val="00FE2F68"/>
    <w:rsid w:val="00FE45D6"/>
    <w:rsid w:val="00FE79EC"/>
    <w:rsid w:val="10849283"/>
    <w:rsid w:val="482D98C5"/>
    <w:rsid w:val="7C8821F1"/>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6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4"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0C541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D40585"/>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D40585"/>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0C5415"/>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67D9D"/>
    <w:rPr>
      <w:color w:val="605E5C"/>
      <w:shd w:val="clear" w:color="auto" w:fill="E1DFDD"/>
    </w:rPr>
  </w:style>
  <w:style w:type="paragraph" w:styleId="Revision">
    <w:name w:val="Revision"/>
    <w:hidden/>
    <w:semiHidden/>
    <w:rsid w:val="00C663BF"/>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unhideWhenUsed/>
    <w:rsid w:val="003670EB"/>
    <w:rPr>
      <w:sz w:val="16"/>
      <w:szCs w:val="16"/>
    </w:rPr>
  </w:style>
  <w:style w:type="paragraph" w:styleId="CommentText">
    <w:name w:val="annotation text"/>
    <w:basedOn w:val="Normal"/>
    <w:link w:val="CommentTextChar"/>
    <w:uiPriority w:val="99"/>
    <w:unhideWhenUsed/>
    <w:rsid w:val="003670EB"/>
    <w:rPr>
      <w:sz w:val="20"/>
      <w:szCs w:val="20"/>
    </w:rPr>
  </w:style>
  <w:style w:type="character" w:customStyle="1" w:styleId="CommentTextChar">
    <w:name w:val="Comment Text Char"/>
    <w:basedOn w:val="DefaultParagraphFont"/>
    <w:link w:val="CommentText"/>
    <w:uiPriority w:val="99"/>
    <w:rsid w:val="003670EB"/>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3670EB"/>
    <w:rPr>
      <w:b/>
      <w:bCs/>
    </w:rPr>
  </w:style>
  <w:style w:type="character" w:customStyle="1" w:styleId="CommentSubjectChar">
    <w:name w:val="Comment Subject Char"/>
    <w:basedOn w:val="CommentTextChar"/>
    <w:link w:val="CommentSubject"/>
    <w:uiPriority w:val="99"/>
    <w:semiHidden/>
    <w:rsid w:val="003670EB"/>
    <w:rPr>
      <w:rFonts w:asciiTheme="minorHAnsi" w:hAnsiTheme="minorHAnsi" w:cstheme="minorHAnsi"/>
      <w:b/>
      <w:bCs/>
      <w:color w:val="000000" w:themeColor="text1"/>
      <w:lang w:eastAsia="en-US"/>
    </w:rPr>
  </w:style>
  <w:style w:type="paragraph" w:styleId="FootnoteText">
    <w:name w:val="footnote text"/>
    <w:basedOn w:val="Normal"/>
    <w:link w:val="FootnoteTextChar"/>
    <w:uiPriority w:val="99"/>
    <w:unhideWhenUsed/>
    <w:rsid w:val="000776FC"/>
    <w:pPr>
      <w:spacing w:after="0"/>
    </w:pPr>
    <w:rPr>
      <w:sz w:val="20"/>
      <w:szCs w:val="20"/>
    </w:rPr>
  </w:style>
  <w:style w:type="character" w:customStyle="1" w:styleId="FootnoteTextChar">
    <w:name w:val="Footnote Text Char"/>
    <w:basedOn w:val="DefaultParagraphFont"/>
    <w:link w:val="FootnoteText"/>
    <w:uiPriority w:val="99"/>
    <w:rsid w:val="000776FC"/>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0776FC"/>
    <w:rPr>
      <w:vertAlign w:val="superscript"/>
    </w:rPr>
  </w:style>
  <w:style w:type="character" w:customStyle="1" w:styleId="ui-provider">
    <w:name w:val="ui-provider"/>
    <w:basedOn w:val="DefaultParagraphFont"/>
    <w:rsid w:val="009A0A6A"/>
  </w:style>
  <w:style w:type="character" w:styleId="Mention">
    <w:name w:val="Mention"/>
    <w:basedOn w:val="DefaultParagraphFont"/>
    <w:uiPriority w:val="99"/>
    <w:unhideWhenUsed/>
    <w:rsid w:val="005C3E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1257">
      <w:bodyDiv w:val="1"/>
      <w:marLeft w:val="0"/>
      <w:marRight w:val="0"/>
      <w:marTop w:val="0"/>
      <w:marBottom w:val="0"/>
      <w:divBdr>
        <w:top w:val="none" w:sz="0" w:space="0" w:color="auto"/>
        <w:left w:val="none" w:sz="0" w:space="0" w:color="auto"/>
        <w:bottom w:val="none" w:sz="0" w:space="0" w:color="auto"/>
        <w:right w:val="none" w:sz="0" w:space="0" w:color="auto"/>
      </w:divBdr>
    </w:div>
    <w:div w:id="179201420">
      <w:bodyDiv w:val="1"/>
      <w:marLeft w:val="0"/>
      <w:marRight w:val="0"/>
      <w:marTop w:val="0"/>
      <w:marBottom w:val="0"/>
      <w:divBdr>
        <w:top w:val="none" w:sz="0" w:space="0" w:color="auto"/>
        <w:left w:val="none" w:sz="0" w:space="0" w:color="auto"/>
        <w:bottom w:val="none" w:sz="0" w:space="0" w:color="auto"/>
        <w:right w:val="none" w:sz="0" w:space="0" w:color="auto"/>
      </w:divBdr>
    </w:div>
    <w:div w:id="317345187">
      <w:bodyDiv w:val="1"/>
      <w:marLeft w:val="0"/>
      <w:marRight w:val="0"/>
      <w:marTop w:val="0"/>
      <w:marBottom w:val="0"/>
      <w:divBdr>
        <w:top w:val="none" w:sz="0" w:space="0" w:color="auto"/>
        <w:left w:val="none" w:sz="0" w:space="0" w:color="auto"/>
        <w:bottom w:val="none" w:sz="0" w:space="0" w:color="auto"/>
        <w:right w:val="none" w:sz="0" w:space="0" w:color="auto"/>
      </w:divBdr>
    </w:div>
    <w:div w:id="759909137">
      <w:bodyDiv w:val="1"/>
      <w:marLeft w:val="0"/>
      <w:marRight w:val="0"/>
      <w:marTop w:val="0"/>
      <w:marBottom w:val="0"/>
      <w:divBdr>
        <w:top w:val="none" w:sz="0" w:space="0" w:color="auto"/>
        <w:left w:val="none" w:sz="0" w:space="0" w:color="auto"/>
        <w:bottom w:val="none" w:sz="0" w:space="0" w:color="auto"/>
        <w:right w:val="none" w:sz="0" w:space="0" w:color="auto"/>
      </w:divBdr>
    </w:div>
    <w:div w:id="95737470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80654908">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20077844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gov.au/schemes/national-greenhouse-and-energy-reporting-scheme/record-keeping-and-compliance-greenhous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legislation.gov.au/Series/F2008L0230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er.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Series/F2008L02230" TargetMode="External"/><Relationship Id="rId5" Type="http://schemas.openxmlformats.org/officeDocument/2006/relationships/settings" Target="settings.xml"/><Relationship Id="rId15" Type="http://schemas.openxmlformats.org/officeDocument/2006/relationships/hyperlink" Target="mailto:reporting@cer.gov.au" TargetMode="External"/><Relationship Id="rId23" Type="http://schemas.openxmlformats.org/officeDocument/2006/relationships/theme" Target="theme/theme1.xml"/><Relationship Id="rId10" Type="http://schemas.openxmlformats.org/officeDocument/2006/relationships/hyperlink" Target="https://www.legislation.gov.au/Series/C2007A00175"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and leasing guideline</dc:title>
  <dc:subject/>
  <dc:creator/>
  <cp:keywords/>
  <cp:lastModifiedBy/>
  <cp:revision>1</cp:revision>
  <dcterms:created xsi:type="dcterms:W3CDTF">2025-01-06T04:30:00Z</dcterms:created>
  <dcterms:modified xsi:type="dcterms:W3CDTF">2025-01-06T04:49:00Z</dcterms:modified>
</cp:coreProperties>
</file>