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342B3" w14:textId="174D9B8B" w:rsidR="00977234" w:rsidRDefault="00420CD0" w:rsidP="00C509AA">
      <w:pPr>
        <w:pStyle w:val="CERcovertitle"/>
        <w:spacing w:before="0"/>
        <w:ind w:right="2369"/>
      </w:pPr>
      <w:r w:rsidRPr="00E12286">
        <mc:AlternateContent>
          <mc:Choice Requires="wps">
            <w:drawing>
              <wp:anchor distT="0" distB="0" distL="114300" distR="114300" simplePos="0" relativeHeight="251627520" behindDoc="0" locked="0" layoutInCell="1" allowOverlap="1" wp14:anchorId="115D85DC" wp14:editId="060A65A0">
                <wp:simplePos x="0" y="0"/>
                <wp:positionH relativeFrom="column">
                  <wp:posOffset>4660900</wp:posOffset>
                </wp:positionH>
                <wp:positionV relativeFrom="paragraph">
                  <wp:posOffset>431165</wp:posOffset>
                </wp:positionV>
                <wp:extent cx="1518920" cy="1518920"/>
                <wp:effectExtent l="0" t="0" r="24130" b="24130"/>
                <wp:wrapNone/>
                <wp:docPr id="1" name="Freeform 2">
                  <a:extLst xmlns:a="http://schemas.openxmlformats.org/drawingml/2006/main">
                    <a:ext uri="{FF2B5EF4-FFF2-40B4-BE49-F238E27FC236}">
                      <a16:creationId xmlns:a16="http://schemas.microsoft.com/office/drawing/2014/main" id="{7BE18F6C-15A9-6374-0369-00D9F9CDBC0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8920"/>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chemeClr val="accent2"/>
                        </a:solidFill>
                        <a:ln>
                          <a:solidFill>
                            <a:schemeClr val="accent2"/>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56F3D473" id="Freeform 2" o:spid="_x0000_s1026" alt="&quot;&quot;" style="position:absolute;margin-left:367pt;margin-top:33.95pt;width:119.6pt;height:119.6pt;z-index:25162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" path="m5125,4843r,-4562l4844,,250,,,281,,4843r250,281l4844,5124r281,-281e" fillcolor="#fcba5c [3205]" strokecolor="#fcba5c [3205]">
                <v:path o:connecttype="custom" o:connectlocs="1518624,1435342;1518624,83281;1435359,0;74079,0;0,83281;0,1435342;74079,1518624;1435359,1518624;1518624,1435342" o:connectangles="0,0,0,0,0,0,0,0,0"/>
              </v:shape>
            </w:pict>
          </mc:Fallback>
        </mc:AlternateContent>
      </w:r>
    </w:p>
    <w:p w14:paraId="168C654D" w14:textId="35254034" w:rsidR="00420CD0" w:rsidRDefault="00420CD0" w:rsidP="009B7A92">
      <w:pPr>
        <w:pStyle w:val="CERcoversubtitle"/>
        <w:ind w:right="3361"/>
      </w:pPr>
      <w:r w:rsidRPr="00420CD0">
        <w:rPr>
          <w:rFonts w:asciiTheme="majorHAnsi" w:hAnsiTheme="majorHAnsi" w:cstheme="majorHAnsi"/>
          <w:b/>
          <w:bCs/>
          <w:sz w:val="56"/>
          <w:szCs w:val="56"/>
        </w:rPr>
        <w:t>Corporate Emissions</w:t>
      </w:r>
      <w:r>
        <w:rPr>
          <w:rFonts w:asciiTheme="majorHAnsi" w:hAnsiTheme="majorHAnsi" w:cstheme="majorHAnsi"/>
          <w:b/>
          <w:bCs/>
          <w:sz w:val="56"/>
          <w:szCs w:val="56"/>
        </w:rPr>
        <w:t xml:space="preserve"> </w:t>
      </w:r>
      <w:r w:rsidRPr="00420CD0">
        <w:rPr>
          <w:rFonts w:asciiTheme="majorHAnsi" w:hAnsiTheme="majorHAnsi" w:cstheme="majorHAnsi"/>
          <w:b/>
          <w:bCs/>
          <w:sz w:val="56"/>
          <w:szCs w:val="56"/>
        </w:rPr>
        <w:t>Reduction Transparency Report</w:t>
      </w:r>
    </w:p>
    <w:p w14:paraId="14E1F4F1" w14:textId="5BC43973" w:rsidR="00420CD0" w:rsidRDefault="00420CD0" w:rsidP="009B7A92">
      <w:pPr>
        <w:pStyle w:val="CERcoversubtitle"/>
        <w:ind w:right="3361"/>
      </w:pPr>
      <w:r w:rsidRPr="00E12286">
        <w:rPr>
          <w:noProof/>
        </w:rPr>
        <w:drawing>
          <wp:anchor distT="0" distB="0" distL="114300" distR="114300" simplePos="0" relativeHeight="251643904" behindDoc="0" locked="0" layoutInCell="1" allowOverlap="1" wp14:anchorId="3250E8AE" wp14:editId="3DE21FA9">
            <wp:simplePos x="0" y="0"/>
            <wp:positionH relativeFrom="column">
              <wp:posOffset>0</wp:posOffset>
            </wp:positionH>
            <wp:positionV relativeFrom="paragraph">
              <wp:posOffset>86995</wp:posOffset>
            </wp:positionV>
            <wp:extent cx="6184900" cy="4619625"/>
            <wp:effectExtent l="0" t="0" r="6350" b="9525"/>
            <wp:wrapNone/>
            <wp:docPr id="36" name="Picture Placeholder 35" descr="Two pairs of hands handling a soil carbon sample.">
              <a:extLst xmlns:a="http://schemas.openxmlformats.org/drawingml/2006/main">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6" name="Picture Placeholder 35" descr="Two pairs of hands handling a soil carbon sample.">
                      <a:extLst>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pic:cNvPr>
                    <pic:cNvPicPr>
                      <a:picLocks noGrp="1" noChangeAspect="1"/>
                    </pic:cNvPicPr>
                  </pic:nvPicPr>
                  <pic:blipFill>
                    <a:blip r:embed="rId9" cstate="screen">
                      <a:extLst>
                        <a:ext uri="{28A0092B-C50C-407E-A947-70E740481C1C}">
                          <a14:useLocalDpi xmlns:a14="http://schemas.microsoft.com/office/drawing/2010/main"/>
                        </a:ext>
                      </a:extLst>
                    </a:blip>
                    <a:srcRect/>
                    <a:stretch>
                      <a:fillRect/>
                    </a:stretch>
                  </pic:blipFill>
                  <pic:spPr>
                    <a:xfrm>
                      <a:off x="0" y="0"/>
                      <a:ext cx="6184900" cy="4619625"/>
                    </a:xfrm>
                    <a:custGeom>
                      <a:avLst/>
                      <a:gdLst>
                        <a:gd name="connsiteX0" fmla="*/ 4775925 w 6233979"/>
                        <a:gd name="connsiteY0" fmla="*/ 3123962 h 4656788"/>
                        <a:gd name="connsiteX1" fmla="*/ 6149935 w 6233979"/>
                        <a:gd name="connsiteY1" fmla="*/ 3123962 h 4656788"/>
                        <a:gd name="connsiteX2" fmla="*/ 6233979 w 6233979"/>
                        <a:gd name="connsiteY2" fmla="*/ 3208022 h 4656788"/>
                        <a:gd name="connsiteX3" fmla="*/ 6233979 w 6233979"/>
                        <a:gd name="connsiteY3" fmla="*/ 4572728 h 4656788"/>
                        <a:gd name="connsiteX4" fmla="*/ 6149935 w 6233979"/>
                        <a:gd name="connsiteY4" fmla="*/ 4656788 h 4656788"/>
                        <a:gd name="connsiteX5" fmla="*/ 4775925 w 6233979"/>
                        <a:gd name="connsiteY5" fmla="*/ 4656788 h 4656788"/>
                        <a:gd name="connsiteX6" fmla="*/ 4701153 w 6233979"/>
                        <a:gd name="connsiteY6" fmla="*/ 4572728 h 4656788"/>
                        <a:gd name="connsiteX7" fmla="*/ 4701153 w 6233979"/>
                        <a:gd name="connsiteY7" fmla="*/ 3208022 h 4656788"/>
                        <a:gd name="connsiteX8" fmla="*/ 3213825 w 6233979"/>
                        <a:gd name="connsiteY8" fmla="*/ 3123962 h 4656788"/>
                        <a:gd name="connsiteX9" fmla="*/ 4587835 w 6233979"/>
                        <a:gd name="connsiteY9" fmla="*/ 3123962 h 4656788"/>
                        <a:gd name="connsiteX10" fmla="*/ 4671879 w 6233979"/>
                        <a:gd name="connsiteY10" fmla="*/ 3208022 h 4656788"/>
                        <a:gd name="connsiteX11" fmla="*/ 4671879 w 6233979"/>
                        <a:gd name="connsiteY11" fmla="*/ 4572728 h 4656788"/>
                        <a:gd name="connsiteX12" fmla="*/ 4587835 w 6233979"/>
                        <a:gd name="connsiteY12" fmla="*/ 4656788 h 4656788"/>
                        <a:gd name="connsiteX13" fmla="*/ 3213825 w 6233979"/>
                        <a:gd name="connsiteY13" fmla="*/ 4656788 h 4656788"/>
                        <a:gd name="connsiteX14" fmla="*/ 3139053 w 6233979"/>
                        <a:gd name="connsiteY14" fmla="*/ 4572728 h 4656788"/>
                        <a:gd name="connsiteX15" fmla="*/ 3139053 w 6233979"/>
                        <a:gd name="connsiteY15" fmla="*/ 3208022 h 4656788"/>
                        <a:gd name="connsiteX16" fmla="*/ 3213824 w 6233979"/>
                        <a:gd name="connsiteY16" fmla="*/ 1561981 h 4656788"/>
                        <a:gd name="connsiteX17" fmla="*/ 4064724 w 6233979"/>
                        <a:gd name="connsiteY17" fmla="*/ 1561981 h 4656788"/>
                        <a:gd name="connsiteX18" fmla="*/ 4587834 w 6233979"/>
                        <a:gd name="connsiteY18" fmla="*/ 1561981 h 4656788"/>
                        <a:gd name="connsiteX19" fmla="*/ 4775924 w 6233979"/>
                        <a:gd name="connsiteY19" fmla="*/ 1561981 h 4656788"/>
                        <a:gd name="connsiteX20" fmla="*/ 5438734 w 6233979"/>
                        <a:gd name="connsiteY20" fmla="*/ 1561981 h 4656788"/>
                        <a:gd name="connsiteX21" fmla="*/ 6149934 w 6233979"/>
                        <a:gd name="connsiteY21" fmla="*/ 1561981 h 4656788"/>
                        <a:gd name="connsiteX22" fmla="*/ 6233978 w 6233979"/>
                        <a:gd name="connsiteY22" fmla="*/ 1646041 h 4656788"/>
                        <a:gd name="connsiteX23" fmla="*/ 6233978 w 6233979"/>
                        <a:gd name="connsiteY23" fmla="*/ 3010747 h 4656788"/>
                        <a:gd name="connsiteX24" fmla="*/ 6149934 w 6233979"/>
                        <a:gd name="connsiteY24" fmla="*/ 3094807 h 4656788"/>
                        <a:gd name="connsiteX25" fmla="*/ 5438734 w 6233979"/>
                        <a:gd name="connsiteY25" fmla="*/ 3094807 h 4656788"/>
                        <a:gd name="connsiteX26" fmla="*/ 4775924 w 6233979"/>
                        <a:gd name="connsiteY26" fmla="*/ 3094807 h 4656788"/>
                        <a:gd name="connsiteX27" fmla="*/ 4587834 w 6233979"/>
                        <a:gd name="connsiteY27" fmla="*/ 3094807 h 4656788"/>
                        <a:gd name="connsiteX28" fmla="*/ 4064724 w 6233979"/>
                        <a:gd name="connsiteY28" fmla="*/ 3094807 h 4656788"/>
                        <a:gd name="connsiteX29" fmla="*/ 3213824 w 6233979"/>
                        <a:gd name="connsiteY29" fmla="*/ 3094807 h 4656788"/>
                        <a:gd name="connsiteX30" fmla="*/ 3139052 w 6233979"/>
                        <a:gd name="connsiteY30" fmla="*/ 3010747 h 4656788"/>
                        <a:gd name="connsiteX31" fmla="*/ 3139052 w 6233979"/>
                        <a:gd name="connsiteY31" fmla="*/ 1646041 h 4656788"/>
                        <a:gd name="connsiteX32" fmla="*/ 74602 w 6233979"/>
                        <a:gd name="connsiteY32" fmla="*/ 1548671 h 4656788"/>
                        <a:gd name="connsiteX33" fmla="*/ 3021099 w 6233979"/>
                        <a:gd name="connsiteY33" fmla="*/ 1548671 h 4656788"/>
                        <a:gd name="connsiteX34" fmla="*/ 3095701 w 6233979"/>
                        <a:gd name="connsiteY34" fmla="*/ 1623274 h 4656788"/>
                        <a:gd name="connsiteX35" fmla="*/ 3095701 w 6233979"/>
                        <a:gd name="connsiteY35" fmla="*/ 2565055 h 4656788"/>
                        <a:gd name="connsiteX36" fmla="*/ 3095701 w 6233979"/>
                        <a:gd name="connsiteY36" fmla="*/ 2994168 h 4656788"/>
                        <a:gd name="connsiteX37" fmla="*/ 3095701 w 6233979"/>
                        <a:gd name="connsiteY37" fmla="*/ 3199175 h 4656788"/>
                        <a:gd name="connsiteX38" fmla="*/ 3095701 w 6233979"/>
                        <a:gd name="connsiteY38" fmla="*/ 3935651 h 4656788"/>
                        <a:gd name="connsiteX39" fmla="*/ 3095701 w 6233979"/>
                        <a:gd name="connsiteY39" fmla="*/ 4560521 h 4656788"/>
                        <a:gd name="connsiteX40" fmla="*/ 3021099 w 6233979"/>
                        <a:gd name="connsiteY40" fmla="*/ 4644373 h 4656788"/>
                        <a:gd name="connsiteX41" fmla="*/ 2228821 w 6233979"/>
                        <a:gd name="connsiteY41" fmla="*/ 4644373 h 4656788"/>
                        <a:gd name="connsiteX42" fmla="*/ 1650504 w 6233979"/>
                        <a:gd name="connsiteY42" fmla="*/ 4644373 h 4656788"/>
                        <a:gd name="connsiteX43" fmla="*/ 1445496 w 6233979"/>
                        <a:gd name="connsiteY43" fmla="*/ 4644373 h 4656788"/>
                        <a:gd name="connsiteX44" fmla="*/ 857928 w 6233979"/>
                        <a:gd name="connsiteY44" fmla="*/ 4644373 h 4656788"/>
                        <a:gd name="connsiteX45" fmla="*/ 74602 w 6233979"/>
                        <a:gd name="connsiteY45" fmla="*/ 4644373 h 4656788"/>
                        <a:gd name="connsiteX46" fmla="*/ 0 w 6233979"/>
                        <a:gd name="connsiteY46" fmla="*/ 4560521 h 4656788"/>
                        <a:gd name="connsiteX47" fmla="*/ 0 w 6233979"/>
                        <a:gd name="connsiteY47" fmla="*/ 3935651 h 4656788"/>
                        <a:gd name="connsiteX48" fmla="*/ 0 w 6233979"/>
                        <a:gd name="connsiteY48" fmla="*/ 3199175 h 4656788"/>
                        <a:gd name="connsiteX49" fmla="*/ 0 w 6233979"/>
                        <a:gd name="connsiteY49" fmla="*/ 2994168 h 4656788"/>
                        <a:gd name="connsiteX50" fmla="*/ 0 w 6233979"/>
                        <a:gd name="connsiteY50" fmla="*/ 2565055 h 4656788"/>
                        <a:gd name="connsiteX51" fmla="*/ 0 w 6233979"/>
                        <a:gd name="connsiteY51" fmla="*/ 1623274 h 4656788"/>
                        <a:gd name="connsiteX52" fmla="*/ 4775925 w 6233979"/>
                        <a:gd name="connsiteY52" fmla="*/ 0 h 4656788"/>
                        <a:gd name="connsiteX53" fmla="*/ 6149935 w 6233979"/>
                        <a:gd name="connsiteY53" fmla="*/ 0 h 4656788"/>
                        <a:gd name="connsiteX54" fmla="*/ 6233979 w 6233979"/>
                        <a:gd name="connsiteY54" fmla="*/ 84060 h 4656788"/>
                        <a:gd name="connsiteX55" fmla="*/ 6233979 w 6233979"/>
                        <a:gd name="connsiteY55" fmla="*/ 1448766 h 4656788"/>
                        <a:gd name="connsiteX56" fmla="*/ 6149935 w 6233979"/>
                        <a:gd name="connsiteY56" fmla="*/ 1532826 h 4656788"/>
                        <a:gd name="connsiteX57" fmla="*/ 4775925 w 6233979"/>
                        <a:gd name="connsiteY57" fmla="*/ 1532826 h 4656788"/>
                        <a:gd name="connsiteX58" fmla="*/ 4701153 w 6233979"/>
                        <a:gd name="connsiteY58" fmla="*/ 1448766 h 4656788"/>
                        <a:gd name="connsiteX59" fmla="*/ 4701153 w 6233979"/>
                        <a:gd name="connsiteY59" fmla="*/ 84060 h 4656788"/>
                        <a:gd name="connsiteX60" fmla="*/ 3213825 w 6233979"/>
                        <a:gd name="connsiteY60" fmla="*/ 0 h 4656788"/>
                        <a:gd name="connsiteX61" fmla="*/ 4587835 w 6233979"/>
                        <a:gd name="connsiteY61" fmla="*/ 0 h 4656788"/>
                        <a:gd name="connsiteX62" fmla="*/ 4671879 w 6233979"/>
                        <a:gd name="connsiteY62" fmla="*/ 84060 h 4656788"/>
                        <a:gd name="connsiteX63" fmla="*/ 4671879 w 6233979"/>
                        <a:gd name="connsiteY63" fmla="*/ 1448766 h 4656788"/>
                        <a:gd name="connsiteX64" fmla="*/ 4587835 w 6233979"/>
                        <a:gd name="connsiteY64" fmla="*/ 1532826 h 4656788"/>
                        <a:gd name="connsiteX65" fmla="*/ 3213825 w 6233979"/>
                        <a:gd name="connsiteY65" fmla="*/ 1532826 h 4656788"/>
                        <a:gd name="connsiteX66" fmla="*/ 3139053 w 6233979"/>
                        <a:gd name="connsiteY66" fmla="*/ 1448766 h 4656788"/>
                        <a:gd name="connsiteX67" fmla="*/ 3139053 w 6233979"/>
                        <a:gd name="connsiteY67" fmla="*/ 84060 h 4656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6233979" h="4656788">
                          <a:moveTo>
                            <a:pt x="4775925" y="3123962"/>
                          </a:moveTo>
                          <a:lnTo>
                            <a:pt x="6149935" y="3123962"/>
                          </a:lnTo>
                          <a:lnTo>
                            <a:pt x="6233979" y="3208022"/>
                          </a:lnTo>
                          <a:lnTo>
                            <a:pt x="6233979" y="4572728"/>
                          </a:lnTo>
                          <a:lnTo>
                            <a:pt x="6149935" y="4656788"/>
                          </a:lnTo>
                          <a:lnTo>
                            <a:pt x="4775925" y="4656788"/>
                          </a:lnTo>
                          <a:lnTo>
                            <a:pt x="4701153" y="4572728"/>
                          </a:lnTo>
                          <a:lnTo>
                            <a:pt x="4701153" y="3208022"/>
                          </a:lnTo>
                          <a:close/>
                          <a:moveTo>
                            <a:pt x="3213825" y="3123962"/>
                          </a:moveTo>
                          <a:lnTo>
                            <a:pt x="4587835" y="3123962"/>
                          </a:lnTo>
                          <a:lnTo>
                            <a:pt x="4671879" y="3208022"/>
                          </a:lnTo>
                          <a:lnTo>
                            <a:pt x="4671879" y="4572728"/>
                          </a:lnTo>
                          <a:lnTo>
                            <a:pt x="4587835" y="4656788"/>
                          </a:lnTo>
                          <a:lnTo>
                            <a:pt x="3213825" y="4656788"/>
                          </a:lnTo>
                          <a:lnTo>
                            <a:pt x="3139053" y="4572728"/>
                          </a:lnTo>
                          <a:lnTo>
                            <a:pt x="3139053" y="3208022"/>
                          </a:lnTo>
                          <a:close/>
                          <a:moveTo>
                            <a:pt x="3213824" y="1561981"/>
                          </a:moveTo>
                          <a:lnTo>
                            <a:pt x="4064724" y="1561981"/>
                          </a:lnTo>
                          <a:lnTo>
                            <a:pt x="4587834" y="1561981"/>
                          </a:lnTo>
                          <a:lnTo>
                            <a:pt x="4775924" y="1561981"/>
                          </a:lnTo>
                          <a:lnTo>
                            <a:pt x="5438734" y="1561981"/>
                          </a:lnTo>
                          <a:lnTo>
                            <a:pt x="6149934" y="1561981"/>
                          </a:lnTo>
                          <a:lnTo>
                            <a:pt x="6233978" y="1646041"/>
                          </a:lnTo>
                          <a:lnTo>
                            <a:pt x="6233978" y="3010747"/>
                          </a:lnTo>
                          <a:lnTo>
                            <a:pt x="6149934" y="3094807"/>
                          </a:lnTo>
                          <a:lnTo>
                            <a:pt x="5438734" y="3094807"/>
                          </a:lnTo>
                          <a:lnTo>
                            <a:pt x="4775924" y="3094807"/>
                          </a:lnTo>
                          <a:lnTo>
                            <a:pt x="4587834" y="3094807"/>
                          </a:lnTo>
                          <a:lnTo>
                            <a:pt x="4064724" y="3094807"/>
                          </a:lnTo>
                          <a:lnTo>
                            <a:pt x="3213824" y="3094807"/>
                          </a:lnTo>
                          <a:lnTo>
                            <a:pt x="3139052" y="3010747"/>
                          </a:lnTo>
                          <a:lnTo>
                            <a:pt x="3139052" y="1646041"/>
                          </a:lnTo>
                          <a:close/>
                          <a:moveTo>
                            <a:pt x="74602" y="1548671"/>
                          </a:moveTo>
                          <a:lnTo>
                            <a:pt x="3021099" y="1548671"/>
                          </a:lnTo>
                          <a:lnTo>
                            <a:pt x="3095701" y="1623274"/>
                          </a:lnTo>
                          <a:lnTo>
                            <a:pt x="3095701" y="2565055"/>
                          </a:lnTo>
                          <a:lnTo>
                            <a:pt x="3095701" y="2994168"/>
                          </a:lnTo>
                          <a:lnTo>
                            <a:pt x="3095701" y="3199175"/>
                          </a:lnTo>
                          <a:lnTo>
                            <a:pt x="3095701" y="3935651"/>
                          </a:lnTo>
                          <a:lnTo>
                            <a:pt x="3095701" y="4560521"/>
                          </a:lnTo>
                          <a:lnTo>
                            <a:pt x="3021099" y="4644373"/>
                          </a:lnTo>
                          <a:lnTo>
                            <a:pt x="2228821" y="4644373"/>
                          </a:lnTo>
                          <a:lnTo>
                            <a:pt x="1650504" y="4644373"/>
                          </a:lnTo>
                          <a:lnTo>
                            <a:pt x="1445496" y="4644373"/>
                          </a:lnTo>
                          <a:lnTo>
                            <a:pt x="857928" y="4644373"/>
                          </a:lnTo>
                          <a:lnTo>
                            <a:pt x="74602" y="4644373"/>
                          </a:lnTo>
                          <a:lnTo>
                            <a:pt x="0" y="4560521"/>
                          </a:lnTo>
                          <a:lnTo>
                            <a:pt x="0" y="3935651"/>
                          </a:lnTo>
                          <a:lnTo>
                            <a:pt x="0" y="3199175"/>
                          </a:lnTo>
                          <a:lnTo>
                            <a:pt x="0" y="2994168"/>
                          </a:lnTo>
                          <a:lnTo>
                            <a:pt x="0" y="2565055"/>
                          </a:lnTo>
                          <a:lnTo>
                            <a:pt x="0" y="1623274"/>
                          </a:lnTo>
                          <a:close/>
                          <a:moveTo>
                            <a:pt x="4775925" y="0"/>
                          </a:moveTo>
                          <a:lnTo>
                            <a:pt x="6149935" y="0"/>
                          </a:lnTo>
                          <a:lnTo>
                            <a:pt x="6233979" y="84060"/>
                          </a:lnTo>
                          <a:lnTo>
                            <a:pt x="6233979" y="1448766"/>
                          </a:lnTo>
                          <a:lnTo>
                            <a:pt x="6149935" y="1532826"/>
                          </a:lnTo>
                          <a:lnTo>
                            <a:pt x="4775925" y="1532826"/>
                          </a:lnTo>
                          <a:lnTo>
                            <a:pt x="4701153" y="1448766"/>
                          </a:lnTo>
                          <a:lnTo>
                            <a:pt x="4701153" y="84060"/>
                          </a:lnTo>
                          <a:close/>
                          <a:moveTo>
                            <a:pt x="3213825" y="0"/>
                          </a:moveTo>
                          <a:lnTo>
                            <a:pt x="4587835" y="0"/>
                          </a:lnTo>
                          <a:lnTo>
                            <a:pt x="4671879" y="84060"/>
                          </a:lnTo>
                          <a:lnTo>
                            <a:pt x="4671879" y="1448766"/>
                          </a:lnTo>
                          <a:lnTo>
                            <a:pt x="4587835" y="1532826"/>
                          </a:lnTo>
                          <a:lnTo>
                            <a:pt x="3213825" y="1532826"/>
                          </a:lnTo>
                          <a:lnTo>
                            <a:pt x="3139053" y="1448766"/>
                          </a:lnTo>
                          <a:lnTo>
                            <a:pt x="3139053" y="84060"/>
                          </a:lnTo>
                          <a:close/>
                        </a:path>
                      </a:pathLst>
                    </a:custGeom>
                    <a:solidFill>
                      <a:schemeClr val="bg2"/>
                    </a:solidFill>
                  </pic:spPr>
                </pic:pic>
              </a:graphicData>
            </a:graphic>
          </wp:anchor>
        </w:drawing>
      </w:r>
      <w:r w:rsidR="00007A1B">
        <w:t xml:space="preserve">Reporting Guidance and </w:t>
      </w:r>
    </w:p>
    <w:p w14:paraId="0FA99C0A" w14:textId="4D38BE1B" w:rsidR="00CE46AC" w:rsidRDefault="00007A1B" w:rsidP="009B7A92">
      <w:pPr>
        <w:pStyle w:val="CERcoversubtitle"/>
        <w:ind w:right="3361"/>
      </w:pPr>
      <w:r>
        <w:t xml:space="preserve">Supporting </w:t>
      </w:r>
      <w:r w:rsidR="009B7A92">
        <w:t xml:space="preserve">Examples </w:t>
      </w:r>
    </w:p>
    <w:p w14:paraId="6F328C0A" w14:textId="093479D8" w:rsidR="003A5739" w:rsidRPr="00253FFC" w:rsidRDefault="009B7A92" w:rsidP="009B7A92">
      <w:pPr>
        <w:pStyle w:val="CERcoversubtitle"/>
        <w:ind w:right="3361"/>
      </w:pPr>
      <w:r>
        <w:t>FY</w:t>
      </w:r>
      <w:r w:rsidR="00CE46AC">
        <w:t>20</w:t>
      </w:r>
      <w:r>
        <w:t>2</w:t>
      </w:r>
      <w:r w:rsidR="00F635C0">
        <w:t>1</w:t>
      </w:r>
      <w:r>
        <w:t>-2</w:t>
      </w:r>
      <w:r w:rsidR="00F635C0">
        <w:t>2</w:t>
      </w:r>
      <w:r>
        <w:t xml:space="preserve"> and CAL</w:t>
      </w:r>
      <w:r w:rsidR="00CE46AC">
        <w:t>20</w:t>
      </w:r>
      <w:r>
        <w:t>22</w:t>
      </w:r>
    </w:p>
    <w:p w14:paraId="013352A0" w14:textId="749A6F22" w:rsidR="003A5739" w:rsidRPr="00531F3B" w:rsidRDefault="00260FAD" w:rsidP="002D18F3">
      <w:pPr>
        <w:pStyle w:val="BodyText1"/>
      </w:pPr>
      <w:r>
        <w:t>March</w:t>
      </w:r>
      <w:r w:rsidR="009B7A92">
        <w:t xml:space="preserve"> 202</w:t>
      </w:r>
      <w:r>
        <w:t>3</w:t>
      </w:r>
    </w:p>
    <w:p w14:paraId="28F56253" w14:textId="7FA5757A" w:rsidR="0021782A" w:rsidRPr="00531F3B" w:rsidRDefault="00420CD0" w:rsidP="0021782A">
      <w:r w:rsidRPr="00E12286">
        <w:rPr>
          <w:noProof/>
        </w:rPr>
        <mc:AlternateContent>
          <mc:Choice Requires="wps">
            <w:drawing>
              <wp:anchor distT="0" distB="0" distL="114300" distR="114300" simplePos="0" relativeHeight="251619328" behindDoc="0" locked="0" layoutInCell="1" allowOverlap="1" wp14:anchorId="2A6BC9F6" wp14:editId="7E794837">
                <wp:simplePos x="0" y="0"/>
                <wp:positionH relativeFrom="column">
                  <wp:posOffset>4662170</wp:posOffset>
                </wp:positionH>
                <wp:positionV relativeFrom="paragraph">
                  <wp:posOffset>3227070</wp:posOffset>
                </wp:positionV>
                <wp:extent cx="1518920" cy="1515745"/>
                <wp:effectExtent l="0" t="0" r="5080" b="8255"/>
                <wp:wrapNone/>
                <wp:docPr id="2" name="Freeform 4">
                  <a:extLst xmlns:a="http://schemas.openxmlformats.org/drawingml/2006/main">
                    <a:ext uri="{FF2B5EF4-FFF2-40B4-BE49-F238E27FC236}">
                      <a16:creationId xmlns:a16="http://schemas.microsoft.com/office/drawing/2014/main" id="{E301F51A-6C48-8D6A-18DE-24EEB5616D5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3"/>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74558921" id="Freeform 4" o:spid="_x0000_s1026" alt="&quot;&quot;" style="position:absolute;margin-left:367.1pt;margin-top:254.1pt;width:119.6pt;height:119.35pt;z-index:25161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" path="m5125,4844r,-4594l4844,,250,,,250,,4844r250,250l4844,5094r281,-250e" fillcolor="#006c93 [3206]" stroked="f">
                <v:path arrowok="t" o:connecttype="custom" o:connectlocs="1518624,1441073;1518624,74374;1435359,0;74079,0;0,74374;0,1441073;74079,1515448;1435359,1515448;1518624,1441073" o:connectangles="0,0,0,0,0,0,0,0,0"/>
              </v:shape>
            </w:pict>
          </mc:Fallback>
        </mc:AlternateContent>
      </w:r>
      <w:r w:rsidRPr="00E12286">
        <w:rPr>
          <w:noProof/>
        </w:rPr>
        <mc:AlternateContent>
          <mc:Choice Requires="wps">
            <w:drawing>
              <wp:anchor distT="0" distB="0" distL="114300" distR="114300" simplePos="0" relativeHeight="251635712" behindDoc="0" locked="0" layoutInCell="1" allowOverlap="1" wp14:anchorId="34740486" wp14:editId="62BAAD0A">
                <wp:simplePos x="0" y="0"/>
                <wp:positionH relativeFrom="column">
                  <wp:posOffset>3114040</wp:posOffset>
                </wp:positionH>
                <wp:positionV relativeFrom="paragraph">
                  <wp:posOffset>3227070</wp:posOffset>
                </wp:positionV>
                <wp:extent cx="1518920" cy="1518920"/>
                <wp:effectExtent l="0" t="0" r="24130" b="24130"/>
                <wp:wrapNone/>
                <wp:docPr id="3" name="Freeform 4">
                  <a:extLst xmlns:a="http://schemas.openxmlformats.org/drawingml/2006/main">
                    <a:ext uri="{FF2B5EF4-FFF2-40B4-BE49-F238E27FC236}">
                      <a16:creationId xmlns:a16="http://schemas.microsoft.com/office/drawing/2014/main" id="{C3E24A73-5D17-FD81-5BFB-9E6D59124CF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8920"/>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1"/>
                        </a:solidFill>
                        <a:ln>
                          <a:solidFill>
                            <a:schemeClr val="accent1"/>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0015F0B7" id="Freeform 4" o:spid="_x0000_s1026" alt="&quot;&quot;" style="position:absolute;margin-left:245.2pt;margin-top:254.1pt;width:119.6pt;height:119.6pt;z-index:25163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" path="m5125,4844r,-4594l4844,,250,,,250,,4844r250,250l4844,5094r281,-250e" fillcolor="#9fb76f [3204]" strokecolor="#9fb76f [3204]">
                <v:path o:connecttype="custom" o:connectlocs="1518624,1444092;1518624,74530;1435359,0;74079,0;0,74530;0,1444092;74079,1518622;1435359,1518622;1518624,1444092" o:connectangles="0,0,0,0,0,0,0,0,0"/>
              </v:shape>
            </w:pict>
          </mc:Fallback>
        </mc:AlternateContent>
      </w:r>
      <w:r w:rsidR="003A5739" w:rsidRPr="00531F3B">
        <w:br w:type="page"/>
      </w:r>
    </w:p>
    <w:sdt>
      <w:sdtPr>
        <w:rPr>
          <w:rFonts w:asciiTheme="minorHAnsi" w:eastAsia="Cambria" w:hAnsiTheme="minorHAnsi" w:cstheme="minorHAnsi"/>
          <w:b w:val="0"/>
          <w:bCs w:val="0"/>
          <w:kern w:val="0"/>
          <w:sz w:val="22"/>
        </w:rPr>
        <w:id w:val="-1879228766"/>
        <w:docPartObj>
          <w:docPartGallery w:val="Table of Contents"/>
          <w:docPartUnique/>
        </w:docPartObj>
      </w:sdtPr>
      <w:sdtEndPr>
        <w:rPr>
          <w:noProof/>
        </w:rPr>
      </w:sdtEndPr>
      <w:sdtContent>
        <w:p w14:paraId="5C742354" w14:textId="21CCC71B" w:rsidR="00C0399E" w:rsidRPr="007D1F41" w:rsidRDefault="00C0399E" w:rsidP="007D1F41">
          <w:pPr>
            <w:pStyle w:val="Heading1"/>
            <w:rPr>
              <w:color w:val="auto"/>
            </w:rPr>
          </w:pPr>
          <w:r w:rsidRPr="007D1F41">
            <w:rPr>
              <w:color w:val="auto"/>
            </w:rPr>
            <w:t>Contents</w:t>
          </w:r>
        </w:p>
        <w:p w14:paraId="3A390661" w14:textId="46AC8217" w:rsidR="00DF65B8" w:rsidRPr="000816EE" w:rsidRDefault="00C0399E">
          <w:pPr>
            <w:pStyle w:val="TOC1"/>
            <w:rPr>
              <w:rFonts w:eastAsiaTheme="minorEastAsia" w:cstheme="minorBidi"/>
              <w:b w:val="0"/>
              <w:noProof/>
              <w:color w:val="auto"/>
              <w:szCs w:val="22"/>
              <w:lang w:eastAsia="en-AU"/>
            </w:rPr>
          </w:pPr>
          <w:r w:rsidRPr="000816EE">
            <w:fldChar w:fldCharType="begin"/>
          </w:r>
          <w:r w:rsidRPr="000816EE">
            <w:instrText xml:space="preserve"> TOC \o "1-3" \h \z \u </w:instrText>
          </w:r>
          <w:r w:rsidRPr="000816EE">
            <w:fldChar w:fldCharType="separate"/>
          </w:r>
          <w:hyperlink w:anchor="_Toc121236614" w:history="1">
            <w:r w:rsidR="00DF65B8" w:rsidRPr="000816EE">
              <w:rPr>
                <w:rStyle w:val="Hyperlink"/>
                <w:noProof/>
              </w:rPr>
              <w:t>Introduction</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_Toc121236614 \h </w:instrText>
            </w:r>
            <w:r w:rsidR="00DF65B8" w:rsidRPr="000816EE">
              <w:rPr>
                <w:noProof/>
                <w:webHidden/>
              </w:rPr>
            </w:r>
            <w:r w:rsidR="00DF65B8" w:rsidRPr="000816EE">
              <w:rPr>
                <w:noProof/>
                <w:webHidden/>
              </w:rPr>
              <w:fldChar w:fldCharType="separate"/>
            </w:r>
            <w:r w:rsidR="00DA14E2">
              <w:rPr>
                <w:noProof/>
                <w:webHidden/>
              </w:rPr>
              <w:t>3</w:t>
            </w:r>
            <w:r w:rsidR="00DF65B8" w:rsidRPr="000816EE">
              <w:rPr>
                <w:noProof/>
                <w:webHidden/>
              </w:rPr>
              <w:fldChar w:fldCharType="end"/>
            </w:r>
          </w:hyperlink>
        </w:p>
        <w:p w14:paraId="38B68A7C" w14:textId="1454E3D5" w:rsidR="00DF65B8" w:rsidRPr="000816EE" w:rsidRDefault="00260FAD">
          <w:pPr>
            <w:pStyle w:val="TOC3"/>
            <w:rPr>
              <w:rFonts w:eastAsiaTheme="minorEastAsia" w:cstheme="minorBidi"/>
              <w:noProof/>
              <w:color w:val="auto"/>
              <w:szCs w:val="22"/>
              <w:lang w:eastAsia="en-AU"/>
            </w:rPr>
          </w:pPr>
          <w:hyperlink w:anchor="_Toc121236615" w:history="1">
            <w:r w:rsidR="00DF65B8" w:rsidRPr="000816EE">
              <w:rPr>
                <w:rStyle w:val="Hyperlink"/>
                <w:noProof/>
              </w:rPr>
              <w:t>Disclaimer</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_Toc121236615 \h </w:instrText>
            </w:r>
            <w:r w:rsidR="00DF65B8" w:rsidRPr="000816EE">
              <w:rPr>
                <w:noProof/>
                <w:webHidden/>
              </w:rPr>
            </w:r>
            <w:r w:rsidR="00DF65B8" w:rsidRPr="000816EE">
              <w:rPr>
                <w:noProof/>
                <w:webHidden/>
              </w:rPr>
              <w:fldChar w:fldCharType="separate"/>
            </w:r>
            <w:r w:rsidR="00DA14E2">
              <w:rPr>
                <w:noProof/>
                <w:webHidden/>
              </w:rPr>
              <w:t>3</w:t>
            </w:r>
            <w:r w:rsidR="00DF65B8" w:rsidRPr="000816EE">
              <w:rPr>
                <w:noProof/>
                <w:webHidden/>
              </w:rPr>
              <w:fldChar w:fldCharType="end"/>
            </w:r>
          </w:hyperlink>
        </w:p>
        <w:p w14:paraId="4DEB8951" w14:textId="1CC319D0" w:rsidR="00DF65B8" w:rsidRPr="000816EE" w:rsidRDefault="00260FAD">
          <w:pPr>
            <w:pStyle w:val="TOC1"/>
            <w:rPr>
              <w:rFonts w:eastAsiaTheme="minorEastAsia" w:cstheme="minorBidi"/>
              <w:b w:val="0"/>
              <w:noProof/>
              <w:color w:val="auto"/>
              <w:szCs w:val="22"/>
              <w:lang w:eastAsia="en-AU"/>
            </w:rPr>
          </w:pPr>
          <w:hyperlink w:anchor="_Toc121236616" w:history="1">
            <w:r w:rsidR="00DF65B8" w:rsidRPr="000816EE">
              <w:rPr>
                <w:rStyle w:val="Hyperlink"/>
                <w:noProof/>
              </w:rPr>
              <w:t>Reporting guidance</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_Toc121236616 \h </w:instrText>
            </w:r>
            <w:r w:rsidR="00DF65B8" w:rsidRPr="000816EE">
              <w:rPr>
                <w:noProof/>
                <w:webHidden/>
              </w:rPr>
            </w:r>
            <w:r w:rsidR="00DF65B8" w:rsidRPr="000816EE">
              <w:rPr>
                <w:noProof/>
                <w:webHidden/>
              </w:rPr>
              <w:fldChar w:fldCharType="separate"/>
            </w:r>
            <w:r w:rsidR="00DA14E2">
              <w:rPr>
                <w:noProof/>
                <w:webHidden/>
              </w:rPr>
              <w:t>4</w:t>
            </w:r>
            <w:r w:rsidR="00DF65B8" w:rsidRPr="000816EE">
              <w:rPr>
                <w:noProof/>
                <w:webHidden/>
              </w:rPr>
              <w:fldChar w:fldCharType="end"/>
            </w:r>
          </w:hyperlink>
        </w:p>
        <w:p w14:paraId="5FFFD332" w14:textId="47118362" w:rsidR="00DF65B8" w:rsidRPr="000816EE" w:rsidRDefault="00260FAD">
          <w:pPr>
            <w:pStyle w:val="TOC2"/>
            <w:tabs>
              <w:tab w:val="right" w:leader="dot" w:pos="9730"/>
            </w:tabs>
            <w:rPr>
              <w:rFonts w:eastAsiaTheme="minorEastAsia" w:cstheme="minorBidi"/>
              <w:noProof/>
              <w:color w:val="auto"/>
              <w:szCs w:val="22"/>
              <w:lang w:eastAsia="en-AU"/>
            </w:rPr>
          </w:pPr>
          <w:hyperlink w:anchor="_Toc121236617" w:history="1">
            <w:r w:rsidR="00DF65B8" w:rsidRPr="000816EE">
              <w:rPr>
                <w:rStyle w:val="Hyperlink"/>
                <w:noProof/>
              </w:rPr>
              <w:t xml:space="preserve">Calendar year and equity share reporting - </w:t>
            </w:r>
            <w:r w:rsidR="00DF65B8" w:rsidRPr="000816EE">
              <w:rPr>
                <w:rStyle w:val="Hyperlink"/>
                <w:i/>
                <w:iCs/>
                <w:noProof/>
              </w:rPr>
              <w:t>Section 7 of the CERT Guidelines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_Toc121236617 \h </w:instrText>
            </w:r>
            <w:r w:rsidR="00DF65B8" w:rsidRPr="000816EE">
              <w:rPr>
                <w:noProof/>
                <w:webHidden/>
              </w:rPr>
            </w:r>
            <w:r w:rsidR="00DF65B8" w:rsidRPr="000816EE">
              <w:rPr>
                <w:noProof/>
                <w:webHidden/>
              </w:rPr>
              <w:fldChar w:fldCharType="separate"/>
            </w:r>
            <w:r w:rsidR="00DA14E2">
              <w:rPr>
                <w:noProof/>
                <w:webHidden/>
              </w:rPr>
              <w:t>4</w:t>
            </w:r>
            <w:r w:rsidR="00DF65B8" w:rsidRPr="000816EE">
              <w:rPr>
                <w:noProof/>
                <w:webHidden/>
              </w:rPr>
              <w:fldChar w:fldCharType="end"/>
            </w:r>
          </w:hyperlink>
        </w:p>
        <w:p w14:paraId="74561F25" w14:textId="04EDBE11" w:rsidR="00DF65B8" w:rsidRPr="000816EE" w:rsidRDefault="00260FAD">
          <w:pPr>
            <w:pStyle w:val="TOC2"/>
            <w:tabs>
              <w:tab w:val="right" w:leader="dot" w:pos="9730"/>
            </w:tabs>
            <w:rPr>
              <w:rFonts w:eastAsiaTheme="minorEastAsia" w:cstheme="minorBidi"/>
              <w:noProof/>
              <w:color w:val="auto"/>
              <w:szCs w:val="22"/>
              <w:lang w:eastAsia="en-AU"/>
            </w:rPr>
          </w:pPr>
          <w:hyperlink w:anchor="_Toc121236618" w:history="1">
            <w:r w:rsidR="00DF65B8" w:rsidRPr="000816EE">
              <w:rPr>
                <w:rStyle w:val="Hyperlink"/>
                <w:noProof/>
              </w:rPr>
              <w:t xml:space="preserve">Independently Assured Commitments - </w:t>
            </w:r>
            <w:r w:rsidR="00DF65B8" w:rsidRPr="000816EE">
              <w:rPr>
                <w:rStyle w:val="Hyperlink"/>
                <w:i/>
                <w:noProof/>
              </w:rPr>
              <w:t>Section 3 of the CERT Guidelines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_Toc121236618 \h </w:instrText>
            </w:r>
            <w:r w:rsidR="00DF65B8" w:rsidRPr="000816EE">
              <w:rPr>
                <w:noProof/>
                <w:webHidden/>
              </w:rPr>
            </w:r>
            <w:r w:rsidR="00DF65B8" w:rsidRPr="000816EE">
              <w:rPr>
                <w:noProof/>
                <w:webHidden/>
              </w:rPr>
              <w:fldChar w:fldCharType="separate"/>
            </w:r>
            <w:r w:rsidR="00DA14E2">
              <w:rPr>
                <w:noProof/>
                <w:webHidden/>
              </w:rPr>
              <w:t>6</w:t>
            </w:r>
            <w:r w:rsidR="00DF65B8" w:rsidRPr="000816EE">
              <w:rPr>
                <w:noProof/>
                <w:webHidden/>
              </w:rPr>
              <w:fldChar w:fldCharType="end"/>
            </w:r>
          </w:hyperlink>
        </w:p>
        <w:p w14:paraId="26F5C38E" w14:textId="5A1F1C26" w:rsidR="00DF65B8" w:rsidRPr="000816EE" w:rsidRDefault="00260FAD">
          <w:pPr>
            <w:pStyle w:val="TOC2"/>
            <w:tabs>
              <w:tab w:val="right" w:leader="dot" w:pos="9730"/>
            </w:tabs>
            <w:rPr>
              <w:rFonts w:eastAsiaTheme="minorEastAsia" w:cstheme="minorBidi"/>
              <w:noProof/>
              <w:color w:val="auto"/>
              <w:szCs w:val="22"/>
              <w:lang w:eastAsia="en-AU"/>
            </w:rPr>
          </w:pPr>
          <w:hyperlink w:anchor="_Toc121236619" w:history="1">
            <w:r w:rsidR="00DF65B8" w:rsidRPr="000816EE">
              <w:rPr>
                <w:rStyle w:val="Hyperlink"/>
                <w:noProof/>
              </w:rPr>
              <w:t xml:space="preserve">Revising a Base Period - </w:t>
            </w:r>
            <w:r w:rsidR="00DF65B8" w:rsidRPr="000816EE">
              <w:rPr>
                <w:rStyle w:val="Hyperlink"/>
                <w:i/>
                <w:iCs/>
                <w:noProof/>
              </w:rPr>
              <w:t>Section 7 of the CERT Guidelines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_Toc121236619 \h </w:instrText>
            </w:r>
            <w:r w:rsidR="00DF65B8" w:rsidRPr="000816EE">
              <w:rPr>
                <w:noProof/>
                <w:webHidden/>
              </w:rPr>
            </w:r>
            <w:r w:rsidR="00DF65B8" w:rsidRPr="000816EE">
              <w:rPr>
                <w:noProof/>
                <w:webHidden/>
              </w:rPr>
              <w:fldChar w:fldCharType="separate"/>
            </w:r>
            <w:r w:rsidR="00DA14E2">
              <w:rPr>
                <w:noProof/>
                <w:webHidden/>
              </w:rPr>
              <w:t>9</w:t>
            </w:r>
            <w:r w:rsidR="00DF65B8" w:rsidRPr="000816EE">
              <w:rPr>
                <w:noProof/>
                <w:webHidden/>
              </w:rPr>
              <w:fldChar w:fldCharType="end"/>
            </w:r>
          </w:hyperlink>
        </w:p>
        <w:p w14:paraId="3D5BF4D4" w14:textId="4FCB048B" w:rsidR="00DF65B8" w:rsidRPr="000816EE" w:rsidRDefault="00260FAD">
          <w:pPr>
            <w:pStyle w:val="TOC2"/>
            <w:tabs>
              <w:tab w:val="right" w:leader="dot" w:pos="9730"/>
            </w:tabs>
            <w:rPr>
              <w:rFonts w:eastAsiaTheme="minorEastAsia" w:cstheme="minorBidi"/>
              <w:noProof/>
              <w:color w:val="auto"/>
              <w:szCs w:val="22"/>
              <w:lang w:eastAsia="en-AU"/>
            </w:rPr>
          </w:pPr>
          <w:hyperlink w:anchor="_Toc121236620" w:history="1">
            <w:r w:rsidR="00DF65B8" w:rsidRPr="000816EE">
              <w:rPr>
                <w:rStyle w:val="Hyperlink"/>
                <w:noProof/>
              </w:rPr>
              <w:t>Renewable Electricity Use -</w:t>
            </w:r>
            <w:r w:rsidR="00DF65B8" w:rsidRPr="000816EE">
              <w:rPr>
                <w:rStyle w:val="Hyperlink"/>
                <w:i/>
                <w:iCs/>
                <w:noProof/>
              </w:rPr>
              <w:t xml:space="preserve"> Section 5 and 6 of the CERT Guidelines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_Toc121236620 \h </w:instrText>
            </w:r>
            <w:r w:rsidR="00DF65B8" w:rsidRPr="000816EE">
              <w:rPr>
                <w:noProof/>
                <w:webHidden/>
              </w:rPr>
            </w:r>
            <w:r w:rsidR="00DF65B8" w:rsidRPr="000816EE">
              <w:rPr>
                <w:noProof/>
                <w:webHidden/>
              </w:rPr>
              <w:fldChar w:fldCharType="separate"/>
            </w:r>
            <w:r w:rsidR="00DA14E2">
              <w:rPr>
                <w:noProof/>
                <w:webHidden/>
              </w:rPr>
              <w:t>11</w:t>
            </w:r>
            <w:r w:rsidR="00DF65B8" w:rsidRPr="000816EE">
              <w:rPr>
                <w:noProof/>
                <w:webHidden/>
              </w:rPr>
              <w:fldChar w:fldCharType="end"/>
            </w:r>
          </w:hyperlink>
        </w:p>
        <w:p w14:paraId="0BCC457B" w14:textId="7C167CCE" w:rsidR="00DF65B8" w:rsidRPr="000816EE" w:rsidRDefault="00260FAD">
          <w:pPr>
            <w:pStyle w:val="TOC1"/>
            <w:rPr>
              <w:rFonts w:eastAsiaTheme="minorEastAsia" w:cstheme="minorBidi"/>
              <w:b w:val="0"/>
              <w:noProof/>
              <w:color w:val="auto"/>
              <w:szCs w:val="22"/>
              <w:lang w:eastAsia="en-AU"/>
            </w:rPr>
          </w:pPr>
          <w:hyperlink w:anchor="_Toc121236621" w:history="1">
            <w:r w:rsidR="00DF65B8" w:rsidRPr="000816EE">
              <w:rPr>
                <w:rStyle w:val="Hyperlink"/>
                <w:noProof/>
              </w:rPr>
              <w:t>Supporting Examples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_Toc121236621 \h </w:instrText>
            </w:r>
            <w:r w:rsidR="00DF65B8" w:rsidRPr="000816EE">
              <w:rPr>
                <w:noProof/>
                <w:webHidden/>
              </w:rPr>
            </w:r>
            <w:r w:rsidR="00DF65B8" w:rsidRPr="000816EE">
              <w:rPr>
                <w:noProof/>
                <w:webHidden/>
              </w:rPr>
              <w:fldChar w:fldCharType="separate"/>
            </w:r>
            <w:r w:rsidR="00DA14E2">
              <w:rPr>
                <w:noProof/>
                <w:webHidden/>
              </w:rPr>
              <w:t>14</w:t>
            </w:r>
            <w:r w:rsidR="00DF65B8" w:rsidRPr="000816EE">
              <w:rPr>
                <w:noProof/>
                <w:webHidden/>
              </w:rPr>
              <w:fldChar w:fldCharType="end"/>
            </w:r>
          </w:hyperlink>
        </w:p>
        <w:p w14:paraId="369238B4" w14:textId="0800F3BF" w:rsidR="00DF65B8" w:rsidRPr="000816EE" w:rsidRDefault="00260FAD">
          <w:pPr>
            <w:pStyle w:val="TOC2"/>
            <w:tabs>
              <w:tab w:val="right" w:leader="dot" w:pos="9730"/>
            </w:tabs>
            <w:rPr>
              <w:rFonts w:eastAsiaTheme="minorEastAsia" w:cstheme="minorBidi"/>
              <w:noProof/>
              <w:color w:val="auto"/>
              <w:szCs w:val="22"/>
              <w:lang w:eastAsia="en-AU"/>
            </w:rPr>
          </w:pPr>
          <w:hyperlink w:anchor="_Toc121236622" w:history="1">
            <w:r w:rsidR="00DF65B8" w:rsidRPr="000816EE">
              <w:rPr>
                <w:rStyle w:val="Hyperlink"/>
                <w:noProof/>
              </w:rPr>
              <w:t xml:space="preserve">Eligible commitments – </w:t>
            </w:r>
            <w:r w:rsidR="00DF65B8" w:rsidRPr="000816EE">
              <w:rPr>
                <w:rStyle w:val="Hyperlink"/>
                <w:i/>
                <w:noProof/>
              </w:rPr>
              <w:t>Section 3 of the CERT Guidelines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_Toc121236622 \h </w:instrText>
            </w:r>
            <w:r w:rsidR="00DF65B8" w:rsidRPr="000816EE">
              <w:rPr>
                <w:noProof/>
                <w:webHidden/>
              </w:rPr>
            </w:r>
            <w:r w:rsidR="00DF65B8" w:rsidRPr="000816EE">
              <w:rPr>
                <w:noProof/>
                <w:webHidden/>
              </w:rPr>
              <w:fldChar w:fldCharType="separate"/>
            </w:r>
            <w:r w:rsidR="00DA14E2">
              <w:rPr>
                <w:noProof/>
                <w:webHidden/>
              </w:rPr>
              <w:t>14</w:t>
            </w:r>
            <w:r w:rsidR="00DF65B8" w:rsidRPr="000816EE">
              <w:rPr>
                <w:noProof/>
                <w:webHidden/>
              </w:rPr>
              <w:fldChar w:fldCharType="end"/>
            </w:r>
          </w:hyperlink>
        </w:p>
        <w:p w14:paraId="22963400" w14:textId="644BE76A" w:rsidR="00DF65B8" w:rsidRPr="000816EE" w:rsidRDefault="00260FAD">
          <w:pPr>
            <w:pStyle w:val="TOC2"/>
            <w:tabs>
              <w:tab w:val="right" w:leader="dot" w:pos="9730"/>
            </w:tabs>
            <w:rPr>
              <w:rFonts w:eastAsiaTheme="minorEastAsia" w:cstheme="minorBidi"/>
              <w:noProof/>
              <w:color w:val="auto"/>
              <w:szCs w:val="22"/>
              <w:lang w:eastAsia="en-AU"/>
            </w:rPr>
          </w:pPr>
          <w:hyperlink w:anchor="_Toc121236623" w:history="1">
            <w:r w:rsidR="00DF65B8" w:rsidRPr="000816EE">
              <w:rPr>
                <w:rStyle w:val="Hyperlink"/>
                <w:noProof/>
              </w:rPr>
              <w:t xml:space="preserve">Emissions accounting – </w:t>
            </w:r>
            <w:r w:rsidR="00DF65B8" w:rsidRPr="000816EE">
              <w:rPr>
                <w:rStyle w:val="Hyperlink"/>
                <w:i/>
                <w:iCs/>
                <w:noProof/>
              </w:rPr>
              <w:t>Section 5 of the CERT Guidelines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_Toc121236623 \h </w:instrText>
            </w:r>
            <w:r w:rsidR="00DF65B8" w:rsidRPr="000816EE">
              <w:rPr>
                <w:noProof/>
                <w:webHidden/>
              </w:rPr>
            </w:r>
            <w:r w:rsidR="00DF65B8" w:rsidRPr="000816EE">
              <w:rPr>
                <w:noProof/>
                <w:webHidden/>
              </w:rPr>
              <w:fldChar w:fldCharType="separate"/>
            </w:r>
            <w:r w:rsidR="00DA14E2">
              <w:rPr>
                <w:noProof/>
                <w:webHidden/>
              </w:rPr>
              <w:t>17</w:t>
            </w:r>
            <w:r w:rsidR="00DF65B8" w:rsidRPr="000816EE">
              <w:rPr>
                <w:noProof/>
                <w:webHidden/>
              </w:rPr>
              <w:fldChar w:fldCharType="end"/>
            </w:r>
          </w:hyperlink>
        </w:p>
        <w:p w14:paraId="775598F9" w14:textId="5AC0F110" w:rsidR="00DF65B8" w:rsidRPr="000816EE" w:rsidRDefault="00260FAD">
          <w:pPr>
            <w:pStyle w:val="TOC2"/>
            <w:tabs>
              <w:tab w:val="right" w:leader="dot" w:pos="9730"/>
            </w:tabs>
            <w:rPr>
              <w:rFonts w:eastAsiaTheme="minorEastAsia" w:cstheme="minorBidi"/>
              <w:noProof/>
              <w:color w:val="auto"/>
              <w:szCs w:val="22"/>
              <w:lang w:eastAsia="en-AU"/>
            </w:rPr>
          </w:pPr>
          <w:hyperlink w:anchor="_Toc121236624" w:history="1">
            <w:r w:rsidR="00DF65B8" w:rsidRPr="000816EE">
              <w:rPr>
                <w:rStyle w:val="Hyperlink"/>
                <w:noProof/>
              </w:rPr>
              <w:t xml:space="preserve">Renewable electricity accounting – </w:t>
            </w:r>
            <w:r w:rsidR="00DF65B8" w:rsidRPr="000816EE">
              <w:rPr>
                <w:rStyle w:val="Hyperlink"/>
                <w:i/>
                <w:iCs/>
                <w:noProof/>
              </w:rPr>
              <w:t>Section 6 of the CERT Guidelines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_Toc121236624 \h </w:instrText>
            </w:r>
            <w:r w:rsidR="00DF65B8" w:rsidRPr="000816EE">
              <w:rPr>
                <w:noProof/>
                <w:webHidden/>
              </w:rPr>
            </w:r>
            <w:r w:rsidR="00DF65B8" w:rsidRPr="000816EE">
              <w:rPr>
                <w:noProof/>
                <w:webHidden/>
              </w:rPr>
              <w:fldChar w:fldCharType="separate"/>
            </w:r>
            <w:r w:rsidR="00DA14E2">
              <w:rPr>
                <w:noProof/>
                <w:webHidden/>
              </w:rPr>
              <w:t>21</w:t>
            </w:r>
            <w:r w:rsidR="00DF65B8" w:rsidRPr="000816EE">
              <w:rPr>
                <w:noProof/>
                <w:webHidden/>
              </w:rPr>
              <w:fldChar w:fldCharType="end"/>
            </w:r>
          </w:hyperlink>
        </w:p>
        <w:p w14:paraId="29DA7268" w14:textId="379EBB61" w:rsidR="00DF65B8" w:rsidRPr="000816EE" w:rsidRDefault="00260FAD">
          <w:pPr>
            <w:pStyle w:val="TOC2"/>
            <w:tabs>
              <w:tab w:val="right" w:leader="dot" w:pos="9730"/>
            </w:tabs>
            <w:rPr>
              <w:rFonts w:eastAsiaTheme="minorEastAsia" w:cstheme="minorBidi"/>
              <w:noProof/>
              <w:color w:val="auto"/>
              <w:szCs w:val="22"/>
              <w:lang w:eastAsia="en-AU"/>
            </w:rPr>
          </w:pPr>
          <w:hyperlink w:anchor="_Toc121236625" w:history="1">
            <w:r w:rsidR="00DF65B8" w:rsidRPr="000816EE">
              <w:rPr>
                <w:rStyle w:val="Hyperlink"/>
                <w:noProof/>
              </w:rPr>
              <w:t xml:space="preserve">Accounting options and adjustments – </w:t>
            </w:r>
            <w:r w:rsidR="00DF65B8" w:rsidRPr="000816EE">
              <w:rPr>
                <w:rStyle w:val="Hyperlink"/>
                <w:i/>
                <w:iCs/>
                <w:noProof/>
              </w:rPr>
              <w:t>Section 7 of the CERT Guidelines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_Toc121236625 \h </w:instrText>
            </w:r>
            <w:r w:rsidR="00DF65B8" w:rsidRPr="000816EE">
              <w:rPr>
                <w:noProof/>
                <w:webHidden/>
              </w:rPr>
            </w:r>
            <w:r w:rsidR="00DF65B8" w:rsidRPr="000816EE">
              <w:rPr>
                <w:noProof/>
                <w:webHidden/>
              </w:rPr>
              <w:fldChar w:fldCharType="separate"/>
            </w:r>
            <w:r w:rsidR="00DA14E2">
              <w:rPr>
                <w:noProof/>
                <w:webHidden/>
              </w:rPr>
              <w:t>23</w:t>
            </w:r>
            <w:r w:rsidR="00DF65B8" w:rsidRPr="000816EE">
              <w:rPr>
                <w:noProof/>
                <w:webHidden/>
              </w:rPr>
              <w:fldChar w:fldCharType="end"/>
            </w:r>
          </w:hyperlink>
        </w:p>
        <w:p w14:paraId="3C63D3A0" w14:textId="66DD29FE" w:rsidR="00DF65B8" w:rsidRPr="000816EE" w:rsidRDefault="00260FAD">
          <w:pPr>
            <w:pStyle w:val="TOC2"/>
            <w:tabs>
              <w:tab w:val="right" w:leader="dot" w:pos="9730"/>
            </w:tabs>
            <w:rPr>
              <w:rFonts w:eastAsiaTheme="minorEastAsia" w:cstheme="minorBidi"/>
              <w:noProof/>
              <w:color w:val="auto"/>
              <w:szCs w:val="22"/>
              <w:lang w:eastAsia="en-AU"/>
            </w:rPr>
          </w:pPr>
          <w:hyperlink w:anchor="_Toc121236626" w:history="1">
            <w:r w:rsidR="00DF65B8" w:rsidRPr="000816EE">
              <w:rPr>
                <w:rStyle w:val="Hyperlink"/>
                <w:noProof/>
              </w:rPr>
              <w:t xml:space="preserve">Revising a Base Period </w:t>
            </w:r>
            <w:r w:rsidR="00DF65B8" w:rsidRPr="000816EE">
              <w:rPr>
                <w:rStyle w:val="Hyperlink"/>
                <w:i/>
                <w:iCs/>
                <w:noProof/>
              </w:rPr>
              <w:t>– Section 7 of the CERT Guidelines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_Toc121236626 \h </w:instrText>
            </w:r>
            <w:r w:rsidR="00DF65B8" w:rsidRPr="000816EE">
              <w:rPr>
                <w:noProof/>
                <w:webHidden/>
              </w:rPr>
            </w:r>
            <w:r w:rsidR="00DF65B8" w:rsidRPr="000816EE">
              <w:rPr>
                <w:noProof/>
                <w:webHidden/>
              </w:rPr>
              <w:fldChar w:fldCharType="separate"/>
            </w:r>
            <w:r w:rsidR="00DA14E2">
              <w:rPr>
                <w:noProof/>
                <w:webHidden/>
              </w:rPr>
              <w:t>26</w:t>
            </w:r>
            <w:r w:rsidR="00DF65B8" w:rsidRPr="000816EE">
              <w:rPr>
                <w:noProof/>
                <w:webHidden/>
              </w:rPr>
              <w:fldChar w:fldCharType="end"/>
            </w:r>
          </w:hyperlink>
        </w:p>
        <w:p w14:paraId="5CBA84C7" w14:textId="327A808E" w:rsidR="00DF65B8" w:rsidRPr="000816EE" w:rsidRDefault="00260FAD">
          <w:pPr>
            <w:pStyle w:val="TOC2"/>
            <w:tabs>
              <w:tab w:val="right" w:leader="dot" w:pos="9730"/>
            </w:tabs>
            <w:rPr>
              <w:rFonts w:eastAsiaTheme="minorEastAsia" w:cstheme="minorBidi"/>
              <w:noProof/>
              <w:color w:val="auto"/>
              <w:szCs w:val="22"/>
              <w:lang w:eastAsia="en-AU"/>
            </w:rPr>
          </w:pPr>
          <w:hyperlink w:anchor="_Toc121236627" w:history="1">
            <w:r w:rsidR="00DF65B8" w:rsidRPr="000816EE">
              <w:rPr>
                <w:rStyle w:val="Hyperlink"/>
                <w:noProof/>
              </w:rPr>
              <w:t xml:space="preserve">Calculating progress – </w:t>
            </w:r>
            <w:r w:rsidR="00DF65B8" w:rsidRPr="000816EE">
              <w:rPr>
                <w:rStyle w:val="Hyperlink"/>
                <w:i/>
                <w:iCs/>
                <w:noProof/>
              </w:rPr>
              <w:t>Section 8 of the CERT Guidelines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_Toc121236627 \h </w:instrText>
            </w:r>
            <w:r w:rsidR="00DF65B8" w:rsidRPr="000816EE">
              <w:rPr>
                <w:noProof/>
                <w:webHidden/>
              </w:rPr>
            </w:r>
            <w:r w:rsidR="00DF65B8" w:rsidRPr="000816EE">
              <w:rPr>
                <w:noProof/>
                <w:webHidden/>
              </w:rPr>
              <w:fldChar w:fldCharType="separate"/>
            </w:r>
            <w:r w:rsidR="00DA14E2">
              <w:rPr>
                <w:noProof/>
                <w:webHidden/>
              </w:rPr>
              <w:t>28</w:t>
            </w:r>
            <w:r w:rsidR="00DF65B8" w:rsidRPr="000816EE">
              <w:rPr>
                <w:noProof/>
                <w:webHidden/>
              </w:rPr>
              <w:fldChar w:fldCharType="end"/>
            </w:r>
          </w:hyperlink>
        </w:p>
        <w:p w14:paraId="7A84B675" w14:textId="17D5DE44" w:rsidR="00DF65B8" w:rsidRPr="000816EE" w:rsidRDefault="00260FAD">
          <w:pPr>
            <w:pStyle w:val="TOC2"/>
            <w:tabs>
              <w:tab w:val="right" w:leader="dot" w:pos="9730"/>
            </w:tabs>
            <w:rPr>
              <w:rFonts w:eastAsiaTheme="minorEastAsia" w:cstheme="minorBidi"/>
              <w:noProof/>
              <w:color w:val="auto"/>
              <w:szCs w:val="22"/>
              <w:lang w:eastAsia="en-AU"/>
            </w:rPr>
          </w:pPr>
          <w:hyperlink w:anchor="_Toc121236628" w:history="1">
            <w:r w:rsidR="00DF65B8" w:rsidRPr="000816EE">
              <w:rPr>
                <w:rStyle w:val="Hyperlink"/>
                <w:noProof/>
              </w:rPr>
              <w:t xml:space="preserve">Reporting – </w:t>
            </w:r>
            <w:r w:rsidR="00DF65B8" w:rsidRPr="000816EE">
              <w:rPr>
                <w:rStyle w:val="Hyperlink"/>
                <w:i/>
                <w:iCs/>
                <w:noProof/>
              </w:rPr>
              <w:t>Section 10 of the CERT Guidelines</w:t>
            </w:r>
            <w:r w:rsidR="00DF65B8" w:rsidRPr="000816EE">
              <w:rPr>
                <w:noProof/>
                <w:webHidden/>
              </w:rPr>
              <w:tab/>
            </w:r>
            <w:r w:rsidR="00DF65B8" w:rsidRPr="000816EE">
              <w:rPr>
                <w:noProof/>
                <w:webHidden/>
              </w:rPr>
              <w:fldChar w:fldCharType="begin"/>
            </w:r>
            <w:r w:rsidR="00DF65B8" w:rsidRPr="000816EE">
              <w:rPr>
                <w:noProof/>
                <w:webHidden/>
              </w:rPr>
              <w:instrText xml:space="preserve"> PAGEREF _Toc121236628 \h </w:instrText>
            </w:r>
            <w:r w:rsidR="00DF65B8" w:rsidRPr="000816EE">
              <w:rPr>
                <w:noProof/>
                <w:webHidden/>
              </w:rPr>
            </w:r>
            <w:r w:rsidR="00DF65B8" w:rsidRPr="000816EE">
              <w:rPr>
                <w:noProof/>
                <w:webHidden/>
              </w:rPr>
              <w:fldChar w:fldCharType="separate"/>
            </w:r>
            <w:r w:rsidR="00DA14E2">
              <w:rPr>
                <w:noProof/>
                <w:webHidden/>
              </w:rPr>
              <w:t>31</w:t>
            </w:r>
            <w:r w:rsidR="00DF65B8" w:rsidRPr="000816EE">
              <w:rPr>
                <w:noProof/>
                <w:webHidden/>
              </w:rPr>
              <w:fldChar w:fldCharType="end"/>
            </w:r>
          </w:hyperlink>
        </w:p>
        <w:p w14:paraId="6E7C2DB9" w14:textId="5058A37C" w:rsidR="00C0399E" w:rsidRDefault="00C0399E">
          <w:r w:rsidRPr="000816EE">
            <w:rPr>
              <w:b/>
              <w:bCs/>
              <w:noProof/>
            </w:rPr>
            <w:fldChar w:fldCharType="end"/>
          </w:r>
        </w:p>
      </w:sdtContent>
    </w:sdt>
    <w:p w14:paraId="716CFA31" w14:textId="77777777" w:rsidR="00C0399E" w:rsidRDefault="00C0399E">
      <w:pPr>
        <w:spacing w:after="0"/>
        <w:rPr>
          <w:rFonts w:ascii="Calibri" w:eastAsia="Times New Roman" w:hAnsi="Calibri" w:cs="Calibri"/>
          <w:b/>
          <w:bCs/>
          <w:kern w:val="32"/>
          <w:sz w:val="40"/>
        </w:rPr>
      </w:pPr>
      <w:r>
        <w:br w:type="page"/>
      </w:r>
    </w:p>
    <w:p w14:paraId="6B1FB9CB" w14:textId="1CC94BC8" w:rsidR="00FE08CE" w:rsidRDefault="009B7A92" w:rsidP="002D18F3">
      <w:pPr>
        <w:pStyle w:val="Heading1"/>
      </w:pPr>
      <w:bookmarkStart w:id="0" w:name="_Toc121236614"/>
      <w:r>
        <w:lastRenderedPageBreak/>
        <w:t>Introduction</w:t>
      </w:r>
      <w:bookmarkEnd w:id="0"/>
    </w:p>
    <w:p w14:paraId="36D4F5D4" w14:textId="0FC62D4C" w:rsidR="00501E49" w:rsidRDefault="009B7A92" w:rsidP="003A41A6">
      <w:pPr>
        <w:pStyle w:val="BodyText1"/>
      </w:pPr>
      <w:bookmarkStart w:id="1" w:name="_Toc82420465"/>
      <w:r>
        <w:t xml:space="preserve">This document provides </w:t>
      </w:r>
      <w:r w:rsidR="00F83A97">
        <w:t xml:space="preserve">detailed reporting guidance for some </w:t>
      </w:r>
      <w:r w:rsidR="00F83226">
        <w:t>more technical</w:t>
      </w:r>
      <w:r w:rsidR="00F83A97">
        <w:t xml:space="preserve"> aspects of </w:t>
      </w:r>
      <w:r w:rsidR="005D3276">
        <w:t xml:space="preserve">Corporate Emissions Reduction Transparency </w:t>
      </w:r>
      <w:r w:rsidR="006C62F7">
        <w:t>(</w:t>
      </w:r>
      <w:r w:rsidR="00F83A97">
        <w:t>CERT</w:t>
      </w:r>
      <w:r w:rsidR="006C62F7">
        <w:t>)</w:t>
      </w:r>
      <w:r w:rsidR="00F83A97">
        <w:t xml:space="preserve"> reporting, as well </w:t>
      </w:r>
      <w:r>
        <w:t xml:space="preserve">a series of worked examples of how some aspects of the </w:t>
      </w:r>
      <w:hyperlink r:id="rId10" w:history="1">
        <w:r w:rsidRPr="008838DF">
          <w:rPr>
            <w:rStyle w:val="Hyperlink"/>
            <w:rFonts w:asciiTheme="minorHAnsi" w:hAnsiTheme="minorHAnsi"/>
          </w:rPr>
          <w:t xml:space="preserve">CERT </w:t>
        </w:r>
        <w:r w:rsidR="0048486E" w:rsidRPr="008838DF">
          <w:rPr>
            <w:rStyle w:val="Hyperlink"/>
            <w:rFonts w:asciiTheme="minorHAnsi" w:hAnsiTheme="minorHAnsi"/>
          </w:rPr>
          <w:t>re</w:t>
        </w:r>
        <w:r w:rsidR="008838DF" w:rsidRPr="008838DF">
          <w:rPr>
            <w:rStyle w:val="Hyperlink"/>
            <w:rFonts w:asciiTheme="minorHAnsi" w:hAnsiTheme="minorHAnsi"/>
          </w:rPr>
          <w:t>p</w:t>
        </w:r>
        <w:r w:rsidR="00783593" w:rsidRPr="008838DF">
          <w:rPr>
            <w:rStyle w:val="Hyperlink"/>
            <w:rFonts w:asciiTheme="minorHAnsi" w:hAnsiTheme="minorHAnsi"/>
          </w:rPr>
          <w:t>ort guidelines</w:t>
        </w:r>
      </w:hyperlink>
      <w:r w:rsidR="009F62EF">
        <w:rPr>
          <w:rStyle w:val="FootnoteReference"/>
          <w:color w:val="006C93" w:themeColor="accent3"/>
          <w:u w:val="single"/>
        </w:rPr>
        <w:footnoteReference w:id="2"/>
      </w:r>
      <w:r>
        <w:t xml:space="preserve"> </w:t>
      </w:r>
      <w:r w:rsidR="008838DF">
        <w:t xml:space="preserve">may </w:t>
      </w:r>
      <w:r>
        <w:t xml:space="preserve">apply to hypothetical companies and their commitments. These examples align with certain sections of the guidelines, specified throughout. This document aims to assist existing and potential CERT participants understand the application of the CERT </w:t>
      </w:r>
      <w:r w:rsidR="4B97C939">
        <w:t>g</w:t>
      </w:r>
      <w:r>
        <w:t xml:space="preserve">uidelines, and address frequently asked questions, particularly regarding CERT emissions accounting, double counting provisions, </w:t>
      </w:r>
      <w:r w:rsidR="29C79D12">
        <w:t xml:space="preserve">independent assurance </w:t>
      </w:r>
      <w:r>
        <w:t xml:space="preserve">and equity and calendar year adjustments. It is not intended as an exhaustive list of potential scenarios, and companies are encouraged to contact the Clean Energy Regulator </w:t>
      </w:r>
      <w:r w:rsidR="004B1623">
        <w:t>(CER)</w:t>
      </w:r>
      <w:r>
        <w:t xml:space="preserve"> via </w:t>
      </w:r>
      <w:hyperlink r:id="rId11">
        <w:r w:rsidRPr="1CFF38F6">
          <w:rPr>
            <w:rStyle w:val="Hyperlink"/>
            <w:rFonts w:asciiTheme="minorHAnsi" w:hAnsiTheme="minorHAnsi"/>
          </w:rPr>
          <w:t>CER-CERT@cer.gov.au</w:t>
        </w:r>
      </w:hyperlink>
      <w:r>
        <w:t xml:space="preserve"> for further information and clarification if needed.</w:t>
      </w:r>
    </w:p>
    <w:p w14:paraId="6E822E15" w14:textId="31EE2B47" w:rsidR="005B3A7F" w:rsidRDefault="00FD30BE" w:rsidP="005B3A7F">
      <w:pPr>
        <w:pStyle w:val="Heading3"/>
      </w:pPr>
      <w:bookmarkStart w:id="2" w:name="_Toc121236615"/>
      <w:r>
        <w:t>Disclaimer</w:t>
      </w:r>
      <w:bookmarkEnd w:id="2"/>
    </w:p>
    <w:p w14:paraId="06DE5DF1" w14:textId="621EA075" w:rsidR="005B3A7F" w:rsidRPr="005B3A7F" w:rsidRDefault="005B3A7F" w:rsidP="005B3A7F">
      <w:r>
        <w:t xml:space="preserve">Before reading this </w:t>
      </w:r>
      <w:r w:rsidR="00E87279">
        <w:t xml:space="preserve">Guidance </w:t>
      </w:r>
      <w:r>
        <w:t>document, please be advised:</w:t>
      </w:r>
    </w:p>
    <w:bookmarkEnd w:id="1"/>
    <w:p w14:paraId="34866CEE" w14:textId="1F6BDC55" w:rsidR="00F66A72" w:rsidRPr="00F66A72" w:rsidRDefault="00F66A72" w:rsidP="00420CD0">
      <w:pPr>
        <w:pStyle w:val="CERbullets"/>
        <w:rPr>
          <w:rFonts w:ascii="Calibri" w:hAnsi="Calibri" w:cs="Calibri"/>
          <w:color w:val="000000"/>
          <w:szCs w:val="22"/>
        </w:rPr>
      </w:pPr>
      <w:r>
        <w:t>The Clea</w:t>
      </w:r>
      <w:r w:rsidRPr="00F66A72">
        <w:t xml:space="preserve">n Energy Regulator publishes the CERT report and these guidance materials in good faith to increase market transparency and to disseminate statistical information relevant to the operation of the legislation and schemes administered by the Clean Energy Regulator including the </w:t>
      </w:r>
      <w:r w:rsidRPr="00F66A72">
        <w:rPr>
          <w:i/>
          <w:iCs/>
        </w:rPr>
        <w:t>Carbon Credits (Carbon Farming Initiative) Act 2011</w:t>
      </w:r>
      <w:r w:rsidRPr="00F66A72">
        <w:t xml:space="preserve">. </w:t>
      </w:r>
    </w:p>
    <w:p w14:paraId="240DC313" w14:textId="77777777" w:rsidR="00F66A72" w:rsidRPr="00F66A72" w:rsidRDefault="00F66A72" w:rsidP="00420CD0">
      <w:pPr>
        <w:pStyle w:val="CERbullets"/>
      </w:pPr>
      <w:r w:rsidRPr="00F66A72">
        <w:t>The material in this document is provided for general information only, and is not legal, business or financial advice. You should obtain your own independent professional advice for your particular circumstances before making any investment decisions.</w:t>
      </w:r>
    </w:p>
    <w:p w14:paraId="3F0176DC" w14:textId="77777777" w:rsidR="00F66A72" w:rsidRPr="00F66A72" w:rsidRDefault="00F66A72" w:rsidP="00420CD0">
      <w:pPr>
        <w:pStyle w:val="CERbullets"/>
      </w:pPr>
      <w:r w:rsidRPr="00F66A72">
        <w:t>The entity that supplies the information in the CERT report publication is responsible for that information. In particular, you are responsible for the accuracy and quality of data and information which you provide to the Clean Energy Regulator for CERT. It is also your responsibility to ensure you comply with legal or regulatory requirements, including any ASIC guidance on climate risk disclosure and legal requirements regarding the provision of false or misleading information.</w:t>
      </w:r>
    </w:p>
    <w:p w14:paraId="3639B049" w14:textId="77777777" w:rsidR="00F66A72" w:rsidRDefault="00F66A72" w:rsidP="00420CD0">
      <w:pPr>
        <w:pStyle w:val="CERbullets"/>
      </w:pPr>
      <w:r w:rsidRPr="00F66A72">
        <w:t>To the extent permitted by law, neither the Clean Energy Regulator nor the Commonwealth of Australia accepts responsibility or liability for any direct, incidental or consequential loss or damage resulting from a CERT report, the information provided (or not pro</w:t>
      </w:r>
      <w:r>
        <w:t>vided) through a CERT report, or the availability or non-availability of a CERT report. The Clean Energy Regulator and the Commonwealth reserve their rights in relation to the provision of incorrect, false or misleading information.</w:t>
      </w:r>
    </w:p>
    <w:p w14:paraId="3C3ADBE2" w14:textId="77777777" w:rsidR="00DA1408" w:rsidRDefault="00DA1408" w:rsidP="00AF7666">
      <w:pPr>
        <w:pStyle w:val="BodyText1"/>
        <w:rPr>
          <w:rFonts w:ascii="Calibri" w:eastAsia="Times New Roman" w:hAnsi="Calibri" w:cs="Calibri"/>
          <w:b/>
          <w:bCs/>
          <w:kern w:val="32"/>
          <w:sz w:val="40"/>
        </w:rPr>
      </w:pPr>
      <w:r>
        <w:br w:type="page"/>
      </w:r>
    </w:p>
    <w:p w14:paraId="11EA1291" w14:textId="276F90F4" w:rsidR="003B0310" w:rsidRDefault="003B0310" w:rsidP="003B0310">
      <w:pPr>
        <w:pStyle w:val="Heading1"/>
      </w:pPr>
      <w:bookmarkStart w:id="3" w:name="_Toc121236616"/>
      <w:r>
        <w:lastRenderedPageBreak/>
        <w:t xml:space="preserve">Reporting </w:t>
      </w:r>
      <w:r w:rsidR="00FB090D">
        <w:t>g</w:t>
      </w:r>
      <w:r>
        <w:t>uidance</w:t>
      </w:r>
      <w:bookmarkEnd w:id="3"/>
    </w:p>
    <w:p w14:paraId="34D24772" w14:textId="4CE42C2B" w:rsidR="00FE4DC1" w:rsidRPr="00FE4DC1" w:rsidRDefault="00FE4DC1" w:rsidP="00FE4DC1">
      <w:pPr>
        <w:pStyle w:val="Heading2"/>
      </w:pPr>
      <w:bookmarkStart w:id="4" w:name="_Toc121236617"/>
      <w:r w:rsidRPr="00FE4DC1">
        <w:t xml:space="preserve">Calendar </w:t>
      </w:r>
      <w:r w:rsidR="007E218C">
        <w:t>y</w:t>
      </w:r>
      <w:r w:rsidRPr="00FE4DC1">
        <w:t xml:space="preserve">ear </w:t>
      </w:r>
      <w:r w:rsidR="00E7020E">
        <w:t>and</w:t>
      </w:r>
      <w:r w:rsidRPr="00FE4DC1">
        <w:t xml:space="preserve"> </w:t>
      </w:r>
      <w:r w:rsidR="007E218C">
        <w:t>e</w:t>
      </w:r>
      <w:r w:rsidRPr="00FE4DC1">
        <w:t xml:space="preserve">quity </w:t>
      </w:r>
      <w:r w:rsidR="007E218C">
        <w:t>s</w:t>
      </w:r>
      <w:r w:rsidRPr="00FE4DC1">
        <w:t xml:space="preserve">hare </w:t>
      </w:r>
      <w:r w:rsidR="007E218C">
        <w:t>r</w:t>
      </w:r>
      <w:r w:rsidRPr="00FE4DC1">
        <w:t>eporting</w:t>
      </w:r>
      <w:r w:rsidR="00110C60">
        <w:t xml:space="preserve"> - </w:t>
      </w:r>
      <w:r w:rsidR="00144949">
        <w:rPr>
          <w:i/>
          <w:iCs/>
        </w:rPr>
        <w:t>Section 7 of the CERT Guidelines</w:t>
      </w:r>
      <w:bookmarkEnd w:id="4"/>
    </w:p>
    <w:p w14:paraId="020BA74D" w14:textId="77777777" w:rsidR="00FE4DC1" w:rsidRDefault="00FE4DC1" w:rsidP="00FE4DC1">
      <w:pPr>
        <w:pStyle w:val="BodyText1"/>
      </w:pPr>
      <w:r>
        <w:t>Recognising that data reported under the National Greenhouse and Energy Reporting (NGER) scheme may not align with a company’s own sustainability reporting approach, the CERT report allows participants to present their emissions and energy data and calculate progress based on calendar year or equity share reporting (or both). There are two options for reporting data under these arrangements:</w:t>
      </w:r>
    </w:p>
    <w:p w14:paraId="141DE202" w14:textId="77777777" w:rsidR="00FE4DC1" w:rsidRPr="00322551" w:rsidRDefault="00FE4DC1" w:rsidP="00703DDF">
      <w:pPr>
        <w:pStyle w:val="CERbullets"/>
      </w:pPr>
      <w:r>
        <w:t>By adjusting data already reported under NGER using a set of multipliers.</w:t>
      </w:r>
    </w:p>
    <w:p w14:paraId="59742093" w14:textId="77777777" w:rsidR="00FE4DC1" w:rsidRPr="00322551" w:rsidRDefault="00FE4DC1" w:rsidP="00703DDF">
      <w:pPr>
        <w:pStyle w:val="CERbullets"/>
      </w:pPr>
      <w:r>
        <w:t xml:space="preserve">By providing an alternative, independently assured emissions and energy data set.  </w:t>
      </w:r>
    </w:p>
    <w:p w14:paraId="57127A92" w14:textId="77777777" w:rsidR="00FE4DC1" w:rsidRPr="00FE4DC1" w:rsidRDefault="00FE4DC1" w:rsidP="007F3E57">
      <w:pPr>
        <w:pStyle w:val="Heading4"/>
        <w:numPr>
          <w:ilvl w:val="0"/>
          <w:numId w:val="20"/>
        </w:numPr>
        <w:rPr>
          <w:shd w:val="clear" w:color="auto" w:fill="FFFFFF"/>
        </w:rPr>
      </w:pPr>
      <w:r w:rsidRPr="00FE4DC1">
        <w:rPr>
          <w:shd w:val="clear" w:color="auto" w:fill="FFFFFF"/>
        </w:rPr>
        <w:t>Which approach should I use to report calendar year or equity share data?</w:t>
      </w:r>
    </w:p>
    <w:p w14:paraId="7AF524B4" w14:textId="76FD5EAF" w:rsidR="00FE4DC1" w:rsidRPr="0064429A" w:rsidRDefault="00FE4DC1" w:rsidP="00FE4DC1">
      <w:pPr>
        <w:pStyle w:val="BodyText1"/>
        <w:rPr>
          <w:color w:val="000000"/>
          <w:szCs w:val="22"/>
          <w:shd w:val="clear" w:color="auto" w:fill="FFFFFF"/>
        </w:rPr>
      </w:pPr>
      <w:r>
        <w:rPr>
          <w:color w:val="000000"/>
          <w:szCs w:val="22"/>
          <w:shd w:val="clear" w:color="auto" w:fill="FFFFFF"/>
        </w:rPr>
        <w:t xml:space="preserve">If you have complex equity share arrangements or reporting structures you may find reporting independently assured data </w:t>
      </w:r>
      <w:r w:rsidR="00FC694B">
        <w:rPr>
          <w:color w:val="000000"/>
          <w:szCs w:val="22"/>
          <w:shd w:val="clear" w:color="auto" w:fill="FFFFFF"/>
        </w:rPr>
        <w:t>more suitable</w:t>
      </w:r>
      <w:r>
        <w:rPr>
          <w:color w:val="000000"/>
          <w:szCs w:val="22"/>
          <w:shd w:val="clear" w:color="auto" w:fill="FFFFFF"/>
        </w:rPr>
        <w:t xml:space="preserve">. Complex arrangements might include jointly owned facilities that form part of an aggregated facility </w:t>
      </w:r>
      <w:r w:rsidR="009C4AF2">
        <w:rPr>
          <w:color w:val="000000"/>
          <w:szCs w:val="22"/>
          <w:shd w:val="clear" w:color="auto" w:fill="FFFFFF"/>
        </w:rPr>
        <w:t>under</w:t>
      </w:r>
      <w:r>
        <w:rPr>
          <w:color w:val="000000"/>
          <w:szCs w:val="22"/>
          <w:shd w:val="clear" w:color="auto" w:fill="FFFFFF"/>
        </w:rPr>
        <w:t xml:space="preserve"> NGER, or a large number of jointly owned facilities where equity share changes regularly. If you have only a few jointly owned facilities or wish to report any of your commitments as ‘CER data verified’, you should choose the NGER multiplier approach. Note that commitments are unable to be presented as ‘CER data verified’ under the independent assurance approach.</w:t>
      </w:r>
    </w:p>
    <w:p w14:paraId="298DFC49" w14:textId="77777777" w:rsidR="00FE4DC1" w:rsidRPr="00FE4DC1" w:rsidRDefault="00FE4DC1" w:rsidP="007F3E57">
      <w:pPr>
        <w:pStyle w:val="Heading4"/>
        <w:numPr>
          <w:ilvl w:val="0"/>
          <w:numId w:val="20"/>
        </w:numPr>
        <w:rPr>
          <w:shd w:val="clear" w:color="auto" w:fill="FFFFFF"/>
        </w:rPr>
      </w:pPr>
      <w:r w:rsidRPr="00FE4DC1">
        <w:rPr>
          <w:shd w:val="clear" w:color="auto" w:fill="FFFFFF"/>
        </w:rPr>
        <w:t>How do I work out what my NGER multipliers are?</w:t>
      </w:r>
    </w:p>
    <w:p w14:paraId="5B6F43C0" w14:textId="77777777" w:rsidR="007F3E57" w:rsidRPr="007F3E57" w:rsidRDefault="00FE4DC1" w:rsidP="007F3E57">
      <w:pPr>
        <w:pStyle w:val="Heading5"/>
        <w:rPr>
          <w:rStyle w:val="normaltextrun"/>
          <w:color w:val="000000"/>
          <w:szCs w:val="22"/>
          <w:shd w:val="clear" w:color="auto" w:fill="FFFFFF"/>
        </w:rPr>
      </w:pPr>
      <w:r w:rsidRPr="007F3E57">
        <w:rPr>
          <w:rStyle w:val="normaltextrun"/>
          <w:color w:val="000000"/>
          <w:szCs w:val="22"/>
          <w:shd w:val="clear" w:color="auto" w:fill="FFFFFF"/>
        </w:rPr>
        <w:t>Determining calendar year multipliers</w:t>
      </w:r>
    </w:p>
    <w:p w14:paraId="47144FC4" w14:textId="5686FA69" w:rsidR="00FE4DC1" w:rsidRDefault="00FE4DC1" w:rsidP="00FE4DC1">
      <w:pPr>
        <w:pStyle w:val="BodyText1"/>
        <w:rPr>
          <w:rStyle w:val="normaltextrun"/>
          <w:color w:val="000000"/>
          <w:szCs w:val="22"/>
          <w:shd w:val="clear" w:color="auto" w:fill="FFFFFF"/>
        </w:rPr>
      </w:pPr>
      <w:r>
        <w:rPr>
          <w:rStyle w:val="normaltextrun"/>
          <w:color w:val="000000"/>
          <w:szCs w:val="22"/>
          <w:shd w:val="clear" w:color="auto" w:fill="FFFFFF"/>
        </w:rPr>
        <w:t>For calendar year reporting using multipliers, you must provide multipliers</w:t>
      </w:r>
      <w:r w:rsidRPr="00F232A9">
        <w:rPr>
          <w:rStyle w:val="normaltextrun"/>
          <w:b/>
          <w:bCs/>
          <w:color w:val="000000"/>
          <w:szCs w:val="22"/>
          <w:shd w:val="clear" w:color="auto" w:fill="FFFFFF"/>
        </w:rPr>
        <w:t xml:space="preserve"> for</w:t>
      </w:r>
      <w:r w:rsidRPr="00F232A9">
        <w:rPr>
          <w:rStyle w:val="eop"/>
          <w:rFonts w:ascii="Calibri" w:hAnsi="Calibri" w:cs="Calibri"/>
          <w:b/>
          <w:bCs/>
          <w:color w:val="000000"/>
          <w:szCs w:val="22"/>
        </w:rPr>
        <w:t xml:space="preserve"> each commitment entity</w:t>
      </w:r>
      <w:r>
        <w:rPr>
          <w:rStyle w:val="FootnoteReference"/>
          <w:rFonts w:ascii="Calibri" w:hAnsi="Calibri" w:cs="Calibri"/>
          <w:b/>
          <w:bCs/>
          <w:color w:val="000000"/>
          <w:szCs w:val="22"/>
        </w:rPr>
        <w:footnoteReference w:id="3"/>
      </w:r>
      <w:r w:rsidRPr="00F232A9">
        <w:rPr>
          <w:rStyle w:val="eop"/>
          <w:rFonts w:ascii="Calibri" w:hAnsi="Calibri" w:cs="Calibri"/>
          <w:b/>
          <w:bCs/>
          <w:color w:val="000000"/>
          <w:szCs w:val="22"/>
        </w:rPr>
        <w:t xml:space="preserve"> and, if not covered by a commitment, the reporting entity</w:t>
      </w:r>
      <w:r>
        <w:rPr>
          <w:rStyle w:val="FootnoteReference"/>
          <w:rFonts w:ascii="Calibri" w:hAnsi="Calibri" w:cs="Calibri"/>
          <w:b/>
          <w:bCs/>
          <w:color w:val="000000"/>
          <w:szCs w:val="22"/>
        </w:rPr>
        <w:footnoteReference w:id="4"/>
      </w:r>
      <w:r>
        <w:rPr>
          <w:rStyle w:val="eop"/>
          <w:rFonts w:ascii="Calibri" w:hAnsi="Calibri" w:cs="Calibri"/>
          <w:color w:val="000000"/>
          <w:szCs w:val="22"/>
        </w:rPr>
        <w:t xml:space="preserve"> for gross scope 1 and 2 emissions, imported electricity, and renewable and non-renewable on-site electricity consumption. These represent the change in these quantities from the most recent NGER reporting year to the calendar reporting year as a percentage, with 100 representing no change. Definitions for these quantities can be found in the guidelines.</w:t>
      </w:r>
    </w:p>
    <w:p w14:paraId="7144E479" w14:textId="77777777" w:rsidR="00FE4DC1" w:rsidRDefault="00FE4DC1" w:rsidP="00FE4DC1">
      <w:pPr>
        <w:pStyle w:val="BodyText1"/>
        <w:rPr>
          <w:rStyle w:val="normaltextrun"/>
          <w:color w:val="000000"/>
          <w:szCs w:val="22"/>
          <w:shd w:val="clear" w:color="auto" w:fill="FFFFFF"/>
        </w:rPr>
      </w:pPr>
      <w:r>
        <w:rPr>
          <w:rStyle w:val="normaltextrun"/>
          <w:color w:val="000000"/>
          <w:szCs w:val="22"/>
          <w:shd w:val="clear" w:color="auto" w:fill="FFFFFF"/>
        </w:rPr>
        <w:t>Calendar year multipliers can be worked out by dividing the previous financial year’s NGER-reported quantity by the calendar year value for the reporting year, as follows:</w:t>
      </w:r>
    </w:p>
    <w:p w14:paraId="7AFDE0BA" w14:textId="77777777" w:rsidR="00FE4DC1" w:rsidRPr="00390093" w:rsidRDefault="00FE4DC1" w:rsidP="00FE4DC1">
      <w:pPr>
        <w:pStyle w:val="BodyText1"/>
        <w:ind w:left="720"/>
        <w:rPr>
          <w:sz w:val="18"/>
          <w:szCs w:val="20"/>
        </w:rPr>
      </w:pPr>
      <m:oMathPara>
        <m:oMathParaPr>
          <m:jc m:val="center"/>
        </m:oMathParaPr>
        <m:oMath>
          <m:r>
            <w:rPr>
              <w:rFonts w:ascii="Cambria Math" w:hAnsi="Cambria Math"/>
              <w:sz w:val="18"/>
              <w:szCs w:val="20"/>
            </w:rPr>
            <m:t>Multiplier=</m:t>
          </m:r>
          <m:d>
            <m:dPr>
              <m:ctrlPr>
                <w:rPr>
                  <w:rFonts w:ascii="Cambria Math" w:hAnsi="Cambria Math"/>
                  <w:i/>
                  <w:sz w:val="18"/>
                  <w:szCs w:val="20"/>
                </w:rPr>
              </m:ctrlPr>
            </m:dPr>
            <m:e>
              <m:f>
                <m:fPr>
                  <m:ctrlPr>
                    <w:rPr>
                      <w:rFonts w:ascii="Cambria Math" w:hAnsi="Cambria Math"/>
                      <w:i/>
                      <w:sz w:val="18"/>
                      <w:szCs w:val="20"/>
                    </w:rPr>
                  </m:ctrlPr>
                </m:fPr>
                <m:num>
                  <m:r>
                    <w:rPr>
                      <w:rFonts w:ascii="Cambria Math" w:hAnsi="Cambria Math"/>
                      <w:sz w:val="18"/>
                      <w:szCs w:val="20"/>
                    </w:rPr>
                    <m:t>Value (Calendar Year)</m:t>
                  </m:r>
                </m:num>
                <m:den>
                  <m:r>
                    <w:rPr>
                      <w:rFonts w:ascii="Cambria Math" w:hAnsi="Cambria Math"/>
                      <w:sz w:val="18"/>
                      <w:szCs w:val="20"/>
                    </w:rPr>
                    <m:t>Value (NGER)</m:t>
                  </m:r>
                </m:den>
              </m:f>
            </m:e>
          </m:d>
          <m:r>
            <w:rPr>
              <w:rFonts w:ascii="Cambria Math" w:hAnsi="Cambria Math"/>
              <w:sz w:val="18"/>
              <w:szCs w:val="20"/>
            </w:rPr>
            <m:t>×100</m:t>
          </m:r>
        </m:oMath>
      </m:oMathPara>
    </w:p>
    <w:p w14:paraId="28E6AB48" w14:textId="1268E9CB" w:rsidR="00FE4DC1" w:rsidRPr="004A3425" w:rsidRDefault="009D419F" w:rsidP="00FE4DC1">
      <w:pPr>
        <w:pStyle w:val="BodyText1"/>
        <w:rPr>
          <w:b/>
        </w:rPr>
      </w:pPr>
      <w:r>
        <w:rPr>
          <w:bCs/>
        </w:rPr>
        <w:t>For example, a</w:t>
      </w:r>
      <w:r w:rsidR="00FE4DC1" w:rsidRPr="005C0378">
        <w:rPr>
          <w:bCs/>
        </w:rPr>
        <w:t xml:space="preserve"> CERT participant nominates the 2022 calendar year for their 2023 CERT report commitments. Their NGER-reported </w:t>
      </w:r>
      <w:r w:rsidR="00FE4DC1">
        <w:rPr>
          <w:bCs/>
        </w:rPr>
        <w:t>g</w:t>
      </w:r>
      <w:r w:rsidR="00FE4DC1" w:rsidRPr="005C0378">
        <w:rPr>
          <w:bCs/>
        </w:rPr>
        <w:t xml:space="preserve">ross </w:t>
      </w:r>
      <w:r w:rsidR="00FE4DC1">
        <w:rPr>
          <w:bCs/>
        </w:rPr>
        <w:t>s</w:t>
      </w:r>
      <w:r w:rsidR="00FE4DC1" w:rsidRPr="005C0378">
        <w:rPr>
          <w:bCs/>
        </w:rPr>
        <w:t xml:space="preserve">cope 1 and </w:t>
      </w:r>
      <w:r w:rsidR="00FE4DC1">
        <w:rPr>
          <w:bCs/>
        </w:rPr>
        <w:t>s</w:t>
      </w:r>
      <w:r w:rsidR="00FE4DC1" w:rsidRPr="005C0378">
        <w:rPr>
          <w:bCs/>
        </w:rPr>
        <w:t>cope 2 emissions were 200</w:t>
      </w:r>
      <w:r w:rsidR="00FE4DC1">
        <w:rPr>
          <w:bCs/>
        </w:rPr>
        <w:t> </w:t>
      </w:r>
      <w:r w:rsidR="00FE4DC1" w:rsidRPr="005C0378">
        <w:rPr>
          <w:bCs/>
        </w:rPr>
        <w:t>kt</w:t>
      </w:r>
      <w:r w:rsidR="00FE4DC1">
        <w:rPr>
          <w:bCs/>
        </w:rPr>
        <w:t xml:space="preserve"> </w:t>
      </w:r>
      <w:r w:rsidR="00FE4DC1" w:rsidRPr="005C0378">
        <w:rPr>
          <w:bCs/>
        </w:rPr>
        <w:t>CO</w:t>
      </w:r>
      <w:r w:rsidR="00FE4DC1" w:rsidRPr="00BD35EF">
        <w:rPr>
          <w:bCs/>
          <w:vertAlign w:val="subscript"/>
        </w:rPr>
        <w:t>2</w:t>
      </w:r>
      <w:r w:rsidR="00FE4DC1">
        <w:rPr>
          <w:bCs/>
        </w:rPr>
        <w:t>-</w:t>
      </w:r>
      <w:r w:rsidR="00FE4DC1" w:rsidRPr="005C0378">
        <w:rPr>
          <w:bCs/>
        </w:rPr>
        <w:t>e and 110</w:t>
      </w:r>
      <w:r w:rsidR="00FE4DC1">
        <w:rPr>
          <w:bCs/>
        </w:rPr>
        <w:t> </w:t>
      </w:r>
      <w:r w:rsidR="00FE4DC1" w:rsidRPr="005C0378">
        <w:rPr>
          <w:bCs/>
        </w:rPr>
        <w:t>kt</w:t>
      </w:r>
      <w:r w:rsidR="00FE4DC1">
        <w:rPr>
          <w:bCs/>
        </w:rPr>
        <w:t xml:space="preserve"> </w:t>
      </w:r>
      <w:r w:rsidR="00FE4DC1" w:rsidRPr="005C0378">
        <w:rPr>
          <w:bCs/>
        </w:rPr>
        <w:t>CO</w:t>
      </w:r>
      <w:r w:rsidR="00FE4DC1" w:rsidRPr="00BD35EF">
        <w:rPr>
          <w:bCs/>
          <w:vertAlign w:val="subscript"/>
        </w:rPr>
        <w:t>2</w:t>
      </w:r>
      <w:r w:rsidR="00FE4DC1">
        <w:rPr>
          <w:bCs/>
        </w:rPr>
        <w:t>-</w:t>
      </w:r>
      <w:r w:rsidR="00FE4DC1" w:rsidRPr="005C0378">
        <w:rPr>
          <w:bCs/>
        </w:rPr>
        <w:t>e respectively</w:t>
      </w:r>
      <w:r w:rsidR="00FE4DC1" w:rsidRPr="002D449B">
        <w:t xml:space="preserve"> for the 2021-22 financial year</w:t>
      </w:r>
      <w:r w:rsidR="00FE4DC1" w:rsidRPr="005C0378">
        <w:rPr>
          <w:bCs/>
        </w:rPr>
        <w:t>. In the 2022 calendar year</w:t>
      </w:r>
      <w:r w:rsidR="00FE4DC1">
        <w:rPr>
          <w:bCs/>
        </w:rPr>
        <w:t>,</w:t>
      </w:r>
      <w:r w:rsidR="00FE4DC1" w:rsidRPr="005C0378">
        <w:rPr>
          <w:bCs/>
        </w:rPr>
        <w:t xml:space="preserve"> </w:t>
      </w:r>
      <w:r w:rsidR="00FE4DC1">
        <w:rPr>
          <w:bCs/>
        </w:rPr>
        <w:t>their s</w:t>
      </w:r>
      <w:r w:rsidR="00FE4DC1" w:rsidRPr="005C0378">
        <w:rPr>
          <w:bCs/>
        </w:rPr>
        <w:t xml:space="preserve">cope 1 </w:t>
      </w:r>
      <w:r w:rsidR="00FE4DC1">
        <w:rPr>
          <w:bCs/>
        </w:rPr>
        <w:t xml:space="preserve">emissions </w:t>
      </w:r>
      <w:r w:rsidR="00FE4DC1" w:rsidRPr="005C0378">
        <w:rPr>
          <w:bCs/>
        </w:rPr>
        <w:t>increased to 204</w:t>
      </w:r>
      <w:r w:rsidR="00FE4DC1">
        <w:rPr>
          <w:bCs/>
        </w:rPr>
        <w:t> </w:t>
      </w:r>
      <w:r w:rsidR="00FE4DC1" w:rsidRPr="005C0378">
        <w:rPr>
          <w:bCs/>
        </w:rPr>
        <w:t>kt</w:t>
      </w:r>
      <w:r w:rsidR="00FE4DC1">
        <w:rPr>
          <w:bCs/>
        </w:rPr>
        <w:t xml:space="preserve"> </w:t>
      </w:r>
      <w:r w:rsidR="00FE4DC1" w:rsidRPr="005C0378">
        <w:rPr>
          <w:bCs/>
        </w:rPr>
        <w:t>CO</w:t>
      </w:r>
      <w:r w:rsidR="00FE4DC1" w:rsidRPr="00B04979">
        <w:rPr>
          <w:bCs/>
          <w:vertAlign w:val="subscript"/>
        </w:rPr>
        <w:t>2</w:t>
      </w:r>
      <w:r w:rsidR="00FE4DC1">
        <w:rPr>
          <w:bCs/>
        </w:rPr>
        <w:t>-</w:t>
      </w:r>
      <w:r w:rsidR="00FE4DC1" w:rsidRPr="005C0378">
        <w:rPr>
          <w:bCs/>
        </w:rPr>
        <w:t>e, while</w:t>
      </w:r>
      <w:r w:rsidR="00FE4DC1">
        <w:rPr>
          <w:bCs/>
        </w:rPr>
        <w:t xml:space="preserve"> their</w:t>
      </w:r>
      <w:r w:rsidR="00FE4DC1" w:rsidRPr="005C0378">
        <w:rPr>
          <w:bCs/>
        </w:rPr>
        <w:t xml:space="preserve"> </w:t>
      </w:r>
      <w:r w:rsidR="00FE4DC1">
        <w:rPr>
          <w:bCs/>
        </w:rPr>
        <w:t>s</w:t>
      </w:r>
      <w:r w:rsidR="00FE4DC1" w:rsidRPr="005C0378">
        <w:rPr>
          <w:bCs/>
        </w:rPr>
        <w:t xml:space="preserve">cope 2 </w:t>
      </w:r>
      <w:r w:rsidR="00FE4DC1">
        <w:rPr>
          <w:bCs/>
        </w:rPr>
        <w:t xml:space="preserve">emissions </w:t>
      </w:r>
      <w:r w:rsidR="00FE4DC1" w:rsidRPr="005C0378">
        <w:rPr>
          <w:bCs/>
        </w:rPr>
        <w:t>decreased to 94</w:t>
      </w:r>
      <w:r w:rsidR="00FE4DC1">
        <w:rPr>
          <w:bCs/>
        </w:rPr>
        <w:t> </w:t>
      </w:r>
      <w:r w:rsidR="00FE4DC1" w:rsidRPr="005C0378">
        <w:rPr>
          <w:bCs/>
        </w:rPr>
        <w:t>kt</w:t>
      </w:r>
      <w:r w:rsidR="00FE4DC1">
        <w:rPr>
          <w:bCs/>
        </w:rPr>
        <w:t xml:space="preserve"> </w:t>
      </w:r>
      <w:r w:rsidR="00FE4DC1" w:rsidRPr="005C0378">
        <w:rPr>
          <w:bCs/>
        </w:rPr>
        <w:t>CO</w:t>
      </w:r>
      <w:r w:rsidR="00FE4DC1" w:rsidRPr="00B04979">
        <w:rPr>
          <w:bCs/>
          <w:vertAlign w:val="subscript"/>
        </w:rPr>
        <w:t>2</w:t>
      </w:r>
      <w:r w:rsidR="00FE4DC1">
        <w:rPr>
          <w:bCs/>
        </w:rPr>
        <w:t>-</w:t>
      </w:r>
      <w:r w:rsidR="00FE4DC1" w:rsidRPr="005C0378">
        <w:rPr>
          <w:bCs/>
        </w:rPr>
        <w:t xml:space="preserve">e. </w:t>
      </w:r>
      <w:r w:rsidR="00FE4DC1">
        <w:rPr>
          <w:bCs/>
        </w:rPr>
        <w:t>For these quantities, the participant would report the following multipliers</w:t>
      </w:r>
      <w:r w:rsidR="00FE4DC1" w:rsidRPr="005C0378">
        <w:rPr>
          <w:bCs/>
        </w:rPr>
        <w:t>:</w:t>
      </w:r>
    </w:p>
    <w:p w14:paraId="3445C23F" w14:textId="77777777" w:rsidR="00FE4DC1" w:rsidRPr="0070666F" w:rsidRDefault="00FE4DC1" w:rsidP="00FE4DC1">
      <w:pPr>
        <w:pStyle w:val="BodyText1"/>
        <w:rPr>
          <w:sz w:val="18"/>
          <w:szCs w:val="20"/>
        </w:rPr>
      </w:pPr>
      <m:oMathPara>
        <m:oMathParaPr>
          <m:jc m:val="center"/>
        </m:oMathParaPr>
        <m:oMath>
          <m:r>
            <m:rPr>
              <m:sty m:val="bi"/>
            </m:rPr>
            <w:rPr>
              <w:rFonts w:ascii="Cambria Math" w:hAnsi="Cambria Math"/>
              <w:sz w:val="18"/>
              <w:szCs w:val="20"/>
            </w:rPr>
            <m:t>Scope 1 multiplier=</m:t>
          </m:r>
          <m:d>
            <m:dPr>
              <m:ctrlPr>
                <w:rPr>
                  <w:rFonts w:ascii="Cambria Math" w:hAnsi="Cambria Math"/>
                  <w:i/>
                  <w:sz w:val="18"/>
                  <w:szCs w:val="20"/>
                </w:rPr>
              </m:ctrlPr>
            </m:dPr>
            <m:e>
              <m:f>
                <m:fPr>
                  <m:ctrlPr>
                    <w:rPr>
                      <w:rFonts w:ascii="Cambria Math" w:hAnsi="Cambria Math"/>
                      <w:i/>
                      <w:sz w:val="18"/>
                      <w:szCs w:val="20"/>
                    </w:rPr>
                  </m:ctrlPr>
                </m:fPr>
                <m:num>
                  <m:r>
                    <m:rPr>
                      <m:sty m:val="bi"/>
                    </m:rPr>
                    <w:rPr>
                      <w:rFonts w:ascii="Cambria Math" w:hAnsi="Cambria Math"/>
                      <w:sz w:val="18"/>
                      <w:szCs w:val="20"/>
                    </w:rPr>
                    <m:t>204</m:t>
                  </m:r>
                </m:num>
                <m:den>
                  <m:r>
                    <m:rPr>
                      <m:sty m:val="bi"/>
                    </m:rPr>
                    <w:rPr>
                      <w:rFonts w:ascii="Cambria Math" w:hAnsi="Cambria Math"/>
                      <w:sz w:val="18"/>
                      <w:szCs w:val="20"/>
                    </w:rPr>
                    <m:t>200</m:t>
                  </m:r>
                </m:den>
              </m:f>
            </m:e>
          </m:d>
          <m:r>
            <m:rPr>
              <m:sty m:val="bi"/>
            </m:rPr>
            <w:rPr>
              <w:rFonts w:ascii="Cambria Math" w:hAnsi="Cambria Math"/>
              <w:sz w:val="18"/>
              <w:szCs w:val="20"/>
            </w:rPr>
            <m:t xml:space="preserve">×100=102 </m:t>
          </m:r>
        </m:oMath>
      </m:oMathPara>
    </w:p>
    <w:p w14:paraId="7339C399" w14:textId="77777777" w:rsidR="00FE4DC1" w:rsidRPr="0070666F" w:rsidRDefault="00FE4DC1" w:rsidP="00FE4DC1">
      <w:pPr>
        <w:pStyle w:val="BodyText1"/>
        <w:rPr>
          <w:b/>
          <w:sz w:val="18"/>
          <w:szCs w:val="20"/>
        </w:rPr>
      </w:pPr>
      <m:oMathPara>
        <m:oMathParaPr>
          <m:jc m:val="center"/>
        </m:oMathParaPr>
        <m:oMath>
          <m:r>
            <m:rPr>
              <m:sty m:val="bi"/>
            </m:rPr>
            <w:rPr>
              <w:rFonts w:ascii="Cambria Math" w:hAnsi="Cambria Math"/>
              <w:sz w:val="18"/>
              <w:szCs w:val="20"/>
            </w:rPr>
            <w:lastRenderedPageBreak/>
            <m:t>Scope 2 multiplier=</m:t>
          </m:r>
          <m:d>
            <m:dPr>
              <m:ctrlPr>
                <w:rPr>
                  <w:rFonts w:ascii="Cambria Math" w:hAnsi="Cambria Math"/>
                  <w:i/>
                  <w:sz w:val="18"/>
                  <w:szCs w:val="20"/>
                </w:rPr>
              </m:ctrlPr>
            </m:dPr>
            <m:e>
              <m:f>
                <m:fPr>
                  <m:ctrlPr>
                    <w:rPr>
                      <w:rFonts w:ascii="Cambria Math" w:hAnsi="Cambria Math"/>
                      <w:i/>
                      <w:sz w:val="18"/>
                      <w:szCs w:val="20"/>
                    </w:rPr>
                  </m:ctrlPr>
                </m:fPr>
                <m:num>
                  <m:r>
                    <m:rPr>
                      <m:sty m:val="bi"/>
                    </m:rPr>
                    <w:rPr>
                      <w:rFonts w:ascii="Cambria Math" w:hAnsi="Cambria Math"/>
                      <w:sz w:val="18"/>
                      <w:szCs w:val="20"/>
                    </w:rPr>
                    <m:t>94</m:t>
                  </m:r>
                </m:num>
                <m:den>
                  <m:r>
                    <m:rPr>
                      <m:sty m:val="bi"/>
                    </m:rPr>
                    <w:rPr>
                      <w:rFonts w:ascii="Cambria Math" w:hAnsi="Cambria Math"/>
                      <w:sz w:val="18"/>
                      <w:szCs w:val="20"/>
                    </w:rPr>
                    <m:t>110</m:t>
                  </m:r>
                </m:den>
              </m:f>
            </m:e>
          </m:d>
          <m:r>
            <m:rPr>
              <m:sty m:val="bi"/>
            </m:rPr>
            <w:rPr>
              <w:rFonts w:ascii="Cambria Math" w:hAnsi="Cambria Math"/>
              <w:sz w:val="18"/>
              <w:szCs w:val="20"/>
            </w:rPr>
            <m:t>×100=97</m:t>
          </m:r>
        </m:oMath>
      </m:oMathPara>
    </w:p>
    <w:p w14:paraId="0A11C730" w14:textId="77777777" w:rsidR="00FE4DC1" w:rsidRDefault="00FE4DC1" w:rsidP="00FE4DC1">
      <w:pPr>
        <w:pStyle w:val="BodyText1"/>
        <w:rPr>
          <w:rStyle w:val="eop"/>
          <w:rFonts w:ascii="Calibri" w:hAnsi="Calibri" w:cs="Calibri"/>
          <w:color w:val="000000"/>
          <w:szCs w:val="22"/>
        </w:rPr>
      </w:pPr>
      <w:r>
        <w:rPr>
          <w:bCs/>
        </w:rPr>
        <w:t xml:space="preserve">The participant would similarly calculate multipliers for </w:t>
      </w:r>
      <w:r w:rsidRPr="00360624">
        <w:rPr>
          <w:bCs/>
        </w:rPr>
        <w:t xml:space="preserve">their </w:t>
      </w:r>
      <w:r w:rsidRPr="00360624">
        <w:rPr>
          <w:rStyle w:val="eop"/>
          <w:rFonts w:ascii="Calibri" w:hAnsi="Calibri" w:cs="Calibri"/>
          <w:bCs/>
          <w:color w:val="000000"/>
          <w:szCs w:val="22"/>
        </w:rPr>
        <w:t>imported electricity, and renewable and non-renewable on-site electricity consumption</w:t>
      </w:r>
      <w:r>
        <w:rPr>
          <w:rStyle w:val="eop"/>
          <w:rFonts w:ascii="Calibri" w:hAnsi="Calibri" w:cs="Calibri"/>
          <w:bCs/>
          <w:color w:val="000000"/>
          <w:szCs w:val="22"/>
        </w:rPr>
        <w:t>.</w:t>
      </w:r>
    </w:p>
    <w:p w14:paraId="671320A0" w14:textId="619F843E" w:rsidR="00FE4DC1" w:rsidRDefault="00FE4DC1" w:rsidP="00FE4DC1">
      <w:pPr>
        <w:pStyle w:val="BodyText1"/>
        <w:rPr>
          <w:rFonts w:ascii="Calibri" w:hAnsi="Calibri" w:cs="Calibri"/>
          <w:color w:val="000000"/>
          <w:szCs w:val="22"/>
        </w:rPr>
      </w:pPr>
      <w:r>
        <w:rPr>
          <w:rFonts w:ascii="Calibri" w:hAnsi="Calibri" w:cs="Calibri"/>
          <w:color w:val="000000"/>
          <w:szCs w:val="22"/>
        </w:rPr>
        <w:t xml:space="preserve">Multipliers may be expressed to </w:t>
      </w:r>
      <w:r w:rsidRPr="007C78F0">
        <w:rPr>
          <w:rFonts w:ascii="Calibri" w:hAnsi="Calibri" w:cs="Calibri"/>
          <w:bCs/>
          <w:color w:val="000000"/>
          <w:szCs w:val="22"/>
        </w:rPr>
        <w:t>four</w:t>
      </w:r>
      <w:r>
        <w:rPr>
          <w:rFonts w:ascii="Calibri" w:hAnsi="Calibri" w:cs="Calibri"/>
          <w:color w:val="000000"/>
          <w:szCs w:val="22"/>
        </w:rPr>
        <w:t xml:space="preserve"> decimal places.</w:t>
      </w:r>
    </w:p>
    <w:p w14:paraId="69F7144A" w14:textId="77777777" w:rsidR="007F3E57" w:rsidRPr="007F3E57" w:rsidRDefault="00FE4DC1" w:rsidP="007F3E57">
      <w:pPr>
        <w:pStyle w:val="Heading5"/>
        <w:rPr>
          <w:rStyle w:val="normaltextrun"/>
          <w:color w:val="000000"/>
          <w:szCs w:val="22"/>
          <w:shd w:val="clear" w:color="auto" w:fill="FFFFFF"/>
        </w:rPr>
      </w:pPr>
      <w:r w:rsidRPr="007F3E57">
        <w:rPr>
          <w:rStyle w:val="normaltextrun"/>
          <w:color w:val="000000"/>
          <w:szCs w:val="22"/>
          <w:shd w:val="clear" w:color="auto" w:fill="FFFFFF"/>
        </w:rPr>
        <w:t>Determining equity share multipliers</w:t>
      </w:r>
    </w:p>
    <w:p w14:paraId="63D7900F" w14:textId="46D23B3E" w:rsidR="00FE4DC1" w:rsidRDefault="00FE4DC1" w:rsidP="00FE4DC1">
      <w:pPr>
        <w:pStyle w:val="BodyText1"/>
      </w:pPr>
      <w:r w:rsidRPr="00184A51">
        <w:rPr>
          <w:color w:val="000000"/>
          <w:szCs w:val="22"/>
          <w:shd w:val="clear" w:color="auto" w:fill="FFFFFF"/>
        </w:rPr>
        <w:t>For equity share</w:t>
      </w:r>
      <w:r>
        <w:rPr>
          <w:color w:val="000000"/>
          <w:szCs w:val="22"/>
          <w:shd w:val="clear" w:color="auto" w:fill="FFFFFF"/>
        </w:rPr>
        <w:t xml:space="preserve"> reporting</w:t>
      </w:r>
      <w:r w:rsidRPr="002425E8">
        <w:rPr>
          <w:rStyle w:val="normaltextrun"/>
          <w:color w:val="000000"/>
          <w:szCs w:val="22"/>
          <w:shd w:val="clear" w:color="auto" w:fill="FFFFFF"/>
        </w:rPr>
        <w:t xml:space="preserve"> </w:t>
      </w:r>
      <w:r>
        <w:rPr>
          <w:rStyle w:val="normaltextrun"/>
          <w:color w:val="000000"/>
          <w:szCs w:val="22"/>
          <w:shd w:val="clear" w:color="auto" w:fill="FFFFFF"/>
        </w:rPr>
        <w:t>using multipliers</w:t>
      </w:r>
      <w:r>
        <w:rPr>
          <w:color w:val="000000"/>
          <w:szCs w:val="22"/>
          <w:shd w:val="clear" w:color="auto" w:fill="FFFFFF"/>
        </w:rPr>
        <w:t>, you must provide m</w:t>
      </w:r>
      <w:r>
        <w:t>ultipliers</w:t>
      </w:r>
      <w:r w:rsidRPr="0035069B">
        <w:rPr>
          <w:b/>
          <w:bCs/>
        </w:rPr>
        <w:t xml:space="preserve"> for each jointly owned facility reported under NGER</w:t>
      </w:r>
      <w:r>
        <w:t xml:space="preserve"> either by you or a joint venture partner, both for base period years and the reporting year. These multipliers represent your working interest in the facility as a percentage and are used to calculate the relevant share of emissions and energy usage to be included in the participant’s commitment progress. See </w:t>
      </w:r>
      <w:hyperlink w:anchor="_Accounting_options_and" w:history="1">
        <w:r w:rsidRPr="00CA720D">
          <w:rPr>
            <w:rStyle w:val="Hyperlink"/>
            <w:rFonts w:asciiTheme="minorHAnsi" w:hAnsiTheme="minorHAnsi"/>
            <w:b/>
            <w:bCs/>
          </w:rPr>
          <w:t>Supporting Example</w:t>
        </w:r>
        <w:r w:rsidR="009D419F" w:rsidRPr="00CA720D">
          <w:rPr>
            <w:rStyle w:val="Hyperlink"/>
            <w:rFonts w:asciiTheme="minorHAnsi" w:hAnsiTheme="minorHAnsi"/>
            <w:b/>
            <w:bCs/>
          </w:rPr>
          <w:t>s</w:t>
        </w:r>
        <w:r w:rsidRPr="00CA720D">
          <w:rPr>
            <w:rStyle w:val="Hyperlink"/>
            <w:rFonts w:asciiTheme="minorHAnsi" w:hAnsiTheme="minorHAnsi"/>
            <w:b/>
            <w:bCs/>
          </w:rPr>
          <w:t xml:space="preserve"> 15</w:t>
        </w:r>
        <w:r w:rsidR="00B92305">
          <w:rPr>
            <w:rStyle w:val="Hyperlink"/>
            <w:rFonts w:asciiTheme="minorHAnsi" w:hAnsiTheme="minorHAnsi"/>
            <w:b/>
            <w:bCs/>
          </w:rPr>
          <w:t xml:space="preserve"> to </w:t>
        </w:r>
        <w:r w:rsidRPr="00CA720D">
          <w:rPr>
            <w:rStyle w:val="Hyperlink"/>
            <w:rFonts w:asciiTheme="minorHAnsi" w:hAnsiTheme="minorHAnsi"/>
            <w:b/>
            <w:bCs/>
          </w:rPr>
          <w:t>17</w:t>
        </w:r>
      </w:hyperlink>
      <w:r>
        <w:t>.</w:t>
      </w:r>
    </w:p>
    <w:p w14:paraId="5FBE8BE7" w14:textId="77777777" w:rsidR="00FE4DC1" w:rsidRDefault="00FE4DC1" w:rsidP="00FE4DC1">
      <w:pPr>
        <w:pStyle w:val="BodyText1"/>
        <w:rPr>
          <w:color w:val="000000"/>
          <w:szCs w:val="22"/>
          <w:shd w:val="clear" w:color="auto" w:fill="FFFFFF"/>
        </w:rPr>
      </w:pPr>
      <w:r>
        <w:rPr>
          <w:color w:val="000000"/>
          <w:szCs w:val="22"/>
          <w:shd w:val="clear" w:color="auto" w:fill="FFFFFF"/>
        </w:rPr>
        <w:t>Note the CERT report adopts the principles of the Greenhouse Gas Protocol in determining equity share of emissions and energy data, which states that equity share emissions should be calculated based on working interest.</w:t>
      </w:r>
    </w:p>
    <w:p w14:paraId="2C0A11CF" w14:textId="77777777" w:rsidR="00FE4DC1" w:rsidRPr="00184A51" w:rsidRDefault="00FE4DC1" w:rsidP="00FE4DC1">
      <w:pPr>
        <w:pStyle w:val="BodyText1"/>
        <w:rPr>
          <w:color w:val="000000"/>
          <w:szCs w:val="22"/>
          <w:shd w:val="clear" w:color="auto" w:fill="FFFFFF"/>
        </w:rPr>
      </w:pPr>
      <w:r>
        <w:rPr>
          <w:color w:val="000000"/>
          <w:szCs w:val="22"/>
          <w:shd w:val="clear" w:color="auto" w:fill="FFFFFF"/>
        </w:rPr>
        <w:t>Where working interest changes over the course of a year, you can report equity share percentages in blocks by specifying the number of days at which the equity share percentage was held. For a full year this is 365 days (or 366 days for a leap year). If not specified, the CERT report will assume the equity share covers the full year.</w:t>
      </w:r>
    </w:p>
    <w:p w14:paraId="1959F377" w14:textId="77777777" w:rsidR="00FE4DC1" w:rsidRPr="00FE4DC1" w:rsidRDefault="00FE4DC1" w:rsidP="007F3E57">
      <w:pPr>
        <w:pStyle w:val="Heading4"/>
        <w:numPr>
          <w:ilvl w:val="0"/>
          <w:numId w:val="20"/>
        </w:numPr>
        <w:rPr>
          <w:shd w:val="clear" w:color="auto" w:fill="FFFFFF"/>
        </w:rPr>
      </w:pPr>
      <w:r w:rsidRPr="00FE4DC1">
        <w:rPr>
          <w:shd w:val="clear" w:color="auto" w:fill="FFFFFF"/>
        </w:rPr>
        <w:t>How do I work out my multipliers if using both equity-share and calendar year reporting?</w:t>
      </w:r>
    </w:p>
    <w:p w14:paraId="2ADDD7BA" w14:textId="6FBCBDA1" w:rsidR="00FE4DC1" w:rsidRPr="00AD1207" w:rsidRDefault="00FE4DC1" w:rsidP="00FE4DC1">
      <w:pPr>
        <w:pStyle w:val="BodyText1"/>
        <w:rPr>
          <w:color w:val="000000"/>
          <w:szCs w:val="22"/>
          <w:shd w:val="clear" w:color="auto" w:fill="FFFFFF"/>
        </w:rPr>
      </w:pPr>
      <w:r>
        <w:rPr>
          <w:color w:val="000000"/>
          <w:szCs w:val="22"/>
          <w:shd w:val="clear" w:color="auto" w:fill="FFFFFF"/>
        </w:rPr>
        <w:t xml:space="preserve">The order of operations when we calculate your CERT emissions position is to first apply equity share multipliers, then apply calendar year multipliers. If you choose both calendar </w:t>
      </w:r>
      <w:r w:rsidR="00E24D36">
        <w:rPr>
          <w:color w:val="000000"/>
          <w:szCs w:val="22"/>
          <w:shd w:val="clear" w:color="auto" w:fill="FFFFFF"/>
        </w:rPr>
        <w:t xml:space="preserve">year </w:t>
      </w:r>
      <w:r>
        <w:rPr>
          <w:color w:val="000000"/>
          <w:szCs w:val="22"/>
          <w:shd w:val="clear" w:color="auto" w:fill="FFFFFF"/>
        </w:rPr>
        <w:t>and equity share reporting you should provide equity share multipliers relevant to the NGER reporting year to determine your financial year position, and then work out the correct calendar multipliers based on this.</w:t>
      </w:r>
      <w:r w:rsidRPr="00AD1207">
        <w:rPr>
          <w:color w:val="000000"/>
          <w:szCs w:val="22"/>
          <w:shd w:val="clear" w:color="auto" w:fill="FFFFFF"/>
        </w:rPr>
        <w:t xml:space="preserve"> </w:t>
      </w:r>
    </w:p>
    <w:p w14:paraId="1BA9B697" w14:textId="77777777" w:rsidR="00FE4DC1" w:rsidRDefault="00FE4DC1" w:rsidP="007F3E57">
      <w:pPr>
        <w:pStyle w:val="Heading4"/>
        <w:numPr>
          <w:ilvl w:val="0"/>
          <w:numId w:val="20"/>
        </w:numPr>
        <w:rPr>
          <w:bCs/>
          <w:shd w:val="clear" w:color="auto" w:fill="FFFFFF"/>
        </w:rPr>
      </w:pPr>
      <w:r w:rsidRPr="00FE4DC1">
        <w:rPr>
          <w:shd w:val="clear" w:color="auto" w:fill="FFFFFF"/>
        </w:rPr>
        <w:t>Why do I need to provide three different electricity multipliers for calendar year reporting?</w:t>
      </w:r>
    </w:p>
    <w:p w14:paraId="58CE8549" w14:textId="77777777" w:rsidR="00FE4DC1" w:rsidRPr="00283E1D" w:rsidRDefault="00FE4DC1" w:rsidP="00FE4DC1">
      <w:pPr>
        <w:pStyle w:val="BodyText1"/>
        <w:rPr>
          <w:color w:val="000000"/>
          <w:szCs w:val="22"/>
          <w:shd w:val="clear" w:color="auto" w:fill="FFFFFF"/>
        </w:rPr>
      </w:pPr>
      <w:r>
        <w:rPr>
          <w:color w:val="000000"/>
          <w:szCs w:val="22"/>
          <w:shd w:val="clear" w:color="auto" w:fill="FFFFFF"/>
        </w:rPr>
        <w:t>Evaluation of the CERT pilot report identified that using one electricity multiplier for all quantities did not allow the flexibility to reflect changes in electricity mix. By separating out the electricity multipliers into imports, on-site renewables, and on-site non-renewables, you can more accurately reflect changes in the mix of imports, on-site renewables, and other on-site generation over time.</w:t>
      </w:r>
    </w:p>
    <w:p w14:paraId="05DC37D6" w14:textId="77777777" w:rsidR="00FE4DC1" w:rsidRDefault="00FE4DC1" w:rsidP="007F3E57">
      <w:pPr>
        <w:pStyle w:val="Heading4"/>
        <w:numPr>
          <w:ilvl w:val="0"/>
          <w:numId w:val="20"/>
        </w:numPr>
        <w:rPr>
          <w:bCs/>
          <w:shd w:val="clear" w:color="auto" w:fill="FFFFFF"/>
        </w:rPr>
      </w:pPr>
      <w:r w:rsidRPr="00FE4DC1">
        <w:rPr>
          <w:shd w:val="clear" w:color="auto" w:fill="FFFFFF"/>
        </w:rPr>
        <w:t>Can I report global emissions and energy data using the independent assurance approach?</w:t>
      </w:r>
    </w:p>
    <w:p w14:paraId="6C56B8F3" w14:textId="77777777" w:rsidR="00FE4DC1" w:rsidRPr="00527BFE" w:rsidRDefault="00FE4DC1" w:rsidP="00FE4DC1">
      <w:pPr>
        <w:pStyle w:val="BodyText1"/>
        <w:rPr>
          <w:color w:val="000000"/>
          <w:szCs w:val="22"/>
          <w:shd w:val="clear" w:color="auto" w:fill="FFFFFF"/>
        </w:rPr>
      </w:pPr>
      <w:r>
        <w:rPr>
          <w:color w:val="000000"/>
          <w:szCs w:val="22"/>
          <w:shd w:val="clear" w:color="auto" w:fill="FFFFFF"/>
        </w:rPr>
        <w:t>The CERT report presents emissions and energy data, commitments, and progress for Australian activities only. If data for Australian activities has not been independently assured, you must choose the NGER multipliers approach to calculate equity share or calendar year emissions and energy data.</w:t>
      </w:r>
    </w:p>
    <w:p w14:paraId="5602228F" w14:textId="77777777" w:rsidR="00FE4DC1" w:rsidRPr="00FE4DC1" w:rsidRDefault="00FE4DC1" w:rsidP="003D0AF9">
      <w:pPr>
        <w:pStyle w:val="Heading4"/>
        <w:numPr>
          <w:ilvl w:val="0"/>
          <w:numId w:val="20"/>
        </w:numPr>
        <w:rPr>
          <w:shd w:val="clear" w:color="auto" w:fill="FFFFFF"/>
        </w:rPr>
      </w:pPr>
      <w:r w:rsidRPr="00FE4DC1">
        <w:rPr>
          <w:shd w:val="clear" w:color="auto" w:fill="FFFFFF"/>
        </w:rPr>
        <w:t>Why do I need to provide all the electricity quantities for the independent assurance approach?</w:t>
      </w:r>
    </w:p>
    <w:p w14:paraId="2AF4B186" w14:textId="2D069FD4" w:rsidR="00FE4DC1" w:rsidRPr="00EA0E74" w:rsidRDefault="00FE4DC1" w:rsidP="00FE4DC1">
      <w:pPr>
        <w:pStyle w:val="BodyText1"/>
        <w:rPr>
          <w:color w:val="000000"/>
          <w:szCs w:val="22"/>
          <w:shd w:val="clear" w:color="auto" w:fill="FFFFFF"/>
        </w:rPr>
      </w:pPr>
      <w:r>
        <w:rPr>
          <w:color w:val="000000"/>
          <w:szCs w:val="22"/>
          <w:shd w:val="clear" w:color="auto" w:fill="FFFFFF"/>
        </w:rPr>
        <w:t xml:space="preserve">The calculation methodology for market-based scope 2 emissions and renewable electricity use is based on electricity amounts provided both as part of the CERT reporting process and under NGER reporting. If providing independently assured calendar year or equity share data, participants must provide their own independently assured electricity quantities that would otherwise be sourced from the NGER scheme. This allows us to apply a consistent and comparable calculation methodology according to section 5.2 and section </w:t>
      </w:r>
      <w:r>
        <w:rPr>
          <w:color w:val="000000"/>
          <w:szCs w:val="22"/>
          <w:shd w:val="clear" w:color="auto" w:fill="FFFFFF"/>
        </w:rPr>
        <w:lastRenderedPageBreak/>
        <w:t xml:space="preserve">7 of the </w:t>
      </w:r>
      <w:hyperlink r:id="rId12" w:history="1">
        <w:r w:rsidRPr="008A60A8">
          <w:rPr>
            <w:rStyle w:val="Hyperlink"/>
            <w:rFonts w:asciiTheme="minorHAnsi" w:hAnsiTheme="minorHAnsi"/>
            <w:i/>
            <w:iCs/>
          </w:rPr>
          <w:t xml:space="preserve">2023 CERT </w:t>
        </w:r>
        <w:r w:rsidRPr="00272981">
          <w:rPr>
            <w:rStyle w:val="Hyperlink"/>
            <w:rFonts w:asciiTheme="minorHAnsi" w:hAnsiTheme="minorHAnsi"/>
            <w:i/>
            <w:iCs/>
            <w:szCs w:val="22"/>
            <w:shd w:val="clear" w:color="auto" w:fill="FFFFFF"/>
          </w:rPr>
          <w:t>r</w:t>
        </w:r>
        <w:r w:rsidRPr="008A60A8">
          <w:rPr>
            <w:rStyle w:val="Hyperlink"/>
            <w:rFonts w:asciiTheme="minorHAnsi" w:hAnsiTheme="minorHAnsi"/>
            <w:i/>
            <w:iCs/>
          </w:rPr>
          <w:t xml:space="preserve">eport </w:t>
        </w:r>
        <w:r w:rsidRPr="00272981">
          <w:rPr>
            <w:rStyle w:val="Hyperlink"/>
            <w:rFonts w:asciiTheme="minorHAnsi" w:hAnsiTheme="minorHAnsi"/>
            <w:i/>
            <w:iCs/>
            <w:szCs w:val="22"/>
            <w:shd w:val="clear" w:color="auto" w:fill="FFFFFF"/>
          </w:rPr>
          <w:t>g</w:t>
        </w:r>
        <w:r w:rsidRPr="008A60A8">
          <w:rPr>
            <w:rStyle w:val="Hyperlink"/>
            <w:rFonts w:asciiTheme="minorHAnsi" w:hAnsiTheme="minorHAnsi"/>
            <w:i/>
            <w:iCs/>
          </w:rPr>
          <w:t>uidelines</w:t>
        </w:r>
      </w:hyperlink>
      <w:r w:rsidR="009F62EF">
        <w:rPr>
          <w:rStyle w:val="FootnoteReference"/>
          <w:i/>
          <w:iCs/>
          <w:color w:val="006C93" w:themeColor="accent3"/>
          <w:u w:val="single"/>
        </w:rPr>
        <w:footnoteReference w:id="5"/>
      </w:r>
      <w:r>
        <w:rPr>
          <w:color w:val="000000"/>
          <w:szCs w:val="22"/>
          <w:shd w:val="clear" w:color="auto" w:fill="FFFFFF"/>
        </w:rPr>
        <w:t>. If the required electricity data has not been independently assured, we may at our discretion decide not to publish the dependent calculated values.</w:t>
      </w:r>
    </w:p>
    <w:p w14:paraId="21E45910" w14:textId="4C0331E8" w:rsidR="00D85364" w:rsidRPr="005B34AD" w:rsidRDefault="00D85364" w:rsidP="00D85364">
      <w:pPr>
        <w:pStyle w:val="Heading2"/>
      </w:pPr>
      <w:bookmarkStart w:id="5" w:name="_Toc121236618"/>
      <w:r w:rsidRPr="005B34AD">
        <w:t>Independent</w:t>
      </w:r>
      <w:r>
        <w:t>ly</w:t>
      </w:r>
      <w:r w:rsidRPr="005B34AD">
        <w:t xml:space="preserve"> Assur</w:t>
      </w:r>
      <w:r>
        <w:t>ed Commitments</w:t>
      </w:r>
      <w:r w:rsidR="00506889">
        <w:t xml:space="preserve"> - </w:t>
      </w:r>
      <w:r w:rsidR="00506889" w:rsidRPr="006A20BB">
        <w:rPr>
          <w:i/>
        </w:rPr>
        <w:t>Section 3 of the CERT Guidelines</w:t>
      </w:r>
      <w:bookmarkEnd w:id="5"/>
    </w:p>
    <w:p w14:paraId="503970AF" w14:textId="77777777" w:rsidR="00D85364" w:rsidRPr="00ED02DD" w:rsidRDefault="00D85364" w:rsidP="007F3E57">
      <w:pPr>
        <w:pStyle w:val="Heading4"/>
        <w:numPr>
          <w:ilvl w:val="0"/>
          <w:numId w:val="21"/>
        </w:numPr>
      </w:pPr>
      <w:r w:rsidRPr="00ED02DD">
        <w:t xml:space="preserve">What is an independently assured commitment? </w:t>
      </w:r>
    </w:p>
    <w:p w14:paraId="46A4DA6B" w14:textId="0D8A5B0C" w:rsidR="00D85364" w:rsidRPr="00ED02DD" w:rsidRDefault="00D85364" w:rsidP="00D85364">
      <w:pPr>
        <w:pStyle w:val="Default"/>
        <w:rPr>
          <w:rFonts w:asciiTheme="minorHAnsi" w:hAnsiTheme="minorHAnsi" w:cstheme="minorHAnsi"/>
          <w:sz w:val="22"/>
          <w:szCs w:val="22"/>
        </w:rPr>
      </w:pPr>
      <w:r w:rsidRPr="00ED02DD">
        <w:rPr>
          <w:rFonts w:asciiTheme="minorHAnsi" w:hAnsiTheme="minorHAnsi" w:cstheme="minorHAnsi"/>
          <w:sz w:val="22"/>
          <w:szCs w:val="22"/>
        </w:rPr>
        <w:t xml:space="preserve">Independently assured commitments (see section 3.4 of </w:t>
      </w:r>
      <w:hyperlink r:id="rId13" w:history="1">
        <w:r w:rsidRPr="00ED02DD">
          <w:rPr>
            <w:rStyle w:val="Hyperlink"/>
            <w:rFonts w:asciiTheme="minorHAnsi" w:hAnsiTheme="minorHAnsi" w:cstheme="minorHAnsi"/>
            <w:szCs w:val="22"/>
          </w:rPr>
          <w:t>CERT report guidelines</w:t>
        </w:r>
      </w:hyperlink>
      <w:r w:rsidR="009F62EF">
        <w:rPr>
          <w:rStyle w:val="FootnoteReference"/>
          <w:rFonts w:asciiTheme="minorHAnsi" w:hAnsiTheme="minorHAnsi" w:cstheme="minorHAnsi"/>
          <w:color w:val="006C93" w:themeColor="accent3"/>
          <w:sz w:val="22"/>
          <w:szCs w:val="22"/>
          <w:u w:val="single"/>
        </w:rPr>
        <w:footnoteReference w:id="6"/>
      </w:r>
      <w:r w:rsidRPr="00ED02DD">
        <w:rPr>
          <w:rFonts w:asciiTheme="minorHAnsi" w:hAnsiTheme="minorHAnsi" w:cstheme="minorHAnsi"/>
          <w:sz w:val="22"/>
          <w:szCs w:val="22"/>
        </w:rPr>
        <w:t>) are commitments where a participant has chosen to use independently assured emissions and/or energy data to calculate their commitment progress. This provides greater flexibility for presenting climate-related commitments and progress metrics and may be useful where progress cannot be verified using agency-held data, for example:</w:t>
      </w:r>
    </w:p>
    <w:p w14:paraId="3D5C037A" w14:textId="77777777" w:rsidR="00D85364" w:rsidRDefault="00D85364" w:rsidP="00D85364">
      <w:pPr>
        <w:pStyle w:val="CERbullets"/>
        <w:ind w:left="357" w:hanging="357"/>
        <w:rPr>
          <w:szCs w:val="22"/>
        </w:rPr>
      </w:pPr>
      <w:r w:rsidRPr="00ED02DD">
        <w:rPr>
          <w:szCs w:val="22"/>
        </w:rPr>
        <w:t>Scope 3 commitments</w:t>
      </w:r>
    </w:p>
    <w:p w14:paraId="0DFE398A" w14:textId="77777777" w:rsidR="00D85364" w:rsidRDefault="00D85364" w:rsidP="00D85364">
      <w:pPr>
        <w:pStyle w:val="CERbullets"/>
        <w:ind w:left="357" w:hanging="357"/>
        <w:rPr>
          <w:szCs w:val="22"/>
        </w:rPr>
      </w:pPr>
      <w:r w:rsidRPr="00ED02DD">
        <w:rPr>
          <w:szCs w:val="22"/>
        </w:rPr>
        <w:t>Inter</w:t>
      </w:r>
      <w:r>
        <w:rPr>
          <w:szCs w:val="22"/>
        </w:rPr>
        <w:t>national emissions</w:t>
      </w:r>
    </w:p>
    <w:p w14:paraId="6CF20AEB" w14:textId="77777777" w:rsidR="00D85364" w:rsidRDefault="00D85364" w:rsidP="00D85364">
      <w:pPr>
        <w:pStyle w:val="CERbullets"/>
        <w:ind w:left="357" w:hanging="357"/>
        <w:rPr>
          <w:szCs w:val="22"/>
        </w:rPr>
      </w:pPr>
      <w:r w:rsidRPr="00ED02DD">
        <w:rPr>
          <w:szCs w:val="22"/>
        </w:rPr>
        <w:t>Emissions intensity</w:t>
      </w:r>
      <w:r>
        <w:rPr>
          <w:szCs w:val="22"/>
        </w:rPr>
        <w:t xml:space="preserve"> commitments</w:t>
      </w:r>
    </w:p>
    <w:p w14:paraId="1C99C485" w14:textId="77777777" w:rsidR="00D85364" w:rsidRPr="00ED02DD" w:rsidRDefault="00D85364" w:rsidP="00D85364">
      <w:pPr>
        <w:pStyle w:val="CERbullets"/>
        <w:ind w:left="357" w:hanging="357"/>
        <w:rPr>
          <w:szCs w:val="22"/>
        </w:rPr>
      </w:pPr>
      <w:r w:rsidRPr="00ED02DD">
        <w:rPr>
          <w:szCs w:val="22"/>
        </w:rPr>
        <w:t>Installed renewable capacity commitments</w:t>
      </w:r>
    </w:p>
    <w:p w14:paraId="5214F290" w14:textId="61A36468" w:rsidR="00D85364" w:rsidRPr="00ED02DD" w:rsidRDefault="00D85364" w:rsidP="00D85364">
      <w:pPr>
        <w:pStyle w:val="Default"/>
        <w:rPr>
          <w:rFonts w:asciiTheme="minorHAnsi" w:hAnsiTheme="minorHAnsi" w:cstheme="minorHAnsi"/>
          <w:sz w:val="22"/>
          <w:szCs w:val="22"/>
        </w:rPr>
      </w:pPr>
      <w:r w:rsidRPr="00ED02DD">
        <w:rPr>
          <w:rFonts w:asciiTheme="minorHAnsi" w:hAnsiTheme="minorHAnsi" w:cstheme="minorHAnsi"/>
          <w:sz w:val="22"/>
          <w:szCs w:val="22"/>
        </w:rPr>
        <w:t xml:space="preserve">You may also use independent assurance for other eligible commitments that meet the criteria set out in section 3.1 of the </w:t>
      </w:r>
      <w:hyperlink r:id="rId14" w:history="1">
        <w:r w:rsidRPr="00ED02DD">
          <w:rPr>
            <w:rStyle w:val="Hyperlink"/>
            <w:rFonts w:asciiTheme="minorHAnsi" w:hAnsiTheme="minorHAnsi" w:cstheme="minorHAnsi"/>
            <w:szCs w:val="22"/>
          </w:rPr>
          <w:t>CERT report guidelines</w:t>
        </w:r>
      </w:hyperlink>
      <w:r w:rsidR="009F62EF" w:rsidRPr="009F62EF">
        <w:rPr>
          <w:rStyle w:val="Hyperlink"/>
          <w:rFonts w:asciiTheme="minorHAnsi" w:hAnsiTheme="minorHAnsi" w:cstheme="minorHAnsi"/>
          <w:szCs w:val="22"/>
          <w:vertAlign w:val="superscript"/>
        </w:rPr>
        <w:t>5</w:t>
      </w:r>
      <w:r w:rsidRPr="00ED02DD">
        <w:rPr>
          <w:rFonts w:asciiTheme="minorHAnsi" w:hAnsiTheme="minorHAnsi" w:cstheme="minorHAnsi"/>
          <w:sz w:val="22"/>
          <w:szCs w:val="22"/>
        </w:rPr>
        <w:t xml:space="preserve">. </w:t>
      </w:r>
    </w:p>
    <w:p w14:paraId="08AA6CC3" w14:textId="77777777" w:rsidR="00D85364" w:rsidRPr="00ED02DD" w:rsidRDefault="00D85364" w:rsidP="007F3E57">
      <w:pPr>
        <w:pStyle w:val="Heading4"/>
        <w:numPr>
          <w:ilvl w:val="0"/>
          <w:numId w:val="21"/>
        </w:numPr>
      </w:pPr>
      <w:r w:rsidRPr="00ED02DD">
        <w:t>How will independently assured commitments be presented in the CERT report?</w:t>
      </w:r>
    </w:p>
    <w:p w14:paraId="0D1B1E47" w14:textId="77777777" w:rsidR="00D85364" w:rsidRPr="00ED02DD" w:rsidRDefault="00D85364" w:rsidP="00D85364">
      <w:pPr>
        <w:rPr>
          <w:szCs w:val="22"/>
        </w:rPr>
      </w:pPr>
      <w:r w:rsidRPr="00ED02DD">
        <w:rPr>
          <w:szCs w:val="22"/>
        </w:rPr>
        <w:t>Independently assured commitments will be displayed similarly to CER data verified commitments in a company’s CERT report</w:t>
      </w:r>
      <w:r>
        <w:rPr>
          <w:szCs w:val="22"/>
        </w:rPr>
        <w:t xml:space="preserve">, with </w:t>
      </w:r>
      <w:r w:rsidRPr="00ED02DD">
        <w:rPr>
          <w:szCs w:val="22"/>
        </w:rPr>
        <w:t>a progress bar and progress statement</w:t>
      </w:r>
      <w:r>
        <w:rPr>
          <w:szCs w:val="22"/>
        </w:rPr>
        <w:t>.</w:t>
      </w:r>
      <w:r w:rsidRPr="00ED02DD">
        <w:rPr>
          <w:szCs w:val="22"/>
        </w:rPr>
        <w:t xml:space="preserve"> They will also feature an additional section that</w:t>
      </w:r>
      <w:r w:rsidRPr="00ED02DD" w:rsidDel="00806863">
        <w:rPr>
          <w:szCs w:val="22"/>
        </w:rPr>
        <w:t xml:space="preserve"> </w:t>
      </w:r>
      <w:r w:rsidRPr="00ED02DD">
        <w:rPr>
          <w:szCs w:val="22"/>
        </w:rPr>
        <w:t>details</w:t>
      </w:r>
      <w:r w:rsidRPr="00ED02DD" w:rsidDel="00806863">
        <w:rPr>
          <w:szCs w:val="22"/>
        </w:rPr>
        <w:t xml:space="preserve"> </w:t>
      </w:r>
      <w:r w:rsidRPr="00ED02DD">
        <w:rPr>
          <w:szCs w:val="22"/>
        </w:rPr>
        <w:t xml:space="preserve">the assurance engagement and accounting approach to assist readers in understanding and differentiating between commitments. Additional information includes the assurance provider used, the level of assurance provided (e.g., limited or reasonable), the assurance standard adhered to (e.g., ASAE 3410) and the accounting methodology used (e.g., </w:t>
      </w:r>
      <w:r>
        <w:rPr>
          <w:szCs w:val="22"/>
        </w:rPr>
        <w:t xml:space="preserve">NGER </w:t>
      </w:r>
      <w:r w:rsidRPr="00ED02DD">
        <w:rPr>
          <w:szCs w:val="22"/>
        </w:rPr>
        <w:t>scheme legislation).</w:t>
      </w:r>
    </w:p>
    <w:p w14:paraId="64654E6D" w14:textId="77777777" w:rsidR="00D85364" w:rsidRPr="00ED02DD" w:rsidRDefault="00D85364" w:rsidP="007F3E57">
      <w:pPr>
        <w:pStyle w:val="Heading4"/>
        <w:numPr>
          <w:ilvl w:val="0"/>
          <w:numId w:val="21"/>
        </w:numPr>
      </w:pPr>
      <w:r w:rsidRPr="00ED02DD">
        <w:t>How is progress calculated for independently assured commitments?</w:t>
      </w:r>
    </w:p>
    <w:p w14:paraId="1D7E9420" w14:textId="7EFB6EA7" w:rsidR="00D85364" w:rsidRPr="00ED02DD" w:rsidRDefault="00D85364" w:rsidP="00D85364">
      <w:pPr>
        <w:rPr>
          <w:szCs w:val="22"/>
        </w:rPr>
      </w:pPr>
      <w:r w:rsidRPr="00ED02DD">
        <w:rPr>
          <w:szCs w:val="22"/>
        </w:rPr>
        <w:t>We calculate your progress towards independently assured commitments based on the data and framing elements you provide. The calculation methodology will depend on whether the commitment is to reduce emissions</w:t>
      </w:r>
      <w:r w:rsidR="00A97976">
        <w:rPr>
          <w:szCs w:val="22"/>
        </w:rPr>
        <w:t xml:space="preserve"> or emissions intensity</w:t>
      </w:r>
      <w:r w:rsidRPr="00ED02DD">
        <w:rPr>
          <w:szCs w:val="22"/>
        </w:rPr>
        <w:t xml:space="preserve">, increase renewable electricity use, or other type of commitment. For other commitment types, additional information is required to determine the appropriate progress calculation, including the direction of positive progress, and whether progress is measured from a base period. See </w:t>
      </w:r>
      <w:hyperlink w:anchor="_Calculating_progress_–" w:history="1">
        <w:r w:rsidR="000914B5" w:rsidRPr="00914A2C">
          <w:rPr>
            <w:rStyle w:val="Hyperlink"/>
            <w:rFonts w:asciiTheme="minorHAnsi" w:hAnsiTheme="minorHAnsi"/>
            <w:b/>
            <w:bCs/>
            <w:szCs w:val="22"/>
          </w:rPr>
          <w:t>S</w:t>
        </w:r>
        <w:r w:rsidRPr="00914A2C">
          <w:rPr>
            <w:rStyle w:val="Hyperlink"/>
            <w:rFonts w:asciiTheme="minorHAnsi" w:hAnsiTheme="minorHAnsi"/>
            <w:b/>
            <w:bCs/>
            <w:szCs w:val="22"/>
          </w:rPr>
          <w:t xml:space="preserve">upporting </w:t>
        </w:r>
        <w:r w:rsidR="000914B5" w:rsidRPr="00914A2C">
          <w:rPr>
            <w:rStyle w:val="Hyperlink"/>
            <w:rFonts w:asciiTheme="minorHAnsi" w:hAnsiTheme="minorHAnsi"/>
            <w:b/>
            <w:bCs/>
            <w:szCs w:val="22"/>
          </w:rPr>
          <w:t>E</w:t>
        </w:r>
        <w:r w:rsidRPr="00914A2C">
          <w:rPr>
            <w:rStyle w:val="Hyperlink"/>
            <w:rFonts w:asciiTheme="minorHAnsi" w:hAnsiTheme="minorHAnsi"/>
            <w:b/>
            <w:bCs/>
            <w:szCs w:val="22"/>
          </w:rPr>
          <w:t>xamples 2</w:t>
        </w:r>
        <w:r w:rsidR="00914A2C" w:rsidRPr="00914A2C">
          <w:rPr>
            <w:rStyle w:val="Hyperlink"/>
            <w:rFonts w:asciiTheme="minorHAnsi" w:hAnsiTheme="minorHAnsi"/>
            <w:b/>
            <w:bCs/>
            <w:szCs w:val="22"/>
          </w:rPr>
          <w:t>3</w:t>
        </w:r>
        <w:r w:rsidR="00B92305">
          <w:rPr>
            <w:rStyle w:val="Hyperlink"/>
            <w:rFonts w:asciiTheme="minorHAnsi" w:hAnsiTheme="minorHAnsi"/>
            <w:b/>
            <w:bCs/>
            <w:szCs w:val="22"/>
          </w:rPr>
          <w:t xml:space="preserve"> and </w:t>
        </w:r>
        <w:r w:rsidR="00914A2C" w:rsidRPr="00914A2C">
          <w:rPr>
            <w:rStyle w:val="Hyperlink"/>
            <w:rFonts w:asciiTheme="minorHAnsi" w:hAnsiTheme="minorHAnsi"/>
            <w:b/>
            <w:bCs/>
            <w:szCs w:val="22"/>
          </w:rPr>
          <w:t>24</w:t>
        </w:r>
      </w:hyperlink>
      <w:r w:rsidRPr="00ED02DD">
        <w:rPr>
          <w:szCs w:val="22"/>
        </w:rPr>
        <w:t>.</w:t>
      </w:r>
    </w:p>
    <w:p w14:paraId="1C055204" w14:textId="77777777" w:rsidR="00D85364" w:rsidRPr="00ED02DD" w:rsidRDefault="00D85364" w:rsidP="007F3E57">
      <w:pPr>
        <w:pStyle w:val="Heading4"/>
        <w:numPr>
          <w:ilvl w:val="0"/>
          <w:numId w:val="21"/>
        </w:numPr>
      </w:pPr>
      <w:r w:rsidRPr="00ED02DD">
        <w:t xml:space="preserve">What assurance frameworks will my data need to be verified under? </w:t>
      </w:r>
    </w:p>
    <w:p w14:paraId="13281462" w14:textId="77777777" w:rsidR="00D85364" w:rsidRPr="00ED02DD" w:rsidRDefault="00D85364" w:rsidP="00D85364">
      <w:pPr>
        <w:pStyle w:val="Default"/>
        <w:rPr>
          <w:rFonts w:asciiTheme="minorHAnsi" w:hAnsiTheme="minorHAnsi" w:cstheme="minorHAnsi"/>
          <w:sz w:val="22"/>
          <w:szCs w:val="22"/>
        </w:rPr>
      </w:pPr>
      <w:r w:rsidRPr="00ED02DD">
        <w:rPr>
          <w:rFonts w:asciiTheme="minorHAnsi" w:hAnsiTheme="minorHAnsi" w:cstheme="minorHAnsi"/>
          <w:sz w:val="22"/>
          <w:szCs w:val="22"/>
        </w:rPr>
        <w:t>When reporting independently assured commitments, you must demonstrate that the assurance has been completed in accordance with at least one of the following standards:</w:t>
      </w:r>
      <w:r>
        <w:rPr>
          <w:rStyle w:val="FootnoteReference"/>
          <w:rFonts w:asciiTheme="minorHAnsi" w:hAnsiTheme="minorHAnsi" w:cstheme="minorHAnsi"/>
          <w:sz w:val="22"/>
          <w:szCs w:val="22"/>
        </w:rPr>
        <w:footnoteReference w:id="7"/>
      </w:r>
      <w:r w:rsidRPr="00ED02DD">
        <w:rPr>
          <w:rFonts w:asciiTheme="minorHAnsi" w:hAnsiTheme="minorHAnsi" w:cstheme="minorHAnsi"/>
          <w:sz w:val="22"/>
          <w:szCs w:val="22"/>
        </w:rPr>
        <w:t xml:space="preserve"> </w:t>
      </w:r>
    </w:p>
    <w:p w14:paraId="03A2BE89" w14:textId="27BC34A1" w:rsidR="00D85364" w:rsidRPr="00ED02DD" w:rsidRDefault="00260FAD" w:rsidP="00D85364">
      <w:pPr>
        <w:pStyle w:val="CERbullets"/>
        <w:ind w:left="357" w:hanging="357"/>
        <w:rPr>
          <w:szCs w:val="22"/>
        </w:rPr>
      </w:pPr>
      <w:hyperlink r:id="rId15" w:history="1">
        <w:r w:rsidR="00D85364" w:rsidRPr="00ED02DD">
          <w:rPr>
            <w:rStyle w:val="Hyperlink"/>
            <w:rFonts w:asciiTheme="minorHAnsi" w:hAnsiTheme="minorHAnsi"/>
            <w:szCs w:val="22"/>
          </w:rPr>
          <w:t>ASAE 3000: Assurance Engagements Other than Audits or Reviews of Historical Finance Information</w:t>
        </w:r>
      </w:hyperlink>
      <w:r w:rsidR="009F62EF">
        <w:rPr>
          <w:rStyle w:val="FootnoteReference"/>
          <w:color w:val="006C93" w:themeColor="accent3"/>
          <w:szCs w:val="22"/>
          <w:u w:val="single"/>
        </w:rPr>
        <w:footnoteReference w:id="8"/>
      </w:r>
    </w:p>
    <w:p w14:paraId="15743376" w14:textId="33400B30" w:rsidR="00D85364" w:rsidRPr="00ED02DD" w:rsidRDefault="00260FAD" w:rsidP="00D85364">
      <w:pPr>
        <w:pStyle w:val="CERbullets"/>
        <w:ind w:left="357" w:hanging="357"/>
        <w:rPr>
          <w:szCs w:val="22"/>
        </w:rPr>
      </w:pPr>
      <w:hyperlink r:id="rId16" w:history="1">
        <w:r w:rsidR="00D85364" w:rsidRPr="00ED02DD">
          <w:rPr>
            <w:rStyle w:val="Hyperlink"/>
            <w:rFonts w:asciiTheme="minorHAnsi" w:hAnsiTheme="minorHAnsi"/>
            <w:szCs w:val="22"/>
          </w:rPr>
          <w:t>ASAE 3410: Assurance Engagements on Greenhouse Gas Statements</w:t>
        </w:r>
      </w:hyperlink>
      <w:r w:rsidR="009F62EF">
        <w:rPr>
          <w:rStyle w:val="FootnoteReference"/>
          <w:color w:val="006C93" w:themeColor="accent3"/>
          <w:szCs w:val="22"/>
          <w:u w:val="single"/>
        </w:rPr>
        <w:footnoteReference w:id="9"/>
      </w:r>
    </w:p>
    <w:p w14:paraId="25E6F75B" w14:textId="7D8419C4" w:rsidR="00D85364" w:rsidRPr="00ED02DD" w:rsidRDefault="00260FAD" w:rsidP="00D85364">
      <w:pPr>
        <w:pStyle w:val="CERbullets"/>
        <w:ind w:left="357" w:hanging="357"/>
        <w:rPr>
          <w:szCs w:val="22"/>
        </w:rPr>
      </w:pPr>
      <w:hyperlink r:id="rId17" w:history="1">
        <w:r w:rsidR="00D85364" w:rsidRPr="00ED02DD">
          <w:rPr>
            <w:rStyle w:val="Hyperlink"/>
            <w:rFonts w:asciiTheme="minorHAnsi" w:hAnsiTheme="minorHAnsi"/>
            <w:szCs w:val="22"/>
          </w:rPr>
          <w:t>ISAE 3000: Assurance Engagements Other than Audits or Reviews of Historical Financial Information</w:t>
        </w:r>
        <w:r w:rsidR="009F62EF">
          <w:rPr>
            <w:rStyle w:val="FootnoteReference"/>
            <w:color w:val="006C93" w:themeColor="accent3"/>
            <w:szCs w:val="22"/>
            <w:u w:val="single"/>
          </w:rPr>
          <w:footnoteReference w:id="10"/>
        </w:r>
        <w:r w:rsidR="00D85364" w:rsidRPr="00ED02DD">
          <w:rPr>
            <w:rStyle w:val="Hyperlink"/>
            <w:rFonts w:asciiTheme="minorHAnsi" w:hAnsiTheme="minorHAnsi"/>
            <w:szCs w:val="22"/>
          </w:rPr>
          <w:t xml:space="preserve"> </w:t>
        </w:r>
      </w:hyperlink>
    </w:p>
    <w:p w14:paraId="28AC2E75" w14:textId="1DF0AB66" w:rsidR="00D85364" w:rsidRPr="00ED02DD" w:rsidRDefault="00260FAD" w:rsidP="00D85364">
      <w:pPr>
        <w:pStyle w:val="CERbullets"/>
        <w:ind w:left="357" w:hanging="357"/>
        <w:rPr>
          <w:szCs w:val="22"/>
        </w:rPr>
      </w:pPr>
      <w:hyperlink r:id="rId18" w:history="1">
        <w:r w:rsidR="00D85364" w:rsidRPr="00ED02DD">
          <w:rPr>
            <w:rStyle w:val="Hyperlink"/>
            <w:rFonts w:asciiTheme="minorHAnsi" w:hAnsiTheme="minorHAnsi"/>
            <w:szCs w:val="22"/>
          </w:rPr>
          <w:t>ISAE 3410: Assurance Engagements on Greenhouse Gas Statements</w:t>
        </w:r>
      </w:hyperlink>
      <w:r w:rsidR="009F62EF">
        <w:rPr>
          <w:rStyle w:val="FootnoteReference"/>
          <w:color w:val="006C93" w:themeColor="accent3"/>
          <w:szCs w:val="22"/>
          <w:u w:val="single"/>
        </w:rPr>
        <w:footnoteReference w:id="11"/>
      </w:r>
    </w:p>
    <w:p w14:paraId="707F1485" w14:textId="4176584B" w:rsidR="00D85364" w:rsidRPr="00ED02DD" w:rsidRDefault="00260FAD" w:rsidP="00D85364">
      <w:pPr>
        <w:pStyle w:val="CERbullets"/>
        <w:ind w:left="357" w:hanging="357"/>
        <w:rPr>
          <w:szCs w:val="22"/>
        </w:rPr>
      </w:pPr>
      <w:hyperlink r:id="rId19" w:history="1">
        <w:r w:rsidR="00D85364" w:rsidRPr="00ED02DD">
          <w:rPr>
            <w:rStyle w:val="Hyperlink"/>
            <w:rFonts w:asciiTheme="minorHAnsi" w:hAnsiTheme="minorHAnsi"/>
            <w:szCs w:val="22"/>
          </w:rPr>
          <w:t>ISO 14064-3: Specification with guidance for the verification and validation of greenhouse gas statements</w:t>
        </w:r>
      </w:hyperlink>
      <w:r w:rsidR="009F62EF">
        <w:rPr>
          <w:rStyle w:val="FootnoteReference"/>
          <w:color w:val="006C93" w:themeColor="accent3"/>
          <w:szCs w:val="22"/>
          <w:u w:val="single"/>
        </w:rPr>
        <w:footnoteReference w:id="12"/>
      </w:r>
    </w:p>
    <w:p w14:paraId="5643203C" w14:textId="77777777" w:rsidR="00D85364" w:rsidRPr="00ED02DD" w:rsidRDefault="00D85364" w:rsidP="00D85364">
      <w:pPr>
        <w:pStyle w:val="Default"/>
        <w:spacing w:after="200"/>
        <w:rPr>
          <w:rFonts w:asciiTheme="minorHAnsi" w:hAnsiTheme="minorHAnsi" w:cstheme="minorHAnsi"/>
          <w:color w:val="000000" w:themeColor="text1"/>
          <w:sz w:val="22"/>
          <w:szCs w:val="22"/>
          <w:lang w:eastAsia="en-US"/>
        </w:rPr>
      </w:pPr>
      <w:r w:rsidRPr="00ED02DD">
        <w:rPr>
          <w:rFonts w:asciiTheme="minorHAnsi" w:hAnsiTheme="minorHAnsi" w:cstheme="minorHAnsi"/>
          <w:color w:val="000000" w:themeColor="text1"/>
          <w:sz w:val="22"/>
          <w:szCs w:val="22"/>
          <w:lang w:eastAsia="en-US"/>
        </w:rPr>
        <w:t xml:space="preserve">To report independently assured data, you must supply us with a copy of your assurance report </w:t>
      </w:r>
      <w:r>
        <w:rPr>
          <w:rFonts w:asciiTheme="minorHAnsi" w:hAnsiTheme="minorHAnsi" w:cstheme="minorHAnsi"/>
          <w:color w:val="000000" w:themeColor="text1"/>
          <w:sz w:val="22"/>
          <w:szCs w:val="22"/>
          <w:lang w:eastAsia="en-US"/>
        </w:rPr>
        <w:t>stating that</w:t>
      </w:r>
      <w:r w:rsidRPr="00ED02DD">
        <w:rPr>
          <w:rFonts w:asciiTheme="minorHAnsi" w:hAnsiTheme="minorHAnsi" w:cstheme="minorHAnsi"/>
          <w:color w:val="000000" w:themeColor="text1"/>
          <w:sz w:val="22"/>
          <w:szCs w:val="22"/>
          <w:lang w:eastAsia="en-US"/>
        </w:rPr>
        <w:t xml:space="preserve"> the assurance engagement has been conducted in accordance with at least one of the above standards.</w:t>
      </w:r>
    </w:p>
    <w:p w14:paraId="6838899E" w14:textId="77777777" w:rsidR="00D85364" w:rsidRPr="00603DB6" w:rsidRDefault="00D85364" w:rsidP="007F3E57">
      <w:pPr>
        <w:pStyle w:val="Heading4"/>
        <w:numPr>
          <w:ilvl w:val="0"/>
          <w:numId w:val="21"/>
        </w:numPr>
        <w:rPr>
          <w:shd w:val="clear" w:color="auto" w:fill="FFFFFF"/>
        </w:rPr>
      </w:pPr>
      <w:r w:rsidRPr="00ED02DD">
        <w:rPr>
          <w:rFonts w:cstheme="minorHAnsi"/>
        </w:rPr>
        <w:t xml:space="preserve">Who can </w:t>
      </w:r>
      <w:r w:rsidRPr="00603DB6">
        <w:rPr>
          <w:shd w:val="clear" w:color="auto" w:fill="FFFFFF"/>
        </w:rPr>
        <w:t>provide the assurance?</w:t>
      </w:r>
    </w:p>
    <w:p w14:paraId="5C045AD9" w14:textId="7F9FD0E1" w:rsidR="00D85364" w:rsidRPr="009458C7" w:rsidRDefault="00D85364" w:rsidP="00D85364">
      <w:pPr>
        <w:pStyle w:val="CERbullets"/>
        <w:numPr>
          <w:ilvl w:val="0"/>
          <w:numId w:val="0"/>
        </w:numPr>
        <w:rPr>
          <w:highlight w:val="yellow"/>
          <w:lang w:eastAsia="en-AU"/>
        </w:rPr>
      </w:pPr>
      <w:r w:rsidRPr="00ED02DD">
        <w:rPr>
          <w:szCs w:val="22"/>
        </w:rPr>
        <w:t xml:space="preserve">The assurance engagement must be performed by a suitably qualified </w:t>
      </w:r>
      <w:r>
        <w:rPr>
          <w:szCs w:val="22"/>
        </w:rPr>
        <w:t xml:space="preserve">assurance </w:t>
      </w:r>
      <w:r w:rsidRPr="00ED02DD">
        <w:rPr>
          <w:szCs w:val="22"/>
        </w:rPr>
        <w:t>practitioner.</w:t>
      </w:r>
      <w:r>
        <w:rPr>
          <w:rStyle w:val="FootnoteReference"/>
          <w:szCs w:val="22"/>
        </w:rPr>
        <w:footnoteReference w:id="13"/>
      </w:r>
      <w:r w:rsidRPr="00ED02DD">
        <w:rPr>
          <w:szCs w:val="22"/>
        </w:rPr>
        <w:t xml:space="preserve"> Our </w:t>
      </w:r>
      <w:hyperlink r:id="rId20" w:history="1">
        <w:r w:rsidRPr="00ED02DD">
          <w:rPr>
            <w:rStyle w:val="Hyperlink"/>
            <w:rFonts w:asciiTheme="minorHAnsi" w:hAnsiTheme="minorHAnsi"/>
            <w:szCs w:val="22"/>
          </w:rPr>
          <w:t>Register of Greenhouse and Energy Auditors</w:t>
        </w:r>
      </w:hyperlink>
      <w:r w:rsidR="009F62EF">
        <w:rPr>
          <w:rStyle w:val="FootnoteReference"/>
          <w:color w:val="006C93" w:themeColor="accent3"/>
          <w:szCs w:val="22"/>
          <w:u w:val="single"/>
        </w:rPr>
        <w:footnoteReference w:id="14"/>
      </w:r>
      <w:r w:rsidRPr="00ED02DD">
        <w:rPr>
          <w:szCs w:val="22"/>
        </w:rPr>
        <w:t xml:space="preserve"> provides a list of auditors qualified to provide the required assurance, but any auditor may be selected </w:t>
      </w:r>
      <w:r>
        <w:rPr>
          <w:szCs w:val="22"/>
        </w:rPr>
        <w:t>provided</w:t>
      </w:r>
      <w:r w:rsidRPr="00ED02DD">
        <w:rPr>
          <w:szCs w:val="22"/>
        </w:rPr>
        <w:t xml:space="preserve"> </w:t>
      </w:r>
      <w:r>
        <w:rPr>
          <w:szCs w:val="22"/>
        </w:rPr>
        <w:t>the following requirements are met</w:t>
      </w:r>
      <w:r w:rsidRPr="00ED02DD">
        <w:rPr>
          <w:szCs w:val="22"/>
        </w:rPr>
        <w:t>:</w:t>
      </w:r>
    </w:p>
    <w:p w14:paraId="2E1E189D" w14:textId="77777777" w:rsidR="00D85364" w:rsidRDefault="00D85364" w:rsidP="00D85364">
      <w:pPr>
        <w:pStyle w:val="CERbullets"/>
        <w:ind w:left="357" w:hanging="357"/>
        <w:rPr>
          <w:szCs w:val="22"/>
        </w:rPr>
      </w:pPr>
      <w:r w:rsidRPr="00ED02DD">
        <w:rPr>
          <w:szCs w:val="22"/>
        </w:rPr>
        <w:t>the engagement provides limited or reasonable assurance of the</w:t>
      </w:r>
      <w:r>
        <w:rPr>
          <w:szCs w:val="22"/>
        </w:rPr>
        <w:t xml:space="preserve"> company’s relevant</w:t>
      </w:r>
      <w:r w:rsidRPr="00ED02DD">
        <w:rPr>
          <w:szCs w:val="22"/>
        </w:rPr>
        <w:t xml:space="preserve"> greenhouse gas and/or energy data and</w:t>
      </w:r>
      <w:r>
        <w:rPr>
          <w:szCs w:val="22"/>
        </w:rPr>
        <w:t>,</w:t>
      </w:r>
    </w:p>
    <w:p w14:paraId="53A31A72" w14:textId="77777777" w:rsidR="00D85364" w:rsidRDefault="00D85364" w:rsidP="00D85364">
      <w:pPr>
        <w:pStyle w:val="CERbullets"/>
        <w:ind w:left="357" w:hanging="357"/>
        <w:rPr>
          <w:szCs w:val="22"/>
        </w:rPr>
      </w:pPr>
      <w:r>
        <w:rPr>
          <w:szCs w:val="22"/>
        </w:rPr>
        <w:t>the engagement</w:t>
      </w:r>
      <w:r w:rsidRPr="00ED02DD">
        <w:rPr>
          <w:szCs w:val="22"/>
        </w:rPr>
        <w:t xml:space="preserve"> is conducted in accordance with the accepted standards listed </w:t>
      </w:r>
      <w:r>
        <w:rPr>
          <w:szCs w:val="22"/>
        </w:rPr>
        <w:t>above, and</w:t>
      </w:r>
    </w:p>
    <w:p w14:paraId="333A7855" w14:textId="77777777" w:rsidR="00D85364" w:rsidRDefault="00D85364" w:rsidP="00D85364">
      <w:pPr>
        <w:pStyle w:val="CERbullets"/>
        <w:ind w:left="357" w:hanging="357"/>
        <w:rPr>
          <w:szCs w:val="22"/>
        </w:rPr>
      </w:pPr>
      <w:r>
        <w:rPr>
          <w:szCs w:val="22"/>
        </w:rPr>
        <w:t>we are provided with a copy of the assurance report(s)</w:t>
      </w:r>
    </w:p>
    <w:p w14:paraId="65272473" w14:textId="77777777" w:rsidR="00D85364" w:rsidRPr="00ED02DD" w:rsidRDefault="00D85364" w:rsidP="007F3E57">
      <w:pPr>
        <w:pStyle w:val="Heading4"/>
        <w:numPr>
          <w:ilvl w:val="0"/>
          <w:numId w:val="21"/>
        </w:numPr>
      </w:pPr>
      <w:r w:rsidRPr="00ED02DD">
        <w:t>What data needs to be independently assured?</w:t>
      </w:r>
    </w:p>
    <w:p w14:paraId="29AE4C3C" w14:textId="77777777" w:rsidR="00D85364" w:rsidRPr="00ED02DD" w:rsidRDefault="00D85364" w:rsidP="00D85364">
      <w:pPr>
        <w:rPr>
          <w:szCs w:val="22"/>
        </w:rPr>
      </w:pPr>
      <w:r w:rsidRPr="00ED02DD">
        <w:rPr>
          <w:szCs w:val="22"/>
        </w:rPr>
        <w:t>For independently assured commitments, you must have obtained independent assurance over the data that we use to calculate your progress towards the commitment. At a minimum, this includes assurance over the measurement of the relevant metric for the reporting year and, if applicable, the base period.</w:t>
      </w:r>
    </w:p>
    <w:p w14:paraId="1EAF6853" w14:textId="6AD78AB3" w:rsidR="00D85364" w:rsidRPr="00ED02DD" w:rsidRDefault="00D85364" w:rsidP="00D85364">
      <w:pPr>
        <w:rPr>
          <w:szCs w:val="22"/>
        </w:rPr>
      </w:pPr>
      <w:r w:rsidRPr="00ED02DD">
        <w:rPr>
          <w:szCs w:val="22"/>
        </w:rPr>
        <w:t xml:space="preserve">Where </w:t>
      </w:r>
      <w:bookmarkStart w:id="6" w:name="_Hlk128996310"/>
      <w:r w:rsidR="00A123E5">
        <w:fldChar w:fldCharType="begin"/>
      </w:r>
      <w:r w:rsidR="00A123E5">
        <w:instrText>HYPERLINK "https://www.cleanenergyregulator.gov.au/NGER/About-the-National-Greenhouse-and-Energy-Reporting-scheme/global-warming-potentials"</w:instrText>
      </w:r>
      <w:r w:rsidR="00A123E5">
        <w:fldChar w:fldCharType="separate"/>
      </w:r>
      <w:r w:rsidRPr="00ED02DD">
        <w:rPr>
          <w:rStyle w:val="Hyperlink"/>
          <w:rFonts w:asciiTheme="minorHAnsi" w:hAnsiTheme="minorHAnsi"/>
          <w:szCs w:val="22"/>
        </w:rPr>
        <w:t>global warming potentials</w:t>
      </w:r>
      <w:r w:rsidR="00A123E5">
        <w:rPr>
          <w:rStyle w:val="Hyperlink"/>
          <w:rFonts w:asciiTheme="minorHAnsi" w:hAnsiTheme="minorHAnsi"/>
          <w:szCs w:val="22"/>
        </w:rPr>
        <w:fldChar w:fldCharType="end"/>
      </w:r>
      <w:bookmarkEnd w:id="6"/>
      <w:r w:rsidR="009F62EF">
        <w:rPr>
          <w:rStyle w:val="FootnoteReference"/>
          <w:color w:val="006C93" w:themeColor="accent3"/>
          <w:szCs w:val="22"/>
          <w:u w:val="single"/>
        </w:rPr>
        <w:footnoteReference w:id="15"/>
      </w:r>
      <w:r w:rsidRPr="00ED02DD">
        <w:rPr>
          <w:szCs w:val="22"/>
        </w:rPr>
        <w:t xml:space="preserve"> have changed, your independently assured base period measurements should use the most up-to-date values.</w:t>
      </w:r>
    </w:p>
    <w:p w14:paraId="4A41F96A" w14:textId="77777777" w:rsidR="00D85364" w:rsidRPr="00ED02DD" w:rsidRDefault="00D85364" w:rsidP="007F3E57">
      <w:pPr>
        <w:pStyle w:val="Heading4"/>
        <w:numPr>
          <w:ilvl w:val="0"/>
          <w:numId w:val="21"/>
        </w:numPr>
      </w:pPr>
      <w:r w:rsidRPr="00ED02DD">
        <w:t>What level of assurance should I be seeking for my climate-related reporting? What standards should be used?</w:t>
      </w:r>
    </w:p>
    <w:p w14:paraId="600A395D" w14:textId="16EB1120" w:rsidR="00D85364" w:rsidRPr="00ED02DD" w:rsidRDefault="00D85364" w:rsidP="00D85364">
      <w:pPr>
        <w:rPr>
          <w:szCs w:val="22"/>
        </w:rPr>
      </w:pPr>
      <w:r w:rsidRPr="00ED02DD">
        <w:rPr>
          <w:szCs w:val="22"/>
        </w:rPr>
        <w:t>Assurance over climate-related reporting is a critical part of the reporting ecosystem that provides credibility and trust over the information reported. We recommend companies seek reasonable assurance of their scope 1</w:t>
      </w:r>
      <w:r>
        <w:rPr>
          <w:szCs w:val="22"/>
        </w:rPr>
        <w:t>, 2</w:t>
      </w:r>
      <w:r w:rsidRPr="00ED02DD">
        <w:rPr>
          <w:szCs w:val="22"/>
        </w:rPr>
        <w:t xml:space="preserve"> and </w:t>
      </w:r>
      <w:r>
        <w:rPr>
          <w:szCs w:val="22"/>
        </w:rPr>
        <w:t>3</w:t>
      </w:r>
      <w:r w:rsidRPr="00ED02DD">
        <w:rPr>
          <w:szCs w:val="22"/>
        </w:rPr>
        <w:t xml:space="preserve"> greenhouse gas emissions data, although limited assurance</w:t>
      </w:r>
      <w:r>
        <w:rPr>
          <w:szCs w:val="22"/>
        </w:rPr>
        <w:t xml:space="preserve"> of scope 3 emissions may be appropriate</w:t>
      </w:r>
      <w:r w:rsidR="000A25C1">
        <w:rPr>
          <w:szCs w:val="22"/>
        </w:rPr>
        <w:t xml:space="preserve"> where</w:t>
      </w:r>
      <w:r w:rsidR="000D6D25">
        <w:rPr>
          <w:szCs w:val="22"/>
        </w:rPr>
        <w:t xml:space="preserve"> </w:t>
      </w:r>
      <w:r w:rsidR="00CD0006">
        <w:rPr>
          <w:szCs w:val="22"/>
        </w:rPr>
        <w:t>the</w:t>
      </w:r>
      <w:r w:rsidR="0065282D">
        <w:rPr>
          <w:szCs w:val="22"/>
        </w:rPr>
        <w:t xml:space="preserve"> participant has incomplete or limited </w:t>
      </w:r>
      <w:r w:rsidR="00641005">
        <w:rPr>
          <w:szCs w:val="22"/>
        </w:rPr>
        <w:t>access to the emissions data of their supply chain</w:t>
      </w:r>
      <w:r>
        <w:rPr>
          <w:szCs w:val="22"/>
        </w:rPr>
        <w:t>.</w:t>
      </w:r>
      <w:r w:rsidRPr="00ED02DD">
        <w:rPr>
          <w:szCs w:val="22"/>
        </w:rPr>
        <w:t xml:space="preserve"> The level of assurance received is presented in your CERT report.</w:t>
      </w:r>
    </w:p>
    <w:p w14:paraId="0347872C" w14:textId="77777777" w:rsidR="00D85364" w:rsidRPr="00ED02DD" w:rsidRDefault="00D85364" w:rsidP="00D85364">
      <w:pPr>
        <w:rPr>
          <w:szCs w:val="22"/>
        </w:rPr>
      </w:pPr>
      <w:r w:rsidRPr="00EB0C0E">
        <w:rPr>
          <w:szCs w:val="22"/>
        </w:rPr>
        <w:lastRenderedPageBreak/>
        <w:t>The ASAE/ISAE 3410 assurance standard should be used to provide assurance of companies’</w:t>
      </w:r>
      <w:r w:rsidRPr="00ED02DD">
        <w:rPr>
          <w:szCs w:val="22"/>
        </w:rPr>
        <w:t xml:space="preserve"> greenhouse gas and</w:t>
      </w:r>
      <w:r>
        <w:rPr>
          <w:szCs w:val="22"/>
        </w:rPr>
        <w:t>/or</w:t>
      </w:r>
      <w:r w:rsidRPr="00ED02DD">
        <w:rPr>
          <w:szCs w:val="22"/>
        </w:rPr>
        <w:t xml:space="preserve"> </w:t>
      </w:r>
      <w:r w:rsidRPr="00EB0C0E">
        <w:rPr>
          <w:szCs w:val="22"/>
        </w:rPr>
        <w:t>energy</w:t>
      </w:r>
      <w:r w:rsidRPr="00ED02DD">
        <w:rPr>
          <w:szCs w:val="22"/>
        </w:rPr>
        <w:t xml:space="preserve"> data, as necessary for the reporting of independently assured </w:t>
      </w:r>
      <w:r w:rsidRPr="00EB0C0E">
        <w:rPr>
          <w:szCs w:val="22"/>
        </w:rPr>
        <w:t>data in the CERT report.</w:t>
      </w:r>
      <w:r w:rsidRPr="00ED02DD">
        <w:rPr>
          <w:szCs w:val="22"/>
        </w:rPr>
        <w:t xml:space="preserve"> For companies seeking assurance of their sustainability- or climate-related reports, the ASAE/ISAE 3000 </w:t>
      </w:r>
      <w:r w:rsidRPr="00EB0C0E">
        <w:rPr>
          <w:szCs w:val="22"/>
        </w:rPr>
        <w:t xml:space="preserve">standard is sufficient. </w:t>
      </w:r>
      <w:r>
        <w:rPr>
          <w:szCs w:val="22"/>
        </w:rPr>
        <w:t>The ISO 14064-3 standard may also be used, although we note this standard is not publicly available</w:t>
      </w:r>
      <w:r w:rsidRPr="00EB0C0E">
        <w:rPr>
          <w:szCs w:val="22"/>
        </w:rPr>
        <w:t>.</w:t>
      </w:r>
      <w:r>
        <w:rPr>
          <w:szCs w:val="22"/>
        </w:rPr>
        <w:t xml:space="preserve"> </w:t>
      </w:r>
    </w:p>
    <w:p w14:paraId="6A19430D" w14:textId="7FFC87AD" w:rsidR="00D85364" w:rsidRPr="00ED02DD" w:rsidRDefault="00D85364" w:rsidP="00D85364">
      <w:pPr>
        <w:rPr>
          <w:szCs w:val="22"/>
        </w:rPr>
      </w:pPr>
      <w:r w:rsidRPr="00ED02DD">
        <w:rPr>
          <w:szCs w:val="22"/>
        </w:rPr>
        <w:t xml:space="preserve">For further information, see the Australian Auditing and Assurance Standards Board’s </w:t>
      </w:r>
      <w:hyperlink r:id="rId21" w:history="1">
        <w:r w:rsidRPr="00ED02DD">
          <w:rPr>
            <w:rStyle w:val="Hyperlink"/>
            <w:rFonts w:asciiTheme="minorHAnsi" w:hAnsiTheme="minorHAnsi"/>
            <w:szCs w:val="22"/>
          </w:rPr>
          <w:t>Sustainability Assurance Update</w:t>
        </w:r>
      </w:hyperlink>
      <w:r w:rsidR="009F62EF">
        <w:rPr>
          <w:rStyle w:val="FootnoteReference"/>
          <w:color w:val="006C93" w:themeColor="accent3"/>
          <w:szCs w:val="22"/>
          <w:u w:val="single"/>
        </w:rPr>
        <w:footnoteReference w:id="16"/>
      </w:r>
      <w:r>
        <w:rPr>
          <w:rStyle w:val="Hyperlink"/>
          <w:rFonts w:asciiTheme="minorHAnsi" w:hAnsiTheme="minorHAnsi"/>
          <w:szCs w:val="22"/>
        </w:rPr>
        <w:t>.</w:t>
      </w:r>
    </w:p>
    <w:p w14:paraId="662E4009" w14:textId="77777777" w:rsidR="00D85364" w:rsidRPr="00ED02DD" w:rsidRDefault="00D85364" w:rsidP="007F3E57">
      <w:pPr>
        <w:pStyle w:val="Heading4"/>
        <w:numPr>
          <w:ilvl w:val="0"/>
          <w:numId w:val="21"/>
        </w:numPr>
      </w:pPr>
      <w:r w:rsidRPr="00ED02DD">
        <w:t>How do I report on my independently assured commitments? What information do I need to provide?</w:t>
      </w:r>
    </w:p>
    <w:p w14:paraId="175B82D9" w14:textId="0DD95730" w:rsidR="00D85364" w:rsidRPr="00ED02DD" w:rsidRDefault="00D85364" w:rsidP="00D85364">
      <w:pPr>
        <w:rPr>
          <w:szCs w:val="22"/>
        </w:rPr>
      </w:pPr>
      <w:r w:rsidRPr="00ED02DD">
        <w:rPr>
          <w:szCs w:val="22"/>
        </w:rPr>
        <w:t>For independently assured commitments, you must provide the progress metric used, measurements of the progress metric for the reporting year and the base period (if applicable) to allow progress calculations, and framing elements to allow the commitments to be presented in a consistent and comparable way. Framing elements</w:t>
      </w:r>
      <w:r>
        <w:rPr>
          <w:szCs w:val="22"/>
        </w:rPr>
        <w:t xml:space="preserve"> may</w:t>
      </w:r>
      <w:r w:rsidRPr="00ED02DD">
        <w:rPr>
          <w:szCs w:val="22"/>
        </w:rPr>
        <w:t xml:space="preserve"> </w:t>
      </w:r>
      <w:r w:rsidRPr="00436361">
        <w:rPr>
          <w:szCs w:val="22"/>
        </w:rPr>
        <w:t>include the commitment goal, commitment year, base period (for emissions reduction commitments), reporting boundary and reporting period. See</w:t>
      </w:r>
      <w:r w:rsidR="00525C9C">
        <w:rPr>
          <w:szCs w:val="22"/>
        </w:rPr>
        <w:t xml:space="preserve"> section 9</w:t>
      </w:r>
      <w:r w:rsidR="00CC0F08">
        <w:rPr>
          <w:szCs w:val="22"/>
        </w:rPr>
        <w:t>.3</w:t>
      </w:r>
      <w:r w:rsidRPr="00436361">
        <w:rPr>
          <w:szCs w:val="22"/>
        </w:rPr>
        <w:t xml:space="preserve"> </w:t>
      </w:r>
      <w:r>
        <w:rPr>
          <w:szCs w:val="22"/>
        </w:rPr>
        <w:t xml:space="preserve">the </w:t>
      </w:r>
      <w:hyperlink r:id="rId22" w:history="1">
        <w:r w:rsidRPr="00C34F84">
          <w:rPr>
            <w:rStyle w:val="Hyperlink"/>
            <w:rFonts w:asciiTheme="minorHAnsi" w:hAnsiTheme="minorHAnsi"/>
            <w:szCs w:val="22"/>
          </w:rPr>
          <w:t>CERT report guidelines</w:t>
        </w:r>
      </w:hyperlink>
      <w:r w:rsidR="00574659">
        <w:rPr>
          <w:rStyle w:val="FootnoteReference"/>
          <w:color w:val="006C93" w:themeColor="accent3"/>
          <w:szCs w:val="22"/>
          <w:u w:val="single"/>
        </w:rPr>
        <w:footnoteReference w:id="17"/>
      </w:r>
      <w:r>
        <w:rPr>
          <w:szCs w:val="22"/>
        </w:rPr>
        <w:t xml:space="preserve"> </w:t>
      </w:r>
      <w:r w:rsidRPr="00436361">
        <w:rPr>
          <w:szCs w:val="22"/>
        </w:rPr>
        <w:t>for more information.</w:t>
      </w:r>
    </w:p>
    <w:p w14:paraId="2CB76FB0" w14:textId="77777777" w:rsidR="00D85364" w:rsidRPr="00ED02DD" w:rsidRDefault="00D85364" w:rsidP="007F3E57">
      <w:pPr>
        <w:pStyle w:val="Heading4"/>
        <w:numPr>
          <w:ilvl w:val="0"/>
          <w:numId w:val="21"/>
        </w:numPr>
      </w:pPr>
      <w:r w:rsidRPr="00ED02DD">
        <w:t>Do I need to seek independent assurance of my base period emissions? What should I do if I have undergone a significant merger, acquisition or divestment since my base period?</w:t>
      </w:r>
    </w:p>
    <w:p w14:paraId="144476E7" w14:textId="77777777" w:rsidR="00D85364" w:rsidRPr="00ED02DD" w:rsidRDefault="00D85364" w:rsidP="00D85364">
      <w:pPr>
        <w:rPr>
          <w:szCs w:val="22"/>
        </w:rPr>
      </w:pPr>
      <w:r w:rsidRPr="00ED02DD">
        <w:rPr>
          <w:szCs w:val="22"/>
        </w:rPr>
        <w:t>For independently assured commitments, if progress is calculated from a base period, the base period measurement must also be independently assured. If this assurance cannot be obtained (e.g.</w:t>
      </w:r>
      <w:r>
        <w:rPr>
          <w:szCs w:val="22"/>
        </w:rPr>
        <w:t>,</w:t>
      </w:r>
      <w:r w:rsidRPr="00ED02DD">
        <w:rPr>
          <w:szCs w:val="22"/>
        </w:rPr>
        <w:t xml:space="preserve"> in the case of mergers or acquisitions where historic data </w:t>
      </w:r>
      <w:r>
        <w:rPr>
          <w:szCs w:val="22"/>
        </w:rPr>
        <w:t>is not available and/or has not been assured</w:t>
      </w:r>
      <w:r w:rsidRPr="00ED02DD">
        <w:rPr>
          <w:szCs w:val="22"/>
        </w:rPr>
        <w:t>), commitment progress cannot be presented as independently assured.</w:t>
      </w:r>
    </w:p>
    <w:p w14:paraId="1C7BFE9B" w14:textId="77777777" w:rsidR="00F5231A" w:rsidRPr="00ED02DD" w:rsidRDefault="00F5231A" w:rsidP="00F5231A">
      <w:pPr>
        <w:spacing w:after="0"/>
        <w:rPr>
          <w:szCs w:val="22"/>
        </w:rPr>
      </w:pPr>
      <w:r w:rsidRPr="00ED02DD">
        <w:rPr>
          <w:szCs w:val="22"/>
        </w:rPr>
        <w:br w:type="page"/>
      </w:r>
    </w:p>
    <w:p w14:paraId="7BFCDA94" w14:textId="0C778A3C" w:rsidR="005C4874" w:rsidRDefault="005C4874" w:rsidP="005C4874">
      <w:pPr>
        <w:pStyle w:val="Heading2"/>
      </w:pPr>
      <w:bookmarkStart w:id="7" w:name="_Toc121236619"/>
      <w:r>
        <w:lastRenderedPageBreak/>
        <w:t>Revising a Base Period</w:t>
      </w:r>
      <w:r w:rsidR="00506889">
        <w:t xml:space="preserve"> - </w:t>
      </w:r>
      <w:r w:rsidR="00506889">
        <w:rPr>
          <w:i/>
          <w:iCs/>
        </w:rPr>
        <w:t>Section 7 of the CERT Guidelines</w:t>
      </w:r>
      <w:bookmarkEnd w:id="7"/>
    </w:p>
    <w:p w14:paraId="2E5A606C" w14:textId="77777777" w:rsidR="005C4874" w:rsidRPr="005C4874" w:rsidRDefault="005C4874" w:rsidP="007F3E57">
      <w:pPr>
        <w:pStyle w:val="Heading4"/>
        <w:numPr>
          <w:ilvl w:val="0"/>
          <w:numId w:val="22"/>
        </w:numPr>
        <w:rPr>
          <w:shd w:val="clear" w:color="auto" w:fill="FFFFFF"/>
        </w:rPr>
      </w:pPr>
      <w:r w:rsidRPr="005C4874">
        <w:rPr>
          <w:shd w:val="clear" w:color="auto" w:fill="FFFFFF"/>
        </w:rPr>
        <w:t>What is a base period?</w:t>
      </w:r>
    </w:p>
    <w:p w14:paraId="5C31D4FE" w14:textId="77777777" w:rsidR="005C4874" w:rsidRDefault="005C4874" w:rsidP="005C4874">
      <w:r>
        <w:t xml:space="preserve">For the 2023 CERT report, we have replaced the term ‘baseline year/s’ with ‘base period’ to align with international standards, including the International Sustainability Standards Board (ISSB). </w:t>
      </w:r>
      <w:r w:rsidRPr="00C9256A">
        <w:t>The base period for a commitment is the nominated year or years from which progress towards a commitment is measured.</w:t>
      </w:r>
    </w:p>
    <w:p w14:paraId="7EC4F23B" w14:textId="5EE2DCBA" w:rsidR="005C4874" w:rsidRPr="005C4874" w:rsidRDefault="005C4874" w:rsidP="007F3E57">
      <w:pPr>
        <w:pStyle w:val="Heading4"/>
        <w:numPr>
          <w:ilvl w:val="0"/>
          <w:numId w:val="22"/>
        </w:numPr>
        <w:rPr>
          <w:shd w:val="clear" w:color="auto" w:fill="FFFFFF"/>
        </w:rPr>
      </w:pPr>
      <w:r w:rsidRPr="005C4874">
        <w:rPr>
          <w:shd w:val="clear" w:color="auto" w:fill="FFFFFF"/>
        </w:rPr>
        <w:t xml:space="preserve">In what circumstances do I need to </w:t>
      </w:r>
      <w:r w:rsidR="00E835AD">
        <w:rPr>
          <w:shd w:val="clear" w:color="auto" w:fill="FFFFFF"/>
        </w:rPr>
        <w:t>revise</w:t>
      </w:r>
      <w:r w:rsidRPr="005C4874">
        <w:rPr>
          <w:shd w:val="clear" w:color="auto" w:fill="FFFFFF"/>
        </w:rPr>
        <w:t xml:space="preserve"> a base period?</w:t>
      </w:r>
    </w:p>
    <w:p w14:paraId="648DB918" w14:textId="3EF75C04" w:rsidR="005C4874" w:rsidRDefault="005C4874" w:rsidP="005C4874">
      <w:r w:rsidRPr="009D706E">
        <w:t xml:space="preserve">In accordance with the </w:t>
      </w:r>
      <w:hyperlink r:id="rId23" w:history="1">
        <w:r w:rsidRPr="00535C5F">
          <w:rPr>
            <w:rStyle w:val="Hyperlink"/>
            <w:i/>
            <w:iCs/>
          </w:rPr>
          <w:t>Greenhouse Gas Protocol Corporate Standard</w:t>
        </w:r>
      </w:hyperlink>
      <w:r w:rsidR="000230A4">
        <w:rPr>
          <w:rStyle w:val="FootnoteReference"/>
          <w:rFonts w:ascii="Calibri" w:hAnsi="Calibri"/>
          <w:i/>
          <w:iCs/>
          <w:color w:val="006C93" w:themeColor="accent3"/>
          <w:u w:val="single"/>
        </w:rPr>
        <w:footnoteReference w:id="18"/>
      </w:r>
      <w:r w:rsidRPr="00574659">
        <w:rPr>
          <w:rStyle w:val="Hyperlink"/>
          <w:i/>
          <w:iCs/>
          <w:color w:val="auto"/>
          <w:u w:val="none"/>
        </w:rPr>
        <w:t xml:space="preserve"> </w:t>
      </w:r>
      <w:r w:rsidRPr="00574659">
        <w:rPr>
          <w:rStyle w:val="Hyperlink"/>
          <w:color w:val="auto"/>
          <w:u w:val="none"/>
        </w:rPr>
        <w:t>(the GHG Protocol)</w:t>
      </w:r>
      <w:r w:rsidRPr="00574659">
        <w:rPr>
          <w:color w:val="auto"/>
        </w:rPr>
        <w:t xml:space="preserve">, </w:t>
      </w:r>
      <w:r>
        <w:t>your</w:t>
      </w:r>
      <w:r w:rsidRPr="009D706E">
        <w:rPr>
          <w:rStyle w:val="normaltextrun"/>
          <w:rFonts w:ascii="Calibri" w:eastAsiaTheme="majorEastAsia" w:hAnsi="Calibri" w:cs="Calibri"/>
          <w:szCs w:val="22"/>
        </w:rPr>
        <w:t xml:space="preserve"> </w:t>
      </w:r>
      <w:r w:rsidRPr="00696E1F">
        <w:rPr>
          <w:color w:val="auto"/>
        </w:rPr>
        <w:t xml:space="preserve">base period measurement for a commitment should be revised following significant changes to </w:t>
      </w:r>
      <w:r>
        <w:rPr>
          <w:color w:val="auto"/>
        </w:rPr>
        <w:t>your</w:t>
      </w:r>
      <w:r w:rsidRPr="00696E1F">
        <w:rPr>
          <w:color w:val="auto"/>
        </w:rPr>
        <w:t xml:space="preserve"> corporate structure or emissions accounting. This is to allow meaningful comparison of emissions over time.</w:t>
      </w:r>
      <w:r>
        <w:rPr>
          <w:color w:val="auto"/>
        </w:rPr>
        <w:t xml:space="preserve"> </w:t>
      </w:r>
      <w:r>
        <w:t>Examples of a significant change requiring a revised base period measurement may include:</w:t>
      </w:r>
    </w:p>
    <w:p w14:paraId="2C02AAB5" w14:textId="77777777" w:rsidR="005C4874" w:rsidRDefault="005C4874" w:rsidP="00E33D13">
      <w:pPr>
        <w:pStyle w:val="ListParagraph"/>
        <w:numPr>
          <w:ilvl w:val="0"/>
          <w:numId w:val="1"/>
        </w:numPr>
        <w:ind w:left="720"/>
      </w:pPr>
      <w:r w:rsidRPr="00B82B79">
        <w:t>a change in the organisational or operational boundaries of a company that result in the transfer of ownership or control of emissions from one company to another (e.g. acquisition, divestiture, mergers, outsourcing or insourcing of emitting activities</w:t>
      </w:r>
      <w:r>
        <w:t>)</w:t>
      </w:r>
    </w:p>
    <w:p w14:paraId="7D5BA530" w14:textId="77777777" w:rsidR="005C4874" w:rsidRPr="00B82B79" w:rsidRDefault="005C4874" w:rsidP="00E33D13">
      <w:pPr>
        <w:pStyle w:val="ListParagraph"/>
        <w:numPr>
          <w:ilvl w:val="0"/>
          <w:numId w:val="1"/>
        </w:numPr>
        <w:ind w:left="720"/>
      </w:pPr>
      <w:r>
        <w:t>A c</w:t>
      </w:r>
      <w:r w:rsidRPr="00B82B79">
        <w:t>hange in calculation methodology or improvements in the accuracy of emission factors or activity data</w:t>
      </w:r>
    </w:p>
    <w:p w14:paraId="3FDD0E8F" w14:textId="77777777" w:rsidR="005C4874" w:rsidRPr="00B82B79" w:rsidRDefault="005C4874" w:rsidP="00E33D13">
      <w:pPr>
        <w:pStyle w:val="ListParagraph"/>
        <w:numPr>
          <w:ilvl w:val="0"/>
          <w:numId w:val="1"/>
        </w:numPr>
        <w:ind w:left="720"/>
      </w:pPr>
      <w:r w:rsidRPr="00B82B79">
        <w:t xml:space="preserve">The discovery of significant errors </w:t>
      </w:r>
      <w:r>
        <w:t>in a previous base period measurement</w:t>
      </w:r>
    </w:p>
    <w:p w14:paraId="1E8461FD" w14:textId="77777777" w:rsidR="005C4874" w:rsidRDefault="005C4874" w:rsidP="005C4874">
      <w:r>
        <w:t>Such c</w:t>
      </w:r>
      <w:r w:rsidRPr="00E1774A">
        <w:t xml:space="preserve">hanges </w:t>
      </w:r>
      <w:r>
        <w:t xml:space="preserve">should be </w:t>
      </w:r>
      <w:r w:rsidRPr="00E1774A">
        <w:t xml:space="preserve">considered significant if, when aggregated, they would alter </w:t>
      </w:r>
      <w:r>
        <w:t>your</w:t>
      </w:r>
      <w:r w:rsidRPr="00E1774A">
        <w:t xml:space="preserve"> base period </w:t>
      </w:r>
      <w:r>
        <w:t>measurement</w:t>
      </w:r>
      <w:r w:rsidRPr="00E1774A">
        <w:t xml:space="preserve"> by more than 5 per cent.</w:t>
      </w:r>
    </w:p>
    <w:p w14:paraId="57AFD8D0" w14:textId="53780C71" w:rsidR="005C4874" w:rsidRPr="005C4874" w:rsidRDefault="005C4874" w:rsidP="007F3E57">
      <w:pPr>
        <w:pStyle w:val="Heading4"/>
        <w:numPr>
          <w:ilvl w:val="0"/>
          <w:numId w:val="22"/>
        </w:numPr>
        <w:rPr>
          <w:shd w:val="clear" w:color="auto" w:fill="FFFFFF"/>
        </w:rPr>
      </w:pPr>
      <w:r w:rsidRPr="005C4874">
        <w:rPr>
          <w:shd w:val="clear" w:color="auto" w:fill="FFFFFF"/>
        </w:rPr>
        <w:t xml:space="preserve">Why has </w:t>
      </w:r>
      <w:r w:rsidR="009C712B">
        <w:rPr>
          <w:shd w:val="clear" w:color="auto" w:fill="FFFFFF"/>
        </w:rPr>
        <w:t>CER</w:t>
      </w:r>
      <w:r w:rsidRPr="005C4874">
        <w:rPr>
          <w:shd w:val="clear" w:color="auto" w:fill="FFFFFF"/>
        </w:rPr>
        <w:t xml:space="preserve"> stipulated that companies should revise their base period emissions?</w:t>
      </w:r>
    </w:p>
    <w:p w14:paraId="101D7C5B" w14:textId="77777777" w:rsidR="005C4874" w:rsidRDefault="005C4874" w:rsidP="005C4874">
      <w:r>
        <w:t>As climate-related disclosure standards develop internationally, we recognise a need for consistency and comparability to ensure corporate disclosures provide a meaningful basis for assessing performance in relation to climate-related commitments. The ISSB has put forward an exposure draft on the new global standard for climate-rated disclosures and cites the GHG Protocol as the standard accounting methodology to be used. As such, the CERT report aims to align with best practice set out in the GHG Protocol.</w:t>
      </w:r>
    </w:p>
    <w:p w14:paraId="56386BE6" w14:textId="6167EAF5" w:rsidR="005C4874" w:rsidRPr="005C4874" w:rsidRDefault="005C4874" w:rsidP="007F3E57">
      <w:pPr>
        <w:pStyle w:val="Heading4"/>
        <w:numPr>
          <w:ilvl w:val="0"/>
          <w:numId w:val="22"/>
        </w:numPr>
        <w:rPr>
          <w:shd w:val="clear" w:color="auto" w:fill="FFFFFF"/>
        </w:rPr>
      </w:pPr>
      <w:r w:rsidRPr="005C4874">
        <w:rPr>
          <w:shd w:val="clear" w:color="auto" w:fill="FFFFFF"/>
        </w:rPr>
        <w:t xml:space="preserve">I have a CER data verified commitment(s). What information do I need to supply to </w:t>
      </w:r>
      <w:r w:rsidR="006E1278">
        <w:rPr>
          <w:shd w:val="clear" w:color="auto" w:fill="FFFFFF"/>
        </w:rPr>
        <w:t xml:space="preserve">CER </w:t>
      </w:r>
      <w:r w:rsidR="006E1278" w:rsidRPr="005C4874">
        <w:rPr>
          <w:shd w:val="clear" w:color="auto" w:fill="FFFFFF"/>
        </w:rPr>
        <w:t>to</w:t>
      </w:r>
      <w:r w:rsidRPr="005C4874">
        <w:rPr>
          <w:shd w:val="clear" w:color="auto" w:fill="FFFFFF"/>
        </w:rPr>
        <w:t xml:space="preserve"> adjust my NGER data in my base period? How does this work?</w:t>
      </w:r>
    </w:p>
    <w:p w14:paraId="4D904346" w14:textId="28FC0190" w:rsidR="005C4874" w:rsidRDefault="005C4874" w:rsidP="005C4874">
      <w:r>
        <w:t>For an adjusted base period, you must provide the revised</w:t>
      </w:r>
      <w:r w:rsidR="00D75B33">
        <w:t xml:space="preserve"> base period</w:t>
      </w:r>
      <w:r>
        <w:t xml:space="preserve"> measurement based on the addition, revision, or removal of facility data reported under the NGER scheme. You must also provide a description of the NGER facilities in question and how this has impacted the </w:t>
      </w:r>
      <w:r w:rsidR="00CB09B4">
        <w:t>base period emissions</w:t>
      </w:r>
      <w:r w:rsidR="00DF65B8">
        <w:t xml:space="preserve"> if </w:t>
      </w:r>
      <w:r w:rsidR="00CB09B4">
        <w:t>this has not already been provided to the agency as part of your NGER reporting</w:t>
      </w:r>
      <w:r>
        <w:t xml:space="preserve">. We then validate </w:t>
      </w:r>
      <w:r w:rsidR="00CB09B4">
        <w:t xml:space="preserve">the updated base period </w:t>
      </w:r>
      <w:r>
        <w:t>against historic NGER data when assessing your CERT report.</w:t>
      </w:r>
    </w:p>
    <w:p w14:paraId="3271C3C6" w14:textId="77777777" w:rsidR="005C4874" w:rsidRPr="005C4874" w:rsidRDefault="005C4874" w:rsidP="007F3E57">
      <w:pPr>
        <w:pStyle w:val="Heading4"/>
        <w:numPr>
          <w:ilvl w:val="0"/>
          <w:numId w:val="22"/>
        </w:numPr>
        <w:rPr>
          <w:shd w:val="clear" w:color="auto" w:fill="FFFFFF"/>
        </w:rPr>
      </w:pPr>
      <w:r w:rsidRPr="005C4874">
        <w:rPr>
          <w:shd w:val="clear" w:color="auto" w:fill="FFFFFF"/>
        </w:rPr>
        <w:t>I have an independently assured commitment(s). Do I need to re-assure my base period emissions every year if they haven’t changed?</w:t>
      </w:r>
    </w:p>
    <w:p w14:paraId="5170599F" w14:textId="49602F9C" w:rsidR="005C4874" w:rsidRDefault="005C4874" w:rsidP="005C4874">
      <w:r>
        <w:t>Assurance for a base period measurement can be sought at any time, so long as it assures the base period measurement reported for the commitment. If a base period measurement remains unchanged from a previous CERT reporting period, there is no need to conduct another assurance engagement,</w:t>
      </w:r>
      <w:r w:rsidR="00D1636D">
        <w:t xml:space="preserve"> as the previously provided </w:t>
      </w:r>
      <w:r>
        <w:t xml:space="preserve">assurance report </w:t>
      </w:r>
      <w:r w:rsidR="00C42EBE">
        <w:t>contains the assurance of the relevant information</w:t>
      </w:r>
      <w:r>
        <w:t>.</w:t>
      </w:r>
    </w:p>
    <w:p w14:paraId="5E2B08AB" w14:textId="77777777" w:rsidR="005C4874" w:rsidRPr="005C4874" w:rsidRDefault="005C4874" w:rsidP="007F3E57">
      <w:pPr>
        <w:pStyle w:val="Heading4"/>
        <w:numPr>
          <w:ilvl w:val="0"/>
          <w:numId w:val="22"/>
        </w:numPr>
        <w:rPr>
          <w:shd w:val="clear" w:color="auto" w:fill="FFFFFF"/>
        </w:rPr>
      </w:pPr>
      <w:r w:rsidRPr="005C4874">
        <w:rPr>
          <w:shd w:val="clear" w:color="auto" w:fill="FFFFFF"/>
        </w:rPr>
        <w:lastRenderedPageBreak/>
        <w:t>I have an independently assured commitment(s) and have undergone a significant merger, acquisition or divestment. How should my base period emissions be re-calculated?</w:t>
      </w:r>
    </w:p>
    <w:p w14:paraId="33F87525" w14:textId="25940C77" w:rsidR="005C4874" w:rsidRDefault="005C4874" w:rsidP="005C4874">
      <w:r>
        <w:t xml:space="preserve">Your base period measurement should be revised </w:t>
      </w:r>
      <w:r w:rsidR="0005097A">
        <w:t xml:space="preserve">such that </w:t>
      </w:r>
      <w:r w:rsidR="006C636C">
        <w:t xml:space="preserve">it reflects the same </w:t>
      </w:r>
      <w:r>
        <w:t xml:space="preserve">corporate structure </w:t>
      </w:r>
      <w:r w:rsidR="006C636C">
        <w:t xml:space="preserve">for your company </w:t>
      </w:r>
      <w:r>
        <w:t xml:space="preserve">as </w:t>
      </w:r>
      <w:r w:rsidR="006C636C">
        <w:t xml:space="preserve">the </w:t>
      </w:r>
      <w:r>
        <w:t xml:space="preserve">current reporting year. This allows for meaningful and comparable representation of progress across years. </w:t>
      </w:r>
    </w:p>
    <w:p w14:paraId="5DB2CAEE" w14:textId="0FE5EC0F" w:rsidR="005C4874" w:rsidRDefault="005C4874" w:rsidP="005C4874">
      <w:r>
        <w:t>For example, if you have acquired a large industrial facility in the reporting year that represents a significant increase in your progress metric, you should revise your base period measurement to include the historic emissions/relevant measurement of the new facility for the base period.</w:t>
      </w:r>
    </w:p>
    <w:p w14:paraId="4A22769C" w14:textId="570C2657" w:rsidR="00F710D9" w:rsidRDefault="005C4874" w:rsidP="005C4874">
      <w:r>
        <w:t xml:space="preserve">Note that where </w:t>
      </w:r>
      <w:hyperlink r:id="rId24">
        <w:r w:rsidR="66AD3C2B" w:rsidRPr="2FA9FDE5">
          <w:rPr>
            <w:rStyle w:val="Hyperlink"/>
            <w:rFonts w:asciiTheme="minorHAnsi" w:hAnsiTheme="minorHAnsi"/>
          </w:rPr>
          <w:t>global warming potentials</w:t>
        </w:r>
      </w:hyperlink>
      <w:r w:rsidR="000230A4">
        <w:rPr>
          <w:rStyle w:val="FootnoteReference"/>
          <w:color w:val="006C93" w:themeColor="accent3"/>
          <w:u w:val="single"/>
        </w:rPr>
        <w:footnoteReference w:id="19"/>
      </w:r>
      <w:r>
        <w:t xml:space="preserve"> have changed, your independently assured base period measurements should be using the most up-to-date values.</w:t>
      </w:r>
    </w:p>
    <w:p w14:paraId="12F9CDC3" w14:textId="44676E0E" w:rsidR="00AD1536" w:rsidRDefault="00AD1536" w:rsidP="005C4874">
      <w:r>
        <w:t xml:space="preserve">See </w:t>
      </w:r>
      <w:hyperlink w:anchor="_Revising_a_Base" w:history="1">
        <w:r w:rsidR="006C636C" w:rsidRPr="006C636C">
          <w:rPr>
            <w:rStyle w:val="Hyperlink"/>
            <w:rFonts w:asciiTheme="minorHAnsi" w:hAnsiTheme="minorHAnsi"/>
            <w:b/>
            <w:bCs/>
          </w:rPr>
          <w:t>Supporting</w:t>
        </w:r>
        <w:r w:rsidR="006C636C" w:rsidRPr="006C636C">
          <w:rPr>
            <w:rStyle w:val="Hyperlink"/>
            <w:rFonts w:asciiTheme="minorHAnsi" w:hAnsiTheme="minorHAnsi"/>
          </w:rPr>
          <w:t xml:space="preserve"> </w:t>
        </w:r>
        <w:r w:rsidR="006C636C" w:rsidRPr="006C636C">
          <w:rPr>
            <w:rStyle w:val="Hyperlink"/>
            <w:rFonts w:asciiTheme="minorHAnsi" w:hAnsiTheme="minorHAnsi"/>
            <w:b/>
            <w:bCs/>
          </w:rPr>
          <w:t>E</w:t>
        </w:r>
        <w:r w:rsidRPr="006C636C">
          <w:rPr>
            <w:rStyle w:val="Hyperlink"/>
            <w:rFonts w:asciiTheme="minorHAnsi" w:hAnsiTheme="minorHAnsi"/>
            <w:b/>
            <w:bCs/>
          </w:rPr>
          <w:t xml:space="preserve">xamples </w:t>
        </w:r>
        <w:r w:rsidR="00C27716" w:rsidRPr="006C636C">
          <w:rPr>
            <w:rStyle w:val="Hyperlink"/>
            <w:rFonts w:asciiTheme="minorHAnsi" w:hAnsiTheme="minorHAnsi"/>
            <w:b/>
            <w:bCs/>
          </w:rPr>
          <w:t>18</w:t>
        </w:r>
        <w:r w:rsidR="006C636C" w:rsidRPr="006C636C">
          <w:rPr>
            <w:rStyle w:val="Hyperlink"/>
            <w:rFonts w:asciiTheme="minorHAnsi" w:hAnsiTheme="minorHAnsi"/>
            <w:b/>
            <w:bCs/>
          </w:rPr>
          <w:t xml:space="preserve"> to </w:t>
        </w:r>
        <w:r w:rsidR="00C27716" w:rsidRPr="006C636C">
          <w:rPr>
            <w:rStyle w:val="Hyperlink"/>
            <w:rFonts w:asciiTheme="minorHAnsi" w:hAnsiTheme="minorHAnsi"/>
            <w:b/>
            <w:bCs/>
          </w:rPr>
          <w:t>20</w:t>
        </w:r>
      </w:hyperlink>
      <w:r w:rsidR="007F6F9C">
        <w:t xml:space="preserve"> for </w:t>
      </w:r>
      <w:r w:rsidR="00B13E1A">
        <w:t>guidance on how to recalculate you</w:t>
      </w:r>
      <w:r w:rsidR="00896793">
        <w:t>r</w:t>
      </w:r>
      <w:r w:rsidR="00B13E1A">
        <w:t xml:space="preserve"> base period emissions.</w:t>
      </w:r>
    </w:p>
    <w:p w14:paraId="6C22388F" w14:textId="77777777" w:rsidR="001B10EB" w:rsidRDefault="001B10EB">
      <w:pPr>
        <w:spacing w:after="0"/>
        <w:rPr>
          <w:rFonts w:asciiTheme="majorHAnsi" w:eastAsia="Times New Roman" w:hAnsiTheme="majorHAnsi"/>
          <w:b/>
          <w:bCs/>
          <w:sz w:val="32"/>
          <w:szCs w:val="32"/>
        </w:rPr>
      </w:pPr>
      <w:r>
        <w:br w:type="page"/>
      </w:r>
    </w:p>
    <w:p w14:paraId="470AD513" w14:textId="01B601BA" w:rsidR="00A7498C" w:rsidRDefault="00A7498C" w:rsidP="00A7498C">
      <w:pPr>
        <w:pStyle w:val="Heading2"/>
      </w:pPr>
      <w:bookmarkStart w:id="8" w:name="_Toc121236620"/>
      <w:r>
        <w:lastRenderedPageBreak/>
        <w:t>Renewable Electricity Use</w:t>
      </w:r>
      <w:r w:rsidR="00506889">
        <w:t xml:space="preserve"> -</w:t>
      </w:r>
      <w:r w:rsidR="00506889" w:rsidRPr="00506889">
        <w:rPr>
          <w:i/>
          <w:iCs/>
        </w:rPr>
        <w:t xml:space="preserve"> </w:t>
      </w:r>
      <w:r w:rsidR="00506889">
        <w:rPr>
          <w:i/>
          <w:iCs/>
        </w:rPr>
        <w:t>Section 5 and 6 of the CERT Guidelines</w:t>
      </w:r>
      <w:bookmarkEnd w:id="8"/>
    </w:p>
    <w:p w14:paraId="059D13F9" w14:textId="027CA963" w:rsidR="00A7498C" w:rsidRPr="002E3B03" w:rsidRDefault="00A7498C" w:rsidP="007F3E57">
      <w:pPr>
        <w:pStyle w:val="Heading4"/>
        <w:numPr>
          <w:ilvl w:val="0"/>
          <w:numId w:val="23"/>
        </w:numPr>
      </w:pPr>
      <w:r w:rsidRPr="002E3B03">
        <w:t>How do I claim my share of the national renewable energy target?</w:t>
      </w:r>
    </w:p>
    <w:p w14:paraId="7613E84F" w14:textId="3358CB5A" w:rsidR="00A7498C" w:rsidRDefault="00A7498C" w:rsidP="00A7498C">
      <w:r>
        <w:t xml:space="preserve">Under market-based scope 2 emissions accounting, we automatically treat a percentage of all imported electricity reported under the National Greenhouse and Energy Reporting (NGER) scheme as renewable. This percentage is the </w:t>
      </w:r>
      <w:hyperlink r:id="rId25" w:history="1">
        <w:r w:rsidRPr="00CF11F7">
          <w:rPr>
            <w:rStyle w:val="Hyperlink"/>
            <w:rFonts w:asciiTheme="minorHAnsi" w:hAnsiTheme="minorHAnsi"/>
          </w:rPr>
          <w:t>renewable power percentage</w:t>
        </w:r>
      </w:hyperlink>
      <w:r w:rsidR="000230A4">
        <w:rPr>
          <w:rStyle w:val="FootnoteReference"/>
          <w:color w:val="006C93" w:themeColor="accent3"/>
          <w:u w:val="single"/>
        </w:rPr>
        <w:footnoteReference w:id="20"/>
      </w:r>
      <w:r>
        <w:t xml:space="preserve"> (RPP), and represents the percentage of electricity acquisitions that liable entities under the Renewable Energy Target must surrender LGCs for. </w:t>
      </w:r>
      <w:r w:rsidRPr="002A2595">
        <w:t>The RPP is 0.1859 (18.59%) for FY2021-22 and 0.1864 (18.64%) for CY2022</w:t>
      </w:r>
      <w:r>
        <w:t>.</w:t>
      </w:r>
    </w:p>
    <w:p w14:paraId="74C40905" w14:textId="77777777" w:rsidR="00A7498C" w:rsidRPr="002E3B03" w:rsidRDefault="00A7498C" w:rsidP="007F3E57">
      <w:pPr>
        <w:pStyle w:val="Heading4"/>
        <w:numPr>
          <w:ilvl w:val="0"/>
          <w:numId w:val="23"/>
        </w:numPr>
      </w:pPr>
      <w:r w:rsidRPr="002E3B03">
        <w:t>How do I claim my share of state government renewable energy schemes?</w:t>
      </w:r>
    </w:p>
    <w:p w14:paraId="1F9AFB6E" w14:textId="14AE208F" w:rsidR="00A7498C" w:rsidRDefault="00A7498C" w:rsidP="00A7498C">
      <w:r>
        <w:t xml:space="preserve">Under market-based scope 2 emissions accounting, in addition to the RPP, we automatically treat a percentage of all imported electricity reported under NGER for activities within the Australian Capital Territory (ACT) as renewable. This is the jurisdictional renewable power percentage (JRPP) and represents the LGCs that the ACT Government surrenders on behalf of constituents as a proportion of total ACT electricity consumption. Currently, the ACT is the only jurisdiction that surrenders LGCs to meet its renewable energy target.  The JRPP is </w:t>
      </w:r>
      <w:r w:rsidR="00D1097C" w:rsidRPr="00D1097C">
        <w:t>7</w:t>
      </w:r>
      <w:r w:rsidR="00127C06">
        <w:t>4</w:t>
      </w:r>
      <w:r w:rsidR="00D1097C" w:rsidRPr="00D1097C">
        <w:t>.13%</w:t>
      </w:r>
      <w:r>
        <w:rPr>
          <w:b/>
          <w:bCs/>
        </w:rPr>
        <w:t xml:space="preserve"> </w:t>
      </w:r>
      <w:r w:rsidRPr="00067014">
        <w:t>f</w:t>
      </w:r>
      <w:r>
        <w:t xml:space="preserve">or both FY2021-2022 and CY2022. </w:t>
      </w:r>
    </w:p>
    <w:p w14:paraId="17AC731F" w14:textId="77777777" w:rsidR="00A7498C" w:rsidRPr="002E3B03" w:rsidRDefault="00A7498C" w:rsidP="007F3E57">
      <w:pPr>
        <w:pStyle w:val="Heading4"/>
        <w:numPr>
          <w:ilvl w:val="0"/>
          <w:numId w:val="23"/>
        </w:numPr>
      </w:pPr>
      <w:r w:rsidRPr="002E3B03">
        <w:t>How is the residual mix factor applied for the 2023 CERT report?</w:t>
      </w:r>
    </w:p>
    <w:p w14:paraId="4DC91CAA" w14:textId="47C51FC8" w:rsidR="00A7498C" w:rsidRDefault="00A7498C" w:rsidP="00A7498C">
      <w:r>
        <w:t>We automatically apply the residual mix factor when calculating your market-based scope 2 missions. Any residual electricity, that is, electricity not claimed as renewable through demonstrated small-scale onsite consumption, Green</w:t>
      </w:r>
      <w:r w:rsidR="002C3D11">
        <w:t>P</w:t>
      </w:r>
      <w:r>
        <w:t>ower or LGC surrenders (including RPP/JRPP), is multiplied by the residual mix factor to determine residual emissions. You can further reduce your residual emissions through the voluntary surrender of eligible carbon units.</w:t>
      </w:r>
    </w:p>
    <w:p w14:paraId="375D8CA3" w14:textId="49F2A0F8" w:rsidR="00A7498C" w:rsidRPr="002E3B03" w:rsidRDefault="00A7498C" w:rsidP="007F3E57">
      <w:pPr>
        <w:pStyle w:val="Heading4"/>
        <w:numPr>
          <w:ilvl w:val="0"/>
          <w:numId w:val="23"/>
        </w:numPr>
      </w:pPr>
      <w:r w:rsidRPr="002E3B03">
        <w:t>What evidence do I need to provide about Green</w:t>
      </w:r>
      <w:r w:rsidR="002C3D11">
        <w:t>P</w:t>
      </w:r>
      <w:r w:rsidRPr="002E3B03">
        <w:t>ower purchases?</w:t>
      </w:r>
    </w:p>
    <w:p w14:paraId="1AE90BC1" w14:textId="4AEA2124" w:rsidR="00A7498C" w:rsidRDefault="00A7498C" w:rsidP="00A7498C">
      <w:r>
        <w:t>An electricity bill showing the period of consumption, total Green</w:t>
      </w:r>
      <w:r w:rsidR="002C3D11">
        <w:t>P</w:t>
      </w:r>
      <w:r>
        <w:t xml:space="preserve">ower consumed, and your company name </w:t>
      </w:r>
      <w:r w:rsidR="0089071A">
        <w:t xml:space="preserve">is </w:t>
      </w:r>
      <w:r>
        <w:t>accepted as evidence. If this cannot be provided, a tax invoice, contractual agreement, or other document detailing the same information and signed/executed by a relevant authority may be accepted as evidence instead.</w:t>
      </w:r>
    </w:p>
    <w:p w14:paraId="7974A9FA" w14:textId="77777777" w:rsidR="00A7498C" w:rsidRPr="002E3B03" w:rsidRDefault="00A7498C" w:rsidP="007F3E57">
      <w:pPr>
        <w:pStyle w:val="Heading4"/>
        <w:numPr>
          <w:ilvl w:val="0"/>
          <w:numId w:val="23"/>
        </w:numPr>
      </w:pPr>
      <w:r w:rsidRPr="002E3B03">
        <w:t>What are onsite renewables?</w:t>
      </w:r>
    </w:p>
    <w:p w14:paraId="0BA9C4E0" w14:textId="77777777" w:rsidR="00A7498C" w:rsidRDefault="00A7498C" w:rsidP="00A7498C">
      <w:r>
        <w:t>On-site renewables refer to electricity that is generated and consumed onsite (i.e., ‘behind the meter’) from renewable energy sources. This may include electricity from rooftop photovoltaic (PV) systems or from large-scale power stations.</w:t>
      </w:r>
    </w:p>
    <w:p w14:paraId="0AF26BF7" w14:textId="0765C598" w:rsidR="00A7498C" w:rsidRDefault="00A7498C" w:rsidP="00A7498C">
      <w:r>
        <w:t xml:space="preserve">The CERT report defines </w:t>
      </w:r>
      <w:r w:rsidR="00EB072D">
        <w:t>o</w:t>
      </w:r>
      <w:r>
        <w:t xml:space="preserve">n-site renewables as electricity reported to </w:t>
      </w:r>
      <w:r w:rsidR="008555E1">
        <w:t>CER</w:t>
      </w:r>
      <w:r>
        <w:t xml:space="preserve"> under paragraph 4.20(2)(a) of the </w:t>
      </w:r>
      <w:r w:rsidRPr="00D03B88">
        <w:t>National Greenhouse and Energy Reporting Regulations 2008 (NGER Regulations)</w:t>
      </w:r>
      <w:r w:rsidRPr="00BE5FA5">
        <w:rPr>
          <w:i/>
        </w:rPr>
        <w:t xml:space="preserve"> </w:t>
      </w:r>
      <w:r w:rsidRPr="00EB784B">
        <w:rPr>
          <w:iCs/>
        </w:rPr>
        <w:t xml:space="preserve">as </w:t>
      </w:r>
      <w:r>
        <w:rPr>
          <w:i/>
        </w:rPr>
        <w:t>‘</w:t>
      </w:r>
      <w:r>
        <w:t>electricity that was produced for use to operate the facility’ where the energy source is reported under subregulation 4.20(1) of the NGER Regulations as:</w:t>
      </w:r>
    </w:p>
    <w:p w14:paraId="1124AB1D" w14:textId="77777777" w:rsidR="00A7498C" w:rsidRDefault="00A7498C" w:rsidP="00A7498C">
      <w:pPr>
        <w:pStyle w:val="ListParagraph"/>
        <w:numPr>
          <w:ilvl w:val="0"/>
          <w:numId w:val="5"/>
        </w:numPr>
      </w:pPr>
      <w:r>
        <w:t>geothermal generation, or</w:t>
      </w:r>
    </w:p>
    <w:p w14:paraId="46C53CD8" w14:textId="77777777" w:rsidR="00A7498C" w:rsidRDefault="00A7498C" w:rsidP="00A7498C">
      <w:pPr>
        <w:pStyle w:val="ListParagraph"/>
        <w:numPr>
          <w:ilvl w:val="0"/>
          <w:numId w:val="5"/>
        </w:numPr>
      </w:pPr>
      <w:r>
        <w:t>solar generation, or</w:t>
      </w:r>
    </w:p>
    <w:p w14:paraId="17BC04FC" w14:textId="77777777" w:rsidR="00A7498C" w:rsidRDefault="00A7498C" w:rsidP="00A7498C">
      <w:pPr>
        <w:pStyle w:val="ListParagraph"/>
        <w:numPr>
          <w:ilvl w:val="0"/>
          <w:numId w:val="5"/>
        </w:numPr>
      </w:pPr>
      <w:r>
        <w:t xml:space="preserve">wind generation, or </w:t>
      </w:r>
    </w:p>
    <w:p w14:paraId="2317FB36" w14:textId="77777777" w:rsidR="00A7498C" w:rsidRDefault="00A7498C" w:rsidP="00A7498C">
      <w:pPr>
        <w:pStyle w:val="ListParagraph"/>
        <w:numPr>
          <w:ilvl w:val="0"/>
          <w:numId w:val="5"/>
        </w:numPr>
      </w:pPr>
      <w:r>
        <w:t>water generation, or</w:t>
      </w:r>
    </w:p>
    <w:p w14:paraId="6A0CFAEA" w14:textId="77777777" w:rsidR="00A7498C" w:rsidRDefault="00A7498C" w:rsidP="00A7498C">
      <w:pPr>
        <w:pStyle w:val="ListParagraph"/>
        <w:numPr>
          <w:ilvl w:val="0"/>
          <w:numId w:val="5"/>
        </w:numPr>
      </w:pPr>
      <w:r>
        <w:t>electricity generation from biogas, or</w:t>
      </w:r>
    </w:p>
    <w:p w14:paraId="0F02DAF9" w14:textId="77777777" w:rsidR="00A7498C" w:rsidRDefault="00A7498C" w:rsidP="00A7498C">
      <w:pPr>
        <w:pStyle w:val="ListParagraph"/>
        <w:numPr>
          <w:ilvl w:val="0"/>
          <w:numId w:val="5"/>
        </w:numPr>
      </w:pPr>
      <w:r>
        <w:lastRenderedPageBreak/>
        <w:t>thermal generation if the fuel used to produce the electricity is listed as an eligible renewable energy source under Section 17 of the REE Act.</w:t>
      </w:r>
    </w:p>
    <w:p w14:paraId="7B972E83" w14:textId="77777777" w:rsidR="00A7498C" w:rsidRDefault="00A7498C" w:rsidP="00A7498C">
      <w:r>
        <w:t>Electricity from large-scale power stations can only be claimed if any LGCs associated with that generation are voluntarily surrendered.</w:t>
      </w:r>
    </w:p>
    <w:p w14:paraId="71E0504C" w14:textId="77777777" w:rsidR="00A7498C" w:rsidRDefault="00A7498C" w:rsidP="00A7498C">
      <w:r>
        <w:t>On-site electricity consumption reported voluntarily as part of the CERT reporting process will be considered renewable if:</w:t>
      </w:r>
    </w:p>
    <w:p w14:paraId="4575656D" w14:textId="77777777" w:rsidR="00A7498C" w:rsidRDefault="00A7498C" w:rsidP="00E33D13">
      <w:pPr>
        <w:pStyle w:val="ListParagraph"/>
        <w:numPr>
          <w:ilvl w:val="0"/>
          <w:numId w:val="1"/>
        </w:numPr>
        <w:ind w:left="720"/>
      </w:pPr>
      <w:r>
        <w:t xml:space="preserve">evidence of the generating system can be provided (see questions 7 and 8 below), and </w:t>
      </w:r>
    </w:p>
    <w:p w14:paraId="43C0DD24" w14:textId="77777777" w:rsidR="00A7498C" w:rsidRDefault="00A7498C" w:rsidP="00E33D13">
      <w:pPr>
        <w:pStyle w:val="ListParagraph"/>
        <w:numPr>
          <w:ilvl w:val="0"/>
          <w:numId w:val="1"/>
        </w:numPr>
        <w:ind w:left="720"/>
      </w:pPr>
      <w:r>
        <w:t>the reported electricity consumption would meet the above criteria if it were reported voluntarily under the NGER scheme.</w:t>
      </w:r>
    </w:p>
    <w:p w14:paraId="58F0800C" w14:textId="77777777" w:rsidR="00A7498C" w:rsidRPr="00EB0920" w:rsidRDefault="00A7498C" w:rsidP="007F3E57">
      <w:pPr>
        <w:pStyle w:val="Heading4"/>
        <w:numPr>
          <w:ilvl w:val="0"/>
          <w:numId w:val="23"/>
        </w:numPr>
      </w:pPr>
      <w:r w:rsidRPr="00EB0920">
        <w:t>Why report my onsite renewables if they are already reported under NGER?</w:t>
      </w:r>
    </w:p>
    <w:p w14:paraId="1D6D41A0" w14:textId="74549416" w:rsidR="00A7498C" w:rsidRDefault="00A7498C" w:rsidP="00A7498C">
      <w:r>
        <w:t xml:space="preserve">The CERT report assumes all renewable onsite electricity reported under NGER has been credited with LGCs, and therefore requires the surrender of an equivalent quantity of LGCs to be claimed as renewable under the market-based accounting approach. If you are claiming consumption of onsite electricity from small-scale solar (or other onsite </w:t>
      </w:r>
      <w:r w:rsidR="00BC19EC">
        <w:t xml:space="preserve">renewable </w:t>
      </w:r>
      <w:r>
        <w:t>electricity not credited with LGCs), you need to report this separately as part of the CERT reporting process</w:t>
      </w:r>
      <w:r w:rsidR="0089071A">
        <w:t>.</w:t>
      </w:r>
    </w:p>
    <w:p w14:paraId="037B54DF" w14:textId="0FAC17A3" w:rsidR="00A7498C" w:rsidRDefault="00A7498C" w:rsidP="00A7498C">
      <w:r>
        <w:t>The CERT report also assumes all onsite electricity reported under NGER with the energy source listed as ‘thermal generation’ is from non-renewable sources, including biomass or bagasse generation. If you are claiming consumption of onsite renewables from biomass or bagasse generation you need to report this separately as part of the CERT reporting process</w:t>
      </w:r>
      <w:r w:rsidR="0089071A">
        <w:t>.</w:t>
      </w:r>
    </w:p>
    <w:p w14:paraId="2D7395E7" w14:textId="77777777" w:rsidR="00A7498C" w:rsidRPr="00EB0920" w:rsidRDefault="00A7498C" w:rsidP="007F3E57">
      <w:pPr>
        <w:pStyle w:val="Heading4"/>
        <w:numPr>
          <w:ilvl w:val="0"/>
          <w:numId w:val="23"/>
        </w:numPr>
      </w:pPr>
      <w:r w:rsidRPr="00EB0920">
        <w:t>What information do I need to provide about onsite renewables I’m claiming?</w:t>
      </w:r>
    </w:p>
    <w:p w14:paraId="464A7CCF" w14:textId="77777777" w:rsidR="00A7498C" w:rsidRDefault="00A7498C" w:rsidP="00A7498C">
      <w:r>
        <w:t>If you are claiming onsite renewables as part of the CERT reporting process, you must include:</w:t>
      </w:r>
    </w:p>
    <w:p w14:paraId="32A2EC63" w14:textId="77777777" w:rsidR="00A7498C" w:rsidRDefault="00A7498C" w:rsidP="00A7498C">
      <w:pPr>
        <w:pStyle w:val="ListParagraph"/>
        <w:numPr>
          <w:ilvl w:val="0"/>
          <w:numId w:val="6"/>
        </w:numPr>
      </w:pPr>
      <w:r>
        <w:t>Whether the generated electricity was credited with LGCs or not to determine how this should be treated under the market-based accounting approach.</w:t>
      </w:r>
    </w:p>
    <w:p w14:paraId="2F536DFA" w14:textId="77777777" w:rsidR="00A7498C" w:rsidRDefault="00A7498C" w:rsidP="00A7498C">
      <w:pPr>
        <w:pStyle w:val="ListParagraph"/>
        <w:numPr>
          <w:ilvl w:val="0"/>
          <w:numId w:val="6"/>
        </w:numPr>
      </w:pPr>
      <w:r>
        <w:t>Whether the generated electricity was reported under NGER to determine whether this is additional to existing NGER data.</w:t>
      </w:r>
    </w:p>
    <w:p w14:paraId="07974673" w14:textId="5EED8A1B" w:rsidR="00A7498C" w:rsidRDefault="00081942" w:rsidP="00A7498C">
      <w:pPr>
        <w:pStyle w:val="ListParagraph"/>
        <w:numPr>
          <w:ilvl w:val="0"/>
          <w:numId w:val="6"/>
        </w:numPr>
      </w:pPr>
      <w:r>
        <w:t>Evidence of the existence and operation of the generating system. This should be t</w:t>
      </w:r>
      <w:r w:rsidR="00A7498C">
        <w:t>he ABN of the Renewable Energy Certificates (REC) Registry account holder that registered the generating system/s</w:t>
      </w:r>
      <w:r w:rsidR="00173CBC">
        <w:t xml:space="preserve"> (e.g. </w:t>
      </w:r>
      <w:r w:rsidR="00EE5EA4">
        <w:t>the ABN of the installation company that registered the small-scale rooftop PV system or, for a large-scale power station, the ABN of the nominated person that lodged the accreditation application</w:t>
      </w:r>
      <w:r w:rsidR="00173CBC">
        <w:t>).</w:t>
      </w:r>
      <w:r w:rsidR="00A7498C">
        <w:t xml:space="preserve"> </w:t>
      </w:r>
      <w:r w:rsidR="00EE5EA4">
        <w:t>Other evidence may be accepted in lieu of an ABN.</w:t>
      </w:r>
      <w:r w:rsidR="00A7498C">
        <w:t xml:space="preserve"> </w:t>
      </w:r>
    </w:p>
    <w:p w14:paraId="51765C81" w14:textId="77777777" w:rsidR="00A7498C" w:rsidRPr="00373149" w:rsidRDefault="00A7498C" w:rsidP="007F3E57">
      <w:pPr>
        <w:pStyle w:val="Heading4"/>
        <w:numPr>
          <w:ilvl w:val="0"/>
          <w:numId w:val="23"/>
        </w:numPr>
      </w:pPr>
      <w:r w:rsidRPr="00373149">
        <w:t>What other evidence may be considered if I don’t provide an ABN?</w:t>
      </w:r>
    </w:p>
    <w:p w14:paraId="44C79994" w14:textId="53458ED5" w:rsidR="00A7498C" w:rsidRDefault="00A7498C" w:rsidP="00A7498C">
      <w:r>
        <w:t xml:space="preserve">If a relevant ABN cannot be provided, we may accept documentation or information that demonstrates the size of generating system(s) installed, </w:t>
      </w:r>
      <w:r w:rsidR="001D6A3B">
        <w:t xml:space="preserve">the operation of the system for the relevant dates, </w:t>
      </w:r>
      <w:r>
        <w:t>and that the system can be linked to the claiming entity. For example, photographic evidence of the generating system/s, installation agreements or contracts, meter data, reports from building owners. Other evidence may also be considered.</w:t>
      </w:r>
    </w:p>
    <w:p w14:paraId="385B9F01" w14:textId="77777777" w:rsidR="00A7498C" w:rsidRPr="00EB0920" w:rsidRDefault="00A7498C" w:rsidP="007F3E57">
      <w:pPr>
        <w:pStyle w:val="Heading4"/>
        <w:numPr>
          <w:ilvl w:val="0"/>
          <w:numId w:val="23"/>
        </w:numPr>
      </w:pPr>
      <w:r w:rsidRPr="00EB0920">
        <w:t>How should I report onsite renewable</w:t>
      </w:r>
      <w:r>
        <w:t>s</w:t>
      </w:r>
      <w:r w:rsidRPr="00EB0920">
        <w:t xml:space="preserve"> if I’m using calendar year or equity share reporting?</w:t>
      </w:r>
    </w:p>
    <w:p w14:paraId="2DEFB3D8" w14:textId="1A652EF7" w:rsidR="00A7498C" w:rsidRDefault="00A7498C" w:rsidP="00A7498C">
      <w:r>
        <w:t xml:space="preserve">If you are using multipliers to adjust your NGER data you should report onsite renewables for each relevant NGER reporting year (financial year), even if using calendar year reporting. We will automatically adjust these quantities using provided calendar year multipliers, or the averaging method for base period calendar years (see Section 7.4 of the </w:t>
      </w:r>
      <w:r w:rsidRPr="002276A2">
        <w:rPr>
          <w:i/>
          <w:iCs/>
        </w:rPr>
        <w:t>2023 CERT Report Guidelines</w:t>
      </w:r>
      <w:r>
        <w:t>). For an equity share approach, you should report the equity-adjusted amount for onsite renewables consumed at a facility.</w:t>
      </w:r>
      <w:r w:rsidR="00824C95">
        <w:t xml:space="preserve"> See </w:t>
      </w:r>
      <w:hyperlink w:anchor="_Reporting_–_Section" w:history="1">
        <w:r w:rsidR="009D419F" w:rsidRPr="00C42EBE">
          <w:rPr>
            <w:rStyle w:val="Hyperlink"/>
            <w:rFonts w:asciiTheme="minorHAnsi" w:hAnsiTheme="minorHAnsi"/>
            <w:b/>
            <w:bCs/>
          </w:rPr>
          <w:t>Supporting E</w:t>
        </w:r>
        <w:r w:rsidR="00824C95" w:rsidRPr="00C42EBE">
          <w:rPr>
            <w:rStyle w:val="Hyperlink"/>
            <w:rFonts w:asciiTheme="minorHAnsi" w:hAnsiTheme="minorHAnsi"/>
            <w:b/>
            <w:bCs/>
          </w:rPr>
          <w:t>xample 25</w:t>
        </w:r>
      </w:hyperlink>
      <w:r w:rsidR="00824C95">
        <w:t>.</w:t>
      </w:r>
    </w:p>
    <w:p w14:paraId="5FD32E13" w14:textId="77777777" w:rsidR="00A7498C" w:rsidRDefault="00A7498C" w:rsidP="00A7498C">
      <w:r>
        <w:lastRenderedPageBreak/>
        <w:t>If you use independently assured data instead of multipliers applied to NGER data, you should report the quantity for the current reporting year only. Any base period amounts do not need to be reported in Section 7 of the reporting form, as these should be accounted for when reporting the base period measurements for an independently assured commitment in Section 4 of the form.</w:t>
      </w:r>
    </w:p>
    <w:p w14:paraId="439B691E" w14:textId="77777777" w:rsidR="00A7498C" w:rsidRPr="00EB0920" w:rsidRDefault="00A7498C" w:rsidP="007F3E57">
      <w:pPr>
        <w:pStyle w:val="Heading4"/>
        <w:numPr>
          <w:ilvl w:val="0"/>
          <w:numId w:val="23"/>
        </w:numPr>
      </w:pPr>
      <w:r w:rsidRPr="00EB0920">
        <w:t>Are renewable Power Purchase Agreements recognised as renewable electricity in CERT?</w:t>
      </w:r>
    </w:p>
    <w:p w14:paraId="3C1C720D" w14:textId="2F2C02C8" w:rsidR="00A7498C" w:rsidRPr="006A46F1" w:rsidRDefault="00A7498C" w:rsidP="00A7498C">
      <w:r>
        <w:t>Renewable power purchase agreements (PPA) are not counted towards renewable electricity consumption under the CERT report. The</w:t>
      </w:r>
      <w:hyperlink r:id="rId26" w:history="1">
        <w:r w:rsidRPr="007769CE">
          <w:rPr>
            <w:rStyle w:val="Hyperlink"/>
            <w:rFonts w:asciiTheme="minorHAnsi" w:hAnsiTheme="minorHAnsi"/>
          </w:rPr>
          <w:t xml:space="preserve"> Greenhouse Gas Protocol Scope 2 Guidance</w:t>
        </w:r>
      </w:hyperlink>
      <w:r w:rsidR="000230A4">
        <w:rPr>
          <w:rStyle w:val="FootnoteReference"/>
          <w:color w:val="006C93" w:themeColor="accent3"/>
          <w:u w:val="single"/>
        </w:rPr>
        <w:footnoteReference w:id="21"/>
      </w:r>
      <w:r>
        <w:t xml:space="preserve"> states in relation to “contracts such as power purchase agreements” (Section 6.11.2) w</w:t>
      </w:r>
      <w:r w:rsidRPr="004B0A42">
        <w:t>here certificates are issued</w:t>
      </w:r>
      <w:r>
        <w:t>,</w:t>
      </w:r>
      <w:r w:rsidRPr="004B0A42">
        <w:t xml:space="preserve"> </w:t>
      </w:r>
      <w:r>
        <w:t>the certificates themselves serve as the emission factor for the market-based method. If the certificates are bundled with the contract, the purchaser can claim the certificates. If the certificates are sold separately, the power recipient cannot claim the attributes of the specific generator.</w:t>
      </w:r>
    </w:p>
    <w:p w14:paraId="49452DCC" w14:textId="77777777" w:rsidR="00A7498C" w:rsidRDefault="00A7498C">
      <w:pPr>
        <w:spacing w:after="0"/>
        <w:rPr>
          <w:rFonts w:ascii="Calibri" w:eastAsia="Times New Roman" w:hAnsi="Calibri" w:cs="Calibri"/>
          <w:b/>
          <w:bCs/>
          <w:kern w:val="32"/>
          <w:sz w:val="40"/>
        </w:rPr>
      </w:pPr>
      <w:r>
        <w:br w:type="page"/>
      </w:r>
    </w:p>
    <w:p w14:paraId="48AA951F" w14:textId="3F916E67" w:rsidR="00095B31" w:rsidRPr="003B0310" w:rsidRDefault="00095B31" w:rsidP="003B0310">
      <w:pPr>
        <w:pStyle w:val="Heading1"/>
      </w:pPr>
      <w:bookmarkStart w:id="9" w:name="_Toc121236621"/>
      <w:r>
        <w:lastRenderedPageBreak/>
        <w:t>Supporting Examples</w:t>
      </w:r>
      <w:bookmarkEnd w:id="9"/>
    </w:p>
    <w:p w14:paraId="1AB46352" w14:textId="01FCCA2A" w:rsidR="009B7A92" w:rsidRPr="009B7A92" w:rsidRDefault="009B7A92" w:rsidP="00095B31">
      <w:pPr>
        <w:pStyle w:val="Heading2"/>
        <w:rPr>
          <w:b w:val="0"/>
          <w:i/>
        </w:rPr>
      </w:pPr>
      <w:bookmarkStart w:id="10" w:name="_Toc121236622"/>
      <w:r w:rsidRPr="009B7A92">
        <w:t>Eligible commitme</w:t>
      </w:r>
      <w:r w:rsidRPr="000B2A19">
        <w:t xml:space="preserve">nts – </w:t>
      </w:r>
      <w:r w:rsidRPr="006A20BB">
        <w:rPr>
          <w:i/>
        </w:rPr>
        <w:t>Section 3 of the CERT Guidelines</w:t>
      </w:r>
      <w:bookmarkEnd w:id="10"/>
    </w:p>
    <w:p w14:paraId="6ADE78C5" w14:textId="4259EAFE" w:rsidR="00501E49" w:rsidRPr="009B7A92" w:rsidRDefault="009B7A92" w:rsidP="007F3E57">
      <w:pPr>
        <w:pStyle w:val="BodyText1"/>
        <w:spacing w:after="0"/>
      </w:pPr>
      <w:r w:rsidRPr="009B7A92">
        <w:t>Examples 1-</w:t>
      </w:r>
      <w:r w:rsidR="00EA31BF">
        <w:t>3</w:t>
      </w:r>
      <w:r w:rsidR="00EA31BF" w:rsidRPr="009B7A92">
        <w:t xml:space="preserve"> </w:t>
      </w:r>
      <w:r w:rsidRPr="009B7A92">
        <w:t xml:space="preserve">show different types of </w:t>
      </w:r>
      <w:r w:rsidR="00072FF5">
        <w:t>CER data</w:t>
      </w:r>
      <w:r w:rsidR="00072FF5" w:rsidRPr="009B7A92">
        <w:t xml:space="preserve"> </w:t>
      </w:r>
      <w:r w:rsidRPr="009B7A92">
        <w:t>verified commitments</w:t>
      </w:r>
      <w:r w:rsidR="00EA31BF">
        <w:t>, examples 4 and 5 show independently assured commitments</w:t>
      </w:r>
      <w:r w:rsidRPr="009B7A92">
        <w:t xml:space="preserve"> and example 6 shows a company assured commitment. Example 1 identifies the relevant framing elements from a commitment statement that are necessary for it to be reported as a </w:t>
      </w:r>
      <w:r w:rsidR="00146170">
        <w:t>CER data</w:t>
      </w:r>
      <w:r w:rsidR="00146170" w:rsidRPr="009B7A92">
        <w:t xml:space="preserve"> </w:t>
      </w:r>
      <w:r w:rsidRPr="009B7A92">
        <w:t xml:space="preserve">verified commitment. </w:t>
      </w:r>
      <w:r w:rsidR="00FE1BF8">
        <w:t xml:space="preserve">Examples 4 and 5 </w:t>
      </w:r>
      <w:r w:rsidR="00B6325D">
        <w:t xml:space="preserve">provide background information </w:t>
      </w:r>
      <w:r w:rsidR="009B76A6">
        <w:t xml:space="preserve">on how companies meet </w:t>
      </w:r>
      <w:r w:rsidR="004A046F">
        <w:t>the ‘independently assured’ criteria.</w:t>
      </w:r>
      <w:r w:rsidR="009B76A6">
        <w:t xml:space="preserve"> </w:t>
      </w:r>
    </w:p>
    <w:p w14:paraId="5A2C79E0" w14:textId="27B2F5B0" w:rsidR="009B7A92" w:rsidRPr="00F047C0" w:rsidRDefault="009B7A92" w:rsidP="007F3E57">
      <w:pPr>
        <w:pStyle w:val="Heading4"/>
      </w:pPr>
      <w:r w:rsidRPr="005D5FE5">
        <w:t xml:space="preserve">Example </w:t>
      </w:r>
      <w:r>
        <w:fldChar w:fldCharType="begin"/>
      </w:r>
      <w:r w:rsidRPr="00F047C0">
        <w:instrText>seq number</w:instrText>
      </w:r>
      <w:r>
        <w:fldChar w:fldCharType="separate"/>
      </w:r>
      <w:r w:rsidR="00DA14E2">
        <w:rPr>
          <w:noProof/>
        </w:rPr>
        <w:t>1</w:t>
      </w:r>
      <w:r>
        <w:fldChar w:fldCharType="end"/>
      </w:r>
      <w:r>
        <w:t xml:space="preserve"> – </w:t>
      </w:r>
      <w:r w:rsidRPr="005D5FE5">
        <w:t>Combined net and gross emissions reduction (</w:t>
      </w:r>
      <w:r w:rsidR="0BBA19EB" w:rsidRPr="00F047C0">
        <w:t xml:space="preserve">CER data </w:t>
      </w:r>
      <w:r w:rsidRPr="00F047C0">
        <w:t>verified)</w:t>
      </w:r>
      <w:r w:rsidR="00B046E1">
        <w:t xml:space="preserve"> period</w:t>
      </w:r>
      <w:r w:rsidR="00B046E1" w:rsidRPr="00B046E1">
        <w:t xml:space="preserve"> </w:t>
      </w:r>
    </w:p>
    <w:p w14:paraId="2D4B5737" w14:textId="790BA001" w:rsidR="009B7A92" w:rsidRPr="007A39F8" w:rsidRDefault="009B7A92" w:rsidP="007A39F8">
      <w:pPr>
        <w:pStyle w:val="BodyText1"/>
        <w:spacing w:before="0" w:after="240"/>
        <w:rPr>
          <w:i/>
          <w:iCs/>
        </w:rPr>
      </w:pPr>
      <w:r w:rsidRPr="009B7A92">
        <w:rPr>
          <w:i/>
          <w:iCs/>
        </w:rPr>
        <w:t>“</w:t>
      </w:r>
      <w:r w:rsidRPr="009B7A92">
        <w:rPr>
          <w:i/>
        </w:rPr>
        <w:t xml:space="preserve">Company A </w:t>
      </w:r>
      <w:r w:rsidRPr="009B7A92">
        <w:rPr>
          <w:i/>
          <w:iCs/>
        </w:rPr>
        <w:t xml:space="preserve">is targeting </w:t>
      </w:r>
      <w:r w:rsidRPr="009B7A92">
        <w:rPr>
          <w:i/>
          <w:iCs/>
          <w:u w:val="single"/>
        </w:rPr>
        <w:t>net zero</w:t>
      </w:r>
      <w:r w:rsidRPr="009B7A92">
        <w:rPr>
          <w:i/>
          <w:iCs/>
        </w:rPr>
        <w:t xml:space="preserve"> </w:t>
      </w:r>
      <w:r w:rsidRPr="009B7A92">
        <w:rPr>
          <w:i/>
          <w:iCs/>
          <w:u w:val="single"/>
        </w:rPr>
        <w:t>Scope 1 and Scope 2 emissions</w:t>
      </w:r>
      <w:r w:rsidRPr="009B7A92">
        <w:rPr>
          <w:i/>
          <w:iCs/>
        </w:rPr>
        <w:t xml:space="preserve"> on a disclosed </w:t>
      </w:r>
      <w:r w:rsidRPr="009B7A92">
        <w:rPr>
          <w:i/>
          <w:iCs/>
          <w:u w:val="single"/>
        </w:rPr>
        <w:t xml:space="preserve">2017-18 </w:t>
      </w:r>
      <w:r w:rsidR="003B3B8E">
        <w:rPr>
          <w:i/>
          <w:iCs/>
          <w:u w:val="single"/>
        </w:rPr>
        <w:t>base period</w:t>
      </w:r>
      <w:r w:rsidR="003B3B8E" w:rsidRPr="009B7A92">
        <w:rPr>
          <w:i/>
          <w:iCs/>
        </w:rPr>
        <w:t xml:space="preserve"> </w:t>
      </w:r>
      <w:r w:rsidRPr="009B7A92">
        <w:rPr>
          <w:i/>
          <w:iCs/>
        </w:rPr>
        <w:t xml:space="preserve">by </w:t>
      </w:r>
      <w:r w:rsidRPr="009B7A92">
        <w:rPr>
          <w:i/>
          <w:iCs/>
          <w:u w:val="single"/>
        </w:rPr>
        <w:t>2030</w:t>
      </w:r>
      <w:r w:rsidRPr="009B7A92">
        <w:rPr>
          <w:i/>
          <w:iCs/>
        </w:rPr>
        <w:t xml:space="preserve"> </w:t>
      </w:r>
      <w:r w:rsidRPr="009B7A92">
        <w:rPr>
          <w:i/>
          <w:iCs/>
          <w:u w:val="single"/>
        </w:rPr>
        <w:t>(market-based).</w:t>
      </w:r>
      <w:r w:rsidRPr="009B7A92">
        <w:rPr>
          <w:i/>
          <w:iCs/>
        </w:rPr>
        <w:t>”</w:t>
      </w:r>
    </w:p>
    <w:p w14:paraId="6F7C9F73" w14:textId="6DCB1C8F" w:rsidR="007245CD" w:rsidRDefault="007245CD" w:rsidP="00F047C0">
      <w:pPr>
        <w:pStyle w:val="BodyText1"/>
        <w:spacing w:before="0" w:after="0"/>
        <w:ind w:left="720"/>
        <w:rPr>
          <w:b/>
          <w:bCs/>
        </w:rPr>
      </w:pPr>
      <w:r>
        <w:rPr>
          <w:b/>
          <w:bCs/>
        </w:rPr>
        <w:t>Commitment type</w:t>
      </w:r>
      <w:r>
        <w:rPr>
          <w:b/>
          <w:bCs/>
        </w:rPr>
        <w:tab/>
      </w:r>
      <w:r>
        <w:rPr>
          <w:b/>
          <w:bCs/>
        </w:rPr>
        <w:tab/>
      </w:r>
      <w:r w:rsidR="00812404" w:rsidRPr="00F047C0">
        <w:t>Commitment (CER data verified)</w:t>
      </w:r>
      <w:r w:rsidR="00812404">
        <w:rPr>
          <w:b/>
          <w:bCs/>
        </w:rPr>
        <w:t xml:space="preserve"> </w:t>
      </w:r>
      <w:r w:rsidR="00733890">
        <w:rPr>
          <w:b/>
          <w:bCs/>
        </w:rPr>
        <w:t>e</w:t>
      </w:r>
      <w:r w:rsidR="0085701C" w:rsidRPr="00F047C0">
        <w:t>missions reduction</w:t>
      </w:r>
      <w:r w:rsidR="00BF2007">
        <w:t xml:space="preserve"> (net and gross)</w:t>
      </w:r>
    </w:p>
    <w:p w14:paraId="265ECE4D" w14:textId="7FEE2E8C" w:rsidR="009B7A92" w:rsidRPr="009B7A92" w:rsidRDefault="66327F5D" w:rsidP="00F047C0">
      <w:pPr>
        <w:pStyle w:val="BodyText1"/>
        <w:spacing w:before="0" w:after="0"/>
        <w:ind w:left="720"/>
        <w:rPr>
          <w:b/>
          <w:bCs/>
        </w:rPr>
      </w:pPr>
      <w:r w:rsidRPr="1CFF38F6">
        <w:rPr>
          <w:b/>
          <w:bCs/>
        </w:rPr>
        <w:t>Commitment goal</w:t>
      </w:r>
      <w:r w:rsidR="009B7A92">
        <w:tab/>
      </w:r>
      <w:r w:rsidR="009B7A92">
        <w:tab/>
      </w:r>
      <w:r w:rsidR="00611754" w:rsidRPr="007B4D89">
        <w:t>10</w:t>
      </w:r>
      <w:r w:rsidR="00611754" w:rsidRPr="00F047C0">
        <w:t>0% reduction (net zero</w:t>
      </w:r>
      <w:r w:rsidR="00611754" w:rsidRPr="007B4D89">
        <w:t>)</w:t>
      </w:r>
      <w:r w:rsidRPr="1CFF38F6">
        <w:rPr>
          <w:b/>
          <w:bCs/>
        </w:rPr>
        <w:t xml:space="preserve"> </w:t>
      </w:r>
    </w:p>
    <w:p w14:paraId="7E7F490F" w14:textId="451EDF35" w:rsidR="009B7A92" w:rsidRPr="009B7A92" w:rsidRDefault="24D7648F" w:rsidP="00F047C0">
      <w:pPr>
        <w:pStyle w:val="BodyText1"/>
        <w:spacing w:before="0" w:after="0"/>
        <w:ind w:left="720"/>
      </w:pPr>
      <w:r w:rsidRPr="1CFF38F6">
        <w:rPr>
          <w:b/>
          <w:bCs/>
        </w:rPr>
        <w:t xml:space="preserve">Commitment </w:t>
      </w:r>
      <w:r w:rsidR="0271B243" w:rsidRPr="1CFF38F6">
        <w:rPr>
          <w:b/>
          <w:bCs/>
        </w:rPr>
        <w:t>y</w:t>
      </w:r>
      <w:r w:rsidR="009B7A92" w:rsidRPr="1CFF38F6">
        <w:rPr>
          <w:b/>
          <w:bCs/>
        </w:rPr>
        <w:t>ear</w:t>
      </w:r>
      <w:r w:rsidR="009B7A92">
        <w:tab/>
      </w:r>
      <w:r w:rsidR="009B7A92">
        <w:tab/>
        <w:t>2030</w:t>
      </w:r>
    </w:p>
    <w:p w14:paraId="7422B3B7" w14:textId="11B382B6" w:rsidR="009B7A92" w:rsidRPr="009B7A92" w:rsidRDefault="009B7A92" w:rsidP="00F047C0">
      <w:pPr>
        <w:pStyle w:val="BodyText1"/>
        <w:spacing w:before="0" w:after="0"/>
        <w:ind w:left="720"/>
      </w:pPr>
      <w:r w:rsidRPr="1CFF38F6">
        <w:rPr>
          <w:b/>
          <w:bCs/>
        </w:rPr>
        <w:t>Coverage</w:t>
      </w:r>
      <w:r>
        <w:tab/>
      </w:r>
      <w:r>
        <w:tab/>
      </w:r>
      <w:r>
        <w:tab/>
      </w:r>
      <w:r w:rsidR="1C5BF6B8">
        <w:t xml:space="preserve">Both </w:t>
      </w:r>
      <w:r>
        <w:t>Scope 1 and Scope 2 emissions</w:t>
      </w:r>
    </w:p>
    <w:p w14:paraId="725569A4" w14:textId="524522FE" w:rsidR="009B7A92" w:rsidRDefault="009B7A92" w:rsidP="0045501B">
      <w:pPr>
        <w:pStyle w:val="BodyText1"/>
        <w:spacing w:before="0" w:after="0"/>
        <w:ind w:left="720"/>
      </w:pPr>
      <w:r w:rsidRPr="1CFF38F6">
        <w:rPr>
          <w:b/>
          <w:bCs/>
        </w:rPr>
        <w:t>Basis</w:t>
      </w:r>
      <w:r>
        <w:tab/>
      </w:r>
      <w:r>
        <w:tab/>
      </w:r>
      <w:r>
        <w:tab/>
      </w:r>
      <w:r>
        <w:tab/>
      </w:r>
      <w:r w:rsidR="16FD10E8">
        <w:t>N</w:t>
      </w:r>
      <w:r>
        <w:t xml:space="preserve">et basis </w:t>
      </w:r>
    </w:p>
    <w:p w14:paraId="148CBD32" w14:textId="77777777" w:rsidR="00674783" w:rsidRDefault="00674783" w:rsidP="00674783">
      <w:pPr>
        <w:pStyle w:val="BodyText1"/>
        <w:spacing w:before="0" w:after="0"/>
        <w:ind w:left="720"/>
      </w:pPr>
      <w:r w:rsidRPr="1CFF38F6">
        <w:rPr>
          <w:b/>
          <w:bCs/>
        </w:rPr>
        <w:t>Base period</w:t>
      </w:r>
      <w:r>
        <w:tab/>
      </w:r>
      <w:r>
        <w:tab/>
      </w:r>
      <w:r>
        <w:tab/>
        <w:t>2017-2018</w:t>
      </w:r>
    </w:p>
    <w:p w14:paraId="7642EE45" w14:textId="77777777" w:rsidR="00674783" w:rsidRPr="009B7A92" w:rsidRDefault="00674783" w:rsidP="00674783">
      <w:pPr>
        <w:pStyle w:val="BodyText1"/>
        <w:spacing w:before="0" w:after="0"/>
        <w:ind w:left="720"/>
      </w:pPr>
      <w:r>
        <w:rPr>
          <w:b/>
          <w:bCs/>
        </w:rPr>
        <w:t>Base period basis</w:t>
      </w:r>
      <w:r>
        <w:rPr>
          <w:b/>
          <w:bCs/>
        </w:rPr>
        <w:tab/>
      </w:r>
      <w:r>
        <w:rPr>
          <w:b/>
          <w:bCs/>
        </w:rPr>
        <w:tab/>
      </w:r>
      <w:r w:rsidRPr="006F61C0">
        <w:t>Gross basis</w:t>
      </w:r>
      <w:r w:rsidRPr="1CFF38F6">
        <w:rPr>
          <w:b/>
          <w:bCs/>
        </w:rPr>
        <w:t xml:space="preserve"> </w:t>
      </w:r>
    </w:p>
    <w:p w14:paraId="51C2A3A6" w14:textId="51863AF1" w:rsidR="009B7A92" w:rsidRPr="009B7A92" w:rsidRDefault="009B7A92" w:rsidP="00F047C0">
      <w:pPr>
        <w:pStyle w:val="BodyText1"/>
        <w:spacing w:before="0" w:after="0"/>
        <w:ind w:left="720"/>
      </w:pPr>
      <w:r w:rsidRPr="1CFF38F6">
        <w:rPr>
          <w:b/>
          <w:bCs/>
        </w:rPr>
        <w:t>Reporting boundary</w:t>
      </w:r>
      <w:r>
        <w:tab/>
      </w:r>
      <w:r>
        <w:tab/>
      </w:r>
      <w:r w:rsidR="5732FC16">
        <w:t>O</w:t>
      </w:r>
      <w:r>
        <w:t>perational control (default)</w:t>
      </w:r>
    </w:p>
    <w:p w14:paraId="330D06E0" w14:textId="2573E895" w:rsidR="009B7A92" w:rsidRPr="009B7A92" w:rsidRDefault="009B7A92" w:rsidP="00F047C0">
      <w:pPr>
        <w:pStyle w:val="BodyText1"/>
        <w:spacing w:before="0" w:after="0"/>
        <w:ind w:left="720"/>
      </w:pPr>
      <w:r w:rsidRPr="1CFF38F6">
        <w:rPr>
          <w:b/>
          <w:bCs/>
        </w:rPr>
        <w:t>Reporting year</w:t>
      </w:r>
      <w:r>
        <w:tab/>
      </w:r>
      <w:r>
        <w:tab/>
      </w:r>
      <w:r w:rsidR="00750CAF">
        <w:tab/>
      </w:r>
      <w:r w:rsidR="16636F2A">
        <w:t>F</w:t>
      </w:r>
      <w:r>
        <w:t>inancial year (baseline is in financial year terms)</w:t>
      </w:r>
    </w:p>
    <w:p w14:paraId="343F09EA" w14:textId="0FA2249C" w:rsidR="009B7A92" w:rsidRPr="00F635C0" w:rsidRDefault="009B7A92" w:rsidP="007A39F8">
      <w:pPr>
        <w:pStyle w:val="BodyText1"/>
        <w:spacing w:before="0" w:after="0"/>
        <w:ind w:left="720"/>
      </w:pPr>
      <w:r w:rsidRPr="1CFF38F6">
        <w:rPr>
          <w:b/>
          <w:bCs/>
        </w:rPr>
        <w:t>Scope 2 accounting approach</w:t>
      </w:r>
      <w:r>
        <w:tab/>
      </w:r>
      <w:r w:rsidR="06D54577">
        <w:t>M</w:t>
      </w:r>
      <w:r>
        <w:t>arket-based (default)</w:t>
      </w:r>
    </w:p>
    <w:p w14:paraId="0FAC4438" w14:textId="3497834D" w:rsidR="009B7A92" w:rsidRPr="009B7A92" w:rsidRDefault="009B7A92" w:rsidP="007F3E57">
      <w:pPr>
        <w:pStyle w:val="Heading4"/>
      </w:pPr>
      <w:r w:rsidRPr="005D5FE5">
        <w:t xml:space="preserve">Example </w:t>
      </w:r>
      <w:r w:rsidR="00E674BA" w:rsidRPr="00F047C0">
        <w:t xml:space="preserve">2 </w:t>
      </w:r>
      <w:r w:rsidRPr="00F047C0">
        <w:t>– Gross-only emissions reduction (</w:t>
      </w:r>
      <w:r w:rsidR="68DE9E41" w:rsidRPr="00F047C0">
        <w:t xml:space="preserve">CER data </w:t>
      </w:r>
      <w:r w:rsidRPr="00F047C0">
        <w:t>verified)</w:t>
      </w:r>
    </w:p>
    <w:p w14:paraId="40FD21D8" w14:textId="29C1ECB2" w:rsidR="009B7A92" w:rsidRPr="009B7A92" w:rsidRDefault="009B7A92" w:rsidP="00501E49">
      <w:pPr>
        <w:pStyle w:val="BodyText1"/>
        <w:spacing w:before="0" w:after="0"/>
        <w:rPr>
          <w:i/>
          <w:iCs/>
        </w:rPr>
      </w:pPr>
      <w:r w:rsidRPr="009B7A92">
        <w:rPr>
          <w:i/>
          <w:iCs/>
        </w:rPr>
        <w:t>“75%</w:t>
      </w:r>
      <w:r w:rsidRPr="009B7A92">
        <w:t xml:space="preserve"> </w:t>
      </w:r>
      <w:r w:rsidRPr="009B7A92">
        <w:rPr>
          <w:i/>
          <w:iCs/>
        </w:rPr>
        <w:t>reduction in</w:t>
      </w:r>
      <w:r w:rsidRPr="009B7A92">
        <w:t xml:space="preserve"> </w:t>
      </w:r>
      <w:r w:rsidRPr="009B7A92">
        <w:rPr>
          <w:i/>
          <w:iCs/>
        </w:rPr>
        <w:t>gross Scope 1 emissions below 2020 gross emissions by 2030.”</w:t>
      </w:r>
    </w:p>
    <w:p w14:paraId="4D391780" w14:textId="2D50E299" w:rsidR="009B7A92" w:rsidRPr="00F047C0" w:rsidRDefault="009B7A92" w:rsidP="007F3E57">
      <w:pPr>
        <w:pStyle w:val="Heading4"/>
      </w:pPr>
      <w:r w:rsidRPr="005D5FE5">
        <w:t xml:space="preserve">Example </w:t>
      </w:r>
      <w:r w:rsidR="00E674BA" w:rsidRPr="00F047C0">
        <w:t xml:space="preserve">3 </w:t>
      </w:r>
      <w:r w:rsidRPr="00F047C0">
        <w:t>– Renewable electricity commitment (</w:t>
      </w:r>
      <w:r w:rsidR="061B983A" w:rsidRPr="00F047C0">
        <w:t xml:space="preserve">CER data </w:t>
      </w:r>
      <w:r w:rsidRPr="0050350B">
        <w:t>verified)</w:t>
      </w:r>
    </w:p>
    <w:p w14:paraId="159B7CEF" w14:textId="228A2BE0" w:rsidR="1CFF38F6" w:rsidRDefault="009B7A92" w:rsidP="1CFF38F6">
      <w:pPr>
        <w:pStyle w:val="BodyText1"/>
        <w:spacing w:before="0" w:after="0"/>
        <w:rPr>
          <w:i/>
          <w:iCs/>
        </w:rPr>
      </w:pPr>
      <w:r w:rsidRPr="1CFF38F6">
        <w:rPr>
          <w:i/>
          <w:iCs/>
        </w:rPr>
        <w:t>“Company B will source 50% of electricity used by facilities under its operational control from renewable sources by 2025.”</w:t>
      </w:r>
    </w:p>
    <w:p w14:paraId="4FBCB5EC" w14:textId="2E7ACF7F" w:rsidR="1CFF38F6" w:rsidRPr="00617706" w:rsidRDefault="00C37A89" w:rsidP="007F3E57">
      <w:pPr>
        <w:pStyle w:val="Heading4"/>
      </w:pPr>
      <w:r w:rsidRPr="00617706">
        <w:t xml:space="preserve">Example </w:t>
      </w:r>
      <w:r w:rsidR="00E674BA" w:rsidRPr="00617706">
        <w:t>4</w:t>
      </w:r>
      <w:r w:rsidRPr="00617706">
        <w:t xml:space="preserve"> – </w:t>
      </w:r>
      <w:r w:rsidR="00EE3660" w:rsidRPr="00617706">
        <w:t xml:space="preserve">Gross-only emissions </w:t>
      </w:r>
      <w:r w:rsidR="00EB1B06" w:rsidRPr="00617706">
        <w:t xml:space="preserve">intensity </w:t>
      </w:r>
      <w:r w:rsidR="00EE3660" w:rsidRPr="00617706">
        <w:t>reduction (i</w:t>
      </w:r>
      <w:r w:rsidRPr="00617706">
        <w:t xml:space="preserve">ndependently </w:t>
      </w:r>
      <w:r w:rsidR="00E26052" w:rsidRPr="00617706">
        <w:t>assured</w:t>
      </w:r>
      <w:r w:rsidR="00EE3660" w:rsidRPr="00617706">
        <w:t>)</w:t>
      </w:r>
    </w:p>
    <w:p w14:paraId="68B1C209" w14:textId="4E06382E" w:rsidR="000E18FF" w:rsidRPr="00617706" w:rsidRDefault="00AA3695" w:rsidP="007A39F8">
      <w:pPr>
        <w:pStyle w:val="BodyText1"/>
        <w:spacing w:before="0" w:after="240"/>
        <w:rPr>
          <w:i/>
          <w:iCs/>
        </w:rPr>
      </w:pPr>
      <w:r w:rsidRPr="00617706">
        <w:rPr>
          <w:i/>
          <w:iCs/>
        </w:rPr>
        <w:t>“</w:t>
      </w:r>
      <w:r w:rsidR="003A3E04" w:rsidRPr="00617706">
        <w:rPr>
          <w:i/>
          <w:iCs/>
        </w:rPr>
        <w:t xml:space="preserve">Company C will reduce its </w:t>
      </w:r>
      <w:r w:rsidR="0084634D" w:rsidRPr="00617706">
        <w:rPr>
          <w:i/>
          <w:iCs/>
        </w:rPr>
        <w:t>gross</w:t>
      </w:r>
      <w:r w:rsidR="003A3E04" w:rsidRPr="00617706">
        <w:rPr>
          <w:i/>
          <w:iCs/>
        </w:rPr>
        <w:t xml:space="preserve"> </w:t>
      </w:r>
      <w:r w:rsidR="004468A8" w:rsidRPr="00617706">
        <w:rPr>
          <w:i/>
          <w:iCs/>
        </w:rPr>
        <w:t xml:space="preserve">operated </w:t>
      </w:r>
      <w:r w:rsidR="00C82723" w:rsidRPr="00617706">
        <w:rPr>
          <w:i/>
          <w:iCs/>
        </w:rPr>
        <w:t xml:space="preserve">Scope 1 and 2 </w:t>
      </w:r>
      <w:r w:rsidR="003A3E04" w:rsidRPr="00617706">
        <w:rPr>
          <w:i/>
          <w:iCs/>
        </w:rPr>
        <w:t xml:space="preserve">emissions </w:t>
      </w:r>
      <w:r w:rsidR="00AA5271" w:rsidRPr="00617706">
        <w:rPr>
          <w:i/>
          <w:iCs/>
        </w:rPr>
        <w:t xml:space="preserve">intensity </w:t>
      </w:r>
      <w:r w:rsidR="00900D22" w:rsidRPr="00617706">
        <w:rPr>
          <w:i/>
          <w:iCs/>
        </w:rPr>
        <w:t xml:space="preserve">per unit of energy produced </w:t>
      </w:r>
      <w:r w:rsidR="003A3E04" w:rsidRPr="00617706">
        <w:rPr>
          <w:i/>
          <w:iCs/>
        </w:rPr>
        <w:t xml:space="preserve">by </w:t>
      </w:r>
      <w:r w:rsidR="00274A82" w:rsidRPr="00617706">
        <w:rPr>
          <w:i/>
          <w:iCs/>
        </w:rPr>
        <w:t>50%</w:t>
      </w:r>
      <w:r w:rsidR="002666D2" w:rsidRPr="00617706">
        <w:rPr>
          <w:i/>
          <w:iCs/>
        </w:rPr>
        <w:t xml:space="preserve"> by 2030 </w:t>
      </w:r>
      <w:r w:rsidR="003D3B40" w:rsidRPr="00617706">
        <w:rPr>
          <w:i/>
          <w:iCs/>
        </w:rPr>
        <w:t xml:space="preserve">relative to </w:t>
      </w:r>
      <w:r w:rsidR="004B1B45" w:rsidRPr="00617706">
        <w:rPr>
          <w:i/>
          <w:iCs/>
        </w:rPr>
        <w:t>201</w:t>
      </w:r>
      <w:r w:rsidR="007E5996" w:rsidRPr="00617706">
        <w:rPr>
          <w:i/>
          <w:iCs/>
        </w:rPr>
        <w:t>6</w:t>
      </w:r>
      <w:r w:rsidR="002218C8" w:rsidRPr="00617706">
        <w:rPr>
          <w:i/>
          <w:iCs/>
        </w:rPr>
        <w:t xml:space="preserve"> gross levels</w:t>
      </w:r>
      <w:r w:rsidR="00E34C65" w:rsidRPr="00617706">
        <w:rPr>
          <w:i/>
          <w:iCs/>
        </w:rPr>
        <w:t xml:space="preserve"> (</w:t>
      </w:r>
      <w:r w:rsidR="009E5631" w:rsidRPr="00617706">
        <w:rPr>
          <w:i/>
          <w:iCs/>
        </w:rPr>
        <w:t xml:space="preserve">from </w:t>
      </w:r>
      <w:r w:rsidR="007E5996" w:rsidRPr="00617706">
        <w:rPr>
          <w:i/>
          <w:iCs/>
        </w:rPr>
        <w:t>4</w:t>
      </w:r>
      <w:r w:rsidR="00E34C65" w:rsidRPr="00617706">
        <w:rPr>
          <w:i/>
          <w:iCs/>
        </w:rPr>
        <w:t xml:space="preserve">0 </w:t>
      </w:r>
      <w:r w:rsidR="00352DB5" w:rsidRPr="00617706">
        <w:rPr>
          <w:i/>
          <w:iCs/>
        </w:rPr>
        <w:t>kg</w:t>
      </w:r>
      <w:r w:rsidR="00CD2691" w:rsidRPr="00617706">
        <w:rPr>
          <w:i/>
          <w:iCs/>
        </w:rPr>
        <w:t xml:space="preserve"> CO</w:t>
      </w:r>
      <w:r w:rsidR="00CD2691" w:rsidRPr="00617706">
        <w:rPr>
          <w:i/>
          <w:iCs/>
          <w:vertAlign w:val="subscript"/>
        </w:rPr>
        <w:t>2</w:t>
      </w:r>
      <w:r w:rsidR="00CD2691" w:rsidRPr="00617706">
        <w:rPr>
          <w:i/>
          <w:iCs/>
        </w:rPr>
        <w:t>-e</w:t>
      </w:r>
      <w:r w:rsidR="00352DB5" w:rsidRPr="00617706">
        <w:rPr>
          <w:i/>
          <w:iCs/>
        </w:rPr>
        <w:t>/BOE</w:t>
      </w:r>
      <w:r w:rsidR="009E5631" w:rsidRPr="00617706">
        <w:rPr>
          <w:i/>
          <w:iCs/>
        </w:rPr>
        <w:t xml:space="preserve"> to 20 </w:t>
      </w:r>
      <w:r w:rsidR="00CD2691" w:rsidRPr="00617706">
        <w:rPr>
          <w:i/>
          <w:iCs/>
        </w:rPr>
        <w:t>kg CO</w:t>
      </w:r>
      <w:r w:rsidR="00CD2691" w:rsidRPr="00617706">
        <w:rPr>
          <w:i/>
          <w:iCs/>
          <w:vertAlign w:val="subscript"/>
        </w:rPr>
        <w:t>2</w:t>
      </w:r>
      <w:r w:rsidR="00CD2691" w:rsidRPr="00617706">
        <w:rPr>
          <w:i/>
          <w:iCs/>
        </w:rPr>
        <w:t>-e/BOE</w:t>
      </w:r>
      <w:r w:rsidR="0012057A" w:rsidRPr="00617706">
        <w:rPr>
          <w:i/>
          <w:iCs/>
        </w:rPr>
        <w:t>)</w:t>
      </w:r>
      <w:r w:rsidR="002218C8" w:rsidRPr="00617706">
        <w:rPr>
          <w:i/>
          <w:iCs/>
        </w:rPr>
        <w:t>”</w:t>
      </w:r>
    </w:p>
    <w:p w14:paraId="72AE9799" w14:textId="77777777" w:rsidR="00675D3C" w:rsidRPr="00617706" w:rsidRDefault="00D602BA" w:rsidP="000E18FF">
      <w:pPr>
        <w:pStyle w:val="BodyText1"/>
        <w:spacing w:before="0" w:after="0"/>
        <w:ind w:left="709"/>
        <w:rPr>
          <w:b/>
          <w:bCs/>
        </w:rPr>
      </w:pPr>
      <w:r w:rsidRPr="00617706">
        <w:rPr>
          <w:b/>
          <w:bCs/>
        </w:rPr>
        <w:t>Commitment type</w:t>
      </w:r>
      <w:r w:rsidR="00653C62" w:rsidRPr="00617706">
        <w:rPr>
          <w:b/>
          <w:bCs/>
        </w:rPr>
        <w:tab/>
      </w:r>
      <w:r w:rsidR="00653C62" w:rsidRPr="00617706">
        <w:rPr>
          <w:b/>
          <w:bCs/>
        </w:rPr>
        <w:tab/>
      </w:r>
      <w:r w:rsidR="00675D3C" w:rsidRPr="00617706">
        <w:t>Other commitment (independently assured)</w:t>
      </w:r>
    </w:p>
    <w:p w14:paraId="782ECCC1" w14:textId="77777777" w:rsidR="00D81C48" w:rsidRPr="00617706" w:rsidRDefault="00A55F66" w:rsidP="000E18FF">
      <w:pPr>
        <w:pStyle w:val="BodyText1"/>
        <w:spacing w:before="0" w:after="0"/>
        <w:ind w:left="709"/>
        <w:rPr>
          <w:b/>
          <w:bCs/>
        </w:rPr>
      </w:pPr>
      <w:r w:rsidRPr="00617706">
        <w:rPr>
          <w:b/>
          <w:bCs/>
        </w:rPr>
        <w:t xml:space="preserve">Other </w:t>
      </w:r>
      <w:r w:rsidR="00E52E3C" w:rsidRPr="00617706">
        <w:rPr>
          <w:b/>
          <w:bCs/>
        </w:rPr>
        <w:t>commitment type</w:t>
      </w:r>
      <w:r w:rsidR="00E52E3C" w:rsidRPr="00617706">
        <w:rPr>
          <w:b/>
          <w:bCs/>
        </w:rPr>
        <w:tab/>
      </w:r>
      <w:r w:rsidR="00E766BB" w:rsidRPr="00617706">
        <w:t xml:space="preserve">Emissions intensity reduction </w:t>
      </w:r>
      <w:r w:rsidR="00D81C48" w:rsidRPr="00617706">
        <w:t>(gross only)</w:t>
      </w:r>
    </w:p>
    <w:p w14:paraId="336594F0" w14:textId="59F71D60" w:rsidR="000E18FF" w:rsidRPr="00617706" w:rsidRDefault="000E18FF" w:rsidP="000E18FF">
      <w:pPr>
        <w:pStyle w:val="BodyText1"/>
        <w:spacing w:before="0" w:after="0"/>
        <w:ind w:left="709"/>
        <w:rPr>
          <w:b/>
          <w:bCs/>
        </w:rPr>
      </w:pPr>
      <w:r w:rsidRPr="00617706">
        <w:rPr>
          <w:b/>
          <w:bCs/>
        </w:rPr>
        <w:t>Commitment goal</w:t>
      </w:r>
      <w:r w:rsidRPr="00617706">
        <w:tab/>
      </w:r>
      <w:r w:rsidRPr="00617706">
        <w:tab/>
      </w:r>
      <w:r w:rsidR="009256B8" w:rsidRPr="00617706">
        <w:t>50</w:t>
      </w:r>
      <w:r w:rsidRPr="00617706">
        <w:t>% reduction</w:t>
      </w:r>
      <w:r w:rsidRPr="00617706">
        <w:rPr>
          <w:b/>
          <w:bCs/>
        </w:rPr>
        <w:t xml:space="preserve"> </w:t>
      </w:r>
    </w:p>
    <w:p w14:paraId="5B0F96E6" w14:textId="77777777" w:rsidR="000E18FF" w:rsidRPr="00617706" w:rsidRDefault="000E18FF" w:rsidP="000E18FF">
      <w:pPr>
        <w:pStyle w:val="BodyText1"/>
        <w:spacing w:before="0" w:after="0"/>
        <w:ind w:left="709"/>
      </w:pPr>
      <w:r w:rsidRPr="00617706">
        <w:rPr>
          <w:b/>
          <w:bCs/>
        </w:rPr>
        <w:t>Commitment year</w:t>
      </w:r>
      <w:r w:rsidRPr="00617706">
        <w:tab/>
      </w:r>
      <w:r w:rsidRPr="00617706">
        <w:tab/>
        <w:t>2030</w:t>
      </w:r>
    </w:p>
    <w:p w14:paraId="001CDBFC" w14:textId="0856FEBD" w:rsidR="000E18FF" w:rsidRPr="00617706" w:rsidRDefault="000E18FF" w:rsidP="000E18FF">
      <w:pPr>
        <w:pStyle w:val="BodyText1"/>
        <w:spacing w:before="0" w:after="0"/>
        <w:ind w:left="709"/>
      </w:pPr>
      <w:r w:rsidRPr="00617706">
        <w:rPr>
          <w:b/>
          <w:bCs/>
        </w:rPr>
        <w:t>Base period</w:t>
      </w:r>
      <w:r w:rsidRPr="00617706">
        <w:tab/>
      </w:r>
      <w:r w:rsidRPr="00617706">
        <w:tab/>
      </w:r>
      <w:r w:rsidRPr="00617706">
        <w:tab/>
        <w:t>201</w:t>
      </w:r>
      <w:r w:rsidR="00BB0B62" w:rsidRPr="00617706">
        <w:t>6</w:t>
      </w:r>
      <w:r w:rsidRPr="00617706">
        <w:rPr>
          <w:b/>
          <w:bCs/>
        </w:rPr>
        <w:t xml:space="preserve"> </w:t>
      </w:r>
    </w:p>
    <w:p w14:paraId="6E3011A2" w14:textId="77777777" w:rsidR="000E18FF" w:rsidRPr="00617706" w:rsidRDefault="000E18FF" w:rsidP="000E18FF">
      <w:pPr>
        <w:pStyle w:val="BodyText1"/>
        <w:spacing w:before="0" w:after="0"/>
        <w:ind w:left="709"/>
      </w:pPr>
      <w:r w:rsidRPr="00617706">
        <w:rPr>
          <w:b/>
          <w:bCs/>
        </w:rPr>
        <w:t>Coverage</w:t>
      </w:r>
      <w:r w:rsidRPr="00617706">
        <w:tab/>
      </w:r>
      <w:r w:rsidRPr="00617706">
        <w:tab/>
      </w:r>
      <w:r w:rsidRPr="00617706">
        <w:tab/>
        <w:t>Both Scope 1 and Scope 2 emissions</w:t>
      </w:r>
    </w:p>
    <w:p w14:paraId="452171CF" w14:textId="1638344F" w:rsidR="000E18FF" w:rsidRPr="00617706" w:rsidRDefault="000E18FF" w:rsidP="000E18FF">
      <w:pPr>
        <w:pStyle w:val="BodyText1"/>
        <w:spacing w:before="0" w:after="0"/>
        <w:ind w:left="709"/>
      </w:pPr>
      <w:r w:rsidRPr="00617706">
        <w:rPr>
          <w:b/>
          <w:bCs/>
        </w:rPr>
        <w:t>Basis</w:t>
      </w:r>
      <w:r w:rsidRPr="00617706">
        <w:tab/>
      </w:r>
      <w:r w:rsidRPr="00617706">
        <w:tab/>
      </w:r>
      <w:r w:rsidRPr="00617706">
        <w:tab/>
      </w:r>
      <w:r w:rsidRPr="00617706">
        <w:tab/>
      </w:r>
      <w:r w:rsidR="007D5AED" w:rsidRPr="00617706">
        <w:t>Gross</w:t>
      </w:r>
      <w:r w:rsidRPr="00617706">
        <w:t xml:space="preserve"> basis</w:t>
      </w:r>
    </w:p>
    <w:p w14:paraId="5C19CB35" w14:textId="6AE996D3" w:rsidR="0035454A" w:rsidRPr="00617706" w:rsidRDefault="0035454A" w:rsidP="000E18FF">
      <w:pPr>
        <w:pStyle w:val="BodyText1"/>
        <w:spacing w:before="0" w:after="0"/>
        <w:ind w:left="709"/>
        <w:rPr>
          <w:b/>
          <w:bCs/>
        </w:rPr>
      </w:pPr>
      <w:r w:rsidRPr="00617706">
        <w:rPr>
          <w:b/>
          <w:bCs/>
        </w:rPr>
        <w:t>Progress metric</w:t>
      </w:r>
      <w:r w:rsidRPr="00617706">
        <w:rPr>
          <w:b/>
          <w:bCs/>
        </w:rPr>
        <w:tab/>
      </w:r>
      <w:r w:rsidRPr="00617706">
        <w:rPr>
          <w:b/>
          <w:bCs/>
        </w:rPr>
        <w:tab/>
      </w:r>
      <w:r w:rsidRPr="00617706">
        <w:rPr>
          <w:b/>
          <w:bCs/>
        </w:rPr>
        <w:tab/>
      </w:r>
      <w:r w:rsidR="00C37F4B" w:rsidRPr="00617706">
        <w:t>kg</w:t>
      </w:r>
      <w:r w:rsidR="009B1851" w:rsidRPr="00617706">
        <w:t xml:space="preserve"> CO</w:t>
      </w:r>
      <w:r w:rsidR="009B1851" w:rsidRPr="00617706">
        <w:rPr>
          <w:vertAlign w:val="subscript"/>
        </w:rPr>
        <w:t>2</w:t>
      </w:r>
      <w:r w:rsidR="009B1851" w:rsidRPr="00617706">
        <w:t>-e</w:t>
      </w:r>
      <w:r w:rsidR="00C37F4B" w:rsidRPr="00617706">
        <w:t>/BOE</w:t>
      </w:r>
    </w:p>
    <w:p w14:paraId="52AB5547" w14:textId="0F780B70" w:rsidR="007D5AED" w:rsidRPr="00617706" w:rsidRDefault="007D5AED" w:rsidP="000E18FF">
      <w:pPr>
        <w:pStyle w:val="BodyText1"/>
        <w:spacing w:before="0" w:after="0"/>
        <w:ind w:left="709"/>
      </w:pPr>
      <w:r w:rsidRPr="00617706">
        <w:rPr>
          <w:b/>
          <w:bCs/>
        </w:rPr>
        <w:t>Reporting year measurement</w:t>
      </w:r>
      <w:r w:rsidRPr="00617706">
        <w:rPr>
          <w:b/>
          <w:bCs/>
        </w:rPr>
        <w:tab/>
      </w:r>
      <w:r w:rsidR="00F8082B" w:rsidRPr="00617706">
        <w:t>35</w:t>
      </w:r>
      <w:r w:rsidR="00FF26B5" w:rsidRPr="00617706">
        <w:t xml:space="preserve"> </w:t>
      </w:r>
      <w:r w:rsidR="00B650AE" w:rsidRPr="00617706">
        <w:t>kg CO</w:t>
      </w:r>
      <w:r w:rsidR="00B650AE" w:rsidRPr="00617706">
        <w:rPr>
          <w:vertAlign w:val="subscript"/>
        </w:rPr>
        <w:t>2</w:t>
      </w:r>
      <w:r w:rsidR="00B650AE" w:rsidRPr="00617706">
        <w:t>-e/BOE</w:t>
      </w:r>
    </w:p>
    <w:p w14:paraId="77F9855C" w14:textId="515137C1" w:rsidR="00A245E8" w:rsidRPr="00617706" w:rsidRDefault="00A245E8" w:rsidP="000E18FF">
      <w:pPr>
        <w:pStyle w:val="BodyText1"/>
        <w:spacing w:before="0" w:after="0"/>
        <w:ind w:left="709"/>
      </w:pPr>
      <w:r w:rsidRPr="00617706">
        <w:rPr>
          <w:b/>
          <w:bCs/>
        </w:rPr>
        <w:t>Base period measurement</w:t>
      </w:r>
      <w:r w:rsidRPr="00617706">
        <w:rPr>
          <w:b/>
          <w:bCs/>
        </w:rPr>
        <w:tab/>
      </w:r>
      <w:r w:rsidR="006A5F7B" w:rsidRPr="00617706">
        <w:t xml:space="preserve">40 </w:t>
      </w:r>
      <w:r w:rsidR="00B650AE" w:rsidRPr="00617706">
        <w:t>kg CO</w:t>
      </w:r>
      <w:r w:rsidR="00B650AE" w:rsidRPr="00617706">
        <w:rPr>
          <w:vertAlign w:val="subscript"/>
        </w:rPr>
        <w:t>2</w:t>
      </w:r>
      <w:r w:rsidR="00B650AE" w:rsidRPr="00617706">
        <w:t>-e/BOE</w:t>
      </w:r>
    </w:p>
    <w:p w14:paraId="75F95B3E" w14:textId="56DBCB5D" w:rsidR="00265766" w:rsidRPr="00617706" w:rsidRDefault="00265766" w:rsidP="007A39F8">
      <w:pPr>
        <w:pStyle w:val="BodyText1"/>
        <w:spacing w:before="240" w:after="0"/>
        <w:ind w:left="709"/>
      </w:pPr>
      <w:r w:rsidRPr="00617706">
        <w:t>Company C reports this commitment as an “independently assured commitment” as:</w:t>
      </w:r>
    </w:p>
    <w:p w14:paraId="412F6E09" w14:textId="7C5CC9FF" w:rsidR="00900D22" w:rsidRPr="00617706" w:rsidRDefault="00A536FD" w:rsidP="00B62364">
      <w:pPr>
        <w:pStyle w:val="BodyText1"/>
        <w:numPr>
          <w:ilvl w:val="0"/>
          <w:numId w:val="3"/>
        </w:numPr>
        <w:spacing w:before="0" w:after="0"/>
        <w:ind w:left="1607"/>
      </w:pPr>
      <w:r w:rsidRPr="00617706">
        <w:t>i</w:t>
      </w:r>
      <w:r w:rsidR="00B046E1" w:rsidRPr="00617706">
        <w:t xml:space="preserve">t </w:t>
      </w:r>
      <w:r w:rsidR="00900D22" w:rsidRPr="00617706">
        <w:t>cannot be verified using CER-held data</w:t>
      </w:r>
    </w:p>
    <w:p w14:paraId="51013FC4" w14:textId="007FE52F" w:rsidR="00653BCE" w:rsidRPr="00617706" w:rsidRDefault="00AE1B46" w:rsidP="00B62364">
      <w:pPr>
        <w:pStyle w:val="BodyText1"/>
        <w:numPr>
          <w:ilvl w:val="0"/>
          <w:numId w:val="3"/>
        </w:numPr>
        <w:spacing w:before="0" w:after="0"/>
        <w:ind w:left="1607"/>
      </w:pPr>
      <w:r w:rsidRPr="00617706">
        <w:t>t</w:t>
      </w:r>
      <w:r w:rsidR="00265766" w:rsidRPr="00617706">
        <w:t>hey</w:t>
      </w:r>
      <w:r w:rsidRPr="00617706">
        <w:t xml:space="preserve"> </w:t>
      </w:r>
      <w:r w:rsidR="00265766" w:rsidRPr="00617706">
        <w:t>receive</w:t>
      </w:r>
      <w:r w:rsidRPr="00617706">
        <w:t>d</w:t>
      </w:r>
      <w:r w:rsidR="00A14102" w:rsidRPr="00617706">
        <w:t xml:space="preserve"> limited assurance</w:t>
      </w:r>
      <w:r w:rsidR="00032D46" w:rsidRPr="00617706">
        <w:t xml:space="preserve"> of their</w:t>
      </w:r>
      <w:r w:rsidR="00A14102" w:rsidRPr="00617706">
        <w:t xml:space="preserve"> </w:t>
      </w:r>
      <w:r w:rsidR="00CE35EE" w:rsidRPr="00617706">
        <w:t xml:space="preserve">reporting year </w:t>
      </w:r>
      <w:r w:rsidR="00A14102" w:rsidRPr="00617706">
        <w:t xml:space="preserve">emissions </w:t>
      </w:r>
      <w:r w:rsidR="00900D22" w:rsidRPr="00617706">
        <w:t xml:space="preserve">intensity </w:t>
      </w:r>
      <w:r w:rsidR="00032D46" w:rsidRPr="00617706">
        <w:t>data</w:t>
      </w:r>
    </w:p>
    <w:p w14:paraId="57879E7E" w14:textId="2D7C20CF" w:rsidR="00265766" w:rsidRPr="00617706" w:rsidRDefault="00FE6BD0" w:rsidP="00B62364">
      <w:pPr>
        <w:pStyle w:val="BodyText1"/>
        <w:numPr>
          <w:ilvl w:val="0"/>
          <w:numId w:val="3"/>
        </w:numPr>
        <w:spacing w:before="0" w:after="0"/>
        <w:ind w:left="1607"/>
      </w:pPr>
      <w:r w:rsidRPr="00617706">
        <w:t>t</w:t>
      </w:r>
      <w:r w:rsidR="00265766" w:rsidRPr="00617706">
        <w:t>hey receive</w:t>
      </w:r>
      <w:r w:rsidR="00AE1B46" w:rsidRPr="00617706">
        <w:t>d</w:t>
      </w:r>
      <w:r w:rsidR="00265766" w:rsidRPr="00617706">
        <w:t xml:space="preserve"> limited assurance of their </w:t>
      </w:r>
      <w:r w:rsidR="00115CA0" w:rsidRPr="00617706">
        <w:t>2016</w:t>
      </w:r>
      <w:r w:rsidR="00265766" w:rsidRPr="00617706">
        <w:t xml:space="preserve"> gross emissions </w:t>
      </w:r>
      <w:r w:rsidR="00115CA0" w:rsidRPr="00617706">
        <w:t xml:space="preserve">intensity </w:t>
      </w:r>
      <w:r w:rsidR="00265766" w:rsidRPr="00617706">
        <w:t>data</w:t>
      </w:r>
    </w:p>
    <w:p w14:paraId="1CC5BE3A" w14:textId="5CA2FDD1" w:rsidR="00032D46" w:rsidRPr="00617706" w:rsidRDefault="00FE6BD0" w:rsidP="00B62364">
      <w:pPr>
        <w:pStyle w:val="BodyText1"/>
        <w:numPr>
          <w:ilvl w:val="0"/>
          <w:numId w:val="3"/>
        </w:numPr>
        <w:spacing w:before="0" w:after="0"/>
        <w:ind w:left="1607"/>
      </w:pPr>
      <w:r w:rsidRPr="00617706">
        <w:lastRenderedPageBreak/>
        <w:t>t</w:t>
      </w:r>
      <w:r w:rsidR="00264FFE" w:rsidRPr="00617706">
        <w:t xml:space="preserve">he </w:t>
      </w:r>
      <w:r w:rsidR="00CE59BD" w:rsidRPr="00617706">
        <w:t xml:space="preserve">data was assured </w:t>
      </w:r>
      <w:r w:rsidR="008B7F9C" w:rsidRPr="00617706">
        <w:t xml:space="preserve">by a qualified assurance practitioner in accordance </w:t>
      </w:r>
      <w:r w:rsidR="0054592E" w:rsidRPr="00617706">
        <w:t xml:space="preserve">with </w:t>
      </w:r>
      <w:r w:rsidR="00314A51" w:rsidRPr="00617706">
        <w:t xml:space="preserve">the standard </w:t>
      </w:r>
      <w:r w:rsidR="0054592E" w:rsidRPr="00617706">
        <w:rPr>
          <w:i/>
          <w:iCs/>
        </w:rPr>
        <w:t>ISAE 3410: Assurance Engagements on Greenhouse Gas Statements</w:t>
      </w:r>
    </w:p>
    <w:p w14:paraId="2A869214" w14:textId="1A79625E" w:rsidR="009B7A92" w:rsidRPr="00617706" w:rsidRDefault="000F41C6" w:rsidP="00501E49">
      <w:pPr>
        <w:pStyle w:val="BodyText1"/>
        <w:numPr>
          <w:ilvl w:val="0"/>
          <w:numId w:val="3"/>
        </w:numPr>
        <w:spacing w:before="0" w:after="0"/>
        <w:ind w:left="1607"/>
      </w:pPr>
      <w:r w:rsidRPr="00617706">
        <w:t xml:space="preserve">the assurance report </w:t>
      </w:r>
      <w:r w:rsidR="00525AF7" w:rsidRPr="00617706">
        <w:t>was</w:t>
      </w:r>
      <w:r w:rsidR="00B678B5" w:rsidRPr="00617706">
        <w:t xml:space="preserve"> provided to </w:t>
      </w:r>
      <w:r w:rsidR="008555E1" w:rsidRPr="00617706">
        <w:t>CER.</w:t>
      </w:r>
    </w:p>
    <w:p w14:paraId="1C6880A9" w14:textId="34DCE006" w:rsidR="00473C63" w:rsidRPr="00617706" w:rsidRDefault="00473C63" w:rsidP="007A39F8">
      <w:pPr>
        <w:pStyle w:val="Heading4"/>
      </w:pPr>
      <w:r w:rsidRPr="00617706">
        <w:t xml:space="preserve">Example 5 – </w:t>
      </w:r>
      <w:r w:rsidR="000E18FF" w:rsidRPr="00617706">
        <w:t>Global r</w:t>
      </w:r>
      <w:r w:rsidRPr="00617706">
        <w:t xml:space="preserve">enewable electricity commitment </w:t>
      </w:r>
      <w:r w:rsidR="00812F2C" w:rsidRPr="00617706">
        <w:t>(independently assured)</w:t>
      </w:r>
    </w:p>
    <w:p w14:paraId="4F0E8964" w14:textId="1F1F0044" w:rsidR="00095C6B" w:rsidRPr="007A39F8" w:rsidRDefault="00F61BF3" w:rsidP="007A39F8">
      <w:pPr>
        <w:pStyle w:val="BodyText1"/>
        <w:spacing w:before="0" w:after="240"/>
        <w:rPr>
          <w:i/>
          <w:iCs/>
        </w:rPr>
      </w:pPr>
      <w:r w:rsidRPr="00617706">
        <w:rPr>
          <w:i/>
          <w:iCs/>
        </w:rPr>
        <w:t xml:space="preserve">“Company </w:t>
      </w:r>
      <w:r w:rsidR="00972ABE" w:rsidRPr="00617706">
        <w:rPr>
          <w:i/>
          <w:iCs/>
        </w:rPr>
        <w:t xml:space="preserve">D will </w:t>
      </w:r>
      <w:r w:rsidR="00994C7E" w:rsidRPr="00617706">
        <w:rPr>
          <w:i/>
          <w:iCs/>
        </w:rPr>
        <w:t xml:space="preserve">source </w:t>
      </w:r>
      <w:r w:rsidR="00095C6B" w:rsidRPr="00617706">
        <w:rPr>
          <w:i/>
          <w:iCs/>
        </w:rPr>
        <w:t>60</w:t>
      </w:r>
      <w:r w:rsidR="00DE03CC" w:rsidRPr="00617706">
        <w:rPr>
          <w:i/>
          <w:iCs/>
        </w:rPr>
        <w:t xml:space="preserve">% of electricity </w:t>
      </w:r>
      <w:r w:rsidR="00E375EF" w:rsidRPr="00617706">
        <w:rPr>
          <w:i/>
          <w:iCs/>
        </w:rPr>
        <w:t xml:space="preserve">used </w:t>
      </w:r>
      <w:r w:rsidR="000E18FF" w:rsidRPr="00617706">
        <w:rPr>
          <w:i/>
          <w:iCs/>
        </w:rPr>
        <w:t xml:space="preserve">across its global operations </w:t>
      </w:r>
      <w:r w:rsidR="008653C3" w:rsidRPr="00617706">
        <w:rPr>
          <w:i/>
          <w:iCs/>
        </w:rPr>
        <w:t xml:space="preserve">from renewable sources by </w:t>
      </w:r>
      <w:r w:rsidR="00095C6B" w:rsidRPr="00617706">
        <w:rPr>
          <w:i/>
          <w:iCs/>
        </w:rPr>
        <w:t>2025-26”</w:t>
      </w:r>
    </w:p>
    <w:p w14:paraId="47CD603F" w14:textId="720A4773" w:rsidR="009F1347" w:rsidRPr="00617706" w:rsidRDefault="009F1347" w:rsidP="007A39F8">
      <w:pPr>
        <w:pStyle w:val="BodyText1"/>
        <w:spacing w:before="120" w:after="0"/>
        <w:ind w:left="709"/>
      </w:pPr>
      <w:r w:rsidRPr="00617706">
        <w:t xml:space="preserve">Company D reports this commitment as an </w:t>
      </w:r>
      <w:r w:rsidR="007733EE" w:rsidRPr="00617706">
        <w:t>“independently assured commitment” as:</w:t>
      </w:r>
    </w:p>
    <w:p w14:paraId="07A440CE" w14:textId="434D0603" w:rsidR="002A576C" w:rsidRPr="00617706" w:rsidRDefault="00B2758E" w:rsidP="00B62364">
      <w:pPr>
        <w:pStyle w:val="BodyText1"/>
        <w:numPr>
          <w:ilvl w:val="0"/>
          <w:numId w:val="4"/>
        </w:numPr>
        <w:spacing w:before="0" w:after="0"/>
        <w:ind w:left="1607"/>
      </w:pPr>
      <w:r w:rsidRPr="00617706">
        <w:t>g</w:t>
      </w:r>
      <w:r w:rsidR="001B3660" w:rsidRPr="00617706">
        <w:t xml:space="preserve">lobal </w:t>
      </w:r>
      <w:r w:rsidR="002A576C" w:rsidRPr="00617706">
        <w:t xml:space="preserve">progress </w:t>
      </w:r>
      <w:r w:rsidR="001B3660" w:rsidRPr="00617706">
        <w:t>cannot</w:t>
      </w:r>
      <w:r w:rsidR="002A576C" w:rsidRPr="00617706">
        <w:t xml:space="preserve"> be verified using CER-held data</w:t>
      </w:r>
    </w:p>
    <w:p w14:paraId="0C8C1000" w14:textId="613B4212" w:rsidR="007733EE" w:rsidRPr="00617706" w:rsidRDefault="00F06BA8" w:rsidP="00B62364">
      <w:pPr>
        <w:pStyle w:val="BodyText1"/>
        <w:numPr>
          <w:ilvl w:val="0"/>
          <w:numId w:val="4"/>
        </w:numPr>
        <w:spacing w:before="0" w:after="0"/>
        <w:ind w:left="1607"/>
      </w:pPr>
      <w:r w:rsidRPr="00617706">
        <w:t>they receive reasonable assurance of their energy data</w:t>
      </w:r>
    </w:p>
    <w:p w14:paraId="0D6E25A9" w14:textId="2094A7A5" w:rsidR="00AF70EB" w:rsidRPr="00617706" w:rsidRDefault="008765E2" w:rsidP="00B62364">
      <w:pPr>
        <w:pStyle w:val="BodyText1"/>
        <w:numPr>
          <w:ilvl w:val="0"/>
          <w:numId w:val="4"/>
        </w:numPr>
        <w:spacing w:before="0" w:after="0"/>
        <w:ind w:left="1607"/>
      </w:pPr>
      <w:r w:rsidRPr="00617706">
        <w:t xml:space="preserve">the data was assured by a qualified assurance practitioner in accordance with the standard </w:t>
      </w:r>
      <w:r w:rsidR="00CD5BE9" w:rsidRPr="00617706">
        <w:rPr>
          <w:i/>
          <w:iCs/>
        </w:rPr>
        <w:t xml:space="preserve">ASAE 3000: Assurance Engagements </w:t>
      </w:r>
      <w:r w:rsidR="00571362" w:rsidRPr="00617706">
        <w:rPr>
          <w:i/>
          <w:iCs/>
        </w:rPr>
        <w:t>Other than Audits or Reviews of Historical Financial Information</w:t>
      </w:r>
    </w:p>
    <w:p w14:paraId="715FB4A4" w14:textId="5D5317E5" w:rsidR="00473C63" w:rsidRPr="00617706" w:rsidRDefault="00571362" w:rsidP="00501E49">
      <w:pPr>
        <w:pStyle w:val="BodyText1"/>
        <w:numPr>
          <w:ilvl w:val="0"/>
          <w:numId w:val="4"/>
        </w:numPr>
        <w:spacing w:before="0" w:after="0"/>
        <w:ind w:left="1607"/>
      </w:pPr>
      <w:r w:rsidRPr="00617706">
        <w:t xml:space="preserve">the assurance report was provided to </w:t>
      </w:r>
      <w:r w:rsidR="008555E1" w:rsidRPr="00617706">
        <w:t>CER</w:t>
      </w:r>
      <w:r w:rsidRPr="00617706">
        <w:t>.</w:t>
      </w:r>
    </w:p>
    <w:p w14:paraId="079EC5F6" w14:textId="61CE478F" w:rsidR="009B7A92" w:rsidRPr="009B7A92" w:rsidRDefault="009B7A92" w:rsidP="007A39F8">
      <w:pPr>
        <w:pStyle w:val="Heading4"/>
      </w:pPr>
      <w:r w:rsidRPr="00617706">
        <w:t xml:space="preserve">Example </w:t>
      </w:r>
      <w:r w:rsidR="00CF3CBB" w:rsidRPr="00617706">
        <w:t xml:space="preserve">6 </w:t>
      </w:r>
      <w:r w:rsidRPr="00617706">
        <w:t>– Other commitment (company assured)</w:t>
      </w:r>
      <w:r w:rsidRPr="009B7A92">
        <w:t xml:space="preserve">  </w:t>
      </w:r>
    </w:p>
    <w:p w14:paraId="711D26C9" w14:textId="419C3182" w:rsidR="009B7A92" w:rsidRDefault="009B7A92" w:rsidP="00501E49">
      <w:pPr>
        <w:pStyle w:val="BodyText1"/>
        <w:spacing w:before="0" w:after="0"/>
        <w:rPr>
          <w:i/>
          <w:iCs/>
        </w:rPr>
      </w:pPr>
      <w:r w:rsidRPr="009B7A92">
        <w:rPr>
          <w:i/>
          <w:iCs/>
        </w:rPr>
        <w:t>“</w:t>
      </w:r>
      <w:r w:rsidR="00FD706C">
        <w:rPr>
          <w:i/>
          <w:iCs/>
        </w:rPr>
        <w:t>Company E will i</w:t>
      </w:r>
      <w:r w:rsidR="00FD706C" w:rsidRPr="009B7A92">
        <w:rPr>
          <w:i/>
          <w:iCs/>
        </w:rPr>
        <w:t xml:space="preserve">mprove </w:t>
      </w:r>
      <w:r w:rsidRPr="009B7A92">
        <w:rPr>
          <w:i/>
          <w:iCs/>
        </w:rPr>
        <w:t>controlled generation intensity (t CO</w:t>
      </w:r>
      <w:r w:rsidRPr="007910C3">
        <w:rPr>
          <w:i/>
          <w:iCs/>
          <w:vertAlign w:val="subscript"/>
        </w:rPr>
        <w:t>2</w:t>
      </w:r>
      <w:r w:rsidR="006B42FE">
        <w:rPr>
          <w:i/>
          <w:iCs/>
        </w:rPr>
        <w:t>-</w:t>
      </w:r>
      <w:r w:rsidRPr="009B7A92">
        <w:rPr>
          <w:i/>
          <w:iCs/>
        </w:rPr>
        <w:t>e/MWh) from FY18-19 levels.”</w:t>
      </w:r>
    </w:p>
    <w:p w14:paraId="71761542" w14:textId="77777777" w:rsidR="00F87FF7" w:rsidRDefault="00F87FF7" w:rsidP="00501E49">
      <w:pPr>
        <w:pStyle w:val="BodyText1"/>
        <w:spacing w:before="0" w:after="0"/>
        <w:rPr>
          <w:i/>
          <w:iCs/>
        </w:rPr>
      </w:pPr>
    </w:p>
    <w:p w14:paraId="4E325E65" w14:textId="1CE8B9FD" w:rsidR="009B7A92" w:rsidRPr="007A39F8" w:rsidRDefault="00F87FF7" w:rsidP="007A39F8">
      <w:pPr>
        <w:pStyle w:val="BodyText1"/>
        <w:spacing w:before="0" w:after="0"/>
        <w:ind w:left="709"/>
      </w:pPr>
      <w:r>
        <w:t xml:space="preserve">Company E reports this commitment as </w:t>
      </w:r>
      <w:r w:rsidR="00E8746D">
        <w:t xml:space="preserve">a “company assured commitment” as they do not have </w:t>
      </w:r>
      <w:r w:rsidR="008B7E8C">
        <w:t xml:space="preserve">independent </w:t>
      </w:r>
      <w:r w:rsidR="00E8746D">
        <w:t xml:space="preserve">assurance over the </w:t>
      </w:r>
      <w:r w:rsidR="008B7E8C">
        <w:t>base period or reporting year measurements.</w:t>
      </w:r>
    </w:p>
    <w:p w14:paraId="7D5C29CC" w14:textId="26BA06A6" w:rsidR="009B7A92" w:rsidRPr="009B7A92" w:rsidRDefault="009B7A92" w:rsidP="007A39F8">
      <w:pPr>
        <w:pStyle w:val="Heading4"/>
      </w:pPr>
      <w:r w:rsidRPr="005D5FE5">
        <w:t xml:space="preserve">Example </w:t>
      </w:r>
      <w:r w:rsidR="009B7575">
        <w:t>7</w:t>
      </w:r>
      <w:r w:rsidR="009B7575" w:rsidRPr="009B7A92">
        <w:t xml:space="preserve"> </w:t>
      </w:r>
      <w:r w:rsidRPr="00C53EE7">
        <w:t>– Commitments and supporting context statements</w:t>
      </w:r>
    </w:p>
    <w:p w14:paraId="53BC6088" w14:textId="4C891DAA" w:rsidR="009B7A92" w:rsidRDefault="009B7A92" w:rsidP="00501E49">
      <w:pPr>
        <w:pStyle w:val="BodyText1"/>
        <w:spacing w:before="0" w:after="0"/>
      </w:pPr>
      <w:r w:rsidRPr="009B7A92">
        <w:t xml:space="preserve">CERT </w:t>
      </w:r>
      <w:r w:rsidR="00511A1D">
        <w:t>p</w:t>
      </w:r>
      <w:r w:rsidRPr="009B7A92">
        <w:t xml:space="preserve">articipants </w:t>
      </w:r>
      <w:r w:rsidR="0074642A">
        <w:t>must</w:t>
      </w:r>
      <w:r w:rsidR="0074642A" w:rsidRPr="009B7A92">
        <w:t xml:space="preserve"> </w:t>
      </w:r>
      <w:r w:rsidRPr="009B7A92">
        <w:t xml:space="preserve">provide a brief supporting </w:t>
      </w:r>
      <w:r w:rsidR="00452126">
        <w:t xml:space="preserve">context </w:t>
      </w:r>
      <w:r w:rsidRPr="009B7A92">
        <w:t xml:space="preserve">statement as context for each </w:t>
      </w:r>
      <w:r w:rsidR="00D60BBD">
        <w:t>of their</w:t>
      </w:r>
      <w:r w:rsidR="006706D3">
        <w:t xml:space="preserve"> </w:t>
      </w:r>
      <w:r w:rsidRPr="009B7A92">
        <w:t>commitment</w:t>
      </w:r>
      <w:r w:rsidR="00D60BBD">
        <w:t>s</w:t>
      </w:r>
      <w:r w:rsidRPr="009B7A92">
        <w:t>. The table below show</w:t>
      </w:r>
      <w:r w:rsidR="00C2071F">
        <w:t>s</w:t>
      </w:r>
      <w:r w:rsidRPr="009B7A92">
        <w:t xml:space="preserve"> different types of commitments and examples of appropriate supporting statements. </w:t>
      </w:r>
    </w:p>
    <w:p w14:paraId="61ECD903" w14:textId="77777777" w:rsidR="00501E49" w:rsidRPr="009B7A92" w:rsidRDefault="00501E49" w:rsidP="00501E49">
      <w:pPr>
        <w:pStyle w:val="BodyText1"/>
        <w:spacing w:before="0" w:after="0"/>
      </w:pPr>
    </w:p>
    <w:tbl>
      <w:tblPr>
        <w:tblStyle w:val="CERTable"/>
        <w:tblW w:w="0" w:type="auto"/>
        <w:tblLook w:val="04A0" w:firstRow="1" w:lastRow="0" w:firstColumn="1" w:lastColumn="0" w:noHBand="0" w:noVBand="1"/>
      </w:tblPr>
      <w:tblGrid>
        <w:gridCol w:w="1750"/>
        <w:gridCol w:w="4285"/>
        <w:gridCol w:w="3705"/>
      </w:tblGrid>
      <w:tr w:rsidR="0041081A" w14:paraId="36984395" w14:textId="14D1A719" w:rsidTr="00AC6FA6">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750" w:type="dxa"/>
          </w:tcPr>
          <w:p w14:paraId="6176CC62" w14:textId="1690A4A1" w:rsidR="0041081A" w:rsidRDefault="0041081A" w:rsidP="00B004C9">
            <w:pPr>
              <w:spacing w:after="0"/>
            </w:pPr>
          </w:p>
        </w:tc>
        <w:tc>
          <w:tcPr>
            <w:tcW w:w="4285" w:type="dxa"/>
            <w:vAlign w:val="center"/>
          </w:tcPr>
          <w:p w14:paraId="7D72C263" w14:textId="07A1CF91" w:rsidR="0041081A" w:rsidRPr="00AC6FA6" w:rsidRDefault="0041081A" w:rsidP="00AC6FA6">
            <w:pPr>
              <w:cnfStyle w:val="100000000000" w:firstRow="1" w:lastRow="0" w:firstColumn="0" w:lastColumn="0" w:oddVBand="0" w:evenVBand="0" w:oddHBand="0" w:evenHBand="0" w:firstRowFirstColumn="0" w:firstRowLastColumn="0" w:lastRowFirstColumn="0" w:lastRowLastColumn="0"/>
              <w:rPr>
                <w:sz w:val="20"/>
                <w:szCs w:val="22"/>
              </w:rPr>
            </w:pPr>
            <w:r w:rsidRPr="00AC6FA6">
              <w:rPr>
                <w:sz w:val="20"/>
                <w:szCs w:val="22"/>
              </w:rPr>
              <w:t xml:space="preserve">Commitment </w:t>
            </w:r>
            <w:r w:rsidR="00452126">
              <w:rPr>
                <w:sz w:val="20"/>
                <w:szCs w:val="22"/>
              </w:rPr>
              <w:t>statement</w:t>
            </w:r>
          </w:p>
        </w:tc>
        <w:tc>
          <w:tcPr>
            <w:tcW w:w="3705" w:type="dxa"/>
            <w:vAlign w:val="center"/>
          </w:tcPr>
          <w:p w14:paraId="4A0426B3" w14:textId="3804C19A" w:rsidR="0041081A" w:rsidRPr="00AC6FA6" w:rsidRDefault="0041081A" w:rsidP="00AC6FA6">
            <w:pPr>
              <w:cnfStyle w:val="100000000000" w:firstRow="1" w:lastRow="0" w:firstColumn="0" w:lastColumn="0" w:oddVBand="0" w:evenVBand="0" w:oddHBand="0" w:evenHBand="0" w:firstRowFirstColumn="0" w:firstRowLastColumn="0" w:lastRowFirstColumn="0" w:lastRowLastColumn="0"/>
              <w:rPr>
                <w:sz w:val="20"/>
                <w:szCs w:val="22"/>
              </w:rPr>
            </w:pPr>
            <w:r w:rsidRPr="00AC6FA6">
              <w:rPr>
                <w:sz w:val="20"/>
                <w:szCs w:val="22"/>
              </w:rPr>
              <w:t>Supporting context</w:t>
            </w:r>
            <w:r w:rsidR="00452126">
              <w:rPr>
                <w:sz w:val="20"/>
                <w:szCs w:val="22"/>
              </w:rPr>
              <w:t xml:space="preserve"> statement</w:t>
            </w:r>
          </w:p>
        </w:tc>
      </w:tr>
      <w:tr w:rsidR="0041081A" w14:paraId="478E0917" w14:textId="2294C022" w:rsidTr="00327BDF">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750" w:type="dxa"/>
            <w:vAlign w:val="center"/>
          </w:tcPr>
          <w:p w14:paraId="0A656919" w14:textId="77777777" w:rsidR="0041081A" w:rsidRPr="00FB286D" w:rsidRDefault="0041081A" w:rsidP="00AC6FA6">
            <w:pPr>
              <w:rPr>
                <w:sz w:val="20"/>
                <w:szCs w:val="22"/>
              </w:rPr>
            </w:pPr>
            <w:r w:rsidRPr="00FB286D">
              <w:rPr>
                <w:sz w:val="20"/>
                <w:szCs w:val="22"/>
              </w:rPr>
              <w:t>CERT Participant A</w:t>
            </w:r>
          </w:p>
        </w:tc>
        <w:tc>
          <w:tcPr>
            <w:tcW w:w="4285" w:type="dxa"/>
            <w:vAlign w:val="center"/>
          </w:tcPr>
          <w:p w14:paraId="416B2C44" w14:textId="40D360C0" w:rsidR="0041081A" w:rsidRDefault="0041081A" w:rsidP="00AC6FA6">
            <w:pPr>
              <w:cnfStyle w:val="000000100000" w:firstRow="0" w:lastRow="0" w:firstColumn="0" w:lastColumn="0" w:oddVBand="0" w:evenVBand="0" w:oddHBand="1" w:evenHBand="0" w:firstRowFirstColumn="0" w:firstRowLastColumn="0" w:lastRowFirstColumn="0" w:lastRowLastColumn="0"/>
            </w:pPr>
            <w:r w:rsidRPr="00AC6FA6">
              <w:rPr>
                <w:i/>
                <w:iCs/>
                <w:sz w:val="20"/>
                <w:szCs w:val="22"/>
              </w:rPr>
              <w:t>“Company A has committed to reduce Scope 1 and Scope 2 emissions from a FY2020 baseline year quantity of 25 Mt CO</w:t>
            </w:r>
            <w:r w:rsidRPr="00AC6FA6">
              <w:rPr>
                <w:i/>
                <w:iCs/>
                <w:sz w:val="20"/>
                <w:szCs w:val="22"/>
                <w:vertAlign w:val="subscript"/>
              </w:rPr>
              <w:t>2</w:t>
            </w:r>
            <w:r w:rsidRPr="00AC6FA6">
              <w:rPr>
                <w:i/>
                <w:iCs/>
                <w:sz w:val="20"/>
                <w:szCs w:val="22"/>
              </w:rPr>
              <w:t>‐e to net zero in FY2040.”</w:t>
            </w:r>
          </w:p>
        </w:tc>
        <w:tc>
          <w:tcPr>
            <w:tcW w:w="3705" w:type="dxa"/>
            <w:vAlign w:val="center"/>
          </w:tcPr>
          <w:p w14:paraId="3F9B9C76" w14:textId="706B5BE6" w:rsidR="0041081A" w:rsidRPr="003607C9" w:rsidRDefault="0041081A" w:rsidP="00AC6FA6">
            <w:pPr>
              <w:cnfStyle w:val="000000100000" w:firstRow="0" w:lastRow="0" w:firstColumn="0" w:lastColumn="0" w:oddVBand="0" w:evenVBand="0" w:oddHBand="1" w:evenHBand="0" w:firstRowFirstColumn="0" w:firstRowLastColumn="0" w:lastRowFirstColumn="0" w:lastRowLastColumn="0"/>
              <w:rPr>
                <w:b/>
                <w:bCs/>
                <w:i/>
                <w:iCs/>
              </w:rPr>
            </w:pPr>
            <w:r w:rsidRPr="00FB286D">
              <w:rPr>
                <w:b/>
                <w:bCs/>
                <w:i/>
                <w:iCs/>
                <w:sz w:val="20"/>
                <w:szCs w:val="22"/>
              </w:rPr>
              <w:t>“Company A has committed to global net zero. Australian emissions will be targeted from 2030 onwards as current efficiency investments are realised.”</w:t>
            </w:r>
          </w:p>
        </w:tc>
      </w:tr>
      <w:tr w:rsidR="0041081A" w14:paraId="30262DBA" w14:textId="255E23C2" w:rsidTr="00327BDF">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750" w:type="dxa"/>
            <w:vAlign w:val="center"/>
          </w:tcPr>
          <w:p w14:paraId="2EFF8FC6" w14:textId="77777777" w:rsidR="0041081A" w:rsidRPr="003607C9" w:rsidRDefault="0041081A" w:rsidP="00AC6FA6">
            <w:pPr>
              <w:rPr>
                <w:sz w:val="20"/>
                <w:szCs w:val="22"/>
              </w:rPr>
            </w:pPr>
            <w:r w:rsidRPr="003607C9">
              <w:rPr>
                <w:sz w:val="20"/>
                <w:szCs w:val="22"/>
              </w:rPr>
              <w:t>CERT Participant B</w:t>
            </w:r>
          </w:p>
        </w:tc>
        <w:tc>
          <w:tcPr>
            <w:tcW w:w="4285" w:type="dxa"/>
            <w:vAlign w:val="center"/>
          </w:tcPr>
          <w:p w14:paraId="09C39B36" w14:textId="204BE1E4" w:rsidR="0041081A" w:rsidRDefault="0041081A" w:rsidP="003607C9">
            <w:pPr>
              <w:cnfStyle w:val="000000010000" w:firstRow="0" w:lastRow="0" w:firstColumn="0" w:lastColumn="0" w:oddVBand="0" w:evenVBand="0" w:oddHBand="0" w:evenHBand="1" w:firstRowFirstColumn="0" w:firstRowLastColumn="0" w:lastRowFirstColumn="0" w:lastRowLastColumn="0"/>
            </w:pPr>
            <w:r w:rsidRPr="003607C9">
              <w:rPr>
                <w:i/>
                <w:iCs/>
                <w:sz w:val="20"/>
                <w:szCs w:val="22"/>
              </w:rPr>
              <w:t>“Company B has a</w:t>
            </w:r>
            <w:r w:rsidR="00D52791">
              <w:rPr>
                <w:i/>
                <w:iCs/>
                <w:sz w:val="20"/>
                <w:szCs w:val="22"/>
              </w:rPr>
              <w:t xml:space="preserve"> goal of</w:t>
            </w:r>
            <w:r w:rsidRPr="003607C9">
              <w:rPr>
                <w:i/>
                <w:iCs/>
                <w:sz w:val="20"/>
                <w:szCs w:val="22"/>
              </w:rPr>
              <w:t xml:space="preserve"> 50% renewable energy consumption by 2030.”</w:t>
            </w:r>
          </w:p>
        </w:tc>
        <w:tc>
          <w:tcPr>
            <w:tcW w:w="3705" w:type="dxa"/>
            <w:vAlign w:val="center"/>
          </w:tcPr>
          <w:p w14:paraId="278E86B2" w14:textId="510C4AB0" w:rsidR="0041081A" w:rsidRPr="003607C9" w:rsidRDefault="0041081A" w:rsidP="003607C9">
            <w:pPr>
              <w:cnfStyle w:val="000000010000" w:firstRow="0" w:lastRow="0" w:firstColumn="0" w:lastColumn="0" w:oddVBand="0" w:evenVBand="0" w:oddHBand="0" w:evenHBand="1" w:firstRowFirstColumn="0" w:firstRowLastColumn="0" w:lastRowFirstColumn="0" w:lastRowLastColumn="0"/>
              <w:rPr>
                <w:b/>
                <w:bCs/>
                <w:i/>
                <w:iCs/>
              </w:rPr>
            </w:pPr>
            <w:r w:rsidRPr="003607C9">
              <w:rPr>
                <w:b/>
                <w:bCs/>
                <w:i/>
                <w:iCs/>
                <w:sz w:val="20"/>
                <w:szCs w:val="22"/>
              </w:rPr>
              <w:t>“Company B has invested in rooftop solar systems for each of its stores where leasing arrangements allow. Large-scale generation certificates sourced from Power Purchase Agreements will be voluntarily surrendered in increasing quantities approaching 2030.”</w:t>
            </w:r>
          </w:p>
        </w:tc>
      </w:tr>
    </w:tbl>
    <w:p w14:paraId="11D04F01" w14:textId="77777777" w:rsidR="006E6E7A" w:rsidRDefault="006E6E7A" w:rsidP="00501E49">
      <w:pPr>
        <w:pStyle w:val="BodyText1"/>
        <w:spacing w:before="0" w:after="0"/>
      </w:pPr>
    </w:p>
    <w:p w14:paraId="3596CA8B" w14:textId="0533052E" w:rsidR="006E6E7A" w:rsidRPr="00327BDF" w:rsidRDefault="00BD70FF" w:rsidP="007A39F8">
      <w:pPr>
        <w:pStyle w:val="Heading4"/>
      </w:pPr>
      <w:r w:rsidRPr="005D5FE5">
        <w:t xml:space="preserve">Example 8 – </w:t>
      </w:r>
      <w:r w:rsidR="00AA3634">
        <w:t>Company assured c</w:t>
      </w:r>
      <w:r w:rsidRPr="005D5FE5">
        <w:t xml:space="preserve">ommitments and </w:t>
      </w:r>
      <w:r w:rsidR="004C612E" w:rsidRPr="00C53EE7">
        <w:t>progress statements</w:t>
      </w:r>
    </w:p>
    <w:p w14:paraId="744F4096" w14:textId="5227D89A" w:rsidR="004C612E" w:rsidRDefault="001405D9" w:rsidP="00501E49">
      <w:pPr>
        <w:pStyle w:val="BodyText1"/>
        <w:spacing w:before="0" w:after="0"/>
      </w:pPr>
      <w:r>
        <w:t xml:space="preserve">In addition to a supporting context statement, </w:t>
      </w:r>
      <w:r w:rsidR="004C612E">
        <w:t xml:space="preserve">CERT </w:t>
      </w:r>
      <w:r w:rsidR="009312D6">
        <w:t>p</w:t>
      </w:r>
      <w:r w:rsidR="004C612E">
        <w:t xml:space="preserve">articipants must provide a brief yearly update for each </w:t>
      </w:r>
      <w:r w:rsidR="00B959BD">
        <w:t xml:space="preserve">of their </w:t>
      </w:r>
      <w:r w:rsidR="004C612E">
        <w:t>company assured commitment</w:t>
      </w:r>
      <w:r w:rsidR="00B959BD">
        <w:t>s</w:t>
      </w:r>
      <w:r w:rsidR="00C2071F">
        <w:t xml:space="preserve">. The table below shows </w:t>
      </w:r>
      <w:r w:rsidR="007F6B13">
        <w:t xml:space="preserve">examples of </w:t>
      </w:r>
      <w:r w:rsidR="00A628EB">
        <w:t>progress statements for different company assured commitments.</w:t>
      </w:r>
    </w:p>
    <w:p w14:paraId="566B071E" w14:textId="77777777" w:rsidR="00BD70FF" w:rsidRDefault="00BD70FF" w:rsidP="00501E49">
      <w:pPr>
        <w:pStyle w:val="BodyText1"/>
        <w:spacing w:before="0" w:after="0"/>
      </w:pPr>
    </w:p>
    <w:tbl>
      <w:tblPr>
        <w:tblStyle w:val="CERTable"/>
        <w:tblW w:w="9746" w:type="dxa"/>
        <w:tblLook w:val="04A0" w:firstRow="1" w:lastRow="0" w:firstColumn="1" w:lastColumn="0" w:noHBand="0" w:noVBand="1"/>
      </w:tblPr>
      <w:tblGrid>
        <w:gridCol w:w="1752"/>
        <w:gridCol w:w="4286"/>
        <w:gridCol w:w="3708"/>
      </w:tblGrid>
      <w:tr w:rsidR="009B7A92" w14:paraId="18FBC3CB" w14:textId="77777777" w:rsidTr="00327BDF">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752" w:type="dxa"/>
          </w:tcPr>
          <w:p w14:paraId="39FD0F4E" w14:textId="1A25BBE6" w:rsidR="009B7A92" w:rsidRDefault="009B7A92" w:rsidP="003607C9">
            <w:pPr>
              <w:spacing w:after="0"/>
            </w:pPr>
          </w:p>
        </w:tc>
        <w:tc>
          <w:tcPr>
            <w:tcW w:w="4286" w:type="dxa"/>
            <w:vAlign w:val="center"/>
          </w:tcPr>
          <w:p w14:paraId="3C40EBA4" w14:textId="77777777" w:rsidR="009B7A92" w:rsidRPr="003607C9" w:rsidRDefault="009B7A92" w:rsidP="00AC6FA6">
            <w:pPr>
              <w:cnfStyle w:val="100000000000" w:firstRow="1" w:lastRow="0" w:firstColumn="0" w:lastColumn="0" w:oddVBand="0" w:evenVBand="0" w:oddHBand="0" w:evenHBand="0" w:firstRowFirstColumn="0" w:firstRowLastColumn="0" w:lastRowFirstColumn="0" w:lastRowLastColumn="0"/>
              <w:rPr>
                <w:sz w:val="20"/>
                <w:szCs w:val="22"/>
              </w:rPr>
            </w:pPr>
            <w:r w:rsidRPr="003607C9">
              <w:rPr>
                <w:sz w:val="20"/>
                <w:szCs w:val="22"/>
              </w:rPr>
              <w:t>Other commitment (company assured)</w:t>
            </w:r>
          </w:p>
        </w:tc>
        <w:tc>
          <w:tcPr>
            <w:tcW w:w="3708" w:type="dxa"/>
            <w:vAlign w:val="center"/>
          </w:tcPr>
          <w:p w14:paraId="219CD749" w14:textId="67DC018D" w:rsidR="009B7A92" w:rsidRPr="003607C9" w:rsidRDefault="00C07806" w:rsidP="00AC6FA6">
            <w:pPr>
              <w:cnfStyle w:val="100000000000" w:firstRow="1" w:lastRow="0" w:firstColumn="0" w:lastColumn="0" w:oddVBand="0" w:evenVBand="0" w:oddHBand="0" w:evenHBand="0" w:firstRowFirstColumn="0" w:firstRowLastColumn="0" w:lastRowFirstColumn="0" w:lastRowLastColumn="0"/>
              <w:rPr>
                <w:sz w:val="20"/>
                <w:szCs w:val="22"/>
              </w:rPr>
            </w:pPr>
            <w:r w:rsidRPr="003607C9">
              <w:rPr>
                <w:sz w:val="20"/>
                <w:szCs w:val="22"/>
              </w:rPr>
              <w:t>2022 progress statement</w:t>
            </w:r>
            <w:r w:rsidR="009B7A92" w:rsidRPr="003607C9">
              <w:rPr>
                <w:sz w:val="20"/>
                <w:szCs w:val="22"/>
              </w:rPr>
              <w:t xml:space="preserve"> </w:t>
            </w:r>
          </w:p>
        </w:tc>
      </w:tr>
      <w:tr w:rsidR="009B7A92" w14:paraId="3F49AD7F" w14:textId="77777777" w:rsidTr="00327BDF">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752" w:type="dxa"/>
            <w:vAlign w:val="center"/>
          </w:tcPr>
          <w:p w14:paraId="0D930609" w14:textId="77777777" w:rsidR="009B7A92" w:rsidRPr="003607C9" w:rsidRDefault="009B7A92" w:rsidP="00AC6FA6">
            <w:pPr>
              <w:rPr>
                <w:sz w:val="20"/>
                <w:szCs w:val="22"/>
              </w:rPr>
            </w:pPr>
            <w:r w:rsidRPr="003607C9">
              <w:rPr>
                <w:sz w:val="20"/>
                <w:szCs w:val="22"/>
              </w:rPr>
              <w:t>CERT Participant A</w:t>
            </w:r>
          </w:p>
        </w:tc>
        <w:tc>
          <w:tcPr>
            <w:tcW w:w="4286" w:type="dxa"/>
            <w:vAlign w:val="center"/>
          </w:tcPr>
          <w:p w14:paraId="5C5B3F17" w14:textId="08E9772D" w:rsidR="009B7A92" w:rsidRPr="00AC6FA6" w:rsidRDefault="009B7A92" w:rsidP="003607C9">
            <w:pPr>
              <w:cnfStyle w:val="000000100000" w:firstRow="0" w:lastRow="0" w:firstColumn="0" w:lastColumn="0" w:oddVBand="0" w:evenVBand="0" w:oddHBand="1" w:evenHBand="0" w:firstRowFirstColumn="0" w:firstRowLastColumn="0" w:lastRowFirstColumn="0" w:lastRowLastColumn="0"/>
            </w:pPr>
            <w:r w:rsidRPr="003607C9">
              <w:rPr>
                <w:sz w:val="20"/>
                <w:szCs w:val="22"/>
              </w:rPr>
              <w:t>“Improve controlled generation emissions intensity (t</w:t>
            </w:r>
            <w:r w:rsidR="004E0AFB" w:rsidRPr="003607C9">
              <w:rPr>
                <w:sz w:val="20"/>
                <w:szCs w:val="22"/>
              </w:rPr>
              <w:t xml:space="preserve"> </w:t>
            </w:r>
            <w:r w:rsidRPr="003607C9">
              <w:rPr>
                <w:sz w:val="20"/>
                <w:szCs w:val="22"/>
              </w:rPr>
              <w:t>CO</w:t>
            </w:r>
            <w:r w:rsidRPr="003607C9">
              <w:rPr>
                <w:sz w:val="20"/>
                <w:szCs w:val="22"/>
                <w:vertAlign w:val="subscript"/>
              </w:rPr>
              <w:t>2</w:t>
            </w:r>
            <w:r w:rsidR="004E0AFB" w:rsidRPr="003607C9">
              <w:rPr>
                <w:sz w:val="20"/>
                <w:szCs w:val="22"/>
              </w:rPr>
              <w:t>-</w:t>
            </w:r>
            <w:r w:rsidRPr="003607C9">
              <w:rPr>
                <w:sz w:val="20"/>
                <w:szCs w:val="22"/>
              </w:rPr>
              <w:t>e/MWh) from FY18-19 levels.”</w:t>
            </w:r>
          </w:p>
        </w:tc>
        <w:tc>
          <w:tcPr>
            <w:tcW w:w="3708" w:type="dxa"/>
            <w:vAlign w:val="center"/>
          </w:tcPr>
          <w:p w14:paraId="33903B8F" w14:textId="77777777" w:rsidR="009B7A92" w:rsidRPr="003607C9" w:rsidRDefault="009B7A92" w:rsidP="003607C9">
            <w:pPr>
              <w:cnfStyle w:val="000000100000" w:firstRow="0" w:lastRow="0" w:firstColumn="0" w:lastColumn="0" w:oddVBand="0" w:evenVBand="0" w:oddHBand="1" w:evenHBand="0" w:firstRowFirstColumn="0" w:firstRowLastColumn="0" w:lastRowFirstColumn="0" w:lastRowLastColumn="0"/>
              <w:rPr>
                <w:b/>
                <w:bCs/>
                <w:i/>
                <w:iCs/>
                <w:sz w:val="20"/>
                <w:szCs w:val="22"/>
              </w:rPr>
            </w:pPr>
            <w:r w:rsidRPr="003607C9">
              <w:rPr>
                <w:b/>
                <w:bCs/>
                <w:i/>
                <w:iCs/>
                <w:sz w:val="20"/>
                <w:szCs w:val="22"/>
              </w:rPr>
              <w:t>“Company A has reduced generation emissions intensity from 16 to 12 t CO</w:t>
            </w:r>
            <w:r w:rsidRPr="00C02804">
              <w:rPr>
                <w:b/>
                <w:bCs/>
                <w:i/>
                <w:iCs/>
                <w:sz w:val="20"/>
                <w:szCs w:val="22"/>
                <w:vertAlign w:val="subscript"/>
              </w:rPr>
              <w:t>2</w:t>
            </w:r>
            <w:r w:rsidRPr="003607C9">
              <w:rPr>
                <w:b/>
                <w:bCs/>
                <w:i/>
                <w:iCs/>
                <w:sz w:val="20"/>
                <w:szCs w:val="22"/>
              </w:rPr>
              <w:t>-e/MWh.”</w:t>
            </w:r>
          </w:p>
        </w:tc>
      </w:tr>
      <w:tr w:rsidR="009B7A92" w14:paraId="6C657DDB" w14:textId="77777777" w:rsidTr="00327BDF">
        <w:trPr>
          <w:cnfStyle w:val="000000010000" w:firstRow="0" w:lastRow="0" w:firstColumn="0" w:lastColumn="0" w:oddVBand="0" w:evenVBand="0" w:oddHBand="0" w:evenHBand="1"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752" w:type="dxa"/>
            <w:vAlign w:val="center"/>
          </w:tcPr>
          <w:p w14:paraId="0891C518" w14:textId="7705A71B" w:rsidR="009B7A92" w:rsidRPr="003607C9" w:rsidRDefault="009B7A92" w:rsidP="00AC6FA6">
            <w:pPr>
              <w:rPr>
                <w:sz w:val="20"/>
                <w:szCs w:val="22"/>
              </w:rPr>
            </w:pPr>
            <w:r w:rsidRPr="003607C9">
              <w:rPr>
                <w:sz w:val="20"/>
                <w:szCs w:val="22"/>
              </w:rPr>
              <w:t>CERT Participant B</w:t>
            </w:r>
          </w:p>
        </w:tc>
        <w:tc>
          <w:tcPr>
            <w:tcW w:w="4286" w:type="dxa"/>
            <w:vAlign w:val="center"/>
          </w:tcPr>
          <w:p w14:paraId="5B42E908" w14:textId="77777777" w:rsidR="009B7A92" w:rsidRDefault="009B7A92" w:rsidP="003607C9">
            <w:pPr>
              <w:spacing w:after="0"/>
              <w:cnfStyle w:val="000000010000" w:firstRow="0" w:lastRow="0" w:firstColumn="0" w:lastColumn="0" w:oddVBand="0" w:evenVBand="0" w:oddHBand="0" w:evenHBand="1" w:firstRowFirstColumn="0" w:firstRowLastColumn="0" w:lastRowFirstColumn="0" w:lastRowLastColumn="0"/>
            </w:pPr>
            <w:r w:rsidRPr="00385221">
              <w:rPr>
                <w:i/>
                <w:iCs/>
                <w:sz w:val="20"/>
                <w:szCs w:val="20"/>
              </w:rPr>
              <w:t>“Company B is working with its supply chain partners to consider and reduce Scope 3 emissions</w:t>
            </w:r>
            <w:r>
              <w:rPr>
                <w:i/>
                <w:iCs/>
                <w:sz w:val="20"/>
                <w:szCs w:val="20"/>
              </w:rPr>
              <w:t>.</w:t>
            </w:r>
            <w:r w:rsidRPr="00385221">
              <w:rPr>
                <w:i/>
                <w:iCs/>
                <w:sz w:val="20"/>
                <w:szCs w:val="20"/>
              </w:rPr>
              <w:t>”</w:t>
            </w:r>
          </w:p>
        </w:tc>
        <w:tc>
          <w:tcPr>
            <w:tcW w:w="3708" w:type="dxa"/>
            <w:vAlign w:val="center"/>
          </w:tcPr>
          <w:p w14:paraId="30F2C467" w14:textId="77777777" w:rsidR="009B7A92" w:rsidRPr="003607C9" w:rsidRDefault="009B7A92" w:rsidP="00AC6FA6">
            <w:pPr>
              <w:cnfStyle w:val="000000010000" w:firstRow="0" w:lastRow="0" w:firstColumn="0" w:lastColumn="0" w:oddVBand="0" w:evenVBand="0" w:oddHBand="0" w:evenHBand="1" w:firstRowFirstColumn="0" w:firstRowLastColumn="0" w:lastRowFirstColumn="0" w:lastRowLastColumn="0"/>
              <w:rPr>
                <w:b/>
                <w:bCs/>
                <w:i/>
                <w:iCs/>
                <w:sz w:val="20"/>
                <w:szCs w:val="22"/>
              </w:rPr>
            </w:pPr>
            <w:r w:rsidRPr="003607C9">
              <w:rPr>
                <w:b/>
                <w:bCs/>
                <w:i/>
                <w:iCs/>
                <w:sz w:val="20"/>
                <w:szCs w:val="22"/>
              </w:rPr>
              <w:t>“Company B has improved disposal processes of packaging, reducing waste by 25%.”</w:t>
            </w:r>
          </w:p>
        </w:tc>
      </w:tr>
    </w:tbl>
    <w:p w14:paraId="27C3B344" w14:textId="77777777" w:rsidR="00501E49" w:rsidRDefault="00501E49" w:rsidP="00501E49">
      <w:pPr>
        <w:pStyle w:val="BodyText1"/>
        <w:spacing w:before="0" w:after="0"/>
      </w:pPr>
    </w:p>
    <w:p w14:paraId="6B0BF1D1" w14:textId="77777777" w:rsidR="00694DDE" w:rsidRDefault="00694DDE">
      <w:pPr>
        <w:spacing w:after="0"/>
        <w:rPr>
          <w:rFonts w:asciiTheme="majorHAnsi" w:eastAsia="Times New Roman" w:hAnsiTheme="majorHAnsi"/>
          <w:b/>
          <w:bCs/>
          <w:sz w:val="32"/>
          <w:szCs w:val="32"/>
        </w:rPr>
      </w:pPr>
      <w:r>
        <w:br w:type="page"/>
      </w:r>
    </w:p>
    <w:p w14:paraId="6CFB7EA6" w14:textId="508074C1" w:rsidR="009B7A92" w:rsidRDefault="009B7A92" w:rsidP="00501E49">
      <w:pPr>
        <w:pStyle w:val="Heading2"/>
        <w:spacing w:before="0"/>
      </w:pPr>
      <w:bookmarkStart w:id="11" w:name="_Toc121236623"/>
      <w:r>
        <w:lastRenderedPageBreak/>
        <w:t xml:space="preserve">Emissions accounting – </w:t>
      </w:r>
      <w:r w:rsidRPr="009B7A92">
        <w:rPr>
          <w:i/>
          <w:iCs/>
        </w:rPr>
        <w:t>Section 5 of the CERT Guidelines</w:t>
      </w:r>
      <w:bookmarkEnd w:id="11"/>
    </w:p>
    <w:p w14:paraId="3C4478CD" w14:textId="77777777" w:rsidR="00B06030" w:rsidRDefault="00B06030" w:rsidP="00501E49">
      <w:pPr>
        <w:pStyle w:val="BodyText1"/>
        <w:spacing w:before="0" w:after="0"/>
        <w:rPr>
          <w:b/>
        </w:rPr>
      </w:pPr>
    </w:p>
    <w:p w14:paraId="1DD77A85" w14:textId="585885B9" w:rsidR="009B7A92" w:rsidRPr="00617706" w:rsidRDefault="009B7A92" w:rsidP="007A39F8">
      <w:pPr>
        <w:pStyle w:val="Heading4"/>
      </w:pPr>
      <w:r w:rsidRPr="00617706">
        <w:t xml:space="preserve">Example </w:t>
      </w:r>
      <w:r w:rsidR="00321965" w:rsidRPr="00617706">
        <w:t xml:space="preserve">9 </w:t>
      </w:r>
      <w:r w:rsidRPr="00617706">
        <w:t xml:space="preserve">– Double counting provisions for a CERT </w:t>
      </w:r>
      <w:r w:rsidR="00D55D71" w:rsidRPr="00617706">
        <w:t>p</w:t>
      </w:r>
      <w:r w:rsidRPr="00617706">
        <w:t xml:space="preserve">articipant with </w:t>
      </w:r>
      <w:r w:rsidR="00D4407F" w:rsidRPr="00617706">
        <w:t xml:space="preserve">an ERF project at a </w:t>
      </w:r>
      <w:r w:rsidR="00F6227D" w:rsidRPr="00617706">
        <w:t xml:space="preserve">non-safeguard </w:t>
      </w:r>
      <w:r w:rsidRPr="00617706">
        <w:t>facility</w:t>
      </w:r>
    </w:p>
    <w:p w14:paraId="6E83F058" w14:textId="4CAE6031" w:rsidR="009B7A92" w:rsidRPr="00617706" w:rsidRDefault="0066793C" w:rsidP="00501E49">
      <w:pPr>
        <w:pStyle w:val="BodyText1"/>
        <w:spacing w:before="0" w:after="0"/>
      </w:pPr>
      <w:r w:rsidRPr="00617706">
        <w:t xml:space="preserve">Company </w:t>
      </w:r>
      <w:r w:rsidR="009B7A92" w:rsidRPr="00617706">
        <w:t xml:space="preserve">A has </w:t>
      </w:r>
      <w:r w:rsidRPr="00617706">
        <w:t xml:space="preserve">Gross Scope 1 </w:t>
      </w:r>
      <w:r w:rsidR="009B7A92" w:rsidRPr="00617706">
        <w:t>emissions of 200,000 tonnes of carbon dioxide equivalent emissions (t CO</w:t>
      </w:r>
      <w:r w:rsidR="009B7A92" w:rsidRPr="00617706">
        <w:rPr>
          <w:vertAlign w:val="subscript"/>
        </w:rPr>
        <w:t>2</w:t>
      </w:r>
      <w:r w:rsidR="009B7A92" w:rsidRPr="00617706">
        <w:t xml:space="preserve">-e). It undertakes an Emissions Reduction Fund (ERF) project </w:t>
      </w:r>
      <w:r w:rsidRPr="00617706">
        <w:t>at</w:t>
      </w:r>
      <w:r w:rsidR="005D0D96" w:rsidRPr="00617706">
        <w:t xml:space="preserve"> one of its</w:t>
      </w:r>
      <w:r w:rsidRPr="00617706">
        <w:t xml:space="preserve"> </w:t>
      </w:r>
      <w:r w:rsidRPr="00617706">
        <w:rPr>
          <w:b/>
          <w:bCs/>
        </w:rPr>
        <w:t>non-safegu</w:t>
      </w:r>
      <w:r w:rsidR="00FB21F6" w:rsidRPr="00617706">
        <w:rPr>
          <w:b/>
          <w:bCs/>
        </w:rPr>
        <w:t>a</w:t>
      </w:r>
      <w:r w:rsidRPr="00617706">
        <w:rPr>
          <w:b/>
          <w:bCs/>
        </w:rPr>
        <w:t>rd NGER facilit</w:t>
      </w:r>
      <w:r w:rsidR="005D0D96" w:rsidRPr="00617706">
        <w:rPr>
          <w:b/>
          <w:bCs/>
        </w:rPr>
        <w:t>ies</w:t>
      </w:r>
      <w:r w:rsidRPr="00617706">
        <w:rPr>
          <w:b/>
          <w:bCs/>
        </w:rPr>
        <w:t xml:space="preserve"> </w:t>
      </w:r>
      <w:r w:rsidR="009B7A92" w:rsidRPr="00617706">
        <w:t>that reduces emissions by 5,000 t CO</w:t>
      </w:r>
      <w:r w:rsidR="009B7A92" w:rsidRPr="00617706">
        <w:rPr>
          <w:vertAlign w:val="subscript"/>
        </w:rPr>
        <w:t>2</w:t>
      </w:r>
      <w:r w:rsidR="009B7A92" w:rsidRPr="00617706">
        <w:t xml:space="preserve">-e and receives 5,000 Australian Carbon Credit Units (ACCUs). </w:t>
      </w:r>
      <w:r w:rsidR="00B22695" w:rsidRPr="00617706">
        <w:t xml:space="preserve">Company </w:t>
      </w:r>
      <w:r w:rsidR="009B7A92" w:rsidRPr="00617706">
        <w:t>A’s actual reportable emissions fall to 195,000 t CO</w:t>
      </w:r>
      <w:r w:rsidR="009B7A92" w:rsidRPr="00617706">
        <w:rPr>
          <w:vertAlign w:val="subscript"/>
        </w:rPr>
        <w:t>2</w:t>
      </w:r>
      <w:r w:rsidR="009B7A92" w:rsidRPr="00617706">
        <w:t xml:space="preserve">-e. To avoid double counting, </w:t>
      </w:r>
      <w:r w:rsidR="00B22695" w:rsidRPr="00617706">
        <w:t xml:space="preserve">Company </w:t>
      </w:r>
      <w:r w:rsidR="009B7A92" w:rsidRPr="00617706">
        <w:t xml:space="preserve">A’s </w:t>
      </w:r>
      <w:r w:rsidR="002020E4" w:rsidRPr="00617706">
        <w:t>Gross</w:t>
      </w:r>
      <w:r w:rsidR="009B7A92" w:rsidRPr="00617706">
        <w:t xml:space="preserve"> </w:t>
      </w:r>
      <w:r w:rsidR="001C1427" w:rsidRPr="00617706">
        <w:t xml:space="preserve">Scope 1 </w:t>
      </w:r>
      <w:r w:rsidR="009B7A92" w:rsidRPr="00617706">
        <w:t>emission</w:t>
      </w:r>
      <w:r w:rsidR="00C1170F" w:rsidRPr="00617706">
        <w:t>s</w:t>
      </w:r>
      <w:r w:rsidR="009B7A92" w:rsidRPr="00617706">
        <w:t xml:space="preserve"> is increased by 5,000 </w:t>
      </w:r>
      <w:r w:rsidR="00BD6260" w:rsidRPr="00617706">
        <w:t>to 200,000 t CO</w:t>
      </w:r>
      <w:r w:rsidR="00BD6260" w:rsidRPr="000230A4">
        <w:rPr>
          <w:vertAlign w:val="subscript"/>
        </w:rPr>
        <w:t>2</w:t>
      </w:r>
      <w:r w:rsidR="00BD6260" w:rsidRPr="00617706">
        <w:t xml:space="preserve">-e </w:t>
      </w:r>
      <w:r w:rsidR="009B7A92" w:rsidRPr="00617706">
        <w:t>when the ACCUs are issued</w:t>
      </w:r>
      <w:r w:rsidR="007B6388" w:rsidRPr="00617706">
        <w:t xml:space="preserve">, </w:t>
      </w:r>
      <w:r w:rsidR="00E22D3F" w:rsidRPr="00617706">
        <w:t xml:space="preserve">regardless of who </w:t>
      </w:r>
      <w:r w:rsidR="00647121" w:rsidRPr="00617706">
        <w:t>w</w:t>
      </w:r>
      <w:r w:rsidR="00E22D3F" w:rsidRPr="00617706">
        <w:t>as issued the ACCUs.</w:t>
      </w:r>
    </w:p>
    <w:p w14:paraId="56A84A5E" w14:textId="77777777" w:rsidR="009B7A92" w:rsidRPr="00617706" w:rsidRDefault="009B7A92" w:rsidP="00501E49">
      <w:pPr>
        <w:pStyle w:val="BodyText1"/>
        <w:spacing w:before="0" w:after="0"/>
      </w:pPr>
    </w:p>
    <w:p w14:paraId="1139CF4B" w14:textId="5A8F1B5F" w:rsidR="009B7A92" w:rsidRPr="00617706" w:rsidRDefault="009B7A92" w:rsidP="00501E49">
      <w:pPr>
        <w:pStyle w:val="BodyText1"/>
        <w:spacing w:before="0" w:after="0"/>
      </w:pPr>
      <w:r w:rsidRPr="00617706">
        <w:t xml:space="preserve">If </w:t>
      </w:r>
      <w:r w:rsidR="00575EB1" w:rsidRPr="00617706">
        <w:t xml:space="preserve">Company </w:t>
      </w:r>
      <w:r w:rsidRPr="00617706">
        <w:t>A</w:t>
      </w:r>
      <w:r w:rsidR="005F0724" w:rsidRPr="00617706">
        <w:t xml:space="preserve"> </w:t>
      </w:r>
      <w:r w:rsidR="00D1657E" w:rsidRPr="00617706">
        <w:t xml:space="preserve">does not voluntarily surrender the </w:t>
      </w:r>
      <w:r w:rsidRPr="00617706">
        <w:t xml:space="preserve">ACCUs </w:t>
      </w:r>
      <w:r w:rsidR="00427799" w:rsidRPr="00617706">
        <w:t>(for example if they are sold to the Government under contract)</w:t>
      </w:r>
      <w:r w:rsidRPr="00617706">
        <w:t xml:space="preserve">, then </w:t>
      </w:r>
      <w:r w:rsidR="00D1657E" w:rsidRPr="00617706">
        <w:t xml:space="preserve">Company </w:t>
      </w:r>
      <w:r w:rsidRPr="00617706">
        <w:t>A’s emissions remain 200,000 t CO</w:t>
      </w:r>
      <w:r w:rsidRPr="00617706">
        <w:rPr>
          <w:vertAlign w:val="subscript"/>
        </w:rPr>
        <w:t>2</w:t>
      </w:r>
      <w:r w:rsidRPr="00617706">
        <w:t xml:space="preserve">-e. If </w:t>
      </w:r>
      <w:r w:rsidR="00EF7516" w:rsidRPr="00617706">
        <w:t xml:space="preserve">Company </w:t>
      </w:r>
      <w:r w:rsidRPr="00617706">
        <w:t xml:space="preserve">A </w:t>
      </w:r>
      <w:r w:rsidR="00EF7516" w:rsidRPr="00617706">
        <w:t xml:space="preserve">voluntarily </w:t>
      </w:r>
      <w:r w:rsidR="00E27409" w:rsidRPr="00617706">
        <w:t xml:space="preserve">surrenders </w:t>
      </w:r>
      <w:r w:rsidRPr="00617706">
        <w:t xml:space="preserve">the 5,000 ACCUs, then its gross emissions number </w:t>
      </w:r>
      <w:r w:rsidR="002E08AD" w:rsidRPr="00617706">
        <w:t xml:space="preserve">will be </w:t>
      </w:r>
      <w:r w:rsidRPr="00617706">
        <w:t>reduced by 5,000</w:t>
      </w:r>
      <w:r w:rsidR="002E08AD" w:rsidRPr="00617706">
        <w:t xml:space="preserve"> </w:t>
      </w:r>
      <w:r w:rsidRPr="00617706">
        <w:t>t CO</w:t>
      </w:r>
      <w:r w:rsidRPr="00617706">
        <w:rPr>
          <w:vertAlign w:val="subscript"/>
        </w:rPr>
        <w:t>2</w:t>
      </w:r>
      <w:r w:rsidRPr="00617706">
        <w:t>-e to 195,000</w:t>
      </w:r>
      <w:r w:rsidR="002E08AD" w:rsidRPr="00617706">
        <w:t xml:space="preserve"> </w:t>
      </w:r>
      <w:r w:rsidRPr="00617706">
        <w:t>t CO</w:t>
      </w:r>
      <w:r w:rsidRPr="00617706">
        <w:rPr>
          <w:vertAlign w:val="subscript"/>
        </w:rPr>
        <w:t>2</w:t>
      </w:r>
      <w:r w:rsidRPr="00617706">
        <w:t>-e.</w:t>
      </w:r>
    </w:p>
    <w:p w14:paraId="4A0E10E0" w14:textId="77777777" w:rsidR="005F0724" w:rsidRPr="00617706" w:rsidRDefault="005F0724" w:rsidP="00501E49">
      <w:pPr>
        <w:pStyle w:val="BodyText1"/>
        <w:spacing w:before="0" w:after="0"/>
      </w:pPr>
    </w:p>
    <w:p w14:paraId="12CACCFB" w14:textId="77777777" w:rsidR="00642BD4" w:rsidRPr="00617706" w:rsidRDefault="009B7A92" w:rsidP="00642BD4">
      <w:pPr>
        <w:pStyle w:val="BodyText1"/>
        <w:keepNext/>
        <w:spacing w:before="0" w:after="0"/>
        <w:jc w:val="center"/>
      </w:pPr>
      <w:r w:rsidRPr="00617706">
        <w:rPr>
          <w:noProof/>
        </w:rPr>
        <w:drawing>
          <wp:inline distT="0" distB="0" distL="0" distR="0" wp14:anchorId="2CC5CAD9" wp14:editId="5F536AF8">
            <wp:extent cx="4497070" cy="2922838"/>
            <wp:effectExtent l="0" t="0" r="0" b="1905"/>
            <wp:docPr id="14" name="Picture 14" descr="Chart that demonstrates how ACCUs issued to a company are accounted in CERT, as in the written example abov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that demonstrates how ACCUs issued to a company are accounted in CERT, as in the written example above.&#10;&#10;"/>
                    <pic:cNvPicPr/>
                  </pic:nvPicPr>
                  <pic:blipFill rotWithShape="1">
                    <a:blip r:embed="rId27"/>
                    <a:srcRect t="3763"/>
                    <a:stretch/>
                  </pic:blipFill>
                  <pic:spPr bwMode="auto">
                    <a:xfrm>
                      <a:off x="0" y="0"/>
                      <a:ext cx="4497070" cy="2922838"/>
                    </a:xfrm>
                    <a:prstGeom prst="rect">
                      <a:avLst/>
                    </a:prstGeom>
                    <a:ln>
                      <a:noFill/>
                    </a:ln>
                    <a:extLst>
                      <a:ext uri="{53640926-AAD7-44D8-BBD7-CCE9431645EC}">
                        <a14:shadowObscured xmlns:a14="http://schemas.microsoft.com/office/drawing/2010/main"/>
                      </a:ext>
                    </a:extLst>
                  </pic:spPr>
                </pic:pic>
              </a:graphicData>
            </a:graphic>
          </wp:inline>
        </w:drawing>
      </w:r>
    </w:p>
    <w:p w14:paraId="71D22D3C" w14:textId="437F3759" w:rsidR="009B7A92" w:rsidRPr="00617706" w:rsidRDefault="00642BD4" w:rsidP="00642BD4">
      <w:pPr>
        <w:pStyle w:val="Caption"/>
      </w:pPr>
      <w:r w:rsidRPr="00617706">
        <w:t xml:space="preserve">Figure </w:t>
      </w:r>
      <w:r w:rsidR="00260FAD">
        <w:fldChar w:fldCharType="begin"/>
      </w:r>
      <w:r w:rsidR="00260FAD">
        <w:instrText xml:space="preserve"> SEQ Figure \* ARABIC </w:instrText>
      </w:r>
      <w:r w:rsidR="00260FAD">
        <w:fldChar w:fldCharType="separate"/>
      </w:r>
      <w:r w:rsidR="00DA14E2">
        <w:rPr>
          <w:noProof/>
        </w:rPr>
        <w:t>1</w:t>
      </w:r>
      <w:r w:rsidR="00260FAD">
        <w:rPr>
          <w:noProof/>
        </w:rPr>
        <w:fldChar w:fldCharType="end"/>
      </w:r>
      <w:r w:rsidRPr="00617706">
        <w:t>: Example 9 - Double counting provisions</w:t>
      </w:r>
    </w:p>
    <w:p w14:paraId="08B89A5F" w14:textId="21100DB0" w:rsidR="00DF3D62" w:rsidRPr="00617706" w:rsidRDefault="00FA291C" w:rsidP="007A39F8">
      <w:pPr>
        <w:pStyle w:val="Heading5"/>
      </w:pPr>
      <w:r w:rsidRPr="00617706">
        <w:t xml:space="preserve">Safeguard </w:t>
      </w:r>
      <w:r w:rsidR="00DF3D62" w:rsidRPr="00617706">
        <w:t>facilities</w:t>
      </w:r>
    </w:p>
    <w:p w14:paraId="1E8F9405" w14:textId="720B5E6E" w:rsidR="005B3B23" w:rsidRPr="00617706" w:rsidRDefault="00DF3D62" w:rsidP="00501E49">
      <w:pPr>
        <w:pStyle w:val="BodyText1"/>
        <w:spacing w:before="0" w:after="0"/>
      </w:pPr>
      <w:r w:rsidRPr="00617706">
        <w:t>I</w:t>
      </w:r>
      <w:r w:rsidR="005A1D32" w:rsidRPr="00617706">
        <w:t xml:space="preserve">n </w:t>
      </w:r>
      <w:r w:rsidR="005A1D32" w:rsidRPr="00617706">
        <w:rPr>
          <w:b/>
          <w:bCs/>
        </w:rPr>
        <w:t xml:space="preserve">example </w:t>
      </w:r>
      <w:r w:rsidRPr="00617706">
        <w:rPr>
          <w:b/>
          <w:bCs/>
        </w:rPr>
        <w:t>9</w:t>
      </w:r>
      <w:r w:rsidRPr="00617706">
        <w:t>, if</w:t>
      </w:r>
      <w:r w:rsidR="009921EE" w:rsidRPr="00617706">
        <w:t xml:space="preserve"> the </w:t>
      </w:r>
      <w:r w:rsidR="005A1D32" w:rsidRPr="00617706">
        <w:t xml:space="preserve">facility </w:t>
      </w:r>
      <w:r w:rsidR="00EF2A8C" w:rsidRPr="00617706">
        <w:t>where an ERF project is undertaken</w:t>
      </w:r>
      <w:r w:rsidR="009921EE" w:rsidRPr="00617706">
        <w:t xml:space="preserve"> </w:t>
      </w:r>
      <w:r w:rsidRPr="00617706">
        <w:t>i</w:t>
      </w:r>
      <w:r w:rsidR="005A1D32" w:rsidRPr="00617706">
        <w:t xml:space="preserve">s a </w:t>
      </w:r>
      <w:r w:rsidR="005A1D32" w:rsidRPr="00617706">
        <w:rPr>
          <w:b/>
          <w:bCs/>
        </w:rPr>
        <w:t>safeguard facility</w:t>
      </w:r>
      <w:r w:rsidR="009921EE" w:rsidRPr="00617706">
        <w:t xml:space="preserve">, </w:t>
      </w:r>
      <w:r w:rsidR="0046399E" w:rsidRPr="00617706">
        <w:t xml:space="preserve">Company A may sell the </w:t>
      </w:r>
      <w:r w:rsidR="00C4230A" w:rsidRPr="00617706">
        <w:t xml:space="preserve">ACCUs to the Government (under contract) </w:t>
      </w:r>
      <w:r w:rsidR="00997BA1" w:rsidRPr="00617706">
        <w:t xml:space="preserve">and </w:t>
      </w:r>
      <w:r w:rsidR="00877DC6" w:rsidRPr="00617706">
        <w:t>report</w:t>
      </w:r>
      <w:r w:rsidR="00B31778" w:rsidRPr="00617706">
        <w:t xml:space="preserve"> the reduction of 5,000 t CO</w:t>
      </w:r>
      <w:r w:rsidR="00B31778" w:rsidRPr="00617706">
        <w:rPr>
          <w:vertAlign w:val="subscript"/>
        </w:rPr>
        <w:t>2</w:t>
      </w:r>
      <w:r w:rsidR="00B31778" w:rsidRPr="00617706">
        <w:t xml:space="preserve">-e as an offset under the </w:t>
      </w:r>
      <w:r w:rsidR="005F451E" w:rsidRPr="00617706">
        <w:t>‘</w:t>
      </w:r>
      <w:r w:rsidR="00B31778" w:rsidRPr="00617706">
        <w:t>deemed surrender</w:t>
      </w:r>
      <w:r w:rsidR="005F451E" w:rsidRPr="00617706">
        <w:t>’</w:t>
      </w:r>
      <w:r w:rsidR="00B31778" w:rsidRPr="00617706">
        <w:t xml:space="preserve"> provisions of the Safeguard Mechanism</w:t>
      </w:r>
      <w:r w:rsidR="00130AE4" w:rsidRPr="00617706">
        <w:t>.</w:t>
      </w:r>
      <w:r w:rsidR="00BC2842" w:rsidRPr="00617706">
        <w:t xml:space="preserve"> </w:t>
      </w:r>
      <w:r w:rsidR="000F01C5" w:rsidRPr="00617706">
        <w:t xml:space="preserve">However, </w:t>
      </w:r>
      <w:r w:rsidR="00FA291C" w:rsidRPr="00617706">
        <w:t>Company A may also</w:t>
      </w:r>
      <w:r w:rsidR="00FE0739" w:rsidRPr="00617706">
        <w:t xml:space="preserve"> at their discretion</w:t>
      </w:r>
      <w:r w:rsidR="00FA291C" w:rsidRPr="00617706">
        <w:t xml:space="preserve"> </w:t>
      </w:r>
      <w:r w:rsidR="00FA291C" w:rsidRPr="00617706">
        <w:rPr>
          <w:i/>
          <w:iCs/>
        </w:rPr>
        <w:t>choose not to report</w:t>
      </w:r>
      <w:r w:rsidR="00FA291C" w:rsidRPr="00617706">
        <w:t xml:space="preserve"> the deemed surrender as a</w:t>
      </w:r>
      <w:r w:rsidR="00877DC6" w:rsidRPr="00617706">
        <w:t xml:space="preserve">n offset </w:t>
      </w:r>
      <w:r w:rsidR="00FA291C" w:rsidRPr="00617706">
        <w:t>for the purposes of their CERT report.</w:t>
      </w:r>
    </w:p>
    <w:p w14:paraId="576C98AA" w14:textId="77777777" w:rsidR="00501E49" w:rsidRPr="00617706" w:rsidRDefault="00501E49" w:rsidP="00501E49">
      <w:pPr>
        <w:pStyle w:val="BodyText1"/>
        <w:spacing w:before="0" w:after="0"/>
      </w:pPr>
    </w:p>
    <w:p w14:paraId="5127B651" w14:textId="3A853CFC" w:rsidR="009B7A92" w:rsidRPr="00617706" w:rsidRDefault="009B7A92" w:rsidP="007A39F8">
      <w:pPr>
        <w:pStyle w:val="Heading4"/>
        <w:rPr>
          <w:i/>
        </w:rPr>
      </w:pPr>
      <w:bookmarkStart w:id="12" w:name="_Ref91153973"/>
      <w:r w:rsidRPr="00617706">
        <w:t xml:space="preserve">Example </w:t>
      </w:r>
      <w:r w:rsidR="00321965" w:rsidRPr="00617706">
        <w:t>10</w:t>
      </w:r>
      <w:r w:rsidRPr="00617706">
        <w:t xml:space="preserve"> – A company’s </w:t>
      </w:r>
      <w:r w:rsidRPr="007A39F8">
        <w:t>Scope</w:t>
      </w:r>
      <w:r w:rsidRPr="00617706">
        <w:t xml:space="preserve"> 2 emissions under </w:t>
      </w:r>
      <w:r w:rsidRPr="00617706">
        <w:rPr>
          <w:u w:val="single"/>
        </w:rPr>
        <w:t xml:space="preserve">location-based </w:t>
      </w:r>
      <w:r w:rsidRPr="00617706">
        <w:rPr>
          <w:bCs/>
          <w:u w:val="single"/>
        </w:rPr>
        <w:t>accounting</w:t>
      </w:r>
      <w:r w:rsidRPr="00617706">
        <w:t xml:space="preserve"> </w:t>
      </w:r>
      <w:r w:rsidRPr="007A39F8">
        <w:rPr>
          <w:b w:val="0"/>
          <w:bCs/>
        </w:rPr>
        <w:t>(Section 5.3 of Guidelines)</w:t>
      </w:r>
      <w:bookmarkEnd w:id="12"/>
    </w:p>
    <w:p w14:paraId="7CF4297C" w14:textId="429A1D95" w:rsidR="009B7A92" w:rsidRPr="009B7A92" w:rsidRDefault="009B7A92" w:rsidP="00501E49">
      <w:pPr>
        <w:pStyle w:val="BodyText1"/>
        <w:spacing w:before="0" w:after="0"/>
      </w:pPr>
      <w:r w:rsidRPr="00617706">
        <w:t xml:space="preserve">In 2019-20, a CERT </w:t>
      </w:r>
      <w:r w:rsidRPr="00617706">
        <w:rPr>
          <w:color w:val="auto"/>
        </w:rPr>
        <w:t>Participant consumes 140 MWh of total electricity. 50</w:t>
      </w:r>
      <w:r w:rsidR="0001328F" w:rsidRPr="00617706">
        <w:rPr>
          <w:color w:val="auto"/>
        </w:rPr>
        <w:t xml:space="preserve"> </w:t>
      </w:r>
      <w:r w:rsidRPr="00617706">
        <w:rPr>
          <w:color w:val="auto"/>
        </w:rPr>
        <w:t>MWh is imported fr</w:t>
      </w:r>
      <w:r w:rsidRPr="00CF0356">
        <w:rPr>
          <w:color w:val="auto"/>
        </w:rPr>
        <w:t>om one state (e.g. NSW), 50</w:t>
      </w:r>
      <w:r w:rsidR="00AB4E4B">
        <w:rPr>
          <w:color w:val="auto"/>
        </w:rPr>
        <w:t xml:space="preserve"> </w:t>
      </w:r>
      <w:r w:rsidRPr="00CF0356">
        <w:rPr>
          <w:color w:val="auto"/>
        </w:rPr>
        <w:t xml:space="preserve">MWh is imported from a second state (e.g. VIC), and </w:t>
      </w:r>
      <w:r w:rsidR="007D1E44" w:rsidRPr="00CF0356">
        <w:rPr>
          <w:color w:val="auto"/>
        </w:rPr>
        <w:t>the remaining</w:t>
      </w:r>
      <w:r w:rsidRPr="00CF0356">
        <w:rPr>
          <w:color w:val="auto"/>
        </w:rPr>
        <w:t xml:space="preserve"> 40</w:t>
      </w:r>
      <w:r w:rsidR="008128A1" w:rsidRPr="00CF0356">
        <w:rPr>
          <w:color w:val="auto"/>
        </w:rPr>
        <w:t xml:space="preserve"> </w:t>
      </w:r>
      <w:r w:rsidRPr="00CF0356">
        <w:rPr>
          <w:color w:val="auto"/>
        </w:rPr>
        <w:t>MWh is supplied by onsite renewables</w:t>
      </w:r>
      <w:r w:rsidR="001F6EDD" w:rsidRPr="00CF0356">
        <w:rPr>
          <w:color w:val="auto"/>
        </w:rPr>
        <w:t>. The 40</w:t>
      </w:r>
      <w:r w:rsidR="008128A1" w:rsidRPr="00CF0356">
        <w:rPr>
          <w:color w:val="auto"/>
        </w:rPr>
        <w:t xml:space="preserve"> </w:t>
      </w:r>
      <w:r w:rsidR="001F6EDD" w:rsidRPr="00CF0356">
        <w:rPr>
          <w:color w:val="auto"/>
        </w:rPr>
        <w:t>MW</w:t>
      </w:r>
      <w:r w:rsidR="008128A1" w:rsidRPr="00CF0356">
        <w:rPr>
          <w:color w:val="auto"/>
        </w:rPr>
        <w:t>h supplied by onsite renewables generate 40</w:t>
      </w:r>
      <w:r w:rsidR="00D243A8" w:rsidRPr="00CF0356">
        <w:rPr>
          <w:color w:val="auto"/>
        </w:rPr>
        <w:t xml:space="preserve"> </w:t>
      </w:r>
      <w:r w:rsidR="007D1E44" w:rsidRPr="00CF0356">
        <w:rPr>
          <w:color w:val="auto"/>
        </w:rPr>
        <w:t>l</w:t>
      </w:r>
      <w:r w:rsidR="00D243A8" w:rsidRPr="00CF0356">
        <w:rPr>
          <w:color w:val="auto"/>
        </w:rPr>
        <w:t>arge-scale generation certificates</w:t>
      </w:r>
      <w:r w:rsidRPr="00CF0356">
        <w:rPr>
          <w:color w:val="auto"/>
        </w:rPr>
        <w:t xml:space="preserve"> </w:t>
      </w:r>
      <w:r w:rsidR="00D243A8" w:rsidRPr="00CF0356">
        <w:rPr>
          <w:color w:val="auto"/>
        </w:rPr>
        <w:t>(</w:t>
      </w:r>
      <w:r w:rsidRPr="00CF0356">
        <w:rPr>
          <w:color w:val="auto"/>
        </w:rPr>
        <w:t>LGCs</w:t>
      </w:r>
      <w:r w:rsidR="00D243A8" w:rsidRPr="00CF0356">
        <w:rPr>
          <w:color w:val="auto"/>
        </w:rPr>
        <w:t>)</w:t>
      </w:r>
      <w:r w:rsidR="001E554A" w:rsidRPr="00CF0356">
        <w:rPr>
          <w:color w:val="auto"/>
        </w:rPr>
        <w:t xml:space="preserve">, which the </w:t>
      </w:r>
      <w:r w:rsidR="00A27212">
        <w:rPr>
          <w:color w:val="auto"/>
        </w:rPr>
        <w:t>p</w:t>
      </w:r>
      <w:r w:rsidR="001E554A" w:rsidRPr="00CF0356">
        <w:rPr>
          <w:color w:val="auto"/>
        </w:rPr>
        <w:t>articipant</w:t>
      </w:r>
      <w:r w:rsidRPr="00CF0356">
        <w:rPr>
          <w:color w:val="auto"/>
        </w:rPr>
        <w:t xml:space="preserve"> voluntarily surrender</w:t>
      </w:r>
      <w:r w:rsidR="001E554A" w:rsidRPr="00CF0356">
        <w:rPr>
          <w:color w:val="auto"/>
        </w:rPr>
        <w:t>s</w:t>
      </w:r>
      <w:r w:rsidRPr="00CF0356">
        <w:rPr>
          <w:color w:val="auto"/>
        </w:rPr>
        <w:t xml:space="preserve">. </w:t>
      </w:r>
      <w:r w:rsidR="003C78C3" w:rsidRPr="00CF0356">
        <w:rPr>
          <w:color w:val="auto"/>
        </w:rPr>
        <w:t xml:space="preserve">In addition to this, </w:t>
      </w:r>
      <w:r w:rsidRPr="00CF0356">
        <w:rPr>
          <w:color w:val="auto"/>
        </w:rPr>
        <w:t xml:space="preserve">30 ACCUs are purchased and voluntarily </w:t>
      </w:r>
      <w:r w:rsidR="00CD3A64">
        <w:rPr>
          <w:color w:val="auto"/>
        </w:rPr>
        <w:t>surrendered</w:t>
      </w:r>
      <w:r w:rsidR="00CD3A64" w:rsidRPr="00CF0356">
        <w:rPr>
          <w:color w:val="auto"/>
        </w:rPr>
        <w:t xml:space="preserve"> </w:t>
      </w:r>
      <w:r w:rsidRPr="00CF0356">
        <w:rPr>
          <w:color w:val="auto"/>
        </w:rPr>
        <w:t>against Scope 2 emissions.</w:t>
      </w:r>
    </w:p>
    <w:p w14:paraId="7A29887B" w14:textId="77777777" w:rsidR="009B7A92" w:rsidRPr="009B7A92" w:rsidRDefault="009B7A92" w:rsidP="00501E49">
      <w:pPr>
        <w:pStyle w:val="BodyText1"/>
        <w:spacing w:before="0" w:after="0"/>
        <w:rPr>
          <w:i/>
          <w:iCs/>
        </w:rPr>
      </w:pPr>
    </w:p>
    <w:p w14:paraId="7397B777" w14:textId="56BE3ED8" w:rsidR="003134AB" w:rsidRPr="009B7A92" w:rsidRDefault="00700FE4" w:rsidP="00501E49">
      <w:pPr>
        <w:pStyle w:val="BodyText1"/>
        <w:spacing w:before="0" w:after="0"/>
      </w:pPr>
      <w:r>
        <w:lastRenderedPageBreak/>
        <w:t xml:space="preserve">The </w:t>
      </w:r>
      <w:r w:rsidR="00502A4D">
        <w:t>p</w:t>
      </w:r>
      <w:r>
        <w:t xml:space="preserve">articipant’s </w:t>
      </w:r>
      <w:r w:rsidRPr="00F11A52">
        <w:t xml:space="preserve">Net Scope 2 emissions (location-based) </w:t>
      </w:r>
      <w:r w:rsidRPr="00DB3F6D">
        <w:t xml:space="preserve">is calculated </w:t>
      </w:r>
      <w:r w:rsidRPr="00B06030">
        <w:t>by subtracting eligibl</w:t>
      </w:r>
      <w:r w:rsidRPr="00D978F9">
        <w:t xml:space="preserve">e unit surrenders from </w:t>
      </w:r>
      <w:r w:rsidRPr="00377237">
        <w:t>Gross Scope 2 emissions</w:t>
      </w:r>
      <w:r>
        <w:t xml:space="preserve">. </w:t>
      </w:r>
      <w:r w:rsidR="009B7A92" w:rsidRPr="009B7A92">
        <w:t>Under location-based accounting, the onsite renewable consumption is automatically zero emissions</w:t>
      </w:r>
      <w:r w:rsidR="00015226">
        <w:t xml:space="preserve"> (as reported in NGER)</w:t>
      </w:r>
      <w:r w:rsidR="009B7A92" w:rsidRPr="009B7A92">
        <w:t xml:space="preserve">, </w:t>
      </w:r>
      <w:r w:rsidR="009B7A92" w:rsidRPr="009B7A92">
        <w:rPr>
          <w:b/>
          <w:bCs/>
        </w:rPr>
        <w:t>and no LGC surrenders apply</w:t>
      </w:r>
      <w:r w:rsidR="009B7A92" w:rsidRPr="009B7A92">
        <w:t xml:space="preserve">. The </w:t>
      </w:r>
      <w:r w:rsidR="00556108">
        <w:t xml:space="preserve">grid-imported </w:t>
      </w:r>
      <w:r w:rsidR="009B7A92" w:rsidRPr="009B7A92">
        <w:t xml:space="preserve">electricity use </w:t>
      </w:r>
      <w:r w:rsidR="00556108">
        <w:t>for</w:t>
      </w:r>
      <w:r w:rsidR="00556108" w:rsidRPr="009B7A92">
        <w:t xml:space="preserve"> </w:t>
      </w:r>
      <w:r w:rsidR="009B7A92" w:rsidRPr="009B7A92">
        <w:t xml:space="preserve">each state is multiplied by the relevant emissions factor for that state. </w:t>
      </w:r>
    </w:p>
    <w:p w14:paraId="2AA9E2F5" w14:textId="48FA69E4" w:rsidR="009B7A92" w:rsidRPr="009B7A92" w:rsidRDefault="009B7A92" w:rsidP="00501E49">
      <w:pPr>
        <w:pStyle w:val="BodyText1"/>
        <w:spacing w:before="0" w:after="0"/>
        <w:rPr>
          <w:i/>
          <w:iCs/>
        </w:rPr>
      </w:pPr>
    </w:p>
    <w:p w14:paraId="3D12F27B" w14:textId="2AD0AA8A" w:rsidR="007250AD" w:rsidRPr="00F047C0" w:rsidRDefault="00DA0BF7" w:rsidP="00501E49">
      <w:pPr>
        <w:pStyle w:val="BodyText1"/>
        <w:spacing w:before="0" w:after="0"/>
        <w:rPr>
          <w:b/>
          <w:bCs/>
        </w:rPr>
      </w:pPr>
      <w:r w:rsidRPr="00F047C0">
        <w:t xml:space="preserve">Calculation of </w:t>
      </w:r>
      <w:r w:rsidR="009B7A92" w:rsidRPr="00F047C0">
        <w:rPr>
          <w:b/>
          <w:bCs/>
        </w:rPr>
        <w:t>Gross Scope 2 emissions</w:t>
      </w:r>
      <w:r w:rsidR="00640C4A">
        <w:rPr>
          <w:b/>
          <w:bCs/>
        </w:rPr>
        <w:t>:</w:t>
      </w:r>
    </w:p>
    <w:p w14:paraId="57B49A3C" w14:textId="77777777" w:rsidR="001B13E1" w:rsidRDefault="001B13E1" w:rsidP="00501E49">
      <w:pPr>
        <w:pStyle w:val="BodyText1"/>
        <w:spacing w:before="0" w:after="0"/>
        <w:rPr>
          <w:i/>
          <w:iCs/>
        </w:rPr>
      </w:pPr>
    </w:p>
    <w:p w14:paraId="76685314" w14:textId="3A943003" w:rsidR="001110BC" w:rsidRPr="00CF0356" w:rsidRDefault="007250AD" w:rsidP="00501E49">
      <w:pPr>
        <w:pStyle w:val="BodyText1"/>
        <w:spacing w:before="0" w:after="0"/>
        <w:rPr>
          <w:i/>
          <w:iCs/>
          <w:color w:val="auto"/>
        </w:rPr>
      </w:pPr>
      <m:oMathPara>
        <m:oMath>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(Gross Scope 2 emissions)</m:t>
              </m:r>
            </m:e>
            <m:sub>
              <m:r>
                <w:rPr>
                  <w:rFonts w:ascii="Cambria Math" w:hAnsi="Cambria Math"/>
                  <w:color w:val="auto"/>
                </w:rPr>
                <m:t>NSW</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(Gross Scope 2 emissions)</m:t>
              </m:r>
            </m:e>
            <m:sub>
              <m:r>
                <w:rPr>
                  <w:rFonts w:ascii="Cambria Math" w:hAnsi="Cambria Math"/>
                  <w:color w:val="auto"/>
                </w:rPr>
                <m:t>VIC</m:t>
              </m:r>
            </m:sub>
          </m:sSub>
        </m:oMath>
      </m:oMathPara>
    </w:p>
    <w:p w14:paraId="79CBDA4C" w14:textId="77777777" w:rsidR="000360BB" w:rsidRPr="00CF0356" w:rsidRDefault="000360BB" w:rsidP="00501E49">
      <w:pPr>
        <w:pStyle w:val="BodyText1"/>
        <w:spacing w:before="0" w:after="0"/>
        <w:rPr>
          <w:i/>
          <w:iCs/>
          <w:color w:val="auto"/>
        </w:rPr>
      </w:pPr>
    </w:p>
    <w:p w14:paraId="2F746C04" w14:textId="06C0ED8B" w:rsidR="00AF42B5" w:rsidRPr="00C02804" w:rsidRDefault="00B8746D" w:rsidP="00501E49">
      <w:pPr>
        <w:pStyle w:val="BodyText1"/>
        <w:spacing w:before="0" w:after="0"/>
        <w:rPr>
          <w:color w:val="auto"/>
        </w:rPr>
      </w:pPr>
      <m:oMathPara>
        <m:oMath>
          <m:r>
            <w:rPr>
              <w:rFonts w:ascii="Cambria Math" w:hAnsi="Cambria Math"/>
              <w:color w:val="auto"/>
            </w:rPr>
            <m:t>=</m:t>
          </m:r>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Imported Electricity</m:t>
                  </m:r>
                </m:e>
                <m:sub>
                  <m:r>
                    <w:rPr>
                      <w:rFonts w:ascii="Cambria Math" w:hAnsi="Cambria Math"/>
                      <w:color w:val="auto"/>
                    </w:rPr>
                    <m:t>NSW</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Emissions factor</m:t>
                  </m:r>
                </m:e>
                <m:sub>
                  <m:r>
                    <w:rPr>
                      <w:rFonts w:ascii="Cambria Math" w:hAnsi="Cambria Math"/>
                      <w:color w:val="auto"/>
                    </w:rPr>
                    <m:t>NSW</m:t>
                  </m:r>
                </m:sub>
              </m:sSub>
            </m:e>
          </m:d>
          <m:r>
            <w:rPr>
              <w:rFonts w:ascii="Cambria Math" w:hAnsi="Cambria Math"/>
              <w:color w:val="auto"/>
            </w:rPr>
            <m:t>+(</m:t>
          </m:r>
          <m:sSub>
            <m:sSubPr>
              <m:ctrlPr>
                <w:rPr>
                  <w:rFonts w:ascii="Cambria Math" w:hAnsi="Cambria Math"/>
                  <w:i/>
                  <w:color w:val="auto"/>
                </w:rPr>
              </m:ctrlPr>
            </m:sSubPr>
            <m:e>
              <m:r>
                <w:rPr>
                  <w:rFonts w:ascii="Cambria Math" w:hAnsi="Cambria Math"/>
                  <w:color w:val="auto"/>
                </w:rPr>
                <m:t>Imported Electricity</m:t>
              </m:r>
            </m:e>
            <m:sub>
              <m:r>
                <w:rPr>
                  <w:rFonts w:ascii="Cambria Math" w:hAnsi="Cambria Math"/>
                  <w:color w:val="auto"/>
                </w:rPr>
                <m:t>VIC</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Emissions factor</m:t>
              </m:r>
            </m:e>
            <m:sub>
              <m:r>
                <w:rPr>
                  <w:rFonts w:ascii="Cambria Math" w:hAnsi="Cambria Math"/>
                  <w:color w:val="auto"/>
                </w:rPr>
                <m:t>VIC</m:t>
              </m:r>
            </m:sub>
          </m:sSub>
          <m:r>
            <w:rPr>
              <w:rFonts w:ascii="Cambria Math" w:hAnsi="Cambria Math"/>
              <w:color w:val="auto"/>
            </w:rPr>
            <m:t>)</m:t>
          </m:r>
        </m:oMath>
      </m:oMathPara>
    </w:p>
    <w:p w14:paraId="380751CA" w14:textId="77777777" w:rsidR="001110BC" w:rsidRPr="00CF0356" w:rsidRDefault="001110BC" w:rsidP="00501E49">
      <w:pPr>
        <w:pStyle w:val="BodyText1"/>
        <w:spacing w:before="0" w:after="0"/>
        <w:rPr>
          <w:color w:val="auto"/>
        </w:rPr>
      </w:pPr>
    </w:p>
    <w:p w14:paraId="10B12583" w14:textId="583FA122" w:rsidR="00A6695B" w:rsidRPr="00C02804" w:rsidRDefault="00A6695B" w:rsidP="00501E49">
      <w:pPr>
        <w:pStyle w:val="BodyText1"/>
        <w:spacing w:before="0" w:after="0"/>
        <w:rPr>
          <w:color w:val="auto"/>
        </w:rPr>
      </w:pPr>
      <m:oMathPara>
        <m:oMath>
          <m:r>
            <w:rPr>
              <w:rFonts w:ascii="Cambria Math" w:hAnsi="Cambria Math"/>
              <w:color w:val="auto"/>
            </w:rPr>
            <m:t>=</m:t>
          </m:r>
          <m:d>
            <m:dPr>
              <m:ctrlPr>
                <w:rPr>
                  <w:rFonts w:ascii="Cambria Math" w:hAnsi="Cambria Math"/>
                  <w:i/>
                  <w:color w:val="auto"/>
                </w:rPr>
              </m:ctrlPr>
            </m:dPr>
            <m:e>
              <m:r>
                <w:rPr>
                  <w:rFonts w:ascii="Cambria Math" w:hAnsi="Cambria Math"/>
                  <w:color w:val="auto"/>
                </w:rPr>
                <m:t xml:space="preserve">50 MWh ×0.81 </m:t>
              </m:r>
              <m:sSub>
                <m:sSubPr>
                  <m:ctrlPr>
                    <w:rPr>
                      <w:rFonts w:ascii="Cambria Math" w:hAnsi="Cambria Math"/>
                      <w:i/>
                      <w:color w:val="auto"/>
                    </w:rPr>
                  </m:ctrlPr>
                </m:sSubPr>
                <m:e>
                  <m:r>
                    <w:rPr>
                      <w:rFonts w:ascii="Cambria Math" w:hAnsi="Cambria Math"/>
                      <w:color w:val="auto"/>
                    </w:rPr>
                    <m:t>t CO</m:t>
                  </m:r>
                </m:e>
                <m:sub>
                  <m:r>
                    <w:rPr>
                      <w:rFonts w:ascii="Cambria Math" w:hAnsi="Cambria Math"/>
                      <w:color w:val="auto"/>
                    </w:rPr>
                    <m:t>2</m:t>
                  </m:r>
                </m:sub>
              </m:sSub>
              <m:r>
                <w:rPr>
                  <w:rFonts w:ascii="Cambria Math" w:hAnsi="Cambria Math"/>
                  <w:color w:val="auto"/>
                </w:rPr>
                <m:t>e/MWh</m:t>
              </m:r>
            </m:e>
          </m:d>
          <m:r>
            <w:rPr>
              <w:rFonts w:ascii="Cambria Math" w:hAnsi="Cambria Math"/>
              <w:color w:val="auto"/>
            </w:rPr>
            <m:t xml:space="preserve">+(50 MWh ×1.02 </m:t>
          </m:r>
          <m:sSub>
            <m:sSubPr>
              <m:ctrlPr>
                <w:rPr>
                  <w:rFonts w:ascii="Cambria Math" w:hAnsi="Cambria Math"/>
                  <w:i/>
                  <w:color w:val="auto"/>
                </w:rPr>
              </m:ctrlPr>
            </m:sSubPr>
            <m:e>
              <m:r>
                <w:rPr>
                  <w:rFonts w:ascii="Cambria Math" w:hAnsi="Cambria Math"/>
                  <w:color w:val="auto"/>
                </w:rPr>
                <m:t>t CO</m:t>
              </m:r>
            </m:e>
            <m:sub>
              <m:r>
                <w:rPr>
                  <w:rFonts w:ascii="Cambria Math" w:hAnsi="Cambria Math"/>
                  <w:color w:val="auto"/>
                </w:rPr>
                <m:t>2</m:t>
              </m:r>
            </m:sub>
          </m:sSub>
          <m:r>
            <w:rPr>
              <w:rFonts w:ascii="Cambria Math" w:hAnsi="Cambria Math"/>
              <w:color w:val="auto"/>
            </w:rPr>
            <m:t>e/MWh)</m:t>
          </m:r>
        </m:oMath>
      </m:oMathPara>
    </w:p>
    <w:p w14:paraId="33865CA6" w14:textId="77777777" w:rsidR="001110BC" w:rsidRPr="00CF0356" w:rsidRDefault="001110BC" w:rsidP="00501E49">
      <w:pPr>
        <w:pStyle w:val="BodyText1"/>
        <w:spacing w:before="0" w:after="0"/>
        <w:rPr>
          <w:color w:val="auto"/>
        </w:rPr>
      </w:pPr>
    </w:p>
    <w:p w14:paraId="04ED32D5" w14:textId="6C44CF6A" w:rsidR="00DB59DB" w:rsidRPr="00CF0356" w:rsidRDefault="00DB59DB" w:rsidP="00501E49">
      <w:pPr>
        <w:pStyle w:val="BodyText1"/>
        <w:spacing w:before="0" w:after="0"/>
        <w:rPr>
          <w:color w:val="auto"/>
        </w:rPr>
      </w:pPr>
      <m:oMathPara>
        <m:oMath>
          <m:r>
            <w:rPr>
              <w:rFonts w:ascii="Cambria Math" w:hAnsi="Cambria Math"/>
              <w:color w:val="auto"/>
            </w:rPr>
            <m:t xml:space="preserve">=92.31 </m:t>
          </m:r>
          <m:sSub>
            <m:sSubPr>
              <m:ctrlPr>
                <w:rPr>
                  <w:rFonts w:ascii="Cambria Math" w:hAnsi="Cambria Math"/>
                  <w:i/>
                  <w:color w:val="auto"/>
                </w:rPr>
              </m:ctrlPr>
            </m:sSubPr>
            <m:e>
              <m:r>
                <w:rPr>
                  <w:rFonts w:ascii="Cambria Math" w:hAnsi="Cambria Math"/>
                  <w:color w:val="auto"/>
                </w:rPr>
                <m:t>t CO</m:t>
              </m:r>
            </m:e>
            <m:sub>
              <m:r>
                <w:rPr>
                  <w:rFonts w:ascii="Cambria Math" w:hAnsi="Cambria Math"/>
                  <w:color w:val="auto"/>
                </w:rPr>
                <m:t>2</m:t>
              </m:r>
            </m:sub>
          </m:sSub>
          <m:r>
            <w:rPr>
              <w:rFonts w:ascii="Cambria Math" w:hAnsi="Cambria Math"/>
              <w:color w:val="auto"/>
            </w:rPr>
            <m:t>e</m:t>
          </m:r>
        </m:oMath>
      </m:oMathPara>
    </w:p>
    <w:p w14:paraId="2B7525B7" w14:textId="77777777" w:rsidR="009B7A92" w:rsidRPr="009B7A92" w:rsidRDefault="009B7A92" w:rsidP="00501E49">
      <w:pPr>
        <w:pStyle w:val="BodyText1"/>
        <w:spacing w:before="0" w:after="0"/>
        <w:rPr>
          <w:i/>
          <w:iCs/>
        </w:rPr>
      </w:pPr>
    </w:p>
    <w:p w14:paraId="483499F3" w14:textId="0E2D1BBD" w:rsidR="009B7A92" w:rsidRPr="009B7A92" w:rsidRDefault="009B7A92" w:rsidP="00501E49">
      <w:pPr>
        <w:pStyle w:val="BodyText1"/>
        <w:spacing w:before="0" w:after="0"/>
      </w:pPr>
      <w:r w:rsidRPr="009B7A92">
        <w:t xml:space="preserve">Any eligible carbon units are then deducted </w:t>
      </w:r>
      <w:r w:rsidR="00B57BF4">
        <w:t>to obtain the</w:t>
      </w:r>
      <w:r w:rsidR="00D925F3">
        <w:t xml:space="preserve"> Participant’s</w:t>
      </w:r>
      <w:r w:rsidR="00B57BF4">
        <w:t xml:space="preserve"> </w:t>
      </w:r>
      <w:r w:rsidR="00104A72">
        <w:t>N</w:t>
      </w:r>
      <w:r w:rsidR="00B57BF4">
        <w:t>et Scope 2 emissions</w:t>
      </w:r>
      <w:r w:rsidRPr="009B7A92">
        <w:t xml:space="preserve">. </w:t>
      </w:r>
      <w:r w:rsidR="008D5AAA">
        <w:t xml:space="preserve">In this case, </w:t>
      </w:r>
      <w:r w:rsidR="00B57BF4">
        <w:t xml:space="preserve">the 30 ACCUs purchased and voluntarily cancelled </w:t>
      </w:r>
      <w:r w:rsidR="00D925F3">
        <w:t>correspond to</w:t>
      </w:r>
      <w:r w:rsidR="004846ED">
        <w:t xml:space="preserve"> a </w:t>
      </w:r>
      <w:r w:rsidR="00D925F3">
        <w:t>30 t CO</w:t>
      </w:r>
      <w:r w:rsidR="00D925F3" w:rsidRPr="004142B0">
        <w:rPr>
          <w:vertAlign w:val="subscript"/>
        </w:rPr>
        <w:t>2</w:t>
      </w:r>
      <w:r w:rsidR="00D925F3">
        <w:t xml:space="preserve">-e </w:t>
      </w:r>
      <w:r w:rsidR="004846ED">
        <w:t xml:space="preserve">reduction of </w:t>
      </w:r>
      <w:r w:rsidR="005F175E">
        <w:t xml:space="preserve">gross </w:t>
      </w:r>
      <w:r w:rsidR="004846ED">
        <w:t>emissions</w:t>
      </w:r>
      <w:r w:rsidR="00D925F3">
        <w:t>.</w:t>
      </w:r>
    </w:p>
    <w:p w14:paraId="2502C929" w14:textId="77777777" w:rsidR="009B7A92" w:rsidRPr="009B7A92" w:rsidRDefault="009B7A92" w:rsidP="00501E49">
      <w:pPr>
        <w:pStyle w:val="BodyText1"/>
        <w:spacing w:before="0" w:after="0"/>
      </w:pPr>
    </w:p>
    <w:p w14:paraId="76EBE11D" w14:textId="738DD489" w:rsidR="009B7A92" w:rsidRPr="00F047C0" w:rsidRDefault="005F175E" w:rsidP="00501E49">
      <w:pPr>
        <w:pStyle w:val="BodyText1"/>
        <w:spacing w:before="0" w:after="0"/>
      </w:pPr>
      <w:r w:rsidRPr="00F047C0">
        <w:t>Calculation of</w:t>
      </w:r>
      <w:r w:rsidRPr="00F047C0">
        <w:rPr>
          <w:b/>
          <w:bCs/>
        </w:rPr>
        <w:t xml:space="preserve"> </w:t>
      </w:r>
      <w:r w:rsidR="009B7A92" w:rsidRPr="00F047C0">
        <w:rPr>
          <w:b/>
          <w:bCs/>
        </w:rPr>
        <w:t>Net Scope 2 emissions</w:t>
      </w:r>
      <w:r w:rsidR="00640C4A">
        <w:rPr>
          <w:b/>
          <w:bCs/>
        </w:rPr>
        <w:t>:</w:t>
      </w:r>
    </w:p>
    <w:p w14:paraId="4C6876C0" w14:textId="77777777" w:rsidR="001B13E1" w:rsidRPr="00CF0356" w:rsidRDefault="001B13E1" w:rsidP="00501E49">
      <w:pPr>
        <w:pStyle w:val="BodyText1"/>
        <w:spacing w:before="0" w:after="0"/>
        <w:rPr>
          <w:i/>
          <w:iCs/>
          <w:color w:val="auto"/>
        </w:rPr>
      </w:pPr>
    </w:p>
    <w:p w14:paraId="6BD42ADB" w14:textId="6C09D29B" w:rsidR="005F175E" w:rsidRPr="00C02804" w:rsidRDefault="005F175E" w:rsidP="00501E49">
      <w:pPr>
        <w:pStyle w:val="BodyText1"/>
        <w:spacing w:before="0" w:after="0"/>
        <w:rPr>
          <w:color w:val="auto"/>
        </w:rPr>
      </w:pPr>
      <m:oMathPara>
        <m:oMath>
          <m:r>
            <w:rPr>
              <w:rFonts w:ascii="Cambria Math" w:hAnsi="Cambria Math"/>
              <w:color w:val="auto"/>
            </w:rPr>
            <m:t>=Gross Scope 2 emissions-Eligible offsets (Scope 2)</m:t>
          </m:r>
        </m:oMath>
      </m:oMathPara>
    </w:p>
    <w:p w14:paraId="5463ECA9" w14:textId="77777777" w:rsidR="001110BC" w:rsidRPr="00CF0356" w:rsidRDefault="001110BC" w:rsidP="00501E49">
      <w:pPr>
        <w:pStyle w:val="BodyText1"/>
        <w:spacing w:before="0" w:after="0"/>
        <w:rPr>
          <w:color w:val="auto"/>
        </w:rPr>
      </w:pPr>
    </w:p>
    <w:p w14:paraId="3FE80257" w14:textId="3CFF9C19" w:rsidR="005F175E" w:rsidRPr="00C02804" w:rsidRDefault="00A9062F" w:rsidP="00501E49">
      <w:pPr>
        <w:pStyle w:val="BodyText1"/>
        <w:spacing w:before="0" w:after="0"/>
        <w:rPr>
          <w:color w:val="auto"/>
        </w:rPr>
      </w:pPr>
      <m:oMathPara>
        <m:oMath>
          <m:r>
            <w:rPr>
              <w:rFonts w:ascii="Cambria Math" w:hAnsi="Cambria Math"/>
              <w:color w:val="auto"/>
            </w:rPr>
            <m:t xml:space="preserve">=92.31 </m:t>
          </m:r>
          <m:sSub>
            <m:sSubPr>
              <m:ctrlPr>
                <w:rPr>
                  <w:rFonts w:ascii="Cambria Math" w:hAnsi="Cambria Math"/>
                  <w:i/>
                  <w:color w:val="auto"/>
                </w:rPr>
              </m:ctrlPr>
            </m:sSubPr>
            <m:e>
              <m:r>
                <w:rPr>
                  <w:rFonts w:ascii="Cambria Math" w:hAnsi="Cambria Math"/>
                  <w:color w:val="auto"/>
                </w:rPr>
                <m:t>t CO</m:t>
              </m:r>
            </m:e>
            <m:sub>
              <m:r>
                <w:rPr>
                  <w:rFonts w:ascii="Cambria Math" w:hAnsi="Cambria Math"/>
                  <w:color w:val="auto"/>
                </w:rPr>
                <m:t>2</m:t>
              </m:r>
            </m:sub>
          </m:sSub>
          <m:r>
            <w:rPr>
              <w:rFonts w:ascii="Cambria Math" w:hAnsi="Cambria Math"/>
              <w:color w:val="auto"/>
            </w:rPr>
            <m:t xml:space="preserve">e-30 </m:t>
          </m:r>
          <m:sSub>
            <m:sSubPr>
              <m:ctrlPr>
                <w:rPr>
                  <w:rFonts w:ascii="Cambria Math" w:hAnsi="Cambria Math"/>
                  <w:i/>
                  <w:color w:val="auto"/>
                </w:rPr>
              </m:ctrlPr>
            </m:sSubPr>
            <m:e>
              <m:r>
                <w:rPr>
                  <w:rFonts w:ascii="Cambria Math" w:hAnsi="Cambria Math"/>
                  <w:color w:val="auto"/>
                </w:rPr>
                <m:t>t CO</m:t>
              </m:r>
            </m:e>
            <m:sub>
              <m:r>
                <w:rPr>
                  <w:rFonts w:ascii="Cambria Math" w:hAnsi="Cambria Math"/>
                  <w:color w:val="auto"/>
                </w:rPr>
                <m:t>2</m:t>
              </m:r>
            </m:sub>
          </m:sSub>
          <m:r>
            <w:rPr>
              <w:rFonts w:ascii="Cambria Math" w:hAnsi="Cambria Math"/>
              <w:color w:val="auto"/>
            </w:rPr>
            <m:t>e</m:t>
          </m:r>
        </m:oMath>
      </m:oMathPara>
    </w:p>
    <w:p w14:paraId="3DF398BD" w14:textId="77777777" w:rsidR="001110BC" w:rsidRPr="00CF0356" w:rsidRDefault="001110BC" w:rsidP="00501E49">
      <w:pPr>
        <w:pStyle w:val="BodyText1"/>
        <w:spacing w:before="0" w:after="0"/>
        <w:rPr>
          <w:color w:val="auto"/>
        </w:rPr>
      </w:pPr>
    </w:p>
    <w:p w14:paraId="6590C44F" w14:textId="415FF3CF" w:rsidR="003731E4" w:rsidRPr="00CF0356" w:rsidRDefault="008343AB" w:rsidP="00501E49">
      <w:pPr>
        <w:pStyle w:val="BodyText1"/>
        <w:spacing w:before="0" w:after="0"/>
        <w:rPr>
          <w:color w:val="auto"/>
        </w:rPr>
      </w:pPr>
      <m:oMathPara>
        <m:oMath>
          <m:r>
            <w:rPr>
              <w:rFonts w:ascii="Cambria Math" w:hAnsi="Cambria Math"/>
              <w:color w:val="auto"/>
            </w:rPr>
            <m:t>=</m:t>
          </m:r>
          <m:r>
            <m:rPr>
              <m:sty m:val="bi"/>
            </m:rPr>
            <w:rPr>
              <w:rFonts w:ascii="Cambria Math" w:hAnsi="Cambria Math"/>
              <w:color w:val="auto"/>
            </w:rPr>
            <m:t xml:space="preserve">62.31 </m:t>
          </m:r>
          <m:sSub>
            <m:sSubPr>
              <m:ctrlPr>
                <w:rPr>
                  <w:rFonts w:ascii="Cambria Math" w:hAnsi="Cambria Math"/>
                  <w:b/>
                  <w:bCs/>
                  <w:i/>
                  <w:color w:val="auto"/>
                </w:rPr>
              </m:ctrlPr>
            </m:sSubPr>
            <m:e>
              <m:r>
                <m:rPr>
                  <m:sty m:val="bi"/>
                </m:rPr>
                <w:rPr>
                  <w:rFonts w:ascii="Cambria Math" w:hAnsi="Cambria Math"/>
                  <w:color w:val="auto"/>
                </w:rPr>
                <m:t>t CO</m:t>
              </m:r>
            </m:e>
            <m:sub>
              <m:r>
                <m:rPr>
                  <m:sty m:val="bi"/>
                </m:rPr>
                <w:rPr>
                  <w:rFonts w:ascii="Cambria Math" w:hAnsi="Cambria Math"/>
                  <w:color w:val="auto"/>
                </w:rPr>
                <m:t>2</m:t>
              </m:r>
            </m:sub>
          </m:sSub>
          <m:r>
            <m:rPr>
              <m:sty m:val="bi"/>
            </m:rPr>
            <w:rPr>
              <w:rFonts w:ascii="Cambria Math" w:hAnsi="Cambria Math"/>
              <w:color w:val="auto"/>
            </w:rPr>
            <m:t>e</m:t>
          </m:r>
        </m:oMath>
      </m:oMathPara>
    </w:p>
    <w:p w14:paraId="5351831F" w14:textId="11DA51FF" w:rsidR="00CC78B0" w:rsidRDefault="00CC78B0" w:rsidP="00501E49">
      <w:pPr>
        <w:pStyle w:val="BodyText1"/>
        <w:spacing w:before="0" w:after="0"/>
        <w:rPr>
          <w:b/>
          <w:bCs/>
        </w:rPr>
      </w:pPr>
    </w:p>
    <w:p w14:paraId="48DBEA73" w14:textId="77777777" w:rsidR="00642BD4" w:rsidRDefault="00BC66D2" w:rsidP="00642BD4">
      <w:pPr>
        <w:pStyle w:val="BodyText1"/>
        <w:keepNext/>
        <w:spacing w:before="0" w:after="0"/>
      </w:pPr>
      <w:r>
        <w:rPr>
          <w:b/>
          <w:bCs/>
          <w:noProof/>
        </w:rPr>
        <w:drawing>
          <wp:inline distT="0" distB="0" distL="0" distR="0" wp14:anchorId="2BF2B279" wp14:editId="1E3B875C">
            <wp:extent cx="6112800" cy="2548898"/>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800" cy="2548898"/>
                    </a:xfrm>
                    <a:prstGeom prst="rect">
                      <a:avLst/>
                    </a:prstGeom>
                    <a:noFill/>
                  </pic:spPr>
                </pic:pic>
              </a:graphicData>
            </a:graphic>
          </wp:inline>
        </w:drawing>
      </w:r>
    </w:p>
    <w:p w14:paraId="283669E5" w14:textId="2B1D90F4" w:rsidR="00A9562C" w:rsidRDefault="00642BD4" w:rsidP="00642BD4">
      <w:pPr>
        <w:pStyle w:val="Caption"/>
        <w:rPr>
          <w:b/>
          <w:bCs/>
        </w:rPr>
      </w:pPr>
      <w:r>
        <w:t xml:space="preserve">Figure </w:t>
      </w:r>
      <w:r>
        <w:fldChar w:fldCharType="begin"/>
      </w:r>
      <w:r>
        <w:instrText>SEQ Figure \* ARABIC</w:instrText>
      </w:r>
      <w:r>
        <w:fldChar w:fldCharType="separate"/>
      </w:r>
      <w:r w:rsidR="00DA14E2">
        <w:rPr>
          <w:noProof/>
        </w:rPr>
        <w:t>2</w:t>
      </w:r>
      <w:r>
        <w:fldChar w:fldCharType="end"/>
      </w:r>
      <w:r>
        <w:t>: Visual representation of Location-based accounting method (NGER-aligned)</w:t>
      </w:r>
    </w:p>
    <w:p w14:paraId="52691B98" w14:textId="439E999D" w:rsidR="005B05A3" w:rsidRPr="00617706" w:rsidRDefault="005B05A3" w:rsidP="007A39F8">
      <w:pPr>
        <w:pStyle w:val="Heading4"/>
        <w:rPr>
          <w:i/>
        </w:rPr>
      </w:pPr>
      <w:r w:rsidRPr="00617706">
        <w:t xml:space="preserve">Example 11 – A company’s Scope 2 emissions under </w:t>
      </w:r>
      <w:r w:rsidRPr="00617706">
        <w:rPr>
          <w:u w:val="single"/>
        </w:rPr>
        <w:t>market-based accounting</w:t>
      </w:r>
      <w:r w:rsidRPr="00617706">
        <w:t xml:space="preserve"> (Section 5.3 of Guidelines)</w:t>
      </w:r>
    </w:p>
    <w:p w14:paraId="6A56DC23" w14:textId="59B27E39" w:rsidR="00DB3F6D" w:rsidRPr="00617706" w:rsidRDefault="008C0DD9" w:rsidP="00DB3F6D">
      <w:pPr>
        <w:pStyle w:val="BodyText1"/>
        <w:spacing w:before="0" w:after="0"/>
        <w:rPr>
          <w:u w:val="single"/>
        </w:rPr>
      </w:pPr>
      <w:r w:rsidRPr="00617706">
        <w:t xml:space="preserve">In </w:t>
      </w:r>
      <w:r w:rsidR="000823C5" w:rsidRPr="00617706">
        <w:t xml:space="preserve">2020-2021, a </w:t>
      </w:r>
      <w:r w:rsidR="00AF2838" w:rsidRPr="00617706">
        <w:t xml:space="preserve">New South Wales-based </w:t>
      </w:r>
      <w:r w:rsidR="000823C5" w:rsidRPr="00617706">
        <w:t xml:space="preserve">CERT Participant consumes 100 MWh of total electricity. </w:t>
      </w:r>
      <w:r w:rsidR="0001328F" w:rsidRPr="00617706">
        <w:t xml:space="preserve">50 MWh is </w:t>
      </w:r>
      <w:r w:rsidR="00563551" w:rsidRPr="00617706">
        <w:t>imported</w:t>
      </w:r>
      <w:r w:rsidR="0001328F" w:rsidRPr="00617706">
        <w:t xml:space="preserve"> </w:t>
      </w:r>
      <w:r w:rsidR="00410E31" w:rsidRPr="00617706">
        <w:t xml:space="preserve">and consumed within </w:t>
      </w:r>
      <w:r w:rsidR="0001328F" w:rsidRPr="00617706">
        <w:t xml:space="preserve">New South Wales </w:t>
      </w:r>
      <w:r w:rsidR="0001328F" w:rsidRPr="00617706">
        <w:rPr>
          <w:color w:val="auto"/>
        </w:rPr>
        <w:t xml:space="preserve">and </w:t>
      </w:r>
      <w:r w:rsidR="00AF2838" w:rsidRPr="00617706">
        <w:rPr>
          <w:color w:val="auto"/>
        </w:rPr>
        <w:t xml:space="preserve">20 MWh is imported </w:t>
      </w:r>
      <w:r w:rsidR="00410E31" w:rsidRPr="00617706">
        <w:rPr>
          <w:color w:val="auto"/>
        </w:rPr>
        <w:t xml:space="preserve">and consumed within </w:t>
      </w:r>
      <w:r w:rsidR="00AF2838" w:rsidRPr="00617706">
        <w:rPr>
          <w:color w:val="auto"/>
        </w:rPr>
        <w:t xml:space="preserve">the </w:t>
      </w:r>
      <w:r w:rsidR="00D036DE" w:rsidRPr="00617706">
        <w:rPr>
          <w:color w:val="auto"/>
        </w:rPr>
        <w:t xml:space="preserve">Australian Capital Territory. </w:t>
      </w:r>
      <w:r w:rsidR="00AF576C" w:rsidRPr="00617706">
        <w:rPr>
          <w:color w:val="auto"/>
        </w:rPr>
        <w:t>The remaining 3</w:t>
      </w:r>
      <w:r w:rsidR="000834F2" w:rsidRPr="00617706">
        <w:rPr>
          <w:color w:val="auto"/>
        </w:rPr>
        <w:t xml:space="preserve">0 MWh is </w:t>
      </w:r>
      <w:r w:rsidR="00CD2F73" w:rsidRPr="00617706">
        <w:rPr>
          <w:color w:val="auto"/>
        </w:rPr>
        <w:t xml:space="preserve">generated </w:t>
      </w:r>
      <w:r w:rsidR="00D10E38" w:rsidRPr="00617706">
        <w:rPr>
          <w:color w:val="auto"/>
        </w:rPr>
        <w:t>onsite from renewable sources</w:t>
      </w:r>
      <w:r w:rsidR="00EA6F07" w:rsidRPr="00617706">
        <w:rPr>
          <w:color w:val="auto"/>
        </w:rPr>
        <w:t xml:space="preserve"> and credited with </w:t>
      </w:r>
      <w:r w:rsidR="00653990" w:rsidRPr="00617706">
        <w:rPr>
          <w:color w:val="auto"/>
        </w:rPr>
        <w:t xml:space="preserve">30 </w:t>
      </w:r>
      <w:r w:rsidR="00EA50BC" w:rsidRPr="00617706">
        <w:rPr>
          <w:color w:val="auto"/>
        </w:rPr>
        <w:t>LGCs</w:t>
      </w:r>
      <w:r w:rsidR="00F167B0" w:rsidRPr="00617706">
        <w:rPr>
          <w:color w:val="auto"/>
        </w:rPr>
        <w:t xml:space="preserve">, which </w:t>
      </w:r>
      <w:r w:rsidR="00F167B0" w:rsidRPr="00617706">
        <w:t>are</w:t>
      </w:r>
      <w:r w:rsidR="00EE07B7" w:rsidRPr="00617706">
        <w:t xml:space="preserve"> voluntarily surrendered by the Participant</w:t>
      </w:r>
      <w:r w:rsidR="00CD2F73" w:rsidRPr="00617706">
        <w:t xml:space="preserve">. </w:t>
      </w:r>
      <w:r w:rsidR="005D6E4D" w:rsidRPr="00617706">
        <w:t xml:space="preserve">Additionally, </w:t>
      </w:r>
      <w:r w:rsidR="005D6E4D" w:rsidRPr="00617706">
        <w:rPr>
          <w:color w:val="auto"/>
        </w:rPr>
        <w:t xml:space="preserve">20 ACCUs are purchased and voluntarily cancelled </w:t>
      </w:r>
      <w:r w:rsidR="005D6E4D" w:rsidRPr="00617706">
        <w:t>against Scope 2 emissions.</w:t>
      </w:r>
    </w:p>
    <w:p w14:paraId="28F86D71" w14:textId="77777777" w:rsidR="007F331C" w:rsidRPr="00617706" w:rsidRDefault="007F331C" w:rsidP="007F331C">
      <w:pPr>
        <w:pStyle w:val="BodyText1"/>
        <w:spacing w:before="0" w:after="0"/>
      </w:pPr>
    </w:p>
    <w:p w14:paraId="7214E6D3" w14:textId="04B4D913" w:rsidR="007F331C" w:rsidRPr="00617706" w:rsidRDefault="007F331C" w:rsidP="007F331C">
      <w:pPr>
        <w:pStyle w:val="BodyText1"/>
        <w:spacing w:before="0" w:after="0"/>
      </w:pPr>
      <w:r w:rsidRPr="00617706">
        <w:lastRenderedPageBreak/>
        <w:t xml:space="preserve">This CERT Participant is not conducting Emissions Intensive Trade-Exposed (EITE) activities. </w:t>
      </w:r>
    </w:p>
    <w:p w14:paraId="2BBF52B5" w14:textId="77777777" w:rsidR="009B7A92" w:rsidRPr="00617706" w:rsidRDefault="009B7A92" w:rsidP="00B06030">
      <w:pPr>
        <w:pStyle w:val="BodyText1"/>
        <w:spacing w:before="0" w:after="0"/>
      </w:pPr>
    </w:p>
    <w:p w14:paraId="09065D30" w14:textId="400DB052" w:rsidR="00D35B52" w:rsidRPr="00617706" w:rsidRDefault="00AD2741" w:rsidP="00501E49">
      <w:pPr>
        <w:pStyle w:val="BodyText1"/>
        <w:spacing w:before="0" w:after="0"/>
      </w:pPr>
      <w:r w:rsidRPr="00617706">
        <w:t xml:space="preserve">The Participant’s Net Scope 2 emissions (market-based) is calculated </w:t>
      </w:r>
      <w:r w:rsidR="003134AB" w:rsidRPr="00617706">
        <w:t>through several steps</w:t>
      </w:r>
      <w:r w:rsidR="00995C93" w:rsidRPr="00617706">
        <w:t xml:space="preserve"> and </w:t>
      </w:r>
      <w:r w:rsidR="00995C93" w:rsidRPr="00617706">
        <w:rPr>
          <w:b/>
          <w:bCs/>
        </w:rPr>
        <w:t>considers LGC surrenders</w:t>
      </w:r>
      <w:r w:rsidR="003134AB" w:rsidRPr="00617706">
        <w:t>.</w:t>
      </w:r>
      <w:r w:rsidR="00377237" w:rsidRPr="00617706">
        <w:t xml:space="preserve"> First,</w:t>
      </w:r>
      <w:r w:rsidR="00080208" w:rsidRPr="00617706">
        <w:t xml:space="preserve"> ‘residual electricity’ is calculated and assigned a </w:t>
      </w:r>
      <w:r w:rsidR="00080208" w:rsidRPr="00617706">
        <w:rPr>
          <w:b/>
          <w:bCs/>
        </w:rPr>
        <w:t>residual mix factor</w:t>
      </w:r>
      <w:r w:rsidR="00080208" w:rsidRPr="00617706">
        <w:t xml:space="preserve"> to determine</w:t>
      </w:r>
      <w:r w:rsidR="00626FC8" w:rsidRPr="00617706">
        <w:t xml:space="preserve"> </w:t>
      </w:r>
      <w:r w:rsidR="00D8767E" w:rsidRPr="00617706">
        <w:t>‘</w:t>
      </w:r>
      <w:r w:rsidR="00024C24" w:rsidRPr="00617706">
        <w:t>r</w:t>
      </w:r>
      <w:r w:rsidR="00995981" w:rsidRPr="00617706">
        <w:t xml:space="preserve">esidual </w:t>
      </w:r>
      <w:r w:rsidR="002A6433" w:rsidRPr="00617706">
        <w:t>emissions</w:t>
      </w:r>
      <w:r w:rsidR="009E6EC3" w:rsidRPr="00617706">
        <w:t>’</w:t>
      </w:r>
      <w:r w:rsidR="00F51D00" w:rsidRPr="00617706">
        <w:t>.</w:t>
      </w:r>
      <w:r w:rsidR="004A1AFE" w:rsidRPr="00617706">
        <w:t xml:space="preserve"> </w:t>
      </w:r>
      <w:r w:rsidR="004D16D2" w:rsidRPr="00617706">
        <w:t>Then a</w:t>
      </w:r>
      <w:r w:rsidR="004A1AFE" w:rsidRPr="00617706">
        <w:t xml:space="preserve">ny eligible unit surrenders are subtracted from </w:t>
      </w:r>
      <w:r w:rsidR="00D8767E" w:rsidRPr="00617706">
        <w:t>r</w:t>
      </w:r>
      <w:r w:rsidR="004A1AFE" w:rsidRPr="00617706">
        <w:t xml:space="preserve">esidual emissions to obtain </w:t>
      </w:r>
      <w:r w:rsidR="00377237" w:rsidRPr="00617706">
        <w:t>Net Scope 2 emissions.</w:t>
      </w:r>
    </w:p>
    <w:p w14:paraId="2D243E1E" w14:textId="77777777" w:rsidR="009B7A92" w:rsidRPr="00617706" w:rsidRDefault="009B7A92" w:rsidP="00501E49">
      <w:pPr>
        <w:pStyle w:val="BodyText1"/>
        <w:spacing w:before="0" w:after="0"/>
      </w:pPr>
    </w:p>
    <w:p w14:paraId="626FD73E" w14:textId="73D726B5" w:rsidR="009B7A92" w:rsidRPr="00617706" w:rsidRDefault="00225BDD" w:rsidP="00501E49">
      <w:pPr>
        <w:pStyle w:val="BodyText1"/>
        <w:spacing w:before="0" w:after="0"/>
      </w:pPr>
      <w:r w:rsidRPr="00617706">
        <w:t xml:space="preserve">Calculation of </w:t>
      </w:r>
      <w:r w:rsidR="00C336E6" w:rsidRPr="00617706">
        <w:rPr>
          <w:b/>
          <w:bCs/>
        </w:rPr>
        <w:t>r</w:t>
      </w:r>
      <w:r w:rsidR="009B7A92" w:rsidRPr="00617706">
        <w:rPr>
          <w:b/>
          <w:bCs/>
        </w:rPr>
        <w:t>esidual electricity use</w:t>
      </w:r>
      <w:r w:rsidR="009B7A92" w:rsidRPr="00617706">
        <w:t xml:space="preserve"> </w:t>
      </w:r>
      <w:r w:rsidR="00C31121" w:rsidRPr="00617706">
        <w:t>(used to calculate residual emissions)</w:t>
      </w:r>
      <w:r w:rsidR="007F331C" w:rsidRPr="00617706">
        <w:t>:</w:t>
      </w:r>
    </w:p>
    <w:p w14:paraId="50DBDA8C" w14:textId="77777777" w:rsidR="001B13E1" w:rsidRPr="00617706" w:rsidRDefault="001B13E1" w:rsidP="00501E49">
      <w:pPr>
        <w:pStyle w:val="BodyText1"/>
        <w:spacing w:before="0" w:after="0"/>
        <w:rPr>
          <w:i/>
          <w:iCs/>
        </w:rPr>
      </w:pPr>
    </w:p>
    <w:p w14:paraId="1990C127" w14:textId="26F779B7" w:rsidR="009E31CE" w:rsidRPr="00617706" w:rsidRDefault="009E31CE" w:rsidP="00501E49">
      <w:pPr>
        <w:pStyle w:val="BodyText1"/>
        <w:spacing w:before="0" w:after="0"/>
      </w:pPr>
      <w:r w:rsidRPr="00617706">
        <w:t xml:space="preserve">As the Participant is not conducting any EITE activities, the </w:t>
      </w:r>
      <w:r w:rsidR="00556455" w:rsidRPr="00617706">
        <w:t xml:space="preserve">Renewable Power Percentage (RPP) can be applied to their entire imported electricity use. The equation </w:t>
      </w:r>
      <w:r w:rsidR="007F331C" w:rsidRPr="00617706">
        <w:t>for residual electricity (</w:t>
      </w:r>
      <w:r w:rsidR="00556455" w:rsidRPr="00617706">
        <w:t>section 5.3.9</w:t>
      </w:r>
      <w:r w:rsidR="007F331C" w:rsidRPr="00617706">
        <w:t xml:space="preserve"> of Guidelines) </w:t>
      </w:r>
      <w:r w:rsidR="00556455" w:rsidRPr="00617706">
        <w:t>simplifies to:</w:t>
      </w:r>
      <w:r w:rsidR="00954DFB" w:rsidRPr="00617706">
        <w:rPr>
          <w:rStyle w:val="FootnoteReference"/>
        </w:rPr>
        <w:footnoteReference w:id="22"/>
      </w:r>
      <w:r w:rsidR="00954DFB" w:rsidRPr="00617706">
        <w:t xml:space="preserve"> </w:t>
      </w:r>
      <w:r w:rsidR="00954DFB" w:rsidRPr="00617706">
        <w:rPr>
          <w:rStyle w:val="FootnoteReference"/>
        </w:rPr>
        <w:footnoteReference w:id="23"/>
      </w:r>
    </w:p>
    <w:p w14:paraId="174F6D74" w14:textId="77777777" w:rsidR="007F331C" w:rsidRPr="00617706" w:rsidRDefault="007F331C" w:rsidP="00501E49">
      <w:pPr>
        <w:pStyle w:val="BodyText1"/>
        <w:spacing w:before="0" w:after="0"/>
        <w:rPr>
          <w:i/>
          <w:iCs/>
        </w:rPr>
      </w:pPr>
    </w:p>
    <w:p w14:paraId="1FBFC179" w14:textId="31F4260A" w:rsidR="00C336E6" w:rsidRPr="00617706" w:rsidRDefault="00451F90" w:rsidP="00501E49">
      <w:pPr>
        <w:pStyle w:val="BodyText1"/>
        <w:spacing w:before="0" w:after="0"/>
        <w:rPr>
          <w:color w:val="auto"/>
        </w:rPr>
      </w:pPr>
      <m:oMathPara>
        <m:oMath>
          <m:r>
            <w:rPr>
              <w:rFonts w:ascii="Cambria Math" w:hAnsi="Cambria Math"/>
              <w:color w:val="auto"/>
            </w:rPr>
            <m:t>=</m:t>
          </m:r>
          <m:sSub>
            <m:sSubPr>
              <m:ctrlPr>
                <w:rPr>
                  <w:rFonts w:ascii="Cambria Math" w:hAnsi="Cambria Math"/>
                  <w:i/>
                  <w:color w:val="auto"/>
                </w:rPr>
              </m:ctrlPr>
            </m:sSubPr>
            <m:e>
              <m:d>
                <m:dPr>
                  <m:begChr m:val="["/>
                  <m:endChr m:val="]"/>
                  <m:ctrlPr>
                    <w:rPr>
                      <w:rFonts w:ascii="Cambria Math" w:hAnsi="Cambria Math"/>
                      <w:i/>
                      <w:color w:val="auto"/>
                    </w:rPr>
                  </m:ctrlPr>
                </m:dPr>
                <m:e>
                  <m:r>
                    <w:rPr>
                      <w:rFonts w:ascii="Cambria Math" w:hAnsi="Cambria Math"/>
                      <w:color w:val="auto"/>
                    </w:rPr>
                    <m:t>Imported electricity×</m:t>
                  </m:r>
                  <m:d>
                    <m:dPr>
                      <m:begChr m:val="["/>
                      <m:endChr m:val="]"/>
                      <m:ctrlPr>
                        <w:rPr>
                          <w:rFonts w:ascii="Cambria Math" w:hAnsi="Cambria Math"/>
                          <w:i/>
                          <w:color w:val="auto"/>
                        </w:rPr>
                      </m:ctrlPr>
                    </m:dPr>
                    <m:e>
                      <m:r>
                        <w:rPr>
                          <w:rFonts w:ascii="Cambria Math" w:hAnsi="Cambria Math"/>
                          <w:color w:val="auto"/>
                        </w:rPr>
                        <m:t>1-</m:t>
                      </m:r>
                      <m:d>
                        <m:dPr>
                          <m:ctrlPr>
                            <w:rPr>
                              <w:rFonts w:ascii="Cambria Math" w:hAnsi="Cambria Math"/>
                              <w:i/>
                              <w:color w:val="auto"/>
                            </w:rPr>
                          </m:ctrlPr>
                        </m:dPr>
                        <m:e>
                          <m:r>
                            <w:rPr>
                              <w:rFonts w:ascii="Cambria Math" w:hAnsi="Cambria Math"/>
                              <w:color w:val="auto"/>
                            </w:rPr>
                            <m:t>RPP component</m:t>
                          </m:r>
                        </m:e>
                      </m:d>
                    </m:e>
                  </m:d>
                </m:e>
              </m:d>
            </m:e>
            <m:sub>
              <m:r>
                <w:rPr>
                  <w:rFonts w:ascii="Cambria Math" w:hAnsi="Cambria Math"/>
                  <w:color w:val="auto"/>
                </w:rPr>
                <m:t>NON ACT</m:t>
              </m:r>
            </m:sub>
          </m:sSub>
          <m:r>
            <w:rPr>
              <w:rFonts w:ascii="Cambria Math" w:hAnsi="Cambria Math"/>
              <w:color w:val="auto"/>
            </w:rPr>
            <m:t>+</m:t>
          </m:r>
          <m:sSub>
            <m:sSubPr>
              <m:ctrlPr>
                <w:rPr>
                  <w:rFonts w:ascii="Cambria Math" w:hAnsi="Cambria Math"/>
                  <w:i/>
                  <w:color w:val="auto"/>
                </w:rPr>
              </m:ctrlPr>
            </m:sSubPr>
            <m:e>
              <m:d>
                <m:dPr>
                  <m:begChr m:val="["/>
                  <m:endChr m:val="]"/>
                  <m:ctrlPr>
                    <w:rPr>
                      <w:rFonts w:ascii="Cambria Math" w:hAnsi="Cambria Math"/>
                      <w:i/>
                      <w:color w:val="auto"/>
                    </w:rPr>
                  </m:ctrlPr>
                </m:dPr>
                <m:e>
                  <m:r>
                    <w:rPr>
                      <w:rFonts w:ascii="Cambria Math" w:hAnsi="Cambria Math"/>
                      <w:color w:val="auto"/>
                    </w:rPr>
                    <m:t>Imported electricity×</m:t>
                  </m:r>
                  <m:d>
                    <m:dPr>
                      <m:begChr m:val="["/>
                      <m:endChr m:val="]"/>
                      <m:ctrlPr>
                        <w:rPr>
                          <w:rFonts w:ascii="Cambria Math" w:hAnsi="Cambria Math"/>
                          <w:i/>
                          <w:color w:val="auto"/>
                        </w:rPr>
                      </m:ctrlPr>
                    </m:dPr>
                    <m:e>
                      <m:r>
                        <w:rPr>
                          <w:rFonts w:ascii="Cambria Math" w:hAnsi="Cambria Math"/>
                          <w:color w:val="auto"/>
                        </w:rPr>
                        <m:t>1-</m:t>
                      </m:r>
                      <m:d>
                        <m:dPr>
                          <m:ctrlPr>
                            <w:rPr>
                              <w:rFonts w:ascii="Cambria Math" w:hAnsi="Cambria Math"/>
                              <w:i/>
                              <w:color w:val="auto"/>
                            </w:rPr>
                          </m:ctrlPr>
                        </m:dPr>
                        <m:e>
                          <m:r>
                            <w:rPr>
                              <w:rFonts w:ascii="Cambria Math" w:hAnsi="Cambria Math"/>
                              <w:color w:val="auto"/>
                            </w:rPr>
                            <m:t>RPP component+JRPP component</m:t>
                          </m:r>
                        </m:e>
                      </m:d>
                    </m:e>
                  </m:d>
                </m:e>
              </m:d>
            </m:e>
            <m:sub>
              <m:r>
                <w:rPr>
                  <w:rFonts w:ascii="Cambria Math" w:hAnsi="Cambria Math"/>
                  <w:color w:val="auto"/>
                </w:rPr>
                <m:t>ACT</m:t>
              </m:r>
            </m:sub>
          </m:sSub>
          <m:r>
            <w:rPr>
              <w:rFonts w:ascii="Cambria Math" w:hAnsi="Cambria Math"/>
              <w:color w:val="auto"/>
            </w:rPr>
            <m:t>+Renewable onsite electricity consumption</m:t>
          </m:r>
          <m:d>
            <m:dPr>
              <m:ctrlPr>
                <w:rPr>
                  <w:rFonts w:ascii="Cambria Math" w:hAnsi="Cambria Math"/>
                  <w:i/>
                  <w:color w:val="auto"/>
                </w:rPr>
              </m:ctrlPr>
            </m:dPr>
            <m:e>
              <m:r>
                <w:rPr>
                  <w:rFonts w:ascii="Cambria Math" w:hAnsi="Cambria Math"/>
                  <w:color w:val="auto"/>
                </w:rPr>
                <m:t>LGC</m:t>
              </m:r>
            </m:e>
          </m:d>
          <m:r>
            <w:rPr>
              <w:rFonts w:ascii="Cambria Math" w:hAnsi="Cambria Math"/>
              <w:color w:val="auto"/>
            </w:rPr>
            <m:t>-LGC surrenders</m:t>
          </m:r>
        </m:oMath>
      </m:oMathPara>
    </w:p>
    <w:p w14:paraId="0F5D29F0" w14:textId="77777777" w:rsidR="001110BC" w:rsidRPr="00617706" w:rsidRDefault="001110BC" w:rsidP="00501E49">
      <w:pPr>
        <w:pStyle w:val="BodyText1"/>
        <w:spacing w:before="0" w:after="0"/>
        <w:rPr>
          <w:color w:val="auto"/>
        </w:rPr>
      </w:pPr>
    </w:p>
    <w:p w14:paraId="1C624611" w14:textId="79B67801" w:rsidR="009346FF" w:rsidRPr="00617706" w:rsidRDefault="00001AE8" w:rsidP="00501E49">
      <w:pPr>
        <w:pStyle w:val="BodyText1"/>
        <w:spacing w:before="0" w:after="0"/>
        <w:rPr>
          <w:color w:val="auto"/>
        </w:rPr>
      </w:pPr>
      <m:oMathPara>
        <m:oMath>
          <m:r>
            <w:rPr>
              <w:rFonts w:ascii="Cambria Math" w:hAnsi="Cambria Math"/>
              <w:color w:val="auto"/>
            </w:rPr>
            <m:t>=</m:t>
          </m:r>
          <m:sSub>
            <m:sSubPr>
              <m:ctrlPr>
                <w:rPr>
                  <w:rFonts w:ascii="Cambria Math" w:hAnsi="Cambria Math"/>
                  <w:i/>
                  <w:color w:val="auto"/>
                </w:rPr>
              </m:ctrlPr>
            </m:sSubPr>
            <m:e>
              <m:r>
                <w:rPr>
                  <w:rFonts w:ascii="Cambria Math" w:hAnsi="Cambria Math"/>
                  <w:color w:val="auto"/>
                </w:rPr>
                <m:t>[50 MWh×</m:t>
              </m:r>
              <m:d>
                <m:dPr>
                  <m:begChr m:val="["/>
                  <m:endChr m:val="]"/>
                  <m:ctrlPr>
                    <w:rPr>
                      <w:rFonts w:ascii="Cambria Math" w:hAnsi="Cambria Math"/>
                      <w:i/>
                      <w:color w:val="auto"/>
                    </w:rPr>
                  </m:ctrlPr>
                </m:dPr>
                <m:e>
                  <m:r>
                    <w:rPr>
                      <w:rFonts w:ascii="Cambria Math" w:hAnsi="Cambria Math"/>
                      <w:color w:val="auto"/>
                    </w:rPr>
                    <m:t>1-</m:t>
                  </m:r>
                  <m:d>
                    <m:dPr>
                      <m:ctrlPr>
                        <w:rPr>
                          <w:rFonts w:ascii="Cambria Math" w:hAnsi="Cambria Math"/>
                          <w:i/>
                          <w:color w:val="auto"/>
                        </w:rPr>
                      </m:ctrlPr>
                    </m:dPr>
                    <m:e>
                      <m:r>
                        <w:rPr>
                          <w:rFonts w:ascii="Cambria Math" w:hAnsi="Cambria Math"/>
                          <w:color w:val="auto"/>
                        </w:rPr>
                        <m:t>0.19</m:t>
                      </m:r>
                    </m:e>
                  </m:d>
                </m:e>
              </m:d>
            </m:e>
            <m:sub>
              <m:r>
                <w:rPr>
                  <w:rFonts w:ascii="Cambria Math" w:hAnsi="Cambria Math"/>
                  <w:color w:val="auto"/>
                </w:rPr>
                <m:t>NON ACT</m:t>
              </m:r>
            </m:sub>
          </m:sSub>
        </m:oMath>
      </m:oMathPara>
    </w:p>
    <w:p w14:paraId="6FB6B90D" w14:textId="0F76E311" w:rsidR="009346FF" w:rsidRPr="00617706" w:rsidRDefault="00C76A4C" w:rsidP="00501E49">
      <w:pPr>
        <w:pStyle w:val="BodyText1"/>
        <w:spacing w:before="0" w:after="0"/>
        <w:rPr>
          <w:color w:val="auto"/>
        </w:rPr>
      </w:pPr>
      <m:oMathPara>
        <m:oMath>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[20 MWh×</m:t>
              </m:r>
              <m:d>
                <m:dPr>
                  <m:begChr m:val="["/>
                  <m:endChr m:val="]"/>
                  <m:ctrlPr>
                    <w:rPr>
                      <w:rFonts w:ascii="Cambria Math" w:hAnsi="Cambria Math"/>
                      <w:i/>
                      <w:color w:val="auto"/>
                    </w:rPr>
                  </m:ctrlPr>
                </m:dPr>
                <m:e>
                  <m:r>
                    <w:rPr>
                      <w:rFonts w:ascii="Cambria Math" w:hAnsi="Cambria Math"/>
                      <w:color w:val="auto"/>
                    </w:rPr>
                    <m:t>1-</m:t>
                  </m:r>
                  <m:d>
                    <m:dPr>
                      <m:ctrlPr>
                        <w:rPr>
                          <w:rFonts w:ascii="Cambria Math" w:hAnsi="Cambria Math"/>
                          <w:i/>
                          <w:color w:val="auto"/>
                        </w:rPr>
                      </m:ctrlPr>
                    </m:dPr>
                    <m:e>
                      <m:r>
                        <w:rPr>
                          <w:rFonts w:ascii="Cambria Math" w:hAnsi="Cambria Math"/>
                          <w:color w:val="auto"/>
                        </w:rPr>
                        <m:t>0.19+0.75</m:t>
                      </m:r>
                    </m:e>
                  </m:d>
                </m:e>
              </m:d>
            </m:e>
            <m:sub>
              <m:r>
                <w:rPr>
                  <w:rFonts w:ascii="Cambria Math" w:hAnsi="Cambria Math"/>
                  <w:color w:val="auto"/>
                </w:rPr>
                <m:t>ACT</m:t>
              </m:r>
            </m:sub>
          </m:sSub>
        </m:oMath>
      </m:oMathPara>
    </w:p>
    <w:p w14:paraId="71E68B41" w14:textId="4F4BC4B2" w:rsidR="001B13E1" w:rsidRPr="00617706" w:rsidRDefault="00001AE8" w:rsidP="00501E49">
      <w:pPr>
        <w:pStyle w:val="BodyText1"/>
        <w:spacing w:before="0" w:after="0"/>
        <w:rPr>
          <w:color w:val="auto"/>
        </w:rPr>
      </w:pPr>
      <m:oMathPara>
        <m:oMath>
          <m:r>
            <w:rPr>
              <w:rFonts w:ascii="Cambria Math" w:hAnsi="Cambria Math"/>
              <w:color w:val="auto"/>
            </w:rPr>
            <m:t>+ 30 MWh-30 MWh</m:t>
          </m:r>
        </m:oMath>
      </m:oMathPara>
    </w:p>
    <w:p w14:paraId="16ECFC5A" w14:textId="77777777" w:rsidR="001110BC" w:rsidRPr="00617706" w:rsidRDefault="001110BC" w:rsidP="00501E49">
      <w:pPr>
        <w:pStyle w:val="BodyText1"/>
        <w:spacing w:before="0" w:after="0"/>
        <w:rPr>
          <w:color w:val="auto"/>
        </w:rPr>
      </w:pPr>
    </w:p>
    <w:p w14:paraId="4751D209" w14:textId="5EF1B514" w:rsidR="000D65F1" w:rsidRPr="00617706" w:rsidRDefault="00001AE8" w:rsidP="00501E49">
      <w:pPr>
        <w:pStyle w:val="BodyText1"/>
        <w:spacing w:before="0" w:after="0"/>
        <w:rPr>
          <w:color w:val="auto"/>
        </w:rPr>
      </w:pPr>
      <m:oMathPara>
        <m:oMath>
          <m:r>
            <w:rPr>
              <w:rFonts w:ascii="Cambria Math" w:hAnsi="Cambria Math"/>
              <w:color w:val="auto"/>
            </w:rPr>
            <m:t>=41.7 MWh</m:t>
          </m:r>
        </m:oMath>
      </m:oMathPara>
    </w:p>
    <w:p w14:paraId="244B8635" w14:textId="77777777" w:rsidR="00E917B7" w:rsidRPr="00617706" w:rsidRDefault="00E917B7" w:rsidP="00501E49">
      <w:pPr>
        <w:pStyle w:val="BodyText1"/>
        <w:spacing w:before="0" w:after="0"/>
      </w:pPr>
    </w:p>
    <w:p w14:paraId="27973D52" w14:textId="2F4D88F3" w:rsidR="00C0626C" w:rsidRPr="00617706" w:rsidRDefault="00C0626C" w:rsidP="00501E49">
      <w:pPr>
        <w:pStyle w:val="BodyText1"/>
        <w:spacing w:before="0" w:after="0"/>
      </w:pPr>
      <w:r w:rsidRPr="00617706">
        <w:t xml:space="preserve">This number is then multiplied by </w:t>
      </w:r>
      <w:r w:rsidR="00FE0C9F" w:rsidRPr="00617706">
        <w:t>the residual mix factor to determine residual emissions.</w:t>
      </w:r>
    </w:p>
    <w:p w14:paraId="41A44EC8" w14:textId="77777777" w:rsidR="00E917B7" w:rsidRPr="00617706" w:rsidRDefault="00E917B7" w:rsidP="00501E49">
      <w:pPr>
        <w:pStyle w:val="BodyText1"/>
        <w:spacing w:before="0" w:after="0"/>
      </w:pPr>
    </w:p>
    <w:p w14:paraId="140D1775" w14:textId="14345C78" w:rsidR="00C0626C" w:rsidRPr="00617706" w:rsidRDefault="00F96048" w:rsidP="00501E49">
      <w:pPr>
        <w:pStyle w:val="BodyText1"/>
        <w:spacing w:before="0" w:after="0"/>
      </w:pPr>
      <w:r w:rsidRPr="00617706">
        <w:t xml:space="preserve">Calculation of </w:t>
      </w:r>
      <w:r w:rsidR="001A012F" w:rsidRPr="00617706">
        <w:rPr>
          <w:b/>
          <w:bCs/>
        </w:rPr>
        <w:t>residual emissions</w:t>
      </w:r>
      <w:r w:rsidR="00640C4A" w:rsidRPr="00617706">
        <w:t>:</w:t>
      </w:r>
    </w:p>
    <w:p w14:paraId="4F9B6EF3" w14:textId="77777777" w:rsidR="001110BC" w:rsidRPr="00617706" w:rsidRDefault="001110BC" w:rsidP="00501E49">
      <w:pPr>
        <w:pStyle w:val="BodyText1"/>
        <w:spacing w:before="0" w:after="0"/>
        <w:rPr>
          <w:i/>
          <w:iCs/>
        </w:rPr>
      </w:pPr>
    </w:p>
    <w:p w14:paraId="16FC85DB" w14:textId="12F6D3DF" w:rsidR="00E07287" w:rsidRPr="00617706" w:rsidRDefault="00001AE8" w:rsidP="00501E49">
      <w:pPr>
        <w:pStyle w:val="BodyText1"/>
        <w:spacing w:before="0" w:after="0"/>
      </w:pPr>
      <m:oMathPara>
        <m:oMath>
          <m:r>
            <w:rPr>
              <w:rFonts w:ascii="Cambria Math" w:hAnsi="Cambria Math"/>
            </w:rPr>
            <m:t>=Residual electricity use×Residual mix factor</m:t>
          </m:r>
        </m:oMath>
      </m:oMathPara>
    </w:p>
    <w:p w14:paraId="4B90B02C" w14:textId="77777777" w:rsidR="001110BC" w:rsidRPr="00617706" w:rsidRDefault="001110BC" w:rsidP="00501E49">
      <w:pPr>
        <w:pStyle w:val="BodyText1"/>
        <w:spacing w:before="0" w:after="0"/>
      </w:pPr>
    </w:p>
    <w:p w14:paraId="3056C3DA" w14:textId="211AC858" w:rsidR="006426BA" w:rsidRPr="00617706" w:rsidRDefault="00001AE8" w:rsidP="00501E49">
      <w:pPr>
        <w:pStyle w:val="BodyText1"/>
        <w:spacing w:before="0" w:after="0"/>
      </w:pPr>
      <m:oMathPara>
        <m:oMath>
          <m:r>
            <w:rPr>
              <w:rFonts w:ascii="Cambria Math" w:hAnsi="Cambria Math"/>
            </w:rPr>
            <m:t xml:space="preserve">=41.7 MWh×0.962 </m:t>
          </m:r>
          <m:f>
            <m:fPr>
              <m:ctrlPr>
                <w:rPr>
                  <w:rFonts w:ascii="Cambria Math" w:hAnsi="Cambria Math"/>
                  <w:i/>
                </w:rPr>
              </m:ctrlPr>
            </m:fPr>
            <m:num>
              <m:r>
                <w:rPr>
                  <w:rFonts w:ascii="Cambria Math" w:hAnsi="Cambria Math"/>
                </w:rPr>
                <m:t xml:space="preserve">t </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num>
            <m:den>
              <m:r>
                <w:rPr>
                  <w:rFonts w:ascii="Cambria Math" w:hAnsi="Cambria Math"/>
                </w:rPr>
                <m:t>MWh</m:t>
              </m:r>
            </m:den>
          </m:f>
        </m:oMath>
      </m:oMathPara>
    </w:p>
    <w:p w14:paraId="4AAC4BE7" w14:textId="77777777" w:rsidR="001110BC" w:rsidRPr="00617706" w:rsidRDefault="001110BC" w:rsidP="00501E49">
      <w:pPr>
        <w:pStyle w:val="BodyText1"/>
        <w:spacing w:before="0" w:after="0"/>
      </w:pPr>
    </w:p>
    <w:p w14:paraId="722364DF" w14:textId="1B849DE1" w:rsidR="00CF026D" w:rsidRPr="00617706" w:rsidRDefault="00001AE8" w:rsidP="00501E49">
      <w:pPr>
        <w:pStyle w:val="BodyText1"/>
        <w:spacing w:before="0" w:after="0"/>
      </w:pPr>
      <m:oMathPara>
        <m:oMath>
          <m:r>
            <w:rPr>
              <w:rFonts w:ascii="Cambria Math" w:hAnsi="Cambria Math"/>
            </w:rPr>
            <m:t xml:space="preserve">=40.12 t </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oMath>
      </m:oMathPara>
    </w:p>
    <w:p w14:paraId="041D5DAE" w14:textId="77777777" w:rsidR="00C0626C" w:rsidRPr="00617706" w:rsidRDefault="00C0626C" w:rsidP="00501E49">
      <w:pPr>
        <w:pStyle w:val="BodyText1"/>
        <w:spacing w:before="0" w:after="0"/>
      </w:pPr>
    </w:p>
    <w:p w14:paraId="25A9C317" w14:textId="045BC339" w:rsidR="001B13E1" w:rsidRPr="00617706" w:rsidRDefault="000F54E9" w:rsidP="00501E49">
      <w:pPr>
        <w:pStyle w:val="BodyText1"/>
        <w:spacing w:before="0" w:after="0"/>
      </w:pPr>
      <w:r w:rsidRPr="00617706">
        <w:t>Note the residual mix factor is an example</w:t>
      </w:r>
      <w:r w:rsidR="00684833" w:rsidRPr="00617706">
        <w:t>.</w:t>
      </w:r>
    </w:p>
    <w:p w14:paraId="711B9975" w14:textId="77777777" w:rsidR="009B7A92" w:rsidRPr="00617706" w:rsidRDefault="009B7A92" w:rsidP="00501E49">
      <w:pPr>
        <w:pStyle w:val="BodyText1"/>
        <w:spacing w:before="0" w:after="0"/>
      </w:pPr>
    </w:p>
    <w:p w14:paraId="4ADB10F8" w14:textId="2EBAB72C" w:rsidR="009B7A92" w:rsidRPr="00617706" w:rsidRDefault="009B7A92" w:rsidP="00501E49">
      <w:pPr>
        <w:pStyle w:val="BodyText1"/>
        <w:spacing w:before="0" w:after="0"/>
      </w:pPr>
      <w:r w:rsidRPr="00617706">
        <w:t>Any other eligible carbon units (</w:t>
      </w:r>
      <w:r w:rsidR="00684833" w:rsidRPr="00617706">
        <w:t xml:space="preserve">20 </w:t>
      </w:r>
      <w:r w:rsidRPr="00617706">
        <w:t xml:space="preserve">ACCUs = </w:t>
      </w:r>
      <w:r w:rsidR="00684833" w:rsidRPr="00617706">
        <w:t>2</w:t>
      </w:r>
      <w:r w:rsidRPr="00617706">
        <w:t>0 t CO</w:t>
      </w:r>
      <w:r w:rsidRPr="00617706">
        <w:rPr>
          <w:vertAlign w:val="subscript"/>
        </w:rPr>
        <w:t>2</w:t>
      </w:r>
      <w:r w:rsidRPr="00617706">
        <w:t xml:space="preserve">-e) are then deducted </w:t>
      </w:r>
      <w:r w:rsidR="00684833" w:rsidRPr="00617706">
        <w:t>to obtain Net Scope 2 emissions</w:t>
      </w:r>
      <w:r w:rsidRPr="00617706">
        <w:t xml:space="preserve">. </w:t>
      </w:r>
    </w:p>
    <w:p w14:paraId="5126D07C" w14:textId="77777777" w:rsidR="009B7A92" w:rsidRPr="00617706" w:rsidRDefault="009B7A92" w:rsidP="00501E49">
      <w:pPr>
        <w:pStyle w:val="BodyText1"/>
        <w:spacing w:before="0" w:after="0"/>
      </w:pPr>
    </w:p>
    <w:p w14:paraId="59190F72" w14:textId="4C11D632" w:rsidR="009B7A92" w:rsidRPr="00617706" w:rsidRDefault="00684833" w:rsidP="00501E49">
      <w:pPr>
        <w:pStyle w:val="BodyText1"/>
        <w:spacing w:before="0" w:after="0"/>
      </w:pPr>
      <w:r w:rsidRPr="00617706">
        <w:t xml:space="preserve">Calculation of </w:t>
      </w:r>
      <w:r w:rsidR="009B7A92" w:rsidRPr="00617706">
        <w:rPr>
          <w:b/>
          <w:bCs/>
        </w:rPr>
        <w:t>Net Scope 2 emissions</w:t>
      </w:r>
      <w:r w:rsidR="00640C4A" w:rsidRPr="00617706">
        <w:t>:</w:t>
      </w:r>
    </w:p>
    <w:p w14:paraId="22E35951" w14:textId="77777777" w:rsidR="001110BC" w:rsidRPr="00617706" w:rsidRDefault="001110BC" w:rsidP="00501E49">
      <w:pPr>
        <w:pStyle w:val="BodyText1"/>
        <w:spacing w:before="0" w:after="0"/>
        <w:rPr>
          <w:i/>
          <w:iCs/>
        </w:rPr>
      </w:pPr>
    </w:p>
    <w:p w14:paraId="7E5ED686" w14:textId="63531EE1" w:rsidR="00684833" w:rsidRPr="00617706" w:rsidRDefault="00001AE8" w:rsidP="00501E49">
      <w:pPr>
        <w:pStyle w:val="BodyText1"/>
        <w:spacing w:before="0" w:after="0"/>
        <w:rPr>
          <w:i/>
        </w:rPr>
      </w:pPr>
      <m:oMathPara>
        <m:oMath>
          <m:r>
            <w:rPr>
              <w:rFonts w:ascii="Cambria Math" w:hAnsi="Cambria Math"/>
            </w:rPr>
            <m:t xml:space="preserve">=40.12 t </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 xml:space="preserve">e-20 t </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oMath>
      </m:oMathPara>
    </w:p>
    <w:p w14:paraId="4B53BEDE" w14:textId="77777777" w:rsidR="001110BC" w:rsidRPr="00617706" w:rsidRDefault="001110BC" w:rsidP="00501E49">
      <w:pPr>
        <w:pStyle w:val="BodyText1"/>
        <w:spacing w:before="0" w:after="0"/>
        <w:rPr>
          <w:i/>
        </w:rPr>
      </w:pPr>
    </w:p>
    <w:p w14:paraId="6EC5961A" w14:textId="06D496AD" w:rsidR="00684833" w:rsidRPr="00AB5E27" w:rsidRDefault="00001AE8" w:rsidP="00501E49">
      <w:pPr>
        <w:pStyle w:val="BodyText1"/>
        <w:spacing w:before="0" w:after="0"/>
        <w:rPr>
          <w:b/>
          <w:iCs/>
        </w:rPr>
      </w:pPr>
      <m:oMathPara>
        <m:oMath>
          <m:r>
            <m:rPr>
              <m:sty m:val="bi"/>
            </m:rPr>
            <w:rPr>
              <w:rFonts w:ascii="Cambria Math" w:hAnsi="Cambria Math"/>
            </w:rPr>
            <m:t xml:space="preserve">=20.12 t </m:t>
          </m:r>
          <m:sSub>
            <m:sSubPr>
              <m:ctrlPr>
                <w:rPr>
                  <w:rFonts w:ascii="Cambria Math" w:hAnsi="Cambria Math"/>
                  <w:b/>
                  <w:i/>
                </w:rPr>
              </m:ctrlPr>
            </m:sSubPr>
            <m:e>
              <m:r>
                <m:rPr>
                  <m:sty m:val="bi"/>
                </m:rPr>
                <w:rPr>
                  <w:rFonts w:ascii="Cambria Math" w:hAnsi="Cambria Math"/>
                </w:rPr>
                <m:t>CO</m:t>
              </m:r>
            </m:e>
            <m:sub>
              <m:r>
                <m:rPr>
                  <m:sty m:val="bi"/>
                </m:rPr>
                <w:rPr>
                  <w:rFonts w:ascii="Cambria Math" w:hAnsi="Cambria Math"/>
                </w:rPr>
                <m:t>2</m:t>
              </m:r>
            </m:sub>
          </m:sSub>
          <m:r>
            <m:rPr>
              <m:sty m:val="bi"/>
            </m:rPr>
            <w:rPr>
              <w:rFonts w:ascii="Cambria Math" w:hAnsi="Cambria Math"/>
            </w:rPr>
            <m:t>e</m:t>
          </m:r>
        </m:oMath>
      </m:oMathPara>
    </w:p>
    <w:p w14:paraId="4D948BB9" w14:textId="77777777" w:rsidR="00501E49" w:rsidRDefault="00501E49" w:rsidP="00501E49">
      <w:pPr>
        <w:pStyle w:val="BodyText1"/>
        <w:spacing w:before="0" w:after="0"/>
      </w:pPr>
    </w:p>
    <w:p w14:paraId="013DCA1F" w14:textId="0E6ECD80" w:rsidR="002D6E44" w:rsidRPr="00AB5E27" w:rsidRDefault="002D6E44" w:rsidP="00501E49">
      <w:pPr>
        <w:pStyle w:val="BodyText1"/>
        <w:spacing w:before="0" w:after="0"/>
        <w:rPr>
          <w:i/>
        </w:rPr>
      </w:pPr>
    </w:p>
    <w:p w14:paraId="1D343DA4" w14:textId="7D7365F7" w:rsidR="00735358" w:rsidRDefault="00735358" w:rsidP="00501E49">
      <w:pPr>
        <w:pStyle w:val="BodyText1"/>
        <w:spacing w:before="0" w:after="0"/>
      </w:pPr>
    </w:p>
    <w:p w14:paraId="52D33A3D" w14:textId="77777777" w:rsidR="00467284" w:rsidRPr="000816EE" w:rsidRDefault="00326A19" w:rsidP="00467284">
      <w:pPr>
        <w:pStyle w:val="BodyText1"/>
        <w:keepNext/>
        <w:tabs>
          <w:tab w:val="left" w:pos="8222"/>
        </w:tabs>
        <w:spacing w:before="0" w:after="0"/>
      </w:pPr>
      <w:r w:rsidRPr="000816EE">
        <w:rPr>
          <w:noProof/>
        </w:rPr>
        <w:lastRenderedPageBreak/>
        <w:drawing>
          <wp:inline distT="0" distB="0" distL="0" distR="0" wp14:anchorId="0BDFA621" wp14:editId="6CC49109">
            <wp:extent cx="6112800" cy="477861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2800" cy="4778615"/>
                    </a:xfrm>
                    <a:prstGeom prst="rect">
                      <a:avLst/>
                    </a:prstGeom>
                    <a:noFill/>
                  </pic:spPr>
                </pic:pic>
              </a:graphicData>
            </a:graphic>
          </wp:inline>
        </w:drawing>
      </w:r>
    </w:p>
    <w:p w14:paraId="0103355E" w14:textId="07352FD7" w:rsidR="002D6E44" w:rsidRDefault="00467284" w:rsidP="00467284">
      <w:pPr>
        <w:pStyle w:val="Caption"/>
      </w:pPr>
      <w:r w:rsidRPr="000816EE">
        <w:t xml:space="preserve">Figure </w:t>
      </w:r>
      <w:r w:rsidRPr="000816EE">
        <w:fldChar w:fldCharType="begin"/>
      </w:r>
      <w:r w:rsidRPr="000816EE">
        <w:instrText>SEQ Figure \* ARABIC</w:instrText>
      </w:r>
      <w:r w:rsidRPr="000816EE">
        <w:fldChar w:fldCharType="separate"/>
      </w:r>
      <w:r w:rsidR="00DA14E2">
        <w:rPr>
          <w:noProof/>
        </w:rPr>
        <w:t>3</w:t>
      </w:r>
      <w:r w:rsidRPr="000816EE">
        <w:fldChar w:fldCharType="end"/>
      </w:r>
      <w:r w:rsidRPr="000816EE">
        <w:t>: Visual representation of Market-based accounting method</w:t>
      </w:r>
    </w:p>
    <w:p w14:paraId="1F8CCE22" w14:textId="77777777" w:rsidR="002D6E44" w:rsidRPr="009B7A92" w:rsidRDefault="002D6E44" w:rsidP="00501E49">
      <w:pPr>
        <w:pStyle w:val="BodyText1"/>
        <w:spacing w:before="0" w:after="0"/>
      </w:pPr>
    </w:p>
    <w:p w14:paraId="6856C05A" w14:textId="77777777" w:rsidR="000F5D97" w:rsidRDefault="000F5D97">
      <w:pPr>
        <w:spacing w:after="0"/>
        <w:rPr>
          <w:rFonts w:asciiTheme="majorHAnsi" w:eastAsia="Times New Roman" w:hAnsiTheme="majorHAnsi"/>
          <w:b/>
          <w:bCs/>
          <w:sz w:val="32"/>
          <w:szCs w:val="32"/>
        </w:rPr>
      </w:pPr>
      <w:r>
        <w:br w:type="page"/>
      </w:r>
    </w:p>
    <w:p w14:paraId="321817E2" w14:textId="7FCCA159" w:rsidR="009B7A92" w:rsidRPr="009B7A92" w:rsidRDefault="009B7A92" w:rsidP="00501E49">
      <w:pPr>
        <w:pStyle w:val="Heading2"/>
        <w:spacing w:before="0"/>
        <w:rPr>
          <w:i/>
          <w:iCs/>
        </w:rPr>
      </w:pPr>
      <w:bookmarkStart w:id="13" w:name="_Toc121236624"/>
      <w:r>
        <w:lastRenderedPageBreak/>
        <w:t xml:space="preserve">Renewable electricity accounting – </w:t>
      </w:r>
      <w:r w:rsidRPr="009B7A92">
        <w:rPr>
          <w:i/>
          <w:iCs/>
        </w:rPr>
        <w:t>Section 6 of the CERT Guidelines</w:t>
      </w:r>
      <w:bookmarkEnd w:id="13"/>
    </w:p>
    <w:p w14:paraId="76323FFA" w14:textId="00F00858" w:rsidR="009B7A92" w:rsidRDefault="009B7A92" w:rsidP="00501E49">
      <w:pPr>
        <w:pStyle w:val="BodyText1"/>
        <w:spacing w:before="0" w:after="0"/>
      </w:pPr>
    </w:p>
    <w:p w14:paraId="4A26E6E7" w14:textId="2266CF74" w:rsidR="00467284" w:rsidRPr="00617706" w:rsidRDefault="0065535D" w:rsidP="00467284">
      <w:pPr>
        <w:pStyle w:val="BodyText1"/>
        <w:keepNext/>
        <w:spacing w:before="0" w:after="0"/>
      </w:pPr>
      <w:r w:rsidRPr="00617706">
        <w:rPr>
          <w:noProof/>
        </w:rPr>
        <mc:AlternateContent>
          <mc:Choice Requires="wps">
            <w:drawing>
              <wp:anchor distT="0" distB="0" distL="114300" distR="114300" simplePos="0" relativeHeight="251660288" behindDoc="0" locked="0" layoutInCell="1" allowOverlap="1" wp14:anchorId="39FE6212" wp14:editId="4BFD0473">
                <wp:simplePos x="0" y="0"/>
                <wp:positionH relativeFrom="margin">
                  <wp:posOffset>3476625</wp:posOffset>
                </wp:positionH>
                <wp:positionV relativeFrom="paragraph">
                  <wp:posOffset>2990215</wp:posOffset>
                </wp:positionV>
                <wp:extent cx="2809875" cy="646331"/>
                <wp:effectExtent l="0" t="0" r="0" b="0"/>
                <wp:wrapNone/>
                <wp:docPr id="20" name="TextBox 19">
                  <a:extLst xmlns:a="http://schemas.openxmlformats.org/drawingml/2006/main">
                    <a:ext uri="{FF2B5EF4-FFF2-40B4-BE49-F238E27FC236}">
                      <a16:creationId xmlns:a16="http://schemas.microsoft.com/office/drawing/2014/main" id="{5238B5C5-89A5-4053-842C-50270710F0C6}"/>
                    </a:ext>
                  </a:extLst>
                </wp:docPr>
                <wp:cNvGraphicFramePr/>
                <a:graphic xmlns:a="http://schemas.openxmlformats.org/drawingml/2006/main">
                  <a:graphicData uri="http://schemas.microsoft.com/office/word/2010/wordprocessingShape">
                    <wps:wsp>
                      <wps:cNvSpPr txBox="1"/>
                      <wps:spPr>
                        <a:xfrm>
                          <a:off x="0" y="0"/>
                          <a:ext cx="2809875" cy="646331"/>
                        </a:xfrm>
                        <a:prstGeom prst="rect">
                          <a:avLst/>
                        </a:prstGeom>
                        <a:noFill/>
                      </wps:spPr>
                      <wps:txbx>
                        <w:txbxContent>
                          <w:p w14:paraId="4E08981F" w14:textId="2C7B36E0" w:rsidR="0065535D" w:rsidRPr="0065535D" w:rsidRDefault="0065535D" w:rsidP="0065535D">
                            <w:pPr>
                              <w:spacing w:after="0"/>
                              <w:rPr>
                                <w:rFonts w:hAnsi="Calibri" w:cstheme="minorBidi"/>
                                <w:kern w:val="24"/>
                                <w:sz w:val="20"/>
                                <w:szCs w:val="20"/>
                              </w:rPr>
                            </w:pPr>
                            <w:r w:rsidRPr="00617706">
                              <w:rPr>
                                <w:rFonts w:hAnsi="Calibri" w:cstheme="minorBidi"/>
                                <w:b/>
                                <w:bCs/>
                                <w:i/>
                                <w:iCs/>
                                <w:kern w:val="24"/>
                                <w:sz w:val="20"/>
                                <w:szCs w:val="20"/>
                              </w:rPr>
                              <w:t>On-site renewable use</w:t>
                            </w:r>
                            <w:r w:rsidRPr="00617706">
                              <w:rPr>
                                <w:rFonts w:hAnsi="Calibri" w:cstheme="minorBidi"/>
                                <w:b/>
                                <w:bCs/>
                                <w:kern w:val="24"/>
                                <w:sz w:val="20"/>
                                <w:szCs w:val="20"/>
                              </w:rPr>
                              <w:t xml:space="preserve"> </w:t>
                            </w:r>
                            <w:r w:rsidRPr="00617706">
                              <w:rPr>
                                <w:rFonts w:hAnsi="Calibri" w:cstheme="minorBidi"/>
                                <w:kern w:val="24"/>
                                <w:sz w:val="20"/>
                                <w:szCs w:val="20"/>
                              </w:rPr>
                              <w:t>may be reported either in NGER or as part of the CERT reporting process if claiming on-site renewables not reported in NGER.</w:t>
                            </w:r>
                          </w:p>
                        </w:txbxContent>
                      </wps:txbx>
                      <wps:bodyPr wrap="square" rtlCol="0">
                        <a:spAutoFit/>
                      </wps:bodyPr>
                    </wps:wsp>
                  </a:graphicData>
                </a:graphic>
                <wp14:sizeRelH relativeFrom="margin">
                  <wp14:pctWidth>0</wp14:pctWidth>
                </wp14:sizeRelH>
              </wp:anchor>
            </w:drawing>
          </mc:Choice>
          <mc:Fallback>
            <w:pict>
              <v:shapetype w14:anchorId="39FE6212" id="_x0000_t202" coordsize="21600,21600" o:spt="202" path="m,l,21600r21600,l21600,xe">
                <v:stroke joinstyle="miter"/>
                <v:path gradientshapeok="t" o:connecttype="rect"/>
              </v:shapetype>
              <v:shape id="TextBox 19" o:spid="_x0000_s1026" type="#_x0000_t202" style="position:absolute;margin-left:273.75pt;margin-top:235.45pt;width:221.25pt;height:50.9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" filled="f" stroked="f">
                <v:textbox style="mso-fit-shape-to-text:t">
                  <w:txbxContent>
                    <w:p w14:paraId="4E08981F" w14:textId="2C7B36E0" w:rsidR="0065535D" w:rsidRPr="0065535D" w:rsidRDefault="0065535D" w:rsidP="0065535D">
                      <w:pPr>
                        <w:spacing w:after="0"/>
                        <w:rPr>
                          <w:rFonts w:hAnsi="Calibri" w:cstheme="minorBidi"/>
                          <w:kern w:val="24"/>
                          <w:sz w:val="20"/>
                          <w:szCs w:val="20"/>
                        </w:rPr>
                      </w:pPr>
                      <w:r w:rsidRPr="00617706">
                        <w:rPr>
                          <w:rFonts w:hAnsi="Calibri" w:cstheme="minorBidi"/>
                          <w:b/>
                          <w:bCs/>
                          <w:i/>
                          <w:iCs/>
                          <w:kern w:val="24"/>
                          <w:sz w:val="20"/>
                          <w:szCs w:val="20"/>
                        </w:rPr>
                        <w:t>On-site renewable use</w:t>
                      </w:r>
                      <w:r w:rsidRPr="00617706">
                        <w:rPr>
                          <w:rFonts w:hAnsi="Calibri" w:cstheme="minorBidi"/>
                          <w:b/>
                          <w:bCs/>
                          <w:kern w:val="24"/>
                          <w:sz w:val="20"/>
                          <w:szCs w:val="20"/>
                        </w:rPr>
                        <w:t xml:space="preserve"> </w:t>
                      </w:r>
                      <w:r w:rsidRPr="00617706">
                        <w:rPr>
                          <w:rFonts w:hAnsi="Calibri" w:cstheme="minorBidi"/>
                          <w:kern w:val="24"/>
                          <w:sz w:val="20"/>
                          <w:szCs w:val="20"/>
                        </w:rPr>
                        <w:t>may be reported either in NGER or as part of the CERT reporting process if claiming on-site renewables not reported in NGER.</w:t>
                      </w:r>
                    </w:p>
                  </w:txbxContent>
                </v:textbox>
                <w10:wrap anchorx="margin"/>
              </v:shape>
            </w:pict>
          </mc:Fallback>
        </mc:AlternateContent>
      </w:r>
      <w:r w:rsidRPr="00617706">
        <w:rPr>
          <w:noProof/>
        </w:rPr>
        <mc:AlternateContent>
          <mc:Choice Requires="wps">
            <w:drawing>
              <wp:anchor distT="0" distB="0" distL="114300" distR="114300" simplePos="0" relativeHeight="251652096" behindDoc="0" locked="0" layoutInCell="1" allowOverlap="1" wp14:anchorId="138DEE78" wp14:editId="44A0851F">
                <wp:simplePos x="0" y="0"/>
                <wp:positionH relativeFrom="margin">
                  <wp:align>right</wp:align>
                </wp:positionH>
                <wp:positionV relativeFrom="paragraph">
                  <wp:posOffset>2167387</wp:posOffset>
                </wp:positionV>
                <wp:extent cx="2716901" cy="645795"/>
                <wp:effectExtent l="0" t="0" r="0" b="0"/>
                <wp:wrapNone/>
                <wp:docPr id="17" name="TextBox 1"/>
                <wp:cNvGraphicFramePr/>
                <a:graphic xmlns:a="http://schemas.openxmlformats.org/drawingml/2006/main">
                  <a:graphicData uri="http://schemas.microsoft.com/office/word/2010/wordprocessingShape">
                    <wps:wsp>
                      <wps:cNvSpPr txBox="1"/>
                      <wps:spPr>
                        <a:xfrm>
                          <a:off x="0" y="0"/>
                          <a:ext cx="2716901" cy="645795"/>
                        </a:xfrm>
                        <a:prstGeom prst="rect">
                          <a:avLst/>
                        </a:prstGeom>
                        <a:noFill/>
                      </wps:spPr>
                      <wps:txbx>
                        <w:txbxContent>
                          <w:p w14:paraId="100940D3" w14:textId="56A58EA2" w:rsidR="0065535D" w:rsidRPr="0065535D" w:rsidRDefault="0065535D" w:rsidP="0065535D">
                            <w:pPr>
                              <w:spacing w:after="0"/>
                              <w:rPr>
                                <w:rFonts w:hAnsi="Calibri" w:cstheme="minorBidi"/>
                                <w:kern w:val="24"/>
                                <w:sz w:val="20"/>
                                <w:szCs w:val="20"/>
                              </w:rPr>
                            </w:pPr>
                            <w:r w:rsidRPr="00617706">
                              <w:rPr>
                                <w:rFonts w:hAnsi="Calibri" w:cstheme="minorBidi"/>
                                <w:b/>
                                <w:bCs/>
                                <w:i/>
                                <w:iCs/>
                                <w:kern w:val="24"/>
                                <w:sz w:val="20"/>
                                <w:szCs w:val="20"/>
                              </w:rPr>
                              <w:t xml:space="preserve">On-site renewable </w:t>
                            </w:r>
                            <w:r w:rsidR="00134A60" w:rsidRPr="00617706">
                              <w:rPr>
                                <w:rFonts w:hAnsi="Calibri" w:cstheme="minorBidi"/>
                                <w:b/>
                                <w:bCs/>
                                <w:i/>
                                <w:iCs/>
                                <w:kern w:val="24"/>
                                <w:sz w:val="20"/>
                                <w:szCs w:val="20"/>
                              </w:rPr>
                              <w:t>use</w:t>
                            </w:r>
                            <w:r w:rsidRPr="00617706">
                              <w:rPr>
                                <w:rFonts w:hAnsi="Calibri" w:cstheme="minorBidi"/>
                                <w:b/>
                                <w:bCs/>
                                <w:i/>
                                <w:iCs/>
                                <w:kern w:val="24"/>
                                <w:sz w:val="20"/>
                                <w:szCs w:val="20"/>
                              </w:rPr>
                              <w:t xml:space="preserve"> (not credited with LGCs)</w:t>
                            </w:r>
                            <w:r w:rsidRPr="00617706">
                              <w:rPr>
                                <w:rFonts w:hAnsi="Calibri" w:cstheme="minorBidi"/>
                                <w:b/>
                                <w:bCs/>
                                <w:kern w:val="24"/>
                                <w:sz w:val="20"/>
                                <w:szCs w:val="20"/>
                              </w:rPr>
                              <w:t xml:space="preserve"> </w:t>
                            </w:r>
                            <w:r w:rsidRPr="00617706">
                              <w:rPr>
                                <w:rFonts w:hAnsi="Calibri" w:cstheme="minorBidi"/>
                                <w:kern w:val="24"/>
                                <w:sz w:val="20"/>
                                <w:szCs w:val="20"/>
                              </w:rPr>
                              <w:t>includes</w:t>
                            </w:r>
                            <w:r w:rsidR="0075552A" w:rsidRPr="00617706">
                              <w:rPr>
                                <w:rFonts w:hAnsi="Calibri" w:cstheme="minorBidi"/>
                                <w:kern w:val="24"/>
                                <w:sz w:val="20"/>
                                <w:szCs w:val="20"/>
                              </w:rPr>
                              <w:t xml:space="preserve"> on-site consumption of</w:t>
                            </w:r>
                            <w:r w:rsidRPr="00617706">
                              <w:rPr>
                                <w:rFonts w:hAnsi="Calibri" w:cstheme="minorBidi"/>
                                <w:kern w:val="24"/>
                                <w:sz w:val="20"/>
                                <w:szCs w:val="20"/>
                              </w:rPr>
                              <w:t xml:space="preserve"> </w:t>
                            </w:r>
                            <w:r w:rsidR="00B62CF5" w:rsidRPr="00617706">
                              <w:rPr>
                                <w:rFonts w:hAnsi="Calibri" w:cstheme="minorBidi"/>
                                <w:kern w:val="24"/>
                                <w:sz w:val="20"/>
                                <w:szCs w:val="20"/>
                              </w:rPr>
                              <w:t xml:space="preserve">generation from </w:t>
                            </w:r>
                            <w:r w:rsidRPr="00617706">
                              <w:rPr>
                                <w:rFonts w:hAnsi="Calibri" w:cstheme="minorBidi"/>
                                <w:kern w:val="24"/>
                                <w:sz w:val="20"/>
                                <w:szCs w:val="20"/>
                              </w:rPr>
                              <w:t xml:space="preserve">small-scale (&lt;100 kW) systems and </w:t>
                            </w:r>
                            <w:r w:rsidR="000F5D97" w:rsidRPr="00617706">
                              <w:rPr>
                                <w:rFonts w:hAnsi="Calibri" w:cstheme="minorBidi"/>
                                <w:kern w:val="24"/>
                                <w:sz w:val="20"/>
                                <w:szCs w:val="20"/>
                              </w:rPr>
                              <w:t>renewable</w:t>
                            </w:r>
                            <w:r w:rsidR="00B62CF5" w:rsidRPr="00617706">
                              <w:rPr>
                                <w:rFonts w:hAnsi="Calibri" w:cstheme="minorBidi"/>
                                <w:kern w:val="24"/>
                                <w:sz w:val="20"/>
                                <w:szCs w:val="20"/>
                              </w:rPr>
                              <w:t>s</w:t>
                            </w:r>
                            <w:r w:rsidR="000F5D97" w:rsidRPr="00617706">
                              <w:rPr>
                                <w:rFonts w:hAnsi="Calibri" w:cstheme="minorBidi"/>
                                <w:kern w:val="24"/>
                                <w:sz w:val="20"/>
                                <w:szCs w:val="20"/>
                              </w:rPr>
                              <w:t xml:space="preserve"> generated </w:t>
                            </w:r>
                            <w:r w:rsidRPr="00617706">
                              <w:rPr>
                                <w:rFonts w:hAnsi="Calibri" w:cstheme="minorBidi"/>
                                <w:kern w:val="24"/>
                                <w:sz w:val="20"/>
                                <w:szCs w:val="20"/>
                              </w:rPr>
                              <w:t xml:space="preserve">below </w:t>
                            </w:r>
                            <w:r w:rsidR="000F5D97" w:rsidRPr="00617706">
                              <w:rPr>
                                <w:rFonts w:hAnsi="Calibri" w:cstheme="minorBidi"/>
                                <w:kern w:val="24"/>
                                <w:sz w:val="20"/>
                                <w:szCs w:val="20"/>
                              </w:rPr>
                              <w:t xml:space="preserve">the pre-1997 RET </w:t>
                            </w:r>
                            <w:r w:rsidRPr="00617706">
                              <w:rPr>
                                <w:rFonts w:hAnsi="Calibri" w:cstheme="minorBidi"/>
                                <w:kern w:val="24"/>
                                <w:sz w:val="20"/>
                                <w:szCs w:val="20"/>
                              </w:rPr>
                              <w:t>baseline.</w:t>
                            </w:r>
                          </w:p>
                        </w:txbxContent>
                      </wps:txbx>
                      <wps:bodyPr wrap="square" rtlCol="0">
                        <a:spAutoFit/>
                      </wps:bodyPr>
                    </wps:wsp>
                  </a:graphicData>
                </a:graphic>
                <wp14:sizeRelH relativeFrom="margin">
                  <wp14:pctWidth>0</wp14:pctWidth>
                </wp14:sizeRelH>
              </wp:anchor>
            </w:drawing>
          </mc:Choice>
          <mc:Fallback>
            <w:pict>
              <v:shape w14:anchorId="138DEE78" id="TextBox 1" o:spid="_x0000_s1027" type="#_x0000_t202" style="position:absolute;margin-left:162.75pt;margin-top:170.65pt;width:213.95pt;height:50.85pt;z-index:2516520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" filled="f" stroked="f">
                <v:textbox style="mso-fit-shape-to-text:t">
                  <w:txbxContent>
                    <w:p w14:paraId="100940D3" w14:textId="56A58EA2" w:rsidR="0065535D" w:rsidRPr="0065535D" w:rsidRDefault="0065535D" w:rsidP="0065535D">
                      <w:pPr>
                        <w:spacing w:after="0"/>
                        <w:rPr>
                          <w:rFonts w:hAnsi="Calibri" w:cstheme="minorBidi"/>
                          <w:kern w:val="24"/>
                          <w:sz w:val="20"/>
                          <w:szCs w:val="20"/>
                        </w:rPr>
                      </w:pPr>
                      <w:r w:rsidRPr="00617706">
                        <w:rPr>
                          <w:rFonts w:hAnsi="Calibri" w:cstheme="minorBidi"/>
                          <w:b/>
                          <w:bCs/>
                          <w:i/>
                          <w:iCs/>
                          <w:kern w:val="24"/>
                          <w:sz w:val="20"/>
                          <w:szCs w:val="20"/>
                        </w:rPr>
                        <w:t xml:space="preserve">On-site renewable </w:t>
                      </w:r>
                      <w:r w:rsidR="00134A60" w:rsidRPr="00617706">
                        <w:rPr>
                          <w:rFonts w:hAnsi="Calibri" w:cstheme="minorBidi"/>
                          <w:b/>
                          <w:bCs/>
                          <w:i/>
                          <w:iCs/>
                          <w:kern w:val="24"/>
                          <w:sz w:val="20"/>
                          <w:szCs w:val="20"/>
                        </w:rPr>
                        <w:t>use</w:t>
                      </w:r>
                      <w:r w:rsidRPr="00617706">
                        <w:rPr>
                          <w:rFonts w:hAnsi="Calibri" w:cstheme="minorBidi"/>
                          <w:b/>
                          <w:bCs/>
                          <w:i/>
                          <w:iCs/>
                          <w:kern w:val="24"/>
                          <w:sz w:val="20"/>
                          <w:szCs w:val="20"/>
                        </w:rPr>
                        <w:t xml:space="preserve"> (not credited with LGCs)</w:t>
                      </w:r>
                      <w:r w:rsidRPr="00617706">
                        <w:rPr>
                          <w:rFonts w:hAnsi="Calibri" w:cstheme="minorBidi"/>
                          <w:b/>
                          <w:bCs/>
                          <w:kern w:val="24"/>
                          <w:sz w:val="20"/>
                          <w:szCs w:val="20"/>
                        </w:rPr>
                        <w:t xml:space="preserve"> </w:t>
                      </w:r>
                      <w:r w:rsidRPr="00617706">
                        <w:rPr>
                          <w:rFonts w:hAnsi="Calibri" w:cstheme="minorBidi"/>
                          <w:kern w:val="24"/>
                          <w:sz w:val="20"/>
                          <w:szCs w:val="20"/>
                        </w:rPr>
                        <w:t>includes</w:t>
                      </w:r>
                      <w:r w:rsidR="0075552A" w:rsidRPr="00617706">
                        <w:rPr>
                          <w:rFonts w:hAnsi="Calibri" w:cstheme="minorBidi"/>
                          <w:kern w:val="24"/>
                          <w:sz w:val="20"/>
                          <w:szCs w:val="20"/>
                        </w:rPr>
                        <w:t xml:space="preserve"> on-site consumption of</w:t>
                      </w:r>
                      <w:r w:rsidRPr="00617706">
                        <w:rPr>
                          <w:rFonts w:hAnsi="Calibri" w:cstheme="minorBidi"/>
                          <w:kern w:val="24"/>
                          <w:sz w:val="20"/>
                          <w:szCs w:val="20"/>
                        </w:rPr>
                        <w:t xml:space="preserve"> </w:t>
                      </w:r>
                      <w:r w:rsidR="00B62CF5" w:rsidRPr="00617706">
                        <w:rPr>
                          <w:rFonts w:hAnsi="Calibri" w:cstheme="minorBidi"/>
                          <w:kern w:val="24"/>
                          <w:sz w:val="20"/>
                          <w:szCs w:val="20"/>
                        </w:rPr>
                        <w:t xml:space="preserve">generation from </w:t>
                      </w:r>
                      <w:r w:rsidRPr="00617706">
                        <w:rPr>
                          <w:rFonts w:hAnsi="Calibri" w:cstheme="minorBidi"/>
                          <w:kern w:val="24"/>
                          <w:sz w:val="20"/>
                          <w:szCs w:val="20"/>
                        </w:rPr>
                        <w:t xml:space="preserve">small-scale (&lt;100 kW) systems and </w:t>
                      </w:r>
                      <w:r w:rsidR="000F5D97" w:rsidRPr="00617706">
                        <w:rPr>
                          <w:rFonts w:hAnsi="Calibri" w:cstheme="minorBidi"/>
                          <w:kern w:val="24"/>
                          <w:sz w:val="20"/>
                          <w:szCs w:val="20"/>
                        </w:rPr>
                        <w:t>renewable</w:t>
                      </w:r>
                      <w:r w:rsidR="00B62CF5" w:rsidRPr="00617706">
                        <w:rPr>
                          <w:rFonts w:hAnsi="Calibri" w:cstheme="minorBidi"/>
                          <w:kern w:val="24"/>
                          <w:sz w:val="20"/>
                          <w:szCs w:val="20"/>
                        </w:rPr>
                        <w:t>s</w:t>
                      </w:r>
                      <w:r w:rsidR="000F5D97" w:rsidRPr="00617706">
                        <w:rPr>
                          <w:rFonts w:hAnsi="Calibri" w:cstheme="minorBidi"/>
                          <w:kern w:val="24"/>
                          <w:sz w:val="20"/>
                          <w:szCs w:val="20"/>
                        </w:rPr>
                        <w:t xml:space="preserve"> generated </w:t>
                      </w:r>
                      <w:r w:rsidRPr="00617706">
                        <w:rPr>
                          <w:rFonts w:hAnsi="Calibri" w:cstheme="minorBidi"/>
                          <w:kern w:val="24"/>
                          <w:sz w:val="20"/>
                          <w:szCs w:val="20"/>
                        </w:rPr>
                        <w:t xml:space="preserve">below </w:t>
                      </w:r>
                      <w:r w:rsidR="000F5D97" w:rsidRPr="00617706">
                        <w:rPr>
                          <w:rFonts w:hAnsi="Calibri" w:cstheme="minorBidi"/>
                          <w:kern w:val="24"/>
                          <w:sz w:val="20"/>
                          <w:szCs w:val="20"/>
                        </w:rPr>
                        <w:t xml:space="preserve">the pre-1997 RET </w:t>
                      </w:r>
                      <w:r w:rsidRPr="00617706">
                        <w:rPr>
                          <w:rFonts w:hAnsi="Calibri" w:cstheme="minorBidi"/>
                          <w:kern w:val="24"/>
                          <w:sz w:val="20"/>
                          <w:szCs w:val="20"/>
                        </w:rPr>
                        <w:t>baseline.</w:t>
                      </w:r>
                    </w:p>
                  </w:txbxContent>
                </v:textbox>
                <w10:wrap anchorx="margin"/>
              </v:shape>
            </w:pict>
          </mc:Fallback>
        </mc:AlternateContent>
      </w:r>
      <w:r w:rsidR="00E90BA7" w:rsidRPr="00617706">
        <w:rPr>
          <w:noProof/>
        </w:rPr>
        <w:drawing>
          <wp:inline distT="0" distB="0" distL="0" distR="0" wp14:anchorId="2EE0227B" wp14:editId="27DB29EC">
            <wp:extent cx="6112800" cy="323516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2800" cy="3235169"/>
                    </a:xfrm>
                    <a:prstGeom prst="rect">
                      <a:avLst/>
                    </a:prstGeom>
                    <a:noFill/>
                  </pic:spPr>
                </pic:pic>
              </a:graphicData>
            </a:graphic>
          </wp:inline>
        </w:drawing>
      </w:r>
    </w:p>
    <w:p w14:paraId="33694426" w14:textId="77777777" w:rsidR="00467284" w:rsidRPr="00617706" w:rsidRDefault="00467284" w:rsidP="00467284">
      <w:pPr>
        <w:pStyle w:val="Caption"/>
      </w:pPr>
    </w:p>
    <w:p w14:paraId="5175127E" w14:textId="12242DC9" w:rsidR="00467284" w:rsidRDefault="00467284" w:rsidP="00467284">
      <w:pPr>
        <w:pStyle w:val="Caption"/>
      </w:pPr>
      <w:r w:rsidRPr="00617706">
        <w:t xml:space="preserve">Figure </w:t>
      </w:r>
      <w:r w:rsidRPr="00617706">
        <w:fldChar w:fldCharType="begin"/>
      </w:r>
      <w:r w:rsidRPr="00617706">
        <w:instrText>SEQ Figure \* ARABIC</w:instrText>
      </w:r>
      <w:r w:rsidRPr="00617706">
        <w:fldChar w:fldCharType="separate"/>
      </w:r>
      <w:r w:rsidR="00DA14E2">
        <w:rPr>
          <w:noProof/>
        </w:rPr>
        <w:t>4</w:t>
      </w:r>
      <w:r w:rsidRPr="00617706">
        <w:fldChar w:fldCharType="end"/>
      </w:r>
      <w:r w:rsidRPr="00617706">
        <w:t>: Visual representation of renewable electricity percentage (%) calculation</w:t>
      </w:r>
    </w:p>
    <w:p w14:paraId="5CE19984" w14:textId="42B8BEE0" w:rsidR="009B7A92" w:rsidRPr="00617706" w:rsidRDefault="009B7A92" w:rsidP="007A39F8">
      <w:pPr>
        <w:pStyle w:val="Heading4"/>
      </w:pPr>
      <w:r w:rsidRPr="00617706">
        <w:t xml:space="preserve">Example </w:t>
      </w:r>
      <w:r w:rsidR="00E455A0" w:rsidRPr="00617706">
        <w:t>12</w:t>
      </w:r>
      <w:r w:rsidRPr="00617706">
        <w:t xml:space="preserve"> – Renewable Electricity percentage (%) calculation</w:t>
      </w:r>
    </w:p>
    <w:p w14:paraId="66170767" w14:textId="157464FE" w:rsidR="00F771EA" w:rsidRPr="00617706" w:rsidRDefault="00D87473" w:rsidP="00501E49">
      <w:pPr>
        <w:pStyle w:val="BodyText1"/>
        <w:spacing w:before="0" w:after="0"/>
      </w:pPr>
      <w:r w:rsidRPr="00617706">
        <w:t>Company A</w:t>
      </w:r>
      <w:r w:rsidR="009B7A92" w:rsidRPr="00617706">
        <w:t xml:space="preserve"> has an eligible renewable electricity commitment to achieve 100% renewable electricity by 2025. </w:t>
      </w:r>
      <w:r w:rsidR="00893462" w:rsidRPr="00617706">
        <w:t xml:space="preserve">They </w:t>
      </w:r>
      <w:r w:rsidR="009B7A92" w:rsidRPr="00617706">
        <w:t>consume 100</w:t>
      </w:r>
      <w:r w:rsidR="00F2373D" w:rsidRPr="00617706">
        <w:t>,</w:t>
      </w:r>
      <w:r w:rsidR="009B7A92" w:rsidRPr="00617706">
        <w:t>000</w:t>
      </w:r>
      <w:r w:rsidR="00F2373D" w:rsidRPr="00617706">
        <w:t xml:space="preserve"> </w:t>
      </w:r>
      <w:r w:rsidR="009B7A92" w:rsidRPr="00617706">
        <w:t>MWh of electricity</w:t>
      </w:r>
      <w:r w:rsidR="004D7FBC" w:rsidRPr="00617706">
        <w:t>.</w:t>
      </w:r>
      <w:r w:rsidR="00ED2411" w:rsidRPr="00617706">
        <w:t xml:space="preserve"> </w:t>
      </w:r>
      <w:r w:rsidR="000A59EE" w:rsidRPr="00617706">
        <w:t xml:space="preserve">60,000 MWh </w:t>
      </w:r>
      <w:r w:rsidR="004D7FBC" w:rsidRPr="00617706">
        <w:t xml:space="preserve">is imported </w:t>
      </w:r>
      <w:r w:rsidR="000A59EE" w:rsidRPr="00617706">
        <w:t xml:space="preserve">from New South Wales and </w:t>
      </w:r>
      <w:r w:rsidR="00654E95" w:rsidRPr="00617706">
        <w:t>1</w:t>
      </w:r>
      <w:r w:rsidR="00183E04" w:rsidRPr="00617706">
        <w:t>9</w:t>
      </w:r>
      <w:r w:rsidR="00654E95" w:rsidRPr="00617706">
        <w:t>,</w:t>
      </w:r>
      <w:r w:rsidR="00CE7690" w:rsidRPr="00617706">
        <w:t>8</w:t>
      </w:r>
      <w:r w:rsidR="00654E95" w:rsidRPr="00617706">
        <w:t>90 MWh from the Australian Capital Territory</w:t>
      </w:r>
      <w:r w:rsidR="007F7110" w:rsidRPr="00617706">
        <w:t xml:space="preserve">. </w:t>
      </w:r>
      <w:r w:rsidR="00C82B40" w:rsidRPr="00617706">
        <w:t>Company A</w:t>
      </w:r>
      <w:r w:rsidR="009B7A92" w:rsidRPr="00617706">
        <w:t xml:space="preserve"> is not an EITE entity. </w:t>
      </w:r>
    </w:p>
    <w:p w14:paraId="0B277A7C" w14:textId="77777777" w:rsidR="00F771EA" w:rsidRPr="00617706" w:rsidRDefault="00F771EA" w:rsidP="00501E49">
      <w:pPr>
        <w:pStyle w:val="BodyText1"/>
        <w:spacing w:before="0" w:after="0"/>
      </w:pPr>
    </w:p>
    <w:p w14:paraId="55CB51B1" w14:textId="101F2096" w:rsidR="009B7A92" w:rsidRPr="00617706" w:rsidRDefault="00F25C33" w:rsidP="00501E49">
      <w:pPr>
        <w:pStyle w:val="BodyText1"/>
        <w:spacing w:before="0" w:after="0"/>
      </w:pPr>
      <w:r w:rsidRPr="00617706">
        <w:t>Company A</w:t>
      </w:r>
      <w:r w:rsidR="00F771EA" w:rsidRPr="00617706">
        <w:t>’s</w:t>
      </w:r>
      <w:r w:rsidR="00223710" w:rsidRPr="00617706">
        <w:t xml:space="preserve"> onsite electricity consumption consists of </w:t>
      </w:r>
      <w:r w:rsidR="00321D68" w:rsidRPr="00617706">
        <w:t xml:space="preserve">several small-scale (&lt;100 kW) systems </w:t>
      </w:r>
      <w:r w:rsidR="00985272" w:rsidRPr="00617706">
        <w:t>across different sites, totalling 10 MWh</w:t>
      </w:r>
      <w:r w:rsidR="007C341A" w:rsidRPr="00617706">
        <w:t>, several large-scale systems, totalling 20,000 MWh</w:t>
      </w:r>
      <w:r w:rsidR="009809F0" w:rsidRPr="00617706">
        <w:t xml:space="preserve">, and one diesel genset </w:t>
      </w:r>
      <w:r w:rsidR="00DF7E53" w:rsidRPr="00617706">
        <w:t>totalling 100 MWh</w:t>
      </w:r>
      <w:r w:rsidR="007C341A" w:rsidRPr="00617706">
        <w:t>.</w:t>
      </w:r>
      <w:r w:rsidR="009B7A92" w:rsidRPr="00617706">
        <w:t xml:space="preserve"> The large-scale systems also export a further 20,000 MWh to the grid. </w:t>
      </w:r>
      <w:r w:rsidR="00CC2D74" w:rsidRPr="00617706">
        <w:t xml:space="preserve">Company A </w:t>
      </w:r>
      <w:r w:rsidR="009B7A92" w:rsidRPr="00617706">
        <w:t>voluntarily surrenders all the LGCs they create.</w:t>
      </w:r>
    </w:p>
    <w:p w14:paraId="7409D873" w14:textId="77777777" w:rsidR="009B7A92" w:rsidRPr="00617706" w:rsidRDefault="009B7A92" w:rsidP="00501E49">
      <w:pPr>
        <w:pStyle w:val="BodyText1"/>
        <w:spacing w:before="0" w:after="0"/>
      </w:pPr>
    </w:p>
    <w:p w14:paraId="38C1BC39" w14:textId="350A885D" w:rsidR="009B7A92" w:rsidRPr="00617706" w:rsidRDefault="009B7A92" w:rsidP="00501E49">
      <w:pPr>
        <w:pStyle w:val="BodyText1"/>
        <w:spacing w:before="0" w:after="0"/>
        <w:rPr>
          <w:i/>
          <w:iCs/>
        </w:rPr>
      </w:pPr>
      <w:r w:rsidRPr="00617706">
        <w:t xml:space="preserve">Their </w:t>
      </w:r>
      <w:r w:rsidRPr="00617706">
        <w:rPr>
          <w:b/>
          <w:bCs/>
        </w:rPr>
        <w:t xml:space="preserve">Renewable Electricity </w:t>
      </w:r>
      <w:r w:rsidR="00640C4A" w:rsidRPr="00617706">
        <w:rPr>
          <w:b/>
          <w:bCs/>
        </w:rPr>
        <w:t>Percentage</w:t>
      </w:r>
      <w:r w:rsidR="00640C4A" w:rsidRPr="00617706">
        <w:t xml:space="preserve"> </w:t>
      </w:r>
      <w:r w:rsidRPr="00617706">
        <w:t>is calculated as:</w:t>
      </w:r>
      <w:r w:rsidR="00DB262A" w:rsidRPr="00617706">
        <w:t xml:space="preserve"> </w:t>
      </w:r>
      <w:r w:rsidR="00DB262A" w:rsidRPr="00617706">
        <w:rPr>
          <w:rStyle w:val="FootnoteReference"/>
        </w:rPr>
        <w:footnoteReference w:id="24"/>
      </w:r>
      <w:r w:rsidR="00DB262A" w:rsidRPr="00617706">
        <w:t xml:space="preserve"> </w:t>
      </w:r>
      <w:r w:rsidR="00DB262A" w:rsidRPr="00617706">
        <w:rPr>
          <w:rStyle w:val="FootnoteReference"/>
        </w:rPr>
        <w:footnoteReference w:id="25"/>
      </w:r>
    </w:p>
    <w:p w14:paraId="3A700B48" w14:textId="77777777" w:rsidR="002B5DC0" w:rsidRPr="00617706" w:rsidRDefault="002B5DC0" w:rsidP="00501E49">
      <w:pPr>
        <w:pStyle w:val="BodyText1"/>
        <w:spacing w:before="0" w:after="0"/>
      </w:pPr>
    </w:p>
    <w:p w14:paraId="7FF67BEF" w14:textId="4E6F7041" w:rsidR="00601DC6" w:rsidRPr="00617706" w:rsidRDefault="00260FAD" w:rsidP="00501E49">
      <w:pPr>
        <w:pStyle w:val="BodyText1"/>
        <w:spacing w:before="0" w:after="0"/>
      </w:pPr>
      <m:oMathPara>
        <m:oMath>
          <m:f>
            <m:fPr>
              <m:ctrlPr>
                <w:rPr>
                  <w:rFonts w:ascii="Cambria Math" w:hAnsi="Cambria Math"/>
                  <w:i/>
                </w:rPr>
              </m:ctrlPr>
            </m:fPr>
            <m:num>
              <m:eqArr>
                <m:eqArrPr>
                  <m:ctrlPr>
                    <w:rPr>
                      <w:rFonts w:ascii="Cambria Math" w:hAnsi="Cambria Math"/>
                      <w:i/>
                    </w:rPr>
                  </m:ctrlPr>
                </m:eqArrPr>
                <m:e>
                  <m:sSub>
                    <m:sSubPr>
                      <m:ctrlPr>
                        <w:rPr>
                          <w:rFonts w:ascii="Cambria Math" w:hAnsi="Cambria Math"/>
                          <w:i/>
                        </w:rPr>
                      </m:ctrlPr>
                    </m:sSubPr>
                    <m:e>
                      <m:d>
                        <m:dPr>
                          <m:begChr m:val="["/>
                          <m:endChr m:val="]"/>
                          <m:ctrlPr>
                            <w:rPr>
                              <w:rFonts w:ascii="Cambria Math" w:hAnsi="Cambria Math"/>
                              <w:i/>
                            </w:rPr>
                          </m:ctrlPr>
                        </m:dPr>
                        <m:e>
                          <m:d>
                            <m:dPr>
                              <m:ctrlPr>
                                <w:rPr>
                                  <w:rFonts w:ascii="Cambria Math" w:hAnsi="Cambria Math"/>
                                  <w:i/>
                                </w:rPr>
                              </m:ctrlPr>
                            </m:dPr>
                            <m:e>
                              <m:r>
                                <w:rPr>
                                  <w:rFonts w:ascii="Cambria Math" w:hAnsi="Cambria Math"/>
                                </w:rPr>
                                <m:t>Imported electricity-EITEs electricity consumption</m:t>
                              </m:r>
                            </m:e>
                          </m:d>
                          <m:r>
                            <w:rPr>
                              <w:rFonts w:ascii="Cambria Math" w:hAnsi="Cambria Math"/>
                            </w:rPr>
                            <m:t>×RPP</m:t>
                          </m:r>
                        </m:e>
                      </m:d>
                    </m:e>
                    <m:sub>
                      <m:r>
                        <w:rPr>
                          <w:rFonts w:ascii="Cambria Math" w:hAnsi="Cambria Math"/>
                        </w:rPr>
                        <m:t>NON ACT</m:t>
                      </m:r>
                    </m:sub>
                  </m:sSub>
                </m:e>
                <m:e>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ctrlPr>
                                <w:rPr>
                                  <w:rFonts w:ascii="Cambria Math" w:hAnsi="Cambria Math"/>
                                  <w:i/>
                                </w:rPr>
                              </m:ctrlPr>
                            </m:dPr>
                            <m:e>
                              <m:r>
                                <w:rPr>
                                  <w:rFonts w:ascii="Cambria Math" w:hAnsi="Cambria Math"/>
                                </w:rPr>
                                <m:t>Imported electricity-EITEs electricity consumption</m:t>
                              </m:r>
                            </m:e>
                          </m:d>
                          <m:r>
                            <w:rPr>
                              <w:rFonts w:ascii="Cambria Math" w:hAnsi="Cambria Math"/>
                            </w:rPr>
                            <m:t>×</m:t>
                          </m:r>
                          <m:d>
                            <m:dPr>
                              <m:ctrlPr>
                                <w:rPr>
                                  <w:rFonts w:ascii="Cambria Math" w:hAnsi="Cambria Math"/>
                                  <w:i/>
                                </w:rPr>
                              </m:ctrlPr>
                            </m:dPr>
                            <m:e>
                              <m:r>
                                <w:rPr>
                                  <w:rFonts w:ascii="Cambria Math" w:hAnsi="Cambria Math"/>
                                </w:rPr>
                                <m:t>RPP+JRPP</m:t>
                              </m:r>
                            </m:e>
                          </m:d>
                        </m:e>
                      </m:d>
                    </m:e>
                    <m:sub>
                      <m:r>
                        <w:rPr>
                          <w:rFonts w:ascii="Cambria Math" w:hAnsi="Cambria Math"/>
                        </w:rPr>
                        <m:t>ACT</m:t>
                      </m:r>
                    </m:sub>
                  </m:sSub>
                  <m:ctrlPr>
                    <w:rPr>
                      <w:rFonts w:ascii="Cambria Math" w:eastAsia="Cambria Math" w:hAnsi="Cambria Math" w:cs="Cambria Math"/>
                      <w:i/>
                    </w:rPr>
                  </m:ctrlPr>
                </m:e>
                <m:e>
                  <m:r>
                    <w:rPr>
                      <w:rFonts w:ascii="Cambria Math" w:hAnsi="Cambria Math"/>
                    </w:rPr>
                    <m:t>+LGCs surrendered+renewable onsite electricity consumption (other)</m:t>
                  </m:r>
                </m:e>
              </m:eqArr>
            </m:num>
            <m:den>
              <m:r>
                <w:rPr>
                  <w:rFonts w:ascii="Cambria Math" w:hAnsi="Cambria Math"/>
                </w:rPr>
                <m:t>Total electricity consumed</m:t>
              </m:r>
            </m:den>
          </m:f>
        </m:oMath>
      </m:oMathPara>
    </w:p>
    <w:p w14:paraId="3E91F35C" w14:textId="77777777" w:rsidR="00AB692F" w:rsidRPr="00617706" w:rsidRDefault="00AB692F" w:rsidP="00501E49">
      <w:pPr>
        <w:pStyle w:val="BodyText1"/>
        <w:spacing w:before="0" w:after="0"/>
      </w:pPr>
    </w:p>
    <w:p w14:paraId="425DF5F7" w14:textId="701E2B29" w:rsidR="002B5DC0" w:rsidRPr="00617706" w:rsidRDefault="00654E95" w:rsidP="00501E49">
      <w:pPr>
        <w:pStyle w:val="BodyText1"/>
        <w:spacing w:before="0" w:after="0"/>
      </w:pPr>
      <m:oMathPara>
        <m:oMath>
          <m:r>
            <w:rPr>
              <w:rFonts w:ascii="Cambria Math" w:hAnsi="Cambria Math"/>
              <w:color w:val="auto"/>
            </w:rPr>
            <m:t>=</m:t>
          </m:r>
          <m:f>
            <m:fPr>
              <m:ctrlPr>
                <w:rPr>
                  <w:rFonts w:ascii="Cambria Math" w:hAnsi="Cambria Math"/>
                  <w:i/>
                  <w:color w:val="auto"/>
                </w:rPr>
              </m:ctrlPr>
            </m:fPr>
            <m:num>
              <m:d>
                <m:dPr>
                  <m:begChr m:val="["/>
                  <m:endChr m:val="]"/>
                  <m:ctrlPr>
                    <w:rPr>
                      <w:rFonts w:ascii="Cambria Math" w:hAnsi="Cambria Math"/>
                      <w:i/>
                      <w:color w:val="auto"/>
                    </w:rPr>
                  </m:ctrlPr>
                </m:dPr>
                <m:e>
                  <m:d>
                    <m:dPr>
                      <m:ctrlPr>
                        <w:rPr>
                          <w:rFonts w:ascii="Cambria Math" w:hAnsi="Cambria Math"/>
                          <w:i/>
                          <w:color w:val="auto"/>
                        </w:rPr>
                      </m:ctrlPr>
                    </m:dPr>
                    <m:e>
                      <m:r>
                        <w:rPr>
                          <w:rFonts w:ascii="Cambria Math" w:hAnsi="Cambria Math"/>
                          <w:color w:val="auto"/>
                        </w:rPr>
                        <m:t>60,000 MWh-0</m:t>
                      </m:r>
                    </m:e>
                  </m:d>
                  <m:r>
                    <w:rPr>
                      <w:rFonts w:ascii="Cambria Math" w:hAnsi="Cambria Math"/>
                      <w:color w:val="auto"/>
                    </w:rPr>
                    <m:t>×0.19</m:t>
                  </m:r>
                </m:e>
              </m:d>
              <m:r>
                <w:rPr>
                  <w:rFonts w:ascii="Cambria Math" w:hAnsi="Cambria Math"/>
                  <w:color w:val="auto"/>
                </w:rPr>
                <m:t>+</m:t>
              </m:r>
              <m:d>
                <m:dPr>
                  <m:begChr m:val="["/>
                  <m:endChr m:val="]"/>
                  <m:ctrlPr>
                    <w:rPr>
                      <w:rFonts w:ascii="Cambria Math" w:hAnsi="Cambria Math"/>
                      <w:i/>
                      <w:color w:val="auto"/>
                    </w:rPr>
                  </m:ctrlPr>
                </m:dPr>
                <m:e>
                  <m:d>
                    <m:dPr>
                      <m:ctrlPr>
                        <w:rPr>
                          <w:rFonts w:ascii="Cambria Math" w:hAnsi="Cambria Math"/>
                          <w:i/>
                          <w:color w:val="auto"/>
                        </w:rPr>
                      </m:ctrlPr>
                    </m:dPr>
                    <m:e>
                      <m:r>
                        <w:rPr>
                          <w:rFonts w:ascii="Cambria Math" w:hAnsi="Cambria Math"/>
                          <w:color w:val="auto"/>
                        </w:rPr>
                        <m:t>19,990-0</m:t>
                      </m:r>
                    </m:e>
                  </m:d>
                  <m:r>
                    <w:rPr>
                      <w:rFonts w:ascii="Cambria Math" w:hAnsi="Cambria Math"/>
                      <w:color w:val="auto"/>
                    </w:rPr>
                    <m:t>×</m:t>
                  </m:r>
                  <m:d>
                    <m:dPr>
                      <m:ctrlPr>
                        <w:rPr>
                          <w:rFonts w:ascii="Cambria Math" w:hAnsi="Cambria Math"/>
                          <w:i/>
                          <w:color w:val="auto"/>
                        </w:rPr>
                      </m:ctrlPr>
                    </m:dPr>
                    <m:e>
                      <m:r>
                        <w:rPr>
                          <w:rFonts w:ascii="Cambria Math" w:hAnsi="Cambria Math"/>
                          <w:color w:val="auto"/>
                        </w:rPr>
                        <m:t>0.19+0.747118301</m:t>
                      </m:r>
                    </m:e>
                  </m:d>
                </m:e>
              </m:d>
              <m:r>
                <w:rPr>
                  <w:rFonts w:ascii="Cambria Math" w:hAnsi="Cambria Math"/>
                  <w:color w:val="auto"/>
                </w:rPr>
                <m:t>+40,000+10</m:t>
              </m:r>
            </m:num>
            <m:den>
              <m:r>
                <w:rPr>
                  <w:rFonts w:ascii="Cambria Math" w:hAnsi="Cambria Math"/>
                  <w:color w:val="auto"/>
                </w:rPr>
                <m:t>100,000</m:t>
              </m:r>
            </m:den>
          </m:f>
        </m:oMath>
      </m:oMathPara>
    </w:p>
    <w:p w14:paraId="5659D69A" w14:textId="77777777" w:rsidR="00654E95" w:rsidRPr="00617706" w:rsidRDefault="00654E95" w:rsidP="00501E49">
      <w:pPr>
        <w:pStyle w:val="BodyText1"/>
        <w:spacing w:before="0" w:after="0"/>
      </w:pPr>
    </w:p>
    <w:p w14:paraId="4D7DA953" w14:textId="55D83A6F" w:rsidR="00257E91" w:rsidRPr="00F047C0" w:rsidRDefault="000048EC" w:rsidP="00501E49">
      <w:pPr>
        <w:pStyle w:val="BodyText1"/>
        <w:spacing w:before="0" w:after="0"/>
        <w:rPr>
          <w:b/>
          <w:bCs/>
        </w:rPr>
      </w:pPr>
      <m:oMathPara>
        <m:oMath>
          <m:r>
            <m:rPr>
              <m:sty m:val="bi"/>
            </m:rPr>
            <w:rPr>
              <w:rFonts w:ascii="Cambria Math" w:hAnsi="Cambria Math"/>
            </w:rPr>
            <m:t>=70.14%</m:t>
          </m:r>
        </m:oMath>
      </m:oMathPara>
    </w:p>
    <w:p w14:paraId="7E3FE84E" w14:textId="77777777" w:rsidR="008D4E2B" w:rsidRDefault="008D4E2B" w:rsidP="00501E49">
      <w:pPr>
        <w:pStyle w:val="BodyText1"/>
        <w:spacing w:before="0" w:after="0"/>
      </w:pPr>
    </w:p>
    <w:p w14:paraId="3B83B7B3" w14:textId="5B693995" w:rsidR="009B7A92" w:rsidRPr="009B7A92" w:rsidRDefault="009B7A92" w:rsidP="00E43F8E">
      <w:pPr>
        <w:pStyle w:val="Heading4"/>
      </w:pPr>
      <w:r w:rsidRPr="009B7A92">
        <w:t xml:space="preserve">Example </w:t>
      </w:r>
      <w:r w:rsidR="009916AD" w:rsidRPr="009B7A92">
        <w:fldChar w:fldCharType="begin"/>
      </w:r>
      <w:r w:rsidR="009916AD" w:rsidRPr="009B7A92">
        <w:instrText>seq number</w:instrText>
      </w:r>
      <w:r w:rsidR="009916AD" w:rsidRPr="009B7A92">
        <w:fldChar w:fldCharType="separate"/>
      </w:r>
      <w:r w:rsidR="00DA14E2">
        <w:rPr>
          <w:noProof/>
        </w:rPr>
        <w:t>2</w:t>
      </w:r>
      <w:r w:rsidR="009916AD" w:rsidRPr="009B7A92">
        <w:fldChar w:fldCharType="end"/>
      </w:r>
      <w:r w:rsidR="009916AD" w:rsidRPr="009B7A92">
        <w:t xml:space="preserve"> </w:t>
      </w:r>
      <w:r w:rsidRPr="009B7A92">
        <w:t>– Pre-</w:t>
      </w:r>
      <w:r w:rsidR="0002417B">
        <w:t>Renewable Energy Target</w:t>
      </w:r>
      <w:r w:rsidRPr="009B7A92">
        <w:t xml:space="preserve"> baseline electricity generated and consumed on-site (behind the meter)</w:t>
      </w:r>
    </w:p>
    <w:p w14:paraId="5366C0DD" w14:textId="6D768E5B" w:rsidR="007909F9" w:rsidRPr="00912CD0" w:rsidRDefault="00267CB5" w:rsidP="00912CD0">
      <w:pPr>
        <w:pStyle w:val="BodyText1"/>
        <w:spacing w:before="0"/>
      </w:pPr>
      <w:r>
        <w:t xml:space="preserve">Company B </w:t>
      </w:r>
      <w:r w:rsidR="009B7A92" w:rsidRPr="009B7A92">
        <w:t xml:space="preserve">owns a </w:t>
      </w:r>
      <w:r w:rsidR="00C11CC6">
        <w:t xml:space="preserve">RET-accredited power station with a </w:t>
      </w:r>
      <w:r w:rsidR="009B7A92" w:rsidRPr="009B7A92">
        <w:t>pre-</w:t>
      </w:r>
      <w:r w:rsidR="000566B0">
        <w:t>1997</w:t>
      </w:r>
      <w:r w:rsidR="00BF0594">
        <w:t xml:space="preserve"> </w:t>
      </w:r>
      <w:r w:rsidR="0079797A">
        <w:t>baseline</w:t>
      </w:r>
      <w:r w:rsidR="00676FD4">
        <w:t xml:space="preserve"> </w:t>
      </w:r>
      <w:r w:rsidR="009B7A92" w:rsidRPr="009B7A92">
        <w:t>and generates 100</w:t>
      </w:r>
      <w:r w:rsidR="00767906">
        <w:t xml:space="preserve"> </w:t>
      </w:r>
      <w:r w:rsidR="009B7A92" w:rsidRPr="009B7A92">
        <w:t>MWh of NGER-reportable renewable electricity</w:t>
      </w:r>
      <w:r w:rsidR="00FD48AA">
        <w:t xml:space="preserve">. The </w:t>
      </w:r>
      <w:r w:rsidR="00A71BED">
        <w:t>electricity</w:t>
      </w:r>
      <w:r w:rsidR="009B7A92" w:rsidRPr="009B7A92">
        <w:t xml:space="preserve"> is consumed onsite but is not credited with LGCs. If </w:t>
      </w:r>
      <w:r w:rsidR="00F80239">
        <w:t xml:space="preserve">Company B reports </w:t>
      </w:r>
      <w:r w:rsidR="009B7A92" w:rsidRPr="009B7A92">
        <w:t xml:space="preserve">the quantity of consumption </w:t>
      </w:r>
      <w:r w:rsidR="00F80239">
        <w:t xml:space="preserve">as having not received LGCs </w:t>
      </w:r>
      <w:r w:rsidR="00BA013D">
        <w:t>(as part of the CERT reporting process)</w:t>
      </w:r>
      <w:r w:rsidR="00D027F1">
        <w:t xml:space="preserve"> </w:t>
      </w:r>
      <w:r w:rsidR="009B7A92" w:rsidRPr="009B7A92">
        <w:t xml:space="preserve">and </w:t>
      </w:r>
      <w:r w:rsidR="00BA013D">
        <w:t xml:space="preserve">this </w:t>
      </w:r>
      <w:r w:rsidR="009B7A92" w:rsidRPr="009B7A92">
        <w:t xml:space="preserve">is visible through REC Registry generation data, then </w:t>
      </w:r>
      <w:r w:rsidR="00464893">
        <w:t xml:space="preserve">Company B </w:t>
      </w:r>
      <w:r w:rsidR="009B7A92" w:rsidRPr="00912CD0">
        <w:t>may claim it as zero emissions (under the market-based accounting approach) or renewable without surrendering LGCs.</w:t>
      </w:r>
      <w:r w:rsidR="007909F9" w:rsidRPr="00912CD0">
        <w:t xml:space="preserve"> </w:t>
      </w:r>
    </w:p>
    <w:p w14:paraId="0F95F288" w14:textId="589F2C62" w:rsidR="00501E49" w:rsidRPr="009B7A92" w:rsidRDefault="007909F9" w:rsidP="00912CD0">
      <w:pPr>
        <w:pStyle w:val="BodyText1"/>
      </w:pPr>
      <w:r w:rsidRPr="00912CD0">
        <w:t>I</w:t>
      </w:r>
      <w:r w:rsidR="009B7A92" w:rsidRPr="00912CD0">
        <w:t xml:space="preserve">f this information is not provided, </w:t>
      </w:r>
      <w:r w:rsidR="00464893" w:rsidRPr="00912CD0">
        <w:t xml:space="preserve">Company B </w:t>
      </w:r>
      <w:r w:rsidR="00C34922" w:rsidRPr="00912CD0">
        <w:t>would</w:t>
      </w:r>
      <w:r w:rsidR="00C663C4" w:rsidRPr="00912CD0">
        <w:t xml:space="preserve"> </w:t>
      </w:r>
      <w:r w:rsidR="009B7A92" w:rsidRPr="00912CD0">
        <w:t>need to voluntarily surrender LG</w:t>
      </w:r>
      <w:r w:rsidR="009B7A92" w:rsidRPr="009B7A92">
        <w:t>Cs against this portion of electricity to claim it as zero emissions or renewable.</w:t>
      </w:r>
    </w:p>
    <w:p w14:paraId="5B0A5F53" w14:textId="14EE904D" w:rsidR="009B7A92" w:rsidRPr="009B7A92" w:rsidRDefault="009B7A92" w:rsidP="00E43F8E">
      <w:pPr>
        <w:pStyle w:val="Heading4"/>
      </w:pPr>
      <w:bookmarkStart w:id="14" w:name="_Toc74237784"/>
      <w:r w:rsidRPr="009B7A92">
        <w:t xml:space="preserve">Example </w:t>
      </w:r>
      <w:r w:rsidR="00537B34">
        <w:t>14</w:t>
      </w:r>
      <w:r w:rsidRPr="009B7A92">
        <w:t xml:space="preserve"> – Small-scale electricity generated and consumed on-site (behind the meter)</w:t>
      </w:r>
    </w:p>
    <w:p w14:paraId="43A52A34" w14:textId="6D155623" w:rsidR="00253FFC" w:rsidRDefault="00092C1A" w:rsidP="00501E49">
      <w:pPr>
        <w:pStyle w:val="BodyText1"/>
        <w:spacing w:before="0" w:after="0"/>
      </w:pPr>
      <w:r>
        <w:t xml:space="preserve">Company C </w:t>
      </w:r>
      <w:r w:rsidR="009B7A92" w:rsidRPr="009B7A92">
        <w:t>owns a fleet of small-scale photovoltaic (</w:t>
      </w:r>
      <w:r w:rsidR="009B7A92" w:rsidRPr="009B7A92" w:rsidDel="009E039D">
        <w:t>P</w:t>
      </w:r>
      <w:r w:rsidR="009B7A92" w:rsidRPr="009B7A92">
        <w:t>V) systems registered under the Small-scale Renewable Energy scheme (SRES). The on-site consumption from these systems is reported voluntarily</w:t>
      </w:r>
      <w:r w:rsidR="004B7F3A">
        <w:t xml:space="preserve"> in NGER</w:t>
      </w:r>
      <w:r w:rsidR="009B7A92" w:rsidRPr="009B7A92">
        <w:t xml:space="preserve"> as it is under the NGER reporting thresholds. If </w:t>
      </w:r>
      <w:r w:rsidR="00130FAC">
        <w:t xml:space="preserve">Company </w:t>
      </w:r>
      <w:r w:rsidR="00F9415C">
        <w:t>C</w:t>
      </w:r>
      <w:r w:rsidR="00130FAC">
        <w:t xml:space="preserve"> reports </w:t>
      </w:r>
      <w:r w:rsidR="00130FAC" w:rsidRPr="009B7A92">
        <w:t xml:space="preserve">the quantity of consumption </w:t>
      </w:r>
      <w:r w:rsidR="00130FAC">
        <w:t>as having not received LGCs (as part of the CERT reporting process)</w:t>
      </w:r>
      <w:r w:rsidR="00540F89">
        <w:t>,</w:t>
      </w:r>
      <w:r w:rsidR="009B7A92" w:rsidRPr="009B7A92">
        <w:t xml:space="preserve"> and these systems are visible through REC Registry small-scale registrations data, then </w:t>
      </w:r>
      <w:r w:rsidR="004B7F3A">
        <w:t xml:space="preserve">Company C </w:t>
      </w:r>
      <w:r w:rsidR="009B7A92" w:rsidRPr="009B7A92">
        <w:t xml:space="preserve">may claim it as zero emissions (under the market-based accounting approach) or renewable without surrendering LGCs. However, if this information is not provided, then </w:t>
      </w:r>
      <w:r w:rsidR="004B7F3A">
        <w:t xml:space="preserve">Company C </w:t>
      </w:r>
      <w:r w:rsidR="009B7A92" w:rsidRPr="009B7A92">
        <w:t xml:space="preserve">would need to voluntarily surrender LGCs against this portion of electricity to </w:t>
      </w:r>
      <w:r w:rsidR="00540F89">
        <w:t xml:space="preserve">make a zero emissions or renewable </w:t>
      </w:r>
      <w:r w:rsidR="009B7A92" w:rsidRPr="009B7A92">
        <w:t>claim.</w:t>
      </w:r>
      <w:bookmarkEnd w:id="14"/>
    </w:p>
    <w:p w14:paraId="5F927E9F" w14:textId="77777777" w:rsidR="00501E49" w:rsidRDefault="00501E49" w:rsidP="00501E49">
      <w:pPr>
        <w:pStyle w:val="BodyText1"/>
        <w:spacing w:before="0" w:after="0"/>
      </w:pPr>
    </w:p>
    <w:p w14:paraId="5F18ABB7" w14:textId="77777777" w:rsidR="00694DDE" w:rsidRDefault="00694DDE">
      <w:pPr>
        <w:spacing w:after="0"/>
        <w:rPr>
          <w:rFonts w:asciiTheme="majorHAnsi" w:eastAsia="Times New Roman" w:hAnsiTheme="majorHAnsi"/>
          <w:b/>
          <w:bCs/>
          <w:sz w:val="32"/>
          <w:szCs w:val="32"/>
        </w:rPr>
      </w:pPr>
      <w:r>
        <w:br w:type="page"/>
      </w:r>
    </w:p>
    <w:p w14:paraId="24CA8C7F" w14:textId="2DF9B16F" w:rsidR="009B7A92" w:rsidRDefault="00957C7F" w:rsidP="00501E49">
      <w:pPr>
        <w:pStyle w:val="Heading2"/>
        <w:spacing w:before="0"/>
      </w:pPr>
      <w:bookmarkStart w:id="15" w:name="_Accounting_options_and"/>
      <w:bookmarkStart w:id="16" w:name="_Toc121236625"/>
      <w:bookmarkEnd w:id="15"/>
      <w:r>
        <w:lastRenderedPageBreak/>
        <w:t xml:space="preserve">Accounting options and adjustments – </w:t>
      </w:r>
      <w:r>
        <w:rPr>
          <w:i/>
          <w:iCs/>
        </w:rPr>
        <w:t>Section 7 of the CERT Guidelines</w:t>
      </w:r>
      <w:bookmarkEnd w:id="16"/>
    </w:p>
    <w:p w14:paraId="05C1A76F" w14:textId="0ED83151" w:rsidR="00A437ED" w:rsidRPr="00361F7E" w:rsidRDefault="008048C5" w:rsidP="00912CD0">
      <w:pPr>
        <w:pStyle w:val="BodyText1"/>
      </w:pPr>
      <w:r w:rsidRPr="00361F7E">
        <w:t xml:space="preserve">CERT Participants that nominate calendar year or equity share reporting can choose to </w:t>
      </w:r>
      <w:r w:rsidR="008114DD" w:rsidRPr="00361F7E">
        <w:t xml:space="preserve">adjust their NGER data using </w:t>
      </w:r>
      <w:r w:rsidR="00440D80" w:rsidRPr="00361F7E">
        <w:t xml:space="preserve">a </w:t>
      </w:r>
      <w:r w:rsidR="008114DD" w:rsidRPr="00361F7E">
        <w:t xml:space="preserve">multiplier </w:t>
      </w:r>
      <w:r w:rsidR="008114DD" w:rsidRPr="00361F7E">
        <w:rPr>
          <w:i/>
          <w:iCs/>
        </w:rPr>
        <w:t>or</w:t>
      </w:r>
      <w:r w:rsidR="008114DD" w:rsidRPr="00361F7E">
        <w:t xml:space="preserve"> </w:t>
      </w:r>
      <w:r w:rsidRPr="00361F7E">
        <w:t xml:space="preserve">provide independently assured </w:t>
      </w:r>
      <w:r w:rsidR="008114DD" w:rsidRPr="00361F7E">
        <w:t xml:space="preserve">emissions and energy </w:t>
      </w:r>
      <w:r w:rsidRPr="00361F7E">
        <w:t xml:space="preserve">data. </w:t>
      </w:r>
    </w:p>
    <w:p w14:paraId="7329514F" w14:textId="72ADC129" w:rsidR="00BA7A98" w:rsidRDefault="001E39A1" w:rsidP="00912CD0">
      <w:pPr>
        <w:pStyle w:val="BodyText1"/>
      </w:pPr>
      <w:r w:rsidRPr="00361F7E">
        <w:t xml:space="preserve">If </w:t>
      </w:r>
      <w:r w:rsidR="00E6719B" w:rsidRPr="00361F7E">
        <w:t xml:space="preserve">providing independently assured data, </w:t>
      </w:r>
      <w:r w:rsidR="00057F90" w:rsidRPr="00361F7E">
        <w:t>participants must provide quantities</w:t>
      </w:r>
      <w:r w:rsidR="0029105A" w:rsidRPr="00361F7E">
        <w:t xml:space="preserve"> for gross emissions and electricity</w:t>
      </w:r>
      <w:r w:rsidR="00057F90" w:rsidRPr="00361F7E">
        <w:t xml:space="preserve"> </w:t>
      </w:r>
      <w:r w:rsidR="0029105A" w:rsidRPr="00361F7E">
        <w:t xml:space="preserve">use </w:t>
      </w:r>
      <w:r w:rsidR="00057F90" w:rsidRPr="00361F7E">
        <w:t xml:space="preserve">to replace data </w:t>
      </w:r>
      <w:r w:rsidR="00F63F52" w:rsidRPr="00361F7E">
        <w:t>that would otherwise be</w:t>
      </w:r>
      <w:r w:rsidR="0054604B" w:rsidRPr="00361F7E">
        <w:t xml:space="preserve"> </w:t>
      </w:r>
      <w:r w:rsidR="00057F90" w:rsidRPr="00361F7E">
        <w:t>sourced from</w:t>
      </w:r>
      <w:r w:rsidR="00AF2D89" w:rsidRPr="00361F7E">
        <w:t xml:space="preserve"> the</w:t>
      </w:r>
      <w:r w:rsidR="00057F90" w:rsidRPr="00361F7E">
        <w:t xml:space="preserve"> NGER </w:t>
      </w:r>
      <w:r w:rsidR="00AF2D89" w:rsidRPr="00361F7E">
        <w:t xml:space="preserve">scheme to </w:t>
      </w:r>
      <w:r w:rsidR="00057F90" w:rsidRPr="00361F7E">
        <w:t>calculat</w:t>
      </w:r>
      <w:r w:rsidR="00AF2D89" w:rsidRPr="00361F7E">
        <w:t>e</w:t>
      </w:r>
      <w:r w:rsidR="0054604B" w:rsidRPr="00361F7E">
        <w:t xml:space="preserve"> </w:t>
      </w:r>
      <w:r w:rsidR="00057F90" w:rsidRPr="00361F7E">
        <w:t xml:space="preserve">net emissions and renewable </w:t>
      </w:r>
      <w:r w:rsidR="00A7252B" w:rsidRPr="00361F7E">
        <w:t>electricity use</w:t>
      </w:r>
      <w:r w:rsidR="00D85364" w:rsidRPr="00361F7E">
        <w:t xml:space="preserve"> (See Reporting Guidance for Calendar year and equity share reporting)</w:t>
      </w:r>
      <w:r w:rsidR="0054604B" w:rsidRPr="00361F7E">
        <w:t>.</w:t>
      </w:r>
    </w:p>
    <w:p w14:paraId="1659A527" w14:textId="31CBCE15" w:rsidR="005E3255" w:rsidRPr="00F047C0" w:rsidRDefault="008D4F79" w:rsidP="00912CD0">
      <w:pPr>
        <w:pStyle w:val="BodyText1"/>
      </w:pPr>
      <w:r>
        <w:t>Under the multiplier approach</w:t>
      </w:r>
      <w:r w:rsidR="0044729B">
        <w:t xml:space="preserve"> for calendar or equity share reporting</w:t>
      </w:r>
      <w:r>
        <w:t xml:space="preserve"> gross emissions and electricity quantities are calculated </w:t>
      </w:r>
      <w:r w:rsidR="00962BDA">
        <w:t xml:space="preserve">by adjusting NGER data </w:t>
      </w:r>
      <w:r>
        <w:t xml:space="preserve">according to examples </w:t>
      </w:r>
      <w:r w:rsidR="0044729B">
        <w:t xml:space="preserve">15-17. </w:t>
      </w:r>
    </w:p>
    <w:p w14:paraId="79076514" w14:textId="1A58A7F1" w:rsidR="00FB6DCF" w:rsidRDefault="00FB6DCF" w:rsidP="00E43F8E">
      <w:pPr>
        <w:pStyle w:val="Heading4"/>
      </w:pPr>
      <w:r w:rsidRPr="0034763A">
        <w:t>E</w:t>
      </w:r>
      <w:r w:rsidRPr="008C4796">
        <w:t xml:space="preserve">xample </w:t>
      </w:r>
      <w:r w:rsidR="008B4438">
        <w:t xml:space="preserve">15 </w:t>
      </w:r>
      <w:r>
        <w:t>– Operation control vs equity-based reporting adjustments</w:t>
      </w:r>
    </w:p>
    <w:p w14:paraId="077C9B44" w14:textId="4C82F667" w:rsidR="00EA7905" w:rsidRDefault="00FB6DCF" w:rsidP="000C103E">
      <w:pPr>
        <w:spacing w:after="0"/>
      </w:pPr>
      <w:r>
        <w:t>CERT Participants A and B both report under NGER. Under NGER, Participant A has operational control of Facility 1 and reports only its energy and emissions. Participant B has operational control of both Facility 2 and Facility 3. Facility 1 and 2 are partly owned by both Participants. This breakdown is below:</w:t>
      </w:r>
    </w:p>
    <w:p w14:paraId="257B70B0" w14:textId="77777777" w:rsidR="00FB6DCF" w:rsidRPr="002743CB" w:rsidRDefault="00FB6DCF" w:rsidP="00501E49">
      <w:pPr>
        <w:spacing w:after="0"/>
      </w:pPr>
    </w:p>
    <w:tbl>
      <w:tblPr>
        <w:tblStyle w:val="TableGrid"/>
        <w:tblW w:w="9497" w:type="dxa"/>
        <w:tblInd w:w="279" w:type="dxa"/>
        <w:tblLook w:val="04A0" w:firstRow="1" w:lastRow="0" w:firstColumn="1" w:lastColumn="0" w:noHBand="0" w:noVBand="1"/>
      </w:tblPr>
      <w:tblGrid>
        <w:gridCol w:w="9497"/>
      </w:tblGrid>
      <w:tr w:rsidR="00FB6DCF" w:rsidRPr="007B21DF" w14:paraId="0F7629B8" w14:textId="77777777" w:rsidTr="00801B30">
        <w:tc>
          <w:tcPr>
            <w:tcW w:w="94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tbl>
            <w:tblPr>
              <w:tblStyle w:val="CERTable"/>
              <w:tblW w:w="9153" w:type="dxa"/>
              <w:tblLook w:val="04A0" w:firstRow="1" w:lastRow="0" w:firstColumn="1" w:lastColumn="0" w:noHBand="0" w:noVBand="1"/>
            </w:tblPr>
            <w:tblGrid>
              <w:gridCol w:w="943"/>
              <w:gridCol w:w="2068"/>
              <w:gridCol w:w="1228"/>
              <w:gridCol w:w="1228"/>
              <w:gridCol w:w="1229"/>
              <w:gridCol w:w="1228"/>
              <w:gridCol w:w="1229"/>
            </w:tblGrid>
            <w:tr w:rsidR="00787B1F" w:rsidRPr="00F72EF2" w14:paraId="5D19892C" w14:textId="77777777" w:rsidTr="00D8056A">
              <w:trPr>
                <w:cnfStyle w:val="100000000000" w:firstRow="1" w:lastRow="0" w:firstColumn="0" w:lastColumn="0" w:oddVBand="0" w:evenVBand="0" w:oddHBand="0"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0" w:type="auto"/>
                  <w:hideMark/>
                </w:tcPr>
                <w:p w14:paraId="0B9ED121" w14:textId="77777777" w:rsidR="00FB6DCF" w:rsidRPr="00C02804" w:rsidRDefault="00FB6DCF" w:rsidP="00801B30">
                  <w:pPr>
                    <w:rPr>
                      <w:rFonts w:ascii="Calibri" w:eastAsia="Times New Roman" w:hAnsi="Calibri" w:cs="Calibri"/>
                      <w:b w:val="0"/>
                      <w:bCs/>
                      <w:iCs/>
                      <w:color w:val="auto"/>
                      <w:sz w:val="20"/>
                      <w:szCs w:val="20"/>
                      <w:lang w:eastAsia="en-AU"/>
                    </w:rPr>
                  </w:pPr>
                  <w:r w:rsidRPr="00C02804">
                    <w:rPr>
                      <w:rFonts w:ascii="Calibri" w:eastAsia="Times New Roman" w:hAnsi="Calibri" w:cs="Calibri"/>
                      <w:bCs/>
                      <w:iCs/>
                      <w:color w:val="auto"/>
                      <w:sz w:val="20"/>
                      <w:szCs w:val="20"/>
                      <w:lang w:eastAsia="en-AU"/>
                    </w:rPr>
                    <w:t>Facility</w:t>
                  </w:r>
                </w:p>
              </w:tc>
              <w:tc>
                <w:tcPr>
                  <w:tcW w:w="2068" w:type="dxa"/>
                  <w:hideMark/>
                </w:tcPr>
                <w:p w14:paraId="66C99383" w14:textId="562F92F4" w:rsidR="00FB6DCF" w:rsidRPr="00F72EF2" w:rsidRDefault="006900D8" w:rsidP="00801B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iCs/>
                      <w:color w:val="auto"/>
                      <w:sz w:val="20"/>
                      <w:szCs w:val="20"/>
                      <w:lang w:eastAsia="en-AU"/>
                    </w:rPr>
                  </w:pPr>
                  <w:r w:rsidRPr="00F72EF2">
                    <w:rPr>
                      <w:rFonts w:ascii="Calibri" w:eastAsia="Times New Roman" w:hAnsi="Calibri" w:cs="Calibri"/>
                      <w:bCs/>
                      <w:iCs/>
                      <w:color w:val="auto"/>
                      <w:sz w:val="20"/>
                      <w:szCs w:val="20"/>
                      <w:lang w:eastAsia="en-AU"/>
                    </w:rPr>
                    <w:t>Controller of operations/</w:t>
                  </w:r>
                  <w:r w:rsidR="00FB6DCF" w:rsidRPr="00F72EF2">
                    <w:rPr>
                      <w:rFonts w:ascii="Calibri" w:eastAsia="Times New Roman" w:hAnsi="Calibri" w:cs="Calibri"/>
                      <w:bCs/>
                      <w:iCs/>
                      <w:color w:val="auto"/>
                      <w:sz w:val="20"/>
                      <w:szCs w:val="20"/>
                      <w:lang w:eastAsia="en-AU"/>
                    </w:rPr>
                    <w:t>Reporter Nam</w:t>
                  </w:r>
                  <w:r w:rsidR="00FC41AF" w:rsidRPr="00F72EF2">
                    <w:rPr>
                      <w:rFonts w:ascii="Calibri" w:eastAsia="Times New Roman" w:hAnsi="Calibri" w:cs="Calibri"/>
                      <w:bCs/>
                      <w:iCs/>
                      <w:color w:val="auto"/>
                      <w:sz w:val="20"/>
                      <w:szCs w:val="20"/>
                      <w:lang w:eastAsia="en-AU"/>
                    </w:rPr>
                    <w:t>e</w:t>
                  </w:r>
                  <w:r w:rsidR="00FB6DCF" w:rsidRPr="00F72EF2">
                    <w:rPr>
                      <w:rFonts w:ascii="Calibri" w:eastAsia="Times New Roman" w:hAnsi="Calibri" w:cs="Calibri"/>
                      <w:bCs/>
                      <w:iCs/>
                      <w:color w:val="auto"/>
                      <w:sz w:val="20"/>
                      <w:szCs w:val="20"/>
                      <w:lang w:eastAsia="en-AU"/>
                    </w:rPr>
                    <w:t xml:space="preserve"> (under which facility is reported in Emission and Energy Reporting System)</w:t>
                  </w:r>
                </w:p>
              </w:tc>
              <w:tc>
                <w:tcPr>
                  <w:tcW w:w="1228" w:type="dxa"/>
                </w:tcPr>
                <w:p w14:paraId="7CDD31C6" w14:textId="12AB4EC0" w:rsidR="00FB6DCF" w:rsidRPr="00F72EF2" w:rsidRDefault="00FB6DCF" w:rsidP="000C103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iCs/>
                      <w:color w:val="auto"/>
                      <w:sz w:val="20"/>
                      <w:szCs w:val="20"/>
                      <w:lang w:eastAsia="en-AU"/>
                    </w:rPr>
                  </w:pPr>
                  <w:r w:rsidRPr="00F72EF2">
                    <w:rPr>
                      <w:rFonts w:ascii="Calibri" w:eastAsia="Times New Roman" w:hAnsi="Calibri" w:cs="Calibri"/>
                      <w:bCs/>
                      <w:iCs/>
                      <w:color w:val="auto"/>
                      <w:sz w:val="20"/>
                      <w:szCs w:val="20"/>
                      <w:lang w:eastAsia="en-AU"/>
                    </w:rPr>
                    <w:t>Part</w:t>
                  </w:r>
                  <w:r w:rsidR="005F78E0" w:rsidRPr="00F72EF2">
                    <w:rPr>
                      <w:rFonts w:ascii="Calibri" w:eastAsia="Times New Roman" w:hAnsi="Calibri" w:cs="Calibri"/>
                      <w:bCs/>
                      <w:iCs/>
                      <w:color w:val="auto"/>
                      <w:sz w:val="20"/>
                      <w:szCs w:val="20"/>
                      <w:lang w:eastAsia="en-AU"/>
                    </w:rPr>
                    <w:t>icipant</w:t>
                  </w:r>
                  <w:r w:rsidRPr="00F72EF2">
                    <w:rPr>
                      <w:rFonts w:ascii="Calibri" w:eastAsia="Times New Roman" w:hAnsi="Calibri" w:cs="Calibri"/>
                      <w:bCs/>
                      <w:iCs/>
                      <w:color w:val="auto"/>
                      <w:sz w:val="20"/>
                      <w:szCs w:val="20"/>
                      <w:lang w:eastAsia="en-AU"/>
                    </w:rPr>
                    <w:t xml:space="preserve"> A</w:t>
                  </w:r>
                  <w:r w:rsidR="00982D60" w:rsidRPr="00F72EF2">
                    <w:rPr>
                      <w:rFonts w:ascii="Calibri" w:eastAsia="Times New Roman" w:hAnsi="Calibri" w:cs="Calibri"/>
                      <w:bCs/>
                      <w:iCs/>
                      <w:color w:val="auto"/>
                      <w:sz w:val="20"/>
                      <w:szCs w:val="20"/>
                      <w:lang w:eastAsia="en-AU"/>
                    </w:rPr>
                    <w:t>’s e</w:t>
                  </w:r>
                  <w:r w:rsidRPr="00F72EF2">
                    <w:rPr>
                      <w:rFonts w:ascii="Calibri" w:eastAsia="Times New Roman" w:hAnsi="Calibri" w:cs="Calibri"/>
                      <w:bCs/>
                      <w:iCs/>
                      <w:color w:val="auto"/>
                      <w:sz w:val="20"/>
                      <w:szCs w:val="20"/>
                      <w:lang w:eastAsia="en-AU"/>
                    </w:rPr>
                    <w:t>quity share</w:t>
                  </w:r>
                  <w:r w:rsidR="00807C68" w:rsidRPr="00F72EF2">
                    <w:rPr>
                      <w:rFonts w:ascii="Calibri" w:eastAsia="Times New Roman" w:hAnsi="Calibri" w:cs="Calibri"/>
                      <w:bCs/>
                      <w:iCs/>
                      <w:color w:val="auto"/>
                      <w:sz w:val="20"/>
                      <w:szCs w:val="20"/>
                      <w:lang w:eastAsia="en-AU"/>
                    </w:rPr>
                    <w:t xml:space="preserve"> (%)</w:t>
                  </w:r>
                </w:p>
              </w:tc>
              <w:tc>
                <w:tcPr>
                  <w:tcW w:w="1228" w:type="dxa"/>
                </w:tcPr>
                <w:p w14:paraId="33FE8A2B" w14:textId="14759F41" w:rsidR="00FB6DCF" w:rsidRPr="00F72EF2" w:rsidRDefault="00FB6DC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iCs/>
                      <w:color w:val="auto"/>
                      <w:sz w:val="20"/>
                      <w:szCs w:val="20"/>
                      <w:lang w:eastAsia="en-AU"/>
                    </w:rPr>
                  </w:pPr>
                  <w:r w:rsidRPr="00F72EF2">
                    <w:rPr>
                      <w:rFonts w:ascii="Calibri" w:eastAsia="Times New Roman" w:hAnsi="Calibri" w:cs="Calibri"/>
                      <w:bCs/>
                      <w:iCs/>
                      <w:color w:val="auto"/>
                      <w:sz w:val="20"/>
                      <w:szCs w:val="20"/>
                      <w:lang w:eastAsia="en-AU"/>
                    </w:rPr>
                    <w:t>Part</w:t>
                  </w:r>
                  <w:r w:rsidR="00982D60" w:rsidRPr="00F72EF2">
                    <w:rPr>
                      <w:rFonts w:ascii="Calibri" w:eastAsia="Times New Roman" w:hAnsi="Calibri" w:cs="Calibri"/>
                      <w:bCs/>
                      <w:iCs/>
                      <w:color w:val="auto"/>
                      <w:sz w:val="20"/>
                      <w:szCs w:val="20"/>
                      <w:lang w:eastAsia="en-AU"/>
                    </w:rPr>
                    <w:t>icipant B’s e</w:t>
                  </w:r>
                  <w:r w:rsidRPr="00F72EF2">
                    <w:rPr>
                      <w:rFonts w:ascii="Calibri" w:eastAsia="Times New Roman" w:hAnsi="Calibri" w:cs="Calibri"/>
                      <w:bCs/>
                      <w:iCs/>
                      <w:color w:val="auto"/>
                      <w:sz w:val="20"/>
                      <w:szCs w:val="20"/>
                      <w:lang w:eastAsia="en-AU"/>
                    </w:rPr>
                    <w:t>quity share</w:t>
                  </w:r>
                  <w:r w:rsidR="00807C68" w:rsidRPr="00F72EF2">
                    <w:rPr>
                      <w:rFonts w:ascii="Calibri" w:eastAsia="Times New Roman" w:hAnsi="Calibri" w:cs="Calibri"/>
                      <w:bCs/>
                      <w:iCs/>
                      <w:color w:val="auto"/>
                      <w:sz w:val="20"/>
                      <w:szCs w:val="20"/>
                      <w:lang w:eastAsia="en-AU"/>
                    </w:rPr>
                    <w:t xml:space="preserve"> (%)</w:t>
                  </w:r>
                </w:p>
              </w:tc>
              <w:tc>
                <w:tcPr>
                  <w:tcW w:w="1229" w:type="dxa"/>
                  <w:hideMark/>
                </w:tcPr>
                <w:p w14:paraId="4707599B" w14:textId="1E6EED0A" w:rsidR="00FB6DCF" w:rsidRPr="00C02804" w:rsidRDefault="00FB6DCF" w:rsidP="00801B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iCs/>
                      <w:color w:val="auto"/>
                      <w:sz w:val="20"/>
                      <w:szCs w:val="20"/>
                      <w:lang w:eastAsia="en-AU"/>
                    </w:rPr>
                  </w:pPr>
                  <w:r w:rsidRPr="00F72EF2">
                    <w:rPr>
                      <w:rFonts w:ascii="Calibri" w:eastAsia="Times New Roman" w:hAnsi="Calibri" w:cs="Calibri"/>
                      <w:bCs/>
                      <w:iCs/>
                      <w:color w:val="auto"/>
                      <w:sz w:val="20"/>
                      <w:szCs w:val="20"/>
                      <w:lang w:eastAsia="en-AU"/>
                    </w:rPr>
                    <w:t xml:space="preserve">Scope 1 Emissions </w:t>
                  </w:r>
                  <w:r w:rsidR="00787B1F" w:rsidRPr="00F72EF2">
                    <w:rPr>
                      <w:rFonts w:ascii="Calibri" w:eastAsia="Times New Roman" w:hAnsi="Calibri" w:cs="Calibri"/>
                      <w:bCs/>
                      <w:iCs/>
                      <w:color w:val="auto"/>
                      <w:sz w:val="20"/>
                      <w:szCs w:val="20"/>
                      <w:lang w:eastAsia="en-AU"/>
                    </w:rPr>
                    <w:t xml:space="preserve">from Facility </w:t>
                  </w:r>
                  <w:r w:rsidRPr="00F72EF2">
                    <w:rPr>
                      <w:rFonts w:ascii="Calibri" w:eastAsia="Times New Roman" w:hAnsi="Calibri" w:cs="Calibri"/>
                      <w:bCs/>
                      <w:iCs/>
                      <w:color w:val="auto"/>
                      <w:sz w:val="20"/>
                      <w:szCs w:val="20"/>
                      <w:lang w:eastAsia="en-AU"/>
                    </w:rPr>
                    <w:t>(t</w:t>
                  </w:r>
                  <w:r w:rsidR="00781C18" w:rsidRPr="00F72EF2">
                    <w:rPr>
                      <w:rFonts w:ascii="Calibri" w:eastAsia="Times New Roman" w:hAnsi="Calibri" w:cs="Calibri"/>
                      <w:bCs/>
                      <w:iCs/>
                      <w:color w:val="auto"/>
                      <w:sz w:val="20"/>
                      <w:szCs w:val="20"/>
                      <w:lang w:eastAsia="en-AU"/>
                    </w:rPr>
                    <w:t xml:space="preserve"> </w:t>
                  </w:r>
                  <w:r w:rsidRPr="00F72EF2">
                    <w:rPr>
                      <w:rFonts w:ascii="Calibri" w:eastAsia="Times New Roman" w:hAnsi="Calibri" w:cs="Calibri"/>
                      <w:bCs/>
                      <w:iCs/>
                      <w:color w:val="auto"/>
                      <w:sz w:val="20"/>
                      <w:szCs w:val="20"/>
                      <w:lang w:eastAsia="en-AU"/>
                    </w:rPr>
                    <w:t>CO</w:t>
                  </w:r>
                  <w:r w:rsidRPr="00F72EF2">
                    <w:rPr>
                      <w:rFonts w:ascii="Calibri" w:eastAsia="Times New Roman" w:hAnsi="Calibri" w:cs="Calibri"/>
                      <w:bCs/>
                      <w:iCs/>
                      <w:color w:val="auto"/>
                      <w:sz w:val="20"/>
                      <w:szCs w:val="20"/>
                      <w:vertAlign w:val="subscript"/>
                      <w:lang w:eastAsia="en-AU"/>
                    </w:rPr>
                    <w:t>2</w:t>
                  </w:r>
                  <w:r w:rsidR="00781C18" w:rsidRPr="00C02804">
                    <w:rPr>
                      <w:rFonts w:ascii="Calibri" w:eastAsia="Times New Roman" w:hAnsi="Calibri" w:cs="Calibri"/>
                      <w:bCs/>
                      <w:iCs/>
                      <w:color w:val="auto"/>
                      <w:sz w:val="20"/>
                      <w:szCs w:val="20"/>
                      <w:lang w:eastAsia="en-AU"/>
                    </w:rPr>
                    <w:t>-</w:t>
                  </w:r>
                  <w:r w:rsidRPr="00C02804">
                    <w:rPr>
                      <w:rFonts w:ascii="Calibri" w:eastAsia="Times New Roman" w:hAnsi="Calibri" w:cs="Calibri"/>
                      <w:bCs/>
                      <w:iCs/>
                      <w:color w:val="auto"/>
                      <w:sz w:val="20"/>
                      <w:szCs w:val="20"/>
                      <w:lang w:eastAsia="en-AU"/>
                    </w:rPr>
                    <w:t>e)</w:t>
                  </w:r>
                </w:p>
              </w:tc>
              <w:tc>
                <w:tcPr>
                  <w:tcW w:w="1228" w:type="dxa"/>
                  <w:hideMark/>
                </w:tcPr>
                <w:p w14:paraId="00055BD1" w14:textId="29860CB5" w:rsidR="00FB6DCF" w:rsidRPr="00F72EF2" w:rsidRDefault="00FB6DCF" w:rsidP="00801B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iCs/>
                      <w:color w:val="auto"/>
                      <w:sz w:val="20"/>
                      <w:szCs w:val="20"/>
                      <w:lang w:eastAsia="en-AU"/>
                    </w:rPr>
                  </w:pPr>
                  <w:r w:rsidRPr="00F72EF2">
                    <w:rPr>
                      <w:rFonts w:ascii="Calibri" w:eastAsia="Times New Roman" w:hAnsi="Calibri" w:cs="Calibri"/>
                      <w:bCs/>
                      <w:iCs/>
                      <w:color w:val="auto"/>
                      <w:sz w:val="20"/>
                      <w:szCs w:val="20"/>
                      <w:lang w:eastAsia="en-AU"/>
                    </w:rPr>
                    <w:t>Scope 2 Emissions</w:t>
                  </w:r>
                  <w:r w:rsidR="00787B1F" w:rsidRPr="00F72EF2">
                    <w:rPr>
                      <w:rFonts w:ascii="Calibri" w:eastAsia="Times New Roman" w:hAnsi="Calibri" w:cs="Calibri"/>
                      <w:bCs/>
                      <w:iCs/>
                      <w:color w:val="auto"/>
                      <w:sz w:val="20"/>
                      <w:szCs w:val="20"/>
                      <w:lang w:eastAsia="en-AU"/>
                    </w:rPr>
                    <w:t xml:space="preserve"> from Facility</w:t>
                  </w:r>
                  <w:r w:rsidRPr="00F72EF2">
                    <w:rPr>
                      <w:rFonts w:ascii="Calibri" w:eastAsia="Times New Roman" w:hAnsi="Calibri" w:cs="Calibri"/>
                      <w:bCs/>
                      <w:iCs/>
                      <w:color w:val="auto"/>
                      <w:sz w:val="20"/>
                      <w:szCs w:val="20"/>
                      <w:lang w:eastAsia="en-AU"/>
                    </w:rPr>
                    <w:t xml:space="preserve"> (t</w:t>
                  </w:r>
                  <w:r w:rsidR="00781C18" w:rsidRPr="00F72EF2">
                    <w:rPr>
                      <w:rFonts w:ascii="Calibri" w:eastAsia="Times New Roman" w:hAnsi="Calibri" w:cs="Calibri"/>
                      <w:bCs/>
                      <w:iCs/>
                      <w:color w:val="auto"/>
                      <w:sz w:val="20"/>
                      <w:szCs w:val="20"/>
                      <w:lang w:eastAsia="en-AU"/>
                    </w:rPr>
                    <w:t xml:space="preserve"> </w:t>
                  </w:r>
                  <w:r w:rsidRPr="00F72EF2">
                    <w:rPr>
                      <w:rFonts w:ascii="Calibri" w:eastAsia="Times New Roman" w:hAnsi="Calibri" w:cs="Calibri"/>
                      <w:bCs/>
                      <w:iCs/>
                      <w:color w:val="auto"/>
                      <w:sz w:val="20"/>
                      <w:szCs w:val="20"/>
                      <w:lang w:eastAsia="en-AU"/>
                    </w:rPr>
                    <w:t>CO</w:t>
                  </w:r>
                  <w:r w:rsidRPr="00F72EF2">
                    <w:rPr>
                      <w:rFonts w:ascii="Calibri" w:eastAsia="Times New Roman" w:hAnsi="Calibri" w:cs="Calibri"/>
                      <w:bCs/>
                      <w:iCs/>
                      <w:color w:val="auto"/>
                      <w:sz w:val="20"/>
                      <w:szCs w:val="20"/>
                      <w:vertAlign w:val="subscript"/>
                      <w:lang w:eastAsia="en-AU"/>
                    </w:rPr>
                    <w:t>2</w:t>
                  </w:r>
                  <w:r w:rsidR="00781C18" w:rsidRPr="00F72EF2">
                    <w:rPr>
                      <w:rFonts w:ascii="Calibri" w:eastAsia="Times New Roman" w:hAnsi="Calibri" w:cs="Calibri"/>
                      <w:bCs/>
                      <w:iCs/>
                      <w:color w:val="auto"/>
                      <w:sz w:val="20"/>
                      <w:szCs w:val="20"/>
                      <w:lang w:eastAsia="en-AU"/>
                    </w:rPr>
                    <w:t>-</w:t>
                  </w:r>
                  <w:r w:rsidRPr="00F72EF2">
                    <w:rPr>
                      <w:rFonts w:ascii="Calibri" w:eastAsia="Times New Roman" w:hAnsi="Calibri" w:cs="Calibri"/>
                      <w:bCs/>
                      <w:iCs/>
                      <w:color w:val="auto"/>
                      <w:sz w:val="20"/>
                      <w:szCs w:val="20"/>
                      <w:lang w:eastAsia="en-AU"/>
                    </w:rPr>
                    <w:t>e)</w:t>
                  </w:r>
                </w:p>
              </w:tc>
              <w:tc>
                <w:tcPr>
                  <w:tcW w:w="1229" w:type="dxa"/>
                  <w:hideMark/>
                </w:tcPr>
                <w:p w14:paraId="689FFF7F" w14:textId="77777777" w:rsidR="00FB6DCF" w:rsidRPr="00F72EF2" w:rsidRDefault="00FB6DCF" w:rsidP="00801B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iCs/>
                      <w:color w:val="auto"/>
                      <w:sz w:val="20"/>
                      <w:szCs w:val="20"/>
                      <w:lang w:eastAsia="en-AU"/>
                    </w:rPr>
                  </w:pPr>
                  <w:r w:rsidRPr="00F72EF2">
                    <w:rPr>
                      <w:rFonts w:ascii="Calibri" w:eastAsia="Times New Roman" w:hAnsi="Calibri" w:cs="Calibri"/>
                      <w:bCs/>
                      <w:iCs/>
                      <w:color w:val="auto"/>
                      <w:sz w:val="20"/>
                      <w:szCs w:val="20"/>
                      <w:lang w:eastAsia="en-AU"/>
                    </w:rPr>
                    <w:t>Electricity consumed (MWh)</w:t>
                  </w:r>
                </w:p>
              </w:tc>
            </w:tr>
            <w:tr w:rsidR="00787B1F" w:rsidRPr="00F72EF2" w14:paraId="6F1B9601" w14:textId="77777777" w:rsidTr="00D8056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0" w:type="auto"/>
                  <w:noWrap/>
                  <w:hideMark/>
                </w:tcPr>
                <w:p w14:paraId="37B0431D" w14:textId="77777777" w:rsidR="00FB6DCF" w:rsidRPr="00C02804" w:rsidRDefault="00FB6DCF" w:rsidP="00801B30">
                  <w:pPr>
                    <w:rPr>
                      <w:rFonts w:ascii="Calibri" w:eastAsia="Times New Roman" w:hAnsi="Calibri" w:cs="Calibri"/>
                      <w:iCs/>
                      <w:color w:val="auto"/>
                      <w:sz w:val="20"/>
                      <w:szCs w:val="20"/>
                      <w:lang w:eastAsia="en-AU"/>
                    </w:rPr>
                  </w:pPr>
                  <w:r w:rsidRPr="00C02804">
                    <w:rPr>
                      <w:rFonts w:ascii="Calibri" w:eastAsia="Times New Roman" w:hAnsi="Calibri" w:cs="Calibri"/>
                      <w:iCs/>
                      <w:color w:val="auto"/>
                      <w:sz w:val="20"/>
                      <w:szCs w:val="20"/>
                      <w:lang w:eastAsia="en-AU"/>
                    </w:rPr>
                    <w:t>Facility 1</w:t>
                  </w:r>
                </w:p>
              </w:tc>
              <w:tc>
                <w:tcPr>
                  <w:tcW w:w="2068" w:type="dxa"/>
                  <w:noWrap/>
                  <w:hideMark/>
                </w:tcPr>
                <w:p w14:paraId="000B791E" w14:textId="01C67A23" w:rsidR="00FB6DCF" w:rsidRPr="00F72EF2" w:rsidRDefault="005978BD"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 xml:space="preserve">CERT Participant </w:t>
                  </w:r>
                  <w:r w:rsidR="00FB6DCF" w:rsidRPr="00F72EF2">
                    <w:rPr>
                      <w:rFonts w:ascii="Calibri" w:eastAsia="Times New Roman" w:hAnsi="Calibri" w:cs="Calibri"/>
                      <w:iCs/>
                      <w:color w:val="auto"/>
                      <w:sz w:val="20"/>
                      <w:szCs w:val="20"/>
                      <w:lang w:eastAsia="en-AU"/>
                    </w:rPr>
                    <w:t>A</w:t>
                  </w:r>
                </w:p>
              </w:tc>
              <w:tc>
                <w:tcPr>
                  <w:tcW w:w="1228" w:type="dxa"/>
                </w:tcPr>
                <w:p w14:paraId="5332359C" w14:textId="7F6B4206" w:rsidR="00FB6DCF" w:rsidRPr="00F72EF2" w:rsidRDefault="00FB6DCF"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40</w:t>
                  </w:r>
                </w:p>
              </w:tc>
              <w:tc>
                <w:tcPr>
                  <w:tcW w:w="1228" w:type="dxa"/>
                </w:tcPr>
                <w:p w14:paraId="483F86FA" w14:textId="50D0CFF9" w:rsidR="00FB6DCF" w:rsidRPr="00F72EF2" w:rsidRDefault="00FB6DCF"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60</w:t>
                  </w:r>
                </w:p>
              </w:tc>
              <w:tc>
                <w:tcPr>
                  <w:tcW w:w="1229" w:type="dxa"/>
                  <w:noWrap/>
                  <w:hideMark/>
                </w:tcPr>
                <w:p w14:paraId="4829FC1D" w14:textId="77777777" w:rsidR="00FB6DCF" w:rsidRPr="00F72EF2" w:rsidRDefault="00FB6DCF"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100</w:t>
                  </w:r>
                </w:p>
              </w:tc>
              <w:tc>
                <w:tcPr>
                  <w:tcW w:w="1228" w:type="dxa"/>
                  <w:noWrap/>
                  <w:hideMark/>
                </w:tcPr>
                <w:p w14:paraId="0DB9AF78" w14:textId="77777777" w:rsidR="00FB6DCF" w:rsidRPr="00F72EF2" w:rsidRDefault="00FB6DCF"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500</w:t>
                  </w:r>
                </w:p>
              </w:tc>
              <w:tc>
                <w:tcPr>
                  <w:tcW w:w="1229" w:type="dxa"/>
                  <w:noWrap/>
                  <w:hideMark/>
                </w:tcPr>
                <w:p w14:paraId="278D3449" w14:textId="77777777" w:rsidR="00FB6DCF" w:rsidRPr="00F72EF2" w:rsidRDefault="00FB6DCF"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400</w:t>
                  </w:r>
                </w:p>
              </w:tc>
            </w:tr>
            <w:tr w:rsidR="0022480C" w:rsidRPr="00F72EF2" w14:paraId="7BFE6058" w14:textId="77777777" w:rsidTr="00D8056A">
              <w:trPr>
                <w:cnfStyle w:val="000000010000" w:firstRow="0" w:lastRow="0" w:firstColumn="0" w:lastColumn="0" w:oddVBand="0" w:evenVBand="0" w:oddHBand="0" w:evenHBand="1"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0" w:type="auto"/>
                  <w:noWrap/>
                </w:tcPr>
                <w:p w14:paraId="10569B21" w14:textId="77777777" w:rsidR="00FB6DCF" w:rsidRPr="00C02804" w:rsidRDefault="00FB6DCF" w:rsidP="00801B30">
                  <w:pPr>
                    <w:rPr>
                      <w:rFonts w:ascii="Calibri" w:eastAsia="Times New Roman" w:hAnsi="Calibri" w:cs="Calibri"/>
                      <w:iCs/>
                      <w:color w:val="auto"/>
                      <w:sz w:val="20"/>
                      <w:szCs w:val="20"/>
                      <w:lang w:eastAsia="en-AU"/>
                    </w:rPr>
                  </w:pPr>
                  <w:r w:rsidRPr="00C02804">
                    <w:rPr>
                      <w:rFonts w:ascii="Calibri" w:eastAsia="Times New Roman" w:hAnsi="Calibri" w:cs="Calibri"/>
                      <w:iCs/>
                      <w:color w:val="auto"/>
                      <w:sz w:val="20"/>
                      <w:szCs w:val="20"/>
                      <w:lang w:eastAsia="en-AU"/>
                    </w:rPr>
                    <w:t>Facility 2</w:t>
                  </w:r>
                </w:p>
              </w:tc>
              <w:tc>
                <w:tcPr>
                  <w:tcW w:w="2068" w:type="dxa"/>
                  <w:noWrap/>
                </w:tcPr>
                <w:p w14:paraId="6589F0B7" w14:textId="0CCC9C1C" w:rsidR="00FB6DCF" w:rsidRPr="00F72EF2" w:rsidRDefault="005978BD"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 xml:space="preserve">CERT Participant </w:t>
                  </w:r>
                  <w:r w:rsidR="00FB6DCF" w:rsidRPr="00F72EF2">
                    <w:rPr>
                      <w:rFonts w:ascii="Calibri" w:eastAsia="Times New Roman" w:hAnsi="Calibri" w:cs="Calibri"/>
                      <w:iCs/>
                      <w:color w:val="auto"/>
                      <w:sz w:val="20"/>
                      <w:szCs w:val="20"/>
                      <w:lang w:eastAsia="en-AU"/>
                    </w:rPr>
                    <w:t>B</w:t>
                  </w:r>
                </w:p>
              </w:tc>
              <w:tc>
                <w:tcPr>
                  <w:tcW w:w="1228" w:type="dxa"/>
                </w:tcPr>
                <w:p w14:paraId="77E4915E" w14:textId="75C75D98" w:rsidR="00FB6DCF" w:rsidRPr="00F72EF2" w:rsidRDefault="00FB6DCF"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50</w:t>
                  </w:r>
                </w:p>
              </w:tc>
              <w:tc>
                <w:tcPr>
                  <w:tcW w:w="1228" w:type="dxa"/>
                </w:tcPr>
                <w:p w14:paraId="16A9AAC7" w14:textId="7C5E7DC3" w:rsidR="00FB6DCF" w:rsidRPr="00F72EF2" w:rsidRDefault="00FB6DCF"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50</w:t>
                  </w:r>
                </w:p>
              </w:tc>
              <w:tc>
                <w:tcPr>
                  <w:tcW w:w="1229" w:type="dxa"/>
                  <w:noWrap/>
                </w:tcPr>
                <w:p w14:paraId="06094FDD" w14:textId="77777777" w:rsidR="00FB6DCF" w:rsidRPr="00F72EF2" w:rsidRDefault="00FB6DCF"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50</w:t>
                  </w:r>
                </w:p>
              </w:tc>
              <w:tc>
                <w:tcPr>
                  <w:tcW w:w="1228" w:type="dxa"/>
                  <w:noWrap/>
                </w:tcPr>
                <w:p w14:paraId="2E499446" w14:textId="77777777" w:rsidR="00FB6DCF" w:rsidRPr="00F72EF2" w:rsidRDefault="00FB6DCF"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50</w:t>
                  </w:r>
                </w:p>
              </w:tc>
              <w:tc>
                <w:tcPr>
                  <w:tcW w:w="1229" w:type="dxa"/>
                  <w:noWrap/>
                </w:tcPr>
                <w:p w14:paraId="57CA03BD" w14:textId="77777777" w:rsidR="00FB6DCF" w:rsidRPr="00F72EF2" w:rsidRDefault="00FB6DCF"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200</w:t>
                  </w:r>
                </w:p>
              </w:tc>
            </w:tr>
            <w:tr w:rsidR="0022480C" w:rsidRPr="00F72EF2" w14:paraId="0B7DE073" w14:textId="77777777" w:rsidTr="00D8056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0" w:type="auto"/>
                  <w:noWrap/>
                </w:tcPr>
                <w:p w14:paraId="68C30561" w14:textId="77777777" w:rsidR="00FB6DCF" w:rsidRPr="00C02804" w:rsidRDefault="00FB6DCF" w:rsidP="00801B30">
                  <w:pPr>
                    <w:rPr>
                      <w:rFonts w:ascii="Calibri" w:eastAsia="Times New Roman" w:hAnsi="Calibri" w:cs="Calibri"/>
                      <w:iCs/>
                      <w:color w:val="auto"/>
                      <w:sz w:val="20"/>
                      <w:szCs w:val="20"/>
                      <w:lang w:eastAsia="en-AU"/>
                    </w:rPr>
                  </w:pPr>
                  <w:r w:rsidRPr="00C02804">
                    <w:rPr>
                      <w:rFonts w:ascii="Calibri" w:eastAsia="Times New Roman" w:hAnsi="Calibri" w:cs="Calibri"/>
                      <w:iCs/>
                      <w:color w:val="auto"/>
                      <w:sz w:val="20"/>
                      <w:szCs w:val="20"/>
                      <w:lang w:eastAsia="en-AU"/>
                    </w:rPr>
                    <w:t>Facility 3</w:t>
                  </w:r>
                </w:p>
              </w:tc>
              <w:tc>
                <w:tcPr>
                  <w:tcW w:w="2068" w:type="dxa"/>
                  <w:noWrap/>
                </w:tcPr>
                <w:p w14:paraId="1CB24C5B" w14:textId="3331BCD2" w:rsidR="00FB6DCF" w:rsidRPr="00F72EF2" w:rsidRDefault="005978BD"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 xml:space="preserve">CERT Participant </w:t>
                  </w:r>
                  <w:r w:rsidR="00FB6DCF" w:rsidRPr="00F72EF2">
                    <w:rPr>
                      <w:rFonts w:ascii="Calibri" w:eastAsia="Times New Roman" w:hAnsi="Calibri" w:cs="Calibri"/>
                      <w:iCs/>
                      <w:color w:val="auto"/>
                      <w:sz w:val="20"/>
                      <w:szCs w:val="20"/>
                      <w:lang w:eastAsia="en-AU"/>
                    </w:rPr>
                    <w:t>B</w:t>
                  </w:r>
                </w:p>
              </w:tc>
              <w:tc>
                <w:tcPr>
                  <w:tcW w:w="1228" w:type="dxa"/>
                </w:tcPr>
                <w:p w14:paraId="7F280B08" w14:textId="500B9142" w:rsidR="00FB6DCF" w:rsidRPr="00F72EF2" w:rsidRDefault="00FB6DCF"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0</w:t>
                  </w:r>
                </w:p>
              </w:tc>
              <w:tc>
                <w:tcPr>
                  <w:tcW w:w="1228" w:type="dxa"/>
                </w:tcPr>
                <w:p w14:paraId="3E3C3927" w14:textId="66D06EB6" w:rsidR="00FB6DCF" w:rsidRPr="00F72EF2" w:rsidRDefault="00FB6DCF"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100</w:t>
                  </w:r>
                </w:p>
              </w:tc>
              <w:tc>
                <w:tcPr>
                  <w:tcW w:w="1229" w:type="dxa"/>
                  <w:noWrap/>
                </w:tcPr>
                <w:p w14:paraId="276961C4" w14:textId="77777777" w:rsidR="00FB6DCF" w:rsidRPr="00F72EF2" w:rsidRDefault="00FB6DCF"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25</w:t>
                  </w:r>
                </w:p>
              </w:tc>
              <w:tc>
                <w:tcPr>
                  <w:tcW w:w="1228" w:type="dxa"/>
                  <w:noWrap/>
                </w:tcPr>
                <w:p w14:paraId="10D85274" w14:textId="77777777" w:rsidR="00FB6DCF" w:rsidRPr="00F72EF2" w:rsidRDefault="00FB6DCF"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50</w:t>
                  </w:r>
                </w:p>
              </w:tc>
              <w:tc>
                <w:tcPr>
                  <w:tcW w:w="1229" w:type="dxa"/>
                  <w:noWrap/>
                </w:tcPr>
                <w:p w14:paraId="55DFF319" w14:textId="77777777" w:rsidR="00FB6DCF" w:rsidRPr="00F72EF2" w:rsidRDefault="00FB6DCF" w:rsidP="00801B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250</w:t>
                  </w:r>
                </w:p>
              </w:tc>
            </w:tr>
            <w:tr w:rsidR="0022480C" w:rsidRPr="00F72EF2" w14:paraId="7B5AD7CC" w14:textId="77777777" w:rsidTr="00D8056A">
              <w:trPr>
                <w:cnfStyle w:val="000000010000" w:firstRow="0" w:lastRow="0" w:firstColumn="0" w:lastColumn="0" w:oddVBand="0" w:evenVBand="0" w:oddHBand="0" w:evenHBand="1"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0" w:type="auto"/>
                  <w:noWrap/>
                </w:tcPr>
                <w:p w14:paraId="7718517F" w14:textId="77777777" w:rsidR="00FB6DCF" w:rsidRPr="00C02804" w:rsidRDefault="00FB6DCF" w:rsidP="00801B30">
                  <w:pPr>
                    <w:rPr>
                      <w:rFonts w:ascii="Calibri" w:eastAsia="Times New Roman" w:hAnsi="Calibri" w:cs="Calibri"/>
                      <w:b w:val="0"/>
                      <w:bCs/>
                      <w:iCs/>
                      <w:color w:val="auto"/>
                      <w:sz w:val="20"/>
                      <w:szCs w:val="20"/>
                      <w:lang w:eastAsia="en-AU"/>
                    </w:rPr>
                  </w:pPr>
                  <w:r w:rsidRPr="00C02804">
                    <w:rPr>
                      <w:rFonts w:ascii="Calibri" w:eastAsia="Times New Roman" w:hAnsi="Calibri" w:cs="Calibri"/>
                      <w:bCs/>
                      <w:iCs/>
                      <w:color w:val="auto"/>
                      <w:sz w:val="20"/>
                      <w:szCs w:val="20"/>
                      <w:lang w:eastAsia="en-AU"/>
                    </w:rPr>
                    <w:t>Total</w:t>
                  </w:r>
                </w:p>
              </w:tc>
              <w:tc>
                <w:tcPr>
                  <w:tcW w:w="2068" w:type="dxa"/>
                  <w:noWrap/>
                </w:tcPr>
                <w:p w14:paraId="7AFB7E67" w14:textId="77777777" w:rsidR="00FB6DCF" w:rsidRPr="00F72EF2" w:rsidRDefault="00FB6DCF"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w:t>
                  </w:r>
                </w:p>
              </w:tc>
              <w:tc>
                <w:tcPr>
                  <w:tcW w:w="1228" w:type="dxa"/>
                </w:tcPr>
                <w:p w14:paraId="1D2D2CA2" w14:textId="77777777" w:rsidR="00FB6DCF" w:rsidRPr="00F72EF2" w:rsidRDefault="00FB6DCF"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w:t>
                  </w:r>
                </w:p>
              </w:tc>
              <w:tc>
                <w:tcPr>
                  <w:tcW w:w="1228" w:type="dxa"/>
                </w:tcPr>
                <w:p w14:paraId="6915F607" w14:textId="77777777" w:rsidR="00FB6DCF" w:rsidRPr="00F72EF2" w:rsidRDefault="00FB6DCF"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w:t>
                  </w:r>
                </w:p>
              </w:tc>
              <w:tc>
                <w:tcPr>
                  <w:tcW w:w="1229" w:type="dxa"/>
                  <w:noWrap/>
                </w:tcPr>
                <w:p w14:paraId="0A8C46B5" w14:textId="77777777" w:rsidR="00FB6DCF" w:rsidRPr="00F72EF2" w:rsidRDefault="00FB6DCF"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175</w:t>
                  </w:r>
                </w:p>
              </w:tc>
              <w:tc>
                <w:tcPr>
                  <w:tcW w:w="1228" w:type="dxa"/>
                  <w:noWrap/>
                </w:tcPr>
                <w:p w14:paraId="42815144" w14:textId="77777777" w:rsidR="00FB6DCF" w:rsidRPr="00F72EF2" w:rsidRDefault="00FB6DCF"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600</w:t>
                  </w:r>
                </w:p>
              </w:tc>
              <w:tc>
                <w:tcPr>
                  <w:tcW w:w="1229" w:type="dxa"/>
                  <w:noWrap/>
                </w:tcPr>
                <w:p w14:paraId="76176A6D" w14:textId="77777777" w:rsidR="00FB6DCF" w:rsidRPr="00F72EF2" w:rsidRDefault="00FB6DCF" w:rsidP="00801B30">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F72EF2">
                    <w:rPr>
                      <w:rFonts w:ascii="Calibri" w:eastAsia="Times New Roman" w:hAnsi="Calibri" w:cs="Calibri"/>
                      <w:iCs/>
                      <w:color w:val="auto"/>
                      <w:sz w:val="20"/>
                      <w:szCs w:val="20"/>
                      <w:lang w:eastAsia="en-AU"/>
                    </w:rPr>
                    <w:t>850</w:t>
                  </w:r>
                </w:p>
              </w:tc>
            </w:tr>
          </w:tbl>
          <w:p w14:paraId="6715A538" w14:textId="77777777" w:rsidR="00FB6DCF" w:rsidRPr="00385221" w:rsidRDefault="00FB6DCF" w:rsidP="00EF032E">
            <w:pPr>
              <w:spacing w:after="0"/>
              <w:rPr>
                <w:sz w:val="20"/>
                <w:szCs w:val="20"/>
              </w:rPr>
            </w:pPr>
          </w:p>
          <w:p w14:paraId="447035C7" w14:textId="1B913A4A" w:rsidR="00FB6DCF" w:rsidRPr="00C02804" w:rsidRDefault="00FB6DCF" w:rsidP="00EF032E">
            <w:pPr>
              <w:spacing w:after="0"/>
              <w:rPr>
                <w:szCs w:val="22"/>
              </w:rPr>
            </w:pPr>
            <w:r w:rsidRPr="00C02804">
              <w:rPr>
                <w:szCs w:val="22"/>
              </w:rPr>
              <w:t>Under NGER (which is based on the company with operation control), the gross emissions and electricity use</w:t>
            </w:r>
            <w:r w:rsidR="006B3FA6" w:rsidRPr="00C02804">
              <w:rPr>
                <w:szCs w:val="22"/>
              </w:rPr>
              <w:t xml:space="preserve"> for the two Participants</w:t>
            </w:r>
            <w:r w:rsidRPr="00C02804">
              <w:rPr>
                <w:szCs w:val="22"/>
              </w:rPr>
              <w:t xml:space="preserve"> would be as follows:</w:t>
            </w:r>
          </w:p>
          <w:p w14:paraId="1FCBE45E" w14:textId="77777777" w:rsidR="00FB6DCF" w:rsidRPr="00385221" w:rsidRDefault="00FB6DCF" w:rsidP="00EF032E">
            <w:pPr>
              <w:spacing w:after="0"/>
              <w:rPr>
                <w:sz w:val="20"/>
                <w:szCs w:val="20"/>
              </w:rPr>
            </w:pPr>
          </w:p>
          <w:tbl>
            <w:tblPr>
              <w:tblStyle w:val="CERTable"/>
              <w:tblW w:w="0" w:type="auto"/>
              <w:tblLook w:val="04A0" w:firstRow="1" w:lastRow="0" w:firstColumn="1" w:lastColumn="0" w:noHBand="0" w:noVBand="1"/>
            </w:tblPr>
            <w:tblGrid>
              <w:gridCol w:w="2317"/>
              <w:gridCol w:w="2318"/>
              <w:gridCol w:w="2318"/>
              <w:gridCol w:w="2318"/>
            </w:tblGrid>
            <w:tr w:rsidR="00FB6DCF" w14:paraId="47AAE16D" w14:textId="77777777" w:rsidTr="00801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14:paraId="6C04B227" w14:textId="77777777" w:rsidR="00FB6DCF" w:rsidRDefault="00FB6DCF" w:rsidP="00801B30">
                  <w:pPr>
                    <w:rPr>
                      <w:iCs/>
                      <w:sz w:val="20"/>
                      <w:szCs w:val="20"/>
                    </w:rPr>
                  </w:pPr>
                  <w:r w:rsidRPr="00385221">
                    <w:rPr>
                      <w:rFonts w:ascii="Calibri" w:eastAsia="Times New Roman" w:hAnsi="Calibri" w:cs="Calibri"/>
                      <w:bCs/>
                      <w:color w:val="auto"/>
                      <w:sz w:val="20"/>
                      <w:szCs w:val="20"/>
                      <w:lang w:eastAsia="en-AU"/>
                    </w:rPr>
                    <w:t xml:space="preserve">CERT Participant </w:t>
                  </w:r>
                </w:p>
              </w:tc>
              <w:tc>
                <w:tcPr>
                  <w:tcW w:w="2318" w:type="dxa"/>
                </w:tcPr>
                <w:p w14:paraId="0B33715D" w14:textId="2D75E43A" w:rsidR="00FB6DCF" w:rsidRPr="00F14A7D" w:rsidRDefault="00FB6DCF" w:rsidP="00801B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iCs/>
                      <w:color w:val="auto"/>
                      <w:sz w:val="20"/>
                      <w:szCs w:val="20"/>
                      <w:lang w:eastAsia="en-AU"/>
                    </w:rPr>
                  </w:pPr>
                  <w:r w:rsidRPr="00385221">
                    <w:rPr>
                      <w:rFonts w:ascii="Calibri" w:eastAsia="Times New Roman" w:hAnsi="Calibri" w:cs="Calibri"/>
                      <w:bCs/>
                      <w:iCs/>
                      <w:color w:val="auto"/>
                      <w:sz w:val="20"/>
                      <w:szCs w:val="20"/>
                      <w:lang w:eastAsia="en-AU"/>
                    </w:rPr>
                    <w:t>Gross Scope 1 emissions (t</w:t>
                  </w:r>
                  <w:r w:rsidR="00781C18">
                    <w:rPr>
                      <w:rFonts w:ascii="Calibri" w:eastAsia="Times New Roman" w:hAnsi="Calibri" w:cs="Calibri"/>
                      <w:bCs/>
                      <w:iCs/>
                      <w:color w:val="auto"/>
                      <w:sz w:val="20"/>
                      <w:szCs w:val="20"/>
                      <w:lang w:eastAsia="en-AU"/>
                    </w:rPr>
                    <w:t xml:space="preserve"> </w:t>
                  </w:r>
                  <w:r w:rsidRPr="00385221">
                    <w:rPr>
                      <w:rFonts w:ascii="Calibri" w:eastAsia="Times New Roman" w:hAnsi="Calibri" w:cs="Calibri"/>
                      <w:bCs/>
                      <w:iCs/>
                      <w:color w:val="auto"/>
                      <w:sz w:val="20"/>
                      <w:szCs w:val="20"/>
                      <w:lang w:eastAsia="en-AU"/>
                    </w:rPr>
                    <w:t>CO</w:t>
                  </w:r>
                  <w:r w:rsidRPr="000C103E">
                    <w:rPr>
                      <w:rFonts w:ascii="Calibri" w:eastAsia="Times New Roman" w:hAnsi="Calibri" w:cs="Calibri"/>
                      <w:bCs/>
                      <w:iCs/>
                      <w:color w:val="auto"/>
                      <w:sz w:val="20"/>
                      <w:szCs w:val="20"/>
                      <w:vertAlign w:val="subscript"/>
                      <w:lang w:eastAsia="en-AU"/>
                    </w:rPr>
                    <w:t>2</w:t>
                  </w:r>
                  <w:r w:rsidR="00781C18" w:rsidRPr="00C02804">
                    <w:rPr>
                      <w:rFonts w:ascii="Calibri" w:eastAsia="Times New Roman" w:hAnsi="Calibri" w:cs="Calibri"/>
                      <w:bCs/>
                      <w:iCs/>
                      <w:color w:val="auto"/>
                      <w:sz w:val="20"/>
                      <w:szCs w:val="20"/>
                      <w:lang w:eastAsia="en-AU"/>
                    </w:rPr>
                    <w:t>-</w:t>
                  </w:r>
                  <w:r w:rsidRPr="00385221">
                    <w:rPr>
                      <w:rFonts w:ascii="Calibri" w:eastAsia="Times New Roman" w:hAnsi="Calibri" w:cs="Calibri"/>
                      <w:bCs/>
                      <w:iCs/>
                      <w:color w:val="auto"/>
                      <w:sz w:val="20"/>
                      <w:szCs w:val="20"/>
                      <w:lang w:eastAsia="en-AU"/>
                    </w:rPr>
                    <w:t>e)</w:t>
                  </w:r>
                </w:p>
              </w:tc>
              <w:tc>
                <w:tcPr>
                  <w:tcW w:w="2318" w:type="dxa"/>
                </w:tcPr>
                <w:p w14:paraId="4F90C58A" w14:textId="03AB0853" w:rsidR="00FB6DCF" w:rsidRPr="00F14A7D" w:rsidRDefault="00FB6DCF" w:rsidP="00801B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iCs/>
                      <w:color w:val="auto"/>
                      <w:sz w:val="20"/>
                      <w:szCs w:val="20"/>
                      <w:lang w:eastAsia="en-AU"/>
                    </w:rPr>
                  </w:pPr>
                  <w:r w:rsidRPr="00385221">
                    <w:rPr>
                      <w:rFonts w:ascii="Calibri" w:eastAsia="Times New Roman" w:hAnsi="Calibri" w:cs="Calibri"/>
                      <w:bCs/>
                      <w:iCs/>
                      <w:color w:val="auto"/>
                      <w:sz w:val="20"/>
                      <w:szCs w:val="20"/>
                      <w:lang w:eastAsia="en-AU"/>
                    </w:rPr>
                    <w:t>Gross Scope 2 emissions (t</w:t>
                  </w:r>
                  <w:r w:rsidR="00781C18">
                    <w:rPr>
                      <w:rFonts w:ascii="Calibri" w:eastAsia="Times New Roman" w:hAnsi="Calibri" w:cs="Calibri"/>
                      <w:bCs/>
                      <w:iCs/>
                      <w:color w:val="auto"/>
                      <w:sz w:val="20"/>
                      <w:szCs w:val="20"/>
                      <w:lang w:eastAsia="en-AU"/>
                    </w:rPr>
                    <w:t xml:space="preserve"> </w:t>
                  </w:r>
                  <w:r w:rsidRPr="00385221">
                    <w:rPr>
                      <w:rFonts w:ascii="Calibri" w:eastAsia="Times New Roman" w:hAnsi="Calibri" w:cs="Calibri"/>
                      <w:bCs/>
                      <w:iCs/>
                      <w:color w:val="auto"/>
                      <w:sz w:val="20"/>
                      <w:szCs w:val="20"/>
                      <w:lang w:eastAsia="en-AU"/>
                    </w:rPr>
                    <w:t>CO</w:t>
                  </w:r>
                  <w:r w:rsidRPr="000C103E">
                    <w:rPr>
                      <w:rFonts w:ascii="Calibri" w:eastAsia="Times New Roman" w:hAnsi="Calibri" w:cs="Calibri"/>
                      <w:bCs/>
                      <w:iCs/>
                      <w:color w:val="auto"/>
                      <w:sz w:val="20"/>
                      <w:szCs w:val="20"/>
                      <w:vertAlign w:val="subscript"/>
                      <w:lang w:eastAsia="en-AU"/>
                    </w:rPr>
                    <w:t>2</w:t>
                  </w:r>
                  <w:r w:rsidR="00781C18" w:rsidRPr="00C02804">
                    <w:rPr>
                      <w:rFonts w:ascii="Calibri" w:eastAsia="Times New Roman" w:hAnsi="Calibri" w:cs="Calibri"/>
                      <w:bCs/>
                      <w:iCs/>
                      <w:color w:val="auto"/>
                      <w:sz w:val="20"/>
                      <w:szCs w:val="20"/>
                      <w:lang w:eastAsia="en-AU"/>
                    </w:rPr>
                    <w:t>-</w:t>
                  </w:r>
                  <w:r w:rsidRPr="00385221">
                    <w:rPr>
                      <w:rFonts w:ascii="Calibri" w:eastAsia="Times New Roman" w:hAnsi="Calibri" w:cs="Calibri"/>
                      <w:bCs/>
                      <w:iCs/>
                      <w:color w:val="auto"/>
                      <w:sz w:val="20"/>
                      <w:szCs w:val="20"/>
                      <w:lang w:eastAsia="en-AU"/>
                    </w:rPr>
                    <w:t>e)</w:t>
                  </w:r>
                </w:p>
              </w:tc>
              <w:tc>
                <w:tcPr>
                  <w:tcW w:w="2318" w:type="dxa"/>
                </w:tcPr>
                <w:p w14:paraId="7FF72748" w14:textId="77777777" w:rsidR="00FB6DCF" w:rsidRPr="00F14A7D" w:rsidRDefault="00FB6DCF" w:rsidP="00801B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iCs/>
                      <w:color w:val="auto"/>
                      <w:sz w:val="20"/>
                      <w:szCs w:val="20"/>
                      <w:lang w:eastAsia="en-AU"/>
                    </w:rPr>
                  </w:pPr>
                  <w:r w:rsidRPr="00385221">
                    <w:rPr>
                      <w:rFonts w:ascii="Calibri" w:eastAsia="Times New Roman" w:hAnsi="Calibri" w:cs="Calibri"/>
                      <w:bCs/>
                      <w:iCs/>
                      <w:color w:val="auto"/>
                      <w:sz w:val="20"/>
                      <w:szCs w:val="20"/>
                      <w:lang w:eastAsia="en-AU"/>
                    </w:rPr>
                    <w:t>Electricity Consumed (MWh)</w:t>
                  </w:r>
                </w:p>
              </w:tc>
            </w:tr>
            <w:tr w:rsidR="00FB6DCF" w14:paraId="3171398B" w14:textId="77777777" w:rsidTr="00801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14:paraId="0196FE93" w14:textId="7A55243E" w:rsidR="00FB6DCF" w:rsidRPr="00F14A7D" w:rsidRDefault="008145C1" w:rsidP="00801B30">
                  <w:pPr>
                    <w:rPr>
                      <w:iCs/>
                      <w:sz w:val="20"/>
                      <w:szCs w:val="20"/>
                    </w:rPr>
                  </w:pPr>
                  <w:r>
                    <w:rPr>
                      <w:iCs/>
                      <w:sz w:val="20"/>
                      <w:szCs w:val="20"/>
                    </w:rPr>
                    <w:t xml:space="preserve">CERT Participant </w:t>
                  </w:r>
                  <w:r w:rsidR="00FB6DCF" w:rsidRPr="00F14A7D">
                    <w:rPr>
                      <w:iCs/>
                      <w:sz w:val="20"/>
                      <w:szCs w:val="20"/>
                    </w:rPr>
                    <w:t>A</w:t>
                  </w:r>
                </w:p>
              </w:tc>
              <w:tc>
                <w:tcPr>
                  <w:tcW w:w="2318" w:type="dxa"/>
                </w:tcPr>
                <w:p w14:paraId="18B0F711" w14:textId="77777777" w:rsidR="00FB6DCF" w:rsidRDefault="00FB6DCF" w:rsidP="00801B30">
                  <w:pPr>
                    <w:cnfStyle w:val="000000100000" w:firstRow="0" w:lastRow="0" w:firstColumn="0" w:lastColumn="0" w:oddVBand="0" w:evenVBand="0" w:oddHBand="1" w:evenHBand="0" w:firstRowFirstColumn="0" w:firstRowLastColumn="0" w:lastRowFirstColumn="0" w:lastRowLastColumn="0"/>
                    <w:rPr>
                      <w:iCs/>
                      <w:sz w:val="20"/>
                      <w:szCs w:val="20"/>
                    </w:rPr>
                  </w:pPr>
                  <w:r w:rsidRPr="00385221">
                    <w:rPr>
                      <w:rFonts w:ascii="Calibri" w:eastAsia="Times New Roman" w:hAnsi="Calibri" w:cs="Calibri"/>
                      <w:iCs/>
                      <w:color w:val="auto"/>
                      <w:sz w:val="20"/>
                      <w:szCs w:val="20"/>
                      <w:lang w:eastAsia="en-AU"/>
                    </w:rPr>
                    <w:t>100</w:t>
                  </w:r>
                </w:p>
              </w:tc>
              <w:tc>
                <w:tcPr>
                  <w:tcW w:w="2318" w:type="dxa"/>
                </w:tcPr>
                <w:p w14:paraId="5802FA5A" w14:textId="77777777" w:rsidR="00FB6DCF" w:rsidRDefault="00FB6DCF" w:rsidP="00801B30">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500</w:t>
                  </w:r>
                </w:p>
              </w:tc>
              <w:tc>
                <w:tcPr>
                  <w:tcW w:w="2318" w:type="dxa"/>
                </w:tcPr>
                <w:p w14:paraId="054B365D" w14:textId="77777777" w:rsidR="00FB6DCF" w:rsidRDefault="00FB6DCF" w:rsidP="00801B30">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400</w:t>
                  </w:r>
                </w:p>
              </w:tc>
            </w:tr>
            <w:tr w:rsidR="00FB6DCF" w14:paraId="0C87A8AC" w14:textId="77777777" w:rsidTr="00801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14:paraId="5FB96655" w14:textId="76ECED04" w:rsidR="00FB6DCF" w:rsidRPr="00F14A7D" w:rsidRDefault="008145C1" w:rsidP="00801B30">
                  <w:pPr>
                    <w:rPr>
                      <w:iCs/>
                      <w:sz w:val="20"/>
                      <w:szCs w:val="20"/>
                    </w:rPr>
                  </w:pPr>
                  <w:r>
                    <w:rPr>
                      <w:iCs/>
                      <w:sz w:val="20"/>
                      <w:szCs w:val="20"/>
                    </w:rPr>
                    <w:t xml:space="preserve">CERT Participant </w:t>
                  </w:r>
                  <w:r w:rsidR="00FB6DCF" w:rsidRPr="00F14A7D">
                    <w:rPr>
                      <w:iCs/>
                      <w:sz w:val="20"/>
                      <w:szCs w:val="20"/>
                    </w:rPr>
                    <w:t>B</w:t>
                  </w:r>
                </w:p>
              </w:tc>
              <w:tc>
                <w:tcPr>
                  <w:tcW w:w="2318" w:type="dxa"/>
                </w:tcPr>
                <w:p w14:paraId="6697A6BD" w14:textId="77777777" w:rsidR="00FB6DCF" w:rsidRDefault="00FB6DCF" w:rsidP="00801B30">
                  <w:pPr>
                    <w:cnfStyle w:val="000000010000" w:firstRow="0" w:lastRow="0" w:firstColumn="0" w:lastColumn="0" w:oddVBand="0" w:evenVBand="0" w:oddHBand="0" w:evenHBand="1" w:firstRowFirstColumn="0" w:firstRowLastColumn="0" w:lastRowFirstColumn="0" w:lastRowLastColumn="0"/>
                    <w:rPr>
                      <w:iCs/>
                      <w:sz w:val="20"/>
                      <w:szCs w:val="20"/>
                    </w:rPr>
                  </w:pPr>
                  <w:r>
                    <w:rPr>
                      <w:iCs/>
                      <w:sz w:val="20"/>
                      <w:szCs w:val="20"/>
                    </w:rPr>
                    <w:t>75</w:t>
                  </w:r>
                </w:p>
              </w:tc>
              <w:tc>
                <w:tcPr>
                  <w:tcW w:w="2318" w:type="dxa"/>
                </w:tcPr>
                <w:p w14:paraId="62E49506" w14:textId="77777777" w:rsidR="00FB6DCF" w:rsidRDefault="00FB6DCF" w:rsidP="00801B30">
                  <w:pPr>
                    <w:cnfStyle w:val="000000010000" w:firstRow="0" w:lastRow="0" w:firstColumn="0" w:lastColumn="0" w:oddVBand="0" w:evenVBand="0" w:oddHBand="0" w:evenHBand="1" w:firstRowFirstColumn="0" w:firstRowLastColumn="0" w:lastRowFirstColumn="0" w:lastRowLastColumn="0"/>
                    <w:rPr>
                      <w:iCs/>
                      <w:sz w:val="20"/>
                      <w:szCs w:val="20"/>
                    </w:rPr>
                  </w:pPr>
                  <w:r>
                    <w:rPr>
                      <w:iCs/>
                      <w:sz w:val="20"/>
                      <w:szCs w:val="20"/>
                    </w:rPr>
                    <w:t>100</w:t>
                  </w:r>
                </w:p>
              </w:tc>
              <w:tc>
                <w:tcPr>
                  <w:tcW w:w="2318" w:type="dxa"/>
                </w:tcPr>
                <w:p w14:paraId="7635E463" w14:textId="77777777" w:rsidR="00FB6DCF" w:rsidRDefault="00FB6DCF" w:rsidP="00801B30">
                  <w:pPr>
                    <w:cnfStyle w:val="000000010000" w:firstRow="0" w:lastRow="0" w:firstColumn="0" w:lastColumn="0" w:oddVBand="0" w:evenVBand="0" w:oddHBand="0" w:evenHBand="1" w:firstRowFirstColumn="0" w:firstRowLastColumn="0" w:lastRowFirstColumn="0" w:lastRowLastColumn="0"/>
                    <w:rPr>
                      <w:iCs/>
                      <w:sz w:val="20"/>
                      <w:szCs w:val="20"/>
                    </w:rPr>
                  </w:pPr>
                  <w:r>
                    <w:rPr>
                      <w:iCs/>
                      <w:sz w:val="20"/>
                      <w:szCs w:val="20"/>
                    </w:rPr>
                    <w:t>450</w:t>
                  </w:r>
                </w:p>
              </w:tc>
            </w:tr>
            <w:tr w:rsidR="00FB6DCF" w14:paraId="0AC9B00F" w14:textId="77777777" w:rsidTr="00801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14:paraId="4B5E87F4" w14:textId="77777777" w:rsidR="00FB6DCF" w:rsidRDefault="00FB6DCF" w:rsidP="00801B30">
                  <w:pPr>
                    <w:rPr>
                      <w:iCs/>
                      <w:sz w:val="20"/>
                      <w:szCs w:val="20"/>
                    </w:rPr>
                  </w:pPr>
                  <w:r w:rsidRPr="00385221">
                    <w:rPr>
                      <w:rFonts w:ascii="Calibri" w:eastAsia="Times New Roman" w:hAnsi="Calibri" w:cs="Calibri"/>
                      <w:bCs/>
                      <w:iCs/>
                      <w:color w:val="auto"/>
                      <w:sz w:val="20"/>
                      <w:szCs w:val="20"/>
                      <w:lang w:eastAsia="en-AU"/>
                    </w:rPr>
                    <w:t>Total</w:t>
                  </w:r>
                </w:p>
              </w:tc>
              <w:tc>
                <w:tcPr>
                  <w:tcW w:w="2318" w:type="dxa"/>
                </w:tcPr>
                <w:p w14:paraId="049281B2" w14:textId="77777777" w:rsidR="00FB6DCF" w:rsidRDefault="00FB6DCF" w:rsidP="00801B30">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175</w:t>
                  </w:r>
                </w:p>
              </w:tc>
              <w:tc>
                <w:tcPr>
                  <w:tcW w:w="2318" w:type="dxa"/>
                </w:tcPr>
                <w:p w14:paraId="03864C48" w14:textId="77777777" w:rsidR="00FB6DCF" w:rsidRDefault="00FB6DCF" w:rsidP="00801B30">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600</w:t>
                  </w:r>
                </w:p>
              </w:tc>
              <w:tc>
                <w:tcPr>
                  <w:tcW w:w="2318" w:type="dxa"/>
                </w:tcPr>
                <w:p w14:paraId="522905A0" w14:textId="77777777" w:rsidR="00FB6DCF" w:rsidRDefault="00FB6DCF" w:rsidP="00801B30">
                  <w:p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850</w:t>
                  </w:r>
                </w:p>
              </w:tc>
            </w:tr>
          </w:tbl>
          <w:p w14:paraId="7673D642" w14:textId="77777777" w:rsidR="00FB6DCF" w:rsidRPr="00385221" w:rsidRDefault="00FB6DCF" w:rsidP="00EF032E">
            <w:pPr>
              <w:spacing w:after="0"/>
              <w:rPr>
                <w:iCs/>
                <w:sz w:val="20"/>
                <w:szCs w:val="20"/>
              </w:rPr>
            </w:pPr>
          </w:p>
          <w:p w14:paraId="54EFA5A0" w14:textId="17C34EB1" w:rsidR="00FB6DCF" w:rsidRPr="00C02804" w:rsidRDefault="00FB6DCF" w:rsidP="00EF032E">
            <w:pPr>
              <w:spacing w:after="0"/>
              <w:rPr>
                <w:iCs/>
                <w:szCs w:val="22"/>
              </w:rPr>
            </w:pPr>
            <w:r w:rsidRPr="00C02804">
              <w:rPr>
                <w:iCs/>
                <w:szCs w:val="22"/>
              </w:rPr>
              <w:t xml:space="preserve">If </w:t>
            </w:r>
            <w:r w:rsidR="008145C1" w:rsidRPr="00C02804">
              <w:rPr>
                <w:iCs/>
                <w:szCs w:val="22"/>
              </w:rPr>
              <w:t>both</w:t>
            </w:r>
            <w:r w:rsidRPr="00C02804">
              <w:rPr>
                <w:iCs/>
                <w:szCs w:val="22"/>
              </w:rPr>
              <w:t xml:space="preserve"> Participants nominate operational-control reporting under </w:t>
            </w:r>
            <w:r w:rsidR="008B10F6" w:rsidRPr="00C02804">
              <w:rPr>
                <w:iCs/>
                <w:szCs w:val="22"/>
              </w:rPr>
              <w:t xml:space="preserve">the </w:t>
            </w:r>
            <w:r w:rsidRPr="00C02804">
              <w:rPr>
                <w:iCs/>
                <w:szCs w:val="22"/>
              </w:rPr>
              <w:t>CERT</w:t>
            </w:r>
            <w:r w:rsidR="008B10F6" w:rsidRPr="00C02804">
              <w:rPr>
                <w:iCs/>
                <w:szCs w:val="22"/>
              </w:rPr>
              <w:t xml:space="preserve"> report</w:t>
            </w:r>
            <w:r w:rsidRPr="00C02804">
              <w:rPr>
                <w:iCs/>
                <w:szCs w:val="22"/>
              </w:rPr>
              <w:t xml:space="preserve">, the </w:t>
            </w:r>
            <w:r w:rsidR="00C00101" w:rsidRPr="00C02804">
              <w:rPr>
                <w:iCs/>
                <w:szCs w:val="22"/>
              </w:rPr>
              <w:t xml:space="preserve">gross Scope 1 and 2 </w:t>
            </w:r>
            <w:r w:rsidRPr="00C02804">
              <w:rPr>
                <w:iCs/>
                <w:szCs w:val="22"/>
              </w:rPr>
              <w:t xml:space="preserve">emissions and </w:t>
            </w:r>
            <w:r w:rsidR="00C00101" w:rsidRPr="00C02804">
              <w:rPr>
                <w:iCs/>
                <w:szCs w:val="22"/>
              </w:rPr>
              <w:t xml:space="preserve">the </w:t>
            </w:r>
            <w:r w:rsidRPr="00C02804">
              <w:rPr>
                <w:iCs/>
                <w:szCs w:val="22"/>
              </w:rPr>
              <w:t xml:space="preserve">electricity </w:t>
            </w:r>
            <w:r w:rsidR="00C00101" w:rsidRPr="00C02804">
              <w:rPr>
                <w:iCs/>
                <w:szCs w:val="22"/>
              </w:rPr>
              <w:t xml:space="preserve">consumed </w:t>
            </w:r>
            <w:r w:rsidR="00D37C66" w:rsidRPr="00C02804">
              <w:rPr>
                <w:iCs/>
                <w:szCs w:val="22"/>
              </w:rPr>
              <w:t xml:space="preserve">for both Participants </w:t>
            </w:r>
            <w:r w:rsidRPr="00C02804">
              <w:rPr>
                <w:iCs/>
                <w:szCs w:val="22"/>
              </w:rPr>
              <w:t>would be the same</w:t>
            </w:r>
            <w:r w:rsidR="00D85B01">
              <w:rPr>
                <w:iCs/>
                <w:szCs w:val="22"/>
              </w:rPr>
              <w:t xml:space="preserve"> as reported in NGER</w:t>
            </w:r>
            <w:r w:rsidRPr="00C02804">
              <w:rPr>
                <w:iCs/>
                <w:szCs w:val="22"/>
              </w:rPr>
              <w:t>.</w:t>
            </w:r>
          </w:p>
          <w:p w14:paraId="08B1CA83" w14:textId="77777777" w:rsidR="00FB6DCF" w:rsidRPr="00C02804" w:rsidRDefault="00FB6DCF" w:rsidP="00EF032E">
            <w:pPr>
              <w:spacing w:after="0"/>
              <w:rPr>
                <w:iCs/>
                <w:szCs w:val="22"/>
              </w:rPr>
            </w:pPr>
          </w:p>
          <w:p w14:paraId="27B2BFD6" w14:textId="14F58757" w:rsidR="00FB6DCF" w:rsidRPr="00F14A7D" w:rsidRDefault="00FB6DCF" w:rsidP="00EF032E">
            <w:pPr>
              <w:spacing w:after="0"/>
              <w:rPr>
                <w:iCs/>
                <w:sz w:val="20"/>
                <w:szCs w:val="20"/>
              </w:rPr>
            </w:pPr>
            <w:r w:rsidRPr="00C02804">
              <w:rPr>
                <w:iCs/>
                <w:szCs w:val="22"/>
              </w:rPr>
              <w:lastRenderedPageBreak/>
              <w:t xml:space="preserve">If </w:t>
            </w:r>
            <w:r w:rsidR="00D1279E" w:rsidRPr="00C02804">
              <w:rPr>
                <w:iCs/>
                <w:szCs w:val="22"/>
              </w:rPr>
              <w:t xml:space="preserve">both </w:t>
            </w:r>
            <w:r w:rsidRPr="00C02804">
              <w:rPr>
                <w:szCs w:val="22"/>
              </w:rPr>
              <w:t>Participants</w:t>
            </w:r>
            <w:r w:rsidRPr="00C02804">
              <w:rPr>
                <w:iCs/>
                <w:szCs w:val="22"/>
              </w:rPr>
              <w:t xml:space="preserve"> nominated equity-based reporting </w:t>
            </w:r>
            <w:r w:rsidR="009E27A8" w:rsidRPr="00C02804">
              <w:rPr>
                <w:iCs/>
                <w:szCs w:val="22"/>
              </w:rPr>
              <w:t>under CERT</w:t>
            </w:r>
            <w:r w:rsidR="009E27A8">
              <w:rPr>
                <w:iCs/>
                <w:szCs w:val="22"/>
              </w:rPr>
              <w:t xml:space="preserve"> and choose to adjust NGER data using multipliers</w:t>
            </w:r>
            <w:r w:rsidR="00D1279E" w:rsidRPr="00C02804">
              <w:rPr>
                <w:iCs/>
                <w:szCs w:val="22"/>
              </w:rPr>
              <w:t>,</w:t>
            </w:r>
            <w:r w:rsidRPr="00C02804">
              <w:rPr>
                <w:iCs/>
                <w:szCs w:val="22"/>
              </w:rPr>
              <w:t xml:space="preserve"> their gross emissions would be:</w:t>
            </w:r>
          </w:p>
        </w:tc>
      </w:tr>
    </w:tbl>
    <w:p w14:paraId="432B3B6E" w14:textId="77777777" w:rsidR="00FB6DCF" w:rsidRPr="00385221" w:rsidRDefault="00FB6DCF" w:rsidP="00EF032E">
      <w:pPr>
        <w:spacing w:after="0"/>
        <w:rPr>
          <w:iCs/>
          <w:color w:val="auto"/>
          <w:sz w:val="20"/>
          <w:szCs w:val="20"/>
        </w:rPr>
      </w:pPr>
    </w:p>
    <w:tbl>
      <w:tblPr>
        <w:tblStyle w:val="CERTable"/>
        <w:tblW w:w="0" w:type="auto"/>
        <w:tblLook w:val="04A0" w:firstRow="1" w:lastRow="0" w:firstColumn="1" w:lastColumn="0" w:noHBand="0" w:noVBand="1"/>
      </w:tblPr>
      <w:tblGrid>
        <w:gridCol w:w="2432"/>
        <w:gridCol w:w="2432"/>
        <w:gridCol w:w="2433"/>
        <w:gridCol w:w="2433"/>
      </w:tblGrid>
      <w:tr w:rsidR="00FB6DCF" w14:paraId="51C458AC" w14:textId="77777777" w:rsidTr="00801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2" w:type="dxa"/>
          </w:tcPr>
          <w:p w14:paraId="6C93BEA7" w14:textId="77777777" w:rsidR="00FB6DCF" w:rsidRPr="00F14A7D" w:rsidRDefault="00FB6DCF" w:rsidP="00801B30">
            <w:pPr>
              <w:rPr>
                <w:rFonts w:ascii="Calibri" w:eastAsia="Times New Roman" w:hAnsi="Calibri" w:cs="Calibri"/>
                <w:b w:val="0"/>
                <w:bCs/>
                <w:iCs/>
                <w:color w:val="auto"/>
                <w:sz w:val="20"/>
                <w:szCs w:val="20"/>
                <w:lang w:eastAsia="en-AU"/>
              </w:rPr>
            </w:pPr>
            <w:r w:rsidRPr="00F14A7D">
              <w:rPr>
                <w:rFonts w:ascii="Calibri" w:eastAsia="Times New Roman" w:hAnsi="Calibri" w:cs="Calibri"/>
                <w:bCs/>
                <w:color w:val="auto"/>
                <w:sz w:val="20"/>
                <w:szCs w:val="20"/>
                <w:lang w:eastAsia="en-AU"/>
              </w:rPr>
              <w:t xml:space="preserve">CERT Participant </w:t>
            </w:r>
          </w:p>
        </w:tc>
        <w:tc>
          <w:tcPr>
            <w:tcW w:w="2432" w:type="dxa"/>
          </w:tcPr>
          <w:p w14:paraId="7B0608BF" w14:textId="2FFB6834" w:rsidR="00FB6DCF" w:rsidRPr="00C02804" w:rsidRDefault="00FB6DCF" w:rsidP="00801B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iCs/>
                <w:color w:val="auto"/>
                <w:sz w:val="20"/>
                <w:szCs w:val="20"/>
                <w:lang w:eastAsia="en-AU"/>
              </w:rPr>
            </w:pPr>
            <w:r w:rsidRPr="00F14A7D">
              <w:rPr>
                <w:rFonts w:ascii="Calibri" w:eastAsia="Times New Roman" w:hAnsi="Calibri" w:cs="Calibri"/>
                <w:bCs/>
                <w:iCs/>
                <w:color w:val="auto"/>
                <w:sz w:val="20"/>
                <w:szCs w:val="20"/>
                <w:lang w:eastAsia="en-AU"/>
              </w:rPr>
              <w:t>Gross Scope 1 emissions (t</w:t>
            </w:r>
            <w:r w:rsidR="00781C18">
              <w:rPr>
                <w:rFonts w:ascii="Calibri" w:eastAsia="Times New Roman" w:hAnsi="Calibri" w:cs="Calibri"/>
                <w:bCs/>
                <w:iCs/>
                <w:color w:val="auto"/>
                <w:sz w:val="20"/>
                <w:szCs w:val="20"/>
                <w:lang w:eastAsia="en-AU"/>
              </w:rPr>
              <w:t xml:space="preserve"> </w:t>
            </w:r>
            <w:r w:rsidRPr="007F304D">
              <w:rPr>
                <w:rFonts w:ascii="Calibri" w:eastAsia="Times New Roman" w:hAnsi="Calibri" w:cs="Calibri"/>
                <w:bCs/>
                <w:iCs/>
                <w:color w:val="auto"/>
                <w:sz w:val="20"/>
                <w:szCs w:val="20"/>
                <w:lang w:eastAsia="en-AU"/>
              </w:rPr>
              <w:t>CO</w:t>
            </w:r>
            <w:r w:rsidRPr="00C02804">
              <w:rPr>
                <w:rFonts w:ascii="Calibri" w:eastAsia="Times New Roman" w:hAnsi="Calibri" w:cs="Calibri"/>
                <w:bCs/>
                <w:iCs/>
                <w:color w:val="auto"/>
                <w:sz w:val="20"/>
                <w:szCs w:val="20"/>
                <w:vertAlign w:val="subscript"/>
                <w:lang w:eastAsia="en-AU"/>
              </w:rPr>
              <w:t>2</w:t>
            </w:r>
            <w:r w:rsidR="00781C18">
              <w:rPr>
                <w:rFonts w:ascii="Calibri" w:eastAsia="Times New Roman" w:hAnsi="Calibri" w:cs="Calibri"/>
                <w:bCs/>
                <w:iCs/>
                <w:color w:val="auto"/>
                <w:sz w:val="20"/>
                <w:szCs w:val="20"/>
                <w:lang w:eastAsia="en-AU"/>
              </w:rPr>
              <w:t>-</w:t>
            </w:r>
            <w:r w:rsidRPr="007F304D">
              <w:rPr>
                <w:rFonts w:ascii="Calibri" w:eastAsia="Times New Roman" w:hAnsi="Calibri" w:cs="Calibri"/>
                <w:bCs/>
                <w:iCs/>
                <w:color w:val="auto"/>
                <w:sz w:val="20"/>
                <w:szCs w:val="20"/>
                <w:lang w:eastAsia="en-AU"/>
              </w:rPr>
              <w:t>e</w:t>
            </w:r>
            <w:r w:rsidRPr="00F14A7D">
              <w:rPr>
                <w:rFonts w:ascii="Calibri" w:eastAsia="Times New Roman" w:hAnsi="Calibri" w:cs="Calibri"/>
                <w:bCs/>
                <w:iCs/>
                <w:color w:val="auto"/>
                <w:sz w:val="20"/>
                <w:szCs w:val="20"/>
                <w:lang w:eastAsia="en-AU"/>
              </w:rPr>
              <w:t>)</w:t>
            </w:r>
          </w:p>
        </w:tc>
        <w:tc>
          <w:tcPr>
            <w:tcW w:w="2433" w:type="dxa"/>
          </w:tcPr>
          <w:p w14:paraId="318A7FCC" w14:textId="55476BB2" w:rsidR="00FB6DCF" w:rsidRPr="00F14A7D" w:rsidRDefault="00FB6DCF" w:rsidP="00801B30">
            <w:pP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F14A7D">
              <w:rPr>
                <w:rFonts w:ascii="Calibri" w:eastAsia="Times New Roman" w:hAnsi="Calibri" w:cs="Calibri"/>
                <w:bCs/>
                <w:iCs/>
                <w:color w:val="auto"/>
                <w:sz w:val="20"/>
                <w:szCs w:val="20"/>
                <w:lang w:eastAsia="en-AU"/>
              </w:rPr>
              <w:t>Gross Scope 2 emissions (t</w:t>
            </w:r>
            <w:r w:rsidR="00781C18">
              <w:rPr>
                <w:rFonts w:ascii="Calibri" w:eastAsia="Times New Roman" w:hAnsi="Calibri" w:cs="Calibri"/>
                <w:bCs/>
                <w:iCs/>
                <w:color w:val="auto"/>
                <w:sz w:val="20"/>
                <w:szCs w:val="20"/>
                <w:lang w:eastAsia="en-AU"/>
              </w:rPr>
              <w:t xml:space="preserve"> </w:t>
            </w:r>
            <w:r w:rsidRPr="00F14A7D">
              <w:rPr>
                <w:rFonts w:ascii="Calibri" w:eastAsia="Times New Roman" w:hAnsi="Calibri" w:cs="Calibri"/>
                <w:bCs/>
                <w:iCs/>
                <w:color w:val="auto"/>
                <w:sz w:val="20"/>
                <w:szCs w:val="20"/>
                <w:lang w:eastAsia="en-AU"/>
              </w:rPr>
              <w:t>CO</w:t>
            </w:r>
            <w:r w:rsidRPr="000C103E">
              <w:rPr>
                <w:rFonts w:ascii="Calibri" w:eastAsia="Times New Roman" w:hAnsi="Calibri" w:cs="Calibri"/>
                <w:bCs/>
                <w:iCs/>
                <w:color w:val="auto"/>
                <w:sz w:val="20"/>
                <w:szCs w:val="20"/>
                <w:vertAlign w:val="subscript"/>
                <w:lang w:eastAsia="en-AU"/>
              </w:rPr>
              <w:t>2</w:t>
            </w:r>
            <w:r w:rsidR="00781C18" w:rsidRPr="00C02804">
              <w:rPr>
                <w:rFonts w:ascii="Calibri" w:eastAsia="Times New Roman" w:hAnsi="Calibri" w:cs="Calibri"/>
                <w:bCs/>
                <w:iCs/>
                <w:color w:val="auto"/>
                <w:sz w:val="20"/>
                <w:szCs w:val="20"/>
                <w:lang w:eastAsia="en-AU"/>
              </w:rPr>
              <w:t>-</w:t>
            </w:r>
            <w:r w:rsidRPr="00F14A7D">
              <w:rPr>
                <w:rFonts w:ascii="Calibri" w:eastAsia="Times New Roman" w:hAnsi="Calibri" w:cs="Calibri"/>
                <w:bCs/>
                <w:iCs/>
                <w:color w:val="auto"/>
                <w:sz w:val="20"/>
                <w:szCs w:val="20"/>
                <w:lang w:eastAsia="en-AU"/>
              </w:rPr>
              <w:t>e)</w:t>
            </w:r>
          </w:p>
        </w:tc>
        <w:tc>
          <w:tcPr>
            <w:tcW w:w="2433" w:type="dxa"/>
          </w:tcPr>
          <w:p w14:paraId="29558B0E" w14:textId="77777777" w:rsidR="00FB6DCF" w:rsidRPr="00F14A7D" w:rsidRDefault="00FB6DCF" w:rsidP="00801B30">
            <w:pP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F14A7D">
              <w:rPr>
                <w:rFonts w:ascii="Calibri" w:eastAsia="Times New Roman" w:hAnsi="Calibri" w:cs="Calibri"/>
                <w:bCs/>
                <w:iCs/>
                <w:color w:val="auto"/>
                <w:sz w:val="20"/>
                <w:szCs w:val="20"/>
                <w:lang w:eastAsia="en-AU"/>
              </w:rPr>
              <w:t>Electricity Consumed (MWh)</w:t>
            </w:r>
          </w:p>
        </w:tc>
      </w:tr>
      <w:tr w:rsidR="00FB6DCF" w14:paraId="0352C5B0" w14:textId="77777777" w:rsidTr="00801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2" w:type="dxa"/>
          </w:tcPr>
          <w:p w14:paraId="748AAE59" w14:textId="30329B0D" w:rsidR="00FB6DCF" w:rsidRPr="00F14A7D" w:rsidRDefault="00D1279E" w:rsidP="00801B30">
            <w:pPr>
              <w:rPr>
                <w:bCs/>
                <w:color w:val="auto"/>
                <w:sz w:val="20"/>
                <w:szCs w:val="20"/>
              </w:rPr>
            </w:pPr>
            <w:r>
              <w:rPr>
                <w:bCs/>
                <w:color w:val="auto"/>
                <w:sz w:val="20"/>
                <w:szCs w:val="20"/>
              </w:rPr>
              <w:t xml:space="preserve">CERT Participant </w:t>
            </w:r>
            <w:r w:rsidR="00FB6DCF" w:rsidRPr="00F14A7D">
              <w:rPr>
                <w:bCs/>
                <w:color w:val="auto"/>
                <w:sz w:val="20"/>
                <w:szCs w:val="20"/>
              </w:rPr>
              <w:t>A</w:t>
            </w:r>
          </w:p>
        </w:tc>
        <w:tc>
          <w:tcPr>
            <w:tcW w:w="2432" w:type="dxa"/>
          </w:tcPr>
          <w:p w14:paraId="12E608E6" w14:textId="0BEA4260" w:rsidR="00FB6DCF" w:rsidRPr="00385221" w:rsidRDefault="00FB6DCF" w:rsidP="00801B3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385221">
              <w:rPr>
                <w:rFonts w:ascii="Calibri" w:eastAsia="Times New Roman" w:hAnsi="Calibri" w:cs="Calibri"/>
                <w:iCs/>
                <w:color w:val="auto"/>
                <w:sz w:val="20"/>
                <w:szCs w:val="20"/>
                <w:lang w:eastAsia="en-AU"/>
              </w:rPr>
              <w:t xml:space="preserve">= </w:t>
            </w:r>
            <w:r w:rsidR="00872069">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40% of 100</w:t>
            </w:r>
            <w:r w:rsidR="00872069">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 xml:space="preserve"> + </w:t>
            </w:r>
            <w:r w:rsidR="00872069">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50% of 50</w:t>
            </w:r>
            <w:r w:rsidR="00872069">
              <w:rPr>
                <w:rFonts w:ascii="Calibri" w:eastAsia="Times New Roman" w:hAnsi="Calibri" w:cs="Calibri"/>
                <w:iCs/>
                <w:color w:val="auto"/>
                <w:sz w:val="20"/>
                <w:szCs w:val="20"/>
                <w:lang w:eastAsia="en-AU"/>
              </w:rPr>
              <w:t>)</w:t>
            </w:r>
            <w:r w:rsidR="00A42CF7">
              <w:rPr>
                <w:rFonts w:ascii="Calibri" w:eastAsia="Times New Roman" w:hAnsi="Calibri" w:cs="Calibri"/>
                <w:iCs/>
                <w:color w:val="auto"/>
                <w:sz w:val="20"/>
                <w:szCs w:val="20"/>
                <w:lang w:eastAsia="en-AU"/>
              </w:rPr>
              <w:t xml:space="preserve"> </w:t>
            </w:r>
            <w:r w:rsidRPr="00385221">
              <w:rPr>
                <w:rFonts w:ascii="Calibri" w:eastAsia="Times New Roman" w:hAnsi="Calibri" w:cs="Calibri"/>
                <w:iCs/>
                <w:color w:val="auto"/>
                <w:sz w:val="20"/>
                <w:szCs w:val="20"/>
                <w:lang w:eastAsia="en-AU"/>
              </w:rPr>
              <w:t xml:space="preserve">+ </w:t>
            </w:r>
            <w:r w:rsidR="00872069">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0% of 25</w:t>
            </w:r>
            <w:r w:rsidR="00872069">
              <w:rPr>
                <w:rFonts w:ascii="Calibri" w:eastAsia="Times New Roman" w:hAnsi="Calibri" w:cs="Calibri"/>
                <w:iCs/>
                <w:color w:val="auto"/>
                <w:sz w:val="20"/>
                <w:szCs w:val="20"/>
                <w:lang w:eastAsia="en-AU"/>
              </w:rPr>
              <w:t>)</w:t>
            </w:r>
          </w:p>
          <w:p w14:paraId="1DF028D6" w14:textId="77777777" w:rsidR="00FB6DCF" w:rsidRPr="00F14A7D" w:rsidRDefault="00FB6DCF" w:rsidP="00801B30">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385221">
              <w:rPr>
                <w:rFonts w:ascii="Calibri" w:eastAsia="Times New Roman" w:hAnsi="Calibri" w:cs="Calibri"/>
                <w:iCs/>
                <w:color w:val="auto"/>
                <w:sz w:val="20"/>
                <w:szCs w:val="20"/>
                <w:lang w:eastAsia="en-AU"/>
              </w:rPr>
              <w:t>= 65</w:t>
            </w:r>
          </w:p>
        </w:tc>
        <w:tc>
          <w:tcPr>
            <w:tcW w:w="2433" w:type="dxa"/>
          </w:tcPr>
          <w:p w14:paraId="4A62C456" w14:textId="71777671" w:rsidR="00FB6DCF" w:rsidRPr="00385221" w:rsidRDefault="00FB6DCF" w:rsidP="00801B3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385221">
              <w:rPr>
                <w:rFonts w:ascii="Calibri" w:eastAsia="Times New Roman" w:hAnsi="Calibri" w:cs="Calibri"/>
                <w:iCs/>
                <w:color w:val="auto"/>
                <w:sz w:val="20"/>
                <w:szCs w:val="20"/>
                <w:lang w:eastAsia="en-AU"/>
              </w:rPr>
              <w:t xml:space="preserve">= </w:t>
            </w:r>
            <w:r w:rsidR="00872069">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40% of 500</w:t>
            </w:r>
            <w:r w:rsidR="00872069">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 xml:space="preserve"> + </w:t>
            </w:r>
            <w:r w:rsidR="00872069">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50% of 50</w:t>
            </w:r>
            <w:r w:rsidR="00872069">
              <w:rPr>
                <w:rFonts w:ascii="Calibri" w:eastAsia="Times New Roman" w:hAnsi="Calibri" w:cs="Calibri"/>
                <w:iCs/>
                <w:color w:val="auto"/>
                <w:sz w:val="20"/>
                <w:szCs w:val="20"/>
                <w:lang w:eastAsia="en-AU"/>
              </w:rPr>
              <w:t>)</w:t>
            </w:r>
            <w:r w:rsidR="00A42CF7">
              <w:rPr>
                <w:rFonts w:ascii="Calibri" w:eastAsia="Times New Roman" w:hAnsi="Calibri" w:cs="Calibri"/>
                <w:iCs/>
                <w:color w:val="auto"/>
                <w:sz w:val="20"/>
                <w:szCs w:val="20"/>
                <w:lang w:eastAsia="en-AU"/>
              </w:rPr>
              <w:t xml:space="preserve"> </w:t>
            </w:r>
            <w:r w:rsidRPr="00385221">
              <w:rPr>
                <w:rFonts w:ascii="Calibri" w:eastAsia="Times New Roman" w:hAnsi="Calibri" w:cs="Calibri"/>
                <w:iCs/>
                <w:color w:val="auto"/>
                <w:sz w:val="20"/>
                <w:szCs w:val="20"/>
                <w:lang w:eastAsia="en-AU"/>
              </w:rPr>
              <w:t xml:space="preserve">+ </w:t>
            </w:r>
            <w:r w:rsidR="00872069">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0% of 50</w:t>
            </w:r>
            <w:r w:rsidR="00872069">
              <w:rPr>
                <w:rFonts w:ascii="Calibri" w:eastAsia="Times New Roman" w:hAnsi="Calibri" w:cs="Calibri"/>
                <w:iCs/>
                <w:color w:val="auto"/>
                <w:sz w:val="20"/>
                <w:szCs w:val="20"/>
                <w:lang w:eastAsia="en-AU"/>
              </w:rPr>
              <w:t>)</w:t>
            </w:r>
          </w:p>
          <w:p w14:paraId="4A1305C3" w14:textId="77777777" w:rsidR="00FB6DCF" w:rsidRPr="00F14A7D" w:rsidRDefault="00FB6DCF" w:rsidP="00801B30">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385221">
              <w:rPr>
                <w:rFonts w:ascii="Calibri" w:eastAsia="Times New Roman" w:hAnsi="Calibri" w:cs="Calibri"/>
                <w:iCs/>
                <w:color w:val="auto"/>
                <w:sz w:val="20"/>
                <w:szCs w:val="20"/>
                <w:lang w:eastAsia="en-AU"/>
              </w:rPr>
              <w:t>= 225</w:t>
            </w:r>
          </w:p>
        </w:tc>
        <w:tc>
          <w:tcPr>
            <w:tcW w:w="2433" w:type="dxa"/>
          </w:tcPr>
          <w:p w14:paraId="26458130" w14:textId="04632E48" w:rsidR="00FB6DCF" w:rsidRPr="00385221" w:rsidRDefault="00FB6DCF" w:rsidP="00801B3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Cs/>
                <w:color w:val="auto"/>
                <w:sz w:val="20"/>
                <w:szCs w:val="20"/>
                <w:lang w:eastAsia="en-AU"/>
              </w:rPr>
            </w:pPr>
            <w:r w:rsidRPr="00385221">
              <w:rPr>
                <w:rFonts w:ascii="Calibri" w:eastAsia="Times New Roman" w:hAnsi="Calibri" w:cs="Calibri"/>
                <w:iCs/>
                <w:color w:val="auto"/>
                <w:sz w:val="20"/>
                <w:szCs w:val="20"/>
                <w:lang w:eastAsia="en-AU"/>
              </w:rPr>
              <w:t>=</w:t>
            </w:r>
            <w:r w:rsidR="00A42CF7">
              <w:rPr>
                <w:rFonts w:ascii="Calibri" w:eastAsia="Times New Roman" w:hAnsi="Calibri" w:cs="Calibri"/>
                <w:iCs/>
                <w:color w:val="auto"/>
                <w:sz w:val="20"/>
                <w:szCs w:val="20"/>
                <w:lang w:eastAsia="en-AU"/>
              </w:rPr>
              <w:t xml:space="preserve"> </w:t>
            </w:r>
            <w:r w:rsidR="003C6666">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40% of 400</w:t>
            </w:r>
            <w:r w:rsidR="003C6666">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 xml:space="preserve"> + </w:t>
            </w:r>
            <w:r w:rsidR="003C6666">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50% of 200</w:t>
            </w:r>
            <w:r w:rsidR="003C6666">
              <w:rPr>
                <w:rFonts w:ascii="Calibri" w:eastAsia="Times New Roman" w:hAnsi="Calibri" w:cs="Calibri"/>
                <w:iCs/>
                <w:color w:val="auto"/>
                <w:sz w:val="20"/>
                <w:szCs w:val="20"/>
                <w:lang w:eastAsia="en-AU"/>
              </w:rPr>
              <w:t xml:space="preserve">) </w:t>
            </w:r>
            <w:r w:rsidRPr="00385221">
              <w:rPr>
                <w:rFonts w:ascii="Calibri" w:eastAsia="Times New Roman" w:hAnsi="Calibri" w:cs="Calibri"/>
                <w:iCs/>
                <w:color w:val="auto"/>
                <w:sz w:val="20"/>
                <w:szCs w:val="20"/>
                <w:lang w:eastAsia="en-AU"/>
              </w:rPr>
              <w:t xml:space="preserve">+ </w:t>
            </w:r>
            <w:r w:rsidR="003C6666">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0% of 250</w:t>
            </w:r>
            <w:r w:rsidR="003C6666">
              <w:rPr>
                <w:rFonts w:ascii="Calibri" w:eastAsia="Times New Roman" w:hAnsi="Calibri" w:cs="Calibri"/>
                <w:iCs/>
                <w:color w:val="auto"/>
                <w:sz w:val="20"/>
                <w:szCs w:val="20"/>
                <w:lang w:eastAsia="en-AU"/>
              </w:rPr>
              <w:t>)</w:t>
            </w:r>
          </w:p>
          <w:p w14:paraId="5379D0F9" w14:textId="77777777" w:rsidR="00FB6DCF" w:rsidRPr="00F14A7D" w:rsidRDefault="00FB6DCF" w:rsidP="00801B30">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385221">
              <w:rPr>
                <w:rFonts w:ascii="Calibri" w:eastAsia="Times New Roman" w:hAnsi="Calibri" w:cs="Calibri"/>
                <w:iCs/>
                <w:color w:val="auto"/>
                <w:sz w:val="20"/>
                <w:szCs w:val="20"/>
                <w:lang w:eastAsia="en-AU"/>
              </w:rPr>
              <w:t>= 260</w:t>
            </w:r>
          </w:p>
        </w:tc>
      </w:tr>
      <w:tr w:rsidR="00FB6DCF" w14:paraId="6B35699A" w14:textId="77777777" w:rsidTr="00801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2" w:type="dxa"/>
          </w:tcPr>
          <w:p w14:paraId="1976B3A0" w14:textId="38131D6D" w:rsidR="00FB6DCF" w:rsidRPr="00F14A7D" w:rsidRDefault="00D1279E" w:rsidP="00801B30">
            <w:pPr>
              <w:rPr>
                <w:bCs/>
                <w:color w:val="auto"/>
                <w:sz w:val="20"/>
                <w:szCs w:val="20"/>
              </w:rPr>
            </w:pPr>
            <w:r>
              <w:rPr>
                <w:bCs/>
                <w:color w:val="auto"/>
                <w:sz w:val="20"/>
                <w:szCs w:val="20"/>
              </w:rPr>
              <w:t xml:space="preserve">CERT Participant </w:t>
            </w:r>
            <w:r w:rsidR="00FB6DCF" w:rsidRPr="00F14A7D">
              <w:rPr>
                <w:bCs/>
                <w:color w:val="auto"/>
                <w:sz w:val="20"/>
                <w:szCs w:val="20"/>
              </w:rPr>
              <w:t>B</w:t>
            </w:r>
          </w:p>
        </w:tc>
        <w:tc>
          <w:tcPr>
            <w:tcW w:w="2432" w:type="dxa"/>
          </w:tcPr>
          <w:p w14:paraId="1A49F4E9" w14:textId="10F67D5D" w:rsidR="00FB6DCF" w:rsidRPr="00385221" w:rsidRDefault="00FB6DCF" w:rsidP="00801B30">
            <w:pPr>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385221">
              <w:rPr>
                <w:rFonts w:ascii="Calibri" w:eastAsia="Times New Roman" w:hAnsi="Calibri" w:cs="Calibri"/>
                <w:iCs/>
                <w:color w:val="auto"/>
                <w:sz w:val="20"/>
                <w:szCs w:val="20"/>
                <w:lang w:eastAsia="en-AU"/>
              </w:rPr>
              <w:t xml:space="preserve">= </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60% of 100</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 xml:space="preserve"> + </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50% of 50</w:t>
            </w:r>
            <w:r w:rsidR="009C58A2">
              <w:rPr>
                <w:rFonts w:ascii="Calibri" w:eastAsia="Times New Roman" w:hAnsi="Calibri" w:cs="Calibri"/>
                <w:iCs/>
                <w:color w:val="auto"/>
                <w:sz w:val="20"/>
                <w:szCs w:val="20"/>
                <w:lang w:eastAsia="en-AU"/>
              </w:rPr>
              <w:t xml:space="preserve">) </w:t>
            </w:r>
            <w:r w:rsidRPr="00385221">
              <w:rPr>
                <w:rFonts w:ascii="Calibri" w:eastAsia="Times New Roman" w:hAnsi="Calibri" w:cs="Calibri"/>
                <w:iCs/>
                <w:color w:val="auto"/>
                <w:sz w:val="20"/>
                <w:szCs w:val="20"/>
                <w:lang w:eastAsia="en-AU"/>
              </w:rPr>
              <w:t xml:space="preserve">+ </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100% of 25</w:t>
            </w:r>
            <w:r w:rsidR="009C58A2">
              <w:rPr>
                <w:rFonts w:ascii="Calibri" w:eastAsia="Times New Roman" w:hAnsi="Calibri" w:cs="Calibri"/>
                <w:iCs/>
                <w:color w:val="auto"/>
                <w:sz w:val="20"/>
                <w:szCs w:val="20"/>
                <w:lang w:eastAsia="en-AU"/>
              </w:rPr>
              <w:t>)</w:t>
            </w:r>
          </w:p>
          <w:p w14:paraId="22455335" w14:textId="77777777" w:rsidR="00FB6DCF" w:rsidRPr="00F14A7D" w:rsidRDefault="00FB6DCF" w:rsidP="00801B30">
            <w:pPr>
              <w:cnfStyle w:val="000000010000" w:firstRow="0" w:lastRow="0" w:firstColumn="0" w:lastColumn="0" w:oddVBand="0" w:evenVBand="0" w:oddHBand="0" w:evenHBand="1" w:firstRowFirstColumn="0" w:firstRowLastColumn="0" w:lastRowFirstColumn="0" w:lastRowLastColumn="0"/>
              <w:rPr>
                <w:b/>
                <w:color w:val="auto"/>
                <w:sz w:val="20"/>
                <w:szCs w:val="20"/>
              </w:rPr>
            </w:pPr>
            <w:r w:rsidRPr="00385221">
              <w:rPr>
                <w:rFonts w:ascii="Calibri" w:eastAsia="Times New Roman" w:hAnsi="Calibri" w:cs="Calibri"/>
                <w:iCs/>
                <w:color w:val="auto"/>
                <w:sz w:val="20"/>
                <w:szCs w:val="20"/>
                <w:lang w:eastAsia="en-AU"/>
              </w:rPr>
              <w:t>= 110</w:t>
            </w:r>
          </w:p>
        </w:tc>
        <w:tc>
          <w:tcPr>
            <w:tcW w:w="2433" w:type="dxa"/>
          </w:tcPr>
          <w:p w14:paraId="06DDA94A" w14:textId="2759BB08" w:rsidR="00FB6DCF" w:rsidRPr="00385221" w:rsidRDefault="00FB6DCF" w:rsidP="00801B30">
            <w:pPr>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385221">
              <w:rPr>
                <w:rFonts w:ascii="Calibri" w:eastAsia="Times New Roman" w:hAnsi="Calibri" w:cs="Calibri"/>
                <w:iCs/>
                <w:color w:val="auto"/>
                <w:sz w:val="20"/>
                <w:szCs w:val="20"/>
                <w:lang w:eastAsia="en-AU"/>
              </w:rPr>
              <w:t xml:space="preserve">= </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60% of 500</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 xml:space="preserve"> + </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50% of 50</w:t>
            </w:r>
            <w:r w:rsidR="009C58A2">
              <w:rPr>
                <w:rFonts w:ascii="Calibri" w:eastAsia="Times New Roman" w:hAnsi="Calibri" w:cs="Calibri"/>
                <w:iCs/>
                <w:color w:val="auto"/>
                <w:sz w:val="20"/>
                <w:szCs w:val="20"/>
                <w:lang w:eastAsia="en-AU"/>
              </w:rPr>
              <w:t xml:space="preserve">) </w:t>
            </w:r>
            <w:r w:rsidRPr="00385221">
              <w:rPr>
                <w:rFonts w:ascii="Calibri" w:eastAsia="Times New Roman" w:hAnsi="Calibri" w:cs="Calibri"/>
                <w:iCs/>
                <w:color w:val="auto"/>
                <w:sz w:val="20"/>
                <w:szCs w:val="20"/>
                <w:lang w:eastAsia="en-AU"/>
              </w:rPr>
              <w:t xml:space="preserve">+ </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100% of 50</w:t>
            </w:r>
            <w:r w:rsidR="009C58A2">
              <w:rPr>
                <w:rFonts w:ascii="Calibri" w:eastAsia="Times New Roman" w:hAnsi="Calibri" w:cs="Calibri"/>
                <w:iCs/>
                <w:color w:val="auto"/>
                <w:sz w:val="20"/>
                <w:szCs w:val="20"/>
                <w:lang w:eastAsia="en-AU"/>
              </w:rPr>
              <w:t>)</w:t>
            </w:r>
          </w:p>
          <w:p w14:paraId="00B42C71" w14:textId="77777777" w:rsidR="00FB6DCF" w:rsidRPr="00F14A7D" w:rsidRDefault="00FB6DCF" w:rsidP="00801B30">
            <w:pPr>
              <w:cnfStyle w:val="000000010000" w:firstRow="0" w:lastRow="0" w:firstColumn="0" w:lastColumn="0" w:oddVBand="0" w:evenVBand="0" w:oddHBand="0" w:evenHBand="1" w:firstRowFirstColumn="0" w:firstRowLastColumn="0" w:lastRowFirstColumn="0" w:lastRowLastColumn="0"/>
              <w:rPr>
                <w:b/>
                <w:color w:val="auto"/>
                <w:sz w:val="20"/>
                <w:szCs w:val="20"/>
              </w:rPr>
            </w:pPr>
            <w:r w:rsidRPr="00385221">
              <w:rPr>
                <w:rFonts w:ascii="Calibri" w:eastAsia="Times New Roman" w:hAnsi="Calibri" w:cs="Calibri"/>
                <w:iCs/>
                <w:color w:val="auto"/>
                <w:sz w:val="20"/>
                <w:szCs w:val="20"/>
                <w:lang w:eastAsia="en-AU"/>
              </w:rPr>
              <w:t>= 375</w:t>
            </w:r>
          </w:p>
        </w:tc>
        <w:tc>
          <w:tcPr>
            <w:tcW w:w="2433" w:type="dxa"/>
          </w:tcPr>
          <w:p w14:paraId="3F2E8660" w14:textId="51E3FA6C" w:rsidR="00FB6DCF" w:rsidRPr="00385221" w:rsidRDefault="00FB6DCF" w:rsidP="00801B30">
            <w:pPr>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Cs/>
                <w:color w:val="auto"/>
                <w:sz w:val="20"/>
                <w:szCs w:val="20"/>
                <w:lang w:eastAsia="en-AU"/>
              </w:rPr>
            </w:pPr>
            <w:r w:rsidRPr="00385221">
              <w:rPr>
                <w:rFonts w:ascii="Calibri" w:eastAsia="Times New Roman" w:hAnsi="Calibri" w:cs="Calibri"/>
                <w:iCs/>
                <w:color w:val="auto"/>
                <w:sz w:val="20"/>
                <w:szCs w:val="20"/>
                <w:lang w:eastAsia="en-AU"/>
              </w:rPr>
              <w:t xml:space="preserve">= </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60% of 400</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 xml:space="preserve"> + </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50% of 200</w:t>
            </w:r>
            <w:r w:rsidR="009C58A2">
              <w:rPr>
                <w:rFonts w:ascii="Calibri" w:eastAsia="Times New Roman" w:hAnsi="Calibri" w:cs="Calibri"/>
                <w:iCs/>
                <w:color w:val="auto"/>
                <w:sz w:val="20"/>
                <w:szCs w:val="20"/>
                <w:lang w:eastAsia="en-AU"/>
              </w:rPr>
              <w:t>) +</w:t>
            </w:r>
            <w:r w:rsidRPr="00385221">
              <w:rPr>
                <w:rFonts w:ascii="Calibri" w:eastAsia="Times New Roman" w:hAnsi="Calibri" w:cs="Calibri"/>
                <w:iCs/>
                <w:color w:val="auto"/>
                <w:sz w:val="20"/>
                <w:szCs w:val="20"/>
                <w:lang w:eastAsia="en-AU"/>
              </w:rPr>
              <w:t xml:space="preserve"> </w:t>
            </w:r>
            <w:r w:rsidR="009C58A2">
              <w:rPr>
                <w:rFonts w:ascii="Calibri" w:eastAsia="Times New Roman" w:hAnsi="Calibri" w:cs="Calibri"/>
                <w:iCs/>
                <w:color w:val="auto"/>
                <w:sz w:val="20"/>
                <w:szCs w:val="20"/>
                <w:lang w:eastAsia="en-AU"/>
              </w:rPr>
              <w:t>(</w:t>
            </w:r>
            <w:r w:rsidRPr="00385221">
              <w:rPr>
                <w:rFonts w:ascii="Calibri" w:eastAsia="Times New Roman" w:hAnsi="Calibri" w:cs="Calibri"/>
                <w:iCs/>
                <w:color w:val="auto"/>
                <w:sz w:val="20"/>
                <w:szCs w:val="20"/>
                <w:lang w:eastAsia="en-AU"/>
              </w:rPr>
              <w:t>100% of 250</w:t>
            </w:r>
            <w:r w:rsidR="009C58A2">
              <w:rPr>
                <w:rFonts w:ascii="Calibri" w:eastAsia="Times New Roman" w:hAnsi="Calibri" w:cs="Calibri"/>
                <w:iCs/>
                <w:color w:val="auto"/>
                <w:sz w:val="20"/>
                <w:szCs w:val="20"/>
                <w:lang w:eastAsia="en-AU"/>
              </w:rPr>
              <w:t>)</w:t>
            </w:r>
          </w:p>
          <w:p w14:paraId="76E5DBFD" w14:textId="77777777" w:rsidR="00FB6DCF" w:rsidRPr="00F14A7D" w:rsidRDefault="00FB6DCF" w:rsidP="00801B30">
            <w:pPr>
              <w:cnfStyle w:val="000000010000" w:firstRow="0" w:lastRow="0" w:firstColumn="0" w:lastColumn="0" w:oddVBand="0" w:evenVBand="0" w:oddHBand="0" w:evenHBand="1" w:firstRowFirstColumn="0" w:firstRowLastColumn="0" w:lastRowFirstColumn="0" w:lastRowLastColumn="0"/>
              <w:rPr>
                <w:b/>
                <w:color w:val="auto"/>
                <w:sz w:val="20"/>
                <w:szCs w:val="20"/>
              </w:rPr>
            </w:pPr>
            <w:r w:rsidRPr="00385221">
              <w:rPr>
                <w:rFonts w:ascii="Calibri" w:eastAsia="Times New Roman" w:hAnsi="Calibri" w:cs="Calibri"/>
                <w:iCs/>
                <w:color w:val="auto"/>
                <w:sz w:val="20"/>
                <w:szCs w:val="20"/>
                <w:lang w:eastAsia="en-AU"/>
              </w:rPr>
              <w:t>= 590</w:t>
            </w:r>
          </w:p>
        </w:tc>
      </w:tr>
      <w:tr w:rsidR="00FB6DCF" w14:paraId="7867014F" w14:textId="77777777" w:rsidTr="00801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2" w:type="dxa"/>
          </w:tcPr>
          <w:p w14:paraId="7B2119F9" w14:textId="77777777" w:rsidR="00FB6DCF" w:rsidRPr="00F14A7D" w:rsidRDefault="00FB6DCF" w:rsidP="00801B30">
            <w:pPr>
              <w:rPr>
                <w:b w:val="0"/>
                <w:color w:val="auto"/>
                <w:sz w:val="20"/>
                <w:szCs w:val="20"/>
              </w:rPr>
            </w:pPr>
            <w:r w:rsidRPr="00F14A7D">
              <w:rPr>
                <w:rFonts w:ascii="Calibri" w:eastAsia="Times New Roman" w:hAnsi="Calibri" w:cs="Calibri"/>
                <w:bCs/>
                <w:iCs/>
                <w:color w:val="auto"/>
                <w:sz w:val="20"/>
                <w:szCs w:val="20"/>
                <w:lang w:eastAsia="en-AU"/>
              </w:rPr>
              <w:t>Total</w:t>
            </w:r>
          </w:p>
        </w:tc>
        <w:tc>
          <w:tcPr>
            <w:tcW w:w="2432" w:type="dxa"/>
          </w:tcPr>
          <w:p w14:paraId="3FEE6E5A" w14:textId="77777777" w:rsidR="00FB6DCF" w:rsidRPr="00F14A7D" w:rsidRDefault="00FB6DCF" w:rsidP="00801B30">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385221">
              <w:rPr>
                <w:rFonts w:ascii="Calibri" w:eastAsia="Times New Roman" w:hAnsi="Calibri" w:cs="Calibri"/>
                <w:iCs/>
                <w:color w:val="auto"/>
                <w:sz w:val="20"/>
                <w:szCs w:val="20"/>
                <w:lang w:eastAsia="en-AU"/>
              </w:rPr>
              <w:t>175</w:t>
            </w:r>
          </w:p>
        </w:tc>
        <w:tc>
          <w:tcPr>
            <w:tcW w:w="2433" w:type="dxa"/>
          </w:tcPr>
          <w:p w14:paraId="390C4724" w14:textId="77777777" w:rsidR="00FB6DCF" w:rsidRPr="00F14A7D" w:rsidRDefault="00FB6DCF" w:rsidP="00801B30">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385221">
              <w:rPr>
                <w:rFonts w:ascii="Calibri" w:eastAsia="Times New Roman" w:hAnsi="Calibri" w:cs="Calibri"/>
                <w:iCs/>
                <w:color w:val="auto"/>
                <w:sz w:val="20"/>
                <w:szCs w:val="20"/>
                <w:lang w:eastAsia="en-AU"/>
              </w:rPr>
              <w:t>600</w:t>
            </w:r>
          </w:p>
        </w:tc>
        <w:tc>
          <w:tcPr>
            <w:tcW w:w="2433" w:type="dxa"/>
          </w:tcPr>
          <w:p w14:paraId="2711FEC1" w14:textId="77777777" w:rsidR="00FB6DCF" w:rsidRPr="00F14A7D" w:rsidRDefault="00FB6DCF" w:rsidP="00801B30">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385221">
              <w:rPr>
                <w:rFonts w:ascii="Calibri" w:eastAsia="Times New Roman" w:hAnsi="Calibri" w:cs="Calibri"/>
                <w:iCs/>
                <w:color w:val="auto"/>
                <w:sz w:val="20"/>
                <w:szCs w:val="20"/>
                <w:lang w:eastAsia="en-AU"/>
              </w:rPr>
              <w:t>850</w:t>
            </w:r>
          </w:p>
        </w:tc>
      </w:tr>
    </w:tbl>
    <w:p w14:paraId="22AA33AE" w14:textId="77777777" w:rsidR="00FB6DCF" w:rsidRDefault="00FB6DCF" w:rsidP="00EF032E">
      <w:pPr>
        <w:spacing w:after="0"/>
        <w:rPr>
          <w:b/>
          <w:color w:val="auto"/>
        </w:rPr>
      </w:pPr>
    </w:p>
    <w:p w14:paraId="768D56FA" w14:textId="451733AC" w:rsidR="00FB6DCF" w:rsidRDefault="00FB6DCF" w:rsidP="00EF032E">
      <w:pPr>
        <w:spacing w:after="0"/>
        <w:rPr>
          <w:color w:val="auto"/>
        </w:rPr>
      </w:pPr>
      <w:r w:rsidRPr="00E67827">
        <w:rPr>
          <w:b/>
          <w:color w:val="auto"/>
        </w:rPr>
        <w:t xml:space="preserve">Please note: </w:t>
      </w:r>
      <w:r>
        <w:rPr>
          <w:iCs/>
          <w:color w:val="auto"/>
        </w:rPr>
        <w:t>CERT Participants are not bound by the reporting choices of other CERT Participants, including Participants that they share ownership of facilities with. However, if nominating equity share reporting</w:t>
      </w:r>
      <w:r w:rsidR="007B4919">
        <w:rPr>
          <w:iCs/>
          <w:color w:val="auto"/>
        </w:rPr>
        <w:t xml:space="preserve"> using NGER multipliers</w:t>
      </w:r>
      <w:r>
        <w:rPr>
          <w:iCs/>
          <w:color w:val="auto"/>
        </w:rPr>
        <w:t>, CERT Participants must ensure they have</w:t>
      </w:r>
      <w:r w:rsidR="00DE58B4">
        <w:rPr>
          <w:iCs/>
          <w:color w:val="auto"/>
        </w:rPr>
        <w:t xml:space="preserve"> the</w:t>
      </w:r>
      <w:r>
        <w:rPr>
          <w:iCs/>
          <w:color w:val="auto"/>
        </w:rPr>
        <w:t xml:space="preserve"> authority to disclose the equity share for all facilities they share (see section 7.</w:t>
      </w:r>
      <w:r w:rsidR="00A92DE8">
        <w:rPr>
          <w:iCs/>
          <w:color w:val="auto"/>
        </w:rPr>
        <w:t>3</w:t>
      </w:r>
      <w:r>
        <w:rPr>
          <w:iCs/>
          <w:color w:val="auto"/>
        </w:rPr>
        <w:t>.</w:t>
      </w:r>
      <w:r w:rsidR="00A92DE8">
        <w:rPr>
          <w:iCs/>
          <w:color w:val="auto"/>
        </w:rPr>
        <w:t>1</w:t>
      </w:r>
      <w:r>
        <w:rPr>
          <w:iCs/>
          <w:color w:val="auto"/>
        </w:rPr>
        <w:t xml:space="preserve"> of the </w:t>
      </w:r>
      <w:hyperlink r:id="rId31">
        <w:r>
          <w:rPr>
            <w:rStyle w:val="Hyperlink"/>
          </w:rPr>
          <w:t xml:space="preserve">CERT </w:t>
        </w:r>
        <w:r w:rsidRPr="5AF3B36B">
          <w:rPr>
            <w:rStyle w:val="Hyperlink"/>
          </w:rPr>
          <w:t>Guidelines</w:t>
        </w:r>
      </w:hyperlink>
      <w:r w:rsidR="00912CD0">
        <w:rPr>
          <w:rStyle w:val="FootnoteReference"/>
          <w:rFonts w:ascii="Calibri" w:hAnsi="Calibri"/>
          <w:color w:val="006C93" w:themeColor="accent3"/>
          <w:u w:val="single"/>
        </w:rPr>
        <w:footnoteReference w:id="26"/>
      </w:r>
      <w:r w:rsidRPr="5AF3B36B">
        <w:rPr>
          <w:color w:val="auto"/>
        </w:rPr>
        <w:t>).</w:t>
      </w:r>
    </w:p>
    <w:p w14:paraId="3B3736B5" w14:textId="77777777" w:rsidR="00EF032E" w:rsidRPr="005644D2" w:rsidRDefault="00EF032E" w:rsidP="00EF032E">
      <w:pPr>
        <w:spacing w:after="0"/>
        <w:rPr>
          <w:iCs/>
          <w:color w:val="auto"/>
        </w:rPr>
      </w:pPr>
    </w:p>
    <w:p w14:paraId="274E9A93" w14:textId="7E89FA9B" w:rsidR="00FB6DCF" w:rsidRPr="008C4796" w:rsidRDefault="00FB6DCF" w:rsidP="00E43F8E">
      <w:pPr>
        <w:pStyle w:val="Heading4"/>
      </w:pPr>
      <w:r w:rsidRPr="0034763A">
        <w:t>Example</w:t>
      </w:r>
      <w:r>
        <w:t xml:space="preserve"> </w:t>
      </w:r>
      <w:r w:rsidR="008B4438">
        <w:t>16</w:t>
      </w:r>
      <w:r>
        <w:t xml:space="preserve"> – Impact of reporting boundaries adjustments on Renewable Electricity percentage (%) calculations</w:t>
      </w:r>
    </w:p>
    <w:p w14:paraId="0D8CC6A8" w14:textId="2FC2ED2C" w:rsidR="00FB6DCF" w:rsidRDefault="001A7AD7" w:rsidP="00EF032E">
      <w:pPr>
        <w:spacing w:after="0"/>
        <w:rPr>
          <w:iCs/>
          <w:color w:val="auto"/>
        </w:rPr>
      </w:pPr>
      <w:r>
        <w:rPr>
          <w:iCs/>
          <w:color w:val="auto"/>
        </w:rPr>
        <w:t>Company C</w:t>
      </w:r>
      <w:r w:rsidR="00FB6DCF" w:rsidRPr="00B67A15">
        <w:rPr>
          <w:iCs/>
          <w:color w:val="auto"/>
        </w:rPr>
        <w:t xml:space="preserve"> nominates an equity</w:t>
      </w:r>
      <w:r w:rsidR="00FB6DCF" w:rsidRPr="5D90A065">
        <w:rPr>
          <w:color w:val="auto"/>
        </w:rPr>
        <w:t xml:space="preserve">-based reporting </w:t>
      </w:r>
      <w:r w:rsidR="00FB6DCF">
        <w:rPr>
          <w:color w:val="auto"/>
        </w:rPr>
        <w:t>boundary</w:t>
      </w:r>
      <w:r w:rsidR="00FB6DCF" w:rsidRPr="5D90A065">
        <w:rPr>
          <w:color w:val="auto"/>
        </w:rPr>
        <w:t xml:space="preserve"> </w:t>
      </w:r>
      <w:r w:rsidR="00FB6DCF" w:rsidRPr="00B67A15">
        <w:rPr>
          <w:iCs/>
          <w:color w:val="auto"/>
        </w:rPr>
        <w:t xml:space="preserve">and jointly owns an aluminium smelter with a 40% equity share. The aluminium smelter is an EITE site that is also reported under NGER and has received 20,000 MWh of EITE exemption certificates for the reporting </w:t>
      </w:r>
      <w:r w:rsidR="00FB6DCF">
        <w:rPr>
          <w:iCs/>
          <w:color w:val="auto"/>
        </w:rPr>
        <w:t xml:space="preserve">year under the </w:t>
      </w:r>
      <w:r w:rsidR="00FB6DCF" w:rsidRPr="5D90A065">
        <w:rPr>
          <w:color w:val="auto"/>
        </w:rPr>
        <w:t>Renewable Energy Target (</w:t>
      </w:r>
      <w:r w:rsidR="00FB6DCF">
        <w:rPr>
          <w:iCs/>
          <w:color w:val="auto"/>
        </w:rPr>
        <w:t>RET</w:t>
      </w:r>
      <w:r w:rsidR="00FB6DCF" w:rsidRPr="5D90A065">
        <w:rPr>
          <w:color w:val="auto"/>
        </w:rPr>
        <w:t>).</w:t>
      </w:r>
      <w:r w:rsidR="00FB6DCF" w:rsidRPr="00B67A15">
        <w:rPr>
          <w:iCs/>
          <w:color w:val="auto"/>
        </w:rPr>
        <w:t xml:space="preserve"> In calculating the </w:t>
      </w:r>
      <w:r>
        <w:rPr>
          <w:iCs/>
          <w:color w:val="auto"/>
        </w:rPr>
        <w:t>Company C’s</w:t>
      </w:r>
      <w:r w:rsidR="00FB6DCF" w:rsidRPr="00B67A15">
        <w:rPr>
          <w:iCs/>
          <w:color w:val="auto"/>
        </w:rPr>
        <w:t xml:space="preserve"> Renewable Electricity </w:t>
      </w:r>
      <w:r w:rsidR="00FB6DCF">
        <w:rPr>
          <w:iCs/>
          <w:color w:val="auto"/>
        </w:rPr>
        <w:t>Percentage</w:t>
      </w:r>
      <w:r w:rsidR="00FB6DCF" w:rsidRPr="00B67A15">
        <w:rPr>
          <w:iCs/>
          <w:color w:val="auto"/>
        </w:rPr>
        <w:t xml:space="preserve">, the ‘EITE electricity consumption’ for </w:t>
      </w:r>
      <w:r>
        <w:rPr>
          <w:iCs/>
          <w:color w:val="auto"/>
        </w:rPr>
        <w:t xml:space="preserve">Company C </w:t>
      </w:r>
      <w:r w:rsidR="00FB6DCF" w:rsidRPr="00B67A15">
        <w:rPr>
          <w:iCs/>
          <w:color w:val="auto"/>
        </w:rPr>
        <w:t>is</w:t>
      </w:r>
      <w:r w:rsidR="00833487">
        <w:rPr>
          <w:iCs/>
          <w:color w:val="auto"/>
        </w:rPr>
        <w:t xml:space="preserve"> </w:t>
      </w:r>
      <w:r w:rsidR="00FD53DB" w:rsidRPr="00B67A15">
        <w:rPr>
          <w:iCs/>
          <w:color w:val="auto"/>
        </w:rPr>
        <w:t>8,000 MWh for that facility</w:t>
      </w:r>
      <w:r w:rsidR="00FD53DB">
        <w:rPr>
          <w:iCs/>
          <w:color w:val="auto"/>
        </w:rPr>
        <w:t xml:space="preserve"> (</w:t>
      </w:r>
      <w:r w:rsidR="002D73C0">
        <w:rPr>
          <w:iCs/>
          <w:color w:val="auto"/>
        </w:rPr>
        <w:t>40% of 20,000 MWh</w:t>
      </w:r>
      <w:r w:rsidR="00FD53DB">
        <w:rPr>
          <w:iCs/>
          <w:color w:val="auto"/>
        </w:rPr>
        <w:t>).</w:t>
      </w:r>
    </w:p>
    <w:p w14:paraId="716C442F" w14:textId="77777777" w:rsidR="00EF032E" w:rsidRPr="00D6504B" w:rsidRDefault="00EF032E" w:rsidP="00EF032E">
      <w:pPr>
        <w:spacing w:after="0"/>
        <w:rPr>
          <w:iCs/>
          <w:color w:val="auto"/>
        </w:rPr>
      </w:pPr>
    </w:p>
    <w:p w14:paraId="6CADD8EB" w14:textId="64116B47" w:rsidR="00FB6DCF" w:rsidRPr="00B67A15" w:rsidRDefault="00FB6DCF" w:rsidP="00E43F8E">
      <w:pPr>
        <w:pStyle w:val="Heading4"/>
      </w:pPr>
      <w:r w:rsidRPr="0034763A">
        <w:t>Example</w:t>
      </w:r>
      <w:r>
        <w:t xml:space="preserve"> </w:t>
      </w:r>
      <w:r w:rsidR="008B4438">
        <w:t>17</w:t>
      </w:r>
      <w:r>
        <w:t xml:space="preserve"> – Multipliers for calendar year adjustments</w:t>
      </w:r>
    </w:p>
    <w:p w14:paraId="6467B0EC" w14:textId="0D1BA552" w:rsidR="00FB6DCF" w:rsidRDefault="001A7AD7" w:rsidP="00EF032E">
      <w:pPr>
        <w:spacing w:after="0"/>
        <w:rPr>
          <w:color w:val="auto"/>
        </w:rPr>
      </w:pPr>
      <w:r>
        <w:rPr>
          <w:color w:val="auto"/>
        </w:rPr>
        <w:t>Company D</w:t>
      </w:r>
      <w:r w:rsidR="0019411F" w:rsidRPr="7420D207">
        <w:rPr>
          <w:color w:val="auto"/>
        </w:rPr>
        <w:t xml:space="preserve"> nominates the 202</w:t>
      </w:r>
      <w:r w:rsidR="6C49456B" w:rsidRPr="7420D207">
        <w:rPr>
          <w:color w:val="auto"/>
        </w:rPr>
        <w:t>2</w:t>
      </w:r>
      <w:r w:rsidR="0019411F" w:rsidRPr="7420D207">
        <w:rPr>
          <w:color w:val="auto"/>
        </w:rPr>
        <w:t xml:space="preserve"> calendar year for their reporting in the CERT reporting form</w:t>
      </w:r>
      <w:r w:rsidR="009E27A8">
        <w:rPr>
          <w:color w:val="auto"/>
        </w:rPr>
        <w:t xml:space="preserve"> </w:t>
      </w:r>
      <w:r w:rsidR="009E27A8">
        <w:rPr>
          <w:iCs/>
          <w:szCs w:val="22"/>
        </w:rPr>
        <w:t>and chooses to adjust NGER data using multipliers</w:t>
      </w:r>
      <w:r w:rsidR="0019411F" w:rsidRPr="7420D207">
        <w:rPr>
          <w:color w:val="auto"/>
        </w:rPr>
        <w:t xml:space="preserve">. </w:t>
      </w:r>
      <w:r>
        <w:rPr>
          <w:color w:val="auto"/>
        </w:rPr>
        <w:t xml:space="preserve">Company D </w:t>
      </w:r>
      <w:r w:rsidR="3E6BB409" w:rsidRPr="7420D207">
        <w:rPr>
          <w:color w:val="auto"/>
        </w:rPr>
        <w:t>compare</w:t>
      </w:r>
      <w:r w:rsidR="4E0A6604" w:rsidRPr="7420D207">
        <w:rPr>
          <w:color w:val="auto"/>
        </w:rPr>
        <w:t>s</w:t>
      </w:r>
      <w:r w:rsidR="3E6BB409" w:rsidRPr="7420D207">
        <w:rPr>
          <w:color w:val="auto"/>
        </w:rPr>
        <w:t xml:space="preserve"> their </w:t>
      </w:r>
      <w:r w:rsidR="4E0A6604" w:rsidRPr="7420D207">
        <w:rPr>
          <w:color w:val="auto"/>
        </w:rPr>
        <w:t xml:space="preserve">2022 </w:t>
      </w:r>
      <w:r w:rsidR="3E6BB409" w:rsidRPr="7420D207">
        <w:rPr>
          <w:color w:val="auto"/>
        </w:rPr>
        <w:t xml:space="preserve">calendar year emissions and electricity </w:t>
      </w:r>
      <w:r w:rsidR="503145FD" w:rsidRPr="7420D207">
        <w:rPr>
          <w:color w:val="auto"/>
        </w:rPr>
        <w:t>consumption</w:t>
      </w:r>
      <w:r w:rsidR="4E0A6604" w:rsidRPr="7420D207">
        <w:rPr>
          <w:color w:val="auto"/>
        </w:rPr>
        <w:t xml:space="preserve"> to their NGER reported values (for the 2021-22 financial year</w:t>
      </w:r>
      <w:r w:rsidR="0C9B8F88" w:rsidRPr="7420D207">
        <w:rPr>
          <w:color w:val="auto"/>
        </w:rPr>
        <w:t>)</w:t>
      </w:r>
      <w:r w:rsidR="4F5D09BB" w:rsidRPr="7420D207">
        <w:rPr>
          <w:color w:val="auto"/>
        </w:rPr>
        <w:t xml:space="preserve">. They then </w:t>
      </w:r>
      <w:r w:rsidR="25862A75" w:rsidRPr="7420D207">
        <w:rPr>
          <w:color w:val="auto"/>
        </w:rPr>
        <w:t>provi</w:t>
      </w:r>
      <w:r w:rsidR="0E4AA8A2" w:rsidRPr="7420D207">
        <w:rPr>
          <w:color w:val="auto"/>
        </w:rPr>
        <w:t xml:space="preserve">de </w:t>
      </w:r>
      <w:r w:rsidR="45309FA5" w:rsidRPr="7420D207">
        <w:rPr>
          <w:color w:val="auto"/>
        </w:rPr>
        <w:t>multipliers</w:t>
      </w:r>
      <w:r w:rsidR="5A40E324" w:rsidRPr="7420D207">
        <w:rPr>
          <w:color w:val="auto"/>
        </w:rPr>
        <w:t xml:space="preserve"> </w:t>
      </w:r>
      <w:r w:rsidR="5455B1A0" w:rsidRPr="7420D207">
        <w:rPr>
          <w:color w:val="auto"/>
        </w:rPr>
        <w:t xml:space="preserve">(shown below) </w:t>
      </w:r>
      <w:r w:rsidR="5A40E324" w:rsidRPr="7420D207">
        <w:rPr>
          <w:color w:val="auto"/>
        </w:rPr>
        <w:t>in their CERT reporting</w:t>
      </w:r>
      <w:r w:rsidR="45309FA5" w:rsidRPr="7420D207">
        <w:rPr>
          <w:color w:val="auto"/>
        </w:rPr>
        <w:t xml:space="preserve"> </w:t>
      </w:r>
      <w:r>
        <w:rPr>
          <w:color w:val="auto"/>
        </w:rPr>
        <w:t xml:space="preserve">to </w:t>
      </w:r>
      <w:r w:rsidR="24535B90" w:rsidRPr="7420D207">
        <w:rPr>
          <w:color w:val="auto"/>
        </w:rPr>
        <w:t xml:space="preserve">reflect the </w:t>
      </w:r>
      <w:r w:rsidR="373FFD8A" w:rsidRPr="7420D207">
        <w:rPr>
          <w:color w:val="auto"/>
        </w:rPr>
        <w:t>change in these values as a percentage.</w:t>
      </w:r>
      <w:r w:rsidR="3A00303A" w:rsidRPr="7420D207">
        <w:rPr>
          <w:color w:val="auto"/>
        </w:rPr>
        <w:t xml:space="preserve"> For example, they report a multiplier of 97 for their </w:t>
      </w:r>
      <w:r w:rsidR="00FC3238">
        <w:rPr>
          <w:color w:val="auto"/>
        </w:rPr>
        <w:t>S</w:t>
      </w:r>
      <w:r w:rsidR="3A00303A" w:rsidRPr="7420D207">
        <w:rPr>
          <w:color w:val="auto"/>
        </w:rPr>
        <w:t xml:space="preserve">cope 1 emissions as their </w:t>
      </w:r>
      <w:r w:rsidR="00FC3238">
        <w:rPr>
          <w:color w:val="auto"/>
        </w:rPr>
        <w:t>S</w:t>
      </w:r>
      <w:r w:rsidR="3A00303A" w:rsidRPr="7420D207">
        <w:rPr>
          <w:color w:val="auto"/>
        </w:rPr>
        <w:t>cope 1 emissions in</w:t>
      </w:r>
      <w:r w:rsidR="002D3B13">
        <w:rPr>
          <w:color w:val="auto"/>
        </w:rPr>
        <w:t xml:space="preserve"> the</w:t>
      </w:r>
      <w:r w:rsidR="3A00303A" w:rsidRPr="7420D207">
        <w:rPr>
          <w:color w:val="auto"/>
        </w:rPr>
        <w:t xml:space="preserve"> 2022 </w:t>
      </w:r>
      <w:r w:rsidR="002D3B13">
        <w:rPr>
          <w:color w:val="auto"/>
        </w:rPr>
        <w:t xml:space="preserve">calendar year </w:t>
      </w:r>
      <w:r w:rsidR="3A00303A" w:rsidRPr="7420D207">
        <w:rPr>
          <w:color w:val="auto"/>
        </w:rPr>
        <w:t>are 97% of their value in the 2021-22 financial year.</w:t>
      </w:r>
      <w:r w:rsidR="373FFD8A" w:rsidRPr="7420D207">
        <w:rPr>
          <w:color w:val="auto"/>
        </w:rPr>
        <w:t xml:space="preserve"> </w:t>
      </w:r>
    </w:p>
    <w:p w14:paraId="78FB29D1" w14:textId="77777777" w:rsidR="00FB6DCF" w:rsidRPr="00B67A15" w:rsidRDefault="00FB6DCF" w:rsidP="00EF032E">
      <w:pPr>
        <w:spacing w:after="0"/>
        <w:rPr>
          <w:color w:val="auto"/>
        </w:rPr>
      </w:pPr>
    </w:p>
    <w:p w14:paraId="1E8F3FF4" w14:textId="3F2DFCB8" w:rsidR="00E241FE" w:rsidRDefault="00D96784" w:rsidP="00912CD0">
      <w:pPr>
        <w:pStyle w:val="BodyText1"/>
        <w:keepNext/>
      </w:pPr>
      <w:r>
        <w:lastRenderedPageBreak/>
        <w:t>Company D’s</w:t>
      </w:r>
      <w:r w:rsidR="00FB6DCF" w:rsidRPr="00B67A15">
        <w:t xml:space="preserve"> emissions and electricity consumption for calendar year </w:t>
      </w:r>
      <w:r w:rsidR="00FB6DCF" w:rsidRPr="583E90A5">
        <w:t>202</w:t>
      </w:r>
      <w:r w:rsidR="374A01BB" w:rsidRPr="583E90A5">
        <w:t>2</w:t>
      </w:r>
      <w:r w:rsidR="00FB6DCF" w:rsidRPr="00B67A15">
        <w:t xml:space="preserve"> are </w:t>
      </w:r>
      <w:r w:rsidR="00442B9A">
        <w:t xml:space="preserve">then </w:t>
      </w:r>
      <w:r w:rsidR="00FB6DCF" w:rsidRPr="00B67A15">
        <w:t>estimated to be:</w:t>
      </w:r>
    </w:p>
    <w:tbl>
      <w:tblPr>
        <w:tblStyle w:val="CERTable"/>
        <w:tblW w:w="0" w:type="auto"/>
        <w:tblLook w:val="04A0" w:firstRow="1" w:lastRow="0" w:firstColumn="1" w:lastColumn="0" w:noHBand="0" w:noVBand="1"/>
      </w:tblPr>
      <w:tblGrid>
        <w:gridCol w:w="2517"/>
        <w:gridCol w:w="2213"/>
        <w:gridCol w:w="2521"/>
        <w:gridCol w:w="2489"/>
      </w:tblGrid>
      <w:tr w:rsidR="00517E4E" w14:paraId="68E156A0" w14:textId="77777777" w:rsidTr="00E43F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7" w:type="dxa"/>
          </w:tcPr>
          <w:p w14:paraId="762ABBF2" w14:textId="149F15CB" w:rsidR="00B12426" w:rsidRDefault="00B12426" w:rsidP="00EF032E">
            <w:pPr>
              <w:spacing w:after="0"/>
              <w:rPr>
                <w:color w:val="auto"/>
              </w:rPr>
            </w:pPr>
            <w:r>
              <w:rPr>
                <w:color w:val="auto"/>
              </w:rPr>
              <w:t>Quantity</w:t>
            </w:r>
          </w:p>
        </w:tc>
        <w:tc>
          <w:tcPr>
            <w:tcW w:w="2213" w:type="dxa"/>
          </w:tcPr>
          <w:p w14:paraId="1863A550" w14:textId="2CB4ABCC" w:rsidR="00B12426" w:rsidRDefault="00366F93" w:rsidP="00EF032E">
            <w:pPr>
              <w:spacing w:after="0"/>
              <w:cnfStyle w:val="100000000000" w:firstRow="1" w:lastRow="0" w:firstColumn="0" w:lastColumn="0" w:oddVBand="0" w:evenVBand="0" w:oddHBand="0" w:evenHBand="0" w:firstRowFirstColumn="0" w:firstRowLastColumn="0" w:lastRowFirstColumn="0" w:lastRowLastColumn="0"/>
              <w:rPr>
                <w:color w:val="auto"/>
              </w:rPr>
            </w:pPr>
            <w:r>
              <w:rPr>
                <w:color w:val="auto"/>
              </w:rPr>
              <w:t>NGER reported value</w:t>
            </w:r>
          </w:p>
        </w:tc>
        <w:tc>
          <w:tcPr>
            <w:tcW w:w="2521" w:type="dxa"/>
          </w:tcPr>
          <w:p w14:paraId="607928B3" w14:textId="002C1D9C" w:rsidR="00B12426" w:rsidRDefault="00DE06B2" w:rsidP="00EF032E">
            <w:pPr>
              <w:spacing w:after="0"/>
              <w:cnfStyle w:val="100000000000" w:firstRow="1" w:lastRow="0" w:firstColumn="0" w:lastColumn="0" w:oddVBand="0" w:evenVBand="0" w:oddHBand="0" w:evenHBand="0" w:firstRowFirstColumn="0" w:firstRowLastColumn="0" w:lastRowFirstColumn="0" w:lastRowLastColumn="0"/>
              <w:rPr>
                <w:color w:val="auto"/>
              </w:rPr>
            </w:pPr>
            <w:r>
              <w:rPr>
                <w:color w:val="auto"/>
              </w:rPr>
              <w:t>Participant</w:t>
            </w:r>
            <w:r w:rsidR="00786368">
              <w:rPr>
                <w:color w:val="auto"/>
              </w:rPr>
              <w:t xml:space="preserve"> s</w:t>
            </w:r>
            <w:r>
              <w:rPr>
                <w:color w:val="auto"/>
              </w:rPr>
              <w:t>upplied m</w:t>
            </w:r>
            <w:r w:rsidR="00B12426">
              <w:rPr>
                <w:color w:val="auto"/>
              </w:rPr>
              <w:t>ultiplier</w:t>
            </w:r>
          </w:p>
        </w:tc>
        <w:tc>
          <w:tcPr>
            <w:tcW w:w="2489" w:type="dxa"/>
          </w:tcPr>
          <w:p w14:paraId="231B498C" w14:textId="7F04D8C9" w:rsidR="00B12426" w:rsidRDefault="00DE06B2" w:rsidP="00EF032E">
            <w:pPr>
              <w:spacing w:after="0"/>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CERT </w:t>
            </w:r>
            <w:r w:rsidR="00786368">
              <w:rPr>
                <w:color w:val="auto"/>
              </w:rPr>
              <w:t xml:space="preserve">calculated </w:t>
            </w:r>
            <w:r>
              <w:rPr>
                <w:color w:val="auto"/>
              </w:rPr>
              <w:t>c</w:t>
            </w:r>
            <w:r w:rsidR="00B12426">
              <w:rPr>
                <w:color w:val="auto"/>
              </w:rPr>
              <w:t>alendar year estimate</w:t>
            </w:r>
          </w:p>
        </w:tc>
      </w:tr>
      <w:tr w:rsidR="00517E4E" w14:paraId="338310B5" w14:textId="77777777" w:rsidTr="00B12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27C51F01" w14:textId="49034E65" w:rsidR="00B12426" w:rsidRDefault="00B12426" w:rsidP="00EF032E">
            <w:pPr>
              <w:spacing w:after="0"/>
              <w:rPr>
                <w:color w:val="auto"/>
              </w:rPr>
            </w:pPr>
            <w:r>
              <w:rPr>
                <w:color w:val="auto"/>
              </w:rPr>
              <w:t>Scope 1 emissions</w:t>
            </w:r>
          </w:p>
        </w:tc>
        <w:tc>
          <w:tcPr>
            <w:tcW w:w="2213" w:type="dxa"/>
          </w:tcPr>
          <w:p w14:paraId="31B6FF82" w14:textId="43A29084" w:rsidR="00B12426" w:rsidRDefault="00362CAD" w:rsidP="00EF032E">
            <w:pPr>
              <w:spacing w:after="0"/>
              <w:cnfStyle w:val="000000100000" w:firstRow="0" w:lastRow="0" w:firstColumn="0" w:lastColumn="0" w:oddVBand="0" w:evenVBand="0" w:oddHBand="1" w:evenHBand="0" w:firstRowFirstColumn="0" w:firstRowLastColumn="0" w:lastRowFirstColumn="0" w:lastRowLastColumn="0"/>
              <w:rPr>
                <w:color w:val="auto"/>
              </w:rPr>
            </w:pPr>
            <w:r>
              <w:rPr>
                <w:color w:val="auto"/>
              </w:rPr>
              <w:t>200 kt</w:t>
            </w:r>
            <w:r w:rsidR="00781C18">
              <w:rPr>
                <w:color w:val="auto"/>
              </w:rPr>
              <w:t xml:space="preserve"> </w:t>
            </w:r>
            <w:r>
              <w:rPr>
                <w:color w:val="auto"/>
              </w:rPr>
              <w:t>C</w:t>
            </w:r>
            <w:r w:rsidR="00F7737E">
              <w:rPr>
                <w:color w:val="auto"/>
              </w:rPr>
              <w:t>O</w:t>
            </w:r>
            <w:r w:rsidR="00F7737E" w:rsidRPr="007C0404">
              <w:rPr>
                <w:color w:val="auto"/>
                <w:vertAlign w:val="subscript"/>
              </w:rPr>
              <w:t>2</w:t>
            </w:r>
            <w:r w:rsidR="00781C18" w:rsidRPr="00785B9D">
              <w:rPr>
                <w:color w:val="auto"/>
              </w:rPr>
              <w:t>-</w:t>
            </w:r>
            <w:r w:rsidR="00F7737E">
              <w:rPr>
                <w:color w:val="auto"/>
              </w:rPr>
              <w:t>e</w:t>
            </w:r>
          </w:p>
        </w:tc>
        <w:tc>
          <w:tcPr>
            <w:tcW w:w="2521" w:type="dxa"/>
          </w:tcPr>
          <w:p w14:paraId="50432BE6" w14:textId="2C534E60" w:rsidR="00B12426" w:rsidRDefault="00E241FE" w:rsidP="00EF032E">
            <w:pPr>
              <w:spacing w:after="0"/>
              <w:cnfStyle w:val="000000100000" w:firstRow="0" w:lastRow="0" w:firstColumn="0" w:lastColumn="0" w:oddVBand="0" w:evenVBand="0" w:oddHBand="1" w:evenHBand="0" w:firstRowFirstColumn="0" w:firstRowLastColumn="0" w:lastRowFirstColumn="0" w:lastRowLastColumn="0"/>
              <w:rPr>
                <w:color w:val="auto"/>
              </w:rPr>
            </w:pPr>
            <w:r>
              <w:rPr>
                <w:color w:val="auto"/>
              </w:rPr>
              <w:t>97</w:t>
            </w:r>
          </w:p>
        </w:tc>
        <w:tc>
          <w:tcPr>
            <w:tcW w:w="2489" w:type="dxa"/>
          </w:tcPr>
          <w:p w14:paraId="3BF7FBC9" w14:textId="54B31210" w:rsidR="00B12426" w:rsidRPr="007C0404" w:rsidRDefault="00E253F2" w:rsidP="00EF032E">
            <w:pPr>
              <w:spacing w:after="0"/>
              <w:cnfStyle w:val="000000100000" w:firstRow="0" w:lastRow="0" w:firstColumn="0" w:lastColumn="0" w:oddVBand="0" w:evenVBand="0" w:oddHBand="1" w:evenHBand="0" w:firstRowFirstColumn="0" w:firstRowLastColumn="0" w:lastRowFirstColumn="0" w:lastRowLastColumn="0"/>
              <w:rPr>
                <w:b/>
                <w:bCs/>
                <w:color w:val="auto"/>
              </w:rPr>
            </w:pPr>
            <w:r>
              <w:rPr>
                <w:color w:val="auto"/>
              </w:rPr>
              <w:t xml:space="preserve">= </w:t>
            </w:r>
            <w:r w:rsidR="000E750B">
              <w:rPr>
                <w:color w:val="auto"/>
              </w:rPr>
              <w:t xml:space="preserve">200 </w:t>
            </w:r>
            <w:r w:rsidR="003661E3">
              <w:rPr>
                <w:color w:val="auto"/>
              </w:rPr>
              <w:t>×</w:t>
            </w:r>
            <w:r w:rsidR="000E750B">
              <w:rPr>
                <w:color w:val="auto"/>
              </w:rPr>
              <w:t xml:space="preserve"> </w:t>
            </w:r>
            <w:r w:rsidR="004A6A0E">
              <w:rPr>
                <w:color w:val="auto"/>
              </w:rPr>
              <w:t>0.97</w:t>
            </w:r>
            <w:r>
              <w:rPr>
                <w:color w:val="auto"/>
              </w:rPr>
              <w:br/>
            </w:r>
            <w:r w:rsidR="004A6A0E">
              <w:rPr>
                <w:color w:val="auto"/>
              </w:rPr>
              <w:t xml:space="preserve">= </w:t>
            </w:r>
            <w:r w:rsidR="00A00338">
              <w:rPr>
                <w:b/>
                <w:bCs/>
                <w:color w:val="auto"/>
              </w:rPr>
              <w:t>194</w:t>
            </w:r>
            <w:r w:rsidR="00A00338" w:rsidRPr="00997495">
              <w:rPr>
                <w:b/>
                <w:bCs/>
                <w:color w:val="auto"/>
              </w:rPr>
              <w:t xml:space="preserve"> </w:t>
            </w:r>
            <w:r w:rsidR="00997495" w:rsidRPr="007C0404">
              <w:rPr>
                <w:b/>
                <w:bCs/>
                <w:color w:val="auto"/>
              </w:rPr>
              <w:t>kt</w:t>
            </w:r>
            <w:r w:rsidR="00781C18">
              <w:rPr>
                <w:b/>
                <w:bCs/>
                <w:color w:val="auto"/>
              </w:rPr>
              <w:t xml:space="preserve"> </w:t>
            </w:r>
            <w:r w:rsidR="00997495" w:rsidRPr="007C0404">
              <w:rPr>
                <w:b/>
                <w:bCs/>
                <w:color w:val="auto"/>
              </w:rPr>
              <w:t>CO</w:t>
            </w:r>
            <w:r w:rsidR="00997495" w:rsidRPr="007C0404">
              <w:rPr>
                <w:b/>
                <w:bCs/>
                <w:color w:val="auto"/>
                <w:vertAlign w:val="subscript"/>
              </w:rPr>
              <w:t>2</w:t>
            </w:r>
            <w:r w:rsidR="00781C18" w:rsidRPr="00785B9D">
              <w:rPr>
                <w:b/>
                <w:bCs/>
                <w:color w:val="auto"/>
              </w:rPr>
              <w:t>-</w:t>
            </w:r>
            <w:r w:rsidR="00997495" w:rsidRPr="007C0404">
              <w:rPr>
                <w:b/>
                <w:bCs/>
                <w:color w:val="auto"/>
              </w:rPr>
              <w:t>e</w:t>
            </w:r>
          </w:p>
        </w:tc>
      </w:tr>
      <w:tr w:rsidR="00517E4E" w14:paraId="7CCD6849" w14:textId="77777777" w:rsidTr="00B12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4624BC8E" w14:textId="6D2824F5" w:rsidR="00B12426" w:rsidRDefault="00366F93" w:rsidP="00EF032E">
            <w:pPr>
              <w:spacing w:after="0"/>
              <w:rPr>
                <w:color w:val="auto"/>
              </w:rPr>
            </w:pPr>
            <w:r>
              <w:rPr>
                <w:color w:val="auto"/>
              </w:rPr>
              <w:t>Scope 2 emission</w:t>
            </w:r>
            <w:r w:rsidR="001E1CBB">
              <w:rPr>
                <w:color w:val="auto"/>
              </w:rPr>
              <w:t>s</w:t>
            </w:r>
          </w:p>
        </w:tc>
        <w:tc>
          <w:tcPr>
            <w:tcW w:w="2213" w:type="dxa"/>
          </w:tcPr>
          <w:p w14:paraId="4281EDC7" w14:textId="3AD39561" w:rsidR="00B12426" w:rsidRDefault="00481D17" w:rsidP="00EF032E">
            <w:pPr>
              <w:spacing w:after="0"/>
              <w:cnfStyle w:val="000000010000" w:firstRow="0" w:lastRow="0" w:firstColumn="0" w:lastColumn="0" w:oddVBand="0" w:evenVBand="0" w:oddHBand="0" w:evenHBand="1" w:firstRowFirstColumn="0" w:firstRowLastColumn="0" w:lastRowFirstColumn="0" w:lastRowLastColumn="0"/>
              <w:rPr>
                <w:color w:val="auto"/>
              </w:rPr>
            </w:pPr>
            <w:r>
              <w:rPr>
                <w:color w:val="auto"/>
              </w:rPr>
              <w:t>100 kt</w:t>
            </w:r>
            <w:r w:rsidR="00781C18">
              <w:rPr>
                <w:color w:val="auto"/>
              </w:rPr>
              <w:t xml:space="preserve"> </w:t>
            </w:r>
            <w:r>
              <w:rPr>
                <w:color w:val="auto"/>
              </w:rPr>
              <w:t>CO</w:t>
            </w:r>
            <w:r w:rsidRPr="007C0404">
              <w:rPr>
                <w:color w:val="auto"/>
                <w:vertAlign w:val="subscript"/>
              </w:rPr>
              <w:t>2</w:t>
            </w:r>
            <w:r w:rsidR="00BC5403" w:rsidRPr="00785B9D">
              <w:rPr>
                <w:color w:val="auto"/>
              </w:rPr>
              <w:t>-</w:t>
            </w:r>
            <w:r>
              <w:rPr>
                <w:color w:val="auto"/>
              </w:rPr>
              <w:t>e</w:t>
            </w:r>
          </w:p>
        </w:tc>
        <w:tc>
          <w:tcPr>
            <w:tcW w:w="2521" w:type="dxa"/>
          </w:tcPr>
          <w:p w14:paraId="0A627466" w14:textId="5D67D382" w:rsidR="00B12426" w:rsidRDefault="00E241FE" w:rsidP="00EF032E">
            <w:pPr>
              <w:spacing w:after="0"/>
              <w:cnfStyle w:val="000000010000" w:firstRow="0" w:lastRow="0" w:firstColumn="0" w:lastColumn="0" w:oddVBand="0" w:evenVBand="0" w:oddHBand="0" w:evenHBand="1" w:firstRowFirstColumn="0" w:firstRowLastColumn="0" w:lastRowFirstColumn="0" w:lastRowLastColumn="0"/>
              <w:rPr>
                <w:color w:val="auto"/>
              </w:rPr>
            </w:pPr>
            <w:r>
              <w:rPr>
                <w:color w:val="auto"/>
              </w:rPr>
              <w:t>95</w:t>
            </w:r>
          </w:p>
        </w:tc>
        <w:tc>
          <w:tcPr>
            <w:tcW w:w="2489" w:type="dxa"/>
          </w:tcPr>
          <w:p w14:paraId="7E18143D" w14:textId="74C8C767" w:rsidR="00B12426" w:rsidRPr="007C0404" w:rsidRDefault="00E253F2" w:rsidP="00EF032E">
            <w:pPr>
              <w:spacing w:after="0"/>
              <w:cnfStyle w:val="000000010000" w:firstRow="0" w:lastRow="0" w:firstColumn="0" w:lastColumn="0" w:oddVBand="0" w:evenVBand="0" w:oddHBand="0" w:evenHBand="1" w:firstRowFirstColumn="0" w:firstRowLastColumn="0" w:lastRowFirstColumn="0" w:lastRowLastColumn="0"/>
              <w:rPr>
                <w:b/>
                <w:bCs/>
                <w:color w:val="auto"/>
              </w:rPr>
            </w:pPr>
            <w:r>
              <w:rPr>
                <w:color w:val="auto"/>
              </w:rPr>
              <w:t xml:space="preserve">= </w:t>
            </w:r>
            <w:r w:rsidR="00743AF9">
              <w:rPr>
                <w:color w:val="auto"/>
              </w:rPr>
              <w:t>100</w:t>
            </w:r>
            <w:r w:rsidR="003661E3">
              <w:rPr>
                <w:color w:val="auto"/>
              </w:rPr>
              <w:t xml:space="preserve"> × 0.95</w:t>
            </w:r>
            <w:r>
              <w:rPr>
                <w:color w:val="auto"/>
              </w:rPr>
              <w:br/>
            </w:r>
            <w:r w:rsidR="003661E3">
              <w:rPr>
                <w:color w:val="auto"/>
              </w:rPr>
              <w:t xml:space="preserve">= </w:t>
            </w:r>
            <w:r w:rsidR="00154017">
              <w:rPr>
                <w:b/>
                <w:bCs/>
                <w:color w:val="auto"/>
              </w:rPr>
              <w:t>95</w:t>
            </w:r>
            <w:r w:rsidR="007B1B70" w:rsidRPr="00997495">
              <w:rPr>
                <w:b/>
                <w:bCs/>
                <w:color w:val="auto"/>
              </w:rPr>
              <w:t xml:space="preserve"> </w:t>
            </w:r>
            <w:r w:rsidR="007B1B70" w:rsidRPr="003E2F75">
              <w:rPr>
                <w:b/>
                <w:bCs/>
                <w:color w:val="auto"/>
              </w:rPr>
              <w:t>kt</w:t>
            </w:r>
            <w:r w:rsidR="00781C18">
              <w:rPr>
                <w:b/>
                <w:bCs/>
                <w:color w:val="auto"/>
              </w:rPr>
              <w:t xml:space="preserve"> </w:t>
            </w:r>
            <w:r w:rsidR="007B1B70" w:rsidRPr="003E2F75">
              <w:rPr>
                <w:b/>
                <w:bCs/>
                <w:color w:val="auto"/>
              </w:rPr>
              <w:t>CO</w:t>
            </w:r>
            <w:r w:rsidR="007B1B70" w:rsidRPr="007C0404">
              <w:rPr>
                <w:b/>
                <w:bCs/>
                <w:color w:val="auto"/>
                <w:vertAlign w:val="subscript"/>
              </w:rPr>
              <w:t>2</w:t>
            </w:r>
            <w:r w:rsidR="00781C18" w:rsidRPr="00785B9D">
              <w:rPr>
                <w:b/>
                <w:bCs/>
                <w:color w:val="auto"/>
              </w:rPr>
              <w:t>-</w:t>
            </w:r>
            <w:r w:rsidR="007B1B70" w:rsidRPr="003E2F75">
              <w:rPr>
                <w:b/>
                <w:bCs/>
                <w:color w:val="auto"/>
              </w:rPr>
              <w:t>e</w:t>
            </w:r>
          </w:p>
        </w:tc>
      </w:tr>
      <w:tr w:rsidR="00517E4E" w14:paraId="0965006D" w14:textId="77777777" w:rsidTr="00B12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6F26A9BC" w14:textId="5BFD2C8A" w:rsidR="00B12426" w:rsidRDefault="001E1CBB" w:rsidP="00EF032E">
            <w:pPr>
              <w:spacing w:after="0"/>
              <w:rPr>
                <w:color w:val="auto"/>
              </w:rPr>
            </w:pPr>
            <w:r>
              <w:rPr>
                <w:color w:val="auto"/>
              </w:rPr>
              <w:t>Imported elect</w:t>
            </w:r>
            <w:r w:rsidR="00C712E9">
              <w:rPr>
                <w:color w:val="auto"/>
              </w:rPr>
              <w:t>ricity</w:t>
            </w:r>
          </w:p>
        </w:tc>
        <w:tc>
          <w:tcPr>
            <w:tcW w:w="2213" w:type="dxa"/>
          </w:tcPr>
          <w:p w14:paraId="6EF93708" w14:textId="69B1214E" w:rsidR="00B12426" w:rsidRDefault="00133048" w:rsidP="00EF032E">
            <w:pPr>
              <w:spacing w:after="0"/>
              <w:cnfStyle w:val="000000100000" w:firstRow="0" w:lastRow="0" w:firstColumn="0" w:lastColumn="0" w:oddVBand="0" w:evenVBand="0" w:oddHBand="1" w:evenHBand="0" w:firstRowFirstColumn="0" w:firstRowLastColumn="0" w:lastRowFirstColumn="0" w:lastRowLastColumn="0"/>
              <w:rPr>
                <w:color w:val="auto"/>
              </w:rPr>
            </w:pPr>
            <w:r>
              <w:rPr>
                <w:color w:val="auto"/>
              </w:rPr>
              <w:t>100</w:t>
            </w:r>
            <w:r w:rsidR="00C27F12">
              <w:rPr>
                <w:color w:val="auto"/>
              </w:rPr>
              <w:t xml:space="preserve"> MWh</w:t>
            </w:r>
          </w:p>
        </w:tc>
        <w:tc>
          <w:tcPr>
            <w:tcW w:w="2521" w:type="dxa"/>
          </w:tcPr>
          <w:p w14:paraId="394A7CD2" w14:textId="61CA2379" w:rsidR="00B12426" w:rsidRDefault="00E241FE" w:rsidP="00EF032E">
            <w:pPr>
              <w:spacing w:after="0"/>
              <w:cnfStyle w:val="000000100000" w:firstRow="0" w:lastRow="0" w:firstColumn="0" w:lastColumn="0" w:oddVBand="0" w:evenVBand="0" w:oddHBand="1" w:evenHBand="0" w:firstRowFirstColumn="0" w:firstRowLastColumn="0" w:lastRowFirstColumn="0" w:lastRowLastColumn="0"/>
              <w:rPr>
                <w:color w:val="auto"/>
              </w:rPr>
            </w:pPr>
            <w:r>
              <w:rPr>
                <w:color w:val="auto"/>
              </w:rPr>
              <w:t>95</w:t>
            </w:r>
          </w:p>
        </w:tc>
        <w:tc>
          <w:tcPr>
            <w:tcW w:w="2489" w:type="dxa"/>
          </w:tcPr>
          <w:p w14:paraId="79A350F0" w14:textId="42DF21DA" w:rsidR="00B12426" w:rsidRPr="007C0404" w:rsidRDefault="00E253F2" w:rsidP="00EF032E">
            <w:pPr>
              <w:spacing w:after="0"/>
              <w:cnfStyle w:val="000000100000" w:firstRow="0" w:lastRow="0" w:firstColumn="0" w:lastColumn="0" w:oddVBand="0" w:evenVBand="0" w:oddHBand="1" w:evenHBand="0" w:firstRowFirstColumn="0" w:firstRowLastColumn="0" w:lastRowFirstColumn="0" w:lastRowLastColumn="0"/>
              <w:rPr>
                <w:b/>
                <w:bCs/>
                <w:color w:val="auto"/>
              </w:rPr>
            </w:pPr>
            <w:r>
              <w:rPr>
                <w:color w:val="auto"/>
              </w:rPr>
              <w:t xml:space="preserve">= </w:t>
            </w:r>
            <w:r w:rsidR="00503089">
              <w:rPr>
                <w:color w:val="auto"/>
              </w:rPr>
              <w:t>100 × 0.95</w:t>
            </w:r>
            <w:r w:rsidR="00727D39">
              <w:rPr>
                <w:color w:val="auto"/>
              </w:rPr>
              <w:br/>
            </w:r>
            <w:r w:rsidR="00503089">
              <w:rPr>
                <w:color w:val="auto"/>
              </w:rPr>
              <w:t xml:space="preserve">= </w:t>
            </w:r>
            <w:r w:rsidR="00503089">
              <w:rPr>
                <w:b/>
                <w:bCs/>
                <w:color w:val="auto"/>
              </w:rPr>
              <w:t>95</w:t>
            </w:r>
            <w:r w:rsidR="007B1B70">
              <w:rPr>
                <w:b/>
                <w:bCs/>
                <w:color w:val="auto"/>
              </w:rPr>
              <w:t xml:space="preserve"> MWh</w:t>
            </w:r>
          </w:p>
        </w:tc>
      </w:tr>
      <w:tr w:rsidR="00517E4E" w14:paraId="0E730D6F" w14:textId="77777777" w:rsidTr="00B12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02CE052E" w14:textId="38F28E3D" w:rsidR="00B12426" w:rsidRDefault="008F1FCC" w:rsidP="00EF032E">
            <w:pPr>
              <w:spacing w:after="0"/>
              <w:rPr>
                <w:color w:val="auto"/>
              </w:rPr>
            </w:pPr>
            <w:r>
              <w:rPr>
                <w:color w:val="auto"/>
              </w:rPr>
              <w:t>Onsite renewable e</w:t>
            </w:r>
            <w:r w:rsidR="00F353C6">
              <w:rPr>
                <w:color w:val="auto"/>
              </w:rPr>
              <w:t>lectricity</w:t>
            </w:r>
          </w:p>
        </w:tc>
        <w:tc>
          <w:tcPr>
            <w:tcW w:w="2213" w:type="dxa"/>
          </w:tcPr>
          <w:p w14:paraId="2F8D3E9F" w14:textId="02A7CE8A" w:rsidR="00B12426" w:rsidRDefault="00E241FE" w:rsidP="00EF032E">
            <w:pPr>
              <w:spacing w:after="0"/>
              <w:cnfStyle w:val="000000010000" w:firstRow="0" w:lastRow="0" w:firstColumn="0" w:lastColumn="0" w:oddVBand="0" w:evenVBand="0" w:oddHBand="0" w:evenHBand="1" w:firstRowFirstColumn="0" w:firstRowLastColumn="0" w:lastRowFirstColumn="0" w:lastRowLastColumn="0"/>
              <w:rPr>
                <w:color w:val="auto"/>
              </w:rPr>
            </w:pPr>
            <w:r>
              <w:rPr>
                <w:color w:val="auto"/>
              </w:rPr>
              <w:t>50 MWh</w:t>
            </w:r>
          </w:p>
        </w:tc>
        <w:tc>
          <w:tcPr>
            <w:tcW w:w="2521" w:type="dxa"/>
          </w:tcPr>
          <w:p w14:paraId="34A9764D" w14:textId="25A9C0E6" w:rsidR="00B12426" w:rsidRDefault="008A5336" w:rsidP="00EF032E">
            <w:pPr>
              <w:spacing w:after="0"/>
              <w:cnfStyle w:val="000000010000" w:firstRow="0" w:lastRow="0" w:firstColumn="0" w:lastColumn="0" w:oddVBand="0" w:evenVBand="0" w:oddHBand="0" w:evenHBand="1" w:firstRowFirstColumn="0" w:firstRowLastColumn="0" w:lastRowFirstColumn="0" w:lastRowLastColumn="0"/>
              <w:rPr>
                <w:color w:val="auto"/>
              </w:rPr>
            </w:pPr>
            <w:r>
              <w:rPr>
                <w:color w:val="auto"/>
              </w:rPr>
              <w:t>1</w:t>
            </w:r>
            <w:r w:rsidR="000E4C1C">
              <w:rPr>
                <w:color w:val="auto"/>
              </w:rPr>
              <w:t>10</w:t>
            </w:r>
          </w:p>
        </w:tc>
        <w:tc>
          <w:tcPr>
            <w:tcW w:w="2489" w:type="dxa"/>
          </w:tcPr>
          <w:p w14:paraId="642C317A" w14:textId="21B79788" w:rsidR="00B12426" w:rsidRPr="007C0404" w:rsidRDefault="00727D39" w:rsidP="00EF032E">
            <w:pPr>
              <w:spacing w:after="0"/>
              <w:cnfStyle w:val="000000010000" w:firstRow="0" w:lastRow="0" w:firstColumn="0" w:lastColumn="0" w:oddVBand="0" w:evenVBand="0" w:oddHBand="0" w:evenHBand="1" w:firstRowFirstColumn="0" w:firstRowLastColumn="0" w:lastRowFirstColumn="0" w:lastRowLastColumn="0"/>
              <w:rPr>
                <w:b/>
                <w:bCs/>
                <w:color w:val="auto"/>
              </w:rPr>
            </w:pPr>
            <w:r>
              <w:rPr>
                <w:color w:val="auto"/>
              </w:rPr>
              <w:t xml:space="preserve">= </w:t>
            </w:r>
            <w:r w:rsidR="00270986">
              <w:rPr>
                <w:color w:val="auto"/>
              </w:rPr>
              <w:t>50</w:t>
            </w:r>
            <w:r w:rsidR="001C226E">
              <w:rPr>
                <w:color w:val="auto"/>
              </w:rPr>
              <w:t xml:space="preserve"> × </w:t>
            </w:r>
            <w:r w:rsidR="009140E0">
              <w:rPr>
                <w:color w:val="auto"/>
              </w:rPr>
              <w:t>1.10</w:t>
            </w:r>
            <w:r>
              <w:rPr>
                <w:color w:val="auto"/>
              </w:rPr>
              <w:br/>
            </w:r>
            <w:r w:rsidR="009140E0">
              <w:rPr>
                <w:color w:val="auto"/>
              </w:rPr>
              <w:t xml:space="preserve">= </w:t>
            </w:r>
            <w:r w:rsidR="008B08F0">
              <w:rPr>
                <w:b/>
                <w:bCs/>
                <w:color w:val="auto"/>
              </w:rPr>
              <w:t>55</w:t>
            </w:r>
            <w:r w:rsidR="007B1B70">
              <w:rPr>
                <w:b/>
                <w:bCs/>
                <w:color w:val="auto"/>
              </w:rPr>
              <w:t xml:space="preserve"> MWh</w:t>
            </w:r>
          </w:p>
        </w:tc>
      </w:tr>
      <w:tr w:rsidR="00517E4E" w14:paraId="71D9CF1D" w14:textId="77777777" w:rsidTr="00B12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6ED71551" w14:textId="6E4CEB3B" w:rsidR="00B12426" w:rsidRDefault="00F353C6" w:rsidP="00EF032E">
            <w:pPr>
              <w:spacing w:after="0"/>
              <w:rPr>
                <w:color w:val="auto"/>
              </w:rPr>
            </w:pPr>
            <w:r>
              <w:rPr>
                <w:color w:val="auto"/>
              </w:rPr>
              <w:t>Onsite non-renewable electricity</w:t>
            </w:r>
          </w:p>
        </w:tc>
        <w:tc>
          <w:tcPr>
            <w:tcW w:w="2213" w:type="dxa"/>
          </w:tcPr>
          <w:p w14:paraId="7EAD5B48" w14:textId="7178FB9D" w:rsidR="00B12426" w:rsidRDefault="00E241FE" w:rsidP="00EF032E">
            <w:pPr>
              <w:spacing w:after="0"/>
              <w:cnfStyle w:val="000000100000" w:firstRow="0" w:lastRow="0" w:firstColumn="0" w:lastColumn="0" w:oddVBand="0" w:evenVBand="0" w:oddHBand="1" w:evenHBand="0" w:firstRowFirstColumn="0" w:firstRowLastColumn="0" w:lastRowFirstColumn="0" w:lastRowLastColumn="0"/>
              <w:rPr>
                <w:color w:val="auto"/>
              </w:rPr>
            </w:pPr>
            <w:r>
              <w:rPr>
                <w:color w:val="auto"/>
              </w:rPr>
              <w:t>50 MWh</w:t>
            </w:r>
          </w:p>
        </w:tc>
        <w:tc>
          <w:tcPr>
            <w:tcW w:w="2521" w:type="dxa"/>
          </w:tcPr>
          <w:p w14:paraId="4C59B4E5" w14:textId="54C9D154" w:rsidR="00B12426" w:rsidRDefault="00754C15" w:rsidP="00EF032E">
            <w:pPr>
              <w:spacing w:after="0"/>
              <w:cnfStyle w:val="000000100000" w:firstRow="0" w:lastRow="0" w:firstColumn="0" w:lastColumn="0" w:oddVBand="0" w:evenVBand="0" w:oddHBand="1" w:evenHBand="0" w:firstRowFirstColumn="0" w:firstRowLastColumn="0" w:lastRowFirstColumn="0" w:lastRowLastColumn="0"/>
              <w:rPr>
                <w:color w:val="auto"/>
              </w:rPr>
            </w:pPr>
            <w:r>
              <w:rPr>
                <w:color w:val="auto"/>
              </w:rPr>
              <w:t>80</w:t>
            </w:r>
          </w:p>
        </w:tc>
        <w:tc>
          <w:tcPr>
            <w:tcW w:w="2489" w:type="dxa"/>
          </w:tcPr>
          <w:p w14:paraId="287D8165" w14:textId="6C082CEB" w:rsidR="00B12426" w:rsidRPr="007C0404" w:rsidRDefault="00727D39" w:rsidP="00EF032E">
            <w:pPr>
              <w:spacing w:after="0"/>
              <w:cnfStyle w:val="000000100000" w:firstRow="0" w:lastRow="0" w:firstColumn="0" w:lastColumn="0" w:oddVBand="0" w:evenVBand="0" w:oddHBand="1" w:evenHBand="0" w:firstRowFirstColumn="0" w:firstRowLastColumn="0" w:lastRowFirstColumn="0" w:lastRowLastColumn="0"/>
              <w:rPr>
                <w:b/>
                <w:bCs/>
                <w:color w:val="auto"/>
              </w:rPr>
            </w:pPr>
            <w:r>
              <w:rPr>
                <w:color w:val="auto"/>
              </w:rPr>
              <w:t xml:space="preserve">= </w:t>
            </w:r>
            <w:r w:rsidR="008B08F0">
              <w:rPr>
                <w:color w:val="auto"/>
              </w:rPr>
              <w:t>50 ×</w:t>
            </w:r>
            <w:r w:rsidR="000C0896">
              <w:rPr>
                <w:color w:val="auto"/>
              </w:rPr>
              <w:t xml:space="preserve"> 0.80</w:t>
            </w:r>
            <w:r w:rsidR="00593CCC">
              <w:rPr>
                <w:color w:val="auto"/>
              </w:rPr>
              <w:br/>
            </w:r>
            <w:r w:rsidR="000C0896">
              <w:rPr>
                <w:color w:val="auto"/>
              </w:rPr>
              <w:t xml:space="preserve">= </w:t>
            </w:r>
            <w:r w:rsidR="00873F3A">
              <w:rPr>
                <w:b/>
                <w:bCs/>
                <w:color w:val="auto"/>
              </w:rPr>
              <w:t>40</w:t>
            </w:r>
            <w:r w:rsidR="007B1B70">
              <w:rPr>
                <w:b/>
                <w:bCs/>
                <w:color w:val="auto"/>
              </w:rPr>
              <w:t xml:space="preserve"> MWh</w:t>
            </w:r>
          </w:p>
        </w:tc>
      </w:tr>
    </w:tbl>
    <w:p w14:paraId="061B6C48" w14:textId="77777777" w:rsidR="00D14AFE" w:rsidRDefault="00D14AFE" w:rsidP="00EF032E">
      <w:pPr>
        <w:spacing w:after="0"/>
        <w:rPr>
          <w:color w:val="auto"/>
        </w:rPr>
      </w:pPr>
    </w:p>
    <w:p w14:paraId="57609DCF" w14:textId="0D4F865B" w:rsidR="00FB6DCF" w:rsidRDefault="00FB6DCF" w:rsidP="00EF032E">
      <w:pPr>
        <w:spacing w:after="0"/>
        <w:rPr>
          <w:bCs/>
          <w:iCs/>
          <w:color w:val="auto"/>
        </w:rPr>
      </w:pPr>
      <w:r w:rsidRPr="007A25DF">
        <w:rPr>
          <w:bCs/>
          <w:iCs/>
          <w:color w:val="auto"/>
        </w:rPr>
        <w:t xml:space="preserve">These </w:t>
      </w:r>
      <w:r>
        <w:rPr>
          <w:bCs/>
          <w:iCs/>
          <w:color w:val="auto"/>
        </w:rPr>
        <w:t xml:space="preserve">multipliers </w:t>
      </w:r>
      <w:r w:rsidRPr="0EED7CA1">
        <w:rPr>
          <w:color w:val="auto"/>
        </w:rPr>
        <w:t>are</w:t>
      </w:r>
      <w:r>
        <w:rPr>
          <w:bCs/>
          <w:iCs/>
          <w:color w:val="auto"/>
        </w:rPr>
        <w:t xml:space="preserve"> applied </w:t>
      </w:r>
      <w:r w:rsidRPr="0EED7CA1">
        <w:rPr>
          <w:color w:val="auto"/>
        </w:rPr>
        <w:t>uniformly to all</w:t>
      </w:r>
      <w:r>
        <w:rPr>
          <w:bCs/>
          <w:iCs/>
          <w:color w:val="auto"/>
        </w:rPr>
        <w:t xml:space="preserve"> facilities within </w:t>
      </w:r>
      <w:r w:rsidR="00D96784">
        <w:rPr>
          <w:bCs/>
          <w:iCs/>
          <w:color w:val="auto"/>
        </w:rPr>
        <w:t>Company D</w:t>
      </w:r>
      <w:r>
        <w:rPr>
          <w:bCs/>
          <w:iCs/>
          <w:color w:val="auto"/>
        </w:rPr>
        <w:t>’s reporting boundary. When NGER data is submitted for the relevant calendar year, any discrepancies in estimates will be updated and footnoted</w:t>
      </w:r>
      <w:r w:rsidR="00F7657C">
        <w:rPr>
          <w:bCs/>
          <w:iCs/>
          <w:color w:val="auto"/>
        </w:rPr>
        <w:t xml:space="preserve"> in subsequent CERT reports</w:t>
      </w:r>
      <w:r w:rsidR="003B72ED">
        <w:rPr>
          <w:bCs/>
          <w:iCs/>
          <w:color w:val="auto"/>
        </w:rPr>
        <w:t xml:space="preserve"> that rely on data from that year</w:t>
      </w:r>
      <w:r>
        <w:rPr>
          <w:bCs/>
          <w:iCs/>
          <w:color w:val="auto"/>
        </w:rPr>
        <w:t>.</w:t>
      </w:r>
    </w:p>
    <w:p w14:paraId="2C5FA58E" w14:textId="77777777" w:rsidR="00E43F8E" w:rsidRDefault="00E051CB" w:rsidP="00E43F8E">
      <w:pPr>
        <w:pStyle w:val="Heading5"/>
      </w:pPr>
      <w:r w:rsidRPr="00F047C0">
        <w:t>Base period calendar year</w:t>
      </w:r>
      <w:r>
        <w:t xml:space="preserve"> data</w:t>
      </w:r>
    </w:p>
    <w:p w14:paraId="3092E5B7" w14:textId="6C5F1199" w:rsidR="00FB6DCF" w:rsidRDefault="00FB6DCF" w:rsidP="00EF032E">
      <w:pPr>
        <w:spacing w:after="0"/>
      </w:pPr>
      <w:r>
        <w:rPr>
          <w:bCs/>
          <w:iCs/>
          <w:color w:val="auto"/>
        </w:rPr>
        <w:t xml:space="preserve">If </w:t>
      </w:r>
      <w:r w:rsidR="00D96784">
        <w:rPr>
          <w:bCs/>
          <w:iCs/>
          <w:color w:val="auto"/>
        </w:rPr>
        <w:t>Company D</w:t>
      </w:r>
      <w:r>
        <w:rPr>
          <w:bCs/>
          <w:iCs/>
          <w:color w:val="auto"/>
        </w:rPr>
        <w:t xml:space="preserve"> is nominating a </w:t>
      </w:r>
      <w:r w:rsidR="00793995">
        <w:rPr>
          <w:bCs/>
          <w:iCs/>
          <w:color w:val="auto"/>
        </w:rPr>
        <w:t xml:space="preserve">base period </w:t>
      </w:r>
      <w:r>
        <w:rPr>
          <w:bCs/>
          <w:iCs/>
          <w:color w:val="auto"/>
        </w:rPr>
        <w:t xml:space="preserve">as part of their </w:t>
      </w:r>
      <w:r w:rsidR="00290487">
        <w:rPr>
          <w:bCs/>
          <w:iCs/>
          <w:color w:val="auto"/>
        </w:rPr>
        <w:t xml:space="preserve">CER data verified </w:t>
      </w:r>
      <w:r>
        <w:rPr>
          <w:bCs/>
          <w:iCs/>
          <w:color w:val="auto"/>
        </w:rPr>
        <w:t xml:space="preserve">commitment, emissions will be determined based on the average of the </w:t>
      </w:r>
      <w:r>
        <w:t xml:space="preserve">two NGER reporting years that overlap the relevant calendar year. </w:t>
      </w:r>
      <w:bookmarkStart w:id="17" w:name="_Toc81640729"/>
      <w:bookmarkStart w:id="18" w:name="_Toc81644186"/>
      <w:bookmarkEnd w:id="17"/>
      <w:bookmarkEnd w:id="18"/>
    </w:p>
    <w:p w14:paraId="20797819" w14:textId="77777777" w:rsidR="00EF032E" w:rsidRDefault="00EF032E" w:rsidP="00EF032E">
      <w:pPr>
        <w:spacing w:after="0"/>
        <w:rPr>
          <w:bCs/>
          <w:iCs/>
          <w:color w:val="auto"/>
        </w:rPr>
      </w:pPr>
    </w:p>
    <w:p w14:paraId="39D5D00C" w14:textId="77777777" w:rsidR="00694DDE" w:rsidRDefault="00694DDE">
      <w:pPr>
        <w:spacing w:after="0"/>
        <w:rPr>
          <w:rFonts w:asciiTheme="majorHAnsi" w:eastAsia="Times New Roman" w:hAnsiTheme="majorHAnsi"/>
          <w:b/>
          <w:bCs/>
          <w:sz w:val="32"/>
          <w:szCs w:val="32"/>
        </w:rPr>
      </w:pPr>
      <w:r>
        <w:br w:type="page"/>
      </w:r>
    </w:p>
    <w:p w14:paraId="47E657B0" w14:textId="002FABDB" w:rsidR="00AD1536" w:rsidRPr="00361F7E" w:rsidRDefault="00C349DC" w:rsidP="00EF032E">
      <w:pPr>
        <w:pStyle w:val="Heading2"/>
        <w:spacing w:before="0"/>
        <w:rPr>
          <w:i/>
          <w:iCs/>
        </w:rPr>
      </w:pPr>
      <w:bookmarkStart w:id="19" w:name="_Revising_a_Base"/>
      <w:bookmarkStart w:id="20" w:name="_Toc121236626"/>
      <w:bookmarkEnd w:id="19"/>
      <w:r w:rsidRPr="00361F7E">
        <w:lastRenderedPageBreak/>
        <w:t>Revising a Base Period</w:t>
      </w:r>
      <w:r w:rsidR="00AD1536" w:rsidRPr="00361F7E">
        <w:t xml:space="preserve"> </w:t>
      </w:r>
      <w:r w:rsidR="00AD1536" w:rsidRPr="00361F7E">
        <w:rPr>
          <w:i/>
          <w:iCs/>
        </w:rPr>
        <w:t>– Section 7 of the CERT Guidelines</w:t>
      </w:r>
      <w:bookmarkEnd w:id="20"/>
    </w:p>
    <w:p w14:paraId="686F547B" w14:textId="77777777" w:rsidR="00E43F8E" w:rsidRDefault="0075588D" w:rsidP="00E43F8E">
      <w:pPr>
        <w:pStyle w:val="Heading4"/>
      </w:pPr>
      <w:r w:rsidRPr="00361F7E">
        <w:rPr>
          <w:rFonts w:eastAsiaTheme="majorEastAsia" w:cstheme="majorBidi"/>
          <w:noProof/>
        </w:rPr>
        <mc:AlternateContent>
          <mc:Choice Requires="wps">
            <w:drawing>
              <wp:anchor distT="0" distB="0" distL="114300" distR="114300" simplePos="0" relativeHeight="251689984" behindDoc="0" locked="0" layoutInCell="1" allowOverlap="1" wp14:anchorId="3885725C" wp14:editId="1BE0E28C">
                <wp:simplePos x="0" y="0"/>
                <wp:positionH relativeFrom="column">
                  <wp:posOffset>177800</wp:posOffset>
                </wp:positionH>
                <wp:positionV relativeFrom="paragraph">
                  <wp:posOffset>4349115</wp:posOffset>
                </wp:positionV>
                <wp:extent cx="5827395" cy="635"/>
                <wp:effectExtent l="0" t="0" r="1905" b="0"/>
                <wp:wrapTopAndBottom/>
                <wp:docPr id="37" name="Text Box 37"/>
                <wp:cNvGraphicFramePr/>
                <a:graphic xmlns:a="http://schemas.openxmlformats.org/drawingml/2006/main">
                  <a:graphicData uri="http://schemas.microsoft.com/office/word/2010/wordprocessingShape">
                    <wps:wsp>
                      <wps:cNvSpPr txBox="1"/>
                      <wps:spPr>
                        <a:xfrm>
                          <a:off x="0" y="0"/>
                          <a:ext cx="5827395" cy="635"/>
                        </a:xfrm>
                        <a:prstGeom prst="rect">
                          <a:avLst/>
                        </a:prstGeom>
                        <a:solidFill>
                          <a:prstClr val="white"/>
                        </a:solidFill>
                        <a:ln>
                          <a:noFill/>
                        </a:ln>
                      </wps:spPr>
                      <wps:txbx>
                        <w:txbxContent>
                          <w:p w14:paraId="554E220F" w14:textId="20A0ABE2" w:rsidR="00AB7FD4" w:rsidRPr="004A7EE9" w:rsidRDefault="00AB7FD4" w:rsidP="00AB7FD4">
                            <w:pPr>
                              <w:pStyle w:val="Caption"/>
                              <w:rPr>
                                <w:rFonts w:eastAsia="Cambria" w:cstheme="minorHAnsi"/>
                                <w:noProof/>
                                <w:szCs w:val="24"/>
                              </w:rPr>
                            </w:pPr>
                            <w:r>
                              <w:t xml:space="preserve">Figure </w:t>
                            </w:r>
                            <w:r>
                              <w:fldChar w:fldCharType="begin"/>
                            </w:r>
                            <w:r>
                              <w:instrText>SEQ Figure \* ARABIC</w:instrText>
                            </w:r>
                            <w:r>
                              <w:fldChar w:fldCharType="separate"/>
                            </w:r>
                            <w:r w:rsidR="00DA14E2">
                              <w:rPr>
                                <w:noProof/>
                              </w:rPr>
                              <w:t>5</w:t>
                            </w:r>
                            <w:r>
                              <w:fldChar w:fldCharType="end"/>
                            </w:r>
                            <w:r>
                              <w:t xml:space="preserve">: </w:t>
                            </w:r>
                            <w:r w:rsidRPr="00817594">
                              <w:t>Example 18 – Revising base period emissions due to acquisition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885725C" id="_x0000_t202" coordsize="21600,21600" o:spt="202" path="m,l,21600r21600,l21600,xe">
                <v:stroke joinstyle="miter"/>
                <v:path gradientshapeok="t" o:connecttype="rect"/>
              </v:shapetype>
              <v:shape id="Text Box 37" o:spid="_x0000_s1028" type="#_x0000_t202" style="position:absolute;margin-left:14pt;margin-top:342.45pt;width:458.85pt;height:.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" stroked="f">
                <v:textbox style="mso-fit-shape-to-text:t" inset="0,0,0,0">
                  <w:txbxContent>
                    <w:p w14:paraId="554E220F" w14:textId="20A0ABE2" w:rsidR="00AB7FD4" w:rsidRPr="004A7EE9" w:rsidRDefault="00AB7FD4" w:rsidP="00AB7FD4">
                      <w:pPr>
                        <w:pStyle w:val="Caption"/>
                        <w:rPr>
                          <w:rFonts w:eastAsia="Cambria" w:cstheme="minorHAnsi"/>
                          <w:noProof/>
                          <w:szCs w:val="24"/>
                        </w:rPr>
                      </w:pPr>
                      <w:r>
                        <w:t xml:space="preserve">Figure </w:t>
                      </w:r>
                      <w:r>
                        <w:fldChar w:fldCharType="begin"/>
                      </w:r>
                      <w:r>
                        <w:instrText>SEQ Figure \* ARABIC</w:instrText>
                      </w:r>
                      <w:r>
                        <w:fldChar w:fldCharType="separate"/>
                      </w:r>
                      <w:r w:rsidR="00DA14E2">
                        <w:rPr>
                          <w:noProof/>
                        </w:rPr>
                        <w:t>5</w:t>
                      </w:r>
                      <w:r>
                        <w:fldChar w:fldCharType="end"/>
                      </w:r>
                      <w:r>
                        <w:t xml:space="preserve">: </w:t>
                      </w:r>
                      <w:r w:rsidRPr="00817594">
                        <w:t xml:space="preserve">Example 18 – Revising base period emissions due to </w:t>
                      </w:r>
                      <w:proofErr w:type="gramStart"/>
                      <w:r w:rsidRPr="00817594">
                        <w:t>acquisition</w:t>
                      </w:r>
                      <w:proofErr w:type="gramEnd"/>
                    </w:p>
                  </w:txbxContent>
                </v:textbox>
                <w10:wrap type="topAndBottom"/>
              </v:shape>
            </w:pict>
          </mc:Fallback>
        </mc:AlternateContent>
      </w:r>
      <w:r w:rsidR="00AB7FD4" w:rsidRPr="00361F7E">
        <w:rPr>
          <w:noProof/>
        </w:rPr>
        <w:drawing>
          <wp:anchor distT="90170" distB="90170" distL="114300" distR="114300" simplePos="0" relativeHeight="251670528" behindDoc="0" locked="0" layoutInCell="1" allowOverlap="1" wp14:anchorId="1135B8E6" wp14:editId="3D90585F">
            <wp:simplePos x="0" y="0"/>
            <wp:positionH relativeFrom="page">
              <wp:posOffset>863600</wp:posOffset>
            </wp:positionH>
            <wp:positionV relativeFrom="paragraph">
              <wp:posOffset>1449070</wp:posOffset>
            </wp:positionV>
            <wp:extent cx="5827395" cy="2909570"/>
            <wp:effectExtent l="0" t="0" r="1905" b="5080"/>
            <wp:wrapTopAndBottom/>
            <wp:docPr id="688719274" name="Picture 68871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extLst>
                        <a:ext uri="{28A0092B-C50C-407E-A947-70E740481C1C}">
                          <a14:useLocalDpi xmlns:a14="http://schemas.microsoft.com/office/drawing/2010/main" val="0"/>
                        </a:ext>
                      </a:extLst>
                    </a:blip>
                    <a:srcRect/>
                    <a:stretch/>
                  </pic:blipFill>
                  <pic:spPr bwMode="auto">
                    <a:xfrm>
                      <a:off x="0" y="0"/>
                      <a:ext cx="5827395" cy="2909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0EB" w:rsidRPr="00361F7E">
        <w:t xml:space="preserve">Example 18 </w:t>
      </w:r>
      <w:r w:rsidR="00F4351C" w:rsidRPr="00361F7E">
        <w:t xml:space="preserve">– </w:t>
      </w:r>
      <w:r w:rsidR="00000446" w:rsidRPr="00361F7E">
        <w:t>Revising</w:t>
      </w:r>
      <w:r w:rsidR="001B10EB" w:rsidRPr="00361F7E">
        <w:t xml:space="preserve"> base period emissions due to acquisition</w:t>
      </w:r>
    </w:p>
    <w:p w14:paraId="0577CAEA" w14:textId="1208D3A5" w:rsidR="001B10EB" w:rsidRPr="00361F7E" w:rsidRDefault="001B10EB" w:rsidP="00E43F8E">
      <w:r w:rsidRPr="00361F7E">
        <w:t>A company operates facility A, which emitted 25 tonnes of CO</w:t>
      </w:r>
      <w:r w:rsidRPr="00361F7E">
        <w:rPr>
          <w:vertAlign w:val="subscript"/>
        </w:rPr>
        <w:t>2</w:t>
      </w:r>
      <w:r w:rsidRPr="00361F7E">
        <w:t>-e during the company’s base period, and 30 tonnes of CO</w:t>
      </w:r>
      <w:r w:rsidRPr="00361F7E">
        <w:rPr>
          <w:vertAlign w:val="subscript"/>
        </w:rPr>
        <w:t>2</w:t>
      </w:r>
      <w:r w:rsidRPr="00361F7E">
        <w:t>-e during the reporting year for the CERT report. At the beginning of the reporting period they acquired facility B from a different company, which emitted 15 tonnes of CO</w:t>
      </w:r>
      <w:r w:rsidRPr="00361F7E">
        <w:rPr>
          <w:vertAlign w:val="subscript"/>
        </w:rPr>
        <w:t>2</w:t>
      </w:r>
      <w:r w:rsidRPr="00361F7E">
        <w:t>-e during the base period and 20 tonnes of CO</w:t>
      </w:r>
      <w:r w:rsidRPr="00361F7E">
        <w:rPr>
          <w:vertAlign w:val="subscript"/>
        </w:rPr>
        <w:t>2</w:t>
      </w:r>
      <w:r w:rsidRPr="00361F7E">
        <w:t>-e during the reporting period. The company therefore recalculates their base period to include facility B as if they operated facility B during that base period. This makes for a total of 40 tonnes of CO</w:t>
      </w:r>
      <w:r w:rsidRPr="00361F7E">
        <w:rPr>
          <w:vertAlign w:val="subscript"/>
        </w:rPr>
        <w:t>2</w:t>
      </w:r>
      <w:r w:rsidRPr="00361F7E">
        <w:t>-e in the base period, and 50 tonnes of CO</w:t>
      </w:r>
      <w:r w:rsidRPr="00361F7E">
        <w:rPr>
          <w:vertAlign w:val="subscript"/>
        </w:rPr>
        <w:t>2</w:t>
      </w:r>
      <w:r w:rsidRPr="00361F7E">
        <w:t>-e in the reporting period.</w:t>
      </w:r>
    </w:p>
    <w:p w14:paraId="18620DAC" w14:textId="77777777" w:rsidR="00E43F8E" w:rsidRDefault="001B10EB" w:rsidP="00E43F8E">
      <w:pPr>
        <w:pStyle w:val="Heading4"/>
      </w:pPr>
      <w:r w:rsidRPr="00361F7E">
        <w:t>Example 19</w:t>
      </w:r>
      <w:r w:rsidR="00951C49" w:rsidRPr="00361F7E">
        <w:t xml:space="preserve"> – Revising </w:t>
      </w:r>
      <w:r w:rsidRPr="00361F7E">
        <w:t>base period emissions due to divestment</w:t>
      </w:r>
    </w:p>
    <w:p w14:paraId="017C8ED9" w14:textId="04B33EE1" w:rsidR="001B10EB" w:rsidRPr="00361F7E" w:rsidRDefault="001B10EB" w:rsidP="00E43F8E">
      <w:r w:rsidRPr="00361F7E">
        <w:t>A company operates facility A and B, which emitted 25 and 15 tonnes of CO</w:t>
      </w:r>
      <w:r w:rsidRPr="00361F7E">
        <w:rPr>
          <w:vertAlign w:val="subscript"/>
        </w:rPr>
        <w:t>2</w:t>
      </w:r>
      <w:r w:rsidRPr="00361F7E">
        <w:t>-e during the company’s base period respectively (for a total of 40 tonnes of CO</w:t>
      </w:r>
      <w:r w:rsidRPr="00361F7E">
        <w:rPr>
          <w:vertAlign w:val="subscript"/>
        </w:rPr>
        <w:t>2</w:t>
      </w:r>
      <w:r w:rsidRPr="00361F7E">
        <w:t>-e), and 30 and 20 tonnes of CO</w:t>
      </w:r>
      <w:r w:rsidRPr="00361F7E">
        <w:rPr>
          <w:vertAlign w:val="subscript"/>
        </w:rPr>
        <w:t>2</w:t>
      </w:r>
      <w:r w:rsidRPr="00361F7E">
        <w:t>-e during the reporting period. At the beginning of the reporting period the company divests facility B making their total emissions for the reporting period 30 tonnes of CO</w:t>
      </w:r>
      <w:r w:rsidRPr="00361F7E">
        <w:rPr>
          <w:vertAlign w:val="subscript"/>
        </w:rPr>
        <w:t>2</w:t>
      </w:r>
      <w:r w:rsidRPr="00361F7E">
        <w:t>-e. They accordingly recalculate their baseline to exclude facility B as if they didn’t operate facility B during the base period. This brings their total emissions for the base period to 25 tonnes of CO</w:t>
      </w:r>
      <w:r w:rsidRPr="00361F7E">
        <w:rPr>
          <w:vertAlign w:val="subscript"/>
        </w:rPr>
        <w:t>2</w:t>
      </w:r>
      <w:r w:rsidRPr="00361F7E">
        <w:t>-e.</w:t>
      </w:r>
    </w:p>
    <w:p w14:paraId="2037B498" w14:textId="77777777" w:rsidR="00E43F8E" w:rsidRPr="00E43F8E" w:rsidRDefault="00AB7FD4" w:rsidP="00E43F8E">
      <w:pPr>
        <w:pStyle w:val="Heading4"/>
        <w:rPr>
          <w:rStyle w:val="Heading3Char"/>
          <w:rFonts w:eastAsiaTheme="majorEastAsia"/>
        </w:rPr>
      </w:pPr>
      <w:r w:rsidRPr="00E43F8E">
        <w:rPr>
          <w:noProof/>
        </w:rPr>
        <w:lastRenderedPageBreak/>
        <mc:AlternateContent>
          <mc:Choice Requires="wps">
            <w:drawing>
              <wp:anchor distT="0" distB="0" distL="114300" distR="114300" simplePos="0" relativeHeight="251699200" behindDoc="0" locked="0" layoutInCell="1" allowOverlap="1" wp14:anchorId="03043A45" wp14:editId="11590B3A">
                <wp:simplePos x="0" y="0"/>
                <wp:positionH relativeFrom="margin">
                  <wp:align>center</wp:align>
                </wp:positionH>
                <wp:positionV relativeFrom="paragraph">
                  <wp:posOffset>2985135</wp:posOffset>
                </wp:positionV>
                <wp:extent cx="5564505" cy="635"/>
                <wp:effectExtent l="0" t="0" r="0" b="0"/>
                <wp:wrapTopAndBottom/>
                <wp:docPr id="38" name="Text Box 38"/>
                <wp:cNvGraphicFramePr/>
                <a:graphic xmlns:a="http://schemas.openxmlformats.org/drawingml/2006/main">
                  <a:graphicData uri="http://schemas.microsoft.com/office/word/2010/wordprocessingShape">
                    <wps:wsp>
                      <wps:cNvSpPr txBox="1"/>
                      <wps:spPr>
                        <a:xfrm>
                          <a:off x="0" y="0"/>
                          <a:ext cx="5564505" cy="635"/>
                        </a:xfrm>
                        <a:prstGeom prst="rect">
                          <a:avLst/>
                        </a:prstGeom>
                        <a:solidFill>
                          <a:prstClr val="white"/>
                        </a:solidFill>
                        <a:ln>
                          <a:noFill/>
                        </a:ln>
                      </wps:spPr>
                      <wps:txbx>
                        <w:txbxContent>
                          <w:p w14:paraId="6BD10B2B" w14:textId="49EAB4A6" w:rsidR="00AB7FD4" w:rsidRPr="003F5BFE" w:rsidRDefault="00AB7FD4" w:rsidP="00AB7FD4">
                            <w:pPr>
                              <w:pStyle w:val="Caption"/>
                              <w:rPr>
                                <w:rFonts w:eastAsia="Cambria" w:cstheme="minorHAnsi"/>
                                <w:noProof/>
                                <w:szCs w:val="24"/>
                              </w:rPr>
                            </w:pPr>
                            <w:r>
                              <w:t xml:space="preserve">Figure </w:t>
                            </w:r>
                            <w:r>
                              <w:fldChar w:fldCharType="begin"/>
                            </w:r>
                            <w:r>
                              <w:instrText>SEQ Figure \* ARABIC</w:instrText>
                            </w:r>
                            <w:r>
                              <w:fldChar w:fldCharType="separate"/>
                            </w:r>
                            <w:r w:rsidR="00DA14E2">
                              <w:rPr>
                                <w:noProof/>
                              </w:rPr>
                              <w:t>6</w:t>
                            </w:r>
                            <w:r>
                              <w:fldChar w:fldCharType="end"/>
                            </w:r>
                            <w:r>
                              <w:t xml:space="preserve">: </w:t>
                            </w:r>
                            <w:r w:rsidRPr="00915063">
                              <w:t>Example 19 - Revising base period emissions due to divestment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043A45" id="Text Box 38" o:spid="_x0000_s1029" type="#_x0000_t202" style="position:absolute;margin-left:0;margin-top:235.05pt;width:438.15pt;height:.05pt;z-index:2516992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" stroked="f">
                <v:textbox style="mso-fit-shape-to-text:t" inset="0,0,0,0">
                  <w:txbxContent>
                    <w:p w14:paraId="6BD10B2B" w14:textId="49EAB4A6" w:rsidR="00AB7FD4" w:rsidRPr="003F5BFE" w:rsidRDefault="00AB7FD4" w:rsidP="00AB7FD4">
                      <w:pPr>
                        <w:pStyle w:val="Caption"/>
                        <w:rPr>
                          <w:rFonts w:eastAsia="Cambria" w:cstheme="minorHAnsi"/>
                          <w:noProof/>
                          <w:szCs w:val="24"/>
                        </w:rPr>
                      </w:pPr>
                      <w:r>
                        <w:t xml:space="preserve">Figure </w:t>
                      </w:r>
                      <w:r>
                        <w:fldChar w:fldCharType="begin"/>
                      </w:r>
                      <w:r>
                        <w:instrText>SEQ Figure \* ARABIC</w:instrText>
                      </w:r>
                      <w:r>
                        <w:fldChar w:fldCharType="separate"/>
                      </w:r>
                      <w:r w:rsidR="00DA14E2">
                        <w:rPr>
                          <w:noProof/>
                        </w:rPr>
                        <w:t>6</w:t>
                      </w:r>
                      <w:r>
                        <w:fldChar w:fldCharType="end"/>
                      </w:r>
                      <w:r>
                        <w:t xml:space="preserve">: </w:t>
                      </w:r>
                      <w:r w:rsidRPr="00915063">
                        <w:t xml:space="preserve">Example 19 - Revising base period emissions due to </w:t>
                      </w:r>
                      <w:proofErr w:type="gramStart"/>
                      <w:r w:rsidRPr="00915063">
                        <w:t>divestment</w:t>
                      </w:r>
                      <w:proofErr w:type="gramEnd"/>
                    </w:p>
                  </w:txbxContent>
                </v:textbox>
                <w10:wrap type="topAndBottom" anchorx="margin"/>
              </v:shape>
            </w:pict>
          </mc:Fallback>
        </mc:AlternateContent>
      </w:r>
      <w:r w:rsidR="001B10EB" w:rsidRPr="00E43F8E">
        <w:rPr>
          <w:noProof/>
        </w:rPr>
        <w:drawing>
          <wp:anchor distT="90170" distB="90170" distL="114300" distR="114300" simplePos="0" relativeHeight="251679744" behindDoc="0" locked="0" layoutInCell="1" allowOverlap="1" wp14:anchorId="7291D94E" wp14:editId="7A77B5E3">
            <wp:simplePos x="0" y="0"/>
            <wp:positionH relativeFrom="page">
              <wp:align>center</wp:align>
            </wp:positionH>
            <wp:positionV relativeFrom="paragraph">
              <wp:posOffset>607</wp:posOffset>
            </wp:positionV>
            <wp:extent cx="5564505" cy="3108960"/>
            <wp:effectExtent l="0" t="0" r="0" b="0"/>
            <wp:wrapTopAndBottom/>
            <wp:docPr id="748117187" name="Picture 74811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3">
                      <a:extLst>
                        <a:ext uri="{28A0092B-C50C-407E-A947-70E740481C1C}">
                          <a14:useLocalDpi xmlns:a14="http://schemas.microsoft.com/office/drawing/2010/main" val="0"/>
                        </a:ext>
                      </a:extLst>
                    </a:blip>
                    <a:srcRect/>
                    <a:stretch/>
                  </pic:blipFill>
                  <pic:spPr bwMode="auto">
                    <a:xfrm>
                      <a:off x="0" y="0"/>
                      <a:ext cx="5564505" cy="3108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0EB" w:rsidRPr="00E43F8E">
        <w:t>Example 20</w:t>
      </w:r>
      <w:r w:rsidR="00951C49" w:rsidRPr="00E43F8E">
        <w:t xml:space="preserve"> – Base </w:t>
      </w:r>
      <w:r w:rsidR="001B10EB" w:rsidRPr="00E43F8E">
        <w:t xml:space="preserve">period emissions </w:t>
      </w:r>
      <w:r w:rsidR="00E2315D" w:rsidRPr="00E43F8E">
        <w:t xml:space="preserve">following </w:t>
      </w:r>
      <w:r w:rsidR="009B55D4" w:rsidRPr="00E43F8E">
        <w:t xml:space="preserve">the </w:t>
      </w:r>
      <w:r w:rsidR="00653958" w:rsidRPr="00E43F8E">
        <w:t>construction</w:t>
      </w:r>
      <w:r w:rsidR="001B10EB" w:rsidRPr="00E43F8E">
        <w:t xml:space="preserve"> of a facility after the base period</w:t>
      </w:r>
    </w:p>
    <w:p w14:paraId="40AB9311" w14:textId="1417E165" w:rsidR="001B10EB" w:rsidRPr="00361F7E" w:rsidRDefault="001B10EB" w:rsidP="00E43F8E">
      <w:r w:rsidRPr="00361F7E">
        <w:t>A company operates facility A, which emitted 25 tonnes of CO</w:t>
      </w:r>
      <w:r w:rsidRPr="00361F7E">
        <w:rPr>
          <w:vertAlign w:val="subscript"/>
        </w:rPr>
        <w:t>2</w:t>
      </w:r>
      <w:r w:rsidRPr="00361F7E">
        <w:t>-e during the company’s base period, and 30 tonnes of CO</w:t>
      </w:r>
      <w:r w:rsidRPr="00361F7E">
        <w:rPr>
          <w:vertAlign w:val="subscript"/>
        </w:rPr>
        <w:t>2</w:t>
      </w:r>
      <w:r w:rsidRPr="00361F7E">
        <w:t xml:space="preserve">-e during the reporting period. At the beginning of the reporting period they </w:t>
      </w:r>
      <w:r w:rsidR="00644E5D" w:rsidRPr="00361F7E">
        <w:t>finished construction of</w:t>
      </w:r>
      <w:r w:rsidRPr="00361F7E">
        <w:t xml:space="preserve"> a new facility (facility B) which emitted 20 tonnes of CO</w:t>
      </w:r>
      <w:r w:rsidRPr="00361F7E">
        <w:rPr>
          <w:vertAlign w:val="subscript"/>
        </w:rPr>
        <w:t>2</w:t>
      </w:r>
      <w:r w:rsidRPr="00361F7E">
        <w:t>-e during the reporting period. Facility B did not come into existence until after the base period, therefore their base period emissions (25 tonnes of CO</w:t>
      </w:r>
      <w:r w:rsidRPr="00361F7E">
        <w:rPr>
          <w:vertAlign w:val="subscript"/>
        </w:rPr>
        <w:t>2</w:t>
      </w:r>
      <w:r w:rsidRPr="00361F7E">
        <w:t>-e) remain unchanged and no recalculation is required. Their total emissions for the reporting period are 50 tonnes of CO</w:t>
      </w:r>
      <w:r w:rsidRPr="00361F7E">
        <w:rPr>
          <w:vertAlign w:val="subscript"/>
        </w:rPr>
        <w:t>2</w:t>
      </w:r>
      <w:r w:rsidRPr="00361F7E">
        <w:t>-e.</w:t>
      </w:r>
    </w:p>
    <w:p w14:paraId="5F682709" w14:textId="20A28686" w:rsidR="00896444" w:rsidRDefault="00CB4D10" w:rsidP="00CB4D10">
      <w:pPr>
        <w:spacing w:after="0"/>
        <w:jc w:val="center"/>
        <w:rPr>
          <w:rFonts w:asciiTheme="majorHAnsi" w:eastAsia="Times New Roman" w:hAnsiTheme="majorHAnsi"/>
          <w:b/>
          <w:bCs/>
          <w:sz w:val="32"/>
          <w:szCs w:val="32"/>
        </w:rPr>
      </w:pPr>
      <w:r w:rsidRPr="00D85364">
        <w:rPr>
          <w:noProof/>
          <w:highlight w:val="yellow"/>
        </w:rPr>
        <mc:AlternateContent>
          <mc:Choice Requires="wps">
            <w:drawing>
              <wp:anchor distT="0" distB="0" distL="114300" distR="114300" simplePos="0" relativeHeight="251704320" behindDoc="0" locked="0" layoutInCell="1" allowOverlap="1" wp14:anchorId="2633D45A" wp14:editId="160F897D">
                <wp:simplePos x="0" y="0"/>
                <wp:positionH relativeFrom="margin">
                  <wp:align>center</wp:align>
                </wp:positionH>
                <wp:positionV relativeFrom="paragraph">
                  <wp:posOffset>2992120</wp:posOffset>
                </wp:positionV>
                <wp:extent cx="5740400" cy="63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5740400" cy="635"/>
                        </a:xfrm>
                        <a:prstGeom prst="rect">
                          <a:avLst/>
                        </a:prstGeom>
                        <a:solidFill>
                          <a:prstClr val="white"/>
                        </a:solidFill>
                        <a:ln>
                          <a:noFill/>
                        </a:ln>
                      </wps:spPr>
                      <wps:txbx>
                        <w:txbxContent>
                          <w:p w14:paraId="4BDFD651" w14:textId="6D320CF0" w:rsidR="00AB7FD4" w:rsidRPr="00BF2E8A" w:rsidRDefault="00AB7FD4" w:rsidP="00AB7FD4">
                            <w:pPr>
                              <w:pStyle w:val="Caption"/>
                              <w:rPr>
                                <w:rFonts w:eastAsiaTheme="majorEastAsia" w:cstheme="majorBidi"/>
                                <w:b/>
                                <w:noProof/>
                                <w:szCs w:val="24"/>
                              </w:rPr>
                            </w:pPr>
                            <w:r>
                              <w:t xml:space="preserve">Figure </w:t>
                            </w:r>
                            <w:r>
                              <w:fldChar w:fldCharType="begin"/>
                            </w:r>
                            <w:r>
                              <w:instrText>SEQ Figure \* ARABIC</w:instrText>
                            </w:r>
                            <w:r>
                              <w:fldChar w:fldCharType="separate"/>
                            </w:r>
                            <w:r w:rsidR="00DA14E2">
                              <w:rPr>
                                <w:noProof/>
                              </w:rPr>
                              <w:t>7</w:t>
                            </w:r>
                            <w:r>
                              <w:fldChar w:fldCharType="end"/>
                            </w:r>
                            <w:r>
                              <w:t xml:space="preserve">: </w:t>
                            </w:r>
                            <w:r w:rsidRPr="00A17B5A">
                              <w:t xml:space="preserve">Example 20 - Revising base period emissions due to </w:t>
                            </w:r>
                            <w:r w:rsidR="00363014">
                              <w:t>construction</w:t>
                            </w:r>
                            <w:r w:rsidRPr="00A17B5A">
                              <w:t xml:space="preserve"> of a facility after the base period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633D45A" id="Text Box 39" o:spid="_x0000_s1030" type="#_x0000_t202" style="position:absolute;left:0;text-align:left;margin-left:0;margin-top:235.6pt;width:452pt;height:.05pt;z-index:2517043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" stroked="f">
                <v:textbox style="mso-fit-shape-to-text:t" inset="0,0,0,0">
                  <w:txbxContent>
                    <w:p w14:paraId="4BDFD651" w14:textId="6D320CF0" w:rsidR="00AB7FD4" w:rsidRPr="00BF2E8A" w:rsidRDefault="00AB7FD4" w:rsidP="00AB7FD4">
                      <w:pPr>
                        <w:pStyle w:val="Caption"/>
                        <w:rPr>
                          <w:rFonts w:eastAsiaTheme="majorEastAsia" w:cstheme="majorBidi"/>
                          <w:b/>
                          <w:noProof/>
                          <w:szCs w:val="24"/>
                        </w:rPr>
                      </w:pPr>
                      <w:r>
                        <w:t xml:space="preserve">Figure </w:t>
                      </w:r>
                      <w:r>
                        <w:fldChar w:fldCharType="begin"/>
                      </w:r>
                      <w:r>
                        <w:instrText>SEQ Figure \* ARABIC</w:instrText>
                      </w:r>
                      <w:r>
                        <w:fldChar w:fldCharType="separate"/>
                      </w:r>
                      <w:r w:rsidR="00DA14E2">
                        <w:rPr>
                          <w:noProof/>
                        </w:rPr>
                        <w:t>7</w:t>
                      </w:r>
                      <w:r>
                        <w:fldChar w:fldCharType="end"/>
                      </w:r>
                      <w:r>
                        <w:t xml:space="preserve">: </w:t>
                      </w:r>
                      <w:r w:rsidRPr="00A17B5A">
                        <w:t xml:space="preserve">Example 20 - Revising base period emissions due to </w:t>
                      </w:r>
                      <w:r w:rsidR="00363014">
                        <w:t>construction</w:t>
                      </w:r>
                      <w:r w:rsidRPr="00A17B5A">
                        <w:t xml:space="preserve"> of a facility after the base </w:t>
                      </w:r>
                      <w:proofErr w:type="gramStart"/>
                      <w:r w:rsidRPr="00A17B5A">
                        <w:t>period</w:t>
                      </w:r>
                      <w:proofErr w:type="gramEnd"/>
                    </w:p>
                  </w:txbxContent>
                </v:textbox>
                <w10:wrap anchorx="margin"/>
              </v:shape>
            </w:pict>
          </mc:Fallback>
        </mc:AlternateContent>
      </w:r>
      <w:r w:rsidR="00AB7FD4">
        <w:rPr>
          <w:noProof/>
        </w:rPr>
        <w:drawing>
          <wp:inline distT="0" distB="0" distL="0" distR="0" wp14:anchorId="4874C0C7" wp14:editId="3EAE9E22">
            <wp:extent cx="5740400" cy="2981325"/>
            <wp:effectExtent l="0" t="0" r="0" b="9525"/>
            <wp:docPr id="1379277135" name="Picture 137927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77135" name="Picture 1379277135"/>
                    <pic:cNvPicPr>
                      <a:picLocks noChangeAspect="1"/>
                    </pic:cNvPicPr>
                  </pic:nvPicPr>
                  <pic:blipFill rotWithShape="1">
                    <a:blip r:embed="rId34">
                      <a:extLst>
                        <a:ext uri="{28A0092B-C50C-407E-A947-70E740481C1C}">
                          <a14:useLocalDpi xmlns:a14="http://schemas.microsoft.com/office/drawing/2010/main" val="0"/>
                        </a:ext>
                      </a:extLst>
                    </a:blip>
                    <a:srcRect/>
                    <a:stretch/>
                  </pic:blipFill>
                  <pic:spPr bwMode="auto">
                    <a:xfrm>
                      <a:off x="0" y="0"/>
                      <a:ext cx="5740400" cy="2981325"/>
                    </a:xfrm>
                    <a:prstGeom prst="rect">
                      <a:avLst/>
                    </a:prstGeom>
                    <a:ln>
                      <a:noFill/>
                    </a:ln>
                    <a:extLst>
                      <a:ext uri="{53640926-AAD7-44D8-BBD7-CCE9431645EC}">
                        <a14:shadowObscured xmlns:a14="http://schemas.microsoft.com/office/drawing/2010/main"/>
                      </a:ext>
                    </a:extLst>
                  </pic:spPr>
                </pic:pic>
              </a:graphicData>
            </a:graphic>
          </wp:inline>
        </w:drawing>
      </w:r>
      <w:r w:rsidR="00896444">
        <w:br w:type="page"/>
      </w:r>
    </w:p>
    <w:p w14:paraId="1B2EC5BC" w14:textId="1940A0DE" w:rsidR="00957C7F" w:rsidRDefault="007014CF" w:rsidP="00EF032E">
      <w:pPr>
        <w:pStyle w:val="Heading2"/>
        <w:spacing w:before="0"/>
      </w:pPr>
      <w:bookmarkStart w:id="21" w:name="_Toc121236627"/>
      <w:r>
        <w:lastRenderedPageBreak/>
        <w:t xml:space="preserve">Calculating progress – </w:t>
      </w:r>
      <w:r>
        <w:rPr>
          <w:i/>
          <w:iCs/>
        </w:rPr>
        <w:t>Section 8 of the CERT Guidelines</w:t>
      </w:r>
      <w:bookmarkEnd w:id="21"/>
    </w:p>
    <w:p w14:paraId="4ACA3C33" w14:textId="77777777" w:rsidR="00E619A0" w:rsidRDefault="00E619A0" w:rsidP="00EF032E">
      <w:pPr>
        <w:spacing w:after="0"/>
        <w:rPr>
          <w:b/>
        </w:rPr>
      </w:pPr>
    </w:p>
    <w:p w14:paraId="61DC0F02" w14:textId="454D6DA9" w:rsidR="00EF032E" w:rsidRPr="004532B2" w:rsidRDefault="00E619A0" w:rsidP="00EF032E">
      <w:pPr>
        <w:spacing w:after="0"/>
      </w:pPr>
      <w:r w:rsidRPr="00E67827">
        <w:rPr>
          <w:b/>
        </w:rPr>
        <w:t>Please note:</w:t>
      </w:r>
      <w:r w:rsidRPr="004532B2">
        <w:t xml:space="preserve"> progress is only calculated in CERT for commitments that meet the </w:t>
      </w:r>
      <w:r>
        <w:t xml:space="preserve">eligibility </w:t>
      </w:r>
      <w:r w:rsidRPr="004532B2">
        <w:t>requirements specified in Section 3 of the</w:t>
      </w:r>
      <w:r>
        <w:t xml:space="preserve"> </w:t>
      </w:r>
      <w:hyperlink r:id="rId35">
        <w:r w:rsidRPr="45F1F6B2">
          <w:rPr>
            <w:rStyle w:val="Hyperlink"/>
          </w:rPr>
          <w:t>CERT Guidelines</w:t>
        </w:r>
      </w:hyperlink>
      <w:r w:rsidR="00912CD0">
        <w:rPr>
          <w:rStyle w:val="FootnoteReference"/>
          <w:rFonts w:ascii="Calibri" w:hAnsi="Calibri"/>
          <w:color w:val="006C93" w:themeColor="accent3"/>
          <w:u w:val="single"/>
        </w:rPr>
        <w:footnoteReference w:id="27"/>
      </w:r>
      <w:r>
        <w:t>.</w:t>
      </w:r>
    </w:p>
    <w:p w14:paraId="45AC5CF6" w14:textId="5682ECDA" w:rsidR="00E619A0" w:rsidRPr="00215D93" w:rsidRDefault="00E619A0" w:rsidP="00E43F8E">
      <w:pPr>
        <w:pStyle w:val="Heading4"/>
      </w:pPr>
      <w:r w:rsidRPr="0034763A">
        <w:t>Example</w:t>
      </w:r>
      <w:r>
        <w:t xml:space="preserve"> </w:t>
      </w:r>
      <w:r w:rsidR="00F42C84">
        <w:t>21</w:t>
      </w:r>
      <w:r>
        <w:t xml:space="preserve"> – Progress for a n</w:t>
      </w:r>
      <w:r w:rsidRPr="00215D93">
        <w:t>et zero commitment</w:t>
      </w:r>
      <w:r>
        <w:t xml:space="preserve"> of a CERT Participant with subsidiaries</w:t>
      </w:r>
    </w:p>
    <w:p w14:paraId="00771EDD" w14:textId="17D25FD9" w:rsidR="00E619A0" w:rsidRDefault="003E2785" w:rsidP="00EF032E">
      <w:pPr>
        <w:spacing w:after="0"/>
      </w:pPr>
      <w:r>
        <w:t>Company A</w:t>
      </w:r>
      <w:r w:rsidR="00E619A0" w:rsidRPr="00E10A21">
        <w:t xml:space="preserve"> </w:t>
      </w:r>
      <w:r w:rsidR="00E619A0">
        <w:t xml:space="preserve">has a commitment to </w:t>
      </w:r>
      <w:r w:rsidR="00E619A0" w:rsidRPr="00E10A21">
        <w:t>achieve net zero emissions by 2050, down from a 2018-19 baseline of 3</w:t>
      </w:r>
      <w:r w:rsidR="00E619A0">
        <w:t xml:space="preserve"> </w:t>
      </w:r>
      <w:r w:rsidR="00E619A0" w:rsidRPr="00E10A21">
        <w:t>Mt</w:t>
      </w:r>
      <w:r w:rsidR="00E619A0">
        <w:t xml:space="preserve"> </w:t>
      </w:r>
      <w:r w:rsidR="00E619A0" w:rsidRPr="00E10A21">
        <w:t>CO</w:t>
      </w:r>
      <w:r w:rsidR="00E619A0" w:rsidRPr="00785B9D">
        <w:rPr>
          <w:vertAlign w:val="subscript"/>
        </w:rPr>
        <w:t>2</w:t>
      </w:r>
      <w:r w:rsidR="00BC5403" w:rsidRPr="00785B9D">
        <w:t>-</w:t>
      </w:r>
      <w:r w:rsidR="00E619A0" w:rsidRPr="00E10A21">
        <w:t xml:space="preserve">e. </w:t>
      </w:r>
      <w:r w:rsidR="00E619A0">
        <w:t xml:space="preserve">They </w:t>
      </w:r>
      <w:r w:rsidR="00E619A0" w:rsidRPr="00E10A21">
        <w:t xml:space="preserve">nominate location-based </w:t>
      </w:r>
      <w:r w:rsidR="00FC3238">
        <w:t>S</w:t>
      </w:r>
      <w:r w:rsidR="00E619A0" w:rsidRPr="00E10A21">
        <w:t>cope 2 emissions accounting</w:t>
      </w:r>
      <w:r w:rsidR="00E619A0">
        <w:t>. They have</w:t>
      </w:r>
      <w:r w:rsidR="00E619A0" w:rsidRPr="00E10A21">
        <w:t xml:space="preserve"> surrendered some carbon unit offsets towards </w:t>
      </w:r>
      <w:r w:rsidR="00E619A0">
        <w:t>their commitment</w:t>
      </w:r>
      <w:r w:rsidR="00E619A0" w:rsidRPr="00E10A21">
        <w:t xml:space="preserve"> goal but ha</w:t>
      </w:r>
      <w:r w:rsidR="00E619A0">
        <w:t>ve</w:t>
      </w:r>
      <w:r w:rsidR="00E619A0" w:rsidRPr="00E10A21">
        <w:t xml:space="preserve"> also made absolute emissions reductions</w:t>
      </w:r>
      <w:r w:rsidR="00E619A0">
        <w:t xml:space="preserve"> to reach a position of 2.225 Mt CO</w:t>
      </w:r>
      <w:r w:rsidR="00E619A0" w:rsidRPr="00785B9D">
        <w:rPr>
          <w:vertAlign w:val="subscript"/>
        </w:rPr>
        <w:t>2</w:t>
      </w:r>
      <w:r w:rsidR="00BC5403" w:rsidRPr="00785B9D">
        <w:t>-</w:t>
      </w:r>
      <w:r w:rsidR="00E619A0">
        <w:t>e</w:t>
      </w:r>
      <w:r w:rsidR="00E619A0" w:rsidRPr="00E10A21">
        <w:t xml:space="preserve">. </w:t>
      </w:r>
    </w:p>
    <w:p w14:paraId="74E7C16C" w14:textId="77777777" w:rsidR="00E619A0" w:rsidRDefault="00E619A0" w:rsidP="00EF032E">
      <w:pPr>
        <w:spacing w:after="0"/>
      </w:pPr>
    </w:p>
    <w:p w14:paraId="79F454D4" w14:textId="35F45490" w:rsidR="00E619A0" w:rsidRDefault="004A320A" w:rsidP="00EF032E">
      <w:pPr>
        <w:spacing w:after="0"/>
      </w:pPr>
      <w:r>
        <w:t>Company A</w:t>
      </w:r>
      <w:r w:rsidR="00E619A0" w:rsidRPr="00E10A21">
        <w:t xml:space="preserve"> </w:t>
      </w:r>
      <w:r w:rsidR="00E619A0">
        <w:t xml:space="preserve">(as the parent company) </w:t>
      </w:r>
      <w:r w:rsidR="00E619A0" w:rsidRPr="00E10A21">
        <w:t xml:space="preserve">surrenders LGCs to meet </w:t>
      </w:r>
      <w:r w:rsidR="00E619A0">
        <w:t xml:space="preserve">a commitment made by a </w:t>
      </w:r>
      <w:r w:rsidR="00E619A0" w:rsidDel="00E43839">
        <w:t>subsidiary</w:t>
      </w:r>
      <w:r w:rsidR="00E619A0">
        <w:t>,</w:t>
      </w:r>
      <w:r w:rsidR="00E619A0" w:rsidRPr="00E10A21">
        <w:t xml:space="preserve"> but these are not counted </w:t>
      </w:r>
      <w:r w:rsidR="00E619A0">
        <w:t xml:space="preserve">as progress </w:t>
      </w:r>
      <w:r w:rsidR="00E619A0" w:rsidRPr="00E10A21">
        <w:t>towards their location-based commitment</w:t>
      </w:r>
      <w:r w:rsidR="00E619A0">
        <w:t xml:space="preserve"> (see</w:t>
      </w:r>
      <w:r w:rsidR="000B09B3">
        <w:t xml:space="preserve"> </w:t>
      </w:r>
      <w:r w:rsidR="000B09B3" w:rsidRPr="00785B9D">
        <w:rPr>
          <w:bCs/>
          <w:i/>
          <w:iCs/>
        </w:rPr>
        <w:t xml:space="preserve">Example 10 – A company’s Scope 2 emissions under </w:t>
      </w:r>
      <w:r w:rsidR="000B09B3" w:rsidRPr="00785B9D">
        <w:rPr>
          <w:bCs/>
          <w:i/>
          <w:iCs/>
          <w:u w:val="single"/>
        </w:rPr>
        <w:t>location-based accounting</w:t>
      </w:r>
      <w:r w:rsidR="00E619A0">
        <w:t>).</w:t>
      </w:r>
      <w:r w:rsidR="00E619A0" w:rsidRPr="00E10A21">
        <w:t xml:space="preserve"> Therefore, their net emissions position is their combined gross </w:t>
      </w:r>
      <w:r w:rsidR="00FC3238">
        <w:t>S</w:t>
      </w:r>
      <w:r w:rsidR="00E619A0" w:rsidRPr="00E10A21">
        <w:t>cope 1 and 2 emissions as reported in NGER</w:t>
      </w:r>
      <w:r w:rsidR="00E619A0">
        <w:t xml:space="preserve"> minus any eligible carbon units</w:t>
      </w:r>
      <w:r w:rsidR="00E619A0" w:rsidRPr="00E10A21">
        <w:t>.</w:t>
      </w:r>
    </w:p>
    <w:p w14:paraId="2D67337D" w14:textId="77777777" w:rsidR="00E619A0" w:rsidRPr="00E10A21" w:rsidRDefault="00E619A0" w:rsidP="00EF032E">
      <w:pPr>
        <w:spacing w:after="0"/>
      </w:pPr>
    </w:p>
    <w:p w14:paraId="6B2F2098" w14:textId="77777777" w:rsidR="00E619A0" w:rsidRDefault="00E619A0" w:rsidP="00EF032E">
      <w:pPr>
        <w:spacing w:after="0"/>
        <w:rPr>
          <w:i/>
          <w:iCs/>
        </w:rPr>
      </w:pPr>
      <w:r w:rsidRPr="0079208E">
        <w:rPr>
          <w:i/>
          <w:iCs/>
        </w:rPr>
        <w:t>Their current emissions position is:</w:t>
      </w:r>
    </w:p>
    <w:p w14:paraId="66486A1A" w14:textId="77777777" w:rsidR="000E30FE" w:rsidRPr="00785B9D" w:rsidRDefault="000E30FE" w:rsidP="00EF032E">
      <w:pPr>
        <w:spacing w:after="0"/>
      </w:pPr>
    </w:p>
    <w:p w14:paraId="4A142321" w14:textId="01AAAACB" w:rsidR="000E30FE" w:rsidRPr="00785B9D" w:rsidRDefault="000E30FE" w:rsidP="00785B9D">
      <w:pPr>
        <w:spacing w:after="0"/>
      </w:pPr>
      <m:oMathPara>
        <m:oMathParaPr>
          <m:jc m:val="left"/>
        </m:oMathParaPr>
        <m:oMath>
          <m:r>
            <w:rPr>
              <w:rFonts w:ascii="Cambria Math" w:hAnsi="Cambria Math"/>
            </w:rPr>
            <m:t>=1-</m:t>
          </m:r>
          <m:f>
            <m:fPr>
              <m:ctrlPr>
                <w:rPr>
                  <w:rFonts w:ascii="Cambria Math" w:hAnsi="Cambria Math"/>
                  <w:i/>
                </w:rPr>
              </m:ctrlPr>
            </m:fPr>
            <m:num>
              <m:r>
                <w:rPr>
                  <w:rFonts w:ascii="Cambria Math" w:hAnsi="Cambria Math"/>
                </w:rPr>
                <m:t>Net Scope 1 and 2 emissions</m:t>
              </m:r>
            </m:num>
            <m:den>
              <m:r>
                <w:rPr>
                  <w:rFonts w:ascii="Cambria Math" w:hAnsi="Cambria Math"/>
                </w:rPr>
                <m:t>Base period emissions</m:t>
              </m:r>
            </m:den>
          </m:f>
        </m:oMath>
      </m:oMathPara>
    </w:p>
    <w:p w14:paraId="2E6C72C6" w14:textId="77777777" w:rsidR="007F304D" w:rsidRPr="007F304D" w:rsidRDefault="007F304D" w:rsidP="00C02804">
      <w:pPr>
        <w:spacing w:after="0"/>
      </w:pPr>
    </w:p>
    <w:p w14:paraId="06EC0197" w14:textId="638D9CF5" w:rsidR="000E30FE" w:rsidRPr="00C02804" w:rsidRDefault="00C97242" w:rsidP="00785B9D">
      <w:pPr>
        <w:spacing w:after="0"/>
      </w:pPr>
      <m:oMathPara>
        <m:oMathParaPr>
          <m:jc m:val="left"/>
        </m:oMathParaPr>
        <m:oMath>
          <m:r>
            <w:rPr>
              <w:rFonts w:ascii="Cambria Math" w:hAnsi="Cambria Math"/>
            </w:rPr>
            <m:t>=1-</m:t>
          </m:r>
          <m:f>
            <m:fPr>
              <m:ctrlPr>
                <w:rPr>
                  <w:rFonts w:ascii="Cambria Math" w:hAnsi="Cambria Math"/>
                  <w:i/>
                </w:rPr>
              </m:ctrlPr>
            </m:fPr>
            <m:num>
              <m:r>
                <w:rPr>
                  <w:rFonts w:ascii="Cambria Math" w:hAnsi="Cambria Math"/>
                </w:rPr>
                <m:t>2.225 Mt</m:t>
              </m:r>
              <m:sSub>
                <m:sSubPr>
                  <m:ctrlPr>
                    <w:rPr>
                      <w:rFonts w:ascii="Cambria Math" w:hAnsi="Cambria Math"/>
                      <w:i/>
                    </w:rPr>
                  </m:ctrlPr>
                </m:sSubPr>
                <m:e>
                  <m:r>
                    <w:rPr>
                      <w:rFonts w:ascii="Cambria Math" w:hAnsi="Cambria Math"/>
                    </w:rPr>
                    <m:t xml:space="preserve"> CO</m:t>
                  </m:r>
                </m:e>
                <m:sub>
                  <m:r>
                    <w:rPr>
                      <w:rFonts w:ascii="Cambria Math" w:hAnsi="Cambria Math"/>
                    </w:rPr>
                    <m:t>2</m:t>
                  </m:r>
                </m:sub>
              </m:sSub>
              <m:r>
                <w:rPr>
                  <w:rFonts w:ascii="Cambria Math" w:hAnsi="Cambria Math"/>
                </w:rPr>
                <m:t>e</m:t>
              </m:r>
            </m:num>
            <m:den>
              <m:r>
                <w:rPr>
                  <w:rFonts w:ascii="Cambria Math" w:hAnsi="Cambria Math"/>
                </w:rPr>
                <m:t xml:space="preserve">3 Mt </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m:t>
              </m:r>
            </m:den>
          </m:f>
        </m:oMath>
      </m:oMathPara>
    </w:p>
    <w:p w14:paraId="05B48038" w14:textId="77777777" w:rsidR="007F304D" w:rsidRPr="00785B9D" w:rsidRDefault="007F304D" w:rsidP="007F304D">
      <w:pPr>
        <w:spacing w:after="0"/>
      </w:pPr>
    </w:p>
    <w:p w14:paraId="0A024D6D" w14:textId="19D1FD41" w:rsidR="00E619A0" w:rsidRPr="0079208E" w:rsidRDefault="00F22FEF" w:rsidP="00785B9D">
      <w:pPr>
        <w:spacing w:after="0"/>
        <w:rPr>
          <w:i/>
          <w:iCs/>
        </w:rPr>
      </w:pPr>
      <m:oMathPara>
        <m:oMath>
          <m:r>
            <w:rPr>
              <w:rFonts w:ascii="Cambria Math" w:hAnsi="Cambria Math"/>
            </w:rPr>
            <m:t xml:space="preserve">=0.26 or </m:t>
          </m:r>
          <m:r>
            <m:rPr>
              <m:sty m:val="bi"/>
            </m:rPr>
            <w:rPr>
              <w:rFonts w:ascii="Cambria Math" w:hAnsi="Cambria Math"/>
            </w:rPr>
            <m:t>26%</m:t>
          </m:r>
        </m:oMath>
      </m:oMathPara>
    </w:p>
    <w:p w14:paraId="1560F8C9" w14:textId="77777777" w:rsidR="00E619A0" w:rsidRDefault="00E619A0" w:rsidP="00EF032E">
      <w:pPr>
        <w:spacing w:after="0"/>
        <w:rPr>
          <w:i/>
          <w:iCs/>
        </w:rPr>
      </w:pPr>
    </w:p>
    <w:p w14:paraId="4434F49C" w14:textId="5ACDB1AF" w:rsidR="00E619A0" w:rsidRDefault="00F22FEF" w:rsidP="00EF032E">
      <w:pPr>
        <w:spacing w:after="0"/>
        <w:rPr>
          <w:i/>
          <w:iCs/>
        </w:rPr>
      </w:pPr>
      <w:r>
        <w:rPr>
          <w:i/>
          <w:iCs/>
        </w:rPr>
        <w:t>Their e</w:t>
      </w:r>
      <w:r w:rsidR="00E619A0" w:rsidRPr="0079208E">
        <w:rPr>
          <w:i/>
          <w:iCs/>
        </w:rPr>
        <w:t>missions progress is:</w:t>
      </w:r>
    </w:p>
    <w:p w14:paraId="1F1631DD" w14:textId="77777777" w:rsidR="00F87FBB" w:rsidRDefault="00F87FBB" w:rsidP="00EF032E">
      <w:pPr>
        <w:spacing w:after="0"/>
      </w:pPr>
    </w:p>
    <w:p w14:paraId="23CA155B" w14:textId="1E13188D" w:rsidR="00F87FBB" w:rsidRPr="00C02804" w:rsidRDefault="00F87FBB" w:rsidP="00695FDD">
      <w:pPr>
        <w:spacing w:after="0"/>
      </w:pPr>
      <m:oMathPara>
        <m:oMath>
          <m:r>
            <w:rPr>
              <w:rFonts w:ascii="Cambria Math" w:hAnsi="Cambria Math"/>
            </w:rPr>
            <m:t>=</m:t>
          </m:r>
          <m:f>
            <m:fPr>
              <m:ctrlPr>
                <w:rPr>
                  <w:rFonts w:ascii="Cambria Math" w:hAnsi="Cambria Math"/>
                  <w:i/>
                </w:rPr>
              </m:ctrlPr>
            </m:fPr>
            <m:num>
              <m:r>
                <w:rPr>
                  <w:rFonts w:ascii="Cambria Math" w:hAnsi="Cambria Math"/>
                </w:rPr>
                <m:t xml:space="preserve">Current emissions position </m:t>
              </m:r>
            </m:num>
            <m:den>
              <m:r>
                <w:rPr>
                  <w:rFonts w:ascii="Cambria Math" w:hAnsi="Cambria Math"/>
                </w:rPr>
                <m:t>Commitment goal</m:t>
              </m:r>
            </m:den>
          </m:f>
        </m:oMath>
      </m:oMathPara>
    </w:p>
    <w:p w14:paraId="4B3746F9" w14:textId="77777777" w:rsidR="00695FDD" w:rsidRPr="006E2059" w:rsidRDefault="00695FDD" w:rsidP="00C02804">
      <w:pPr>
        <w:spacing w:after="0"/>
      </w:pPr>
    </w:p>
    <w:p w14:paraId="630EEB5D" w14:textId="77D878C8" w:rsidR="006E2059" w:rsidRPr="00C02804" w:rsidRDefault="006E2059" w:rsidP="00695FDD">
      <w:pPr>
        <w:spacing w:after="0"/>
      </w:pPr>
      <m:oMathPara>
        <m:oMath>
          <m:r>
            <w:rPr>
              <w:rFonts w:ascii="Cambria Math" w:hAnsi="Cambria Math"/>
            </w:rPr>
            <m:t>=</m:t>
          </m:r>
          <m:f>
            <m:fPr>
              <m:ctrlPr>
                <w:rPr>
                  <w:rFonts w:ascii="Cambria Math" w:hAnsi="Cambria Math"/>
                  <w:i/>
                </w:rPr>
              </m:ctrlPr>
            </m:fPr>
            <m:num>
              <m:r>
                <w:rPr>
                  <w:rFonts w:ascii="Cambria Math" w:hAnsi="Cambria Math"/>
                </w:rPr>
                <m:t>0.26</m:t>
              </m:r>
            </m:num>
            <m:den>
              <m:r>
                <w:rPr>
                  <w:rFonts w:ascii="Cambria Math" w:hAnsi="Cambria Math"/>
                </w:rPr>
                <m:t>1.00 (100%, net zero)</m:t>
              </m:r>
            </m:den>
          </m:f>
        </m:oMath>
      </m:oMathPara>
    </w:p>
    <w:p w14:paraId="0878AC91" w14:textId="77777777" w:rsidR="00695FDD" w:rsidRPr="00EB3C61" w:rsidRDefault="00695FDD" w:rsidP="00C02804">
      <w:pPr>
        <w:spacing w:after="0"/>
      </w:pPr>
    </w:p>
    <w:p w14:paraId="26444860" w14:textId="2A01AF97" w:rsidR="00EB3C61" w:rsidRPr="00785B9D" w:rsidRDefault="00EB3C61" w:rsidP="00785B9D">
      <w:pPr>
        <w:spacing w:after="0"/>
      </w:pPr>
      <m:oMathPara>
        <m:oMath>
          <m:r>
            <w:rPr>
              <w:rFonts w:ascii="Cambria Math" w:hAnsi="Cambria Math"/>
            </w:rPr>
            <m:t xml:space="preserve">=0.26 or </m:t>
          </m:r>
          <m:r>
            <m:rPr>
              <m:sty m:val="bi"/>
            </m:rPr>
            <w:rPr>
              <w:rFonts w:ascii="Cambria Math" w:hAnsi="Cambria Math"/>
            </w:rPr>
            <m:t>26%</m:t>
          </m:r>
        </m:oMath>
      </m:oMathPara>
    </w:p>
    <w:p w14:paraId="3E98EA5A" w14:textId="00B64CA1" w:rsidR="00E619A0" w:rsidRPr="00266E84" w:rsidRDefault="00E619A0" w:rsidP="00EF032E">
      <w:pPr>
        <w:spacing w:after="0"/>
        <w:jc w:val="center"/>
        <w:rPr>
          <w:i/>
          <w:iCs/>
          <w:noProof/>
          <w:sz w:val="20"/>
          <w:szCs w:val="20"/>
        </w:rPr>
      </w:pPr>
    </w:p>
    <w:p w14:paraId="7A545373" w14:textId="50D06AB9" w:rsidR="00E619A0" w:rsidRPr="00215D93" w:rsidRDefault="00E619A0" w:rsidP="00E43F8E">
      <w:pPr>
        <w:pStyle w:val="Heading4"/>
      </w:pPr>
      <w:r w:rsidRPr="0034763A">
        <w:t>Example</w:t>
      </w:r>
      <w:r>
        <w:t xml:space="preserve"> </w:t>
      </w:r>
      <w:r w:rsidR="00F42C84">
        <w:t>22</w:t>
      </w:r>
      <w:r>
        <w:t xml:space="preserve"> – Progress percentage (%) calculation for renewable electricity percentage commitment</w:t>
      </w:r>
    </w:p>
    <w:p w14:paraId="10126C33" w14:textId="008441AC" w:rsidR="00E619A0" w:rsidRDefault="00336FFD" w:rsidP="00EF032E">
      <w:pPr>
        <w:spacing w:after="0"/>
      </w:pPr>
      <w:r>
        <w:t>Company B</w:t>
      </w:r>
      <w:r w:rsidR="00E619A0" w:rsidRPr="00E10A21">
        <w:rPr>
          <w:bCs/>
        </w:rPr>
        <w:t xml:space="preserve"> </w:t>
      </w:r>
      <w:r w:rsidR="00E619A0" w:rsidRPr="00E10A21">
        <w:t xml:space="preserve">has a commitment to achieve 50% renewable electricity consumption by 2025. </w:t>
      </w:r>
      <w:r>
        <w:t xml:space="preserve">Company B </w:t>
      </w:r>
      <w:r w:rsidR="00E619A0" w:rsidRPr="00E10A21">
        <w:t xml:space="preserve">is not an EITE entity and has no </w:t>
      </w:r>
      <w:r w:rsidR="00DA3E69">
        <w:t>‘</w:t>
      </w:r>
      <w:r w:rsidR="00E619A0" w:rsidRPr="00E10A21">
        <w:t>behind</w:t>
      </w:r>
      <w:r w:rsidR="00E619A0">
        <w:t xml:space="preserve"> </w:t>
      </w:r>
      <w:r w:rsidR="00E619A0" w:rsidRPr="00E10A21">
        <w:t>the</w:t>
      </w:r>
      <w:r w:rsidR="00E619A0">
        <w:t xml:space="preserve"> </w:t>
      </w:r>
      <w:r w:rsidR="00E619A0" w:rsidRPr="00E10A21">
        <w:t>meter</w:t>
      </w:r>
      <w:r w:rsidR="00DA3E69">
        <w:t>’</w:t>
      </w:r>
      <w:r w:rsidR="00E619A0" w:rsidRPr="00E10A21">
        <w:t xml:space="preserve"> generation. Their </w:t>
      </w:r>
      <w:r w:rsidR="00E619A0">
        <w:t>‘</w:t>
      </w:r>
      <w:r w:rsidR="00E619A0" w:rsidRPr="00E10A21">
        <w:t>Renewable Electricity %</w:t>
      </w:r>
      <w:r w:rsidR="00E619A0">
        <w:t>’</w:t>
      </w:r>
      <w:r w:rsidR="00E619A0" w:rsidRPr="00E10A21">
        <w:t xml:space="preserve"> is calculated as 36%</w:t>
      </w:r>
      <w:r w:rsidR="00E619A0">
        <w:t xml:space="preserve"> (see Example </w:t>
      </w:r>
      <w:r w:rsidR="008B4438">
        <w:t xml:space="preserve">12 </w:t>
      </w:r>
      <w:r w:rsidR="00E619A0">
        <w:t>for how that percentage can be calculated).</w:t>
      </w:r>
      <w:r w:rsidR="00E619A0" w:rsidRPr="00E10A21">
        <w:t xml:space="preserve"> Their </w:t>
      </w:r>
      <w:r w:rsidR="00AD1F1A" w:rsidRPr="00F047C0">
        <w:rPr>
          <w:b/>
          <w:bCs/>
        </w:rPr>
        <w:t xml:space="preserve">progress </w:t>
      </w:r>
      <w:r w:rsidR="00E619A0" w:rsidRPr="00F047C0">
        <w:rPr>
          <w:b/>
          <w:bCs/>
        </w:rPr>
        <w:t>percentage</w:t>
      </w:r>
      <w:r w:rsidR="00E619A0" w:rsidRPr="00E10A21">
        <w:t xml:space="preserve"> is:</w:t>
      </w:r>
    </w:p>
    <w:p w14:paraId="384117EB" w14:textId="77777777" w:rsidR="00C23A60" w:rsidRDefault="00C23A60" w:rsidP="00EF032E">
      <w:pPr>
        <w:spacing w:after="0"/>
      </w:pPr>
    </w:p>
    <w:p w14:paraId="7CD16BB2" w14:textId="598CEC06" w:rsidR="00C23A60" w:rsidRPr="007F304D" w:rsidRDefault="00B32C01" w:rsidP="00EF032E">
      <w:pPr>
        <w:spacing w:after="0"/>
      </w:pPr>
      <m:oMathPara>
        <m:oMath>
          <m:r>
            <w:rPr>
              <w:rFonts w:ascii="Cambria Math" w:hAnsi="Cambria Math"/>
            </w:rPr>
            <m:t>=</m:t>
          </m:r>
          <m:f>
            <m:fPr>
              <m:ctrlPr>
                <w:rPr>
                  <w:rFonts w:ascii="Cambria Math" w:hAnsi="Cambria Math"/>
                  <w:i/>
                </w:rPr>
              </m:ctrlPr>
            </m:fPr>
            <m:num>
              <m:r>
                <w:rPr>
                  <w:rFonts w:ascii="Cambria Math" w:hAnsi="Cambria Math"/>
                </w:rPr>
                <m:t>Current position</m:t>
              </m:r>
            </m:num>
            <m:den>
              <m:r>
                <w:rPr>
                  <w:rFonts w:ascii="Cambria Math" w:hAnsi="Cambria Math"/>
                </w:rPr>
                <m:t>Commitment goal</m:t>
              </m:r>
            </m:den>
          </m:f>
        </m:oMath>
      </m:oMathPara>
    </w:p>
    <w:p w14:paraId="3F4B6A34" w14:textId="77777777" w:rsidR="003A7D43" w:rsidRDefault="003A7D43" w:rsidP="00EF032E">
      <w:pPr>
        <w:spacing w:after="0"/>
      </w:pPr>
    </w:p>
    <w:p w14:paraId="79AEEC20" w14:textId="5A6C6155" w:rsidR="003A7D43" w:rsidRPr="007F304D" w:rsidRDefault="003A7D43" w:rsidP="00EF032E">
      <w:pPr>
        <w:spacing w:after="0"/>
      </w:pPr>
      <m:oMathPara>
        <m:oMath>
          <m:r>
            <w:rPr>
              <w:rFonts w:ascii="Cambria Math" w:hAnsi="Cambria Math"/>
            </w:rPr>
            <w:lastRenderedPageBreak/>
            <m:t>=</m:t>
          </m:r>
          <m:f>
            <m:fPr>
              <m:ctrlPr>
                <w:rPr>
                  <w:rFonts w:ascii="Cambria Math" w:hAnsi="Cambria Math"/>
                  <w:i/>
                </w:rPr>
              </m:ctrlPr>
            </m:fPr>
            <m:num>
              <m:r>
                <w:rPr>
                  <w:rFonts w:ascii="Cambria Math" w:hAnsi="Cambria Math"/>
                </w:rPr>
                <m:t>36%</m:t>
              </m:r>
            </m:num>
            <m:den>
              <m:r>
                <w:rPr>
                  <w:rFonts w:ascii="Cambria Math" w:hAnsi="Cambria Math"/>
                </w:rPr>
                <m:t>50%</m:t>
              </m:r>
            </m:den>
          </m:f>
        </m:oMath>
      </m:oMathPara>
    </w:p>
    <w:p w14:paraId="2871A003" w14:textId="77777777" w:rsidR="003A7D43" w:rsidRDefault="003A7D43" w:rsidP="00EF032E">
      <w:pPr>
        <w:spacing w:after="0"/>
      </w:pPr>
    </w:p>
    <w:p w14:paraId="680C0D06" w14:textId="31112C08" w:rsidR="003A7D43" w:rsidRPr="00F047C0" w:rsidRDefault="00AD1F1A" w:rsidP="00EF032E">
      <w:pPr>
        <w:spacing w:after="0"/>
        <w:rPr>
          <w:b/>
          <w:bCs/>
        </w:rPr>
      </w:pPr>
      <m:oMath>
        <m:r>
          <m:rPr>
            <m:sty m:val="bi"/>
          </m:rPr>
          <w:rPr>
            <w:rFonts w:ascii="Cambria Math" w:hAnsi="Cambria Math"/>
          </w:rPr>
          <m:t>=72%</m:t>
        </m:r>
      </m:oMath>
      <w:r>
        <w:rPr>
          <w:b/>
          <w:bCs/>
        </w:rPr>
        <w:t xml:space="preserve"> </w:t>
      </w:r>
      <w:r w:rsidRPr="00F047C0">
        <w:t>progress towards commitment goal</w:t>
      </w:r>
    </w:p>
    <w:p w14:paraId="0B233186" w14:textId="57B5C239" w:rsidR="00193C3E" w:rsidRPr="006A6DE0" w:rsidRDefault="00DA64A5" w:rsidP="00EF032E">
      <w:pPr>
        <w:spacing w:after="0"/>
      </w:pPr>
      <w:r>
        <w:br/>
      </w:r>
      <w:r w:rsidR="00193C3E">
        <w:t xml:space="preserve">For company assured </w:t>
      </w:r>
      <w:r w:rsidR="00E77BE0">
        <w:t xml:space="preserve">commitments, progress percentage </w:t>
      </w:r>
      <w:r w:rsidR="005D3C72">
        <w:t xml:space="preserve">would be </w:t>
      </w:r>
      <w:r w:rsidR="00E77BE0">
        <w:t xml:space="preserve">provided as a </w:t>
      </w:r>
      <w:r w:rsidR="0018672A">
        <w:t xml:space="preserve">progress update </w:t>
      </w:r>
      <w:r w:rsidR="00E77BE0">
        <w:t>statement by the Participant and is not calculated by</w:t>
      </w:r>
      <w:r w:rsidR="00FB6608">
        <w:t xml:space="preserve"> </w:t>
      </w:r>
      <w:r w:rsidR="009C712B">
        <w:t>CER</w:t>
      </w:r>
      <w:r w:rsidR="00E77BE0">
        <w:t>.</w:t>
      </w:r>
    </w:p>
    <w:p w14:paraId="6DF8514E" w14:textId="64D6F24D" w:rsidR="004026EA" w:rsidRPr="00361F7E" w:rsidRDefault="004026EA" w:rsidP="00E43F8E">
      <w:pPr>
        <w:pStyle w:val="Heading4"/>
      </w:pPr>
      <w:r w:rsidRPr="00361F7E">
        <w:t>Example 2</w:t>
      </w:r>
      <w:r w:rsidR="00F42C84" w:rsidRPr="00361F7E">
        <w:t>3</w:t>
      </w:r>
      <w:r w:rsidRPr="00361F7E">
        <w:t xml:space="preserve"> – Progress percentage (%) calculation for </w:t>
      </w:r>
      <w:r w:rsidR="00F31489" w:rsidRPr="00361F7E">
        <w:t>independently assured</w:t>
      </w:r>
      <w:r w:rsidRPr="00361F7E">
        <w:t xml:space="preserve"> commitment</w:t>
      </w:r>
      <w:r w:rsidR="00F31489" w:rsidRPr="00361F7E">
        <w:t>s</w:t>
      </w:r>
      <w:r w:rsidR="008128BC" w:rsidRPr="00361F7E">
        <w:t xml:space="preserve"> – emissions intensity reduction</w:t>
      </w:r>
    </w:p>
    <w:p w14:paraId="31C865D2" w14:textId="6F8D9251" w:rsidR="004026EA" w:rsidRPr="00361F7E" w:rsidRDefault="006B1BFD" w:rsidP="00EF032E">
      <w:pPr>
        <w:spacing w:after="0"/>
      </w:pPr>
      <w:r w:rsidRPr="00361F7E">
        <w:t xml:space="preserve">Company </w:t>
      </w:r>
      <w:r w:rsidR="005E0AEF" w:rsidRPr="00361F7E">
        <w:t>C</w:t>
      </w:r>
      <w:r w:rsidRPr="00361F7E">
        <w:t xml:space="preserve"> </w:t>
      </w:r>
      <w:r w:rsidR="00C619FE" w:rsidRPr="00361F7E">
        <w:t xml:space="preserve">has an independently assured commitment to </w:t>
      </w:r>
      <w:r w:rsidR="00920BBC" w:rsidRPr="00361F7E">
        <w:t xml:space="preserve">reduce </w:t>
      </w:r>
      <w:r w:rsidR="00EE2D53" w:rsidRPr="00361F7E">
        <w:t xml:space="preserve">global </w:t>
      </w:r>
      <w:r w:rsidR="00DA4730" w:rsidRPr="00361F7E">
        <w:t xml:space="preserve">scope 1, 2 and 3 emissions </w:t>
      </w:r>
      <w:r w:rsidR="008128BC" w:rsidRPr="00361F7E">
        <w:t>intensity</w:t>
      </w:r>
      <w:r w:rsidR="006507BA" w:rsidRPr="00361F7E">
        <w:t xml:space="preserve"> to </w:t>
      </w:r>
      <w:r w:rsidR="00261829" w:rsidRPr="00361F7E">
        <w:t>2</w:t>
      </w:r>
      <w:r w:rsidR="00F2499C" w:rsidRPr="00361F7E">
        <w:t xml:space="preserve"> kg CO</w:t>
      </w:r>
      <w:r w:rsidR="00F2499C" w:rsidRPr="00361F7E">
        <w:rPr>
          <w:vertAlign w:val="subscript"/>
        </w:rPr>
        <w:t>2</w:t>
      </w:r>
      <w:r w:rsidR="00DD6056" w:rsidRPr="00361F7E">
        <w:t>-e</w:t>
      </w:r>
      <w:r w:rsidR="00114BD4" w:rsidRPr="00361F7E">
        <w:t>/BOE</w:t>
      </w:r>
      <w:r w:rsidR="008128BC" w:rsidRPr="00361F7E">
        <w:t xml:space="preserve"> </w:t>
      </w:r>
      <w:r w:rsidR="00114BD4" w:rsidRPr="00361F7E">
        <w:t xml:space="preserve">by 2030 </w:t>
      </w:r>
      <w:r w:rsidR="00D342F2" w:rsidRPr="00361F7E">
        <w:t xml:space="preserve">from a 2020 base period intensity of </w:t>
      </w:r>
      <w:r w:rsidR="002F5FFE" w:rsidRPr="00361F7E">
        <w:t>4</w:t>
      </w:r>
      <w:r w:rsidR="00B01132" w:rsidRPr="00361F7E">
        <w:t xml:space="preserve"> kg CO</w:t>
      </w:r>
      <w:r w:rsidR="00B01132" w:rsidRPr="00361F7E">
        <w:rPr>
          <w:vertAlign w:val="subscript"/>
        </w:rPr>
        <w:t>2</w:t>
      </w:r>
      <w:r w:rsidR="00B01132" w:rsidRPr="00361F7E">
        <w:t>-e</w:t>
      </w:r>
      <w:r w:rsidR="00114BD4" w:rsidRPr="00361F7E">
        <w:t>/BOE</w:t>
      </w:r>
      <w:r w:rsidR="00F45E30" w:rsidRPr="00361F7E">
        <w:t xml:space="preserve">. </w:t>
      </w:r>
      <w:r w:rsidR="00114BD4" w:rsidRPr="00361F7E">
        <w:t xml:space="preserve">This equates to and is reported as a commitment goal of </w:t>
      </w:r>
      <w:r w:rsidR="008A34CA" w:rsidRPr="00361F7E">
        <w:t>5</w:t>
      </w:r>
      <w:r w:rsidR="00BA7BC0" w:rsidRPr="00361F7E">
        <w:t>0%</w:t>
      </w:r>
      <w:r w:rsidR="001019CA" w:rsidRPr="00361F7E">
        <w:t xml:space="preserve"> </w:t>
      </w:r>
      <w:r w:rsidR="00114BD4" w:rsidRPr="00361F7E">
        <w:t>reduction from their base</w:t>
      </w:r>
      <w:r w:rsidR="00443195" w:rsidRPr="00361F7E">
        <w:t xml:space="preserve"> period</w:t>
      </w:r>
      <w:r w:rsidR="00E4471D" w:rsidRPr="00361F7E">
        <w:t xml:space="preserve">. </w:t>
      </w:r>
      <w:r w:rsidR="009F0F5B" w:rsidRPr="00361F7E">
        <w:t>Company C reports their current year emissions intensity as 2.15 kg CO</w:t>
      </w:r>
      <w:r w:rsidR="009F0F5B" w:rsidRPr="00361F7E">
        <w:rPr>
          <w:vertAlign w:val="subscript"/>
        </w:rPr>
        <w:t>2</w:t>
      </w:r>
      <w:r w:rsidR="009F0F5B" w:rsidRPr="00361F7E">
        <w:t xml:space="preserve">-e/BOE. </w:t>
      </w:r>
      <w:r w:rsidR="00D46DD9" w:rsidRPr="00361F7E">
        <w:t>Progress for independently assured commitments</w:t>
      </w:r>
      <w:r w:rsidR="00E710CD" w:rsidRPr="00361F7E">
        <w:t xml:space="preserve"> is calculated by </w:t>
      </w:r>
      <w:r w:rsidR="009C712B" w:rsidRPr="00361F7E">
        <w:t>CER</w:t>
      </w:r>
      <w:r w:rsidR="00E710CD" w:rsidRPr="00361F7E">
        <w:t xml:space="preserve"> using independently assured data </w:t>
      </w:r>
      <w:r w:rsidR="00F57300" w:rsidRPr="00361F7E">
        <w:t>provided by</w:t>
      </w:r>
      <w:r w:rsidR="00E710CD" w:rsidRPr="00361F7E">
        <w:t xml:space="preserve"> the </w:t>
      </w:r>
      <w:r w:rsidR="00986088" w:rsidRPr="00361F7E">
        <w:t>p</w:t>
      </w:r>
      <w:r w:rsidR="00A23BEF" w:rsidRPr="00361F7E">
        <w:t>articipant</w:t>
      </w:r>
      <w:r w:rsidR="00E710CD" w:rsidRPr="00361F7E">
        <w:t>.</w:t>
      </w:r>
      <w:r w:rsidR="009E3D1F" w:rsidRPr="00361F7E">
        <w:t xml:space="preserve"> </w:t>
      </w:r>
    </w:p>
    <w:p w14:paraId="29268EDF" w14:textId="77777777" w:rsidR="0068148D" w:rsidRPr="00361F7E" w:rsidRDefault="0068148D" w:rsidP="00EF032E">
      <w:pPr>
        <w:spacing w:after="0"/>
      </w:pPr>
    </w:p>
    <w:p w14:paraId="4C57EB8A" w14:textId="79610FB4" w:rsidR="00C17CAE" w:rsidRPr="00361F7E" w:rsidRDefault="00A429F3" w:rsidP="0068148D">
      <w:pPr>
        <w:spacing w:after="0"/>
      </w:pPr>
      <w:r w:rsidRPr="00361F7E">
        <w:t xml:space="preserve"> T</w:t>
      </w:r>
      <w:r w:rsidR="001A5B62" w:rsidRPr="00361F7E">
        <w:t xml:space="preserve">heir </w:t>
      </w:r>
      <w:r w:rsidR="001A5B62" w:rsidRPr="00361F7E">
        <w:rPr>
          <w:b/>
          <w:bCs/>
        </w:rPr>
        <w:t>absolute progress</w:t>
      </w:r>
      <w:r w:rsidR="001A5B62" w:rsidRPr="00361F7E">
        <w:t xml:space="preserve"> is calculated as:</w:t>
      </w:r>
    </w:p>
    <w:p w14:paraId="7C354FA2" w14:textId="77777777" w:rsidR="001A5B62" w:rsidRPr="00361F7E" w:rsidRDefault="001A5B62" w:rsidP="0068148D">
      <w:pPr>
        <w:spacing w:after="0"/>
      </w:pPr>
    </w:p>
    <w:p w14:paraId="543D46CB" w14:textId="0FA432C8" w:rsidR="001A5B62" w:rsidRPr="00361F7E" w:rsidRDefault="001A5B62" w:rsidP="0068148D">
      <w:pPr>
        <w:spacing w:after="0"/>
      </w:pPr>
      <m:oMathPara>
        <m:oMath>
          <m:r>
            <w:rPr>
              <w:rFonts w:ascii="Cambria Math" w:hAnsi="Cambria Math"/>
            </w:rPr>
            <m:t>=Reported base period emissions intenstity-Reported current year emissions intensity</m:t>
          </m:r>
        </m:oMath>
      </m:oMathPara>
    </w:p>
    <w:p w14:paraId="5CB7C8C0" w14:textId="77777777" w:rsidR="0068148D" w:rsidRPr="00361F7E" w:rsidRDefault="0068148D" w:rsidP="0068148D">
      <w:pPr>
        <w:spacing w:after="0"/>
      </w:pPr>
    </w:p>
    <w:p w14:paraId="5C36EDC3" w14:textId="08164727" w:rsidR="008B7A38" w:rsidRPr="00361F7E" w:rsidRDefault="008B7A38" w:rsidP="0068148D">
      <w:pPr>
        <w:spacing w:after="0"/>
      </w:pPr>
      <m:oMathPara>
        <m:oMath>
          <m:r>
            <w:rPr>
              <w:rFonts w:ascii="Cambria Math" w:hAnsi="Cambria Math"/>
            </w:rPr>
            <m:t xml:space="preserve">=4 kg </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 xml:space="preserve">e/BOE-2.15 kg </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e/BOE</m:t>
          </m:r>
        </m:oMath>
      </m:oMathPara>
    </w:p>
    <w:p w14:paraId="55F49832" w14:textId="77777777" w:rsidR="00507A04" w:rsidRPr="00361F7E" w:rsidRDefault="00507A04" w:rsidP="0068148D">
      <w:pPr>
        <w:spacing w:after="0"/>
      </w:pPr>
    </w:p>
    <w:p w14:paraId="7059C14F" w14:textId="2E31B9B8" w:rsidR="00507A04" w:rsidRPr="00361F7E" w:rsidRDefault="00507A04">
      <w:pPr>
        <w:spacing w:after="0"/>
        <w:rPr>
          <w:b/>
          <w:bCs/>
        </w:rPr>
      </w:pPr>
      <m:oMathPara>
        <m:oMath>
          <m:r>
            <m:rPr>
              <m:sty m:val="bi"/>
            </m:rPr>
            <w:rPr>
              <w:rFonts w:ascii="Cambria Math" w:hAnsi="Cambria Math"/>
            </w:rPr>
            <m:t xml:space="preserve">=1.85 kg </m:t>
          </m:r>
          <m:sSub>
            <m:sSubPr>
              <m:ctrlPr>
                <w:rPr>
                  <w:rFonts w:ascii="Cambria Math" w:hAnsi="Cambria Math"/>
                  <w:b/>
                  <w:bCs/>
                  <w:i/>
                </w:rPr>
              </m:ctrlPr>
            </m:sSubPr>
            <m:e>
              <m:r>
                <m:rPr>
                  <m:sty m:val="bi"/>
                </m:rPr>
                <w:rPr>
                  <w:rFonts w:ascii="Cambria Math" w:hAnsi="Cambria Math"/>
                </w:rPr>
                <m:t>CO</m:t>
              </m:r>
            </m:e>
            <m:sub>
              <m:r>
                <m:rPr>
                  <m:sty m:val="bi"/>
                </m:rPr>
                <w:rPr>
                  <w:rFonts w:ascii="Cambria Math" w:hAnsi="Cambria Math"/>
                </w:rPr>
                <m:t>2</m:t>
              </m:r>
            </m:sub>
          </m:sSub>
          <m:r>
            <m:rPr>
              <m:sty m:val="bi"/>
            </m:rPr>
            <w:rPr>
              <w:rFonts w:ascii="Cambria Math" w:hAnsi="Cambria Math"/>
            </w:rPr>
            <m:t>e/BOE</m:t>
          </m:r>
        </m:oMath>
      </m:oMathPara>
    </w:p>
    <w:p w14:paraId="6ABC4C57" w14:textId="77777777" w:rsidR="00E710CD" w:rsidRPr="00361F7E" w:rsidRDefault="00E710CD" w:rsidP="00EF032E">
      <w:pPr>
        <w:spacing w:after="0"/>
      </w:pPr>
    </w:p>
    <w:p w14:paraId="06898AE9" w14:textId="4841AF0F" w:rsidR="00595DC4" w:rsidRPr="00361F7E" w:rsidRDefault="00595DC4" w:rsidP="00EF032E">
      <w:pPr>
        <w:spacing w:after="0"/>
      </w:pPr>
      <w:r w:rsidRPr="00361F7E">
        <w:t xml:space="preserve">Their </w:t>
      </w:r>
      <w:r w:rsidR="00C31617" w:rsidRPr="00361F7E">
        <w:t xml:space="preserve">current year </w:t>
      </w:r>
      <w:r w:rsidR="00720EDA" w:rsidRPr="00361F7E">
        <w:t>percentage reduction (</w:t>
      </w:r>
      <w:r w:rsidR="00720EDA" w:rsidRPr="00361F7E">
        <w:rPr>
          <w:b/>
          <w:bCs/>
        </w:rPr>
        <w:t>current position</w:t>
      </w:r>
      <w:r w:rsidR="00720EDA" w:rsidRPr="00361F7E">
        <w:t xml:space="preserve">) </w:t>
      </w:r>
      <w:r w:rsidRPr="00361F7E">
        <w:t>is calculated as</w:t>
      </w:r>
      <w:r w:rsidR="00720EDA" w:rsidRPr="00361F7E">
        <w:t>:</w:t>
      </w:r>
    </w:p>
    <w:p w14:paraId="6FB7A1CA" w14:textId="77777777" w:rsidR="00720EDA" w:rsidRPr="00361F7E" w:rsidRDefault="00720EDA" w:rsidP="00EF032E">
      <w:pPr>
        <w:spacing w:after="0"/>
      </w:pPr>
    </w:p>
    <w:p w14:paraId="2D80B027" w14:textId="14EEF3EB" w:rsidR="00595DC4" w:rsidRPr="00361F7E" w:rsidRDefault="0046549B" w:rsidP="00EF032E">
      <w:pPr>
        <w:spacing w:after="0"/>
      </w:pPr>
      <m:oMathPara>
        <m:oMath>
          <m:r>
            <w:rPr>
              <w:rFonts w:ascii="Cambria Math" w:hAnsi="Cambria Math"/>
            </w:rPr>
            <m:t>=1-</m:t>
          </m:r>
          <m:f>
            <m:fPr>
              <m:ctrlPr>
                <w:rPr>
                  <w:rFonts w:ascii="Cambria Math" w:hAnsi="Cambria Math"/>
                  <w:i/>
                </w:rPr>
              </m:ctrlPr>
            </m:fPr>
            <m:num>
              <m:r>
                <w:rPr>
                  <w:rFonts w:ascii="Cambria Math" w:hAnsi="Cambria Math"/>
                </w:rPr>
                <m:t>Reported current year emissions intensity</m:t>
              </m:r>
            </m:num>
            <m:den>
              <m:r>
                <w:rPr>
                  <w:rFonts w:ascii="Cambria Math" w:hAnsi="Cambria Math"/>
                </w:rPr>
                <m:t>Reported base period emissions intensity</m:t>
              </m:r>
            </m:den>
          </m:f>
        </m:oMath>
      </m:oMathPara>
    </w:p>
    <w:p w14:paraId="433ACD2E" w14:textId="77777777" w:rsidR="00F37C23" w:rsidRPr="00361F7E" w:rsidRDefault="00F37C23" w:rsidP="00EF032E">
      <w:pPr>
        <w:spacing w:after="0"/>
      </w:pPr>
    </w:p>
    <w:p w14:paraId="34A49F1B" w14:textId="5839BDFC" w:rsidR="00F37C23" w:rsidRPr="00361F7E" w:rsidRDefault="00F37C23" w:rsidP="00F37C23">
      <w:pPr>
        <w:spacing w:after="0"/>
      </w:pPr>
      <m:oMathPara>
        <m:oMath>
          <m:r>
            <w:rPr>
              <w:rFonts w:ascii="Cambria Math" w:hAnsi="Cambria Math"/>
            </w:rPr>
            <m:t>=1-</m:t>
          </m:r>
          <m:f>
            <m:fPr>
              <m:ctrlPr>
                <w:rPr>
                  <w:rFonts w:ascii="Cambria Math" w:hAnsi="Cambria Math"/>
                  <w:i/>
                </w:rPr>
              </m:ctrlPr>
            </m:fPr>
            <m:num>
              <m:r>
                <w:rPr>
                  <w:rFonts w:ascii="Cambria Math" w:hAnsi="Cambria Math"/>
                </w:rPr>
                <m:t xml:space="preserve">2.15 kg </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e/BOE</m:t>
              </m:r>
            </m:num>
            <m:den>
              <m:r>
                <w:rPr>
                  <w:rFonts w:ascii="Cambria Math" w:hAnsi="Cambria Math"/>
                </w:rPr>
                <m:t xml:space="preserve">4 kg </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e/BOE</m:t>
              </m:r>
            </m:den>
          </m:f>
        </m:oMath>
      </m:oMathPara>
    </w:p>
    <w:p w14:paraId="47F7715E" w14:textId="77777777" w:rsidR="00902DB4" w:rsidRPr="00361F7E" w:rsidRDefault="00902DB4" w:rsidP="00F37C23">
      <w:pPr>
        <w:spacing w:after="0"/>
      </w:pPr>
    </w:p>
    <w:p w14:paraId="02A717F8" w14:textId="13F09E76" w:rsidR="00902DB4" w:rsidRPr="00361F7E" w:rsidRDefault="00902DB4" w:rsidP="00902DB4">
      <w:pPr>
        <w:spacing w:after="0"/>
      </w:pPr>
      <m:oMathPara>
        <m:oMath>
          <m:r>
            <w:rPr>
              <w:rFonts w:ascii="Cambria Math" w:hAnsi="Cambria Math"/>
            </w:rPr>
            <m:t>=46.25 % reduction</m:t>
          </m:r>
        </m:oMath>
      </m:oMathPara>
    </w:p>
    <w:p w14:paraId="497AAF17" w14:textId="77777777" w:rsidR="008631AD" w:rsidRPr="00361F7E" w:rsidRDefault="008631AD" w:rsidP="00902DB4">
      <w:pPr>
        <w:spacing w:after="0"/>
      </w:pPr>
    </w:p>
    <w:p w14:paraId="2F5B8385" w14:textId="2DF76CA9" w:rsidR="008631AD" w:rsidRPr="00361F7E" w:rsidRDefault="008631AD" w:rsidP="00902DB4">
      <w:pPr>
        <w:spacing w:after="0"/>
      </w:pPr>
      <w:r w:rsidRPr="00361F7E">
        <w:t xml:space="preserve">Company B’s </w:t>
      </w:r>
      <w:r w:rsidRPr="00361F7E">
        <w:rPr>
          <w:b/>
          <w:bCs/>
        </w:rPr>
        <w:t>progress</w:t>
      </w:r>
      <w:r w:rsidR="00AD1F1A" w:rsidRPr="00361F7E">
        <w:rPr>
          <w:b/>
          <w:bCs/>
        </w:rPr>
        <w:t xml:space="preserve"> percentage</w:t>
      </w:r>
      <w:r w:rsidRPr="00361F7E">
        <w:t xml:space="preserve"> is calculated as</w:t>
      </w:r>
      <w:r w:rsidR="00A41260" w:rsidRPr="00361F7E">
        <w:t>:</w:t>
      </w:r>
    </w:p>
    <w:p w14:paraId="25FE3C01" w14:textId="77777777" w:rsidR="00A41260" w:rsidRPr="00361F7E" w:rsidRDefault="00A41260" w:rsidP="00902DB4">
      <w:pPr>
        <w:spacing w:after="0"/>
      </w:pPr>
    </w:p>
    <w:p w14:paraId="3696436F" w14:textId="5DFC9D3E" w:rsidR="00C31617" w:rsidRPr="00361F7E" w:rsidRDefault="00C31617" w:rsidP="00C31617">
      <w:pPr>
        <w:spacing w:after="0"/>
      </w:pPr>
      <m:oMathPara>
        <m:oMath>
          <m:r>
            <w:rPr>
              <w:rFonts w:ascii="Cambria Math" w:hAnsi="Cambria Math"/>
            </w:rPr>
            <m:t>=</m:t>
          </m:r>
          <m:f>
            <m:fPr>
              <m:ctrlPr>
                <w:rPr>
                  <w:rFonts w:ascii="Cambria Math" w:hAnsi="Cambria Math"/>
                  <w:i/>
                </w:rPr>
              </m:ctrlPr>
            </m:fPr>
            <m:num>
              <m:r>
                <w:rPr>
                  <w:rFonts w:ascii="Cambria Math" w:hAnsi="Cambria Math"/>
                </w:rPr>
                <m:t>Current position</m:t>
              </m:r>
            </m:num>
            <m:den>
              <m:r>
                <w:rPr>
                  <w:rFonts w:ascii="Cambria Math" w:hAnsi="Cambria Math"/>
                </w:rPr>
                <m:t>Commitment Goal</m:t>
              </m:r>
            </m:den>
          </m:f>
        </m:oMath>
      </m:oMathPara>
    </w:p>
    <w:p w14:paraId="6722A163" w14:textId="77777777" w:rsidR="00C31617" w:rsidRPr="00361F7E" w:rsidRDefault="00C31617" w:rsidP="00902DB4">
      <w:pPr>
        <w:spacing w:after="0"/>
      </w:pPr>
    </w:p>
    <w:p w14:paraId="3636588C" w14:textId="32FC9B92" w:rsidR="00CE122F" w:rsidRPr="00361F7E" w:rsidRDefault="00CE122F" w:rsidP="00CE122F">
      <w:pPr>
        <w:spacing w:after="0"/>
      </w:pPr>
      <m:oMathPara>
        <m:oMath>
          <m:r>
            <w:rPr>
              <w:rFonts w:ascii="Cambria Math" w:hAnsi="Cambria Math"/>
            </w:rPr>
            <m:t>=</m:t>
          </m:r>
          <m:f>
            <m:fPr>
              <m:ctrlPr>
                <w:rPr>
                  <w:rFonts w:ascii="Cambria Math" w:hAnsi="Cambria Math"/>
                  <w:i/>
                </w:rPr>
              </m:ctrlPr>
            </m:fPr>
            <m:num>
              <m:r>
                <w:rPr>
                  <w:rFonts w:ascii="Cambria Math" w:hAnsi="Cambria Math"/>
                </w:rPr>
                <m:t>46.25%</m:t>
              </m:r>
            </m:num>
            <m:den>
              <m:r>
                <w:rPr>
                  <w:rFonts w:ascii="Cambria Math" w:hAnsi="Cambria Math"/>
                </w:rPr>
                <m:t>50%</m:t>
              </m:r>
            </m:den>
          </m:f>
        </m:oMath>
      </m:oMathPara>
    </w:p>
    <w:p w14:paraId="3336E757" w14:textId="77777777" w:rsidR="008128BC" w:rsidRPr="00361F7E" w:rsidRDefault="008128BC" w:rsidP="00CE122F">
      <w:pPr>
        <w:spacing w:after="0"/>
      </w:pPr>
    </w:p>
    <w:p w14:paraId="448AC768" w14:textId="2255D84F" w:rsidR="00C31617" w:rsidRPr="00361F7E" w:rsidRDefault="00C31617" w:rsidP="00C31617">
      <w:pPr>
        <w:spacing w:after="0"/>
      </w:pPr>
      <m:oMath>
        <m:r>
          <w:rPr>
            <w:rFonts w:ascii="Cambria Math" w:hAnsi="Cambria Math"/>
          </w:rPr>
          <m:t>=</m:t>
        </m:r>
        <m:r>
          <m:rPr>
            <m:sty m:val="bi"/>
          </m:rPr>
          <w:rPr>
            <w:rFonts w:ascii="Cambria Math" w:hAnsi="Cambria Math"/>
          </w:rPr>
          <m:t>92.5%</m:t>
        </m:r>
      </m:oMath>
      <w:r w:rsidR="00AD1F1A" w:rsidRPr="00361F7E">
        <w:rPr>
          <w:b/>
          <w:bCs/>
        </w:rPr>
        <w:t xml:space="preserve"> </w:t>
      </w:r>
      <w:r w:rsidR="00AD1F1A" w:rsidRPr="00361F7E">
        <w:t>progress towards commitment goal</w:t>
      </w:r>
    </w:p>
    <w:p w14:paraId="35660D15" w14:textId="77777777" w:rsidR="00C31617" w:rsidRPr="00361F7E" w:rsidRDefault="00C31617" w:rsidP="00CE122F">
      <w:pPr>
        <w:spacing w:after="0"/>
      </w:pPr>
    </w:p>
    <w:p w14:paraId="6F0CC002" w14:textId="77777777" w:rsidR="00117E6C" w:rsidRPr="00361F7E" w:rsidRDefault="00117E6C">
      <w:pPr>
        <w:spacing w:after="0"/>
        <w:rPr>
          <w:rFonts w:eastAsiaTheme="majorEastAsia" w:cstheme="majorBidi"/>
          <w:b/>
        </w:rPr>
      </w:pPr>
      <w:r w:rsidRPr="00361F7E">
        <w:br w:type="page"/>
      </w:r>
    </w:p>
    <w:p w14:paraId="00EEB7CA" w14:textId="519F8060" w:rsidR="00276B64" w:rsidRPr="00361F7E" w:rsidRDefault="00276B64" w:rsidP="00E43F8E">
      <w:pPr>
        <w:pStyle w:val="Heading4"/>
      </w:pPr>
      <w:r w:rsidRPr="00361F7E">
        <w:lastRenderedPageBreak/>
        <w:t>Example 2</w:t>
      </w:r>
      <w:r w:rsidR="005C7195" w:rsidRPr="00361F7E">
        <w:t>4</w:t>
      </w:r>
      <w:r w:rsidRPr="00361F7E">
        <w:t xml:space="preserve"> – Progress percentage (%) calculation for an independently assured commitment (other)</w:t>
      </w:r>
    </w:p>
    <w:p w14:paraId="4A2823B5" w14:textId="62057695" w:rsidR="00276B64" w:rsidRPr="00361F7E" w:rsidRDefault="00BD06BB" w:rsidP="00BC66D2">
      <w:r w:rsidRPr="00361F7E">
        <w:t xml:space="preserve">Company D has </w:t>
      </w:r>
      <w:r w:rsidR="00394132" w:rsidRPr="00361F7E">
        <w:t xml:space="preserve">a </w:t>
      </w:r>
      <w:r w:rsidRPr="00361F7E">
        <w:t xml:space="preserve">commitment to </w:t>
      </w:r>
      <w:r w:rsidR="0035397C" w:rsidRPr="00361F7E">
        <w:t xml:space="preserve">install </w:t>
      </w:r>
      <w:r w:rsidR="00C9678A" w:rsidRPr="00361F7E">
        <w:t xml:space="preserve">2 GW of </w:t>
      </w:r>
      <w:r w:rsidR="00EA4C63" w:rsidRPr="00361F7E">
        <w:t>rooftop solar PV</w:t>
      </w:r>
      <w:r w:rsidR="00C9678A" w:rsidRPr="00361F7E">
        <w:t xml:space="preserve"> capacity </w:t>
      </w:r>
      <w:r w:rsidR="00EA4C63" w:rsidRPr="00361F7E">
        <w:t xml:space="preserve">by 2030. </w:t>
      </w:r>
      <w:r w:rsidR="008308B8" w:rsidRPr="00361F7E">
        <w:t xml:space="preserve">CER does not have sufficient data to </w:t>
      </w:r>
      <w:r w:rsidR="003845E5" w:rsidRPr="00361F7E">
        <w:t>verify progress</w:t>
      </w:r>
      <w:r w:rsidR="001E3AA4" w:rsidRPr="00361F7E">
        <w:t xml:space="preserve"> towards this commitment</w:t>
      </w:r>
      <w:r w:rsidR="00394132" w:rsidRPr="00361F7E">
        <w:t xml:space="preserve">, so </w:t>
      </w:r>
      <w:r w:rsidR="001E3AA4" w:rsidRPr="00361F7E">
        <w:t>Company B chooses to report this as an independently assured commitment.</w:t>
      </w:r>
      <w:r w:rsidR="00D81AC3" w:rsidRPr="00361F7E">
        <w:t xml:space="preserve"> </w:t>
      </w:r>
      <w:r w:rsidR="00FC1EF0" w:rsidRPr="00361F7E">
        <w:t xml:space="preserve">They currently have </w:t>
      </w:r>
      <w:r w:rsidR="00584831" w:rsidRPr="00361F7E">
        <w:t xml:space="preserve">1.2 GW of installed rooftop solar. Progress </w:t>
      </w:r>
      <w:r w:rsidR="00D81AC3" w:rsidRPr="00361F7E">
        <w:t xml:space="preserve">may or may not </w:t>
      </w:r>
      <w:r w:rsidR="00584831" w:rsidRPr="00361F7E">
        <w:t xml:space="preserve">be measured against </w:t>
      </w:r>
      <w:r w:rsidR="00D81AC3" w:rsidRPr="00361F7E">
        <w:t>a base period.</w:t>
      </w:r>
      <w:r w:rsidR="000C40B7" w:rsidRPr="00361F7E">
        <w:t xml:space="preserve"> Company D indicates in their form that progress is measured as an increase in installed capacity.</w:t>
      </w:r>
    </w:p>
    <w:p w14:paraId="12B2331A" w14:textId="624F48DD" w:rsidR="00033F1B" w:rsidRPr="00361F7E" w:rsidRDefault="00033F1B" w:rsidP="00033F1B">
      <w:pPr>
        <w:ind w:left="720"/>
      </w:pPr>
      <w:r w:rsidRPr="00361F7E">
        <w:rPr>
          <w:b/>
          <w:bCs/>
        </w:rPr>
        <w:t xml:space="preserve">Commitment type </w:t>
      </w:r>
      <w:r w:rsidRPr="00361F7E">
        <w:rPr>
          <w:b/>
          <w:bCs/>
        </w:rPr>
        <w:tab/>
      </w:r>
      <w:r w:rsidRPr="00361F7E">
        <w:tab/>
      </w:r>
      <w:r w:rsidRPr="00361F7E">
        <w:tab/>
      </w:r>
      <w:r w:rsidRPr="00361F7E">
        <w:tab/>
        <w:t>Other commitment (independently assured)</w:t>
      </w:r>
      <w:r w:rsidRPr="00361F7E">
        <w:br/>
      </w:r>
      <w:r w:rsidRPr="00361F7E">
        <w:rPr>
          <w:b/>
          <w:bCs/>
        </w:rPr>
        <w:t>Other commitment type</w:t>
      </w:r>
      <w:r w:rsidRPr="00361F7E">
        <w:tab/>
      </w:r>
      <w:r w:rsidRPr="00361F7E">
        <w:tab/>
      </w:r>
      <w:r w:rsidRPr="00361F7E">
        <w:tab/>
        <w:t>Other</w:t>
      </w:r>
      <w:r w:rsidRPr="00361F7E">
        <w:br/>
      </w:r>
      <w:r w:rsidRPr="00361F7E">
        <w:rPr>
          <w:b/>
          <w:bCs/>
        </w:rPr>
        <w:t xml:space="preserve">Commitment Goal </w:t>
      </w:r>
      <w:r w:rsidRPr="00361F7E">
        <w:rPr>
          <w:b/>
          <w:bCs/>
        </w:rPr>
        <w:tab/>
      </w:r>
      <w:r w:rsidRPr="00361F7E">
        <w:tab/>
      </w:r>
      <w:r w:rsidRPr="00361F7E">
        <w:tab/>
      </w:r>
      <w:r w:rsidRPr="00361F7E">
        <w:tab/>
        <w:t>2 GW</w:t>
      </w:r>
      <w:r w:rsidRPr="00361F7E">
        <w:br/>
      </w:r>
      <w:r w:rsidRPr="00361F7E">
        <w:rPr>
          <w:b/>
          <w:bCs/>
        </w:rPr>
        <w:t>Progress metric</w:t>
      </w:r>
      <w:r w:rsidRPr="00361F7E">
        <w:t xml:space="preserve"> </w:t>
      </w:r>
      <w:r w:rsidRPr="00361F7E">
        <w:tab/>
      </w:r>
      <w:r w:rsidRPr="00361F7E">
        <w:tab/>
      </w:r>
      <w:r w:rsidRPr="00361F7E">
        <w:tab/>
      </w:r>
      <w:r w:rsidRPr="00361F7E">
        <w:tab/>
        <w:t xml:space="preserve">GW </w:t>
      </w:r>
      <w:r w:rsidRPr="00361F7E">
        <w:br/>
      </w:r>
      <w:r w:rsidRPr="00361F7E">
        <w:rPr>
          <w:b/>
          <w:bCs/>
        </w:rPr>
        <w:t xml:space="preserve">Reporting year measurement </w:t>
      </w:r>
      <w:r w:rsidRPr="00361F7E">
        <w:tab/>
      </w:r>
      <w:r w:rsidRPr="00361F7E">
        <w:tab/>
      </w:r>
      <w:r w:rsidRPr="00361F7E">
        <w:tab/>
        <w:t>1.2 GW</w:t>
      </w:r>
      <w:r w:rsidRPr="00361F7E">
        <w:br/>
      </w:r>
      <w:r w:rsidRPr="00361F7E">
        <w:rPr>
          <w:b/>
          <w:bCs/>
        </w:rPr>
        <w:t>Progress measured as an increase in metric</w:t>
      </w:r>
      <w:r w:rsidRPr="00361F7E">
        <w:t xml:space="preserve"> </w:t>
      </w:r>
      <w:r w:rsidRPr="00361F7E">
        <w:tab/>
        <w:t>Yes</w:t>
      </w:r>
    </w:p>
    <w:p w14:paraId="2AE1A9D8" w14:textId="47611786" w:rsidR="00E43F8E" w:rsidRDefault="00D81AC3" w:rsidP="00E43F8E">
      <w:pPr>
        <w:pStyle w:val="Heading5"/>
      </w:pPr>
      <w:r w:rsidRPr="00361F7E">
        <w:t>With a base period</w:t>
      </w:r>
      <w:r w:rsidR="00E43F8E">
        <w:t>:</w:t>
      </w:r>
    </w:p>
    <w:p w14:paraId="4917A43F" w14:textId="2E3D84F5" w:rsidR="00D81AC3" w:rsidRPr="00361F7E" w:rsidRDefault="00CB3F77" w:rsidP="00BC66D2">
      <w:pPr>
        <w:rPr>
          <w:u w:val="single"/>
        </w:rPr>
      </w:pPr>
      <w:r w:rsidRPr="00361F7E">
        <w:rPr>
          <w:i/>
          <w:iCs/>
        </w:rPr>
        <w:t xml:space="preserve">Company </w:t>
      </w:r>
      <w:r w:rsidR="000C40B7" w:rsidRPr="00361F7E">
        <w:rPr>
          <w:i/>
          <w:iCs/>
        </w:rPr>
        <w:t>D</w:t>
      </w:r>
      <w:r w:rsidRPr="00361F7E">
        <w:rPr>
          <w:i/>
          <w:iCs/>
        </w:rPr>
        <w:t xml:space="preserve"> measures progress against a base period of 2020, </w:t>
      </w:r>
      <w:r w:rsidR="00F32750" w:rsidRPr="00361F7E">
        <w:rPr>
          <w:i/>
          <w:iCs/>
        </w:rPr>
        <w:t xml:space="preserve">for </w:t>
      </w:r>
      <w:r w:rsidRPr="00361F7E">
        <w:rPr>
          <w:i/>
          <w:iCs/>
        </w:rPr>
        <w:t>which they report</w:t>
      </w:r>
      <w:r w:rsidR="00F32750" w:rsidRPr="00361F7E">
        <w:rPr>
          <w:i/>
          <w:iCs/>
        </w:rPr>
        <w:t xml:space="preserve"> an installed capacity of 1 GW</w:t>
      </w:r>
      <w:r w:rsidR="006B2A4B" w:rsidRPr="00361F7E">
        <w:rPr>
          <w:i/>
          <w:iCs/>
        </w:rPr>
        <w:t>:</w:t>
      </w:r>
    </w:p>
    <w:p w14:paraId="7CA587EE" w14:textId="3954ACE0" w:rsidR="00843215" w:rsidRPr="00361F7E" w:rsidRDefault="004205C4" w:rsidP="00F047C0">
      <w:pPr>
        <w:ind w:left="720"/>
      </w:pPr>
      <w:r w:rsidRPr="00361F7E">
        <w:rPr>
          <w:b/>
          <w:bCs/>
        </w:rPr>
        <w:t>Progress measured from a base period</w:t>
      </w:r>
      <w:r w:rsidRPr="00361F7E">
        <w:rPr>
          <w:b/>
          <w:bCs/>
        </w:rPr>
        <w:tab/>
      </w:r>
      <w:r w:rsidRPr="00361F7E">
        <w:tab/>
        <w:t>Yes</w:t>
      </w:r>
      <w:r w:rsidR="00EC2CF0" w:rsidRPr="00361F7E">
        <w:br/>
      </w:r>
      <w:r w:rsidR="00EC2CF0" w:rsidRPr="00361F7E">
        <w:rPr>
          <w:b/>
          <w:bCs/>
        </w:rPr>
        <w:t>Base period</w:t>
      </w:r>
      <w:r w:rsidR="00EC2CF0" w:rsidRPr="00361F7E">
        <w:tab/>
      </w:r>
      <w:r w:rsidR="00EC2CF0" w:rsidRPr="00361F7E">
        <w:tab/>
      </w:r>
      <w:r w:rsidR="00EC2CF0" w:rsidRPr="00361F7E">
        <w:tab/>
      </w:r>
      <w:r w:rsidR="00EC2CF0" w:rsidRPr="00361F7E">
        <w:tab/>
      </w:r>
      <w:r w:rsidR="00EC2CF0" w:rsidRPr="00361F7E">
        <w:tab/>
        <w:t>2020</w:t>
      </w:r>
      <w:r w:rsidR="00584831" w:rsidRPr="00361F7E">
        <w:br/>
      </w:r>
      <w:r w:rsidR="00FC1EF0" w:rsidRPr="00361F7E">
        <w:rPr>
          <w:b/>
          <w:bCs/>
        </w:rPr>
        <w:t>Base period measurement</w:t>
      </w:r>
      <w:r w:rsidR="00584831" w:rsidRPr="00361F7E">
        <w:tab/>
      </w:r>
      <w:r w:rsidR="004B4507" w:rsidRPr="00361F7E">
        <w:tab/>
      </w:r>
      <w:r w:rsidR="004B4507" w:rsidRPr="00361F7E">
        <w:tab/>
      </w:r>
      <w:r w:rsidR="00584831" w:rsidRPr="00361F7E">
        <w:t>1 GW</w:t>
      </w:r>
    </w:p>
    <w:p w14:paraId="40B58811" w14:textId="1ED6163C" w:rsidR="00EC2CF0" w:rsidRPr="00361F7E" w:rsidRDefault="00630285" w:rsidP="00BC66D2">
      <w:r w:rsidRPr="00361F7E">
        <w:rPr>
          <w:b/>
          <w:bCs/>
        </w:rPr>
        <w:t xml:space="preserve">Progress </w:t>
      </w:r>
      <w:r w:rsidR="000C40B7" w:rsidRPr="00361F7E">
        <w:rPr>
          <w:b/>
          <w:bCs/>
        </w:rPr>
        <w:t>percentage</w:t>
      </w:r>
      <w:r w:rsidR="000C40B7" w:rsidRPr="00361F7E">
        <w:t xml:space="preserve"> </w:t>
      </w:r>
      <w:r w:rsidRPr="00361F7E">
        <w:t>towards this commitment is calculated as:</w:t>
      </w:r>
    </w:p>
    <w:p w14:paraId="3BC602F4" w14:textId="7CD4B3FE" w:rsidR="00630285" w:rsidRPr="00361F7E" w:rsidRDefault="00260FAD" w:rsidP="00630285">
      <w:pPr>
        <w:spacing w:after="0"/>
      </w:pPr>
      <m:oMathPara>
        <m:oMath>
          <m:f>
            <m:fPr>
              <m:ctrlPr>
                <w:rPr>
                  <w:rFonts w:ascii="Cambria Math" w:hAnsi="Cambria Math"/>
                  <w:i/>
                </w:rPr>
              </m:ctrlPr>
            </m:fPr>
            <m:num>
              <m:r>
                <w:rPr>
                  <w:rFonts w:ascii="Cambria Math" w:hAnsi="Cambria Math"/>
                </w:rPr>
                <m:t>=Current year measurement-Base period measurement</m:t>
              </m:r>
            </m:num>
            <m:den>
              <m:r>
                <w:rPr>
                  <w:rFonts w:ascii="Cambria Math" w:hAnsi="Cambria Math"/>
                </w:rPr>
                <m:t>Commitment goal-Base period measurement</m:t>
              </m:r>
            </m:den>
          </m:f>
        </m:oMath>
      </m:oMathPara>
    </w:p>
    <w:p w14:paraId="366C138C" w14:textId="77777777" w:rsidR="00630285" w:rsidRPr="00361F7E" w:rsidRDefault="00630285" w:rsidP="00630285">
      <w:pPr>
        <w:spacing w:after="0"/>
      </w:pPr>
    </w:p>
    <w:p w14:paraId="6B36B195" w14:textId="20E46FAD" w:rsidR="00630285" w:rsidRPr="00361F7E" w:rsidRDefault="00630285" w:rsidP="00630285">
      <w:pPr>
        <w:spacing w:after="0"/>
      </w:pPr>
      <m:oMathPara>
        <m:oMath>
          <m:r>
            <w:rPr>
              <w:rFonts w:ascii="Cambria Math" w:hAnsi="Cambria Math"/>
            </w:rPr>
            <m:t>=</m:t>
          </m:r>
          <m:f>
            <m:fPr>
              <m:ctrlPr>
                <w:rPr>
                  <w:rFonts w:ascii="Cambria Math" w:hAnsi="Cambria Math"/>
                  <w:i/>
                </w:rPr>
              </m:ctrlPr>
            </m:fPr>
            <m:num>
              <m:r>
                <w:rPr>
                  <w:rFonts w:ascii="Cambria Math" w:hAnsi="Cambria Math"/>
                </w:rPr>
                <m:t>1.2 GW-1 GW</m:t>
              </m:r>
            </m:num>
            <m:den>
              <m:r>
                <w:rPr>
                  <w:rFonts w:ascii="Cambria Math" w:hAnsi="Cambria Math"/>
                </w:rPr>
                <m:t>2 GW-1 GW</m:t>
              </m:r>
            </m:den>
          </m:f>
        </m:oMath>
      </m:oMathPara>
    </w:p>
    <w:p w14:paraId="2C478529" w14:textId="77777777" w:rsidR="00630285" w:rsidRPr="00361F7E" w:rsidRDefault="00630285" w:rsidP="00630285">
      <w:pPr>
        <w:spacing w:after="0"/>
      </w:pPr>
    </w:p>
    <w:p w14:paraId="4ECC3C40" w14:textId="36123C14" w:rsidR="00630285" w:rsidRPr="00361F7E" w:rsidRDefault="00630285" w:rsidP="00630285">
      <w:pPr>
        <w:spacing w:after="0"/>
      </w:pPr>
      <m:oMathPara>
        <m:oMath>
          <m:r>
            <w:rPr>
              <w:rFonts w:ascii="Cambria Math" w:hAnsi="Cambria Math"/>
            </w:rPr>
            <m:t xml:space="preserve">=0.2 or </m:t>
          </m:r>
          <m:r>
            <m:rPr>
              <m:sty m:val="bi"/>
            </m:rPr>
            <w:rPr>
              <w:rFonts w:ascii="Cambria Math" w:hAnsi="Cambria Math"/>
            </w:rPr>
            <m:t>20%</m:t>
          </m:r>
          <m:r>
            <w:rPr>
              <w:rFonts w:ascii="Cambria Math" w:hAnsi="Cambria Math"/>
            </w:rPr>
            <m:t xml:space="preserve"> progress towards commitment goal</m:t>
          </m:r>
        </m:oMath>
      </m:oMathPara>
    </w:p>
    <w:p w14:paraId="1778FCF6" w14:textId="77777777" w:rsidR="00B119F3" w:rsidRPr="00361F7E" w:rsidRDefault="00B119F3" w:rsidP="00630285">
      <w:pPr>
        <w:spacing w:after="0"/>
      </w:pPr>
    </w:p>
    <w:p w14:paraId="7CFDD782" w14:textId="5FA49125" w:rsidR="002517C5" w:rsidRPr="00361F7E" w:rsidRDefault="00B119F3" w:rsidP="00F047C0">
      <w:pPr>
        <w:spacing w:after="0"/>
      </w:pPr>
      <w:r w:rsidRPr="00361F7E">
        <w:rPr>
          <w:b/>
          <w:bCs/>
        </w:rPr>
        <w:t>Absolute progress</w:t>
      </w:r>
      <w:r w:rsidRPr="00361F7E">
        <w:t xml:space="preserve"> is simply 1.2 GW minus 1 GW</w:t>
      </w:r>
      <w:r w:rsidR="00E2157C" w:rsidRPr="00361F7E">
        <w:t xml:space="preserve"> = </w:t>
      </w:r>
      <w:r w:rsidRPr="00361F7E">
        <w:t xml:space="preserve"> </w:t>
      </w:r>
      <w:r w:rsidRPr="00361F7E">
        <w:rPr>
          <w:b/>
          <w:bCs/>
        </w:rPr>
        <w:t>0.2 GW</w:t>
      </w:r>
      <w:r w:rsidRPr="00361F7E">
        <w:t>.</w:t>
      </w:r>
    </w:p>
    <w:p w14:paraId="790A3C74" w14:textId="72D05CC6" w:rsidR="00E43F8E" w:rsidRDefault="00F57C47" w:rsidP="00E43F8E">
      <w:pPr>
        <w:pStyle w:val="Heading5"/>
      </w:pPr>
      <w:r w:rsidRPr="00361F7E">
        <w:t>Without a base period</w:t>
      </w:r>
      <w:r w:rsidR="00E43F8E">
        <w:t>:</w:t>
      </w:r>
    </w:p>
    <w:p w14:paraId="725D9CC5" w14:textId="18BE32B1" w:rsidR="00F57C47" w:rsidRPr="00361F7E" w:rsidRDefault="00F57C47" w:rsidP="00BC66D2">
      <w:pPr>
        <w:rPr>
          <w:u w:val="single"/>
        </w:rPr>
      </w:pPr>
      <w:r w:rsidRPr="00361F7E">
        <w:rPr>
          <w:i/>
          <w:iCs/>
        </w:rPr>
        <w:t xml:space="preserve">Company </w:t>
      </w:r>
      <w:r w:rsidR="000C40B7" w:rsidRPr="00361F7E">
        <w:rPr>
          <w:i/>
          <w:iCs/>
        </w:rPr>
        <w:t>D</w:t>
      </w:r>
      <w:r w:rsidRPr="00361F7E">
        <w:rPr>
          <w:i/>
          <w:iCs/>
        </w:rPr>
        <w:t xml:space="preserve"> measures progress </w:t>
      </w:r>
      <w:r w:rsidR="00341B9F" w:rsidRPr="00361F7E">
        <w:rPr>
          <w:i/>
          <w:iCs/>
        </w:rPr>
        <w:t>without a base period (i.e. 0 GW baseline)</w:t>
      </w:r>
      <w:r w:rsidR="006B2A4B" w:rsidRPr="00361F7E">
        <w:rPr>
          <w:i/>
          <w:iCs/>
        </w:rPr>
        <w:t>:</w:t>
      </w:r>
    </w:p>
    <w:p w14:paraId="0C54300D" w14:textId="15FF9E1B" w:rsidR="00F57C47" w:rsidRPr="00361F7E" w:rsidRDefault="00F57C47" w:rsidP="00F047C0">
      <w:pPr>
        <w:ind w:left="720"/>
      </w:pPr>
      <w:r w:rsidRPr="00361F7E">
        <w:rPr>
          <w:b/>
          <w:bCs/>
        </w:rPr>
        <w:t>Progress measured from a base period</w:t>
      </w:r>
      <w:r w:rsidRPr="00361F7E">
        <w:rPr>
          <w:b/>
          <w:bCs/>
        </w:rPr>
        <w:tab/>
      </w:r>
      <w:r w:rsidRPr="00361F7E">
        <w:tab/>
      </w:r>
      <w:r w:rsidR="00341B9F" w:rsidRPr="00361F7E">
        <w:t>No</w:t>
      </w:r>
    </w:p>
    <w:p w14:paraId="14C40737" w14:textId="18851731" w:rsidR="00F57C47" w:rsidRPr="00361F7E" w:rsidRDefault="000C40B7" w:rsidP="00BC66D2">
      <w:r w:rsidRPr="00361F7E">
        <w:rPr>
          <w:b/>
          <w:bCs/>
        </w:rPr>
        <w:t>Progress percentage</w:t>
      </w:r>
      <w:r w:rsidRPr="00361F7E">
        <w:t xml:space="preserve"> </w:t>
      </w:r>
      <w:r w:rsidR="00F57C47" w:rsidRPr="00361F7E">
        <w:t>towards this commitment is calculated as:</w:t>
      </w:r>
    </w:p>
    <w:p w14:paraId="3F558E11" w14:textId="7E6E9F26" w:rsidR="00F57C47" w:rsidRPr="00361F7E" w:rsidRDefault="00260FAD" w:rsidP="00F57C47">
      <w:pPr>
        <w:spacing w:after="0"/>
      </w:pPr>
      <m:oMathPara>
        <m:oMath>
          <m:f>
            <m:fPr>
              <m:ctrlPr>
                <w:rPr>
                  <w:rFonts w:ascii="Cambria Math" w:hAnsi="Cambria Math"/>
                  <w:i/>
                </w:rPr>
              </m:ctrlPr>
            </m:fPr>
            <m:num>
              <m:r>
                <w:rPr>
                  <w:rFonts w:ascii="Cambria Math" w:hAnsi="Cambria Math"/>
                </w:rPr>
                <m:t>=Current year measurement</m:t>
              </m:r>
            </m:num>
            <m:den>
              <m:r>
                <w:rPr>
                  <w:rFonts w:ascii="Cambria Math" w:hAnsi="Cambria Math"/>
                </w:rPr>
                <m:t>Commitment goal</m:t>
              </m:r>
            </m:den>
          </m:f>
        </m:oMath>
      </m:oMathPara>
    </w:p>
    <w:p w14:paraId="5037E7C9" w14:textId="77777777" w:rsidR="00F57C47" w:rsidRPr="00361F7E" w:rsidRDefault="00F57C47" w:rsidP="00F57C47">
      <w:pPr>
        <w:spacing w:after="0"/>
      </w:pPr>
    </w:p>
    <w:p w14:paraId="0BC3DA0C" w14:textId="390D9542" w:rsidR="00F57C47" w:rsidRPr="00361F7E" w:rsidRDefault="00F57C47" w:rsidP="00F57C47">
      <w:pPr>
        <w:spacing w:after="0"/>
      </w:pPr>
      <m:oMathPara>
        <m:oMath>
          <m:r>
            <w:rPr>
              <w:rFonts w:ascii="Cambria Math" w:hAnsi="Cambria Math"/>
            </w:rPr>
            <m:t>=</m:t>
          </m:r>
          <m:f>
            <m:fPr>
              <m:ctrlPr>
                <w:rPr>
                  <w:rFonts w:ascii="Cambria Math" w:hAnsi="Cambria Math"/>
                  <w:i/>
                </w:rPr>
              </m:ctrlPr>
            </m:fPr>
            <m:num>
              <m:r>
                <w:rPr>
                  <w:rFonts w:ascii="Cambria Math" w:hAnsi="Cambria Math"/>
                </w:rPr>
                <m:t>1.2 GW</m:t>
              </m:r>
            </m:num>
            <m:den>
              <m:r>
                <w:rPr>
                  <w:rFonts w:ascii="Cambria Math" w:hAnsi="Cambria Math"/>
                </w:rPr>
                <m:t>2 GW</m:t>
              </m:r>
            </m:den>
          </m:f>
        </m:oMath>
      </m:oMathPara>
    </w:p>
    <w:p w14:paraId="7390B188" w14:textId="77777777" w:rsidR="00F57C47" w:rsidRPr="00361F7E" w:rsidRDefault="00F57C47" w:rsidP="00F57C47">
      <w:pPr>
        <w:spacing w:after="0"/>
      </w:pPr>
    </w:p>
    <w:p w14:paraId="10F7B0EF" w14:textId="24724FDD" w:rsidR="00F57C47" w:rsidRPr="00361F7E" w:rsidRDefault="00F57C47" w:rsidP="00F57C47">
      <w:pPr>
        <w:spacing w:after="0"/>
      </w:pPr>
      <m:oMathPara>
        <m:oMath>
          <m:r>
            <w:rPr>
              <w:rFonts w:ascii="Cambria Math" w:hAnsi="Cambria Math"/>
            </w:rPr>
            <m:t xml:space="preserve">=0.6 or </m:t>
          </m:r>
          <m:r>
            <m:rPr>
              <m:sty m:val="bi"/>
            </m:rPr>
            <w:rPr>
              <w:rFonts w:ascii="Cambria Math" w:hAnsi="Cambria Math"/>
            </w:rPr>
            <m:t>60%</m:t>
          </m:r>
          <m:r>
            <w:rPr>
              <w:rFonts w:ascii="Cambria Math" w:hAnsi="Cambria Math"/>
            </w:rPr>
            <m:t xml:space="preserve"> progress towards commitment goal</m:t>
          </m:r>
        </m:oMath>
      </m:oMathPara>
    </w:p>
    <w:p w14:paraId="52217CAD" w14:textId="77777777" w:rsidR="00F57C47" w:rsidRPr="00361F7E" w:rsidRDefault="00F57C47" w:rsidP="00BC66D2"/>
    <w:p w14:paraId="7E06D5A2" w14:textId="6819BBBA" w:rsidR="002517C5" w:rsidRPr="00276B64" w:rsidRDefault="002517C5" w:rsidP="00F047C0">
      <w:r w:rsidRPr="00361F7E">
        <w:rPr>
          <w:b/>
          <w:bCs/>
        </w:rPr>
        <w:t>Absolute progress</w:t>
      </w:r>
      <w:r w:rsidRPr="00361F7E">
        <w:t xml:space="preserve"> is simply </w:t>
      </w:r>
      <w:r w:rsidRPr="00361F7E">
        <w:rPr>
          <w:b/>
          <w:bCs/>
        </w:rPr>
        <w:t>1.2 GW</w:t>
      </w:r>
      <w:r w:rsidRPr="00361F7E">
        <w:t>.</w:t>
      </w:r>
    </w:p>
    <w:p w14:paraId="122F0AF3" w14:textId="5A9B3287" w:rsidR="007014CF" w:rsidRDefault="00E619A0" w:rsidP="00EF032E">
      <w:pPr>
        <w:pStyle w:val="Heading2"/>
        <w:spacing w:before="0"/>
        <w:rPr>
          <w:i/>
          <w:iCs/>
        </w:rPr>
      </w:pPr>
      <w:bookmarkStart w:id="22" w:name="_Toc121236628"/>
      <w:r>
        <w:lastRenderedPageBreak/>
        <w:t xml:space="preserve">Reporting – </w:t>
      </w:r>
      <w:r w:rsidRPr="00E619A0">
        <w:rPr>
          <w:i/>
          <w:iCs/>
        </w:rPr>
        <w:t>Section 10 of the CERT Guidelines</w:t>
      </w:r>
      <w:bookmarkEnd w:id="22"/>
    </w:p>
    <w:p w14:paraId="03F06D71" w14:textId="272A08D1" w:rsidR="00F36486" w:rsidRDefault="00F36486" w:rsidP="00E43F8E">
      <w:pPr>
        <w:pStyle w:val="Heading4"/>
      </w:pPr>
      <w:r w:rsidRPr="00F047C0">
        <w:t xml:space="preserve">Example </w:t>
      </w:r>
      <w:r w:rsidR="008B4438" w:rsidRPr="00F047C0">
        <w:t>2</w:t>
      </w:r>
      <w:r w:rsidR="005C7195">
        <w:t>5</w:t>
      </w:r>
      <w:r w:rsidRPr="00915F3F">
        <w:t xml:space="preserve"> – Equity share adjustments to electricity generated and consumed on-site (behind the meter)</w:t>
      </w:r>
    </w:p>
    <w:p w14:paraId="447A8F5F" w14:textId="77777777" w:rsidR="00F36486" w:rsidRDefault="00F36486" w:rsidP="00EF032E">
      <w:pPr>
        <w:pStyle w:val="CommentText"/>
        <w:rPr>
          <w:sz w:val="22"/>
          <w:szCs w:val="22"/>
        </w:rPr>
      </w:pPr>
      <w:r>
        <w:rPr>
          <w:sz w:val="22"/>
          <w:szCs w:val="22"/>
        </w:rPr>
        <w:t xml:space="preserve">A CERT Participant has nominated equity share reporting. They have a </w:t>
      </w:r>
      <w:r w:rsidRPr="00E67827">
        <w:rPr>
          <w:sz w:val="22"/>
          <w:szCs w:val="22"/>
        </w:rPr>
        <w:t xml:space="preserve">50% share in a facility that </w:t>
      </w:r>
      <w:r>
        <w:rPr>
          <w:sz w:val="22"/>
          <w:szCs w:val="22"/>
        </w:rPr>
        <w:t xml:space="preserve">they have </w:t>
      </w:r>
      <w:r w:rsidRPr="00E67827">
        <w:rPr>
          <w:sz w:val="22"/>
          <w:szCs w:val="22"/>
        </w:rPr>
        <w:t xml:space="preserve">operational control </w:t>
      </w:r>
      <w:r>
        <w:rPr>
          <w:sz w:val="22"/>
          <w:szCs w:val="22"/>
        </w:rPr>
        <w:t xml:space="preserve">of </w:t>
      </w:r>
      <w:r w:rsidRPr="00E67827">
        <w:rPr>
          <w:sz w:val="22"/>
          <w:szCs w:val="22"/>
        </w:rPr>
        <w:t>for the purposes of the NGER Act</w:t>
      </w:r>
      <w:r>
        <w:rPr>
          <w:sz w:val="22"/>
          <w:szCs w:val="22"/>
        </w:rPr>
        <w:t>.</w:t>
      </w:r>
      <w:r w:rsidRPr="00E67827">
        <w:rPr>
          <w:sz w:val="22"/>
          <w:szCs w:val="22"/>
        </w:rPr>
        <w:t xml:space="preserve"> </w:t>
      </w:r>
      <w:r>
        <w:rPr>
          <w:sz w:val="22"/>
          <w:szCs w:val="22"/>
        </w:rPr>
        <w:t xml:space="preserve">The </w:t>
      </w:r>
      <w:r w:rsidRPr="00E67827">
        <w:rPr>
          <w:sz w:val="22"/>
          <w:szCs w:val="22"/>
        </w:rPr>
        <w:t>facility consumes 100</w:t>
      </w:r>
      <w:r>
        <w:rPr>
          <w:sz w:val="22"/>
          <w:szCs w:val="22"/>
        </w:rPr>
        <w:t xml:space="preserve"> </w:t>
      </w:r>
      <w:r w:rsidRPr="00E67827">
        <w:rPr>
          <w:sz w:val="22"/>
          <w:szCs w:val="22"/>
        </w:rPr>
        <w:t xml:space="preserve">MWh of LGC-credited renewable electricity </w:t>
      </w:r>
      <w:r>
        <w:rPr>
          <w:sz w:val="22"/>
          <w:szCs w:val="22"/>
        </w:rPr>
        <w:t xml:space="preserve">generated </w:t>
      </w:r>
      <w:r w:rsidRPr="00E67827">
        <w:rPr>
          <w:sz w:val="22"/>
          <w:szCs w:val="22"/>
        </w:rPr>
        <w:t>on-site for the reporting year</w:t>
      </w:r>
      <w:r>
        <w:rPr>
          <w:sz w:val="22"/>
          <w:szCs w:val="22"/>
        </w:rPr>
        <w:t xml:space="preserve"> and would report as such in their NGER report.</w:t>
      </w:r>
      <w:r w:rsidRPr="00E67827">
        <w:rPr>
          <w:sz w:val="22"/>
          <w:szCs w:val="22"/>
        </w:rPr>
        <w:t xml:space="preserve"> </w:t>
      </w:r>
      <w:r>
        <w:rPr>
          <w:sz w:val="22"/>
          <w:szCs w:val="22"/>
        </w:rPr>
        <w:t xml:space="preserve">For CERT reporting, because their equity share of the facility is 50% the CERT Participant </w:t>
      </w:r>
      <w:r w:rsidRPr="00E67827">
        <w:rPr>
          <w:sz w:val="22"/>
          <w:szCs w:val="22"/>
        </w:rPr>
        <w:t xml:space="preserve">should </w:t>
      </w:r>
      <w:r>
        <w:rPr>
          <w:sz w:val="22"/>
          <w:szCs w:val="22"/>
        </w:rPr>
        <w:t xml:space="preserve">report the on-site renewable electricity use </w:t>
      </w:r>
      <w:r w:rsidRPr="00E67827">
        <w:rPr>
          <w:sz w:val="22"/>
          <w:szCs w:val="22"/>
        </w:rPr>
        <w:t>as 50</w:t>
      </w:r>
      <w:r>
        <w:rPr>
          <w:sz w:val="22"/>
          <w:szCs w:val="22"/>
        </w:rPr>
        <w:t xml:space="preserve"> </w:t>
      </w:r>
      <w:r w:rsidRPr="00E67827">
        <w:rPr>
          <w:sz w:val="22"/>
          <w:szCs w:val="22"/>
        </w:rPr>
        <w:t>MWh</w:t>
      </w:r>
      <w:r>
        <w:rPr>
          <w:sz w:val="22"/>
          <w:szCs w:val="22"/>
        </w:rPr>
        <w:t>.</w:t>
      </w:r>
    </w:p>
    <w:p w14:paraId="2CDB157E" w14:textId="77777777" w:rsidR="00F36486" w:rsidRDefault="00F36486" w:rsidP="00EF032E">
      <w:pPr>
        <w:pStyle w:val="CommentText"/>
        <w:rPr>
          <w:sz w:val="22"/>
          <w:szCs w:val="22"/>
        </w:rPr>
      </w:pPr>
    </w:p>
    <w:p w14:paraId="0C88F9A0" w14:textId="326008CE" w:rsidR="00E619A0" w:rsidRPr="00E619A0" w:rsidRDefault="00F36486" w:rsidP="00F047C0">
      <w:pPr>
        <w:pStyle w:val="CommentText"/>
      </w:pPr>
      <w:r>
        <w:rPr>
          <w:sz w:val="22"/>
          <w:szCs w:val="22"/>
        </w:rPr>
        <w:t>If the equity share of the facility changes throughout the reporting year then this must be included in the calculation of renewable electricity use. If the CERT Participant changed their equity share in the facility from 50% to 100% half-way through the year, this would mean their renewable electricity use reported in CERT would be 75 MWh.</w:t>
      </w:r>
    </w:p>
    <w:sectPr w:rsidR="00E619A0" w:rsidRPr="00E619A0" w:rsidSect="00E349EF">
      <w:headerReference w:type="default" r:id="rId36"/>
      <w:footerReference w:type="even" r:id="rId37"/>
      <w:footerReference w:type="default" r:id="rId38"/>
      <w:headerReference w:type="first" r:id="rId39"/>
      <w:footerReference w:type="first" r:id="rId40"/>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4089" w14:textId="77777777" w:rsidR="006C6FA4" w:rsidRDefault="006C6FA4" w:rsidP="00176C28">
      <w:r>
        <w:separator/>
      </w:r>
    </w:p>
    <w:p w14:paraId="665CA6B4" w14:textId="77777777" w:rsidR="006C6FA4" w:rsidRDefault="006C6FA4"/>
  </w:endnote>
  <w:endnote w:type="continuationSeparator" w:id="0">
    <w:p w14:paraId="01F7BCED" w14:textId="77777777" w:rsidR="006C6FA4" w:rsidRDefault="006C6FA4" w:rsidP="00176C28">
      <w:r>
        <w:continuationSeparator/>
      </w:r>
    </w:p>
    <w:p w14:paraId="18179170" w14:textId="77777777" w:rsidR="006C6FA4" w:rsidRDefault="006C6FA4"/>
  </w:endnote>
  <w:endnote w:type="continuationNotice" w:id="1">
    <w:p w14:paraId="56FDFF11" w14:textId="77777777" w:rsidR="006C6FA4" w:rsidRDefault="006C6F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BE75" w14:textId="77777777" w:rsidR="009633DE" w:rsidRDefault="009633DE" w:rsidP="00801B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D928484" w14:textId="77777777" w:rsidR="00977234" w:rsidRDefault="00977234" w:rsidP="009633DE">
    <w:pPr>
      <w:pStyle w:val="Footer"/>
      <w:ind w:right="360"/>
      <w:rPr>
        <w:rStyle w:val="PageNumber"/>
      </w:rPr>
    </w:pPr>
  </w:p>
  <w:p w14:paraId="38F29904" w14:textId="77777777" w:rsidR="00977234" w:rsidRDefault="00977234" w:rsidP="009633DE">
    <w:pPr>
      <w:pStyle w:val="Footer"/>
    </w:pPr>
  </w:p>
  <w:p w14:paraId="4DE4F8DB"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394A" w14:textId="77777777" w:rsidR="00F76419" w:rsidRPr="002761BC" w:rsidRDefault="002D18F3" w:rsidP="002761BC">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C89734B" w14:textId="12D0A60F" w:rsidR="00F76419" w:rsidRPr="009633DE" w:rsidRDefault="009956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8C65" w14:textId="77777777" w:rsidR="0065750A" w:rsidRPr="009C30B4" w:rsidRDefault="00CA2954"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5F44A1CE" wp14:editId="670039F2">
          <wp:extent cx="2133416" cy="64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54B80" w14:textId="77777777" w:rsidR="006C6FA4" w:rsidRDefault="006C6FA4" w:rsidP="00176C28">
      <w:r>
        <w:separator/>
      </w:r>
    </w:p>
    <w:p w14:paraId="434E33DC" w14:textId="77777777" w:rsidR="006C6FA4" w:rsidRDefault="006C6FA4"/>
  </w:footnote>
  <w:footnote w:type="continuationSeparator" w:id="0">
    <w:p w14:paraId="665B3F9C" w14:textId="77777777" w:rsidR="006C6FA4" w:rsidRDefault="006C6FA4" w:rsidP="00176C28">
      <w:r>
        <w:continuationSeparator/>
      </w:r>
    </w:p>
    <w:p w14:paraId="55A42394" w14:textId="77777777" w:rsidR="006C6FA4" w:rsidRDefault="006C6FA4"/>
  </w:footnote>
  <w:footnote w:type="continuationNotice" w:id="1">
    <w:p w14:paraId="357DF0E0" w14:textId="77777777" w:rsidR="006C6FA4" w:rsidRDefault="006C6FA4">
      <w:pPr>
        <w:spacing w:after="0"/>
      </w:pPr>
    </w:p>
  </w:footnote>
  <w:footnote w:id="2">
    <w:p w14:paraId="40C47ABA" w14:textId="1B126DAF" w:rsidR="009F62EF" w:rsidRDefault="009F62EF">
      <w:pPr>
        <w:pStyle w:val="FootnoteText"/>
      </w:pPr>
      <w:r>
        <w:rPr>
          <w:rStyle w:val="FootnoteReference"/>
        </w:rPr>
        <w:footnoteRef/>
      </w:r>
      <w:r>
        <w:t xml:space="preserve"> </w:t>
      </w:r>
      <w:r w:rsidRPr="009F62EF">
        <w:t>https://www.cleanenergyregulator.gov.au/DocumentAssets/Pages/CERT-Report-Guidelines-FY2021-22-and-CY2022.aspx</w:t>
      </w:r>
    </w:p>
  </w:footnote>
  <w:footnote w:id="3">
    <w:p w14:paraId="084B38E6" w14:textId="77777777" w:rsidR="00FE4DC1" w:rsidRDefault="00FE4DC1" w:rsidP="00FE4DC1">
      <w:pPr>
        <w:pStyle w:val="FootnoteText"/>
      </w:pPr>
      <w:r>
        <w:rPr>
          <w:rStyle w:val="FootnoteReference"/>
        </w:rPr>
        <w:footnoteRef/>
      </w:r>
      <w:r>
        <w:t xml:space="preserve"> Commitment entity refers to the entity selected when reporting a commitment in section 4 of the reporting form.</w:t>
      </w:r>
    </w:p>
  </w:footnote>
  <w:footnote w:id="4">
    <w:p w14:paraId="48D29384" w14:textId="77777777" w:rsidR="00FE4DC1" w:rsidRDefault="00FE4DC1" w:rsidP="00FE4DC1">
      <w:pPr>
        <w:pStyle w:val="FootnoteText"/>
      </w:pPr>
      <w:r>
        <w:rPr>
          <w:rStyle w:val="FootnoteReference"/>
        </w:rPr>
        <w:footnoteRef/>
      </w:r>
      <w:r>
        <w:t xml:space="preserve"> Reporting entity refers to the participating entity selected in section 2 of the reporting form.</w:t>
      </w:r>
    </w:p>
  </w:footnote>
  <w:footnote w:id="5">
    <w:p w14:paraId="722E45E7" w14:textId="5F063E21" w:rsidR="009F62EF" w:rsidRDefault="009F62EF">
      <w:pPr>
        <w:pStyle w:val="FootnoteText"/>
      </w:pPr>
      <w:r>
        <w:rPr>
          <w:rStyle w:val="FootnoteReference"/>
        </w:rPr>
        <w:footnoteRef/>
      </w:r>
      <w:r>
        <w:t xml:space="preserve"> </w:t>
      </w:r>
      <w:r w:rsidRPr="009F62EF">
        <w:t>https://www.cleanenergyregulator.gov.au/DocumentAssets/Pages/CERT-Report-Guidelines-FY2021-22-and-CY2022.aspx</w:t>
      </w:r>
    </w:p>
  </w:footnote>
  <w:footnote w:id="6">
    <w:p w14:paraId="0FD393C9" w14:textId="5F808CB8" w:rsidR="009F62EF" w:rsidRDefault="009F62EF">
      <w:pPr>
        <w:pStyle w:val="FootnoteText"/>
      </w:pPr>
      <w:r>
        <w:rPr>
          <w:rStyle w:val="FootnoteReference"/>
        </w:rPr>
        <w:footnoteRef/>
      </w:r>
      <w:r>
        <w:t xml:space="preserve"> </w:t>
      </w:r>
      <w:r w:rsidRPr="009F62EF">
        <w:t>https://www.cleanenergyregulator.gov.au/Infohub/Markets/cert-report</w:t>
      </w:r>
    </w:p>
  </w:footnote>
  <w:footnote w:id="7">
    <w:p w14:paraId="219225BB" w14:textId="77777777" w:rsidR="00D85364" w:rsidRDefault="00D85364" w:rsidP="00D85364">
      <w:pPr>
        <w:pStyle w:val="FootnoteText"/>
      </w:pPr>
      <w:r>
        <w:rPr>
          <w:rStyle w:val="FootnoteReference"/>
        </w:rPr>
        <w:footnoteRef/>
      </w:r>
      <w:r>
        <w:t xml:space="preserve"> Australian participants are strongly encouraged to have the independent assurance completed in accordance with ASAE 3000 or ASAE 3410, consistent with other assurance engagements performed under the NGER scheme.</w:t>
      </w:r>
    </w:p>
  </w:footnote>
  <w:footnote w:id="8">
    <w:p w14:paraId="7A3BD46F" w14:textId="2B81F27A" w:rsidR="009F62EF" w:rsidRDefault="009F62EF">
      <w:pPr>
        <w:pStyle w:val="FootnoteText"/>
      </w:pPr>
      <w:r>
        <w:rPr>
          <w:rStyle w:val="FootnoteReference"/>
        </w:rPr>
        <w:footnoteRef/>
      </w:r>
      <w:r>
        <w:t xml:space="preserve"> </w:t>
      </w:r>
      <w:r w:rsidRPr="009F62EF">
        <w:t>https://auasb.gov.au/standards-guidance/auasb-standards/other-assurance/</w:t>
      </w:r>
    </w:p>
  </w:footnote>
  <w:footnote w:id="9">
    <w:p w14:paraId="3AF9F440" w14:textId="44224C59" w:rsidR="009F62EF" w:rsidRDefault="009F62EF">
      <w:pPr>
        <w:pStyle w:val="FootnoteText"/>
      </w:pPr>
      <w:r>
        <w:rPr>
          <w:rStyle w:val="FootnoteReference"/>
        </w:rPr>
        <w:footnoteRef/>
      </w:r>
      <w:r>
        <w:t xml:space="preserve"> </w:t>
      </w:r>
      <w:r w:rsidRPr="009F62EF">
        <w:t>https://auasb.gov.au/standards-guidance/auasb-standards/other-assurance/</w:t>
      </w:r>
    </w:p>
  </w:footnote>
  <w:footnote w:id="10">
    <w:p w14:paraId="4FDD7454" w14:textId="12673F36" w:rsidR="009F62EF" w:rsidRDefault="009F62EF">
      <w:pPr>
        <w:pStyle w:val="FootnoteText"/>
      </w:pPr>
      <w:r>
        <w:rPr>
          <w:rStyle w:val="FootnoteReference"/>
        </w:rPr>
        <w:footnoteRef/>
      </w:r>
      <w:r>
        <w:t xml:space="preserve"> </w:t>
      </w:r>
      <w:r w:rsidRPr="009F62EF">
        <w:t>https://www.iaasb.org/publications/international-standard-assurance-engagements-isae-3000-revised-assurance-engagements-other-audits-or-0</w:t>
      </w:r>
    </w:p>
  </w:footnote>
  <w:footnote w:id="11">
    <w:p w14:paraId="34EC250C" w14:textId="02A2FAA6" w:rsidR="009F62EF" w:rsidRDefault="009F62EF">
      <w:pPr>
        <w:pStyle w:val="FootnoteText"/>
      </w:pPr>
      <w:r>
        <w:rPr>
          <w:rStyle w:val="FootnoteReference"/>
        </w:rPr>
        <w:footnoteRef/>
      </w:r>
      <w:r>
        <w:t xml:space="preserve"> </w:t>
      </w:r>
      <w:r w:rsidRPr="009F62EF">
        <w:t>https://www.iaasb.org/publications/glance-international-standard-assurance-engagements-isae-3410-assurance-engagements-greenhouse-gas</w:t>
      </w:r>
    </w:p>
  </w:footnote>
  <w:footnote w:id="12">
    <w:p w14:paraId="7426129B" w14:textId="745C0D52" w:rsidR="009F62EF" w:rsidRDefault="009F62EF">
      <w:pPr>
        <w:pStyle w:val="FootnoteText"/>
      </w:pPr>
      <w:r>
        <w:rPr>
          <w:rStyle w:val="FootnoteReference"/>
        </w:rPr>
        <w:footnoteRef/>
      </w:r>
      <w:r>
        <w:t xml:space="preserve"> </w:t>
      </w:r>
      <w:r w:rsidRPr="009F62EF">
        <w:t>https://www.iso.org/standard/66455.html</w:t>
      </w:r>
    </w:p>
  </w:footnote>
  <w:footnote w:id="13">
    <w:p w14:paraId="7EBE380B" w14:textId="77777777" w:rsidR="00D85364" w:rsidRDefault="00D85364" w:rsidP="00D85364">
      <w:pPr>
        <w:pStyle w:val="FootnoteText"/>
      </w:pPr>
      <w:r>
        <w:rPr>
          <w:rStyle w:val="FootnoteReference"/>
        </w:rPr>
        <w:footnoteRef/>
      </w:r>
      <w:r>
        <w:t xml:space="preserve"> For further information, see the requirements of the </w:t>
      </w:r>
      <w:hyperlink r:id="rId1" w:history="1">
        <w:r>
          <w:rPr>
            <w:rStyle w:val="Hyperlink"/>
            <w:rFonts w:asciiTheme="minorHAnsi" w:hAnsiTheme="minorHAnsi"/>
            <w:i/>
            <w:iCs/>
            <w:sz w:val="20"/>
          </w:rPr>
          <w:t xml:space="preserve">Standard on Assurance Engagements ASAE 3000 </w:t>
        </w:r>
        <w:r w:rsidRPr="00CB6832">
          <w:rPr>
            <w:rStyle w:val="Hyperlink"/>
            <w:rFonts w:asciiTheme="minorHAnsi" w:hAnsiTheme="minorHAnsi"/>
            <w:sz w:val="20"/>
          </w:rPr>
          <w:t>[PDF 695KB]</w:t>
        </w:r>
      </w:hyperlink>
      <w:r>
        <w:rPr>
          <w:rStyle w:val="Hyperlink"/>
          <w:rFonts w:asciiTheme="minorHAnsi" w:hAnsiTheme="minorHAnsi"/>
          <w:sz w:val="20"/>
          <w:u w:val="none"/>
        </w:rPr>
        <w:t xml:space="preserve">, </w:t>
      </w:r>
      <w:r w:rsidRPr="009501C4">
        <w:rPr>
          <w:rStyle w:val="Hyperlink"/>
          <w:rFonts w:asciiTheme="minorHAnsi" w:hAnsiTheme="minorHAnsi"/>
          <w:color w:val="auto"/>
          <w:sz w:val="20"/>
          <w:u w:val="none"/>
        </w:rPr>
        <w:t>pp.13-27</w:t>
      </w:r>
      <w:r>
        <w:t>.</w:t>
      </w:r>
    </w:p>
  </w:footnote>
  <w:footnote w:id="14">
    <w:p w14:paraId="311D56A1" w14:textId="7FB4F1BB" w:rsidR="009F62EF" w:rsidRDefault="009F62EF">
      <w:pPr>
        <w:pStyle w:val="FootnoteText"/>
      </w:pPr>
      <w:r>
        <w:rPr>
          <w:rStyle w:val="FootnoteReference"/>
        </w:rPr>
        <w:footnoteRef/>
      </w:r>
      <w:r>
        <w:t xml:space="preserve"> </w:t>
      </w:r>
      <w:r w:rsidRPr="009F62EF">
        <w:t>https://www.cleanenergyregulator.gov.au/DocumentAssets/Pages/Register-of-Greenhouse-and-Energy-Auditors.aspx</w:t>
      </w:r>
    </w:p>
  </w:footnote>
  <w:footnote w:id="15">
    <w:p w14:paraId="69F0E365" w14:textId="31F6345C" w:rsidR="009F62EF" w:rsidRDefault="009F62EF">
      <w:pPr>
        <w:pStyle w:val="FootnoteText"/>
      </w:pPr>
      <w:r>
        <w:rPr>
          <w:rStyle w:val="FootnoteReference"/>
        </w:rPr>
        <w:footnoteRef/>
      </w:r>
      <w:r>
        <w:t xml:space="preserve"> </w:t>
      </w:r>
      <w:r w:rsidRPr="009F62EF">
        <w:t>https://www.cleanenergyregulator.gov.au/NGER/About-the-National-Greenhouse-and-Energy-Reporting-scheme/global-warming-potentials</w:t>
      </w:r>
    </w:p>
  </w:footnote>
  <w:footnote w:id="16">
    <w:p w14:paraId="33669E7A" w14:textId="0F4F2830" w:rsidR="009F62EF" w:rsidRDefault="009F62EF">
      <w:pPr>
        <w:pStyle w:val="FootnoteText"/>
      </w:pPr>
      <w:r>
        <w:rPr>
          <w:rStyle w:val="FootnoteReference"/>
        </w:rPr>
        <w:footnoteRef/>
      </w:r>
      <w:r>
        <w:t xml:space="preserve"> </w:t>
      </w:r>
      <w:r w:rsidRPr="009F62EF">
        <w:t>https://www.auasb.gov.au/media/lhwp1rep/sustainabilityassuranceupdate_10-22.pdf</w:t>
      </w:r>
    </w:p>
  </w:footnote>
  <w:footnote w:id="17">
    <w:p w14:paraId="65F28F92" w14:textId="2343C5C5" w:rsidR="00574659" w:rsidRDefault="00574659">
      <w:pPr>
        <w:pStyle w:val="FootnoteText"/>
      </w:pPr>
      <w:r>
        <w:rPr>
          <w:rStyle w:val="FootnoteReference"/>
        </w:rPr>
        <w:footnoteRef/>
      </w:r>
      <w:r>
        <w:t xml:space="preserve"> </w:t>
      </w:r>
      <w:r w:rsidRPr="00574659">
        <w:t>https://www.cleanenergyregulator.gov.au/DocumentAssets/Pages/CERT-Report-Guidelines-FY2021-22-and-CY2022.aspx</w:t>
      </w:r>
    </w:p>
  </w:footnote>
  <w:footnote w:id="18">
    <w:p w14:paraId="3291D40E" w14:textId="0F06E871" w:rsidR="000230A4" w:rsidRDefault="000230A4">
      <w:pPr>
        <w:pStyle w:val="FootnoteText"/>
      </w:pPr>
      <w:r>
        <w:rPr>
          <w:rStyle w:val="FootnoteReference"/>
        </w:rPr>
        <w:footnoteRef/>
      </w:r>
      <w:r>
        <w:t xml:space="preserve"> </w:t>
      </w:r>
      <w:r w:rsidRPr="000230A4">
        <w:t>https://ghgprotocol.org/corporate-standard</w:t>
      </w:r>
    </w:p>
  </w:footnote>
  <w:footnote w:id="19">
    <w:p w14:paraId="0827AB14" w14:textId="5554E557" w:rsidR="000230A4" w:rsidRDefault="000230A4">
      <w:pPr>
        <w:pStyle w:val="FootnoteText"/>
      </w:pPr>
      <w:r>
        <w:rPr>
          <w:rStyle w:val="FootnoteReference"/>
        </w:rPr>
        <w:footnoteRef/>
      </w:r>
      <w:r>
        <w:t xml:space="preserve"> </w:t>
      </w:r>
      <w:r w:rsidRPr="000230A4">
        <w:t>https://www.cleanenergyregulator.gov.au/NGER/About-the-National-Greenhouse-and-Energy-Reporting-scheme/global-warming-potentials</w:t>
      </w:r>
    </w:p>
  </w:footnote>
  <w:footnote w:id="20">
    <w:p w14:paraId="707E1B27" w14:textId="7E09BAD7" w:rsidR="000230A4" w:rsidRDefault="000230A4">
      <w:pPr>
        <w:pStyle w:val="FootnoteText"/>
      </w:pPr>
      <w:r>
        <w:rPr>
          <w:rStyle w:val="FootnoteReference"/>
        </w:rPr>
        <w:footnoteRef/>
      </w:r>
      <w:r>
        <w:t xml:space="preserve"> </w:t>
      </w:r>
      <w:r w:rsidRPr="000230A4">
        <w:t>https://www.cleanenergyregulator.gov.au/RET/Scheme-participants-and-industry/the-renewable-power-percentage</w:t>
      </w:r>
    </w:p>
  </w:footnote>
  <w:footnote w:id="21">
    <w:p w14:paraId="467377F7" w14:textId="1987E101" w:rsidR="000230A4" w:rsidRDefault="000230A4">
      <w:pPr>
        <w:pStyle w:val="FootnoteText"/>
      </w:pPr>
      <w:r>
        <w:rPr>
          <w:rStyle w:val="FootnoteReference"/>
        </w:rPr>
        <w:footnoteRef/>
      </w:r>
      <w:r>
        <w:t xml:space="preserve"> </w:t>
      </w:r>
      <w:r w:rsidRPr="000230A4">
        <w:t>https://ghgprotocol.org/sites/default/files/standards/Scope 2 Guidance_Final_Sept26.pdf</w:t>
      </w:r>
    </w:p>
  </w:footnote>
  <w:footnote w:id="22">
    <w:p w14:paraId="7669C255" w14:textId="3872C4FF" w:rsidR="00954DFB" w:rsidRDefault="00954DFB">
      <w:pPr>
        <w:pStyle w:val="FootnoteText"/>
      </w:pPr>
      <w:r>
        <w:rPr>
          <w:rStyle w:val="FootnoteReference"/>
        </w:rPr>
        <w:footnoteRef/>
      </w:r>
      <w:r>
        <w:t xml:space="preserve"> The </w:t>
      </w:r>
      <w:r w:rsidRPr="00CF0356">
        <w:rPr>
          <w:color w:val="auto"/>
        </w:rPr>
        <w:t xml:space="preserve">RPP component is </w:t>
      </w:r>
      <w:r>
        <w:t>an example of 19% (0.19)</w:t>
      </w:r>
    </w:p>
  </w:footnote>
  <w:footnote w:id="23">
    <w:p w14:paraId="7F05170D" w14:textId="20AEB357" w:rsidR="00954DFB" w:rsidRDefault="00954DFB">
      <w:pPr>
        <w:pStyle w:val="FootnoteText"/>
      </w:pPr>
      <w:r>
        <w:rPr>
          <w:rStyle w:val="FootnoteReference"/>
        </w:rPr>
        <w:footnoteRef/>
      </w:r>
      <w:r>
        <w:t xml:space="preserve"> </w:t>
      </w:r>
      <w:r>
        <w:rPr>
          <w:color w:val="auto"/>
        </w:rPr>
        <w:t>T</w:t>
      </w:r>
      <w:r w:rsidRPr="00CF0356">
        <w:rPr>
          <w:color w:val="auto"/>
        </w:rPr>
        <w:t xml:space="preserve">he JRPP component </w:t>
      </w:r>
      <w:r w:rsidR="006D36D9">
        <w:rPr>
          <w:color w:val="auto"/>
        </w:rPr>
        <w:t xml:space="preserve">is an example of 75% </w:t>
      </w:r>
      <w:r>
        <w:rPr>
          <w:color w:val="auto"/>
        </w:rPr>
        <w:t>(0.75</w:t>
      </w:r>
      <w:r w:rsidR="006D36D9">
        <w:rPr>
          <w:color w:val="auto"/>
        </w:rPr>
        <w:t>)</w:t>
      </w:r>
    </w:p>
  </w:footnote>
  <w:footnote w:id="24">
    <w:p w14:paraId="72FC4143" w14:textId="77777777" w:rsidR="00DB262A" w:rsidRDefault="00DB262A" w:rsidP="00DB262A">
      <w:pPr>
        <w:pStyle w:val="FootnoteText"/>
      </w:pPr>
      <w:r>
        <w:rPr>
          <w:rStyle w:val="FootnoteReference"/>
        </w:rPr>
        <w:footnoteRef/>
      </w:r>
      <w:r>
        <w:t xml:space="preserve"> The </w:t>
      </w:r>
      <w:r w:rsidRPr="00CF0356">
        <w:rPr>
          <w:color w:val="auto"/>
        </w:rPr>
        <w:t xml:space="preserve">RPP component is </w:t>
      </w:r>
      <w:r>
        <w:t>an example of 19% (0.19)</w:t>
      </w:r>
    </w:p>
  </w:footnote>
  <w:footnote w:id="25">
    <w:p w14:paraId="52608D9E" w14:textId="4BB4299E" w:rsidR="00DB262A" w:rsidRDefault="00DB262A" w:rsidP="00DB262A">
      <w:pPr>
        <w:pStyle w:val="FootnoteText"/>
      </w:pPr>
      <w:r>
        <w:rPr>
          <w:rStyle w:val="FootnoteReference"/>
        </w:rPr>
        <w:footnoteRef/>
      </w:r>
      <w:r>
        <w:t xml:space="preserve"> </w:t>
      </w:r>
      <w:r>
        <w:rPr>
          <w:color w:val="auto"/>
        </w:rPr>
        <w:t>T</w:t>
      </w:r>
      <w:r w:rsidRPr="00CF0356">
        <w:rPr>
          <w:color w:val="auto"/>
        </w:rPr>
        <w:t xml:space="preserve">he </w:t>
      </w:r>
      <w:r w:rsidR="006D36D9" w:rsidRPr="00CF0356">
        <w:rPr>
          <w:color w:val="auto"/>
        </w:rPr>
        <w:t xml:space="preserve">JRPP component </w:t>
      </w:r>
      <w:r w:rsidR="006D36D9">
        <w:rPr>
          <w:color w:val="auto"/>
        </w:rPr>
        <w:t>is an example of 75% (0.75)</w:t>
      </w:r>
    </w:p>
  </w:footnote>
  <w:footnote w:id="26">
    <w:p w14:paraId="262628F9" w14:textId="7929A775" w:rsidR="00912CD0" w:rsidRDefault="00912CD0">
      <w:pPr>
        <w:pStyle w:val="FootnoteText"/>
      </w:pPr>
      <w:r>
        <w:rPr>
          <w:rStyle w:val="FootnoteReference"/>
        </w:rPr>
        <w:footnoteRef/>
      </w:r>
      <w:r>
        <w:t xml:space="preserve"> </w:t>
      </w:r>
      <w:r w:rsidRPr="00912CD0">
        <w:t>https://www.cleanenergyregulator.gov.au/DocumentAssets/Pages/CERT-Report-Guidelines-FY2021-22-and-CY2022.aspx</w:t>
      </w:r>
    </w:p>
  </w:footnote>
  <w:footnote w:id="27">
    <w:p w14:paraId="4674B9F2" w14:textId="46A6BFCF" w:rsidR="00912CD0" w:rsidRDefault="00912CD0">
      <w:pPr>
        <w:pStyle w:val="FootnoteText"/>
      </w:pPr>
      <w:r>
        <w:rPr>
          <w:rStyle w:val="FootnoteReference"/>
        </w:rPr>
        <w:footnoteRef/>
      </w:r>
      <w:r>
        <w:t xml:space="preserve"> </w:t>
      </w:r>
      <w:r w:rsidRPr="00912CD0">
        <w:t>https://www.cleanenergyregulator.gov.au/DocumentAssets/Pages/CERT-Report-Guidelines-FY2021-22-and-CY2022.aspx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E828" w14:textId="7C34EEF7" w:rsidR="00D81782" w:rsidRDefault="009956EA" w:rsidP="00977234">
    <w:pPr>
      <w:pStyle w:val="Heading5"/>
      <w:tabs>
        <w:tab w:val="center" w:pos="4870"/>
        <w:tab w:val="left" w:pos="8745"/>
      </w:tabs>
      <w:spacing w:before="200" w:after="60"/>
      <w:jc w:val="center"/>
    </w:pPr>
    <w:r>
      <w:rPr>
        <w:rStyle w:val="Protectivemarker"/>
        <w:b/>
      </w:rPr>
      <w:t>OFFICIAL</w:t>
    </w:r>
  </w:p>
  <w:p w14:paraId="153837AD" w14:textId="77777777" w:rsidR="00D81782" w:rsidRPr="00BE0DA3" w:rsidRDefault="00407A97" w:rsidP="00E349EF">
    <w:pPr>
      <w:pStyle w:val="LegislativesecrecyACT"/>
    </w:pPr>
    <w:r>
      <w:rPr>
        <w:noProof/>
      </w:rPr>
      <w:drawing>
        <wp:anchor distT="0" distB="0" distL="114300" distR="114300" simplePos="0" relativeHeight="251618304" behindDoc="0" locked="0" layoutInCell="1" allowOverlap="1" wp14:anchorId="75C322AC" wp14:editId="5A162050">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ED6D" w14:textId="77777777" w:rsidR="00CA2954" w:rsidRDefault="008352D1" w:rsidP="00E349EF">
    <w:pPr>
      <w:pStyle w:val="Header"/>
      <w:spacing w:before="600"/>
    </w:pPr>
    <w:r>
      <w:rPr>
        <w:noProof/>
      </w:rPr>
      <w:t xml:space="preserve">  </w:t>
    </w:r>
    <w:r w:rsidR="00CA2954">
      <w:rPr>
        <w:noProof/>
      </w:rPr>
      <w:drawing>
        <wp:inline distT="0" distB="0" distL="0" distR="0" wp14:anchorId="1DE27269" wp14:editId="134BD55A">
          <wp:extent cx="2628000" cy="617737"/>
          <wp:effectExtent l="0" t="0" r="1270" b="5080"/>
          <wp:docPr id="5" name="Picture 5"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5B0"/>
    <w:multiLevelType w:val="hybridMultilevel"/>
    <w:tmpl w:val="A0FC74E4"/>
    <w:lvl w:ilvl="0" w:tplc="0C09000F">
      <w:start w:val="1"/>
      <w:numFmt w:val="decimal"/>
      <w:lvlText w:val="%1."/>
      <w:lvlJc w:val="left"/>
      <w:pPr>
        <w:ind w:left="720" w:hanging="360"/>
      </w:pPr>
    </w:lvl>
    <w:lvl w:ilvl="1" w:tplc="0C090019">
      <w:start w:val="1"/>
      <w:numFmt w:val="lowerLetter"/>
      <w:lvlText w:val="%2."/>
      <w:lvlJc w:val="left"/>
      <w:pPr>
        <w:ind w:left="121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650889"/>
    <w:multiLevelType w:val="hybridMultilevel"/>
    <w:tmpl w:val="19DEDBFA"/>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146B6"/>
    <w:multiLevelType w:val="hybridMultilevel"/>
    <w:tmpl w:val="19DEDBFA"/>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1B7D54"/>
    <w:multiLevelType w:val="hybridMultilevel"/>
    <w:tmpl w:val="CC86E8B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B61536"/>
    <w:multiLevelType w:val="hybridMultilevel"/>
    <w:tmpl w:val="BB542A2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74405F"/>
    <w:multiLevelType w:val="hybridMultilevel"/>
    <w:tmpl w:val="5E766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360351B"/>
    <w:multiLevelType w:val="hybridMultilevel"/>
    <w:tmpl w:val="19DEDBFA"/>
    <w:lvl w:ilvl="0" w:tplc="8CE0DD6C">
      <w:start w:val="1"/>
      <w:numFmt w:val="decimal"/>
      <w:lvlText w:val="%1."/>
      <w:lvlJc w:val="left"/>
      <w:pPr>
        <w:ind w:left="720" w:hanging="360"/>
      </w:pPr>
      <w:rPr>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95604D"/>
    <w:multiLevelType w:val="hybridMultilevel"/>
    <w:tmpl w:val="5EF698D8"/>
    <w:lvl w:ilvl="0" w:tplc="04C66A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EC147F"/>
    <w:multiLevelType w:val="hybridMultilevel"/>
    <w:tmpl w:val="19DEDBFA"/>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D768DA"/>
    <w:multiLevelType w:val="hybridMultilevel"/>
    <w:tmpl w:val="8BAEF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084B10"/>
    <w:multiLevelType w:val="hybridMultilevel"/>
    <w:tmpl w:val="19DEDBFA"/>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B568F1"/>
    <w:multiLevelType w:val="hybridMultilevel"/>
    <w:tmpl w:val="7D2A1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97263D"/>
    <w:multiLevelType w:val="hybridMultilevel"/>
    <w:tmpl w:val="34EA59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53361"/>
    <w:multiLevelType w:val="hybridMultilevel"/>
    <w:tmpl w:val="65B2D368"/>
    <w:lvl w:ilvl="0" w:tplc="6B421F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53544A"/>
    <w:multiLevelType w:val="hybridMultilevel"/>
    <w:tmpl w:val="C25CC726"/>
    <w:lvl w:ilvl="0" w:tplc="0C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D7F7968"/>
    <w:multiLevelType w:val="hybridMultilevel"/>
    <w:tmpl w:val="DAEE5A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CC5A45"/>
    <w:multiLevelType w:val="hybridMultilevel"/>
    <w:tmpl w:val="C2E2F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62137A"/>
    <w:multiLevelType w:val="hybridMultilevel"/>
    <w:tmpl w:val="06BE177C"/>
    <w:lvl w:ilvl="0" w:tplc="2B1E95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9DB23C0"/>
    <w:multiLevelType w:val="multilevel"/>
    <w:tmpl w:val="D10656A4"/>
    <w:name w:val="CERBullets22"/>
    <w:lvl w:ilvl="0">
      <w:start w:val="1"/>
      <w:numFmt w:val="bullet"/>
      <w:pStyle w:val="CERbullets"/>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DCE09F8"/>
    <w:multiLevelType w:val="hybridMultilevel"/>
    <w:tmpl w:val="2834CC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9503016">
    <w:abstractNumId w:val="22"/>
  </w:num>
  <w:num w:numId="2" w16cid:durableId="1698308289">
    <w:abstractNumId w:val="15"/>
  </w:num>
  <w:num w:numId="3" w16cid:durableId="1315336184">
    <w:abstractNumId w:val="11"/>
  </w:num>
  <w:num w:numId="4" w16cid:durableId="1985162919">
    <w:abstractNumId w:val="20"/>
  </w:num>
  <w:num w:numId="5" w16cid:durableId="522743846">
    <w:abstractNumId w:val="3"/>
  </w:num>
  <w:num w:numId="6" w16cid:durableId="1444032095">
    <w:abstractNumId w:val="16"/>
  </w:num>
  <w:num w:numId="7" w16cid:durableId="848372061">
    <w:abstractNumId w:val="7"/>
  </w:num>
  <w:num w:numId="8" w16cid:durableId="957759607">
    <w:abstractNumId w:val="9"/>
  </w:num>
  <w:num w:numId="9" w16cid:durableId="1456755264">
    <w:abstractNumId w:val="13"/>
  </w:num>
  <w:num w:numId="10" w16cid:durableId="2016305224">
    <w:abstractNumId w:val="18"/>
  </w:num>
  <w:num w:numId="11" w16cid:durableId="386342525">
    <w:abstractNumId w:val="4"/>
  </w:num>
  <w:num w:numId="12" w16cid:durableId="2051494762">
    <w:abstractNumId w:val="1"/>
  </w:num>
  <w:num w:numId="13" w16cid:durableId="1580483833">
    <w:abstractNumId w:val="14"/>
  </w:num>
  <w:num w:numId="14" w16cid:durableId="1145316256">
    <w:abstractNumId w:val="23"/>
  </w:num>
  <w:num w:numId="15" w16cid:durableId="1816604361">
    <w:abstractNumId w:val="12"/>
  </w:num>
  <w:num w:numId="16" w16cid:durableId="1077359202">
    <w:abstractNumId w:val="0"/>
  </w:num>
  <w:num w:numId="17" w16cid:durableId="900940273">
    <w:abstractNumId w:val="2"/>
  </w:num>
  <w:num w:numId="18" w16cid:durableId="1229803334">
    <w:abstractNumId w:val="6"/>
  </w:num>
  <w:num w:numId="19" w16cid:durableId="1580865767">
    <w:abstractNumId w:val="6"/>
  </w:num>
  <w:num w:numId="20" w16cid:durableId="581108434">
    <w:abstractNumId w:val="19"/>
  </w:num>
  <w:num w:numId="21" w16cid:durableId="61025222">
    <w:abstractNumId w:val="21"/>
  </w:num>
  <w:num w:numId="22" w16cid:durableId="34040334">
    <w:abstractNumId w:val="17"/>
  </w:num>
  <w:num w:numId="23" w16cid:durableId="2706907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92"/>
    <w:rsid w:val="00000446"/>
    <w:rsid w:val="00001AE8"/>
    <w:rsid w:val="00002518"/>
    <w:rsid w:val="00003645"/>
    <w:rsid w:val="000048EC"/>
    <w:rsid w:val="00004F04"/>
    <w:rsid w:val="00007A1B"/>
    <w:rsid w:val="00011688"/>
    <w:rsid w:val="000119C7"/>
    <w:rsid w:val="0001328F"/>
    <w:rsid w:val="00014C35"/>
    <w:rsid w:val="00015226"/>
    <w:rsid w:val="00016DD8"/>
    <w:rsid w:val="000207C8"/>
    <w:rsid w:val="00020C45"/>
    <w:rsid w:val="000230A4"/>
    <w:rsid w:val="0002417B"/>
    <w:rsid w:val="00024C24"/>
    <w:rsid w:val="000269DB"/>
    <w:rsid w:val="00030955"/>
    <w:rsid w:val="00031090"/>
    <w:rsid w:val="00031134"/>
    <w:rsid w:val="0003202F"/>
    <w:rsid w:val="00032D46"/>
    <w:rsid w:val="00033F1B"/>
    <w:rsid w:val="000349A1"/>
    <w:rsid w:val="00035321"/>
    <w:rsid w:val="0003582F"/>
    <w:rsid w:val="000360BB"/>
    <w:rsid w:val="00036F36"/>
    <w:rsid w:val="00037414"/>
    <w:rsid w:val="0003778D"/>
    <w:rsid w:val="000378B6"/>
    <w:rsid w:val="00041E6B"/>
    <w:rsid w:val="000442F7"/>
    <w:rsid w:val="000506C7"/>
    <w:rsid w:val="0005097A"/>
    <w:rsid w:val="0005427A"/>
    <w:rsid w:val="0005574C"/>
    <w:rsid w:val="000566B0"/>
    <w:rsid w:val="00056FF0"/>
    <w:rsid w:val="00057F90"/>
    <w:rsid w:val="0006131C"/>
    <w:rsid w:val="00061702"/>
    <w:rsid w:val="000652E6"/>
    <w:rsid w:val="000653C5"/>
    <w:rsid w:val="00065AD8"/>
    <w:rsid w:val="000665AC"/>
    <w:rsid w:val="000672C8"/>
    <w:rsid w:val="000673A9"/>
    <w:rsid w:val="000675C4"/>
    <w:rsid w:val="000678AA"/>
    <w:rsid w:val="00070240"/>
    <w:rsid w:val="000725C6"/>
    <w:rsid w:val="00072FF5"/>
    <w:rsid w:val="000745D0"/>
    <w:rsid w:val="000758A6"/>
    <w:rsid w:val="00075A6B"/>
    <w:rsid w:val="00076184"/>
    <w:rsid w:val="00077821"/>
    <w:rsid w:val="00077A19"/>
    <w:rsid w:val="00077F63"/>
    <w:rsid w:val="0008018C"/>
    <w:rsid w:val="00080208"/>
    <w:rsid w:val="000816EE"/>
    <w:rsid w:val="00081942"/>
    <w:rsid w:val="000823C5"/>
    <w:rsid w:val="000834F2"/>
    <w:rsid w:val="00083FFC"/>
    <w:rsid w:val="000842BC"/>
    <w:rsid w:val="000873E6"/>
    <w:rsid w:val="000906DE"/>
    <w:rsid w:val="000914B5"/>
    <w:rsid w:val="00092C1A"/>
    <w:rsid w:val="00093534"/>
    <w:rsid w:val="000957B5"/>
    <w:rsid w:val="00095B31"/>
    <w:rsid w:val="00095C6B"/>
    <w:rsid w:val="00095E06"/>
    <w:rsid w:val="000961EC"/>
    <w:rsid w:val="00096878"/>
    <w:rsid w:val="000A0B7B"/>
    <w:rsid w:val="000A0DD5"/>
    <w:rsid w:val="000A1AC9"/>
    <w:rsid w:val="000A2030"/>
    <w:rsid w:val="000A25C1"/>
    <w:rsid w:val="000A35D8"/>
    <w:rsid w:val="000A4EE2"/>
    <w:rsid w:val="000A59D5"/>
    <w:rsid w:val="000A59EE"/>
    <w:rsid w:val="000A5DCD"/>
    <w:rsid w:val="000A72E8"/>
    <w:rsid w:val="000B09B3"/>
    <w:rsid w:val="000B2225"/>
    <w:rsid w:val="000B2919"/>
    <w:rsid w:val="000B2A19"/>
    <w:rsid w:val="000B2E40"/>
    <w:rsid w:val="000B7D48"/>
    <w:rsid w:val="000C0890"/>
    <w:rsid w:val="000C0896"/>
    <w:rsid w:val="000C0FFF"/>
    <w:rsid w:val="000C103E"/>
    <w:rsid w:val="000C3E01"/>
    <w:rsid w:val="000C40B7"/>
    <w:rsid w:val="000C4C35"/>
    <w:rsid w:val="000C5EF7"/>
    <w:rsid w:val="000C62EE"/>
    <w:rsid w:val="000D05F7"/>
    <w:rsid w:val="000D0B3E"/>
    <w:rsid w:val="000D3A8F"/>
    <w:rsid w:val="000D3D7C"/>
    <w:rsid w:val="000D405A"/>
    <w:rsid w:val="000D65F1"/>
    <w:rsid w:val="000D6D25"/>
    <w:rsid w:val="000E18FF"/>
    <w:rsid w:val="000E199C"/>
    <w:rsid w:val="000E2025"/>
    <w:rsid w:val="000E2FA1"/>
    <w:rsid w:val="000E30FE"/>
    <w:rsid w:val="000E40D7"/>
    <w:rsid w:val="000E41FA"/>
    <w:rsid w:val="000E4C1C"/>
    <w:rsid w:val="000E5A13"/>
    <w:rsid w:val="000E750B"/>
    <w:rsid w:val="000F01C5"/>
    <w:rsid w:val="000F2220"/>
    <w:rsid w:val="000F2433"/>
    <w:rsid w:val="000F2BE8"/>
    <w:rsid w:val="000F41C6"/>
    <w:rsid w:val="000F54E9"/>
    <w:rsid w:val="000F5D97"/>
    <w:rsid w:val="000F68AC"/>
    <w:rsid w:val="000F6B44"/>
    <w:rsid w:val="00101056"/>
    <w:rsid w:val="001019CA"/>
    <w:rsid w:val="00102E03"/>
    <w:rsid w:val="00102E4D"/>
    <w:rsid w:val="00104A72"/>
    <w:rsid w:val="00106C0C"/>
    <w:rsid w:val="00110910"/>
    <w:rsid w:val="00110C60"/>
    <w:rsid w:val="00110EA6"/>
    <w:rsid w:val="001110BC"/>
    <w:rsid w:val="00111614"/>
    <w:rsid w:val="00112B57"/>
    <w:rsid w:val="00112E29"/>
    <w:rsid w:val="00114BD4"/>
    <w:rsid w:val="00115CA0"/>
    <w:rsid w:val="00116121"/>
    <w:rsid w:val="001168AD"/>
    <w:rsid w:val="00116F69"/>
    <w:rsid w:val="00117290"/>
    <w:rsid w:val="0011763A"/>
    <w:rsid w:val="00117E6C"/>
    <w:rsid w:val="00120492"/>
    <w:rsid w:val="0012057A"/>
    <w:rsid w:val="00124D98"/>
    <w:rsid w:val="0012638C"/>
    <w:rsid w:val="0012642D"/>
    <w:rsid w:val="001276AA"/>
    <w:rsid w:val="00127C06"/>
    <w:rsid w:val="00127C48"/>
    <w:rsid w:val="00130477"/>
    <w:rsid w:val="00130816"/>
    <w:rsid w:val="00130AE4"/>
    <w:rsid w:val="00130FAC"/>
    <w:rsid w:val="00132297"/>
    <w:rsid w:val="00133048"/>
    <w:rsid w:val="00133FAB"/>
    <w:rsid w:val="00134A60"/>
    <w:rsid w:val="0013614A"/>
    <w:rsid w:val="001405D9"/>
    <w:rsid w:val="00144949"/>
    <w:rsid w:val="00146170"/>
    <w:rsid w:val="001468B3"/>
    <w:rsid w:val="00147D68"/>
    <w:rsid w:val="00150014"/>
    <w:rsid w:val="001512C0"/>
    <w:rsid w:val="0015327F"/>
    <w:rsid w:val="00154017"/>
    <w:rsid w:val="001544CB"/>
    <w:rsid w:val="00154D5D"/>
    <w:rsid w:val="0015566A"/>
    <w:rsid w:val="00157175"/>
    <w:rsid w:val="0016190E"/>
    <w:rsid w:val="00162453"/>
    <w:rsid w:val="00162C32"/>
    <w:rsid w:val="001651F7"/>
    <w:rsid w:val="00165662"/>
    <w:rsid w:val="00165828"/>
    <w:rsid w:val="00165DA7"/>
    <w:rsid w:val="00166F92"/>
    <w:rsid w:val="00170BF1"/>
    <w:rsid w:val="001738BE"/>
    <w:rsid w:val="00173CBC"/>
    <w:rsid w:val="00176871"/>
    <w:rsid w:val="00176C28"/>
    <w:rsid w:val="00177882"/>
    <w:rsid w:val="0018283C"/>
    <w:rsid w:val="00182C2E"/>
    <w:rsid w:val="00183E04"/>
    <w:rsid w:val="00184399"/>
    <w:rsid w:val="00184BB6"/>
    <w:rsid w:val="001860C0"/>
    <w:rsid w:val="0018672A"/>
    <w:rsid w:val="00193A6C"/>
    <w:rsid w:val="00193C3E"/>
    <w:rsid w:val="00193ED7"/>
    <w:rsid w:val="0019411F"/>
    <w:rsid w:val="00194BA8"/>
    <w:rsid w:val="00195051"/>
    <w:rsid w:val="00195104"/>
    <w:rsid w:val="00195DC5"/>
    <w:rsid w:val="00197F43"/>
    <w:rsid w:val="001A012F"/>
    <w:rsid w:val="001A15F2"/>
    <w:rsid w:val="001A313C"/>
    <w:rsid w:val="001A4202"/>
    <w:rsid w:val="001A4967"/>
    <w:rsid w:val="001A5B62"/>
    <w:rsid w:val="001A6AFF"/>
    <w:rsid w:val="001A7AD7"/>
    <w:rsid w:val="001B10EB"/>
    <w:rsid w:val="001B13E1"/>
    <w:rsid w:val="001B3660"/>
    <w:rsid w:val="001B4552"/>
    <w:rsid w:val="001B5B4F"/>
    <w:rsid w:val="001B66AA"/>
    <w:rsid w:val="001B7FA5"/>
    <w:rsid w:val="001C0012"/>
    <w:rsid w:val="001C1427"/>
    <w:rsid w:val="001C191F"/>
    <w:rsid w:val="001C226E"/>
    <w:rsid w:val="001C3056"/>
    <w:rsid w:val="001C4374"/>
    <w:rsid w:val="001C5400"/>
    <w:rsid w:val="001C6288"/>
    <w:rsid w:val="001D009A"/>
    <w:rsid w:val="001D11BD"/>
    <w:rsid w:val="001D261C"/>
    <w:rsid w:val="001D2DB3"/>
    <w:rsid w:val="001D59C3"/>
    <w:rsid w:val="001D5CAF"/>
    <w:rsid w:val="001D5E01"/>
    <w:rsid w:val="001D6A3B"/>
    <w:rsid w:val="001D7948"/>
    <w:rsid w:val="001E18D6"/>
    <w:rsid w:val="001E1CBB"/>
    <w:rsid w:val="001E2C7C"/>
    <w:rsid w:val="001E3870"/>
    <w:rsid w:val="001E39A1"/>
    <w:rsid w:val="001E3AA4"/>
    <w:rsid w:val="001E554A"/>
    <w:rsid w:val="001E6145"/>
    <w:rsid w:val="001F0020"/>
    <w:rsid w:val="001F2F56"/>
    <w:rsid w:val="001F33A6"/>
    <w:rsid w:val="001F3C45"/>
    <w:rsid w:val="001F48EC"/>
    <w:rsid w:val="001F4952"/>
    <w:rsid w:val="001F6E46"/>
    <w:rsid w:val="001F6EDD"/>
    <w:rsid w:val="002000C6"/>
    <w:rsid w:val="00200792"/>
    <w:rsid w:val="00201909"/>
    <w:rsid w:val="002020E4"/>
    <w:rsid w:val="0020595E"/>
    <w:rsid w:val="00205D26"/>
    <w:rsid w:val="002118E5"/>
    <w:rsid w:val="00212175"/>
    <w:rsid w:val="002152EA"/>
    <w:rsid w:val="0021613A"/>
    <w:rsid w:val="00216392"/>
    <w:rsid w:val="002168DF"/>
    <w:rsid w:val="00216E5D"/>
    <w:rsid w:val="0021782A"/>
    <w:rsid w:val="002206D8"/>
    <w:rsid w:val="002209A0"/>
    <w:rsid w:val="002218C8"/>
    <w:rsid w:val="00223578"/>
    <w:rsid w:val="00223676"/>
    <w:rsid w:val="00223710"/>
    <w:rsid w:val="0022480C"/>
    <w:rsid w:val="00225BDD"/>
    <w:rsid w:val="002267D4"/>
    <w:rsid w:val="00227216"/>
    <w:rsid w:val="0023220C"/>
    <w:rsid w:val="00233EF1"/>
    <w:rsid w:val="00235B98"/>
    <w:rsid w:val="00235C6F"/>
    <w:rsid w:val="00235C8D"/>
    <w:rsid w:val="00236626"/>
    <w:rsid w:val="0023773B"/>
    <w:rsid w:val="00237BE2"/>
    <w:rsid w:val="00240CF3"/>
    <w:rsid w:val="00241119"/>
    <w:rsid w:val="00241741"/>
    <w:rsid w:val="0024203E"/>
    <w:rsid w:val="00243880"/>
    <w:rsid w:val="00245198"/>
    <w:rsid w:val="00245660"/>
    <w:rsid w:val="00250A32"/>
    <w:rsid w:val="002517C5"/>
    <w:rsid w:val="0025211B"/>
    <w:rsid w:val="00252291"/>
    <w:rsid w:val="002537CF"/>
    <w:rsid w:val="00253FFC"/>
    <w:rsid w:val="0025516D"/>
    <w:rsid w:val="00255CAF"/>
    <w:rsid w:val="0025650C"/>
    <w:rsid w:val="00256736"/>
    <w:rsid w:val="002578B5"/>
    <w:rsid w:val="00257E91"/>
    <w:rsid w:val="00260FAD"/>
    <w:rsid w:val="00261681"/>
    <w:rsid w:val="002616EE"/>
    <w:rsid w:val="00261829"/>
    <w:rsid w:val="002622E9"/>
    <w:rsid w:val="00262DEF"/>
    <w:rsid w:val="00263A54"/>
    <w:rsid w:val="00264FFE"/>
    <w:rsid w:val="00265766"/>
    <w:rsid w:val="002666D2"/>
    <w:rsid w:val="00267180"/>
    <w:rsid w:val="00267CB5"/>
    <w:rsid w:val="00270986"/>
    <w:rsid w:val="002727BC"/>
    <w:rsid w:val="00273B8E"/>
    <w:rsid w:val="00274A82"/>
    <w:rsid w:val="00275A39"/>
    <w:rsid w:val="002761BC"/>
    <w:rsid w:val="00276B64"/>
    <w:rsid w:val="00280E6C"/>
    <w:rsid w:val="00283676"/>
    <w:rsid w:val="00284892"/>
    <w:rsid w:val="00285083"/>
    <w:rsid w:val="002874E3"/>
    <w:rsid w:val="00287517"/>
    <w:rsid w:val="00290487"/>
    <w:rsid w:val="00290E3D"/>
    <w:rsid w:val="0029105A"/>
    <w:rsid w:val="0029262D"/>
    <w:rsid w:val="00293576"/>
    <w:rsid w:val="0029439D"/>
    <w:rsid w:val="002A0EBB"/>
    <w:rsid w:val="002A1F1C"/>
    <w:rsid w:val="002A35E5"/>
    <w:rsid w:val="002A3ABF"/>
    <w:rsid w:val="002A576C"/>
    <w:rsid w:val="002A61C3"/>
    <w:rsid w:val="002A6433"/>
    <w:rsid w:val="002A7BAA"/>
    <w:rsid w:val="002A7DB9"/>
    <w:rsid w:val="002A7EA6"/>
    <w:rsid w:val="002B0678"/>
    <w:rsid w:val="002B16A3"/>
    <w:rsid w:val="002B3C41"/>
    <w:rsid w:val="002B59C4"/>
    <w:rsid w:val="002B5DC0"/>
    <w:rsid w:val="002B60E6"/>
    <w:rsid w:val="002B7583"/>
    <w:rsid w:val="002C1D3D"/>
    <w:rsid w:val="002C231D"/>
    <w:rsid w:val="002C3D11"/>
    <w:rsid w:val="002C40E5"/>
    <w:rsid w:val="002C427B"/>
    <w:rsid w:val="002C5179"/>
    <w:rsid w:val="002C6272"/>
    <w:rsid w:val="002C6824"/>
    <w:rsid w:val="002C702A"/>
    <w:rsid w:val="002D0FE3"/>
    <w:rsid w:val="002D18F3"/>
    <w:rsid w:val="002D1C9D"/>
    <w:rsid w:val="002D1E44"/>
    <w:rsid w:val="002D30B2"/>
    <w:rsid w:val="002D37BD"/>
    <w:rsid w:val="002D3B13"/>
    <w:rsid w:val="002D4458"/>
    <w:rsid w:val="002D6E44"/>
    <w:rsid w:val="002D73C0"/>
    <w:rsid w:val="002E08AD"/>
    <w:rsid w:val="002E3A0B"/>
    <w:rsid w:val="002E490E"/>
    <w:rsid w:val="002E5056"/>
    <w:rsid w:val="002E6541"/>
    <w:rsid w:val="002F1438"/>
    <w:rsid w:val="002F1986"/>
    <w:rsid w:val="002F3F68"/>
    <w:rsid w:val="002F588F"/>
    <w:rsid w:val="002F5F65"/>
    <w:rsid w:val="002F5FFE"/>
    <w:rsid w:val="002F6418"/>
    <w:rsid w:val="002F7B8B"/>
    <w:rsid w:val="0030011A"/>
    <w:rsid w:val="00300778"/>
    <w:rsid w:val="0030138C"/>
    <w:rsid w:val="00301E52"/>
    <w:rsid w:val="00302949"/>
    <w:rsid w:val="0030361E"/>
    <w:rsid w:val="00303923"/>
    <w:rsid w:val="00303A8D"/>
    <w:rsid w:val="00304FA7"/>
    <w:rsid w:val="00306899"/>
    <w:rsid w:val="003106E1"/>
    <w:rsid w:val="003118FE"/>
    <w:rsid w:val="003134AB"/>
    <w:rsid w:val="00314A51"/>
    <w:rsid w:val="00316065"/>
    <w:rsid w:val="003174B6"/>
    <w:rsid w:val="003175C2"/>
    <w:rsid w:val="00317835"/>
    <w:rsid w:val="0032062E"/>
    <w:rsid w:val="00320E3B"/>
    <w:rsid w:val="00321762"/>
    <w:rsid w:val="00321965"/>
    <w:rsid w:val="00321D68"/>
    <w:rsid w:val="00322152"/>
    <w:rsid w:val="00322A26"/>
    <w:rsid w:val="00322C4F"/>
    <w:rsid w:val="00324C12"/>
    <w:rsid w:val="00325966"/>
    <w:rsid w:val="00326A19"/>
    <w:rsid w:val="0032792E"/>
    <w:rsid w:val="00327BDF"/>
    <w:rsid w:val="0033263E"/>
    <w:rsid w:val="00332D81"/>
    <w:rsid w:val="00336FFD"/>
    <w:rsid w:val="00337CCB"/>
    <w:rsid w:val="00341B9F"/>
    <w:rsid w:val="00342025"/>
    <w:rsid w:val="003456B2"/>
    <w:rsid w:val="003457AA"/>
    <w:rsid w:val="00345980"/>
    <w:rsid w:val="003459A7"/>
    <w:rsid w:val="00352DB5"/>
    <w:rsid w:val="0035397C"/>
    <w:rsid w:val="00353C88"/>
    <w:rsid w:val="0035454A"/>
    <w:rsid w:val="00354D15"/>
    <w:rsid w:val="00354D2B"/>
    <w:rsid w:val="003551AF"/>
    <w:rsid w:val="003607C9"/>
    <w:rsid w:val="00360988"/>
    <w:rsid w:val="00360B6A"/>
    <w:rsid w:val="003614F0"/>
    <w:rsid w:val="00361F7E"/>
    <w:rsid w:val="003620DD"/>
    <w:rsid w:val="00362C38"/>
    <w:rsid w:val="00362CAD"/>
    <w:rsid w:val="00363014"/>
    <w:rsid w:val="0036554A"/>
    <w:rsid w:val="0036568C"/>
    <w:rsid w:val="00365CD3"/>
    <w:rsid w:val="0036617A"/>
    <w:rsid w:val="003661E3"/>
    <w:rsid w:val="00366F93"/>
    <w:rsid w:val="0036747C"/>
    <w:rsid w:val="00370CE8"/>
    <w:rsid w:val="00371013"/>
    <w:rsid w:val="00371059"/>
    <w:rsid w:val="003731E4"/>
    <w:rsid w:val="003740E3"/>
    <w:rsid w:val="003764A7"/>
    <w:rsid w:val="0037685C"/>
    <w:rsid w:val="00376C5D"/>
    <w:rsid w:val="00377237"/>
    <w:rsid w:val="0037761F"/>
    <w:rsid w:val="00381E04"/>
    <w:rsid w:val="003845E5"/>
    <w:rsid w:val="00386AE6"/>
    <w:rsid w:val="00387C8B"/>
    <w:rsid w:val="0039043C"/>
    <w:rsid w:val="00393159"/>
    <w:rsid w:val="0039356F"/>
    <w:rsid w:val="00393949"/>
    <w:rsid w:val="00393E43"/>
    <w:rsid w:val="00394132"/>
    <w:rsid w:val="003A0D22"/>
    <w:rsid w:val="003A17A1"/>
    <w:rsid w:val="003A1E14"/>
    <w:rsid w:val="003A2DF4"/>
    <w:rsid w:val="003A39B3"/>
    <w:rsid w:val="003A3E04"/>
    <w:rsid w:val="003A41A6"/>
    <w:rsid w:val="003A533C"/>
    <w:rsid w:val="003A5739"/>
    <w:rsid w:val="003A5EDC"/>
    <w:rsid w:val="003A63C8"/>
    <w:rsid w:val="003A760B"/>
    <w:rsid w:val="003A7D43"/>
    <w:rsid w:val="003B0225"/>
    <w:rsid w:val="003B0310"/>
    <w:rsid w:val="003B3623"/>
    <w:rsid w:val="003B3B8E"/>
    <w:rsid w:val="003B3FCA"/>
    <w:rsid w:val="003B72ED"/>
    <w:rsid w:val="003C2875"/>
    <w:rsid w:val="003C4714"/>
    <w:rsid w:val="003C4AD0"/>
    <w:rsid w:val="003C4C71"/>
    <w:rsid w:val="003C4DFA"/>
    <w:rsid w:val="003C52A8"/>
    <w:rsid w:val="003C6666"/>
    <w:rsid w:val="003C78C3"/>
    <w:rsid w:val="003D064B"/>
    <w:rsid w:val="003D0AF9"/>
    <w:rsid w:val="003D3839"/>
    <w:rsid w:val="003D3B40"/>
    <w:rsid w:val="003D3FFF"/>
    <w:rsid w:val="003D4E50"/>
    <w:rsid w:val="003D5504"/>
    <w:rsid w:val="003D58B2"/>
    <w:rsid w:val="003D5BBE"/>
    <w:rsid w:val="003D6E18"/>
    <w:rsid w:val="003E00A0"/>
    <w:rsid w:val="003E2785"/>
    <w:rsid w:val="003E2EEC"/>
    <w:rsid w:val="003E31E9"/>
    <w:rsid w:val="003E5E33"/>
    <w:rsid w:val="003E6017"/>
    <w:rsid w:val="003F3E94"/>
    <w:rsid w:val="003F493E"/>
    <w:rsid w:val="003F4A90"/>
    <w:rsid w:val="003F663B"/>
    <w:rsid w:val="003F778B"/>
    <w:rsid w:val="00400BA0"/>
    <w:rsid w:val="00400D4D"/>
    <w:rsid w:val="004010B1"/>
    <w:rsid w:val="0040139F"/>
    <w:rsid w:val="004017D1"/>
    <w:rsid w:val="004026EA"/>
    <w:rsid w:val="004034BE"/>
    <w:rsid w:val="00403D91"/>
    <w:rsid w:val="004059C8"/>
    <w:rsid w:val="00407A97"/>
    <w:rsid w:val="00410017"/>
    <w:rsid w:val="0041081A"/>
    <w:rsid w:val="00410A91"/>
    <w:rsid w:val="00410E31"/>
    <w:rsid w:val="0041141D"/>
    <w:rsid w:val="00411BCA"/>
    <w:rsid w:val="004120FD"/>
    <w:rsid w:val="00413DA8"/>
    <w:rsid w:val="004142B0"/>
    <w:rsid w:val="0041448E"/>
    <w:rsid w:val="0041479B"/>
    <w:rsid w:val="00414AD7"/>
    <w:rsid w:val="00415FC6"/>
    <w:rsid w:val="00416B38"/>
    <w:rsid w:val="004205C4"/>
    <w:rsid w:val="00420637"/>
    <w:rsid w:val="004207CF"/>
    <w:rsid w:val="00420BF6"/>
    <w:rsid w:val="00420CD0"/>
    <w:rsid w:val="00424616"/>
    <w:rsid w:val="00424B25"/>
    <w:rsid w:val="00424CC6"/>
    <w:rsid w:val="00426011"/>
    <w:rsid w:val="00426275"/>
    <w:rsid w:val="00427799"/>
    <w:rsid w:val="00430D25"/>
    <w:rsid w:val="004327C0"/>
    <w:rsid w:val="00433015"/>
    <w:rsid w:val="00435B65"/>
    <w:rsid w:val="00436D65"/>
    <w:rsid w:val="0043732D"/>
    <w:rsid w:val="00437937"/>
    <w:rsid w:val="004408EC"/>
    <w:rsid w:val="00440D80"/>
    <w:rsid w:val="004425A3"/>
    <w:rsid w:val="00442B9A"/>
    <w:rsid w:val="00443195"/>
    <w:rsid w:val="004438FA"/>
    <w:rsid w:val="004458B4"/>
    <w:rsid w:val="00445CE3"/>
    <w:rsid w:val="004468A8"/>
    <w:rsid w:val="0044729B"/>
    <w:rsid w:val="0044771A"/>
    <w:rsid w:val="00447C34"/>
    <w:rsid w:val="00450312"/>
    <w:rsid w:val="00450C6E"/>
    <w:rsid w:val="00451B39"/>
    <w:rsid w:val="00451F90"/>
    <w:rsid w:val="00452126"/>
    <w:rsid w:val="00452B10"/>
    <w:rsid w:val="00452DDB"/>
    <w:rsid w:val="00454AAA"/>
    <w:rsid w:val="0045501B"/>
    <w:rsid w:val="00455455"/>
    <w:rsid w:val="004559EF"/>
    <w:rsid w:val="004561AC"/>
    <w:rsid w:val="004562C5"/>
    <w:rsid w:val="0046042A"/>
    <w:rsid w:val="00463847"/>
    <w:rsid w:val="0046399E"/>
    <w:rsid w:val="00464883"/>
    <w:rsid w:val="00464893"/>
    <w:rsid w:val="004650AF"/>
    <w:rsid w:val="00465287"/>
    <w:rsid w:val="0046549B"/>
    <w:rsid w:val="00467284"/>
    <w:rsid w:val="0046728B"/>
    <w:rsid w:val="004673E3"/>
    <w:rsid w:val="00467B73"/>
    <w:rsid w:val="00467CAC"/>
    <w:rsid w:val="00470E6A"/>
    <w:rsid w:val="004710F5"/>
    <w:rsid w:val="00471682"/>
    <w:rsid w:val="00472A6F"/>
    <w:rsid w:val="00472B51"/>
    <w:rsid w:val="00472DF1"/>
    <w:rsid w:val="00473C63"/>
    <w:rsid w:val="00473CCC"/>
    <w:rsid w:val="00474BA1"/>
    <w:rsid w:val="00480154"/>
    <w:rsid w:val="0048150D"/>
    <w:rsid w:val="00481D17"/>
    <w:rsid w:val="00481ECE"/>
    <w:rsid w:val="00483B66"/>
    <w:rsid w:val="004846ED"/>
    <w:rsid w:val="0048486E"/>
    <w:rsid w:val="00485818"/>
    <w:rsid w:val="004870A4"/>
    <w:rsid w:val="00487FF1"/>
    <w:rsid w:val="0049081C"/>
    <w:rsid w:val="00494775"/>
    <w:rsid w:val="00494E35"/>
    <w:rsid w:val="00494F07"/>
    <w:rsid w:val="004951EA"/>
    <w:rsid w:val="00496E21"/>
    <w:rsid w:val="0049725F"/>
    <w:rsid w:val="004A046F"/>
    <w:rsid w:val="004A1AFE"/>
    <w:rsid w:val="004A2E8D"/>
    <w:rsid w:val="004A320A"/>
    <w:rsid w:val="004A3DB4"/>
    <w:rsid w:val="004A5303"/>
    <w:rsid w:val="004A581F"/>
    <w:rsid w:val="004A5F95"/>
    <w:rsid w:val="004A6A0E"/>
    <w:rsid w:val="004B0E2A"/>
    <w:rsid w:val="004B1623"/>
    <w:rsid w:val="004B1B45"/>
    <w:rsid w:val="004B3DF4"/>
    <w:rsid w:val="004B4507"/>
    <w:rsid w:val="004B49A1"/>
    <w:rsid w:val="004B5D4A"/>
    <w:rsid w:val="004B6AF5"/>
    <w:rsid w:val="004B7F3A"/>
    <w:rsid w:val="004C0CA1"/>
    <w:rsid w:val="004C2050"/>
    <w:rsid w:val="004C47BE"/>
    <w:rsid w:val="004C51D4"/>
    <w:rsid w:val="004C612E"/>
    <w:rsid w:val="004C6BEE"/>
    <w:rsid w:val="004C6DF4"/>
    <w:rsid w:val="004D0162"/>
    <w:rsid w:val="004D16D2"/>
    <w:rsid w:val="004D247F"/>
    <w:rsid w:val="004D2609"/>
    <w:rsid w:val="004D2610"/>
    <w:rsid w:val="004D3825"/>
    <w:rsid w:val="004D3F8B"/>
    <w:rsid w:val="004D56DC"/>
    <w:rsid w:val="004D70CF"/>
    <w:rsid w:val="004D7FBC"/>
    <w:rsid w:val="004E0AFB"/>
    <w:rsid w:val="004E0B52"/>
    <w:rsid w:val="004E1216"/>
    <w:rsid w:val="004F0560"/>
    <w:rsid w:val="004F22D9"/>
    <w:rsid w:val="004F2445"/>
    <w:rsid w:val="004F36A0"/>
    <w:rsid w:val="004F3B12"/>
    <w:rsid w:val="004F4B17"/>
    <w:rsid w:val="004F66EC"/>
    <w:rsid w:val="00501A87"/>
    <w:rsid w:val="00501E49"/>
    <w:rsid w:val="00502A4D"/>
    <w:rsid w:val="00503089"/>
    <w:rsid w:val="0050350B"/>
    <w:rsid w:val="00506447"/>
    <w:rsid w:val="00506889"/>
    <w:rsid w:val="00506F0C"/>
    <w:rsid w:val="005078B5"/>
    <w:rsid w:val="00507A04"/>
    <w:rsid w:val="00510A4C"/>
    <w:rsid w:val="005112AA"/>
    <w:rsid w:val="00511A1D"/>
    <w:rsid w:val="00511C3B"/>
    <w:rsid w:val="00512FCD"/>
    <w:rsid w:val="00514AB8"/>
    <w:rsid w:val="00515F57"/>
    <w:rsid w:val="00516089"/>
    <w:rsid w:val="00517E4E"/>
    <w:rsid w:val="00520291"/>
    <w:rsid w:val="00521016"/>
    <w:rsid w:val="00521E0B"/>
    <w:rsid w:val="005220E9"/>
    <w:rsid w:val="00522A22"/>
    <w:rsid w:val="005230BD"/>
    <w:rsid w:val="0052442E"/>
    <w:rsid w:val="0052457E"/>
    <w:rsid w:val="0052586B"/>
    <w:rsid w:val="00525AF7"/>
    <w:rsid w:val="00525C9C"/>
    <w:rsid w:val="00526612"/>
    <w:rsid w:val="00526F36"/>
    <w:rsid w:val="005272D9"/>
    <w:rsid w:val="00531F3B"/>
    <w:rsid w:val="00534CEA"/>
    <w:rsid w:val="00536DC2"/>
    <w:rsid w:val="00537B34"/>
    <w:rsid w:val="00537C50"/>
    <w:rsid w:val="0054032E"/>
    <w:rsid w:val="00540BF0"/>
    <w:rsid w:val="00540F89"/>
    <w:rsid w:val="0054137F"/>
    <w:rsid w:val="0054199F"/>
    <w:rsid w:val="005430A4"/>
    <w:rsid w:val="0054592E"/>
    <w:rsid w:val="0054604B"/>
    <w:rsid w:val="00554588"/>
    <w:rsid w:val="00554E13"/>
    <w:rsid w:val="00555C6C"/>
    <w:rsid w:val="00555CA6"/>
    <w:rsid w:val="00555D10"/>
    <w:rsid w:val="00556108"/>
    <w:rsid w:val="00556455"/>
    <w:rsid w:val="005575F1"/>
    <w:rsid w:val="00557795"/>
    <w:rsid w:val="00560F0C"/>
    <w:rsid w:val="0056224B"/>
    <w:rsid w:val="00562D32"/>
    <w:rsid w:val="00563551"/>
    <w:rsid w:val="005636CB"/>
    <w:rsid w:val="00564C34"/>
    <w:rsid w:val="00567843"/>
    <w:rsid w:val="00567F61"/>
    <w:rsid w:val="00571362"/>
    <w:rsid w:val="0057143D"/>
    <w:rsid w:val="00571ACA"/>
    <w:rsid w:val="00572ACF"/>
    <w:rsid w:val="00573431"/>
    <w:rsid w:val="00573848"/>
    <w:rsid w:val="00574659"/>
    <w:rsid w:val="00575EB1"/>
    <w:rsid w:val="00577BCA"/>
    <w:rsid w:val="0058433A"/>
    <w:rsid w:val="00584831"/>
    <w:rsid w:val="00584F2A"/>
    <w:rsid w:val="0058526D"/>
    <w:rsid w:val="00585D42"/>
    <w:rsid w:val="00586B2A"/>
    <w:rsid w:val="00587132"/>
    <w:rsid w:val="00590133"/>
    <w:rsid w:val="00590B71"/>
    <w:rsid w:val="00593501"/>
    <w:rsid w:val="0059377B"/>
    <w:rsid w:val="00593CCC"/>
    <w:rsid w:val="00595DC4"/>
    <w:rsid w:val="00595E9D"/>
    <w:rsid w:val="0059674D"/>
    <w:rsid w:val="005978BD"/>
    <w:rsid w:val="005A0CBC"/>
    <w:rsid w:val="005A17CD"/>
    <w:rsid w:val="005A1D32"/>
    <w:rsid w:val="005A266D"/>
    <w:rsid w:val="005A2EF8"/>
    <w:rsid w:val="005A64E2"/>
    <w:rsid w:val="005B05A3"/>
    <w:rsid w:val="005B0C50"/>
    <w:rsid w:val="005B3A7F"/>
    <w:rsid w:val="005B3B23"/>
    <w:rsid w:val="005B49B0"/>
    <w:rsid w:val="005B4D8E"/>
    <w:rsid w:val="005B515C"/>
    <w:rsid w:val="005C0A94"/>
    <w:rsid w:val="005C4874"/>
    <w:rsid w:val="005C55E5"/>
    <w:rsid w:val="005C5AC5"/>
    <w:rsid w:val="005C628F"/>
    <w:rsid w:val="005C68CA"/>
    <w:rsid w:val="005C7195"/>
    <w:rsid w:val="005C7BC1"/>
    <w:rsid w:val="005C7F28"/>
    <w:rsid w:val="005D0D96"/>
    <w:rsid w:val="005D0DDD"/>
    <w:rsid w:val="005D164C"/>
    <w:rsid w:val="005D241B"/>
    <w:rsid w:val="005D2E0F"/>
    <w:rsid w:val="005D3276"/>
    <w:rsid w:val="005D3C72"/>
    <w:rsid w:val="005D4D95"/>
    <w:rsid w:val="005D5FE5"/>
    <w:rsid w:val="005D6E28"/>
    <w:rsid w:val="005D6E4D"/>
    <w:rsid w:val="005D748E"/>
    <w:rsid w:val="005E0AEF"/>
    <w:rsid w:val="005E3255"/>
    <w:rsid w:val="005E3456"/>
    <w:rsid w:val="005E42AE"/>
    <w:rsid w:val="005E4679"/>
    <w:rsid w:val="005E55C3"/>
    <w:rsid w:val="005E773C"/>
    <w:rsid w:val="005E7D4E"/>
    <w:rsid w:val="005F0724"/>
    <w:rsid w:val="005F0B62"/>
    <w:rsid w:val="005F14A7"/>
    <w:rsid w:val="005F175E"/>
    <w:rsid w:val="005F2475"/>
    <w:rsid w:val="005F451E"/>
    <w:rsid w:val="005F4BE4"/>
    <w:rsid w:val="005F69E0"/>
    <w:rsid w:val="005F6AE1"/>
    <w:rsid w:val="005F78E0"/>
    <w:rsid w:val="00601DC6"/>
    <w:rsid w:val="00602E93"/>
    <w:rsid w:val="006039A8"/>
    <w:rsid w:val="00603DB6"/>
    <w:rsid w:val="006046EC"/>
    <w:rsid w:val="0060472E"/>
    <w:rsid w:val="00605066"/>
    <w:rsid w:val="00605E5E"/>
    <w:rsid w:val="00605EBC"/>
    <w:rsid w:val="00607D6F"/>
    <w:rsid w:val="0061010A"/>
    <w:rsid w:val="0061142B"/>
    <w:rsid w:val="00611754"/>
    <w:rsid w:val="00617706"/>
    <w:rsid w:val="0062080A"/>
    <w:rsid w:val="00621C24"/>
    <w:rsid w:val="00621D5F"/>
    <w:rsid w:val="006225A1"/>
    <w:rsid w:val="00622DA5"/>
    <w:rsid w:val="00623B7D"/>
    <w:rsid w:val="0062653D"/>
    <w:rsid w:val="00626FC8"/>
    <w:rsid w:val="00630081"/>
    <w:rsid w:val="00630285"/>
    <w:rsid w:val="00630ADA"/>
    <w:rsid w:val="006319AC"/>
    <w:rsid w:val="00632E89"/>
    <w:rsid w:val="00635998"/>
    <w:rsid w:val="0063745D"/>
    <w:rsid w:val="0064092A"/>
    <w:rsid w:val="00640C4A"/>
    <w:rsid w:val="00641005"/>
    <w:rsid w:val="006423DF"/>
    <w:rsid w:val="006426BA"/>
    <w:rsid w:val="00642BD4"/>
    <w:rsid w:val="006430F0"/>
    <w:rsid w:val="00643F44"/>
    <w:rsid w:val="00644DC3"/>
    <w:rsid w:val="00644E5D"/>
    <w:rsid w:val="0064534F"/>
    <w:rsid w:val="006456FA"/>
    <w:rsid w:val="00645C3E"/>
    <w:rsid w:val="00647121"/>
    <w:rsid w:val="006507BA"/>
    <w:rsid w:val="0065282D"/>
    <w:rsid w:val="006530B0"/>
    <w:rsid w:val="00653958"/>
    <w:rsid w:val="00653990"/>
    <w:rsid w:val="00653BCE"/>
    <w:rsid w:val="00653C62"/>
    <w:rsid w:val="00653EC2"/>
    <w:rsid w:val="00654BC7"/>
    <w:rsid w:val="00654CF8"/>
    <w:rsid w:val="00654E95"/>
    <w:rsid w:val="0065535D"/>
    <w:rsid w:val="00656EAF"/>
    <w:rsid w:val="00656EB5"/>
    <w:rsid w:val="0065750A"/>
    <w:rsid w:val="00660AB9"/>
    <w:rsid w:val="0066279C"/>
    <w:rsid w:val="00662ED8"/>
    <w:rsid w:val="0066793C"/>
    <w:rsid w:val="006701B2"/>
    <w:rsid w:val="006706D3"/>
    <w:rsid w:val="00670EE2"/>
    <w:rsid w:val="00672747"/>
    <w:rsid w:val="00674783"/>
    <w:rsid w:val="00674932"/>
    <w:rsid w:val="00675D3C"/>
    <w:rsid w:val="00676FD4"/>
    <w:rsid w:val="00680B5A"/>
    <w:rsid w:val="0068148D"/>
    <w:rsid w:val="00682170"/>
    <w:rsid w:val="006822EB"/>
    <w:rsid w:val="0068442A"/>
    <w:rsid w:val="00684833"/>
    <w:rsid w:val="00684F3C"/>
    <w:rsid w:val="0068520F"/>
    <w:rsid w:val="00686D40"/>
    <w:rsid w:val="006900D8"/>
    <w:rsid w:val="00692BBE"/>
    <w:rsid w:val="00693C1F"/>
    <w:rsid w:val="00694DDE"/>
    <w:rsid w:val="00695683"/>
    <w:rsid w:val="00695FDD"/>
    <w:rsid w:val="006971FF"/>
    <w:rsid w:val="006A1906"/>
    <w:rsid w:val="006A20BB"/>
    <w:rsid w:val="006A37D7"/>
    <w:rsid w:val="006A3AD6"/>
    <w:rsid w:val="006A5F7B"/>
    <w:rsid w:val="006A6493"/>
    <w:rsid w:val="006A6DE0"/>
    <w:rsid w:val="006A7A4E"/>
    <w:rsid w:val="006A7F42"/>
    <w:rsid w:val="006B01B6"/>
    <w:rsid w:val="006B1BFD"/>
    <w:rsid w:val="006B2A4B"/>
    <w:rsid w:val="006B3FA6"/>
    <w:rsid w:val="006B42FE"/>
    <w:rsid w:val="006B45C6"/>
    <w:rsid w:val="006B7ADB"/>
    <w:rsid w:val="006C121A"/>
    <w:rsid w:val="006C1BFD"/>
    <w:rsid w:val="006C58B9"/>
    <w:rsid w:val="006C62F7"/>
    <w:rsid w:val="006C636C"/>
    <w:rsid w:val="006C6FA4"/>
    <w:rsid w:val="006D1E91"/>
    <w:rsid w:val="006D36D9"/>
    <w:rsid w:val="006D4CE4"/>
    <w:rsid w:val="006D5D5E"/>
    <w:rsid w:val="006D606E"/>
    <w:rsid w:val="006D623C"/>
    <w:rsid w:val="006D79EB"/>
    <w:rsid w:val="006E07FC"/>
    <w:rsid w:val="006E1278"/>
    <w:rsid w:val="006E1A04"/>
    <w:rsid w:val="006E2059"/>
    <w:rsid w:val="006E20EA"/>
    <w:rsid w:val="006E21D9"/>
    <w:rsid w:val="006E2875"/>
    <w:rsid w:val="006E2E85"/>
    <w:rsid w:val="006E3CA9"/>
    <w:rsid w:val="006E57D2"/>
    <w:rsid w:val="006E6C94"/>
    <w:rsid w:val="006E6E7A"/>
    <w:rsid w:val="006F0566"/>
    <w:rsid w:val="006F4E53"/>
    <w:rsid w:val="006F6419"/>
    <w:rsid w:val="006F6506"/>
    <w:rsid w:val="006F7408"/>
    <w:rsid w:val="006F7CD9"/>
    <w:rsid w:val="00700FE4"/>
    <w:rsid w:val="007014CF"/>
    <w:rsid w:val="00701677"/>
    <w:rsid w:val="007016EA"/>
    <w:rsid w:val="00703DDF"/>
    <w:rsid w:val="00705C93"/>
    <w:rsid w:val="0070702D"/>
    <w:rsid w:val="00711933"/>
    <w:rsid w:val="00712E68"/>
    <w:rsid w:val="00714A41"/>
    <w:rsid w:val="00715237"/>
    <w:rsid w:val="00717925"/>
    <w:rsid w:val="00720EDA"/>
    <w:rsid w:val="00721B3D"/>
    <w:rsid w:val="0072378D"/>
    <w:rsid w:val="00723892"/>
    <w:rsid w:val="00723B3D"/>
    <w:rsid w:val="00723C4C"/>
    <w:rsid w:val="007245CD"/>
    <w:rsid w:val="00724B10"/>
    <w:rsid w:val="007250AD"/>
    <w:rsid w:val="007262D7"/>
    <w:rsid w:val="007270A5"/>
    <w:rsid w:val="00727D39"/>
    <w:rsid w:val="00730AF6"/>
    <w:rsid w:val="00731918"/>
    <w:rsid w:val="00733541"/>
    <w:rsid w:val="00733890"/>
    <w:rsid w:val="00733C45"/>
    <w:rsid w:val="00734283"/>
    <w:rsid w:val="00735358"/>
    <w:rsid w:val="00736094"/>
    <w:rsid w:val="007373A5"/>
    <w:rsid w:val="00737E41"/>
    <w:rsid w:val="00741E6D"/>
    <w:rsid w:val="00742B4E"/>
    <w:rsid w:val="00743AF9"/>
    <w:rsid w:val="00744213"/>
    <w:rsid w:val="00744802"/>
    <w:rsid w:val="0074642A"/>
    <w:rsid w:val="007501C1"/>
    <w:rsid w:val="00750CAF"/>
    <w:rsid w:val="00754B83"/>
    <w:rsid w:val="00754C15"/>
    <w:rsid w:val="0075552A"/>
    <w:rsid w:val="00755598"/>
    <w:rsid w:val="0075588D"/>
    <w:rsid w:val="00756905"/>
    <w:rsid w:val="00756E37"/>
    <w:rsid w:val="00761047"/>
    <w:rsid w:val="0076160E"/>
    <w:rsid w:val="00762BBA"/>
    <w:rsid w:val="0076397A"/>
    <w:rsid w:val="007643D3"/>
    <w:rsid w:val="0076696E"/>
    <w:rsid w:val="00767906"/>
    <w:rsid w:val="00767FAB"/>
    <w:rsid w:val="00771773"/>
    <w:rsid w:val="007733EE"/>
    <w:rsid w:val="007773D1"/>
    <w:rsid w:val="0078060D"/>
    <w:rsid w:val="007810B1"/>
    <w:rsid w:val="007813EC"/>
    <w:rsid w:val="00781763"/>
    <w:rsid w:val="00781C18"/>
    <w:rsid w:val="00783593"/>
    <w:rsid w:val="00784450"/>
    <w:rsid w:val="00784AD3"/>
    <w:rsid w:val="007850F7"/>
    <w:rsid w:val="00785105"/>
    <w:rsid w:val="00785B9D"/>
    <w:rsid w:val="00786368"/>
    <w:rsid w:val="00787B1F"/>
    <w:rsid w:val="007901E6"/>
    <w:rsid w:val="00790512"/>
    <w:rsid w:val="007909F9"/>
    <w:rsid w:val="00790E79"/>
    <w:rsid w:val="007910C3"/>
    <w:rsid w:val="00791C10"/>
    <w:rsid w:val="0079240C"/>
    <w:rsid w:val="00793177"/>
    <w:rsid w:val="00793995"/>
    <w:rsid w:val="007943C9"/>
    <w:rsid w:val="0079480C"/>
    <w:rsid w:val="00796296"/>
    <w:rsid w:val="00796EB9"/>
    <w:rsid w:val="0079782E"/>
    <w:rsid w:val="0079797A"/>
    <w:rsid w:val="00797B3A"/>
    <w:rsid w:val="007A1417"/>
    <w:rsid w:val="007A30AF"/>
    <w:rsid w:val="007A35B5"/>
    <w:rsid w:val="007A39F8"/>
    <w:rsid w:val="007A4F11"/>
    <w:rsid w:val="007A5CF8"/>
    <w:rsid w:val="007A5D98"/>
    <w:rsid w:val="007A6290"/>
    <w:rsid w:val="007A645F"/>
    <w:rsid w:val="007A6F7C"/>
    <w:rsid w:val="007B10F6"/>
    <w:rsid w:val="007B1AAA"/>
    <w:rsid w:val="007B1B70"/>
    <w:rsid w:val="007B2652"/>
    <w:rsid w:val="007B31E7"/>
    <w:rsid w:val="007B3639"/>
    <w:rsid w:val="007B39A3"/>
    <w:rsid w:val="007B4919"/>
    <w:rsid w:val="007B4D89"/>
    <w:rsid w:val="007B6388"/>
    <w:rsid w:val="007B6A45"/>
    <w:rsid w:val="007B6EED"/>
    <w:rsid w:val="007C00A5"/>
    <w:rsid w:val="007C0404"/>
    <w:rsid w:val="007C0BFA"/>
    <w:rsid w:val="007C0D79"/>
    <w:rsid w:val="007C2BC4"/>
    <w:rsid w:val="007C2FC8"/>
    <w:rsid w:val="007C310C"/>
    <w:rsid w:val="007C3271"/>
    <w:rsid w:val="007C33FB"/>
    <w:rsid w:val="007C341A"/>
    <w:rsid w:val="007C7046"/>
    <w:rsid w:val="007D0D00"/>
    <w:rsid w:val="007D102C"/>
    <w:rsid w:val="007D1AD4"/>
    <w:rsid w:val="007D1E44"/>
    <w:rsid w:val="007D1F04"/>
    <w:rsid w:val="007D1F41"/>
    <w:rsid w:val="007D40F4"/>
    <w:rsid w:val="007D5AED"/>
    <w:rsid w:val="007E0C39"/>
    <w:rsid w:val="007E12E2"/>
    <w:rsid w:val="007E1D5B"/>
    <w:rsid w:val="007E218C"/>
    <w:rsid w:val="007E4278"/>
    <w:rsid w:val="007E4E27"/>
    <w:rsid w:val="007E5996"/>
    <w:rsid w:val="007E6372"/>
    <w:rsid w:val="007E64E2"/>
    <w:rsid w:val="007E72F4"/>
    <w:rsid w:val="007F1DF3"/>
    <w:rsid w:val="007F304D"/>
    <w:rsid w:val="007F3208"/>
    <w:rsid w:val="007F331C"/>
    <w:rsid w:val="007F36F6"/>
    <w:rsid w:val="007F3928"/>
    <w:rsid w:val="007F3E57"/>
    <w:rsid w:val="007F4729"/>
    <w:rsid w:val="007F5EEF"/>
    <w:rsid w:val="007F62AF"/>
    <w:rsid w:val="007F6B13"/>
    <w:rsid w:val="007F6F9C"/>
    <w:rsid w:val="007F7110"/>
    <w:rsid w:val="007F7E66"/>
    <w:rsid w:val="00801AA9"/>
    <w:rsid w:val="00801B30"/>
    <w:rsid w:val="00801EDE"/>
    <w:rsid w:val="008048C5"/>
    <w:rsid w:val="00805956"/>
    <w:rsid w:val="008064FE"/>
    <w:rsid w:val="00806863"/>
    <w:rsid w:val="00807C68"/>
    <w:rsid w:val="0081121A"/>
    <w:rsid w:val="008114DD"/>
    <w:rsid w:val="00812404"/>
    <w:rsid w:val="008128A1"/>
    <w:rsid w:val="008128BC"/>
    <w:rsid w:val="00812F2C"/>
    <w:rsid w:val="0081433A"/>
    <w:rsid w:val="008145C1"/>
    <w:rsid w:val="00814D76"/>
    <w:rsid w:val="00816D8B"/>
    <w:rsid w:val="00817934"/>
    <w:rsid w:val="00817B25"/>
    <w:rsid w:val="00822CCD"/>
    <w:rsid w:val="00823F92"/>
    <w:rsid w:val="00824C95"/>
    <w:rsid w:val="0082547A"/>
    <w:rsid w:val="00826A84"/>
    <w:rsid w:val="008308B8"/>
    <w:rsid w:val="00831302"/>
    <w:rsid w:val="00831453"/>
    <w:rsid w:val="00831495"/>
    <w:rsid w:val="008326D2"/>
    <w:rsid w:val="00832DFB"/>
    <w:rsid w:val="00833487"/>
    <w:rsid w:val="008343AB"/>
    <w:rsid w:val="008352D1"/>
    <w:rsid w:val="00837096"/>
    <w:rsid w:val="0084054F"/>
    <w:rsid w:val="00843215"/>
    <w:rsid w:val="008433E8"/>
    <w:rsid w:val="008444A8"/>
    <w:rsid w:val="008461C6"/>
    <w:rsid w:val="0084634D"/>
    <w:rsid w:val="00846FF2"/>
    <w:rsid w:val="008524B5"/>
    <w:rsid w:val="008530B1"/>
    <w:rsid w:val="008555E1"/>
    <w:rsid w:val="00856F0E"/>
    <w:rsid w:val="0085701C"/>
    <w:rsid w:val="00857A62"/>
    <w:rsid w:val="008621CB"/>
    <w:rsid w:val="008625A0"/>
    <w:rsid w:val="008631AD"/>
    <w:rsid w:val="008653C3"/>
    <w:rsid w:val="008667E7"/>
    <w:rsid w:val="00866D6E"/>
    <w:rsid w:val="00871CA5"/>
    <w:rsid w:val="00872069"/>
    <w:rsid w:val="00873822"/>
    <w:rsid w:val="00873F3A"/>
    <w:rsid w:val="008743C7"/>
    <w:rsid w:val="00874708"/>
    <w:rsid w:val="008765E2"/>
    <w:rsid w:val="00877DC6"/>
    <w:rsid w:val="00877E9A"/>
    <w:rsid w:val="0088171F"/>
    <w:rsid w:val="00883628"/>
    <w:rsid w:val="008838DF"/>
    <w:rsid w:val="008844A2"/>
    <w:rsid w:val="00885AB6"/>
    <w:rsid w:val="00886895"/>
    <w:rsid w:val="008869BF"/>
    <w:rsid w:val="00890472"/>
    <w:rsid w:val="0089071A"/>
    <w:rsid w:val="00892AAD"/>
    <w:rsid w:val="00893284"/>
    <w:rsid w:val="00893462"/>
    <w:rsid w:val="0089371D"/>
    <w:rsid w:val="008953D1"/>
    <w:rsid w:val="008956F7"/>
    <w:rsid w:val="008958E5"/>
    <w:rsid w:val="00896444"/>
    <w:rsid w:val="00896793"/>
    <w:rsid w:val="008A1730"/>
    <w:rsid w:val="008A2215"/>
    <w:rsid w:val="008A2805"/>
    <w:rsid w:val="008A34CA"/>
    <w:rsid w:val="008A4F2A"/>
    <w:rsid w:val="008A5336"/>
    <w:rsid w:val="008A6D1C"/>
    <w:rsid w:val="008A6FE4"/>
    <w:rsid w:val="008B0371"/>
    <w:rsid w:val="008B08F0"/>
    <w:rsid w:val="008B0D79"/>
    <w:rsid w:val="008B10F6"/>
    <w:rsid w:val="008B2E50"/>
    <w:rsid w:val="008B3770"/>
    <w:rsid w:val="008B4078"/>
    <w:rsid w:val="008B434A"/>
    <w:rsid w:val="008B4438"/>
    <w:rsid w:val="008B52CE"/>
    <w:rsid w:val="008B56E1"/>
    <w:rsid w:val="008B6226"/>
    <w:rsid w:val="008B7A38"/>
    <w:rsid w:val="008B7E8C"/>
    <w:rsid w:val="008B7F9C"/>
    <w:rsid w:val="008C0DD9"/>
    <w:rsid w:val="008C1BF5"/>
    <w:rsid w:val="008C3278"/>
    <w:rsid w:val="008C416F"/>
    <w:rsid w:val="008C5303"/>
    <w:rsid w:val="008C59A9"/>
    <w:rsid w:val="008C63A1"/>
    <w:rsid w:val="008D01A3"/>
    <w:rsid w:val="008D2677"/>
    <w:rsid w:val="008D3673"/>
    <w:rsid w:val="008D4E2B"/>
    <w:rsid w:val="008D4F79"/>
    <w:rsid w:val="008D4FDD"/>
    <w:rsid w:val="008D5AAA"/>
    <w:rsid w:val="008D7051"/>
    <w:rsid w:val="008D7E3F"/>
    <w:rsid w:val="008E15DF"/>
    <w:rsid w:val="008E17AA"/>
    <w:rsid w:val="008E18F5"/>
    <w:rsid w:val="008E3DE7"/>
    <w:rsid w:val="008E46FB"/>
    <w:rsid w:val="008E47EF"/>
    <w:rsid w:val="008E5462"/>
    <w:rsid w:val="008E6CE0"/>
    <w:rsid w:val="008E73B4"/>
    <w:rsid w:val="008F0905"/>
    <w:rsid w:val="008F193A"/>
    <w:rsid w:val="008F1A3A"/>
    <w:rsid w:val="008F1FCC"/>
    <w:rsid w:val="008F2535"/>
    <w:rsid w:val="008F3D8D"/>
    <w:rsid w:val="008F548E"/>
    <w:rsid w:val="008F6BA7"/>
    <w:rsid w:val="00900D22"/>
    <w:rsid w:val="00902DB4"/>
    <w:rsid w:val="009048B5"/>
    <w:rsid w:val="0090592F"/>
    <w:rsid w:val="00906D4C"/>
    <w:rsid w:val="00906DED"/>
    <w:rsid w:val="00907905"/>
    <w:rsid w:val="00910272"/>
    <w:rsid w:val="00911893"/>
    <w:rsid w:val="00911CA8"/>
    <w:rsid w:val="00911F4D"/>
    <w:rsid w:val="00912CD0"/>
    <w:rsid w:val="00913678"/>
    <w:rsid w:val="009140E0"/>
    <w:rsid w:val="00914A2C"/>
    <w:rsid w:val="00915F3F"/>
    <w:rsid w:val="00917D91"/>
    <w:rsid w:val="00920BBC"/>
    <w:rsid w:val="0092568B"/>
    <w:rsid w:val="009256B8"/>
    <w:rsid w:val="00926DE2"/>
    <w:rsid w:val="0092726D"/>
    <w:rsid w:val="00930D2E"/>
    <w:rsid w:val="009312D6"/>
    <w:rsid w:val="00931EE0"/>
    <w:rsid w:val="00931F82"/>
    <w:rsid w:val="0093226C"/>
    <w:rsid w:val="009346FF"/>
    <w:rsid w:val="009357D6"/>
    <w:rsid w:val="009371D3"/>
    <w:rsid w:val="0093788D"/>
    <w:rsid w:val="00943B87"/>
    <w:rsid w:val="009451B8"/>
    <w:rsid w:val="00951C49"/>
    <w:rsid w:val="0095248E"/>
    <w:rsid w:val="009529A3"/>
    <w:rsid w:val="0095481F"/>
    <w:rsid w:val="00954DFB"/>
    <w:rsid w:val="00956442"/>
    <w:rsid w:val="00957C7F"/>
    <w:rsid w:val="00961097"/>
    <w:rsid w:val="00961DD5"/>
    <w:rsid w:val="00962BDA"/>
    <w:rsid w:val="009633DE"/>
    <w:rsid w:val="00964F41"/>
    <w:rsid w:val="0097274C"/>
    <w:rsid w:val="00972ABE"/>
    <w:rsid w:val="00973F8B"/>
    <w:rsid w:val="009749DA"/>
    <w:rsid w:val="009757EB"/>
    <w:rsid w:val="00975811"/>
    <w:rsid w:val="009759F5"/>
    <w:rsid w:val="009762F0"/>
    <w:rsid w:val="00977234"/>
    <w:rsid w:val="009801E4"/>
    <w:rsid w:val="009802A3"/>
    <w:rsid w:val="009809F0"/>
    <w:rsid w:val="00981FCE"/>
    <w:rsid w:val="00982D60"/>
    <w:rsid w:val="00984CAB"/>
    <w:rsid w:val="00985272"/>
    <w:rsid w:val="00986088"/>
    <w:rsid w:val="00986DFF"/>
    <w:rsid w:val="00990250"/>
    <w:rsid w:val="00990C52"/>
    <w:rsid w:val="009916AD"/>
    <w:rsid w:val="00992142"/>
    <w:rsid w:val="009921EE"/>
    <w:rsid w:val="00994C7E"/>
    <w:rsid w:val="00995466"/>
    <w:rsid w:val="009956EA"/>
    <w:rsid w:val="00995981"/>
    <w:rsid w:val="00995C93"/>
    <w:rsid w:val="00997495"/>
    <w:rsid w:val="009974C4"/>
    <w:rsid w:val="00997BA1"/>
    <w:rsid w:val="00997E6F"/>
    <w:rsid w:val="009A1BBF"/>
    <w:rsid w:val="009A2199"/>
    <w:rsid w:val="009A29B0"/>
    <w:rsid w:val="009A2E7F"/>
    <w:rsid w:val="009A4CCF"/>
    <w:rsid w:val="009A6D7F"/>
    <w:rsid w:val="009A71F7"/>
    <w:rsid w:val="009B1851"/>
    <w:rsid w:val="009B41E8"/>
    <w:rsid w:val="009B55D4"/>
    <w:rsid w:val="009B6E73"/>
    <w:rsid w:val="009B7575"/>
    <w:rsid w:val="009B76A6"/>
    <w:rsid w:val="009B796D"/>
    <w:rsid w:val="009B7A92"/>
    <w:rsid w:val="009B7CEA"/>
    <w:rsid w:val="009B7E7E"/>
    <w:rsid w:val="009C094A"/>
    <w:rsid w:val="009C14E3"/>
    <w:rsid w:val="009C2703"/>
    <w:rsid w:val="009C28F0"/>
    <w:rsid w:val="009C30B4"/>
    <w:rsid w:val="009C4AF2"/>
    <w:rsid w:val="009C58A2"/>
    <w:rsid w:val="009C6F30"/>
    <w:rsid w:val="009C6FC9"/>
    <w:rsid w:val="009C712B"/>
    <w:rsid w:val="009C71EA"/>
    <w:rsid w:val="009D00EB"/>
    <w:rsid w:val="009D01EB"/>
    <w:rsid w:val="009D1ADE"/>
    <w:rsid w:val="009D419F"/>
    <w:rsid w:val="009D4712"/>
    <w:rsid w:val="009D4798"/>
    <w:rsid w:val="009D4D75"/>
    <w:rsid w:val="009D6D42"/>
    <w:rsid w:val="009E022F"/>
    <w:rsid w:val="009E0F9C"/>
    <w:rsid w:val="009E27A8"/>
    <w:rsid w:val="009E315B"/>
    <w:rsid w:val="009E31CE"/>
    <w:rsid w:val="009E3647"/>
    <w:rsid w:val="009E3D1F"/>
    <w:rsid w:val="009E41D2"/>
    <w:rsid w:val="009E5631"/>
    <w:rsid w:val="009E5C25"/>
    <w:rsid w:val="009E614D"/>
    <w:rsid w:val="009E6EC3"/>
    <w:rsid w:val="009F0BF4"/>
    <w:rsid w:val="009F0F5B"/>
    <w:rsid w:val="009F1347"/>
    <w:rsid w:val="009F13DC"/>
    <w:rsid w:val="009F1964"/>
    <w:rsid w:val="009F1CCD"/>
    <w:rsid w:val="009F369C"/>
    <w:rsid w:val="009F4AB1"/>
    <w:rsid w:val="009F51DE"/>
    <w:rsid w:val="009F62EF"/>
    <w:rsid w:val="00A00338"/>
    <w:rsid w:val="00A006D2"/>
    <w:rsid w:val="00A007B4"/>
    <w:rsid w:val="00A0154F"/>
    <w:rsid w:val="00A02297"/>
    <w:rsid w:val="00A0232E"/>
    <w:rsid w:val="00A02995"/>
    <w:rsid w:val="00A03471"/>
    <w:rsid w:val="00A07856"/>
    <w:rsid w:val="00A114F2"/>
    <w:rsid w:val="00A1193B"/>
    <w:rsid w:val="00A11D33"/>
    <w:rsid w:val="00A122D4"/>
    <w:rsid w:val="00A123E5"/>
    <w:rsid w:val="00A13757"/>
    <w:rsid w:val="00A14102"/>
    <w:rsid w:val="00A1416F"/>
    <w:rsid w:val="00A1475B"/>
    <w:rsid w:val="00A15B4A"/>
    <w:rsid w:val="00A22423"/>
    <w:rsid w:val="00A237F0"/>
    <w:rsid w:val="00A23B6F"/>
    <w:rsid w:val="00A23BEF"/>
    <w:rsid w:val="00A23C1D"/>
    <w:rsid w:val="00A245E8"/>
    <w:rsid w:val="00A249F0"/>
    <w:rsid w:val="00A268D7"/>
    <w:rsid w:val="00A26D24"/>
    <w:rsid w:val="00A27212"/>
    <w:rsid w:val="00A341ED"/>
    <w:rsid w:val="00A34696"/>
    <w:rsid w:val="00A40932"/>
    <w:rsid w:val="00A41260"/>
    <w:rsid w:val="00A41A11"/>
    <w:rsid w:val="00A429F3"/>
    <w:rsid w:val="00A42CF7"/>
    <w:rsid w:val="00A437ED"/>
    <w:rsid w:val="00A44C0C"/>
    <w:rsid w:val="00A45B84"/>
    <w:rsid w:val="00A47707"/>
    <w:rsid w:val="00A50214"/>
    <w:rsid w:val="00A50A9D"/>
    <w:rsid w:val="00A536FD"/>
    <w:rsid w:val="00A53733"/>
    <w:rsid w:val="00A54CF1"/>
    <w:rsid w:val="00A54E09"/>
    <w:rsid w:val="00A55F66"/>
    <w:rsid w:val="00A628EB"/>
    <w:rsid w:val="00A6695B"/>
    <w:rsid w:val="00A67458"/>
    <w:rsid w:val="00A71BED"/>
    <w:rsid w:val="00A7252B"/>
    <w:rsid w:val="00A7362F"/>
    <w:rsid w:val="00A73A7C"/>
    <w:rsid w:val="00A73AC0"/>
    <w:rsid w:val="00A7498C"/>
    <w:rsid w:val="00A83EC5"/>
    <w:rsid w:val="00A844E5"/>
    <w:rsid w:val="00A84670"/>
    <w:rsid w:val="00A854ED"/>
    <w:rsid w:val="00A8661B"/>
    <w:rsid w:val="00A86A74"/>
    <w:rsid w:val="00A875EE"/>
    <w:rsid w:val="00A90149"/>
    <w:rsid w:val="00A9062F"/>
    <w:rsid w:val="00A90EB3"/>
    <w:rsid w:val="00A92DE8"/>
    <w:rsid w:val="00A932BB"/>
    <w:rsid w:val="00A93B88"/>
    <w:rsid w:val="00A9562C"/>
    <w:rsid w:val="00A97976"/>
    <w:rsid w:val="00AA0F30"/>
    <w:rsid w:val="00AA12C7"/>
    <w:rsid w:val="00AA2792"/>
    <w:rsid w:val="00AA3634"/>
    <w:rsid w:val="00AA3695"/>
    <w:rsid w:val="00AA5271"/>
    <w:rsid w:val="00AA574B"/>
    <w:rsid w:val="00AA705A"/>
    <w:rsid w:val="00AB04A4"/>
    <w:rsid w:val="00AB131E"/>
    <w:rsid w:val="00AB1D66"/>
    <w:rsid w:val="00AB1FA3"/>
    <w:rsid w:val="00AB3B03"/>
    <w:rsid w:val="00AB4E4B"/>
    <w:rsid w:val="00AB516B"/>
    <w:rsid w:val="00AB5E11"/>
    <w:rsid w:val="00AB5E27"/>
    <w:rsid w:val="00AB692F"/>
    <w:rsid w:val="00AB7FD4"/>
    <w:rsid w:val="00AC3AFF"/>
    <w:rsid w:val="00AC6FA6"/>
    <w:rsid w:val="00AD1536"/>
    <w:rsid w:val="00AD1541"/>
    <w:rsid w:val="00AD16CE"/>
    <w:rsid w:val="00AD1F1A"/>
    <w:rsid w:val="00AD2741"/>
    <w:rsid w:val="00AD3850"/>
    <w:rsid w:val="00AD3999"/>
    <w:rsid w:val="00AD45C2"/>
    <w:rsid w:val="00AD5B58"/>
    <w:rsid w:val="00AD649E"/>
    <w:rsid w:val="00AD6853"/>
    <w:rsid w:val="00AD6A9C"/>
    <w:rsid w:val="00AD774A"/>
    <w:rsid w:val="00AE101B"/>
    <w:rsid w:val="00AE1996"/>
    <w:rsid w:val="00AE1B46"/>
    <w:rsid w:val="00AE22C2"/>
    <w:rsid w:val="00AE391C"/>
    <w:rsid w:val="00AE67DC"/>
    <w:rsid w:val="00AF2838"/>
    <w:rsid w:val="00AF2D89"/>
    <w:rsid w:val="00AF42B5"/>
    <w:rsid w:val="00AF4930"/>
    <w:rsid w:val="00AF4D5F"/>
    <w:rsid w:val="00AF4E7E"/>
    <w:rsid w:val="00AF576C"/>
    <w:rsid w:val="00AF5F77"/>
    <w:rsid w:val="00AF6783"/>
    <w:rsid w:val="00AF70EB"/>
    <w:rsid w:val="00AF7666"/>
    <w:rsid w:val="00B004C9"/>
    <w:rsid w:val="00B01025"/>
    <w:rsid w:val="00B01132"/>
    <w:rsid w:val="00B02611"/>
    <w:rsid w:val="00B046E1"/>
    <w:rsid w:val="00B05D90"/>
    <w:rsid w:val="00B06030"/>
    <w:rsid w:val="00B1114F"/>
    <w:rsid w:val="00B119F3"/>
    <w:rsid w:val="00B121FD"/>
    <w:rsid w:val="00B12426"/>
    <w:rsid w:val="00B134A1"/>
    <w:rsid w:val="00B13E1A"/>
    <w:rsid w:val="00B14326"/>
    <w:rsid w:val="00B14748"/>
    <w:rsid w:val="00B16786"/>
    <w:rsid w:val="00B22695"/>
    <w:rsid w:val="00B26651"/>
    <w:rsid w:val="00B268ED"/>
    <w:rsid w:val="00B26C25"/>
    <w:rsid w:val="00B2758E"/>
    <w:rsid w:val="00B2791D"/>
    <w:rsid w:val="00B30A27"/>
    <w:rsid w:val="00B31778"/>
    <w:rsid w:val="00B31D52"/>
    <w:rsid w:val="00B32C01"/>
    <w:rsid w:val="00B34CEE"/>
    <w:rsid w:val="00B36525"/>
    <w:rsid w:val="00B365B2"/>
    <w:rsid w:val="00B40D5C"/>
    <w:rsid w:val="00B40DBD"/>
    <w:rsid w:val="00B42777"/>
    <w:rsid w:val="00B4391F"/>
    <w:rsid w:val="00B44479"/>
    <w:rsid w:val="00B466EB"/>
    <w:rsid w:val="00B469CA"/>
    <w:rsid w:val="00B4754F"/>
    <w:rsid w:val="00B47B9B"/>
    <w:rsid w:val="00B50AD8"/>
    <w:rsid w:val="00B531D4"/>
    <w:rsid w:val="00B532AC"/>
    <w:rsid w:val="00B53C85"/>
    <w:rsid w:val="00B54905"/>
    <w:rsid w:val="00B54CA3"/>
    <w:rsid w:val="00B56F60"/>
    <w:rsid w:val="00B57BF4"/>
    <w:rsid w:val="00B60803"/>
    <w:rsid w:val="00B62364"/>
    <w:rsid w:val="00B62CF5"/>
    <w:rsid w:val="00B6325D"/>
    <w:rsid w:val="00B63F10"/>
    <w:rsid w:val="00B64EFD"/>
    <w:rsid w:val="00B650AE"/>
    <w:rsid w:val="00B66238"/>
    <w:rsid w:val="00B67453"/>
    <w:rsid w:val="00B677D5"/>
    <w:rsid w:val="00B678B5"/>
    <w:rsid w:val="00B71435"/>
    <w:rsid w:val="00B72747"/>
    <w:rsid w:val="00B727AC"/>
    <w:rsid w:val="00B832A4"/>
    <w:rsid w:val="00B85358"/>
    <w:rsid w:val="00B85941"/>
    <w:rsid w:val="00B859E9"/>
    <w:rsid w:val="00B8746D"/>
    <w:rsid w:val="00B90872"/>
    <w:rsid w:val="00B910E7"/>
    <w:rsid w:val="00B92305"/>
    <w:rsid w:val="00B93286"/>
    <w:rsid w:val="00B947B6"/>
    <w:rsid w:val="00B94CC4"/>
    <w:rsid w:val="00B959BD"/>
    <w:rsid w:val="00BA013D"/>
    <w:rsid w:val="00BA1411"/>
    <w:rsid w:val="00BA26C0"/>
    <w:rsid w:val="00BA2E41"/>
    <w:rsid w:val="00BA3D6B"/>
    <w:rsid w:val="00BA7839"/>
    <w:rsid w:val="00BA7A98"/>
    <w:rsid w:val="00BA7BC0"/>
    <w:rsid w:val="00BA7C60"/>
    <w:rsid w:val="00BB0B62"/>
    <w:rsid w:val="00BB1F61"/>
    <w:rsid w:val="00BB23B3"/>
    <w:rsid w:val="00BB2A88"/>
    <w:rsid w:val="00BB2A94"/>
    <w:rsid w:val="00BB589C"/>
    <w:rsid w:val="00BB6F97"/>
    <w:rsid w:val="00BC0BFA"/>
    <w:rsid w:val="00BC1823"/>
    <w:rsid w:val="00BC19EC"/>
    <w:rsid w:val="00BC1A66"/>
    <w:rsid w:val="00BC2842"/>
    <w:rsid w:val="00BC5403"/>
    <w:rsid w:val="00BC550E"/>
    <w:rsid w:val="00BC642D"/>
    <w:rsid w:val="00BC66D2"/>
    <w:rsid w:val="00BC6FCD"/>
    <w:rsid w:val="00BD06BB"/>
    <w:rsid w:val="00BD09EF"/>
    <w:rsid w:val="00BD3A2D"/>
    <w:rsid w:val="00BD4551"/>
    <w:rsid w:val="00BD4A1C"/>
    <w:rsid w:val="00BD5ED5"/>
    <w:rsid w:val="00BD6260"/>
    <w:rsid w:val="00BD70FF"/>
    <w:rsid w:val="00BE3E40"/>
    <w:rsid w:val="00BE5701"/>
    <w:rsid w:val="00BE686E"/>
    <w:rsid w:val="00BE7C71"/>
    <w:rsid w:val="00BF0594"/>
    <w:rsid w:val="00BF1B0C"/>
    <w:rsid w:val="00BF2007"/>
    <w:rsid w:val="00BF7D8C"/>
    <w:rsid w:val="00C00101"/>
    <w:rsid w:val="00C00290"/>
    <w:rsid w:val="00C01AB8"/>
    <w:rsid w:val="00C02203"/>
    <w:rsid w:val="00C02804"/>
    <w:rsid w:val="00C028AC"/>
    <w:rsid w:val="00C033D8"/>
    <w:rsid w:val="00C0399E"/>
    <w:rsid w:val="00C0626C"/>
    <w:rsid w:val="00C0628D"/>
    <w:rsid w:val="00C067A3"/>
    <w:rsid w:val="00C06FDE"/>
    <w:rsid w:val="00C07806"/>
    <w:rsid w:val="00C1170F"/>
    <w:rsid w:val="00C11CC6"/>
    <w:rsid w:val="00C11F7A"/>
    <w:rsid w:val="00C11FDD"/>
    <w:rsid w:val="00C12A86"/>
    <w:rsid w:val="00C13A44"/>
    <w:rsid w:val="00C14C80"/>
    <w:rsid w:val="00C15C45"/>
    <w:rsid w:val="00C17270"/>
    <w:rsid w:val="00C17CAE"/>
    <w:rsid w:val="00C2071F"/>
    <w:rsid w:val="00C20911"/>
    <w:rsid w:val="00C21516"/>
    <w:rsid w:val="00C23A60"/>
    <w:rsid w:val="00C27341"/>
    <w:rsid w:val="00C27716"/>
    <w:rsid w:val="00C27F12"/>
    <w:rsid w:val="00C31121"/>
    <w:rsid w:val="00C3122E"/>
    <w:rsid w:val="00C3153C"/>
    <w:rsid w:val="00C31617"/>
    <w:rsid w:val="00C32021"/>
    <w:rsid w:val="00C32D0F"/>
    <w:rsid w:val="00C33420"/>
    <w:rsid w:val="00C336E6"/>
    <w:rsid w:val="00C34922"/>
    <w:rsid w:val="00C349DC"/>
    <w:rsid w:val="00C34DFD"/>
    <w:rsid w:val="00C371E3"/>
    <w:rsid w:val="00C37A89"/>
    <w:rsid w:val="00C37F4B"/>
    <w:rsid w:val="00C40CF0"/>
    <w:rsid w:val="00C4138F"/>
    <w:rsid w:val="00C4186A"/>
    <w:rsid w:val="00C4230A"/>
    <w:rsid w:val="00C42EBE"/>
    <w:rsid w:val="00C446E2"/>
    <w:rsid w:val="00C45149"/>
    <w:rsid w:val="00C4577B"/>
    <w:rsid w:val="00C47609"/>
    <w:rsid w:val="00C47DDA"/>
    <w:rsid w:val="00C50801"/>
    <w:rsid w:val="00C509AA"/>
    <w:rsid w:val="00C50DAD"/>
    <w:rsid w:val="00C50F9B"/>
    <w:rsid w:val="00C51969"/>
    <w:rsid w:val="00C51C64"/>
    <w:rsid w:val="00C5367E"/>
    <w:rsid w:val="00C53EE7"/>
    <w:rsid w:val="00C542FC"/>
    <w:rsid w:val="00C543F0"/>
    <w:rsid w:val="00C545C8"/>
    <w:rsid w:val="00C55342"/>
    <w:rsid w:val="00C56D11"/>
    <w:rsid w:val="00C60080"/>
    <w:rsid w:val="00C60116"/>
    <w:rsid w:val="00C619FE"/>
    <w:rsid w:val="00C61C54"/>
    <w:rsid w:val="00C62569"/>
    <w:rsid w:val="00C62648"/>
    <w:rsid w:val="00C63E47"/>
    <w:rsid w:val="00C64785"/>
    <w:rsid w:val="00C663C4"/>
    <w:rsid w:val="00C666A2"/>
    <w:rsid w:val="00C66DE7"/>
    <w:rsid w:val="00C67B56"/>
    <w:rsid w:val="00C70975"/>
    <w:rsid w:val="00C712E9"/>
    <w:rsid w:val="00C72177"/>
    <w:rsid w:val="00C72758"/>
    <w:rsid w:val="00C727E8"/>
    <w:rsid w:val="00C72F67"/>
    <w:rsid w:val="00C73043"/>
    <w:rsid w:val="00C73199"/>
    <w:rsid w:val="00C76A0E"/>
    <w:rsid w:val="00C76A4C"/>
    <w:rsid w:val="00C7799F"/>
    <w:rsid w:val="00C817A3"/>
    <w:rsid w:val="00C82723"/>
    <w:rsid w:val="00C82B40"/>
    <w:rsid w:val="00C86B48"/>
    <w:rsid w:val="00C93C6F"/>
    <w:rsid w:val="00C94280"/>
    <w:rsid w:val="00C9505F"/>
    <w:rsid w:val="00C958B4"/>
    <w:rsid w:val="00C9678A"/>
    <w:rsid w:val="00C96791"/>
    <w:rsid w:val="00C96D9F"/>
    <w:rsid w:val="00C97242"/>
    <w:rsid w:val="00C97FD5"/>
    <w:rsid w:val="00CA2381"/>
    <w:rsid w:val="00CA25A1"/>
    <w:rsid w:val="00CA2954"/>
    <w:rsid w:val="00CA36E0"/>
    <w:rsid w:val="00CA3DBC"/>
    <w:rsid w:val="00CA4E5E"/>
    <w:rsid w:val="00CA515F"/>
    <w:rsid w:val="00CA5294"/>
    <w:rsid w:val="00CA63D2"/>
    <w:rsid w:val="00CA720D"/>
    <w:rsid w:val="00CA7EED"/>
    <w:rsid w:val="00CB09B4"/>
    <w:rsid w:val="00CB3F77"/>
    <w:rsid w:val="00CB4464"/>
    <w:rsid w:val="00CB4D10"/>
    <w:rsid w:val="00CB70BF"/>
    <w:rsid w:val="00CB7ED6"/>
    <w:rsid w:val="00CC0F08"/>
    <w:rsid w:val="00CC1482"/>
    <w:rsid w:val="00CC2D74"/>
    <w:rsid w:val="00CC5326"/>
    <w:rsid w:val="00CC78B0"/>
    <w:rsid w:val="00CC7F9B"/>
    <w:rsid w:val="00CD0006"/>
    <w:rsid w:val="00CD0457"/>
    <w:rsid w:val="00CD2691"/>
    <w:rsid w:val="00CD2F73"/>
    <w:rsid w:val="00CD3A64"/>
    <w:rsid w:val="00CD3BB4"/>
    <w:rsid w:val="00CD41FB"/>
    <w:rsid w:val="00CD5BE9"/>
    <w:rsid w:val="00CD64BC"/>
    <w:rsid w:val="00CE122F"/>
    <w:rsid w:val="00CE2459"/>
    <w:rsid w:val="00CE35EE"/>
    <w:rsid w:val="00CE3C00"/>
    <w:rsid w:val="00CE3E30"/>
    <w:rsid w:val="00CE46AC"/>
    <w:rsid w:val="00CE59BD"/>
    <w:rsid w:val="00CE6382"/>
    <w:rsid w:val="00CE6FCA"/>
    <w:rsid w:val="00CE7690"/>
    <w:rsid w:val="00CF026D"/>
    <w:rsid w:val="00CF0356"/>
    <w:rsid w:val="00CF18F4"/>
    <w:rsid w:val="00CF19DE"/>
    <w:rsid w:val="00CF1F02"/>
    <w:rsid w:val="00CF240B"/>
    <w:rsid w:val="00CF3AC6"/>
    <w:rsid w:val="00CF3CBB"/>
    <w:rsid w:val="00CF553C"/>
    <w:rsid w:val="00CF7219"/>
    <w:rsid w:val="00D00BD8"/>
    <w:rsid w:val="00D00E62"/>
    <w:rsid w:val="00D016E8"/>
    <w:rsid w:val="00D01C4D"/>
    <w:rsid w:val="00D027F1"/>
    <w:rsid w:val="00D02BF4"/>
    <w:rsid w:val="00D036DE"/>
    <w:rsid w:val="00D05BE2"/>
    <w:rsid w:val="00D0659B"/>
    <w:rsid w:val="00D073C5"/>
    <w:rsid w:val="00D07937"/>
    <w:rsid w:val="00D102D0"/>
    <w:rsid w:val="00D1097C"/>
    <w:rsid w:val="00D10E38"/>
    <w:rsid w:val="00D1279E"/>
    <w:rsid w:val="00D13472"/>
    <w:rsid w:val="00D13F6B"/>
    <w:rsid w:val="00D141A9"/>
    <w:rsid w:val="00D14AFE"/>
    <w:rsid w:val="00D1636D"/>
    <w:rsid w:val="00D1657E"/>
    <w:rsid w:val="00D1787D"/>
    <w:rsid w:val="00D21E02"/>
    <w:rsid w:val="00D22994"/>
    <w:rsid w:val="00D22C73"/>
    <w:rsid w:val="00D243A8"/>
    <w:rsid w:val="00D25CB4"/>
    <w:rsid w:val="00D26106"/>
    <w:rsid w:val="00D275E0"/>
    <w:rsid w:val="00D30A2F"/>
    <w:rsid w:val="00D313FA"/>
    <w:rsid w:val="00D31BB7"/>
    <w:rsid w:val="00D342F2"/>
    <w:rsid w:val="00D34A89"/>
    <w:rsid w:val="00D35B52"/>
    <w:rsid w:val="00D37C66"/>
    <w:rsid w:val="00D41EB6"/>
    <w:rsid w:val="00D421B0"/>
    <w:rsid w:val="00D42200"/>
    <w:rsid w:val="00D42CE5"/>
    <w:rsid w:val="00D435BB"/>
    <w:rsid w:val="00D4407F"/>
    <w:rsid w:val="00D46DD9"/>
    <w:rsid w:val="00D508F6"/>
    <w:rsid w:val="00D5130D"/>
    <w:rsid w:val="00D519B2"/>
    <w:rsid w:val="00D5214A"/>
    <w:rsid w:val="00D521D4"/>
    <w:rsid w:val="00D523D7"/>
    <w:rsid w:val="00D52791"/>
    <w:rsid w:val="00D54CA9"/>
    <w:rsid w:val="00D55711"/>
    <w:rsid w:val="00D55D71"/>
    <w:rsid w:val="00D56291"/>
    <w:rsid w:val="00D5680F"/>
    <w:rsid w:val="00D602BA"/>
    <w:rsid w:val="00D60BBD"/>
    <w:rsid w:val="00D60DB8"/>
    <w:rsid w:val="00D62DC8"/>
    <w:rsid w:val="00D640CD"/>
    <w:rsid w:val="00D64A04"/>
    <w:rsid w:val="00D65012"/>
    <w:rsid w:val="00D71F73"/>
    <w:rsid w:val="00D72785"/>
    <w:rsid w:val="00D75A0D"/>
    <w:rsid w:val="00D75B33"/>
    <w:rsid w:val="00D75EB9"/>
    <w:rsid w:val="00D766B1"/>
    <w:rsid w:val="00D771AB"/>
    <w:rsid w:val="00D779CE"/>
    <w:rsid w:val="00D8056A"/>
    <w:rsid w:val="00D80DD0"/>
    <w:rsid w:val="00D812D7"/>
    <w:rsid w:val="00D81782"/>
    <w:rsid w:val="00D81AC3"/>
    <w:rsid w:val="00D81C48"/>
    <w:rsid w:val="00D820FE"/>
    <w:rsid w:val="00D82EE0"/>
    <w:rsid w:val="00D85364"/>
    <w:rsid w:val="00D85B01"/>
    <w:rsid w:val="00D8631B"/>
    <w:rsid w:val="00D87473"/>
    <w:rsid w:val="00D8767E"/>
    <w:rsid w:val="00D91AD3"/>
    <w:rsid w:val="00D91F01"/>
    <w:rsid w:val="00D925F3"/>
    <w:rsid w:val="00D94DE4"/>
    <w:rsid w:val="00D95153"/>
    <w:rsid w:val="00D96784"/>
    <w:rsid w:val="00D97673"/>
    <w:rsid w:val="00D978F9"/>
    <w:rsid w:val="00DA0BF7"/>
    <w:rsid w:val="00DA1408"/>
    <w:rsid w:val="00DA14E2"/>
    <w:rsid w:val="00DA3E69"/>
    <w:rsid w:val="00DA4730"/>
    <w:rsid w:val="00DA54C4"/>
    <w:rsid w:val="00DA5B02"/>
    <w:rsid w:val="00DA64A5"/>
    <w:rsid w:val="00DA76B2"/>
    <w:rsid w:val="00DB08EC"/>
    <w:rsid w:val="00DB16FB"/>
    <w:rsid w:val="00DB1CD2"/>
    <w:rsid w:val="00DB210B"/>
    <w:rsid w:val="00DB262A"/>
    <w:rsid w:val="00DB3F6D"/>
    <w:rsid w:val="00DB59DB"/>
    <w:rsid w:val="00DB5BBD"/>
    <w:rsid w:val="00DC3A30"/>
    <w:rsid w:val="00DC3C46"/>
    <w:rsid w:val="00DC3F04"/>
    <w:rsid w:val="00DC432A"/>
    <w:rsid w:val="00DC4991"/>
    <w:rsid w:val="00DC66A3"/>
    <w:rsid w:val="00DD0C9A"/>
    <w:rsid w:val="00DD54E5"/>
    <w:rsid w:val="00DD6056"/>
    <w:rsid w:val="00DD61F7"/>
    <w:rsid w:val="00DD7102"/>
    <w:rsid w:val="00DD73C8"/>
    <w:rsid w:val="00DD79B8"/>
    <w:rsid w:val="00DE03CC"/>
    <w:rsid w:val="00DE06B2"/>
    <w:rsid w:val="00DE3261"/>
    <w:rsid w:val="00DE56AE"/>
    <w:rsid w:val="00DE58B4"/>
    <w:rsid w:val="00DE6F51"/>
    <w:rsid w:val="00DE73D2"/>
    <w:rsid w:val="00DF04D2"/>
    <w:rsid w:val="00DF0F4C"/>
    <w:rsid w:val="00DF3D62"/>
    <w:rsid w:val="00DF4814"/>
    <w:rsid w:val="00DF4E36"/>
    <w:rsid w:val="00DF65B8"/>
    <w:rsid w:val="00DF6B90"/>
    <w:rsid w:val="00DF6C25"/>
    <w:rsid w:val="00DF796A"/>
    <w:rsid w:val="00DF7E53"/>
    <w:rsid w:val="00DF7F86"/>
    <w:rsid w:val="00E008B8"/>
    <w:rsid w:val="00E015B8"/>
    <w:rsid w:val="00E021F0"/>
    <w:rsid w:val="00E02988"/>
    <w:rsid w:val="00E03711"/>
    <w:rsid w:val="00E04FBC"/>
    <w:rsid w:val="00E051CB"/>
    <w:rsid w:val="00E07168"/>
    <w:rsid w:val="00E07287"/>
    <w:rsid w:val="00E07EA3"/>
    <w:rsid w:val="00E12286"/>
    <w:rsid w:val="00E138AA"/>
    <w:rsid w:val="00E1733B"/>
    <w:rsid w:val="00E17A35"/>
    <w:rsid w:val="00E17A8D"/>
    <w:rsid w:val="00E2157C"/>
    <w:rsid w:val="00E22D3F"/>
    <w:rsid w:val="00E22E6E"/>
    <w:rsid w:val="00E2315D"/>
    <w:rsid w:val="00E24002"/>
    <w:rsid w:val="00E241FE"/>
    <w:rsid w:val="00E24D36"/>
    <w:rsid w:val="00E253F2"/>
    <w:rsid w:val="00E26052"/>
    <w:rsid w:val="00E264F2"/>
    <w:rsid w:val="00E27409"/>
    <w:rsid w:val="00E33D13"/>
    <w:rsid w:val="00E349EF"/>
    <w:rsid w:val="00E34C65"/>
    <w:rsid w:val="00E3671D"/>
    <w:rsid w:val="00E36C75"/>
    <w:rsid w:val="00E36F65"/>
    <w:rsid w:val="00E375EF"/>
    <w:rsid w:val="00E376E6"/>
    <w:rsid w:val="00E37D10"/>
    <w:rsid w:val="00E43D48"/>
    <w:rsid w:val="00E43F5E"/>
    <w:rsid w:val="00E43F8E"/>
    <w:rsid w:val="00E4471D"/>
    <w:rsid w:val="00E44C56"/>
    <w:rsid w:val="00E455A0"/>
    <w:rsid w:val="00E5075B"/>
    <w:rsid w:val="00E50E6E"/>
    <w:rsid w:val="00E52E3C"/>
    <w:rsid w:val="00E53BE9"/>
    <w:rsid w:val="00E56A88"/>
    <w:rsid w:val="00E60482"/>
    <w:rsid w:val="00E611CB"/>
    <w:rsid w:val="00E619A0"/>
    <w:rsid w:val="00E62522"/>
    <w:rsid w:val="00E62CB2"/>
    <w:rsid w:val="00E63933"/>
    <w:rsid w:val="00E644D1"/>
    <w:rsid w:val="00E656B1"/>
    <w:rsid w:val="00E65CE8"/>
    <w:rsid w:val="00E666CA"/>
    <w:rsid w:val="00E6719B"/>
    <w:rsid w:val="00E674BA"/>
    <w:rsid w:val="00E679F5"/>
    <w:rsid w:val="00E7020E"/>
    <w:rsid w:val="00E70B3F"/>
    <w:rsid w:val="00E710CD"/>
    <w:rsid w:val="00E71BAE"/>
    <w:rsid w:val="00E72262"/>
    <w:rsid w:val="00E735FA"/>
    <w:rsid w:val="00E740D0"/>
    <w:rsid w:val="00E74466"/>
    <w:rsid w:val="00E74B5A"/>
    <w:rsid w:val="00E766BB"/>
    <w:rsid w:val="00E76AA1"/>
    <w:rsid w:val="00E770EC"/>
    <w:rsid w:val="00E77BE0"/>
    <w:rsid w:val="00E82C82"/>
    <w:rsid w:val="00E835AD"/>
    <w:rsid w:val="00E83B82"/>
    <w:rsid w:val="00E85BF6"/>
    <w:rsid w:val="00E87279"/>
    <w:rsid w:val="00E8746D"/>
    <w:rsid w:val="00E90BA7"/>
    <w:rsid w:val="00E917B7"/>
    <w:rsid w:val="00E94FFF"/>
    <w:rsid w:val="00E956A9"/>
    <w:rsid w:val="00E962DD"/>
    <w:rsid w:val="00EA117D"/>
    <w:rsid w:val="00EA31BF"/>
    <w:rsid w:val="00EA4C63"/>
    <w:rsid w:val="00EA50BC"/>
    <w:rsid w:val="00EA53E2"/>
    <w:rsid w:val="00EA6F07"/>
    <w:rsid w:val="00EA7905"/>
    <w:rsid w:val="00EA7A28"/>
    <w:rsid w:val="00EB072D"/>
    <w:rsid w:val="00EB09CD"/>
    <w:rsid w:val="00EB0E36"/>
    <w:rsid w:val="00EB1B06"/>
    <w:rsid w:val="00EB3C61"/>
    <w:rsid w:val="00EB48D2"/>
    <w:rsid w:val="00EB69C0"/>
    <w:rsid w:val="00EB7F5F"/>
    <w:rsid w:val="00EC0480"/>
    <w:rsid w:val="00EC0A73"/>
    <w:rsid w:val="00EC2CF0"/>
    <w:rsid w:val="00EC3124"/>
    <w:rsid w:val="00EC6BBA"/>
    <w:rsid w:val="00EC6E54"/>
    <w:rsid w:val="00EC7E81"/>
    <w:rsid w:val="00ED0588"/>
    <w:rsid w:val="00ED0A78"/>
    <w:rsid w:val="00ED2411"/>
    <w:rsid w:val="00ED3D71"/>
    <w:rsid w:val="00ED45BC"/>
    <w:rsid w:val="00ED5B9B"/>
    <w:rsid w:val="00ED66B8"/>
    <w:rsid w:val="00EE07B7"/>
    <w:rsid w:val="00EE17FE"/>
    <w:rsid w:val="00EE2D53"/>
    <w:rsid w:val="00EE3660"/>
    <w:rsid w:val="00EE5DBB"/>
    <w:rsid w:val="00EE5EA4"/>
    <w:rsid w:val="00EF032E"/>
    <w:rsid w:val="00EF19C6"/>
    <w:rsid w:val="00EF2A8C"/>
    <w:rsid w:val="00EF35FB"/>
    <w:rsid w:val="00EF44C4"/>
    <w:rsid w:val="00EF46C0"/>
    <w:rsid w:val="00EF46E3"/>
    <w:rsid w:val="00EF4971"/>
    <w:rsid w:val="00EF5AA0"/>
    <w:rsid w:val="00EF64FA"/>
    <w:rsid w:val="00EF7103"/>
    <w:rsid w:val="00EF7516"/>
    <w:rsid w:val="00F02C0D"/>
    <w:rsid w:val="00F047C0"/>
    <w:rsid w:val="00F04AC6"/>
    <w:rsid w:val="00F06BA8"/>
    <w:rsid w:val="00F06E94"/>
    <w:rsid w:val="00F07528"/>
    <w:rsid w:val="00F10836"/>
    <w:rsid w:val="00F1084B"/>
    <w:rsid w:val="00F11A52"/>
    <w:rsid w:val="00F11B9B"/>
    <w:rsid w:val="00F15AB3"/>
    <w:rsid w:val="00F167B0"/>
    <w:rsid w:val="00F1689B"/>
    <w:rsid w:val="00F1710C"/>
    <w:rsid w:val="00F2116C"/>
    <w:rsid w:val="00F22D37"/>
    <w:rsid w:val="00F22FEF"/>
    <w:rsid w:val="00F2373D"/>
    <w:rsid w:val="00F23DB2"/>
    <w:rsid w:val="00F2499C"/>
    <w:rsid w:val="00F25C33"/>
    <w:rsid w:val="00F25E6B"/>
    <w:rsid w:val="00F26032"/>
    <w:rsid w:val="00F2767A"/>
    <w:rsid w:val="00F27DB2"/>
    <w:rsid w:val="00F31489"/>
    <w:rsid w:val="00F32223"/>
    <w:rsid w:val="00F32404"/>
    <w:rsid w:val="00F32750"/>
    <w:rsid w:val="00F33E9E"/>
    <w:rsid w:val="00F3522B"/>
    <w:rsid w:val="00F353C6"/>
    <w:rsid w:val="00F36486"/>
    <w:rsid w:val="00F37C23"/>
    <w:rsid w:val="00F37DDF"/>
    <w:rsid w:val="00F42A11"/>
    <w:rsid w:val="00F42C84"/>
    <w:rsid w:val="00F4351C"/>
    <w:rsid w:val="00F451C3"/>
    <w:rsid w:val="00F457B3"/>
    <w:rsid w:val="00F45E30"/>
    <w:rsid w:val="00F45E38"/>
    <w:rsid w:val="00F50C4A"/>
    <w:rsid w:val="00F51A8D"/>
    <w:rsid w:val="00F51D00"/>
    <w:rsid w:val="00F51FAA"/>
    <w:rsid w:val="00F5231A"/>
    <w:rsid w:val="00F53BC3"/>
    <w:rsid w:val="00F550DD"/>
    <w:rsid w:val="00F57300"/>
    <w:rsid w:val="00F57C47"/>
    <w:rsid w:val="00F57F65"/>
    <w:rsid w:val="00F61BC6"/>
    <w:rsid w:val="00F61BF3"/>
    <w:rsid w:val="00F61DBC"/>
    <w:rsid w:val="00F6227D"/>
    <w:rsid w:val="00F635C0"/>
    <w:rsid w:val="00F63F52"/>
    <w:rsid w:val="00F65EE9"/>
    <w:rsid w:val="00F66A72"/>
    <w:rsid w:val="00F66E88"/>
    <w:rsid w:val="00F67F4E"/>
    <w:rsid w:val="00F70B17"/>
    <w:rsid w:val="00F710D9"/>
    <w:rsid w:val="00F71D97"/>
    <w:rsid w:val="00F720D9"/>
    <w:rsid w:val="00F72D53"/>
    <w:rsid w:val="00F72EF2"/>
    <w:rsid w:val="00F730FA"/>
    <w:rsid w:val="00F73B24"/>
    <w:rsid w:val="00F76419"/>
    <w:rsid w:val="00F7657C"/>
    <w:rsid w:val="00F771EA"/>
    <w:rsid w:val="00F7737E"/>
    <w:rsid w:val="00F80239"/>
    <w:rsid w:val="00F8070C"/>
    <w:rsid w:val="00F8082B"/>
    <w:rsid w:val="00F80964"/>
    <w:rsid w:val="00F831A1"/>
    <w:rsid w:val="00F83226"/>
    <w:rsid w:val="00F832B3"/>
    <w:rsid w:val="00F83A97"/>
    <w:rsid w:val="00F83CFF"/>
    <w:rsid w:val="00F83D94"/>
    <w:rsid w:val="00F84AE1"/>
    <w:rsid w:val="00F84B37"/>
    <w:rsid w:val="00F87FBB"/>
    <w:rsid w:val="00F87FF7"/>
    <w:rsid w:val="00F9004D"/>
    <w:rsid w:val="00F92A99"/>
    <w:rsid w:val="00F9415C"/>
    <w:rsid w:val="00F94571"/>
    <w:rsid w:val="00F96048"/>
    <w:rsid w:val="00F9604F"/>
    <w:rsid w:val="00F9734A"/>
    <w:rsid w:val="00F97D5D"/>
    <w:rsid w:val="00FA0069"/>
    <w:rsid w:val="00FA14C9"/>
    <w:rsid w:val="00FA291B"/>
    <w:rsid w:val="00FA291C"/>
    <w:rsid w:val="00FA2A27"/>
    <w:rsid w:val="00FA2FE5"/>
    <w:rsid w:val="00FA3655"/>
    <w:rsid w:val="00FA7584"/>
    <w:rsid w:val="00FA7635"/>
    <w:rsid w:val="00FB090D"/>
    <w:rsid w:val="00FB21F6"/>
    <w:rsid w:val="00FB26CE"/>
    <w:rsid w:val="00FB286D"/>
    <w:rsid w:val="00FB4640"/>
    <w:rsid w:val="00FB6608"/>
    <w:rsid w:val="00FB6DCF"/>
    <w:rsid w:val="00FC0CE2"/>
    <w:rsid w:val="00FC1EF0"/>
    <w:rsid w:val="00FC20CB"/>
    <w:rsid w:val="00FC2261"/>
    <w:rsid w:val="00FC3238"/>
    <w:rsid w:val="00FC3CD6"/>
    <w:rsid w:val="00FC41AF"/>
    <w:rsid w:val="00FC42DD"/>
    <w:rsid w:val="00FC5AAA"/>
    <w:rsid w:val="00FC5CAA"/>
    <w:rsid w:val="00FC694B"/>
    <w:rsid w:val="00FC6D0E"/>
    <w:rsid w:val="00FD08B3"/>
    <w:rsid w:val="00FD0ABD"/>
    <w:rsid w:val="00FD14BF"/>
    <w:rsid w:val="00FD2635"/>
    <w:rsid w:val="00FD30BE"/>
    <w:rsid w:val="00FD33D2"/>
    <w:rsid w:val="00FD48AA"/>
    <w:rsid w:val="00FD53DB"/>
    <w:rsid w:val="00FD6FCD"/>
    <w:rsid w:val="00FD706C"/>
    <w:rsid w:val="00FD79C3"/>
    <w:rsid w:val="00FE0739"/>
    <w:rsid w:val="00FE07BB"/>
    <w:rsid w:val="00FE08CE"/>
    <w:rsid w:val="00FE0C9F"/>
    <w:rsid w:val="00FE1BF8"/>
    <w:rsid w:val="00FE2F68"/>
    <w:rsid w:val="00FE39EA"/>
    <w:rsid w:val="00FE4DC1"/>
    <w:rsid w:val="00FE6BD0"/>
    <w:rsid w:val="00FE6F0F"/>
    <w:rsid w:val="00FF26B5"/>
    <w:rsid w:val="00FF2B6D"/>
    <w:rsid w:val="00FF32C6"/>
    <w:rsid w:val="00FF641F"/>
    <w:rsid w:val="00FF65B0"/>
    <w:rsid w:val="0271B243"/>
    <w:rsid w:val="03E914CC"/>
    <w:rsid w:val="0483FC76"/>
    <w:rsid w:val="04C7B58D"/>
    <w:rsid w:val="05B6CCDD"/>
    <w:rsid w:val="061B983A"/>
    <w:rsid w:val="06D54577"/>
    <w:rsid w:val="08E166FE"/>
    <w:rsid w:val="090ADECE"/>
    <w:rsid w:val="099D72C0"/>
    <w:rsid w:val="0B4992B3"/>
    <w:rsid w:val="0BBA19EB"/>
    <w:rsid w:val="0C58855E"/>
    <w:rsid w:val="0C636919"/>
    <w:rsid w:val="0C9B8F88"/>
    <w:rsid w:val="0D0C86F9"/>
    <w:rsid w:val="0E4AA8A2"/>
    <w:rsid w:val="12C339F2"/>
    <w:rsid w:val="16636F2A"/>
    <w:rsid w:val="16FD10E8"/>
    <w:rsid w:val="1C488961"/>
    <w:rsid w:val="1C5BF6B8"/>
    <w:rsid w:val="1CFF38F6"/>
    <w:rsid w:val="1F87763C"/>
    <w:rsid w:val="23620B5B"/>
    <w:rsid w:val="24535B90"/>
    <w:rsid w:val="24D7648F"/>
    <w:rsid w:val="25862A75"/>
    <w:rsid w:val="26C986AF"/>
    <w:rsid w:val="27B94955"/>
    <w:rsid w:val="29C79D12"/>
    <w:rsid w:val="2A48DCA9"/>
    <w:rsid w:val="2D807D6B"/>
    <w:rsid w:val="2DF43090"/>
    <w:rsid w:val="2EEE5BBA"/>
    <w:rsid w:val="2FA9FDE5"/>
    <w:rsid w:val="2FCCEAB7"/>
    <w:rsid w:val="30B81E2D"/>
    <w:rsid w:val="32E15C84"/>
    <w:rsid w:val="344EE391"/>
    <w:rsid w:val="3631D656"/>
    <w:rsid w:val="3709F3D5"/>
    <w:rsid w:val="373FFD8A"/>
    <w:rsid w:val="374A01BB"/>
    <w:rsid w:val="3A00303A"/>
    <w:rsid w:val="3B2B9483"/>
    <w:rsid w:val="3E2D73CC"/>
    <w:rsid w:val="3E6BB409"/>
    <w:rsid w:val="3F2D00A8"/>
    <w:rsid w:val="4258C351"/>
    <w:rsid w:val="447894BB"/>
    <w:rsid w:val="44D6C5AA"/>
    <w:rsid w:val="45309FA5"/>
    <w:rsid w:val="4562C3D8"/>
    <w:rsid w:val="47E03BB9"/>
    <w:rsid w:val="499AC615"/>
    <w:rsid w:val="4A5E7AFC"/>
    <w:rsid w:val="4B041F79"/>
    <w:rsid w:val="4B97C939"/>
    <w:rsid w:val="4D225E9C"/>
    <w:rsid w:val="4E0A6604"/>
    <w:rsid w:val="4F5D09BB"/>
    <w:rsid w:val="4FB59564"/>
    <w:rsid w:val="4FC63F9A"/>
    <w:rsid w:val="4FD49974"/>
    <w:rsid w:val="503145FD"/>
    <w:rsid w:val="523345F0"/>
    <w:rsid w:val="5455B1A0"/>
    <w:rsid w:val="554DF612"/>
    <w:rsid w:val="5598B88A"/>
    <w:rsid w:val="5732FC16"/>
    <w:rsid w:val="57D12D7F"/>
    <w:rsid w:val="583E90A5"/>
    <w:rsid w:val="59270794"/>
    <w:rsid w:val="594136A8"/>
    <w:rsid w:val="5A40E324"/>
    <w:rsid w:val="5B4CBA40"/>
    <w:rsid w:val="5CAEA81B"/>
    <w:rsid w:val="5D8E3E5A"/>
    <w:rsid w:val="602818E9"/>
    <w:rsid w:val="647BD1CC"/>
    <w:rsid w:val="66327F5D"/>
    <w:rsid w:val="66AD3C2B"/>
    <w:rsid w:val="68DE9E41"/>
    <w:rsid w:val="6AEF378C"/>
    <w:rsid w:val="6BF40550"/>
    <w:rsid w:val="6C141D1E"/>
    <w:rsid w:val="6C49456B"/>
    <w:rsid w:val="6C79CBB3"/>
    <w:rsid w:val="6CADF5F6"/>
    <w:rsid w:val="6FDEF0A9"/>
    <w:rsid w:val="708DDAE4"/>
    <w:rsid w:val="73A7BDAE"/>
    <w:rsid w:val="7420D207"/>
    <w:rsid w:val="743256C5"/>
    <w:rsid w:val="7464FE81"/>
    <w:rsid w:val="7690009E"/>
    <w:rsid w:val="7830263B"/>
    <w:rsid w:val="78E46B90"/>
    <w:rsid w:val="7ABFB98F"/>
    <w:rsid w:val="7D6BF053"/>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5F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9B7A9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uiPriority w:val="3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241741"/>
    <w:pPr>
      <w:numPr>
        <w:numId w:val="2"/>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241741"/>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73B24"/>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unhideWhenUsed/>
    <w:rsid w:val="009B7A92"/>
    <w:rPr>
      <w:color w:val="605E5C"/>
      <w:shd w:val="clear" w:color="auto" w:fill="E1DFDD"/>
    </w:rPr>
  </w:style>
  <w:style w:type="character" w:styleId="CommentReference">
    <w:name w:val="annotation reference"/>
    <w:basedOn w:val="DefaultParagraphFont"/>
    <w:uiPriority w:val="99"/>
    <w:semiHidden/>
    <w:unhideWhenUsed/>
    <w:rsid w:val="009B7A92"/>
    <w:rPr>
      <w:sz w:val="16"/>
      <w:szCs w:val="16"/>
    </w:rPr>
  </w:style>
  <w:style w:type="paragraph" w:styleId="CommentText">
    <w:name w:val="annotation text"/>
    <w:basedOn w:val="Normal"/>
    <w:link w:val="CommentTextChar"/>
    <w:uiPriority w:val="99"/>
    <w:unhideWhenUsed/>
    <w:rsid w:val="009B7A92"/>
    <w:pPr>
      <w:spacing w:after="0"/>
    </w:pPr>
    <w:rPr>
      <w:sz w:val="20"/>
      <w:szCs w:val="20"/>
    </w:rPr>
  </w:style>
  <w:style w:type="character" w:customStyle="1" w:styleId="CommentTextChar">
    <w:name w:val="Comment Text Char"/>
    <w:basedOn w:val="DefaultParagraphFont"/>
    <w:link w:val="CommentText"/>
    <w:uiPriority w:val="99"/>
    <w:rsid w:val="009B7A92"/>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D640CD"/>
    <w:pPr>
      <w:spacing w:after="200"/>
    </w:pPr>
    <w:rPr>
      <w:b/>
      <w:bCs/>
    </w:rPr>
  </w:style>
  <w:style w:type="character" w:customStyle="1" w:styleId="CommentSubjectChar">
    <w:name w:val="Comment Subject Char"/>
    <w:basedOn w:val="CommentTextChar"/>
    <w:link w:val="CommentSubject"/>
    <w:uiPriority w:val="99"/>
    <w:semiHidden/>
    <w:rsid w:val="00D640CD"/>
    <w:rPr>
      <w:rFonts w:asciiTheme="minorHAnsi" w:hAnsiTheme="minorHAnsi" w:cstheme="minorHAnsi"/>
      <w:b/>
      <w:bCs/>
      <w:color w:val="000000" w:themeColor="text1"/>
      <w:lang w:eastAsia="en-US"/>
    </w:rPr>
  </w:style>
  <w:style w:type="paragraph" w:styleId="Revision">
    <w:name w:val="Revision"/>
    <w:hidden/>
    <w:semiHidden/>
    <w:rsid w:val="003607C9"/>
    <w:rPr>
      <w:rFonts w:asciiTheme="minorHAnsi" w:hAnsiTheme="minorHAnsi" w:cstheme="minorHAnsi"/>
      <w:color w:val="000000" w:themeColor="text1"/>
      <w:sz w:val="22"/>
      <w:szCs w:val="24"/>
      <w:lang w:eastAsia="en-US"/>
    </w:rPr>
  </w:style>
  <w:style w:type="paragraph" w:styleId="ListParagraph">
    <w:name w:val="List Paragraph"/>
    <w:basedOn w:val="Normal"/>
    <w:uiPriority w:val="34"/>
    <w:rsid w:val="003C52A8"/>
    <w:pPr>
      <w:ind w:left="720"/>
      <w:contextualSpacing/>
    </w:pPr>
  </w:style>
  <w:style w:type="character" w:styleId="Mention">
    <w:name w:val="Mention"/>
    <w:basedOn w:val="DefaultParagraphFont"/>
    <w:uiPriority w:val="99"/>
    <w:unhideWhenUsed/>
    <w:rsid w:val="00CF3AC6"/>
    <w:rPr>
      <w:color w:val="2B579A"/>
      <w:shd w:val="clear" w:color="auto" w:fill="E1DFDD"/>
    </w:rPr>
  </w:style>
  <w:style w:type="paragraph" w:styleId="FootnoteText">
    <w:name w:val="footnote text"/>
    <w:basedOn w:val="Normal"/>
    <w:link w:val="FootnoteTextChar"/>
    <w:uiPriority w:val="99"/>
    <w:semiHidden/>
    <w:unhideWhenUsed/>
    <w:rsid w:val="00954DFB"/>
    <w:pPr>
      <w:spacing w:after="0"/>
    </w:pPr>
    <w:rPr>
      <w:sz w:val="20"/>
      <w:szCs w:val="20"/>
    </w:rPr>
  </w:style>
  <w:style w:type="character" w:customStyle="1" w:styleId="FootnoteTextChar">
    <w:name w:val="Footnote Text Char"/>
    <w:basedOn w:val="DefaultParagraphFont"/>
    <w:link w:val="FootnoteText"/>
    <w:uiPriority w:val="99"/>
    <w:semiHidden/>
    <w:rsid w:val="00954DFB"/>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954DFB"/>
    <w:rPr>
      <w:vertAlign w:val="superscript"/>
    </w:rPr>
  </w:style>
  <w:style w:type="paragraph" w:styleId="EndnoteText">
    <w:name w:val="endnote text"/>
    <w:basedOn w:val="Normal"/>
    <w:link w:val="EndnoteTextChar"/>
    <w:uiPriority w:val="99"/>
    <w:semiHidden/>
    <w:unhideWhenUsed/>
    <w:rsid w:val="006D5D5E"/>
    <w:pPr>
      <w:spacing w:after="0"/>
    </w:pPr>
    <w:rPr>
      <w:sz w:val="20"/>
      <w:szCs w:val="20"/>
    </w:rPr>
  </w:style>
  <w:style w:type="character" w:customStyle="1" w:styleId="EndnoteTextChar">
    <w:name w:val="Endnote Text Char"/>
    <w:basedOn w:val="DefaultParagraphFont"/>
    <w:link w:val="EndnoteText"/>
    <w:uiPriority w:val="99"/>
    <w:semiHidden/>
    <w:rsid w:val="006D5D5E"/>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6D5D5E"/>
    <w:rPr>
      <w:vertAlign w:val="superscript"/>
    </w:rPr>
  </w:style>
  <w:style w:type="character" w:customStyle="1" w:styleId="normaltextrun">
    <w:name w:val="normaltextrun"/>
    <w:basedOn w:val="DefaultParagraphFont"/>
    <w:rsid w:val="00FE4DC1"/>
  </w:style>
  <w:style w:type="character" w:customStyle="1" w:styleId="eop">
    <w:name w:val="eop"/>
    <w:basedOn w:val="DefaultParagraphFont"/>
    <w:rsid w:val="00FE4DC1"/>
  </w:style>
  <w:style w:type="paragraph" w:customStyle="1" w:styleId="Default">
    <w:name w:val="Default"/>
    <w:rsid w:val="00603DB6"/>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unhideWhenUsed/>
    <w:qFormat/>
    <w:rsid w:val="00CF1F02"/>
    <w:pPr>
      <w:keepNext/>
      <w:keepLines/>
      <w:spacing w:before="240" w:line="259" w:lineRule="auto"/>
      <w:outlineLvl w:val="9"/>
    </w:pPr>
    <w:rPr>
      <w:rFonts w:asciiTheme="majorHAnsi" w:eastAsiaTheme="majorEastAsia" w:hAnsiTheme="majorHAnsi" w:cstheme="majorBidi"/>
      <w:b w:val="0"/>
      <w:bCs w:val="0"/>
      <w:color w:val="7A9249"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854">
      <w:bodyDiv w:val="1"/>
      <w:marLeft w:val="0"/>
      <w:marRight w:val="0"/>
      <w:marTop w:val="0"/>
      <w:marBottom w:val="0"/>
      <w:divBdr>
        <w:top w:val="none" w:sz="0" w:space="0" w:color="auto"/>
        <w:left w:val="none" w:sz="0" w:space="0" w:color="auto"/>
        <w:bottom w:val="none" w:sz="0" w:space="0" w:color="auto"/>
        <w:right w:val="none" w:sz="0" w:space="0" w:color="auto"/>
      </w:divBdr>
    </w:div>
    <w:div w:id="79370049">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cleanenergyregulator.gov.au/Infohub/Markets/cert-report" TargetMode="External"/><Relationship Id="rId18" Type="http://schemas.openxmlformats.org/officeDocument/2006/relationships/hyperlink" Target="https://www.iaasb.org/publications/glance-international-standard-assurance-engagements-isae-3410-assurance-engagements-greenhouse-gas" TargetMode="External"/><Relationship Id="rId26" Type="http://schemas.openxmlformats.org/officeDocument/2006/relationships/hyperlink" Target="https://ghgprotocol.org/sites/default/files/standards/Scope%202%20Guidance_Final_Sept26.pdf" TargetMode="External"/><Relationship Id="rId39" Type="http://schemas.openxmlformats.org/officeDocument/2006/relationships/header" Target="header2.xml"/><Relationship Id="rId21" Type="http://schemas.openxmlformats.org/officeDocument/2006/relationships/hyperlink" Target="https://www.auasb.gov.au/media/lhwp1rep/sustainabilityassuranceupdate_10-22.pdf" TargetMode="External"/><Relationship Id="rId34" Type="http://schemas.openxmlformats.org/officeDocument/2006/relationships/image" Target="media/image8.jpe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uasb.gov.au/standards-guidance/auasb-standards/other-assurance/"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R-CERT@cer.gov.au" TargetMode="External"/><Relationship Id="rId24" Type="http://schemas.openxmlformats.org/officeDocument/2006/relationships/hyperlink" Target="https://www.cleanenergyregulator.gov.au/NGER/About-the-National-Greenhouse-and-Energy-Reporting-scheme/global-warming-potentials" TargetMode="External"/><Relationship Id="rId32" Type="http://schemas.openxmlformats.org/officeDocument/2006/relationships/image" Target="media/image6.jpe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auasb.gov.au/standards-guidance/auasb-standards/other-assurance/" TargetMode="External"/><Relationship Id="rId23" Type="http://schemas.openxmlformats.org/officeDocument/2006/relationships/hyperlink" Target="https://ghgprotocol.org/corporate-standard" TargetMode="External"/><Relationship Id="rId28" Type="http://schemas.openxmlformats.org/officeDocument/2006/relationships/image" Target="media/image3.png"/><Relationship Id="rId36" Type="http://schemas.openxmlformats.org/officeDocument/2006/relationships/header" Target="header1.xml"/><Relationship Id="rId10" Type="http://schemas.openxmlformats.org/officeDocument/2006/relationships/hyperlink" Target="https://www.cleanenergyregulator.gov.au/DocumentAssets/Pages/CERT-Report-Guidelines-FY2021-22-and-CY2022.aspx" TargetMode="External"/><Relationship Id="rId19" Type="http://schemas.openxmlformats.org/officeDocument/2006/relationships/hyperlink" Target="https://www.iso.org/standard/66455.html" TargetMode="External"/><Relationship Id="rId31" Type="http://schemas.openxmlformats.org/officeDocument/2006/relationships/hyperlink" Target="https://www.cleanenergyregulator.gov.au/DocumentAssets/Pages/CERT-Report-Guidelines-FY2021-22-and-CY2022.aspx" TargetMode="External"/><Relationship Id="rId44"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cleanenergyregulator.gov.au/Infohub/Markets/cert-report" TargetMode="External"/><Relationship Id="rId22" Type="http://schemas.openxmlformats.org/officeDocument/2006/relationships/hyperlink" Target="https://www.cleanenergyregulator.gov.au/DocumentAssets/Pages/CERT-Report-Guidelines-FY2021-22-and-CY2022.aspx"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yperlink" Target="https://www.cleanenergyregulator.gov.au/DocumentAssets/Pages/CERT-Report-Guidelines-FY2021-22-and-CY2022.aspx" TargetMode="Externa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cleanenergyregulator.gov.au/DocumentAssets/Pages/CERT-Report-Guidelines-FY2021-22-and-CY2022.aspx" TargetMode="External"/><Relationship Id="rId17" Type="http://schemas.openxmlformats.org/officeDocument/2006/relationships/hyperlink" Target="https://www.iaasb.org/publications/international-standard-assurance-engagements-isae-3000-revised-assurance-engagements-other-audits-or-0" TargetMode="External"/><Relationship Id="rId25" Type="http://schemas.openxmlformats.org/officeDocument/2006/relationships/hyperlink" Target="https://www.cleanenergyregulator.gov.au/RET/Scheme-participants-and-industry/the-renewable-power-percentage" TargetMode="External"/><Relationship Id="rId33" Type="http://schemas.openxmlformats.org/officeDocument/2006/relationships/image" Target="media/image7.jpeg"/><Relationship Id="rId38" Type="http://schemas.openxmlformats.org/officeDocument/2006/relationships/footer" Target="footer2.xml"/><Relationship Id="rId46" Type="http://schemas.openxmlformats.org/officeDocument/2006/relationships/customXml" Target="../customXml/item6.xml"/><Relationship Id="rId20" Type="http://schemas.openxmlformats.org/officeDocument/2006/relationships/hyperlink" Target="https://www.cleanenergyregulator.gov.au/DocumentAssets/Pages/Register-of-Greenhouse-and-Energy-Auditors.aspx" TargetMode="External"/><Relationship Id="rId41"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1" Type="http://schemas.openxmlformats.org/officeDocument/2006/relationships/hyperlink" Target="http://www.auasb.gov.au/admin/file/content102/c3/ASAE_3000_revised_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ERContentPublishingTaskJobNumber xmlns="32e2fb52-454c-4a55-9e7f-b565c4403fdc">PJ2120</CERContentPublishingTaskJobNumber>
    <Date_x0020_Submitted xmlns="32e2fb52-454c-4a55-9e7f-b565c4403fdc" xsi:nil="true"/>
    <CER_x0020_Content_x0020_Approval_x0020_Workflow_x0020_Comments xmlns="32e2fb52-454c-4a55-9e7f-b565c4403fdc" xsi:nil="true"/>
    <Type_x0020_of_x0020_document xmlns="32e2fb52-454c-4a55-9e7f-b565c4403fdc">general</Type_x0020_of_x0020_document>
    <Submitted_x0020_By xmlns="32e2fb52-454c-4a55-9e7f-b565c4403fdc">
      <UserInfo>
        <DisplayName/>
        <AccountId xsi:nil="true"/>
        <AccountType/>
      </UserInfo>
    </Submitted_x0020_By>
    <PublishingExpirationDate xmlns="http://schemas.microsoft.com/sharepoint/v3" xsi:nil="true"/>
    <CommonTopic xmlns="32e2fb52-454c-4a55-9e7f-b565c4403fdc">
      <Value>Corporate</Value>
    </CommonTopic>
    <Requires_x0020_Higher_x0020_Approval xmlns="32e2fb52-454c-4a55-9e7f-b565c4403fdc">false</Requires_x0020_Higher_x0020_Approval>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B006C1-2C54-454B-AD9D-27D81F913A0C}">
  <ds:schemaRefs>
    <ds:schemaRef ds:uri="http://schemas.openxmlformats.org/officeDocument/2006/bibliography"/>
  </ds:schemaRefs>
</ds:datastoreItem>
</file>

<file path=customXml/itemProps3.xml><?xml version="1.0" encoding="utf-8"?>
<ds:datastoreItem xmlns:ds="http://schemas.openxmlformats.org/officeDocument/2006/customXml" ds:itemID="{FE94FB11-EE80-414D-AD83-EE995D9075AB}"/>
</file>

<file path=customXml/itemProps4.xml><?xml version="1.0" encoding="utf-8"?>
<ds:datastoreItem xmlns:ds="http://schemas.openxmlformats.org/officeDocument/2006/customXml" ds:itemID="{1DEFE323-BB84-4D68-9D37-2FA304D1BB53}"/>
</file>

<file path=customXml/itemProps5.xml><?xml version="1.0" encoding="utf-8"?>
<ds:datastoreItem xmlns:ds="http://schemas.openxmlformats.org/officeDocument/2006/customXml" ds:itemID="{B19FD1CA-992F-44CC-A34B-B3E1844FCEE1}"/>
</file>

<file path=customXml/itemProps6.xml><?xml version="1.0" encoding="utf-8"?>
<ds:datastoreItem xmlns:ds="http://schemas.openxmlformats.org/officeDocument/2006/customXml" ds:itemID="{7E5FCCA3-ECDA-4016-8F1C-662B6F5DBAAF}"/>
</file>

<file path=docProps/app.xml><?xml version="1.0" encoding="utf-8"?>
<Properties xmlns="http://schemas.openxmlformats.org/officeDocument/2006/extended-properties" xmlns:vt="http://schemas.openxmlformats.org/officeDocument/2006/docPropsVTypes">
  <Template>Normal.dotm</Template>
  <TotalTime>0</TotalTime>
  <Pages>31</Pages>
  <Words>8154</Words>
  <Characters>50739</Characters>
  <DocSecurity>0</DocSecurity>
  <Lines>422</Lines>
  <Paragraphs>117</Paragraphs>
  <ScaleCrop>false</ScaleCrop>
  <HeadingPairs>
    <vt:vector size="2" baseType="variant">
      <vt:variant>
        <vt:lpstr>Title</vt:lpstr>
      </vt:variant>
      <vt:variant>
        <vt:i4>1</vt:i4>
      </vt:variant>
    </vt:vector>
  </HeadingPairs>
  <TitlesOfParts>
    <vt:vector size="1" baseType="lpstr">
      <vt:lpstr>CERT Report Reporting Guidance and Supporting Examples (FY2021-22 and CY2022)</vt:lpstr>
    </vt:vector>
  </TitlesOfParts>
  <Company/>
  <LinksUpToDate>false</LinksUpToDate>
  <CharactersWithSpaces>58776</CharactersWithSpaces>
  <SharedDoc>false</SharedDoc>
  <HLinks>
    <vt:vector size="240" baseType="variant">
      <vt:variant>
        <vt:i4>5111873</vt:i4>
      </vt:variant>
      <vt:variant>
        <vt:i4>177</vt:i4>
      </vt:variant>
      <vt:variant>
        <vt:i4>0</vt:i4>
      </vt:variant>
      <vt:variant>
        <vt:i4>5</vt:i4>
      </vt:variant>
      <vt:variant>
        <vt:lpwstr>https://www.cleanenergyregulator.gov.au/DocumentAssets/Pages/CERT-Report-Guidelines-FY2021-22-and-CY2022.aspx</vt:lpwstr>
      </vt:variant>
      <vt:variant>
        <vt:lpwstr/>
      </vt:variant>
      <vt:variant>
        <vt:i4>5111873</vt:i4>
      </vt:variant>
      <vt:variant>
        <vt:i4>174</vt:i4>
      </vt:variant>
      <vt:variant>
        <vt:i4>0</vt:i4>
      </vt:variant>
      <vt:variant>
        <vt:i4>5</vt:i4>
      </vt:variant>
      <vt:variant>
        <vt:lpwstr>https://www.cleanenergyregulator.gov.au/DocumentAssets/Pages/CERT-Report-Guidelines-FY2021-22-and-CY2022.aspx</vt:lpwstr>
      </vt:variant>
      <vt:variant>
        <vt:lpwstr/>
      </vt:variant>
      <vt:variant>
        <vt:i4>7602208</vt:i4>
      </vt:variant>
      <vt:variant>
        <vt:i4>150</vt:i4>
      </vt:variant>
      <vt:variant>
        <vt:i4>0</vt:i4>
      </vt:variant>
      <vt:variant>
        <vt:i4>5</vt:i4>
      </vt:variant>
      <vt:variant>
        <vt:lpwstr>https://ghgprotocol.org/sites/default/files/standards/Scope 2 Guidance_Final_Sept26.pdf</vt:lpwstr>
      </vt:variant>
      <vt:variant>
        <vt:lpwstr/>
      </vt:variant>
      <vt:variant>
        <vt:i4>544866353</vt:i4>
      </vt:variant>
      <vt:variant>
        <vt:i4>147</vt:i4>
      </vt:variant>
      <vt:variant>
        <vt:i4>0</vt:i4>
      </vt:variant>
      <vt:variant>
        <vt:i4>5</vt:i4>
      </vt:variant>
      <vt:variant>
        <vt:lpwstr/>
      </vt:variant>
      <vt:variant>
        <vt:lpwstr>_Reporting_–_Section</vt:lpwstr>
      </vt:variant>
      <vt:variant>
        <vt:i4>3670114</vt:i4>
      </vt:variant>
      <vt:variant>
        <vt:i4>144</vt:i4>
      </vt:variant>
      <vt:variant>
        <vt:i4>0</vt:i4>
      </vt:variant>
      <vt:variant>
        <vt:i4>5</vt:i4>
      </vt:variant>
      <vt:variant>
        <vt:lpwstr>https://www.cleanenergyregulator.gov.au/RET/Scheme-participants-and-industry/the-renewable-power-percentage</vt:lpwstr>
      </vt:variant>
      <vt:variant>
        <vt:lpwstr/>
      </vt:variant>
      <vt:variant>
        <vt:i4>1900589</vt:i4>
      </vt:variant>
      <vt:variant>
        <vt:i4>141</vt:i4>
      </vt:variant>
      <vt:variant>
        <vt:i4>0</vt:i4>
      </vt:variant>
      <vt:variant>
        <vt:i4>5</vt:i4>
      </vt:variant>
      <vt:variant>
        <vt:lpwstr/>
      </vt:variant>
      <vt:variant>
        <vt:lpwstr>_Revising_a_Base</vt:lpwstr>
      </vt:variant>
      <vt:variant>
        <vt:i4>6029378</vt:i4>
      </vt:variant>
      <vt:variant>
        <vt:i4>138</vt:i4>
      </vt:variant>
      <vt:variant>
        <vt:i4>0</vt:i4>
      </vt:variant>
      <vt:variant>
        <vt:i4>5</vt:i4>
      </vt:variant>
      <vt:variant>
        <vt:lpwstr>https://www.cleanenergyregulator.gov.au/NGER/About-the-National-Greenhouse-and-Energy-Reporting-scheme/global-warming-potentials</vt:lpwstr>
      </vt:variant>
      <vt:variant>
        <vt:lpwstr/>
      </vt:variant>
      <vt:variant>
        <vt:i4>4063295</vt:i4>
      </vt:variant>
      <vt:variant>
        <vt:i4>135</vt:i4>
      </vt:variant>
      <vt:variant>
        <vt:i4>0</vt:i4>
      </vt:variant>
      <vt:variant>
        <vt:i4>5</vt:i4>
      </vt:variant>
      <vt:variant>
        <vt:lpwstr>https://ghgprotocol.org/corporate-standard</vt:lpwstr>
      </vt:variant>
      <vt:variant>
        <vt:lpwstr/>
      </vt:variant>
      <vt:variant>
        <vt:i4>5111873</vt:i4>
      </vt:variant>
      <vt:variant>
        <vt:i4>132</vt:i4>
      </vt:variant>
      <vt:variant>
        <vt:i4>0</vt:i4>
      </vt:variant>
      <vt:variant>
        <vt:i4>5</vt:i4>
      </vt:variant>
      <vt:variant>
        <vt:lpwstr>https://www.cleanenergyregulator.gov.au/DocumentAssets/Pages/CERT-Report-Guidelines-FY2021-22-and-CY2022.aspx</vt:lpwstr>
      </vt:variant>
      <vt:variant>
        <vt:lpwstr/>
      </vt:variant>
      <vt:variant>
        <vt:i4>2949189</vt:i4>
      </vt:variant>
      <vt:variant>
        <vt:i4>129</vt:i4>
      </vt:variant>
      <vt:variant>
        <vt:i4>0</vt:i4>
      </vt:variant>
      <vt:variant>
        <vt:i4>5</vt:i4>
      </vt:variant>
      <vt:variant>
        <vt:lpwstr>https://www.google.com.au/url?sa=t&amp;rct=j&amp;q=&amp;esrc=s&amp;source=web&amp;cd=&amp;cad=rja&amp;uact=8&amp;ved=2ahUKEwjXsdOMopP7AhVGyjgGHZrnBN0QFnoECBMQAw&amp;url=https%3A%2F%2Fwww.auasb.gov.au%2Fmedia%2Flhwp1rep%2Fsustainabilityassuranceupdate_10-22.pdf&amp;usg=AOvVaw0m9YhiLsQrXOi667rE5hpj</vt:lpwstr>
      </vt:variant>
      <vt:variant>
        <vt:lpwstr/>
      </vt:variant>
      <vt:variant>
        <vt:i4>6029378</vt:i4>
      </vt:variant>
      <vt:variant>
        <vt:i4>126</vt:i4>
      </vt:variant>
      <vt:variant>
        <vt:i4>0</vt:i4>
      </vt:variant>
      <vt:variant>
        <vt:i4>5</vt:i4>
      </vt:variant>
      <vt:variant>
        <vt:lpwstr>https://www.cleanenergyregulator.gov.au/NGER/About-the-National-Greenhouse-and-Energy-Reporting-scheme/global-warming-potentials</vt:lpwstr>
      </vt:variant>
      <vt:variant>
        <vt:lpwstr/>
      </vt:variant>
      <vt:variant>
        <vt:i4>1900630</vt:i4>
      </vt:variant>
      <vt:variant>
        <vt:i4>123</vt:i4>
      </vt:variant>
      <vt:variant>
        <vt:i4>0</vt:i4>
      </vt:variant>
      <vt:variant>
        <vt:i4>5</vt:i4>
      </vt:variant>
      <vt:variant>
        <vt:lpwstr>https://www.cleanenergyregulator.gov.au/DocumentAssets/Pages/Register-of-Greenhouse-and-Energy-Auditors.aspx</vt:lpwstr>
      </vt:variant>
      <vt:variant>
        <vt:lpwstr/>
      </vt:variant>
      <vt:variant>
        <vt:i4>6619196</vt:i4>
      </vt:variant>
      <vt:variant>
        <vt:i4>120</vt:i4>
      </vt:variant>
      <vt:variant>
        <vt:i4>0</vt:i4>
      </vt:variant>
      <vt:variant>
        <vt:i4>5</vt:i4>
      </vt:variant>
      <vt:variant>
        <vt:lpwstr>https://www.iso.org/standard/66455.html</vt:lpwstr>
      </vt:variant>
      <vt:variant>
        <vt:lpwstr/>
      </vt:variant>
      <vt:variant>
        <vt:i4>4390922</vt:i4>
      </vt:variant>
      <vt:variant>
        <vt:i4>117</vt:i4>
      </vt:variant>
      <vt:variant>
        <vt:i4>0</vt:i4>
      </vt:variant>
      <vt:variant>
        <vt:i4>5</vt:i4>
      </vt:variant>
      <vt:variant>
        <vt:lpwstr>https://www.iaasb.org/publications/glance-international-standard-assurance-engagements-isae-3410-assurance-engagements-greenhouse-gas</vt:lpwstr>
      </vt:variant>
      <vt:variant>
        <vt:lpwstr/>
      </vt:variant>
      <vt:variant>
        <vt:i4>1704016</vt:i4>
      </vt:variant>
      <vt:variant>
        <vt:i4>114</vt:i4>
      </vt:variant>
      <vt:variant>
        <vt:i4>0</vt:i4>
      </vt:variant>
      <vt:variant>
        <vt:i4>5</vt:i4>
      </vt:variant>
      <vt:variant>
        <vt:lpwstr>https://www.iaasb.org/publications/international-standard-assurance-engagements-isae-3000-revised-assurance-engagements-other-audits-or-0</vt:lpwstr>
      </vt:variant>
      <vt:variant>
        <vt:lpwstr/>
      </vt:variant>
      <vt:variant>
        <vt:i4>5570654</vt:i4>
      </vt:variant>
      <vt:variant>
        <vt:i4>111</vt:i4>
      </vt:variant>
      <vt:variant>
        <vt:i4>0</vt:i4>
      </vt:variant>
      <vt:variant>
        <vt:i4>5</vt:i4>
      </vt:variant>
      <vt:variant>
        <vt:lpwstr>https://auasb.gov.au/standards-guidance/auasb-standards/other-assurance/</vt:lpwstr>
      </vt:variant>
      <vt:variant>
        <vt:lpwstr/>
      </vt:variant>
      <vt:variant>
        <vt:i4>5570654</vt:i4>
      </vt:variant>
      <vt:variant>
        <vt:i4>108</vt:i4>
      </vt:variant>
      <vt:variant>
        <vt:i4>0</vt:i4>
      </vt:variant>
      <vt:variant>
        <vt:i4>5</vt:i4>
      </vt:variant>
      <vt:variant>
        <vt:lpwstr>https://auasb.gov.au/standards-guidance/auasb-standards/other-assurance/</vt:lpwstr>
      </vt:variant>
      <vt:variant>
        <vt:lpwstr/>
      </vt:variant>
      <vt:variant>
        <vt:i4>5505143</vt:i4>
      </vt:variant>
      <vt:variant>
        <vt:i4>105</vt:i4>
      </vt:variant>
      <vt:variant>
        <vt:i4>0</vt:i4>
      </vt:variant>
      <vt:variant>
        <vt:i4>5</vt:i4>
      </vt:variant>
      <vt:variant>
        <vt:lpwstr/>
      </vt:variant>
      <vt:variant>
        <vt:lpwstr>_Calculating_progress_–</vt:lpwstr>
      </vt:variant>
      <vt:variant>
        <vt:i4>6881395</vt:i4>
      </vt:variant>
      <vt:variant>
        <vt:i4>102</vt:i4>
      </vt:variant>
      <vt:variant>
        <vt:i4>0</vt:i4>
      </vt:variant>
      <vt:variant>
        <vt:i4>5</vt:i4>
      </vt:variant>
      <vt:variant>
        <vt:lpwstr>https://www.cleanenergyregulator.gov.au/Infohub/Markets/cert-report</vt:lpwstr>
      </vt:variant>
      <vt:variant>
        <vt:lpwstr/>
      </vt:variant>
      <vt:variant>
        <vt:i4>6881395</vt:i4>
      </vt:variant>
      <vt:variant>
        <vt:i4>99</vt:i4>
      </vt:variant>
      <vt:variant>
        <vt:i4>0</vt:i4>
      </vt:variant>
      <vt:variant>
        <vt:i4>5</vt:i4>
      </vt:variant>
      <vt:variant>
        <vt:lpwstr>https://www.cleanenergyregulator.gov.au/Infohub/Markets/cert-report</vt:lpwstr>
      </vt:variant>
      <vt:variant>
        <vt:lpwstr/>
      </vt:variant>
      <vt:variant>
        <vt:i4>5111873</vt:i4>
      </vt:variant>
      <vt:variant>
        <vt:i4>96</vt:i4>
      </vt:variant>
      <vt:variant>
        <vt:i4>0</vt:i4>
      </vt:variant>
      <vt:variant>
        <vt:i4>5</vt:i4>
      </vt:variant>
      <vt:variant>
        <vt:lpwstr>https://www.cleanenergyregulator.gov.au/DocumentAssets/Pages/CERT-Report-Guidelines-FY2021-22-and-CY2022.aspx</vt:lpwstr>
      </vt:variant>
      <vt:variant>
        <vt:lpwstr/>
      </vt:variant>
      <vt:variant>
        <vt:i4>7602261</vt:i4>
      </vt:variant>
      <vt:variant>
        <vt:i4>93</vt:i4>
      </vt:variant>
      <vt:variant>
        <vt:i4>0</vt:i4>
      </vt:variant>
      <vt:variant>
        <vt:i4>5</vt:i4>
      </vt:variant>
      <vt:variant>
        <vt:lpwstr/>
      </vt:variant>
      <vt:variant>
        <vt:lpwstr>_Accounting_options_and</vt:lpwstr>
      </vt:variant>
      <vt:variant>
        <vt:i4>6094962</vt:i4>
      </vt:variant>
      <vt:variant>
        <vt:i4>90</vt:i4>
      </vt:variant>
      <vt:variant>
        <vt:i4>0</vt:i4>
      </vt:variant>
      <vt:variant>
        <vt:i4>5</vt:i4>
      </vt:variant>
      <vt:variant>
        <vt:lpwstr>mailto:CER-CERT@cer.gov.au</vt:lpwstr>
      </vt:variant>
      <vt:variant>
        <vt:lpwstr/>
      </vt:variant>
      <vt:variant>
        <vt:i4>5111873</vt:i4>
      </vt:variant>
      <vt:variant>
        <vt:i4>87</vt:i4>
      </vt:variant>
      <vt:variant>
        <vt:i4>0</vt:i4>
      </vt:variant>
      <vt:variant>
        <vt:i4>5</vt:i4>
      </vt:variant>
      <vt:variant>
        <vt:lpwstr>https://www.cleanenergyregulator.gov.au/DocumentAssets/Pages/CERT-Report-Guidelines-FY2021-22-and-CY2022.aspx</vt:lpwstr>
      </vt:variant>
      <vt:variant>
        <vt:lpwstr/>
      </vt:variant>
      <vt:variant>
        <vt:i4>1900603</vt:i4>
      </vt:variant>
      <vt:variant>
        <vt:i4>80</vt:i4>
      </vt:variant>
      <vt:variant>
        <vt:i4>0</vt:i4>
      </vt:variant>
      <vt:variant>
        <vt:i4>5</vt:i4>
      </vt:variant>
      <vt:variant>
        <vt:lpwstr/>
      </vt:variant>
      <vt:variant>
        <vt:lpwstr>_Toc120289235</vt:lpwstr>
      </vt:variant>
      <vt:variant>
        <vt:i4>1900603</vt:i4>
      </vt:variant>
      <vt:variant>
        <vt:i4>74</vt:i4>
      </vt:variant>
      <vt:variant>
        <vt:i4>0</vt:i4>
      </vt:variant>
      <vt:variant>
        <vt:i4>5</vt:i4>
      </vt:variant>
      <vt:variant>
        <vt:lpwstr/>
      </vt:variant>
      <vt:variant>
        <vt:lpwstr>_Toc120289234</vt:lpwstr>
      </vt:variant>
      <vt:variant>
        <vt:i4>1900603</vt:i4>
      </vt:variant>
      <vt:variant>
        <vt:i4>68</vt:i4>
      </vt:variant>
      <vt:variant>
        <vt:i4>0</vt:i4>
      </vt:variant>
      <vt:variant>
        <vt:i4>5</vt:i4>
      </vt:variant>
      <vt:variant>
        <vt:lpwstr/>
      </vt:variant>
      <vt:variant>
        <vt:lpwstr>_Toc120289233</vt:lpwstr>
      </vt:variant>
      <vt:variant>
        <vt:i4>1900603</vt:i4>
      </vt:variant>
      <vt:variant>
        <vt:i4>62</vt:i4>
      </vt:variant>
      <vt:variant>
        <vt:i4>0</vt:i4>
      </vt:variant>
      <vt:variant>
        <vt:i4>5</vt:i4>
      </vt:variant>
      <vt:variant>
        <vt:lpwstr/>
      </vt:variant>
      <vt:variant>
        <vt:lpwstr>_Toc120289232</vt:lpwstr>
      </vt:variant>
      <vt:variant>
        <vt:i4>1900603</vt:i4>
      </vt:variant>
      <vt:variant>
        <vt:i4>56</vt:i4>
      </vt:variant>
      <vt:variant>
        <vt:i4>0</vt:i4>
      </vt:variant>
      <vt:variant>
        <vt:i4>5</vt:i4>
      </vt:variant>
      <vt:variant>
        <vt:lpwstr/>
      </vt:variant>
      <vt:variant>
        <vt:lpwstr>_Toc120289231</vt:lpwstr>
      </vt:variant>
      <vt:variant>
        <vt:i4>1900603</vt:i4>
      </vt:variant>
      <vt:variant>
        <vt:i4>50</vt:i4>
      </vt:variant>
      <vt:variant>
        <vt:i4>0</vt:i4>
      </vt:variant>
      <vt:variant>
        <vt:i4>5</vt:i4>
      </vt:variant>
      <vt:variant>
        <vt:lpwstr/>
      </vt:variant>
      <vt:variant>
        <vt:lpwstr>_Toc120289230</vt:lpwstr>
      </vt:variant>
      <vt:variant>
        <vt:i4>1835067</vt:i4>
      </vt:variant>
      <vt:variant>
        <vt:i4>44</vt:i4>
      </vt:variant>
      <vt:variant>
        <vt:i4>0</vt:i4>
      </vt:variant>
      <vt:variant>
        <vt:i4>5</vt:i4>
      </vt:variant>
      <vt:variant>
        <vt:lpwstr/>
      </vt:variant>
      <vt:variant>
        <vt:lpwstr>_Toc120289229</vt:lpwstr>
      </vt:variant>
      <vt:variant>
        <vt:i4>1835067</vt:i4>
      </vt:variant>
      <vt:variant>
        <vt:i4>38</vt:i4>
      </vt:variant>
      <vt:variant>
        <vt:i4>0</vt:i4>
      </vt:variant>
      <vt:variant>
        <vt:i4>5</vt:i4>
      </vt:variant>
      <vt:variant>
        <vt:lpwstr/>
      </vt:variant>
      <vt:variant>
        <vt:lpwstr>_Toc120289228</vt:lpwstr>
      </vt:variant>
      <vt:variant>
        <vt:i4>1835067</vt:i4>
      </vt:variant>
      <vt:variant>
        <vt:i4>32</vt:i4>
      </vt:variant>
      <vt:variant>
        <vt:i4>0</vt:i4>
      </vt:variant>
      <vt:variant>
        <vt:i4>5</vt:i4>
      </vt:variant>
      <vt:variant>
        <vt:lpwstr/>
      </vt:variant>
      <vt:variant>
        <vt:lpwstr>_Toc120289227</vt:lpwstr>
      </vt:variant>
      <vt:variant>
        <vt:i4>1835067</vt:i4>
      </vt:variant>
      <vt:variant>
        <vt:i4>26</vt:i4>
      </vt:variant>
      <vt:variant>
        <vt:i4>0</vt:i4>
      </vt:variant>
      <vt:variant>
        <vt:i4>5</vt:i4>
      </vt:variant>
      <vt:variant>
        <vt:lpwstr/>
      </vt:variant>
      <vt:variant>
        <vt:lpwstr>_Toc120289226</vt:lpwstr>
      </vt:variant>
      <vt:variant>
        <vt:i4>1835067</vt:i4>
      </vt:variant>
      <vt:variant>
        <vt:i4>20</vt:i4>
      </vt:variant>
      <vt:variant>
        <vt:i4>0</vt:i4>
      </vt:variant>
      <vt:variant>
        <vt:i4>5</vt:i4>
      </vt:variant>
      <vt:variant>
        <vt:lpwstr/>
      </vt:variant>
      <vt:variant>
        <vt:lpwstr>_Toc120289225</vt:lpwstr>
      </vt:variant>
      <vt:variant>
        <vt:i4>1835067</vt:i4>
      </vt:variant>
      <vt:variant>
        <vt:i4>14</vt:i4>
      </vt:variant>
      <vt:variant>
        <vt:i4>0</vt:i4>
      </vt:variant>
      <vt:variant>
        <vt:i4>5</vt:i4>
      </vt:variant>
      <vt:variant>
        <vt:lpwstr/>
      </vt:variant>
      <vt:variant>
        <vt:lpwstr>_Toc120289224</vt:lpwstr>
      </vt:variant>
      <vt:variant>
        <vt:i4>1835067</vt:i4>
      </vt:variant>
      <vt:variant>
        <vt:i4>8</vt:i4>
      </vt:variant>
      <vt:variant>
        <vt:i4>0</vt:i4>
      </vt:variant>
      <vt:variant>
        <vt:i4>5</vt:i4>
      </vt:variant>
      <vt:variant>
        <vt:lpwstr/>
      </vt:variant>
      <vt:variant>
        <vt:lpwstr>_Toc120289223</vt:lpwstr>
      </vt:variant>
      <vt:variant>
        <vt:i4>1835067</vt:i4>
      </vt:variant>
      <vt:variant>
        <vt:i4>2</vt:i4>
      </vt:variant>
      <vt:variant>
        <vt:i4>0</vt:i4>
      </vt:variant>
      <vt:variant>
        <vt:i4>5</vt:i4>
      </vt:variant>
      <vt:variant>
        <vt:lpwstr/>
      </vt:variant>
      <vt:variant>
        <vt:lpwstr>_Toc120289222</vt:lpwstr>
      </vt:variant>
      <vt:variant>
        <vt:i4>852026</vt:i4>
      </vt:variant>
      <vt:variant>
        <vt:i4>0</vt:i4>
      </vt:variant>
      <vt:variant>
        <vt:i4>0</vt:i4>
      </vt:variant>
      <vt:variant>
        <vt:i4>5</vt:i4>
      </vt:variant>
      <vt:variant>
        <vt:lpwstr>http://www.auasb.gov.au/admin/file/content102/c3/ASAE_3000_revised_2017.pdf</vt:lpwstr>
      </vt:variant>
      <vt:variant>
        <vt:lpwstr/>
      </vt:variant>
      <vt:variant>
        <vt:i4>5242993</vt:i4>
      </vt:variant>
      <vt:variant>
        <vt:i4>0</vt:i4>
      </vt:variant>
      <vt:variant>
        <vt:i4>0</vt:i4>
      </vt:variant>
      <vt:variant>
        <vt:i4>5</vt:i4>
      </vt:variant>
      <vt:variant>
        <vt:lpwstr>mailto:George.Pass@cer.gov.au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 Report Reporting Guidance and Supporting Examples (FY2021-22 and CY2022)</dc:title>
  <dc:subject/>
  <dc:creator/>
  <cp:keywords/>
  <cp:lastModifiedBy/>
  <dcterms:created xsi:type="dcterms:W3CDTF">2023-03-02T22:26:00Z</dcterms:created>
  <dcterms:modified xsi:type="dcterms:W3CDTF">2023-03-16T04:55:00Z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