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44AF03" w14:textId="4A6E918D" w:rsidR="00027D41" w:rsidRPr="00402106" w:rsidRDefault="00E57C3A" w:rsidP="00CB73F7">
      <w:pPr>
        <w:pStyle w:val="Heading1"/>
        <w:spacing w:before="0"/>
      </w:pPr>
      <w:r w:rsidRPr="00751BEC">
        <w:t xml:space="preserve">Blue Carbon Accounting Model </w:t>
      </w:r>
      <w:r>
        <w:t>(</w:t>
      </w:r>
      <w:r w:rsidR="00C47310" w:rsidRPr="00751BEC">
        <w:t>BlueCAM</w:t>
      </w:r>
      <w:r>
        <w:t>)</w:t>
      </w:r>
      <w:r w:rsidR="00027D41" w:rsidRPr="00402106">
        <w:t xml:space="preserve"> Guidelines </w:t>
      </w:r>
    </w:p>
    <w:p w14:paraId="6A47D8D0" w14:textId="748C055C" w:rsidR="00CB73F7" w:rsidRDefault="00CB73F7" w:rsidP="00CB73F7">
      <w:pPr>
        <w:pStyle w:val="Heading2"/>
      </w:pPr>
      <w:r>
        <w:t>Background</w:t>
      </w:r>
    </w:p>
    <w:p w14:paraId="04FADF42" w14:textId="66DC039E" w:rsidR="00027D41" w:rsidRPr="00751BEC" w:rsidRDefault="00027D41" w:rsidP="00027D41">
      <w:r w:rsidRPr="00751BEC">
        <w:t xml:space="preserve">Section </w:t>
      </w:r>
      <w:r w:rsidR="000F656B" w:rsidRPr="00751BEC">
        <w:t xml:space="preserve">27 </w:t>
      </w:r>
      <w:r w:rsidRPr="00751BEC">
        <w:t xml:space="preserve">of the </w:t>
      </w:r>
      <w:r w:rsidRPr="00751BEC">
        <w:rPr>
          <w:i/>
          <w:iCs/>
        </w:rPr>
        <w:t>Carbon Credits (Carbon Farming Initiative</w:t>
      </w:r>
      <w:r w:rsidR="000F656B" w:rsidRPr="00751BEC">
        <w:rPr>
          <w:i/>
          <w:iCs/>
        </w:rPr>
        <w:t>—</w:t>
      </w:r>
      <w:r w:rsidRPr="00751BEC">
        <w:rPr>
          <w:i/>
          <w:iCs/>
        </w:rPr>
        <w:t>Tidal Restoration of Blue Carbon Ecosystems) Methodology Determination 202</w:t>
      </w:r>
      <w:r w:rsidR="002B4951">
        <w:rPr>
          <w:i/>
          <w:iCs/>
        </w:rPr>
        <w:t>2</w:t>
      </w:r>
      <w:r w:rsidRPr="00751BEC">
        <w:t xml:space="preserve"> (the Determination) requires the use of the Blue Carbon Accounting Model (BlueCAM) to </w:t>
      </w:r>
      <w:r w:rsidR="000F656B" w:rsidRPr="00751BEC">
        <w:t>make the calculations under Part 4 of the Determination for tidal restoration projects</w:t>
      </w:r>
      <w:r w:rsidRPr="00751BEC">
        <w:t>.</w:t>
      </w:r>
    </w:p>
    <w:p w14:paraId="2753A04C" w14:textId="3BA87C54" w:rsidR="00027D41" w:rsidRPr="00751BEC" w:rsidRDefault="00027D41" w:rsidP="00027D41">
      <w:r w:rsidRPr="00751BEC">
        <w:t xml:space="preserve">BlueCAM is to be used </w:t>
      </w:r>
      <w:r w:rsidR="000F656B" w:rsidRPr="00751BEC">
        <w:t xml:space="preserve">as in force at the end of a </w:t>
      </w:r>
      <w:r w:rsidRPr="00751BEC">
        <w:t xml:space="preserve">reporting period. Data entered is for each </w:t>
      </w:r>
      <w:r w:rsidR="00E57C3A">
        <w:t>carbon estimation area (</w:t>
      </w:r>
      <w:r w:rsidRPr="00751BEC">
        <w:t>CEA</w:t>
      </w:r>
      <w:r w:rsidR="00E57C3A">
        <w:t>)</w:t>
      </w:r>
      <w:r w:rsidRPr="00751BEC">
        <w:t xml:space="preserve"> in the project area for the entire reporting period. BlueCAM compares what existed at the project baseline (project </w:t>
      </w:r>
      <w:r w:rsidR="000F656B" w:rsidRPr="00751BEC">
        <w:t xml:space="preserve">declaration </w:t>
      </w:r>
      <w:r w:rsidRPr="00751BEC">
        <w:t xml:space="preserve">date), and end of the previous reporting period (if applicable) to the end of the current reporting period. </w:t>
      </w:r>
      <w:r w:rsidR="00A96EA1" w:rsidRPr="00751BEC">
        <w:t xml:space="preserve">As per section </w:t>
      </w:r>
      <w:r w:rsidR="000F656B" w:rsidRPr="00751BEC">
        <w:t>29</w:t>
      </w:r>
      <w:r w:rsidR="00A96EA1" w:rsidRPr="00751BEC">
        <w:t>(3) of the Determination, w</w:t>
      </w:r>
      <w:r w:rsidRPr="00751BEC">
        <w:t>here the</w:t>
      </w:r>
      <w:r w:rsidRPr="00751BEC" w:rsidDel="003C5FFB">
        <w:t xml:space="preserve"> </w:t>
      </w:r>
      <w:r w:rsidRPr="00751BEC">
        <w:t xml:space="preserve">net abatement amount </w:t>
      </w:r>
      <w:r w:rsidR="00A96EA1" w:rsidRPr="00751BEC">
        <w:t>(</w:t>
      </w:r>
      <w:proofErr w:type="spellStart"/>
      <w:r w:rsidR="00A96EA1" w:rsidRPr="00751BEC">
        <w:rPr>
          <w:b/>
          <w:bCs/>
        </w:rPr>
        <w:t>A</w:t>
      </w:r>
      <w:r w:rsidR="00A96EA1" w:rsidRPr="00751BEC">
        <w:rPr>
          <w:b/>
          <w:bCs/>
          <w:vertAlign w:val="subscript"/>
        </w:rPr>
        <w:t>r</w:t>
      </w:r>
      <w:proofErr w:type="spellEnd"/>
      <w:r w:rsidR="00A96EA1" w:rsidRPr="00751BEC">
        <w:t xml:space="preserve">) </w:t>
      </w:r>
      <w:r w:rsidRPr="00751BEC">
        <w:t xml:space="preserve">calculated using </w:t>
      </w:r>
      <w:proofErr w:type="spellStart"/>
      <w:r w:rsidRPr="00751BEC">
        <w:t>BlueCAM</w:t>
      </w:r>
      <w:proofErr w:type="spellEnd"/>
      <w:r w:rsidRPr="00751BEC">
        <w:t xml:space="preserve"> for a reporting period is negative, you will need to </w:t>
      </w:r>
      <w:r w:rsidR="000F656B" w:rsidRPr="00751BEC">
        <w:t xml:space="preserve">subtract </w:t>
      </w:r>
      <w:r w:rsidRPr="00751BEC">
        <w:t xml:space="preserve">this number </w:t>
      </w:r>
      <w:r w:rsidR="000F656B" w:rsidRPr="00751BEC">
        <w:t xml:space="preserve">from the net abatement amount for </w:t>
      </w:r>
      <w:r w:rsidRPr="00751BEC">
        <w:t>the next reporting period.</w:t>
      </w:r>
    </w:p>
    <w:p w14:paraId="0FBC32E0" w14:textId="75E6EA0B" w:rsidR="00060DDB" w:rsidRDefault="00027D41" w:rsidP="00060DDB">
      <w:r w:rsidRPr="00751BEC">
        <w:t xml:space="preserve">BlueCAM includes separate worksheets for each climate region of Australia as specified by the map below (Figure 1). These are referred to as BlueCAM regions. </w:t>
      </w:r>
      <w:r w:rsidR="0022737C" w:rsidRPr="00751BEC">
        <w:t>The emissions factors used to calculate abatement and emissions are regionally specific to account for the variability in emissions and sequestration</w:t>
      </w:r>
      <w:r w:rsidR="00781739" w:rsidRPr="00751BEC">
        <w:t xml:space="preserve"> among regions</w:t>
      </w:r>
      <w:r w:rsidR="0022737C" w:rsidRPr="00751BEC">
        <w:t xml:space="preserve">. </w:t>
      </w:r>
      <w:r w:rsidRPr="00751BEC">
        <w:t>If a project area</w:t>
      </w:r>
      <w:r w:rsidR="006053B6" w:rsidRPr="00751BEC">
        <w:t xml:space="preserve"> </w:t>
      </w:r>
      <w:r w:rsidRPr="00751BEC">
        <w:t xml:space="preserve">covers more than one BlueCAM region, the net abatement amount from each region is summed to obtain the net abatement for the </w:t>
      </w:r>
      <w:r w:rsidR="00EA2720" w:rsidRPr="00751BEC">
        <w:t xml:space="preserve">tidal restoration </w:t>
      </w:r>
      <w:r w:rsidRPr="00751BEC">
        <w:t xml:space="preserve">project. </w:t>
      </w:r>
      <w:bookmarkStart w:id="0" w:name="_Toc74662044"/>
      <w:bookmarkStart w:id="1" w:name="_Toc74662173"/>
      <w:bookmarkStart w:id="2" w:name="_Toc74671165"/>
      <w:bookmarkStart w:id="3" w:name="_Toc74724329"/>
    </w:p>
    <w:p w14:paraId="36AD9E75" w14:textId="304617A5" w:rsidR="00060DDB" w:rsidRDefault="00060DDB" w:rsidP="00060DDB">
      <w:r w:rsidRPr="00751BEC">
        <w:t xml:space="preserve">Project areas may be comprised of different land types, ages of vegetation growth and elevation that can be used to delineate carbon estimation areas (CEAs). The requirements for CEAs are set out in section 22 of the Determination and in the Supplement. BlueCAM includes one mangrove option land type drop down menu. Project proponents are required to stratify their CEAs based on the </w:t>
      </w:r>
      <w:r w:rsidRPr="00751BEC">
        <w:rPr>
          <w:rStyle w:val="normaltextrun"/>
          <w:rFonts w:cs="Calibri"/>
          <w:color w:val="000000"/>
        </w:rPr>
        <w:t xml:space="preserve">type of vegetation that establishes including the type of mangrove: </w:t>
      </w:r>
      <w:r w:rsidRPr="00751BEC">
        <w:rPr>
          <w:rFonts w:cs="Calibri"/>
        </w:rPr>
        <w:t>tall mangroves; tall hinterland mangroves; or scrub mangroves.</w:t>
      </w:r>
      <w:r w:rsidRPr="00751BEC">
        <w:t xml:space="preserve"> This will ensure the correct biomass and soil carbon accumulation parameters are applied in BlueCAM. BlueCAM determines which parameters are applied based on the tidal range entered for each mangrove CEA.</w:t>
      </w:r>
    </w:p>
    <w:p w14:paraId="088DDB24" w14:textId="35D38C5A" w:rsidR="00A61767" w:rsidRDefault="00027D41" w:rsidP="00060DDB">
      <w:pPr>
        <w:pStyle w:val="PlainText"/>
        <w:keepNext/>
        <w:widowControl w:val="0"/>
        <w:spacing w:after="240"/>
        <w:jc w:val="center"/>
        <w:rPr>
          <w:rFonts w:cs="Times New Roman"/>
          <w:b/>
          <w:sz w:val="18"/>
          <w:szCs w:val="18"/>
        </w:rPr>
      </w:pPr>
      <w:r w:rsidRPr="00402106">
        <w:rPr>
          <w:rFonts w:cs="Times New Roman"/>
          <w:b/>
        </w:rPr>
        <w:br/>
      </w:r>
      <w:r w:rsidR="00060DDB" w:rsidRPr="00751BEC">
        <w:rPr>
          <w:rFonts w:ascii="Times New Roman" w:hAnsi="Times New Roman" w:cs="Times New Roman"/>
          <w:noProof/>
          <w:sz w:val="24"/>
          <w:szCs w:val="24"/>
          <w:lang w:eastAsia="en-AU"/>
        </w:rPr>
        <w:lastRenderedPageBreak/>
        <w:drawing>
          <wp:inline distT="0" distB="0" distL="0" distR="0" wp14:anchorId="37A3D04D" wp14:editId="55DCF710">
            <wp:extent cx="3769901" cy="4556235"/>
            <wp:effectExtent l="0" t="0" r="2540" b="0"/>
            <wp:docPr id="5" name="Picture 5" descr="Map of Australia showing eight regions (or clusters) assessed. Capital cities a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 of Australia showing eight regions (or clusters) assessed. Capital cities are show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4357" cy="4597878"/>
                    </a:xfrm>
                    <a:prstGeom prst="rect">
                      <a:avLst/>
                    </a:prstGeom>
                    <a:noFill/>
                    <a:ln>
                      <a:noFill/>
                    </a:ln>
                  </pic:spPr>
                </pic:pic>
              </a:graphicData>
            </a:graphic>
          </wp:inline>
        </w:drawing>
      </w:r>
    </w:p>
    <w:p w14:paraId="292F8519" w14:textId="159EC8B5" w:rsidR="00027D41" w:rsidRPr="00317DA7" w:rsidRDefault="00027D41" w:rsidP="00060DDB">
      <w:pPr>
        <w:pStyle w:val="PlainText"/>
        <w:keepNext/>
        <w:widowControl w:val="0"/>
        <w:spacing w:after="240"/>
        <w:jc w:val="center"/>
        <w:rPr>
          <w:rFonts w:cs="Times New Roman"/>
          <w:b/>
          <w:sz w:val="20"/>
          <w:szCs w:val="20"/>
        </w:rPr>
      </w:pPr>
      <w:r w:rsidRPr="003A7C60">
        <w:rPr>
          <w:rFonts w:cs="Times New Roman"/>
          <w:bCs/>
          <w:sz w:val="20"/>
          <w:szCs w:val="20"/>
        </w:rPr>
        <w:t>Figure 1</w:t>
      </w:r>
      <w:r w:rsidR="003A7C60" w:rsidRPr="003A7C60">
        <w:rPr>
          <w:rFonts w:cs="Times New Roman"/>
          <w:bCs/>
          <w:sz w:val="20"/>
          <w:szCs w:val="20"/>
        </w:rPr>
        <w:t>:</w:t>
      </w:r>
      <w:r w:rsidRPr="003A7C60">
        <w:rPr>
          <w:rFonts w:cs="Times New Roman"/>
          <w:bCs/>
          <w:sz w:val="20"/>
          <w:szCs w:val="20"/>
        </w:rPr>
        <w:t xml:space="preserve"> BlueCAM </w:t>
      </w:r>
      <w:r w:rsidR="00EA2720" w:rsidRPr="003A7C60">
        <w:rPr>
          <w:rFonts w:cs="Times New Roman"/>
          <w:bCs/>
          <w:sz w:val="20"/>
          <w:szCs w:val="20"/>
        </w:rPr>
        <w:t xml:space="preserve">uses </w:t>
      </w:r>
      <w:r w:rsidRPr="003A7C60">
        <w:rPr>
          <w:rFonts w:cs="Times New Roman"/>
          <w:bCs/>
          <w:sz w:val="20"/>
          <w:szCs w:val="20"/>
        </w:rPr>
        <w:t>Tropical monsoon for “Monsoonal north”; Tropical humid for “Wet Tropics”; Subtropical for “East Coast”; Temperate for “Southern Slop</w:t>
      </w:r>
      <w:bookmarkEnd w:id="0"/>
      <w:bookmarkEnd w:id="1"/>
      <w:bookmarkEnd w:id="2"/>
      <w:r w:rsidRPr="003A7C60">
        <w:rPr>
          <w:rFonts w:cs="Times New Roman"/>
          <w:bCs/>
          <w:sz w:val="20"/>
          <w:szCs w:val="20"/>
        </w:rPr>
        <w:t>es”</w:t>
      </w:r>
      <w:r w:rsidR="00EA2720" w:rsidRPr="003A7C60">
        <w:rPr>
          <w:rFonts w:cs="Times New Roman"/>
          <w:bCs/>
          <w:sz w:val="20"/>
          <w:szCs w:val="20"/>
        </w:rPr>
        <w:t>;</w:t>
      </w:r>
      <w:r w:rsidRPr="003A7C60">
        <w:rPr>
          <w:rFonts w:cs="Times New Roman"/>
          <w:bCs/>
          <w:sz w:val="20"/>
          <w:szCs w:val="20"/>
        </w:rPr>
        <w:t xml:space="preserve"> “Southern and South-Western Flatlands” and “Murray Basin” and Arid &amp; Semiarid for “Rangelands”.</w:t>
      </w:r>
      <w:bookmarkEnd w:id="3"/>
      <w:r w:rsidRPr="003A7C60">
        <w:rPr>
          <w:rFonts w:cs="Times New Roman"/>
          <w:bCs/>
          <w:sz w:val="20"/>
          <w:szCs w:val="20"/>
        </w:rPr>
        <w:t xml:space="preserve"> “Central Slopes” are not represented in BlueCAM, as this region does not have tidal boundaries. Figure 1 and shapefiles available from </w:t>
      </w:r>
      <w:hyperlink r:id="rId9" w:history="1">
        <w:r w:rsidRPr="003A7C60">
          <w:rPr>
            <w:rStyle w:val="Hyperlink"/>
            <w:rFonts w:cs="Times New Roman"/>
            <w:bCs/>
            <w:sz w:val="20"/>
            <w:szCs w:val="20"/>
          </w:rPr>
          <w:t>Climate Change in Australia</w:t>
        </w:r>
      </w:hyperlink>
      <w:r w:rsidRPr="003A7C60">
        <w:rPr>
          <w:rFonts w:cs="Times New Roman"/>
          <w:bCs/>
          <w:sz w:val="20"/>
          <w:szCs w:val="20"/>
        </w:rPr>
        <w:t>.</w:t>
      </w:r>
    </w:p>
    <w:p w14:paraId="1F11E9A0" w14:textId="4CA7285A" w:rsidR="00027D41" w:rsidRPr="00EB075A" w:rsidRDefault="00027D41" w:rsidP="00EB075A">
      <w:pPr>
        <w:pStyle w:val="Heading2"/>
      </w:pPr>
      <w:r w:rsidRPr="00EB075A">
        <w:t>Entering your data into BlueCAM</w:t>
      </w:r>
    </w:p>
    <w:p w14:paraId="0D3C54ED" w14:textId="6FCAC6D6" w:rsidR="00027D41" w:rsidRPr="00751BEC" w:rsidRDefault="00CF297A" w:rsidP="00027D41">
      <w:pPr>
        <w:rPr>
          <w:rFonts w:cs="Times New Roman"/>
        </w:rPr>
      </w:pPr>
      <w:r w:rsidRPr="00751BEC">
        <w:t xml:space="preserve">Select the </w:t>
      </w:r>
      <w:r w:rsidRPr="00402106">
        <w:t>w</w:t>
      </w:r>
      <w:r w:rsidRPr="00751BEC">
        <w:t xml:space="preserve">orksheet that applies to the BlueCAM region for each project area of your </w:t>
      </w:r>
      <w:r w:rsidR="00EA2720" w:rsidRPr="00751BEC">
        <w:t>tidal restoration</w:t>
      </w:r>
      <w:r w:rsidRPr="00751BEC">
        <w:t xml:space="preserve"> project. </w:t>
      </w:r>
      <w:r w:rsidR="00027D41" w:rsidRPr="00751BEC">
        <w:rPr>
          <w:rFonts w:cs="Times New Roman"/>
        </w:rPr>
        <w:t>Enter data in cells highlighted blue from A3 to E3 which apply to the project area:</w:t>
      </w:r>
    </w:p>
    <w:p w14:paraId="5E92CB9B" w14:textId="573A591C" w:rsidR="00027D41" w:rsidRPr="00751BEC" w:rsidRDefault="00027D41" w:rsidP="00CB73F7">
      <w:pPr>
        <w:pStyle w:val="CERbullets"/>
      </w:pPr>
      <w:r w:rsidRPr="00751BEC">
        <w:rPr>
          <w:b/>
          <w:bCs/>
        </w:rPr>
        <w:t>A3:</w:t>
      </w:r>
      <w:r w:rsidRPr="00751BEC">
        <w:t xml:space="preserve"> Enter the reporting period start date in the format of DD/MM/YYYY.</w:t>
      </w:r>
    </w:p>
    <w:p w14:paraId="4099EC66" w14:textId="022CBD17" w:rsidR="00027D41" w:rsidRPr="00751BEC" w:rsidRDefault="00027D41" w:rsidP="00CB73F7">
      <w:pPr>
        <w:pStyle w:val="CERbullets"/>
      </w:pPr>
      <w:r w:rsidRPr="00751BEC">
        <w:rPr>
          <w:b/>
          <w:bCs/>
        </w:rPr>
        <w:t>B3:</w:t>
      </w:r>
      <w:r w:rsidRPr="00751BEC">
        <w:t xml:space="preserve"> Enter the reporting period end date in the format of DD/MM/YYYY.</w:t>
      </w:r>
    </w:p>
    <w:p w14:paraId="6C0EDEE4" w14:textId="4F5CE170" w:rsidR="00027D41" w:rsidRPr="00751BEC" w:rsidRDefault="00027D41" w:rsidP="00CB73F7">
      <w:pPr>
        <w:pStyle w:val="CERbullets"/>
      </w:pPr>
      <w:r w:rsidRPr="00751BEC">
        <w:rPr>
          <w:b/>
          <w:bCs/>
        </w:rPr>
        <w:t>C3:</w:t>
      </w:r>
      <w:r w:rsidRPr="00751BEC">
        <w:t xml:space="preserve"> Select your project permanence period in the dropdown menu (either 25 years or 100 years) in accordance with your project </w:t>
      </w:r>
      <w:r w:rsidR="00EA2720" w:rsidRPr="00751BEC">
        <w:t>declaration</w:t>
      </w:r>
      <w:r w:rsidRPr="00751BEC">
        <w:t>. This determines the sequestration buffer applied (</w:t>
      </w:r>
      <w:proofErr w:type="spellStart"/>
      <w:r w:rsidRPr="00751BEC">
        <w:rPr>
          <w:b/>
          <w:bCs/>
        </w:rPr>
        <w:t>B</w:t>
      </w:r>
      <w:r w:rsidRPr="00751BEC">
        <w:rPr>
          <w:b/>
          <w:bCs/>
          <w:i/>
          <w:iCs/>
          <w:vertAlign w:val="subscript"/>
        </w:rPr>
        <w:t>seq</w:t>
      </w:r>
      <w:proofErr w:type="spellEnd"/>
      <w:r w:rsidRPr="00751BEC">
        <w:t xml:space="preserve">).  </w:t>
      </w:r>
    </w:p>
    <w:p w14:paraId="1189C8DE" w14:textId="1AAF4BA4" w:rsidR="00027D41" w:rsidRPr="00751BEC" w:rsidRDefault="00027D41" w:rsidP="00CB73F7">
      <w:pPr>
        <w:pStyle w:val="CERbullets"/>
      </w:pPr>
      <w:r w:rsidRPr="00751BEC">
        <w:rPr>
          <w:b/>
        </w:rPr>
        <w:t>D3:</w:t>
      </w:r>
      <w:r w:rsidRPr="00751BEC">
        <w:t xml:space="preserve"> In the dropdown menu, select ‘Yes’ if a project area discount applies to your project and ‘No’ if a project area discount does not apply to your project. This determines the sequestration buffer (</w:t>
      </w:r>
      <w:proofErr w:type="spellStart"/>
      <w:r w:rsidRPr="00751BEC">
        <w:rPr>
          <w:b/>
          <w:bCs/>
        </w:rPr>
        <w:t>B</w:t>
      </w:r>
      <w:r w:rsidRPr="00751BEC">
        <w:rPr>
          <w:b/>
          <w:bCs/>
          <w:i/>
          <w:iCs/>
          <w:vertAlign w:val="subscript"/>
        </w:rPr>
        <w:t>seq</w:t>
      </w:r>
      <w:proofErr w:type="spellEnd"/>
      <w:r w:rsidRPr="00751BEC">
        <w:t xml:space="preserve">). A project area discount applies to your project if your project </w:t>
      </w:r>
      <w:r w:rsidR="004E34AB" w:rsidRPr="00751BEC">
        <w:t xml:space="preserve">is </w:t>
      </w:r>
      <w:r w:rsidRPr="00751BEC">
        <w:t>a 100</w:t>
      </w:r>
      <w:r w:rsidR="00EA2720" w:rsidRPr="00751BEC">
        <w:t>-</w:t>
      </w:r>
      <w:r w:rsidRPr="00751BEC">
        <w:t xml:space="preserve">year permanence period </w:t>
      </w:r>
      <w:r w:rsidR="004E34AB" w:rsidRPr="00751BEC">
        <w:t xml:space="preserve">project </w:t>
      </w:r>
      <w:r w:rsidRPr="00751BEC">
        <w:t xml:space="preserve">and </w:t>
      </w:r>
      <w:r w:rsidR="004E34AB" w:rsidRPr="00751BEC">
        <w:t xml:space="preserve">all its </w:t>
      </w:r>
      <w:r w:rsidRPr="00751BEC">
        <w:t>project area</w:t>
      </w:r>
      <w:r w:rsidR="004E34AB" w:rsidRPr="00751BEC">
        <w:t>s</w:t>
      </w:r>
      <w:r w:rsidRPr="00751BEC">
        <w:t xml:space="preserve"> include less than 80% </w:t>
      </w:r>
      <w:r w:rsidR="004E34AB" w:rsidRPr="00751BEC">
        <w:t xml:space="preserve">by area </w:t>
      </w:r>
      <w:r w:rsidRPr="00751BEC">
        <w:t xml:space="preserve">of land identified as impacted land in </w:t>
      </w:r>
      <w:r w:rsidR="004E34AB" w:rsidRPr="00751BEC">
        <w:t xml:space="preserve">each current </w:t>
      </w:r>
      <w:r w:rsidRPr="00751BEC">
        <w:t>permanence period tidal inundation map</w:t>
      </w:r>
      <w:r w:rsidRPr="00751BEC" w:rsidDel="00FB484B">
        <w:t xml:space="preserve"> </w:t>
      </w:r>
      <w:r w:rsidR="004E34AB" w:rsidRPr="00751BEC">
        <w:t xml:space="preserve">made </w:t>
      </w:r>
      <w:r w:rsidRPr="00751BEC">
        <w:t>in accordance with section 15 of the Determination.</w:t>
      </w:r>
    </w:p>
    <w:p w14:paraId="6DEB9FD2" w14:textId="294C092A" w:rsidR="00027D41" w:rsidRPr="00751BEC" w:rsidRDefault="00027D41" w:rsidP="00CB73F7">
      <w:pPr>
        <w:pStyle w:val="CERbullets"/>
      </w:pPr>
      <w:bookmarkStart w:id="4" w:name="_Hlk81737205"/>
      <w:r w:rsidRPr="00751BEC">
        <w:rPr>
          <w:b/>
          <w:bCs/>
        </w:rPr>
        <w:lastRenderedPageBreak/>
        <w:t>E3:</w:t>
      </w:r>
      <w:r w:rsidRPr="00751BEC">
        <w:t xml:space="preserve"> </w:t>
      </w:r>
      <w:bookmarkStart w:id="5" w:name="_Hlk81737276"/>
      <w:r w:rsidRPr="00751BEC">
        <w:t>Enter the tidal range in meters to one decimal place for your project area in accordance with the Supplement. The tidal range is the difference in height between the maximum high tide (</w:t>
      </w:r>
      <w:r w:rsidR="00711D76" w:rsidRPr="00751BEC">
        <w:t>h</w:t>
      </w:r>
      <w:r w:rsidRPr="00751BEC">
        <w:t xml:space="preserve">ighest </w:t>
      </w:r>
      <w:r w:rsidR="00711D76" w:rsidRPr="00751BEC">
        <w:t>a</w:t>
      </w:r>
      <w:r w:rsidRPr="00751BEC">
        <w:t xml:space="preserve">stronomical </w:t>
      </w:r>
      <w:r w:rsidR="00711D76" w:rsidRPr="00751BEC">
        <w:t>t</w:t>
      </w:r>
      <w:r w:rsidRPr="00751BEC">
        <w:t>ide) and the minimum low tide (</w:t>
      </w:r>
      <w:r w:rsidR="00711D76" w:rsidRPr="00751BEC">
        <w:t>l</w:t>
      </w:r>
      <w:r w:rsidRPr="00751BEC">
        <w:t xml:space="preserve">owest </w:t>
      </w:r>
      <w:r w:rsidR="00711D76" w:rsidRPr="00751BEC">
        <w:t>a</w:t>
      </w:r>
      <w:r w:rsidRPr="00751BEC">
        <w:t xml:space="preserve">stronomical </w:t>
      </w:r>
      <w:r w:rsidR="00711D76" w:rsidRPr="00751BEC">
        <w:t>t</w:t>
      </w:r>
      <w:r w:rsidRPr="00751BEC">
        <w:t>ide) in the project area.</w:t>
      </w:r>
      <w:bookmarkEnd w:id="5"/>
    </w:p>
    <w:p w14:paraId="2300AEDA" w14:textId="77777777" w:rsidR="00F67F72" w:rsidRPr="00751BEC" w:rsidRDefault="00F67F72" w:rsidP="00CB73F7">
      <w:pPr>
        <w:pStyle w:val="CERbullets"/>
        <w:numPr>
          <w:ilvl w:val="1"/>
          <w:numId w:val="21"/>
        </w:numPr>
        <w:rPr>
          <w:rFonts w:cstheme="minorHAnsi"/>
        </w:rPr>
      </w:pPr>
      <w:r w:rsidRPr="00751BEC">
        <w:rPr>
          <w:rFonts w:cstheme="minorHAnsi"/>
          <w:b/>
          <w:bCs/>
          <w:i/>
          <w:iCs/>
        </w:rPr>
        <w:t xml:space="preserve">highest astronomical tide </w:t>
      </w:r>
      <w:r w:rsidRPr="00751BEC">
        <w:rPr>
          <w:rFonts w:cstheme="minorHAnsi"/>
        </w:rPr>
        <w:t>means the highest tide level which can be predicted to occur under average meteorological conditions and any combination of astronomical conditions.</w:t>
      </w:r>
    </w:p>
    <w:p w14:paraId="63922617" w14:textId="7B9DA36E" w:rsidR="00F67F72" w:rsidRPr="00751BEC" w:rsidRDefault="00F67F72" w:rsidP="00CB73F7">
      <w:pPr>
        <w:pStyle w:val="CERbullets"/>
        <w:numPr>
          <w:ilvl w:val="1"/>
          <w:numId w:val="21"/>
        </w:numPr>
        <w:rPr>
          <w:rFonts w:cstheme="minorHAnsi"/>
        </w:rPr>
      </w:pPr>
      <w:r w:rsidRPr="00751BEC">
        <w:rPr>
          <w:rFonts w:cstheme="minorHAnsi"/>
          <w:b/>
          <w:bCs/>
          <w:i/>
          <w:iCs/>
        </w:rPr>
        <w:t xml:space="preserve">lowest astronomical tide </w:t>
      </w:r>
      <w:r w:rsidRPr="00751BEC">
        <w:rPr>
          <w:rFonts w:cstheme="minorHAnsi"/>
        </w:rPr>
        <w:t>means the lowest tide level which can be predicted to occur under average meteorological conditions and any combination of astronomical conditions.</w:t>
      </w:r>
    </w:p>
    <w:p w14:paraId="6993AEAA" w14:textId="77777777" w:rsidR="00F67F72" w:rsidRPr="00751BEC" w:rsidRDefault="00F67F72" w:rsidP="00490034">
      <w:pPr>
        <w:pStyle w:val="tDefn"/>
        <w:spacing w:before="0"/>
        <w:ind w:left="1440"/>
        <w:rPr>
          <w:rFonts w:cstheme="minorHAnsi"/>
        </w:rPr>
      </w:pPr>
    </w:p>
    <w:bookmarkEnd w:id="4"/>
    <w:p w14:paraId="035F3DD1" w14:textId="77777777" w:rsidR="00027D41" w:rsidRPr="00751BEC" w:rsidRDefault="00027D41" w:rsidP="00317D83">
      <w:r w:rsidRPr="00751BEC">
        <w:t>Enter data in cells highlighted blue in column H relating to fuel consumed (</w:t>
      </w:r>
      <w:proofErr w:type="spellStart"/>
      <w:r w:rsidRPr="00751BEC">
        <w:rPr>
          <w:b/>
          <w:bCs/>
        </w:rPr>
        <w:t>Q</w:t>
      </w:r>
      <w:r w:rsidRPr="00751BEC">
        <w:rPr>
          <w:b/>
          <w:bCs/>
          <w:i/>
          <w:iCs/>
          <w:vertAlign w:val="subscript"/>
        </w:rPr>
        <w:t>f</w:t>
      </w:r>
      <w:proofErr w:type="spellEnd"/>
      <w:r w:rsidRPr="00751BEC">
        <w:t xml:space="preserve">) to undertake project activities for each project area. Enter the fuel use for the reporting period in the relevant worksheet if the project area covers more than one BlueCAM region. BlueCAM uses the emissions factor values from Schedule 1 Part 4 of the </w:t>
      </w:r>
      <w:r w:rsidRPr="00751BEC">
        <w:rPr>
          <w:i/>
          <w:iCs/>
        </w:rPr>
        <w:t>National Greenhouse and Energy Reporting (Measurement Determination) 2008.</w:t>
      </w:r>
      <w:r w:rsidRPr="00751BEC">
        <w:t xml:space="preserve"> There are separate emissions factors for vehicle models prior to 2004 (Division 4.1) and post-2004 (Division 4.2). Note that the units are in kilolitres (1,000 litres)</w:t>
      </w:r>
      <w:r w:rsidRPr="00751BEC" w:rsidDel="00DF3431">
        <w:t xml:space="preserve"> </w:t>
      </w:r>
      <w:r w:rsidRPr="00751BEC">
        <w:t>to one</w:t>
      </w:r>
      <w:r w:rsidRPr="00751BEC" w:rsidDel="00DF3431">
        <w:t xml:space="preserve"> decimal place</w:t>
      </w:r>
      <w:r w:rsidRPr="00751BEC">
        <w:t xml:space="preserve">.  </w:t>
      </w:r>
    </w:p>
    <w:p w14:paraId="77D33E95" w14:textId="77777777" w:rsidR="00027D41" w:rsidRPr="00751BEC" w:rsidRDefault="00027D41" w:rsidP="00CB73F7">
      <w:pPr>
        <w:pStyle w:val="CERbullets"/>
      </w:pPr>
      <w:r w:rsidRPr="00751BEC">
        <w:rPr>
          <w:b/>
          <w:bCs/>
        </w:rPr>
        <w:t>H3-H6</w:t>
      </w:r>
      <w:r w:rsidRPr="00751BEC">
        <w:t xml:space="preserve">: Enter the amount of fuel consumed to undertake project activities for the project area for the reporting period into the appropriate cell based on the fuel type (gasoline, diesel) and vehicle model (pre or post-2004). </w:t>
      </w:r>
    </w:p>
    <w:p w14:paraId="7E14DB27" w14:textId="466EDBAC" w:rsidR="00027D41" w:rsidRPr="00751BEC" w:rsidRDefault="00027D41" w:rsidP="00317D83">
      <w:r w:rsidRPr="00751BEC">
        <w:t xml:space="preserve">Enter data in cells highlighted blue from column K to column </w:t>
      </w:r>
      <w:r w:rsidR="005913B8" w:rsidRPr="00751BEC">
        <w:t>T</w:t>
      </w:r>
      <w:r w:rsidRPr="00751BEC">
        <w:t xml:space="preserve"> which apply to each CEA</w:t>
      </w:r>
      <w:r w:rsidR="00CF297A" w:rsidRPr="00751BEC">
        <w:t xml:space="preserve"> in the project area</w:t>
      </w:r>
      <w:r w:rsidRPr="00751BEC">
        <w:t>. For each CEA enter the following data:</w:t>
      </w:r>
    </w:p>
    <w:p w14:paraId="01285F48" w14:textId="77777777" w:rsidR="00027D41" w:rsidRPr="00751BEC" w:rsidRDefault="00027D41" w:rsidP="00CB73F7">
      <w:pPr>
        <w:pStyle w:val="CERbullets"/>
      </w:pPr>
      <w:r w:rsidRPr="00751BEC">
        <w:rPr>
          <w:b/>
          <w:bCs/>
        </w:rPr>
        <w:t>Column K:</w:t>
      </w:r>
      <w:r w:rsidRPr="00751BEC">
        <w:t xml:space="preserve"> Enter the CEA area (</w:t>
      </w:r>
      <w:r w:rsidRPr="00751BEC">
        <w:rPr>
          <w:b/>
          <w:bCs/>
        </w:rPr>
        <w:t>ACEA</w:t>
      </w:r>
      <w:r w:rsidRPr="00751BEC">
        <w:t xml:space="preserve">) in hectares to one decimal place as calculated in accordance with the Blue Carbon Supplement. </w:t>
      </w:r>
    </w:p>
    <w:p w14:paraId="04DC073B" w14:textId="77777777" w:rsidR="00027D41" w:rsidRPr="00751BEC" w:rsidRDefault="00027D41" w:rsidP="00CB73F7">
      <w:pPr>
        <w:pStyle w:val="CERbullets"/>
      </w:pPr>
      <w:bookmarkStart w:id="6" w:name="_Hlk82025986"/>
      <w:r w:rsidRPr="00751BEC">
        <w:rPr>
          <w:b/>
          <w:bCs/>
        </w:rPr>
        <w:t>Column L:</w:t>
      </w:r>
      <w:r w:rsidRPr="00751BEC">
        <w:t xml:space="preserve"> Enter the average elevation of the CEA in meters to one decimal place with respect to the Australian Height Datum (AHD) as identified in accordance with the Blue Carbon Supplement.</w:t>
      </w:r>
    </w:p>
    <w:bookmarkEnd w:id="6"/>
    <w:p w14:paraId="080E0D26" w14:textId="665DA5E4" w:rsidR="00027D41" w:rsidRPr="00751BEC" w:rsidRDefault="00027D41" w:rsidP="00CB73F7">
      <w:pPr>
        <w:pStyle w:val="CERbullets"/>
      </w:pPr>
      <w:r w:rsidRPr="00751BEC">
        <w:rPr>
          <w:b/>
          <w:bCs/>
        </w:rPr>
        <w:t>Column M:</w:t>
      </w:r>
      <w:r w:rsidRPr="00751BEC">
        <w:t xml:space="preserve"> Has the CEA been affected by tidal flows from </w:t>
      </w:r>
      <w:r w:rsidR="00801F00" w:rsidRPr="00751BEC">
        <w:t xml:space="preserve">the eligible </w:t>
      </w:r>
      <w:r w:rsidRPr="00751BEC">
        <w:t xml:space="preserve">project activities? Some CEAs may not immediately be affected by the </w:t>
      </w:r>
      <w:r w:rsidR="00801F00" w:rsidRPr="00751BEC">
        <w:t xml:space="preserve">eligible project activities </w:t>
      </w:r>
      <w:r w:rsidRPr="00751BEC">
        <w:t xml:space="preserve">and may experience tidal flows in later years of the project. Select ‘Yes’ if the CEA experienced flows due to the </w:t>
      </w:r>
      <w:r w:rsidR="00801F00" w:rsidRPr="00751BEC">
        <w:t xml:space="preserve">eligible project activity </w:t>
      </w:r>
      <w:r w:rsidRPr="00751BEC">
        <w:t xml:space="preserve">in the reporting period, or ‘No’ if the CEA did not experience tidal flows due to the </w:t>
      </w:r>
      <w:r w:rsidR="00801F00" w:rsidRPr="00751BEC">
        <w:t xml:space="preserve">eligible project activities </w:t>
      </w:r>
      <w:r w:rsidRPr="00751BEC">
        <w:t>in the reporting period.</w:t>
      </w:r>
    </w:p>
    <w:p w14:paraId="1E1B17F2" w14:textId="77777777" w:rsidR="00027D41" w:rsidRPr="00751BEC" w:rsidRDefault="00027D41" w:rsidP="00CB73F7">
      <w:pPr>
        <w:pStyle w:val="CERbullets"/>
      </w:pPr>
      <w:r w:rsidRPr="00751BEC">
        <w:rPr>
          <w:b/>
          <w:bCs/>
        </w:rPr>
        <w:t>Column N:</w:t>
      </w:r>
      <w:r w:rsidRPr="00751BEC">
        <w:t xml:space="preserve"> For the first reporting period for the CEA, select ‘Yes’. Otherwise, select ‘No’. </w:t>
      </w:r>
    </w:p>
    <w:p w14:paraId="10726EC6" w14:textId="15581B51" w:rsidR="00027D41" w:rsidRPr="00751BEC" w:rsidRDefault="00027D41" w:rsidP="00CB73F7">
      <w:pPr>
        <w:pStyle w:val="CERbullets"/>
      </w:pPr>
      <w:r w:rsidRPr="00751BEC">
        <w:rPr>
          <w:b/>
          <w:bCs/>
        </w:rPr>
        <w:t>Column O:</w:t>
      </w:r>
      <w:r w:rsidRPr="00751BEC">
        <w:t xml:space="preserve"> Select the land</w:t>
      </w:r>
      <w:r w:rsidR="00CF297A" w:rsidRPr="00751BEC">
        <w:t xml:space="preserve"> </w:t>
      </w:r>
      <w:r w:rsidRPr="00751BEC">
        <w:t xml:space="preserve">type for the CEA at the date of </w:t>
      </w:r>
      <w:r w:rsidR="009430C7" w:rsidRPr="00751BEC">
        <w:t>declaration of the project as an eligible offsets project (date of project registration)</w:t>
      </w:r>
      <w:r w:rsidRPr="00751BEC">
        <w:t xml:space="preserve">, this is the baseline land type. </w:t>
      </w:r>
      <w:r w:rsidR="006B0967" w:rsidRPr="00751BEC">
        <w:t xml:space="preserve">Use the arrows or scroll bar in the drop down </w:t>
      </w:r>
      <w:r w:rsidR="005C22F6" w:rsidRPr="00751BEC">
        <w:t>menu</w:t>
      </w:r>
      <w:r w:rsidR="006B0967" w:rsidRPr="00751BEC">
        <w:t xml:space="preserve"> to select the appropriate type for your project. </w:t>
      </w:r>
      <w:r w:rsidR="00CF297A" w:rsidRPr="00751BEC">
        <w:t>Refer to</w:t>
      </w:r>
      <w:r w:rsidRPr="00751BEC">
        <w:t xml:space="preserve"> the land type definitions below.</w:t>
      </w:r>
    </w:p>
    <w:p w14:paraId="11104F0A" w14:textId="61E20EDC" w:rsidR="00027D41" w:rsidRPr="00751BEC" w:rsidRDefault="00027D41" w:rsidP="00CB73F7">
      <w:pPr>
        <w:pStyle w:val="CERbullets"/>
      </w:pPr>
      <w:r w:rsidRPr="00751BEC">
        <w:rPr>
          <w:b/>
          <w:bCs/>
        </w:rPr>
        <w:t>Column P:</w:t>
      </w:r>
      <w:r w:rsidRPr="00751BEC">
        <w:t xml:space="preserve"> If in a subsequent reporting period for the CEA, select the land type for the CEA at the end of the previous reporting period. Otherwise, select ‘NA’. </w:t>
      </w:r>
    </w:p>
    <w:p w14:paraId="39B4F372" w14:textId="09BB2C4B" w:rsidR="00027D41" w:rsidRPr="00751BEC" w:rsidRDefault="00027D41" w:rsidP="00CB73F7">
      <w:pPr>
        <w:pStyle w:val="CERbullets"/>
      </w:pPr>
      <w:r w:rsidRPr="00751BEC">
        <w:rPr>
          <w:b/>
          <w:bCs/>
        </w:rPr>
        <w:t>Column Q:</w:t>
      </w:r>
      <w:r w:rsidRPr="00751BEC">
        <w:t xml:space="preserve"> Select the </w:t>
      </w:r>
      <w:r w:rsidR="00B97018" w:rsidRPr="00CB73F7">
        <w:t>dominant</w:t>
      </w:r>
      <w:r w:rsidR="00B97018" w:rsidRPr="00751BEC">
        <w:t xml:space="preserve"> </w:t>
      </w:r>
      <w:r w:rsidRPr="00402106">
        <w:t>land type</w:t>
      </w:r>
      <w:r w:rsidRPr="00751BEC">
        <w:t xml:space="preserve"> for the CEA at the end of the current reporting period. </w:t>
      </w:r>
      <w:r w:rsidR="0055610D" w:rsidRPr="00CB73F7">
        <w:t>Refer to the guidance provided below on how to define a coastal ecosystem type for a CEA where multiple coastal ecosystem types co-exist.</w:t>
      </w:r>
      <w:r w:rsidR="0055610D" w:rsidRPr="00751BEC">
        <w:t xml:space="preserve"> </w:t>
      </w:r>
      <w:r w:rsidRPr="00402106">
        <w:t>BlueCAM compares the lan</w:t>
      </w:r>
      <w:r w:rsidRPr="00751BEC">
        <w:t>d type for the current reporting period with the land</w:t>
      </w:r>
      <w:r w:rsidR="00CF297A" w:rsidRPr="00751BEC">
        <w:t xml:space="preserve"> </w:t>
      </w:r>
      <w:r w:rsidRPr="00751BEC">
        <w:t xml:space="preserve">type for the previous reporting period and baseline period and includes estimates of emissions </w:t>
      </w:r>
      <w:r w:rsidRPr="00751BEC">
        <w:lastRenderedPageBreak/>
        <w:t xml:space="preserve">and abatement if a transition has occurred. </w:t>
      </w:r>
      <w:r w:rsidR="00FF0E22" w:rsidRPr="00751BEC">
        <w:t xml:space="preserve">A transition occurs when a coastal wetland ecosystem first establishes in the CEA. </w:t>
      </w:r>
      <w:r w:rsidR="00E04CC3" w:rsidRPr="00751BEC">
        <w:t>If a coastal wetland ecosystem has not established in the CEA, enter the land use type for the end of the previous reporting period.</w:t>
      </w:r>
      <w:r w:rsidR="00FF0E22" w:rsidRPr="00751BEC">
        <w:t xml:space="preserve"> </w:t>
      </w:r>
    </w:p>
    <w:p w14:paraId="3E656EC2" w14:textId="6B679D15" w:rsidR="00A85868" w:rsidRPr="00751BEC" w:rsidRDefault="00027D41" w:rsidP="00CB73F7">
      <w:pPr>
        <w:pStyle w:val="CERbullets"/>
      </w:pPr>
      <w:r w:rsidRPr="00751BEC">
        <w:rPr>
          <w:b/>
          <w:bCs/>
        </w:rPr>
        <w:t>Column R:</w:t>
      </w:r>
      <w:r w:rsidRPr="00751BEC">
        <w:rPr>
          <w:b/>
        </w:rPr>
        <w:t xml:space="preserve"> </w:t>
      </w:r>
      <w:r w:rsidR="00CF297A" w:rsidRPr="00751BEC">
        <w:t xml:space="preserve">Has </w:t>
      </w:r>
      <w:r w:rsidR="00FF0E22" w:rsidRPr="00751BEC">
        <w:t xml:space="preserve">a </w:t>
      </w:r>
      <w:r w:rsidR="00CF297A" w:rsidRPr="00751BEC">
        <w:t xml:space="preserve">coastal wetland </w:t>
      </w:r>
      <w:r w:rsidR="00006869" w:rsidRPr="00751BEC">
        <w:t xml:space="preserve">ecosystem previously established in the CEA? Enter the age of the coastal wetland vegetation at the end of the previous reporting period. If coastal wetland vegetation has not established, enter 0 or leave </w:t>
      </w:r>
      <w:r w:rsidR="00615307" w:rsidRPr="00751BEC">
        <w:t>the cell</w:t>
      </w:r>
      <w:r w:rsidR="00006869" w:rsidRPr="00751BEC">
        <w:t xml:space="preserve"> blank. </w:t>
      </w:r>
    </w:p>
    <w:p w14:paraId="6DEC3AD2" w14:textId="4480732E" w:rsidR="00027D41" w:rsidRPr="00751BEC" w:rsidRDefault="00027D41" w:rsidP="00CB73F7">
      <w:pPr>
        <w:pStyle w:val="CERbullets"/>
      </w:pPr>
      <w:r w:rsidRPr="00751BEC">
        <w:rPr>
          <w:b/>
          <w:bCs/>
        </w:rPr>
        <w:t xml:space="preserve">Column </w:t>
      </w:r>
      <w:r w:rsidR="00006869" w:rsidRPr="00751BEC">
        <w:rPr>
          <w:b/>
          <w:bCs/>
        </w:rPr>
        <w:t>S</w:t>
      </w:r>
      <w:r w:rsidRPr="00751BEC">
        <w:rPr>
          <w:b/>
          <w:bCs/>
        </w:rPr>
        <w:t>:</w:t>
      </w:r>
      <w:r w:rsidRPr="00751BEC">
        <w:t xml:space="preserve"> </w:t>
      </w:r>
      <w:r w:rsidR="00CF297A" w:rsidRPr="00751BEC">
        <w:t xml:space="preserve">Has </w:t>
      </w:r>
      <w:r w:rsidR="00FF0E22" w:rsidRPr="00751BEC">
        <w:t xml:space="preserve">a </w:t>
      </w:r>
      <w:r w:rsidR="00CF297A" w:rsidRPr="00751BEC">
        <w:t xml:space="preserve">coastal wetland </w:t>
      </w:r>
      <w:r w:rsidR="00FF0E22" w:rsidRPr="00751BEC">
        <w:t>ecosystem</w:t>
      </w:r>
      <w:r w:rsidR="00CF297A" w:rsidRPr="00751BEC">
        <w:t xml:space="preserve"> established in the CEA</w:t>
      </w:r>
      <w:r w:rsidR="00006869" w:rsidRPr="00751BEC">
        <w:t xml:space="preserve"> in the current reporting period</w:t>
      </w:r>
      <w:r w:rsidR="00CF297A" w:rsidRPr="00751BEC">
        <w:t xml:space="preserve">? </w:t>
      </w:r>
      <w:r w:rsidRPr="00751BEC">
        <w:t>Enter the age</w:t>
      </w:r>
      <w:r w:rsidRPr="00751BEC" w:rsidDel="00EF0A55">
        <w:t xml:space="preserve"> </w:t>
      </w:r>
      <w:r w:rsidRPr="00751BEC">
        <w:t xml:space="preserve">of the coastal wetland </w:t>
      </w:r>
      <w:r w:rsidR="001C1ED5" w:rsidRPr="00751BEC">
        <w:t>vegetation</w:t>
      </w:r>
      <w:r w:rsidR="00FF0E22" w:rsidRPr="00751BEC">
        <w:t xml:space="preserve"> in the ecosystem</w:t>
      </w:r>
      <w:r w:rsidRPr="00751BEC">
        <w:t xml:space="preserve"> since it first established in the project area. For example, the number of years since mangrove propagules, supratidal tree species, seagrass or very small saltmarsh plants were established and first observed in the project area. Enter the age in whole years rounded down to the nearest whole year. </w:t>
      </w:r>
    </w:p>
    <w:p w14:paraId="1A998566" w14:textId="0ECF7DC3" w:rsidR="00027D41" w:rsidRPr="00751BEC" w:rsidRDefault="00027D41" w:rsidP="00CB73F7">
      <w:pPr>
        <w:pStyle w:val="CERbullets"/>
        <w:numPr>
          <w:ilvl w:val="1"/>
          <w:numId w:val="21"/>
        </w:numPr>
      </w:pPr>
      <w:r w:rsidRPr="00751BEC">
        <w:t xml:space="preserve">Note that </w:t>
      </w:r>
      <w:r w:rsidR="00D30274" w:rsidRPr="00751BEC">
        <w:t xml:space="preserve">for </w:t>
      </w:r>
      <w:r w:rsidRPr="00751BEC">
        <w:t>s</w:t>
      </w:r>
      <w:r w:rsidR="001C1ED5" w:rsidRPr="00751BEC">
        <w:t>ection</w:t>
      </w:r>
      <w:r w:rsidRPr="00751BEC">
        <w:t xml:space="preserve"> </w:t>
      </w:r>
      <w:r w:rsidR="00D30274" w:rsidRPr="00751BEC">
        <w:t>22(1)(c)</w:t>
      </w:r>
      <w:r w:rsidRPr="00751BEC">
        <w:t xml:space="preserve"> of the Determination</w:t>
      </w:r>
      <w:r w:rsidR="00D30274" w:rsidRPr="00751BEC">
        <w:t>, the Supplement</w:t>
      </w:r>
      <w:r w:rsidRPr="00751BEC">
        <w:t xml:space="preserve"> requires that for a CEA comprising supratidal forest or mangroves, vegetation within a CEA must be of similar age such that 90 per cent of the plants comprising the land type have first established over a period of time no greater than 5 years.</w:t>
      </w:r>
    </w:p>
    <w:p w14:paraId="0AFBA6D5" w14:textId="0023AF15" w:rsidR="005913B8" w:rsidRPr="00CB73F7" w:rsidRDefault="005913B8" w:rsidP="00CB73F7">
      <w:pPr>
        <w:pStyle w:val="CERbullets"/>
      </w:pPr>
      <w:r w:rsidRPr="00CB73F7">
        <w:rPr>
          <w:b/>
          <w:bCs/>
        </w:rPr>
        <w:t xml:space="preserve">Column T: </w:t>
      </w:r>
      <w:r w:rsidRPr="00CB73F7">
        <w:t>Have excavation activities occurred in the CEA during the reporting period? If excavation activities have occurred, enter the area of the CEA that that has been excavated in hectares to one decimal place. If excavation activities have not occurred in the CEA during the reporting period, enter 0</w:t>
      </w:r>
      <w:r w:rsidR="00615307" w:rsidRPr="00CB73F7">
        <w:t xml:space="preserve">. </w:t>
      </w:r>
    </w:p>
    <w:p w14:paraId="0E9F5E51" w14:textId="77777777" w:rsidR="00027D41" w:rsidRPr="00751BEC" w:rsidRDefault="00027D41" w:rsidP="00CB73F7">
      <w:pPr>
        <w:pStyle w:val="CERbullets"/>
      </w:pPr>
      <w:r w:rsidRPr="00751BEC">
        <w:t xml:space="preserve">For reporting periods other than the first </w:t>
      </w:r>
      <w:r w:rsidRPr="00402106">
        <w:t xml:space="preserve">reporting period, enter data into the carry over net abatement </w:t>
      </w:r>
      <w:r w:rsidRPr="00402106">
        <w:br/>
        <w:t>(</w:t>
      </w:r>
      <w:r w:rsidRPr="00751BEC">
        <w:rPr>
          <w:b/>
          <w:bCs/>
        </w:rPr>
        <w:t>A</w:t>
      </w:r>
      <w:r w:rsidRPr="00751BEC">
        <w:rPr>
          <w:b/>
          <w:bCs/>
          <w:vertAlign w:val="subscript"/>
        </w:rPr>
        <w:t>r-1</w:t>
      </w:r>
      <w:r w:rsidRPr="00751BEC">
        <w:t xml:space="preserve">) which applies to the project area: </w:t>
      </w:r>
    </w:p>
    <w:p w14:paraId="12F20F1D" w14:textId="72845F20" w:rsidR="00027D41" w:rsidRPr="00751BEC" w:rsidRDefault="00027D41" w:rsidP="00CB73F7">
      <w:pPr>
        <w:pStyle w:val="CERbullets"/>
      </w:pPr>
      <w:r w:rsidRPr="00751BEC">
        <w:rPr>
          <w:b/>
          <w:bCs/>
        </w:rPr>
        <w:t>Column A</w:t>
      </w:r>
      <w:r w:rsidR="00006869" w:rsidRPr="00751BEC">
        <w:rPr>
          <w:b/>
          <w:bCs/>
        </w:rPr>
        <w:t>O</w:t>
      </w:r>
      <w:r w:rsidRPr="00751BEC">
        <w:t>: Only enter a value for this cell if for the previous reporting period there was negative net abatement. That is, a negative output number in BlueCAM in cell A</w:t>
      </w:r>
      <w:r w:rsidR="00006869" w:rsidRPr="00751BEC">
        <w:t>T</w:t>
      </w:r>
      <w:r w:rsidRPr="00751BEC">
        <w:t>3 (</w:t>
      </w:r>
      <w:proofErr w:type="spellStart"/>
      <w:r w:rsidR="001C1ED5" w:rsidRPr="00751BEC">
        <w:rPr>
          <w:b/>
          <w:bCs/>
        </w:rPr>
        <w:t>A</w:t>
      </w:r>
      <w:r w:rsidR="001C1ED5" w:rsidRPr="00751BEC">
        <w:rPr>
          <w:b/>
          <w:bCs/>
          <w:vertAlign w:val="subscript"/>
        </w:rPr>
        <w:t>r</w:t>
      </w:r>
      <w:proofErr w:type="spellEnd"/>
      <w:r w:rsidRPr="00751BEC">
        <w:t xml:space="preserve">) for the previous reporting period. In this case, enter that number into cell </w:t>
      </w:r>
      <w:r w:rsidR="001C1ED5" w:rsidRPr="00751BEC">
        <w:t>A</w:t>
      </w:r>
      <w:r w:rsidR="00006869" w:rsidRPr="00751BEC">
        <w:t>O</w:t>
      </w:r>
      <w:r w:rsidRPr="00751BEC">
        <w:t xml:space="preserve">3 for this reporting period to the nearest whole number. </w:t>
      </w:r>
    </w:p>
    <w:p w14:paraId="6B3A7C29" w14:textId="77777777" w:rsidR="00027D41" w:rsidRPr="00EB075A" w:rsidRDefault="00027D41" w:rsidP="00EB075A">
      <w:pPr>
        <w:pStyle w:val="Heading2"/>
      </w:pPr>
      <w:r w:rsidRPr="00EB075A">
        <w:t>Interpreting the results</w:t>
      </w:r>
    </w:p>
    <w:p w14:paraId="3DBA2CAD" w14:textId="74572C79" w:rsidR="00027D41" w:rsidRPr="00751BEC" w:rsidRDefault="00027D41" w:rsidP="00B77410">
      <w:r w:rsidRPr="00751BEC">
        <w:t xml:space="preserve">The outputs of BlueCAM </w:t>
      </w:r>
      <w:r w:rsidR="00B77410" w:rsidRPr="00402106">
        <w:t xml:space="preserve">are </w:t>
      </w:r>
      <w:r w:rsidRPr="00751BEC">
        <w:t xml:space="preserve">separated into </w:t>
      </w:r>
      <w:r w:rsidR="00B945CE" w:rsidRPr="00751BEC">
        <w:t xml:space="preserve">the emissions source and carbon pool </w:t>
      </w:r>
      <w:r w:rsidRPr="00751BEC">
        <w:t>components of the Blue Carbon project for each CEA in tonnes CO</w:t>
      </w:r>
      <w:r w:rsidRPr="00751BEC">
        <w:rPr>
          <w:vertAlign w:val="subscript"/>
        </w:rPr>
        <w:t>2</w:t>
      </w:r>
      <w:r w:rsidRPr="00751BEC">
        <w:t>-e</w:t>
      </w:r>
      <w:r w:rsidR="00B77410" w:rsidRPr="00751BEC">
        <w:t xml:space="preserve"> in </w:t>
      </w:r>
      <w:r w:rsidR="00B77410" w:rsidRPr="00751BEC">
        <w:rPr>
          <w:b/>
          <w:bCs/>
        </w:rPr>
        <w:t xml:space="preserve">Columns </w:t>
      </w:r>
      <w:r w:rsidR="00006869" w:rsidRPr="00751BEC">
        <w:rPr>
          <w:b/>
          <w:bCs/>
        </w:rPr>
        <w:t>V</w:t>
      </w:r>
      <w:r w:rsidR="00B77410" w:rsidRPr="00751BEC">
        <w:rPr>
          <w:b/>
          <w:bCs/>
        </w:rPr>
        <w:t>-A</w:t>
      </w:r>
      <w:r w:rsidR="00006869" w:rsidRPr="00751BEC">
        <w:rPr>
          <w:b/>
          <w:bCs/>
        </w:rPr>
        <w:t>T</w:t>
      </w:r>
      <w:r w:rsidRPr="00751BEC">
        <w:t xml:space="preserve">. These parameters </w:t>
      </w:r>
      <w:r w:rsidR="00615E04" w:rsidRPr="00751BEC">
        <w:t xml:space="preserve">align with the equations in the Determination and </w:t>
      </w:r>
      <w:r w:rsidRPr="00751BEC">
        <w:t>are used in the su</w:t>
      </w:r>
      <w:r w:rsidR="00615E04" w:rsidRPr="00751BEC">
        <w:t>mmary</w:t>
      </w:r>
      <w:r w:rsidRPr="00751BEC">
        <w:t xml:space="preserve"> calculations </w:t>
      </w:r>
      <w:r w:rsidR="00615E04" w:rsidRPr="00751BEC">
        <w:t xml:space="preserve">in BlueCAM </w:t>
      </w:r>
      <w:r w:rsidRPr="00751BEC">
        <w:t>to determine the net abatement amount</w:t>
      </w:r>
      <w:r w:rsidR="00615E04" w:rsidRPr="00751BEC">
        <w:t xml:space="preserve"> for the reporting period</w:t>
      </w:r>
      <w:r w:rsidRPr="00751BEC">
        <w:t>.</w:t>
      </w:r>
      <w:r w:rsidR="00615E04" w:rsidRPr="00751BEC">
        <w:t xml:space="preserve"> A description of the parameters is included below. </w:t>
      </w:r>
      <w:r w:rsidRPr="00751BEC">
        <w:t xml:space="preserve"> </w:t>
      </w:r>
    </w:p>
    <w:p w14:paraId="4C13C199" w14:textId="1C8F9A51" w:rsidR="00B77410" w:rsidRPr="00751BEC" w:rsidRDefault="00B77410" w:rsidP="00EA5FA4">
      <w:pPr>
        <w:pStyle w:val="Heading3"/>
      </w:pPr>
      <w:r w:rsidRPr="00751BEC">
        <w:t>Greenhouse gas</w:t>
      </w:r>
      <w:r w:rsidR="00B945CE" w:rsidRPr="00751BEC">
        <w:t xml:space="preserve"> emissions source</w:t>
      </w:r>
      <w:r w:rsidRPr="00751BEC">
        <w:t xml:space="preserve"> </w:t>
      </w:r>
    </w:p>
    <w:p w14:paraId="77B126F3" w14:textId="058F290E" w:rsidR="00027D41" w:rsidRPr="00751BEC" w:rsidRDefault="00027D41" w:rsidP="00CB73F7">
      <w:pPr>
        <w:pStyle w:val="CERbullets"/>
      </w:pPr>
      <w:r w:rsidRPr="00751BEC">
        <w:rPr>
          <w:b/>
          <w:bCs/>
        </w:rPr>
        <w:t xml:space="preserve">Column </w:t>
      </w:r>
      <w:r w:rsidR="00006869" w:rsidRPr="00751BEC">
        <w:rPr>
          <w:b/>
          <w:bCs/>
        </w:rPr>
        <w:t>V</w:t>
      </w:r>
      <w:r w:rsidRPr="00751BEC">
        <w:t>: Avoided emissions of CO</w:t>
      </w:r>
      <w:r w:rsidRPr="00751BEC">
        <w:rPr>
          <w:vertAlign w:val="subscript"/>
        </w:rPr>
        <w:t xml:space="preserve">2 </w:t>
      </w:r>
      <w:r w:rsidRPr="00751BEC">
        <w:t>(</w:t>
      </w:r>
      <w:r w:rsidRPr="00751BEC">
        <w:rPr>
          <w:b/>
          <w:bCs/>
        </w:rPr>
        <w:t>E</w:t>
      </w:r>
      <w:r w:rsidRPr="00751BEC">
        <w:rPr>
          <w:b/>
          <w:bCs/>
          <w:vertAlign w:val="subscript"/>
        </w:rPr>
        <w:t>B,CO2</w:t>
      </w:r>
      <w:r w:rsidRPr="00751BEC">
        <w:t>) determined based on the baseline land type</w:t>
      </w:r>
      <w:r w:rsidR="00615E04" w:rsidRPr="00751BEC">
        <w:t xml:space="preserve"> (equation </w:t>
      </w:r>
      <w:r w:rsidR="00152631" w:rsidRPr="00751BEC">
        <w:t>9</w:t>
      </w:r>
      <w:r w:rsidR="00615E04" w:rsidRPr="00751BEC">
        <w:t>)</w:t>
      </w:r>
      <w:r w:rsidRPr="00751BEC">
        <w:t xml:space="preserve">. </w:t>
      </w:r>
    </w:p>
    <w:p w14:paraId="62303D20" w14:textId="0038F364" w:rsidR="00027D41" w:rsidRPr="00751BEC" w:rsidRDefault="00027D41" w:rsidP="00CB73F7">
      <w:pPr>
        <w:pStyle w:val="CERbullets"/>
      </w:pPr>
      <w:r w:rsidRPr="00751BEC">
        <w:rPr>
          <w:b/>
          <w:bCs/>
        </w:rPr>
        <w:t xml:space="preserve">Column </w:t>
      </w:r>
      <w:r w:rsidR="00006869" w:rsidRPr="00751BEC">
        <w:rPr>
          <w:b/>
          <w:bCs/>
        </w:rPr>
        <w:t>W</w:t>
      </w:r>
      <w:r w:rsidRPr="00751BEC">
        <w:t>: Avoided emissions of CH</w:t>
      </w:r>
      <w:r w:rsidRPr="00751BEC">
        <w:rPr>
          <w:vertAlign w:val="subscript"/>
        </w:rPr>
        <w:t xml:space="preserve">4 </w:t>
      </w:r>
      <w:r w:rsidRPr="00751BEC">
        <w:t>(</w:t>
      </w:r>
      <w:r w:rsidRPr="00751BEC">
        <w:rPr>
          <w:b/>
          <w:bCs/>
        </w:rPr>
        <w:t>E</w:t>
      </w:r>
      <w:r w:rsidRPr="00751BEC">
        <w:rPr>
          <w:b/>
          <w:bCs/>
          <w:vertAlign w:val="subscript"/>
        </w:rPr>
        <w:t>B,CH4</w:t>
      </w:r>
      <w:r w:rsidRPr="00751BEC">
        <w:t xml:space="preserve">) determined based on the baseline land </w:t>
      </w:r>
      <w:r w:rsidR="00D64A8E" w:rsidRPr="00751BEC">
        <w:t>t</w:t>
      </w:r>
      <w:r w:rsidRPr="00751BEC">
        <w:t>ype</w:t>
      </w:r>
      <w:r w:rsidR="00615E04" w:rsidRPr="00751BEC">
        <w:t xml:space="preserve"> (equation </w:t>
      </w:r>
      <w:r w:rsidR="00152631" w:rsidRPr="00751BEC">
        <w:t>7</w:t>
      </w:r>
      <w:r w:rsidR="00615E04" w:rsidRPr="00751BEC">
        <w:t>)</w:t>
      </w:r>
      <w:r w:rsidRPr="00751BEC">
        <w:t>.</w:t>
      </w:r>
    </w:p>
    <w:p w14:paraId="6FA5D069" w14:textId="77B55880" w:rsidR="00027D41" w:rsidRPr="00751BEC" w:rsidRDefault="00027D41" w:rsidP="00CB73F7">
      <w:pPr>
        <w:pStyle w:val="CERbullets"/>
      </w:pPr>
      <w:r w:rsidRPr="00751BEC">
        <w:rPr>
          <w:b/>
          <w:bCs/>
        </w:rPr>
        <w:t xml:space="preserve">Column </w:t>
      </w:r>
      <w:r w:rsidR="00006869" w:rsidRPr="00751BEC">
        <w:rPr>
          <w:b/>
          <w:bCs/>
        </w:rPr>
        <w:t>X</w:t>
      </w:r>
      <w:r w:rsidRPr="00751BEC">
        <w:t>: Avoided emissions of N</w:t>
      </w:r>
      <w:r w:rsidRPr="00751BEC">
        <w:rPr>
          <w:vertAlign w:val="subscript"/>
        </w:rPr>
        <w:t>2</w:t>
      </w:r>
      <w:r w:rsidRPr="00751BEC">
        <w:t>O</w:t>
      </w:r>
      <w:r w:rsidRPr="00751BEC">
        <w:rPr>
          <w:vertAlign w:val="subscript"/>
        </w:rPr>
        <w:t xml:space="preserve"> </w:t>
      </w:r>
      <w:r w:rsidRPr="00751BEC">
        <w:t>(</w:t>
      </w:r>
      <w:r w:rsidRPr="00751BEC">
        <w:rPr>
          <w:b/>
          <w:bCs/>
        </w:rPr>
        <w:t>E</w:t>
      </w:r>
      <w:r w:rsidRPr="00751BEC">
        <w:rPr>
          <w:b/>
          <w:bCs/>
          <w:vertAlign w:val="subscript"/>
        </w:rPr>
        <w:t>B,N2O</w:t>
      </w:r>
      <w:r w:rsidRPr="00751BEC">
        <w:t xml:space="preserve">) determined based on the baseline land </w:t>
      </w:r>
      <w:r w:rsidR="00D64A8E" w:rsidRPr="00751BEC">
        <w:t>t</w:t>
      </w:r>
      <w:r w:rsidRPr="00751BEC">
        <w:t>ype</w:t>
      </w:r>
      <w:r w:rsidR="00615E04" w:rsidRPr="00751BEC">
        <w:t xml:space="preserve"> (equation </w:t>
      </w:r>
      <w:r w:rsidR="00152631" w:rsidRPr="00751BEC">
        <w:t>8</w:t>
      </w:r>
      <w:r w:rsidR="00615E04" w:rsidRPr="00751BEC">
        <w:t>)</w:t>
      </w:r>
      <w:r w:rsidRPr="00751BEC">
        <w:t>.</w:t>
      </w:r>
    </w:p>
    <w:p w14:paraId="405C5E26" w14:textId="6D115503" w:rsidR="00615E04" w:rsidRPr="00751BEC" w:rsidRDefault="00615E04" w:rsidP="00CB73F7">
      <w:pPr>
        <w:pStyle w:val="CERbullets"/>
      </w:pPr>
      <w:r w:rsidRPr="00751BEC">
        <w:rPr>
          <w:b/>
          <w:bCs/>
        </w:rPr>
        <w:t xml:space="preserve">Column </w:t>
      </w:r>
      <w:r w:rsidR="00006869" w:rsidRPr="00751BEC">
        <w:rPr>
          <w:b/>
          <w:bCs/>
        </w:rPr>
        <w:t>Y</w:t>
      </w:r>
      <w:r w:rsidRPr="00751BEC">
        <w:rPr>
          <w:b/>
          <w:bCs/>
        </w:rPr>
        <w:t xml:space="preserve">: </w:t>
      </w:r>
      <w:r w:rsidRPr="00751BEC">
        <w:t>Emissions of CO</w:t>
      </w:r>
      <w:r w:rsidRPr="00751BEC">
        <w:rPr>
          <w:vertAlign w:val="subscript"/>
        </w:rPr>
        <w:t>2</w:t>
      </w:r>
      <w:r w:rsidRPr="00751BEC">
        <w:t xml:space="preserve"> (</w:t>
      </w:r>
      <w:r w:rsidRPr="00751BEC">
        <w:rPr>
          <w:b/>
          <w:bCs/>
        </w:rPr>
        <w:t>E</w:t>
      </w:r>
      <w:r w:rsidR="00AB3F1E" w:rsidRPr="00751BEC">
        <w:rPr>
          <w:b/>
          <w:bCs/>
          <w:vertAlign w:val="subscript"/>
        </w:rPr>
        <w:t>B</w:t>
      </w:r>
      <w:r w:rsidRPr="00751BEC">
        <w:rPr>
          <w:b/>
          <w:bCs/>
          <w:vertAlign w:val="subscript"/>
        </w:rPr>
        <w:t>,CO2</w:t>
      </w:r>
      <w:r w:rsidRPr="00751BEC">
        <w:t xml:space="preserve">) for the reporting period determined based on the land type at the end of the reporting period (equation </w:t>
      </w:r>
      <w:r w:rsidR="00152631" w:rsidRPr="00751BEC">
        <w:t>9</w:t>
      </w:r>
      <w:r w:rsidR="008C01C2" w:rsidRPr="00751BEC">
        <w:t>)</w:t>
      </w:r>
      <w:r w:rsidRPr="00751BEC">
        <w:t xml:space="preserve">. </w:t>
      </w:r>
    </w:p>
    <w:p w14:paraId="39BDDEED" w14:textId="4444B734" w:rsidR="00F62833" w:rsidRPr="00751BEC" w:rsidRDefault="00615E04" w:rsidP="00CB73F7">
      <w:pPr>
        <w:pStyle w:val="CERbullets"/>
      </w:pPr>
      <w:r w:rsidRPr="00751BEC">
        <w:rPr>
          <w:b/>
          <w:bCs/>
        </w:rPr>
        <w:lastRenderedPageBreak/>
        <w:t xml:space="preserve">Column </w:t>
      </w:r>
      <w:r w:rsidR="00006869" w:rsidRPr="00751BEC">
        <w:rPr>
          <w:b/>
          <w:bCs/>
        </w:rPr>
        <w:t>Z</w:t>
      </w:r>
      <w:r w:rsidRPr="00751BEC">
        <w:rPr>
          <w:b/>
          <w:bCs/>
        </w:rPr>
        <w:t xml:space="preserve">: </w:t>
      </w:r>
      <w:r w:rsidRPr="00751BEC">
        <w:t>Emissions of CH</w:t>
      </w:r>
      <w:r w:rsidRPr="00751BEC">
        <w:rPr>
          <w:vertAlign w:val="subscript"/>
        </w:rPr>
        <w:t>4</w:t>
      </w:r>
      <w:r w:rsidRPr="00751BEC">
        <w:t xml:space="preserve"> (</w:t>
      </w:r>
      <w:r w:rsidRPr="00751BEC">
        <w:rPr>
          <w:b/>
          <w:bCs/>
        </w:rPr>
        <w:t>E</w:t>
      </w:r>
      <w:r w:rsidR="00AB3F1E" w:rsidRPr="00751BEC">
        <w:rPr>
          <w:b/>
          <w:bCs/>
          <w:vertAlign w:val="subscript"/>
        </w:rPr>
        <w:t>r,</w:t>
      </w:r>
      <w:r w:rsidRPr="00751BEC">
        <w:rPr>
          <w:b/>
          <w:bCs/>
          <w:vertAlign w:val="subscript"/>
        </w:rPr>
        <w:t>CW,CH4</w:t>
      </w:r>
      <w:r w:rsidRPr="00751BEC">
        <w:t>) for the reporting period determined based on the land type at the end of the reporting period</w:t>
      </w:r>
      <w:r w:rsidR="008C01C2" w:rsidRPr="00751BEC">
        <w:t xml:space="preserve"> (</w:t>
      </w:r>
      <w:r w:rsidR="00F62833" w:rsidRPr="00751BEC">
        <w:t>equation 10)</w:t>
      </w:r>
      <w:r w:rsidRPr="00751BEC">
        <w:t>.</w:t>
      </w:r>
    </w:p>
    <w:p w14:paraId="441E0D61" w14:textId="736B0DCF" w:rsidR="00F62833" w:rsidRPr="00751BEC" w:rsidRDefault="00F62833" w:rsidP="00CB73F7">
      <w:pPr>
        <w:pStyle w:val="CERbullets"/>
      </w:pPr>
      <w:r w:rsidRPr="00751BEC">
        <w:rPr>
          <w:b/>
          <w:bCs/>
        </w:rPr>
        <w:t xml:space="preserve">Column </w:t>
      </w:r>
      <w:r w:rsidR="00006869" w:rsidRPr="00751BEC">
        <w:rPr>
          <w:b/>
          <w:bCs/>
        </w:rPr>
        <w:t>AA</w:t>
      </w:r>
      <w:r w:rsidRPr="00751BEC">
        <w:rPr>
          <w:b/>
          <w:bCs/>
        </w:rPr>
        <w:t xml:space="preserve">: </w:t>
      </w:r>
      <w:r w:rsidRPr="00751BEC">
        <w:t>Emissions of N</w:t>
      </w:r>
      <w:r w:rsidRPr="00751BEC">
        <w:rPr>
          <w:vertAlign w:val="subscript"/>
        </w:rPr>
        <w:t>2</w:t>
      </w:r>
      <w:r w:rsidRPr="00751BEC">
        <w:t>O (</w:t>
      </w:r>
      <w:r w:rsidRPr="00751BEC">
        <w:rPr>
          <w:b/>
          <w:bCs/>
        </w:rPr>
        <w:t>E</w:t>
      </w:r>
      <w:r w:rsidR="00AB3F1E" w:rsidRPr="00751BEC">
        <w:rPr>
          <w:b/>
          <w:bCs/>
          <w:vertAlign w:val="subscript"/>
        </w:rPr>
        <w:t>r,</w:t>
      </w:r>
      <w:r w:rsidRPr="00751BEC">
        <w:rPr>
          <w:b/>
          <w:bCs/>
          <w:vertAlign w:val="subscript"/>
        </w:rPr>
        <w:t>CW,N2O</w:t>
      </w:r>
      <w:r w:rsidRPr="00751BEC">
        <w:t>) for the reporting period determined based on the land type at the end of the reporting period (equation 1</w:t>
      </w:r>
      <w:r w:rsidR="00152631" w:rsidRPr="00751BEC">
        <w:t>1</w:t>
      </w:r>
      <w:r w:rsidRPr="00751BEC">
        <w:t xml:space="preserve">). </w:t>
      </w:r>
    </w:p>
    <w:p w14:paraId="5FC1FC15" w14:textId="6B9EA00C" w:rsidR="00F62833" w:rsidRPr="00751BEC" w:rsidRDefault="00F62833" w:rsidP="00CB73F7">
      <w:pPr>
        <w:pStyle w:val="CERbullets"/>
      </w:pPr>
      <w:r w:rsidRPr="00751BEC">
        <w:rPr>
          <w:b/>
          <w:bCs/>
        </w:rPr>
        <w:t xml:space="preserve">Column </w:t>
      </w:r>
      <w:r w:rsidR="00006869" w:rsidRPr="00751BEC">
        <w:rPr>
          <w:b/>
          <w:bCs/>
        </w:rPr>
        <w:t>AB</w:t>
      </w:r>
      <w:r w:rsidRPr="00751BEC">
        <w:t>: Ecosystem transition emissions (E</w:t>
      </w:r>
      <w:r w:rsidRPr="00751BEC">
        <w:rPr>
          <w:vertAlign w:val="subscript"/>
        </w:rPr>
        <w:t>r,TR,CO2</w:t>
      </w:r>
      <w:r w:rsidRPr="00751BEC">
        <w:t>) calculated where there is a change in the vegetation type between the baseline or subsequent reporting periods</w:t>
      </w:r>
      <w:r w:rsidR="00B945CE" w:rsidRPr="00751BEC">
        <w:t xml:space="preserve"> (equation 1</w:t>
      </w:r>
      <w:r w:rsidR="00152631" w:rsidRPr="00751BEC">
        <w:t>2</w:t>
      </w:r>
      <w:r w:rsidR="00B945CE" w:rsidRPr="00751BEC">
        <w:t>)</w:t>
      </w:r>
      <w:r w:rsidRPr="00751BEC">
        <w:t xml:space="preserve">. </w:t>
      </w:r>
      <w:r w:rsidR="00006869" w:rsidRPr="00CB73F7">
        <w:t xml:space="preserve">This includes emissions from natural disturbance events. </w:t>
      </w:r>
      <w:r w:rsidR="00744E24" w:rsidRPr="00CB73F7">
        <w:t>Emissions from a</w:t>
      </w:r>
      <w:r w:rsidR="00006869" w:rsidRPr="00CB73F7">
        <w:t xml:space="preserve"> disturbance event </w:t>
      </w:r>
      <w:r w:rsidR="00903E73" w:rsidRPr="00CB73F7">
        <w:t>are calculated</w:t>
      </w:r>
      <w:r w:rsidR="00744E24" w:rsidRPr="00CB73F7">
        <w:t xml:space="preserve"> when there has been a decrease in the age of the coastal wetland vegetation, or a change in the land type to</w:t>
      </w:r>
      <w:r w:rsidR="00006869" w:rsidRPr="00CB73F7">
        <w:t xml:space="preserve"> </w:t>
      </w:r>
      <w:r w:rsidR="00744E24" w:rsidRPr="00CB73F7">
        <w:t>indicate that the vegetation</w:t>
      </w:r>
      <w:r w:rsidR="00006869" w:rsidRPr="00CB73F7">
        <w:t xml:space="preserve"> </w:t>
      </w:r>
      <w:r w:rsidR="00744E24" w:rsidRPr="00CB73F7">
        <w:t>has died off.</w:t>
      </w:r>
      <w:r w:rsidR="00744E24" w:rsidRPr="00751BEC">
        <w:t xml:space="preserve"> </w:t>
      </w:r>
      <w:r w:rsidR="00006869" w:rsidRPr="00402106">
        <w:t xml:space="preserve"> </w:t>
      </w:r>
      <w:r w:rsidRPr="00402106">
        <w:t xml:space="preserve"> </w:t>
      </w:r>
    </w:p>
    <w:p w14:paraId="1F241FCE" w14:textId="1CF9B37B" w:rsidR="00F62833" w:rsidRPr="00751BEC" w:rsidRDefault="00F62833" w:rsidP="00CB73F7">
      <w:pPr>
        <w:pStyle w:val="CERbullets"/>
      </w:pPr>
      <w:r w:rsidRPr="00751BEC">
        <w:rPr>
          <w:b/>
          <w:bCs/>
        </w:rPr>
        <w:t>Column A</w:t>
      </w:r>
      <w:r w:rsidR="00744E24" w:rsidRPr="00751BEC">
        <w:rPr>
          <w:b/>
          <w:bCs/>
        </w:rPr>
        <w:t>C</w:t>
      </w:r>
      <w:r w:rsidRPr="00751BEC">
        <w:rPr>
          <w:b/>
          <w:bCs/>
        </w:rPr>
        <w:t>:</w:t>
      </w:r>
      <w:r w:rsidRPr="00751BEC">
        <w:t xml:space="preserve"> The total emissions for each CEA in tonnes CO</w:t>
      </w:r>
      <w:r w:rsidRPr="00751BEC">
        <w:rPr>
          <w:vertAlign w:val="subscript"/>
        </w:rPr>
        <w:t>2</w:t>
      </w:r>
      <w:r w:rsidRPr="00751BEC">
        <w:t>-e</w:t>
      </w:r>
      <w:r w:rsidR="00B945CE" w:rsidRPr="00751BEC">
        <w:t xml:space="preserve"> (equation </w:t>
      </w:r>
      <w:r w:rsidR="00152631" w:rsidRPr="00751BEC">
        <w:t>6</w:t>
      </w:r>
      <w:r w:rsidRPr="00751BEC">
        <w:t>). The emissions in tonnes CO</w:t>
      </w:r>
      <w:r w:rsidRPr="00751BEC">
        <w:rPr>
          <w:vertAlign w:val="subscript"/>
        </w:rPr>
        <w:t>2</w:t>
      </w:r>
      <w:r w:rsidRPr="00751BEC">
        <w:t>-e for the CEA during the reporting period is compared with the emissions of the CEA at the project registration date (baseline emissions). This value includes emissions caused by land type transitions with vegetation die-off and replacement by another ecosystem type. The value for each CEA may be positive (emissions avoided compared with baseline emissions) or negative (emissions increased compared with baseline emissions).</w:t>
      </w:r>
    </w:p>
    <w:p w14:paraId="05A80E7C" w14:textId="56C5E851" w:rsidR="00B945CE" w:rsidRPr="00751BEC" w:rsidRDefault="00B945CE" w:rsidP="00EB075A">
      <w:pPr>
        <w:pStyle w:val="Heading3"/>
      </w:pPr>
      <w:r w:rsidRPr="00751BEC">
        <w:t>Vegetation</w:t>
      </w:r>
    </w:p>
    <w:p w14:paraId="6A576BAD" w14:textId="3EADAD02" w:rsidR="00B945CE" w:rsidRPr="00751BEC" w:rsidRDefault="00B945CE" w:rsidP="00CB73F7">
      <w:pPr>
        <w:pStyle w:val="CERbullets"/>
      </w:pPr>
      <w:r w:rsidRPr="00751BEC">
        <w:rPr>
          <w:b/>
          <w:bCs/>
        </w:rPr>
        <w:t>Column A</w:t>
      </w:r>
      <w:r w:rsidR="00744E24" w:rsidRPr="00751BEC">
        <w:rPr>
          <w:b/>
          <w:bCs/>
        </w:rPr>
        <w:t>E</w:t>
      </w:r>
      <w:r w:rsidRPr="00751BEC">
        <w:rPr>
          <w:b/>
          <w:bCs/>
        </w:rPr>
        <w:t xml:space="preserve">: </w:t>
      </w:r>
      <w:r w:rsidRPr="00751BEC">
        <w:t xml:space="preserve">The amount of carbon sequestered in above ground live biomass for the CEA determined based on the land type. </w:t>
      </w:r>
    </w:p>
    <w:p w14:paraId="3ABBAC24" w14:textId="6674DA65" w:rsidR="00B945CE" w:rsidRPr="00751BEC" w:rsidRDefault="00B945CE" w:rsidP="00CB73F7">
      <w:pPr>
        <w:pStyle w:val="CERbullets"/>
      </w:pPr>
      <w:r w:rsidRPr="00751BEC">
        <w:rPr>
          <w:b/>
          <w:bCs/>
        </w:rPr>
        <w:t>Column A</w:t>
      </w:r>
      <w:r w:rsidR="00744E24" w:rsidRPr="00751BEC">
        <w:rPr>
          <w:b/>
          <w:bCs/>
        </w:rPr>
        <w:t>F</w:t>
      </w:r>
      <w:r w:rsidRPr="00751BEC">
        <w:rPr>
          <w:b/>
          <w:bCs/>
        </w:rPr>
        <w:t>:</w:t>
      </w:r>
      <w:r w:rsidRPr="00751BEC">
        <w:t xml:space="preserve"> The amount of carbon sequestered in below ground live biomass for the CEA determined based on the land type.  </w:t>
      </w:r>
    </w:p>
    <w:p w14:paraId="269EE626" w14:textId="2BEB4503" w:rsidR="00B945CE" w:rsidRPr="00751BEC" w:rsidRDefault="00B945CE" w:rsidP="00CB73F7">
      <w:pPr>
        <w:pStyle w:val="CERbullets"/>
      </w:pPr>
      <w:r w:rsidRPr="00751BEC">
        <w:rPr>
          <w:b/>
          <w:bCs/>
        </w:rPr>
        <w:t>Column A</w:t>
      </w:r>
      <w:r w:rsidR="00744E24" w:rsidRPr="00751BEC">
        <w:rPr>
          <w:b/>
          <w:bCs/>
        </w:rPr>
        <w:t>G</w:t>
      </w:r>
      <w:r w:rsidRPr="00751BEC">
        <w:rPr>
          <w:b/>
          <w:bCs/>
        </w:rPr>
        <w:t>:</w:t>
      </w:r>
      <w:r w:rsidRPr="00751BEC">
        <w:t xml:space="preserve"> The </w:t>
      </w:r>
      <w:r w:rsidR="00A07BBF" w:rsidRPr="00751BEC">
        <w:t>total</w:t>
      </w:r>
      <w:r w:rsidRPr="00751BEC">
        <w:t xml:space="preserve"> carbon sequestered in above- and below-ground live biomass (</w:t>
      </w:r>
      <w:proofErr w:type="spellStart"/>
      <w:r w:rsidRPr="00751BEC">
        <w:rPr>
          <w:b/>
          <w:bCs/>
        </w:rPr>
        <w:t>C</w:t>
      </w:r>
      <w:r w:rsidRPr="00751BEC">
        <w:rPr>
          <w:b/>
          <w:bCs/>
          <w:i/>
          <w:iCs/>
          <w:vertAlign w:val="subscript"/>
        </w:rPr>
        <w:t>v,i,r</w:t>
      </w:r>
      <w:proofErr w:type="spellEnd"/>
      <w:r w:rsidRPr="00751BEC">
        <w:t>) in tonnes CO</w:t>
      </w:r>
      <w:r w:rsidRPr="00751BEC">
        <w:rPr>
          <w:vertAlign w:val="subscript"/>
        </w:rPr>
        <w:t>2</w:t>
      </w:r>
      <w:r w:rsidRPr="00751BEC">
        <w:t xml:space="preserve">-e for the CEA during the reporting period (see equation 4). </w:t>
      </w:r>
    </w:p>
    <w:p w14:paraId="31D6292A" w14:textId="05A5612A" w:rsidR="00B945CE" w:rsidRPr="00751BEC" w:rsidRDefault="00B945CE" w:rsidP="00EB075A">
      <w:pPr>
        <w:pStyle w:val="Heading3"/>
      </w:pPr>
      <w:r w:rsidRPr="00751BEC">
        <w:t xml:space="preserve">Soils </w:t>
      </w:r>
    </w:p>
    <w:p w14:paraId="4739398A" w14:textId="57DE9211" w:rsidR="00027D41" w:rsidRPr="00751BEC" w:rsidRDefault="00027D41" w:rsidP="00CB73F7">
      <w:pPr>
        <w:pStyle w:val="CERbullets"/>
      </w:pPr>
      <w:r w:rsidRPr="00751BEC">
        <w:rPr>
          <w:b/>
          <w:bCs/>
        </w:rPr>
        <w:t xml:space="preserve">Column </w:t>
      </w:r>
      <w:r w:rsidR="00A07BBF" w:rsidRPr="00751BEC">
        <w:rPr>
          <w:b/>
          <w:bCs/>
        </w:rPr>
        <w:t>A</w:t>
      </w:r>
      <w:r w:rsidR="00744E24" w:rsidRPr="00751BEC">
        <w:rPr>
          <w:b/>
          <w:bCs/>
        </w:rPr>
        <w:t>I</w:t>
      </w:r>
      <w:r w:rsidRPr="00751BEC">
        <w:t xml:space="preserve">: Baseline soil carbon accumulation </w:t>
      </w:r>
      <w:r w:rsidR="00A07BBF" w:rsidRPr="00751BEC">
        <w:t>(</w:t>
      </w:r>
      <w:proofErr w:type="spellStart"/>
      <w:r w:rsidR="00A07BBF" w:rsidRPr="00751BEC">
        <w:rPr>
          <w:b/>
          <w:bCs/>
          <w:i/>
          <w:iCs/>
        </w:rPr>
        <w:t>C</w:t>
      </w:r>
      <w:r w:rsidR="00A07BBF" w:rsidRPr="00751BEC">
        <w:rPr>
          <w:b/>
          <w:bCs/>
          <w:i/>
          <w:iCs/>
          <w:vertAlign w:val="subscript"/>
        </w:rPr>
        <w:t>a,i</w:t>
      </w:r>
      <w:r w:rsidR="00AB3F1E" w:rsidRPr="00751BEC">
        <w:rPr>
          <w:b/>
          <w:bCs/>
          <w:i/>
          <w:iCs/>
          <w:vertAlign w:val="subscript"/>
        </w:rPr>
        <w:t>,r</w:t>
      </w:r>
      <w:proofErr w:type="spellEnd"/>
      <w:r w:rsidR="00A07BBF" w:rsidRPr="00751BEC">
        <w:t xml:space="preserve">) </w:t>
      </w:r>
      <w:r w:rsidRPr="00751BEC">
        <w:t xml:space="preserve">determined based on the baseline land type. The total soil carbon accumulation is adjusted by the baseline accumulation to ensure only additional abatement due to the project activity is credited. </w:t>
      </w:r>
    </w:p>
    <w:p w14:paraId="79614476" w14:textId="72152BDB" w:rsidR="00027D41" w:rsidRPr="00751BEC" w:rsidRDefault="00027D41" w:rsidP="00CB73F7">
      <w:pPr>
        <w:pStyle w:val="CERbullets"/>
      </w:pPr>
      <w:r w:rsidRPr="00751BEC">
        <w:rPr>
          <w:b/>
          <w:bCs/>
        </w:rPr>
        <w:t xml:space="preserve">Column </w:t>
      </w:r>
      <w:r w:rsidR="00A07BBF" w:rsidRPr="00751BEC">
        <w:rPr>
          <w:b/>
          <w:bCs/>
        </w:rPr>
        <w:t>A</w:t>
      </w:r>
      <w:r w:rsidR="00744E24" w:rsidRPr="00751BEC">
        <w:rPr>
          <w:b/>
          <w:bCs/>
        </w:rPr>
        <w:t>J</w:t>
      </w:r>
      <w:r w:rsidRPr="00751BEC">
        <w:t xml:space="preserve">: Avoided soil carbon losses </w:t>
      </w:r>
      <w:r w:rsidR="00A07BBF" w:rsidRPr="00751BEC">
        <w:t>(</w:t>
      </w:r>
      <w:proofErr w:type="spellStart"/>
      <w:r w:rsidR="00A07BBF" w:rsidRPr="00751BEC">
        <w:rPr>
          <w:b/>
          <w:bCs/>
          <w:i/>
          <w:iCs/>
        </w:rPr>
        <w:t>C</w:t>
      </w:r>
      <w:r w:rsidR="00A07BBF" w:rsidRPr="00751BEC">
        <w:rPr>
          <w:b/>
          <w:bCs/>
          <w:i/>
          <w:iCs/>
          <w:vertAlign w:val="subscript"/>
        </w:rPr>
        <w:t>l,i</w:t>
      </w:r>
      <w:r w:rsidR="00AB3F1E" w:rsidRPr="00751BEC">
        <w:rPr>
          <w:b/>
          <w:bCs/>
          <w:i/>
          <w:iCs/>
          <w:vertAlign w:val="subscript"/>
        </w:rPr>
        <w:t>,r</w:t>
      </w:r>
      <w:proofErr w:type="spellEnd"/>
      <w:r w:rsidR="00A07BBF" w:rsidRPr="00751BEC">
        <w:t xml:space="preserve">) </w:t>
      </w:r>
      <w:r w:rsidRPr="00751BEC">
        <w:t xml:space="preserve">determined based on the baseline land type. </w:t>
      </w:r>
    </w:p>
    <w:p w14:paraId="742E5B8F" w14:textId="372FE353" w:rsidR="00A07BBF" w:rsidRPr="00751BEC" w:rsidRDefault="00027D41" w:rsidP="00CB73F7">
      <w:pPr>
        <w:pStyle w:val="CERbullets"/>
      </w:pPr>
      <w:r w:rsidRPr="00751BEC">
        <w:rPr>
          <w:b/>
          <w:bCs/>
        </w:rPr>
        <w:t>Column A</w:t>
      </w:r>
      <w:r w:rsidR="00744E24" w:rsidRPr="00751BEC">
        <w:rPr>
          <w:b/>
          <w:bCs/>
        </w:rPr>
        <w:t>K</w:t>
      </w:r>
      <w:r w:rsidRPr="00751BEC">
        <w:rPr>
          <w:b/>
          <w:bCs/>
        </w:rPr>
        <w:t>:</w:t>
      </w:r>
      <w:r w:rsidRPr="00751BEC">
        <w:t xml:space="preserve"> The amount of carbon sequestered in soil (</w:t>
      </w:r>
      <w:proofErr w:type="spellStart"/>
      <w:r w:rsidRPr="00751BEC">
        <w:rPr>
          <w:b/>
          <w:bCs/>
          <w:i/>
          <w:iCs/>
        </w:rPr>
        <w:t>C</w:t>
      </w:r>
      <w:r w:rsidRPr="00751BEC">
        <w:rPr>
          <w:b/>
          <w:bCs/>
          <w:i/>
          <w:iCs/>
          <w:vertAlign w:val="subscript"/>
        </w:rPr>
        <w:t>s,i,r</w:t>
      </w:r>
      <w:proofErr w:type="spellEnd"/>
      <w:r w:rsidRPr="00751BEC">
        <w:t>) in tonnes CO</w:t>
      </w:r>
      <w:r w:rsidRPr="00751BEC">
        <w:rPr>
          <w:vertAlign w:val="subscript"/>
        </w:rPr>
        <w:t>2</w:t>
      </w:r>
      <w:r w:rsidRPr="00751BEC">
        <w:t>-e for the CEA during the reporting period.</w:t>
      </w:r>
    </w:p>
    <w:p w14:paraId="64FE3346" w14:textId="3DF787C3" w:rsidR="00744E24" w:rsidRPr="00CB73F7" w:rsidRDefault="00A07BBF" w:rsidP="00CB73F7">
      <w:pPr>
        <w:pStyle w:val="CERbullets"/>
        <w:rPr>
          <w:b/>
          <w:bCs/>
        </w:rPr>
      </w:pPr>
      <w:r w:rsidRPr="00CB73F7">
        <w:rPr>
          <w:b/>
        </w:rPr>
        <w:t xml:space="preserve">Column </w:t>
      </w:r>
      <w:r w:rsidR="00744E24" w:rsidRPr="00CB73F7">
        <w:rPr>
          <w:b/>
          <w:bCs/>
        </w:rPr>
        <w:t xml:space="preserve">AL: </w:t>
      </w:r>
      <w:r w:rsidR="00744E24" w:rsidRPr="00CB73F7">
        <w:t xml:space="preserve">The emissions from loss of soil carbon due to excavation activities that occurred in the CEA during the reporting period (equation 5). If no excavation activities have occurred in the CEA this will be 0. </w:t>
      </w:r>
    </w:p>
    <w:p w14:paraId="38537E8C" w14:textId="4330C064" w:rsidR="00A07BBF" w:rsidRPr="00751BEC" w:rsidRDefault="00A07BBF" w:rsidP="00CB73F7">
      <w:pPr>
        <w:pStyle w:val="CERbullets"/>
      </w:pPr>
      <w:r w:rsidRPr="00751BEC">
        <w:rPr>
          <w:b/>
          <w:bCs/>
        </w:rPr>
        <w:t>Column A</w:t>
      </w:r>
      <w:r w:rsidR="00744E24" w:rsidRPr="00402106">
        <w:rPr>
          <w:b/>
          <w:bCs/>
        </w:rPr>
        <w:t>M</w:t>
      </w:r>
      <w:r w:rsidRPr="00402106">
        <w:rPr>
          <w:b/>
          <w:bCs/>
        </w:rPr>
        <w:t>:</w:t>
      </w:r>
      <w:r w:rsidRPr="00751BEC">
        <w:t xml:space="preserve"> The total amount of carbon sequestered in soil in tonnes CO</w:t>
      </w:r>
      <w:r w:rsidRPr="00751BEC">
        <w:rPr>
          <w:vertAlign w:val="subscript"/>
        </w:rPr>
        <w:t>2</w:t>
      </w:r>
      <w:r w:rsidRPr="00751BEC">
        <w:t xml:space="preserve">-e for the CEA during the reporting period (see equation 4). </w:t>
      </w:r>
    </w:p>
    <w:p w14:paraId="3F4039AA" w14:textId="4051A2FB" w:rsidR="00027D41" w:rsidRPr="00751BEC" w:rsidRDefault="00A07BBF" w:rsidP="00EB075A">
      <w:pPr>
        <w:pStyle w:val="Heading3"/>
      </w:pPr>
      <w:r w:rsidRPr="00751BEC">
        <w:lastRenderedPageBreak/>
        <w:t>Net abatement amount</w:t>
      </w:r>
    </w:p>
    <w:p w14:paraId="1DF10694" w14:textId="69F145C8" w:rsidR="00027D41" w:rsidRPr="00751BEC" w:rsidRDefault="00027D41" w:rsidP="00CB73F7">
      <w:pPr>
        <w:pStyle w:val="CERbullets"/>
      </w:pPr>
      <w:r w:rsidRPr="00751BEC">
        <w:rPr>
          <w:b/>
          <w:bCs/>
        </w:rPr>
        <w:t>Cell A</w:t>
      </w:r>
      <w:r w:rsidR="00744E24" w:rsidRPr="00751BEC">
        <w:rPr>
          <w:b/>
          <w:bCs/>
        </w:rPr>
        <w:t>Q</w:t>
      </w:r>
      <w:r w:rsidRPr="00751BEC">
        <w:rPr>
          <w:b/>
          <w:bCs/>
        </w:rPr>
        <w:t>3:</w:t>
      </w:r>
      <w:r w:rsidRPr="00751BEC">
        <w:t xml:space="preserve"> The total amount of emissions avoided (below baseline emissions) or emitted (above baseline emissions) in tonnes CO</w:t>
      </w:r>
      <w:r w:rsidRPr="00751BEC">
        <w:rPr>
          <w:vertAlign w:val="subscript"/>
        </w:rPr>
        <w:t>2</w:t>
      </w:r>
      <w:r w:rsidRPr="00751BEC">
        <w:t>-e for the project area during the reporting period (</w:t>
      </w:r>
      <w:r w:rsidRPr="00751BEC">
        <w:rPr>
          <w:b/>
          <w:bCs/>
          <w:i/>
          <w:iCs/>
        </w:rPr>
        <w:t>E</w:t>
      </w:r>
      <w:r w:rsidR="00A71634" w:rsidRPr="00751BEC">
        <w:rPr>
          <w:b/>
          <w:bCs/>
          <w:i/>
          <w:iCs/>
          <w:vertAlign w:val="subscript"/>
        </w:rPr>
        <w:t>r</w:t>
      </w:r>
      <w:r w:rsidRPr="00751BEC">
        <w:rPr>
          <w:b/>
          <w:bCs/>
          <w:i/>
          <w:iCs/>
          <w:vertAlign w:val="subscript"/>
        </w:rPr>
        <w:t>.</w:t>
      </w:r>
      <w:r w:rsidRPr="00751BEC">
        <w:t xml:space="preserve">). This is the sum of Column </w:t>
      </w:r>
      <w:r w:rsidR="00A07BBF" w:rsidRPr="00751BEC">
        <w:t>A</w:t>
      </w:r>
      <w:r w:rsidR="00744E24" w:rsidRPr="00751BEC">
        <w:t>C</w:t>
      </w:r>
      <w:r w:rsidR="00A07BBF" w:rsidRPr="00751BEC">
        <w:t xml:space="preserve"> and is the value for equation </w:t>
      </w:r>
      <w:r w:rsidR="00152631" w:rsidRPr="00751BEC">
        <w:t>6</w:t>
      </w:r>
      <w:r w:rsidR="00A07BBF" w:rsidRPr="00751BEC">
        <w:t xml:space="preserve"> in the Determination</w:t>
      </w:r>
      <w:r w:rsidRPr="00751BEC">
        <w:t xml:space="preserve">. This value may be positive (emissions avoided compared with baseline emissions) or negative (emissions increased compared with baseline emissions). </w:t>
      </w:r>
    </w:p>
    <w:p w14:paraId="42960ABF" w14:textId="18CCB6A7" w:rsidR="00027D41" w:rsidRPr="00751BEC" w:rsidRDefault="00027D41" w:rsidP="00CB73F7">
      <w:pPr>
        <w:pStyle w:val="CERbullets"/>
      </w:pPr>
      <w:r w:rsidRPr="00751BEC">
        <w:rPr>
          <w:b/>
          <w:bCs/>
        </w:rPr>
        <w:t>Cell A</w:t>
      </w:r>
      <w:r w:rsidR="00744E24" w:rsidRPr="00751BEC">
        <w:rPr>
          <w:b/>
          <w:bCs/>
        </w:rPr>
        <w:t>R</w:t>
      </w:r>
      <w:r w:rsidRPr="00751BEC">
        <w:rPr>
          <w:b/>
          <w:bCs/>
        </w:rPr>
        <w:t>3:</w:t>
      </w:r>
      <w:r w:rsidRPr="00751BEC">
        <w:t xml:space="preserve"> The total amount of carbon sequestered in above and below</w:t>
      </w:r>
      <w:r w:rsidR="00FD69F9" w:rsidRPr="00751BEC">
        <w:t xml:space="preserve"> </w:t>
      </w:r>
      <w:r w:rsidRPr="00751BEC">
        <w:t>ground live biomass and soil</w:t>
      </w:r>
      <w:r w:rsidR="00BD3CFB" w:rsidRPr="00751BEC">
        <w:t xml:space="preserve"> (the carbon stock change)</w:t>
      </w:r>
      <w:r w:rsidRPr="00751BEC">
        <w:t xml:space="preserve"> in tonnes CO</w:t>
      </w:r>
      <w:r w:rsidRPr="00751BEC">
        <w:rPr>
          <w:vertAlign w:val="subscript"/>
        </w:rPr>
        <w:t>2</w:t>
      </w:r>
      <w:r w:rsidRPr="00751BEC">
        <w:t>-e for the project area during the reporting period</w:t>
      </w:r>
      <w:r w:rsidR="00445C98" w:rsidRPr="00751BEC">
        <w:t xml:space="preserve"> compared with the baseline carbon</w:t>
      </w:r>
      <w:r w:rsidRPr="00751BEC">
        <w:t xml:space="preserve"> (</w:t>
      </w:r>
      <w:proofErr w:type="spellStart"/>
      <w:r w:rsidR="00F615D7" w:rsidRPr="00751BEC">
        <w:rPr>
          <w:rFonts w:cstheme="minorHAnsi"/>
          <w:b/>
          <w:bCs/>
        </w:rPr>
        <w:t>Δ</w:t>
      </w:r>
      <w:r w:rsidRPr="00751BEC">
        <w:rPr>
          <w:b/>
          <w:bCs/>
        </w:rPr>
        <w:t>C</w:t>
      </w:r>
      <w:r w:rsidRPr="00751BEC">
        <w:rPr>
          <w:b/>
          <w:bCs/>
          <w:vertAlign w:val="subscript"/>
        </w:rPr>
        <w:t>r</w:t>
      </w:r>
      <w:proofErr w:type="spellEnd"/>
      <w:r w:rsidRPr="00751BEC">
        <w:t>). This is the sum of Column A</w:t>
      </w:r>
      <w:r w:rsidR="00744E24" w:rsidRPr="00751BEC">
        <w:t>G</w:t>
      </w:r>
      <w:r w:rsidRPr="00751BEC">
        <w:t xml:space="preserve"> and Column A</w:t>
      </w:r>
      <w:r w:rsidR="00744E24" w:rsidRPr="00751BEC">
        <w:t>M</w:t>
      </w:r>
      <w:r w:rsidR="00A07BBF" w:rsidRPr="00751BEC">
        <w:t xml:space="preserve"> and is the value for equation </w:t>
      </w:r>
      <w:r w:rsidR="00F615D7" w:rsidRPr="00751BEC">
        <w:t>3</w:t>
      </w:r>
      <w:r w:rsidR="00A07BBF" w:rsidRPr="00751BEC">
        <w:t xml:space="preserve"> in the Determination</w:t>
      </w:r>
      <w:r w:rsidRPr="00751BEC">
        <w:t xml:space="preserve">. </w:t>
      </w:r>
    </w:p>
    <w:p w14:paraId="112716F5" w14:textId="2EAE4D0F" w:rsidR="00027D41" w:rsidRPr="00751BEC" w:rsidRDefault="00027D41" w:rsidP="00CB73F7">
      <w:pPr>
        <w:pStyle w:val="CERbullets"/>
      </w:pPr>
      <w:r w:rsidRPr="00751BEC">
        <w:rPr>
          <w:b/>
          <w:bCs/>
        </w:rPr>
        <w:t>Cell A</w:t>
      </w:r>
      <w:r w:rsidR="00744E24" w:rsidRPr="00751BEC">
        <w:rPr>
          <w:b/>
          <w:bCs/>
        </w:rPr>
        <w:t>S</w:t>
      </w:r>
      <w:r w:rsidRPr="00751BEC">
        <w:rPr>
          <w:b/>
          <w:bCs/>
        </w:rPr>
        <w:t>3:</w:t>
      </w:r>
      <w:r w:rsidRPr="00751BEC">
        <w:t xml:space="preserve"> The total amount of emissions from the fuel consumed (</w:t>
      </w:r>
      <w:proofErr w:type="spellStart"/>
      <w:r w:rsidRPr="00751BEC">
        <w:rPr>
          <w:b/>
          <w:bCs/>
        </w:rPr>
        <w:t>E</w:t>
      </w:r>
      <w:r w:rsidRPr="00751BEC">
        <w:rPr>
          <w:b/>
          <w:bCs/>
          <w:i/>
          <w:iCs/>
          <w:vertAlign w:val="subscript"/>
        </w:rPr>
        <w:t>fk,r</w:t>
      </w:r>
      <w:proofErr w:type="spellEnd"/>
      <w:r w:rsidRPr="00751BEC">
        <w:t>) in tonnes CO</w:t>
      </w:r>
      <w:r w:rsidRPr="00751BEC">
        <w:rPr>
          <w:vertAlign w:val="subscript"/>
        </w:rPr>
        <w:t>2</w:t>
      </w:r>
      <w:r w:rsidRPr="00751BEC">
        <w:t>-e for the project area during the reporting period. This is the sum of cells H3 to H6</w:t>
      </w:r>
      <w:r w:rsidR="00FD69F9" w:rsidRPr="00751BEC">
        <w:t xml:space="preserve"> and is the value for equation </w:t>
      </w:r>
      <w:r w:rsidR="00541ECA" w:rsidRPr="00751BEC">
        <w:t>13</w:t>
      </w:r>
      <w:r w:rsidR="00FD69F9" w:rsidRPr="00751BEC">
        <w:t xml:space="preserve"> in the Determination</w:t>
      </w:r>
      <w:r w:rsidRPr="00751BEC">
        <w:t>.</w:t>
      </w:r>
    </w:p>
    <w:p w14:paraId="113B2BA6" w14:textId="63427AB9" w:rsidR="00027D41" w:rsidRPr="00751BEC" w:rsidRDefault="00027D41" w:rsidP="00CB73F7">
      <w:pPr>
        <w:pStyle w:val="CERbullets"/>
      </w:pPr>
      <w:r w:rsidRPr="00751BEC">
        <w:rPr>
          <w:b/>
          <w:bCs/>
        </w:rPr>
        <w:t>Cell A</w:t>
      </w:r>
      <w:r w:rsidR="00744E24" w:rsidRPr="00751BEC">
        <w:rPr>
          <w:b/>
          <w:bCs/>
        </w:rPr>
        <w:t>T</w:t>
      </w:r>
      <w:r w:rsidRPr="00751BEC">
        <w:rPr>
          <w:b/>
          <w:bCs/>
        </w:rPr>
        <w:t>3:</w:t>
      </w:r>
      <w:r w:rsidRPr="00751BEC">
        <w:t xml:space="preserve"> The </w:t>
      </w:r>
      <w:r w:rsidRPr="00751BEC" w:rsidDel="00787B92">
        <w:t xml:space="preserve">net abatement amount </w:t>
      </w:r>
      <w:r w:rsidRPr="00751BEC">
        <w:t>for the project area for the reporting period (</w:t>
      </w:r>
      <w:proofErr w:type="spellStart"/>
      <w:r w:rsidRPr="00751BEC">
        <w:rPr>
          <w:b/>
          <w:bCs/>
        </w:rPr>
        <w:t>A</w:t>
      </w:r>
      <w:r w:rsidRPr="00751BEC">
        <w:rPr>
          <w:b/>
          <w:bCs/>
          <w:vertAlign w:val="subscript"/>
        </w:rPr>
        <w:t>r</w:t>
      </w:r>
      <w:proofErr w:type="spellEnd"/>
      <w:r w:rsidRPr="00751BEC">
        <w:t>). This  is</w:t>
      </w:r>
      <w:r w:rsidRPr="00751BEC" w:rsidDel="00787B92">
        <w:t xml:space="preserve"> </w:t>
      </w:r>
      <w:r w:rsidRPr="00751BEC">
        <w:t xml:space="preserve">the </w:t>
      </w:r>
      <w:r w:rsidR="00DE780D" w:rsidRPr="00751BEC">
        <w:t>summed total of emissions avoided (A</w:t>
      </w:r>
      <w:r w:rsidR="005913B8" w:rsidRPr="00751BEC">
        <w:t>Q</w:t>
      </w:r>
      <w:r w:rsidR="00DE780D" w:rsidRPr="00751BEC">
        <w:t>3), the total carbon stock change (A</w:t>
      </w:r>
      <w:r w:rsidR="005913B8" w:rsidRPr="00751BEC">
        <w:t>R</w:t>
      </w:r>
      <w:r w:rsidR="00DE780D" w:rsidRPr="00751BEC">
        <w:t xml:space="preserve">3) </w:t>
      </w:r>
      <w:r w:rsidRPr="00751BEC" w:rsidDel="00787B92">
        <w:t xml:space="preserve"> </w:t>
      </w:r>
      <w:r w:rsidR="00DE780D" w:rsidRPr="00751BEC">
        <w:t>multiplied by</w:t>
      </w:r>
      <w:r w:rsidRPr="00751BEC">
        <w:t xml:space="preserve"> the sequestration buffer</w:t>
      </w:r>
      <w:r w:rsidR="00DE780D" w:rsidRPr="00751BEC">
        <w:t>, less any emissions from fuel (A</w:t>
      </w:r>
      <w:r w:rsidR="005913B8" w:rsidRPr="00751BEC">
        <w:t>S</w:t>
      </w:r>
      <w:r w:rsidR="00DE780D" w:rsidRPr="00751BEC">
        <w:t>3)</w:t>
      </w:r>
      <w:r w:rsidRPr="00751BEC">
        <w:t>. This is used to determine the amount of ACCUs the project is eligible to receive for the project for the reporting period</w:t>
      </w:r>
      <w:r w:rsidR="009B68ED" w:rsidRPr="00751BEC">
        <w:t xml:space="preserve"> (see equation 2)</w:t>
      </w:r>
      <w:r w:rsidRPr="00751BEC">
        <w:t xml:space="preserve">. </w:t>
      </w:r>
      <w:r w:rsidR="00DE780D" w:rsidRPr="00751BEC">
        <w:t>The value can be positive or negative. If A</w:t>
      </w:r>
      <w:r w:rsidR="005913B8" w:rsidRPr="00751BEC">
        <w:t>T</w:t>
      </w:r>
      <w:r w:rsidR="00DE780D" w:rsidRPr="00751BEC">
        <w:t>3 is negative, this value is entered in cell A</w:t>
      </w:r>
      <w:r w:rsidR="005913B8" w:rsidRPr="00751BEC">
        <w:t>O</w:t>
      </w:r>
      <w:r w:rsidR="00DE780D" w:rsidRPr="00751BEC">
        <w:t xml:space="preserve">3 in the subsequent reporting period.  </w:t>
      </w:r>
    </w:p>
    <w:p w14:paraId="2606382D" w14:textId="086B0186" w:rsidR="00027D41" w:rsidRPr="0041140D" w:rsidRDefault="00027D41" w:rsidP="00EB075A">
      <w:pPr>
        <w:pStyle w:val="Heading2"/>
      </w:pPr>
      <w:r w:rsidRPr="00EB075A">
        <w:t xml:space="preserve">Land </w:t>
      </w:r>
      <w:r w:rsidR="00087F63" w:rsidRPr="00EB075A">
        <w:t>t</w:t>
      </w:r>
      <w:r w:rsidRPr="00EB075A">
        <w:t xml:space="preserve">ype </w:t>
      </w:r>
      <w:r w:rsidRPr="0041140D">
        <w:t>definitions</w:t>
      </w:r>
    </w:p>
    <w:p w14:paraId="14594FF5" w14:textId="73B12840" w:rsidR="00641E09" w:rsidRPr="00751BEC" w:rsidRDefault="00641E09" w:rsidP="00027D41">
      <w:pPr>
        <w:pStyle w:val="tDefn"/>
        <w:ind w:left="0"/>
        <w:rPr>
          <w:rFonts w:asciiTheme="minorHAnsi" w:hAnsiTheme="minorHAnsi" w:cstheme="minorHAnsi"/>
          <w:bCs/>
          <w:iCs/>
        </w:rPr>
      </w:pPr>
      <w:r w:rsidRPr="00751BEC">
        <w:rPr>
          <w:rFonts w:asciiTheme="minorHAnsi" w:hAnsiTheme="minorHAnsi" w:cstheme="minorHAnsi"/>
          <w:bCs/>
          <w:iCs/>
        </w:rPr>
        <w:t>The</w:t>
      </w:r>
      <w:r w:rsidRPr="00402106">
        <w:rPr>
          <w:rFonts w:asciiTheme="minorHAnsi" w:hAnsiTheme="minorHAnsi" w:cstheme="minorHAnsi"/>
          <w:bCs/>
          <w:iCs/>
        </w:rPr>
        <w:t xml:space="preserve">re are 15 land types defined in the Determination, including </w:t>
      </w:r>
      <w:r w:rsidR="002A1AC2" w:rsidRPr="00402106">
        <w:rPr>
          <w:rFonts w:asciiTheme="minorHAnsi" w:hAnsiTheme="minorHAnsi" w:cstheme="minorHAnsi"/>
          <w:bCs/>
          <w:iCs/>
        </w:rPr>
        <w:t>9</w:t>
      </w:r>
      <w:r w:rsidRPr="00751BEC">
        <w:rPr>
          <w:rFonts w:asciiTheme="minorHAnsi" w:hAnsiTheme="minorHAnsi" w:cstheme="minorHAnsi"/>
          <w:bCs/>
          <w:iCs/>
        </w:rPr>
        <w:t xml:space="preserve"> land types that characterise baseline land </w:t>
      </w:r>
      <w:r w:rsidR="0055610D" w:rsidRPr="00751BEC">
        <w:rPr>
          <w:rFonts w:asciiTheme="minorHAnsi" w:hAnsiTheme="minorHAnsi" w:cstheme="minorHAnsi"/>
          <w:bCs/>
          <w:iCs/>
        </w:rPr>
        <w:t>types</w:t>
      </w:r>
      <w:r w:rsidR="002A1AC2" w:rsidRPr="00751BEC">
        <w:rPr>
          <w:rFonts w:asciiTheme="minorHAnsi" w:hAnsiTheme="minorHAnsi" w:cstheme="minorHAnsi"/>
          <w:bCs/>
          <w:iCs/>
        </w:rPr>
        <w:t>,</w:t>
      </w:r>
      <w:r w:rsidRPr="00751BEC">
        <w:rPr>
          <w:rFonts w:asciiTheme="minorHAnsi" w:hAnsiTheme="minorHAnsi" w:cstheme="minorHAnsi"/>
          <w:bCs/>
          <w:iCs/>
        </w:rPr>
        <w:t xml:space="preserve"> 5 coastal wetland ecosystems that may establish as a result of the project activity</w:t>
      </w:r>
      <w:r w:rsidR="007B0262" w:rsidRPr="00751BEC">
        <w:rPr>
          <w:rFonts w:asciiTheme="minorHAnsi" w:hAnsiTheme="minorHAnsi" w:cstheme="minorHAnsi"/>
          <w:bCs/>
          <w:iCs/>
        </w:rPr>
        <w:t xml:space="preserve">. </w:t>
      </w:r>
      <w:r w:rsidRPr="00751BEC">
        <w:rPr>
          <w:rFonts w:asciiTheme="minorHAnsi" w:hAnsiTheme="minorHAnsi" w:cstheme="minorHAnsi"/>
          <w:bCs/>
          <w:iCs/>
        </w:rPr>
        <w:t xml:space="preserve"> </w:t>
      </w:r>
    </w:p>
    <w:p w14:paraId="7736DA98" w14:textId="0C261DE4" w:rsidR="00BE397B" w:rsidRPr="00751BEC" w:rsidRDefault="00BE397B" w:rsidP="00EB075A">
      <w:pPr>
        <w:pStyle w:val="Heading3"/>
      </w:pPr>
      <w:r w:rsidRPr="00751BEC">
        <w:t xml:space="preserve">Baseline land </w:t>
      </w:r>
      <w:r w:rsidR="00F30299" w:rsidRPr="00751BEC">
        <w:t>type</w:t>
      </w:r>
    </w:p>
    <w:p w14:paraId="57A5EB04" w14:textId="69FBAD5E" w:rsidR="00027D41" w:rsidRPr="00751BEC" w:rsidRDefault="00027D41" w:rsidP="00027D41">
      <w:pPr>
        <w:pStyle w:val="tDefn"/>
        <w:ind w:left="0"/>
        <w:rPr>
          <w:rFonts w:asciiTheme="minorHAnsi" w:hAnsiTheme="minorHAnsi" w:cstheme="minorHAnsi"/>
        </w:rPr>
      </w:pPr>
      <w:r w:rsidRPr="00751BEC">
        <w:rPr>
          <w:rFonts w:asciiTheme="minorHAnsi" w:hAnsiTheme="minorHAnsi" w:cstheme="minorHAnsi"/>
          <w:b/>
          <w:i/>
        </w:rPr>
        <w:t xml:space="preserve">Cropping land </w:t>
      </w:r>
      <w:r w:rsidRPr="00751BEC">
        <w:rPr>
          <w:rFonts w:asciiTheme="minorHAnsi" w:hAnsiTheme="minorHAnsi" w:cstheme="minorHAnsi"/>
        </w:rPr>
        <w:t>means land used to grow crops.</w:t>
      </w:r>
    </w:p>
    <w:p w14:paraId="1335DC09" w14:textId="2D556DC0" w:rsidR="00027D41" w:rsidRPr="00751BEC" w:rsidRDefault="00027D41" w:rsidP="00027D41">
      <w:pPr>
        <w:pStyle w:val="tDefn"/>
        <w:ind w:left="0"/>
        <w:rPr>
          <w:rFonts w:asciiTheme="minorHAnsi" w:hAnsiTheme="minorHAnsi" w:cstheme="minorHAnsi"/>
        </w:rPr>
      </w:pPr>
      <w:r w:rsidRPr="00751BEC">
        <w:rPr>
          <w:rFonts w:asciiTheme="minorHAnsi" w:hAnsiTheme="minorHAnsi" w:cstheme="minorHAnsi"/>
          <w:b/>
          <w:i/>
        </w:rPr>
        <w:t xml:space="preserve">Drainage channels </w:t>
      </w:r>
      <w:r w:rsidRPr="00751BEC">
        <w:rPr>
          <w:rFonts w:asciiTheme="minorHAnsi" w:hAnsiTheme="minorHAnsi" w:cstheme="minorHAnsi"/>
        </w:rPr>
        <w:t>means</w:t>
      </w:r>
      <w:r w:rsidRPr="00751BEC">
        <w:rPr>
          <w:rFonts w:asciiTheme="minorHAnsi" w:hAnsiTheme="minorHAnsi" w:cstheme="minorHAnsi"/>
          <w:b/>
          <w:i/>
        </w:rPr>
        <w:t xml:space="preserve"> </w:t>
      </w:r>
      <w:r w:rsidRPr="00751BEC">
        <w:rPr>
          <w:rFonts w:asciiTheme="minorHAnsi" w:hAnsiTheme="minorHAnsi" w:cstheme="minorHAnsi"/>
        </w:rPr>
        <w:t>brackish or freshwater drains or ditches created for the drainage of land for agricultural purposes, such as growing sugarcane.</w:t>
      </w:r>
      <w:r w:rsidR="00641E09" w:rsidRPr="00751BEC">
        <w:rPr>
          <w:rFonts w:asciiTheme="minorHAnsi" w:hAnsiTheme="minorHAnsi" w:cstheme="minorHAnsi"/>
        </w:rPr>
        <w:t xml:space="preserve"> </w:t>
      </w:r>
    </w:p>
    <w:p w14:paraId="1447081C" w14:textId="77777777" w:rsidR="00027D41" w:rsidRPr="00751BEC" w:rsidRDefault="00027D41" w:rsidP="00027D41">
      <w:pPr>
        <w:pStyle w:val="tDefn"/>
        <w:ind w:left="0"/>
        <w:rPr>
          <w:rFonts w:asciiTheme="minorHAnsi" w:hAnsiTheme="minorHAnsi" w:cstheme="minorHAnsi"/>
        </w:rPr>
      </w:pPr>
      <w:r w:rsidRPr="00751BEC">
        <w:rPr>
          <w:rFonts w:asciiTheme="minorHAnsi" w:hAnsiTheme="minorHAnsi" w:cstheme="minorHAnsi"/>
          <w:b/>
          <w:bCs/>
          <w:i/>
          <w:iCs/>
        </w:rPr>
        <w:t>Flooded agricultural land, managed wet meadow or pasture</w:t>
      </w:r>
      <w:r w:rsidRPr="00751BEC">
        <w:rPr>
          <w:rFonts w:asciiTheme="minorHAnsi" w:hAnsiTheme="minorHAnsi" w:cstheme="minorHAnsi"/>
        </w:rPr>
        <w:t xml:space="preserve"> means land that is: </w:t>
      </w:r>
    </w:p>
    <w:p w14:paraId="040ECE8D" w14:textId="77777777" w:rsidR="00027D41" w:rsidRPr="00751BEC" w:rsidRDefault="00027D41" w:rsidP="00027D41">
      <w:pPr>
        <w:pStyle w:val="tPara"/>
        <w:ind w:left="510"/>
        <w:rPr>
          <w:rFonts w:asciiTheme="minorHAnsi" w:hAnsiTheme="minorHAnsi" w:cstheme="minorHAnsi"/>
        </w:rPr>
      </w:pPr>
      <w:r w:rsidRPr="00751BEC">
        <w:rPr>
          <w:rFonts w:asciiTheme="minorHAnsi" w:hAnsiTheme="minorHAnsi" w:cstheme="minorHAnsi"/>
        </w:rPr>
        <w:tab/>
        <w:t>(a)</w:t>
      </w:r>
      <w:r w:rsidRPr="00751BEC">
        <w:rPr>
          <w:rFonts w:asciiTheme="minorHAnsi" w:hAnsiTheme="minorHAnsi" w:cstheme="minorHAnsi"/>
        </w:rPr>
        <w:tab/>
        <w:t xml:space="preserve"> flooded for all or part of a year; and </w:t>
      </w:r>
    </w:p>
    <w:p w14:paraId="4716A96D" w14:textId="77777777" w:rsidR="00027D41" w:rsidRPr="00751BEC" w:rsidRDefault="00027D41" w:rsidP="00027D41">
      <w:pPr>
        <w:pStyle w:val="tPara"/>
        <w:ind w:left="510"/>
        <w:rPr>
          <w:rFonts w:asciiTheme="minorHAnsi" w:hAnsiTheme="minorHAnsi" w:cstheme="minorHAnsi"/>
        </w:rPr>
      </w:pPr>
      <w:r w:rsidRPr="00751BEC">
        <w:rPr>
          <w:rFonts w:asciiTheme="minorHAnsi" w:hAnsiTheme="minorHAnsi" w:cstheme="minorHAnsi"/>
        </w:rPr>
        <w:tab/>
        <w:t xml:space="preserve">(b) </w:t>
      </w:r>
      <w:r w:rsidRPr="00751BEC">
        <w:rPr>
          <w:rFonts w:asciiTheme="minorHAnsi" w:hAnsiTheme="minorHAnsi" w:cstheme="minorHAnsi"/>
        </w:rPr>
        <w:tab/>
        <w:t xml:space="preserve">used for agricultural or pastoral purposes. </w:t>
      </w:r>
    </w:p>
    <w:p w14:paraId="4B6E88E6" w14:textId="77777777" w:rsidR="00027D41" w:rsidRPr="00751BEC" w:rsidRDefault="00027D41" w:rsidP="00027D41">
      <w:pPr>
        <w:pStyle w:val="tDefn"/>
        <w:ind w:left="0"/>
        <w:rPr>
          <w:rFonts w:asciiTheme="minorHAnsi" w:hAnsiTheme="minorHAnsi" w:cstheme="minorHAnsi"/>
          <w:color w:val="000000" w:themeColor="text1"/>
        </w:rPr>
      </w:pPr>
      <w:r w:rsidRPr="00751BEC">
        <w:rPr>
          <w:rFonts w:asciiTheme="minorHAnsi" w:hAnsiTheme="minorHAnsi" w:cstheme="minorHAnsi"/>
          <w:b/>
          <w:bCs/>
          <w:i/>
          <w:iCs/>
          <w:color w:val="000000" w:themeColor="text1"/>
        </w:rPr>
        <w:t xml:space="preserve">Forest land </w:t>
      </w:r>
      <w:r w:rsidRPr="00751BEC">
        <w:rPr>
          <w:rFonts w:asciiTheme="minorHAnsi" w:hAnsiTheme="minorHAnsi" w:cstheme="minorHAnsi"/>
          <w:color w:val="000000" w:themeColor="text1"/>
        </w:rPr>
        <w:t xml:space="preserve">means land with forest cover that is not a supratidal forest or mangrove. </w:t>
      </w:r>
    </w:p>
    <w:p w14:paraId="6A86B246" w14:textId="77777777" w:rsidR="00027D41" w:rsidRPr="00751BEC" w:rsidRDefault="00027D41" w:rsidP="00027D41">
      <w:pPr>
        <w:pStyle w:val="tDefn"/>
        <w:ind w:left="0"/>
        <w:rPr>
          <w:rFonts w:asciiTheme="minorHAnsi" w:hAnsiTheme="minorHAnsi" w:cstheme="minorHAnsi"/>
        </w:rPr>
      </w:pPr>
      <w:r w:rsidRPr="00751BEC">
        <w:rPr>
          <w:rFonts w:asciiTheme="minorHAnsi" w:hAnsiTheme="minorHAnsi" w:cstheme="minorHAnsi"/>
          <w:b/>
          <w:i/>
        </w:rPr>
        <w:t xml:space="preserve">Grazing land </w:t>
      </w:r>
      <w:r w:rsidRPr="00751BEC">
        <w:rPr>
          <w:rFonts w:asciiTheme="minorHAnsi" w:hAnsiTheme="minorHAnsi" w:cstheme="minorHAnsi"/>
        </w:rPr>
        <w:t>means land that is used for grazing of production livestock.</w:t>
      </w:r>
    </w:p>
    <w:p w14:paraId="2920E0CF" w14:textId="0FFFA085" w:rsidR="00027D41" w:rsidRPr="00751BEC" w:rsidRDefault="00027D41" w:rsidP="00027D41">
      <w:pPr>
        <w:pStyle w:val="tDefn"/>
        <w:ind w:left="0"/>
        <w:rPr>
          <w:rFonts w:asciiTheme="minorHAnsi" w:hAnsiTheme="minorHAnsi" w:cstheme="minorHAnsi"/>
        </w:rPr>
      </w:pPr>
      <w:r w:rsidRPr="00751BEC">
        <w:rPr>
          <w:rFonts w:asciiTheme="minorHAnsi" w:hAnsiTheme="minorHAnsi" w:cstheme="minorHAnsi"/>
          <w:b/>
          <w:i/>
        </w:rPr>
        <w:t xml:space="preserve">Other use land </w:t>
      </w:r>
      <w:r w:rsidRPr="00751BEC">
        <w:rPr>
          <w:rFonts w:asciiTheme="minorHAnsi" w:hAnsiTheme="minorHAnsi" w:cstheme="minorHAnsi"/>
        </w:rPr>
        <w:t>means</w:t>
      </w:r>
      <w:r w:rsidRPr="00751BEC">
        <w:rPr>
          <w:rFonts w:asciiTheme="minorHAnsi" w:hAnsiTheme="minorHAnsi" w:cstheme="minorHAnsi"/>
          <w:b/>
          <w:i/>
        </w:rPr>
        <w:t xml:space="preserve"> </w:t>
      </w:r>
      <w:r w:rsidRPr="00751BEC">
        <w:rPr>
          <w:rFonts w:asciiTheme="minorHAnsi" w:hAnsiTheme="minorHAnsi" w:cstheme="minorHAnsi"/>
        </w:rPr>
        <w:t xml:space="preserve">land that is used at the end of the baseline period in some way for human activities that is not covered by the other land types. </w:t>
      </w:r>
      <w:r w:rsidR="00C5015F" w:rsidRPr="00751BEC">
        <w:rPr>
          <w:rFonts w:asciiTheme="minorHAnsi" w:hAnsiTheme="minorHAnsi" w:cstheme="minorHAnsi"/>
        </w:rPr>
        <w:t xml:space="preserve">It may also include rocky outcrops. </w:t>
      </w:r>
      <w:r w:rsidRPr="00751BEC">
        <w:rPr>
          <w:rFonts w:asciiTheme="minorHAnsi" w:hAnsiTheme="minorHAnsi" w:cstheme="minorHAnsi"/>
        </w:rPr>
        <w:t xml:space="preserve"> </w:t>
      </w:r>
    </w:p>
    <w:p w14:paraId="6D5D379E" w14:textId="77777777" w:rsidR="00027D41" w:rsidRPr="00751BEC" w:rsidRDefault="00027D41" w:rsidP="00027D41">
      <w:pPr>
        <w:pStyle w:val="tDefn"/>
        <w:ind w:left="0"/>
        <w:rPr>
          <w:rFonts w:asciiTheme="minorHAnsi" w:hAnsiTheme="minorHAnsi" w:cstheme="minorHAnsi"/>
          <w:color w:val="000000" w:themeColor="text1"/>
        </w:rPr>
      </w:pPr>
      <w:r w:rsidRPr="00751BEC">
        <w:rPr>
          <w:rFonts w:asciiTheme="minorHAnsi" w:hAnsiTheme="minorHAnsi" w:cstheme="minorHAnsi"/>
          <w:b/>
          <w:bCs/>
          <w:i/>
          <w:iCs/>
          <w:color w:val="000000" w:themeColor="text1"/>
        </w:rPr>
        <w:t xml:space="preserve">Ponds and other constructed water bodies </w:t>
      </w:r>
      <w:r w:rsidRPr="00751BEC">
        <w:rPr>
          <w:rFonts w:asciiTheme="minorHAnsi" w:hAnsiTheme="minorHAnsi" w:cstheme="minorHAnsi"/>
          <w:color w:val="000000" w:themeColor="text1"/>
        </w:rPr>
        <w:t>means freshwater or brackish ponds, dams, or reservoirs that have been created by people.</w:t>
      </w:r>
    </w:p>
    <w:p w14:paraId="2C2BA11C" w14:textId="77777777" w:rsidR="00027D41" w:rsidRPr="00751BEC" w:rsidRDefault="00027D41" w:rsidP="00027D41">
      <w:pPr>
        <w:pStyle w:val="tDefn"/>
        <w:ind w:left="0"/>
        <w:rPr>
          <w:rFonts w:asciiTheme="minorHAnsi" w:hAnsiTheme="minorHAnsi" w:cstheme="minorHAnsi"/>
          <w:color w:val="000000" w:themeColor="text1"/>
        </w:rPr>
      </w:pPr>
      <w:r w:rsidRPr="00751BEC">
        <w:rPr>
          <w:rFonts w:asciiTheme="minorHAnsi" w:hAnsiTheme="minorHAnsi" w:cstheme="minorHAnsi"/>
          <w:b/>
          <w:bCs/>
          <w:i/>
          <w:iCs/>
          <w:color w:val="000000" w:themeColor="text1"/>
        </w:rPr>
        <w:lastRenderedPageBreak/>
        <w:t xml:space="preserve">Saline water bodies </w:t>
      </w:r>
      <w:r w:rsidRPr="00751BEC">
        <w:rPr>
          <w:rFonts w:asciiTheme="minorHAnsi" w:hAnsiTheme="minorHAnsi" w:cstheme="minorHAnsi"/>
          <w:color w:val="000000" w:themeColor="text1"/>
        </w:rPr>
        <w:t>means saline or hypersaline ponds or waterbodies that have been created by people, including for aquaculture activities.</w:t>
      </w:r>
    </w:p>
    <w:p w14:paraId="604F8897" w14:textId="006CCBD7" w:rsidR="00027D41" w:rsidRPr="00751BEC" w:rsidRDefault="00027D41" w:rsidP="00027D41">
      <w:pPr>
        <w:pStyle w:val="tDefn"/>
        <w:ind w:left="0"/>
        <w:rPr>
          <w:rFonts w:asciiTheme="minorHAnsi" w:hAnsiTheme="minorHAnsi" w:cstheme="minorHAnsi"/>
        </w:rPr>
      </w:pPr>
      <w:r w:rsidRPr="00751BEC">
        <w:rPr>
          <w:rFonts w:asciiTheme="minorHAnsi" w:hAnsiTheme="minorHAnsi" w:cstheme="minorHAnsi"/>
          <w:b/>
          <w:i/>
        </w:rPr>
        <w:t xml:space="preserve">Sugarcane </w:t>
      </w:r>
      <w:r w:rsidR="00EC491A" w:rsidRPr="00751BEC">
        <w:rPr>
          <w:rFonts w:asciiTheme="minorHAnsi" w:hAnsiTheme="minorHAnsi" w:cstheme="minorHAnsi"/>
          <w:b/>
          <w:i/>
        </w:rPr>
        <w:t>land</w:t>
      </w:r>
      <w:r w:rsidRPr="00751BEC">
        <w:rPr>
          <w:rFonts w:asciiTheme="minorHAnsi" w:hAnsiTheme="minorHAnsi" w:cstheme="minorHAnsi"/>
          <w:b/>
          <w:i/>
        </w:rPr>
        <w:t xml:space="preserve"> </w:t>
      </w:r>
      <w:r w:rsidRPr="00751BEC">
        <w:rPr>
          <w:rFonts w:asciiTheme="minorHAnsi" w:hAnsiTheme="minorHAnsi" w:cstheme="minorHAnsi"/>
        </w:rPr>
        <w:t>means land used to grow sugarcane.</w:t>
      </w:r>
    </w:p>
    <w:p w14:paraId="57AF9CF5" w14:textId="77777777" w:rsidR="00027D41" w:rsidRPr="00751BEC" w:rsidRDefault="00027D41" w:rsidP="00027D41">
      <w:pPr>
        <w:pStyle w:val="tDefn"/>
        <w:ind w:left="0"/>
        <w:rPr>
          <w:rFonts w:asciiTheme="minorHAnsi" w:hAnsiTheme="minorHAnsi" w:cstheme="minorHAnsi"/>
        </w:rPr>
      </w:pPr>
      <w:r w:rsidRPr="00751BEC">
        <w:rPr>
          <w:rFonts w:asciiTheme="minorHAnsi" w:hAnsiTheme="minorHAnsi" w:cstheme="minorHAnsi"/>
          <w:b/>
          <w:i/>
        </w:rPr>
        <w:t xml:space="preserve">Tidally restricted fresh and brackish wetlands </w:t>
      </w:r>
      <w:r w:rsidRPr="00751BEC">
        <w:rPr>
          <w:rFonts w:asciiTheme="minorHAnsi" w:hAnsiTheme="minorHAnsi" w:cstheme="minorHAnsi"/>
        </w:rPr>
        <w:t xml:space="preserve">means a type of coastal wetland ecosystem that is not affected by tidal flows because its hydrology has been modified by people. </w:t>
      </w:r>
    </w:p>
    <w:p w14:paraId="072540D2" w14:textId="77777777" w:rsidR="00027D41" w:rsidRPr="00402106" w:rsidRDefault="00027D41" w:rsidP="00027D41">
      <w:pPr>
        <w:pStyle w:val="tDefn"/>
        <w:ind w:left="0"/>
        <w:rPr>
          <w:rFonts w:asciiTheme="minorHAnsi" w:hAnsiTheme="minorHAnsi" w:cstheme="minorHAnsi"/>
        </w:rPr>
      </w:pPr>
      <w:r w:rsidRPr="00751BEC">
        <w:rPr>
          <w:rFonts w:asciiTheme="minorHAnsi" w:hAnsiTheme="minorHAnsi" w:cstheme="minorHAnsi"/>
        </w:rPr>
        <w:t xml:space="preserve">Examples included construction of dams, weirs and bunds (for examples see the National Environmental Science Program </w:t>
      </w:r>
      <w:hyperlink r:id="rId10" w:history="1">
        <w:r w:rsidRPr="00402106">
          <w:rPr>
            <w:rStyle w:val="Hyperlink"/>
            <w:rFonts w:asciiTheme="minorHAnsi" w:hAnsiTheme="minorHAnsi" w:cstheme="minorHAnsi"/>
          </w:rPr>
          <w:t>report</w:t>
        </w:r>
      </w:hyperlink>
      <w:r w:rsidRPr="00751BEC">
        <w:rPr>
          <w:rFonts w:asciiTheme="minorHAnsi" w:hAnsiTheme="minorHAnsi" w:cstheme="minorHAnsi"/>
        </w:rPr>
        <w:t xml:space="preserve"> and the Queensland Government Department of Agriculture and Fisheries </w:t>
      </w:r>
      <w:hyperlink r:id="rId11" w:history="1">
        <w:r w:rsidRPr="00402106">
          <w:rPr>
            <w:rStyle w:val="Hyperlink"/>
            <w:rFonts w:asciiTheme="minorHAnsi" w:hAnsiTheme="minorHAnsi" w:cstheme="minorHAnsi"/>
          </w:rPr>
          <w:t>website</w:t>
        </w:r>
      </w:hyperlink>
      <w:r w:rsidRPr="00751BEC">
        <w:rPr>
          <w:rFonts w:asciiTheme="minorHAnsi" w:hAnsiTheme="minorHAnsi" w:cstheme="minorHAnsi"/>
        </w:rPr>
        <w:t>).</w:t>
      </w:r>
    </w:p>
    <w:p w14:paraId="3B346C4A" w14:textId="18B0CEB0" w:rsidR="00027D41" w:rsidRPr="00402106" w:rsidRDefault="00641E09" w:rsidP="00EB075A">
      <w:pPr>
        <w:pStyle w:val="Heading3"/>
      </w:pPr>
      <w:r w:rsidRPr="00402106">
        <w:t>Coastal wetland ecosystem land types</w:t>
      </w:r>
    </w:p>
    <w:p w14:paraId="22AAD6C8" w14:textId="77777777" w:rsidR="00457C51" w:rsidRPr="00751BEC" w:rsidRDefault="00457C51" w:rsidP="00457C51">
      <w:pPr>
        <w:pStyle w:val="tDefn"/>
        <w:ind w:left="0"/>
        <w:rPr>
          <w:rFonts w:asciiTheme="minorHAnsi" w:hAnsiTheme="minorHAnsi" w:cstheme="minorHAnsi"/>
        </w:rPr>
      </w:pPr>
      <w:r w:rsidRPr="00402106">
        <w:rPr>
          <w:rFonts w:asciiTheme="minorHAnsi" w:hAnsiTheme="minorHAnsi" w:cstheme="minorHAnsi"/>
          <w:b/>
          <w:bCs/>
          <w:i/>
          <w:iCs/>
        </w:rPr>
        <w:t>Mangroves</w:t>
      </w:r>
      <w:r w:rsidRPr="00402106">
        <w:rPr>
          <w:rFonts w:asciiTheme="minorHAnsi" w:hAnsiTheme="minorHAnsi" w:cstheme="minorHAnsi"/>
        </w:rPr>
        <w:t xml:space="preserve"> means an ecosystem comprised of trees and shrubs which: </w:t>
      </w:r>
    </w:p>
    <w:p w14:paraId="0EFE7D64" w14:textId="77777777" w:rsidR="00457C51" w:rsidRPr="00751BEC" w:rsidRDefault="00457C51" w:rsidP="00457C51">
      <w:pPr>
        <w:pStyle w:val="tPara"/>
        <w:ind w:left="510"/>
        <w:rPr>
          <w:rFonts w:asciiTheme="minorHAnsi" w:hAnsiTheme="minorHAnsi" w:cstheme="minorHAnsi"/>
        </w:rPr>
      </w:pPr>
      <w:r w:rsidRPr="00751BEC">
        <w:rPr>
          <w:rFonts w:asciiTheme="minorHAnsi" w:hAnsiTheme="minorHAnsi" w:cstheme="minorHAnsi"/>
        </w:rPr>
        <w:tab/>
        <w:t xml:space="preserve">(a) </w:t>
      </w:r>
      <w:r w:rsidRPr="00751BEC">
        <w:rPr>
          <w:rFonts w:asciiTheme="minorHAnsi" w:hAnsiTheme="minorHAnsi" w:cstheme="minorHAnsi"/>
        </w:rPr>
        <w:tab/>
        <w:t xml:space="preserve">occupy the intertidal zone of floodplains, including marine and estuarine areas; and </w:t>
      </w:r>
    </w:p>
    <w:p w14:paraId="541D2AC9" w14:textId="77777777" w:rsidR="00457C51" w:rsidRPr="00751BEC" w:rsidRDefault="00457C51" w:rsidP="00457C51">
      <w:pPr>
        <w:pStyle w:val="tPara"/>
        <w:ind w:left="510"/>
        <w:rPr>
          <w:rFonts w:asciiTheme="minorHAnsi" w:hAnsiTheme="minorHAnsi" w:cstheme="minorHAnsi"/>
        </w:rPr>
      </w:pPr>
      <w:r w:rsidRPr="00751BEC">
        <w:rPr>
          <w:rFonts w:asciiTheme="minorHAnsi" w:hAnsiTheme="minorHAnsi" w:cstheme="minorHAnsi"/>
        </w:rPr>
        <w:tab/>
        <w:t xml:space="preserve">(b) </w:t>
      </w:r>
      <w:r w:rsidRPr="00751BEC">
        <w:rPr>
          <w:rFonts w:asciiTheme="minorHAnsi" w:hAnsiTheme="minorHAnsi" w:cstheme="minorHAnsi"/>
        </w:rPr>
        <w:tab/>
        <w:t xml:space="preserve">grow in saline or brackish water. </w:t>
      </w:r>
    </w:p>
    <w:p w14:paraId="7DFF4977" w14:textId="3E10A814" w:rsidR="00457C51" w:rsidRPr="00751BEC" w:rsidRDefault="00457C51" w:rsidP="00457C51">
      <w:pPr>
        <w:pStyle w:val="tDefn"/>
        <w:ind w:left="0"/>
        <w:rPr>
          <w:rFonts w:asciiTheme="minorHAnsi" w:hAnsiTheme="minorHAnsi" w:cstheme="minorHAnsi"/>
        </w:rPr>
      </w:pPr>
      <w:r w:rsidRPr="00751BEC">
        <w:rPr>
          <w:rFonts w:asciiTheme="minorHAnsi" w:hAnsiTheme="minorHAnsi" w:cstheme="minorHAnsi"/>
        </w:rPr>
        <w:t xml:space="preserve">The species composition and biomass vary regionally and with local environmental factors. </w:t>
      </w:r>
      <w:r w:rsidR="00030E9D" w:rsidRPr="00751BEC">
        <w:rPr>
          <w:rFonts w:asciiTheme="minorHAnsi" w:hAnsiTheme="minorHAnsi" w:cstheme="minorHAnsi"/>
        </w:rPr>
        <w:t>As of 3 December 2021, d</w:t>
      </w:r>
      <w:r w:rsidRPr="00751BEC">
        <w:rPr>
          <w:rFonts w:asciiTheme="minorHAnsi" w:hAnsiTheme="minorHAnsi" w:cstheme="minorHAnsi"/>
        </w:rPr>
        <w:t>escriptions of different types of mangroves in different states can be found at the following links:</w:t>
      </w:r>
    </w:p>
    <w:p w14:paraId="45B26260" w14:textId="178660EE" w:rsidR="00457C51" w:rsidRPr="00402106" w:rsidRDefault="000458FD" w:rsidP="00CB73F7">
      <w:pPr>
        <w:pStyle w:val="CERbullets"/>
        <w:rPr>
          <w:rFonts w:cstheme="minorHAnsi"/>
        </w:rPr>
      </w:pPr>
      <w:hyperlink r:id="rId12" w:history="1">
        <w:r w:rsidR="00457C51" w:rsidRPr="00402106">
          <w:rPr>
            <w:rStyle w:val="Hyperlink"/>
            <w:rFonts w:asciiTheme="minorHAnsi" w:hAnsiTheme="minorHAnsi" w:cstheme="minorHAnsi"/>
          </w:rPr>
          <w:t>Queensland</w:t>
        </w:r>
      </w:hyperlink>
    </w:p>
    <w:p w14:paraId="6774D85C" w14:textId="19414761" w:rsidR="00457C51" w:rsidRPr="00402106" w:rsidRDefault="000458FD" w:rsidP="00CB73F7">
      <w:pPr>
        <w:pStyle w:val="CERbullets"/>
        <w:rPr>
          <w:rFonts w:cstheme="minorHAnsi"/>
        </w:rPr>
      </w:pPr>
      <w:hyperlink r:id="rId13" w:history="1">
        <w:r w:rsidR="00457C51" w:rsidRPr="00402106">
          <w:rPr>
            <w:rStyle w:val="Hyperlink"/>
            <w:rFonts w:asciiTheme="minorHAnsi" w:hAnsiTheme="minorHAnsi" w:cstheme="minorHAnsi"/>
          </w:rPr>
          <w:t>South Australia</w:t>
        </w:r>
      </w:hyperlink>
      <w:r w:rsidR="00457C51" w:rsidRPr="00751BEC">
        <w:rPr>
          <w:rFonts w:cstheme="minorHAnsi"/>
        </w:rPr>
        <w:t xml:space="preserve"> </w:t>
      </w:r>
    </w:p>
    <w:p w14:paraId="089D3950" w14:textId="785C2190" w:rsidR="00457C51" w:rsidRPr="00402106" w:rsidRDefault="000458FD" w:rsidP="00CB73F7">
      <w:pPr>
        <w:pStyle w:val="CERbullets"/>
        <w:rPr>
          <w:rFonts w:cstheme="minorHAnsi"/>
        </w:rPr>
      </w:pPr>
      <w:hyperlink r:id="rId14" w:history="1">
        <w:r w:rsidR="00457C51" w:rsidRPr="00402106">
          <w:rPr>
            <w:rStyle w:val="Hyperlink"/>
            <w:rFonts w:asciiTheme="minorHAnsi" w:hAnsiTheme="minorHAnsi" w:cstheme="minorHAnsi"/>
          </w:rPr>
          <w:t>New South Wales</w:t>
        </w:r>
      </w:hyperlink>
    </w:p>
    <w:p w14:paraId="12AC5728" w14:textId="41F9EFC2" w:rsidR="00457C51" w:rsidRPr="00402106" w:rsidRDefault="000458FD" w:rsidP="00CB73F7">
      <w:pPr>
        <w:pStyle w:val="CERbullets"/>
        <w:rPr>
          <w:rStyle w:val="Hyperlink"/>
          <w:rFonts w:asciiTheme="minorHAnsi" w:hAnsiTheme="minorHAnsi" w:cstheme="minorHAnsi"/>
          <w:color w:val="auto"/>
        </w:rPr>
      </w:pPr>
      <w:hyperlink r:id="rId15" w:history="1">
        <w:r w:rsidR="00457C51" w:rsidRPr="00402106">
          <w:rPr>
            <w:rStyle w:val="Hyperlink"/>
            <w:rFonts w:asciiTheme="minorHAnsi" w:hAnsiTheme="minorHAnsi" w:cstheme="minorHAnsi"/>
          </w:rPr>
          <w:t>Victoria</w:t>
        </w:r>
      </w:hyperlink>
    </w:p>
    <w:p w14:paraId="789849A2" w14:textId="08206056" w:rsidR="00457C51" w:rsidRPr="00751BEC" w:rsidRDefault="000458FD" w:rsidP="00CB73F7">
      <w:pPr>
        <w:pStyle w:val="CERbullets"/>
        <w:rPr>
          <w:rStyle w:val="Hyperlink"/>
          <w:rFonts w:asciiTheme="minorHAnsi" w:hAnsiTheme="minorHAnsi" w:cstheme="minorHAnsi"/>
          <w:color w:val="auto"/>
        </w:rPr>
      </w:pPr>
      <w:hyperlink r:id="rId16" w:history="1">
        <w:r w:rsidR="00457C51" w:rsidRPr="00402106">
          <w:rPr>
            <w:rStyle w:val="Hyperlink"/>
            <w:rFonts w:asciiTheme="minorHAnsi" w:hAnsiTheme="minorHAnsi" w:cstheme="minorHAnsi"/>
          </w:rPr>
          <w:t>Western Australia</w:t>
        </w:r>
      </w:hyperlink>
      <w:hyperlink w:history="1"/>
    </w:p>
    <w:p w14:paraId="054DBD39" w14:textId="372F5E10" w:rsidR="00457C51" w:rsidRPr="00402106" w:rsidRDefault="000458FD" w:rsidP="00CB73F7">
      <w:pPr>
        <w:pStyle w:val="CERbullets"/>
        <w:rPr>
          <w:rFonts w:cstheme="minorHAnsi"/>
        </w:rPr>
      </w:pPr>
      <w:hyperlink r:id="rId17" w:history="1">
        <w:r w:rsidR="00457C51" w:rsidRPr="00402106">
          <w:rPr>
            <w:rStyle w:val="Hyperlink"/>
            <w:rFonts w:asciiTheme="minorHAnsi" w:hAnsiTheme="minorHAnsi" w:cstheme="minorHAnsi"/>
          </w:rPr>
          <w:t>Northern Territory</w:t>
        </w:r>
      </w:hyperlink>
      <w:r w:rsidR="00457C51" w:rsidRPr="00751BEC">
        <w:rPr>
          <w:rFonts w:cstheme="minorHAnsi"/>
        </w:rPr>
        <w:t xml:space="preserve"> </w:t>
      </w:r>
    </w:p>
    <w:p w14:paraId="64085A99" w14:textId="25D7DA53" w:rsidR="00F10127" w:rsidRDefault="00F10127" w:rsidP="00394588">
      <w:pPr>
        <w:pStyle w:val="tDefn"/>
        <w:ind w:left="0"/>
        <w:rPr>
          <w:rFonts w:asciiTheme="minorHAnsi" w:hAnsiTheme="minorHAnsi" w:cstheme="minorHAnsi"/>
        </w:rPr>
      </w:pPr>
      <w:r w:rsidRPr="00402106">
        <w:rPr>
          <w:rFonts w:asciiTheme="minorHAnsi" w:hAnsiTheme="minorHAnsi" w:cstheme="minorHAnsi"/>
          <w:b/>
          <w:bCs/>
          <w:i/>
          <w:iCs/>
        </w:rPr>
        <w:t>Other coastal wetland ecosystem</w:t>
      </w:r>
      <w:r w:rsidRPr="00402106">
        <w:rPr>
          <w:rFonts w:asciiTheme="minorHAnsi" w:hAnsiTheme="minorHAnsi" w:cstheme="minorHAnsi"/>
          <w:i/>
          <w:iCs/>
        </w:rPr>
        <w:t xml:space="preserve"> </w:t>
      </w:r>
      <w:r w:rsidR="00402106" w:rsidRPr="008C777C">
        <w:rPr>
          <w:rFonts w:asciiTheme="minorHAnsi" w:hAnsiTheme="minorHAnsi" w:cstheme="minorHAnsi"/>
        </w:rPr>
        <w:t>means an ecosystem on impacted land that is not any of the other land types</w:t>
      </w:r>
      <w:r w:rsidRPr="00751BEC">
        <w:rPr>
          <w:rFonts w:asciiTheme="minorHAnsi" w:hAnsiTheme="minorHAnsi" w:cstheme="minorHAnsi"/>
        </w:rPr>
        <w:t xml:space="preserve">. It may include rocky outcrops or mudflats where there is no wetland vegetation. </w:t>
      </w:r>
    </w:p>
    <w:p w14:paraId="3081AE4F" w14:textId="361C8F61" w:rsidR="000C07F8" w:rsidRPr="00402106" w:rsidRDefault="000C07F8" w:rsidP="000C07F8">
      <w:pPr>
        <w:pStyle w:val="tDefn"/>
        <w:ind w:left="0"/>
        <w:rPr>
          <w:rFonts w:asciiTheme="minorHAnsi" w:hAnsiTheme="minorHAnsi" w:cstheme="minorHAnsi"/>
        </w:rPr>
      </w:pPr>
      <w:r w:rsidRPr="00402106">
        <w:rPr>
          <w:rFonts w:asciiTheme="minorHAnsi" w:hAnsiTheme="minorHAnsi" w:cstheme="minorHAnsi"/>
          <w:b/>
          <w:bCs/>
          <w:i/>
          <w:iCs/>
        </w:rPr>
        <w:t>Saltmarsh</w:t>
      </w:r>
      <w:r w:rsidRPr="00402106">
        <w:rPr>
          <w:rFonts w:asciiTheme="minorHAnsi" w:hAnsiTheme="minorHAnsi" w:cstheme="minorHAnsi"/>
        </w:rPr>
        <w:t xml:space="preserve"> means an ecosystem that: </w:t>
      </w:r>
    </w:p>
    <w:p w14:paraId="7A08DD3E" w14:textId="1DA591C7" w:rsidR="000C07F8" w:rsidRPr="00751BEC" w:rsidRDefault="000C07F8" w:rsidP="000C07F8">
      <w:pPr>
        <w:pStyle w:val="tPara"/>
        <w:ind w:left="510"/>
        <w:rPr>
          <w:rFonts w:asciiTheme="minorHAnsi" w:hAnsiTheme="minorHAnsi" w:cstheme="minorHAnsi"/>
        </w:rPr>
      </w:pPr>
      <w:r w:rsidRPr="00402106">
        <w:rPr>
          <w:rFonts w:asciiTheme="minorHAnsi" w:hAnsiTheme="minorHAnsi" w:cstheme="minorHAnsi"/>
        </w:rPr>
        <w:tab/>
        <w:t>(a)</w:t>
      </w:r>
      <w:r w:rsidR="00CB73F7">
        <w:rPr>
          <w:rFonts w:asciiTheme="minorHAnsi" w:hAnsiTheme="minorHAnsi" w:cstheme="minorHAnsi"/>
        </w:rPr>
        <w:t xml:space="preserve"> </w:t>
      </w:r>
      <w:r w:rsidRPr="00402106">
        <w:rPr>
          <w:rFonts w:asciiTheme="minorHAnsi" w:hAnsiTheme="minorHAnsi" w:cstheme="minorHAnsi"/>
        </w:rPr>
        <w:tab/>
        <w:t>is comprised of salt tolerant plants that are herbaceous as well as some woody shrubs; and</w:t>
      </w:r>
    </w:p>
    <w:p w14:paraId="411C9DD7" w14:textId="73D63B88" w:rsidR="000C07F8" w:rsidRPr="00751BEC" w:rsidRDefault="000C07F8" w:rsidP="000C07F8">
      <w:pPr>
        <w:pStyle w:val="tPara"/>
        <w:ind w:left="510"/>
        <w:rPr>
          <w:rFonts w:asciiTheme="minorHAnsi" w:hAnsiTheme="minorHAnsi" w:cstheme="minorHAnsi"/>
        </w:rPr>
      </w:pPr>
      <w:r w:rsidRPr="00751BEC">
        <w:rPr>
          <w:rFonts w:asciiTheme="minorHAnsi" w:hAnsiTheme="minorHAnsi" w:cstheme="minorHAnsi"/>
        </w:rPr>
        <w:tab/>
        <w:t>(b)</w:t>
      </w:r>
      <w:r w:rsidR="00CB73F7">
        <w:rPr>
          <w:rFonts w:asciiTheme="minorHAnsi" w:hAnsiTheme="minorHAnsi" w:cstheme="minorHAnsi"/>
        </w:rPr>
        <w:t xml:space="preserve"> </w:t>
      </w:r>
      <w:r w:rsidRPr="00751BEC">
        <w:rPr>
          <w:rFonts w:asciiTheme="minorHAnsi" w:hAnsiTheme="minorHAnsi" w:cstheme="minorHAnsi"/>
        </w:rPr>
        <w:tab/>
        <w:t xml:space="preserve">occurs on floodplains and in estuaries and can be flushed with water from a combination of water sources including rainfall, rivers, groundwater and seawater.  </w:t>
      </w:r>
    </w:p>
    <w:p w14:paraId="01E026F0" w14:textId="200CD6EB" w:rsidR="000C07F8" w:rsidRPr="00751BEC" w:rsidRDefault="000C07F8" w:rsidP="000C07F8">
      <w:pPr>
        <w:pStyle w:val="tDefn"/>
        <w:ind w:left="0"/>
        <w:rPr>
          <w:rFonts w:asciiTheme="minorHAnsi" w:hAnsiTheme="minorHAnsi" w:cstheme="minorHAnsi"/>
        </w:rPr>
      </w:pPr>
      <w:r w:rsidRPr="00751BEC">
        <w:rPr>
          <w:rFonts w:asciiTheme="minorHAnsi" w:hAnsiTheme="minorHAnsi" w:cstheme="minorHAnsi"/>
        </w:rPr>
        <w:t xml:space="preserve">Saltmarsh species composition varies regionally and with local environmental factors. </w:t>
      </w:r>
      <w:r w:rsidR="00030E9D" w:rsidRPr="00751BEC">
        <w:rPr>
          <w:rFonts w:asciiTheme="minorHAnsi" w:hAnsiTheme="minorHAnsi" w:cstheme="minorHAnsi"/>
        </w:rPr>
        <w:t>As of 3 December 2021, d</w:t>
      </w:r>
      <w:r w:rsidRPr="00751BEC">
        <w:rPr>
          <w:rFonts w:asciiTheme="minorHAnsi" w:hAnsiTheme="minorHAnsi" w:cstheme="minorHAnsi"/>
        </w:rPr>
        <w:t xml:space="preserve">escriptions of different types of saltmarshes in different states can be found at: </w:t>
      </w:r>
    </w:p>
    <w:p w14:paraId="0F4272E6" w14:textId="4C3D63B2" w:rsidR="000C07F8" w:rsidRPr="00402106" w:rsidRDefault="000458FD" w:rsidP="00CB73F7">
      <w:pPr>
        <w:pStyle w:val="CERbullets"/>
        <w:rPr>
          <w:rFonts w:cstheme="minorHAnsi"/>
        </w:rPr>
      </w:pPr>
      <w:hyperlink r:id="rId18" w:history="1">
        <w:r w:rsidR="000C07F8" w:rsidRPr="00402106">
          <w:rPr>
            <w:rStyle w:val="Hyperlink"/>
            <w:rFonts w:asciiTheme="minorHAnsi" w:hAnsiTheme="minorHAnsi" w:cstheme="minorHAnsi"/>
          </w:rPr>
          <w:t>Northern Territory</w:t>
        </w:r>
      </w:hyperlink>
    </w:p>
    <w:p w14:paraId="033E8D65" w14:textId="4D86C67F" w:rsidR="000C07F8" w:rsidRPr="00402106" w:rsidRDefault="000458FD" w:rsidP="00CB73F7">
      <w:pPr>
        <w:pStyle w:val="CERbullets"/>
        <w:rPr>
          <w:rFonts w:cstheme="minorHAnsi"/>
        </w:rPr>
      </w:pPr>
      <w:hyperlink r:id="rId19" w:history="1">
        <w:r w:rsidR="000C07F8" w:rsidRPr="00402106">
          <w:rPr>
            <w:rStyle w:val="Hyperlink"/>
            <w:rFonts w:asciiTheme="minorHAnsi" w:hAnsiTheme="minorHAnsi" w:cstheme="minorHAnsi"/>
          </w:rPr>
          <w:t>New South Wales</w:t>
        </w:r>
      </w:hyperlink>
    </w:p>
    <w:p w14:paraId="11C309C7" w14:textId="13011D8E" w:rsidR="000C07F8" w:rsidRPr="00402106" w:rsidRDefault="000458FD" w:rsidP="00CB73F7">
      <w:pPr>
        <w:pStyle w:val="CERbullets"/>
        <w:rPr>
          <w:rFonts w:cstheme="minorHAnsi"/>
        </w:rPr>
      </w:pPr>
      <w:hyperlink r:id="rId20" w:history="1">
        <w:r w:rsidR="000C07F8" w:rsidRPr="00402106">
          <w:rPr>
            <w:rStyle w:val="Hyperlink"/>
            <w:rFonts w:asciiTheme="minorHAnsi" w:hAnsiTheme="minorHAnsi" w:cstheme="minorHAnsi"/>
          </w:rPr>
          <w:t>Queensland</w:t>
        </w:r>
      </w:hyperlink>
      <w:r w:rsidR="000C07F8" w:rsidRPr="00751BEC">
        <w:rPr>
          <w:rFonts w:cstheme="minorHAnsi"/>
        </w:rPr>
        <w:t xml:space="preserve"> – refer to information for </w:t>
      </w:r>
      <w:hyperlink r:id="rId21" w:history="1">
        <w:r w:rsidR="000C07F8" w:rsidRPr="00402106">
          <w:rPr>
            <w:rStyle w:val="Hyperlink"/>
            <w:rFonts w:asciiTheme="minorHAnsi" w:hAnsiTheme="minorHAnsi" w:cstheme="minorHAnsi"/>
          </w:rPr>
          <w:t>saline swamps</w:t>
        </w:r>
      </w:hyperlink>
      <w:r w:rsidR="000C07F8" w:rsidRPr="00751BEC">
        <w:rPr>
          <w:rFonts w:cstheme="minorHAnsi"/>
        </w:rPr>
        <w:t xml:space="preserve"> and  </w:t>
      </w:r>
      <w:hyperlink r:id="rId22" w:history="1">
        <w:r w:rsidR="000C07F8" w:rsidRPr="00402106">
          <w:rPr>
            <w:rStyle w:val="Hyperlink"/>
            <w:rFonts w:asciiTheme="minorHAnsi" w:hAnsiTheme="minorHAnsi" w:cstheme="minorHAnsi"/>
          </w:rPr>
          <w:t>grass and sedge swamps</w:t>
        </w:r>
      </w:hyperlink>
      <w:r w:rsidR="000C07F8" w:rsidRPr="00751BEC">
        <w:rPr>
          <w:rFonts w:cstheme="minorHAnsi"/>
        </w:rPr>
        <w:t>;</w:t>
      </w:r>
      <w:r w:rsidR="000C07F8" w:rsidRPr="00402106">
        <w:rPr>
          <w:rFonts w:cstheme="minorHAnsi"/>
        </w:rPr>
        <w:t xml:space="preserve"> additional detail is available in mapping surveys </w:t>
      </w:r>
      <w:hyperlink r:id="rId23" w:history="1">
        <w:r w:rsidR="000C07F8" w:rsidRPr="00402106">
          <w:rPr>
            <w:rStyle w:val="Hyperlink"/>
            <w:rFonts w:asciiTheme="minorHAnsi" w:hAnsiTheme="minorHAnsi" w:cstheme="minorHAnsi"/>
          </w:rPr>
          <w:t>available online</w:t>
        </w:r>
      </w:hyperlink>
      <w:r w:rsidR="000C07F8" w:rsidRPr="00751BEC">
        <w:rPr>
          <w:rFonts w:cstheme="minorHAnsi"/>
        </w:rPr>
        <w:t>.</w:t>
      </w:r>
      <w:r w:rsidR="000E0139" w:rsidRPr="00402106" w:rsidDel="000E0139">
        <w:rPr>
          <w:rFonts w:cstheme="minorHAnsi"/>
        </w:rPr>
        <w:t xml:space="preserve"> </w:t>
      </w:r>
    </w:p>
    <w:p w14:paraId="025ABF9C" w14:textId="62F140CA" w:rsidR="000C07F8" w:rsidRPr="00402106" w:rsidRDefault="000458FD" w:rsidP="00CB73F7">
      <w:pPr>
        <w:pStyle w:val="CERbullets"/>
        <w:rPr>
          <w:rFonts w:cstheme="minorHAnsi"/>
        </w:rPr>
      </w:pPr>
      <w:hyperlink r:id="rId24" w:history="1">
        <w:r w:rsidR="000C07F8" w:rsidRPr="00402106">
          <w:rPr>
            <w:rStyle w:val="Hyperlink"/>
            <w:rFonts w:asciiTheme="minorHAnsi" w:hAnsiTheme="minorHAnsi" w:cstheme="minorHAnsi"/>
          </w:rPr>
          <w:t>South Australia</w:t>
        </w:r>
      </w:hyperlink>
    </w:p>
    <w:p w14:paraId="6E758382" w14:textId="77777777" w:rsidR="000C07F8" w:rsidRPr="00402106" w:rsidRDefault="000C07F8" w:rsidP="00CB73F7">
      <w:pPr>
        <w:pStyle w:val="CERbullets"/>
        <w:rPr>
          <w:rFonts w:cstheme="minorHAnsi"/>
        </w:rPr>
      </w:pPr>
      <w:r w:rsidRPr="00402106">
        <w:rPr>
          <w:rFonts w:cstheme="minorHAnsi"/>
        </w:rPr>
        <w:lastRenderedPageBreak/>
        <w:t xml:space="preserve">Tasmania – refer to  Prahalad, V. and Kirkpatrick, J.B., 2019. Saltmarsh conservation through inventory, biogeographic analysis and predictions of change: Case of Tasmania, south‐eastern Australia. Aquatic Conservation: Marine and Freshwater Ecosystems, 29(5), pp.717-731, </w:t>
      </w:r>
      <w:hyperlink r:id="rId25" w:history="1">
        <w:r w:rsidRPr="00402106">
          <w:rPr>
            <w:rStyle w:val="Hyperlink"/>
            <w:rFonts w:asciiTheme="minorHAnsi" w:hAnsiTheme="minorHAnsi" w:cstheme="minorHAnsi"/>
          </w:rPr>
          <w:t>available online</w:t>
        </w:r>
      </w:hyperlink>
      <w:r w:rsidRPr="00751BEC">
        <w:rPr>
          <w:rFonts w:cstheme="minorHAnsi"/>
        </w:rPr>
        <w:t>.</w:t>
      </w:r>
    </w:p>
    <w:p w14:paraId="2D430924" w14:textId="5C4F7BB1" w:rsidR="000C07F8" w:rsidRPr="00402106" w:rsidRDefault="000458FD" w:rsidP="00CB73F7">
      <w:pPr>
        <w:pStyle w:val="CERbullets"/>
        <w:rPr>
          <w:rFonts w:cstheme="minorHAnsi"/>
        </w:rPr>
      </w:pPr>
      <w:hyperlink r:id="rId26" w:history="1">
        <w:r w:rsidR="000C07F8" w:rsidRPr="00402106">
          <w:rPr>
            <w:rStyle w:val="Hyperlink"/>
            <w:rFonts w:asciiTheme="minorHAnsi" w:hAnsiTheme="minorHAnsi" w:cstheme="minorHAnsi"/>
          </w:rPr>
          <w:t>Victoria</w:t>
        </w:r>
      </w:hyperlink>
      <w:r w:rsidR="000C07F8" w:rsidRPr="00751BEC">
        <w:rPr>
          <w:rFonts w:cstheme="minorHAnsi"/>
        </w:rPr>
        <w:t xml:space="preserve"> and </w:t>
      </w:r>
    </w:p>
    <w:p w14:paraId="7FC27EAB" w14:textId="77777777" w:rsidR="000C07F8" w:rsidRPr="00751BEC" w:rsidRDefault="000458FD" w:rsidP="00CB73F7">
      <w:pPr>
        <w:pStyle w:val="CERbullets"/>
        <w:rPr>
          <w:rFonts w:cstheme="minorHAnsi"/>
        </w:rPr>
      </w:pPr>
      <w:hyperlink r:id="rId27" w:history="1">
        <w:r w:rsidR="000C07F8" w:rsidRPr="00402106">
          <w:rPr>
            <w:rStyle w:val="Hyperlink"/>
            <w:rFonts w:asciiTheme="minorHAnsi" w:hAnsiTheme="minorHAnsi" w:cstheme="minorHAnsi"/>
          </w:rPr>
          <w:t>Western Australia</w:t>
        </w:r>
      </w:hyperlink>
      <w:r w:rsidR="000C07F8" w:rsidRPr="00751BEC">
        <w:rPr>
          <w:rFonts w:cstheme="minorHAnsi"/>
        </w:rPr>
        <w:t xml:space="preserve"> – refer also to the National Environmental Science Program Marine</w:t>
      </w:r>
      <w:hyperlink r:id="rId28" w:history="1">
        <w:r w:rsidR="000C07F8" w:rsidRPr="00402106">
          <w:rPr>
            <w:rStyle w:val="Hyperlink"/>
            <w:rFonts w:asciiTheme="minorHAnsi" w:hAnsiTheme="minorHAnsi" w:cstheme="minorHAnsi"/>
          </w:rPr>
          <w:t xml:space="preserve"> report</w:t>
        </w:r>
      </w:hyperlink>
      <w:r w:rsidR="000C07F8" w:rsidRPr="00751BEC">
        <w:rPr>
          <w:rFonts w:cstheme="minorHAnsi"/>
        </w:rPr>
        <w:t xml:space="preserve"> : and </w:t>
      </w:r>
      <w:proofErr w:type="spellStart"/>
      <w:r w:rsidR="000C07F8" w:rsidRPr="00751BEC">
        <w:rPr>
          <w:rFonts w:cstheme="minorHAnsi"/>
        </w:rPr>
        <w:t>McComb</w:t>
      </w:r>
      <w:proofErr w:type="spellEnd"/>
      <w:r w:rsidR="000C07F8" w:rsidRPr="00751BEC">
        <w:rPr>
          <w:rFonts w:cstheme="minorHAnsi"/>
        </w:rPr>
        <w:t xml:space="preserve">. A.J., </w:t>
      </w:r>
      <w:proofErr w:type="spellStart"/>
      <w:r w:rsidR="000C07F8" w:rsidRPr="00751BEC">
        <w:rPr>
          <w:rFonts w:cstheme="minorHAnsi"/>
        </w:rPr>
        <w:t>Kobryn</w:t>
      </w:r>
      <w:proofErr w:type="spellEnd"/>
      <w:r w:rsidR="000C07F8" w:rsidRPr="00751BEC">
        <w:rPr>
          <w:rFonts w:cstheme="minorHAnsi"/>
        </w:rPr>
        <w:t>, H. T., and Latchford, J., 1995. Samphire Marsh</w:t>
      </w:r>
      <w:r w:rsidR="000C07F8" w:rsidRPr="00402106">
        <w:rPr>
          <w:rFonts w:cstheme="minorHAnsi"/>
        </w:rPr>
        <w:t xml:space="preserve">es of the Peel-Harvey Estuarine System, Western Australia, </w:t>
      </w:r>
      <w:hyperlink r:id="rId29" w:history="1">
        <w:r w:rsidR="000C07F8" w:rsidRPr="00402106">
          <w:rPr>
            <w:rStyle w:val="Hyperlink"/>
            <w:rFonts w:asciiTheme="minorHAnsi" w:hAnsiTheme="minorHAnsi" w:cstheme="minorHAnsi"/>
          </w:rPr>
          <w:t>available online</w:t>
        </w:r>
      </w:hyperlink>
      <w:r w:rsidR="000C07F8" w:rsidRPr="00751BEC">
        <w:rPr>
          <w:rFonts w:cstheme="minorHAnsi"/>
        </w:rPr>
        <w:t>.</w:t>
      </w:r>
      <w:hyperlink w:history="1"/>
    </w:p>
    <w:p w14:paraId="63826918" w14:textId="77777777" w:rsidR="000C07F8" w:rsidRPr="00751BEC" w:rsidRDefault="000C07F8" w:rsidP="000C07F8">
      <w:pPr>
        <w:pStyle w:val="tDefn"/>
        <w:ind w:left="0"/>
        <w:rPr>
          <w:rFonts w:asciiTheme="minorHAnsi" w:hAnsiTheme="minorHAnsi" w:cstheme="minorHAnsi"/>
        </w:rPr>
      </w:pPr>
      <w:r w:rsidRPr="00402106">
        <w:rPr>
          <w:rFonts w:asciiTheme="minorHAnsi" w:hAnsiTheme="minorHAnsi" w:cstheme="minorHAnsi"/>
          <w:b/>
          <w:i/>
        </w:rPr>
        <w:t xml:space="preserve">Seagrass </w:t>
      </w:r>
      <w:r w:rsidRPr="00402106">
        <w:rPr>
          <w:rFonts w:asciiTheme="minorHAnsi" w:hAnsiTheme="minorHAnsi" w:cstheme="minorHAnsi"/>
        </w:rPr>
        <w:t>means an ecosystem comprised of grass-like plants that grows in shallow (</w:t>
      </w:r>
      <w:r w:rsidRPr="00751BEC">
        <w:rPr>
          <w:rFonts w:asciiTheme="minorHAnsi" w:hAnsiTheme="minorHAnsi" w:cstheme="minorHAnsi"/>
        </w:rPr>
        <w:t xml:space="preserve">including the intertidal zone) to deep coastal waters. </w:t>
      </w:r>
    </w:p>
    <w:p w14:paraId="1D06AB0B" w14:textId="55B75F65" w:rsidR="000C07F8" w:rsidRPr="00751BEC" w:rsidRDefault="000C07F8" w:rsidP="000C07F8">
      <w:pPr>
        <w:pStyle w:val="tDefn"/>
        <w:ind w:left="0"/>
        <w:rPr>
          <w:rFonts w:asciiTheme="minorHAnsi" w:hAnsiTheme="minorHAnsi" w:cstheme="minorHAnsi"/>
        </w:rPr>
      </w:pPr>
      <w:r w:rsidRPr="00751BEC">
        <w:rPr>
          <w:rFonts w:asciiTheme="minorHAnsi" w:hAnsiTheme="minorHAnsi" w:cstheme="minorHAnsi"/>
        </w:rPr>
        <w:t>Seagrass are classified as marine and estuarine wetlands  Seagrass species composition varies regionally and with local environmental factors</w:t>
      </w:r>
      <w:r w:rsidR="00441503" w:rsidRPr="00751BEC">
        <w:rPr>
          <w:rFonts w:asciiTheme="minorHAnsi" w:hAnsiTheme="minorHAnsi" w:cstheme="minorHAnsi"/>
        </w:rPr>
        <w:t>.</w:t>
      </w:r>
      <w:r w:rsidR="00030E9D" w:rsidRPr="00751BEC">
        <w:rPr>
          <w:rFonts w:asciiTheme="minorHAnsi" w:hAnsiTheme="minorHAnsi" w:cstheme="minorHAnsi"/>
        </w:rPr>
        <w:t xml:space="preserve"> As of 3 December 2021, descriptions of seagrass can be found at:</w:t>
      </w:r>
    </w:p>
    <w:p w14:paraId="72EEABC4" w14:textId="2A0AC3C7" w:rsidR="00030E9D" w:rsidRPr="00751BEC" w:rsidRDefault="00030E9D" w:rsidP="00CB73F7">
      <w:pPr>
        <w:pStyle w:val="CERbullets"/>
        <w:rPr>
          <w:rStyle w:val="Hyperlink"/>
          <w:rFonts w:asciiTheme="minorHAnsi" w:hAnsiTheme="minorHAnsi" w:cstheme="minorHAnsi"/>
          <w:color w:val="auto"/>
          <w:u w:val="none"/>
        </w:rPr>
      </w:pPr>
      <w:r w:rsidRPr="00751BEC">
        <w:rPr>
          <w:rFonts w:cstheme="minorHAnsi"/>
        </w:rPr>
        <w:t xml:space="preserve">Wetland Info </w:t>
      </w:r>
      <w:hyperlink r:id="rId30" w:history="1">
        <w:r w:rsidRPr="00402106">
          <w:rPr>
            <w:rStyle w:val="Hyperlink"/>
            <w:rFonts w:asciiTheme="minorHAnsi" w:hAnsiTheme="minorHAnsi" w:cstheme="minorHAnsi"/>
          </w:rPr>
          <w:t>website</w:t>
        </w:r>
      </w:hyperlink>
    </w:p>
    <w:p w14:paraId="7A05714C" w14:textId="3DD85FCE" w:rsidR="00030E9D" w:rsidRPr="00751BEC" w:rsidRDefault="00030E9D" w:rsidP="00CB73F7">
      <w:pPr>
        <w:pStyle w:val="CERbullets"/>
        <w:rPr>
          <w:rFonts w:cstheme="minorHAnsi"/>
        </w:rPr>
      </w:pPr>
      <w:proofErr w:type="spellStart"/>
      <w:r w:rsidRPr="00402106">
        <w:rPr>
          <w:rFonts w:cstheme="minorHAnsi"/>
        </w:rPr>
        <w:t>OzCoasts</w:t>
      </w:r>
      <w:proofErr w:type="spellEnd"/>
      <w:r w:rsidRPr="00402106">
        <w:rPr>
          <w:rFonts w:cstheme="minorHAnsi"/>
        </w:rPr>
        <w:t xml:space="preserve"> </w:t>
      </w:r>
      <w:hyperlink r:id="rId31" w:history="1">
        <w:r w:rsidRPr="00402106">
          <w:rPr>
            <w:rStyle w:val="Hyperlink"/>
            <w:rFonts w:asciiTheme="minorHAnsi" w:hAnsiTheme="minorHAnsi" w:cstheme="minorHAnsi"/>
          </w:rPr>
          <w:t>website</w:t>
        </w:r>
      </w:hyperlink>
    </w:p>
    <w:p w14:paraId="23DC7900" w14:textId="77777777" w:rsidR="000C07F8" w:rsidRPr="00751BEC" w:rsidRDefault="000C07F8" w:rsidP="000C07F8">
      <w:pPr>
        <w:pStyle w:val="tDefn"/>
        <w:ind w:left="0"/>
        <w:rPr>
          <w:rFonts w:asciiTheme="minorHAnsi" w:hAnsiTheme="minorHAnsi" w:cstheme="minorHAnsi"/>
        </w:rPr>
      </w:pPr>
      <w:r w:rsidRPr="00402106">
        <w:rPr>
          <w:rFonts w:asciiTheme="minorHAnsi" w:hAnsiTheme="minorHAnsi" w:cstheme="minorHAnsi"/>
          <w:b/>
          <w:bCs/>
          <w:i/>
          <w:iCs/>
        </w:rPr>
        <w:t>Sparsely vegetated saltmarsh (</w:t>
      </w:r>
      <w:proofErr w:type="spellStart"/>
      <w:r w:rsidRPr="00402106">
        <w:rPr>
          <w:rFonts w:asciiTheme="minorHAnsi" w:hAnsiTheme="minorHAnsi" w:cstheme="minorHAnsi"/>
          <w:b/>
          <w:bCs/>
          <w:i/>
          <w:iCs/>
        </w:rPr>
        <w:t>saltflats</w:t>
      </w:r>
      <w:proofErr w:type="spellEnd"/>
      <w:r w:rsidRPr="00402106">
        <w:rPr>
          <w:rFonts w:asciiTheme="minorHAnsi" w:hAnsiTheme="minorHAnsi" w:cstheme="minorHAnsi"/>
          <w:b/>
          <w:bCs/>
          <w:i/>
          <w:iCs/>
        </w:rPr>
        <w:t>)</w:t>
      </w:r>
      <w:r w:rsidRPr="00402106">
        <w:rPr>
          <w:rFonts w:asciiTheme="minorHAnsi" w:hAnsiTheme="minorHAnsi" w:cstheme="minorHAnsi"/>
        </w:rPr>
        <w:t xml:space="preserve"> means a sparsely vegetated saline or hypersaline (more saline than seawater) ecosystem.</w:t>
      </w:r>
    </w:p>
    <w:p w14:paraId="5C1AAAB9" w14:textId="141AEA56" w:rsidR="000C07F8" w:rsidRPr="00751BEC" w:rsidRDefault="000C07F8" w:rsidP="000C07F8">
      <w:pPr>
        <w:pStyle w:val="tDefn"/>
        <w:ind w:left="0"/>
        <w:rPr>
          <w:rFonts w:asciiTheme="minorHAnsi" w:hAnsiTheme="minorHAnsi" w:cstheme="minorHAnsi"/>
        </w:rPr>
      </w:pPr>
      <w:proofErr w:type="spellStart"/>
      <w:r w:rsidRPr="00751BEC">
        <w:rPr>
          <w:rFonts w:asciiTheme="minorHAnsi" w:hAnsiTheme="minorHAnsi" w:cstheme="minorHAnsi"/>
        </w:rPr>
        <w:t>Saltflats</w:t>
      </w:r>
      <w:proofErr w:type="spellEnd"/>
      <w:r w:rsidRPr="00751BEC">
        <w:rPr>
          <w:rFonts w:asciiTheme="minorHAnsi" w:hAnsiTheme="minorHAnsi" w:cstheme="minorHAnsi"/>
        </w:rPr>
        <w:t xml:space="preserve"> are often found high in the intertidal zone in drier evaporative environments, where tidal inundation is infrequent. These ecosystems may support cyanobacterial mats but have little vegetation and animal life compared with saltmarsh, due to the higher salt content They are often described as a component of other marine and estuarine ecosystems.</w:t>
      </w:r>
      <w:r w:rsidR="00030E9D" w:rsidRPr="00751BEC">
        <w:rPr>
          <w:rFonts w:asciiTheme="minorHAnsi" w:hAnsiTheme="minorHAnsi" w:cstheme="minorHAnsi"/>
        </w:rPr>
        <w:t xml:space="preserve"> As of 3 December 2021,</w:t>
      </w:r>
      <w:r w:rsidRPr="00751BEC">
        <w:rPr>
          <w:rFonts w:asciiTheme="minorHAnsi" w:hAnsiTheme="minorHAnsi" w:cstheme="minorHAnsi"/>
        </w:rPr>
        <w:t xml:space="preserve"> </w:t>
      </w:r>
      <w:r w:rsidR="00030E9D" w:rsidRPr="00751BEC">
        <w:rPr>
          <w:rFonts w:asciiTheme="minorHAnsi" w:hAnsiTheme="minorHAnsi" w:cstheme="minorHAnsi"/>
        </w:rPr>
        <w:t>d</w:t>
      </w:r>
      <w:r w:rsidRPr="00751BEC">
        <w:rPr>
          <w:rFonts w:asciiTheme="minorHAnsi" w:hAnsiTheme="minorHAnsi" w:cstheme="minorHAnsi"/>
        </w:rPr>
        <w:t xml:space="preserve">escriptions of ecosystems can be found at: </w:t>
      </w:r>
    </w:p>
    <w:p w14:paraId="25EB7506" w14:textId="54F53DCC" w:rsidR="00030E9D" w:rsidRPr="00751BEC" w:rsidRDefault="00030E9D" w:rsidP="00CB73F7">
      <w:pPr>
        <w:pStyle w:val="CERbullets"/>
        <w:rPr>
          <w:rFonts w:cstheme="minorHAnsi"/>
        </w:rPr>
      </w:pPr>
      <w:proofErr w:type="spellStart"/>
      <w:r w:rsidRPr="00751BEC">
        <w:rPr>
          <w:rStyle w:val="Hyperlink"/>
          <w:rFonts w:asciiTheme="minorHAnsi" w:hAnsiTheme="minorHAnsi" w:cstheme="minorHAnsi"/>
          <w:color w:val="auto"/>
          <w:u w:val="none"/>
        </w:rPr>
        <w:t>OzCoasts</w:t>
      </w:r>
      <w:proofErr w:type="spellEnd"/>
      <w:r w:rsidRPr="00751BEC">
        <w:rPr>
          <w:rStyle w:val="Hyperlink"/>
          <w:rFonts w:asciiTheme="minorHAnsi" w:hAnsiTheme="minorHAnsi" w:cstheme="minorHAnsi"/>
          <w:color w:val="auto"/>
          <w:u w:val="none"/>
        </w:rPr>
        <w:t xml:space="preserve"> </w:t>
      </w:r>
      <w:hyperlink r:id="rId32" w:history="1">
        <w:r w:rsidRPr="00402106">
          <w:rPr>
            <w:rStyle w:val="Hyperlink"/>
            <w:rFonts w:asciiTheme="minorHAnsi" w:hAnsiTheme="minorHAnsi" w:cstheme="minorHAnsi"/>
          </w:rPr>
          <w:t>website</w:t>
        </w:r>
      </w:hyperlink>
    </w:p>
    <w:p w14:paraId="24AF968A" w14:textId="427F9414" w:rsidR="000C07F8" w:rsidRPr="00402106" w:rsidRDefault="000458FD" w:rsidP="00CB73F7">
      <w:pPr>
        <w:pStyle w:val="CERbullets"/>
        <w:rPr>
          <w:rFonts w:cstheme="minorHAnsi"/>
        </w:rPr>
      </w:pPr>
      <w:hyperlink r:id="rId33" w:history="1">
        <w:r w:rsidR="000C07F8" w:rsidRPr="00402106">
          <w:rPr>
            <w:rStyle w:val="Hyperlink"/>
            <w:rFonts w:asciiTheme="minorHAnsi" w:hAnsiTheme="minorHAnsi" w:cstheme="minorHAnsi"/>
          </w:rPr>
          <w:t>Queensland</w:t>
        </w:r>
      </w:hyperlink>
    </w:p>
    <w:p w14:paraId="7F2EF7CF" w14:textId="1A3B1A3C" w:rsidR="000C07F8" w:rsidRPr="00402106" w:rsidRDefault="000458FD" w:rsidP="00CB73F7">
      <w:pPr>
        <w:pStyle w:val="CERbullets"/>
        <w:rPr>
          <w:rFonts w:cstheme="minorHAnsi"/>
        </w:rPr>
      </w:pPr>
      <w:hyperlink r:id="rId34" w:history="1">
        <w:r w:rsidR="000C07F8" w:rsidRPr="00402106">
          <w:rPr>
            <w:rStyle w:val="Hyperlink"/>
            <w:rFonts w:asciiTheme="minorHAnsi" w:hAnsiTheme="minorHAnsi" w:cstheme="minorHAnsi"/>
          </w:rPr>
          <w:t>Northern Territory</w:t>
        </w:r>
      </w:hyperlink>
    </w:p>
    <w:p w14:paraId="47E5AB92" w14:textId="58A233E6" w:rsidR="000C07F8" w:rsidRPr="00402106" w:rsidRDefault="000458FD" w:rsidP="00CB73F7">
      <w:pPr>
        <w:pStyle w:val="CERbullets"/>
        <w:rPr>
          <w:rFonts w:cstheme="minorHAnsi"/>
        </w:rPr>
      </w:pPr>
      <w:hyperlink r:id="rId35" w:history="1">
        <w:r w:rsidR="000C07F8" w:rsidRPr="00402106">
          <w:rPr>
            <w:rStyle w:val="Hyperlink"/>
            <w:rFonts w:asciiTheme="minorHAnsi" w:hAnsiTheme="minorHAnsi" w:cstheme="minorHAnsi"/>
          </w:rPr>
          <w:t>South Australia</w:t>
        </w:r>
      </w:hyperlink>
    </w:p>
    <w:p w14:paraId="49E27684" w14:textId="77777777" w:rsidR="000C07F8" w:rsidRPr="00751BEC" w:rsidRDefault="000C07F8" w:rsidP="000C07F8">
      <w:pPr>
        <w:pStyle w:val="tDefn"/>
        <w:ind w:left="0"/>
        <w:rPr>
          <w:rFonts w:asciiTheme="minorHAnsi" w:hAnsiTheme="minorHAnsi" w:cstheme="minorHAnsi"/>
        </w:rPr>
      </w:pPr>
      <w:r w:rsidRPr="00402106">
        <w:rPr>
          <w:rFonts w:asciiTheme="minorHAnsi" w:hAnsiTheme="minorHAnsi" w:cstheme="minorHAnsi"/>
          <w:b/>
          <w:bCs/>
          <w:i/>
          <w:iCs/>
        </w:rPr>
        <w:t>Supratidal forest</w:t>
      </w:r>
      <w:r w:rsidRPr="00402106">
        <w:rPr>
          <w:rFonts w:asciiTheme="minorHAnsi" w:hAnsiTheme="minorHAnsi" w:cstheme="minorHAnsi"/>
        </w:rPr>
        <w:t xml:space="preserve"> means an ecosystem comprise</w:t>
      </w:r>
      <w:r w:rsidRPr="00751BEC">
        <w:rPr>
          <w:rFonts w:asciiTheme="minorHAnsi" w:hAnsiTheme="minorHAnsi" w:cstheme="minorHAnsi"/>
        </w:rPr>
        <w:t xml:space="preserve">d of woody vegetation that occupies land adjacent to the intertidal zone and comprised of plants in the genera </w:t>
      </w:r>
      <w:r w:rsidRPr="00751BEC">
        <w:rPr>
          <w:rFonts w:asciiTheme="minorHAnsi" w:hAnsiTheme="minorHAnsi" w:cstheme="minorHAnsi"/>
          <w:i/>
          <w:iCs/>
        </w:rPr>
        <w:t>Casuarina</w:t>
      </w:r>
      <w:r w:rsidRPr="00751BEC">
        <w:rPr>
          <w:rFonts w:asciiTheme="minorHAnsi" w:hAnsiTheme="minorHAnsi" w:cstheme="minorHAnsi"/>
        </w:rPr>
        <w:t xml:space="preserve">, </w:t>
      </w:r>
      <w:r w:rsidRPr="00751BEC">
        <w:rPr>
          <w:rFonts w:asciiTheme="minorHAnsi" w:hAnsiTheme="minorHAnsi" w:cstheme="minorHAnsi"/>
          <w:i/>
          <w:iCs/>
        </w:rPr>
        <w:t>Melaleuca</w:t>
      </w:r>
      <w:r w:rsidRPr="00751BEC">
        <w:rPr>
          <w:rFonts w:asciiTheme="minorHAnsi" w:hAnsiTheme="minorHAnsi" w:cstheme="minorHAnsi"/>
        </w:rPr>
        <w:t xml:space="preserve"> and other associated species. </w:t>
      </w:r>
    </w:p>
    <w:p w14:paraId="0FE9823B" w14:textId="4F800F9E" w:rsidR="000C07F8" w:rsidRPr="00751BEC" w:rsidRDefault="00030E9D" w:rsidP="000C07F8">
      <w:pPr>
        <w:pStyle w:val="tDefn"/>
        <w:ind w:left="0"/>
        <w:rPr>
          <w:rFonts w:asciiTheme="minorHAnsi" w:hAnsiTheme="minorHAnsi" w:cstheme="minorHAnsi"/>
        </w:rPr>
      </w:pPr>
      <w:r w:rsidRPr="00751BEC">
        <w:rPr>
          <w:rFonts w:asciiTheme="minorHAnsi" w:hAnsiTheme="minorHAnsi" w:cstheme="minorHAnsi"/>
        </w:rPr>
        <w:t>As of 3 December 2021, d</w:t>
      </w:r>
      <w:r w:rsidR="000C07F8" w:rsidRPr="00751BEC">
        <w:rPr>
          <w:rFonts w:asciiTheme="minorHAnsi" w:hAnsiTheme="minorHAnsi" w:cstheme="minorHAnsi"/>
        </w:rPr>
        <w:t xml:space="preserve">escriptions of supratidal tree swamps for different states can be found at: </w:t>
      </w:r>
    </w:p>
    <w:p w14:paraId="0C35CC2E" w14:textId="27A16F85" w:rsidR="000C07F8" w:rsidRPr="00402106" w:rsidRDefault="000C07F8" w:rsidP="00CB73F7">
      <w:pPr>
        <w:pStyle w:val="CERbullets"/>
        <w:rPr>
          <w:rFonts w:cstheme="minorHAnsi"/>
        </w:rPr>
      </w:pPr>
      <w:r w:rsidRPr="00751BEC">
        <w:rPr>
          <w:rFonts w:cstheme="minorHAnsi"/>
        </w:rPr>
        <w:t xml:space="preserve">New South Wales, Victoria and South Australia – refer to the New South Wales Department of Environment </w:t>
      </w:r>
      <w:hyperlink r:id="rId36" w:history="1">
        <w:r w:rsidRPr="00402106">
          <w:rPr>
            <w:rStyle w:val="Hyperlink"/>
            <w:rFonts w:asciiTheme="minorHAnsi" w:hAnsiTheme="minorHAnsi" w:cstheme="minorHAnsi"/>
          </w:rPr>
          <w:t>guide</w:t>
        </w:r>
      </w:hyperlink>
      <w:r w:rsidRPr="00751BEC">
        <w:rPr>
          <w:rFonts w:cstheme="minorHAnsi"/>
        </w:rPr>
        <w:t xml:space="preserve"> and information for </w:t>
      </w:r>
      <w:hyperlink r:id="rId37" w:history="1">
        <w:r w:rsidRPr="00402106">
          <w:rPr>
            <w:rStyle w:val="Hyperlink"/>
            <w:rFonts w:asciiTheme="minorHAnsi" w:hAnsiTheme="minorHAnsi" w:cstheme="minorHAnsi"/>
          </w:rPr>
          <w:t>threatened species</w:t>
        </w:r>
      </w:hyperlink>
    </w:p>
    <w:p w14:paraId="06E6C3C7" w14:textId="1A8417F3" w:rsidR="000C07F8" w:rsidRPr="00402106" w:rsidRDefault="000C07F8" w:rsidP="00CB73F7">
      <w:pPr>
        <w:pStyle w:val="CERbullets"/>
        <w:rPr>
          <w:rFonts w:cstheme="minorHAnsi"/>
        </w:rPr>
      </w:pPr>
      <w:r w:rsidRPr="00402106">
        <w:rPr>
          <w:rFonts w:cstheme="minorHAnsi"/>
        </w:rPr>
        <w:t xml:space="preserve">Northern Territory and Queensland – refer to </w:t>
      </w:r>
      <w:r w:rsidRPr="00402106">
        <w:rPr>
          <w:rFonts w:cstheme="minorHAnsi"/>
          <w:i/>
          <w:iCs/>
        </w:rPr>
        <w:t>Wetland Info</w:t>
      </w:r>
      <w:r w:rsidRPr="00402106">
        <w:rPr>
          <w:rFonts w:cstheme="minorHAnsi"/>
        </w:rPr>
        <w:t xml:space="preserve"> </w:t>
      </w:r>
      <w:hyperlink r:id="rId38" w:history="1">
        <w:r w:rsidRPr="00402106">
          <w:rPr>
            <w:rStyle w:val="Hyperlink"/>
            <w:rFonts w:asciiTheme="minorHAnsi" w:hAnsiTheme="minorHAnsi" w:cstheme="minorHAnsi"/>
          </w:rPr>
          <w:t>website</w:t>
        </w:r>
      </w:hyperlink>
    </w:p>
    <w:p w14:paraId="44B5C300" w14:textId="1A2863A9" w:rsidR="00027D41" w:rsidRPr="00490034" w:rsidRDefault="000458FD" w:rsidP="00027D41">
      <w:pPr>
        <w:pStyle w:val="CERbullets"/>
        <w:rPr>
          <w:rFonts w:cstheme="minorHAnsi"/>
        </w:rPr>
      </w:pPr>
      <w:hyperlink r:id="rId39" w:history="1">
        <w:r w:rsidR="000C07F8" w:rsidRPr="00402106">
          <w:rPr>
            <w:rStyle w:val="Hyperlink"/>
            <w:rFonts w:asciiTheme="minorHAnsi" w:hAnsiTheme="minorHAnsi" w:cstheme="minorHAnsi"/>
          </w:rPr>
          <w:t>Western Australia</w:t>
        </w:r>
      </w:hyperlink>
    </w:p>
    <w:p w14:paraId="0C06A7DA" w14:textId="156D8649" w:rsidR="00027D41" w:rsidRPr="00CB73F7" w:rsidRDefault="000B36F2" w:rsidP="0041140D">
      <w:pPr>
        <w:pStyle w:val="Heading3"/>
      </w:pPr>
      <w:bookmarkStart w:id="7" w:name="_Hlk88568169"/>
      <w:r w:rsidRPr="00CB73F7">
        <w:t xml:space="preserve">Defining a </w:t>
      </w:r>
      <w:r w:rsidR="007E599B" w:rsidRPr="00CB73F7">
        <w:t>coastal ecosystem type</w:t>
      </w:r>
      <w:r w:rsidRPr="00CB73F7">
        <w:t xml:space="preserve"> </w:t>
      </w:r>
      <w:r w:rsidR="0043045D" w:rsidRPr="00CB73F7">
        <w:t xml:space="preserve">for a CEA </w:t>
      </w:r>
      <w:r w:rsidRPr="00CB73F7">
        <w:t xml:space="preserve">where multiple </w:t>
      </w:r>
      <w:r w:rsidR="00606E39" w:rsidRPr="00CB73F7">
        <w:t>coastal ecosystem</w:t>
      </w:r>
      <w:r w:rsidRPr="00CB73F7">
        <w:t xml:space="preserve"> types co-exist </w:t>
      </w:r>
    </w:p>
    <w:bookmarkEnd w:id="7"/>
    <w:p w14:paraId="6CD3ED9D" w14:textId="36D4814A" w:rsidR="00606E39" w:rsidRPr="00CB73F7" w:rsidRDefault="007E599B" w:rsidP="000B36F2">
      <w:r w:rsidRPr="00CB73F7">
        <w:t>Where possible, CEAs should be defined by a single coastal ecosystem type. However, t</w:t>
      </w:r>
      <w:r w:rsidR="00606E39" w:rsidRPr="00CB73F7">
        <w:t>he composition of vegetation communities that develop when tidal flows are introduced to an area can be complex. Although BlueCAM requires each CEA to be classified as a single</w:t>
      </w:r>
      <w:r w:rsidR="00B97018" w:rsidRPr="00CB73F7">
        <w:t xml:space="preserve"> dominant</w:t>
      </w:r>
      <w:r w:rsidR="00606E39" w:rsidRPr="00CB73F7">
        <w:t xml:space="preserve"> coastal ecosystem type, it will often be the </w:t>
      </w:r>
      <w:r w:rsidR="00606E39" w:rsidRPr="00CB73F7">
        <w:lastRenderedPageBreak/>
        <w:t>case that multiple coastal ecosystem types co-exist within the same area. For example, a combination of casuarina species and mangrove species may co-exist in the same area of land.</w:t>
      </w:r>
    </w:p>
    <w:p w14:paraId="1A322EF1" w14:textId="39846B46" w:rsidR="008F452B" w:rsidRPr="00CB73F7" w:rsidRDefault="000B36F2" w:rsidP="000B36F2">
      <w:r w:rsidRPr="00CB73F7">
        <w:t xml:space="preserve">The dominant </w:t>
      </w:r>
      <w:r w:rsidR="00AF7DF2" w:rsidRPr="00CB73F7">
        <w:t xml:space="preserve">vegetation </w:t>
      </w:r>
      <w:r w:rsidRPr="00CB73F7">
        <w:t xml:space="preserve">layer </w:t>
      </w:r>
      <w:r w:rsidR="007D0482" w:rsidRPr="00CB73F7">
        <w:t xml:space="preserve">taken to define the coastal wetland ecosystem type in a CEA is </w:t>
      </w:r>
      <w:r w:rsidRPr="00CB73F7">
        <w:t>that which contributes the greatest</w:t>
      </w:r>
      <w:r w:rsidR="00E1407C" w:rsidRPr="00CB73F7">
        <w:t xml:space="preserve"> </w:t>
      </w:r>
      <w:r w:rsidR="000E0139" w:rsidRPr="00CB73F7">
        <w:t>vegetation cover</w:t>
      </w:r>
      <w:r w:rsidRPr="00CB73F7">
        <w:t xml:space="preserve"> </w:t>
      </w:r>
      <w:r w:rsidR="00AC72A9" w:rsidRPr="00CB73F7">
        <w:t>to</w:t>
      </w:r>
      <w:r w:rsidRPr="00CB73F7">
        <w:t xml:space="preserve"> the</w:t>
      </w:r>
      <w:r w:rsidR="007D0482" w:rsidRPr="00CB73F7">
        <w:t xml:space="preserve"> vegetation</w:t>
      </w:r>
      <w:r w:rsidRPr="00CB73F7">
        <w:t xml:space="preserve"> community</w:t>
      </w:r>
      <w:r w:rsidR="007D0482" w:rsidRPr="00CB73F7">
        <w:t xml:space="preserve"> present in the </w:t>
      </w:r>
      <w:r w:rsidR="00606E39" w:rsidRPr="00CB73F7">
        <w:t>CEA</w:t>
      </w:r>
      <w:r w:rsidR="007D0482" w:rsidRPr="00CB73F7">
        <w:rPr>
          <w:rStyle w:val="FootnoteReference"/>
        </w:rPr>
        <w:footnoteReference w:id="2"/>
      </w:r>
      <w:r w:rsidR="007D0482" w:rsidRPr="00CB73F7">
        <w:t xml:space="preserve">. Table 1 provides guidance for classifying the </w:t>
      </w:r>
      <w:r w:rsidR="00606E39" w:rsidRPr="00CB73F7">
        <w:t xml:space="preserve">dominant </w:t>
      </w:r>
      <w:r w:rsidR="007D0482" w:rsidRPr="00CB73F7">
        <w:t xml:space="preserve">coastal wetland ecosystem type based on the composition of the vegetation community in the </w:t>
      </w:r>
      <w:r w:rsidR="00606E39" w:rsidRPr="00CB73F7">
        <w:t xml:space="preserve">CEA. </w:t>
      </w:r>
    </w:p>
    <w:p w14:paraId="6D4DEF5A" w14:textId="461B76D8" w:rsidR="0041140D" w:rsidRDefault="00606E39" w:rsidP="000B36F2">
      <w:r w:rsidRPr="00CB73F7">
        <w:t xml:space="preserve">Paragraph 33(1)(e) of the Determination </w:t>
      </w:r>
      <w:r w:rsidR="00AC72A9" w:rsidRPr="00CB73F7">
        <w:t xml:space="preserve">also </w:t>
      </w:r>
      <w:r w:rsidRPr="00CB73F7">
        <w:t>requires project proponents to</w:t>
      </w:r>
      <w:r w:rsidR="00972A3C" w:rsidRPr="00CB73F7">
        <w:t xml:space="preserve"> include</w:t>
      </w:r>
      <w:r w:rsidRPr="00CB73F7">
        <w:t xml:space="preserve"> digital time and date stamped, geolocated images for land in each CEA to evidence the </w:t>
      </w:r>
      <w:r w:rsidR="00AC72A9" w:rsidRPr="00CB73F7">
        <w:t>coastal wetland ecosystem type that is</w:t>
      </w:r>
      <w:r w:rsidRPr="00CB73F7">
        <w:t xml:space="preserve"> selected for use in BlueCAM</w:t>
      </w:r>
      <w:r w:rsidR="00972A3C" w:rsidRPr="00CB73F7">
        <w:t xml:space="preserve"> as part of each offsets report </w:t>
      </w:r>
      <w:r w:rsidR="00696D12" w:rsidRPr="00CB73F7">
        <w:t xml:space="preserve">prepared </w:t>
      </w:r>
      <w:r w:rsidR="00972A3C" w:rsidRPr="00CB73F7">
        <w:t>for a tidal restoration project.</w:t>
      </w:r>
    </w:p>
    <w:tbl>
      <w:tblPr>
        <w:tblStyle w:val="CERTable"/>
        <w:tblpPr w:leftFromText="180" w:rightFromText="180" w:vertAnchor="text" w:horzAnchor="margin" w:tblpY="498"/>
        <w:tblW w:w="9781" w:type="dxa"/>
        <w:tblLook w:val="04A0" w:firstRow="1" w:lastRow="0" w:firstColumn="1" w:lastColumn="0" w:noHBand="0" w:noVBand="1"/>
      </w:tblPr>
      <w:tblGrid>
        <w:gridCol w:w="2552"/>
        <w:gridCol w:w="7229"/>
      </w:tblGrid>
      <w:tr w:rsidR="00C82AF9" w:rsidRPr="00751BEC" w14:paraId="19654E7F" w14:textId="77777777" w:rsidTr="00C82A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43AC7D01" w14:textId="77777777" w:rsidR="00C82AF9" w:rsidRPr="00CB73F7" w:rsidRDefault="00C82AF9" w:rsidP="00C82AF9">
            <w:r w:rsidRPr="00CB73F7">
              <w:t>Coastal wetland ecosystem type</w:t>
            </w:r>
          </w:p>
        </w:tc>
        <w:tc>
          <w:tcPr>
            <w:tcW w:w="7229" w:type="dxa"/>
          </w:tcPr>
          <w:p w14:paraId="4B4461B6" w14:textId="77777777" w:rsidR="00C82AF9" w:rsidRPr="00CB73F7" w:rsidRDefault="00C82AF9" w:rsidP="00C82AF9">
            <w:pPr>
              <w:cnfStyle w:val="100000000000" w:firstRow="1" w:lastRow="0" w:firstColumn="0" w:lastColumn="0" w:oddVBand="0" w:evenVBand="0" w:oddHBand="0" w:evenHBand="0" w:firstRowFirstColumn="0" w:firstRowLastColumn="0" w:lastRowFirstColumn="0" w:lastRowLastColumn="0"/>
            </w:pPr>
            <w:r w:rsidRPr="00CB73F7">
              <w:t>Composition of vegetation community in CEA</w:t>
            </w:r>
          </w:p>
        </w:tc>
      </w:tr>
      <w:tr w:rsidR="00C82AF9" w:rsidRPr="00751BEC" w14:paraId="36596781" w14:textId="77777777" w:rsidTr="00C82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5E812DA2" w14:textId="77777777" w:rsidR="00C82AF9" w:rsidRPr="00CB73F7" w:rsidRDefault="00C82AF9" w:rsidP="00C82AF9">
            <w:r w:rsidRPr="00CB73F7">
              <w:t xml:space="preserve">Mangroves </w:t>
            </w:r>
          </w:p>
        </w:tc>
        <w:tc>
          <w:tcPr>
            <w:tcW w:w="7229" w:type="dxa"/>
          </w:tcPr>
          <w:p w14:paraId="1CC09557" w14:textId="77777777" w:rsidR="00C82AF9" w:rsidRPr="00CB73F7" w:rsidRDefault="00C82AF9" w:rsidP="00C82AF9">
            <w:pPr>
              <w:cnfStyle w:val="000000100000" w:firstRow="0" w:lastRow="0" w:firstColumn="0" w:lastColumn="0" w:oddVBand="0" w:evenVBand="0" w:oddHBand="1" w:evenHBand="0" w:firstRowFirstColumn="0" w:firstRowLastColumn="0" w:lastRowFirstColumn="0" w:lastRowLastColumn="0"/>
            </w:pPr>
            <w:r w:rsidRPr="00CB73F7">
              <w:t>&gt;50% of the vegetation cover in the CEA is comprised of mangrove species; or</w:t>
            </w:r>
          </w:p>
          <w:p w14:paraId="232DFD41" w14:textId="77777777" w:rsidR="00C82AF9" w:rsidRPr="00CB73F7" w:rsidRDefault="00C82AF9" w:rsidP="00C82AF9">
            <w:pPr>
              <w:cnfStyle w:val="000000100000" w:firstRow="0" w:lastRow="0" w:firstColumn="0" w:lastColumn="0" w:oddVBand="0" w:evenVBand="0" w:oddHBand="1" w:evenHBand="0" w:firstRowFirstColumn="0" w:firstRowLastColumn="0" w:lastRowFirstColumn="0" w:lastRowLastColumn="0"/>
            </w:pPr>
            <w:r w:rsidRPr="00CB73F7">
              <w:t xml:space="preserve"> &gt;50% of the vegetation cover in the CEA is comprised of mangrove species and supratidal forest species, and the vegetation cover of the mangroves exceeds that of the supratidal forest species</w:t>
            </w:r>
            <w:r>
              <w:t>.</w:t>
            </w:r>
          </w:p>
        </w:tc>
      </w:tr>
      <w:tr w:rsidR="00C82AF9" w:rsidRPr="00751BEC" w14:paraId="579F0A58" w14:textId="77777777" w:rsidTr="00C82A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1EE47EE1" w14:textId="77777777" w:rsidR="00C82AF9" w:rsidRPr="00CB73F7" w:rsidRDefault="00C82AF9" w:rsidP="00C82AF9">
            <w:r w:rsidRPr="00CB73F7">
              <w:t>Saltmarsh</w:t>
            </w:r>
          </w:p>
        </w:tc>
        <w:tc>
          <w:tcPr>
            <w:tcW w:w="7229" w:type="dxa"/>
          </w:tcPr>
          <w:p w14:paraId="3EE44E5D" w14:textId="77777777" w:rsidR="00C82AF9" w:rsidRPr="00CB73F7" w:rsidRDefault="00C82AF9" w:rsidP="00C82AF9">
            <w:pPr>
              <w:cnfStyle w:val="000000010000" w:firstRow="0" w:lastRow="0" w:firstColumn="0" w:lastColumn="0" w:oddVBand="0" w:evenVBand="0" w:oddHBand="0" w:evenHBand="1" w:firstRowFirstColumn="0" w:firstRowLastColumn="0" w:lastRowFirstColumn="0" w:lastRowLastColumn="0"/>
            </w:pPr>
            <w:r w:rsidRPr="00CB73F7">
              <w:t>The CEA contains &gt;10% saltmarsh cover and is not dominated by species of another coastal wetland ecosystem type.</w:t>
            </w:r>
          </w:p>
        </w:tc>
      </w:tr>
      <w:tr w:rsidR="00C82AF9" w:rsidRPr="00751BEC" w14:paraId="4534E024" w14:textId="77777777" w:rsidTr="00C82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B5CB387" w14:textId="77777777" w:rsidR="00C82AF9" w:rsidRPr="00CB73F7" w:rsidRDefault="00C82AF9" w:rsidP="00C82AF9">
            <w:r w:rsidRPr="00CB73F7">
              <w:t>Seagrass</w:t>
            </w:r>
          </w:p>
        </w:tc>
        <w:tc>
          <w:tcPr>
            <w:tcW w:w="7229" w:type="dxa"/>
          </w:tcPr>
          <w:p w14:paraId="7E60088C" w14:textId="77777777" w:rsidR="00C82AF9" w:rsidRPr="00CB73F7" w:rsidRDefault="00C82AF9" w:rsidP="00C82AF9">
            <w:pPr>
              <w:cnfStyle w:val="000000100000" w:firstRow="0" w:lastRow="0" w:firstColumn="0" w:lastColumn="0" w:oddVBand="0" w:evenVBand="0" w:oddHBand="1" w:evenHBand="0" w:firstRowFirstColumn="0" w:firstRowLastColumn="0" w:lastRowFirstColumn="0" w:lastRowLastColumn="0"/>
            </w:pPr>
            <w:r w:rsidRPr="00CB73F7">
              <w:t>The CEA contains &gt;10% seagrass cover and is not dominated by species of another coastal wetland ecosystem type.</w:t>
            </w:r>
          </w:p>
        </w:tc>
      </w:tr>
      <w:tr w:rsidR="00C82AF9" w:rsidRPr="00751BEC" w14:paraId="6729F301" w14:textId="77777777" w:rsidTr="00C82A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18879388" w14:textId="77777777" w:rsidR="00C82AF9" w:rsidRPr="00CB73F7" w:rsidRDefault="00C82AF9" w:rsidP="00C82AF9">
            <w:r w:rsidRPr="00CB73F7">
              <w:t>Sparsely vegetated saltmarsh (salt flats)</w:t>
            </w:r>
          </w:p>
        </w:tc>
        <w:tc>
          <w:tcPr>
            <w:tcW w:w="7229" w:type="dxa"/>
          </w:tcPr>
          <w:p w14:paraId="243382B4" w14:textId="77777777" w:rsidR="00C82AF9" w:rsidRPr="00CB73F7" w:rsidRDefault="00C82AF9" w:rsidP="00C82AF9">
            <w:pPr>
              <w:cnfStyle w:val="000000010000" w:firstRow="0" w:lastRow="0" w:firstColumn="0" w:lastColumn="0" w:oddVBand="0" w:evenVBand="0" w:oddHBand="0" w:evenHBand="1" w:firstRowFirstColumn="0" w:firstRowLastColumn="0" w:lastRowFirstColumn="0" w:lastRowLastColumn="0"/>
            </w:pPr>
            <w:r w:rsidRPr="00CB73F7">
              <w:rPr>
                <w:rFonts w:cstheme="minorHAnsi"/>
              </w:rPr>
              <w:t>≤</w:t>
            </w:r>
            <w:r w:rsidRPr="00CB73F7">
              <w:t xml:space="preserve">10% of the CEA is covered by vegetation. </w:t>
            </w:r>
          </w:p>
        </w:tc>
      </w:tr>
      <w:tr w:rsidR="00C82AF9" w14:paraId="01F565B9" w14:textId="77777777" w:rsidTr="00C82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4F5C4F5E" w14:textId="77777777" w:rsidR="00C82AF9" w:rsidRPr="00CB73F7" w:rsidRDefault="00C82AF9" w:rsidP="00C82AF9">
            <w:r w:rsidRPr="00CB73F7">
              <w:t>Supratidal forest</w:t>
            </w:r>
          </w:p>
        </w:tc>
        <w:tc>
          <w:tcPr>
            <w:tcW w:w="7229" w:type="dxa"/>
          </w:tcPr>
          <w:p w14:paraId="235DB978" w14:textId="77777777" w:rsidR="00C82AF9" w:rsidRPr="00CB73F7" w:rsidRDefault="00C82AF9" w:rsidP="00C82AF9">
            <w:pPr>
              <w:cnfStyle w:val="000000100000" w:firstRow="0" w:lastRow="0" w:firstColumn="0" w:lastColumn="0" w:oddVBand="0" w:evenVBand="0" w:oddHBand="1" w:evenHBand="0" w:firstRowFirstColumn="0" w:firstRowLastColumn="0" w:lastRowFirstColumn="0" w:lastRowLastColumn="0"/>
            </w:pPr>
            <w:r w:rsidRPr="00CB73F7">
              <w:t>&gt;50% of the vegetation cover in the CEA is comprised of supratidal forest species; or</w:t>
            </w:r>
          </w:p>
          <w:p w14:paraId="5DA0EEC8" w14:textId="77777777" w:rsidR="00C82AF9" w:rsidRDefault="00C82AF9" w:rsidP="00C82AF9">
            <w:pPr>
              <w:cnfStyle w:val="000000100000" w:firstRow="0" w:lastRow="0" w:firstColumn="0" w:lastColumn="0" w:oddVBand="0" w:evenVBand="0" w:oddHBand="1" w:evenHBand="0" w:firstRowFirstColumn="0" w:firstRowLastColumn="0" w:lastRowFirstColumn="0" w:lastRowLastColumn="0"/>
            </w:pPr>
            <w:r w:rsidRPr="00CB73F7">
              <w:t>&gt;50% of the vegetation cover in the CEA is comprised of mangrove species and supratidal forest species, and the vegetation cover of the supratidal forest species exceeds that of the mangrove species.</w:t>
            </w:r>
          </w:p>
        </w:tc>
      </w:tr>
    </w:tbl>
    <w:p w14:paraId="6A960B89" w14:textId="23C7D5CE" w:rsidR="009D01EB" w:rsidRPr="00C82AF9" w:rsidRDefault="00C82AF9" w:rsidP="00C82AF9">
      <w:pPr>
        <w:spacing w:after="0" w:line="240" w:lineRule="auto"/>
        <w:rPr>
          <w:b/>
          <w:bCs/>
          <w:sz w:val="20"/>
          <w:szCs w:val="20"/>
        </w:rPr>
      </w:pPr>
      <w:r w:rsidRPr="00CB73F7">
        <w:rPr>
          <w:b/>
          <w:bCs/>
          <w:sz w:val="20"/>
          <w:szCs w:val="20"/>
        </w:rPr>
        <w:t>Table 1: Classifying the dominant coastal ecosystem type within a CEA</w:t>
      </w:r>
      <w:r>
        <w:rPr>
          <w:b/>
          <w:bCs/>
          <w:sz w:val="20"/>
          <w:szCs w:val="20"/>
        </w:rPr>
        <w:t xml:space="preserve"> </w:t>
      </w:r>
    </w:p>
    <w:sectPr w:rsidR="009D01EB" w:rsidRPr="00C82AF9" w:rsidSect="0018235C">
      <w:headerReference w:type="default" r:id="rId40"/>
      <w:footerReference w:type="default" r:id="rId41"/>
      <w:headerReference w:type="first" r:id="rId42"/>
      <w:footerReference w:type="first" r:id="rId43"/>
      <w:pgSz w:w="11900" w:h="16840" w:code="9"/>
      <w:pgMar w:top="889" w:right="1080" w:bottom="993" w:left="1080" w:header="288" w:footer="26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D6E0AA" w14:textId="77777777" w:rsidR="00D64A8E" w:rsidRDefault="00D64A8E" w:rsidP="00176C28">
      <w:r>
        <w:separator/>
      </w:r>
    </w:p>
  </w:endnote>
  <w:endnote w:type="continuationSeparator" w:id="0">
    <w:p w14:paraId="4485FA19" w14:textId="77777777" w:rsidR="00D64A8E" w:rsidRDefault="00D64A8E" w:rsidP="00176C28">
      <w:r>
        <w:continuationSeparator/>
      </w:r>
    </w:p>
  </w:endnote>
  <w:endnote w:type="continuationNotice" w:id="1">
    <w:p w14:paraId="22E9B8A7" w14:textId="77777777" w:rsidR="00D64A8E" w:rsidRDefault="00D64A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079AC" w14:textId="5C291908" w:rsidR="00D64A8E" w:rsidRPr="0018235C" w:rsidRDefault="00D64A8E" w:rsidP="00027D41">
    <w:pPr>
      <w:spacing w:after="120"/>
      <w:jc w:val="right"/>
      <w:rPr>
        <w:rStyle w:val="Hyperlink"/>
        <w:rFonts w:asciiTheme="minorHAnsi" w:hAnsiTheme="minorHAnsi"/>
        <w:sz w:val="16"/>
        <w:u w:val="none"/>
      </w:rPr>
    </w:pPr>
    <w:r w:rsidRPr="0018235C">
      <w:rPr>
        <w:rStyle w:val="Hyperlink"/>
        <w:rFonts w:asciiTheme="minorHAnsi" w:hAnsiTheme="minorHAnsi"/>
        <w:sz w:val="16"/>
        <w:u w:val="none"/>
      </w:rPr>
      <w:tab/>
    </w:r>
    <w:r w:rsidRPr="0018235C">
      <w:rPr>
        <w:rStyle w:val="Hyperlink"/>
        <w:rFonts w:asciiTheme="minorHAnsi" w:hAnsiTheme="minorHAnsi"/>
        <w:sz w:val="16"/>
        <w:u w:val="none"/>
      </w:rPr>
      <w:fldChar w:fldCharType="begin"/>
    </w:r>
    <w:r w:rsidRPr="0018235C">
      <w:rPr>
        <w:rStyle w:val="Hyperlink"/>
        <w:rFonts w:asciiTheme="minorHAnsi" w:hAnsiTheme="minorHAnsi"/>
        <w:sz w:val="16"/>
        <w:u w:val="none"/>
      </w:rPr>
      <w:instrText xml:space="preserve"> PAGE   \* MERGEFORMAT </w:instrText>
    </w:r>
    <w:r w:rsidRPr="0018235C">
      <w:rPr>
        <w:rStyle w:val="Hyperlink"/>
        <w:rFonts w:asciiTheme="minorHAnsi" w:hAnsiTheme="minorHAnsi"/>
        <w:sz w:val="16"/>
        <w:u w:val="none"/>
      </w:rPr>
      <w:fldChar w:fldCharType="separate"/>
    </w:r>
    <w:r>
      <w:rPr>
        <w:rStyle w:val="Hyperlink"/>
        <w:rFonts w:asciiTheme="minorHAnsi" w:hAnsiTheme="minorHAnsi"/>
        <w:noProof/>
        <w:sz w:val="16"/>
        <w:u w:val="none"/>
      </w:rPr>
      <w:t>5</w:t>
    </w:r>
    <w:r w:rsidRPr="0018235C">
      <w:rPr>
        <w:rStyle w:val="Hyperlink"/>
        <w:rFonts w:asciiTheme="minorHAnsi" w:hAnsiTheme="minorHAnsi"/>
        <w:sz w:val="16"/>
        <w:u w:val="none"/>
      </w:rPr>
      <w:fldChar w:fldCharType="end"/>
    </w:r>
  </w:p>
  <w:p w14:paraId="6068770D" w14:textId="0389EB0D" w:rsidR="00D64A8E" w:rsidRDefault="00D64A8E" w:rsidP="00027D41">
    <w:pPr>
      <w:pStyle w:val="Footer"/>
      <w:spacing w:after="120"/>
      <w:ind w:left="288" w:right="245"/>
      <w:rPr>
        <w:rStyle w:val="Protectivemarker"/>
      </w:rPr>
    </w:pPr>
  </w:p>
  <w:p w14:paraId="22AC1713" w14:textId="48202C35" w:rsidR="00D64A8E" w:rsidRDefault="00D64A8E" w:rsidP="0018235C">
    <w:pPr>
      <w:pStyle w:val="Footer"/>
      <w:spacing w:after="120"/>
      <w:ind w:left="288" w:right="245"/>
      <w:jc w:val="center"/>
      <w:rPr>
        <w:rStyle w:val="Protectivemark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CCEF4" w14:textId="5C029871" w:rsidR="00D64A8E" w:rsidRPr="0018235C" w:rsidRDefault="00D64A8E" w:rsidP="00027D41">
    <w:pPr>
      <w:spacing w:after="120"/>
      <w:jc w:val="right"/>
      <w:rPr>
        <w:rStyle w:val="Hyperlink"/>
        <w:rFonts w:asciiTheme="minorHAnsi" w:hAnsiTheme="minorHAnsi"/>
        <w:sz w:val="16"/>
        <w:u w:val="none"/>
      </w:rPr>
    </w:pPr>
    <w:r w:rsidRPr="0018235C">
      <w:rPr>
        <w:rStyle w:val="Hyperlink"/>
        <w:rFonts w:asciiTheme="minorHAnsi" w:hAnsiTheme="minorHAnsi"/>
        <w:sz w:val="16"/>
        <w:u w:val="none"/>
      </w:rPr>
      <w:fldChar w:fldCharType="begin"/>
    </w:r>
    <w:r w:rsidRPr="0018235C">
      <w:rPr>
        <w:rStyle w:val="Hyperlink"/>
        <w:rFonts w:asciiTheme="minorHAnsi" w:hAnsiTheme="minorHAnsi"/>
        <w:sz w:val="16"/>
        <w:u w:val="none"/>
      </w:rPr>
      <w:instrText xml:space="preserve"> PAGE   \* MERGEFORMAT </w:instrText>
    </w:r>
    <w:r w:rsidRPr="0018235C">
      <w:rPr>
        <w:rStyle w:val="Hyperlink"/>
        <w:rFonts w:asciiTheme="minorHAnsi" w:hAnsiTheme="minorHAnsi"/>
        <w:sz w:val="16"/>
        <w:u w:val="none"/>
      </w:rPr>
      <w:fldChar w:fldCharType="separate"/>
    </w:r>
    <w:r>
      <w:rPr>
        <w:rStyle w:val="Hyperlink"/>
        <w:rFonts w:asciiTheme="minorHAnsi" w:hAnsiTheme="minorHAnsi"/>
        <w:noProof/>
        <w:sz w:val="16"/>
        <w:u w:val="none"/>
      </w:rPr>
      <w:t>1</w:t>
    </w:r>
    <w:r w:rsidRPr="0018235C">
      <w:rPr>
        <w:rStyle w:val="Hyperlink"/>
        <w:rFonts w:asciiTheme="minorHAnsi" w:hAnsiTheme="minorHAnsi"/>
        <w:sz w:val="16"/>
        <w:u w:val="none"/>
      </w:rPr>
      <w:fldChar w:fldCharType="end"/>
    </w:r>
  </w:p>
  <w:p w14:paraId="520F0F4D" w14:textId="0446A8BB" w:rsidR="00D64A8E" w:rsidRDefault="00D64A8E" w:rsidP="0018235C">
    <w:pPr>
      <w:pStyle w:val="Footer"/>
      <w:spacing w:after="120"/>
      <w:ind w:left="288" w:right="245"/>
      <w:jc w:val="center"/>
      <w:rPr>
        <w:rStyle w:val="Protectivemark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42144E" w14:textId="77777777" w:rsidR="00D64A8E" w:rsidRDefault="00D64A8E" w:rsidP="00176C28">
      <w:r>
        <w:separator/>
      </w:r>
    </w:p>
  </w:footnote>
  <w:footnote w:type="continuationSeparator" w:id="0">
    <w:p w14:paraId="3D1F6605" w14:textId="77777777" w:rsidR="00D64A8E" w:rsidRDefault="00D64A8E" w:rsidP="00176C28">
      <w:r>
        <w:continuationSeparator/>
      </w:r>
    </w:p>
  </w:footnote>
  <w:footnote w:type="continuationNotice" w:id="1">
    <w:p w14:paraId="39B06A7B" w14:textId="77777777" w:rsidR="00D64A8E" w:rsidRDefault="00D64A8E">
      <w:pPr>
        <w:spacing w:after="0" w:line="240" w:lineRule="auto"/>
      </w:pPr>
    </w:p>
  </w:footnote>
  <w:footnote w:id="2">
    <w:p w14:paraId="4CD69EFF" w14:textId="05CC0AF9" w:rsidR="00D64A8E" w:rsidRPr="006328B2" w:rsidRDefault="00D64A8E" w:rsidP="007D0482">
      <w:pPr>
        <w:pStyle w:val="FootnoteText"/>
      </w:pPr>
      <w:r>
        <w:rPr>
          <w:rStyle w:val="FootnoteReference"/>
        </w:rPr>
        <w:footnoteRef/>
      </w:r>
      <w:r>
        <w:t xml:space="preserve"> This approach to classification is aligned with the approach taken in the Queensland Government Environmental Protection Agency’s </w:t>
      </w:r>
      <w:r>
        <w:rPr>
          <w:i/>
          <w:iCs/>
        </w:rPr>
        <w:t>Coastal Wetlands of South East Queensland Mapping and Survey Guide</w:t>
      </w:r>
      <w:r>
        <w:t xml:space="preserve"> which is available at  </w:t>
      </w:r>
      <w:hyperlink r:id="rId1" w:history="1">
        <w:r w:rsidR="00D77448">
          <w:rPr>
            <w:rStyle w:val="Hyperlink"/>
            <w:rFonts w:asciiTheme="minorHAnsi" w:hAnsiTheme="minorHAnsi"/>
            <w:sz w:val="20"/>
          </w:rPr>
          <w:t>https://wetlandinfo.des.qld.gov.au/resources/static/pdf/ecology/mangroves/volume-1-mapping-survey.pdf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2646B" w14:textId="7516F316" w:rsidR="00D64A8E" w:rsidRPr="00BE0DA3" w:rsidRDefault="00D64A8E" w:rsidP="00027D41">
    <w:pPr>
      <w:pStyle w:val="Heading5"/>
      <w:tabs>
        <w:tab w:val="center" w:pos="4870"/>
        <w:tab w:val="left" w:pos="8745"/>
      </w:tabs>
      <w:spacing w:before="0" w:after="120"/>
    </w:pPr>
    <w:r w:rsidRPr="00D144E9">
      <w:rPr>
        <w:noProof/>
        <w:lang w:eastAsia="en-AU"/>
      </w:rPr>
      <w:drawing>
        <wp:anchor distT="0" distB="0" distL="114300" distR="114300" simplePos="0" relativeHeight="251658240" behindDoc="0" locked="0" layoutInCell="1" allowOverlap="1" wp14:anchorId="00650D2D" wp14:editId="6D5E95E4">
          <wp:simplePos x="0" y="0"/>
          <wp:positionH relativeFrom="margin">
            <wp:align>center</wp:align>
          </wp:positionH>
          <wp:positionV relativeFrom="paragraph">
            <wp:posOffset>6985</wp:posOffset>
          </wp:positionV>
          <wp:extent cx="7596000" cy="1008000"/>
          <wp:effectExtent l="0" t="0" r="5080" b="1905"/>
          <wp:wrapSquare wrapText="bothSides"/>
          <wp:docPr id="9" name="Picture 9" descr="Australian Government - Clean Energy Regulator" title="Australian Governmen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475_CER_Word-Doc-Ext-Portrait-Follower.png"/>
                  <pic:cNvPicPr>
                    <a:picLocks noChangeAspect="1" noChangeArrowheads="1"/>
                  </pic:cNvPicPr>
                </pic:nvPicPr>
                <pic:blipFill>
                  <a:blip r:embed="rId1"/>
                  <a:srcRect/>
                  <a:stretch>
                    <a:fillRect/>
                  </a:stretch>
                </pic:blipFill>
                <pic:spPr bwMode="auto">
                  <a:xfrm>
                    <a:off x="0" y="0"/>
                    <a:ext cx="7596000" cy="10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6BB63" w14:textId="38DE02E0" w:rsidR="00D64A8E" w:rsidRPr="00BE0DA3" w:rsidRDefault="001F42A7" w:rsidP="00027D41">
    <w:pPr>
      <w:pStyle w:val="Heading5"/>
      <w:tabs>
        <w:tab w:val="center" w:pos="4870"/>
        <w:tab w:val="left" w:pos="8745"/>
      </w:tabs>
      <w:spacing w:before="0" w:after="120"/>
    </w:pPr>
    <w:r w:rsidRPr="00D144E9">
      <w:rPr>
        <w:noProof/>
      </w:rPr>
      <w:drawing>
        <wp:anchor distT="0" distB="0" distL="114300" distR="114300" simplePos="0" relativeHeight="251660289" behindDoc="0" locked="0" layoutInCell="1" allowOverlap="1" wp14:anchorId="3821194D" wp14:editId="68D47537">
          <wp:simplePos x="0" y="0"/>
          <wp:positionH relativeFrom="page">
            <wp:posOffset>0</wp:posOffset>
          </wp:positionH>
          <wp:positionV relativeFrom="page">
            <wp:posOffset>127000</wp:posOffset>
          </wp:positionV>
          <wp:extent cx="7568565" cy="1887220"/>
          <wp:effectExtent l="0" t="0" r="0" b="0"/>
          <wp:wrapTopAndBottom/>
          <wp:docPr id="13" name="Picture 13" title="Australian Government - Clean Energy Regulator - Emissions Reduct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G:\CSD\Communications &amp; Divisional Support\Communications\Graphic Design and Production\CER brand\Elements\Header graphics\ERF\ERF_external_landscape_header_banner-01.pn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8565" cy="18872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4A8E" w:rsidRPr="00D144E9">
      <w:rPr>
        <w:noProof/>
        <w:lang w:eastAsia="en-AU"/>
      </w:rPr>
      <w:drawing>
        <wp:anchor distT="0" distB="0" distL="114300" distR="114300" simplePos="0" relativeHeight="251658241" behindDoc="0" locked="0" layoutInCell="1" allowOverlap="1" wp14:anchorId="5A3DE71C" wp14:editId="649326F7">
          <wp:simplePos x="0" y="0"/>
          <wp:positionH relativeFrom="page">
            <wp:align>left</wp:align>
          </wp:positionH>
          <wp:positionV relativeFrom="paragraph">
            <wp:posOffset>-56808</wp:posOffset>
          </wp:positionV>
          <wp:extent cx="7596000" cy="1008000"/>
          <wp:effectExtent l="0" t="0" r="5080" b="1905"/>
          <wp:wrapSquare wrapText="bothSides"/>
          <wp:docPr id="1" name="Picture 1" descr="Australian Government - Clean Energy Regulator" title="Australian Governmen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475_CER_Word-Doc-Ext-Portrait-Follower.png"/>
                  <pic:cNvPicPr>
                    <a:picLocks noChangeAspect="1" noChangeArrowheads="1"/>
                  </pic:cNvPicPr>
                </pic:nvPicPr>
                <pic:blipFill>
                  <a:blip r:embed="rId2"/>
                  <a:srcRect/>
                  <a:stretch>
                    <a:fillRect/>
                  </a:stretch>
                </pic:blipFill>
                <pic:spPr bwMode="auto">
                  <a:xfrm>
                    <a:off x="0" y="0"/>
                    <a:ext cx="7596000" cy="10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248D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C493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DCC1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1C0D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A299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AAAB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B2D5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0C32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052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C6AD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09D26D71"/>
    <w:multiLevelType w:val="hybridMultilevel"/>
    <w:tmpl w:val="07D82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A62F42"/>
    <w:multiLevelType w:val="hybridMultilevel"/>
    <w:tmpl w:val="C0109FF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F682215"/>
    <w:multiLevelType w:val="hybridMultilevel"/>
    <w:tmpl w:val="5F407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0E408EE"/>
    <w:multiLevelType w:val="hybridMultilevel"/>
    <w:tmpl w:val="85BE6D2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7FD2504"/>
    <w:multiLevelType w:val="hybridMultilevel"/>
    <w:tmpl w:val="910CED3A"/>
    <w:lvl w:ilvl="0" w:tplc="161A224A">
      <w:numFmt w:val="bullet"/>
      <w:lvlText w:val="-"/>
      <w:lvlJc w:val="left"/>
      <w:pPr>
        <w:ind w:left="720" w:hanging="360"/>
      </w:pPr>
      <w:rPr>
        <w:rFonts w:ascii="Calibri" w:eastAsiaTheme="minorHAnsi" w:hAnsi="Calibri" w:cstheme="minorBidi"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3A9B04AB"/>
    <w:multiLevelType w:val="hybridMultilevel"/>
    <w:tmpl w:val="074C5402"/>
    <w:lvl w:ilvl="0" w:tplc="4B763F98">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4C510C"/>
    <w:multiLevelType w:val="hybridMultilevel"/>
    <w:tmpl w:val="E2242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2655B10"/>
    <w:multiLevelType w:val="hybridMultilevel"/>
    <w:tmpl w:val="80222456"/>
    <w:lvl w:ilvl="0" w:tplc="161A224A">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8675079"/>
    <w:multiLevelType w:val="hybridMultilevel"/>
    <w:tmpl w:val="6C928518"/>
    <w:lvl w:ilvl="0" w:tplc="88F45B8C">
      <w:start w:val="4"/>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DF411C"/>
    <w:multiLevelType w:val="hybridMultilevel"/>
    <w:tmpl w:val="7BD8A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4FD6169B"/>
    <w:multiLevelType w:val="hybridMultilevel"/>
    <w:tmpl w:val="CE4A9A6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6" w15:restartNumberingAfterBreak="0">
    <w:nsid w:val="5CFD18CA"/>
    <w:multiLevelType w:val="multilevel"/>
    <w:tmpl w:val="E9982BDA"/>
    <w:lvl w:ilvl="0">
      <w:start w:val="1"/>
      <w:numFmt w:val="decimal"/>
      <w:pStyle w:val="CERnumbering"/>
      <w:lvlText w:val="%1."/>
      <w:lvlJc w:val="left"/>
      <w:pPr>
        <w:ind w:left="360" w:hanging="360"/>
      </w:pPr>
      <w:rPr>
        <w:rFonts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20C2FDC"/>
    <w:multiLevelType w:val="hybridMultilevel"/>
    <w:tmpl w:val="8BCEB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76D1512"/>
    <w:multiLevelType w:val="hybridMultilevel"/>
    <w:tmpl w:val="FCC80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33E5C80"/>
    <w:multiLevelType w:val="hybridMultilevel"/>
    <w:tmpl w:val="EE5A960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9DB23C0"/>
    <w:multiLevelType w:val="multilevel"/>
    <w:tmpl w:val="CE947A96"/>
    <w:name w:val="CERBullets22"/>
    <w:lvl w:ilvl="0">
      <w:start w:val="1"/>
      <w:numFmt w:val="bullet"/>
      <w:pStyle w:val="CERbullets"/>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2"/>
  </w:num>
  <w:num w:numId="2">
    <w:abstractNumId w:val="20"/>
  </w:num>
  <w:num w:numId="3">
    <w:abstractNumId w:val="21"/>
  </w:num>
  <w:num w:numId="4">
    <w:abstractNumId w:val="12"/>
  </w:num>
  <w:num w:numId="5">
    <w:abstractNumId w:val="13"/>
  </w:num>
  <w:num w:numId="6">
    <w:abstractNumId w:val="24"/>
  </w:num>
  <w:num w:numId="7">
    <w:abstractNumId w:val="35"/>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1"/>
  </w:num>
  <w:num w:numId="20">
    <w:abstractNumId w:val="16"/>
  </w:num>
  <w:num w:numId="21">
    <w:abstractNumId w:val="41"/>
  </w:num>
  <w:num w:numId="22">
    <w:abstractNumId w:val="10"/>
  </w:num>
  <w:num w:numId="23">
    <w:abstractNumId w:val="42"/>
  </w:num>
  <w:num w:numId="24">
    <w:abstractNumId w:val="27"/>
  </w:num>
  <w:num w:numId="25">
    <w:abstractNumId w:val="22"/>
  </w:num>
  <w:num w:numId="26">
    <w:abstractNumId w:val="19"/>
  </w:num>
  <w:num w:numId="27">
    <w:abstractNumId w:val="39"/>
  </w:num>
  <w:num w:numId="28">
    <w:abstractNumId w:val="34"/>
  </w:num>
  <w:num w:numId="29">
    <w:abstractNumId w:val="31"/>
  </w:num>
  <w:num w:numId="30">
    <w:abstractNumId w:val="36"/>
  </w:num>
  <w:num w:numId="31">
    <w:abstractNumId w:val="23"/>
  </w:num>
  <w:num w:numId="32">
    <w:abstractNumId w:val="15"/>
  </w:num>
  <w:num w:numId="33">
    <w:abstractNumId w:val="37"/>
  </w:num>
  <w:num w:numId="34">
    <w:abstractNumId w:val="30"/>
  </w:num>
  <w:num w:numId="35">
    <w:abstractNumId w:val="26"/>
  </w:num>
  <w:num w:numId="36">
    <w:abstractNumId w:val="14"/>
  </w:num>
  <w:num w:numId="37">
    <w:abstractNumId w:val="28"/>
  </w:num>
  <w:num w:numId="38">
    <w:abstractNumId w:val="29"/>
  </w:num>
  <w:num w:numId="39">
    <w:abstractNumId w:val="25"/>
  </w:num>
  <w:num w:numId="40">
    <w:abstractNumId w:val="38"/>
  </w:num>
  <w:num w:numId="41">
    <w:abstractNumId w:val="33"/>
  </w:num>
  <w:num w:numId="42">
    <w:abstractNumId w:val="18"/>
  </w:num>
  <w:num w:numId="43">
    <w:abstractNumId w:val="40"/>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40961">
      <o:colormru v:ext="edit" colors="#006ea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D41"/>
    <w:rsid w:val="0000180D"/>
    <w:rsid w:val="000066A0"/>
    <w:rsid w:val="00006869"/>
    <w:rsid w:val="00013870"/>
    <w:rsid w:val="000273FF"/>
    <w:rsid w:val="00027D41"/>
    <w:rsid w:val="00030E9D"/>
    <w:rsid w:val="00031090"/>
    <w:rsid w:val="0003582F"/>
    <w:rsid w:val="000378B6"/>
    <w:rsid w:val="00037D5D"/>
    <w:rsid w:val="000458FD"/>
    <w:rsid w:val="00060DDB"/>
    <w:rsid w:val="000678AA"/>
    <w:rsid w:val="00073631"/>
    <w:rsid w:val="000836A7"/>
    <w:rsid w:val="00087F63"/>
    <w:rsid w:val="000906DE"/>
    <w:rsid w:val="000950DA"/>
    <w:rsid w:val="000B2225"/>
    <w:rsid w:val="000B36F2"/>
    <w:rsid w:val="000B6F3D"/>
    <w:rsid w:val="000C07F8"/>
    <w:rsid w:val="000C5858"/>
    <w:rsid w:val="000E0139"/>
    <w:rsid w:val="000E5A13"/>
    <w:rsid w:val="000F4769"/>
    <w:rsid w:val="000F656B"/>
    <w:rsid w:val="000F6B44"/>
    <w:rsid w:val="0010109B"/>
    <w:rsid w:val="001019C9"/>
    <w:rsid w:val="00104096"/>
    <w:rsid w:val="00112E29"/>
    <w:rsid w:val="00123DE7"/>
    <w:rsid w:val="00124BDC"/>
    <w:rsid w:val="001276AA"/>
    <w:rsid w:val="00152631"/>
    <w:rsid w:val="00156186"/>
    <w:rsid w:val="001651F7"/>
    <w:rsid w:val="001662FF"/>
    <w:rsid w:val="00176871"/>
    <w:rsid w:val="00176C28"/>
    <w:rsid w:val="0018235C"/>
    <w:rsid w:val="00197F43"/>
    <w:rsid w:val="001B43CF"/>
    <w:rsid w:val="001B66AA"/>
    <w:rsid w:val="001C1ED5"/>
    <w:rsid w:val="001D4B65"/>
    <w:rsid w:val="001D5E01"/>
    <w:rsid w:val="001F42A7"/>
    <w:rsid w:val="002027ED"/>
    <w:rsid w:val="002118E5"/>
    <w:rsid w:val="002136F0"/>
    <w:rsid w:val="002145B7"/>
    <w:rsid w:val="00216E5D"/>
    <w:rsid w:val="0022737C"/>
    <w:rsid w:val="00235B98"/>
    <w:rsid w:val="002622E9"/>
    <w:rsid w:val="00290E3D"/>
    <w:rsid w:val="0029262D"/>
    <w:rsid w:val="00292ECF"/>
    <w:rsid w:val="002A1AC2"/>
    <w:rsid w:val="002A7EA6"/>
    <w:rsid w:val="002B4951"/>
    <w:rsid w:val="002C1A06"/>
    <w:rsid w:val="002C427B"/>
    <w:rsid w:val="002C4EC2"/>
    <w:rsid w:val="002E4378"/>
    <w:rsid w:val="002F00B4"/>
    <w:rsid w:val="002F1986"/>
    <w:rsid w:val="002F705F"/>
    <w:rsid w:val="00317D83"/>
    <w:rsid w:val="00317DA7"/>
    <w:rsid w:val="00341A68"/>
    <w:rsid w:val="00342B93"/>
    <w:rsid w:val="00364CDA"/>
    <w:rsid w:val="00365CD3"/>
    <w:rsid w:val="003706C3"/>
    <w:rsid w:val="00370CE8"/>
    <w:rsid w:val="00371059"/>
    <w:rsid w:val="00394588"/>
    <w:rsid w:val="003A0D22"/>
    <w:rsid w:val="003A7C60"/>
    <w:rsid w:val="003D359D"/>
    <w:rsid w:val="00401BFA"/>
    <w:rsid w:val="00402106"/>
    <w:rsid w:val="0041140D"/>
    <w:rsid w:val="00413529"/>
    <w:rsid w:val="00420BF6"/>
    <w:rsid w:val="00426275"/>
    <w:rsid w:val="0043045D"/>
    <w:rsid w:val="00441503"/>
    <w:rsid w:val="00445C98"/>
    <w:rsid w:val="004559EF"/>
    <w:rsid w:val="00455B55"/>
    <w:rsid w:val="00457C51"/>
    <w:rsid w:val="00467E23"/>
    <w:rsid w:val="00471682"/>
    <w:rsid w:val="00480154"/>
    <w:rsid w:val="00483F91"/>
    <w:rsid w:val="00490034"/>
    <w:rsid w:val="00494F07"/>
    <w:rsid w:val="0049749A"/>
    <w:rsid w:val="004A581F"/>
    <w:rsid w:val="004B71CC"/>
    <w:rsid w:val="004B7756"/>
    <w:rsid w:val="004C6DF4"/>
    <w:rsid w:val="004D3F8B"/>
    <w:rsid w:val="004E34AB"/>
    <w:rsid w:val="004F4BD7"/>
    <w:rsid w:val="00510DF2"/>
    <w:rsid w:val="00511F01"/>
    <w:rsid w:val="00516089"/>
    <w:rsid w:val="00516F1C"/>
    <w:rsid w:val="0052457E"/>
    <w:rsid w:val="00540069"/>
    <w:rsid w:val="00541ECA"/>
    <w:rsid w:val="005430A4"/>
    <w:rsid w:val="0055610D"/>
    <w:rsid w:val="00562235"/>
    <w:rsid w:val="00585D42"/>
    <w:rsid w:val="005913B8"/>
    <w:rsid w:val="005923E7"/>
    <w:rsid w:val="005A266D"/>
    <w:rsid w:val="005B6DCA"/>
    <w:rsid w:val="005B7EE9"/>
    <w:rsid w:val="005C22F6"/>
    <w:rsid w:val="005C6787"/>
    <w:rsid w:val="005E7917"/>
    <w:rsid w:val="005F32A1"/>
    <w:rsid w:val="00602E93"/>
    <w:rsid w:val="006053B6"/>
    <w:rsid w:val="0060563B"/>
    <w:rsid w:val="00606E39"/>
    <w:rsid w:val="0061010A"/>
    <w:rsid w:val="00615307"/>
    <w:rsid w:val="00615E04"/>
    <w:rsid w:val="00622DA5"/>
    <w:rsid w:val="006328B2"/>
    <w:rsid w:val="00641E09"/>
    <w:rsid w:val="006423DF"/>
    <w:rsid w:val="006530B0"/>
    <w:rsid w:val="0065750A"/>
    <w:rsid w:val="00662ED8"/>
    <w:rsid w:val="00674932"/>
    <w:rsid w:val="00680B5A"/>
    <w:rsid w:val="00696D12"/>
    <w:rsid w:val="006A1906"/>
    <w:rsid w:val="006A31CD"/>
    <w:rsid w:val="006A37D7"/>
    <w:rsid w:val="006A7A4E"/>
    <w:rsid w:val="006B0328"/>
    <w:rsid w:val="006B0967"/>
    <w:rsid w:val="006B23E9"/>
    <w:rsid w:val="006F6C3D"/>
    <w:rsid w:val="00705C90"/>
    <w:rsid w:val="00711D76"/>
    <w:rsid w:val="007155E2"/>
    <w:rsid w:val="00724B10"/>
    <w:rsid w:val="00732D86"/>
    <w:rsid w:val="00744E24"/>
    <w:rsid w:val="00750023"/>
    <w:rsid w:val="00751BEC"/>
    <w:rsid w:val="007622E7"/>
    <w:rsid w:val="0076397A"/>
    <w:rsid w:val="00767FAB"/>
    <w:rsid w:val="00776823"/>
    <w:rsid w:val="007773D1"/>
    <w:rsid w:val="007813EC"/>
    <w:rsid w:val="00781739"/>
    <w:rsid w:val="00790E79"/>
    <w:rsid w:val="00792559"/>
    <w:rsid w:val="007A4B16"/>
    <w:rsid w:val="007A5CF8"/>
    <w:rsid w:val="007B0262"/>
    <w:rsid w:val="007B31E7"/>
    <w:rsid w:val="007C310C"/>
    <w:rsid w:val="007D0324"/>
    <w:rsid w:val="007D0482"/>
    <w:rsid w:val="007D7624"/>
    <w:rsid w:val="007E599B"/>
    <w:rsid w:val="00801F00"/>
    <w:rsid w:val="00805956"/>
    <w:rsid w:val="00816D8B"/>
    <w:rsid w:val="0082083C"/>
    <w:rsid w:val="00826A84"/>
    <w:rsid w:val="008275B1"/>
    <w:rsid w:val="00854C6D"/>
    <w:rsid w:val="00864862"/>
    <w:rsid w:val="00875FCE"/>
    <w:rsid w:val="00885AB6"/>
    <w:rsid w:val="008901A5"/>
    <w:rsid w:val="00890472"/>
    <w:rsid w:val="008A09BC"/>
    <w:rsid w:val="008A1AF3"/>
    <w:rsid w:val="008A4F2A"/>
    <w:rsid w:val="008C01C2"/>
    <w:rsid w:val="008C2D62"/>
    <w:rsid w:val="008C59F8"/>
    <w:rsid w:val="008C63A1"/>
    <w:rsid w:val="008C777C"/>
    <w:rsid w:val="008E6CE0"/>
    <w:rsid w:val="008E7A4F"/>
    <w:rsid w:val="008F452B"/>
    <w:rsid w:val="008F548E"/>
    <w:rsid w:val="00903E73"/>
    <w:rsid w:val="00906DED"/>
    <w:rsid w:val="009153C2"/>
    <w:rsid w:val="00922AFF"/>
    <w:rsid w:val="009241DB"/>
    <w:rsid w:val="00925F1B"/>
    <w:rsid w:val="0093226C"/>
    <w:rsid w:val="009330B8"/>
    <w:rsid w:val="009430C7"/>
    <w:rsid w:val="009464D6"/>
    <w:rsid w:val="00951E49"/>
    <w:rsid w:val="009561AF"/>
    <w:rsid w:val="00960760"/>
    <w:rsid w:val="00964F9F"/>
    <w:rsid w:val="00972A3C"/>
    <w:rsid w:val="00973C3F"/>
    <w:rsid w:val="009757EB"/>
    <w:rsid w:val="009801E4"/>
    <w:rsid w:val="00987DB3"/>
    <w:rsid w:val="009A2199"/>
    <w:rsid w:val="009A2E7F"/>
    <w:rsid w:val="009B68ED"/>
    <w:rsid w:val="009C0769"/>
    <w:rsid w:val="009C30B4"/>
    <w:rsid w:val="009D01EB"/>
    <w:rsid w:val="009D4D75"/>
    <w:rsid w:val="009F6471"/>
    <w:rsid w:val="00A0041F"/>
    <w:rsid w:val="00A00717"/>
    <w:rsid w:val="00A029CB"/>
    <w:rsid w:val="00A07BBF"/>
    <w:rsid w:val="00A114F2"/>
    <w:rsid w:val="00A318E7"/>
    <w:rsid w:val="00A36D6C"/>
    <w:rsid w:val="00A37E90"/>
    <w:rsid w:val="00A41A11"/>
    <w:rsid w:val="00A44C0C"/>
    <w:rsid w:val="00A50A9D"/>
    <w:rsid w:val="00A61767"/>
    <w:rsid w:val="00A70534"/>
    <w:rsid w:val="00A71634"/>
    <w:rsid w:val="00A85868"/>
    <w:rsid w:val="00A96EA1"/>
    <w:rsid w:val="00AA6FC2"/>
    <w:rsid w:val="00AB04A4"/>
    <w:rsid w:val="00AB1D66"/>
    <w:rsid w:val="00AB3F1E"/>
    <w:rsid w:val="00AC72A9"/>
    <w:rsid w:val="00AD3999"/>
    <w:rsid w:val="00AD649E"/>
    <w:rsid w:val="00AF2681"/>
    <w:rsid w:val="00AF5F77"/>
    <w:rsid w:val="00AF7DF2"/>
    <w:rsid w:val="00B25FC8"/>
    <w:rsid w:val="00B41E62"/>
    <w:rsid w:val="00B44479"/>
    <w:rsid w:val="00B504AC"/>
    <w:rsid w:val="00B77410"/>
    <w:rsid w:val="00B81A38"/>
    <w:rsid w:val="00B832A4"/>
    <w:rsid w:val="00B945CE"/>
    <w:rsid w:val="00B97018"/>
    <w:rsid w:val="00BA3D6B"/>
    <w:rsid w:val="00BB766D"/>
    <w:rsid w:val="00BC1B81"/>
    <w:rsid w:val="00BC37B5"/>
    <w:rsid w:val="00BD3CFB"/>
    <w:rsid w:val="00BD5ED5"/>
    <w:rsid w:val="00BE397B"/>
    <w:rsid w:val="00BF2603"/>
    <w:rsid w:val="00C029AC"/>
    <w:rsid w:val="00C039DD"/>
    <w:rsid w:val="00C067A3"/>
    <w:rsid w:val="00C06FDE"/>
    <w:rsid w:val="00C11678"/>
    <w:rsid w:val="00C3122E"/>
    <w:rsid w:val="00C31BF2"/>
    <w:rsid w:val="00C33420"/>
    <w:rsid w:val="00C37C7A"/>
    <w:rsid w:val="00C40CF0"/>
    <w:rsid w:val="00C47310"/>
    <w:rsid w:val="00C5015F"/>
    <w:rsid w:val="00C505C5"/>
    <w:rsid w:val="00C82AF9"/>
    <w:rsid w:val="00C86B48"/>
    <w:rsid w:val="00CA34CF"/>
    <w:rsid w:val="00CA3DBC"/>
    <w:rsid w:val="00CA63D2"/>
    <w:rsid w:val="00CB0E09"/>
    <w:rsid w:val="00CB73F7"/>
    <w:rsid w:val="00CB7ED6"/>
    <w:rsid w:val="00CF297A"/>
    <w:rsid w:val="00D07937"/>
    <w:rsid w:val="00D12A6F"/>
    <w:rsid w:val="00D144E9"/>
    <w:rsid w:val="00D30274"/>
    <w:rsid w:val="00D417E4"/>
    <w:rsid w:val="00D435BB"/>
    <w:rsid w:val="00D461B4"/>
    <w:rsid w:val="00D55C22"/>
    <w:rsid w:val="00D64A8E"/>
    <w:rsid w:val="00D77448"/>
    <w:rsid w:val="00D81A1E"/>
    <w:rsid w:val="00D8282F"/>
    <w:rsid w:val="00D95A3E"/>
    <w:rsid w:val="00DB16FB"/>
    <w:rsid w:val="00DC3A30"/>
    <w:rsid w:val="00DC71D1"/>
    <w:rsid w:val="00DD188B"/>
    <w:rsid w:val="00DD61F7"/>
    <w:rsid w:val="00DE0288"/>
    <w:rsid w:val="00DE4571"/>
    <w:rsid w:val="00DE780D"/>
    <w:rsid w:val="00DF0F4C"/>
    <w:rsid w:val="00E04CC3"/>
    <w:rsid w:val="00E06EE4"/>
    <w:rsid w:val="00E13DDC"/>
    <w:rsid w:val="00E1407C"/>
    <w:rsid w:val="00E25A03"/>
    <w:rsid w:val="00E26A4D"/>
    <w:rsid w:val="00E2700B"/>
    <w:rsid w:val="00E31D33"/>
    <w:rsid w:val="00E57C3A"/>
    <w:rsid w:val="00E770EC"/>
    <w:rsid w:val="00E94FFF"/>
    <w:rsid w:val="00E956A9"/>
    <w:rsid w:val="00E970D1"/>
    <w:rsid w:val="00EA2720"/>
    <w:rsid w:val="00EA5FA4"/>
    <w:rsid w:val="00EA7A28"/>
    <w:rsid w:val="00EB075A"/>
    <w:rsid w:val="00EB3D28"/>
    <w:rsid w:val="00EC491A"/>
    <w:rsid w:val="00F10127"/>
    <w:rsid w:val="00F1084B"/>
    <w:rsid w:val="00F2767A"/>
    <w:rsid w:val="00F27FE5"/>
    <w:rsid w:val="00F30299"/>
    <w:rsid w:val="00F32404"/>
    <w:rsid w:val="00F35E1D"/>
    <w:rsid w:val="00F370A2"/>
    <w:rsid w:val="00F615D7"/>
    <w:rsid w:val="00F62833"/>
    <w:rsid w:val="00F67F4E"/>
    <w:rsid w:val="00F67F72"/>
    <w:rsid w:val="00F70B17"/>
    <w:rsid w:val="00F8070C"/>
    <w:rsid w:val="00F94571"/>
    <w:rsid w:val="00F95323"/>
    <w:rsid w:val="00FA7635"/>
    <w:rsid w:val="00FB0F7C"/>
    <w:rsid w:val="00FB26CE"/>
    <w:rsid w:val="00FC0CE2"/>
    <w:rsid w:val="00FC20CB"/>
    <w:rsid w:val="00FC28CE"/>
    <w:rsid w:val="00FC5CAA"/>
    <w:rsid w:val="00FD2635"/>
    <w:rsid w:val="00FD69F9"/>
    <w:rsid w:val="00FE71D4"/>
    <w:rsid w:val="00FF0E22"/>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colormru v:ext="edit" colors="#006ea6"/>
    </o:shapedefaults>
    <o:shapelayout v:ext="edit">
      <o:idmap v:ext="edit" data="1"/>
    </o:shapelayout>
  </w:shapeDefaults>
  <w:decimalSymbol w:val="."/>
  <w:listSeparator w:val=","/>
  <w14:docId w14:val="00A0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7D41"/>
    <w:pPr>
      <w:spacing w:after="160" w:line="259" w:lineRule="auto"/>
    </w:pPr>
    <w:rPr>
      <w:rFonts w:asciiTheme="minorHAnsi" w:eastAsiaTheme="minorHAnsi" w:hAnsiTheme="minorHAnsi" w:cstheme="minorBidi"/>
      <w:sz w:val="22"/>
      <w:szCs w:val="22"/>
      <w:lang w:eastAsia="en-US"/>
    </w:rPr>
  </w:style>
  <w:style w:type="paragraph" w:styleId="Heading1">
    <w:name w:val="heading 1"/>
    <w:aliases w:val="CER Heading 1"/>
    <w:next w:val="Heading2"/>
    <w:link w:val="Heading1Char"/>
    <w:uiPriority w:val="2"/>
    <w:qFormat/>
    <w:rsid w:val="00FA7635"/>
    <w:pPr>
      <w:keepNext/>
      <w:spacing w:before="280" w:after="200"/>
      <w:outlineLvl w:val="0"/>
    </w:pPr>
    <w:rPr>
      <w:rFonts w:asciiTheme="minorHAnsi" w:eastAsia="Times New Roman" w:hAnsiTheme="minorHAnsi" w:cstheme="minorHAnsi"/>
      <w:b/>
      <w:bCs/>
      <w:color w:val="005874"/>
      <w:kern w:val="32"/>
      <w:sz w:val="40"/>
      <w:szCs w:val="24"/>
      <w:lang w:eastAsia="en-US"/>
    </w:rPr>
  </w:style>
  <w:style w:type="paragraph" w:styleId="Heading2">
    <w:name w:val="heading 2"/>
    <w:aliases w:val="CER Heading 2"/>
    <w:basedOn w:val="Normal"/>
    <w:next w:val="Normal"/>
    <w:link w:val="Heading2Char"/>
    <w:uiPriority w:val="3"/>
    <w:qFormat/>
    <w:rsid w:val="00FA7635"/>
    <w:pPr>
      <w:keepNext/>
      <w:keepLines/>
      <w:spacing w:before="280"/>
      <w:outlineLvl w:val="1"/>
    </w:pPr>
    <w:rPr>
      <w:rFonts w:eastAsia="Times New Roman"/>
      <w:b/>
      <w:bCs/>
      <w:color w:val="005874"/>
      <w:sz w:val="30"/>
      <w:szCs w:val="26"/>
    </w:rPr>
  </w:style>
  <w:style w:type="paragraph" w:styleId="Heading3">
    <w:name w:val="heading 3"/>
    <w:aliases w:val="CER Heading 3"/>
    <w:next w:val="Normal"/>
    <w:link w:val="Heading3Char"/>
    <w:uiPriority w:val="4"/>
    <w:qFormat/>
    <w:rsid w:val="00FA7635"/>
    <w:pPr>
      <w:keepNext/>
      <w:keepLines/>
      <w:spacing w:before="240" w:after="200"/>
      <w:outlineLvl w:val="2"/>
    </w:pPr>
    <w:rPr>
      <w:rFonts w:asciiTheme="minorHAnsi" w:eastAsia="Times New Roman" w:hAnsiTheme="minorHAnsi" w:cstheme="minorHAnsi"/>
      <w:b/>
      <w:bCs/>
      <w:color w:val="005874"/>
      <w:sz w:val="25"/>
      <w:szCs w:val="24"/>
      <w:lang w:eastAsia="en-US"/>
    </w:rPr>
  </w:style>
  <w:style w:type="paragraph" w:styleId="Heading4">
    <w:name w:val="heading 4"/>
    <w:aliases w:val="CER Heading 4"/>
    <w:basedOn w:val="Normal"/>
    <w:next w:val="Normal"/>
    <w:link w:val="Heading4Char"/>
    <w:uiPriority w:val="5"/>
    <w:unhideWhenUsed/>
    <w:qFormat/>
    <w:rsid w:val="00FA7635"/>
    <w:pPr>
      <w:keepNext/>
      <w:spacing w:before="240"/>
      <w:outlineLvl w:val="3"/>
    </w:pPr>
    <w:rPr>
      <w:rFonts w:eastAsiaTheme="minorEastAsia"/>
      <w:bCs/>
      <w:color w:val="005874"/>
      <w:sz w:val="25"/>
      <w:szCs w:val="28"/>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b/>
      <w:bCs/>
      <w:sz w:val="21"/>
    </w:rPr>
  </w:style>
  <w:style w:type="paragraph" w:styleId="Heading7">
    <w:name w:val="heading 7"/>
    <w:basedOn w:val="Normal"/>
    <w:next w:val="Normal"/>
    <w:link w:val="Heading7Char"/>
    <w:uiPriority w:val="99"/>
    <w:unhideWhenUsed/>
    <w:rsid w:val="009D4D75"/>
    <w:pPr>
      <w:keepNext/>
      <w:keepLines/>
      <w:spacing w:before="200" w:after="0"/>
      <w:outlineLvl w:val="6"/>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FA7635"/>
    <w:rPr>
      <w:rFonts w:asciiTheme="minorHAnsi" w:eastAsia="Times New Roman" w:hAnsiTheme="minorHAnsi" w:cstheme="minorHAnsi"/>
      <w:b/>
      <w:bCs/>
      <w:color w:val="005874"/>
      <w:sz w:val="30"/>
      <w:szCs w:val="26"/>
      <w:lang w:eastAsia="en-US"/>
    </w:rPr>
  </w:style>
  <w:style w:type="character" w:customStyle="1" w:styleId="Heading1Char">
    <w:name w:val="Heading 1 Char"/>
    <w:aliases w:val="CER Heading 1 Char"/>
    <w:basedOn w:val="DefaultParagraphFont"/>
    <w:link w:val="Heading1"/>
    <w:uiPriority w:val="2"/>
    <w:rsid w:val="00FA7635"/>
    <w:rPr>
      <w:rFonts w:asciiTheme="minorHAnsi" w:eastAsia="Times New Roman" w:hAnsiTheme="minorHAnsi" w:cstheme="minorHAnsi"/>
      <w:b/>
      <w:bCs/>
      <w:color w:val="005874"/>
      <w:kern w:val="32"/>
      <w:sz w:val="40"/>
      <w:szCs w:val="24"/>
      <w:lang w:eastAsia="en-US"/>
    </w:rPr>
  </w:style>
  <w:style w:type="character" w:customStyle="1" w:styleId="Heading3Char">
    <w:name w:val="Heading 3 Char"/>
    <w:aliases w:val="CER Heading 3 Char"/>
    <w:basedOn w:val="DefaultParagraphFont"/>
    <w:link w:val="Heading3"/>
    <w:uiPriority w:val="4"/>
    <w:rsid w:val="00FA7635"/>
    <w:rPr>
      <w:rFonts w:asciiTheme="minorHAnsi" w:eastAsia="Times New Roman" w:hAnsiTheme="minorHAnsi" w:cstheme="minorHAnsi"/>
      <w:b/>
      <w:bCs/>
      <w:color w:val="005874"/>
      <w:sz w:val="25"/>
      <w:szCs w:val="24"/>
      <w:lang w:eastAsia="en-US"/>
    </w:rPr>
  </w:style>
  <w:style w:type="character" w:customStyle="1" w:styleId="Heading4Char">
    <w:name w:val="Heading 4 Char"/>
    <w:aliases w:val="CER Heading 4 Char"/>
    <w:basedOn w:val="DefaultParagraphFont"/>
    <w:link w:val="Heading4"/>
    <w:uiPriority w:val="5"/>
    <w:rsid w:val="00FA7635"/>
    <w:rPr>
      <w:rFonts w:asciiTheme="minorHAnsi" w:eastAsiaTheme="minorEastAsia" w:hAnsiTheme="minorHAnsi" w:cstheme="minorBidi"/>
      <w:bCs/>
      <w:color w:val="005874"/>
      <w:sz w:val="25"/>
      <w:szCs w:val="28"/>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CA34CF"/>
    <w:pPr>
      <w:tabs>
        <w:tab w:val="left" w:pos="2694"/>
        <w:tab w:val="left" w:pos="3969"/>
        <w:tab w:val="left" w:pos="6946"/>
        <w:tab w:val="right" w:pos="9498"/>
      </w:tabs>
      <w:ind w:left="284" w:right="242"/>
    </w:pPr>
    <w:rPr>
      <w:color w:val="005874"/>
      <w:sz w:val="16"/>
      <w:szCs w:val="16"/>
    </w:rPr>
  </w:style>
  <w:style w:type="character" w:customStyle="1" w:styleId="FooterChar">
    <w:name w:val="Footer Char"/>
    <w:basedOn w:val="DefaultParagraphFont"/>
    <w:link w:val="Footer"/>
    <w:uiPriority w:val="99"/>
    <w:rsid w:val="00CA34CF"/>
    <w:rPr>
      <w:rFonts w:asciiTheme="minorHAnsi" w:hAnsiTheme="minorHAnsi" w:cstheme="minorHAnsi"/>
      <w:color w:val="005874"/>
      <w:sz w:val="16"/>
      <w:szCs w:val="16"/>
      <w:lang w:eastAsia="en-US"/>
    </w:rPr>
  </w:style>
  <w:style w:type="character" w:styleId="Hyperlink">
    <w:name w:val="Hyperlink"/>
    <w:basedOn w:val="DefaultParagraphFont"/>
    <w:uiPriority w:val="99"/>
    <w:unhideWhenUsed/>
    <w:rsid w:val="00BD5ED5"/>
    <w:rPr>
      <w:rFonts w:ascii="Calibri" w:hAnsi="Calibri"/>
      <w:color w:val="005874"/>
      <w:sz w:val="22"/>
      <w:u w:val="single"/>
    </w:rPr>
  </w:style>
  <w:style w:type="paragraph" w:customStyle="1" w:styleId="CERbullets">
    <w:name w:val="CER bullets"/>
    <w:basedOn w:val="Normal"/>
    <w:link w:val="CERbulletsChar"/>
    <w:uiPriority w:val="7"/>
    <w:qFormat/>
    <w:rsid w:val="00FA7635"/>
    <w:pPr>
      <w:numPr>
        <w:numId w:val="21"/>
      </w:numPr>
      <w:spacing w:before="120" w:after="120"/>
      <w:ind w:left="357" w:hanging="357"/>
    </w:pPr>
  </w:style>
  <w:style w:type="character" w:customStyle="1" w:styleId="CERbulletsChar">
    <w:name w:val="CER bullets Char"/>
    <w:basedOn w:val="DefaultParagraphFont"/>
    <w:link w:val="CERbullets"/>
    <w:uiPriority w:val="7"/>
    <w:rsid w:val="00FA7635"/>
    <w:rPr>
      <w:rFonts w:asciiTheme="minorHAnsi" w:hAnsiTheme="minorHAnsi" w:cstheme="minorHAnsi"/>
      <w:sz w:val="22"/>
      <w:szCs w:val="24"/>
      <w:lang w:eastAsia="en-US"/>
    </w:rPr>
  </w:style>
  <w:style w:type="table" w:customStyle="1" w:styleId="CERTable">
    <w:name w:val="CER Table"/>
    <w:basedOn w:val="TableNormal"/>
    <w:uiPriority w:val="99"/>
    <w:rsid w:val="006423DF"/>
    <w:pPr>
      <w:spacing w:before="120"/>
    </w:pPr>
    <w:rPr>
      <w:rFonts w:ascii="Arial" w:hAnsi="Arial"/>
      <w:color w:val="000000" w:themeColor="text1"/>
      <w:kern w:val="2"/>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Arial Bold" w:hAnsi="Arial Bold"/>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Arial Bold" w:hAnsi="Arial Bold"/>
        <w:b/>
        <w:i w:val="0"/>
        <w:color w:val="000000" w:themeColor="text1"/>
      </w:rPr>
      <w:tblPr/>
      <w:tcPr>
        <w:shd w:val="clear" w:color="auto" w:fill="EAE9E7"/>
      </w:tcPr>
    </w:tblStylePr>
    <w:tblStylePr w:type="band1Horz">
      <w:rPr>
        <w:rFonts w:ascii="Arial" w:hAnsi="Arial"/>
      </w:rPr>
    </w:tblStylePr>
    <w:tblStylePr w:type="band2Horz">
      <w:rPr>
        <w:rFonts w:ascii="Arial" w:hAnsi="Arial"/>
      </w:r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235B98"/>
    <w:pPr>
      <w:ind w:left="284" w:right="284"/>
    </w:pPr>
    <w:rPr>
      <w:rFonts w:ascii="Arial" w:hAnsi="Arial"/>
    </w:rPr>
    <w:tblPr>
      <w:tblCellSpacing w:w="142" w:type="dxa"/>
      <w:tblCellMar>
        <w:left w:w="0" w:type="dxa"/>
        <w:right w:w="0" w:type="dxa"/>
      </w:tblCellMar>
    </w:tblPr>
    <w:trPr>
      <w:cantSplit/>
      <w:tblCellSpacing w:w="142" w:type="dxa"/>
    </w:trPr>
    <w:tcPr>
      <w:shd w:val="pct5" w:color="auto" w:fill="auto"/>
      <w:tcMar>
        <w:top w:w="284" w:type="dxa"/>
        <w:left w:w="284" w:type="dxa"/>
        <w:bottom w:w="284" w:type="dxa"/>
        <w:right w:w="284" w:type="dxa"/>
      </w:tcMar>
    </w:tcPr>
  </w:style>
  <w:style w:type="character" w:customStyle="1" w:styleId="Heading7Char">
    <w:name w:val="Heading 7 Char"/>
    <w:basedOn w:val="DefaultParagraphFont"/>
    <w:link w:val="Heading7"/>
    <w:uiPriority w:val="99"/>
    <w:rsid w:val="009D4D75"/>
    <w:rPr>
      <w:rFonts w:asciiTheme="minorHAnsi" w:eastAsiaTheme="majorEastAsia" w:hAnsiTheme="minorHAnsi" w:cstheme="majorBidi"/>
      <w:i/>
      <w:iCs/>
      <w:color w:val="404040" w:themeColor="text1" w:themeTint="BF"/>
      <w:sz w:val="22"/>
      <w:szCs w:val="24"/>
      <w:lang w:eastAsia="en-US"/>
    </w:rPr>
  </w:style>
  <w:style w:type="character" w:styleId="FollowedHyperlink">
    <w:name w:val="FollowedHyperlink"/>
    <w:basedOn w:val="DefaultParagraphFont"/>
    <w:uiPriority w:val="99"/>
    <w:rsid w:val="00BD5ED5"/>
    <w:rPr>
      <w:rFonts w:asciiTheme="minorHAnsi" w:hAnsiTheme="minorHAnsi"/>
      <w:color w:val="00A7D3"/>
      <w:sz w:val="22"/>
      <w:u w:val="single"/>
    </w:rPr>
  </w:style>
  <w:style w:type="paragraph" w:customStyle="1" w:styleId="CERnumbering">
    <w:name w:val="CER numbering"/>
    <w:basedOn w:val="Normal"/>
    <w:link w:val="CERnumberingChar"/>
    <w:uiPriority w:val="8"/>
    <w:qFormat/>
    <w:rsid w:val="00CA34CF"/>
    <w:pPr>
      <w:numPr>
        <w:numId w:val="30"/>
      </w:numPr>
      <w:spacing w:before="120" w:after="120"/>
    </w:pPr>
  </w:style>
  <w:style w:type="character" w:customStyle="1" w:styleId="CERnumberingChar">
    <w:name w:val="CER numbering Char"/>
    <w:basedOn w:val="DefaultParagraphFont"/>
    <w:link w:val="CERnumbering"/>
    <w:uiPriority w:val="8"/>
    <w:rsid w:val="00CA34CF"/>
    <w:rPr>
      <w:rFonts w:asciiTheme="minorHAnsi" w:hAnsiTheme="minorHAnsi" w:cstheme="minorHAnsi"/>
      <w:sz w:val="22"/>
      <w:szCs w:val="24"/>
      <w:lang w:eastAsia="en-US"/>
    </w:rPr>
  </w:style>
  <w:style w:type="character" w:styleId="PlaceholderText">
    <w:name w:val="Placeholder Text"/>
    <w:basedOn w:val="DefaultParagraphFont"/>
    <w:uiPriority w:val="99"/>
    <w:rsid w:val="00123DE7"/>
    <w:rPr>
      <w:color w:val="808080"/>
    </w:rPr>
  </w:style>
  <w:style w:type="character" w:customStyle="1" w:styleId="Protectivemarker">
    <w:name w:val="Protective marker"/>
    <w:basedOn w:val="DefaultParagraphFont"/>
    <w:uiPriority w:val="1"/>
    <w:rsid w:val="0018235C"/>
    <w:rPr>
      <w:rFonts w:asciiTheme="minorHAnsi" w:hAnsiTheme="minorHAnsi"/>
      <w:b/>
      <w:color w:val="FF0000"/>
      <w:sz w:val="28"/>
    </w:rPr>
  </w:style>
  <w:style w:type="paragraph" w:customStyle="1" w:styleId="LegislativesecrecyACT">
    <w:name w:val="Legislative secrecy ACT"/>
    <w:basedOn w:val="Heading5"/>
    <w:uiPriority w:val="8"/>
    <w:qFormat/>
    <w:rsid w:val="0018235C"/>
    <w:pPr>
      <w:tabs>
        <w:tab w:val="center" w:pos="4870"/>
        <w:tab w:val="left" w:pos="8745"/>
      </w:tabs>
      <w:spacing w:before="0" w:after="120"/>
      <w:jc w:val="center"/>
    </w:pPr>
    <w:rPr>
      <w:sz w:val="24"/>
    </w:rPr>
  </w:style>
  <w:style w:type="paragraph" w:styleId="ListParagraph">
    <w:name w:val="List Paragraph"/>
    <w:basedOn w:val="Normal"/>
    <w:uiPriority w:val="34"/>
    <w:qFormat/>
    <w:rsid w:val="00027D41"/>
    <w:pPr>
      <w:ind w:left="720"/>
      <w:contextualSpacing/>
    </w:pPr>
  </w:style>
  <w:style w:type="paragraph" w:styleId="PlainText">
    <w:name w:val="Plain Text"/>
    <w:basedOn w:val="Normal"/>
    <w:link w:val="PlainTextChar"/>
    <w:uiPriority w:val="99"/>
    <w:unhideWhenUsed/>
    <w:rsid w:val="00027D4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27D41"/>
    <w:rPr>
      <w:rFonts w:ascii="Calibri" w:eastAsiaTheme="minorHAnsi" w:hAnsi="Calibri" w:cstheme="minorBidi"/>
      <w:sz w:val="22"/>
      <w:szCs w:val="21"/>
      <w:lang w:eastAsia="en-US"/>
    </w:rPr>
  </w:style>
  <w:style w:type="paragraph" w:customStyle="1" w:styleId="tDefn">
    <w:name w:val="t_Defn"/>
    <w:aliases w:val="Definition,dd"/>
    <w:basedOn w:val="Normal"/>
    <w:link w:val="DefinitionChar"/>
    <w:rsid w:val="00027D41"/>
    <w:pPr>
      <w:spacing w:before="180" w:after="0" w:line="240" w:lineRule="auto"/>
      <w:ind w:left="1134"/>
    </w:pPr>
    <w:rPr>
      <w:rFonts w:ascii="Times New Roman" w:eastAsia="Times New Roman" w:hAnsi="Times New Roman" w:cs="Times New Roman"/>
      <w:szCs w:val="20"/>
      <w:lang w:eastAsia="en-AU"/>
    </w:rPr>
  </w:style>
  <w:style w:type="character" w:customStyle="1" w:styleId="DefinitionChar">
    <w:name w:val="Definition Char"/>
    <w:aliases w:val="dd Char"/>
    <w:link w:val="tDefn"/>
    <w:rsid w:val="00027D41"/>
    <w:rPr>
      <w:rFonts w:ascii="Times New Roman" w:eastAsia="Times New Roman" w:hAnsi="Times New Roman"/>
      <w:sz w:val="22"/>
    </w:rPr>
  </w:style>
  <w:style w:type="character" w:customStyle="1" w:styleId="normaltextrun">
    <w:name w:val="normaltextrun"/>
    <w:basedOn w:val="DefaultParagraphFont"/>
    <w:rsid w:val="00027D41"/>
  </w:style>
  <w:style w:type="paragraph" w:customStyle="1" w:styleId="tPara">
    <w:name w:val="t_Para"/>
    <w:aliases w:val="paragraph,a,Paragraph"/>
    <w:basedOn w:val="Normal"/>
    <w:link w:val="paragraphChar"/>
    <w:qFormat/>
    <w:rsid w:val="00027D41"/>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basedOn w:val="DefaultParagraphFont"/>
    <w:link w:val="tPara"/>
    <w:locked/>
    <w:rsid w:val="00027D41"/>
    <w:rPr>
      <w:rFonts w:ascii="Times New Roman" w:eastAsia="Times New Roman" w:hAnsi="Times New Roman"/>
      <w:sz w:val="22"/>
    </w:rPr>
  </w:style>
  <w:style w:type="character" w:styleId="CommentReference">
    <w:name w:val="annotation reference"/>
    <w:basedOn w:val="DefaultParagraphFont"/>
    <w:uiPriority w:val="99"/>
    <w:unhideWhenUsed/>
    <w:rsid w:val="00A96EA1"/>
    <w:rPr>
      <w:sz w:val="16"/>
      <w:szCs w:val="16"/>
    </w:rPr>
  </w:style>
  <w:style w:type="paragraph" w:styleId="CommentText">
    <w:name w:val="annotation text"/>
    <w:basedOn w:val="Normal"/>
    <w:link w:val="CommentTextChar"/>
    <w:uiPriority w:val="99"/>
    <w:unhideWhenUsed/>
    <w:rsid w:val="00A96EA1"/>
    <w:pPr>
      <w:spacing w:line="240" w:lineRule="auto"/>
    </w:pPr>
    <w:rPr>
      <w:sz w:val="20"/>
      <w:szCs w:val="20"/>
    </w:rPr>
  </w:style>
  <w:style w:type="character" w:customStyle="1" w:styleId="CommentTextChar">
    <w:name w:val="Comment Text Char"/>
    <w:basedOn w:val="DefaultParagraphFont"/>
    <w:link w:val="CommentText"/>
    <w:uiPriority w:val="99"/>
    <w:rsid w:val="00A96EA1"/>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A96EA1"/>
    <w:rPr>
      <w:b/>
      <w:bCs/>
    </w:rPr>
  </w:style>
  <w:style w:type="character" w:customStyle="1" w:styleId="CommentSubjectChar">
    <w:name w:val="Comment Subject Char"/>
    <w:basedOn w:val="CommentTextChar"/>
    <w:link w:val="CommentSubject"/>
    <w:uiPriority w:val="99"/>
    <w:semiHidden/>
    <w:rsid w:val="00A96EA1"/>
    <w:rPr>
      <w:rFonts w:asciiTheme="minorHAnsi" w:eastAsiaTheme="minorHAnsi" w:hAnsiTheme="minorHAnsi" w:cstheme="minorBidi"/>
      <w:b/>
      <w:bCs/>
      <w:lang w:eastAsia="en-US"/>
    </w:rPr>
  </w:style>
  <w:style w:type="paragraph" w:styleId="Revision">
    <w:name w:val="Revision"/>
    <w:hidden/>
    <w:semiHidden/>
    <w:rsid w:val="00DE780D"/>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DE4571"/>
    <w:rPr>
      <w:color w:val="605E5C"/>
      <w:shd w:val="clear" w:color="auto" w:fill="E1DFDD"/>
    </w:rPr>
  </w:style>
  <w:style w:type="paragraph" w:styleId="FootnoteText">
    <w:name w:val="footnote text"/>
    <w:basedOn w:val="Normal"/>
    <w:link w:val="FootnoteTextChar"/>
    <w:uiPriority w:val="99"/>
    <w:semiHidden/>
    <w:unhideWhenUsed/>
    <w:rsid w:val="006328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28B2"/>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6328B2"/>
    <w:rPr>
      <w:vertAlign w:val="superscript"/>
    </w:rPr>
  </w:style>
  <w:style w:type="paragraph" w:customStyle="1" w:styleId="nMain">
    <w:name w:val="n_Main"/>
    <w:aliases w:val="n,note(text)"/>
    <w:basedOn w:val="Normal"/>
    <w:link w:val="notetextChar"/>
    <w:qFormat/>
    <w:rsid w:val="00402106"/>
    <w:pPr>
      <w:spacing w:before="120" w:after="0" w:line="240" w:lineRule="auto"/>
      <w:ind w:left="1985" w:hanging="851"/>
    </w:pPr>
    <w:rPr>
      <w:rFonts w:ascii="Times New Roman" w:eastAsia="Times New Roman" w:hAnsi="Times New Roman" w:cs="Times New Roman"/>
      <w:sz w:val="18"/>
      <w:szCs w:val="20"/>
      <w:lang w:eastAsia="en-AU"/>
    </w:rPr>
  </w:style>
  <w:style w:type="character" w:customStyle="1" w:styleId="notetextChar">
    <w:name w:val="note(text) Char"/>
    <w:aliases w:val="n Char"/>
    <w:link w:val="nMain"/>
    <w:rsid w:val="00402106"/>
    <w:rPr>
      <w:rFonts w:ascii="Times New Roman" w:eastAsia="Times New Roman" w:hAnsi="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212102529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naturalresources.sa.gov.au/files/sharedassets/northern_and_yorke/coast_and_marine/yp_2014_assets_-_part_2_-_marine_ecological_assets_-_section_7_-_mangroves.pdf" TargetMode="External"/><Relationship Id="rId18" Type="http://schemas.openxmlformats.org/officeDocument/2006/relationships/hyperlink" Target="https://www.nespmarine.edu.au/system/files/NESP%20Saltmarsh%20Report%204%20Feb%202016-1.pdf" TargetMode="External"/><Relationship Id="rId26" Type="http://schemas.openxmlformats.org/officeDocument/2006/relationships/hyperlink" Target="https://www.water.vic.gov.au/__data/assets/pdf_file/0023/52763/Final-for-publicatn-Wetland-Classification-Report-8Mar16.pdf" TargetMode="External"/><Relationship Id="rId39" Type="http://schemas.openxmlformats.org/officeDocument/2006/relationships/hyperlink" Target="https://water.wa.gov.au/__data/assets/pdf_file/0003/5628/8799-native-saline-plants.pdf" TargetMode="External"/><Relationship Id="rId21" Type="http://schemas.openxmlformats.org/officeDocument/2006/relationships/hyperlink" Target="https://wetlandinfo.des.qld.gov.au/wetlands/ecology/aquatic-ecosystems-natural/palustrine/saline-swamp/" TargetMode="External"/><Relationship Id="rId34" Type="http://schemas.openxmlformats.org/officeDocument/2006/relationships/hyperlink" Target="https://nt.gov.au/__data/assets/pdf_file/0007/204694/mangrove-education-pack.pdf" TargetMode="External"/><Relationship Id="rId42" Type="http://schemas.openxmlformats.org/officeDocument/2006/relationships/header" Target="header2.xml"/><Relationship Id="rId47"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ish.wa.gov.au/Documents/recreational_fishing/fact_sheets/fact_sheet_mangroves.pdf" TargetMode="External"/><Relationship Id="rId29" Type="http://schemas.openxmlformats.org/officeDocument/2006/relationships/hyperlink" Target="https://peel.science.uwa.edu.au/Kobryndata/saltmarshes/content.htm" TargetMode="External"/><Relationship Id="rId11" Type="http://schemas.openxmlformats.org/officeDocument/2006/relationships/hyperlink" Target="https://www.daf.qld.gov.au/business-priorities/fisheries/habitats/human-impacts-wetlands" TargetMode="External"/><Relationship Id="rId24" Type="http://schemas.openxmlformats.org/officeDocument/2006/relationships/hyperlink" Target="https://www.naturalresources.sa.gov.au/files/sharedassets/northern_and_yorke/coast_and_marine/yp_2014_assets_-_part_2_-_marine_ecological_assets_-_section_6_-_saltmarsh_and_samphire.pdf" TargetMode="External"/><Relationship Id="rId32" Type="http://schemas.openxmlformats.org/officeDocument/2006/relationships/hyperlink" Target="https://ozcoasts.org.au/indicators/biophysical-indicators/changes_saltmarsh_area/" TargetMode="External"/><Relationship Id="rId37" Type="http://schemas.openxmlformats.org/officeDocument/2006/relationships/hyperlink" Target="https://www.environment.nsw.gov.au/threatenedspeciesapp/VegClass.aspx?vegClassName=Coastal+Swamp+Forests"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vro.agriculture.vic.gov.au/dpi/vro/vrosite.nsf/pages/water_sss_white_mangrove" TargetMode="External"/><Relationship Id="rId23" Type="http://schemas.openxmlformats.org/officeDocument/2006/relationships/hyperlink" Target="https://wetlandinfo.des.qld.gov.au/resources/static/pdf/ecology/mangroves/volume-1-mapping-survey.pdf" TargetMode="External"/><Relationship Id="rId28" Type="http://schemas.openxmlformats.org/officeDocument/2006/relationships/hyperlink" Target="https://www.nespmarine.edu.au/system/files/NESP%20Saltmarsh%20Report%204%20Feb%202016-1.pdf" TargetMode="External"/><Relationship Id="rId36" Type="http://schemas.openxmlformats.org/officeDocument/2006/relationships/hyperlink" Target="http://www.environment.gov.au/system/files/consultations/9259476b-9699-4ef8-91f3-868dcb97a68d/files/consultation-guide-coastal-swamp-sclerophyll-forests.pdf" TargetMode="External"/><Relationship Id="rId49" Type="http://schemas.openxmlformats.org/officeDocument/2006/relationships/customXml" Target="../customXml/item5.xml"/><Relationship Id="rId10" Type="http://schemas.openxmlformats.org/officeDocument/2006/relationships/hyperlink" Target="https://www.nespmarine.edu.au/system/files/NESP%20Saltmarsh%20Report%204%20Feb%202016-1.pdf" TargetMode="External"/><Relationship Id="rId19" Type="http://schemas.openxmlformats.org/officeDocument/2006/relationships/hyperlink" Target="https://www.environment.nsw.gov.au/threatenedspeciesapp/profile.aspx?id=10866" TargetMode="External"/><Relationship Id="rId31" Type="http://schemas.openxmlformats.org/officeDocument/2006/relationships/hyperlink" Target="https://ozcoasts.org.au/indicators/biophysical-indicators/seagrass_specie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limatechangeinaustralia.gov.au/en/overview/methodology/nrm-regions/" TargetMode="External"/><Relationship Id="rId14" Type="http://schemas.openxmlformats.org/officeDocument/2006/relationships/hyperlink" Target="http://www.dpi.nsw.gov.au/__data/assets/pdf_file/0020/236234/mangroves.pdf" TargetMode="External"/><Relationship Id="rId22" Type="http://schemas.openxmlformats.org/officeDocument/2006/relationships/hyperlink" Target="https://wetlandinfo.des.qld.gov.au/wetlands/ecology/aquatic-ecosystems-natural/palustrine/floodplain-grass-sedge-herb-swamp/" TargetMode="External"/><Relationship Id="rId27" Type="http://schemas.openxmlformats.org/officeDocument/2006/relationships/hyperlink" Target="https://water.wa.gov.au/__data/assets/pdf_file/0003/5628/8799-native-saline-plants.pdf" TargetMode="External"/><Relationship Id="rId30" Type="http://schemas.openxmlformats.org/officeDocument/2006/relationships/hyperlink" Target="https://wetlandinfo.des.qld.gov.au/wetlands/what-are-wetlands/definitions-classification/classification-systems-background/typology.html" TargetMode="External"/><Relationship Id="rId35" Type="http://schemas.openxmlformats.org/officeDocument/2006/relationships/hyperlink" Target="https://www.naturalresources.sa.gov.au/files/sharedassets/northern_and_yorke/coast_and_marine/yp_2014_assets_-_part_2_-_marine_ecological_assets_-_section_6_-_saltmarsh_and_samphire.pdf" TargetMode="External"/><Relationship Id="rId43" Type="http://schemas.openxmlformats.org/officeDocument/2006/relationships/footer" Target="footer2.xml"/><Relationship Id="rId48" Type="http://schemas.openxmlformats.org/officeDocument/2006/relationships/customXml" Target="../customXml/item4.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etlandinfo.des.qld.gov.au/wetlands/ecology/components/flora/mangroves/" TargetMode="External"/><Relationship Id="rId17" Type="http://schemas.openxmlformats.org/officeDocument/2006/relationships/hyperlink" Target="https://nt.gov.au/__data/assets/pdf_file/0007/204694/mangrove-education-pack.pdf" TargetMode="External"/><Relationship Id="rId25" Type="http://schemas.openxmlformats.org/officeDocument/2006/relationships/hyperlink" Target="https://onlinelibrary.wiley.com/doi/abs/10.1002/aqc.3085" TargetMode="External"/><Relationship Id="rId33" Type="http://schemas.openxmlformats.org/officeDocument/2006/relationships/hyperlink" Target="https://wetlandinfo.des.qld.gov.au/resources/static/pdf/resources/fact-sheets/profiles/p01719aa.pdf" TargetMode="External"/><Relationship Id="rId38" Type="http://schemas.openxmlformats.org/officeDocument/2006/relationships/hyperlink" Target="https://wetlandinfo.des.qld.gov.au/wetlands/ecology/aquatic-ecosystems-natural/palustrine/floodplain-tree-swamp/" TargetMode="External"/><Relationship Id="rId46" Type="http://schemas.openxmlformats.org/officeDocument/2006/relationships/customXml" Target="../customXml/item2.xml"/><Relationship Id="rId20" Type="http://schemas.openxmlformats.org/officeDocument/2006/relationships/hyperlink" Target="https://wetlandinfo.des.qld.gov.au/wetlands/ecology/aquatic-ecosystems-natural/palustrin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etlandinfo.des.qld.gov.au/resources/static/pdf/ecology/mangroves/volume-1-mapping-surve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9" ma:contentTypeDescription="Create a new document." ma:contentTypeScope="" ma:versionID="ffb3934923690fad9da4c9bcc106c7cb">
  <xsd:schema xmlns:xsd="http://www.w3.org/2001/XMLSchema" xmlns:xs="http://www.w3.org/2001/XMLSchema" xmlns:p="http://schemas.microsoft.com/office/2006/metadata/properties" xmlns:ns1="http://schemas.microsoft.com/sharepoint/v3" xmlns:ns2="32e2fb52-454c-4a55-9e7f-b565c4403fdc" targetNamespace="http://schemas.microsoft.com/office/2006/metadata/properties" ma:root="true" ma:fieldsID="beb74a5a57427645cf1aec0feaa913c1" ns1:_="" ns2:_="">
    <xsd:import namespace="http://schemas.microsoft.com/sharepoint/v3"/>
    <xsd:import namespace="32e2fb52-454c-4a55-9e7f-b565c4403fdc"/>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ERContentPublishingTaskJobNumber xmlns="32e2fb52-454c-4a55-9e7f-b565c4403fdc">PJ1215</CERContentPublishingTaskJobNumber>
    <Date_x0020_Submitted xmlns="32e2fb52-454c-4a55-9e7f-b565c4403fdc" xsi:nil="true"/>
    <CER_x0020_Content_x0020_Approval_x0020_Workflow_x0020_Comments xmlns="32e2fb52-454c-4a55-9e7f-b565c4403fdc" xsi:nil="true"/>
    <Type_x0020_of_x0020_document xmlns="32e2fb52-454c-4a55-9e7f-b565c4403fdc">general</Type_x0020_of_x0020_document>
    <Submitted_x0020_By xmlns="32e2fb52-454c-4a55-9e7f-b565c4403fdc">
      <UserInfo>
        <DisplayName/>
        <AccountId xsi:nil="true"/>
        <AccountType/>
      </UserInfo>
    </Submitted_x0020_By>
    <PublishingExpirationDate xmlns="http://schemas.microsoft.com/sharepoint/v3" xsi:nil="true"/>
    <CommonTopic xmlns="32e2fb52-454c-4a55-9e7f-b565c4403fdc">
      <Value>Emissions Reduction Fund</Value>
    </CommonTopic>
    <Requires_x0020_Higher_x0020_Approval xmlns="32e2fb52-454c-4a55-9e7f-b565c4403fdc">false</Requires_x0020_Higher_x0020_Approval>
    <PublishingStartDate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AEBD68-7513-4AAD-8707-70FCE232D3A7}"/>
</file>

<file path=customXml/itemProps3.xml><?xml version="1.0" encoding="utf-8"?>
<ds:datastoreItem xmlns:ds="http://schemas.openxmlformats.org/officeDocument/2006/customXml" ds:itemID="{A3AF82C1-6243-43E0-8C10-FA5532FF7AC8}"/>
</file>

<file path=customXml/itemProps4.xml><?xml version="1.0" encoding="utf-8"?>
<ds:datastoreItem xmlns:ds="http://schemas.openxmlformats.org/officeDocument/2006/customXml" ds:itemID="{BFE7B28A-2464-4DB7-AB7C-3DEE9E538E28}"/>
</file>

<file path=customXml/itemProps5.xml><?xml version="1.0" encoding="utf-8"?>
<ds:datastoreItem xmlns:ds="http://schemas.openxmlformats.org/officeDocument/2006/customXml" ds:itemID="{DEACE37B-5E3F-461A-AA66-43F0897E8423}"/>
</file>

<file path=docProps/app.xml><?xml version="1.0" encoding="utf-8"?>
<Properties xmlns="http://schemas.openxmlformats.org/officeDocument/2006/extended-properties" xmlns:vt="http://schemas.openxmlformats.org/officeDocument/2006/docPropsVTypes">
  <Template>Normal.dotm</Template>
  <TotalTime>0</TotalTime>
  <Pages>9</Pages>
  <Words>3413</Words>
  <Characters>21832</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carbon accounting model (BlueCAM) guidelines</dc:title>
  <dc:subject/>
  <dc:creator/>
  <cp:keywords/>
  <cp:lastModifiedBy/>
  <cp:revision>1</cp:revision>
  <dcterms:created xsi:type="dcterms:W3CDTF">2022-01-06T02:58:00Z</dcterms:created>
  <dcterms:modified xsi:type="dcterms:W3CDTF">2022-01-06T02:58:00Z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