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5D48" w14:textId="18C984BD" w:rsidR="002C3CC1" w:rsidRDefault="00285744" w:rsidP="009305E8">
      <w:pPr>
        <w:pStyle w:val="Heading1"/>
        <w:spacing w:before="0" w:after="240"/>
      </w:pPr>
      <w:r>
        <w:t>Be</w:t>
      </w:r>
      <w:r w:rsidR="00911F12">
        <w:t xml:space="preserve"> </w:t>
      </w:r>
      <w:proofErr w:type="spellStart"/>
      <w:r>
        <w:t>ACCUrate</w:t>
      </w:r>
      <w:proofErr w:type="spellEnd"/>
      <w:r>
        <w:t xml:space="preserve"> </w:t>
      </w:r>
      <w:r w:rsidR="006A00EA">
        <w:t>Post crediting period guidance and permanence obligations</w:t>
      </w:r>
      <w:r>
        <w:t xml:space="preserve"> webinar</w:t>
      </w:r>
      <w:r w:rsidR="009305E8">
        <w:t xml:space="preserve"> </w:t>
      </w:r>
      <w:r w:rsidR="00127579">
        <w:t>–</w:t>
      </w:r>
      <w:r w:rsidR="00A127FD">
        <w:t xml:space="preserve"> </w:t>
      </w:r>
      <w:r w:rsidR="1F9D03D1">
        <w:t>q</w:t>
      </w:r>
      <w:r w:rsidR="5462E16C">
        <w:t>uestions</w:t>
      </w:r>
      <w:r w:rsidR="009305E8">
        <w:t xml:space="preserve"> and answers</w:t>
      </w:r>
    </w:p>
    <w:p w14:paraId="6B9D32AD" w14:textId="113295EE" w:rsidR="009F6AFF" w:rsidRDefault="009F6AFF" w:rsidP="00441603">
      <w:pPr>
        <w:pStyle w:val="BodyText1"/>
        <w:spacing w:before="0" w:after="240"/>
        <w:rPr>
          <w:rStyle w:val="Hyperlink"/>
        </w:rPr>
      </w:pPr>
      <w:r w:rsidRPr="009305E8">
        <w:t xml:space="preserve">This document contains </w:t>
      </w:r>
      <w:r w:rsidR="00F038B4" w:rsidRPr="009305E8">
        <w:t>t</w:t>
      </w:r>
      <w:r w:rsidRPr="009305E8">
        <w:t>he question</w:t>
      </w:r>
      <w:r w:rsidR="00F038B4" w:rsidRPr="009305E8">
        <w:t>s</w:t>
      </w:r>
      <w:r w:rsidRPr="009305E8">
        <w:t xml:space="preserve"> and answer</w:t>
      </w:r>
      <w:r w:rsidR="00F038B4" w:rsidRPr="009305E8">
        <w:t>s</w:t>
      </w:r>
      <w:r w:rsidRPr="009305E8">
        <w:t xml:space="preserve"> </w:t>
      </w:r>
      <w:r w:rsidR="00F038B4" w:rsidRPr="009305E8">
        <w:t>provided during the Be</w:t>
      </w:r>
      <w:r w:rsidR="00911F12">
        <w:t xml:space="preserve"> </w:t>
      </w:r>
      <w:proofErr w:type="spellStart"/>
      <w:r w:rsidR="00F038B4" w:rsidRPr="009305E8">
        <w:t>ACCUrate</w:t>
      </w:r>
      <w:proofErr w:type="spellEnd"/>
      <w:r w:rsidR="00F038B4" w:rsidRPr="009305E8">
        <w:t xml:space="preserve"> webinar held on </w:t>
      </w:r>
      <w:r w:rsidR="00D50B84" w:rsidRPr="009305E8">
        <w:t>2</w:t>
      </w:r>
      <w:r w:rsidR="006A00EA">
        <w:t>2</w:t>
      </w:r>
      <w:r w:rsidR="002E4F84">
        <w:t> </w:t>
      </w:r>
      <w:r w:rsidR="006A00EA">
        <w:t>October</w:t>
      </w:r>
      <w:r w:rsidR="00F038B4" w:rsidRPr="009305E8">
        <w:t xml:space="preserve"> 2025. </w:t>
      </w:r>
      <w:r w:rsidR="34606927">
        <w:t xml:space="preserve">You can access </w:t>
      </w:r>
      <w:r w:rsidR="007BB9E7">
        <w:t xml:space="preserve">a </w:t>
      </w:r>
      <w:hyperlink r:id="rId9">
        <w:r w:rsidR="004D0902">
          <w:rPr>
            <w:rStyle w:val="Hyperlink"/>
          </w:rPr>
          <w:t>recording of the presentations from this webinar on our YouTube channel</w:t>
        </w:r>
      </w:hyperlink>
      <w:r w:rsidR="004D0902">
        <w:t>.</w:t>
      </w:r>
    </w:p>
    <w:p w14:paraId="35CD7ADC" w14:textId="5CAE969D" w:rsidR="15441212" w:rsidRDefault="328F8782" w:rsidP="00786388">
      <w:pPr>
        <w:pStyle w:val="Heading4"/>
      </w:pPr>
      <w:r w:rsidRPr="00441603">
        <w:t xml:space="preserve">I have seen a Permanence plan template for reforestation by environmental or mallee plantings 2024. Is there one/could one be developed for commercial plantations? </w:t>
      </w:r>
    </w:p>
    <w:p w14:paraId="2CAB77B3" w14:textId="62F73930" w:rsidR="3EDD6132" w:rsidRDefault="3EDD6132" w:rsidP="19F0E246">
      <w:pPr>
        <w:spacing w:before="240" w:after="240"/>
      </w:pPr>
      <w:r w:rsidRPr="62F714E9">
        <w:rPr>
          <w:rFonts w:cstheme="minorBidi"/>
        </w:rPr>
        <w:t xml:space="preserve">At this stage, the only published Permanence Plan template is the one developed for small-scale </w:t>
      </w:r>
      <w:r w:rsidR="765714A5" w:rsidRPr="62F714E9">
        <w:rPr>
          <w:rFonts w:cstheme="minorBidi"/>
        </w:rPr>
        <w:t>projects</w:t>
      </w:r>
      <w:r w:rsidR="0080056C" w:rsidRPr="62F714E9">
        <w:rPr>
          <w:rFonts w:cstheme="minorBidi"/>
        </w:rPr>
        <w:t xml:space="preserve"> under the </w:t>
      </w:r>
      <w:r w:rsidR="00B94F01" w:rsidRPr="62F714E9">
        <w:rPr>
          <w:rFonts w:cstheme="minorBidi"/>
        </w:rPr>
        <w:t xml:space="preserve">reforestation by environmental or mallee plantings </w:t>
      </w:r>
      <w:r w:rsidR="3E1ADF38" w:rsidRPr="62F714E9">
        <w:rPr>
          <w:rFonts w:cstheme="minorBidi"/>
        </w:rPr>
        <w:t>methods</w:t>
      </w:r>
      <w:r w:rsidR="6EA5CC92" w:rsidRPr="62F714E9">
        <w:rPr>
          <w:rFonts w:cstheme="minorBidi"/>
        </w:rPr>
        <w:t>.</w:t>
      </w:r>
      <w:r w:rsidRPr="62F714E9">
        <w:rPr>
          <w:rFonts w:cstheme="minorBidi"/>
        </w:rPr>
        <w:t xml:space="preserve"> This template was originally created to support proponents participating in the </w:t>
      </w:r>
      <w:hyperlink r:id="rId10" w:history="1">
        <w:r w:rsidR="2E06CCA2" w:rsidRPr="62F714E9">
          <w:rPr>
            <w:rStyle w:val="Hyperlink"/>
            <w:rFonts w:asciiTheme="minorHAnsi" w:hAnsiTheme="minorHAnsi" w:cstheme="minorBidi"/>
          </w:rPr>
          <w:t>Environmental</w:t>
        </w:r>
        <w:r w:rsidR="00083EB4" w:rsidRPr="62F714E9">
          <w:rPr>
            <w:rStyle w:val="Hyperlink"/>
            <w:rFonts w:asciiTheme="minorHAnsi" w:hAnsiTheme="minorHAnsi" w:cstheme="minorBidi"/>
          </w:rPr>
          <w:t xml:space="preserve"> Plantings Pilot</w:t>
        </w:r>
      </w:hyperlink>
      <w:r w:rsidRPr="62F714E9">
        <w:rPr>
          <w:rFonts w:cstheme="minorBidi"/>
        </w:rPr>
        <w:t xml:space="preserve"> and was recently updated to incorporate additional </w:t>
      </w:r>
      <w:r w:rsidRPr="62F714E9" w:rsidDel="00CE04C6">
        <w:rPr>
          <w:rFonts w:cstheme="minorBidi"/>
        </w:rPr>
        <w:t xml:space="preserve">risk </w:t>
      </w:r>
      <w:r w:rsidR="00CE04C6" w:rsidRPr="62F714E9">
        <w:rPr>
          <w:rFonts w:cstheme="minorBidi"/>
        </w:rPr>
        <w:t>items</w:t>
      </w:r>
      <w:r w:rsidR="00ED60D0" w:rsidRPr="62F714E9">
        <w:rPr>
          <w:rFonts w:cstheme="minorBidi"/>
        </w:rPr>
        <w:t xml:space="preserve"> and</w:t>
      </w:r>
      <w:r w:rsidR="00CE04C6" w:rsidRPr="62F714E9">
        <w:rPr>
          <w:rFonts w:cstheme="minorBidi"/>
        </w:rPr>
        <w:t xml:space="preserve"> new suggested </w:t>
      </w:r>
      <w:r w:rsidR="00ED60D0" w:rsidRPr="62F714E9">
        <w:rPr>
          <w:rFonts w:cstheme="minorBidi"/>
        </w:rPr>
        <w:t xml:space="preserve">risk </w:t>
      </w:r>
      <w:r w:rsidR="00CE04C6" w:rsidRPr="62F714E9">
        <w:rPr>
          <w:rFonts w:cstheme="minorBidi"/>
        </w:rPr>
        <w:t>controls</w:t>
      </w:r>
      <w:r w:rsidRPr="62F714E9">
        <w:rPr>
          <w:rFonts w:cstheme="minorBidi"/>
        </w:rPr>
        <w:t>.</w:t>
      </w:r>
    </w:p>
    <w:p w14:paraId="0C65E92C" w14:textId="304B624B" w:rsidR="3EDD6132" w:rsidRDefault="1437BBC6" w:rsidP="19F0E246">
      <w:pPr>
        <w:spacing w:before="240" w:after="240"/>
      </w:pPr>
      <w:r w:rsidRPr="62F714E9">
        <w:rPr>
          <w:rFonts w:cstheme="minorBidi"/>
        </w:rPr>
        <w:t>We don’t</w:t>
      </w:r>
      <w:r w:rsidR="00ED60D0" w:rsidRPr="62F714E9">
        <w:rPr>
          <w:rFonts w:cstheme="minorBidi"/>
        </w:rPr>
        <w:t xml:space="preserve"> </w:t>
      </w:r>
      <w:r w:rsidR="00B6395D" w:rsidRPr="62F714E9">
        <w:rPr>
          <w:rFonts w:cstheme="minorBidi"/>
        </w:rPr>
        <w:t xml:space="preserve">currently </w:t>
      </w:r>
      <w:r w:rsidR="6EA5CC92" w:rsidRPr="62F714E9">
        <w:rPr>
          <w:rFonts w:cstheme="minorBidi"/>
        </w:rPr>
        <w:t>plan</w:t>
      </w:r>
      <w:r w:rsidR="3EDD6132" w:rsidRPr="62F714E9">
        <w:rPr>
          <w:rFonts w:cstheme="minorBidi"/>
        </w:rPr>
        <w:t xml:space="preserve"> to develop a Permanence Plan template specifically for commercial plantations. </w:t>
      </w:r>
      <w:r w:rsidR="6BFD7906" w:rsidRPr="62F714E9">
        <w:rPr>
          <w:rFonts w:cstheme="minorBidi"/>
        </w:rPr>
        <w:t>I</w:t>
      </w:r>
      <w:r w:rsidR="6EA5CC92" w:rsidRPr="62F714E9">
        <w:rPr>
          <w:rFonts w:cstheme="minorBidi"/>
        </w:rPr>
        <w:t>f</w:t>
      </w:r>
      <w:r w:rsidR="3EDD6132" w:rsidRPr="62F714E9">
        <w:rPr>
          <w:rFonts w:cstheme="minorBidi"/>
        </w:rPr>
        <w:t xml:space="preserve"> there is substantial interest from stakeholders, we would be open to considering</w:t>
      </w:r>
      <w:r w:rsidR="3EDD6132" w:rsidRPr="62F714E9" w:rsidDel="00B6395D">
        <w:rPr>
          <w:rFonts w:cstheme="minorBidi"/>
        </w:rPr>
        <w:t xml:space="preserve"> </w:t>
      </w:r>
      <w:r w:rsidR="657C697D" w:rsidRPr="62F714E9">
        <w:rPr>
          <w:rFonts w:cstheme="minorBidi"/>
        </w:rPr>
        <w:t>making</w:t>
      </w:r>
      <w:r w:rsidR="00B6395D" w:rsidRPr="62F714E9">
        <w:rPr>
          <w:rFonts w:cstheme="minorBidi"/>
        </w:rPr>
        <w:t xml:space="preserve"> such a template </w:t>
      </w:r>
      <w:r w:rsidR="3EDD6132" w:rsidRPr="62F714E9">
        <w:rPr>
          <w:rFonts w:cstheme="minorBidi"/>
        </w:rPr>
        <w:t>in the future.</w:t>
      </w:r>
    </w:p>
    <w:p w14:paraId="6181D9A4" w14:textId="1E562357" w:rsidR="15441212" w:rsidRDefault="5AA8E5E8" w:rsidP="00786388">
      <w:pPr>
        <w:spacing w:after="240"/>
        <w:rPr>
          <w:rFonts w:cstheme="minorBidi"/>
        </w:rPr>
      </w:pPr>
      <w:r w:rsidRPr="66F0CE50">
        <w:rPr>
          <w:rFonts w:cstheme="minorBidi"/>
        </w:rPr>
        <w:t>For</w:t>
      </w:r>
      <w:r w:rsidR="000964C2" w:rsidRPr="66F0CE50">
        <w:rPr>
          <w:rFonts w:cstheme="minorBidi"/>
        </w:rPr>
        <w:t xml:space="preserve"> more information, refer to</w:t>
      </w:r>
      <w:r w:rsidR="3EDD6132" w:rsidRPr="66F0CE50">
        <w:rPr>
          <w:rFonts w:cstheme="minorBidi"/>
        </w:rPr>
        <w:t xml:space="preserve"> </w:t>
      </w:r>
      <w:hyperlink r:id="rId11">
        <w:r w:rsidR="56016894" w:rsidRPr="15441212">
          <w:rPr>
            <w:rStyle w:val="Hyperlink"/>
            <w:rFonts w:cstheme="minorBidi"/>
          </w:rPr>
          <w:t>permanence</w:t>
        </w:r>
        <w:r w:rsidR="3EDD6132" w:rsidRPr="15441212">
          <w:rPr>
            <w:rStyle w:val="Hyperlink"/>
            <w:rFonts w:cstheme="minorBidi"/>
          </w:rPr>
          <w:t xml:space="preserve"> plan template for projects under the reforestation by environmental or mallee plantings 2024 method</w:t>
        </w:r>
      </w:hyperlink>
      <w:r w:rsidR="56016894" w:rsidRPr="15441212">
        <w:rPr>
          <w:rFonts w:cstheme="minorBidi"/>
        </w:rPr>
        <w:t>.</w:t>
      </w:r>
    </w:p>
    <w:p w14:paraId="1B3B4EB4" w14:textId="571BF951" w:rsidR="15441212" w:rsidRDefault="328F8782" w:rsidP="00786388">
      <w:pPr>
        <w:pStyle w:val="Heading4"/>
        <w:keepNext w:val="0"/>
        <w:spacing w:before="0" w:after="240" w:line="276" w:lineRule="auto"/>
      </w:pPr>
      <w:r>
        <w:t xml:space="preserve">Should permanence plans include a section on tenure and project governance risks? </w:t>
      </w:r>
    </w:p>
    <w:p w14:paraId="5E82D56B" w14:textId="3F5DDCF3" w:rsidR="328F8782" w:rsidRDefault="2041113D" w:rsidP="19F0E246">
      <w:pPr>
        <w:spacing w:before="240" w:after="240"/>
      </w:pPr>
      <w:r w:rsidRPr="19F0E246">
        <w:t>Permanence Plan</w:t>
      </w:r>
      <w:r w:rsidR="001F2F2E">
        <w:t>s</w:t>
      </w:r>
      <w:r w:rsidRPr="19F0E246">
        <w:t xml:space="preserve"> should address all</w:t>
      </w:r>
      <w:r w:rsidR="00B6395D">
        <w:t xml:space="preserve"> </w:t>
      </w:r>
      <w:r w:rsidRPr="19F0E246">
        <w:t>risks that could affect the long-term maintenance of sequestered carbon</w:t>
      </w:r>
      <w:r w:rsidR="00B6395D">
        <w:t xml:space="preserve"> in the project area</w:t>
      </w:r>
      <w:r w:rsidRPr="19F0E246">
        <w:t>. While the primary focus is typically on physical risks</w:t>
      </w:r>
      <w:r w:rsidR="00C47A6F">
        <w:t xml:space="preserve"> </w:t>
      </w:r>
      <w:r w:rsidRPr="19F0E246">
        <w:t>such as fire, drought, or land degradatio</w:t>
      </w:r>
      <w:r w:rsidR="00B6395D">
        <w:t xml:space="preserve">n, </w:t>
      </w:r>
      <w:r w:rsidR="4FB223E8">
        <w:t>proponents</w:t>
      </w:r>
      <w:r w:rsidR="00967290">
        <w:t xml:space="preserve"> </w:t>
      </w:r>
      <w:r w:rsidR="00222920">
        <w:t xml:space="preserve">can </w:t>
      </w:r>
      <w:r w:rsidR="00967290">
        <w:t>also</w:t>
      </w:r>
      <w:r w:rsidRPr="19F0E246">
        <w:t xml:space="preserve"> consider governance risks that may impact the </w:t>
      </w:r>
      <w:r w:rsidR="00B6395D">
        <w:t xml:space="preserve">project’s ability </w:t>
      </w:r>
      <w:r w:rsidRPr="19F0E246">
        <w:t>to meet permanence obligations.</w:t>
      </w:r>
    </w:p>
    <w:p w14:paraId="5D78925F" w14:textId="02100008" w:rsidR="328F8782" w:rsidRDefault="2041113D" w:rsidP="19F0E246">
      <w:pPr>
        <w:spacing w:before="240" w:after="240"/>
      </w:pPr>
      <w:r w:rsidRPr="19F0E246">
        <w:t>Including a section</w:t>
      </w:r>
      <w:r w:rsidR="008F5AA9">
        <w:t xml:space="preserve"> </w:t>
      </w:r>
      <w:r w:rsidR="00AA4A29">
        <w:t xml:space="preserve">in permanence plans </w:t>
      </w:r>
      <w:r w:rsidRPr="19F0E246">
        <w:t xml:space="preserve">on tenure and governance </w:t>
      </w:r>
      <w:r w:rsidR="008F5AA9">
        <w:t xml:space="preserve">arrangements </w:t>
      </w:r>
      <w:r w:rsidRPr="19F0E246">
        <w:t xml:space="preserve">can help clarify who holds responsibility for </w:t>
      </w:r>
      <w:r w:rsidR="146787D0">
        <w:t>implementing</w:t>
      </w:r>
      <w:r w:rsidR="008F5AA9">
        <w:t xml:space="preserve"> risk controls</w:t>
      </w:r>
      <w:r w:rsidRPr="19F0E246">
        <w:t xml:space="preserve">, and outline any legal, contractual, or operational arrangements in place to support compliance. This may include details on landholder agreements </w:t>
      </w:r>
      <w:r w:rsidR="00C420AA">
        <w:t xml:space="preserve">and </w:t>
      </w:r>
      <w:r w:rsidRPr="19F0E246" w:rsidDel="00C420AA">
        <w:t xml:space="preserve">governance </w:t>
      </w:r>
      <w:r w:rsidR="0028240E">
        <w:t>strategies</w:t>
      </w:r>
      <w:r w:rsidRPr="19F0E246">
        <w:t xml:space="preserve"> that ensure </w:t>
      </w:r>
      <w:r w:rsidR="4AD6B8FB">
        <w:t xml:space="preserve">permanence </w:t>
      </w:r>
      <w:r w:rsidR="00C420AA">
        <w:t>is effectively managed over</w:t>
      </w:r>
      <w:r w:rsidRPr="19F0E246">
        <w:t xml:space="preserve"> the permanence period.</w:t>
      </w:r>
    </w:p>
    <w:p w14:paraId="670253E5" w14:textId="66833DFF" w:rsidR="15441212" w:rsidRDefault="2041113D" w:rsidP="00786388">
      <w:pPr>
        <w:spacing w:after="240"/>
      </w:pPr>
      <w:r w:rsidRPr="19F0E246">
        <w:t xml:space="preserve">For </w:t>
      </w:r>
      <w:r w:rsidR="5AA8E5E8">
        <w:t>more</w:t>
      </w:r>
      <w:r w:rsidR="000964C2">
        <w:t xml:space="preserve"> information</w:t>
      </w:r>
      <w:r w:rsidRPr="19F0E246">
        <w:t xml:space="preserve">, </w:t>
      </w:r>
      <w:r w:rsidR="41DD3FAE">
        <w:t>refer to</w:t>
      </w:r>
      <w:r w:rsidRPr="19F0E246">
        <w:t xml:space="preserve"> </w:t>
      </w:r>
      <w:hyperlink r:id="rId12" w:anchor="reversal-events">
        <w:r w:rsidR="6FE4636E" w:rsidRPr="15441212">
          <w:rPr>
            <w:rStyle w:val="Hyperlink"/>
          </w:rPr>
          <w:t>permanence obligations</w:t>
        </w:r>
      </w:hyperlink>
      <w:r w:rsidR="0F45B578">
        <w:t xml:space="preserve"> </w:t>
      </w:r>
      <w:r w:rsidRPr="19F0E246">
        <w:t xml:space="preserve">and </w:t>
      </w:r>
      <w:hyperlink r:id="rId13">
        <w:r w:rsidR="0E2FC91D" w:rsidRPr="15441212">
          <w:rPr>
            <w:rStyle w:val="Hyperlink"/>
          </w:rPr>
          <w:t>carbon</w:t>
        </w:r>
        <w:r w:rsidR="56836D74" w:rsidRPr="15441212">
          <w:rPr>
            <w:rStyle w:val="Hyperlink"/>
          </w:rPr>
          <w:t xml:space="preserve"> maintenance obligations</w:t>
        </w:r>
        <w:r w:rsidR="0E2FC91D" w:rsidRPr="15441212">
          <w:rPr>
            <w:rStyle w:val="Hyperlink"/>
          </w:rPr>
          <w:t>.</w:t>
        </w:r>
      </w:hyperlink>
    </w:p>
    <w:p w14:paraId="0B57C959" w14:textId="38D5911A" w:rsidR="15441212" w:rsidRDefault="00A44269" w:rsidP="00441603">
      <w:pPr>
        <w:pStyle w:val="Heading4"/>
        <w:spacing w:before="0" w:after="240"/>
      </w:pPr>
      <w:r>
        <w:t xml:space="preserve">If a project is abandoned prior to completion of the permanence period, or a project is revoked, what is the impact, if any, on the validity of credits already issued, </w:t>
      </w:r>
      <w:proofErr w:type="gramStart"/>
      <w:r>
        <w:t>in particular when</w:t>
      </w:r>
      <w:proofErr w:type="gramEnd"/>
      <w:r>
        <w:t xml:space="preserve"> purchased by third parties?</w:t>
      </w:r>
      <w:r w:rsidR="00840B25">
        <w:t xml:space="preserve"> </w:t>
      </w:r>
    </w:p>
    <w:p w14:paraId="52E17A02" w14:textId="1CFF751D" w:rsidR="000612E3" w:rsidRDefault="1C1C38DD" w:rsidP="19F0E246">
      <w:pPr>
        <w:spacing w:before="240" w:after="240"/>
      </w:pPr>
      <w:r w:rsidRPr="19F0E246">
        <w:t xml:space="preserve">If a project </w:t>
      </w:r>
      <w:r w:rsidR="1A01DCE2">
        <w:t>ceases</w:t>
      </w:r>
      <w:r w:rsidR="006C145A">
        <w:t xml:space="preserve"> to meet </w:t>
      </w:r>
      <w:r w:rsidR="000C6418">
        <w:t>its legislative requirements before</w:t>
      </w:r>
      <w:r w:rsidRPr="19F0E246">
        <w:t xml:space="preserve"> </w:t>
      </w:r>
      <w:r w:rsidR="005C593E">
        <w:t xml:space="preserve">the </w:t>
      </w:r>
      <w:r w:rsidRPr="19F0E246">
        <w:t xml:space="preserve">end of its permanence period </w:t>
      </w:r>
      <w:r w:rsidR="003A0FB0">
        <w:t xml:space="preserve">and </w:t>
      </w:r>
      <w:r w:rsidR="00B94819">
        <w:t>the project</w:t>
      </w:r>
      <w:r w:rsidR="000C6418">
        <w:t xml:space="preserve"> is </w:t>
      </w:r>
      <w:r w:rsidRPr="19F0E246">
        <w:t>revoked, the project proponent may be required to relinquish Australian Carbon Credit Units (ACCUs) previously issued to the project</w:t>
      </w:r>
      <w:r w:rsidR="00BB353E">
        <w:t xml:space="preserve"> in line with relinquishment provisions in the </w:t>
      </w:r>
      <w:r w:rsidRPr="62F714E9">
        <w:rPr>
          <w:i/>
        </w:rPr>
        <w:t>Carbon Credits (Carbon Farming Initiative) Act 2011</w:t>
      </w:r>
      <w:r w:rsidRPr="62F714E9" w:rsidDel="00D84976">
        <w:rPr>
          <w:i/>
        </w:rPr>
        <w:t>.</w:t>
      </w:r>
    </w:p>
    <w:p w14:paraId="17D57FD7" w14:textId="3B232E9E" w:rsidR="000612E3" w:rsidRDefault="42B2BD9F" w:rsidP="19F0E246">
      <w:pPr>
        <w:spacing w:before="240" w:after="240"/>
      </w:pPr>
      <w:r>
        <w:lastRenderedPageBreak/>
        <w:t>T</w:t>
      </w:r>
      <w:r w:rsidR="6491A088">
        <w:t>he</w:t>
      </w:r>
      <w:r w:rsidR="1C1C38DD" w:rsidRPr="19F0E246">
        <w:t xml:space="preserve"> validity of </w:t>
      </w:r>
      <w:r w:rsidR="00A32A65">
        <w:t>individual</w:t>
      </w:r>
      <w:r w:rsidR="008F7796">
        <w:t xml:space="preserve"> </w:t>
      </w:r>
      <w:r w:rsidR="1C1C38DD" w:rsidRPr="19F0E246">
        <w:t xml:space="preserve">ACCUs issued </w:t>
      </w:r>
      <w:r w:rsidR="002D32CA">
        <w:t xml:space="preserve">to </w:t>
      </w:r>
      <w:r w:rsidR="00A933F3">
        <w:t xml:space="preserve">a project </w:t>
      </w:r>
      <w:r w:rsidR="1C1C38DD" w:rsidRPr="19F0E246" w:rsidDel="00D04886">
        <w:t>is</w:t>
      </w:r>
      <w:r w:rsidR="1C1C38DD" w:rsidRPr="19F0E246">
        <w:t xml:space="preserve"> not affected by </w:t>
      </w:r>
      <w:r w:rsidR="3B5360EA">
        <w:t>a</w:t>
      </w:r>
      <w:r w:rsidR="00D04886">
        <w:t xml:space="preserve"> notice to relinquish being issued to the project proponent for that project</w:t>
      </w:r>
      <w:r w:rsidR="1C1C38DD" w:rsidRPr="19F0E246" w:rsidDel="00A933F3">
        <w:t xml:space="preserve">. </w:t>
      </w:r>
      <w:r w:rsidR="1C1C38DD" w:rsidRPr="19F0E246">
        <w:t>If the original proponent no longer holds the ACCUs</w:t>
      </w:r>
      <w:r w:rsidR="00D04886">
        <w:t xml:space="preserve"> from a project</w:t>
      </w:r>
      <w:r w:rsidR="1C1C38DD" w:rsidRPr="19F0E246">
        <w:t>, they may satisfy relinquishment obligations by returning ACCUs</w:t>
      </w:r>
      <w:r w:rsidR="004B2115">
        <w:t xml:space="preserve"> </w:t>
      </w:r>
      <w:r w:rsidR="00CE6CB8">
        <w:t xml:space="preserve">issued to </w:t>
      </w:r>
      <w:r w:rsidR="0035660B">
        <w:t>other projects in</w:t>
      </w:r>
      <w:r w:rsidR="00D04886">
        <w:t xml:space="preserve"> </w:t>
      </w:r>
      <w:r w:rsidR="00D101BD">
        <w:t xml:space="preserve">their </w:t>
      </w:r>
      <w:r w:rsidR="0035660B">
        <w:t xml:space="preserve">ANREU </w:t>
      </w:r>
      <w:r w:rsidR="00D101BD">
        <w:t xml:space="preserve">holdings or </w:t>
      </w:r>
      <w:r w:rsidR="0035660B">
        <w:t xml:space="preserve">purchased </w:t>
      </w:r>
      <w:r w:rsidR="00D101BD">
        <w:t xml:space="preserve">from the </w:t>
      </w:r>
      <w:r w:rsidR="0035660B">
        <w:t xml:space="preserve">secondary </w:t>
      </w:r>
      <w:r w:rsidR="00D101BD">
        <w:t>market.</w:t>
      </w:r>
    </w:p>
    <w:p w14:paraId="23F8F4A6" w14:textId="2584E952" w:rsidR="15441212" w:rsidRDefault="2FBAA44B" w:rsidP="00786388">
      <w:pPr>
        <w:spacing w:after="240"/>
      </w:pPr>
      <w:r>
        <w:t xml:space="preserve">For more information, refer to </w:t>
      </w:r>
      <w:hyperlink r:id="rId14" w:anchor="reversal-events">
        <w:r w:rsidR="56C54243" w:rsidRPr="15441212">
          <w:rPr>
            <w:rStyle w:val="Hyperlink"/>
          </w:rPr>
          <w:t>permanence obligations</w:t>
        </w:r>
      </w:hyperlink>
      <w:r w:rsidR="469D4C29" w:rsidRPr="15441212">
        <w:rPr>
          <w:rFonts w:ascii="Calibri" w:eastAsia="Calibri" w:hAnsi="Calibri" w:cs="Calibri"/>
        </w:rPr>
        <w:t xml:space="preserve"> </w:t>
      </w:r>
      <w:r w:rsidR="469D4C29">
        <w:t xml:space="preserve">and </w:t>
      </w:r>
      <w:hyperlink r:id="rId15">
        <w:r w:rsidR="677AF562" w:rsidRPr="15441212">
          <w:rPr>
            <w:rStyle w:val="Hyperlink"/>
          </w:rPr>
          <w:t>carbon</w:t>
        </w:r>
        <w:r w:rsidR="5187C5A4" w:rsidRPr="15441212">
          <w:rPr>
            <w:rStyle w:val="Hyperlink"/>
          </w:rPr>
          <w:t xml:space="preserve"> maintenance obligations</w:t>
        </w:r>
        <w:r w:rsidR="677AF562" w:rsidRPr="15441212">
          <w:rPr>
            <w:rStyle w:val="Hyperlink"/>
          </w:rPr>
          <w:t>.</w:t>
        </w:r>
      </w:hyperlink>
    </w:p>
    <w:p w14:paraId="2DAA5812" w14:textId="4208D5A6" w:rsidR="15441212" w:rsidRDefault="6C240D35" w:rsidP="00441603">
      <w:pPr>
        <w:pStyle w:val="Heading4"/>
        <w:spacing w:before="0" w:after="240"/>
      </w:pPr>
      <w:bookmarkStart w:id="0" w:name="_Int_icnyFk2Y"/>
      <w:proofErr w:type="gramStart"/>
      <w:r>
        <w:t>In regard</w:t>
      </w:r>
      <w:r w:rsidR="0D536A7C">
        <w:t>s</w:t>
      </w:r>
      <w:r>
        <w:t xml:space="preserve"> to</w:t>
      </w:r>
      <w:bookmarkEnd w:id="0"/>
      <w:proofErr w:type="gramEnd"/>
      <w:r>
        <w:t xml:space="preserve"> extending a permanence period due to added area, does that occur for </w:t>
      </w:r>
      <w:proofErr w:type="gramStart"/>
      <w:r>
        <w:t>all of</w:t>
      </w:r>
      <w:proofErr w:type="gramEnd"/>
      <w:r>
        <w:t xml:space="preserve"> the project area, or just the area added under the project? For example, on a </w:t>
      </w:r>
      <w:bookmarkStart w:id="1" w:name="_Int_ax92REwv"/>
      <w:proofErr w:type="gramStart"/>
      <w:r>
        <w:t>400 hectare</w:t>
      </w:r>
      <w:bookmarkEnd w:id="1"/>
      <w:proofErr w:type="gramEnd"/>
      <w:r>
        <w:t xml:space="preserve"> project, if you add 50 hectares, does the permanence extend on 450 hectares, or just 50? </w:t>
      </w:r>
    </w:p>
    <w:p w14:paraId="7E3998B2" w14:textId="40823646" w:rsidR="0A5F5874" w:rsidRDefault="0A5F5874" w:rsidP="19F0E246">
      <w:pPr>
        <w:spacing w:before="240" w:after="240"/>
      </w:pPr>
      <w:r w:rsidRPr="19F0E246">
        <w:t xml:space="preserve">When an area is added to a </w:t>
      </w:r>
      <w:r w:rsidR="00D101BD">
        <w:t>declared</w:t>
      </w:r>
      <w:r w:rsidR="00D101BD" w:rsidRPr="19F0E246">
        <w:t xml:space="preserve"> </w:t>
      </w:r>
      <w:r w:rsidRPr="19F0E246">
        <w:t xml:space="preserve">sequestration project through an </w:t>
      </w:r>
      <w:r w:rsidR="1B73D256">
        <w:t>‘</w:t>
      </w:r>
      <w:r w:rsidRPr="19F0E246">
        <w:t>add area</w:t>
      </w:r>
      <w:r w:rsidR="00D101BD">
        <w:t>’</w:t>
      </w:r>
      <w:r w:rsidRPr="19F0E246">
        <w:t xml:space="preserve"> variation, the permanence period </w:t>
      </w:r>
      <w:r w:rsidR="00416217">
        <w:t xml:space="preserve">start date </w:t>
      </w:r>
      <w:r w:rsidRPr="19F0E246">
        <w:t>is reset for the entire projec</w:t>
      </w:r>
      <w:r w:rsidR="00D101BD">
        <w:t xml:space="preserve">t, </w:t>
      </w:r>
      <w:r w:rsidRPr="19F0E246">
        <w:t xml:space="preserve">not just </w:t>
      </w:r>
      <w:r w:rsidR="00D101BD">
        <w:t xml:space="preserve">for </w:t>
      </w:r>
      <w:r w:rsidRPr="19F0E246">
        <w:t xml:space="preserve">the newly added area. This means that the permanence obligation applies to the full project area, including both the original and newly added </w:t>
      </w:r>
      <w:r w:rsidR="4AF22AA5">
        <w:t>area</w:t>
      </w:r>
      <w:r w:rsidRPr="19F0E246">
        <w:t>, from the date the variation takes effect.</w:t>
      </w:r>
    </w:p>
    <w:p w14:paraId="7AE4B7DF" w14:textId="6EAF07ED" w:rsidR="0A5F5874" w:rsidRDefault="0A5F5874" w:rsidP="62F714E9">
      <w:pPr>
        <w:tabs>
          <w:tab w:val="left" w:pos="4678"/>
        </w:tabs>
        <w:spacing w:before="240" w:after="240"/>
      </w:pPr>
      <w:r w:rsidRPr="19F0E246">
        <w:t xml:space="preserve">Proponents should carefully consider the implications </w:t>
      </w:r>
      <w:r w:rsidRPr="19F0E246" w:rsidDel="006A6C5A">
        <w:t>this</w:t>
      </w:r>
      <w:r w:rsidRPr="19F0E246" w:rsidDel="00416217">
        <w:t xml:space="preserve"> </w:t>
      </w:r>
      <w:r w:rsidR="006A6C5A">
        <w:t>may have for their projects</w:t>
      </w:r>
      <w:r w:rsidR="009A0FCE">
        <w:t xml:space="preserve">, as </w:t>
      </w:r>
      <w:r w:rsidR="45957838">
        <w:t>ex</w:t>
      </w:r>
      <w:r w:rsidR="0573A0CF">
        <w:t>tending</w:t>
      </w:r>
      <w:r w:rsidRPr="19F0E246">
        <w:t xml:space="preserve"> the permanence period may affect project planning, risk management strategies, and legal right</w:t>
      </w:r>
      <w:r w:rsidR="00416217">
        <w:t xml:space="preserve"> </w:t>
      </w:r>
      <w:r w:rsidR="7328A9AD">
        <w:t>arrangements</w:t>
      </w:r>
      <w:r w:rsidR="0573A0CF">
        <w:t>.</w:t>
      </w:r>
      <w:r w:rsidRPr="19F0E246">
        <w:t xml:space="preserve"> It is important </w:t>
      </w:r>
      <w:r w:rsidR="1579D5A1">
        <w:t>that</w:t>
      </w:r>
      <w:r w:rsidR="005F155D">
        <w:t xml:space="preserve"> permanence is ensured across</w:t>
      </w:r>
      <w:r w:rsidRPr="19F0E246">
        <w:t xml:space="preserve"> the full project area for </w:t>
      </w:r>
      <w:r w:rsidR="00C6755A">
        <w:t xml:space="preserve">at least </w:t>
      </w:r>
      <w:r w:rsidRPr="19F0E246">
        <w:t xml:space="preserve">the duration of the </w:t>
      </w:r>
      <w:r w:rsidR="00C6755A">
        <w:t>permanence obligation period.</w:t>
      </w:r>
    </w:p>
    <w:p w14:paraId="49050114" w14:textId="3BAEC014" w:rsidR="15441212" w:rsidRDefault="45D380E7" w:rsidP="00786388">
      <w:pPr>
        <w:spacing w:after="240"/>
      </w:pPr>
      <w:r>
        <w:t>For further information, refer to</w:t>
      </w:r>
      <w:r w:rsidR="3A4FDEEB">
        <w:t xml:space="preserve"> </w:t>
      </w:r>
      <w:hyperlink r:id="rId16" w:anchor="reversal-events">
        <w:r w:rsidR="23AEA898" w:rsidRPr="15441212">
          <w:rPr>
            <w:rStyle w:val="Hyperlink"/>
          </w:rPr>
          <w:t>permanence obligations</w:t>
        </w:r>
      </w:hyperlink>
      <w:r w:rsidR="6DB3F5D3" w:rsidRPr="15441212">
        <w:rPr>
          <w:rFonts w:ascii="Calibri" w:eastAsia="Calibri" w:hAnsi="Calibri" w:cs="Calibri"/>
        </w:rPr>
        <w:t>,</w:t>
      </w:r>
      <w:r w:rsidR="23AB9CFD">
        <w:t xml:space="preserve"> </w:t>
      </w:r>
      <w:hyperlink r:id="rId17">
        <w:r w:rsidR="2826F9AC" w:rsidRPr="15441212">
          <w:rPr>
            <w:rStyle w:val="Hyperlink"/>
          </w:rPr>
          <w:t>carbon</w:t>
        </w:r>
        <w:r w:rsidR="4EB40DD1" w:rsidRPr="15441212">
          <w:rPr>
            <w:rStyle w:val="Hyperlink"/>
          </w:rPr>
          <w:t xml:space="preserve"> maintenance obligations</w:t>
        </w:r>
      </w:hyperlink>
      <w:r w:rsidR="4EB40DD1" w:rsidRPr="19F0E246">
        <w:t xml:space="preserve"> an</w:t>
      </w:r>
      <w:r w:rsidR="6EAEB892" w:rsidRPr="19F0E246">
        <w:t xml:space="preserve">d </w:t>
      </w:r>
      <w:hyperlink r:id="rId18">
        <w:r w:rsidR="00132752">
          <w:rPr>
            <w:rStyle w:val="Hyperlink"/>
          </w:rPr>
          <w:t>making changes to your project</w:t>
        </w:r>
      </w:hyperlink>
      <w:r w:rsidR="00132752">
        <w:t>.</w:t>
      </w:r>
    </w:p>
    <w:p w14:paraId="7242FB7A" w14:textId="45ED36C4" w:rsidR="15441212" w:rsidRDefault="6C240D35" w:rsidP="00441603">
      <w:pPr>
        <w:pStyle w:val="Heading4"/>
        <w:spacing w:before="0" w:after="240"/>
      </w:pPr>
      <w:r>
        <w:t xml:space="preserve">The first speaker mentioned that the permanence period re-starts every time area is added to a project. Does this include the addition of exclusion areas suspected as having no forest potential during initial stratification but subsequently found to be regenerating? </w:t>
      </w:r>
    </w:p>
    <w:p w14:paraId="4B3C72E7" w14:textId="0D6F9132" w:rsidR="009C317E" w:rsidRDefault="00CC2E59" w:rsidP="19F0E246">
      <w:pPr>
        <w:spacing w:line="259" w:lineRule="auto"/>
      </w:pPr>
      <w:r>
        <w:t>The permanence period applicable to a project commences from the latter</w:t>
      </w:r>
      <w:r w:rsidR="009C317E">
        <w:t xml:space="preserve"> of:</w:t>
      </w:r>
    </w:p>
    <w:p w14:paraId="3E0F1D15" w14:textId="77777777" w:rsidR="009C317E" w:rsidRPr="009C317E" w:rsidRDefault="00CC2E59" w:rsidP="009C317E">
      <w:pPr>
        <w:pStyle w:val="CERbullets"/>
        <w:rPr>
          <w:rFonts w:cstheme="minorBidi"/>
        </w:rPr>
      </w:pPr>
      <w:r>
        <w:t xml:space="preserve">the date that ACCUs were first </w:t>
      </w:r>
      <w:r w:rsidR="009C317E">
        <w:t>issued to a project; and</w:t>
      </w:r>
    </w:p>
    <w:p w14:paraId="748E0DC0" w14:textId="7EA6386E" w:rsidR="00402C49" w:rsidRPr="00402C49" w:rsidRDefault="009C317E" w:rsidP="009C317E">
      <w:pPr>
        <w:pStyle w:val="CERbullets"/>
        <w:rPr>
          <w:rFonts w:cstheme="minorBidi"/>
        </w:rPr>
      </w:pPr>
      <w:r>
        <w:t xml:space="preserve">the date that a </w:t>
      </w:r>
      <w:r w:rsidR="007C73E9">
        <w:t xml:space="preserve">project declaration was varied as to add area following a </w:t>
      </w:r>
      <w:r w:rsidR="00402C49">
        <w:t>variation to add area(s) to a declared project</w:t>
      </w:r>
      <w:r w:rsidR="00F1268F">
        <w:t>.</w:t>
      </w:r>
    </w:p>
    <w:p w14:paraId="657970FC" w14:textId="47686835" w:rsidR="006B6032" w:rsidRDefault="002416A6" w:rsidP="15441212">
      <w:pPr>
        <w:pStyle w:val="CERbullets"/>
        <w:numPr>
          <w:ilvl w:val="0"/>
          <w:numId w:val="0"/>
        </w:numPr>
        <w:spacing w:before="240" w:after="240"/>
        <w:rPr>
          <w:rFonts w:cstheme="minorBidi"/>
        </w:rPr>
      </w:pPr>
      <w:r w:rsidRPr="06B028B6">
        <w:rPr>
          <w:rFonts w:cstheme="minorBidi"/>
        </w:rPr>
        <w:t>The permanence period start date does not reset</w:t>
      </w:r>
      <w:r w:rsidR="00C03B59" w:rsidRPr="06B028B6">
        <w:rPr>
          <w:rFonts w:cstheme="minorBidi"/>
        </w:rPr>
        <w:t xml:space="preserve"> where areas within the </w:t>
      </w:r>
      <w:r w:rsidR="00014961" w:rsidRPr="06B028B6">
        <w:rPr>
          <w:rFonts w:cstheme="minorBidi"/>
        </w:rPr>
        <w:t>existing declared project area</w:t>
      </w:r>
      <w:r w:rsidR="00C03B59" w:rsidRPr="06B028B6">
        <w:rPr>
          <w:rFonts w:cstheme="minorBidi"/>
        </w:rPr>
        <w:t xml:space="preserve"> </w:t>
      </w:r>
      <w:r w:rsidR="00041BDB" w:rsidRPr="06B028B6">
        <w:rPr>
          <w:rFonts w:cstheme="minorBidi"/>
        </w:rPr>
        <w:t xml:space="preserve">(such as carbon estimation areas, and exclusion areas) </w:t>
      </w:r>
      <w:r w:rsidR="00A56942" w:rsidRPr="06B028B6">
        <w:rPr>
          <w:rFonts w:cstheme="minorBidi"/>
        </w:rPr>
        <w:t xml:space="preserve">are </w:t>
      </w:r>
      <w:r w:rsidR="796AC316" w:rsidRPr="06B028B6">
        <w:rPr>
          <w:rFonts w:cstheme="minorBidi"/>
        </w:rPr>
        <w:t>moved to a different category</w:t>
      </w:r>
      <w:r w:rsidR="512A6EA1" w:rsidRPr="06B028B6">
        <w:rPr>
          <w:rFonts w:cstheme="minorBidi"/>
        </w:rPr>
        <w:t>.</w:t>
      </w:r>
    </w:p>
    <w:p w14:paraId="735E145A" w14:textId="6029ACEC" w:rsidR="6C240D35" w:rsidRPr="00402C49" w:rsidRDefault="6210F9BC" w:rsidP="00786388">
      <w:pPr>
        <w:spacing w:after="240"/>
      </w:pPr>
      <w:r>
        <w:t xml:space="preserve">For further information, refer to </w:t>
      </w:r>
      <w:hyperlink r:id="rId19" w:anchor="reversal-events">
        <w:r w:rsidR="183D9426" w:rsidRPr="15441212">
          <w:rPr>
            <w:rStyle w:val="Hyperlink"/>
          </w:rPr>
          <w:t>permanence obligations</w:t>
        </w:r>
      </w:hyperlink>
      <w:r w:rsidR="20A2BBE3">
        <w:t xml:space="preserve">, </w:t>
      </w:r>
      <w:hyperlink r:id="rId20">
        <w:r w:rsidR="20A2BBE3" w:rsidRPr="15441212">
          <w:rPr>
            <w:rStyle w:val="Hyperlink"/>
          </w:rPr>
          <w:t>ACCU Scheme project timeline</w:t>
        </w:r>
      </w:hyperlink>
      <w:r w:rsidR="20A2BBE3">
        <w:t xml:space="preserve"> and </w:t>
      </w:r>
      <w:hyperlink r:id="rId21">
        <w:r w:rsidR="00981FF8">
          <w:rPr>
            <w:rStyle w:val="Hyperlink"/>
          </w:rPr>
          <w:t>making changes to your project</w:t>
        </w:r>
      </w:hyperlink>
      <w:r w:rsidR="00981FF8">
        <w:t>.</w:t>
      </w:r>
    </w:p>
    <w:p w14:paraId="1418F8FF" w14:textId="4731F8B6" w:rsidR="19F0E246" w:rsidRDefault="446220B6" w:rsidP="00786388">
      <w:pPr>
        <w:pStyle w:val="Heading4"/>
        <w:spacing w:after="240"/>
      </w:pPr>
      <w:r w:rsidRPr="19F0E246">
        <w:rPr>
          <w:bCs/>
        </w:rPr>
        <w:t xml:space="preserve">What should I do if I’m unable to access the site within the notification period to conduct fieldwork and determine whether the disturbance is significant? </w:t>
      </w:r>
    </w:p>
    <w:p w14:paraId="06A7B780" w14:textId="76020446" w:rsidR="001B3214" w:rsidRDefault="001B3214" w:rsidP="62F714E9">
      <w:pPr>
        <w:rPr>
          <w:rFonts w:cstheme="minorBidi"/>
        </w:rPr>
      </w:pPr>
      <w:r w:rsidRPr="001B3214">
        <w:rPr>
          <w:rFonts w:cstheme="minorBidi"/>
        </w:rPr>
        <w:t xml:space="preserve">If a </w:t>
      </w:r>
      <w:r w:rsidR="00F25258">
        <w:rPr>
          <w:rFonts w:cstheme="minorBidi"/>
        </w:rPr>
        <w:t xml:space="preserve">natural disturbance impacts </w:t>
      </w:r>
      <w:r w:rsidRPr="001B3214">
        <w:rPr>
          <w:rFonts w:cstheme="minorBidi"/>
        </w:rPr>
        <w:t>your project, we encourage you to stay safe and prioritise community health and safety. Once it is safe to do so, proponents of sequestration projects must notify us of any</w:t>
      </w:r>
      <w:r w:rsidR="00F25258">
        <w:rPr>
          <w:rFonts w:cstheme="minorBidi"/>
        </w:rPr>
        <w:t xml:space="preserve"> </w:t>
      </w:r>
      <w:hyperlink r:id="rId22" w:tooltip="Permanence obligations" w:history="1">
        <w:r w:rsidRPr="001B3214">
          <w:rPr>
            <w:rStyle w:val="Hyperlink"/>
            <w:rFonts w:asciiTheme="minorHAnsi" w:hAnsiTheme="minorHAnsi" w:cstheme="minorBidi"/>
          </w:rPr>
          <w:t xml:space="preserve">significant </w:t>
        </w:r>
        <w:r w:rsidR="00F25258">
          <w:rPr>
            <w:rStyle w:val="Hyperlink"/>
            <w:rFonts w:asciiTheme="minorHAnsi" w:hAnsiTheme="minorHAnsi" w:cstheme="minorBidi"/>
          </w:rPr>
          <w:t xml:space="preserve">disturbance </w:t>
        </w:r>
        <w:r w:rsidRPr="001B3214">
          <w:rPr>
            <w:rStyle w:val="Hyperlink"/>
            <w:rFonts w:asciiTheme="minorHAnsi" w:hAnsiTheme="minorHAnsi" w:cstheme="minorBidi"/>
          </w:rPr>
          <w:t>events</w:t>
        </w:r>
      </w:hyperlink>
      <w:r w:rsidR="00F25258">
        <w:rPr>
          <w:rFonts w:cstheme="minorBidi"/>
        </w:rPr>
        <w:t xml:space="preserve"> </w:t>
      </w:r>
      <w:r w:rsidRPr="001B3214">
        <w:rPr>
          <w:rFonts w:cstheme="minorBidi"/>
        </w:rPr>
        <w:t>leading to reversal of carbon stocks.</w:t>
      </w:r>
    </w:p>
    <w:p w14:paraId="5A9FEF1F" w14:textId="101166F6" w:rsidR="446220B6" w:rsidRDefault="446220B6" w:rsidP="62F714E9">
      <w:pPr>
        <w:rPr>
          <w:rFonts w:ascii="Calibri" w:eastAsia="Calibri" w:hAnsi="Calibri" w:cs="Calibri"/>
        </w:rPr>
      </w:pPr>
      <w:r w:rsidRPr="62F714E9">
        <w:rPr>
          <w:rFonts w:cstheme="minorBidi"/>
        </w:rPr>
        <w:t>I</w:t>
      </w:r>
      <w:r w:rsidRPr="62F714E9">
        <w:rPr>
          <w:rFonts w:ascii="Calibri" w:eastAsia="Calibri" w:hAnsi="Calibri" w:cs="Calibri"/>
        </w:rPr>
        <w:t xml:space="preserve">f </w:t>
      </w:r>
      <w:r w:rsidR="7C931703" w:rsidRPr="62F714E9">
        <w:rPr>
          <w:rFonts w:ascii="Calibri" w:eastAsia="Calibri" w:hAnsi="Calibri" w:cs="Calibri"/>
        </w:rPr>
        <w:t>a</w:t>
      </w:r>
      <w:r w:rsidR="00DE1960" w:rsidRPr="62F714E9">
        <w:rPr>
          <w:rFonts w:ascii="Calibri" w:eastAsia="Calibri" w:hAnsi="Calibri" w:cs="Calibri"/>
        </w:rPr>
        <w:t xml:space="preserve"> project proponent is unable</w:t>
      </w:r>
      <w:r w:rsidRPr="62F714E9">
        <w:rPr>
          <w:rFonts w:ascii="Calibri" w:eastAsia="Calibri" w:hAnsi="Calibri" w:cs="Calibri"/>
        </w:rPr>
        <w:t xml:space="preserve"> to access </w:t>
      </w:r>
      <w:r w:rsidR="00B345FB" w:rsidRPr="62F714E9">
        <w:rPr>
          <w:rFonts w:ascii="Calibri" w:eastAsia="Calibri" w:hAnsi="Calibri" w:cs="Calibri"/>
        </w:rPr>
        <w:t>a</w:t>
      </w:r>
      <w:r w:rsidR="00725567" w:rsidRPr="62F714E9">
        <w:rPr>
          <w:rFonts w:ascii="Calibri" w:eastAsia="Calibri" w:hAnsi="Calibri" w:cs="Calibri"/>
        </w:rPr>
        <w:t xml:space="preserve"> </w:t>
      </w:r>
      <w:r w:rsidRPr="62F714E9">
        <w:rPr>
          <w:rFonts w:ascii="Calibri" w:eastAsia="Calibri" w:hAnsi="Calibri" w:cs="Calibri"/>
        </w:rPr>
        <w:t xml:space="preserve">project site </w:t>
      </w:r>
      <w:r w:rsidR="00BF4DFE" w:rsidRPr="62F714E9">
        <w:rPr>
          <w:rFonts w:ascii="Calibri" w:eastAsia="Calibri" w:hAnsi="Calibri" w:cs="Calibri"/>
        </w:rPr>
        <w:t xml:space="preserve">to </w:t>
      </w:r>
      <w:r w:rsidRPr="62F714E9">
        <w:rPr>
          <w:rFonts w:ascii="Calibri" w:eastAsia="Calibri" w:hAnsi="Calibri" w:cs="Calibri"/>
        </w:rPr>
        <w:t>assess a potential disturbance</w:t>
      </w:r>
      <w:r w:rsidR="00C473AE" w:rsidRPr="62F714E9">
        <w:rPr>
          <w:rFonts w:ascii="Calibri" w:eastAsia="Calibri" w:hAnsi="Calibri" w:cs="Calibri"/>
        </w:rPr>
        <w:t xml:space="preserve"> even</w:t>
      </w:r>
      <w:r w:rsidR="00BF4DFE" w:rsidRPr="62F714E9">
        <w:rPr>
          <w:rFonts w:ascii="Calibri" w:eastAsia="Calibri" w:hAnsi="Calibri" w:cs="Calibri"/>
        </w:rPr>
        <w:t>t</w:t>
      </w:r>
      <w:r w:rsidR="00B345FB" w:rsidRPr="62F714E9">
        <w:rPr>
          <w:rFonts w:ascii="Calibri" w:eastAsia="Calibri" w:hAnsi="Calibri" w:cs="Calibri"/>
        </w:rPr>
        <w:t xml:space="preserve">, </w:t>
      </w:r>
      <w:r w:rsidR="3317914B" w:rsidRPr="62F714E9">
        <w:rPr>
          <w:rFonts w:ascii="Calibri" w:eastAsia="Calibri" w:hAnsi="Calibri" w:cs="Calibri"/>
        </w:rPr>
        <w:t>the</w:t>
      </w:r>
      <w:r w:rsidR="004C4DDE" w:rsidRPr="62F714E9">
        <w:rPr>
          <w:rFonts w:ascii="Calibri" w:eastAsia="Calibri" w:hAnsi="Calibri" w:cs="Calibri"/>
        </w:rPr>
        <w:t xml:space="preserve"> </w:t>
      </w:r>
      <w:r w:rsidR="00B345FB" w:rsidRPr="62F714E9">
        <w:rPr>
          <w:rFonts w:ascii="Calibri" w:eastAsia="Calibri" w:hAnsi="Calibri" w:cs="Calibri"/>
        </w:rPr>
        <w:t>method applicable to the project</w:t>
      </w:r>
      <w:r w:rsidRPr="62F714E9">
        <w:rPr>
          <w:rFonts w:ascii="Calibri" w:eastAsia="Calibri" w:hAnsi="Calibri" w:cs="Calibri"/>
        </w:rPr>
        <w:t xml:space="preserve"> </w:t>
      </w:r>
      <w:r w:rsidR="004C4DDE" w:rsidRPr="62F714E9">
        <w:rPr>
          <w:rFonts w:ascii="Calibri" w:eastAsia="Calibri" w:hAnsi="Calibri" w:cs="Calibri"/>
        </w:rPr>
        <w:t xml:space="preserve">may allow for the use of </w:t>
      </w:r>
      <w:r w:rsidRPr="62F714E9">
        <w:rPr>
          <w:rFonts w:ascii="Calibri" w:eastAsia="Calibri" w:hAnsi="Calibri" w:cs="Calibri"/>
        </w:rPr>
        <w:t>remote sensing technologies, such as geospatial imagery or satellite data, to conduct preliminary assessments of the disturbance. These tools can help determine whether the event may constitute a significant reversal of carbon stores.</w:t>
      </w:r>
    </w:p>
    <w:p w14:paraId="66DA9FC0" w14:textId="1BB7DE1D" w:rsidR="446220B6" w:rsidRDefault="446220B6" w:rsidP="19F0E246">
      <w:pPr>
        <w:spacing w:before="240" w:after="240"/>
      </w:pPr>
      <w:r w:rsidRPr="62F714E9">
        <w:rPr>
          <w:rFonts w:ascii="Calibri" w:eastAsia="Calibri" w:hAnsi="Calibri" w:cs="Calibri"/>
        </w:rPr>
        <w:lastRenderedPageBreak/>
        <w:t>If there is any uncertainty about whether</w:t>
      </w:r>
      <w:r w:rsidRPr="62F714E9" w:rsidDel="00045A7E">
        <w:rPr>
          <w:rFonts w:ascii="Calibri" w:eastAsia="Calibri" w:hAnsi="Calibri" w:cs="Calibri"/>
        </w:rPr>
        <w:t xml:space="preserve"> </w:t>
      </w:r>
      <w:r w:rsidR="004E168A" w:rsidRPr="62F714E9">
        <w:rPr>
          <w:rFonts w:ascii="Calibri" w:eastAsia="Calibri" w:hAnsi="Calibri" w:cs="Calibri"/>
        </w:rPr>
        <w:t xml:space="preserve">a </w:t>
      </w:r>
      <w:r w:rsidRPr="62F714E9">
        <w:rPr>
          <w:rFonts w:ascii="Calibri" w:eastAsia="Calibri" w:hAnsi="Calibri" w:cs="Calibri"/>
        </w:rPr>
        <w:t xml:space="preserve">disturbance </w:t>
      </w:r>
      <w:bookmarkStart w:id="2" w:name="_Int_296nAuiE"/>
      <w:proofErr w:type="gramStart"/>
      <w:r w:rsidRPr="62F714E9">
        <w:rPr>
          <w:rFonts w:ascii="Calibri" w:eastAsia="Calibri" w:hAnsi="Calibri" w:cs="Calibri"/>
        </w:rPr>
        <w:t xml:space="preserve">is </w:t>
      </w:r>
      <w:r w:rsidR="004E168A" w:rsidRPr="62F714E9">
        <w:rPr>
          <w:rFonts w:ascii="Calibri" w:eastAsia="Calibri" w:hAnsi="Calibri" w:cs="Calibri"/>
        </w:rPr>
        <w:t xml:space="preserve">considered </w:t>
      </w:r>
      <w:r w:rsidR="00045A7E" w:rsidRPr="62F714E9">
        <w:rPr>
          <w:rFonts w:ascii="Calibri" w:eastAsia="Calibri" w:hAnsi="Calibri" w:cs="Calibri"/>
        </w:rPr>
        <w:t>to be</w:t>
      </w:r>
      <w:bookmarkEnd w:id="2"/>
      <w:proofErr w:type="gramEnd"/>
      <w:r w:rsidR="00045A7E" w:rsidRPr="62F714E9">
        <w:rPr>
          <w:rFonts w:ascii="Calibri" w:eastAsia="Calibri" w:hAnsi="Calibri" w:cs="Calibri"/>
        </w:rPr>
        <w:t xml:space="preserve"> </w:t>
      </w:r>
      <w:r w:rsidRPr="62F714E9">
        <w:rPr>
          <w:rFonts w:ascii="Calibri" w:eastAsia="Calibri" w:hAnsi="Calibri" w:cs="Calibri"/>
        </w:rPr>
        <w:t>significant</w:t>
      </w:r>
      <w:r w:rsidR="00045A7E" w:rsidRPr="62F714E9">
        <w:rPr>
          <w:rFonts w:ascii="Calibri" w:eastAsia="Calibri" w:hAnsi="Calibri" w:cs="Calibri"/>
        </w:rPr>
        <w:t>,</w:t>
      </w:r>
      <w:r w:rsidR="004E168A" w:rsidRPr="62F714E9">
        <w:rPr>
          <w:rFonts w:ascii="Calibri" w:eastAsia="Calibri" w:hAnsi="Calibri" w:cs="Calibri"/>
        </w:rPr>
        <w:t xml:space="preserve"> </w:t>
      </w:r>
      <w:r w:rsidR="00864400" w:rsidRPr="62F714E9">
        <w:rPr>
          <w:rFonts w:ascii="Calibri" w:eastAsia="Calibri" w:hAnsi="Calibri" w:cs="Calibri"/>
        </w:rPr>
        <w:t xml:space="preserve">we recommend that proponents </w:t>
      </w:r>
      <w:r w:rsidRPr="62F714E9">
        <w:rPr>
          <w:rFonts w:ascii="Calibri" w:eastAsia="Calibri" w:hAnsi="Calibri" w:cs="Calibri"/>
        </w:rPr>
        <w:t xml:space="preserve">submit a notification </w:t>
      </w:r>
      <w:r w:rsidR="004E168A" w:rsidRPr="62F714E9">
        <w:rPr>
          <w:rFonts w:ascii="Calibri" w:eastAsia="Calibri" w:hAnsi="Calibri" w:cs="Calibri"/>
        </w:rPr>
        <w:t xml:space="preserve">that contains </w:t>
      </w:r>
      <w:r w:rsidR="004E168A">
        <w:rPr>
          <w:rFonts w:ascii="Calibri" w:eastAsia="Calibri" w:hAnsi="Calibri" w:cs="Calibri"/>
        </w:rPr>
        <w:t xml:space="preserve">the </w:t>
      </w:r>
      <w:r w:rsidR="000F450D">
        <w:rPr>
          <w:rFonts w:ascii="Calibri" w:eastAsia="Calibri" w:hAnsi="Calibri" w:cs="Calibri"/>
        </w:rPr>
        <w:t xml:space="preserve">available </w:t>
      </w:r>
      <w:r w:rsidR="00F32FE6">
        <w:rPr>
          <w:rFonts w:ascii="Calibri" w:eastAsia="Calibri" w:hAnsi="Calibri" w:cs="Calibri"/>
        </w:rPr>
        <w:t xml:space="preserve">information </w:t>
      </w:r>
      <w:r w:rsidRPr="62F714E9">
        <w:rPr>
          <w:rFonts w:ascii="Calibri" w:eastAsia="Calibri" w:hAnsi="Calibri" w:cs="Calibri"/>
        </w:rPr>
        <w:t xml:space="preserve">within the required timeframe. This </w:t>
      </w:r>
      <w:r w:rsidR="00E34D1F" w:rsidRPr="62F714E9">
        <w:rPr>
          <w:rFonts w:ascii="Calibri" w:eastAsia="Calibri" w:hAnsi="Calibri" w:cs="Calibri"/>
        </w:rPr>
        <w:t xml:space="preserve">aligns with best practice </w:t>
      </w:r>
      <w:r w:rsidRPr="62F714E9">
        <w:rPr>
          <w:rFonts w:ascii="Calibri" w:eastAsia="Calibri" w:hAnsi="Calibri" w:cs="Calibri"/>
        </w:rPr>
        <w:t xml:space="preserve">and allows </w:t>
      </w:r>
      <w:r w:rsidR="23BF6B2D" w:rsidRPr="62F714E9">
        <w:rPr>
          <w:rFonts w:ascii="Calibri" w:eastAsia="Calibri" w:hAnsi="Calibri" w:cs="Calibri"/>
        </w:rPr>
        <w:t>us</w:t>
      </w:r>
      <w:r w:rsidRPr="62F714E9">
        <w:rPr>
          <w:rFonts w:ascii="Calibri" w:eastAsia="Calibri" w:hAnsi="Calibri" w:cs="Calibri"/>
        </w:rPr>
        <w:t xml:space="preserve"> to assess the situation as more information becomes available.</w:t>
      </w:r>
    </w:p>
    <w:p w14:paraId="20F60A83" w14:textId="4BC3C471" w:rsidR="446220B6" w:rsidRDefault="446220B6" w:rsidP="00786388">
      <w:pPr>
        <w:spacing w:after="240"/>
        <w:rPr>
          <w:rFonts w:ascii="Calibri" w:eastAsia="Calibri" w:hAnsi="Calibri" w:cs="Calibri"/>
        </w:rPr>
      </w:pPr>
      <w:r w:rsidRPr="44D96935">
        <w:rPr>
          <w:rFonts w:ascii="Calibri" w:eastAsia="Calibri" w:hAnsi="Calibri" w:cs="Calibri"/>
        </w:rPr>
        <w:t>Your notification can be updated</w:t>
      </w:r>
      <w:r w:rsidRPr="44D96935" w:rsidDel="004E168A">
        <w:rPr>
          <w:rFonts w:ascii="Calibri" w:eastAsia="Calibri" w:hAnsi="Calibri" w:cs="Calibri"/>
        </w:rPr>
        <w:t xml:space="preserve"> </w:t>
      </w:r>
      <w:r w:rsidR="75F1BC8F" w:rsidRPr="62F714E9">
        <w:rPr>
          <w:rFonts w:ascii="Calibri" w:eastAsia="Calibri" w:hAnsi="Calibri" w:cs="Calibri"/>
        </w:rPr>
        <w:t>once</w:t>
      </w:r>
      <w:r w:rsidRPr="44D96935">
        <w:rPr>
          <w:rFonts w:ascii="Calibri" w:eastAsia="Calibri" w:hAnsi="Calibri" w:cs="Calibri"/>
        </w:rPr>
        <w:t xml:space="preserve"> </w:t>
      </w:r>
      <w:r w:rsidR="00045A7E" w:rsidRPr="44D96935">
        <w:rPr>
          <w:rFonts w:ascii="Calibri" w:eastAsia="Calibri" w:hAnsi="Calibri" w:cs="Calibri"/>
        </w:rPr>
        <w:t xml:space="preserve">the proponent regains access to the site, and further </w:t>
      </w:r>
      <w:r w:rsidRPr="44D96935">
        <w:rPr>
          <w:rFonts w:ascii="Calibri" w:eastAsia="Calibri" w:hAnsi="Calibri" w:cs="Calibri"/>
        </w:rPr>
        <w:t xml:space="preserve">evidence is </w:t>
      </w:r>
      <w:r w:rsidR="14110DEC" w:rsidRPr="62F714E9">
        <w:rPr>
          <w:rFonts w:ascii="Calibri" w:eastAsia="Calibri" w:hAnsi="Calibri" w:cs="Calibri"/>
        </w:rPr>
        <w:t xml:space="preserve">obtained. </w:t>
      </w:r>
    </w:p>
    <w:p w14:paraId="78896CD7" w14:textId="230BC69D" w:rsidR="15441212" w:rsidRDefault="446220B6" w:rsidP="00786388">
      <w:pPr>
        <w:spacing w:after="240"/>
      </w:pPr>
      <w:r w:rsidRPr="15441212">
        <w:rPr>
          <w:rFonts w:ascii="Calibri" w:eastAsia="Calibri" w:hAnsi="Calibri" w:cs="Calibri"/>
        </w:rPr>
        <w:t xml:space="preserve">For more information, refer to </w:t>
      </w:r>
      <w:hyperlink r:id="rId23">
        <w:r w:rsidR="00E1647F">
          <w:rPr>
            <w:rStyle w:val="Hyperlink"/>
          </w:rPr>
          <w:t>carbon maintenance obligations</w:t>
        </w:r>
      </w:hyperlink>
      <w:r w:rsidR="00E1647F">
        <w:t>.</w:t>
      </w:r>
    </w:p>
    <w:p w14:paraId="1EC4C4E6" w14:textId="2D638B7B" w:rsidR="15441212" w:rsidRDefault="346C86D9" w:rsidP="00441603">
      <w:pPr>
        <w:pStyle w:val="Heading4"/>
      </w:pPr>
      <w:r>
        <w:t xml:space="preserve">What are the permanence obligations of the agent? </w:t>
      </w:r>
    </w:p>
    <w:p w14:paraId="4BDA35A4" w14:textId="265E5D99" w:rsidR="346C86D9" w:rsidRDefault="346C86D9" w:rsidP="19F0E246">
      <w:pPr>
        <w:spacing w:before="240" w:after="240"/>
        <w:rPr>
          <w:rFonts w:ascii="Calibri" w:eastAsia="Calibri" w:hAnsi="Calibri" w:cs="Calibri"/>
        </w:rPr>
      </w:pPr>
      <w:r w:rsidRPr="62F714E9">
        <w:rPr>
          <w:rFonts w:ascii="Calibri" w:eastAsia="Calibri" w:hAnsi="Calibri" w:cs="Calibri"/>
        </w:rPr>
        <w:t xml:space="preserve">Permanence obligations </w:t>
      </w:r>
      <w:r w:rsidR="007B1924" w:rsidRPr="62F714E9">
        <w:rPr>
          <w:rFonts w:ascii="Calibri" w:eastAsia="Calibri" w:hAnsi="Calibri" w:cs="Calibri"/>
        </w:rPr>
        <w:t xml:space="preserve">for </w:t>
      </w:r>
      <w:r w:rsidRPr="62F714E9">
        <w:rPr>
          <w:rFonts w:ascii="Calibri" w:eastAsia="Calibri" w:hAnsi="Calibri" w:cs="Calibri"/>
        </w:rPr>
        <w:t>ACCU Scheme</w:t>
      </w:r>
      <w:r w:rsidR="008D630A" w:rsidRPr="62F714E9">
        <w:rPr>
          <w:rFonts w:ascii="Calibri" w:eastAsia="Calibri" w:hAnsi="Calibri" w:cs="Calibri"/>
        </w:rPr>
        <w:t xml:space="preserve"> projects</w:t>
      </w:r>
      <w:r w:rsidRPr="62F714E9">
        <w:rPr>
          <w:rFonts w:ascii="Calibri" w:eastAsia="Calibri" w:hAnsi="Calibri" w:cs="Calibri"/>
        </w:rPr>
        <w:t xml:space="preserve"> </w:t>
      </w:r>
      <w:r w:rsidR="79EFAA3B" w:rsidRPr="62F714E9">
        <w:rPr>
          <w:rFonts w:ascii="Calibri" w:eastAsia="Calibri" w:hAnsi="Calibri" w:cs="Calibri"/>
        </w:rPr>
        <w:t>apply</w:t>
      </w:r>
      <w:r w:rsidR="007B1924" w:rsidRPr="62F714E9">
        <w:rPr>
          <w:rFonts w:ascii="Calibri" w:eastAsia="Calibri" w:hAnsi="Calibri" w:cs="Calibri"/>
        </w:rPr>
        <w:t xml:space="preserve"> to</w:t>
      </w:r>
      <w:r w:rsidRPr="62F714E9">
        <w:rPr>
          <w:rFonts w:ascii="Calibri" w:eastAsia="Calibri" w:hAnsi="Calibri" w:cs="Calibri"/>
        </w:rPr>
        <w:t xml:space="preserve"> the project proponent.</w:t>
      </w:r>
    </w:p>
    <w:p w14:paraId="7FDA9A4E" w14:textId="3FC1348E" w:rsidR="346C86D9" w:rsidRDefault="346C86D9" w:rsidP="19F0E246">
      <w:pPr>
        <w:spacing w:before="240" w:after="240"/>
      </w:pPr>
      <w:r w:rsidRPr="62F714E9">
        <w:rPr>
          <w:rFonts w:ascii="Calibri" w:eastAsia="Calibri" w:hAnsi="Calibri" w:cs="Calibri"/>
        </w:rPr>
        <w:t>While an agent may be engaged</w:t>
      </w:r>
      <w:r w:rsidR="00910790" w:rsidRPr="62F714E9">
        <w:rPr>
          <w:rFonts w:ascii="Calibri" w:eastAsia="Calibri" w:hAnsi="Calibri" w:cs="Calibri"/>
        </w:rPr>
        <w:t xml:space="preserve"> by a proponent</w:t>
      </w:r>
      <w:r w:rsidRPr="62F714E9">
        <w:rPr>
          <w:rFonts w:ascii="Calibri" w:eastAsia="Calibri" w:hAnsi="Calibri" w:cs="Calibri"/>
        </w:rPr>
        <w:t xml:space="preserve"> to assist </w:t>
      </w:r>
      <w:r w:rsidR="79EFAA3B" w:rsidRPr="62F714E9">
        <w:rPr>
          <w:rFonts w:ascii="Calibri" w:eastAsia="Calibri" w:hAnsi="Calibri" w:cs="Calibri"/>
        </w:rPr>
        <w:t>the</w:t>
      </w:r>
      <w:r w:rsidR="717353E2" w:rsidRPr="62F714E9">
        <w:rPr>
          <w:rFonts w:ascii="Calibri" w:eastAsia="Calibri" w:hAnsi="Calibri" w:cs="Calibri"/>
        </w:rPr>
        <w:t>m</w:t>
      </w:r>
      <w:r w:rsidR="007B1924" w:rsidRPr="62F714E9">
        <w:rPr>
          <w:rFonts w:ascii="Calibri" w:eastAsia="Calibri" w:hAnsi="Calibri" w:cs="Calibri"/>
        </w:rPr>
        <w:t xml:space="preserve"> in </w:t>
      </w:r>
      <w:r w:rsidR="00910790" w:rsidRPr="62F714E9">
        <w:rPr>
          <w:rFonts w:ascii="Calibri" w:eastAsia="Calibri" w:hAnsi="Calibri" w:cs="Calibri"/>
        </w:rPr>
        <w:t>managing</w:t>
      </w:r>
      <w:r w:rsidRPr="62F714E9">
        <w:rPr>
          <w:rFonts w:ascii="Calibri" w:eastAsia="Calibri" w:hAnsi="Calibri" w:cs="Calibri"/>
        </w:rPr>
        <w:t xml:space="preserve"> </w:t>
      </w:r>
      <w:r w:rsidR="717353E2" w:rsidRPr="62F714E9">
        <w:rPr>
          <w:rFonts w:ascii="Calibri" w:eastAsia="Calibri" w:hAnsi="Calibri" w:cs="Calibri"/>
        </w:rPr>
        <w:t>their</w:t>
      </w:r>
      <w:r w:rsidRPr="62F714E9">
        <w:rPr>
          <w:rFonts w:ascii="Calibri" w:eastAsia="Calibri" w:hAnsi="Calibri" w:cs="Calibri"/>
        </w:rPr>
        <w:t xml:space="preserve"> project, the responsibility </w:t>
      </w:r>
      <w:r w:rsidR="00910790" w:rsidRPr="62F714E9">
        <w:rPr>
          <w:rFonts w:ascii="Calibri" w:eastAsia="Calibri" w:hAnsi="Calibri" w:cs="Calibri"/>
        </w:rPr>
        <w:t xml:space="preserve">to comply with </w:t>
      </w:r>
      <w:r w:rsidRPr="62F714E9">
        <w:rPr>
          <w:rFonts w:ascii="Calibri" w:eastAsia="Calibri" w:hAnsi="Calibri" w:cs="Calibri"/>
        </w:rPr>
        <w:t>permanence obligations</w:t>
      </w:r>
      <w:r w:rsidR="001653A7" w:rsidRPr="62F714E9">
        <w:rPr>
          <w:rFonts w:ascii="Calibri" w:eastAsia="Calibri" w:hAnsi="Calibri" w:cs="Calibri"/>
        </w:rPr>
        <w:t xml:space="preserve"> </w:t>
      </w:r>
      <w:r w:rsidRPr="62F714E9">
        <w:rPr>
          <w:rFonts w:ascii="Calibri" w:eastAsia="Calibri" w:hAnsi="Calibri" w:cs="Calibri"/>
        </w:rPr>
        <w:t xml:space="preserve">remains with the project proponent as </w:t>
      </w:r>
      <w:r w:rsidR="003C30C3" w:rsidRPr="62F714E9">
        <w:rPr>
          <w:rFonts w:ascii="Calibri" w:eastAsia="Calibri" w:hAnsi="Calibri" w:cs="Calibri"/>
        </w:rPr>
        <w:t xml:space="preserve">identified </w:t>
      </w:r>
      <w:r w:rsidRPr="62F714E9">
        <w:rPr>
          <w:rFonts w:ascii="Calibri" w:eastAsia="Calibri" w:hAnsi="Calibri" w:cs="Calibri"/>
        </w:rPr>
        <w:t>in the</w:t>
      </w:r>
      <w:r w:rsidR="003C30C3" w:rsidRPr="62F714E9">
        <w:rPr>
          <w:rFonts w:ascii="Calibri" w:eastAsia="Calibri" w:hAnsi="Calibri" w:cs="Calibri"/>
        </w:rPr>
        <w:t xml:space="preserve"> </w:t>
      </w:r>
      <w:r w:rsidRPr="62F714E9">
        <w:rPr>
          <w:rFonts w:ascii="Calibri" w:eastAsia="Calibri" w:hAnsi="Calibri" w:cs="Calibri"/>
        </w:rPr>
        <w:t>declaration.</w:t>
      </w:r>
    </w:p>
    <w:p w14:paraId="7B0EE49F" w14:textId="04999A0E" w:rsidR="346C86D9" w:rsidRDefault="00A573A0" w:rsidP="19F0E246">
      <w:pPr>
        <w:spacing w:before="240" w:after="240"/>
      </w:pPr>
      <w:r w:rsidRPr="62F714E9">
        <w:rPr>
          <w:rFonts w:ascii="Calibri" w:eastAsia="Calibri" w:hAnsi="Calibri" w:cs="Calibri"/>
        </w:rPr>
        <w:t xml:space="preserve">Even where </w:t>
      </w:r>
      <w:r w:rsidR="00D503BD" w:rsidRPr="62F714E9">
        <w:rPr>
          <w:rFonts w:ascii="Calibri" w:eastAsia="Calibri" w:hAnsi="Calibri" w:cs="Calibri"/>
        </w:rPr>
        <w:t xml:space="preserve">a </w:t>
      </w:r>
      <w:r w:rsidR="346C86D9" w:rsidRPr="62F714E9">
        <w:rPr>
          <w:rFonts w:ascii="Calibri" w:eastAsia="Calibri" w:hAnsi="Calibri" w:cs="Calibri"/>
        </w:rPr>
        <w:t xml:space="preserve">contractual arrangement </w:t>
      </w:r>
      <w:r w:rsidR="00D503BD" w:rsidRPr="62F714E9">
        <w:rPr>
          <w:rFonts w:ascii="Calibri" w:eastAsia="Calibri" w:hAnsi="Calibri" w:cs="Calibri"/>
        </w:rPr>
        <w:t xml:space="preserve">for </w:t>
      </w:r>
      <w:r w:rsidR="009222DB" w:rsidRPr="62F714E9">
        <w:rPr>
          <w:rFonts w:ascii="Calibri" w:eastAsia="Calibri" w:hAnsi="Calibri" w:cs="Calibri"/>
        </w:rPr>
        <w:t>management of permanence obligations</w:t>
      </w:r>
      <w:r w:rsidR="00D503BD" w:rsidRPr="62F714E9">
        <w:rPr>
          <w:rFonts w:ascii="Calibri" w:eastAsia="Calibri" w:hAnsi="Calibri" w:cs="Calibri"/>
        </w:rPr>
        <w:t xml:space="preserve"> is established </w:t>
      </w:r>
      <w:r w:rsidR="346C86D9" w:rsidRPr="62F714E9">
        <w:rPr>
          <w:rFonts w:ascii="Calibri" w:eastAsia="Calibri" w:hAnsi="Calibri" w:cs="Calibri"/>
        </w:rPr>
        <w:t>between a project proponent and an agent</w:t>
      </w:r>
      <w:r w:rsidR="00D503BD" w:rsidRPr="62F714E9">
        <w:rPr>
          <w:rFonts w:ascii="Calibri" w:eastAsia="Calibri" w:hAnsi="Calibri" w:cs="Calibri"/>
        </w:rPr>
        <w:t>,</w:t>
      </w:r>
      <w:r w:rsidR="346C86D9" w:rsidRPr="62F714E9" w:rsidDel="00D503BD">
        <w:rPr>
          <w:rFonts w:ascii="Calibri" w:eastAsia="Calibri" w:hAnsi="Calibri" w:cs="Calibri"/>
        </w:rPr>
        <w:t xml:space="preserve"> </w:t>
      </w:r>
      <w:r w:rsidR="00D503BD" w:rsidRPr="62F714E9">
        <w:rPr>
          <w:rFonts w:ascii="Calibri" w:eastAsia="Calibri" w:hAnsi="Calibri" w:cs="Calibri"/>
        </w:rPr>
        <w:t>w</w:t>
      </w:r>
      <w:r w:rsidRPr="62F714E9">
        <w:rPr>
          <w:rFonts w:ascii="Calibri" w:eastAsia="Calibri" w:hAnsi="Calibri" w:cs="Calibri"/>
        </w:rPr>
        <w:t>e</w:t>
      </w:r>
      <w:r w:rsidR="346C86D9" w:rsidRPr="62F714E9">
        <w:rPr>
          <w:rFonts w:ascii="Calibri" w:eastAsia="Calibri" w:hAnsi="Calibri" w:cs="Calibri"/>
        </w:rPr>
        <w:t xml:space="preserve"> will </w:t>
      </w:r>
      <w:r w:rsidR="00D503BD" w:rsidRPr="62F714E9">
        <w:rPr>
          <w:rFonts w:ascii="Calibri" w:eastAsia="Calibri" w:hAnsi="Calibri" w:cs="Calibri"/>
        </w:rPr>
        <w:t xml:space="preserve">continue to </w:t>
      </w:r>
      <w:r w:rsidR="346C86D9" w:rsidRPr="62F714E9">
        <w:rPr>
          <w:rFonts w:ascii="Calibri" w:eastAsia="Calibri" w:hAnsi="Calibri" w:cs="Calibri"/>
        </w:rPr>
        <w:t>hold the proponent responsible for ensuring compliance with all legislative requirements.</w:t>
      </w:r>
    </w:p>
    <w:p w14:paraId="196DB2B3" w14:textId="118FFB99" w:rsidR="15441212" w:rsidRDefault="2E18E04A" w:rsidP="00786388">
      <w:pPr>
        <w:spacing w:after="240"/>
      </w:pPr>
      <w:r w:rsidRPr="15441212">
        <w:rPr>
          <w:rFonts w:ascii="Calibri" w:eastAsia="Calibri" w:hAnsi="Calibri" w:cs="Calibri"/>
        </w:rPr>
        <w:t xml:space="preserve">For more information, refer to </w:t>
      </w:r>
      <w:hyperlink r:id="rId24" w:anchor="reversal-events">
        <w:r w:rsidR="003C3232">
          <w:rPr>
            <w:rStyle w:val="Hyperlink"/>
          </w:rPr>
          <w:t>permanence obligations</w:t>
        </w:r>
      </w:hyperlink>
      <w:r w:rsidR="003C3232">
        <w:t>.</w:t>
      </w:r>
      <w:r w:rsidR="414A7B58">
        <w:t xml:space="preserve"> </w:t>
      </w:r>
    </w:p>
    <w:p w14:paraId="2C1A972A" w14:textId="40CE3568" w:rsidR="005C7328" w:rsidRDefault="0088452D" w:rsidP="00786388">
      <w:pPr>
        <w:pStyle w:val="Heading4"/>
        <w:spacing w:after="120"/>
      </w:pPr>
      <w:r w:rsidRPr="00376EE2">
        <w:t>How are the ACCUs held in risk of reversal buffers used where a project has a natural disturbance event, or where a project is revoked but credits have already transferred to other ANREU accounts?</w:t>
      </w:r>
    </w:p>
    <w:p w14:paraId="6BB4BACC" w14:textId="066E1A34" w:rsidR="009D20ED" w:rsidRDefault="00793BFB" w:rsidP="005C7328">
      <w:r>
        <w:t xml:space="preserve">The risk of reversal buffer applicable to sequestration projects under the ACCU </w:t>
      </w:r>
      <w:r w:rsidR="00CA36AD">
        <w:t>S</w:t>
      </w:r>
      <w:r>
        <w:t xml:space="preserve">cheme </w:t>
      </w:r>
      <w:r w:rsidR="00301BF2">
        <w:t>and</w:t>
      </w:r>
      <w:r>
        <w:t xml:space="preserve"> applies a discount to the number of ACCUs that </w:t>
      </w:r>
      <w:r w:rsidR="00FF6785">
        <w:t xml:space="preserve">we issue to </w:t>
      </w:r>
      <w:r>
        <w:t>a project</w:t>
      </w:r>
      <w:r w:rsidR="00D64733">
        <w:t xml:space="preserve">. </w:t>
      </w:r>
    </w:p>
    <w:p w14:paraId="3E6E4770" w14:textId="349EFA6A" w:rsidR="005C7328" w:rsidRDefault="00342194" w:rsidP="005C7328">
      <w:r>
        <w:t>ACCUs represent</w:t>
      </w:r>
      <w:r w:rsidR="00357986">
        <w:t>ing</w:t>
      </w:r>
      <w:r>
        <w:t xml:space="preserve"> the reduction in issuance</w:t>
      </w:r>
      <w:r w:rsidR="00357986">
        <w:t xml:space="preserve"> </w:t>
      </w:r>
      <w:r w:rsidR="007143C7">
        <w:t xml:space="preserve">from the risk of reversal buffer </w:t>
      </w:r>
      <w:r w:rsidR="00357986">
        <w:t>are not created</w:t>
      </w:r>
      <w:r w:rsidR="007143C7">
        <w:t>,</w:t>
      </w:r>
      <w:r w:rsidR="00357986">
        <w:t xml:space="preserve"> issued</w:t>
      </w:r>
      <w:r w:rsidR="007143C7">
        <w:t xml:space="preserve"> or </w:t>
      </w:r>
      <w:r>
        <w:t>held</w:t>
      </w:r>
      <w:r w:rsidR="00357986">
        <w:t xml:space="preserve">. </w:t>
      </w:r>
      <w:r w:rsidR="00D64733">
        <w:t xml:space="preserve">As such, </w:t>
      </w:r>
      <w:r w:rsidR="00C90DA0">
        <w:t xml:space="preserve">there are no units held </w:t>
      </w:r>
      <w:bookmarkStart w:id="3" w:name="_Int_M0M6gjxj"/>
      <w:proofErr w:type="gramStart"/>
      <w:r w:rsidR="00F35155">
        <w:t>as a result of</w:t>
      </w:r>
      <w:bookmarkEnd w:id="3"/>
      <w:proofErr w:type="gramEnd"/>
      <w:r w:rsidR="006515DF">
        <w:t xml:space="preserve"> the buffer, and </w:t>
      </w:r>
      <w:r w:rsidR="00107CA0">
        <w:t xml:space="preserve">therefore </w:t>
      </w:r>
      <w:r w:rsidR="006515DF">
        <w:t xml:space="preserve">no </w:t>
      </w:r>
      <w:r w:rsidR="6C4C6D15">
        <w:t>avenue</w:t>
      </w:r>
      <w:r w:rsidR="0008642F">
        <w:t xml:space="preserve"> for </w:t>
      </w:r>
      <w:r w:rsidR="00107CA0">
        <w:t xml:space="preserve">these </w:t>
      </w:r>
      <w:r w:rsidR="00A64E86">
        <w:t xml:space="preserve">to be used </w:t>
      </w:r>
      <w:r w:rsidR="00EC6182">
        <w:t xml:space="preserve">to </w:t>
      </w:r>
      <w:r w:rsidR="00107CA0">
        <w:t>respon</w:t>
      </w:r>
      <w:r w:rsidR="00EC6182">
        <w:t>d</w:t>
      </w:r>
      <w:r w:rsidR="00107CA0">
        <w:t xml:space="preserve"> to</w:t>
      </w:r>
      <w:r w:rsidR="0008642F">
        <w:t xml:space="preserve"> a notice to relinquish ACCUs</w:t>
      </w:r>
      <w:r w:rsidR="00EC6182">
        <w:t xml:space="preserve"> </w:t>
      </w:r>
      <w:bookmarkStart w:id="4" w:name="_Int_hxJaZcao"/>
      <w:proofErr w:type="gramStart"/>
      <w:r w:rsidR="00CA48D2">
        <w:t>as a result of</w:t>
      </w:r>
      <w:bookmarkEnd w:id="4"/>
      <w:proofErr w:type="gramEnd"/>
      <w:r w:rsidR="00CA48D2">
        <w:t xml:space="preserve"> a disturbance event</w:t>
      </w:r>
      <w:r w:rsidR="0008642F">
        <w:t xml:space="preserve">. </w:t>
      </w:r>
    </w:p>
    <w:p w14:paraId="5F66BD1F" w14:textId="0D5CA7B7" w:rsidR="0008642F" w:rsidRDefault="65F38738" w:rsidP="00786388">
      <w:pPr>
        <w:spacing w:after="240"/>
      </w:pPr>
      <w:r w:rsidRPr="15441212">
        <w:rPr>
          <w:rFonts w:ascii="Calibri" w:eastAsia="Calibri" w:hAnsi="Calibri" w:cs="Calibri"/>
        </w:rPr>
        <w:t xml:space="preserve">For more information, refer to </w:t>
      </w:r>
      <w:hyperlink r:id="rId25" w:anchor="reversal-events">
        <w:r w:rsidR="003C3232">
          <w:rPr>
            <w:rStyle w:val="Hyperlink"/>
          </w:rPr>
          <w:t>permanence obligations</w:t>
        </w:r>
      </w:hyperlink>
      <w:r w:rsidR="003C3232">
        <w:t>.</w:t>
      </w:r>
      <w:r w:rsidR="4EC93FB2" w:rsidRPr="15441212">
        <w:rPr>
          <w:rFonts w:ascii="Calibri" w:eastAsia="Calibri" w:hAnsi="Calibri" w:cs="Calibri"/>
        </w:rPr>
        <w:t xml:space="preserve"> </w:t>
      </w:r>
    </w:p>
    <w:p w14:paraId="55E189FC" w14:textId="1AAB87CE" w:rsidR="00F63F52" w:rsidRDefault="00A73C5E" w:rsidP="00786388">
      <w:pPr>
        <w:pStyle w:val="Heading4"/>
        <w:spacing w:after="240"/>
      </w:pPr>
      <w:r>
        <w:t xml:space="preserve">If there is a reversal in carbon stocks outside of CEAs, but within the project boundary, would there be an expectation that the proponent relinquishes ACCUs for area they have never been issued for (because they're outside CEAs)? </w:t>
      </w:r>
    </w:p>
    <w:p w14:paraId="537E3BBF" w14:textId="76CD2B1D" w:rsidR="00097E71" w:rsidRDefault="1E732CEE" w:rsidP="6F31401E">
      <w:pPr>
        <w:rPr>
          <w:rFonts w:ascii="Calibri" w:eastAsia="Calibri" w:hAnsi="Calibri" w:cs="Calibri"/>
        </w:rPr>
      </w:pPr>
      <w:r w:rsidRPr="62F714E9">
        <w:rPr>
          <w:rFonts w:ascii="Calibri" w:eastAsia="Calibri" w:hAnsi="Calibri" w:cs="Calibri"/>
        </w:rPr>
        <w:t>No, there would not be an expectation for the proponent to relinquish ACCUs for areas outside</w:t>
      </w:r>
      <w:r w:rsidR="0E3B2B45" w:rsidRPr="62F714E9">
        <w:rPr>
          <w:rFonts w:ascii="Calibri" w:eastAsia="Calibri" w:hAnsi="Calibri" w:cs="Calibri"/>
        </w:rPr>
        <w:t xml:space="preserve"> CEAs. </w:t>
      </w:r>
      <w:r w:rsidRPr="62F714E9">
        <w:rPr>
          <w:rFonts w:ascii="Calibri" w:eastAsia="Calibri" w:hAnsi="Calibri" w:cs="Calibri"/>
        </w:rPr>
        <w:t xml:space="preserve">ACCUs are only issued for carbon sequestration or emissions reductions that occur within CEAs, as these are the defined areas where project activities are measured and credited under the </w:t>
      </w:r>
      <w:r w:rsidR="7F8458EA" w:rsidRPr="62F714E9">
        <w:rPr>
          <w:rFonts w:ascii="Calibri" w:eastAsia="Calibri" w:hAnsi="Calibri" w:cs="Calibri"/>
        </w:rPr>
        <w:t xml:space="preserve">applicable </w:t>
      </w:r>
      <w:r w:rsidRPr="62F714E9">
        <w:rPr>
          <w:rFonts w:ascii="Calibri" w:eastAsia="Calibri" w:hAnsi="Calibri" w:cs="Calibri"/>
        </w:rPr>
        <w:t xml:space="preserve">methodology. If carbon stock reversals occur outside CEAs, those areas have never generated ACCUs, so there is no </w:t>
      </w:r>
      <w:r w:rsidR="00AC7FBF">
        <w:rPr>
          <w:rFonts w:ascii="Calibri" w:eastAsia="Calibri" w:hAnsi="Calibri" w:cs="Calibri"/>
        </w:rPr>
        <w:t>basis</w:t>
      </w:r>
      <w:r w:rsidRPr="62F714E9">
        <w:rPr>
          <w:rFonts w:ascii="Calibri" w:eastAsia="Calibri" w:hAnsi="Calibri" w:cs="Calibri"/>
        </w:rPr>
        <w:t xml:space="preserve"> to relinquish units for them. The relinquishment obligation applies only to credited carbon, not to uncredited areas within the broader project boundary.</w:t>
      </w:r>
    </w:p>
    <w:p w14:paraId="1948853D" w14:textId="6AD84CDD" w:rsidR="00097E71" w:rsidRDefault="00097E71" w:rsidP="00F63F52">
      <w:r>
        <w:t xml:space="preserve">Please note, while </w:t>
      </w:r>
      <w:r w:rsidR="00A43077">
        <w:t xml:space="preserve">there may be no relinquishment requirement, the project proponent is still required to notify the CER of </w:t>
      </w:r>
      <w:r w:rsidR="00F1320F">
        <w:t xml:space="preserve">a reversal event that occurs within the project area, irrespective of whether this is located inside a CEA.  </w:t>
      </w:r>
    </w:p>
    <w:p w14:paraId="0B72E1BE" w14:textId="4E930E1D" w:rsidR="00F63F52" w:rsidRDefault="361E0B7B" w:rsidP="00786388">
      <w:pPr>
        <w:spacing w:after="240"/>
      </w:pPr>
      <w:r w:rsidRPr="15441212">
        <w:rPr>
          <w:rFonts w:ascii="Calibri" w:eastAsia="Calibri" w:hAnsi="Calibri" w:cs="Calibri"/>
        </w:rPr>
        <w:t xml:space="preserve">For more information, refer to </w:t>
      </w:r>
      <w:hyperlink r:id="rId26" w:anchor="reversal-events">
        <w:r w:rsidR="00CA36AD">
          <w:rPr>
            <w:rStyle w:val="Hyperlink"/>
          </w:rPr>
          <w:t>permanence obligations</w:t>
        </w:r>
      </w:hyperlink>
      <w:r w:rsidR="00CA36AD">
        <w:t>.</w:t>
      </w:r>
    </w:p>
    <w:p w14:paraId="4A27F28B" w14:textId="00A22C39" w:rsidR="15441212" w:rsidRDefault="78549054" w:rsidP="00786388">
      <w:pPr>
        <w:pStyle w:val="Heading4"/>
        <w:spacing w:before="0" w:after="240"/>
      </w:pPr>
      <w:r>
        <w:lastRenderedPageBreak/>
        <w:t xml:space="preserve">How does the CER "police" that the permanence obligations are being met </w:t>
      </w:r>
      <w:r w:rsidR="00CA36AD">
        <w:t>–</w:t>
      </w:r>
      <w:r>
        <w:t xml:space="preserve"> particularly if the landholder has changed following the completion of the crediting period? What monitoring do you have in place and what legal avenues exist to pursue non</w:t>
      </w:r>
      <w:r w:rsidR="383F8FE8">
        <w:t>-</w:t>
      </w:r>
      <w:r>
        <w:t xml:space="preserve">compliant parties? </w:t>
      </w:r>
    </w:p>
    <w:p w14:paraId="0CF98D27" w14:textId="37C5490E" w:rsidR="004A70E0" w:rsidRDefault="41065DE8" w:rsidP="754E3E5A">
      <w:pPr>
        <w:pStyle w:val="BodyText1"/>
        <w:spacing w:before="0" w:after="240"/>
      </w:pPr>
      <w:r>
        <w:t>The</w:t>
      </w:r>
      <w:r w:rsidR="009E5EE5">
        <w:t xml:space="preserve"> </w:t>
      </w:r>
      <w:r w:rsidR="00195977">
        <w:t>C</w:t>
      </w:r>
      <w:r w:rsidR="007919A7">
        <w:t>lean Energy Regulator (C</w:t>
      </w:r>
      <w:r w:rsidR="00195977">
        <w:t>ER</w:t>
      </w:r>
      <w:r w:rsidR="007919A7">
        <w:t>)</w:t>
      </w:r>
      <w:r w:rsidR="00195977">
        <w:t xml:space="preserve"> </w:t>
      </w:r>
      <w:r w:rsidR="009E5EE5">
        <w:t xml:space="preserve">has a range of monitoring and enforcement powers to ensure project proponents are meeting their </w:t>
      </w:r>
      <w:r w:rsidR="00C25FE6">
        <w:t xml:space="preserve">ongoing obligations </w:t>
      </w:r>
      <w:r w:rsidR="00143A2F">
        <w:t xml:space="preserve">with respect to </w:t>
      </w:r>
      <w:r w:rsidR="006D7AFD">
        <w:t>managing their ACCU Scheme projects.</w:t>
      </w:r>
      <w:r w:rsidR="0039629C">
        <w:t xml:space="preserve"> </w:t>
      </w:r>
    </w:p>
    <w:p w14:paraId="5C0F0247" w14:textId="3BD78D4D" w:rsidR="00940A0A" w:rsidRDefault="004A70E0" w:rsidP="004A70E0">
      <w:pPr>
        <w:pStyle w:val="BodyText1"/>
        <w:spacing w:before="0" w:after="240"/>
        <w:rPr>
          <w:rFonts w:ascii="Calibri" w:eastAsia="Calibri" w:hAnsi="Calibri" w:cs="Calibri"/>
        </w:rPr>
      </w:pPr>
      <w:r>
        <w:t xml:space="preserve">It is important to note that compliance with the </w:t>
      </w:r>
      <w:r w:rsidR="29647491" w:rsidRPr="62F714E9">
        <w:rPr>
          <w:rFonts w:ascii="Calibri" w:eastAsia="Calibri" w:hAnsi="Calibri" w:cs="Calibri"/>
          <w:i/>
        </w:rPr>
        <w:t>Carbon Credits (Carbon Farming Initiative) Act 2011</w:t>
      </w:r>
      <w:r w:rsidR="29647491" w:rsidRPr="62F714E9">
        <w:rPr>
          <w:rFonts w:ascii="Calibri" w:eastAsia="Calibri" w:hAnsi="Calibri" w:cs="Calibri"/>
        </w:rPr>
        <w:t xml:space="preserve"> </w:t>
      </w:r>
      <w:r>
        <w:rPr>
          <w:rFonts w:ascii="Calibri" w:eastAsia="Calibri" w:hAnsi="Calibri" w:cs="Calibri"/>
        </w:rPr>
        <w:t>rests with the project proponent</w:t>
      </w:r>
      <w:r w:rsidR="00940A0A">
        <w:rPr>
          <w:rFonts w:ascii="Calibri" w:eastAsia="Calibri" w:hAnsi="Calibri" w:cs="Calibri"/>
        </w:rPr>
        <w:t>, and these requirements persist into the post-crediting permanence period.  For example:</w:t>
      </w:r>
    </w:p>
    <w:p w14:paraId="6BA77B06" w14:textId="77777777" w:rsidR="00370CC9" w:rsidRPr="009410E6" w:rsidRDefault="00806D12"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Project m</w:t>
      </w:r>
      <w:r w:rsidR="00940A0A" w:rsidRPr="62F714E9">
        <w:rPr>
          <w:rFonts w:ascii="Calibri" w:eastAsia="Calibri" w:hAnsi="Calibri" w:cs="Calibri"/>
          <w:b/>
        </w:rPr>
        <w:t xml:space="preserve">onitoring </w:t>
      </w:r>
      <w:r w:rsidR="00832229">
        <w:rPr>
          <w:rFonts w:ascii="Calibri" w:eastAsia="Calibri" w:hAnsi="Calibri" w:cs="Calibri"/>
          <w:b/>
        </w:rPr>
        <w:t xml:space="preserve">requirements – </w:t>
      </w:r>
      <w:r w:rsidR="00832229">
        <w:rPr>
          <w:rFonts w:ascii="Calibri" w:eastAsia="Calibri" w:hAnsi="Calibri" w:cs="Calibri"/>
          <w:bCs/>
        </w:rPr>
        <w:t xml:space="preserve">Proponents are required </w:t>
      </w:r>
      <w:r w:rsidR="000D2EA1">
        <w:rPr>
          <w:rFonts w:ascii="Calibri" w:eastAsia="Calibri" w:hAnsi="Calibri" w:cs="Calibri"/>
          <w:bCs/>
        </w:rPr>
        <w:t>to</w:t>
      </w:r>
      <w:r w:rsidR="00572AF9">
        <w:rPr>
          <w:rFonts w:ascii="Calibri" w:eastAsia="Calibri" w:hAnsi="Calibri" w:cs="Calibri"/>
          <w:bCs/>
        </w:rPr>
        <w:t xml:space="preserve"> </w:t>
      </w:r>
      <w:r w:rsidR="00673489">
        <w:rPr>
          <w:rFonts w:ascii="Calibri" w:eastAsia="Calibri" w:hAnsi="Calibri" w:cs="Calibri"/>
          <w:bCs/>
        </w:rPr>
        <w:t xml:space="preserve">meet </w:t>
      </w:r>
      <w:r w:rsidR="00DE114F">
        <w:rPr>
          <w:rFonts w:ascii="Calibri" w:eastAsia="Calibri" w:hAnsi="Calibri" w:cs="Calibri"/>
          <w:bCs/>
        </w:rPr>
        <w:t xml:space="preserve">ongoing </w:t>
      </w:r>
      <w:r w:rsidR="004715C1">
        <w:rPr>
          <w:rFonts w:ascii="Calibri" w:eastAsia="Calibri" w:hAnsi="Calibri" w:cs="Calibri"/>
          <w:bCs/>
        </w:rPr>
        <w:t xml:space="preserve">monitoring </w:t>
      </w:r>
      <w:r w:rsidR="00370CC9">
        <w:rPr>
          <w:rFonts w:ascii="Calibri" w:eastAsia="Calibri" w:hAnsi="Calibri" w:cs="Calibri"/>
          <w:bCs/>
        </w:rPr>
        <w:t>requirements set out in the method, such as monitoring for disturbance events</w:t>
      </w:r>
    </w:p>
    <w:p w14:paraId="5D34D062" w14:textId="44FA1A26" w:rsidR="009410E6" w:rsidRPr="00370CC9" w:rsidRDefault="009410E6"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Reporting requirements –</w:t>
      </w:r>
      <w:r>
        <w:rPr>
          <w:rFonts w:ascii="Calibri" w:eastAsia="Calibri" w:hAnsi="Calibri" w:cs="Calibri"/>
        </w:rPr>
        <w:t xml:space="preserve"> Proponents must continue to supply offsets reports </w:t>
      </w:r>
      <w:r w:rsidR="00BC6875">
        <w:rPr>
          <w:rFonts w:ascii="Calibri" w:eastAsia="Calibri" w:hAnsi="Calibri" w:cs="Calibri"/>
        </w:rPr>
        <w:t xml:space="preserve">at least every five years, </w:t>
      </w:r>
      <w:r w:rsidR="009016FA">
        <w:rPr>
          <w:rFonts w:ascii="Calibri" w:eastAsia="Calibri" w:hAnsi="Calibri" w:cs="Calibri"/>
        </w:rPr>
        <w:t xml:space="preserve">with details of </w:t>
      </w:r>
      <w:r w:rsidR="00F05979">
        <w:rPr>
          <w:rFonts w:ascii="Calibri" w:eastAsia="Calibri" w:hAnsi="Calibri" w:cs="Calibri"/>
        </w:rPr>
        <w:t xml:space="preserve">the ongoing management of their project and </w:t>
      </w:r>
      <w:r w:rsidR="00CF3B62">
        <w:rPr>
          <w:rFonts w:ascii="Calibri" w:eastAsia="Calibri" w:hAnsi="Calibri" w:cs="Calibri"/>
        </w:rPr>
        <w:t>any reportable changes</w:t>
      </w:r>
    </w:p>
    <w:p w14:paraId="68B41DD0" w14:textId="76EBEE52" w:rsidR="003263FD" w:rsidRPr="003263FD" w:rsidRDefault="00370CC9"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Notification requirements –</w:t>
      </w:r>
      <w:r>
        <w:rPr>
          <w:rFonts w:ascii="Calibri" w:eastAsia="Calibri" w:hAnsi="Calibri" w:cs="Calibri"/>
          <w:bCs/>
        </w:rPr>
        <w:t xml:space="preserve"> Proponents must notify the </w:t>
      </w:r>
      <w:r w:rsidR="00195977">
        <w:rPr>
          <w:rFonts w:ascii="Calibri" w:eastAsia="Calibri" w:hAnsi="Calibri" w:cs="Calibri"/>
          <w:bCs/>
        </w:rPr>
        <w:t>CER</w:t>
      </w:r>
      <w:r w:rsidR="00051AC8">
        <w:rPr>
          <w:rFonts w:ascii="Calibri" w:eastAsia="Calibri" w:hAnsi="Calibri" w:cs="Calibri"/>
          <w:bCs/>
        </w:rPr>
        <w:t xml:space="preserve"> after certain events occur, such</w:t>
      </w:r>
      <w:r w:rsidR="00C81B4E">
        <w:rPr>
          <w:rFonts w:ascii="Calibri" w:eastAsia="Calibri" w:hAnsi="Calibri" w:cs="Calibri"/>
          <w:bCs/>
        </w:rPr>
        <w:t xml:space="preserve"> as when a project proponent loses legal right or </w:t>
      </w:r>
      <w:r w:rsidR="003263FD">
        <w:rPr>
          <w:rFonts w:ascii="Calibri" w:eastAsia="Calibri" w:hAnsi="Calibri" w:cs="Calibri"/>
          <w:bCs/>
        </w:rPr>
        <w:t>following a disturbance event</w:t>
      </w:r>
    </w:p>
    <w:p w14:paraId="50FA26FE" w14:textId="4B9A1885" w:rsidR="0005365F" w:rsidRPr="0005365F" w:rsidRDefault="003263FD" w:rsidP="0005365F">
      <w:pPr>
        <w:pStyle w:val="ListParagraph"/>
        <w:numPr>
          <w:ilvl w:val="0"/>
          <w:numId w:val="1"/>
        </w:numPr>
        <w:spacing w:after="0" w:line="276" w:lineRule="auto"/>
        <w:rPr>
          <w:rFonts w:ascii="Calibri" w:eastAsia="Calibri" w:hAnsi="Calibri" w:cs="Calibri"/>
        </w:rPr>
      </w:pPr>
      <w:r>
        <w:rPr>
          <w:rFonts w:ascii="Calibri" w:eastAsia="Calibri" w:hAnsi="Calibri" w:cs="Calibri"/>
          <w:b/>
        </w:rPr>
        <w:t>Recordkeeping requirements –</w:t>
      </w:r>
      <w:r>
        <w:rPr>
          <w:rFonts w:ascii="Calibri" w:eastAsia="Calibri" w:hAnsi="Calibri" w:cs="Calibri"/>
          <w:bCs/>
        </w:rPr>
        <w:t xml:space="preserve"> Proponents must maintain appropriate re</w:t>
      </w:r>
      <w:r w:rsidR="00F068AD">
        <w:rPr>
          <w:rFonts w:ascii="Calibri" w:eastAsia="Calibri" w:hAnsi="Calibri" w:cs="Calibri"/>
          <w:bCs/>
        </w:rPr>
        <w:t>cords</w:t>
      </w:r>
      <w:r w:rsidR="00E841C1">
        <w:rPr>
          <w:rFonts w:ascii="Calibri" w:eastAsia="Calibri" w:hAnsi="Calibri" w:cs="Calibri"/>
          <w:bCs/>
        </w:rPr>
        <w:t xml:space="preserve"> regarding their </w:t>
      </w:r>
      <w:r w:rsidR="008F60D9">
        <w:rPr>
          <w:rFonts w:ascii="Calibri" w:eastAsia="Calibri" w:hAnsi="Calibri" w:cs="Calibri"/>
          <w:bCs/>
        </w:rPr>
        <w:t>compliance with the ACCU Scheme including the relevant method</w:t>
      </w:r>
      <w:r w:rsidR="00A55738">
        <w:rPr>
          <w:rFonts w:ascii="Calibri" w:eastAsia="Calibri" w:hAnsi="Calibri" w:cs="Calibri"/>
          <w:bCs/>
        </w:rPr>
        <w:t xml:space="preserve"> </w:t>
      </w:r>
      <w:r w:rsidR="008F60D9">
        <w:rPr>
          <w:rFonts w:ascii="Calibri" w:eastAsia="Calibri" w:hAnsi="Calibri" w:cs="Calibri"/>
          <w:bCs/>
        </w:rPr>
        <w:t>covering the project.</w:t>
      </w:r>
    </w:p>
    <w:p w14:paraId="5D64D618" w14:textId="65F88D87" w:rsidR="00EB5F1B" w:rsidRDefault="00EB5F1B" w:rsidP="00786388">
      <w:pPr>
        <w:pStyle w:val="BodyText1"/>
        <w:spacing w:before="240" w:after="240"/>
        <w:rPr>
          <w:rFonts w:ascii="Calibri" w:eastAsia="Calibri" w:hAnsi="Calibri" w:cs="Calibri"/>
        </w:rPr>
      </w:pPr>
      <w:r w:rsidRPr="006732A7">
        <w:t>Failure</w:t>
      </w:r>
      <w:r w:rsidRPr="00786388">
        <w:rPr>
          <w:rFonts w:ascii="Calibri" w:eastAsia="Calibri" w:hAnsi="Calibri" w:cs="Calibri"/>
        </w:rPr>
        <w:t xml:space="preserve"> to </w:t>
      </w:r>
      <w:r>
        <w:rPr>
          <w:rFonts w:ascii="Calibri" w:eastAsia="Calibri" w:hAnsi="Calibri" w:cs="Calibri"/>
        </w:rPr>
        <w:t xml:space="preserve">meet one of these obligations </w:t>
      </w:r>
      <w:r w:rsidR="00E83C6B">
        <w:rPr>
          <w:rFonts w:ascii="Calibri" w:eastAsia="Calibri" w:hAnsi="Calibri" w:cs="Calibri"/>
        </w:rPr>
        <w:t xml:space="preserve">may attract civil penalties </w:t>
      </w:r>
      <w:r w:rsidR="0006112F">
        <w:rPr>
          <w:rFonts w:ascii="Calibri" w:eastAsia="Calibri" w:hAnsi="Calibri" w:cs="Calibri"/>
        </w:rPr>
        <w:t>through proceeding</w:t>
      </w:r>
      <w:r w:rsidR="00F16BED">
        <w:rPr>
          <w:rFonts w:ascii="Calibri" w:eastAsia="Calibri" w:hAnsi="Calibri" w:cs="Calibri"/>
        </w:rPr>
        <w:t>s</w:t>
      </w:r>
      <w:r w:rsidR="0006112F">
        <w:rPr>
          <w:rFonts w:ascii="Calibri" w:eastAsia="Calibri" w:hAnsi="Calibri" w:cs="Calibri"/>
        </w:rPr>
        <w:t xml:space="preserve"> brought against the project proponent </w:t>
      </w:r>
      <w:r w:rsidR="00D5386B">
        <w:rPr>
          <w:rFonts w:ascii="Calibri" w:eastAsia="Calibri" w:hAnsi="Calibri" w:cs="Calibri"/>
        </w:rPr>
        <w:t xml:space="preserve">by the </w:t>
      </w:r>
      <w:r w:rsidR="00195977">
        <w:rPr>
          <w:rFonts w:ascii="Calibri" w:eastAsia="Calibri" w:hAnsi="Calibri" w:cs="Calibri"/>
        </w:rPr>
        <w:t>CER</w:t>
      </w:r>
      <w:r w:rsidR="006732A7">
        <w:rPr>
          <w:rFonts w:ascii="Calibri" w:eastAsia="Calibri" w:hAnsi="Calibri" w:cs="Calibri"/>
        </w:rPr>
        <w:t xml:space="preserve">.  </w:t>
      </w:r>
    </w:p>
    <w:p w14:paraId="1638ED80" w14:textId="550050FC" w:rsidR="006732A7" w:rsidRDefault="006732A7" w:rsidP="15441212">
      <w:pPr>
        <w:spacing w:after="240" w:line="276" w:lineRule="auto"/>
        <w:rPr>
          <w:rFonts w:ascii="Calibri" w:eastAsia="Calibri" w:hAnsi="Calibri" w:cs="Calibri"/>
        </w:rPr>
      </w:pPr>
      <w:r>
        <w:rPr>
          <w:rFonts w:ascii="Calibri" w:eastAsia="Calibri" w:hAnsi="Calibri" w:cs="Calibri"/>
        </w:rPr>
        <w:t xml:space="preserve">The </w:t>
      </w:r>
      <w:r w:rsidR="00195977">
        <w:rPr>
          <w:rFonts w:ascii="Calibri" w:eastAsia="Calibri" w:hAnsi="Calibri" w:cs="Calibri"/>
        </w:rPr>
        <w:t>CER</w:t>
      </w:r>
      <w:r>
        <w:rPr>
          <w:rFonts w:ascii="Calibri" w:eastAsia="Calibri" w:hAnsi="Calibri" w:cs="Calibri"/>
        </w:rPr>
        <w:t xml:space="preserve"> </w:t>
      </w:r>
      <w:r w:rsidR="00C34E7A">
        <w:rPr>
          <w:rFonts w:ascii="Calibri" w:eastAsia="Calibri" w:hAnsi="Calibri" w:cs="Calibri"/>
        </w:rPr>
        <w:t xml:space="preserve">uses a range of capabilities </w:t>
      </w:r>
      <w:r w:rsidR="007F5CFC">
        <w:rPr>
          <w:rFonts w:ascii="Calibri" w:eastAsia="Calibri" w:hAnsi="Calibri" w:cs="Calibri"/>
        </w:rPr>
        <w:t xml:space="preserve">to ensure </w:t>
      </w:r>
      <w:r w:rsidR="00014706">
        <w:rPr>
          <w:rFonts w:ascii="Calibri" w:eastAsia="Calibri" w:hAnsi="Calibri" w:cs="Calibri"/>
        </w:rPr>
        <w:t xml:space="preserve">project proponents are meeting these requirements. </w:t>
      </w:r>
      <w:r w:rsidR="00407D1C">
        <w:rPr>
          <w:rFonts w:ascii="Calibri" w:eastAsia="Calibri" w:hAnsi="Calibri" w:cs="Calibri"/>
        </w:rPr>
        <w:t xml:space="preserve">We use </w:t>
      </w:r>
      <w:r w:rsidR="00D51D8C" w:rsidRPr="00D51D8C">
        <w:rPr>
          <w:rFonts w:ascii="Calibri" w:eastAsia="Calibri" w:hAnsi="Calibri" w:cs="Calibri"/>
        </w:rPr>
        <w:t>remote sensing and intelligence from other sources</w:t>
      </w:r>
      <w:r w:rsidR="00D51D8C">
        <w:rPr>
          <w:rFonts w:ascii="Calibri" w:eastAsia="Calibri" w:hAnsi="Calibri" w:cs="Calibri"/>
        </w:rPr>
        <w:t xml:space="preserve"> to</w:t>
      </w:r>
      <w:r w:rsidR="00D51D8C" w:rsidRPr="00D51D8C">
        <w:rPr>
          <w:rFonts w:ascii="Calibri" w:eastAsia="Calibri" w:hAnsi="Calibri" w:cs="Calibri"/>
        </w:rPr>
        <w:t xml:space="preserve"> monitor sequestration projects, including throughout the project's permanence period.</w:t>
      </w:r>
      <w:r w:rsidR="00634B64">
        <w:rPr>
          <w:rFonts w:ascii="Calibri" w:eastAsia="Calibri" w:hAnsi="Calibri" w:cs="Calibri"/>
        </w:rPr>
        <w:t xml:space="preserve"> </w:t>
      </w:r>
      <w:r w:rsidR="00CC5840">
        <w:rPr>
          <w:rFonts w:ascii="Calibri" w:eastAsia="Calibri" w:hAnsi="Calibri" w:cs="Calibri"/>
        </w:rPr>
        <w:t xml:space="preserve">Third parties </w:t>
      </w:r>
      <w:r w:rsidR="00CC5FFC">
        <w:rPr>
          <w:rFonts w:ascii="Calibri" w:eastAsia="Calibri" w:hAnsi="Calibri" w:cs="Calibri"/>
        </w:rPr>
        <w:t xml:space="preserve">may also </w:t>
      </w:r>
      <w:r w:rsidR="000964C2">
        <w:rPr>
          <w:rFonts w:ascii="Calibri" w:eastAsia="Calibri" w:hAnsi="Calibri" w:cs="Calibri"/>
        </w:rPr>
        <w:t xml:space="preserve">bring relevant matters to our attention for us to investigate further.  </w:t>
      </w:r>
    </w:p>
    <w:p w14:paraId="5C504BB3" w14:textId="2B7C8AED" w:rsidR="000964C2" w:rsidRDefault="000964C2" w:rsidP="15441212">
      <w:pPr>
        <w:spacing w:after="240" w:line="276" w:lineRule="auto"/>
        <w:rPr>
          <w:rFonts w:ascii="Calibri" w:eastAsia="Calibri" w:hAnsi="Calibri" w:cs="Calibri"/>
        </w:rPr>
      </w:pPr>
      <w:r>
        <w:rPr>
          <w:rFonts w:ascii="Calibri" w:eastAsia="Calibri" w:hAnsi="Calibri" w:cs="Calibri"/>
        </w:rPr>
        <w:t xml:space="preserve">In the event of non-compliance, the </w:t>
      </w:r>
      <w:r w:rsidR="00195977">
        <w:rPr>
          <w:rFonts w:ascii="Calibri" w:eastAsia="Calibri" w:hAnsi="Calibri" w:cs="Calibri"/>
        </w:rPr>
        <w:t>CER</w:t>
      </w:r>
      <w:r>
        <w:rPr>
          <w:rFonts w:ascii="Calibri" w:eastAsia="Calibri" w:hAnsi="Calibri" w:cs="Calibri"/>
        </w:rPr>
        <w:t xml:space="preserve"> responds in accordance with our </w:t>
      </w:r>
      <w:hyperlink r:id="rId27">
        <w:r w:rsidR="005F174C" w:rsidRPr="15441212">
          <w:rPr>
            <w:rStyle w:val="Hyperlink"/>
            <w:rFonts w:eastAsia="Calibri" w:cs="Calibri"/>
          </w:rPr>
          <w:t>compliance policy for education, monitoring and enforcement activities</w:t>
        </w:r>
      </w:hyperlink>
      <w:r>
        <w:rPr>
          <w:rFonts w:ascii="Calibri" w:eastAsia="Calibri" w:hAnsi="Calibri" w:cs="Calibri"/>
        </w:rPr>
        <w:t xml:space="preserve">.  </w:t>
      </w:r>
    </w:p>
    <w:p w14:paraId="28ED168E" w14:textId="3FD25161" w:rsidR="15441212" w:rsidRDefault="3016EEF3" w:rsidP="00DA26F2">
      <w:pPr>
        <w:spacing w:after="240"/>
        <w:rPr>
          <w:rFonts w:ascii="Calibri" w:eastAsia="Calibri" w:hAnsi="Calibri" w:cs="Calibri"/>
        </w:rPr>
      </w:pPr>
      <w:r w:rsidRPr="15441212">
        <w:rPr>
          <w:rFonts w:ascii="Calibri" w:eastAsia="Calibri" w:hAnsi="Calibri" w:cs="Calibri"/>
        </w:rPr>
        <w:t>For more information, refer to</w:t>
      </w:r>
      <w:r w:rsidR="39EDA3B5" w:rsidRPr="15441212">
        <w:rPr>
          <w:rFonts w:ascii="Calibri" w:eastAsia="Calibri" w:hAnsi="Calibri" w:cs="Calibri"/>
        </w:rPr>
        <w:t xml:space="preserve"> </w:t>
      </w:r>
      <w:hyperlink r:id="rId28">
        <w:r w:rsidR="39EDA3B5" w:rsidRPr="15441212">
          <w:rPr>
            <w:rStyle w:val="Hyperlink"/>
            <w:rFonts w:eastAsia="Calibri" w:cs="Calibri"/>
          </w:rPr>
          <w:t>post-crediting period obligations for sequestration projects</w:t>
        </w:r>
      </w:hyperlink>
      <w:r w:rsidR="00DA26F2">
        <w:rPr>
          <w:rFonts w:ascii="Calibri" w:eastAsia="Calibri" w:hAnsi="Calibri" w:cs="Calibri"/>
        </w:rPr>
        <w:t xml:space="preserve"> </w:t>
      </w:r>
      <w:r w:rsidR="00DA26F2" w:rsidRPr="00786388">
        <w:rPr>
          <w:rFonts w:ascii="Calibri" w:eastAsia="Calibri" w:hAnsi="Calibri" w:cs="Calibri"/>
          <w:color w:val="auto"/>
        </w:rPr>
        <w:t>and</w:t>
      </w:r>
      <w:r w:rsidR="39EDA3B5" w:rsidRPr="00786388">
        <w:rPr>
          <w:rFonts w:ascii="Calibri" w:eastAsia="Calibri" w:hAnsi="Calibri" w:cs="Calibri"/>
          <w:color w:val="auto"/>
        </w:rPr>
        <w:t xml:space="preserve"> </w:t>
      </w:r>
      <w:hyperlink r:id="rId29">
        <w:r w:rsidR="70122FC2" w:rsidRPr="15441212">
          <w:rPr>
            <w:rStyle w:val="Hyperlink"/>
            <w:rFonts w:eastAsia="Calibri" w:cs="Calibri"/>
          </w:rPr>
          <w:t>project reporting and audits</w:t>
        </w:r>
      </w:hyperlink>
      <w:r w:rsidR="00DA26F2">
        <w:t>.</w:t>
      </w:r>
      <w:r w:rsidR="70122FC2" w:rsidRPr="15441212">
        <w:rPr>
          <w:rFonts w:ascii="Calibri" w:eastAsia="Calibri" w:hAnsi="Calibri" w:cs="Calibri"/>
        </w:rPr>
        <w:t xml:space="preserve"> </w:t>
      </w:r>
    </w:p>
    <w:p w14:paraId="09E72F39" w14:textId="0F9D2706" w:rsidR="15441212" w:rsidRPr="00786388" w:rsidRDefault="78549054" w:rsidP="00441603">
      <w:pPr>
        <w:pStyle w:val="Heading4"/>
        <w:spacing w:before="0" w:after="240"/>
      </w:pPr>
      <w:r>
        <w:t>Some projects are required to submit a Forest Management Plan and a Permanence Plan. Can the FMP serve both purposes as it will typically cover all risk management strategies that would be in the permanence Plan</w:t>
      </w:r>
      <w:r w:rsidR="00B4389C">
        <w:t>?</w:t>
      </w:r>
      <w:r w:rsidRPr="00B46BFE">
        <w:rPr>
          <w:color w:val="4FC2CC" w:themeColor="accent4"/>
        </w:rPr>
        <w:t xml:space="preserve"> </w:t>
      </w:r>
    </w:p>
    <w:p w14:paraId="080BA345" w14:textId="23A30B98" w:rsidR="754E3E5A" w:rsidRDefault="58E3D365" w:rsidP="19F0E246">
      <w:pPr>
        <w:spacing w:before="240" w:after="240"/>
      </w:pPr>
      <w:r>
        <w:t>A</w:t>
      </w:r>
      <w:r w:rsidR="1FAEBC6A" w:rsidRPr="19F0E246">
        <w:t xml:space="preserve"> Forest Management Plan may be used to satisfy the requirements of both the forest management and </w:t>
      </w:r>
      <w:r w:rsidR="00FE6944">
        <w:t xml:space="preserve">the </w:t>
      </w:r>
      <w:r w:rsidR="1FAEBC6A" w:rsidRPr="19F0E246">
        <w:t xml:space="preserve">permanence </w:t>
      </w:r>
      <w:r w:rsidR="2E3ECB3D">
        <w:t>plan</w:t>
      </w:r>
      <w:r w:rsidR="1FAEBC6A" w:rsidRPr="19F0E246">
        <w:t xml:space="preserve">, provided it comprehensively addresses the specific obligations for each document under the </w:t>
      </w:r>
      <w:r w:rsidR="00182194" w:rsidRPr="00786388">
        <w:rPr>
          <w:rFonts w:ascii="Calibri" w:eastAsia="Calibri" w:hAnsi="Calibri" w:cs="Calibri"/>
          <w:iCs/>
        </w:rPr>
        <w:t>Carbon Credits (Carbon Farming Initiative) Rule 2015</w:t>
      </w:r>
      <w:r w:rsidR="00182194">
        <w:rPr>
          <w:rFonts w:ascii="Calibri" w:eastAsia="Calibri" w:hAnsi="Calibri" w:cs="Calibri"/>
          <w:i/>
        </w:rPr>
        <w:t xml:space="preserve"> </w:t>
      </w:r>
      <w:r w:rsidR="1FAEBC6A" w:rsidRPr="19F0E246">
        <w:t xml:space="preserve">under the applicable method. While the </w:t>
      </w:r>
      <w:r w:rsidR="279021A3">
        <w:t>CER</w:t>
      </w:r>
      <w:r w:rsidR="1FAEBC6A" w:rsidRPr="19F0E246">
        <w:t xml:space="preserve"> allows for a single, integrated document, it is essential that all required elements for both plans are clearly and separately addressed within the submission.</w:t>
      </w:r>
    </w:p>
    <w:p w14:paraId="3426D54B" w14:textId="05A3D944" w:rsidR="754E3E5A" w:rsidRDefault="1FAEBC6A" w:rsidP="19F0E246">
      <w:pPr>
        <w:spacing w:before="240" w:after="240"/>
      </w:pPr>
      <w:r w:rsidRPr="19F0E246">
        <w:t xml:space="preserve">Although a single document may be submitted, the </w:t>
      </w:r>
      <w:r w:rsidR="279021A3">
        <w:t>CER</w:t>
      </w:r>
      <w:r w:rsidR="77AE7B67">
        <w:t>’s</w:t>
      </w:r>
      <w:r w:rsidRPr="19F0E246">
        <w:t xml:space="preserve"> </w:t>
      </w:r>
      <w:r w:rsidR="0035262E">
        <w:t>O</w:t>
      </w:r>
      <w:r w:rsidR="0035262E" w:rsidRPr="19F0E246">
        <w:t xml:space="preserve">nline </w:t>
      </w:r>
      <w:r w:rsidR="0035262E">
        <w:t>S</w:t>
      </w:r>
      <w:r w:rsidR="0035262E" w:rsidRPr="19F0E246">
        <w:t xml:space="preserve">ervices </w:t>
      </w:r>
      <w:r w:rsidRPr="19F0E246">
        <w:t>portal requires both plans to be uploaded separately. In this case, the same combined document should be uploaded in response to both prompts to ensure compliance</w:t>
      </w:r>
      <w:r w:rsidR="00E51C5C">
        <w:t xml:space="preserve"> and </w:t>
      </w:r>
      <w:r w:rsidR="004366B4">
        <w:t>streamlined assessment of your application</w:t>
      </w:r>
      <w:r w:rsidRPr="19F0E246">
        <w:t>.</w:t>
      </w:r>
    </w:p>
    <w:p w14:paraId="3DEECD83" w14:textId="3D29E8A2" w:rsidR="754E3E5A" w:rsidRDefault="1FAEBC6A" w:rsidP="00786388">
      <w:pPr>
        <w:spacing w:after="240"/>
        <w:rPr>
          <w:rFonts w:eastAsia="Calibri" w:cs="Calibri"/>
        </w:rPr>
      </w:pPr>
      <w:r w:rsidRPr="19F0E246">
        <w:t xml:space="preserve">For further guidance, refer to </w:t>
      </w:r>
      <w:hyperlink r:id="rId30" w:anchor="reversal-events">
        <w:r w:rsidR="21825F9C" w:rsidRPr="15441212">
          <w:rPr>
            <w:rStyle w:val="Hyperlink"/>
          </w:rPr>
          <w:t>permanence obligations</w:t>
        </w:r>
      </w:hyperlink>
      <w:r w:rsidR="504E23A9">
        <w:t xml:space="preserve"> </w:t>
      </w:r>
      <w:r w:rsidR="504E23A9" w:rsidRPr="19F0E246">
        <w:rPr>
          <w:rFonts w:ascii="Calibri" w:eastAsia="Calibri" w:hAnsi="Calibri" w:cs="Calibri"/>
        </w:rPr>
        <w:t xml:space="preserve">and </w:t>
      </w:r>
      <w:hyperlink r:id="rId31">
        <w:r w:rsidR="00B4389C">
          <w:rPr>
            <w:rStyle w:val="Hyperlink"/>
            <w:rFonts w:eastAsia="Calibri" w:cs="Calibri"/>
          </w:rPr>
          <w:t>forest management plan guidance</w:t>
        </w:r>
      </w:hyperlink>
      <w:r w:rsidR="00B4389C">
        <w:t>.</w:t>
      </w:r>
    </w:p>
    <w:p w14:paraId="061F91DC" w14:textId="7C18C138" w:rsidR="15441212" w:rsidRDefault="73581ACD" w:rsidP="00441603">
      <w:pPr>
        <w:pStyle w:val="Heading4"/>
        <w:spacing w:before="0" w:after="240"/>
      </w:pPr>
      <w:r>
        <w:lastRenderedPageBreak/>
        <w:t xml:space="preserve">If a landholder undertakes an environmental planting project in stages over a few years (planting), how does this impact on the </w:t>
      </w:r>
      <w:r w:rsidR="0DD61806">
        <w:t>permanence</w:t>
      </w:r>
      <w:r>
        <w:t xml:space="preserve"> period of the project? </w:t>
      </w:r>
    </w:p>
    <w:p w14:paraId="5C23B7CF" w14:textId="01540BAC" w:rsidR="4A88CF39" w:rsidRDefault="4A88CF39" w:rsidP="19F0E246">
      <w:pPr>
        <w:spacing w:before="240" w:after="240"/>
      </w:pPr>
      <w:r w:rsidRPr="19F0E246">
        <w:t xml:space="preserve">For environmental planting projects registered under the ACCU Scheme, the permanence period begins when ACCUs are first issued </w:t>
      </w:r>
      <w:r w:rsidR="00731105">
        <w:t>to</w:t>
      </w:r>
      <w:r w:rsidR="00731105" w:rsidRPr="19F0E246">
        <w:t xml:space="preserve"> </w:t>
      </w:r>
      <w:r w:rsidRPr="19F0E246">
        <w:t>the project. This applies regardless of whether plantings are undertaken all at once or in stages over several years.</w:t>
      </w:r>
    </w:p>
    <w:p w14:paraId="0DEE260C" w14:textId="798F234D" w:rsidR="4A88CF39" w:rsidRDefault="4A88CF39" w:rsidP="19F0E246">
      <w:pPr>
        <w:spacing w:before="240" w:after="240"/>
      </w:pPr>
      <w:r w:rsidRPr="19F0E246">
        <w:t>Once ACCUs are issued, the permanence obligation applies to the entire project area from that point forward. Additional plantings can continue after the permanence period has commenced, but the start date of the permanence period remains fixed based on the initial issuance of ACCUs.</w:t>
      </w:r>
    </w:p>
    <w:p w14:paraId="6F4AE55B" w14:textId="40408FBD" w:rsidR="4A88CF39" w:rsidRDefault="4A88CF39" w:rsidP="19F0E246">
      <w:pPr>
        <w:spacing w:before="240" w:after="240"/>
      </w:pPr>
      <w:r w:rsidRPr="19F0E246">
        <w:t xml:space="preserve">Proponents should ensure that land management practices and legal arrangements support the maintenance of carbon stocks across the full permanence period. </w:t>
      </w:r>
    </w:p>
    <w:p w14:paraId="6760D981" w14:textId="5C1BC5F1" w:rsidR="15441212" w:rsidRDefault="14FB06F3" w:rsidP="00786388">
      <w:pPr>
        <w:spacing w:after="240"/>
      </w:pPr>
      <w:r w:rsidRPr="15441212">
        <w:rPr>
          <w:rFonts w:ascii="Calibri" w:eastAsia="Calibri" w:hAnsi="Calibri" w:cs="Calibri"/>
        </w:rPr>
        <w:t>For further information, please refer to</w:t>
      </w:r>
      <w:r w:rsidR="36854E6D" w:rsidRPr="15441212">
        <w:rPr>
          <w:rFonts w:ascii="Calibri" w:eastAsia="Calibri" w:hAnsi="Calibri" w:cs="Calibri"/>
        </w:rPr>
        <w:t xml:space="preserve"> </w:t>
      </w:r>
      <w:hyperlink r:id="rId32" w:anchor="reversal-events">
        <w:r w:rsidR="44E35B41" w:rsidRPr="15441212">
          <w:rPr>
            <w:rStyle w:val="Hyperlink"/>
            <w:rFonts w:eastAsia="Calibri" w:cs="Calibri"/>
          </w:rPr>
          <w:t>permanence obligations</w:t>
        </w:r>
        <w:r w:rsidR="40F6DC20" w:rsidRPr="15441212">
          <w:rPr>
            <w:rStyle w:val="Hyperlink"/>
            <w:rFonts w:eastAsia="Calibri" w:cs="Calibri"/>
          </w:rPr>
          <w:t xml:space="preserve"> </w:t>
        </w:r>
      </w:hyperlink>
      <w:r w:rsidR="0452C9B9">
        <w:t>and</w:t>
      </w:r>
      <w:r w:rsidR="6878BDB7">
        <w:t xml:space="preserve"> </w:t>
      </w:r>
      <w:hyperlink r:id="rId33">
        <w:r w:rsidR="00AA6E4D">
          <w:rPr>
            <w:rStyle w:val="Hyperlink"/>
          </w:rPr>
          <w:t>ACCU Scheme project timeline</w:t>
        </w:r>
      </w:hyperlink>
      <w:r w:rsidR="00AA6E4D">
        <w:t>.</w:t>
      </w:r>
    </w:p>
    <w:p w14:paraId="36956939" w14:textId="1E710B1A" w:rsidR="15441212" w:rsidRDefault="4A57ACE9" w:rsidP="00441603">
      <w:pPr>
        <w:pStyle w:val="Heading4"/>
        <w:spacing w:before="0" w:after="240"/>
      </w:pPr>
      <w:r>
        <w:t xml:space="preserve">Will the reporting requirements differ if it is a stacked credit project or can it be completed as usual? </w:t>
      </w:r>
    </w:p>
    <w:p w14:paraId="05651EE1" w14:textId="530938A4" w:rsidR="4A57ACE9" w:rsidRDefault="4A57ACE9" w:rsidP="19F0E246">
      <w:pPr>
        <w:spacing w:before="240" w:after="240"/>
      </w:pPr>
      <w:r w:rsidRPr="19F0E246">
        <w:t>In a stacked arrangement</w:t>
      </w:r>
      <w:r w:rsidR="00AA6E4D">
        <w:t xml:space="preserve"> – </w:t>
      </w:r>
      <w:r w:rsidRPr="19F0E246">
        <w:t>where multiple ACCU methods are applied to the same project area</w:t>
      </w:r>
      <w:r w:rsidR="00DF357F">
        <w:t>, or in combination with a Nature Repair Market project</w:t>
      </w:r>
      <w:r w:rsidR="00AA6E4D">
        <w:t xml:space="preserve"> – </w:t>
      </w:r>
      <w:r w:rsidRPr="19F0E246">
        <w:t xml:space="preserve">each </w:t>
      </w:r>
      <w:r w:rsidR="00A21501">
        <w:t xml:space="preserve">project </w:t>
      </w:r>
      <w:r w:rsidR="007B485F">
        <w:t xml:space="preserve">covered by the relevant </w:t>
      </w:r>
      <w:r w:rsidRPr="19F0E246">
        <w:t>method must be treated separate</w:t>
      </w:r>
      <w:r w:rsidR="0054124C">
        <w:t>ly</w:t>
      </w:r>
      <w:r w:rsidRPr="19F0E246" w:rsidDel="0054124C">
        <w:t xml:space="preserve"> </w:t>
      </w:r>
      <w:r w:rsidRPr="19F0E246">
        <w:t xml:space="preserve">for the </w:t>
      </w:r>
      <w:r w:rsidR="7F5D7C5C">
        <w:t>purpose</w:t>
      </w:r>
      <w:r w:rsidRPr="19F0E246">
        <w:t xml:space="preserve"> of monitoring, reporting, </w:t>
      </w:r>
      <w:r w:rsidR="0005314B">
        <w:t>auditing</w:t>
      </w:r>
      <w:r w:rsidRPr="19F0E246">
        <w:t xml:space="preserve"> and compliance.</w:t>
      </w:r>
    </w:p>
    <w:p w14:paraId="6C48FD4B" w14:textId="26C86751" w:rsidR="4A57ACE9" w:rsidRDefault="4A57ACE9" w:rsidP="19F0E246">
      <w:pPr>
        <w:spacing w:before="240" w:after="240"/>
      </w:pPr>
      <w:r w:rsidRPr="19F0E246">
        <w:t>Proponents are required to understand and meet the specific reporting</w:t>
      </w:r>
      <w:r w:rsidR="009C6855">
        <w:t>, monitoring, recordkeeping</w:t>
      </w:r>
      <w:r w:rsidRPr="19F0E246">
        <w:t xml:space="preserve"> and </w:t>
      </w:r>
      <w:r w:rsidR="009C6855">
        <w:t>notification</w:t>
      </w:r>
      <w:r w:rsidRPr="19F0E246">
        <w:t xml:space="preserve"> obligations associated with each </w:t>
      </w:r>
      <w:r w:rsidR="009C6855">
        <w:t>project</w:t>
      </w:r>
      <w:r w:rsidRPr="19F0E246">
        <w:t xml:space="preserve"> independently. This includes submitting separate reports that address the unique requirements of each methodology, even if the activities occur within the same geographic area.</w:t>
      </w:r>
      <w:r w:rsidR="00782272">
        <w:t xml:space="preserve">  However, in many cases </w:t>
      </w:r>
      <w:r w:rsidR="009D1237">
        <w:t>the</w:t>
      </w:r>
      <w:r w:rsidR="006D4D9A">
        <w:t xml:space="preserve">re may be efficiencies </w:t>
      </w:r>
      <w:r w:rsidR="00144C3E">
        <w:t xml:space="preserve">from synchronising the effort and fieldwork required to implement and report on stacked projects.  </w:t>
      </w:r>
    </w:p>
    <w:p w14:paraId="0BC37215" w14:textId="718986EE" w:rsidR="4A57ACE9" w:rsidRDefault="2C625BEB" w:rsidP="00786388">
      <w:pPr>
        <w:spacing w:after="240"/>
        <w:rPr>
          <w:rStyle w:val="Hyperlink"/>
          <w:rFonts w:asciiTheme="minorHAnsi" w:hAnsiTheme="minorHAnsi"/>
        </w:rPr>
      </w:pPr>
      <w:r>
        <w:t>For detailed guidance, please refer</w:t>
      </w:r>
      <w:r w:rsidR="1075707D">
        <w:t xml:space="preserve"> to</w:t>
      </w:r>
      <w:r w:rsidR="1E4F9724">
        <w:t xml:space="preserve"> </w:t>
      </w:r>
      <w:hyperlink r:id="rId34" w:history="1">
        <w:r w:rsidR="2A7FC09E" w:rsidRPr="15441212">
          <w:rPr>
            <w:rStyle w:val="Hyperlink"/>
          </w:rPr>
          <w:t>project reporting and audits</w:t>
        </w:r>
      </w:hyperlink>
      <w:r w:rsidR="2A7FC09E">
        <w:t xml:space="preserve"> and </w:t>
      </w:r>
      <w:hyperlink r:id="rId35">
        <w:r w:rsidR="2A7FC09E" w:rsidRPr="15441212">
          <w:rPr>
            <w:rStyle w:val="Hyperlink"/>
          </w:rPr>
          <w:t>replanting</w:t>
        </w:r>
        <w:r w:rsidR="7405A0B4" w:rsidRPr="15441212">
          <w:rPr>
            <w:rStyle w:val="Hyperlink"/>
          </w:rPr>
          <w:t xml:space="preserve"> native forest and woodland ecosystems method</w:t>
        </w:r>
      </w:hyperlink>
      <w:r w:rsidR="2A7FC09E">
        <w:t>.</w:t>
      </w:r>
    </w:p>
    <w:p w14:paraId="009322F8" w14:textId="564C8484" w:rsidR="19F0E246" w:rsidRDefault="5E77EC85" w:rsidP="00786388">
      <w:pPr>
        <w:pStyle w:val="Heading4"/>
        <w:spacing w:after="240"/>
      </w:pPr>
      <w:r>
        <w:t xml:space="preserve">How do I know what max carbon sequestration is for my project? </w:t>
      </w:r>
    </w:p>
    <w:p w14:paraId="5D78721F" w14:textId="6D71BA1F" w:rsidR="007C3B4E" w:rsidRDefault="007C3B4E" w:rsidP="19F0E246">
      <w:pPr>
        <w:rPr>
          <w:rFonts w:ascii="Calibri" w:eastAsia="Calibri" w:hAnsi="Calibri" w:cs="Calibri"/>
        </w:rPr>
      </w:pPr>
      <w:r w:rsidRPr="66F0CE50">
        <w:rPr>
          <w:rFonts w:ascii="Calibri" w:eastAsia="Calibri" w:hAnsi="Calibri" w:cs="Calibri"/>
        </w:rPr>
        <w:t xml:space="preserve">Under the ACCU Scheme, project proponents of </w:t>
      </w:r>
      <w:r w:rsidR="00A76DDF" w:rsidRPr="66F0CE50">
        <w:rPr>
          <w:rFonts w:ascii="Calibri" w:eastAsia="Calibri" w:hAnsi="Calibri" w:cs="Calibri"/>
        </w:rPr>
        <w:t>sequestration projects can apply to stop reporting on a sequestration pro</w:t>
      </w:r>
      <w:r w:rsidR="00DB1FBF" w:rsidRPr="66F0CE50">
        <w:rPr>
          <w:rFonts w:ascii="Calibri" w:eastAsia="Calibri" w:hAnsi="Calibri" w:cs="Calibri"/>
        </w:rPr>
        <w:t>ject</w:t>
      </w:r>
      <w:r w:rsidR="00A76DDF" w:rsidRPr="66F0CE50">
        <w:rPr>
          <w:rFonts w:ascii="Calibri" w:eastAsia="Calibri" w:hAnsi="Calibri" w:cs="Calibri"/>
        </w:rPr>
        <w:t xml:space="preserve">. </w:t>
      </w:r>
      <w:r w:rsidR="00DB1FBF" w:rsidRPr="66F0CE50">
        <w:rPr>
          <w:rFonts w:ascii="Calibri" w:eastAsia="Calibri" w:hAnsi="Calibri" w:cs="Calibri"/>
        </w:rPr>
        <w:t xml:space="preserve">One of the conditions </w:t>
      </w:r>
      <w:r w:rsidR="00FF1890" w:rsidRPr="66F0CE50">
        <w:rPr>
          <w:rFonts w:ascii="Calibri" w:eastAsia="Calibri" w:hAnsi="Calibri" w:cs="Calibri"/>
        </w:rPr>
        <w:t xml:space="preserve">for the </w:t>
      </w:r>
      <w:r w:rsidR="00195977" w:rsidRPr="66F0CE50">
        <w:rPr>
          <w:rFonts w:ascii="Calibri" w:eastAsia="Calibri" w:hAnsi="Calibri" w:cs="Calibri"/>
        </w:rPr>
        <w:t>CER</w:t>
      </w:r>
      <w:r w:rsidR="00FF1890" w:rsidRPr="66F0CE50">
        <w:rPr>
          <w:rFonts w:ascii="Calibri" w:eastAsia="Calibri" w:hAnsi="Calibri" w:cs="Calibri"/>
        </w:rPr>
        <w:t xml:space="preserve"> to </w:t>
      </w:r>
      <w:r w:rsidR="00DE73B3" w:rsidRPr="66F0CE50">
        <w:rPr>
          <w:rFonts w:ascii="Calibri" w:eastAsia="Calibri" w:hAnsi="Calibri" w:cs="Calibri"/>
        </w:rPr>
        <w:t xml:space="preserve">approve such an application is that the project has reached in maximum carbon sequestration capacity.  </w:t>
      </w:r>
    </w:p>
    <w:p w14:paraId="08CBFE9A" w14:textId="6A7AA7BC" w:rsidR="5E77EC85" w:rsidRDefault="5E77EC85" w:rsidP="19F0E246">
      <w:r w:rsidRPr="66F0CE50">
        <w:rPr>
          <w:rFonts w:ascii="Calibri" w:eastAsia="Calibri" w:hAnsi="Calibri" w:cs="Calibri"/>
        </w:rPr>
        <w:t>The concept of maximum carbon sequestration varies depending on the method applied to your project. To determine it accurately, you must refer to the specific method</w:t>
      </w:r>
      <w:r w:rsidR="007306A9" w:rsidRPr="66F0CE50">
        <w:rPr>
          <w:rFonts w:ascii="Calibri" w:eastAsia="Calibri" w:hAnsi="Calibri" w:cs="Calibri"/>
        </w:rPr>
        <w:t>, supporting</w:t>
      </w:r>
      <w:r w:rsidRPr="66F0CE50">
        <w:rPr>
          <w:rFonts w:ascii="Calibri" w:eastAsia="Calibri" w:hAnsi="Calibri" w:cs="Calibri"/>
        </w:rPr>
        <w:t xml:space="preserve"> guidelines and, where applicable, use modelling tools or consult independent experts.</w:t>
      </w:r>
    </w:p>
    <w:p w14:paraId="7A36B9C1" w14:textId="665D41D0" w:rsidR="5E77EC85" w:rsidRDefault="5E77EC85" w:rsidP="19F0E246">
      <w:pPr>
        <w:spacing w:before="240" w:after="240"/>
      </w:pPr>
      <w:r w:rsidRPr="19F0E246">
        <w:rPr>
          <w:rFonts w:ascii="Calibri" w:eastAsia="Calibri" w:hAnsi="Calibri" w:cs="Calibri"/>
          <w:szCs w:val="22"/>
        </w:rPr>
        <w:t>Under the ACCU Scheme,</w:t>
      </w:r>
      <w:r w:rsidRPr="19F0E246">
        <w:rPr>
          <w:rFonts w:ascii="Calibri" w:eastAsia="Calibri" w:hAnsi="Calibri" w:cs="Calibri"/>
          <w:b/>
          <w:bCs/>
          <w:szCs w:val="22"/>
        </w:rPr>
        <w:t xml:space="preserve"> </w:t>
      </w:r>
      <w:r w:rsidRPr="19F0E246">
        <w:rPr>
          <w:rFonts w:ascii="Calibri" w:eastAsia="Calibri" w:hAnsi="Calibri" w:cs="Calibri"/>
          <w:szCs w:val="22"/>
        </w:rPr>
        <w:t>the definition and calculation of maximum carbon sequestration depend on the method used to estimate abatement. Some methods</w:t>
      </w:r>
      <w:r w:rsidR="002C5D4F">
        <w:t xml:space="preserve"> – </w:t>
      </w:r>
      <w:r w:rsidRPr="19F0E246">
        <w:rPr>
          <w:rFonts w:ascii="Calibri" w:eastAsia="Calibri" w:hAnsi="Calibri" w:cs="Calibri"/>
          <w:szCs w:val="22"/>
        </w:rPr>
        <w:t>such as plantation forestry</w:t>
      </w:r>
      <w:r w:rsidR="002C5D4F">
        <w:t xml:space="preserve"> – </w:t>
      </w:r>
      <w:r w:rsidRPr="19F0E246">
        <w:rPr>
          <w:rFonts w:ascii="Calibri" w:eastAsia="Calibri" w:hAnsi="Calibri" w:cs="Calibri"/>
          <w:szCs w:val="22"/>
        </w:rPr>
        <w:t>incorporate long-term carbon modelling, allowing proponents to estimate carbon stocks over a 100-year period. In these cases, the method itself provides a framework for understanding the upper bounds of sequestration potential.</w:t>
      </w:r>
    </w:p>
    <w:p w14:paraId="32613C71" w14:textId="1DCCB756" w:rsidR="5E77EC85" w:rsidRDefault="5E77EC85" w:rsidP="19F0E246">
      <w:pPr>
        <w:spacing w:before="240" w:after="240"/>
      </w:pPr>
      <w:r w:rsidRPr="19F0E246">
        <w:rPr>
          <w:rFonts w:ascii="Calibri" w:eastAsia="Calibri" w:hAnsi="Calibri" w:cs="Calibri"/>
          <w:szCs w:val="22"/>
        </w:rPr>
        <w:t>For other methods, such as Human-Induced Regeneration (HIR) or environmental plantings, the concept may not be explicitly defined. Instead, proponents may need to rely on:</w:t>
      </w:r>
    </w:p>
    <w:p w14:paraId="7C6265C2" w14:textId="55D364BA"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m</w:t>
      </w:r>
      <w:r w:rsidR="5E77EC85" w:rsidRPr="19F0E246">
        <w:rPr>
          <w:rFonts w:ascii="Calibri" w:eastAsia="Calibri" w:hAnsi="Calibri" w:cs="Calibri"/>
          <w:szCs w:val="22"/>
        </w:rPr>
        <w:t>odelled growth curves and biomass accumulation data</w:t>
      </w:r>
    </w:p>
    <w:p w14:paraId="665A40D6" w14:textId="17D73C88"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r</w:t>
      </w:r>
      <w:r w:rsidR="5E77EC85" w:rsidRPr="19F0E246">
        <w:rPr>
          <w:rFonts w:ascii="Calibri" w:eastAsia="Calibri" w:hAnsi="Calibri" w:cs="Calibri"/>
          <w:szCs w:val="22"/>
        </w:rPr>
        <w:t>emote sensing and field measurements</w:t>
      </w:r>
    </w:p>
    <w:p w14:paraId="5298D926" w14:textId="41A8F8F5"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t</w:t>
      </w:r>
      <w:r w:rsidR="5E77EC85" w:rsidRPr="19F0E246">
        <w:rPr>
          <w:rFonts w:ascii="Calibri" w:eastAsia="Calibri" w:hAnsi="Calibri" w:cs="Calibri"/>
          <w:szCs w:val="22"/>
        </w:rPr>
        <w:t>hird-party expert assessments to validate sequestration estimates</w:t>
      </w:r>
    </w:p>
    <w:p w14:paraId="32398AF1" w14:textId="66B41A01"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lastRenderedPageBreak/>
        <w:t>m</w:t>
      </w:r>
      <w:r w:rsidR="5E77EC85" w:rsidRPr="19F0E246">
        <w:rPr>
          <w:rFonts w:ascii="Calibri" w:eastAsia="Calibri" w:hAnsi="Calibri" w:cs="Calibri"/>
          <w:szCs w:val="22"/>
        </w:rPr>
        <w:t>ethod-specific guidance on carbon estimation and reporting</w:t>
      </w:r>
      <w:r>
        <w:rPr>
          <w:rFonts w:ascii="Calibri" w:eastAsia="Calibri" w:hAnsi="Calibri" w:cs="Calibri"/>
          <w:szCs w:val="22"/>
        </w:rPr>
        <w:t>.</w:t>
      </w:r>
    </w:p>
    <w:p w14:paraId="693E6026" w14:textId="5C91B057" w:rsidR="5E77EC85" w:rsidRDefault="5E77EC85" w:rsidP="19F0E246">
      <w:pPr>
        <w:spacing w:before="240" w:after="240"/>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recommends that proponents review the applicable method determination and supporting documentation to understand how carbon sequestration is quantified. For modelled methods, tools such as the CFI Reforestation Modelling Tool </w:t>
      </w:r>
      <w:r w:rsidR="007306A9" w:rsidRPr="66F0CE50">
        <w:rPr>
          <w:rFonts w:ascii="Calibri" w:eastAsia="Calibri" w:hAnsi="Calibri" w:cs="Calibri"/>
        </w:rPr>
        <w:t xml:space="preserve">and the Full Carbon </w:t>
      </w:r>
      <w:r w:rsidR="00F57B9F" w:rsidRPr="66F0CE50">
        <w:rPr>
          <w:rFonts w:ascii="Calibri" w:eastAsia="Calibri" w:hAnsi="Calibri" w:cs="Calibri"/>
        </w:rPr>
        <w:t>Accounting Model</w:t>
      </w:r>
      <w:r w:rsidRPr="66F0CE50">
        <w:rPr>
          <w:rFonts w:ascii="Calibri" w:eastAsia="Calibri" w:hAnsi="Calibri" w:cs="Calibri"/>
        </w:rPr>
        <w:t xml:space="preserve"> may be available to assist in estimating sequestration over time.</w:t>
      </w:r>
    </w:p>
    <w:p w14:paraId="0FAC5E40" w14:textId="74D39351" w:rsidR="5E77EC85" w:rsidRDefault="5E77EC85" w:rsidP="19F0E246">
      <w:pPr>
        <w:spacing w:before="240" w:after="240"/>
        <w:rPr>
          <w:rFonts w:ascii="Calibri" w:eastAsia="Calibri" w:hAnsi="Calibri" w:cs="Calibri"/>
        </w:rPr>
      </w:pPr>
      <w:r w:rsidRPr="66F0CE50">
        <w:rPr>
          <w:rFonts w:ascii="Calibri" w:eastAsia="Calibri" w:hAnsi="Calibri" w:cs="Calibri"/>
        </w:rPr>
        <w:t xml:space="preserve">It is also advisable to consult with the </w:t>
      </w:r>
      <w:r w:rsidR="279021A3" w:rsidRPr="66F0CE50">
        <w:rPr>
          <w:rFonts w:ascii="Calibri" w:eastAsia="Calibri" w:hAnsi="Calibri" w:cs="Calibri"/>
        </w:rPr>
        <w:t>CER</w:t>
      </w:r>
      <w:r w:rsidR="4A0AF24D" w:rsidRPr="66F0CE50">
        <w:rPr>
          <w:rFonts w:ascii="Calibri" w:eastAsia="Calibri" w:hAnsi="Calibri" w:cs="Calibri"/>
        </w:rPr>
        <w:t xml:space="preserve"> or a</w:t>
      </w:r>
      <w:r w:rsidRPr="66F0CE50">
        <w:rPr>
          <w:rFonts w:ascii="Calibri" w:eastAsia="Calibri" w:hAnsi="Calibri" w:cs="Calibri"/>
        </w:rPr>
        <w:t xml:space="preserve"> carbon service provider to ensure your approach aligns with regulatory expectations and can be independently verified.</w:t>
      </w:r>
      <w:r w:rsidR="00ED5F40" w:rsidRPr="66F0CE50">
        <w:rPr>
          <w:rFonts w:ascii="Calibri" w:eastAsia="Calibri" w:hAnsi="Calibri" w:cs="Calibri"/>
        </w:rPr>
        <w:t xml:space="preserve"> </w:t>
      </w:r>
    </w:p>
    <w:p w14:paraId="0D0A127B" w14:textId="0EAC6B1B" w:rsidR="00AF6512" w:rsidRPr="00786388" w:rsidRDefault="00AF6512" w:rsidP="19F0E246">
      <w:pPr>
        <w:spacing w:before="240" w:after="240"/>
        <w:rPr>
          <w:rFonts w:eastAsia="Calibri"/>
          <w:b/>
        </w:rPr>
      </w:pPr>
      <w:r w:rsidRPr="66F0CE50">
        <w:rPr>
          <w:rFonts w:ascii="Calibri" w:eastAsia="Calibri" w:hAnsi="Calibri" w:cs="Calibri"/>
        </w:rPr>
        <w:t xml:space="preserve">The </w:t>
      </w:r>
      <w:r w:rsidR="00195977" w:rsidRPr="66F0CE50">
        <w:rPr>
          <w:rFonts w:ascii="Calibri" w:eastAsia="Calibri" w:hAnsi="Calibri" w:cs="Calibri"/>
        </w:rPr>
        <w:t>CER</w:t>
      </w:r>
      <w:r w:rsidRPr="66F0CE50">
        <w:rPr>
          <w:rFonts w:ascii="Calibri" w:eastAsia="Calibri" w:hAnsi="Calibri" w:cs="Calibri"/>
        </w:rPr>
        <w:t xml:space="preserve"> will assess each </w:t>
      </w:r>
      <w:r w:rsidR="00BB65D8" w:rsidRPr="66F0CE50">
        <w:rPr>
          <w:rFonts w:eastAsia="Calibri"/>
          <w:b/>
        </w:rPr>
        <w:t>Application to stop reporting on a sequestration project</w:t>
      </w:r>
      <w:r w:rsidR="00BB65D8" w:rsidRPr="00786388">
        <w:rPr>
          <w:rFonts w:eastAsia="Calibri"/>
        </w:rPr>
        <w:t xml:space="preserve"> on</w:t>
      </w:r>
      <w:r w:rsidR="00BB65D8" w:rsidRPr="66F0CE50">
        <w:rPr>
          <w:rFonts w:eastAsia="Calibri"/>
        </w:rPr>
        <w:t xml:space="preserve"> a case-by-case basis.</w:t>
      </w:r>
    </w:p>
    <w:p w14:paraId="0D60708B" w14:textId="5B39E55A" w:rsidR="15441212" w:rsidRDefault="2235EDBD" w:rsidP="00786388">
      <w:pPr>
        <w:spacing w:after="240"/>
        <w:rPr>
          <w:rFonts w:ascii="Aptos" w:eastAsia="Aptos" w:hAnsi="Aptos" w:cs="Aptos"/>
        </w:rPr>
      </w:pPr>
      <w:r w:rsidRPr="62F714E9">
        <w:rPr>
          <w:rFonts w:ascii="Calibri" w:eastAsia="Calibri" w:hAnsi="Calibri" w:cs="Calibri"/>
        </w:rPr>
        <w:t xml:space="preserve">For more information, refer to </w:t>
      </w:r>
      <w:hyperlink r:id="rId36">
        <w:r w:rsidR="4DCF92AE" w:rsidRPr="15441212">
          <w:rPr>
            <w:rStyle w:val="Hyperlink"/>
            <w:rFonts w:eastAsia="Calibri" w:cs="Calibri"/>
          </w:rPr>
          <w:t>post</w:t>
        </w:r>
        <w:r w:rsidR="0183CAEB" w:rsidRPr="62F714E9">
          <w:rPr>
            <w:rStyle w:val="Hyperlink"/>
            <w:rFonts w:eastAsia="Calibri" w:cs="Calibri"/>
          </w:rPr>
          <w:t>-crediting period obligations for sequestration projects</w:t>
        </w:r>
      </w:hyperlink>
      <w:r w:rsidR="4DCF92AE" w:rsidRPr="15441212">
        <w:rPr>
          <w:rFonts w:ascii="Calibri" w:eastAsia="Calibri" w:hAnsi="Calibri" w:cs="Calibri"/>
        </w:rPr>
        <w:t>,</w:t>
      </w:r>
      <w:r w:rsidR="0183CAEB" w:rsidRPr="15441212">
        <w:rPr>
          <w:rFonts w:ascii="Calibri" w:eastAsia="Calibri" w:hAnsi="Calibri" w:cs="Calibri"/>
        </w:rPr>
        <w:t xml:space="preserve"> </w:t>
      </w:r>
      <w:hyperlink r:id="rId37">
        <w:r w:rsidR="4DCF92AE" w:rsidRPr="15441212">
          <w:rPr>
            <w:rStyle w:val="Hyperlink"/>
            <w:rFonts w:eastAsia="Calibri" w:cs="Calibri"/>
          </w:rPr>
          <w:t>project</w:t>
        </w:r>
        <w:r w:rsidRPr="15441212">
          <w:rPr>
            <w:rStyle w:val="Hyperlink"/>
            <w:rFonts w:eastAsia="Calibri" w:cs="Calibri"/>
          </w:rPr>
          <w:t xml:space="preserve"> reporting and audits</w:t>
        </w:r>
      </w:hyperlink>
      <w:r w:rsidRPr="15441212">
        <w:rPr>
          <w:rFonts w:ascii="Calibri" w:eastAsia="Calibri" w:hAnsi="Calibri" w:cs="Calibri"/>
        </w:rPr>
        <w:t xml:space="preserve"> and </w:t>
      </w:r>
      <w:hyperlink r:id="rId38">
        <w:r w:rsidRPr="15441212">
          <w:rPr>
            <w:rStyle w:val="Hyperlink"/>
            <w:rFonts w:eastAsia="Calibri" w:cs="Calibri"/>
          </w:rPr>
          <w:t>ACCU Scheme methods</w:t>
        </w:r>
      </w:hyperlink>
      <w:r w:rsidR="4DCF92AE" w:rsidRPr="15441212">
        <w:rPr>
          <w:rFonts w:ascii="Calibri" w:eastAsia="Calibri" w:hAnsi="Calibri" w:cs="Calibri"/>
        </w:rPr>
        <w:t xml:space="preserve">. </w:t>
      </w:r>
      <w:r w:rsidR="242393B5" w:rsidRPr="15441212">
        <w:rPr>
          <w:rFonts w:ascii="Aptos" w:eastAsia="Aptos" w:hAnsi="Aptos" w:cs="Aptos"/>
        </w:rPr>
        <w:t xml:space="preserve"> </w:t>
      </w:r>
    </w:p>
    <w:p w14:paraId="4947992E" w14:textId="4D1718E0" w:rsidR="19F0E246" w:rsidRDefault="48450747" w:rsidP="15441212">
      <w:pPr>
        <w:pStyle w:val="Heading4"/>
      </w:pPr>
      <w:r>
        <w:t xml:space="preserve">Does a project registered under the Avoided Deforestation methodology fall under the requirements for sequestration projects? </w:t>
      </w:r>
      <w:r w:rsidRPr="19F0E246">
        <w:rPr>
          <w:color w:val="4FC2CC" w:themeColor="accent4"/>
        </w:rPr>
        <w:t xml:space="preserve"> </w:t>
      </w:r>
    </w:p>
    <w:p w14:paraId="2CE76F2C" w14:textId="216BC52A" w:rsidR="48450747" w:rsidRPr="00786388" w:rsidRDefault="3FA209FC" w:rsidP="19F0E246">
      <w:pPr>
        <w:spacing w:before="240" w:after="240"/>
        <w:rPr>
          <w:rFonts w:ascii="Calibri" w:eastAsia="Calibri" w:hAnsi="Calibri" w:cs="Calibri"/>
          <w:szCs w:val="22"/>
        </w:rPr>
      </w:pPr>
      <w:r w:rsidRPr="00786388">
        <w:rPr>
          <w:rFonts w:ascii="Calibri" w:eastAsia="Calibri" w:hAnsi="Calibri" w:cs="Calibri"/>
          <w:szCs w:val="22"/>
        </w:rPr>
        <w:t>P</w:t>
      </w:r>
      <w:r w:rsidR="080D3CA8" w:rsidRPr="00786388">
        <w:rPr>
          <w:rFonts w:ascii="Calibri" w:eastAsia="Calibri" w:hAnsi="Calibri" w:cs="Calibri"/>
          <w:szCs w:val="22"/>
        </w:rPr>
        <w:t>rojects</w:t>
      </w:r>
      <w:r w:rsidR="48450747" w:rsidRPr="00786388">
        <w:rPr>
          <w:rFonts w:ascii="Calibri" w:eastAsia="Calibri" w:hAnsi="Calibri" w:cs="Calibri"/>
          <w:szCs w:val="22"/>
        </w:rPr>
        <w:t xml:space="preserve"> registered under the Avoided Deforestation methodology are classified as sequestration projects under the ACCU Scheme. As such, they are subject to the same permanence obligations and reporting requirements that apply to other sequestration methods.</w:t>
      </w:r>
    </w:p>
    <w:p w14:paraId="350240C1" w14:textId="24C2471E" w:rsidR="48450747" w:rsidRPr="00786388" w:rsidRDefault="48450747" w:rsidP="19F0E246">
      <w:pPr>
        <w:spacing w:before="240" w:after="240"/>
        <w:rPr>
          <w:rFonts w:ascii="Calibri" w:eastAsia="Calibri" w:hAnsi="Calibri" w:cs="Calibri"/>
        </w:rPr>
      </w:pPr>
      <w:r w:rsidRPr="00786388">
        <w:rPr>
          <w:rFonts w:ascii="Calibri" w:eastAsia="Calibri" w:hAnsi="Calibri" w:cs="Calibri"/>
        </w:rPr>
        <w:t xml:space="preserve">Once a project's crediting period ends, it enters the </w:t>
      </w:r>
      <w:r w:rsidR="005345F8" w:rsidRPr="66F0CE50">
        <w:rPr>
          <w:rFonts w:ascii="Calibri" w:eastAsia="Calibri" w:hAnsi="Calibri" w:cs="Calibri"/>
        </w:rPr>
        <w:t xml:space="preserve">post-crediting </w:t>
      </w:r>
      <w:r w:rsidRPr="66F0CE50">
        <w:rPr>
          <w:rFonts w:ascii="Calibri" w:eastAsia="Calibri" w:hAnsi="Calibri" w:cs="Calibri"/>
        </w:rPr>
        <w:t>permanence period, during which proponents must continue to demonstrate compliance with permanence obligations. This includes submitting reports at specified intervals, even after credits are no longer being issued.</w:t>
      </w:r>
      <w:r w:rsidR="00645155" w:rsidRPr="66F0CE50">
        <w:rPr>
          <w:rFonts w:ascii="Calibri" w:eastAsia="Calibri" w:hAnsi="Calibri" w:cs="Calibri"/>
        </w:rPr>
        <w:t xml:space="preserve"> </w:t>
      </w:r>
      <w:r w:rsidRPr="00786388">
        <w:rPr>
          <w:rFonts w:ascii="Calibri" w:eastAsia="Calibri" w:hAnsi="Calibri" w:cs="Calibri"/>
        </w:rPr>
        <w:t xml:space="preserve">These requirements </w:t>
      </w:r>
      <w:r w:rsidR="00645155" w:rsidRPr="66F0CE50">
        <w:rPr>
          <w:rFonts w:ascii="Calibri" w:eastAsia="Calibri" w:hAnsi="Calibri" w:cs="Calibri"/>
        </w:rPr>
        <w:t xml:space="preserve">also </w:t>
      </w:r>
      <w:r w:rsidRPr="00786388">
        <w:rPr>
          <w:rFonts w:ascii="Calibri" w:eastAsia="Calibri" w:hAnsi="Calibri" w:cs="Calibri"/>
        </w:rPr>
        <w:t>apply to Avoided Deforestation projects</w:t>
      </w:r>
      <w:r w:rsidR="00645155" w:rsidRPr="66F0CE50">
        <w:rPr>
          <w:rFonts w:ascii="Calibri" w:eastAsia="Calibri" w:hAnsi="Calibri" w:cs="Calibri"/>
        </w:rPr>
        <w:t xml:space="preserve"> as a type of sequestration project</w:t>
      </w:r>
      <w:r w:rsidRPr="00786388">
        <w:rPr>
          <w:rFonts w:ascii="Calibri" w:eastAsia="Calibri" w:hAnsi="Calibri" w:cs="Calibri"/>
        </w:rPr>
        <w:t xml:space="preserve">. </w:t>
      </w:r>
    </w:p>
    <w:p w14:paraId="2A64C271" w14:textId="28C8436B" w:rsidR="0C0DB3BE" w:rsidRDefault="48450747" w:rsidP="00786388">
      <w:pPr>
        <w:spacing w:before="240"/>
        <w:rPr>
          <w:rFonts w:ascii="Calibri" w:eastAsia="Calibri" w:hAnsi="Calibri" w:cs="Calibri"/>
        </w:rPr>
      </w:pPr>
      <w:r w:rsidRPr="0C0DB3BE">
        <w:rPr>
          <w:rFonts w:ascii="Calibri" w:eastAsia="Calibri" w:hAnsi="Calibri" w:cs="Calibri"/>
          <w:sz w:val="24"/>
        </w:rPr>
        <w:t>For further details, please refer to</w:t>
      </w:r>
      <w:r w:rsidR="35D838A5" w:rsidRPr="0C0DB3BE">
        <w:rPr>
          <w:rFonts w:ascii="Calibri" w:eastAsia="Calibri" w:hAnsi="Calibri" w:cs="Calibri"/>
          <w:sz w:val="24"/>
        </w:rPr>
        <w:t xml:space="preserve"> </w:t>
      </w:r>
      <w:hyperlink r:id="rId39" w:anchor="reversal-events" w:history="1">
        <w:r w:rsidR="35D838A5" w:rsidRPr="0C0DB3BE">
          <w:rPr>
            <w:rStyle w:val="Hyperlink"/>
            <w:rFonts w:eastAsia="Calibri" w:cs="Calibri"/>
          </w:rPr>
          <w:t>permanence obligations</w:t>
        </w:r>
      </w:hyperlink>
      <w:r w:rsidR="7C45E487" w:rsidRPr="0C0DB3BE">
        <w:rPr>
          <w:rFonts w:ascii="Calibri" w:eastAsia="Calibri" w:hAnsi="Calibri" w:cs="Calibri"/>
        </w:rPr>
        <w:t xml:space="preserve"> </w:t>
      </w:r>
      <w:r w:rsidR="0C0DB3BE" w:rsidRPr="0C0DB3BE">
        <w:rPr>
          <w:rFonts w:ascii="Calibri" w:eastAsia="Calibri" w:hAnsi="Calibri" w:cs="Calibri"/>
        </w:rPr>
        <w:t>and</w:t>
      </w:r>
      <w:r w:rsidR="2F1265A2" w:rsidRPr="0C0DB3BE">
        <w:rPr>
          <w:rFonts w:ascii="Calibri" w:eastAsia="Calibri" w:hAnsi="Calibri" w:cs="Calibri"/>
        </w:rPr>
        <w:t xml:space="preserve"> </w:t>
      </w:r>
      <w:hyperlink r:id="rId40">
        <w:r w:rsidR="2F1265A2" w:rsidRPr="0C0DB3BE">
          <w:rPr>
            <w:rStyle w:val="Hyperlink"/>
            <w:rFonts w:eastAsia="Calibri" w:cs="Calibri"/>
          </w:rPr>
          <w:t>post-crediting period obligations for sequestration projects</w:t>
        </w:r>
      </w:hyperlink>
      <w:r w:rsidR="00441603" w:rsidRPr="15441212">
        <w:rPr>
          <w:rFonts w:ascii="Calibri" w:eastAsia="Calibri" w:hAnsi="Calibri" w:cs="Calibri"/>
        </w:rPr>
        <w:t xml:space="preserve">. </w:t>
      </w:r>
      <w:r w:rsidR="00441603" w:rsidRPr="15441212">
        <w:rPr>
          <w:rFonts w:ascii="Aptos" w:eastAsia="Aptos" w:hAnsi="Aptos" w:cs="Aptos"/>
        </w:rPr>
        <w:t xml:space="preserve"> </w:t>
      </w:r>
    </w:p>
    <w:p w14:paraId="4AA7E983" w14:textId="29BC498E" w:rsidR="19F0E246" w:rsidRDefault="6BB517EF" w:rsidP="00786388">
      <w:pPr>
        <w:pStyle w:val="Heading4"/>
      </w:pPr>
      <w:r>
        <w:t xml:space="preserve">How are permanence period monitoring and reporting obligations applied in projects with an alternative assurance arrangement? </w:t>
      </w:r>
    </w:p>
    <w:p w14:paraId="6A61EB3E" w14:textId="4A2E502C" w:rsidR="6BB517EF" w:rsidRDefault="6BB517EF" w:rsidP="19F0E246">
      <w:pPr>
        <w:spacing w:before="240" w:after="240"/>
      </w:pPr>
      <w:r w:rsidRPr="66F0CE50">
        <w:rPr>
          <w:rFonts w:ascii="Calibri" w:eastAsia="Calibri" w:hAnsi="Calibri" w:cs="Calibri"/>
        </w:rPr>
        <w:t>For projects operating under an alternative assurance arrangement</w:t>
      </w:r>
      <w:r w:rsidR="003339D4">
        <w:t xml:space="preserve"> – </w:t>
      </w:r>
      <w:r w:rsidRPr="66F0CE50">
        <w:rPr>
          <w:rFonts w:ascii="Calibri" w:eastAsia="Calibri" w:hAnsi="Calibri" w:cs="Calibri"/>
        </w:rPr>
        <w:t>such as certain environmental plantings or plantation forestry projects</w:t>
      </w:r>
      <w:r w:rsidR="003339D4">
        <w:t xml:space="preserve"> – </w:t>
      </w: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may waive or reduce the requirement to submit audit reports at standard intervals. However, this arrangement does </w:t>
      </w:r>
      <w:r w:rsidRPr="00786388">
        <w:rPr>
          <w:rFonts w:ascii="Calibri" w:eastAsia="Calibri" w:hAnsi="Calibri" w:cs="Calibri"/>
          <w:bCs/>
        </w:rPr>
        <w:t>not</w:t>
      </w:r>
      <w:r w:rsidRPr="66F0CE50">
        <w:rPr>
          <w:rFonts w:ascii="Calibri" w:eastAsia="Calibri" w:hAnsi="Calibri" w:cs="Calibri"/>
        </w:rPr>
        <w:t xml:space="preserve"> remove the obligation to undertake monitoring or to </w:t>
      </w:r>
      <w:r w:rsidR="00645155" w:rsidRPr="66F0CE50">
        <w:rPr>
          <w:rFonts w:ascii="Calibri" w:eastAsia="Calibri" w:hAnsi="Calibri" w:cs="Calibri"/>
        </w:rPr>
        <w:t>notify us of</w:t>
      </w:r>
      <w:r w:rsidRPr="66F0CE50">
        <w:rPr>
          <w:rFonts w:ascii="Calibri" w:eastAsia="Calibri" w:hAnsi="Calibri" w:cs="Calibri"/>
        </w:rPr>
        <w:t xml:space="preserve"> reversal events during the permanence period.</w:t>
      </w:r>
    </w:p>
    <w:p w14:paraId="11FAB035" w14:textId="51B232E3" w:rsidR="6BB517EF" w:rsidRDefault="6BB517EF" w:rsidP="19F0E246">
      <w:pPr>
        <w:spacing w:before="240" w:after="240"/>
      </w:pPr>
      <w:r w:rsidRPr="66F0CE50">
        <w:rPr>
          <w:rFonts w:ascii="Calibri" w:eastAsia="Calibri" w:hAnsi="Calibri" w:cs="Calibri"/>
        </w:rPr>
        <w:t xml:space="preserve">Under the </w:t>
      </w:r>
      <w:r w:rsidRPr="00786388">
        <w:rPr>
          <w:rFonts w:ascii="Calibri" w:eastAsia="Calibri" w:hAnsi="Calibri" w:cs="Calibri"/>
          <w:i/>
        </w:rPr>
        <w:t>Carbon Credits (Carbon Farming Initiative) Act 2011</w:t>
      </w:r>
      <w:r w:rsidRPr="66F0CE50">
        <w:rPr>
          <w:rFonts w:ascii="Calibri" w:eastAsia="Calibri" w:hAnsi="Calibri" w:cs="Calibri"/>
        </w:rPr>
        <w:t xml:space="preserve">, all sequestration projects must continue to meet the monitoring and notification requirements </w:t>
      </w:r>
      <w:r w:rsidR="00645155" w:rsidRPr="66F0CE50">
        <w:rPr>
          <w:rFonts w:ascii="Calibri" w:eastAsia="Calibri" w:hAnsi="Calibri" w:cs="Calibri"/>
        </w:rPr>
        <w:t>as</w:t>
      </w:r>
      <w:r w:rsidRPr="66F0CE50">
        <w:rPr>
          <w:rFonts w:ascii="Calibri" w:eastAsia="Calibri" w:hAnsi="Calibri" w:cs="Calibri"/>
        </w:rPr>
        <w:t xml:space="preserve"> outlined in </w:t>
      </w:r>
      <w:r w:rsidR="000678BB" w:rsidRPr="66F0CE50">
        <w:rPr>
          <w:rFonts w:ascii="Calibri" w:eastAsia="Calibri" w:hAnsi="Calibri" w:cs="Calibri"/>
        </w:rPr>
        <w:t>ACCU Scheme legislation and</w:t>
      </w:r>
      <w:r w:rsidRPr="66F0CE50">
        <w:rPr>
          <w:rFonts w:ascii="Calibri" w:eastAsia="Calibri" w:hAnsi="Calibri" w:cs="Calibri"/>
        </w:rPr>
        <w:t xml:space="preserve"> the applicable method, regardless of whether audit requirements have been modified. This includes:</w:t>
      </w:r>
    </w:p>
    <w:p w14:paraId="2969BA5E" w14:textId="5BE9639E"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c</w:t>
      </w:r>
      <w:r w:rsidR="6BB517EF" w:rsidRPr="19F0E246">
        <w:rPr>
          <w:rFonts w:ascii="Calibri" w:eastAsia="Calibri" w:hAnsi="Calibri" w:cs="Calibri"/>
          <w:szCs w:val="22"/>
        </w:rPr>
        <w:t>onducting regular monitoring of carbon stocks and project conditions</w:t>
      </w:r>
    </w:p>
    <w:p w14:paraId="16946ED5" w14:textId="3BC448D0"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n</w:t>
      </w:r>
      <w:r w:rsidR="6BB517EF" w:rsidRPr="19F0E246">
        <w:rPr>
          <w:rFonts w:ascii="Calibri" w:eastAsia="Calibri" w:hAnsi="Calibri" w:cs="Calibri"/>
          <w:szCs w:val="22"/>
        </w:rPr>
        <w:t>otifying the Regulator of any significant reversal events</w:t>
      </w:r>
    </w:p>
    <w:p w14:paraId="1FC20912" w14:textId="3EC252B6"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s</w:t>
      </w:r>
      <w:r w:rsidR="6BB517EF" w:rsidRPr="19F0E246">
        <w:rPr>
          <w:rFonts w:ascii="Calibri" w:eastAsia="Calibri" w:hAnsi="Calibri" w:cs="Calibri"/>
          <w:szCs w:val="22"/>
        </w:rPr>
        <w:t>ubmitting offsets reports at least once every five years during the permanence period</w:t>
      </w:r>
      <w:r>
        <w:rPr>
          <w:rFonts w:ascii="Calibri" w:eastAsia="Calibri" w:hAnsi="Calibri" w:cs="Calibri"/>
          <w:szCs w:val="22"/>
        </w:rPr>
        <w:t>.</w:t>
      </w:r>
    </w:p>
    <w:p w14:paraId="3DC8323B" w14:textId="513CB034" w:rsidR="6BB517EF" w:rsidRDefault="25B766B9" w:rsidP="19F0E246">
      <w:pPr>
        <w:spacing w:before="240" w:after="240"/>
      </w:pPr>
      <w:r w:rsidRPr="62F714E9">
        <w:rPr>
          <w:rFonts w:ascii="Calibri" w:eastAsia="Calibri" w:hAnsi="Calibri" w:cs="Calibri"/>
        </w:rPr>
        <w:t>U</w:t>
      </w:r>
      <w:r w:rsidR="5A2E2DEB" w:rsidRPr="62F714E9">
        <w:rPr>
          <w:rFonts w:ascii="Calibri" w:eastAsia="Calibri" w:hAnsi="Calibri" w:cs="Calibri"/>
        </w:rPr>
        <w:t>nder</w:t>
      </w:r>
      <w:r w:rsidR="6BB517EF" w:rsidRPr="62F714E9">
        <w:rPr>
          <w:rFonts w:ascii="Calibri" w:eastAsia="Calibri" w:hAnsi="Calibri" w:cs="Calibri"/>
        </w:rPr>
        <w:t xml:space="preserve"> alternative assurance</w:t>
      </w:r>
      <w:r w:rsidR="000C6864" w:rsidRPr="62F714E9">
        <w:rPr>
          <w:rFonts w:ascii="Calibri" w:eastAsia="Calibri" w:hAnsi="Calibri" w:cs="Calibri"/>
        </w:rPr>
        <w:t xml:space="preserve"> arrangement</w:t>
      </w:r>
      <w:r w:rsidR="6BB517EF" w:rsidRPr="62F714E9">
        <w:rPr>
          <w:rFonts w:ascii="Calibri" w:eastAsia="Calibri" w:hAnsi="Calibri" w:cs="Calibri"/>
        </w:rPr>
        <w:t xml:space="preserve">, the </w:t>
      </w:r>
      <w:r w:rsidR="279021A3" w:rsidRPr="66F0CE50">
        <w:rPr>
          <w:rFonts w:ascii="Calibri" w:eastAsia="Calibri" w:hAnsi="Calibri" w:cs="Calibri"/>
        </w:rPr>
        <w:t>CER</w:t>
      </w:r>
      <w:r w:rsidR="6BB517EF" w:rsidRPr="62F714E9" w:rsidDel="000C6864">
        <w:rPr>
          <w:rFonts w:ascii="Calibri" w:eastAsia="Calibri" w:hAnsi="Calibri" w:cs="Calibri"/>
        </w:rPr>
        <w:t xml:space="preserve"> </w:t>
      </w:r>
      <w:r w:rsidR="6BB517EF" w:rsidRPr="62F714E9">
        <w:rPr>
          <w:rFonts w:ascii="Calibri" w:eastAsia="Calibri" w:hAnsi="Calibri" w:cs="Calibri"/>
        </w:rPr>
        <w:t>undertake</w:t>
      </w:r>
      <w:r w:rsidR="000C6864" w:rsidRPr="62F714E9">
        <w:rPr>
          <w:rFonts w:ascii="Calibri" w:eastAsia="Calibri" w:hAnsi="Calibri" w:cs="Calibri"/>
        </w:rPr>
        <w:t>s</w:t>
      </w:r>
      <w:r w:rsidR="6BB517EF" w:rsidRPr="62F714E9">
        <w:rPr>
          <w:rFonts w:ascii="Calibri" w:eastAsia="Calibri" w:hAnsi="Calibri" w:cs="Calibri"/>
        </w:rPr>
        <w:t xml:space="preserve"> regular monitoring activities, which may include</w:t>
      </w:r>
      <w:r w:rsidR="6BB517EF" w:rsidRPr="62F714E9">
        <w:rPr>
          <w:rFonts w:ascii="Calibri" w:eastAsia="Calibri" w:hAnsi="Calibri" w:cs="Calibri"/>
          <w:b/>
        </w:rPr>
        <w:t xml:space="preserve"> </w:t>
      </w:r>
      <w:r w:rsidR="6BB517EF" w:rsidRPr="62F714E9">
        <w:rPr>
          <w:rFonts w:ascii="Calibri" w:eastAsia="Calibri" w:hAnsi="Calibri" w:cs="Calibri"/>
        </w:rPr>
        <w:t>geospatial checks, remote sensing, and other verification methods. These processes help ensure that credited sequestration is based on actual carbon abatement achieved. ACCUs will only be issued where verified sequestration has occurred.</w:t>
      </w:r>
    </w:p>
    <w:p w14:paraId="69BBE0F7" w14:textId="57E2D487" w:rsidR="6BB517EF" w:rsidRDefault="6BB517EF" w:rsidP="19F0E246">
      <w:pPr>
        <w:spacing w:before="240" w:after="240"/>
        <w:rPr>
          <w:rFonts w:ascii="Calibri" w:eastAsia="Calibri" w:hAnsi="Calibri" w:cs="Calibri"/>
          <w:szCs w:val="22"/>
        </w:rPr>
      </w:pPr>
      <w:r w:rsidRPr="19F0E246">
        <w:rPr>
          <w:rFonts w:ascii="Calibri" w:eastAsia="Calibri" w:hAnsi="Calibri" w:cs="Calibri"/>
          <w:szCs w:val="22"/>
        </w:rPr>
        <w:lastRenderedPageBreak/>
        <w:t>The alternative assurance arrangement simply adjusts the audit component of the compliance process</w:t>
      </w:r>
      <w:r w:rsidR="000700E2">
        <w:t xml:space="preserve"> – </w:t>
      </w:r>
      <w:r w:rsidRPr="19F0E246">
        <w:rPr>
          <w:rFonts w:ascii="Calibri" w:eastAsia="Calibri" w:hAnsi="Calibri" w:cs="Calibri"/>
          <w:szCs w:val="22"/>
        </w:rPr>
        <w:t>it does not exempt projects from their broader reporting and permanence obligations.</w:t>
      </w:r>
      <w:r w:rsidR="00B26F67">
        <w:rPr>
          <w:rFonts w:ascii="Calibri" w:eastAsia="Calibri" w:hAnsi="Calibri" w:cs="Calibri"/>
          <w:szCs w:val="22"/>
        </w:rPr>
        <w:t xml:space="preserve"> </w:t>
      </w:r>
    </w:p>
    <w:p w14:paraId="7498A30E" w14:textId="1D478649" w:rsidR="00A42390" w:rsidRDefault="00A42390" w:rsidP="19F0E246">
      <w:pPr>
        <w:spacing w:before="240" w:after="240"/>
      </w:pPr>
      <w:r>
        <w:rPr>
          <w:rFonts w:ascii="Calibri" w:eastAsia="Calibri" w:hAnsi="Calibri" w:cs="Calibri"/>
          <w:szCs w:val="22"/>
        </w:rPr>
        <w:t xml:space="preserve">The CER provides additional support to projects that </w:t>
      </w:r>
      <w:r w:rsidR="00C238D2">
        <w:rPr>
          <w:rFonts w:ascii="Calibri" w:eastAsia="Calibri" w:hAnsi="Calibri" w:cs="Calibri"/>
          <w:szCs w:val="22"/>
        </w:rPr>
        <w:t xml:space="preserve">are participating under the </w:t>
      </w:r>
      <w:hyperlink r:id="rId41" w:history="1">
        <w:r w:rsidR="00C238D2" w:rsidRPr="00C238D2">
          <w:rPr>
            <w:rStyle w:val="Hyperlink"/>
            <w:rFonts w:eastAsia="Calibri" w:cs="Calibri"/>
            <w:szCs w:val="22"/>
          </w:rPr>
          <w:t>Environmental Plantings Pilot</w:t>
        </w:r>
      </w:hyperlink>
      <w:r w:rsidR="00C238D2">
        <w:rPr>
          <w:rFonts w:ascii="Calibri" w:eastAsia="Calibri" w:hAnsi="Calibri" w:cs="Calibri"/>
          <w:szCs w:val="22"/>
        </w:rPr>
        <w:t>.</w:t>
      </w:r>
    </w:p>
    <w:p w14:paraId="4999EB08" w14:textId="34003308" w:rsidR="15441212" w:rsidRDefault="6BB517EF" w:rsidP="00441603">
      <w:pPr>
        <w:spacing w:before="240" w:after="240"/>
        <w:rPr>
          <w:rFonts w:ascii="Calibri" w:eastAsia="Calibri" w:hAnsi="Calibri" w:cs="Calibri"/>
        </w:rPr>
      </w:pPr>
      <w:r w:rsidRPr="15441212">
        <w:rPr>
          <w:rFonts w:ascii="Calibri" w:eastAsia="Calibri" w:hAnsi="Calibri" w:cs="Calibri"/>
        </w:rPr>
        <w:t xml:space="preserve">For further information, refer to </w:t>
      </w:r>
      <w:hyperlink r:id="rId42">
        <w:r w:rsidR="4CCC4BF6" w:rsidRPr="15441212">
          <w:rPr>
            <w:rStyle w:val="Hyperlink"/>
            <w:rFonts w:eastAsia="Calibri" w:cs="Calibri"/>
          </w:rPr>
          <w:t>project</w:t>
        </w:r>
        <w:r w:rsidRPr="19F0E246">
          <w:rPr>
            <w:rStyle w:val="Hyperlink"/>
            <w:rFonts w:eastAsia="Calibri" w:cs="Calibri"/>
          </w:rPr>
          <w:t xml:space="preserve"> reporting and audits</w:t>
        </w:r>
      </w:hyperlink>
      <w:r w:rsidRPr="19F0E246">
        <w:rPr>
          <w:rFonts w:ascii="Calibri" w:eastAsia="Calibri" w:hAnsi="Calibri" w:cs="Calibri"/>
        </w:rPr>
        <w:t xml:space="preserve"> and </w:t>
      </w:r>
      <w:hyperlink r:id="rId43">
        <w:r w:rsidRPr="19F0E246">
          <w:rPr>
            <w:rStyle w:val="Hyperlink"/>
            <w:rFonts w:eastAsia="Calibri" w:cs="Calibri"/>
          </w:rPr>
          <w:t>Audit Thresholds Instrument</w:t>
        </w:r>
      </w:hyperlink>
      <w:r w:rsidR="00441603">
        <w:t>.</w:t>
      </w:r>
    </w:p>
    <w:p w14:paraId="2F84928F" w14:textId="6F61F3AA" w:rsidR="19F0E246" w:rsidRDefault="44065350" w:rsidP="00786388">
      <w:pPr>
        <w:pStyle w:val="Heading4"/>
        <w:spacing w:after="240"/>
      </w:pPr>
      <w:r>
        <w:t xml:space="preserve">Is there a template checklist for physical project monitoring required for </w:t>
      </w:r>
      <w:r w:rsidR="3CEE5170">
        <w:t>EP projects?</w:t>
      </w:r>
    </w:p>
    <w:p w14:paraId="6243DDCB" w14:textId="77777777" w:rsidR="00394411" w:rsidRDefault="44065350" w:rsidP="19F0E246">
      <w:pPr>
        <w:rPr>
          <w:rFonts w:ascii="Calibri" w:eastAsia="Calibri" w:hAnsi="Calibri" w:cs="Calibri"/>
        </w:rPr>
      </w:pPr>
      <w:r w:rsidRPr="62F714E9">
        <w:rPr>
          <w:rFonts w:ascii="Calibri" w:eastAsia="Calibri" w:hAnsi="Calibri" w:cs="Calibri"/>
        </w:rPr>
        <w:t xml:space="preserve">There is currently no publicly available template checklist specifically for physical project monitoring of environmental plantings projects published by the </w:t>
      </w:r>
      <w:r w:rsidR="279021A3" w:rsidRPr="66F0CE50">
        <w:rPr>
          <w:rFonts w:ascii="Calibri" w:eastAsia="Calibri" w:hAnsi="Calibri" w:cs="Calibri"/>
        </w:rPr>
        <w:t>CER</w:t>
      </w:r>
      <w:r w:rsidR="77BE181F" w:rsidRPr="66F0CE50">
        <w:rPr>
          <w:rFonts w:ascii="Calibri" w:eastAsia="Calibri" w:hAnsi="Calibri" w:cs="Calibri"/>
        </w:rPr>
        <w:t>.</w:t>
      </w:r>
      <w:r w:rsidRPr="62F714E9">
        <w:rPr>
          <w:rFonts w:ascii="Calibri" w:eastAsia="Calibri" w:hAnsi="Calibri" w:cs="Calibri"/>
        </w:rPr>
        <w:t xml:space="preserve"> </w:t>
      </w:r>
      <w:r w:rsidR="4C342EF7" w:rsidRPr="62F714E9">
        <w:rPr>
          <w:rFonts w:ascii="Calibri" w:eastAsia="Calibri" w:hAnsi="Calibri" w:cs="Calibri"/>
        </w:rPr>
        <w:t>The</w:t>
      </w:r>
      <w:r w:rsidR="00010A40" w:rsidRPr="62F714E9">
        <w:rPr>
          <w:rFonts w:ascii="Calibri" w:eastAsia="Calibri" w:hAnsi="Calibri" w:cs="Calibri"/>
        </w:rPr>
        <w:t xml:space="preserve"> monitoring obligations are outlined in the </w:t>
      </w:r>
      <w:r w:rsidR="00156D23" w:rsidRPr="62F714E9">
        <w:rPr>
          <w:rFonts w:ascii="Calibri" w:eastAsia="Calibri" w:hAnsi="Calibri" w:cs="Calibri"/>
        </w:rPr>
        <w:t xml:space="preserve">methodology. </w:t>
      </w:r>
      <w:r w:rsidR="00902F48" w:rsidRPr="62F714E9">
        <w:rPr>
          <w:rFonts w:ascii="Calibri" w:eastAsia="Calibri" w:hAnsi="Calibri" w:cs="Calibri"/>
        </w:rPr>
        <w:t xml:space="preserve">Proponents are encouraged to consult the </w:t>
      </w:r>
      <w:r w:rsidR="00F2201A" w:rsidRPr="62F714E9">
        <w:rPr>
          <w:rFonts w:ascii="Calibri" w:eastAsia="Calibri" w:hAnsi="Calibri" w:cs="Calibri"/>
        </w:rPr>
        <w:t>methodology</w:t>
      </w:r>
      <w:r w:rsidR="004E5C45" w:rsidRPr="62F714E9">
        <w:rPr>
          <w:rFonts w:ascii="Calibri" w:eastAsia="Calibri" w:hAnsi="Calibri" w:cs="Calibri"/>
        </w:rPr>
        <w:t xml:space="preserve"> applicable to their project</w:t>
      </w:r>
      <w:r w:rsidR="00F2201A" w:rsidRPr="62F714E9">
        <w:rPr>
          <w:rFonts w:ascii="Calibri" w:eastAsia="Calibri" w:hAnsi="Calibri" w:cs="Calibri"/>
        </w:rPr>
        <w:t>:</w:t>
      </w:r>
      <w:r w:rsidR="004E5C45" w:rsidRPr="62F714E9">
        <w:rPr>
          <w:rFonts w:ascii="Calibri" w:eastAsia="Calibri" w:hAnsi="Calibri" w:cs="Calibri"/>
        </w:rPr>
        <w:t xml:space="preserve"> </w:t>
      </w:r>
    </w:p>
    <w:p w14:paraId="1D3BF207" w14:textId="77777777" w:rsidR="00394411" w:rsidRDefault="004E5C45" w:rsidP="00394411">
      <w:pPr>
        <w:pStyle w:val="CERbullets"/>
        <w:rPr>
          <w:rFonts w:ascii="Calibri" w:eastAsia="Calibri" w:hAnsi="Calibri" w:cs="Calibri"/>
        </w:rPr>
      </w:pPr>
      <w:r w:rsidRPr="62F714E9">
        <w:rPr>
          <w:rFonts w:ascii="Calibri" w:eastAsia="Calibri" w:hAnsi="Calibri" w:cs="Calibri"/>
        </w:rPr>
        <w:t>the</w:t>
      </w:r>
      <w:r w:rsidR="00F2201A" w:rsidRPr="62F714E9">
        <w:rPr>
          <w:rFonts w:ascii="Calibri" w:eastAsia="Calibri" w:hAnsi="Calibri" w:cs="Calibri"/>
        </w:rPr>
        <w:t xml:space="preserve"> </w:t>
      </w:r>
      <w:hyperlink r:id="rId44" w:history="1">
        <w:r w:rsidR="00F2201A" w:rsidRPr="62F714E9">
          <w:rPr>
            <w:rStyle w:val="Hyperlink"/>
            <w:rFonts w:eastAsia="Calibri" w:cs="Calibri"/>
          </w:rPr>
          <w:t>Environmental Plantings 2014</w:t>
        </w:r>
      </w:hyperlink>
      <w:r w:rsidR="00F2201A" w:rsidRPr="62F714E9">
        <w:rPr>
          <w:rFonts w:ascii="Calibri" w:eastAsia="Calibri" w:hAnsi="Calibri" w:cs="Calibri"/>
        </w:rPr>
        <w:t xml:space="preserve"> method</w:t>
      </w:r>
      <w:r w:rsidR="00394411">
        <w:rPr>
          <w:rFonts w:ascii="Calibri" w:eastAsia="Calibri" w:hAnsi="Calibri" w:cs="Calibri"/>
        </w:rPr>
        <w:t>,</w:t>
      </w:r>
      <w:r w:rsidR="00F2201A" w:rsidRPr="62F714E9">
        <w:rPr>
          <w:rFonts w:ascii="Calibri" w:eastAsia="Calibri" w:hAnsi="Calibri" w:cs="Calibri"/>
        </w:rPr>
        <w:t xml:space="preserve"> or </w:t>
      </w:r>
    </w:p>
    <w:p w14:paraId="753E8827" w14:textId="5A44D212" w:rsidR="009D4B55" w:rsidRDefault="00F2201A" w:rsidP="00394411">
      <w:pPr>
        <w:pStyle w:val="CERbullets"/>
        <w:rPr>
          <w:rFonts w:ascii="Calibri" w:eastAsia="Calibri" w:hAnsi="Calibri" w:cs="Calibri"/>
        </w:rPr>
      </w:pPr>
      <w:r w:rsidRPr="62F714E9">
        <w:rPr>
          <w:rFonts w:ascii="Calibri" w:eastAsia="Calibri" w:hAnsi="Calibri" w:cs="Calibri"/>
        </w:rPr>
        <w:t xml:space="preserve">the </w:t>
      </w:r>
      <w:hyperlink r:id="rId45" w:history="1">
        <w:r w:rsidRPr="62F714E9">
          <w:rPr>
            <w:rStyle w:val="Hyperlink"/>
            <w:rFonts w:eastAsia="Calibri" w:cs="Calibri"/>
          </w:rPr>
          <w:t>Environmental Plantings 2024</w:t>
        </w:r>
      </w:hyperlink>
      <w:r w:rsidRPr="62F714E9">
        <w:rPr>
          <w:rFonts w:ascii="Calibri" w:eastAsia="Calibri" w:hAnsi="Calibri" w:cs="Calibri"/>
        </w:rPr>
        <w:t xml:space="preserve"> metho</w:t>
      </w:r>
      <w:r w:rsidR="004E5C45" w:rsidRPr="62F714E9">
        <w:rPr>
          <w:rFonts w:ascii="Calibri" w:eastAsia="Calibri" w:hAnsi="Calibri" w:cs="Calibri"/>
        </w:rPr>
        <w:t>d</w:t>
      </w:r>
      <w:r w:rsidR="005061B5" w:rsidRPr="62F714E9">
        <w:rPr>
          <w:rFonts w:ascii="Calibri" w:eastAsia="Calibri" w:hAnsi="Calibri" w:cs="Calibri"/>
        </w:rPr>
        <w:t>.</w:t>
      </w:r>
      <w:r w:rsidR="00613B2D" w:rsidRPr="62F714E9" w:rsidDel="00010A40">
        <w:rPr>
          <w:rFonts w:ascii="Calibri" w:eastAsia="Calibri" w:hAnsi="Calibri" w:cs="Calibri"/>
        </w:rPr>
        <w:t xml:space="preserve"> </w:t>
      </w:r>
    </w:p>
    <w:p w14:paraId="7182D06C" w14:textId="2D16A3F5" w:rsidR="15441212" w:rsidRDefault="009D4B55" w:rsidP="00786388">
      <w:pPr>
        <w:spacing w:after="240"/>
        <w:rPr>
          <w:rFonts w:ascii="Calibri" w:eastAsia="Calibri" w:hAnsi="Calibri" w:cs="Calibri"/>
        </w:rPr>
      </w:pPr>
      <w:r w:rsidRPr="62F714E9">
        <w:rPr>
          <w:rFonts w:ascii="Calibri" w:eastAsia="Calibri" w:hAnsi="Calibri" w:cs="Calibri"/>
        </w:rPr>
        <w:t>It is an obligation of the p</w:t>
      </w:r>
      <w:r w:rsidR="00CD38E7" w:rsidRPr="62F714E9">
        <w:rPr>
          <w:rFonts w:ascii="Calibri" w:eastAsia="Calibri" w:hAnsi="Calibri" w:cs="Calibri"/>
        </w:rPr>
        <w:t xml:space="preserve">roponent </w:t>
      </w:r>
      <w:r w:rsidR="44065350" w:rsidRPr="62F714E9">
        <w:rPr>
          <w:rFonts w:ascii="Calibri" w:eastAsia="Calibri" w:hAnsi="Calibri" w:cs="Calibri"/>
        </w:rPr>
        <w:t>to meet monitoring and reporting requirements as outlined in the relevant method and guidance materials.</w:t>
      </w:r>
      <w:r w:rsidR="00682C67" w:rsidRPr="62F714E9">
        <w:rPr>
          <w:rFonts w:ascii="Calibri" w:eastAsia="Calibri" w:hAnsi="Calibri" w:cs="Calibri"/>
        </w:rPr>
        <w:t xml:space="preserve"> </w:t>
      </w:r>
    </w:p>
    <w:p w14:paraId="31DFFC42" w14:textId="46F7E602" w:rsidR="00F9111E" w:rsidRDefault="00F9111E" w:rsidP="00786388">
      <w:pPr>
        <w:pStyle w:val="Heading4"/>
      </w:pPr>
      <w:r>
        <w:t xml:space="preserve">Is there any auditing requirement post completion of crediting period and prior to end of permeance period </w:t>
      </w:r>
      <w:r w:rsidR="00FA1397">
        <w:t xml:space="preserve">– </w:t>
      </w:r>
      <w:r>
        <w:t>i.e</w:t>
      </w:r>
      <w:r w:rsidR="499B9A17">
        <w:t>.</w:t>
      </w:r>
      <w:r>
        <w:t xml:space="preserve"> for a 100</w:t>
      </w:r>
      <w:r w:rsidR="0149D9D6">
        <w:t>-</w:t>
      </w:r>
      <w:r>
        <w:t xml:space="preserve">year EP project, are there any audits post crediting and pre end of permanence? </w:t>
      </w:r>
    </w:p>
    <w:p w14:paraId="787EF491" w14:textId="2092A2B1" w:rsidR="00134EAA" w:rsidRDefault="00F9111E" w:rsidP="00F9111E">
      <w:pPr>
        <w:spacing w:before="240" w:after="240"/>
        <w:rPr>
          <w:rFonts w:ascii="Calibri" w:eastAsia="Calibri" w:hAnsi="Calibri" w:cs="Calibri"/>
        </w:rPr>
      </w:pPr>
      <w:r w:rsidRPr="66F0CE50">
        <w:rPr>
          <w:rFonts w:ascii="Calibri" w:eastAsia="Calibri" w:hAnsi="Calibri" w:cs="Calibri"/>
        </w:rPr>
        <w:t xml:space="preserve">While there are no scheduled audit requirements after the end of the crediting period, the </w:t>
      </w:r>
      <w:r w:rsidR="279021A3" w:rsidRPr="66F0CE50">
        <w:rPr>
          <w:rFonts w:ascii="Calibri" w:eastAsia="Calibri" w:hAnsi="Calibri" w:cs="Calibri"/>
        </w:rPr>
        <w:t>CER</w:t>
      </w:r>
      <w:r w:rsidRPr="66F0CE50">
        <w:rPr>
          <w:rFonts w:ascii="Calibri" w:eastAsia="Calibri" w:hAnsi="Calibri" w:cs="Calibri"/>
        </w:rPr>
        <w:t xml:space="preserve"> may still initiate a compliance audit at any time during the permanence period</w:t>
      </w:r>
      <w:r w:rsidR="000835E7" w:rsidRPr="66F0CE50">
        <w:rPr>
          <w:rFonts w:ascii="Calibri" w:eastAsia="Calibri" w:hAnsi="Calibri" w:cs="Calibri"/>
        </w:rPr>
        <w:t xml:space="preserve">. </w:t>
      </w:r>
      <w:proofErr w:type="gramStart"/>
      <w:r w:rsidR="00F67C39" w:rsidRPr="66F0CE50">
        <w:rPr>
          <w:rFonts w:ascii="Calibri" w:eastAsia="Calibri" w:hAnsi="Calibri" w:cs="Calibri"/>
        </w:rPr>
        <w:t>In particular, audit</w:t>
      </w:r>
      <w:proofErr w:type="gramEnd"/>
      <w:r w:rsidR="00F67C39" w:rsidRPr="66F0CE50">
        <w:rPr>
          <w:rFonts w:ascii="Calibri" w:eastAsia="Calibri" w:hAnsi="Calibri" w:cs="Calibri"/>
        </w:rPr>
        <w:t xml:space="preserve"> may be used to </w:t>
      </w:r>
      <w:r w:rsidR="506E947A" w:rsidRPr="66F0CE50">
        <w:rPr>
          <w:rFonts w:ascii="Calibri" w:eastAsia="Calibri" w:hAnsi="Calibri" w:cs="Calibri"/>
        </w:rPr>
        <w:t>respon</w:t>
      </w:r>
      <w:r w:rsidR="7922137F" w:rsidRPr="66F0CE50">
        <w:rPr>
          <w:rFonts w:ascii="Calibri" w:eastAsia="Calibri" w:hAnsi="Calibri" w:cs="Calibri"/>
        </w:rPr>
        <w:t>d</w:t>
      </w:r>
      <w:r w:rsidRPr="66F0CE50">
        <w:rPr>
          <w:rFonts w:ascii="Calibri" w:eastAsia="Calibri" w:hAnsi="Calibri" w:cs="Calibri"/>
        </w:rPr>
        <w:t xml:space="preserve"> to a reversal event or </w:t>
      </w:r>
      <w:r w:rsidR="00F67C39" w:rsidRPr="66F0CE50">
        <w:rPr>
          <w:rFonts w:ascii="Calibri" w:eastAsia="Calibri" w:hAnsi="Calibri" w:cs="Calibri"/>
        </w:rPr>
        <w:t xml:space="preserve">following identification </w:t>
      </w:r>
      <w:r w:rsidR="008573F2" w:rsidRPr="66F0CE50">
        <w:rPr>
          <w:rFonts w:ascii="Calibri" w:eastAsia="Calibri" w:hAnsi="Calibri" w:cs="Calibri"/>
        </w:rPr>
        <w:t xml:space="preserve">of </w:t>
      </w:r>
      <w:r w:rsidR="001C70D6" w:rsidRPr="66F0CE50">
        <w:rPr>
          <w:rFonts w:ascii="Calibri" w:eastAsia="Calibri" w:hAnsi="Calibri" w:cs="Calibri"/>
        </w:rPr>
        <w:t xml:space="preserve">a </w:t>
      </w:r>
      <w:r w:rsidRPr="66F0CE50">
        <w:rPr>
          <w:rFonts w:ascii="Calibri" w:eastAsia="Calibri" w:hAnsi="Calibri" w:cs="Calibri"/>
        </w:rPr>
        <w:t>compliance concern</w:t>
      </w:r>
      <w:r w:rsidR="00654C69" w:rsidRPr="66F0CE50">
        <w:rPr>
          <w:rFonts w:ascii="Calibri" w:eastAsia="Calibri" w:hAnsi="Calibri" w:cs="Calibri"/>
        </w:rPr>
        <w:t>, for example</w:t>
      </w:r>
      <w:r w:rsidR="00FA1397">
        <w:rPr>
          <w:rFonts w:ascii="Calibri" w:eastAsia="Calibri" w:hAnsi="Calibri" w:cs="Calibri"/>
        </w:rPr>
        <w:t xml:space="preserve"> if</w:t>
      </w:r>
      <w:r w:rsidR="058575B7" w:rsidRPr="66F0CE50">
        <w:rPr>
          <w:rFonts w:ascii="Calibri" w:eastAsia="Calibri" w:hAnsi="Calibri" w:cs="Calibri"/>
        </w:rPr>
        <w:t>:</w:t>
      </w:r>
    </w:p>
    <w:p w14:paraId="680C7118" w14:textId="01336196"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a</w:t>
      </w:r>
      <w:r w:rsidR="00654C69" w:rsidRPr="66F0CE50">
        <w:rPr>
          <w:rFonts w:ascii="Calibri" w:eastAsia="Calibri" w:hAnsi="Calibri" w:cs="Calibri"/>
        </w:rPr>
        <w:t xml:space="preserve"> significant reversal event occurs (e.g. fire, drought, clearing)</w:t>
      </w:r>
    </w:p>
    <w:p w14:paraId="405B86D3" w14:textId="6C62575F"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t</w:t>
      </w:r>
      <w:r w:rsidR="00654C69" w:rsidRPr="66F0CE50">
        <w:rPr>
          <w:rFonts w:ascii="Calibri" w:eastAsia="Calibri" w:hAnsi="Calibri" w:cs="Calibri"/>
        </w:rPr>
        <w:t>here is evidence of non-compliance with method requirements</w:t>
      </w:r>
    </w:p>
    <w:p w14:paraId="12503614" w14:textId="2F2EA621"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a</w:t>
      </w:r>
      <w:r w:rsidR="00654C69" w:rsidRPr="7AEF43CB">
        <w:rPr>
          <w:rFonts w:ascii="Calibri" w:eastAsia="Calibri" w:hAnsi="Calibri" w:cs="Calibri"/>
        </w:rPr>
        <w:t>dditional verification is needed to ensure the integrity of credited abatement</w:t>
      </w:r>
      <w:r>
        <w:rPr>
          <w:rFonts w:ascii="Calibri" w:eastAsia="Calibri" w:hAnsi="Calibri" w:cs="Calibri"/>
        </w:rPr>
        <w:t>.</w:t>
      </w:r>
    </w:p>
    <w:p w14:paraId="5729A1BE" w14:textId="6874EBA4" w:rsidR="00F9111E" w:rsidRPr="00CD09E5" w:rsidRDefault="05B7A815" w:rsidP="7AEF43CB">
      <w:pPr>
        <w:spacing w:before="240" w:after="240"/>
        <w:rPr>
          <w:rFonts w:ascii="Calibri" w:eastAsia="Calibri" w:hAnsi="Calibri" w:cs="Calibri"/>
        </w:rPr>
      </w:pPr>
      <w:r w:rsidRPr="7AEF43CB">
        <w:rPr>
          <w:rFonts w:ascii="Calibri" w:eastAsia="Calibri" w:hAnsi="Calibri" w:cs="Calibri"/>
        </w:rPr>
        <w:t>These audits help ensure that carbon stores are maintained in accordance with the project’s permanence obligations and that the integrity of the ACCU Scheme is upheld.</w:t>
      </w:r>
    </w:p>
    <w:p w14:paraId="5926EDF9" w14:textId="7AE7ABC2" w:rsidR="00F9111E" w:rsidRPr="00CD09E5" w:rsidRDefault="00F9111E" w:rsidP="00F9111E">
      <w:pPr>
        <w:spacing w:before="240" w:after="240"/>
        <w:rPr>
          <w:rFonts w:ascii="Calibri" w:eastAsia="Calibri" w:hAnsi="Calibri" w:cs="Calibri"/>
        </w:rPr>
      </w:pPr>
      <w:r w:rsidRPr="7AEF43CB">
        <w:rPr>
          <w:rFonts w:ascii="Calibri" w:eastAsia="Calibri" w:hAnsi="Calibri" w:cs="Calibri"/>
        </w:rPr>
        <w:t xml:space="preserve">For projects with a 100-year permanence period, such as those registered under the Environmental Plantings method, the obligation to maintain carbon stocks continues well beyond the crediting period. Although proponents are not required to submit audits at regular intervals after crediting ends, they must continue to meet all monitoring, reporting, </w:t>
      </w:r>
      <w:r w:rsidR="00A3253D" w:rsidRPr="7AEF43CB">
        <w:rPr>
          <w:rFonts w:ascii="Calibri" w:eastAsia="Calibri" w:hAnsi="Calibri" w:cs="Calibri"/>
        </w:rPr>
        <w:t>recordkeeping</w:t>
      </w:r>
      <w:r w:rsidRPr="7AEF43CB">
        <w:rPr>
          <w:rFonts w:ascii="Calibri" w:eastAsia="Calibri" w:hAnsi="Calibri" w:cs="Calibri"/>
        </w:rPr>
        <w:t xml:space="preserve"> and notification obligations throughout the permanence period.</w:t>
      </w:r>
    </w:p>
    <w:p w14:paraId="45EDF16E" w14:textId="176C7A59" w:rsidR="00F9111E" w:rsidRDefault="00F9111E" w:rsidP="00786388">
      <w:pPr>
        <w:spacing w:after="240"/>
        <w:rPr>
          <w:rStyle w:val="Hyperlink"/>
          <w:rFonts w:ascii="Aptos" w:eastAsia="Aptos" w:hAnsi="Aptos" w:cs="Aptos"/>
        </w:rPr>
      </w:pPr>
      <w:r w:rsidRPr="15441212">
        <w:rPr>
          <w:rFonts w:ascii="Calibri" w:eastAsia="Calibri" w:hAnsi="Calibri" w:cs="Calibri"/>
        </w:rPr>
        <w:t xml:space="preserve">For more information, refer to </w:t>
      </w:r>
      <w:hyperlink r:id="rId46">
        <w:r w:rsidR="6FB59E18" w:rsidRPr="15441212">
          <w:rPr>
            <w:rStyle w:val="Hyperlink"/>
            <w:rFonts w:ascii="Aptos" w:eastAsia="Aptos" w:hAnsi="Aptos" w:cs="Aptos"/>
          </w:rPr>
          <w:t>project</w:t>
        </w:r>
        <w:r w:rsidRPr="19F0E246">
          <w:rPr>
            <w:rStyle w:val="Hyperlink"/>
            <w:rFonts w:ascii="Aptos" w:eastAsia="Aptos" w:hAnsi="Aptos" w:cs="Aptos"/>
          </w:rPr>
          <w:t xml:space="preserve"> reporting and audits</w:t>
        </w:r>
      </w:hyperlink>
      <w:r w:rsidRPr="15441212">
        <w:rPr>
          <w:rFonts w:ascii="Aptos" w:eastAsia="Aptos" w:hAnsi="Aptos" w:cs="Aptos"/>
        </w:rPr>
        <w:t xml:space="preserve"> and</w:t>
      </w:r>
      <w:r w:rsidR="699BE206" w:rsidRPr="15441212">
        <w:rPr>
          <w:rFonts w:ascii="Aptos" w:eastAsia="Aptos" w:hAnsi="Aptos" w:cs="Aptos"/>
        </w:rPr>
        <w:t xml:space="preserve"> </w:t>
      </w:r>
      <w:hyperlink r:id="rId47" w:anchor="reversal-events">
        <w:r w:rsidR="699BE206" w:rsidRPr="15441212">
          <w:rPr>
            <w:rStyle w:val="Hyperlink"/>
            <w:rFonts w:ascii="Aptos" w:eastAsia="Aptos" w:hAnsi="Aptos" w:cs="Aptos"/>
          </w:rPr>
          <w:t>permanence obligations</w:t>
        </w:r>
      </w:hyperlink>
      <w:r w:rsidR="699BE206" w:rsidRPr="15441212">
        <w:rPr>
          <w:rFonts w:ascii="Aptos" w:eastAsia="Aptos" w:hAnsi="Aptos" w:cs="Aptos"/>
        </w:rPr>
        <w:t xml:space="preserve">. </w:t>
      </w:r>
    </w:p>
    <w:p w14:paraId="7005AA88" w14:textId="69F0F753" w:rsidR="00AC0EEC" w:rsidRPr="00AD545F" w:rsidRDefault="00AC0EEC" w:rsidP="00786388">
      <w:pPr>
        <w:pStyle w:val="Heading4"/>
      </w:pPr>
      <w:r>
        <w:t xml:space="preserve">If an environmental planting is planted over a few years, could a landholder be short-changed at the end of the crediting period, is the planting is </w:t>
      </w:r>
      <w:bookmarkStart w:id="5" w:name="_Int_ZoOVI4EB"/>
      <w:proofErr w:type="gramStart"/>
      <w:r>
        <w:t>say</w:t>
      </w:r>
      <w:bookmarkEnd w:id="5"/>
      <w:proofErr w:type="gramEnd"/>
      <w:r>
        <w:t xml:space="preserve"> 22 years old and not 25 years old</w:t>
      </w:r>
      <w:r w:rsidR="00FA1397">
        <w:t>?</w:t>
      </w:r>
      <w:r>
        <w:t xml:space="preserve"> </w:t>
      </w:r>
    </w:p>
    <w:p w14:paraId="453D3710" w14:textId="09C9F658" w:rsidR="00A24012" w:rsidRPr="00786388" w:rsidRDefault="00A24012" w:rsidP="62F714E9">
      <w:pPr>
        <w:spacing w:before="240" w:after="240"/>
        <w:rPr>
          <w:rFonts w:ascii="Calibri" w:eastAsia="Calibri" w:hAnsi="Calibri" w:cs="Calibri"/>
        </w:rPr>
      </w:pPr>
      <w:r w:rsidRPr="62F714E9">
        <w:rPr>
          <w:rFonts w:ascii="Calibri" w:eastAsia="Calibri" w:hAnsi="Calibri" w:cs="Calibri"/>
        </w:rPr>
        <w:t xml:space="preserve">A crediting period is how long an ACCU Scheme project can generate and claim ACCUs. For an </w:t>
      </w:r>
      <w:r w:rsidR="00D47E03" w:rsidRPr="62F714E9">
        <w:rPr>
          <w:rFonts w:ascii="Calibri" w:eastAsia="Calibri" w:hAnsi="Calibri" w:cs="Calibri"/>
        </w:rPr>
        <w:t>E</w:t>
      </w:r>
      <w:r w:rsidRPr="62F714E9">
        <w:rPr>
          <w:rFonts w:ascii="Calibri" w:eastAsia="Calibri" w:hAnsi="Calibri" w:cs="Calibri"/>
        </w:rPr>
        <w:t xml:space="preserve">nvironmental </w:t>
      </w:r>
      <w:r w:rsidR="00D47E03" w:rsidRPr="62F714E9">
        <w:rPr>
          <w:rFonts w:ascii="Calibri" w:eastAsia="Calibri" w:hAnsi="Calibri" w:cs="Calibri"/>
        </w:rPr>
        <w:t>P</w:t>
      </w:r>
      <w:r w:rsidRPr="62F714E9">
        <w:rPr>
          <w:rFonts w:ascii="Calibri" w:eastAsia="Calibri" w:hAnsi="Calibri" w:cs="Calibri"/>
        </w:rPr>
        <w:t>lantings project, the crediting period is 25 years.</w:t>
      </w:r>
    </w:p>
    <w:p w14:paraId="4BF3FBFC" w14:textId="1F0974D1" w:rsidR="00A24012" w:rsidRPr="00786388" w:rsidRDefault="00A24012" w:rsidP="62F714E9">
      <w:pPr>
        <w:spacing w:before="240" w:after="240"/>
        <w:rPr>
          <w:rFonts w:ascii="Calibri" w:eastAsia="Calibri" w:hAnsi="Calibri" w:cs="Calibri"/>
        </w:rPr>
      </w:pPr>
      <w:r w:rsidRPr="62F714E9">
        <w:rPr>
          <w:rFonts w:ascii="Calibri" w:eastAsia="Calibri" w:hAnsi="Calibri" w:cs="Calibri"/>
        </w:rPr>
        <w:t xml:space="preserve">In general, the crediting period start date, or project start date, is decided by the project proponent when they register their project. It is either: </w:t>
      </w:r>
    </w:p>
    <w:p w14:paraId="080A9F5F" w14:textId="77777777" w:rsidR="00A24012" w:rsidRPr="00786388" w:rsidRDefault="00A24012" w:rsidP="62F714E9">
      <w:pPr>
        <w:pStyle w:val="ListParagraph"/>
        <w:numPr>
          <w:ilvl w:val="0"/>
          <w:numId w:val="19"/>
        </w:numPr>
        <w:spacing w:before="240" w:after="240"/>
        <w:rPr>
          <w:rFonts w:ascii="Calibri" w:eastAsia="Calibri" w:hAnsi="Calibri" w:cs="Calibri"/>
        </w:rPr>
      </w:pPr>
      <w:r w:rsidRPr="62F714E9">
        <w:rPr>
          <w:rFonts w:ascii="Calibri" w:eastAsia="Calibri" w:hAnsi="Calibri" w:cs="Calibri"/>
        </w:rPr>
        <w:t>within 18 months from the registration date</w:t>
      </w:r>
    </w:p>
    <w:p w14:paraId="367DB535" w14:textId="77777777" w:rsidR="00A24012" w:rsidRPr="00786388" w:rsidRDefault="00A24012" w:rsidP="62F714E9">
      <w:pPr>
        <w:pStyle w:val="ListParagraph"/>
        <w:numPr>
          <w:ilvl w:val="0"/>
          <w:numId w:val="19"/>
        </w:numPr>
        <w:spacing w:before="240" w:after="240"/>
        <w:rPr>
          <w:rFonts w:ascii="Calibri" w:eastAsia="Calibri" w:hAnsi="Calibri" w:cs="Calibri"/>
          <w:b/>
        </w:rPr>
      </w:pPr>
      <w:r w:rsidRPr="62F714E9">
        <w:rPr>
          <w:rFonts w:ascii="Calibri" w:eastAsia="Calibri" w:hAnsi="Calibri" w:cs="Calibri"/>
        </w:rPr>
        <w:lastRenderedPageBreak/>
        <w:t>set to start on the registration date.</w:t>
      </w:r>
    </w:p>
    <w:p w14:paraId="7591332F" w14:textId="77777777" w:rsidR="00EC167F" w:rsidRDefault="000D2194" w:rsidP="62F714E9">
      <w:pPr>
        <w:spacing w:before="240" w:after="240"/>
        <w:rPr>
          <w:rFonts w:ascii="Calibri" w:eastAsia="Calibri" w:hAnsi="Calibri" w:cs="Calibri"/>
        </w:rPr>
      </w:pPr>
      <w:r w:rsidRPr="62F714E9">
        <w:rPr>
          <w:rFonts w:ascii="Calibri" w:eastAsia="Calibri" w:hAnsi="Calibri" w:cs="Calibri"/>
        </w:rPr>
        <w:t>After registration, the project proponent can request to defer their start date by 18 months from the registration date. Proponents must request to defer before submitting the first offsets report or submit these at the same time.</w:t>
      </w:r>
    </w:p>
    <w:p w14:paraId="41FBB959" w14:textId="7E712241" w:rsidR="00BB05A2" w:rsidRPr="00786388" w:rsidRDefault="00EC167F" w:rsidP="62F714E9">
      <w:pPr>
        <w:spacing w:before="240" w:after="240"/>
        <w:rPr>
          <w:rFonts w:ascii="Calibri" w:eastAsia="Calibri" w:hAnsi="Calibri" w:cs="Calibri"/>
        </w:rPr>
      </w:pPr>
      <w:r w:rsidRPr="62F714E9">
        <w:rPr>
          <w:rFonts w:ascii="Calibri" w:eastAsia="Calibri" w:hAnsi="Calibri" w:cs="Calibri"/>
        </w:rPr>
        <w:t xml:space="preserve">Once set, </w:t>
      </w:r>
      <w:r w:rsidR="00F12EE6" w:rsidRPr="62F714E9">
        <w:rPr>
          <w:rFonts w:ascii="Calibri" w:eastAsia="Calibri" w:hAnsi="Calibri" w:cs="Calibri"/>
        </w:rPr>
        <w:t xml:space="preserve">proponents </w:t>
      </w:r>
      <w:r w:rsidRPr="62F714E9">
        <w:rPr>
          <w:rFonts w:ascii="Calibri" w:eastAsia="Calibri" w:hAnsi="Calibri" w:cs="Calibri"/>
        </w:rPr>
        <w:t xml:space="preserve">will only be credited for the carbon sequestration that has </w:t>
      </w:r>
      <w:r w:rsidR="007F71C0" w:rsidRPr="62F714E9">
        <w:rPr>
          <w:rFonts w:ascii="Calibri" w:eastAsia="Calibri" w:hAnsi="Calibri" w:cs="Calibri"/>
        </w:rPr>
        <w:t>occurred within the</w:t>
      </w:r>
      <w:r w:rsidR="00F12EE6" w:rsidRPr="62F714E9">
        <w:rPr>
          <w:rFonts w:ascii="Calibri" w:eastAsia="Calibri" w:hAnsi="Calibri" w:cs="Calibri"/>
        </w:rPr>
        <w:t>ir</w:t>
      </w:r>
      <w:r w:rsidR="007F71C0" w:rsidRPr="62F714E9">
        <w:rPr>
          <w:rFonts w:ascii="Calibri" w:eastAsia="Calibri" w:hAnsi="Calibri" w:cs="Calibri"/>
        </w:rPr>
        <w:t xml:space="preserve"> project’s crediting period</w:t>
      </w:r>
      <w:r w:rsidR="00F12EE6" w:rsidRPr="62F714E9">
        <w:rPr>
          <w:rFonts w:ascii="Calibri" w:eastAsia="Calibri" w:hAnsi="Calibri" w:cs="Calibri"/>
        </w:rPr>
        <w:t>.</w:t>
      </w:r>
      <w:r w:rsidR="004900EA" w:rsidRPr="62F714E9">
        <w:rPr>
          <w:rFonts w:ascii="Calibri" w:eastAsia="Calibri" w:hAnsi="Calibri" w:cs="Calibri"/>
        </w:rPr>
        <w:t xml:space="preserve"> </w:t>
      </w:r>
      <w:r w:rsidR="00B45EB1" w:rsidRPr="62F714E9">
        <w:rPr>
          <w:rFonts w:ascii="Calibri" w:eastAsia="Calibri" w:hAnsi="Calibri" w:cs="Calibri"/>
        </w:rPr>
        <w:t xml:space="preserve">It is </w:t>
      </w:r>
      <w:r w:rsidR="00346CE2" w:rsidRPr="62F714E9">
        <w:rPr>
          <w:rFonts w:ascii="Calibri" w:eastAsia="Calibri" w:hAnsi="Calibri" w:cs="Calibri"/>
        </w:rPr>
        <w:t xml:space="preserve">up to the proponent to </w:t>
      </w:r>
      <w:r w:rsidR="005A1FDB" w:rsidRPr="62F714E9">
        <w:rPr>
          <w:rFonts w:ascii="Calibri" w:eastAsia="Calibri" w:hAnsi="Calibri" w:cs="Calibri"/>
        </w:rPr>
        <w:t xml:space="preserve">plan their project activities </w:t>
      </w:r>
      <w:r w:rsidR="000854C3" w:rsidRPr="62F714E9">
        <w:rPr>
          <w:rFonts w:ascii="Calibri" w:eastAsia="Calibri" w:hAnsi="Calibri" w:cs="Calibri"/>
        </w:rPr>
        <w:t>so that they can</w:t>
      </w:r>
      <w:r w:rsidR="00890462" w:rsidRPr="62F714E9">
        <w:rPr>
          <w:rFonts w:ascii="Calibri" w:eastAsia="Calibri" w:hAnsi="Calibri" w:cs="Calibri"/>
        </w:rPr>
        <w:t xml:space="preserve"> </w:t>
      </w:r>
      <w:r w:rsidR="000854C3" w:rsidRPr="62F714E9">
        <w:rPr>
          <w:rFonts w:ascii="Calibri" w:eastAsia="Calibri" w:hAnsi="Calibri" w:cs="Calibri"/>
        </w:rPr>
        <w:t>maximise</w:t>
      </w:r>
      <w:r w:rsidR="00890462" w:rsidRPr="62F714E9">
        <w:rPr>
          <w:rFonts w:ascii="Calibri" w:eastAsia="Calibri" w:hAnsi="Calibri" w:cs="Calibri"/>
        </w:rPr>
        <w:t xml:space="preserve"> the carbon </w:t>
      </w:r>
      <w:r w:rsidR="00870894" w:rsidRPr="62F714E9">
        <w:rPr>
          <w:rFonts w:ascii="Calibri" w:eastAsia="Calibri" w:hAnsi="Calibri" w:cs="Calibri"/>
        </w:rPr>
        <w:t xml:space="preserve">credits that can be claimed from their project. </w:t>
      </w:r>
    </w:p>
    <w:p w14:paraId="1A098B32" w14:textId="07B2721A" w:rsidR="000D2194" w:rsidRPr="000D2194" w:rsidRDefault="00F67C39" w:rsidP="00786388">
      <w:pPr>
        <w:spacing w:after="240"/>
      </w:pPr>
      <w:r w:rsidRPr="66F0CE50">
        <w:rPr>
          <w:rFonts w:ascii="Calibri" w:eastAsia="Calibri" w:hAnsi="Calibri" w:cs="Calibri"/>
        </w:rPr>
        <w:t xml:space="preserve">For more information, refer to </w:t>
      </w:r>
      <w:hyperlink r:id="rId48">
        <w:r w:rsidR="16F6F919" w:rsidRPr="15441212">
          <w:rPr>
            <w:rStyle w:val="Hyperlink"/>
            <w:rFonts w:eastAsia="Calibri" w:cs="Calibri"/>
          </w:rPr>
          <w:t>making</w:t>
        </w:r>
        <w:r w:rsidR="005239B2" w:rsidRPr="19F0E246">
          <w:rPr>
            <w:rStyle w:val="Hyperlink"/>
            <w:rFonts w:eastAsia="Calibri" w:cs="Calibri"/>
          </w:rPr>
          <w:t xml:space="preserve"> changes to your project</w:t>
        </w:r>
      </w:hyperlink>
      <w:r w:rsidR="00A6230C" w:rsidRPr="15441212">
        <w:rPr>
          <w:rFonts w:ascii="Calibri" w:eastAsia="Calibri" w:hAnsi="Calibri" w:cs="Calibri"/>
        </w:rPr>
        <w:t xml:space="preserve"> and </w:t>
      </w:r>
      <w:hyperlink r:id="rId49">
        <w:r w:rsidR="07452EEA" w:rsidRPr="15441212">
          <w:rPr>
            <w:rStyle w:val="Hyperlink"/>
            <w:rFonts w:eastAsia="Calibri" w:cs="Calibri"/>
          </w:rPr>
          <w:t>ACCU Scheme project timelines</w:t>
        </w:r>
      </w:hyperlink>
      <w:r w:rsidR="005239B2" w:rsidRPr="15441212">
        <w:rPr>
          <w:rFonts w:ascii="Calibri" w:eastAsia="Calibri" w:hAnsi="Calibri" w:cs="Calibri"/>
        </w:rPr>
        <w:t>.</w:t>
      </w:r>
      <w:r w:rsidR="5417F8B4" w:rsidRPr="15441212">
        <w:rPr>
          <w:rFonts w:ascii="Calibri" w:eastAsia="Calibri" w:hAnsi="Calibri" w:cs="Calibri"/>
        </w:rPr>
        <w:t xml:space="preserve"> </w:t>
      </w:r>
      <w:r w:rsidRPr="15441212">
        <w:rPr>
          <w:rFonts w:ascii="Calibri" w:eastAsia="Calibri" w:hAnsi="Calibri" w:cs="Calibri"/>
        </w:rPr>
        <w:t xml:space="preserve"> </w:t>
      </w:r>
    </w:p>
    <w:p w14:paraId="30017BB7" w14:textId="291808B1" w:rsidR="00AC0EEC" w:rsidRPr="00AD545F" w:rsidRDefault="00AC0EEC" w:rsidP="15441212">
      <w:pPr>
        <w:pStyle w:val="Heading4"/>
      </w:pPr>
      <w:bookmarkStart w:id="6" w:name="_Int_8Ju97Xrc"/>
      <w:proofErr w:type="gramStart"/>
      <w:r>
        <w:t>So</w:t>
      </w:r>
      <w:bookmarkEnd w:id="6"/>
      <w:proofErr w:type="gramEnd"/>
      <w:r>
        <w:t xml:space="preserve"> a practical question about ending reporting on 100</w:t>
      </w:r>
      <w:r w:rsidR="3C95E8FE">
        <w:t>-</w:t>
      </w:r>
      <w:r>
        <w:t>year EP projects</w:t>
      </w:r>
      <w:r w:rsidR="00FA1397">
        <w:t xml:space="preserve"> –</w:t>
      </w:r>
      <w:r>
        <w:t xml:space="preserve"> it would seem unlikely that these projects will be able to apply to a maximum carbon threshold close to the end of the 25</w:t>
      </w:r>
      <w:r w:rsidR="701B14E7">
        <w:t>-</w:t>
      </w:r>
      <w:r>
        <w:t xml:space="preserve">year crediting period. </w:t>
      </w:r>
    </w:p>
    <w:p w14:paraId="225B67B5" w14:textId="11D902ED" w:rsidR="001C01DD" w:rsidRDefault="000812D9" w:rsidP="62F714E9">
      <w:pPr>
        <w:spacing w:before="240" w:after="240"/>
      </w:pPr>
      <w:r>
        <w:t>P</w:t>
      </w:r>
      <w:r w:rsidR="001C01DD">
        <w:t>roponent</w:t>
      </w:r>
      <w:r w:rsidR="00E430B9">
        <w:t>s</w:t>
      </w:r>
      <w:r w:rsidR="00361A93" w:rsidRPr="00361A93">
        <w:t xml:space="preserve"> </w:t>
      </w:r>
      <w:r>
        <w:t xml:space="preserve">of </w:t>
      </w:r>
      <w:r w:rsidR="00B86515">
        <w:t xml:space="preserve">projects under the Environmental Plantings method </w:t>
      </w:r>
      <w:r w:rsidR="00361A93" w:rsidRPr="00361A93">
        <w:t xml:space="preserve">can apply to stop reporting on </w:t>
      </w:r>
      <w:r w:rsidR="001C01DD">
        <w:t>their</w:t>
      </w:r>
      <w:r w:rsidR="00361A93" w:rsidRPr="00361A93">
        <w:t xml:space="preserve"> project </w:t>
      </w:r>
      <w:r w:rsidR="00485AC0">
        <w:t xml:space="preserve">at any point </w:t>
      </w:r>
      <w:r w:rsidR="00361A93" w:rsidRPr="00361A93">
        <w:t xml:space="preserve">during the permanence period when </w:t>
      </w:r>
      <w:r w:rsidR="00285BA7">
        <w:t>the pro</w:t>
      </w:r>
      <w:r w:rsidR="000649DB">
        <w:t>ject</w:t>
      </w:r>
      <w:r w:rsidR="00361A93" w:rsidRPr="00361A93">
        <w:t xml:space="preserve"> has reached its maximum carbon sequestration capacity.</w:t>
      </w:r>
      <w:r w:rsidR="00361A93" w:rsidRPr="00361A93" w:rsidDel="004B3F70">
        <w:t xml:space="preserve"> </w:t>
      </w:r>
    </w:p>
    <w:p w14:paraId="28CDDED9" w14:textId="45B88FC9" w:rsidR="00BC6572" w:rsidRDefault="00B56D4E" w:rsidP="00AC0EEC">
      <w:r>
        <w:t xml:space="preserve">The </w:t>
      </w:r>
      <w:r w:rsidR="279021A3">
        <w:t>CER</w:t>
      </w:r>
      <w:r>
        <w:t xml:space="preserve"> will assess </w:t>
      </w:r>
      <w:r w:rsidR="00AD17CF">
        <w:t xml:space="preserve">these applications on a case-by-case basis. </w:t>
      </w:r>
    </w:p>
    <w:p w14:paraId="0F324684" w14:textId="60698569" w:rsidR="000649DB" w:rsidRDefault="000649DB" w:rsidP="00AC0EEC">
      <w:r>
        <w:t>While an environmental plantings project</w:t>
      </w:r>
      <w:r w:rsidR="009F3494">
        <w:t xml:space="preserve"> with a</w:t>
      </w:r>
      <w:r w:rsidR="00D66982">
        <w:t xml:space="preserve"> 100-year permanence period</w:t>
      </w:r>
      <w:r>
        <w:t xml:space="preserve"> may not reach maximum carbon </w:t>
      </w:r>
      <w:r w:rsidR="008120EB">
        <w:t xml:space="preserve">sequestration capacity within the </w:t>
      </w:r>
      <w:r w:rsidR="00D44841">
        <w:t>25-year</w:t>
      </w:r>
      <w:r w:rsidR="008120EB">
        <w:t xml:space="preserve"> crediting period, it could</w:t>
      </w:r>
      <w:r w:rsidR="005F2B99">
        <w:t xml:space="preserve"> </w:t>
      </w:r>
      <w:r w:rsidR="008A2AAD">
        <w:t xml:space="preserve">be attained within </w:t>
      </w:r>
      <w:r w:rsidR="00D66982">
        <w:t>its</w:t>
      </w:r>
      <w:r w:rsidR="00EE2182">
        <w:t xml:space="preserve"> permanence period. </w:t>
      </w:r>
    </w:p>
    <w:p w14:paraId="250A6011" w14:textId="037610AE" w:rsidR="00485AC0" w:rsidRPr="00AD545F" w:rsidRDefault="00252FA1" w:rsidP="00AC0EEC">
      <w:r>
        <w:t xml:space="preserve">We are working on simplifying and streamlining the </w:t>
      </w:r>
      <w:r w:rsidR="00476C04">
        <w:t xml:space="preserve">post-crediting period </w:t>
      </w:r>
      <w:r>
        <w:t>reporting process</w:t>
      </w:r>
      <w:r w:rsidR="00EC2CDC">
        <w:t xml:space="preserve"> to make it easier for our participants to continue to report throughout the permanence period. </w:t>
      </w:r>
    </w:p>
    <w:p w14:paraId="21B07AF4" w14:textId="0920B192" w:rsidR="00F27787" w:rsidRPr="00786388" w:rsidRDefault="00F27787" w:rsidP="00786388">
      <w:pPr>
        <w:spacing w:after="240"/>
        <w:rPr>
          <w:rFonts w:ascii="Calibri" w:eastAsia="Calibri" w:hAnsi="Calibri" w:cs="Calibri"/>
        </w:rPr>
      </w:pPr>
      <w:r w:rsidRPr="15441212">
        <w:rPr>
          <w:rFonts w:ascii="Calibri" w:eastAsia="Calibri" w:hAnsi="Calibri" w:cs="Calibri"/>
        </w:rPr>
        <w:t>For more information, refer to</w:t>
      </w:r>
      <w:r w:rsidR="4414EB1F" w:rsidRPr="15441212">
        <w:rPr>
          <w:rFonts w:ascii="Calibri" w:eastAsia="Calibri" w:hAnsi="Calibri" w:cs="Calibri"/>
        </w:rPr>
        <w:t xml:space="preserve"> </w:t>
      </w:r>
      <w:hyperlink r:id="rId50" w:history="1">
        <w:r w:rsidR="6D42614F" w:rsidRPr="15441212">
          <w:rPr>
            <w:rStyle w:val="Hyperlink"/>
            <w:rFonts w:eastAsia="Calibri" w:cs="Calibri"/>
          </w:rPr>
          <w:t>post-crediting period obligations for sequestration projects</w:t>
        </w:r>
      </w:hyperlink>
      <w:r w:rsidR="6D42614F" w:rsidRPr="15441212">
        <w:rPr>
          <w:rFonts w:ascii="Calibri" w:eastAsia="Calibri" w:hAnsi="Calibri" w:cs="Calibri"/>
        </w:rPr>
        <w:t>.</w:t>
      </w:r>
    </w:p>
    <w:p w14:paraId="1BBAC071" w14:textId="72573309" w:rsidR="00AD59C6" w:rsidRDefault="0008092B" w:rsidP="00786388">
      <w:pPr>
        <w:pStyle w:val="Heading4"/>
        <w:spacing w:after="240" w:line="259" w:lineRule="auto"/>
        <w:rPr>
          <w:rFonts w:ascii="Calibri" w:eastAsia="Calibri" w:hAnsi="Calibri" w:cs="Calibri"/>
        </w:rPr>
      </w:pPr>
      <w:r>
        <w:t xml:space="preserve">Is there a plan to release detailed information regarding soil carbon project monitoring for </w:t>
      </w:r>
      <w:proofErr w:type="gramStart"/>
      <w:r>
        <w:t>particular EMAs</w:t>
      </w:r>
      <w:proofErr w:type="gramEnd"/>
      <w:r>
        <w:t>?</w:t>
      </w:r>
      <w:r w:rsidR="008841EC">
        <w:t xml:space="preserve"> </w:t>
      </w:r>
    </w:p>
    <w:p w14:paraId="72F6BF5F" w14:textId="012AE276" w:rsidR="00AD59C6" w:rsidRDefault="127D0E78" w:rsidP="19F0E246">
      <w:pPr>
        <w:spacing w:before="240" w:after="240"/>
      </w:pPr>
      <w:r w:rsidRPr="19F0E246">
        <w:t xml:space="preserve">At present, the </w:t>
      </w:r>
      <w:r w:rsidR="279021A3">
        <w:t>CER</w:t>
      </w:r>
      <w:r w:rsidRPr="19F0E246">
        <w:t xml:space="preserve"> has not released detailed guidance specific to monitoring requirements for individual eligible management activities under the soil carbon method. However, we recognise the value such information could provide to project proponents in planning and implementing their projects effectively.</w:t>
      </w:r>
    </w:p>
    <w:p w14:paraId="50AD4E86" w14:textId="74DF0057" w:rsidR="00AD59C6" w:rsidRDefault="127D0E78" w:rsidP="19F0E246">
      <w:pPr>
        <w:spacing w:before="240" w:after="240"/>
      </w:pPr>
      <w:r w:rsidRPr="19F0E246">
        <w:t>While there are currently no confirmed plans to publish this level of detail, it is something we may consider in the future based on stakeholder interest and evolving project needs. We appreciate you raising this point.</w:t>
      </w:r>
    </w:p>
    <w:p w14:paraId="3A278B57" w14:textId="10DB1955" w:rsidR="00AD59C6" w:rsidRDefault="127D0E78" w:rsidP="00786388">
      <w:pPr>
        <w:spacing w:after="240"/>
        <w:rPr>
          <w:rFonts w:eastAsia="Calibri" w:cs="Calibri"/>
        </w:rPr>
      </w:pPr>
      <w:r w:rsidRPr="19F0E246">
        <w:t xml:space="preserve">In the meantime, proponents are encouraged to refer to </w:t>
      </w:r>
      <w:hyperlink r:id="rId51">
        <w:r w:rsidR="2D53E7D9" w:rsidRPr="15441212">
          <w:rPr>
            <w:rStyle w:val="Hyperlink"/>
          </w:rPr>
          <w:t>understanding</w:t>
        </w:r>
        <w:r w:rsidR="0332472E" w:rsidRPr="15441212">
          <w:rPr>
            <w:rStyle w:val="Hyperlink"/>
          </w:rPr>
          <w:t xml:space="preserve"> your soil carbon project</w:t>
        </w:r>
        <w:r w:rsidR="2D53E7D9" w:rsidRPr="15441212">
          <w:rPr>
            <w:rStyle w:val="Hyperlink"/>
          </w:rPr>
          <w:t>- simple</w:t>
        </w:r>
        <w:r w:rsidR="0332472E" w:rsidRPr="15441212">
          <w:rPr>
            <w:rStyle w:val="Hyperlink"/>
          </w:rPr>
          <w:t xml:space="preserve"> method guide</w:t>
        </w:r>
      </w:hyperlink>
      <w:r w:rsidRPr="19F0E246">
        <w:t xml:space="preserve"> and </w:t>
      </w:r>
      <w:hyperlink r:id="rId52">
        <w:r w:rsidR="3969FFFE" w:rsidRPr="15441212">
          <w:rPr>
            <w:rStyle w:val="Hyperlink"/>
          </w:rPr>
          <w:t>guidance</w:t>
        </w:r>
        <w:r w:rsidR="5C6645D5" w:rsidRPr="15441212">
          <w:rPr>
            <w:rStyle w:val="Hyperlink"/>
          </w:rPr>
          <w:t xml:space="preserve"> for meeting the requirements of soil carbon land management strategies for 2021 soil carbon projects</w:t>
        </w:r>
      </w:hyperlink>
      <w:r w:rsidR="3969FFFE">
        <w:t>.</w:t>
      </w:r>
      <w:r>
        <w:t xml:space="preserve"> </w:t>
      </w:r>
    </w:p>
    <w:p w14:paraId="3875B5CD" w14:textId="76A5AE61" w:rsidR="00806D1F" w:rsidRDefault="00806D1F" w:rsidP="00786388">
      <w:pPr>
        <w:pStyle w:val="Heading4"/>
        <w:spacing w:line="259" w:lineRule="auto"/>
      </w:pPr>
      <w:r>
        <w:t>In practical terms, how would this work for SFM projects where it's common for &gt;5% of the project to have fire in each year</w:t>
      </w:r>
      <w:r w:rsidR="2D3911AB">
        <w:t>?</w:t>
      </w:r>
      <w:r w:rsidR="45D3FE44">
        <w:t xml:space="preserve">  </w:t>
      </w:r>
      <w:r w:rsidR="745CF1ED">
        <w:t>(</w:t>
      </w:r>
      <w:r w:rsidR="00F27787">
        <w:t>Related question</w:t>
      </w:r>
      <w:r w:rsidR="29C37AB1">
        <w:t xml:space="preserve">: </w:t>
      </w:r>
      <w:r w:rsidR="29C37AB1" w:rsidRPr="19F0E246">
        <w:t>Do Savanna fire management sequestration projects need to notify the regulator when fires occur in the project area?</w:t>
      </w:r>
      <w:r w:rsidR="45D3FE44">
        <w:t>)</w:t>
      </w:r>
      <w:r w:rsidR="536E15DB" w:rsidRPr="19F0E246">
        <w:rPr>
          <w:color w:val="7030A0"/>
        </w:rPr>
        <w:t xml:space="preserve"> </w:t>
      </w:r>
    </w:p>
    <w:p w14:paraId="5953F132" w14:textId="132303B7" w:rsidR="0073252C" w:rsidRPr="0073252C" w:rsidRDefault="6AA931ED" w:rsidP="19F0E246">
      <w:pPr>
        <w:spacing w:before="240" w:after="240"/>
        <w:rPr>
          <w:rFonts w:ascii="Calibri" w:eastAsia="Calibri" w:hAnsi="Calibri" w:cs="Calibri"/>
        </w:rPr>
      </w:pPr>
      <w:r w:rsidRPr="62F714E9">
        <w:rPr>
          <w:rFonts w:ascii="Calibri" w:eastAsia="Calibri" w:hAnsi="Calibri" w:cs="Calibri"/>
        </w:rPr>
        <w:t xml:space="preserve">For savanna fire management projects registered under a sequestration method, </w:t>
      </w:r>
      <w:r w:rsidR="00D80F79" w:rsidRPr="15441212">
        <w:rPr>
          <w:rFonts w:ascii="Calibri" w:eastAsia="Calibri" w:hAnsi="Calibri" w:cs="Calibri"/>
        </w:rPr>
        <w:t>planned</w:t>
      </w:r>
      <w:r w:rsidR="00D80F79" w:rsidRPr="252AC207">
        <w:rPr>
          <w:rFonts w:ascii="Calibri" w:eastAsia="Calibri" w:hAnsi="Calibri" w:cs="Calibri"/>
        </w:rPr>
        <w:t xml:space="preserve"> </w:t>
      </w:r>
      <w:r w:rsidR="00D80F79" w:rsidRPr="713B2156">
        <w:rPr>
          <w:rFonts w:ascii="Calibri" w:eastAsia="Calibri" w:hAnsi="Calibri" w:cs="Calibri"/>
        </w:rPr>
        <w:t>burning</w:t>
      </w:r>
      <w:r w:rsidR="000C5310">
        <w:rPr>
          <w:rFonts w:ascii="Calibri" w:eastAsia="Calibri" w:hAnsi="Calibri" w:cs="Calibri"/>
        </w:rPr>
        <w:t xml:space="preserve"> takes place</w:t>
      </w:r>
      <w:r w:rsidRPr="62F714E9">
        <w:rPr>
          <w:rFonts w:ascii="Calibri" w:eastAsia="Calibri" w:hAnsi="Calibri" w:cs="Calibri"/>
        </w:rPr>
        <w:t xml:space="preserve"> </w:t>
      </w:r>
      <w:r w:rsidR="004B402F">
        <w:rPr>
          <w:rFonts w:ascii="Calibri" w:eastAsia="Calibri" w:hAnsi="Calibri" w:cs="Calibri"/>
        </w:rPr>
        <w:t>in accordance with the project mechanism</w:t>
      </w:r>
      <w:r w:rsidR="008303A8">
        <w:rPr>
          <w:rFonts w:ascii="Calibri" w:eastAsia="Calibri" w:hAnsi="Calibri" w:cs="Calibri"/>
        </w:rPr>
        <w:t xml:space="preserve"> and supports </w:t>
      </w:r>
      <w:r w:rsidR="00D33084">
        <w:rPr>
          <w:rFonts w:ascii="Calibri" w:eastAsia="Calibri" w:hAnsi="Calibri" w:cs="Calibri"/>
        </w:rPr>
        <w:t>sequestration of biomass in these ecosystems</w:t>
      </w:r>
      <w:r w:rsidRPr="15441212">
        <w:rPr>
          <w:rFonts w:ascii="Calibri" w:eastAsia="Calibri" w:hAnsi="Calibri" w:cs="Calibri"/>
        </w:rPr>
        <w:t>.</w:t>
      </w:r>
      <w:r w:rsidRPr="62F714E9">
        <w:rPr>
          <w:rFonts w:ascii="Calibri" w:eastAsia="Calibri" w:hAnsi="Calibri" w:cs="Calibri"/>
        </w:rPr>
        <w:t xml:space="preserve"> </w:t>
      </w:r>
      <w:r w:rsidR="002D45B1">
        <w:rPr>
          <w:rFonts w:ascii="Calibri" w:eastAsia="Calibri" w:hAnsi="Calibri" w:cs="Calibri"/>
        </w:rPr>
        <w:t>As planned fires</w:t>
      </w:r>
      <w:r w:rsidR="00D66B26">
        <w:rPr>
          <w:rFonts w:ascii="Calibri" w:eastAsia="Calibri" w:hAnsi="Calibri" w:cs="Calibri"/>
        </w:rPr>
        <w:t xml:space="preserve">, these events are not </w:t>
      </w:r>
      <w:r w:rsidR="00BF1207">
        <w:rPr>
          <w:rFonts w:ascii="Calibri" w:eastAsia="Calibri" w:hAnsi="Calibri" w:cs="Calibri"/>
        </w:rPr>
        <w:t xml:space="preserve">considered </w:t>
      </w:r>
      <w:r w:rsidR="00D66B26">
        <w:rPr>
          <w:rFonts w:ascii="Calibri" w:eastAsia="Calibri" w:hAnsi="Calibri" w:cs="Calibri"/>
        </w:rPr>
        <w:t xml:space="preserve">bushfires </w:t>
      </w:r>
      <w:r w:rsidR="00BF1207">
        <w:rPr>
          <w:rFonts w:ascii="Calibri" w:eastAsia="Calibri" w:hAnsi="Calibri" w:cs="Calibri"/>
        </w:rPr>
        <w:t xml:space="preserve">under the definition of a natural </w:t>
      </w:r>
      <w:r w:rsidR="00BF1207">
        <w:rPr>
          <w:rFonts w:ascii="Calibri" w:eastAsia="Calibri" w:hAnsi="Calibri" w:cs="Calibri"/>
        </w:rPr>
        <w:lastRenderedPageBreak/>
        <w:t>disturbance</w:t>
      </w:r>
      <w:r w:rsidR="00EE7C94">
        <w:rPr>
          <w:rFonts w:ascii="Calibri" w:eastAsia="Calibri" w:hAnsi="Calibri" w:cs="Calibri"/>
        </w:rPr>
        <w:t xml:space="preserve"> in the CFI Act</w:t>
      </w:r>
      <w:r w:rsidR="00BF1207">
        <w:rPr>
          <w:rFonts w:ascii="Calibri" w:eastAsia="Calibri" w:hAnsi="Calibri" w:cs="Calibri"/>
        </w:rPr>
        <w:t xml:space="preserve">. </w:t>
      </w:r>
      <w:r w:rsidR="00D33084">
        <w:rPr>
          <w:rFonts w:ascii="Calibri" w:eastAsia="Calibri" w:hAnsi="Calibri" w:cs="Calibri"/>
        </w:rPr>
        <w:t xml:space="preserve">As such, these events are reported through </w:t>
      </w:r>
      <w:r w:rsidR="00C846E8">
        <w:rPr>
          <w:rFonts w:ascii="Calibri" w:eastAsia="Calibri" w:hAnsi="Calibri" w:cs="Calibri"/>
        </w:rPr>
        <w:t xml:space="preserve">ongoing offsets report requirements and do not require notification. </w:t>
      </w:r>
      <w:r w:rsidRPr="62F714E9">
        <w:rPr>
          <w:rFonts w:ascii="Calibri" w:eastAsia="Calibri" w:hAnsi="Calibri" w:cs="Calibri"/>
        </w:rPr>
        <w:t xml:space="preserve">However, if </w:t>
      </w:r>
      <w:r w:rsidRPr="0B363FA6">
        <w:rPr>
          <w:rFonts w:ascii="Calibri" w:eastAsia="Calibri" w:hAnsi="Calibri" w:cs="Calibri"/>
        </w:rPr>
        <w:t>a</w:t>
      </w:r>
      <w:r w:rsidR="20777599" w:rsidRPr="0B363FA6">
        <w:rPr>
          <w:rFonts w:ascii="Calibri" w:eastAsia="Calibri" w:hAnsi="Calibri" w:cs="Calibri"/>
        </w:rPr>
        <w:t>n</w:t>
      </w:r>
      <w:r w:rsidRPr="62F714E9">
        <w:rPr>
          <w:rFonts w:ascii="Calibri" w:eastAsia="Calibri" w:hAnsi="Calibri" w:cs="Calibri"/>
        </w:rPr>
        <w:t xml:space="preserve"> </w:t>
      </w:r>
      <w:r w:rsidR="20777599" w:rsidRPr="0A6B012E">
        <w:rPr>
          <w:rFonts w:ascii="Calibri" w:eastAsia="Calibri" w:hAnsi="Calibri" w:cs="Calibri"/>
        </w:rPr>
        <w:t xml:space="preserve">unplanned </w:t>
      </w:r>
      <w:r w:rsidR="003E1F4F">
        <w:rPr>
          <w:rFonts w:ascii="Calibri" w:eastAsia="Calibri" w:hAnsi="Calibri" w:cs="Calibri"/>
        </w:rPr>
        <w:t xml:space="preserve">bushfire </w:t>
      </w:r>
      <w:r w:rsidR="20777599" w:rsidRPr="0A6B012E">
        <w:rPr>
          <w:rFonts w:ascii="Calibri" w:eastAsia="Calibri" w:hAnsi="Calibri" w:cs="Calibri"/>
        </w:rPr>
        <w:t xml:space="preserve">or </w:t>
      </w:r>
      <w:r w:rsidR="20777599" w:rsidRPr="10FABB53">
        <w:rPr>
          <w:rFonts w:ascii="Calibri" w:eastAsia="Calibri" w:hAnsi="Calibri" w:cs="Calibri"/>
        </w:rPr>
        <w:t>uncontrolled</w:t>
      </w:r>
      <w:r w:rsidRPr="10FABB53">
        <w:rPr>
          <w:rFonts w:ascii="Calibri" w:eastAsia="Calibri" w:hAnsi="Calibri" w:cs="Calibri"/>
        </w:rPr>
        <w:t xml:space="preserve"> </w:t>
      </w:r>
      <w:r w:rsidRPr="62F714E9">
        <w:rPr>
          <w:rFonts w:ascii="Calibri" w:eastAsia="Calibri" w:hAnsi="Calibri" w:cs="Calibri"/>
        </w:rPr>
        <w:t>fire results in a significant reversal event</w:t>
      </w:r>
      <w:r w:rsidR="5854206A" w:rsidRPr="62F714E9">
        <w:rPr>
          <w:rFonts w:ascii="Calibri" w:eastAsia="Calibri" w:hAnsi="Calibri" w:cs="Calibri"/>
        </w:rPr>
        <w:t>,</w:t>
      </w:r>
      <w:r w:rsidRPr="62F714E9">
        <w:rPr>
          <w:rFonts w:ascii="Calibri" w:eastAsia="Calibri" w:hAnsi="Calibri" w:cs="Calibri"/>
        </w:rPr>
        <w:t xml:space="preserve"> a notification is required.</w:t>
      </w:r>
      <w:r w:rsidR="003159A9">
        <w:rPr>
          <w:rFonts w:ascii="Calibri" w:eastAsia="Calibri" w:hAnsi="Calibri" w:cs="Calibri"/>
        </w:rPr>
        <w:t xml:space="preserve"> This may result </w:t>
      </w:r>
      <w:r w:rsidR="00A531D0">
        <w:rPr>
          <w:rFonts w:ascii="Calibri" w:eastAsia="Calibri" w:hAnsi="Calibri" w:cs="Calibri"/>
        </w:rPr>
        <w:t>from</w:t>
      </w:r>
      <w:r w:rsidR="003159A9">
        <w:rPr>
          <w:rFonts w:ascii="Calibri" w:eastAsia="Calibri" w:hAnsi="Calibri" w:cs="Calibri"/>
        </w:rPr>
        <w:t xml:space="preserve"> fire management </w:t>
      </w:r>
      <w:r w:rsidR="00944C55">
        <w:rPr>
          <w:rFonts w:ascii="Calibri" w:eastAsia="Calibri" w:hAnsi="Calibri" w:cs="Calibri"/>
        </w:rPr>
        <w:t xml:space="preserve">events that </w:t>
      </w:r>
      <w:r w:rsidR="00E13423">
        <w:rPr>
          <w:rFonts w:ascii="Calibri" w:eastAsia="Calibri" w:hAnsi="Calibri" w:cs="Calibri"/>
        </w:rPr>
        <w:t xml:space="preserve">become </w:t>
      </w:r>
      <w:r w:rsidR="00944C55">
        <w:rPr>
          <w:rFonts w:ascii="Calibri" w:eastAsia="Calibri" w:hAnsi="Calibri" w:cs="Calibri"/>
        </w:rPr>
        <w:t>uncontrolled</w:t>
      </w:r>
      <w:r w:rsidR="00EE0346">
        <w:rPr>
          <w:rFonts w:ascii="Calibri" w:eastAsia="Calibri" w:hAnsi="Calibri" w:cs="Calibri"/>
        </w:rPr>
        <w:t xml:space="preserve"> or late season </w:t>
      </w:r>
      <w:r w:rsidR="008E4BB1">
        <w:rPr>
          <w:rFonts w:ascii="Calibri" w:eastAsia="Calibri" w:hAnsi="Calibri" w:cs="Calibri"/>
        </w:rPr>
        <w:t xml:space="preserve">fire events. </w:t>
      </w:r>
      <w:r w:rsidR="00FB7F37" w:rsidRPr="00FB7F37">
        <w:rPr>
          <w:rFonts w:ascii="Calibri" w:eastAsia="Calibri" w:hAnsi="Calibri" w:cs="Calibri"/>
        </w:rPr>
        <w:t xml:space="preserve">Proponents must notify CER within 60 days after the proponent becomes aware </w:t>
      </w:r>
      <w:r w:rsidR="00FB7F37">
        <w:rPr>
          <w:rFonts w:ascii="Calibri" w:eastAsia="Calibri" w:hAnsi="Calibri" w:cs="Calibri"/>
        </w:rPr>
        <w:t>of such an event</w:t>
      </w:r>
      <w:r w:rsidR="00FB7F37" w:rsidRPr="00FB7F37">
        <w:rPr>
          <w:rFonts w:ascii="Calibri" w:eastAsia="Calibri" w:hAnsi="Calibri" w:cs="Calibri"/>
        </w:rPr>
        <w:t>.</w:t>
      </w:r>
    </w:p>
    <w:p w14:paraId="41BCE0AF" w14:textId="748D193C" w:rsidR="62F714E9" w:rsidRDefault="42D4386F" w:rsidP="00786388">
      <w:pPr>
        <w:spacing w:after="240"/>
        <w:rPr>
          <w:rFonts w:ascii="Calibri" w:eastAsia="Calibri" w:hAnsi="Calibri" w:cs="Calibri"/>
        </w:rPr>
      </w:pPr>
      <w:r w:rsidRPr="15441212">
        <w:rPr>
          <w:rFonts w:ascii="Calibri" w:eastAsia="Calibri" w:hAnsi="Calibri" w:cs="Calibri"/>
        </w:rPr>
        <w:t xml:space="preserve">For further information, please refer </w:t>
      </w:r>
      <w:r w:rsidR="0FC92075" w:rsidRPr="15441212">
        <w:rPr>
          <w:rFonts w:ascii="Aptos" w:eastAsia="Aptos" w:hAnsi="Aptos" w:cs="Aptos"/>
        </w:rPr>
        <w:t xml:space="preserve">to </w:t>
      </w:r>
      <w:hyperlink r:id="rId53">
        <w:r w:rsidR="0FC92075" w:rsidRPr="15441212">
          <w:rPr>
            <w:rStyle w:val="Hyperlink"/>
            <w:rFonts w:ascii="Aptos" w:eastAsia="Aptos" w:hAnsi="Aptos" w:cs="Aptos"/>
          </w:rPr>
          <w:t>project reporting and audits</w:t>
        </w:r>
      </w:hyperlink>
      <w:r w:rsidR="4C5407A1" w:rsidRPr="15441212">
        <w:rPr>
          <w:rFonts w:ascii="Aptos" w:eastAsia="Aptos" w:hAnsi="Aptos" w:cs="Aptos"/>
        </w:rPr>
        <w:t xml:space="preserve"> and </w:t>
      </w:r>
      <w:hyperlink r:id="rId54" w:anchor="reversal-events">
        <w:r w:rsidR="4C5407A1" w:rsidRPr="15441212">
          <w:rPr>
            <w:rStyle w:val="Hyperlink"/>
            <w:rFonts w:ascii="Aptos" w:eastAsia="Aptos" w:hAnsi="Aptos" w:cs="Aptos"/>
          </w:rPr>
          <w:t>permanence obligations</w:t>
        </w:r>
      </w:hyperlink>
      <w:r w:rsidR="4C5407A1" w:rsidRPr="15441212">
        <w:rPr>
          <w:rFonts w:ascii="Aptos" w:eastAsia="Aptos" w:hAnsi="Aptos" w:cs="Aptos"/>
        </w:rPr>
        <w:t xml:space="preserve">. </w:t>
      </w:r>
    </w:p>
    <w:p w14:paraId="416704BC" w14:textId="640E1731" w:rsidR="00EB3F41" w:rsidRDefault="00EB3F41" w:rsidP="62F714E9">
      <w:pPr>
        <w:pStyle w:val="Heading4"/>
        <w:spacing w:after="240"/>
      </w:pPr>
      <w:r w:rsidRPr="00B97B72">
        <w:t>What constitutes an event in relation to significant reversal events for a savanna fire management project?</w:t>
      </w:r>
      <w:r>
        <w:t xml:space="preserve"> </w:t>
      </w:r>
    </w:p>
    <w:p w14:paraId="6F635B1A" w14:textId="24A6DBDE" w:rsidR="00E2659A" w:rsidRDefault="00015C27" w:rsidP="00BB7A89">
      <w:pPr>
        <w:rPr>
          <w:rFonts w:ascii="Calibri" w:eastAsia="Calibri" w:hAnsi="Calibri" w:cs="Calibri"/>
        </w:rPr>
      </w:pPr>
      <w:r>
        <w:rPr>
          <w:rFonts w:ascii="Calibri" w:eastAsia="Calibri" w:hAnsi="Calibri" w:cs="Calibri"/>
        </w:rPr>
        <w:t xml:space="preserve">Under savanna fire management method, </w:t>
      </w:r>
      <w:r w:rsidRPr="252AC207">
        <w:rPr>
          <w:rFonts w:ascii="Calibri" w:eastAsia="Calibri" w:hAnsi="Calibri" w:cs="Calibri"/>
        </w:rPr>
        <w:t xml:space="preserve">planned </w:t>
      </w:r>
      <w:bookmarkStart w:id="7" w:name="_Int_N0OGfA49"/>
      <w:proofErr w:type="gramStart"/>
      <w:r w:rsidRPr="713B2156">
        <w:rPr>
          <w:rFonts w:ascii="Calibri" w:eastAsia="Calibri" w:hAnsi="Calibri" w:cs="Calibri"/>
        </w:rPr>
        <w:t>burning</w:t>
      </w:r>
      <w:bookmarkEnd w:id="7"/>
      <w:proofErr w:type="gramEnd"/>
      <w:r w:rsidR="00441603">
        <w:rPr>
          <w:rFonts w:ascii="Calibri" w:eastAsia="Calibri" w:hAnsi="Calibri" w:cs="Calibri"/>
        </w:rPr>
        <w:t xml:space="preserve"> </w:t>
      </w:r>
      <w:r w:rsidDel="00441603">
        <w:rPr>
          <w:rFonts w:ascii="Calibri" w:eastAsia="Calibri" w:hAnsi="Calibri" w:cs="Calibri"/>
        </w:rPr>
        <w:t xml:space="preserve">that </w:t>
      </w:r>
      <w:r>
        <w:rPr>
          <w:rFonts w:ascii="Calibri" w:eastAsia="Calibri" w:hAnsi="Calibri" w:cs="Calibri"/>
        </w:rPr>
        <w:t>takes place</w:t>
      </w:r>
      <w:r w:rsidRPr="62F714E9">
        <w:rPr>
          <w:rFonts w:ascii="Calibri" w:eastAsia="Calibri" w:hAnsi="Calibri" w:cs="Calibri"/>
        </w:rPr>
        <w:t xml:space="preserve"> </w:t>
      </w:r>
      <w:r>
        <w:rPr>
          <w:rFonts w:ascii="Calibri" w:eastAsia="Calibri" w:hAnsi="Calibri" w:cs="Calibri"/>
        </w:rPr>
        <w:t>in accordance with the project mechanism to support the sequestration of biomass in these ecosystems</w:t>
      </w:r>
      <w:r w:rsidR="00BC3A1A" w:rsidDel="00441603">
        <w:rPr>
          <w:rFonts w:ascii="Calibri" w:eastAsia="Calibri" w:hAnsi="Calibri" w:cs="Calibri"/>
        </w:rPr>
        <w:t xml:space="preserve"> </w:t>
      </w:r>
      <w:r w:rsidR="00441603">
        <w:rPr>
          <w:rFonts w:ascii="Calibri" w:eastAsia="Calibri" w:hAnsi="Calibri" w:cs="Calibri"/>
        </w:rPr>
        <w:t xml:space="preserve">is </w:t>
      </w:r>
      <w:r w:rsidR="00BC3A1A">
        <w:rPr>
          <w:rFonts w:ascii="Calibri" w:eastAsia="Calibri" w:hAnsi="Calibri" w:cs="Calibri"/>
        </w:rPr>
        <w:t xml:space="preserve">not considered </w:t>
      </w:r>
      <w:r w:rsidR="003064C8" w:rsidRPr="003064C8">
        <w:rPr>
          <w:rFonts w:ascii="Calibri" w:eastAsia="Calibri" w:hAnsi="Calibri" w:cs="Calibri"/>
        </w:rPr>
        <w:t xml:space="preserve">a </w:t>
      </w:r>
      <w:r w:rsidR="00473799">
        <w:rPr>
          <w:rFonts w:ascii="Calibri" w:eastAsia="Calibri" w:hAnsi="Calibri" w:cs="Calibri"/>
        </w:rPr>
        <w:t>“</w:t>
      </w:r>
      <w:r w:rsidR="003064C8" w:rsidRPr="003064C8">
        <w:rPr>
          <w:rFonts w:ascii="Calibri" w:eastAsia="Calibri" w:hAnsi="Calibri" w:cs="Calibri"/>
        </w:rPr>
        <w:t>natural disturbance</w:t>
      </w:r>
      <w:r w:rsidR="52199803" w:rsidRPr="15441212">
        <w:rPr>
          <w:rFonts w:ascii="Calibri" w:eastAsia="Calibri" w:hAnsi="Calibri" w:cs="Calibri"/>
        </w:rPr>
        <w:t>”</w:t>
      </w:r>
      <w:r w:rsidR="00BC3A1A">
        <w:rPr>
          <w:rFonts w:ascii="Calibri" w:eastAsia="Calibri" w:hAnsi="Calibri" w:cs="Calibri"/>
        </w:rPr>
        <w:t xml:space="preserve"> and </w:t>
      </w:r>
      <w:r w:rsidR="00C04640">
        <w:rPr>
          <w:rFonts w:ascii="Calibri" w:eastAsia="Calibri" w:hAnsi="Calibri" w:cs="Calibri"/>
        </w:rPr>
        <w:t xml:space="preserve">are </w:t>
      </w:r>
      <w:r>
        <w:rPr>
          <w:rFonts w:ascii="Calibri" w:eastAsia="Calibri" w:hAnsi="Calibri" w:cs="Calibri"/>
        </w:rPr>
        <w:t>reported through ongoing offsets report</w:t>
      </w:r>
      <w:r w:rsidR="00C04640">
        <w:rPr>
          <w:rFonts w:ascii="Calibri" w:eastAsia="Calibri" w:hAnsi="Calibri" w:cs="Calibri"/>
        </w:rPr>
        <w:t>s</w:t>
      </w:r>
      <w:r>
        <w:rPr>
          <w:rFonts w:ascii="Calibri" w:eastAsia="Calibri" w:hAnsi="Calibri" w:cs="Calibri"/>
        </w:rPr>
        <w:t xml:space="preserve"> and do not require notification.</w:t>
      </w:r>
      <w:r w:rsidR="00E2659A" w:rsidRPr="00E2659A">
        <w:rPr>
          <w:rFonts w:ascii="Calibri" w:eastAsia="Calibri" w:hAnsi="Calibri" w:cs="Calibri"/>
        </w:rPr>
        <w:t xml:space="preserve"> </w:t>
      </w:r>
      <w:r w:rsidR="006B02C4" w:rsidRPr="62F714E9">
        <w:rPr>
          <w:rFonts w:ascii="Calibri" w:eastAsia="Calibri" w:hAnsi="Calibri" w:cs="Calibri"/>
        </w:rPr>
        <w:t xml:space="preserve">However, if </w:t>
      </w:r>
      <w:r w:rsidR="006B02C4" w:rsidRPr="0B363FA6">
        <w:rPr>
          <w:rFonts w:ascii="Calibri" w:eastAsia="Calibri" w:hAnsi="Calibri" w:cs="Calibri"/>
        </w:rPr>
        <w:t>an</w:t>
      </w:r>
      <w:r w:rsidR="006B02C4" w:rsidRPr="62F714E9">
        <w:rPr>
          <w:rFonts w:ascii="Calibri" w:eastAsia="Calibri" w:hAnsi="Calibri" w:cs="Calibri"/>
        </w:rPr>
        <w:t xml:space="preserve"> </w:t>
      </w:r>
      <w:r w:rsidR="006B02C4" w:rsidRPr="0A6B012E">
        <w:rPr>
          <w:rFonts w:ascii="Calibri" w:eastAsia="Calibri" w:hAnsi="Calibri" w:cs="Calibri"/>
        </w:rPr>
        <w:t xml:space="preserve">unplanned </w:t>
      </w:r>
      <w:r w:rsidR="003E1F4F">
        <w:rPr>
          <w:rFonts w:ascii="Calibri" w:eastAsia="Calibri" w:hAnsi="Calibri" w:cs="Calibri"/>
        </w:rPr>
        <w:t xml:space="preserve">bushfire </w:t>
      </w:r>
      <w:r w:rsidR="006B02C4" w:rsidRPr="0A6B012E">
        <w:rPr>
          <w:rFonts w:ascii="Calibri" w:eastAsia="Calibri" w:hAnsi="Calibri" w:cs="Calibri"/>
        </w:rPr>
        <w:t xml:space="preserve">or </w:t>
      </w:r>
      <w:r w:rsidR="006B02C4" w:rsidRPr="10FABB53">
        <w:rPr>
          <w:rFonts w:ascii="Calibri" w:eastAsia="Calibri" w:hAnsi="Calibri" w:cs="Calibri"/>
        </w:rPr>
        <w:t xml:space="preserve">uncontrolled </w:t>
      </w:r>
      <w:r w:rsidR="006B02C4" w:rsidRPr="62F714E9">
        <w:rPr>
          <w:rFonts w:ascii="Calibri" w:eastAsia="Calibri" w:hAnsi="Calibri" w:cs="Calibri"/>
        </w:rPr>
        <w:t>fire results in a significant reversal event, a notification is required.</w:t>
      </w:r>
      <w:r w:rsidR="006B02C4">
        <w:rPr>
          <w:rFonts w:ascii="Calibri" w:eastAsia="Calibri" w:hAnsi="Calibri" w:cs="Calibri"/>
        </w:rPr>
        <w:t xml:space="preserve"> </w:t>
      </w:r>
      <w:r w:rsidR="00E2659A">
        <w:rPr>
          <w:rFonts w:ascii="Calibri" w:eastAsia="Calibri" w:hAnsi="Calibri" w:cs="Calibri"/>
        </w:rPr>
        <w:t xml:space="preserve">This may result from fire management events that become uncontrolled or </w:t>
      </w:r>
      <w:r w:rsidR="00BB7A89">
        <w:rPr>
          <w:rFonts w:ascii="Calibri" w:eastAsia="Calibri" w:hAnsi="Calibri" w:cs="Calibri"/>
        </w:rPr>
        <w:t xml:space="preserve">unplanned </w:t>
      </w:r>
      <w:r w:rsidR="00E2659A">
        <w:rPr>
          <w:rFonts w:ascii="Calibri" w:eastAsia="Calibri" w:hAnsi="Calibri" w:cs="Calibri"/>
        </w:rPr>
        <w:t xml:space="preserve">late season fire events. </w:t>
      </w:r>
      <w:r w:rsidR="006B02C4">
        <w:rPr>
          <w:rFonts w:ascii="Calibri" w:eastAsia="Calibri" w:hAnsi="Calibri" w:cs="Calibri"/>
        </w:rPr>
        <w:t xml:space="preserve"> </w:t>
      </w:r>
      <w:r w:rsidR="00BB7A89">
        <w:rPr>
          <w:rFonts w:ascii="Calibri" w:eastAsia="Calibri" w:hAnsi="Calibri" w:cs="Calibri"/>
        </w:rPr>
        <w:t>O</w:t>
      </w:r>
      <w:r w:rsidR="00E2659A" w:rsidRPr="18225A39">
        <w:rPr>
          <w:rFonts w:ascii="Calibri" w:eastAsia="Calibri" w:hAnsi="Calibri" w:cs="Calibri"/>
        </w:rPr>
        <w:t xml:space="preserve">ther natural disturbances or </w:t>
      </w:r>
      <w:r w:rsidR="00FB7F37">
        <w:rPr>
          <w:rFonts w:ascii="Calibri" w:eastAsia="Calibri" w:hAnsi="Calibri" w:cs="Calibri"/>
        </w:rPr>
        <w:t xml:space="preserve">conduct </w:t>
      </w:r>
      <w:r w:rsidR="00932C40">
        <w:rPr>
          <w:rFonts w:ascii="Calibri" w:eastAsia="Calibri" w:hAnsi="Calibri" w:cs="Calibri"/>
        </w:rPr>
        <w:t xml:space="preserve">that causes the reversal of sequestration, such as </w:t>
      </w:r>
      <w:r w:rsidR="006B02C4">
        <w:rPr>
          <w:rFonts w:ascii="Calibri" w:eastAsia="Calibri" w:hAnsi="Calibri" w:cs="Calibri"/>
        </w:rPr>
        <w:t>clearing,</w:t>
      </w:r>
      <w:r w:rsidR="0064652F">
        <w:rPr>
          <w:rFonts w:ascii="Calibri" w:eastAsia="Calibri" w:hAnsi="Calibri" w:cs="Calibri"/>
        </w:rPr>
        <w:t xml:space="preserve"> may result in a significant reversal event that needs to be notified.  </w:t>
      </w:r>
    </w:p>
    <w:p w14:paraId="5283F5A7" w14:textId="1FF16BCE" w:rsidR="00FC0198" w:rsidRDefault="053A8650" w:rsidP="62F714E9">
      <w:pPr>
        <w:rPr>
          <w:rFonts w:ascii="Calibri" w:eastAsia="Calibri" w:hAnsi="Calibri" w:cs="Calibri"/>
        </w:rPr>
      </w:pPr>
      <w:r w:rsidRPr="48BE6F66">
        <w:rPr>
          <w:rFonts w:ascii="Calibri" w:eastAsia="Calibri" w:hAnsi="Calibri" w:cs="Calibri"/>
        </w:rPr>
        <w:t xml:space="preserve">Reversals relating to natural disturbances </w:t>
      </w:r>
      <w:r w:rsidR="006B02C4">
        <w:rPr>
          <w:rFonts w:ascii="Calibri" w:eastAsia="Calibri" w:hAnsi="Calibri" w:cs="Calibri"/>
        </w:rPr>
        <w:t xml:space="preserve">are </w:t>
      </w:r>
      <w:r w:rsidRPr="48BE6F66">
        <w:rPr>
          <w:rFonts w:ascii="Calibri" w:eastAsia="Calibri" w:hAnsi="Calibri" w:cs="Calibri"/>
        </w:rPr>
        <w:t xml:space="preserve">taken to be </w:t>
      </w:r>
      <w:r w:rsidRPr="48BE6F66">
        <w:rPr>
          <w:rFonts w:ascii="Calibri" w:eastAsia="Calibri" w:hAnsi="Calibri" w:cs="Calibri"/>
          <w:b/>
        </w:rPr>
        <w:t xml:space="preserve">significant </w:t>
      </w:r>
      <w:r w:rsidRPr="48BE6F66">
        <w:rPr>
          <w:rFonts w:ascii="Calibri" w:eastAsia="Calibri" w:hAnsi="Calibri" w:cs="Calibri"/>
        </w:rPr>
        <w:t>if the size of the project area in which the reversal occurs is at least 5% of the total project area. Or, if caused by conduct</w:t>
      </w:r>
      <w:r w:rsidR="23FDAFF7" w:rsidRPr="48BE6F66">
        <w:rPr>
          <w:rFonts w:ascii="Calibri" w:eastAsia="Calibri" w:hAnsi="Calibri" w:cs="Calibri"/>
        </w:rPr>
        <w:t xml:space="preserve"> by a person </w:t>
      </w:r>
      <w:r w:rsidR="51133405" w:rsidRPr="48BE6F66">
        <w:rPr>
          <w:rFonts w:ascii="Calibri" w:eastAsia="Calibri" w:hAnsi="Calibri" w:cs="Calibri"/>
        </w:rPr>
        <w:t>(</w:t>
      </w:r>
      <w:r w:rsidR="23FDAFF7" w:rsidRPr="48BE6F66">
        <w:rPr>
          <w:rFonts w:ascii="Calibri" w:eastAsia="Calibri" w:hAnsi="Calibri" w:cs="Calibri"/>
        </w:rPr>
        <w:t>other than the proponent</w:t>
      </w:r>
      <w:r w:rsidR="1B824935" w:rsidRPr="48BE6F66">
        <w:rPr>
          <w:rFonts w:ascii="Calibri" w:eastAsia="Calibri" w:hAnsi="Calibri" w:cs="Calibri"/>
        </w:rPr>
        <w:t>)</w:t>
      </w:r>
      <w:r w:rsidR="629E8E90" w:rsidRPr="48BE6F66">
        <w:rPr>
          <w:rFonts w:ascii="Calibri" w:eastAsia="Calibri" w:hAnsi="Calibri" w:cs="Calibri"/>
        </w:rPr>
        <w:t>,</w:t>
      </w:r>
      <w:r w:rsidRPr="48BE6F66">
        <w:rPr>
          <w:rFonts w:ascii="Calibri" w:eastAsia="Calibri" w:hAnsi="Calibri" w:cs="Calibri"/>
        </w:rPr>
        <w:t xml:space="preserve"> the smaller of 5% or 50</w:t>
      </w:r>
      <w:r w:rsidR="00654203" w:rsidRPr="48BE6F66">
        <w:rPr>
          <w:rFonts w:ascii="Calibri" w:eastAsia="Calibri" w:hAnsi="Calibri" w:cs="Calibri"/>
        </w:rPr>
        <w:t xml:space="preserve"> </w:t>
      </w:r>
      <w:r w:rsidR="629E8E90" w:rsidRPr="48BE6F66">
        <w:rPr>
          <w:rFonts w:ascii="Calibri" w:eastAsia="Calibri" w:hAnsi="Calibri" w:cs="Calibri"/>
        </w:rPr>
        <w:t>h</w:t>
      </w:r>
      <w:r w:rsidR="420FE766" w:rsidRPr="48BE6F66">
        <w:rPr>
          <w:rFonts w:ascii="Calibri" w:eastAsia="Calibri" w:hAnsi="Calibri" w:cs="Calibri"/>
        </w:rPr>
        <w:t>ectares</w:t>
      </w:r>
      <w:r w:rsidR="629E8E90" w:rsidRPr="48BE6F66">
        <w:rPr>
          <w:rFonts w:ascii="Calibri" w:eastAsia="Calibri" w:hAnsi="Calibri" w:cs="Calibri"/>
        </w:rPr>
        <w:t>.</w:t>
      </w:r>
    </w:p>
    <w:p w14:paraId="2F88F973" w14:textId="14F16BE0" w:rsidR="00FC0198" w:rsidRDefault="053A8650" w:rsidP="62F714E9">
      <w:pPr>
        <w:rPr>
          <w:rFonts w:ascii="Calibri" w:eastAsia="Calibri" w:hAnsi="Calibri" w:cs="Calibri"/>
        </w:rPr>
      </w:pPr>
      <w:r w:rsidRPr="66F0CE50">
        <w:rPr>
          <w:rFonts w:ascii="Calibri" w:eastAsia="Calibri" w:hAnsi="Calibri" w:cs="Calibri"/>
        </w:rPr>
        <w:t>Proponents must notify CER within 60 days after the proponent becomes aware that the disturbance has happened or the conduct has been engaged</w:t>
      </w:r>
      <w:r w:rsidR="00C4524A" w:rsidRPr="66F0CE50">
        <w:rPr>
          <w:rFonts w:ascii="Calibri" w:eastAsia="Calibri" w:hAnsi="Calibri" w:cs="Calibri"/>
        </w:rPr>
        <w:t>.</w:t>
      </w:r>
      <w:r w:rsidR="50668051" w:rsidRPr="66F0CE50">
        <w:rPr>
          <w:rFonts w:ascii="Calibri" w:eastAsia="Calibri" w:hAnsi="Calibri" w:cs="Calibri"/>
        </w:rPr>
        <w:t xml:space="preserve"> </w:t>
      </w:r>
      <w:r w:rsidR="3A9E51F6" w:rsidRPr="65F68883">
        <w:rPr>
          <w:rFonts w:ascii="Calibri" w:eastAsia="Calibri" w:hAnsi="Calibri" w:cs="Calibri"/>
        </w:rPr>
        <w:t xml:space="preserve">Proponents must </w:t>
      </w:r>
      <w:r w:rsidR="3A9E51F6" w:rsidRPr="6C2193E2">
        <w:rPr>
          <w:rFonts w:ascii="Calibri" w:eastAsia="Calibri" w:hAnsi="Calibri" w:cs="Calibri"/>
        </w:rPr>
        <w:t xml:space="preserve">continue to </w:t>
      </w:r>
      <w:r w:rsidR="3A9E51F6" w:rsidRPr="46C136C6">
        <w:rPr>
          <w:rFonts w:ascii="Calibri" w:eastAsia="Calibri" w:hAnsi="Calibri" w:cs="Calibri"/>
        </w:rPr>
        <w:t xml:space="preserve">notify the </w:t>
      </w:r>
      <w:r w:rsidR="3A9E51F6" w:rsidRPr="2F57C561">
        <w:rPr>
          <w:rFonts w:ascii="Calibri" w:eastAsia="Calibri" w:hAnsi="Calibri" w:cs="Calibri"/>
        </w:rPr>
        <w:t xml:space="preserve">CER in </w:t>
      </w:r>
      <w:r w:rsidR="3A9E51F6" w:rsidRPr="6F8B03DE">
        <w:rPr>
          <w:rFonts w:ascii="Calibri" w:eastAsia="Calibri" w:hAnsi="Calibri" w:cs="Calibri"/>
        </w:rPr>
        <w:t xml:space="preserve">accordance with these </w:t>
      </w:r>
      <w:r w:rsidR="3A9E51F6" w:rsidRPr="31013374">
        <w:rPr>
          <w:rFonts w:ascii="Calibri" w:eastAsia="Calibri" w:hAnsi="Calibri" w:cs="Calibri"/>
        </w:rPr>
        <w:t>requirements</w:t>
      </w:r>
      <w:r w:rsidR="3A9E51F6" w:rsidRPr="3CD62394">
        <w:rPr>
          <w:rFonts w:ascii="Calibri" w:eastAsia="Calibri" w:hAnsi="Calibri" w:cs="Calibri"/>
        </w:rPr>
        <w:t xml:space="preserve">, throughout </w:t>
      </w:r>
      <w:r w:rsidR="3A9E51F6" w:rsidRPr="43824247">
        <w:rPr>
          <w:rFonts w:ascii="Calibri" w:eastAsia="Calibri" w:hAnsi="Calibri" w:cs="Calibri"/>
        </w:rPr>
        <w:t xml:space="preserve">the </w:t>
      </w:r>
      <w:r w:rsidR="3A9E51F6" w:rsidRPr="6AF64F24">
        <w:rPr>
          <w:rFonts w:ascii="Calibri" w:eastAsia="Calibri" w:hAnsi="Calibri" w:cs="Calibri"/>
        </w:rPr>
        <w:t xml:space="preserve">project’s </w:t>
      </w:r>
      <w:r w:rsidR="3A9E51F6" w:rsidRPr="172B7A34">
        <w:rPr>
          <w:rFonts w:ascii="Calibri" w:eastAsia="Calibri" w:hAnsi="Calibri" w:cs="Calibri"/>
        </w:rPr>
        <w:t xml:space="preserve">permanence obligation period. </w:t>
      </w:r>
    </w:p>
    <w:p w14:paraId="5A69EDF9" w14:textId="2641ED4A" w:rsidR="00286A33" w:rsidRDefault="00286A33" w:rsidP="62F714E9">
      <w:pPr>
        <w:rPr>
          <w:rStyle w:val="Hyperlink"/>
          <w:rFonts w:ascii="Aptos" w:eastAsia="Aptos" w:hAnsi="Aptos" w:cs="Aptos"/>
        </w:rPr>
      </w:pPr>
      <w:r w:rsidRPr="15441212">
        <w:rPr>
          <w:rFonts w:ascii="Calibri" w:eastAsia="Calibri" w:hAnsi="Calibri" w:cs="Calibri"/>
        </w:rPr>
        <w:t>For further information, please refer to</w:t>
      </w:r>
      <w:r>
        <w:t xml:space="preserve"> </w:t>
      </w:r>
      <w:r w:rsidR="4C5407A1" w:rsidRPr="15441212">
        <w:rPr>
          <w:rFonts w:ascii="Calibri" w:eastAsia="Calibri" w:hAnsi="Calibri" w:cs="Calibri"/>
        </w:rPr>
        <w:t xml:space="preserve"> </w:t>
      </w:r>
      <w:hyperlink r:id="rId55">
        <w:r w:rsidR="15441212" w:rsidRPr="15441212">
          <w:rPr>
            <w:rStyle w:val="Hyperlink"/>
            <w:rFonts w:ascii="Aptos" w:eastAsia="Aptos" w:hAnsi="Aptos" w:cs="Aptos"/>
          </w:rPr>
          <w:t>project reporting and audits</w:t>
        </w:r>
      </w:hyperlink>
      <w:r w:rsidR="15441212" w:rsidRPr="15441212">
        <w:rPr>
          <w:rFonts w:ascii="Aptos" w:eastAsia="Aptos" w:hAnsi="Aptos" w:cs="Aptos"/>
        </w:rPr>
        <w:t xml:space="preserve"> and </w:t>
      </w:r>
      <w:hyperlink r:id="rId56" w:anchor="reversal-events">
        <w:r w:rsidR="15441212" w:rsidRPr="15441212">
          <w:rPr>
            <w:rStyle w:val="Hyperlink"/>
            <w:rFonts w:ascii="Aptos" w:eastAsia="Aptos" w:hAnsi="Aptos" w:cs="Aptos"/>
          </w:rPr>
          <w:t>permanence obligations</w:t>
        </w:r>
      </w:hyperlink>
      <w:r w:rsidR="15441212" w:rsidRPr="15441212">
        <w:rPr>
          <w:rFonts w:ascii="Aptos" w:eastAsia="Aptos" w:hAnsi="Aptos" w:cs="Aptos"/>
        </w:rPr>
        <w:t xml:space="preserve">. </w:t>
      </w:r>
    </w:p>
    <w:p w14:paraId="5E705BD3" w14:textId="19438FD9" w:rsidR="00167FE5" w:rsidRDefault="00167FE5" w:rsidP="00786388">
      <w:pPr>
        <w:pStyle w:val="Heading4"/>
      </w:pPr>
      <w:r>
        <w:t>Does the offset report have to be signed as does not state in the crediting application and if so who by?</w:t>
      </w:r>
      <w:r w:rsidR="3ABDCFCF">
        <w:t xml:space="preserve"> </w:t>
      </w:r>
    </w:p>
    <w:p w14:paraId="7A1B6A84" w14:textId="0960879B" w:rsidR="7F1E7C9E" w:rsidRDefault="06138DCE" w:rsidP="6020AF72">
      <w:pPr>
        <w:spacing w:before="240" w:after="240"/>
        <w:rPr>
          <w:rFonts w:ascii="Calibri" w:eastAsia="Calibri" w:hAnsi="Calibri" w:cs="Calibri"/>
          <w:szCs w:val="22"/>
        </w:rPr>
      </w:pPr>
      <w:r w:rsidRPr="6020AF72">
        <w:rPr>
          <w:rFonts w:ascii="Calibri" w:eastAsia="Calibri" w:hAnsi="Calibri" w:cs="Calibri"/>
          <w:szCs w:val="22"/>
        </w:rPr>
        <w:t>Offsets reports need to meet the requirements of the Act, Rule and relevant methodology determination.</w:t>
      </w:r>
    </w:p>
    <w:p w14:paraId="1E515913" w14:textId="67DCB5D9" w:rsidR="06138DCE" w:rsidRDefault="06138DCE" w:rsidP="00786388">
      <w:pPr>
        <w:spacing w:before="240" w:after="240"/>
        <w:rPr>
          <w:rFonts w:ascii="Calibri" w:eastAsia="Calibri" w:hAnsi="Calibri" w:cs="Calibri"/>
          <w:szCs w:val="22"/>
        </w:rPr>
      </w:pPr>
      <w:r w:rsidRPr="6020AF72">
        <w:rPr>
          <w:rFonts w:ascii="Calibri" w:eastAsia="Calibri" w:hAnsi="Calibri" w:cs="Calibri"/>
          <w:szCs w:val="22"/>
        </w:rPr>
        <w:t xml:space="preserve">Offsets reports are given to the to the Regulator through a ‘Project Report and Crediting Application’ in </w:t>
      </w:r>
      <w:hyperlink r:id="rId57">
        <w:r w:rsidRPr="6020AF72">
          <w:rPr>
            <w:rStyle w:val="Hyperlink"/>
            <w:rFonts w:eastAsia="Calibri" w:cs="Calibri"/>
          </w:rPr>
          <w:t>Online Services</w:t>
        </w:r>
      </w:hyperlink>
      <w:r w:rsidRPr="6020AF72">
        <w:rPr>
          <w:rFonts w:ascii="Calibri" w:eastAsia="Calibri" w:hAnsi="Calibri" w:cs="Calibri"/>
          <w:szCs w:val="22"/>
        </w:rPr>
        <w:t>. The application must be signed. The signatory can be either:</w:t>
      </w:r>
    </w:p>
    <w:p w14:paraId="35F57434" w14:textId="4FF23E90" w:rsidR="06138DCE" w:rsidRDefault="06138DCE" w:rsidP="6020AF72">
      <w:pPr>
        <w:pStyle w:val="ListParagraph"/>
        <w:numPr>
          <w:ilvl w:val="0"/>
          <w:numId w:val="23"/>
        </w:numPr>
        <w:spacing w:after="0"/>
        <w:rPr>
          <w:rFonts w:ascii="Calibri" w:eastAsia="Calibri" w:hAnsi="Calibri" w:cs="Calibri"/>
          <w:szCs w:val="22"/>
        </w:rPr>
      </w:pPr>
      <w:r w:rsidRPr="6020AF72">
        <w:rPr>
          <w:rFonts w:ascii="Calibri" w:eastAsia="Calibri" w:hAnsi="Calibri" w:cs="Calibri"/>
          <w:szCs w:val="22"/>
        </w:rPr>
        <w:t>the project proponent or nominee, or</w:t>
      </w:r>
    </w:p>
    <w:p w14:paraId="56A95E6D" w14:textId="1B570623" w:rsidR="06138DCE" w:rsidRDefault="06138DCE" w:rsidP="6020AF72">
      <w:pPr>
        <w:pStyle w:val="ListParagraph"/>
        <w:numPr>
          <w:ilvl w:val="0"/>
          <w:numId w:val="23"/>
        </w:numPr>
        <w:spacing w:after="0"/>
        <w:rPr>
          <w:rFonts w:ascii="Calibri" w:eastAsia="Calibri" w:hAnsi="Calibri" w:cs="Calibri"/>
          <w:szCs w:val="22"/>
        </w:rPr>
      </w:pPr>
      <w:r w:rsidRPr="6020AF72">
        <w:rPr>
          <w:rFonts w:ascii="Calibri" w:eastAsia="Calibri" w:hAnsi="Calibri" w:cs="Calibri"/>
          <w:szCs w:val="22"/>
        </w:rPr>
        <w:t>someone authorised to sign on behalf of the project proponent or nominee.</w:t>
      </w:r>
    </w:p>
    <w:p w14:paraId="78DB9C32" w14:textId="754EA919" w:rsidR="15441212" w:rsidRDefault="06138DCE" w:rsidP="15441212">
      <w:pPr>
        <w:spacing w:before="240" w:after="240"/>
        <w:rPr>
          <w:rFonts w:ascii="Calibri" w:eastAsia="Calibri" w:hAnsi="Calibri" w:cs="Calibri"/>
        </w:rPr>
      </w:pPr>
      <w:r w:rsidRPr="6020AF72">
        <w:rPr>
          <w:rFonts w:ascii="Calibri" w:eastAsia="Calibri" w:hAnsi="Calibri" w:cs="Calibri"/>
          <w:szCs w:val="22"/>
        </w:rPr>
        <w:t>Proof must be provided to show the signatory has authority to sign.</w:t>
      </w:r>
    </w:p>
    <w:p w14:paraId="55FD5372" w14:textId="5EC5A97B" w:rsidR="00AD545F" w:rsidRPr="00AD545F" w:rsidRDefault="0696D146" w:rsidP="15441212">
      <w:pPr>
        <w:pStyle w:val="Heading4"/>
        <w:spacing w:after="240"/>
      </w:pPr>
      <w:r>
        <w:t xml:space="preserve">In the same way that reporting and notification requirements continue post the completion of the crediting period for EP projects </w:t>
      </w:r>
      <w:r w:rsidR="001A6272">
        <w:t xml:space="preserve">– </w:t>
      </w:r>
      <w:r>
        <w:t>is it your expectations that carbon farming activities will continue for HIR projects from end of the crediting period to up until the end of the permanence period (i.e</w:t>
      </w:r>
      <w:r w:rsidR="00EE39C7">
        <w:t>.</w:t>
      </w:r>
      <w:r>
        <w:t xml:space="preserve"> approx</w:t>
      </w:r>
      <w:r w:rsidR="00EE39C7">
        <w:t>imately</w:t>
      </w:r>
      <w:r>
        <w:t xml:space="preserve"> 70-75 years)</w:t>
      </w:r>
      <w:r w:rsidR="001A6272">
        <w:t>?</w:t>
      </w:r>
      <w:r>
        <w:t xml:space="preserve"> </w:t>
      </w:r>
    </w:p>
    <w:p w14:paraId="3EBB8866" w14:textId="2A31D440" w:rsidR="00AD545F" w:rsidRPr="00AD545F" w:rsidRDefault="0696D146" w:rsidP="19F0E246">
      <w:r w:rsidRPr="66F0CE50">
        <w:rPr>
          <w:rFonts w:ascii="Calibri" w:eastAsia="Calibri" w:hAnsi="Calibri" w:cs="Calibri"/>
        </w:rPr>
        <w:t xml:space="preserve">Yes, for Human-Induced Regeneration (HIR) projects, </w:t>
      </w:r>
      <w:r w:rsidR="006F0407" w:rsidRPr="66F0CE50">
        <w:rPr>
          <w:rFonts w:ascii="Calibri" w:eastAsia="Calibri" w:hAnsi="Calibri" w:cs="Calibri"/>
        </w:rPr>
        <w:t xml:space="preserve">project </w:t>
      </w:r>
      <w:r w:rsidR="007A7274" w:rsidRPr="66F0CE50">
        <w:rPr>
          <w:rFonts w:ascii="Calibri" w:eastAsia="Calibri" w:hAnsi="Calibri" w:cs="Calibri"/>
        </w:rPr>
        <w:t>management</w:t>
      </w:r>
      <w:r w:rsidRPr="66F0CE50">
        <w:rPr>
          <w:rFonts w:ascii="Calibri" w:eastAsia="Calibri" w:hAnsi="Calibri" w:cs="Calibri"/>
        </w:rPr>
        <w:t xml:space="preserve"> activities are expected to continue beyond the crediting period and throughout the permanence period to maintain stored carbon. The permanence plan serves as the guiding framework for this ongoing land management.</w:t>
      </w:r>
    </w:p>
    <w:p w14:paraId="671CDA63" w14:textId="2F928320" w:rsidR="00AD545F" w:rsidRPr="00AD545F" w:rsidRDefault="0696D146" w:rsidP="19F0E246">
      <w:pPr>
        <w:spacing w:before="240" w:after="240"/>
        <w:rPr>
          <w:rFonts w:ascii="Calibri" w:eastAsia="Calibri" w:hAnsi="Calibri" w:cs="Calibri"/>
        </w:rPr>
      </w:pPr>
      <w:r w:rsidRPr="66F0CE50">
        <w:rPr>
          <w:rFonts w:ascii="Calibri" w:eastAsia="Calibri" w:hAnsi="Calibri" w:cs="Calibri"/>
        </w:rPr>
        <w:t xml:space="preserve">Under the ACCU Scheme, projects such as Human-Induced Regeneration (HIR) must uphold their permanence obligations for either 25 or 100 years, depending on the selected permanence period. While </w:t>
      </w:r>
      <w:r w:rsidRPr="66F0CE50">
        <w:rPr>
          <w:rFonts w:ascii="Calibri" w:eastAsia="Calibri" w:hAnsi="Calibri" w:cs="Calibri"/>
        </w:rPr>
        <w:lastRenderedPageBreak/>
        <w:t>the crediting period</w:t>
      </w:r>
      <w:r w:rsidR="001A6272">
        <w:t xml:space="preserve"> – </w:t>
      </w:r>
      <w:r w:rsidRPr="66F0CE50">
        <w:rPr>
          <w:rFonts w:ascii="Calibri" w:eastAsia="Calibri" w:hAnsi="Calibri" w:cs="Calibri"/>
        </w:rPr>
        <w:t>during which ACCUs are issued</w:t>
      </w:r>
      <w:r w:rsidR="001A6272">
        <w:t xml:space="preserve"> – </w:t>
      </w:r>
      <w:r w:rsidRPr="66F0CE50">
        <w:rPr>
          <w:rFonts w:ascii="Calibri" w:eastAsia="Calibri" w:hAnsi="Calibri" w:cs="Calibri"/>
        </w:rPr>
        <w:t>may conclude, the requirement to maintain carbon stocks continues until the end of the permanence period.</w:t>
      </w:r>
    </w:p>
    <w:p w14:paraId="28BC91A5" w14:textId="06C7F791" w:rsidR="00AD545F" w:rsidRPr="00AD545F" w:rsidRDefault="0696D146" w:rsidP="11077323">
      <w:pPr>
        <w:spacing w:before="240" w:after="240"/>
        <w:rPr>
          <w:rFonts w:ascii="Calibri" w:eastAsia="Calibri" w:hAnsi="Calibri" w:cs="Calibri"/>
        </w:rPr>
      </w:pPr>
      <w:r w:rsidRPr="11077323">
        <w:rPr>
          <w:rFonts w:ascii="Calibri" w:eastAsia="Calibri" w:hAnsi="Calibri" w:cs="Calibri"/>
        </w:rPr>
        <w:t xml:space="preserve">This means that active land management practices must persist to ensure that the carbon sequestered during the crediting period is retained. These practices may include controlling grazing pressure, managing </w:t>
      </w:r>
      <w:r w:rsidR="7C4F414B" w:rsidRPr="62F714E9">
        <w:rPr>
          <w:rFonts w:ascii="Calibri" w:eastAsia="Calibri" w:hAnsi="Calibri" w:cs="Calibri"/>
        </w:rPr>
        <w:t>feral</w:t>
      </w:r>
      <w:r w:rsidR="5AD07E16" w:rsidRPr="11077323">
        <w:rPr>
          <w:rFonts w:ascii="Calibri" w:eastAsia="Calibri" w:hAnsi="Calibri" w:cs="Calibri"/>
        </w:rPr>
        <w:t xml:space="preserve"> animals</w:t>
      </w:r>
      <w:r w:rsidRPr="11077323">
        <w:rPr>
          <w:rFonts w:ascii="Calibri" w:eastAsia="Calibri" w:hAnsi="Calibri" w:cs="Calibri"/>
        </w:rPr>
        <w:t xml:space="preserve">, and </w:t>
      </w:r>
      <w:r w:rsidR="450FD842" w:rsidRPr="62F714E9">
        <w:rPr>
          <w:rFonts w:ascii="Calibri" w:eastAsia="Calibri" w:hAnsi="Calibri" w:cs="Calibri"/>
        </w:rPr>
        <w:t>actions</w:t>
      </w:r>
      <w:r w:rsidR="2B9D8AEB" w:rsidRPr="11077323">
        <w:rPr>
          <w:rFonts w:ascii="Calibri" w:eastAsia="Calibri" w:hAnsi="Calibri" w:cs="Calibri"/>
        </w:rPr>
        <w:t xml:space="preserve"> to mitigate the risk of fire</w:t>
      </w:r>
      <w:r w:rsidRPr="11077323">
        <w:rPr>
          <w:rFonts w:ascii="Calibri" w:eastAsia="Calibri" w:hAnsi="Calibri" w:cs="Calibri"/>
        </w:rPr>
        <w:t xml:space="preserve">. The </w:t>
      </w:r>
      <w:r w:rsidR="279021A3" w:rsidRPr="66F0CE50">
        <w:rPr>
          <w:rFonts w:ascii="Calibri" w:eastAsia="Calibri" w:hAnsi="Calibri" w:cs="Calibri"/>
        </w:rPr>
        <w:t>CER</w:t>
      </w:r>
      <w:r w:rsidRPr="11077323">
        <w:rPr>
          <w:rFonts w:ascii="Calibri" w:eastAsia="Calibri" w:hAnsi="Calibri" w:cs="Calibri"/>
        </w:rPr>
        <w:t xml:space="preserve"> expects proponents to continue implementing these activities as outlined in their approved Permanence Plan, which details how carbon stores will be protected over time.</w:t>
      </w:r>
    </w:p>
    <w:p w14:paraId="102E7DF1" w14:textId="094467B2" w:rsidR="00AD545F" w:rsidRPr="00AD545F" w:rsidRDefault="0696D146" w:rsidP="19F0E246">
      <w:pPr>
        <w:spacing w:before="240" w:after="240"/>
        <w:rPr>
          <w:rFonts w:ascii="Calibri" w:eastAsia="Calibri" w:hAnsi="Calibri" w:cs="Calibri"/>
        </w:rPr>
      </w:pPr>
      <w:r w:rsidRPr="66F0CE50">
        <w:rPr>
          <w:rFonts w:ascii="Calibri" w:eastAsia="Calibri" w:hAnsi="Calibri" w:cs="Calibri"/>
        </w:rPr>
        <w:t xml:space="preserve">Additionally, reporting and notification obligations remain in effect during the permanence period. Proponents must submit offsets reports at least once every five years and notify the </w:t>
      </w:r>
      <w:r w:rsidR="279021A3" w:rsidRPr="66F0CE50">
        <w:rPr>
          <w:rFonts w:ascii="Calibri" w:eastAsia="Calibri" w:hAnsi="Calibri" w:cs="Calibri"/>
        </w:rPr>
        <w:t>CER</w:t>
      </w:r>
      <w:r w:rsidRPr="66F0CE50">
        <w:rPr>
          <w:rFonts w:ascii="Calibri" w:eastAsia="Calibri" w:hAnsi="Calibri" w:cs="Calibri"/>
        </w:rPr>
        <w:t xml:space="preserve"> of any significant reversal events that may impact carbon stocks, such as </w:t>
      </w:r>
      <w:r w:rsidR="00EC56A4">
        <w:rPr>
          <w:rFonts w:ascii="Calibri" w:eastAsia="Calibri" w:hAnsi="Calibri" w:cs="Calibri"/>
        </w:rPr>
        <w:t>bush</w:t>
      </w:r>
      <w:r w:rsidRPr="66F0CE50">
        <w:rPr>
          <w:rFonts w:ascii="Calibri" w:eastAsia="Calibri" w:hAnsi="Calibri" w:cs="Calibri"/>
        </w:rPr>
        <w:t>fire, drought, or land clearing.</w:t>
      </w:r>
    </w:p>
    <w:p w14:paraId="38E4598F" w14:textId="22BD4190" w:rsidR="15441212" w:rsidRDefault="0696D146" w:rsidP="15441212">
      <w:pPr>
        <w:spacing w:before="240" w:after="240"/>
        <w:rPr>
          <w:rFonts w:ascii="Calibri" w:eastAsia="Calibri" w:hAnsi="Calibri" w:cs="Calibri"/>
        </w:rPr>
      </w:pPr>
      <w:r w:rsidRPr="4C5407A1">
        <w:rPr>
          <w:rFonts w:ascii="Calibri" w:eastAsia="Calibri" w:hAnsi="Calibri" w:cs="Calibri"/>
        </w:rPr>
        <w:t>For further guidance, refer to</w:t>
      </w:r>
      <w:r w:rsidR="42ECC644" w:rsidRPr="4C5407A1">
        <w:rPr>
          <w:rFonts w:ascii="Calibri" w:eastAsia="Calibri" w:hAnsi="Calibri" w:cs="Calibri"/>
        </w:rPr>
        <w:t xml:space="preserve"> </w:t>
      </w:r>
      <w:hyperlink r:id="rId58" w:anchor="reversal-events">
        <w:r w:rsidR="4C5407A1" w:rsidRPr="15441212">
          <w:rPr>
            <w:rStyle w:val="Hyperlink"/>
            <w:rFonts w:ascii="Aptos" w:eastAsia="Aptos" w:hAnsi="Aptos" w:cs="Aptos"/>
          </w:rPr>
          <w:t>permanence obligations</w:t>
        </w:r>
      </w:hyperlink>
      <w:r w:rsidR="4C5407A1" w:rsidRPr="19F0E246">
        <w:rPr>
          <w:rFonts w:ascii="Calibri" w:eastAsia="Calibri" w:hAnsi="Calibri" w:cs="Calibri"/>
        </w:rPr>
        <w:t xml:space="preserve"> and</w:t>
      </w:r>
      <w:r w:rsidR="70F97C64" w:rsidRPr="19F0E246">
        <w:rPr>
          <w:rFonts w:ascii="Calibri" w:eastAsia="Calibri" w:hAnsi="Calibri" w:cs="Calibri"/>
        </w:rPr>
        <w:t xml:space="preserve"> </w:t>
      </w:r>
      <w:hyperlink r:id="rId59">
        <w:r w:rsidR="70F97C64" w:rsidRPr="15441212">
          <w:rPr>
            <w:rStyle w:val="Hyperlink"/>
            <w:rFonts w:eastAsia="Calibri" w:cs="Calibri"/>
          </w:rPr>
          <w:t>Human-Induced regeneration of a permanent even-aged native forest (closed)</w:t>
        </w:r>
      </w:hyperlink>
      <w:r w:rsidR="001A6272">
        <w:t>.</w:t>
      </w:r>
    </w:p>
    <w:p w14:paraId="4EE602E8" w14:textId="234E55B2" w:rsidR="15441212" w:rsidRPr="00786388" w:rsidRDefault="26907E74" w:rsidP="00441603">
      <w:pPr>
        <w:pStyle w:val="Heading4"/>
        <w:spacing w:after="240"/>
      </w:pPr>
      <w:r>
        <w:t>Do I need to start talking to Traditional Owners prior to me buying the project/land?</w:t>
      </w:r>
      <w:r w:rsidR="056A5C3E" w:rsidRPr="19F0E246">
        <w:rPr>
          <w:color w:val="92D050"/>
        </w:rPr>
        <w:t xml:space="preserve"> </w:t>
      </w:r>
    </w:p>
    <w:p w14:paraId="1B7900E9" w14:textId="73761264" w:rsidR="26907E74" w:rsidRDefault="6DBF84C5">
      <w:pPr>
        <w:rPr>
          <w:rFonts w:ascii="Calibri" w:eastAsia="Calibri" w:hAnsi="Calibri" w:cs="Calibri"/>
        </w:rPr>
      </w:pPr>
      <w:r w:rsidRPr="15441212">
        <w:rPr>
          <w:rFonts w:ascii="Calibri" w:eastAsia="Calibri" w:hAnsi="Calibri" w:cs="Calibri"/>
        </w:rPr>
        <w:t xml:space="preserve">It is best practice to </w:t>
      </w:r>
      <w:r w:rsidR="6A78C006" w:rsidRPr="15441212">
        <w:rPr>
          <w:rFonts w:ascii="Calibri" w:eastAsia="Calibri" w:hAnsi="Calibri" w:cs="Calibri"/>
        </w:rPr>
        <w:t>start</w:t>
      </w:r>
      <w:r w:rsidRPr="15441212">
        <w:rPr>
          <w:rFonts w:ascii="Calibri" w:eastAsia="Calibri" w:hAnsi="Calibri" w:cs="Calibri"/>
        </w:rPr>
        <w:t xml:space="preserve"> engaging with Traditional Owners </w:t>
      </w:r>
      <w:r w:rsidR="6A78C006" w:rsidRPr="15441212">
        <w:rPr>
          <w:rFonts w:ascii="Calibri" w:eastAsia="Calibri" w:hAnsi="Calibri" w:cs="Calibri"/>
        </w:rPr>
        <w:t xml:space="preserve">where native title has been claimed or declared to exist over the land </w:t>
      </w:r>
      <w:r w:rsidRPr="15441212">
        <w:rPr>
          <w:rFonts w:ascii="Calibri" w:eastAsia="Calibri" w:hAnsi="Calibri" w:cs="Calibri"/>
        </w:rPr>
        <w:t>before purchasing the project or land to uphold the principle of Free, Prior and Informed Consent (FPIC). FPIC ensures that engagement is voluntary, occurs before decisions are made, and provides Traditional Owners with all relevant information about the project and its potential impacts. Early dialogue demonstrates respect for cultural heritage, supports compliance with native title and cultural heritage obligations, and helps build trust and strong relationships.</w:t>
      </w:r>
    </w:p>
    <w:p w14:paraId="63497877" w14:textId="5188EA1B" w:rsidR="00EB1A55" w:rsidRPr="00786388" w:rsidRDefault="00EB1A55">
      <w:pPr>
        <w:rPr>
          <w:rFonts w:ascii="Aptos" w:eastAsia="Aptos" w:hAnsi="Aptos" w:cs="Aptos"/>
        </w:rPr>
      </w:pPr>
      <w:r w:rsidRPr="15441212">
        <w:rPr>
          <w:rFonts w:ascii="Calibri" w:eastAsia="Calibri" w:hAnsi="Calibri" w:cs="Calibri"/>
        </w:rPr>
        <w:t>For more information, refer to</w:t>
      </w:r>
      <w:r w:rsidR="054B2E40" w:rsidRPr="15441212">
        <w:rPr>
          <w:rFonts w:ascii="Calibri" w:eastAsia="Calibri" w:hAnsi="Calibri" w:cs="Calibri"/>
        </w:rPr>
        <w:t xml:space="preserve"> </w:t>
      </w:r>
      <w:hyperlink r:id="rId60">
        <w:r w:rsidR="5B87850D" w:rsidRPr="15441212">
          <w:rPr>
            <w:rStyle w:val="Hyperlink"/>
            <w:rFonts w:eastAsia="Calibri" w:cs="Calibri"/>
          </w:rPr>
          <w:t>legal right and native title</w:t>
        </w:r>
      </w:hyperlink>
      <w:r w:rsidR="001A6272">
        <w:t>.</w:t>
      </w:r>
    </w:p>
    <w:p w14:paraId="7789895B" w14:textId="45B31FB8" w:rsidR="19F0E246" w:rsidRDefault="17AFEACD" w:rsidP="00786388">
      <w:pPr>
        <w:pStyle w:val="Heading4"/>
        <w:spacing w:after="240"/>
      </w:pPr>
      <w:r>
        <w:t xml:space="preserve">What if methods consider any loss in carbon in the method equations? Does this affect the relinquishment amount? </w:t>
      </w:r>
    </w:p>
    <w:p w14:paraId="7998CBC2" w14:textId="0C8A01E0" w:rsidR="00117F10" w:rsidRDefault="005A4D0A" w:rsidP="005A4D0A">
      <w:pPr>
        <w:rPr>
          <w:rFonts w:ascii="Calibri" w:eastAsia="Calibri" w:hAnsi="Calibri" w:cs="Calibri"/>
        </w:rPr>
      </w:pPr>
      <w:r w:rsidRPr="66F0CE50">
        <w:rPr>
          <w:rFonts w:ascii="Calibri" w:eastAsia="Calibri" w:hAnsi="Calibri" w:cs="Calibri"/>
        </w:rPr>
        <w:t xml:space="preserve">Some </w:t>
      </w:r>
      <w:r w:rsidR="00421A85" w:rsidRPr="66F0CE50">
        <w:rPr>
          <w:rFonts w:ascii="Calibri" w:eastAsia="Calibri" w:hAnsi="Calibri" w:cs="Calibri"/>
        </w:rPr>
        <w:t xml:space="preserve">ACCU Scheme </w:t>
      </w:r>
      <w:r w:rsidRPr="66F0CE50">
        <w:rPr>
          <w:rFonts w:ascii="Calibri" w:eastAsia="Calibri" w:hAnsi="Calibri" w:cs="Calibri"/>
        </w:rPr>
        <w:t xml:space="preserve">methods </w:t>
      </w:r>
      <w:r w:rsidR="00EF1B95" w:rsidRPr="66F0CE50">
        <w:rPr>
          <w:rFonts w:ascii="Calibri" w:eastAsia="Calibri" w:hAnsi="Calibri" w:cs="Calibri"/>
        </w:rPr>
        <w:t xml:space="preserve">incorporate equations to reflect changes to </w:t>
      </w:r>
      <w:r w:rsidR="006C7D3E" w:rsidRPr="66F0CE50">
        <w:rPr>
          <w:rFonts w:ascii="Calibri" w:eastAsia="Calibri" w:hAnsi="Calibri" w:cs="Calibri"/>
        </w:rPr>
        <w:t xml:space="preserve">carbon stocks </w:t>
      </w:r>
      <w:r w:rsidR="00EF1B95" w:rsidRPr="66F0CE50">
        <w:rPr>
          <w:rFonts w:ascii="Calibri" w:eastAsia="Calibri" w:hAnsi="Calibri" w:cs="Calibri"/>
        </w:rPr>
        <w:t xml:space="preserve">resulting from </w:t>
      </w:r>
      <w:r w:rsidR="000D23F8" w:rsidRPr="66F0CE50">
        <w:rPr>
          <w:rFonts w:ascii="Calibri" w:eastAsia="Calibri" w:hAnsi="Calibri" w:cs="Calibri"/>
        </w:rPr>
        <w:t xml:space="preserve">events such as disturbances.  For example, </w:t>
      </w:r>
      <w:r w:rsidR="005C19C7" w:rsidRPr="66F0CE50">
        <w:rPr>
          <w:rFonts w:ascii="Calibri" w:eastAsia="Calibri" w:hAnsi="Calibri" w:cs="Calibri"/>
        </w:rPr>
        <w:t xml:space="preserve">for methods using </w:t>
      </w:r>
      <w:proofErr w:type="spellStart"/>
      <w:r w:rsidR="005C19C7" w:rsidRPr="66F0CE50">
        <w:rPr>
          <w:rFonts w:ascii="Calibri" w:eastAsia="Calibri" w:hAnsi="Calibri" w:cs="Calibri"/>
        </w:rPr>
        <w:t>FullCAM</w:t>
      </w:r>
      <w:proofErr w:type="spellEnd"/>
      <w:r w:rsidR="005C19C7" w:rsidRPr="66F0CE50">
        <w:rPr>
          <w:rFonts w:ascii="Calibri" w:eastAsia="Calibri" w:hAnsi="Calibri" w:cs="Calibri"/>
        </w:rPr>
        <w:t>, method equations will incorporate the reduction</w:t>
      </w:r>
      <w:r w:rsidR="00CC1B45" w:rsidRPr="66F0CE50">
        <w:rPr>
          <w:rFonts w:ascii="Calibri" w:eastAsia="Calibri" w:hAnsi="Calibri" w:cs="Calibri"/>
        </w:rPr>
        <w:t xml:space="preserve">s in carbon stock and emissions from biomass burning </w:t>
      </w:r>
      <w:bookmarkStart w:id="8" w:name="_Int_pna6sAYB"/>
      <w:proofErr w:type="gramStart"/>
      <w:r w:rsidR="00CC1B45" w:rsidRPr="66F0CE50">
        <w:rPr>
          <w:rFonts w:ascii="Calibri" w:eastAsia="Calibri" w:hAnsi="Calibri" w:cs="Calibri"/>
        </w:rPr>
        <w:t>as a result of</w:t>
      </w:r>
      <w:bookmarkEnd w:id="8"/>
      <w:proofErr w:type="gramEnd"/>
      <w:r w:rsidR="00CC1B45" w:rsidRPr="66F0CE50">
        <w:rPr>
          <w:rFonts w:ascii="Calibri" w:eastAsia="Calibri" w:hAnsi="Calibri" w:cs="Calibri"/>
        </w:rPr>
        <w:t xml:space="preserve"> a fire. </w:t>
      </w:r>
      <w:r w:rsidR="00F60589" w:rsidRPr="66F0CE50">
        <w:rPr>
          <w:rFonts w:ascii="Calibri" w:eastAsia="Calibri" w:hAnsi="Calibri" w:cs="Calibri"/>
        </w:rPr>
        <w:t>ACCUs won’t be able to be issued until carbon stocks increase to above previously credited levels.</w:t>
      </w:r>
    </w:p>
    <w:p w14:paraId="40C782C4" w14:textId="6F5AD320" w:rsidR="62F714E9" w:rsidRDefault="279021A3" w:rsidP="00786388">
      <w:r w:rsidRPr="66F0CE50">
        <w:rPr>
          <w:rFonts w:ascii="Calibri" w:eastAsia="Calibri" w:hAnsi="Calibri" w:cs="Calibri"/>
        </w:rPr>
        <w:t>CER</w:t>
      </w:r>
      <w:r w:rsidR="560947E8" w:rsidRPr="66F0CE50">
        <w:rPr>
          <w:rFonts w:ascii="Calibri" w:eastAsia="Calibri" w:hAnsi="Calibri" w:cs="Calibri"/>
        </w:rPr>
        <w:t xml:space="preserve"> assesses any decision to require relinquishment of ACCUs and the amount to relinquish on a case-by-case basis. </w:t>
      </w:r>
    </w:p>
    <w:p w14:paraId="1A133307" w14:textId="7E1EFA3C" w:rsidR="19F0E246" w:rsidRDefault="643DA24F" w:rsidP="00786388">
      <w:pPr>
        <w:pStyle w:val="Heading4"/>
        <w:spacing w:after="240"/>
      </w:pPr>
      <w:r>
        <w:t xml:space="preserve">What definition of drought </w:t>
      </w:r>
      <w:r w:rsidR="00501A98">
        <w:t>(</w:t>
      </w:r>
      <w:r>
        <w:t>i</w:t>
      </w:r>
      <w:r w:rsidR="00501A98">
        <w:t>.</w:t>
      </w:r>
      <w:r>
        <w:t>e</w:t>
      </w:r>
      <w:r w:rsidR="00501A98">
        <w:t>.</w:t>
      </w:r>
      <w:r>
        <w:t xml:space="preserve"> government declaration</w:t>
      </w:r>
      <w:r w:rsidR="4DD723A5">
        <w:t>)</w:t>
      </w:r>
      <w:r>
        <w:t xml:space="preserve"> is required by CER as evidence</w:t>
      </w:r>
      <w:r w:rsidR="00501A98">
        <w:t>?</w:t>
      </w:r>
      <w:r>
        <w:t xml:space="preserve">  </w:t>
      </w:r>
    </w:p>
    <w:p w14:paraId="65233D4A" w14:textId="5D27C15F" w:rsidR="19F0E246" w:rsidRDefault="25EC1E52">
      <w:r w:rsidRPr="62F714E9">
        <w:rPr>
          <w:rFonts w:ascii="Calibri" w:eastAsia="Calibri" w:hAnsi="Calibri" w:cs="Calibri"/>
          <w:szCs w:val="22"/>
        </w:rPr>
        <w:t xml:space="preserve">There is no definition of drought under the </w:t>
      </w:r>
      <w:r w:rsidRPr="62F714E9">
        <w:rPr>
          <w:rFonts w:ascii="Calibri" w:eastAsia="Calibri" w:hAnsi="Calibri" w:cs="Calibri"/>
          <w:i/>
          <w:iCs/>
          <w:szCs w:val="22"/>
        </w:rPr>
        <w:t xml:space="preserve">Carbon Credits (Carbon Farming Initiative) Act 2011 </w:t>
      </w:r>
      <w:r w:rsidRPr="62F714E9">
        <w:rPr>
          <w:rFonts w:ascii="Calibri" w:eastAsia="Calibri" w:hAnsi="Calibri" w:cs="Calibri"/>
          <w:szCs w:val="22"/>
        </w:rPr>
        <w:t xml:space="preserve">and the CER will, on a case-by-case basis, consider any evidence of prolonged dry weather and lack of rainfall in a region. The CER will generally accept a drought declaration by a government body as evidence </w:t>
      </w:r>
      <w:r w:rsidR="00FE1B74">
        <w:rPr>
          <w:rFonts w:ascii="Calibri" w:eastAsia="Calibri" w:hAnsi="Calibri" w:cs="Calibri"/>
          <w:szCs w:val="22"/>
        </w:rPr>
        <w:t xml:space="preserve">of </w:t>
      </w:r>
      <w:r w:rsidRPr="62F714E9">
        <w:rPr>
          <w:rFonts w:ascii="Calibri" w:eastAsia="Calibri" w:hAnsi="Calibri" w:cs="Calibri"/>
          <w:szCs w:val="22"/>
        </w:rPr>
        <w:t>drought in an area.</w:t>
      </w:r>
    </w:p>
    <w:p w14:paraId="7DD52EB6" w14:textId="09928AA6" w:rsidR="19F0E246" w:rsidRDefault="26907E74" w:rsidP="00786388">
      <w:pPr>
        <w:pStyle w:val="Heading4"/>
      </w:pPr>
      <w:bookmarkStart w:id="9" w:name="_Int_gaOkIaUQ"/>
      <w:proofErr w:type="gramStart"/>
      <w:r>
        <w:t>In the event that</w:t>
      </w:r>
      <w:bookmarkEnd w:id="9"/>
      <w:proofErr w:type="gramEnd"/>
      <w:r>
        <w:t xml:space="preserve"> a property which contains a 100-y</w:t>
      </w:r>
      <w:r w:rsidR="00501A98">
        <w:t>ea</w:t>
      </w:r>
      <w:r>
        <w:t>r Environmental Planting project is sold after the crediting period has finished, is it possible to transfer the project proponent responsibilities to the new owner? And in doing so the new owner takes on the permanence obligations and any reversal obligations including credit claw backs that may occur?</w:t>
      </w:r>
    </w:p>
    <w:p w14:paraId="2CA3F73A" w14:textId="40C4AA5F" w:rsidR="4A5A06C9" w:rsidRDefault="4A5A06C9" w:rsidP="62F714E9">
      <w:pPr>
        <w:spacing w:before="240" w:after="240"/>
      </w:pPr>
      <w:r w:rsidRPr="66F0CE50">
        <w:rPr>
          <w:rFonts w:ascii="Calibri" w:eastAsia="Calibri" w:hAnsi="Calibri" w:cs="Calibri"/>
        </w:rPr>
        <w:t xml:space="preserve">Yes, it is possible to </w:t>
      </w:r>
      <w:r w:rsidR="52E0D793" w:rsidRPr="66F0CE50">
        <w:rPr>
          <w:rFonts w:ascii="Calibri" w:eastAsia="Calibri" w:hAnsi="Calibri" w:cs="Calibri"/>
        </w:rPr>
        <w:t>vary</w:t>
      </w:r>
      <w:r w:rsidRPr="66F0CE50" w:rsidDel="00972BBC">
        <w:rPr>
          <w:rFonts w:ascii="Calibri" w:eastAsia="Calibri" w:hAnsi="Calibri" w:cs="Calibri"/>
        </w:rPr>
        <w:t xml:space="preserve"> </w:t>
      </w:r>
      <w:r w:rsidR="00972BBC" w:rsidRPr="66F0CE50">
        <w:rPr>
          <w:rFonts w:ascii="Calibri" w:eastAsia="Calibri" w:hAnsi="Calibri" w:cs="Calibri"/>
        </w:rPr>
        <w:t xml:space="preserve">the </w:t>
      </w:r>
      <w:r w:rsidRPr="66F0CE50">
        <w:rPr>
          <w:rFonts w:ascii="Calibri" w:eastAsia="Calibri" w:hAnsi="Calibri" w:cs="Calibri"/>
        </w:rPr>
        <w:t>project proponent under a registered environmental plantings project</w:t>
      </w:r>
      <w:r w:rsidR="001A6272">
        <w:t xml:space="preserve"> – </w:t>
      </w:r>
      <w:r w:rsidR="00972BBC" w:rsidRPr="66F0CE50">
        <w:rPr>
          <w:rFonts w:ascii="Calibri" w:eastAsia="Calibri" w:hAnsi="Calibri" w:cs="Calibri"/>
        </w:rPr>
        <w:t>including project management</w:t>
      </w:r>
      <w:r w:rsidR="000323ED">
        <w:rPr>
          <w:rFonts w:ascii="Calibri" w:eastAsia="Calibri" w:hAnsi="Calibri" w:cs="Calibri"/>
        </w:rPr>
        <w:t xml:space="preserve"> and</w:t>
      </w:r>
      <w:r w:rsidR="00972BBC" w:rsidRPr="66F0CE50">
        <w:rPr>
          <w:rFonts w:ascii="Calibri" w:eastAsia="Calibri" w:hAnsi="Calibri" w:cs="Calibri"/>
        </w:rPr>
        <w:t xml:space="preserve"> permanence </w:t>
      </w:r>
      <w:r w:rsidRPr="66F0CE50">
        <w:rPr>
          <w:rFonts w:ascii="Calibri" w:eastAsia="Calibri" w:hAnsi="Calibri" w:cs="Calibri"/>
        </w:rPr>
        <w:t>obligations</w:t>
      </w:r>
      <w:r w:rsidR="001A6272">
        <w:t xml:space="preserve"> – </w:t>
      </w:r>
      <w:r w:rsidRPr="66F0CE50">
        <w:rPr>
          <w:rFonts w:ascii="Calibri" w:eastAsia="Calibri" w:hAnsi="Calibri" w:cs="Calibri"/>
        </w:rPr>
        <w:t xml:space="preserve">to a new owner if the property is sold after the project’s crediting period has ended. </w:t>
      </w:r>
    </w:p>
    <w:p w14:paraId="2893EE63" w14:textId="591E3D84" w:rsidR="4A5A06C9" w:rsidRDefault="4A5A06C9" w:rsidP="62F714E9">
      <w:pPr>
        <w:spacing w:before="240" w:after="240"/>
      </w:pPr>
      <w:r w:rsidRPr="66F0CE50">
        <w:rPr>
          <w:rFonts w:ascii="Calibri" w:eastAsia="Calibri" w:hAnsi="Calibri" w:cs="Calibri"/>
        </w:rPr>
        <w:lastRenderedPageBreak/>
        <w:t>Under the</w:t>
      </w:r>
      <w:r w:rsidRPr="66F0CE50">
        <w:rPr>
          <w:rFonts w:ascii="Calibri" w:eastAsia="Calibri" w:hAnsi="Calibri" w:cs="Calibri"/>
          <w:b/>
        </w:rPr>
        <w:t xml:space="preserve"> </w:t>
      </w:r>
      <w:r w:rsidRPr="66F0CE50">
        <w:rPr>
          <w:rFonts w:ascii="Calibri" w:eastAsia="Calibri" w:hAnsi="Calibri" w:cs="Calibri"/>
          <w:i/>
        </w:rPr>
        <w:t>Carbon Credits (Carbon Farming Initiative) Act 2011</w:t>
      </w:r>
      <w:r w:rsidRPr="66F0CE50">
        <w:rPr>
          <w:rFonts w:ascii="Calibri" w:eastAsia="Calibri" w:hAnsi="Calibri" w:cs="Calibri"/>
          <w:b/>
        </w:rPr>
        <w:t>,</w:t>
      </w:r>
      <w:r w:rsidRPr="66F0CE50">
        <w:rPr>
          <w:rFonts w:ascii="Calibri" w:eastAsia="Calibri" w:hAnsi="Calibri" w:cs="Calibri"/>
        </w:rPr>
        <w:t xml:space="preserve"> the obligations to monitor, report, and notify continue for the duration of the permanence period, regardless of whether ACCUs are still being issued. These obligations</w:t>
      </w:r>
      <w:r w:rsidRPr="66F0CE50" w:rsidDel="006A28ED">
        <w:rPr>
          <w:rFonts w:ascii="Calibri" w:eastAsia="Calibri" w:hAnsi="Calibri" w:cs="Calibri"/>
        </w:rPr>
        <w:t xml:space="preserve"> </w:t>
      </w:r>
      <w:r w:rsidR="006A28ED" w:rsidRPr="66F0CE50">
        <w:rPr>
          <w:rFonts w:ascii="Calibri" w:eastAsia="Calibri" w:hAnsi="Calibri" w:cs="Calibri"/>
        </w:rPr>
        <w:t xml:space="preserve">rest </w:t>
      </w:r>
      <w:r w:rsidRPr="66F0CE50">
        <w:rPr>
          <w:rFonts w:ascii="Calibri" w:eastAsia="Calibri" w:hAnsi="Calibri" w:cs="Calibri"/>
        </w:rPr>
        <w:t xml:space="preserve">with the </w:t>
      </w:r>
      <w:r w:rsidR="007433A0" w:rsidRPr="66F0CE50">
        <w:rPr>
          <w:rFonts w:ascii="Calibri" w:eastAsia="Calibri" w:hAnsi="Calibri" w:cs="Calibri"/>
        </w:rPr>
        <w:t xml:space="preserve">current </w:t>
      </w:r>
      <w:r w:rsidRPr="66F0CE50">
        <w:rPr>
          <w:rFonts w:ascii="Calibri" w:eastAsia="Calibri" w:hAnsi="Calibri" w:cs="Calibri"/>
        </w:rPr>
        <w:t>project proponent</w:t>
      </w:r>
      <w:r w:rsidR="001A6272">
        <w:t xml:space="preserve"> – </w:t>
      </w:r>
      <w:r w:rsidRPr="66F0CE50">
        <w:rPr>
          <w:rFonts w:ascii="Calibri" w:eastAsia="Calibri" w:hAnsi="Calibri" w:cs="Calibri"/>
        </w:rPr>
        <w:t xml:space="preserve">that is, the individual or entity listed on the project declaration. </w:t>
      </w:r>
    </w:p>
    <w:p w14:paraId="4D5C3A23" w14:textId="267A8EF8" w:rsidR="4A5A06C9" w:rsidRDefault="4A5A06C9" w:rsidP="62F714E9">
      <w:pPr>
        <w:spacing w:before="240" w:after="240"/>
      </w:pPr>
      <w:r w:rsidRPr="66F0CE50">
        <w:rPr>
          <w:rFonts w:ascii="Calibri" w:eastAsia="Calibri" w:hAnsi="Calibri" w:cs="Calibri"/>
        </w:rPr>
        <w:t xml:space="preserve">If the parties agree for the new owner to become the new proponent, the Seller may apply to the </w:t>
      </w:r>
      <w:r w:rsidR="279021A3" w:rsidRPr="66F0CE50">
        <w:rPr>
          <w:rFonts w:ascii="Calibri" w:eastAsia="Calibri" w:hAnsi="Calibri" w:cs="Calibri"/>
        </w:rPr>
        <w:t>CER</w:t>
      </w:r>
      <w:r w:rsidRPr="66F0CE50">
        <w:rPr>
          <w:rFonts w:ascii="Calibri" w:eastAsia="Calibri" w:hAnsi="Calibri" w:cs="Calibri"/>
        </w:rPr>
        <w:t xml:space="preserve"> to vary the proponent on the project declaration. If the CER approves the application and varies the project declaration so that the new owner is the project proponent, the new owner becomes responsible for the project, including the responsibilities related to reversal events and potential relinquishment of ACCUs.</w:t>
      </w:r>
    </w:p>
    <w:p w14:paraId="22455E40" w14:textId="1DF1B111" w:rsidR="4A5A06C9" w:rsidRDefault="004C0FC4" w:rsidP="62F714E9">
      <w:pPr>
        <w:spacing w:before="240" w:after="240"/>
      </w:pPr>
      <w:r w:rsidRPr="66F0CE50">
        <w:rPr>
          <w:rFonts w:ascii="Calibri" w:eastAsia="Calibri" w:hAnsi="Calibri" w:cs="Calibri"/>
        </w:rPr>
        <w:t>On a related note</w:t>
      </w:r>
      <w:r w:rsidR="005B7631" w:rsidRPr="66F0CE50">
        <w:rPr>
          <w:rFonts w:ascii="Calibri" w:eastAsia="Calibri" w:hAnsi="Calibri" w:cs="Calibri"/>
        </w:rPr>
        <w:t xml:space="preserve">, </w:t>
      </w:r>
      <w:r w:rsidR="4A5A06C9" w:rsidRPr="66F0CE50">
        <w:rPr>
          <w:rFonts w:ascii="Calibri" w:eastAsia="Calibri" w:hAnsi="Calibri" w:cs="Calibri"/>
        </w:rPr>
        <w:t>obligations created by a declared carbon maintenance obligation (CMO) run with the land</w:t>
      </w:r>
      <w:r w:rsidR="001A6272">
        <w:t xml:space="preserve"> – </w:t>
      </w:r>
      <w:r w:rsidR="4A5A06C9" w:rsidRPr="66F0CE50">
        <w:rPr>
          <w:rFonts w:ascii="Calibri" w:eastAsia="Calibri" w:hAnsi="Calibri" w:cs="Calibri"/>
        </w:rPr>
        <w:t>that is, they apply to all owners and occupiers of the land subject to a CMO, and in some cases apply to all persons regardless of whether they are owners or occupiers.</w:t>
      </w:r>
    </w:p>
    <w:p w14:paraId="633C2975" w14:textId="52656260" w:rsidR="26907E74" w:rsidRDefault="26907E74" w:rsidP="19F0E246">
      <w:pPr>
        <w:spacing w:before="240" w:after="240"/>
        <w:rPr>
          <w:rFonts w:ascii="Calibri" w:eastAsia="Calibri" w:hAnsi="Calibri" w:cs="Calibri"/>
        </w:rPr>
      </w:pPr>
      <w:r w:rsidRPr="15441212">
        <w:rPr>
          <w:rFonts w:ascii="Calibri" w:eastAsia="Calibri" w:hAnsi="Calibri" w:cs="Calibri"/>
        </w:rPr>
        <w:t xml:space="preserve">For more information, refer to </w:t>
      </w:r>
      <w:hyperlink r:id="rId61">
        <w:r w:rsidR="03A4E971" w:rsidRPr="15441212">
          <w:rPr>
            <w:rStyle w:val="Hyperlink"/>
            <w:rFonts w:eastAsia="Calibri" w:cs="Calibri"/>
          </w:rPr>
          <w:t>method</w:t>
        </w:r>
        <w:r w:rsidRPr="19F0E246">
          <w:rPr>
            <w:rStyle w:val="Hyperlink"/>
            <w:rFonts w:eastAsia="Calibri" w:cs="Calibri"/>
          </w:rPr>
          <w:t xml:space="preserve"> variations and expiry</w:t>
        </w:r>
      </w:hyperlink>
      <w:r w:rsidRPr="15441212">
        <w:rPr>
          <w:rFonts w:ascii="Calibri" w:eastAsia="Calibri" w:hAnsi="Calibri" w:cs="Calibri"/>
        </w:rPr>
        <w:t>,</w:t>
      </w:r>
      <w:r w:rsidR="00EB1A55" w:rsidRPr="15441212">
        <w:rPr>
          <w:rFonts w:ascii="Calibri" w:eastAsia="Calibri" w:hAnsi="Calibri" w:cs="Calibri"/>
        </w:rPr>
        <w:t xml:space="preserve"> </w:t>
      </w:r>
      <w:hyperlink r:id="rId62" w:anchor="reversal-events">
        <w:r w:rsidR="1943B6D1" w:rsidRPr="15441212">
          <w:rPr>
            <w:rStyle w:val="Hyperlink"/>
          </w:rPr>
          <w:t>permanence obligations</w:t>
        </w:r>
      </w:hyperlink>
      <w:r>
        <w:t xml:space="preserve"> and </w:t>
      </w:r>
      <w:hyperlink r:id="rId63">
        <w:r w:rsidR="001A6272">
          <w:rPr>
            <w:rStyle w:val="Hyperlink"/>
          </w:rPr>
          <w:t>carbon maintenance obligations</w:t>
        </w:r>
      </w:hyperlink>
      <w:r w:rsidR="001A6272">
        <w:t>.</w:t>
      </w:r>
    </w:p>
    <w:p w14:paraId="4AE6140A" w14:textId="350D5308" w:rsidR="008403E7" w:rsidRDefault="008403E7" w:rsidP="00786388">
      <w:pPr>
        <w:pStyle w:val="Heading4"/>
      </w:pPr>
      <w:r>
        <w:t>There was mention verbally that if the land and project are sold together, that the land cannot be sold until the transfer of legal right is approved by the CER. Is this correct as it was not reflected on the slides</w:t>
      </w:r>
      <w:r w:rsidR="006C4866">
        <w:t>?</w:t>
      </w:r>
    </w:p>
    <w:p w14:paraId="59CBA3BB" w14:textId="3DDF4640" w:rsidR="01A37F78" w:rsidRDefault="01A37F78" w:rsidP="62F714E9">
      <w:pPr>
        <w:spacing w:before="240" w:after="240"/>
      </w:pPr>
      <w:r w:rsidRPr="66F0CE50">
        <w:rPr>
          <w:rFonts w:ascii="Calibri" w:eastAsia="Calibri" w:hAnsi="Calibri" w:cs="Calibri"/>
        </w:rPr>
        <w:t xml:space="preserve">The timing and decision to sell land and transfer legal right associated with an ACCU project is a commercial matter between the buyer and seller and is not regulated by the </w:t>
      </w:r>
      <w:r w:rsidRPr="66F0CE50" w:rsidDel="00195977">
        <w:rPr>
          <w:rFonts w:ascii="Calibri" w:eastAsia="Calibri" w:hAnsi="Calibri" w:cs="Calibri"/>
        </w:rPr>
        <w:t>CER</w:t>
      </w:r>
      <w:r w:rsidR="27F9C125" w:rsidRPr="66F0CE50">
        <w:rPr>
          <w:rFonts w:ascii="Calibri" w:eastAsia="Calibri" w:hAnsi="Calibri" w:cs="Calibri"/>
        </w:rPr>
        <w:t>.</w:t>
      </w:r>
      <w:r w:rsidRPr="66F0CE50">
        <w:rPr>
          <w:rFonts w:ascii="Calibri" w:eastAsia="Calibri" w:hAnsi="Calibri" w:cs="Calibri"/>
        </w:rPr>
        <w:t xml:space="preserve"> The </w:t>
      </w:r>
      <w:r w:rsidRPr="66F0CE50">
        <w:rPr>
          <w:rFonts w:ascii="Calibri" w:eastAsia="Calibri" w:hAnsi="Calibri" w:cs="Calibri"/>
          <w:i/>
        </w:rPr>
        <w:t xml:space="preserve">Carbon Credits (Carbon Farming Initiative) Act 2011 </w:t>
      </w:r>
      <w:r w:rsidRPr="66F0CE50">
        <w:rPr>
          <w:rFonts w:ascii="Calibri" w:eastAsia="Calibri" w:hAnsi="Calibri" w:cs="Calibri"/>
        </w:rPr>
        <w:t>does not have a legislative requirement preventing the sale of land before the approval of the project transfer.</w:t>
      </w:r>
    </w:p>
    <w:p w14:paraId="7A7CD4DF" w14:textId="74A9230E" w:rsidR="01A37F78" w:rsidRDefault="01A37F78" w:rsidP="62F714E9">
      <w:pPr>
        <w:spacing w:before="240" w:after="240"/>
      </w:pPr>
      <w:r w:rsidRPr="62F714E9">
        <w:rPr>
          <w:rFonts w:ascii="Calibri" w:eastAsia="Calibri" w:hAnsi="Calibri" w:cs="Calibri"/>
          <w:szCs w:val="22"/>
        </w:rPr>
        <w:t>For the buyer to become the project proponent, a project variation application must be submitted to the CER. The CER must be satisfied, along with other eligibility criteria, that the buyer holds the legal right to carry out the project activities on the project area and is a fit and proper person. These requirements are separate from the land sale itself and may involve timing considerations that should be carefully managed.</w:t>
      </w:r>
    </w:p>
    <w:p w14:paraId="072DD1D4" w14:textId="19CA2BE2" w:rsidR="01A37F78" w:rsidRDefault="01A37F78" w:rsidP="62F714E9">
      <w:pPr>
        <w:spacing w:before="240" w:after="240"/>
      </w:pPr>
      <w:r w:rsidRPr="62F714E9">
        <w:rPr>
          <w:rFonts w:ascii="Calibri" w:eastAsia="Calibri" w:hAnsi="Calibri" w:cs="Calibri"/>
          <w:szCs w:val="22"/>
        </w:rPr>
        <w:t>Until this variation is approved, the original proponent remains responsible for all project obligations, including reporting, monitoring and notification requirements.</w:t>
      </w:r>
    </w:p>
    <w:p w14:paraId="69D992F8" w14:textId="5B373159" w:rsidR="15441212" w:rsidRDefault="21DD79E8" w:rsidP="15441212">
      <w:pPr>
        <w:rPr>
          <w:rFonts w:ascii="Calibri" w:eastAsia="Calibri" w:hAnsi="Calibri" w:cs="Calibri"/>
        </w:rPr>
      </w:pPr>
      <w:r w:rsidRPr="15441212">
        <w:rPr>
          <w:rFonts w:ascii="Calibri" w:eastAsia="Calibri" w:hAnsi="Calibri" w:cs="Calibri"/>
        </w:rPr>
        <w:t>For further guidance, refer to</w:t>
      </w:r>
      <w:r w:rsidR="4199BDCE" w:rsidRPr="15441212">
        <w:rPr>
          <w:rFonts w:ascii="Calibri" w:eastAsia="Calibri" w:hAnsi="Calibri" w:cs="Calibri"/>
        </w:rPr>
        <w:t xml:space="preserve"> </w:t>
      </w:r>
      <w:hyperlink r:id="rId64">
        <w:r w:rsidR="4199BDCE" w:rsidRPr="15441212">
          <w:rPr>
            <w:rStyle w:val="Hyperlink"/>
            <w:rFonts w:eastAsia="Calibri" w:cs="Calibri"/>
          </w:rPr>
          <w:t>legal right and native title</w:t>
        </w:r>
      </w:hyperlink>
      <w:r w:rsidR="4199BDCE" w:rsidRPr="15441212">
        <w:rPr>
          <w:rFonts w:ascii="Calibri" w:eastAsia="Calibri" w:hAnsi="Calibri" w:cs="Calibri"/>
        </w:rPr>
        <w:t xml:space="preserve">, </w:t>
      </w:r>
      <w:hyperlink r:id="rId65">
        <w:r w:rsidR="6E376848" w:rsidRPr="15441212">
          <w:rPr>
            <w:rStyle w:val="Hyperlink"/>
            <w:rFonts w:ascii="Aptos" w:eastAsia="Aptos" w:hAnsi="Aptos" w:cs="Aptos"/>
          </w:rPr>
          <w:t>selling</w:t>
        </w:r>
        <w:r w:rsidR="1E0F114F" w:rsidRPr="19F0E246">
          <w:rPr>
            <w:rStyle w:val="Hyperlink"/>
            <w:rFonts w:ascii="Aptos" w:eastAsia="Aptos" w:hAnsi="Aptos" w:cs="Aptos"/>
          </w:rPr>
          <w:t xml:space="preserve"> or buying ACCU Scheme project property</w:t>
        </w:r>
      </w:hyperlink>
      <w:r w:rsidR="1E0F114F" w:rsidRPr="15441212">
        <w:rPr>
          <w:rFonts w:ascii="Aptos" w:eastAsia="Aptos" w:hAnsi="Aptos" w:cs="Aptos"/>
        </w:rPr>
        <w:t xml:space="preserve"> and </w:t>
      </w:r>
      <w:hyperlink r:id="rId66">
        <w:r w:rsidR="1D704F4A" w:rsidRPr="15441212">
          <w:rPr>
            <w:rStyle w:val="Hyperlink"/>
            <w:rFonts w:eastAsia="Calibri" w:cs="Calibri"/>
          </w:rPr>
          <w:t>method</w:t>
        </w:r>
        <w:r w:rsidR="6BAC8D54" w:rsidRPr="15441212">
          <w:rPr>
            <w:rStyle w:val="Hyperlink"/>
            <w:rFonts w:eastAsia="Calibri" w:cs="Calibri"/>
          </w:rPr>
          <w:t xml:space="preserve"> variations and expiry</w:t>
        </w:r>
      </w:hyperlink>
      <w:r w:rsidR="1D704F4A" w:rsidRPr="15441212">
        <w:rPr>
          <w:rFonts w:ascii="Calibri" w:eastAsia="Calibri" w:hAnsi="Calibri" w:cs="Calibri"/>
        </w:rPr>
        <w:t>.</w:t>
      </w:r>
    </w:p>
    <w:p w14:paraId="2A409751" w14:textId="6670DA05" w:rsidR="004B2811" w:rsidRPr="004B2811" w:rsidRDefault="7BFDC254" w:rsidP="00786388">
      <w:pPr>
        <w:pStyle w:val="Heading4"/>
      </w:pPr>
      <w:r>
        <w:t>When does the obligation to notify of any significant reversal commence? Does it apply prior to the time that a project has submitted its first offsets report, keeping in mind that no ACCUs would have been issued at that time?</w:t>
      </w:r>
    </w:p>
    <w:p w14:paraId="02447879" w14:textId="05E4913F" w:rsidR="004B2811" w:rsidRPr="004B2811" w:rsidRDefault="7BFDC254" w:rsidP="19F0E246">
      <w:pPr>
        <w:spacing w:before="240" w:after="240"/>
      </w:pPr>
      <w:r w:rsidRPr="66F0CE50">
        <w:rPr>
          <w:rFonts w:ascii="Calibri" w:eastAsia="Calibri" w:hAnsi="Calibri" w:cs="Calibri"/>
        </w:rPr>
        <w:t xml:space="preserve">The obligation to notify the </w:t>
      </w:r>
      <w:r w:rsidR="279021A3" w:rsidRPr="66F0CE50">
        <w:rPr>
          <w:rFonts w:ascii="Calibri" w:eastAsia="Calibri" w:hAnsi="Calibri" w:cs="Calibri"/>
        </w:rPr>
        <w:t>CER</w:t>
      </w:r>
      <w:r w:rsidRPr="66F0CE50">
        <w:rPr>
          <w:rFonts w:ascii="Calibri" w:eastAsia="Calibri" w:hAnsi="Calibri" w:cs="Calibri"/>
        </w:rPr>
        <w:t xml:space="preserve"> of a significant reversal event applies from the date the project is registered under the ACCU Scheme, regardless of whether an offsets report has been submitted or ACCUs have been issued.</w:t>
      </w:r>
    </w:p>
    <w:p w14:paraId="2E56BDB8" w14:textId="4313F456" w:rsidR="004B2811" w:rsidRPr="004B2811" w:rsidRDefault="7BFDC254" w:rsidP="19F0E246">
      <w:pPr>
        <w:spacing w:before="240" w:after="240"/>
      </w:pPr>
      <w:r w:rsidRPr="66F0CE50">
        <w:rPr>
          <w:rFonts w:ascii="Calibri" w:eastAsia="Calibri" w:hAnsi="Calibri" w:cs="Calibri"/>
        </w:rPr>
        <w:t xml:space="preserve">This means that even </w:t>
      </w:r>
      <w:r w:rsidR="19F67CE5" w:rsidRPr="66F0CE50">
        <w:rPr>
          <w:rFonts w:ascii="Calibri" w:eastAsia="Calibri" w:hAnsi="Calibri" w:cs="Calibri"/>
        </w:rPr>
        <w:t>before</w:t>
      </w:r>
      <w:r w:rsidRPr="66F0CE50">
        <w:rPr>
          <w:rFonts w:ascii="Calibri" w:eastAsia="Calibri" w:hAnsi="Calibri" w:cs="Calibri"/>
        </w:rPr>
        <w:t xml:space="preserve"> the first reporting period</w:t>
      </w:r>
      <w:r w:rsidR="19F67CE5" w:rsidRPr="66F0CE50">
        <w:rPr>
          <w:rFonts w:ascii="Calibri" w:eastAsia="Calibri" w:hAnsi="Calibri" w:cs="Calibri"/>
        </w:rPr>
        <w:t xml:space="preserve"> ends</w:t>
      </w:r>
      <w:r w:rsidRPr="66F0CE50">
        <w:rPr>
          <w:rFonts w:ascii="Calibri" w:eastAsia="Calibri" w:hAnsi="Calibri" w:cs="Calibri"/>
        </w:rPr>
        <w:t xml:space="preserve">, project proponents must notify the </w:t>
      </w:r>
      <w:r w:rsidR="00006F1A" w:rsidRPr="66F0CE50">
        <w:rPr>
          <w:rFonts w:ascii="Calibri" w:eastAsia="Calibri" w:hAnsi="Calibri" w:cs="Calibri"/>
        </w:rPr>
        <w:t xml:space="preserve">CER </w:t>
      </w:r>
      <w:r w:rsidRPr="66F0CE50">
        <w:rPr>
          <w:rFonts w:ascii="Calibri" w:eastAsia="Calibri" w:hAnsi="Calibri" w:cs="Calibri"/>
        </w:rPr>
        <w:t>if a significant reversal occurs</w:t>
      </w:r>
      <w:r w:rsidR="006C4866">
        <w:t xml:space="preserve"> – </w:t>
      </w:r>
      <w:r w:rsidRPr="66F0CE50">
        <w:rPr>
          <w:rFonts w:ascii="Calibri" w:eastAsia="Calibri" w:hAnsi="Calibri" w:cs="Calibri"/>
        </w:rPr>
        <w:t xml:space="preserve">such as an event that materially reduces the carbon stored by the project. Early notification is essential to ensure compliance with the </w:t>
      </w:r>
      <w:r w:rsidRPr="66F0CE50">
        <w:rPr>
          <w:rFonts w:ascii="Calibri" w:eastAsia="Calibri" w:hAnsi="Calibri" w:cs="Calibri"/>
          <w:i/>
        </w:rPr>
        <w:t>Carbon Credits (Carbon Farming Initiative) Act 2011</w:t>
      </w:r>
      <w:r w:rsidRPr="66F0CE50">
        <w:rPr>
          <w:rFonts w:ascii="Calibri" w:eastAsia="Calibri" w:hAnsi="Calibri" w:cs="Calibri"/>
        </w:rPr>
        <w:t xml:space="preserve"> and to allow appropriate management of the reversal.</w:t>
      </w:r>
    </w:p>
    <w:p w14:paraId="30B40A69" w14:textId="4480193B" w:rsidR="4C5407A1" w:rsidRDefault="74E4ED5F" w:rsidP="4C5407A1">
      <w:pPr>
        <w:rPr>
          <w:rFonts w:ascii="Aptos" w:eastAsia="Aptos" w:hAnsi="Aptos" w:cs="Aptos"/>
        </w:rPr>
      </w:pPr>
      <w:r w:rsidRPr="15441212">
        <w:rPr>
          <w:rFonts w:ascii="Calibri" w:eastAsia="Calibri" w:hAnsi="Calibri" w:cs="Calibri"/>
        </w:rPr>
        <w:t>For more information, please refer to</w:t>
      </w:r>
      <w:r w:rsidR="2BD9B8A1" w:rsidRPr="15441212">
        <w:rPr>
          <w:rFonts w:ascii="Calibri" w:eastAsia="Calibri" w:hAnsi="Calibri" w:cs="Calibri"/>
        </w:rPr>
        <w:t xml:space="preserve"> </w:t>
      </w:r>
      <w:hyperlink r:id="rId67" w:history="1">
        <w:r w:rsidR="6712367C" w:rsidRPr="15441212">
          <w:rPr>
            <w:rStyle w:val="Hyperlink"/>
            <w:rFonts w:ascii="Aptos" w:eastAsia="Aptos" w:hAnsi="Aptos" w:cs="Aptos"/>
          </w:rPr>
          <w:t>project reporting and audits.</w:t>
        </w:r>
      </w:hyperlink>
      <w:r w:rsidR="00596441" w:rsidRPr="15441212">
        <w:rPr>
          <w:rFonts w:ascii="Calibri" w:eastAsia="Calibri" w:hAnsi="Calibri" w:cs="Calibri"/>
        </w:rPr>
        <w:fldChar w:fldCharType="begin"/>
      </w:r>
      <w:r w:rsidRPr="15441212">
        <w:rPr>
          <w:rFonts w:ascii="Calibri" w:eastAsia="Calibri" w:hAnsi="Calibri" w:cs="Calibri"/>
        </w:rPr>
        <w:instrText>HYPERLINK "https://cer.gov.au/schemes/australian-carbon-credit-unit-scheme/how-to-participate-accu-scheme/project-reporting-and-audits" \l "Notifications"</w:instrText>
      </w:r>
      <w:r w:rsidR="00596441" w:rsidRPr="15441212">
        <w:rPr>
          <w:rFonts w:ascii="Calibri" w:eastAsia="Calibri" w:hAnsi="Calibri" w:cs="Calibri"/>
        </w:rPr>
      </w:r>
      <w:r w:rsidR="00596441" w:rsidRPr="15441212">
        <w:rPr>
          <w:rFonts w:ascii="Calibri" w:eastAsia="Calibri" w:hAnsi="Calibri" w:cs="Calibri"/>
          <w:b/>
          <w:bCs/>
        </w:rPr>
        <w:fldChar w:fldCharType="separate"/>
      </w:r>
    </w:p>
    <w:p w14:paraId="21B5E2F5" w14:textId="4FA77A6F" w:rsidR="15441212" w:rsidRDefault="00596441" w:rsidP="00441603">
      <w:pPr>
        <w:pStyle w:val="Heading4"/>
        <w:spacing w:before="0" w:after="240"/>
      </w:pPr>
      <w:r w:rsidRPr="15441212">
        <w:rPr>
          <w:rFonts w:ascii="Calibri" w:eastAsia="Calibri" w:hAnsi="Calibri" w:cs="Calibri"/>
          <w:szCs w:val="22"/>
        </w:rPr>
        <w:lastRenderedPageBreak/>
        <w:fldChar w:fldCharType="end"/>
      </w:r>
      <w:r w:rsidR="18A26AA6">
        <w:t>If projects have achieved sequestration above the amount they were credited for during their project crediting period</w:t>
      </w:r>
      <w:r w:rsidR="78D51EDF">
        <w:t>,</w:t>
      </w:r>
      <w:r w:rsidR="18A26AA6">
        <w:t xml:space="preserve"> do they need to report reversals of sequestration that do not result in less sequestration than the credited amount? </w:t>
      </w:r>
    </w:p>
    <w:p w14:paraId="1E0B58ED" w14:textId="346C52CB" w:rsidR="3F931372" w:rsidRDefault="3F931372" w:rsidP="62F714E9">
      <w:pPr>
        <w:spacing w:before="240" w:after="240"/>
        <w:rPr>
          <w:rFonts w:ascii="Calibri" w:eastAsia="Calibri" w:hAnsi="Calibri" w:cs="Calibri"/>
        </w:rPr>
      </w:pPr>
      <w:r w:rsidRPr="7AEF43CB">
        <w:rPr>
          <w:rFonts w:ascii="Calibri" w:eastAsia="Calibri" w:hAnsi="Calibri" w:cs="Calibri"/>
        </w:rPr>
        <w:t xml:space="preserve">Yes, the obligation to report reversal events applies regardless of </w:t>
      </w:r>
      <w:bookmarkStart w:id="10" w:name="_Int_kUYOyDZk"/>
      <w:proofErr w:type="gramStart"/>
      <w:r w:rsidRPr="7AEF43CB">
        <w:rPr>
          <w:rFonts w:ascii="Calibri" w:eastAsia="Calibri" w:hAnsi="Calibri" w:cs="Calibri"/>
        </w:rPr>
        <w:t xml:space="preserve">whether </w:t>
      </w:r>
      <w:r w:rsidR="78D0F095" w:rsidRPr="7AEF43CB">
        <w:rPr>
          <w:rFonts w:ascii="Calibri" w:eastAsia="Calibri" w:hAnsi="Calibri" w:cs="Calibri"/>
        </w:rPr>
        <w:t>or not</w:t>
      </w:r>
      <w:bookmarkEnd w:id="10"/>
      <w:proofErr w:type="gramEnd"/>
      <w:r w:rsidR="78D0F095" w:rsidRPr="7AEF43CB">
        <w:rPr>
          <w:rFonts w:ascii="Calibri" w:eastAsia="Calibri" w:hAnsi="Calibri" w:cs="Calibri"/>
        </w:rPr>
        <w:t xml:space="preserve"> </w:t>
      </w:r>
      <w:r w:rsidRPr="7AEF43CB">
        <w:rPr>
          <w:rFonts w:ascii="Calibri" w:eastAsia="Calibri" w:hAnsi="Calibri" w:cs="Calibri"/>
        </w:rPr>
        <w:t>the reversal reduces carbon stocks below the level for which ACCUs were issued. Proponents of sequestration projects are required to report any significant reversal of carbon stocks during the permanence period, even if the total sequestration remains above the credited amount.</w:t>
      </w:r>
    </w:p>
    <w:p w14:paraId="34AF782F" w14:textId="04615895" w:rsidR="3F931372" w:rsidRDefault="3F931372" w:rsidP="62F714E9">
      <w:pPr>
        <w:spacing w:before="240" w:after="240"/>
      </w:pPr>
      <w:r w:rsidRPr="66F0CE50">
        <w:rPr>
          <w:rFonts w:ascii="Calibri" w:eastAsia="Calibri" w:hAnsi="Calibri" w:cs="Calibri"/>
        </w:rPr>
        <w:t xml:space="preserve">This ensures transparency and supports the integrity of the carbon abatement reported under the ACCU Scheme. Proponents must notify the </w:t>
      </w:r>
      <w:r w:rsidR="279021A3" w:rsidRPr="66F0CE50">
        <w:rPr>
          <w:rFonts w:ascii="Calibri" w:eastAsia="Calibri" w:hAnsi="Calibri" w:cs="Calibri"/>
        </w:rPr>
        <w:t>CER</w:t>
      </w:r>
      <w:r w:rsidRPr="66F0CE50">
        <w:rPr>
          <w:rFonts w:ascii="Calibri" w:eastAsia="Calibri" w:hAnsi="Calibri" w:cs="Calibri"/>
        </w:rPr>
        <w:t xml:space="preserve"> of any reversal event that qualifies as a significant reversal as defined in sections 81 or 82 of the </w:t>
      </w:r>
      <w:r w:rsidRPr="006C4866">
        <w:rPr>
          <w:rFonts w:ascii="Calibri" w:eastAsia="Calibri" w:hAnsi="Calibri" w:cs="Calibri"/>
          <w:iCs/>
        </w:rPr>
        <w:t>Carbon Credits (Carbon Farming Initiative) Rule 2015</w:t>
      </w:r>
      <w:r w:rsidRPr="66F0CE50">
        <w:rPr>
          <w:rFonts w:ascii="Calibri" w:eastAsia="Calibri" w:hAnsi="Calibri" w:cs="Calibri"/>
        </w:rPr>
        <w:t>.</w:t>
      </w:r>
    </w:p>
    <w:p w14:paraId="323C3D69" w14:textId="6CB1D9DC" w:rsidR="15441212" w:rsidRDefault="18A26AA6" w:rsidP="15441212">
      <w:pPr>
        <w:spacing w:before="240" w:after="240"/>
        <w:rPr>
          <w:rFonts w:ascii="Aptos" w:eastAsia="Aptos" w:hAnsi="Aptos" w:cs="Aptos"/>
        </w:rPr>
      </w:pPr>
      <w:r w:rsidRPr="15441212">
        <w:rPr>
          <w:rFonts w:ascii="Calibri" w:eastAsia="Calibri" w:hAnsi="Calibri" w:cs="Calibri"/>
        </w:rPr>
        <w:t xml:space="preserve">For further information, please refer to </w:t>
      </w:r>
      <w:hyperlink r:id="rId68" w:anchor="reversal-events">
        <w:r w:rsidR="6DA759D9" w:rsidRPr="15441212">
          <w:rPr>
            <w:rStyle w:val="Hyperlink"/>
          </w:rPr>
          <w:t>permanence obligations</w:t>
        </w:r>
      </w:hyperlink>
      <w:r w:rsidRPr="15441212">
        <w:rPr>
          <w:rFonts w:ascii="Calibri" w:eastAsia="Calibri" w:hAnsi="Calibri" w:cs="Calibri"/>
        </w:rPr>
        <w:t xml:space="preserve"> and</w:t>
      </w:r>
      <w:r w:rsidR="18A26243" w:rsidRPr="15441212">
        <w:rPr>
          <w:rFonts w:ascii="Calibri" w:eastAsia="Calibri" w:hAnsi="Calibri" w:cs="Calibri"/>
        </w:rPr>
        <w:t xml:space="preserve"> </w:t>
      </w:r>
      <w:hyperlink r:id="rId69" w:history="1">
        <w:r w:rsidR="006C4866">
          <w:rPr>
            <w:rStyle w:val="Hyperlink"/>
            <w:rFonts w:ascii="Aptos" w:eastAsia="Aptos" w:hAnsi="Aptos" w:cs="Aptos"/>
          </w:rPr>
          <w:t>project reporting and audits</w:t>
        </w:r>
      </w:hyperlink>
      <w:r w:rsidR="006C4866">
        <w:t>.</w:t>
      </w:r>
    </w:p>
    <w:p w14:paraId="4039770C" w14:textId="13576893" w:rsidR="00F6315C" w:rsidRDefault="003543EF" w:rsidP="00F6315C">
      <w:pPr>
        <w:pStyle w:val="Heading4"/>
      </w:pPr>
      <w:r w:rsidRPr="003543EF">
        <w:t>Will ACCUs held as risk reversal buffer be issued back to the project after the end of the permanence period (if there has NOT been a reversal)?</w:t>
      </w:r>
      <w:r w:rsidR="00B0400F">
        <w:t xml:space="preserve"> </w:t>
      </w:r>
    </w:p>
    <w:p w14:paraId="19BD3594" w14:textId="784262D2" w:rsidR="6085C1BD" w:rsidRDefault="6085C1BD" w:rsidP="62F714E9">
      <w:pPr>
        <w:spacing w:before="240" w:after="240"/>
      </w:pPr>
      <w:r w:rsidRPr="66F0CE50">
        <w:rPr>
          <w:rFonts w:ascii="Calibri" w:eastAsia="Calibri" w:hAnsi="Calibri" w:cs="Calibri"/>
        </w:rPr>
        <w:t>No, ACCUs associated with the risk of reversal buffer are not issued to a project at the end of the permanence period, even if no reversal has occurred.</w:t>
      </w:r>
    </w:p>
    <w:p w14:paraId="0E07B906" w14:textId="1A37B4F3" w:rsidR="6085C1BD" w:rsidRDefault="6085C1BD" w:rsidP="62F714E9">
      <w:pPr>
        <w:spacing w:before="240" w:after="240"/>
      </w:pPr>
      <w:r w:rsidRPr="66F0CE50">
        <w:rPr>
          <w:rFonts w:ascii="Calibri" w:eastAsia="Calibri" w:hAnsi="Calibri" w:cs="Calibri"/>
        </w:rPr>
        <w:t>The risk of reversal buffer is a general discount applied to the net abatement number across sequestration projects under the ACCU Scheme. It is designed to ensure the overall integrity of the ACCU Scheme and ensures that ACCUs represent permanent abatement. Importantly, this buffer is not linked to individual projects</w:t>
      </w:r>
      <w:r w:rsidR="006C4866">
        <w:t xml:space="preserve"> – </w:t>
      </w:r>
      <w:r w:rsidRPr="66F0CE50">
        <w:rPr>
          <w:rFonts w:ascii="Calibri" w:eastAsia="Calibri" w:hAnsi="Calibri" w:cs="Calibri"/>
        </w:rPr>
        <w:t xml:space="preserve">there are no specific ACCUs held in reserve for a particular project that represent the risk of reversal buffer amount. Instead, the buffer reduces the number of ACCUs issued across all </w:t>
      </w:r>
      <w:r w:rsidR="00C4631F" w:rsidRPr="66F0CE50">
        <w:rPr>
          <w:rFonts w:ascii="Calibri" w:eastAsia="Calibri" w:hAnsi="Calibri" w:cs="Calibri"/>
        </w:rPr>
        <w:t xml:space="preserve">ACCU Scheme </w:t>
      </w:r>
      <w:r w:rsidRPr="66F0CE50">
        <w:rPr>
          <w:rFonts w:ascii="Calibri" w:eastAsia="Calibri" w:hAnsi="Calibri" w:cs="Calibri"/>
        </w:rPr>
        <w:t>projects.</w:t>
      </w:r>
    </w:p>
    <w:p w14:paraId="2342CC02" w14:textId="5AE6D929" w:rsidR="6085C1BD" w:rsidRDefault="6085C1BD" w:rsidP="62F714E9">
      <w:pPr>
        <w:spacing w:before="240" w:after="240"/>
      </w:pPr>
      <w:r w:rsidRPr="62F714E9">
        <w:rPr>
          <w:rFonts w:ascii="Calibri" w:eastAsia="Calibri" w:hAnsi="Calibri" w:cs="Calibri"/>
          <w:szCs w:val="22"/>
        </w:rPr>
        <w:t>As such, there is no mechanism for issuing ACCUs representing the risk of reversal buffer amount to a project once the permanence period concludes.</w:t>
      </w:r>
    </w:p>
    <w:p w14:paraId="522DE82B" w14:textId="72CD7ADA" w:rsidR="15441212" w:rsidRDefault="2A4ADCB0" w:rsidP="15441212">
      <w:pPr>
        <w:spacing w:before="240" w:after="240"/>
      </w:pPr>
      <w:r w:rsidRPr="15441212">
        <w:rPr>
          <w:rFonts w:ascii="Calibri" w:eastAsia="Calibri" w:hAnsi="Calibri" w:cs="Calibri"/>
        </w:rPr>
        <w:t>For more information, refer to</w:t>
      </w:r>
      <w:r w:rsidR="11FF3C11" w:rsidRPr="15441212">
        <w:rPr>
          <w:rFonts w:ascii="Calibri" w:eastAsia="Calibri" w:hAnsi="Calibri" w:cs="Calibri"/>
        </w:rPr>
        <w:t xml:space="preserve"> </w:t>
      </w:r>
      <w:hyperlink r:id="rId70" w:anchor="reversal-events" w:history="1">
        <w:r w:rsidR="006C4866">
          <w:rPr>
            <w:rStyle w:val="Hyperlink"/>
          </w:rPr>
          <w:t>permanence obligations</w:t>
        </w:r>
      </w:hyperlink>
      <w:r w:rsidR="006C4866">
        <w:t>.</w:t>
      </w:r>
    </w:p>
    <w:p w14:paraId="4237B9F6" w14:textId="68D58EB4" w:rsidR="15441212" w:rsidRDefault="00D51AF4" w:rsidP="00786388">
      <w:pPr>
        <w:pStyle w:val="Heading4"/>
      </w:pPr>
      <w:r>
        <w:t xml:space="preserve">If a reversal event occurs within the project area but not within the CEAs, what is the expectation on the proponent </w:t>
      </w:r>
      <w:bookmarkStart w:id="11" w:name="_Int_HZfH8HAS"/>
      <w:proofErr w:type="gramStart"/>
      <w:r>
        <w:t>in regard to</w:t>
      </w:r>
      <w:bookmarkEnd w:id="11"/>
      <w:proofErr w:type="gramEnd"/>
      <w:r>
        <w:t xml:space="preserve"> relinquishing ACCUs?</w:t>
      </w:r>
      <w:r w:rsidR="1CFD97C3">
        <w:t xml:space="preserve"> </w:t>
      </w:r>
    </w:p>
    <w:p w14:paraId="766E441F" w14:textId="1500123D" w:rsidR="00D51AF4" w:rsidRDefault="1CFD97C3" w:rsidP="19F0E246">
      <w:pPr>
        <w:spacing w:before="240" w:after="240"/>
        <w:rPr>
          <w:rFonts w:ascii="Calibri" w:eastAsia="Calibri" w:hAnsi="Calibri" w:cs="Calibri"/>
        </w:rPr>
      </w:pPr>
      <w:r w:rsidRPr="66F0CE50">
        <w:rPr>
          <w:rFonts w:ascii="Calibri" w:eastAsia="Calibri" w:hAnsi="Calibri" w:cs="Calibri"/>
        </w:rPr>
        <w:t xml:space="preserve">Under the ACCU Scheme, reversal obligations are tied to the loss of carbon stocks that have been credited through the issuance of ACCUs. </w:t>
      </w:r>
      <w:r w:rsidR="005C3084" w:rsidRPr="06B028B6">
        <w:rPr>
          <w:rFonts w:ascii="Calibri" w:eastAsia="Calibri" w:hAnsi="Calibri" w:cs="Calibri"/>
        </w:rPr>
        <w:t>P</w:t>
      </w:r>
      <w:r w:rsidRPr="06B028B6">
        <w:rPr>
          <w:rFonts w:ascii="Calibri" w:eastAsia="Calibri" w:hAnsi="Calibri" w:cs="Calibri"/>
        </w:rPr>
        <w:t>roponents</w:t>
      </w:r>
      <w:r w:rsidRPr="66F0CE50" w:rsidDel="005C3084">
        <w:rPr>
          <w:rFonts w:ascii="Calibri" w:eastAsia="Calibri" w:hAnsi="Calibri" w:cs="Calibri"/>
        </w:rPr>
        <w:t xml:space="preserve"> </w:t>
      </w:r>
      <w:r w:rsidR="005C3084" w:rsidRPr="66F0CE50">
        <w:rPr>
          <w:rFonts w:ascii="Calibri" w:eastAsia="Calibri" w:hAnsi="Calibri" w:cs="Calibri"/>
        </w:rPr>
        <w:t xml:space="preserve">are required to </w:t>
      </w:r>
      <w:r w:rsidRPr="66F0CE50">
        <w:rPr>
          <w:rFonts w:ascii="Calibri" w:eastAsia="Calibri" w:hAnsi="Calibri" w:cs="Calibri"/>
        </w:rPr>
        <w:t xml:space="preserve">notify </w:t>
      </w:r>
      <w:r w:rsidR="005C3084" w:rsidRPr="66F0CE50">
        <w:rPr>
          <w:rFonts w:ascii="Calibri" w:eastAsia="Calibri" w:hAnsi="Calibri" w:cs="Calibri"/>
        </w:rPr>
        <w:t xml:space="preserve">the CER of </w:t>
      </w:r>
      <w:r w:rsidRPr="66F0CE50">
        <w:rPr>
          <w:rFonts w:ascii="Calibri" w:eastAsia="Calibri" w:hAnsi="Calibri" w:cs="Calibri"/>
        </w:rPr>
        <w:t>any significant reversal events</w:t>
      </w:r>
      <w:r w:rsidR="350FC186" w:rsidRPr="66F0CE50">
        <w:rPr>
          <w:rFonts w:ascii="Calibri" w:eastAsia="Calibri" w:hAnsi="Calibri" w:cs="Calibri"/>
        </w:rPr>
        <w:t xml:space="preserve"> occurring </w:t>
      </w:r>
      <w:r w:rsidR="005C3084" w:rsidRPr="66F0CE50">
        <w:rPr>
          <w:rFonts w:ascii="Calibri" w:eastAsia="Calibri" w:hAnsi="Calibri" w:cs="Calibri"/>
        </w:rPr>
        <w:t xml:space="preserve">within project area, including </w:t>
      </w:r>
      <w:r w:rsidR="350FC186" w:rsidRPr="66F0CE50">
        <w:rPr>
          <w:rFonts w:ascii="Calibri" w:eastAsia="Calibri" w:hAnsi="Calibri" w:cs="Calibri"/>
        </w:rPr>
        <w:t xml:space="preserve">outside </w:t>
      </w:r>
      <w:r w:rsidR="005C3084" w:rsidRPr="66F0CE50">
        <w:rPr>
          <w:rFonts w:ascii="Calibri" w:eastAsia="Calibri" w:hAnsi="Calibri" w:cs="Calibri"/>
        </w:rPr>
        <w:t>Carbon Estimation Areas (</w:t>
      </w:r>
      <w:r w:rsidR="350FC186" w:rsidRPr="66F0CE50">
        <w:rPr>
          <w:rFonts w:ascii="Calibri" w:eastAsia="Calibri" w:hAnsi="Calibri" w:cs="Calibri"/>
        </w:rPr>
        <w:t>CEAs</w:t>
      </w:r>
      <w:r w:rsidR="005C3084" w:rsidRPr="66F0CE50">
        <w:rPr>
          <w:rFonts w:ascii="Calibri" w:eastAsia="Calibri" w:hAnsi="Calibri" w:cs="Calibri"/>
        </w:rPr>
        <w:t>)</w:t>
      </w:r>
      <w:r w:rsidR="350FC186" w:rsidRPr="66F0CE50">
        <w:rPr>
          <w:rFonts w:ascii="Calibri" w:eastAsia="Calibri" w:hAnsi="Calibri" w:cs="Calibri"/>
        </w:rPr>
        <w:t>.</w:t>
      </w:r>
      <w:r w:rsidRPr="66F0CE50">
        <w:rPr>
          <w:rFonts w:ascii="Calibri" w:eastAsia="Calibri" w:hAnsi="Calibri" w:cs="Calibri"/>
        </w:rPr>
        <w:t xml:space="preserve"> This ensures transparency and allows the </w:t>
      </w:r>
      <w:r w:rsidR="350FC186" w:rsidRPr="66F0CE50">
        <w:rPr>
          <w:rFonts w:ascii="Calibri" w:eastAsia="Calibri" w:hAnsi="Calibri" w:cs="Calibri"/>
        </w:rPr>
        <w:t>CER</w:t>
      </w:r>
      <w:r w:rsidRPr="66F0CE50">
        <w:rPr>
          <w:rFonts w:ascii="Calibri" w:eastAsia="Calibri" w:hAnsi="Calibri" w:cs="Calibri"/>
        </w:rPr>
        <w:t xml:space="preserve"> to assess whether credited carbon has been impacted.</w:t>
      </w:r>
    </w:p>
    <w:p w14:paraId="122C8077" w14:textId="47E13B6E" w:rsidR="00D51AF4" w:rsidRDefault="1CFD97C3" w:rsidP="19F0E246">
      <w:pPr>
        <w:spacing w:before="240" w:after="240"/>
      </w:pPr>
      <w:r w:rsidRPr="19F0E246">
        <w:rPr>
          <w:rFonts w:ascii="Calibri" w:eastAsia="Calibri" w:hAnsi="Calibri" w:cs="Calibri"/>
          <w:szCs w:val="22"/>
        </w:rPr>
        <w:t>If the reversal event does not affect carbon stored within the CEA</w:t>
      </w:r>
      <w:r w:rsidR="006C4866">
        <w:t xml:space="preserve"> – </w:t>
      </w:r>
      <w:r w:rsidRPr="19F0E246">
        <w:rPr>
          <w:rFonts w:ascii="Calibri" w:eastAsia="Calibri" w:hAnsi="Calibri" w:cs="Calibri"/>
          <w:szCs w:val="22"/>
        </w:rPr>
        <w:t xml:space="preserve">where carbon abatement has been measured and credited—then relinquishment of ACCUs may not be required. </w:t>
      </w:r>
      <w:r w:rsidR="350FC186" w:rsidRPr="62F714E9">
        <w:rPr>
          <w:rFonts w:ascii="Calibri" w:eastAsia="Calibri" w:hAnsi="Calibri" w:cs="Calibri"/>
          <w:szCs w:val="22"/>
        </w:rPr>
        <w:t>However, the CER</w:t>
      </w:r>
      <w:r w:rsidRPr="19F0E246">
        <w:rPr>
          <w:rFonts w:ascii="Calibri" w:eastAsia="Calibri" w:hAnsi="Calibri" w:cs="Calibri"/>
          <w:szCs w:val="22"/>
        </w:rPr>
        <w:t xml:space="preserve"> will evaluate the extent and location of the disturbance to determine whether credited carbon has been compromised.</w:t>
      </w:r>
    </w:p>
    <w:p w14:paraId="172B422B" w14:textId="45AB6085" w:rsidR="00D51AF4" w:rsidRDefault="1CFD97C3" w:rsidP="19F0E246">
      <w:pPr>
        <w:spacing w:before="240" w:after="240"/>
      </w:pPr>
      <w:r w:rsidRPr="19F0E246">
        <w:rPr>
          <w:rFonts w:ascii="Calibri" w:eastAsia="Calibri" w:hAnsi="Calibri" w:cs="Calibri"/>
          <w:szCs w:val="22"/>
        </w:rPr>
        <w:t>Proponents should:</w:t>
      </w:r>
    </w:p>
    <w:p w14:paraId="463E1EB6" w14:textId="0FDCFB5C" w:rsidR="350FC186" w:rsidRDefault="006C4866" w:rsidP="62F714E9">
      <w:pPr>
        <w:pStyle w:val="ListParagraph"/>
        <w:numPr>
          <w:ilvl w:val="0"/>
          <w:numId w:val="22"/>
        </w:numPr>
        <w:spacing w:after="0"/>
        <w:rPr>
          <w:rFonts w:ascii="Calibri" w:eastAsia="Calibri" w:hAnsi="Calibri" w:cs="Calibri"/>
          <w:szCs w:val="22"/>
        </w:rPr>
      </w:pPr>
      <w:r>
        <w:rPr>
          <w:rFonts w:ascii="Calibri" w:eastAsia="Calibri" w:hAnsi="Calibri" w:cs="Calibri"/>
          <w:szCs w:val="22"/>
        </w:rPr>
        <w:t>s</w:t>
      </w:r>
      <w:r w:rsidR="350FC186" w:rsidRPr="62F714E9">
        <w:rPr>
          <w:rFonts w:ascii="Calibri" w:eastAsia="Calibri" w:hAnsi="Calibri" w:cs="Calibri"/>
          <w:szCs w:val="22"/>
        </w:rPr>
        <w:t>ubmit a reversal notification and must submit the notification within 60 days</w:t>
      </w:r>
    </w:p>
    <w:p w14:paraId="394D06AB" w14:textId="418D8226" w:rsidR="00D51AF4" w:rsidRPr="00D51AF4" w:rsidRDefault="006C4866" w:rsidP="62F714E9">
      <w:pPr>
        <w:pStyle w:val="ListParagraph"/>
        <w:numPr>
          <w:ilvl w:val="0"/>
          <w:numId w:val="22"/>
        </w:numPr>
        <w:spacing w:after="0"/>
        <w:rPr>
          <w:rFonts w:ascii="Calibri" w:eastAsia="Calibri" w:hAnsi="Calibri" w:cs="Calibri"/>
          <w:szCs w:val="22"/>
        </w:rPr>
      </w:pPr>
      <w:r>
        <w:rPr>
          <w:rFonts w:ascii="Calibri" w:eastAsia="Calibri" w:hAnsi="Calibri" w:cs="Calibri"/>
          <w:szCs w:val="22"/>
        </w:rPr>
        <w:t>p</w:t>
      </w:r>
      <w:r w:rsidR="1CFD97C3" w:rsidRPr="19F0E246">
        <w:rPr>
          <w:rFonts w:ascii="Calibri" w:eastAsia="Calibri" w:hAnsi="Calibri" w:cs="Calibri"/>
          <w:szCs w:val="22"/>
        </w:rPr>
        <w:t>rovide supporting evidence, including maps, imagery, or field assessments</w:t>
      </w:r>
    </w:p>
    <w:p w14:paraId="0371931F" w14:textId="5264B9E3" w:rsidR="62F714E9" w:rsidRPr="00786388" w:rsidRDefault="006C4866" w:rsidP="00786388">
      <w:pPr>
        <w:pStyle w:val="ListParagraph"/>
        <w:numPr>
          <w:ilvl w:val="0"/>
          <w:numId w:val="22"/>
        </w:numPr>
        <w:spacing w:after="240"/>
        <w:ind w:left="714" w:hanging="357"/>
        <w:rPr>
          <w:rFonts w:ascii="Calibri" w:eastAsia="Calibri" w:hAnsi="Calibri" w:cs="Calibri"/>
          <w:szCs w:val="22"/>
        </w:rPr>
      </w:pPr>
      <w:r>
        <w:rPr>
          <w:rFonts w:ascii="Calibri" w:eastAsia="Calibri" w:hAnsi="Calibri" w:cs="Calibri"/>
          <w:szCs w:val="22"/>
        </w:rPr>
        <w:t>c</w:t>
      </w:r>
      <w:r w:rsidR="1CFD97C3" w:rsidRPr="19F0E246">
        <w:rPr>
          <w:rFonts w:ascii="Calibri" w:eastAsia="Calibri" w:hAnsi="Calibri" w:cs="Calibri"/>
          <w:szCs w:val="22"/>
        </w:rPr>
        <w:t>ontinue monitoring to confirm whether credited carbon stocks remain intact</w:t>
      </w:r>
      <w:r>
        <w:rPr>
          <w:rFonts w:ascii="Calibri" w:eastAsia="Calibri" w:hAnsi="Calibri" w:cs="Calibri"/>
          <w:szCs w:val="22"/>
        </w:rPr>
        <w:t>.</w:t>
      </w:r>
    </w:p>
    <w:p w14:paraId="4791A9A0" w14:textId="67230275" w:rsidR="62F714E9" w:rsidRDefault="1CFD97C3" w:rsidP="62F714E9">
      <w:pPr>
        <w:rPr>
          <w:rFonts w:ascii="Aptos" w:eastAsia="Aptos" w:hAnsi="Aptos" w:cs="Aptos"/>
        </w:rPr>
      </w:pPr>
      <w:r w:rsidRPr="15441212">
        <w:rPr>
          <w:rFonts w:ascii="Calibri" w:eastAsia="Calibri" w:hAnsi="Calibri" w:cs="Calibri"/>
        </w:rPr>
        <w:t xml:space="preserve">For further guidance, refer to </w:t>
      </w:r>
      <w:hyperlink r:id="rId71" w:anchor="reversal-events" w:history="1">
        <w:r w:rsidR="0F4207F2" w:rsidRPr="15441212">
          <w:rPr>
            <w:rStyle w:val="Hyperlink"/>
          </w:rPr>
          <w:t>permanence obligations</w:t>
        </w:r>
        <w:r w:rsidR="1DE9B545" w:rsidRPr="15441212">
          <w:rPr>
            <w:rStyle w:val="Hyperlink"/>
          </w:rPr>
          <w:t xml:space="preserve"> </w:t>
        </w:r>
      </w:hyperlink>
      <w:r w:rsidR="4E1D2558" w:rsidRPr="15441212">
        <w:rPr>
          <w:rFonts w:ascii="Calibri" w:eastAsia="Calibri" w:hAnsi="Calibri" w:cs="Calibri"/>
        </w:rPr>
        <w:t xml:space="preserve"> and </w:t>
      </w:r>
      <w:hyperlink r:id="rId72" w:history="1">
        <w:r w:rsidR="2F343D91" w:rsidRPr="15441212">
          <w:rPr>
            <w:rStyle w:val="Hyperlink"/>
            <w:rFonts w:ascii="Aptos" w:eastAsia="Aptos" w:hAnsi="Aptos" w:cs="Aptos"/>
          </w:rPr>
          <w:t>project reporting and audits.</w:t>
        </w:r>
      </w:hyperlink>
    </w:p>
    <w:p w14:paraId="33DE896A" w14:textId="61073225" w:rsidR="00A3437D" w:rsidRDefault="00A3437D" w:rsidP="15441212">
      <w:pPr>
        <w:pStyle w:val="Heading4"/>
      </w:pPr>
      <w:r>
        <w:lastRenderedPageBreak/>
        <w:t>Does the legal right only need to be for the CEA that's straddled between the properties? Or is legal right required for the entirety of that land parcel the CEA is located within?</w:t>
      </w:r>
      <w:r w:rsidR="4131C65F" w:rsidRPr="19F0E246">
        <w:rPr>
          <w:color w:val="92D050"/>
        </w:rPr>
        <w:t xml:space="preserve"> </w:t>
      </w:r>
    </w:p>
    <w:p w14:paraId="33662F74" w14:textId="53859453" w:rsidR="1FE1F2EA" w:rsidRDefault="1FE1F2EA" w:rsidP="62F714E9">
      <w:pPr>
        <w:spacing w:before="240" w:after="240"/>
      </w:pPr>
      <w:r w:rsidRPr="66F0CE50">
        <w:rPr>
          <w:rFonts w:ascii="Calibri" w:eastAsia="Calibri" w:hAnsi="Calibri" w:cs="Calibri"/>
        </w:rPr>
        <w:t xml:space="preserve">Under the requirements of the ACCU Scheme, project proponents must demonstrate legal right to carry out project activities across all project areas included in the project declaration, not merely over land within CEAs. </w:t>
      </w:r>
    </w:p>
    <w:p w14:paraId="4397BC48" w14:textId="25FDBC71" w:rsidR="00A3437D" w:rsidRPr="00A3437D" w:rsidRDefault="4131C65F" w:rsidP="19F0E246">
      <w:pPr>
        <w:spacing w:before="240" w:after="240"/>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w:t>
      </w:r>
      <w:r w:rsidR="1FE1F2EA" w:rsidRPr="66F0CE50">
        <w:rPr>
          <w:rFonts w:ascii="Calibri" w:eastAsia="Calibri" w:hAnsi="Calibri" w:cs="Calibri"/>
        </w:rPr>
        <w:t>requires documents evidencing</w:t>
      </w:r>
      <w:r w:rsidRPr="66F0CE50">
        <w:rPr>
          <w:rFonts w:ascii="Calibri" w:eastAsia="Calibri" w:hAnsi="Calibri" w:cs="Calibri"/>
        </w:rPr>
        <w:t xml:space="preserve"> legal right </w:t>
      </w:r>
      <w:r w:rsidR="1FE1F2EA" w:rsidRPr="66F0CE50">
        <w:rPr>
          <w:rFonts w:ascii="Calibri" w:eastAsia="Calibri" w:hAnsi="Calibri" w:cs="Calibri"/>
        </w:rPr>
        <w:t>to be provided</w:t>
      </w:r>
      <w:r w:rsidRPr="66F0CE50">
        <w:rPr>
          <w:rFonts w:ascii="Calibri" w:eastAsia="Calibri" w:hAnsi="Calibri" w:cs="Calibri"/>
        </w:rPr>
        <w:t xml:space="preserve"> to confirm that the proponent has sufficient control to implement and maintain the project in accordance with the applicable method, including monitoring, reporting, and permanence obligations.</w:t>
      </w:r>
    </w:p>
    <w:p w14:paraId="483B1063" w14:textId="0BC29EEE" w:rsidR="15441212" w:rsidRDefault="4131C65F" w:rsidP="15441212">
      <w:pPr>
        <w:rPr>
          <w:rFonts w:ascii="Calibri" w:eastAsia="Calibri" w:hAnsi="Calibri" w:cs="Calibri"/>
        </w:rPr>
      </w:pPr>
      <w:r w:rsidRPr="15441212">
        <w:rPr>
          <w:rFonts w:ascii="Calibri" w:eastAsia="Calibri" w:hAnsi="Calibri" w:cs="Calibri"/>
        </w:rPr>
        <w:t>For more information, refer to</w:t>
      </w:r>
      <w:r w:rsidR="23ACEC4E" w:rsidRPr="15441212">
        <w:rPr>
          <w:rFonts w:ascii="Calibri" w:eastAsia="Calibri" w:hAnsi="Calibri" w:cs="Calibri"/>
        </w:rPr>
        <w:t xml:space="preserve"> </w:t>
      </w:r>
      <w:hyperlink r:id="rId73" w:history="1">
        <w:r w:rsidR="006C4866">
          <w:rPr>
            <w:rStyle w:val="Hyperlink"/>
            <w:rFonts w:eastAsia="Calibri" w:cs="Calibri"/>
          </w:rPr>
          <w:t>legal right and native title</w:t>
        </w:r>
      </w:hyperlink>
      <w:r w:rsidR="006C4866">
        <w:t>.</w:t>
      </w:r>
    </w:p>
    <w:p w14:paraId="2CC505DC" w14:textId="27E39C27" w:rsidR="009C2B3D" w:rsidRDefault="009C2B3D" w:rsidP="15441212">
      <w:pPr>
        <w:pStyle w:val="Heading4"/>
      </w:pPr>
      <w:r w:rsidRPr="009C2B3D">
        <w:t>I have a 100-year permanence period project, but I'll die before the permanence period concludes. Who is then responsible to continue reporting?</w:t>
      </w:r>
    </w:p>
    <w:p w14:paraId="0274E0CB" w14:textId="1961B6B3" w:rsidR="5D96A186" w:rsidRDefault="5D96A186" w:rsidP="62F714E9">
      <w:pPr>
        <w:spacing w:before="240" w:after="240"/>
      </w:pPr>
      <w:r w:rsidRPr="62F714E9">
        <w:rPr>
          <w:rFonts w:ascii="Calibri" w:eastAsia="Calibri" w:hAnsi="Calibri" w:cs="Calibri"/>
          <w:szCs w:val="22"/>
        </w:rPr>
        <w:t xml:space="preserve">Responsibility for reporting and meeting permanence obligations under a 100-year permanence period project rests with the project proponent listed in the project declaration. </w:t>
      </w:r>
    </w:p>
    <w:p w14:paraId="2898B1BE" w14:textId="77777777" w:rsidR="007D2089" w:rsidRDefault="57517885" w:rsidP="19F0E246">
      <w:pPr>
        <w:spacing w:before="240" w:after="240"/>
        <w:rPr>
          <w:rFonts w:ascii="Calibri" w:eastAsia="Calibri" w:hAnsi="Calibri" w:cs="Calibri"/>
        </w:rPr>
      </w:pPr>
      <w:r w:rsidRPr="66F0CE50">
        <w:rPr>
          <w:rFonts w:ascii="Calibri" w:eastAsia="Calibri" w:hAnsi="Calibri" w:cs="Calibri"/>
        </w:rPr>
        <w:t xml:space="preserve">If the current project proponent passes away </w:t>
      </w:r>
      <w:r w:rsidR="5D96A186" w:rsidRPr="66F0CE50">
        <w:rPr>
          <w:rFonts w:ascii="Calibri" w:eastAsia="Calibri" w:hAnsi="Calibri" w:cs="Calibri"/>
        </w:rPr>
        <w:t>during</w:t>
      </w:r>
      <w:r w:rsidRPr="66F0CE50">
        <w:rPr>
          <w:rFonts w:ascii="Calibri" w:eastAsia="Calibri" w:hAnsi="Calibri" w:cs="Calibri"/>
        </w:rPr>
        <w:t xml:space="preserve"> the permanence period</w:t>
      </w:r>
      <w:r w:rsidR="5D96A186" w:rsidRPr="66F0CE50">
        <w:rPr>
          <w:rFonts w:ascii="Calibri" w:eastAsia="Calibri" w:hAnsi="Calibri" w:cs="Calibri"/>
        </w:rPr>
        <w:t>, legal right to conduct</w:t>
      </w:r>
      <w:r w:rsidRPr="66F0CE50">
        <w:rPr>
          <w:rFonts w:ascii="Calibri" w:eastAsia="Calibri" w:hAnsi="Calibri" w:cs="Calibri"/>
        </w:rPr>
        <w:t xml:space="preserve"> the project</w:t>
      </w:r>
      <w:r w:rsidR="5D96A186" w:rsidRPr="66F0CE50">
        <w:rPr>
          <w:rFonts w:ascii="Calibri" w:eastAsia="Calibri" w:hAnsi="Calibri" w:cs="Calibri"/>
        </w:rPr>
        <w:t xml:space="preserve"> </w:t>
      </w:r>
      <w:r w:rsidRPr="66F0CE50">
        <w:rPr>
          <w:rFonts w:ascii="Calibri" w:eastAsia="Calibri" w:hAnsi="Calibri" w:cs="Calibri"/>
        </w:rPr>
        <w:t xml:space="preserve">will typically be transferred in accordance with their will or estate arrangements. </w:t>
      </w:r>
      <w:r w:rsidR="007D2089" w:rsidRPr="66F0CE50">
        <w:rPr>
          <w:rFonts w:ascii="Calibri" w:eastAsia="Calibri" w:hAnsi="Calibri" w:cs="Calibri"/>
        </w:rPr>
        <w:t xml:space="preserve">The passing of a project proponent will also need to be notified to the CER.  </w:t>
      </w:r>
    </w:p>
    <w:p w14:paraId="0C9C49D5" w14:textId="7E9155E2" w:rsidR="009C2B3D" w:rsidRPr="009C2B3D" w:rsidRDefault="57517885" w:rsidP="19F0E246">
      <w:pPr>
        <w:spacing w:before="240" w:after="240"/>
      </w:pPr>
      <w:r w:rsidRPr="19F0E246">
        <w:rPr>
          <w:rFonts w:ascii="Calibri" w:eastAsia="Calibri" w:hAnsi="Calibri" w:cs="Calibri"/>
          <w:szCs w:val="22"/>
        </w:rPr>
        <w:t xml:space="preserve">The individual or entity who assumes </w:t>
      </w:r>
      <w:r w:rsidR="5D96A186" w:rsidRPr="62F714E9">
        <w:rPr>
          <w:rFonts w:ascii="Calibri" w:eastAsia="Calibri" w:hAnsi="Calibri" w:cs="Calibri"/>
          <w:szCs w:val="22"/>
        </w:rPr>
        <w:t>legal right over</w:t>
      </w:r>
      <w:r w:rsidRPr="19F0E246">
        <w:rPr>
          <w:rFonts w:ascii="Calibri" w:eastAsia="Calibri" w:hAnsi="Calibri" w:cs="Calibri"/>
          <w:szCs w:val="22"/>
        </w:rPr>
        <w:t xml:space="preserve"> the </w:t>
      </w:r>
      <w:r w:rsidR="5D96A186" w:rsidRPr="62F714E9">
        <w:rPr>
          <w:rFonts w:ascii="Calibri" w:eastAsia="Calibri" w:hAnsi="Calibri" w:cs="Calibri"/>
          <w:szCs w:val="22"/>
        </w:rPr>
        <w:t>project</w:t>
      </w:r>
      <w:r w:rsidRPr="19F0E246">
        <w:rPr>
          <w:rFonts w:ascii="Calibri" w:eastAsia="Calibri" w:hAnsi="Calibri" w:cs="Calibri"/>
          <w:szCs w:val="22"/>
        </w:rPr>
        <w:t xml:space="preserve"> will then be responsible for fulfilling all ongoing obligations under the ACCU Scheme. This includes:</w:t>
      </w:r>
    </w:p>
    <w:p w14:paraId="11D30141" w14:textId="781867EE" w:rsidR="009C2B3D" w:rsidRPr="009C2B3D" w:rsidRDefault="006C4866" w:rsidP="62F714E9">
      <w:pPr>
        <w:pStyle w:val="ListParagraph"/>
        <w:numPr>
          <w:ilvl w:val="0"/>
          <w:numId w:val="21"/>
        </w:numPr>
        <w:spacing w:after="0"/>
        <w:rPr>
          <w:rFonts w:ascii="Calibri" w:eastAsia="Calibri" w:hAnsi="Calibri" w:cs="Calibri"/>
          <w:szCs w:val="22"/>
        </w:rPr>
      </w:pPr>
      <w:r>
        <w:rPr>
          <w:rFonts w:ascii="Calibri" w:eastAsia="Calibri" w:hAnsi="Calibri" w:cs="Calibri"/>
          <w:szCs w:val="22"/>
        </w:rPr>
        <w:t>m</w:t>
      </w:r>
      <w:r w:rsidR="57517885" w:rsidRPr="19F0E246">
        <w:rPr>
          <w:rFonts w:ascii="Calibri" w:eastAsia="Calibri" w:hAnsi="Calibri" w:cs="Calibri"/>
          <w:szCs w:val="22"/>
        </w:rPr>
        <w:t>aintaining carbon stocks for the remainder of the permanence period</w:t>
      </w:r>
    </w:p>
    <w:p w14:paraId="7EFFB0F5" w14:textId="5DED84F3" w:rsidR="009C2B3D" w:rsidRPr="009C2B3D" w:rsidRDefault="006C4866" w:rsidP="62F714E9">
      <w:pPr>
        <w:pStyle w:val="ListParagraph"/>
        <w:numPr>
          <w:ilvl w:val="0"/>
          <w:numId w:val="21"/>
        </w:numPr>
        <w:spacing w:after="0"/>
        <w:rPr>
          <w:rFonts w:ascii="Calibri" w:eastAsia="Calibri" w:hAnsi="Calibri" w:cs="Calibri"/>
          <w:szCs w:val="22"/>
        </w:rPr>
      </w:pPr>
      <w:r>
        <w:rPr>
          <w:rFonts w:ascii="Calibri" w:eastAsia="Calibri" w:hAnsi="Calibri" w:cs="Calibri"/>
          <w:szCs w:val="22"/>
        </w:rPr>
        <w:t>s</w:t>
      </w:r>
      <w:r w:rsidR="57517885" w:rsidRPr="19F0E246">
        <w:rPr>
          <w:rFonts w:ascii="Calibri" w:eastAsia="Calibri" w:hAnsi="Calibri" w:cs="Calibri"/>
          <w:szCs w:val="22"/>
        </w:rPr>
        <w:t>ubmitting offsets reports at least once every five years</w:t>
      </w:r>
    </w:p>
    <w:p w14:paraId="2E7D5D40" w14:textId="2BDFA7BD" w:rsidR="009C2B3D" w:rsidRPr="009C2B3D" w:rsidRDefault="006C4866" w:rsidP="62F714E9">
      <w:pPr>
        <w:pStyle w:val="ListParagraph"/>
        <w:numPr>
          <w:ilvl w:val="0"/>
          <w:numId w:val="21"/>
        </w:numPr>
        <w:spacing w:after="0"/>
        <w:rPr>
          <w:rFonts w:ascii="Calibri" w:eastAsia="Calibri" w:hAnsi="Calibri" w:cs="Calibri"/>
        </w:rPr>
      </w:pPr>
      <w:r>
        <w:rPr>
          <w:rFonts w:ascii="Calibri" w:eastAsia="Calibri" w:hAnsi="Calibri" w:cs="Calibri"/>
        </w:rPr>
        <w:t>n</w:t>
      </w:r>
      <w:r w:rsidR="57517885" w:rsidRPr="66F0CE50">
        <w:rPr>
          <w:rFonts w:ascii="Calibri" w:eastAsia="Calibri" w:hAnsi="Calibri" w:cs="Calibri"/>
        </w:rPr>
        <w:t xml:space="preserve">otifying the </w:t>
      </w:r>
      <w:r w:rsidR="279021A3" w:rsidRPr="66F0CE50">
        <w:rPr>
          <w:rFonts w:ascii="Calibri" w:eastAsia="Calibri" w:hAnsi="Calibri" w:cs="Calibri"/>
        </w:rPr>
        <w:t>CER</w:t>
      </w:r>
      <w:r w:rsidR="57517885" w:rsidRPr="66F0CE50">
        <w:rPr>
          <w:rFonts w:ascii="Calibri" w:eastAsia="Calibri" w:hAnsi="Calibri" w:cs="Calibri"/>
        </w:rPr>
        <w:t xml:space="preserve"> of any significant reversal events</w:t>
      </w:r>
      <w:r>
        <w:rPr>
          <w:rFonts w:ascii="Calibri" w:eastAsia="Calibri" w:hAnsi="Calibri" w:cs="Calibri"/>
        </w:rPr>
        <w:t>.</w:t>
      </w:r>
    </w:p>
    <w:p w14:paraId="7F3D4D6F" w14:textId="0DF5CE50" w:rsidR="009C2B3D" w:rsidRPr="009C2B3D" w:rsidRDefault="57517885" w:rsidP="19F0E246">
      <w:pPr>
        <w:spacing w:before="240" w:after="240"/>
      </w:pPr>
      <w:r w:rsidRPr="66F0CE50">
        <w:rPr>
          <w:rFonts w:ascii="Calibri" w:eastAsia="Calibri" w:hAnsi="Calibri" w:cs="Calibri"/>
        </w:rPr>
        <w:t xml:space="preserve">To </w:t>
      </w:r>
      <w:r w:rsidR="3D14CEE3" w:rsidRPr="66F0CE50">
        <w:rPr>
          <w:rFonts w:ascii="Calibri" w:eastAsia="Calibri" w:hAnsi="Calibri" w:cs="Calibri"/>
        </w:rPr>
        <w:t>formali</w:t>
      </w:r>
      <w:r w:rsidR="60A62436" w:rsidRPr="66F0CE50">
        <w:rPr>
          <w:rFonts w:ascii="Calibri" w:eastAsia="Calibri" w:hAnsi="Calibri" w:cs="Calibri"/>
        </w:rPr>
        <w:t>s</w:t>
      </w:r>
      <w:r w:rsidR="3D14CEE3" w:rsidRPr="66F0CE50">
        <w:rPr>
          <w:rFonts w:ascii="Calibri" w:eastAsia="Calibri" w:hAnsi="Calibri" w:cs="Calibri"/>
        </w:rPr>
        <w:t>e</w:t>
      </w:r>
      <w:r w:rsidRPr="66F0CE50">
        <w:rPr>
          <w:rFonts w:ascii="Calibri" w:eastAsia="Calibri" w:hAnsi="Calibri" w:cs="Calibri"/>
        </w:rPr>
        <w:t xml:space="preserve"> the change in project proponent, a project variation must be submitted to the </w:t>
      </w:r>
      <w:r w:rsidR="279021A3" w:rsidRPr="66F0CE50">
        <w:rPr>
          <w:rFonts w:ascii="Calibri" w:eastAsia="Calibri" w:hAnsi="Calibri" w:cs="Calibri"/>
        </w:rPr>
        <w:t>CER</w:t>
      </w:r>
      <w:r w:rsidRPr="66F0CE50">
        <w:rPr>
          <w:rFonts w:ascii="Calibri" w:eastAsia="Calibri" w:hAnsi="Calibri" w:cs="Calibri"/>
        </w:rPr>
        <w:t xml:space="preserve">, along with evidence of legal right to carry out the project activities. </w:t>
      </w:r>
      <w:r w:rsidR="5D96A186" w:rsidRPr="66F0CE50">
        <w:rPr>
          <w:rFonts w:ascii="Calibri" w:eastAsia="Calibri" w:hAnsi="Calibri" w:cs="Calibri"/>
        </w:rPr>
        <w:t xml:space="preserve">Until this variation is approved, the executor or the administrator of the estate is responsible for complying with the project obligations. </w:t>
      </w:r>
    </w:p>
    <w:p w14:paraId="192F1E74" w14:textId="3F347EAA" w:rsidR="009C2B3D" w:rsidRPr="009C2B3D" w:rsidRDefault="57517885" w:rsidP="009C2B3D">
      <w:r w:rsidRPr="15441212">
        <w:rPr>
          <w:rFonts w:ascii="Calibri" w:eastAsia="Calibri" w:hAnsi="Calibri" w:cs="Calibri"/>
        </w:rPr>
        <w:t xml:space="preserve">For further guidance, refer to the </w:t>
      </w:r>
      <w:r w:rsidR="279021A3" w:rsidRPr="15441212">
        <w:rPr>
          <w:rFonts w:ascii="Calibri" w:eastAsia="Calibri" w:hAnsi="Calibri" w:cs="Calibri"/>
        </w:rPr>
        <w:t>CER</w:t>
      </w:r>
      <w:r w:rsidR="3D14CEE3" w:rsidRPr="15441212">
        <w:rPr>
          <w:rFonts w:ascii="Calibri" w:eastAsia="Calibri" w:hAnsi="Calibri" w:cs="Calibri"/>
        </w:rPr>
        <w:t>’s</w:t>
      </w:r>
      <w:r w:rsidRPr="15441212">
        <w:rPr>
          <w:rFonts w:ascii="Calibri" w:eastAsia="Calibri" w:hAnsi="Calibri" w:cs="Calibri"/>
        </w:rPr>
        <w:t xml:space="preserve"> resources on</w:t>
      </w:r>
      <w:r w:rsidR="362595C1" w:rsidRPr="15441212">
        <w:rPr>
          <w:rFonts w:ascii="Calibri" w:eastAsia="Calibri" w:hAnsi="Calibri" w:cs="Calibri"/>
        </w:rPr>
        <w:t xml:space="preserve"> </w:t>
      </w:r>
      <w:hyperlink r:id="rId74">
        <w:r w:rsidR="362595C1" w:rsidRPr="15441212">
          <w:rPr>
            <w:rStyle w:val="Hyperlink"/>
            <w:rFonts w:eastAsia="Calibri" w:cs="Calibri"/>
          </w:rPr>
          <w:t>legal right and native title</w:t>
        </w:r>
      </w:hyperlink>
      <w:r w:rsidR="362595C1" w:rsidRPr="15441212">
        <w:rPr>
          <w:rFonts w:ascii="Calibri" w:eastAsia="Calibri" w:hAnsi="Calibri" w:cs="Calibri"/>
        </w:rPr>
        <w:t>,</w:t>
      </w:r>
      <w:r w:rsidR="2EADB792" w:rsidRPr="15441212">
        <w:rPr>
          <w:rFonts w:ascii="Calibri" w:eastAsia="Calibri" w:hAnsi="Calibri" w:cs="Calibri"/>
        </w:rPr>
        <w:t xml:space="preserve"> </w:t>
      </w:r>
      <w:hyperlink r:id="rId75">
        <w:r w:rsidR="2EADB792" w:rsidRPr="15441212">
          <w:rPr>
            <w:rStyle w:val="Hyperlink"/>
            <w:rFonts w:eastAsia="Calibri" w:cs="Calibri"/>
          </w:rPr>
          <w:t>method</w:t>
        </w:r>
        <w:r w:rsidR="39ADF962" w:rsidRPr="19F0E246">
          <w:rPr>
            <w:rStyle w:val="Hyperlink"/>
            <w:rFonts w:eastAsia="Calibri" w:cs="Calibri"/>
          </w:rPr>
          <w:t xml:space="preserve"> variations and expiry</w:t>
        </w:r>
      </w:hyperlink>
      <w:r w:rsidRPr="15441212">
        <w:rPr>
          <w:rFonts w:ascii="Calibri" w:eastAsia="Calibri" w:hAnsi="Calibri" w:cs="Calibri"/>
        </w:rPr>
        <w:t xml:space="preserve"> and </w:t>
      </w:r>
      <w:hyperlink r:id="rId76" w:anchor="reversal-events" w:history="1">
        <w:r w:rsidR="4CF9DDA3" w:rsidRPr="15441212">
          <w:rPr>
            <w:rStyle w:val="Hyperlink"/>
          </w:rPr>
          <w:t>permanence obligations</w:t>
        </w:r>
      </w:hyperlink>
      <w:r w:rsidR="006C4866">
        <w:t>.</w:t>
      </w:r>
    </w:p>
    <w:p w14:paraId="169F4834" w14:textId="417E3A2A" w:rsidR="00CB48B9" w:rsidRDefault="00F6315C" w:rsidP="15441212">
      <w:pPr>
        <w:pStyle w:val="Heading4"/>
        <w:spacing w:after="240"/>
      </w:pPr>
      <w:r w:rsidRPr="00621480">
        <w:t>I</w:t>
      </w:r>
      <w:r w:rsidR="00CB48B9" w:rsidRPr="00CB48B9">
        <w:t xml:space="preserve">f I sell my land, do I still have </w:t>
      </w:r>
      <w:r w:rsidR="09CE5771">
        <w:t>reporting, monitoring and notification</w:t>
      </w:r>
      <w:r w:rsidR="00CB48B9" w:rsidRPr="00CB48B9">
        <w:t xml:space="preserve"> obligations</w:t>
      </w:r>
      <w:r w:rsidR="00BB5E2E">
        <w:t>?</w:t>
      </w:r>
    </w:p>
    <w:p w14:paraId="4BDFF59D" w14:textId="7BAA96A7" w:rsidR="00CB48B9" w:rsidRDefault="2A8925FF" w:rsidP="62F714E9">
      <w:r w:rsidRPr="66F0CE50">
        <w:rPr>
          <w:rFonts w:ascii="Calibri" w:eastAsia="Calibri" w:hAnsi="Calibri" w:cs="Calibri"/>
        </w:rPr>
        <w:t xml:space="preserve">Reporting, monitoring and notification obligations </w:t>
      </w:r>
      <w:r w:rsidR="007D2089" w:rsidRPr="66F0CE50">
        <w:rPr>
          <w:rFonts w:ascii="Calibri" w:eastAsia="Calibri" w:hAnsi="Calibri" w:cs="Calibri"/>
        </w:rPr>
        <w:t xml:space="preserve">rest </w:t>
      </w:r>
      <w:r w:rsidRPr="66F0CE50">
        <w:rPr>
          <w:rFonts w:ascii="Calibri" w:eastAsia="Calibri" w:hAnsi="Calibri" w:cs="Calibri"/>
        </w:rPr>
        <w:t xml:space="preserve">with the person </w:t>
      </w:r>
      <w:r w:rsidR="00C23879" w:rsidRPr="66F0CE50">
        <w:rPr>
          <w:rFonts w:ascii="Calibri" w:eastAsia="Calibri" w:hAnsi="Calibri" w:cs="Calibri"/>
        </w:rPr>
        <w:t xml:space="preserve">identified </w:t>
      </w:r>
      <w:r w:rsidRPr="66F0CE50">
        <w:rPr>
          <w:rFonts w:ascii="Calibri" w:eastAsia="Calibri" w:hAnsi="Calibri" w:cs="Calibri"/>
        </w:rPr>
        <w:t xml:space="preserve">as the project proponent on the </w:t>
      </w:r>
      <w:r w:rsidR="00C23879" w:rsidRPr="66F0CE50">
        <w:rPr>
          <w:rFonts w:ascii="Calibri" w:eastAsia="Calibri" w:hAnsi="Calibri" w:cs="Calibri"/>
        </w:rPr>
        <w:t xml:space="preserve">project </w:t>
      </w:r>
      <w:r w:rsidRPr="66F0CE50">
        <w:rPr>
          <w:rFonts w:ascii="Calibri" w:eastAsia="Calibri" w:hAnsi="Calibri" w:cs="Calibri"/>
        </w:rPr>
        <w:t xml:space="preserve">declaration. If the declaration is varied so the new owner is </w:t>
      </w:r>
      <w:r w:rsidR="00C23879" w:rsidRPr="66F0CE50">
        <w:rPr>
          <w:rFonts w:ascii="Calibri" w:eastAsia="Calibri" w:hAnsi="Calibri" w:cs="Calibri"/>
        </w:rPr>
        <w:t xml:space="preserve">identified </w:t>
      </w:r>
      <w:r w:rsidRPr="66F0CE50">
        <w:rPr>
          <w:rFonts w:ascii="Calibri" w:eastAsia="Calibri" w:hAnsi="Calibri" w:cs="Calibri"/>
        </w:rPr>
        <w:t xml:space="preserve">as the project proponent, then the new owner will be responsible for meeting these obligations for the project. However, if the declaration is not varied, responsibility for meeting these obligations will continue to </w:t>
      </w:r>
      <w:r w:rsidR="00C23879" w:rsidRPr="66F0CE50">
        <w:rPr>
          <w:rFonts w:ascii="Calibri" w:eastAsia="Calibri" w:hAnsi="Calibri" w:cs="Calibri"/>
        </w:rPr>
        <w:t xml:space="preserve">rest </w:t>
      </w:r>
      <w:r w:rsidRPr="66F0CE50">
        <w:rPr>
          <w:rFonts w:ascii="Calibri" w:eastAsia="Calibri" w:hAnsi="Calibri" w:cs="Calibri"/>
        </w:rPr>
        <w:t>with the person on the declaration.</w:t>
      </w:r>
    </w:p>
    <w:p w14:paraId="0E6A01FB" w14:textId="5A888480" w:rsidR="00CB48B9" w:rsidRDefault="2A8925FF" w:rsidP="00CB48B9">
      <w:pPr>
        <w:rPr>
          <w:rStyle w:val="Hyperlink"/>
          <w:rFonts w:eastAsia="Calibri" w:cs="Calibri"/>
        </w:rPr>
      </w:pPr>
      <w:r w:rsidRPr="15441212">
        <w:rPr>
          <w:rFonts w:ascii="Calibri" w:eastAsia="Calibri" w:hAnsi="Calibri" w:cs="Calibri"/>
        </w:rPr>
        <w:t xml:space="preserve">For more information, refer to </w:t>
      </w:r>
      <w:hyperlink r:id="rId77">
        <w:r w:rsidR="2B25B5CC" w:rsidRPr="15441212">
          <w:rPr>
            <w:rStyle w:val="Hyperlink"/>
            <w:rFonts w:eastAsia="Calibri" w:cs="Calibri"/>
          </w:rPr>
          <w:t>selling</w:t>
        </w:r>
        <w:r w:rsidRPr="62F714E9">
          <w:rPr>
            <w:rStyle w:val="Hyperlink"/>
            <w:rFonts w:eastAsia="Calibri" w:cs="Calibri"/>
          </w:rPr>
          <w:t xml:space="preserve"> or buying ACCU Scheme project property</w:t>
        </w:r>
      </w:hyperlink>
      <w:r w:rsidR="2B25B5CC" w:rsidRPr="15441212">
        <w:rPr>
          <w:rFonts w:ascii="Calibri" w:eastAsia="Calibri" w:hAnsi="Calibri" w:cs="Calibri"/>
        </w:rPr>
        <w:t>.</w:t>
      </w:r>
    </w:p>
    <w:p w14:paraId="6CBD2652" w14:textId="02E24743" w:rsidR="19F0E246" w:rsidRDefault="4BB586FA" w:rsidP="15441212">
      <w:pPr>
        <w:pStyle w:val="Heading4"/>
      </w:pPr>
      <w:r>
        <w:lastRenderedPageBreak/>
        <w:t>If a property is being sold and all ACCUs previously earnt have been held by the project proponent who is the seller, can the seller offer the buyer these ACCUs as part of the sale of the property?</w:t>
      </w:r>
    </w:p>
    <w:p w14:paraId="13ECA8DB" w14:textId="018EA66D" w:rsidR="62039F07" w:rsidRDefault="62039F07" w:rsidP="62F714E9">
      <w:pPr>
        <w:spacing w:before="240" w:after="240"/>
      </w:pPr>
      <w:r w:rsidRPr="66F0CE50">
        <w:rPr>
          <w:rFonts w:ascii="Calibri" w:eastAsia="Calibri" w:hAnsi="Calibri" w:cs="Calibri"/>
        </w:rPr>
        <w:t xml:space="preserve">Yes, </w:t>
      </w:r>
      <w:r w:rsidR="6FB4E658" w:rsidRPr="66F0CE50">
        <w:rPr>
          <w:rFonts w:ascii="Calibri" w:eastAsia="Calibri" w:hAnsi="Calibri" w:cs="Calibri"/>
        </w:rPr>
        <w:t>ACCUs</w:t>
      </w:r>
      <w:r w:rsidRPr="66F0CE50" w:rsidDel="00EB0A3F">
        <w:rPr>
          <w:rFonts w:ascii="Calibri" w:eastAsia="Calibri" w:hAnsi="Calibri" w:cs="Calibri"/>
        </w:rPr>
        <w:t xml:space="preserve"> </w:t>
      </w:r>
      <w:r w:rsidRPr="66F0CE50">
        <w:rPr>
          <w:rFonts w:ascii="Calibri" w:eastAsia="Calibri" w:hAnsi="Calibri" w:cs="Calibri"/>
        </w:rPr>
        <w:t xml:space="preserve">issued for a project and held by the seller may be offered to the buyer as part of the property sale. The transfer of ACCUs is a commercial arrangement and is independent </w:t>
      </w:r>
      <w:r w:rsidR="002B0C5C" w:rsidRPr="66F0CE50">
        <w:rPr>
          <w:rFonts w:ascii="Calibri" w:eastAsia="Calibri" w:hAnsi="Calibri" w:cs="Calibri"/>
        </w:rPr>
        <w:t xml:space="preserve">to </w:t>
      </w:r>
      <w:r w:rsidRPr="66F0CE50">
        <w:rPr>
          <w:rFonts w:ascii="Calibri" w:eastAsia="Calibri" w:hAnsi="Calibri" w:cs="Calibri"/>
        </w:rPr>
        <w:t xml:space="preserve">the </w:t>
      </w:r>
      <w:r w:rsidR="279021A3" w:rsidRPr="66F0CE50">
        <w:rPr>
          <w:rFonts w:ascii="Calibri" w:eastAsia="Calibri" w:hAnsi="Calibri" w:cs="Calibri"/>
        </w:rPr>
        <w:t>CER</w:t>
      </w:r>
      <w:r w:rsidR="6FB4E658" w:rsidRPr="66F0CE50">
        <w:rPr>
          <w:rFonts w:ascii="Calibri" w:eastAsia="Calibri" w:hAnsi="Calibri" w:cs="Calibri"/>
        </w:rPr>
        <w:t>.</w:t>
      </w:r>
      <w:r w:rsidRPr="66F0CE50">
        <w:rPr>
          <w:rFonts w:ascii="Calibri" w:eastAsia="Calibri" w:hAnsi="Calibri" w:cs="Calibri"/>
        </w:rPr>
        <w:t xml:space="preserve"> It is therefore a matter for the buyer and seller to negotiate as part of their sale process.</w:t>
      </w:r>
    </w:p>
    <w:p w14:paraId="00005547" w14:textId="16D87AE2" w:rsidR="4BB586FA" w:rsidRDefault="4BB586FA" w:rsidP="19F0E246">
      <w:pPr>
        <w:spacing w:before="240" w:after="240"/>
      </w:pPr>
      <w:r w:rsidRPr="66F0CE50">
        <w:rPr>
          <w:rFonts w:ascii="Calibri" w:eastAsia="Calibri" w:hAnsi="Calibri" w:cs="Calibri"/>
        </w:rPr>
        <w:t>ACCUs are tradeable financial instruments and can be transferred between parties via the Australian National Registry of Emissions Units (ANREU</w:t>
      </w:r>
      <w:r w:rsidR="6FB4E658" w:rsidRPr="66F0CE50">
        <w:rPr>
          <w:rFonts w:ascii="Calibri" w:eastAsia="Calibri" w:hAnsi="Calibri" w:cs="Calibri"/>
        </w:rPr>
        <w:t>)</w:t>
      </w:r>
      <w:r w:rsidR="003C7554" w:rsidRPr="66F0CE50">
        <w:rPr>
          <w:rFonts w:ascii="Calibri" w:eastAsia="Calibri" w:hAnsi="Calibri" w:cs="Calibri"/>
        </w:rPr>
        <w:t xml:space="preserve"> hosted on </w:t>
      </w:r>
      <w:r w:rsidR="62039F07" w:rsidRPr="66F0CE50">
        <w:rPr>
          <w:rFonts w:ascii="Calibri" w:eastAsia="Calibri" w:hAnsi="Calibri" w:cs="Calibri"/>
        </w:rPr>
        <w:t xml:space="preserve">the </w:t>
      </w:r>
      <w:r w:rsidR="003C7554" w:rsidRPr="66F0CE50">
        <w:rPr>
          <w:rFonts w:ascii="Calibri" w:eastAsia="Calibri" w:hAnsi="Calibri" w:cs="Calibri"/>
        </w:rPr>
        <w:t xml:space="preserve">CER’s </w:t>
      </w:r>
      <w:r w:rsidR="62039F07" w:rsidRPr="66F0CE50">
        <w:rPr>
          <w:rFonts w:ascii="Calibri" w:eastAsia="Calibri" w:hAnsi="Calibri" w:cs="Calibri"/>
        </w:rPr>
        <w:t>Unit and Certificate Registry,</w:t>
      </w:r>
      <w:r w:rsidRPr="66F0CE50">
        <w:rPr>
          <w:rFonts w:ascii="Calibri" w:eastAsia="Calibri" w:hAnsi="Calibri" w:cs="Calibri"/>
        </w:rPr>
        <w:t xml:space="preserve"> provided both parties hold ANREU accounts. </w:t>
      </w:r>
      <w:r w:rsidR="6FB4E658"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does not impose restrictions on how ACCUs are bundled or sold in private transactions, but it is important that any transfer is properly documented and executed through the registry.</w:t>
      </w:r>
    </w:p>
    <w:p w14:paraId="0B41A8BF" w14:textId="6E2EEAFF" w:rsidR="19F0E246" w:rsidRDefault="4BB586FA" w:rsidP="15441212">
      <w:pPr>
        <w:spacing w:before="240" w:after="240"/>
      </w:pPr>
      <w:r w:rsidRPr="15441212">
        <w:rPr>
          <w:rFonts w:ascii="Calibri" w:eastAsia="Calibri" w:hAnsi="Calibri" w:cs="Calibri"/>
        </w:rPr>
        <w:t xml:space="preserve">For more information, refer to </w:t>
      </w:r>
      <w:hyperlink r:id="rId78">
        <w:r w:rsidR="6661A0F7" w:rsidRPr="15441212">
          <w:rPr>
            <w:rStyle w:val="Hyperlink"/>
            <w:rFonts w:eastAsia="Calibri" w:cs="Calibri"/>
          </w:rPr>
          <w:t>selling</w:t>
        </w:r>
        <w:r w:rsidRPr="19F0E246">
          <w:rPr>
            <w:rStyle w:val="Hyperlink"/>
            <w:rFonts w:eastAsia="Calibri" w:cs="Calibri"/>
          </w:rPr>
          <w:t xml:space="preserve"> or buying ACCU Scheme project property</w:t>
        </w:r>
      </w:hyperlink>
      <w:r w:rsidR="6661A0F7" w:rsidRPr="15441212">
        <w:rPr>
          <w:rFonts w:ascii="Calibri" w:eastAsia="Calibri" w:hAnsi="Calibri" w:cs="Calibri"/>
        </w:rPr>
        <w:t>.</w:t>
      </w:r>
    </w:p>
    <w:p w14:paraId="357203B1" w14:textId="63785349" w:rsidR="00C077F1" w:rsidRDefault="00C077F1" w:rsidP="19F0E246">
      <w:pPr>
        <w:pStyle w:val="Heading4"/>
      </w:pPr>
      <w:r>
        <w:t>What would happen if I did take reasonable steps to prevent reversal would I still have to relinquish?</w:t>
      </w:r>
      <w:r w:rsidR="00B63EFF">
        <w:t xml:space="preserve"> </w:t>
      </w:r>
    </w:p>
    <w:p w14:paraId="2D772FA8" w14:textId="31F9AC83" w:rsidR="1569FF87" w:rsidRDefault="1569FF87" w:rsidP="62F714E9">
      <w:pPr>
        <w:spacing w:before="240" w:after="240"/>
        <w:rPr>
          <w:rFonts w:ascii="Calibri" w:eastAsia="Calibri" w:hAnsi="Calibri" w:cs="Calibri"/>
        </w:rPr>
      </w:pPr>
      <w:r w:rsidRPr="5AD1627F">
        <w:rPr>
          <w:rFonts w:ascii="Calibri" w:eastAsia="Calibri" w:hAnsi="Calibri" w:cs="Calibri"/>
        </w:rPr>
        <w:t>If a reversal of carbon sequestration occurs due to a natural disturbance or third</w:t>
      </w:r>
      <w:r w:rsidR="030B59FA" w:rsidRPr="5AD1627F">
        <w:rPr>
          <w:rFonts w:ascii="Calibri" w:eastAsia="Calibri" w:hAnsi="Calibri" w:cs="Calibri"/>
        </w:rPr>
        <w:t>-party</w:t>
      </w:r>
      <w:r w:rsidRPr="5AD1627F">
        <w:rPr>
          <w:rFonts w:ascii="Calibri" w:eastAsia="Calibri" w:hAnsi="Calibri" w:cs="Calibri"/>
        </w:rPr>
        <w:t xml:space="preserve"> conduct, the project proponent must, within a reasonable period, take reasonable steps to mitigate its impact to avoid relinquishment obligations. The imposition of any relinquishment requirement will depend on the effectiveness of the mitigation measures taken in view of the extent of the reversal that occurred.</w:t>
      </w:r>
    </w:p>
    <w:p w14:paraId="0FCE7DB9" w14:textId="0735156B" w:rsidR="7AC9FBEA" w:rsidRDefault="283A6984" w:rsidP="004E4578">
      <w:pPr>
        <w:spacing w:before="240" w:after="240"/>
        <w:rPr>
          <w:rFonts w:ascii="Calibri" w:eastAsia="Calibri" w:hAnsi="Calibri" w:cs="Calibri"/>
        </w:rPr>
      </w:pPr>
      <w:r w:rsidRPr="15441212">
        <w:rPr>
          <w:rFonts w:ascii="Calibri" w:eastAsia="Calibri" w:hAnsi="Calibri" w:cs="Calibri"/>
        </w:rPr>
        <w:t>Proponents of a vegetation-based sequestration project are required to provide the CER with a permanence plan which outlines actions they have taken and will take (or ensure landholders take) to protect the carbon sequestered and credited by the project for the permanence period. In the event of a reversal, undertaking the steps outlined in a permanence plan and keeping evidence of these actions will help proponents demonstrate that reasonable steps were taken to prevent the reversal.</w:t>
      </w:r>
    </w:p>
    <w:p w14:paraId="60106EEE" w14:textId="560DABDA" w:rsidR="1569FF87" w:rsidRDefault="1569FF87" w:rsidP="131DDEC7">
      <w:pPr>
        <w:spacing w:before="240" w:after="240"/>
        <w:rPr>
          <w:rFonts w:ascii="Calibri" w:eastAsia="Calibri" w:hAnsi="Calibri" w:cs="Calibri"/>
        </w:rPr>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will assess the reversal and the mitigation efforts carried out to determine </w:t>
      </w:r>
      <w:r w:rsidR="394A4132" w:rsidRPr="5415CACE">
        <w:rPr>
          <w:rFonts w:ascii="Calibri" w:eastAsia="Calibri" w:hAnsi="Calibri" w:cs="Calibri"/>
        </w:rPr>
        <w:t xml:space="preserve">and consider the extent to which the proponent has executed the actions set out in the permanence plan when assessing whether to require </w:t>
      </w:r>
      <w:r w:rsidR="394A4132" w:rsidRPr="7654B7F7">
        <w:rPr>
          <w:rFonts w:ascii="Calibri" w:eastAsia="Calibri" w:hAnsi="Calibri" w:cs="Calibri"/>
        </w:rPr>
        <w:t xml:space="preserve">relinquishment. </w:t>
      </w:r>
      <w:r w:rsidRPr="66F0CE50">
        <w:rPr>
          <w:rFonts w:ascii="Calibri" w:eastAsia="Calibri" w:hAnsi="Calibri" w:cs="Calibri"/>
        </w:rPr>
        <w:t xml:space="preserve"> </w:t>
      </w:r>
    </w:p>
    <w:p w14:paraId="132DF69B" w14:textId="4B072E60" w:rsidR="1569FF87" w:rsidRDefault="56AE53AE" w:rsidP="62F714E9">
      <w:pPr>
        <w:spacing w:before="240" w:after="240"/>
        <w:rPr>
          <w:rFonts w:ascii="Calibri" w:eastAsia="Calibri" w:hAnsi="Calibri" w:cs="Calibri"/>
        </w:rPr>
      </w:pPr>
      <w:r w:rsidRPr="66F0CE50">
        <w:rPr>
          <w:rFonts w:ascii="Calibri" w:eastAsia="Calibri" w:hAnsi="Calibri" w:cs="Calibri"/>
        </w:rPr>
        <w:t xml:space="preserve">If the </w:t>
      </w:r>
      <w:r w:rsidR="279021A3" w:rsidRPr="66F0CE50">
        <w:rPr>
          <w:rFonts w:ascii="Calibri" w:eastAsia="Calibri" w:hAnsi="Calibri" w:cs="Calibri"/>
        </w:rPr>
        <w:t>CER</w:t>
      </w:r>
      <w:r w:rsidR="1569FF87" w:rsidRPr="66F0CE50">
        <w:rPr>
          <w:rFonts w:ascii="Calibri" w:eastAsia="Calibri" w:hAnsi="Calibri" w:cs="Calibri"/>
        </w:rPr>
        <w:t xml:space="preserve"> is satisfied that the proponent has, within a reasonable period, taken reasonable steps to mitigate the impact of the natural disturbance or third</w:t>
      </w:r>
      <w:r w:rsidR="3A8F03BE" w:rsidRPr="15441212">
        <w:rPr>
          <w:rFonts w:ascii="Calibri" w:eastAsia="Calibri" w:hAnsi="Calibri" w:cs="Calibri"/>
        </w:rPr>
        <w:t>-</w:t>
      </w:r>
      <w:r w:rsidR="1569FF87" w:rsidRPr="66F0CE50">
        <w:rPr>
          <w:rFonts w:ascii="Calibri" w:eastAsia="Calibri" w:hAnsi="Calibri" w:cs="Calibri"/>
        </w:rPr>
        <w:t xml:space="preserve">party conduct on the project, the </w:t>
      </w:r>
      <w:r w:rsidR="279021A3" w:rsidRPr="66F0CE50">
        <w:rPr>
          <w:rFonts w:ascii="Calibri" w:eastAsia="Calibri" w:hAnsi="Calibri" w:cs="Calibri"/>
        </w:rPr>
        <w:t>CER</w:t>
      </w:r>
      <w:r w:rsidR="1569FF87" w:rsidRPr="66F0CE50">
        <w:rPr>
          <w:rFonts w:ascii="Calibri" w:eastAsia="Calibri" w:hAnsi="Calibri" w:cs="Calibri"/>
        </w:rPr>
        <w:t xml:space="preserve"> will not require ACCUs to be relinquished. The </w:t>
      </w:r>
      <w:r w:rsidR="279021A3" w:rsidRPr="66F0CE50">
        <w:rPr>
          <w:rFonts w:ascii="Calibri" w:eastAsia="Calibri" w:hAnsi="Calibri" w:cs="Calibri"/>
        </w:rPr>
        <w:t>CER</w:t>
      </w:r>
      <w:r w:rsidR="1569FF87" w:rsidRPr="66F0CE50">
        <w:rPr>
          <w:rFonts w:ascii="Calibri" w:eastAsia="Calibri" w:hAnsi="Calibri" w:cs="Calibri"/>
        </w:rPr>
        <w:t xml:space="preserve"> assesses this on a case-by-case basis.</w:t>
      </w:r>
    </w:p>
    <w:p w14:paraId="09774AC4" w14:textId="6A61C74A" w:rsidR="000E6BDE" w:rsidRDefault="015EC786" w:rsidP="19F0E246">
      <w:pPr>
        <w:rPr>
          <w:rFonts w:eastAsia="Calibri" w:cs="Calibri"/>
        </w:rPr>
      </w:pPr>
      <w:r w:rsidRPr="15441212">
        <w:rPr>
          <w:rFonts w:ascii="Calibri" w:eastAsia="Calibri" w:hAnsi="Calibri" w:cs="Calibri"/>
        </w:rPr>
        <w:t xml:space="preserve">For further guidance, refer to </w:t>
      </w:r>
      <w:hyperlink r:id="rId79">
        <w:r w:rsidR="44AC37DE" w:rsidRPr="15441212">
          <w:rPr>
            <w:rStyle w:val="Hyperlink"/>
            <w:rFonts w:eastAsia="Calibri" w:cs="Calibri"/>
          </w:rPr>
          <w:t>project reporting and audits</w:t>
        </w:r>
      </w:hyperlink>
      <w:r w:rsidR="44AC37DE" w:rsidRPr="15441212">
        <w:rPr>
          <w:rFonts w:ascii="Calibri" w:eastAsia="Calibri" w:hAnsi="Calibri" w:cs="Calibri"/>
        </w:rPr>
        <w:t xml:space="preserve">, </w:t>
      </w:r>
      <w:hyperlink r:id="rId80">
        <w:r w:rsidR="44AC37DE" w:rsidRPr="15441212">
          <w:rPr>
            <w:rStyle w:val="Hyperlink"/>
            <w:rFonts w:eastAsia="Calibri" w:cs="Calibri"/>
          </w:rPr>
          <w:t>reducing the risk of fire and preserving sequestered carbon in ACCU Scheme projects</w:t>
        </w:r>
      </w:hyperlink>
      <w:r w:rsidR="5E0646D1" w:rsidRPr="15441212">
        <w:rPr>
          <w:rFonts w:ascii="Calibri" w:eastAsia="Calibri" w:hAnsi="Calibri" w:cs="Calibri"/>
        </w:rPr>
        <w:t xml:space="preserve"> and </w:t>
      </w:r>
      <w:hyperlink r:id="rId81">
        <w:r w:rsidR="5E0646D1" w:rsidRPr="15441212">
          <w:rPr>
            <w:rStyle w:val="Hyperlink"/>
            <w:rFonts w:eastAsia="Calibri" w:cs="Calibri"/>
          </w:rPr>
          <w:t>permanence obligations</w:t>
        </w:r>
      </w:hyperlink>
      <w:r w:rsidR="5E0646D1" w:rsidRPr="15441212">
        <w:rPr>
          <w:rFonts w:ascii="Calibri" w:eastAsia="Calibri" w:hAnsi="Calibri" w:cs="Calibri"/>
        </w:rPr>
        <w:t xml:space="preserve">. </w:t>
      </w:r>
    </w:p>
    <w:p w14:paraId="387B8E3D" w14:textId="1EC7975C" w:rsidR="000E6BDE" w:rsidRDefault="7CF857A7" w:rsidP="19F0E246">
      <w:pPr>
        <w:pStyle w:val="Heading4"/>
        <w:spacing w:before="0" w:after="240"/>
      </w:pPr>
      <w:r>
        <w:t xml:space="preserve">If a vegetation project ceases reporting and then is subject to a reversal, do reporting obligations re-start until maximum carbon sequestration has been recovered?  </w:t>
      </w:r>
    </w:p>
    <w:p w14:paraId="49B4F0E8" w14:textId="72B5AB22"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t xml:space="preserve">If the project ceases reporting because of a declaration under section 77 of the CFI Act, being a declaration that the offsets report requirement does not apply, the reporting obligations do not restart if that declaration remains active. However, the proponent’s obligation to notify the CER of any significant reversal events remains in effect throughout the permanence period, regardless of whether the project is actively submitting offsets reports or has been permitted by the CER to cease reporting following approval of an </w:t>
      </w:r>
      <w:hyperlink r:id="rId82">
        <w:r w:rsidRPr="6020AF72">
          <w:rPr>
            <w:rStyle w:val="Hyperlink"/>
            <w:rFonts w:eastAsia="Calibri" w:cs="Calibri"/>
          </w:rPr>
          <w:t>application to stop reporting on a sequestration project</w:t>
        </w:r>
      </w:hyperlink>
      <w:r w:rsidRPr="6020AF72">
        <w:rPr>
          <w:rFonts w:ascii="Calibri" w:eastAsia="Calibri" w:hAnsi="Calibri" w:cs="Calibri"/>
          <w:szCs w:val="22"/>
        </w:rPr>
        <w:t>.</w:t>
      </w:r>
    </w:p>
    <w:p w14:paraId="246B27CD" w14:textId="501D573A"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lastRenderedPageBreak/>
        <w:t>Permanence obligations</w:t>
      </w:r>
      <w:r w:rsidR="00A72D05">
        <w:t xml:space="preserve"> – </w:t>
      </w:r>
      <w:r w:rsidRPr="6020AF72">
        <w:rPr>
          <w:rFonts w:ascii="Calibri" w:eastAsia="Calibri" w:hAnsi="Calibri" w:cs="Calibri"/>
          <w:szCs w:val="22"/>
        </w:rPr>
        <w:t>including notification and potential relinquishment of ACCUs</w:t>
      </w:r>
      <w:r w:rsidR="00A72D05">
        <w:t xml:space="preserve"> – </w:t>
      </w:r>
      <w:r w:rsidRPr="6020AF72">
        <w:rPr>
          <w:rFonts w:ascii="Calibri" w:eastAsia="Calibri" w:hAnsi="Calibri" w:cs="Calibri"/>
          <w:szCs w:val="22"/>
        </w:rPr>
        <w:t>are triggered by events that materially reduce carbon stocks, such as bushfire, drought, or land clearing. These obligations are not contingent on the project’s reporting cycle and must be fulfilled for the lifetime of the project.</w:t>
      </w:r>
    </w:p>
    <w:p w14:paraId="79EEB3C6" w14:textId="1221784C"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t>Additionally, depending on the nature of the reversal and the proponent’s mitigation efforts, the CER may require relinquishment of ACCUs to reflect any significant reversal.</w:t>
      </w:r>
    </w:p>
    <w:p w14:paraId="0A3A4BCB" w14:textId="7DF3CAEB" w:rsidR="000E6BDE" w:rsidRDefault="7BECBC99" w:rsidP="00786388">
      <w:pPr>
        <w:rPr>
          <w:rFonts w:ascii="Calibri" w:eastAsia="Calibri" w:hAnsi="Calibri" w:cs="Calibri"/>
        </w:rPr>
      </w:pPr>
      <w:r w:rsidRPr="6020AF72">
        <w:rPr>
          <w:rFonts w:ascii="Calibri" w:eastAsia="Calibri" w:hAnsi="Calibri" w:cs="Calibri"/>
          <w:szCs w:val="22"/>
        </w:rPr>
        <w:t xml:space="preserve">For further information, refer to </w:t>
      </w:r>
      <w:hyperlink r:id="rId83">
        <w:r w:rsidRPr="6020AF72">
          <w:rPr>
            <w:rStyle w:val="Hyperlink"/>
            <w:rFonts w:eastAsia="Calibri" w:cs="Calibri"/>
          </w:rPr>
          <w:t>project reporting and audits</w:t>
        </w:r>
      </w:hyperlink>
      <w:r w:rsidRPr="6020AF72">
        <w:rPr>
          <w:rFonts w:ascii="Calibri" w:eastAsia="Calibri" w:hAnsi="Calibri" w:cs="Calibri"/>
          <w:szCs w:val="22"/>
        </w:rPr>
        <w:t xml:space="preserve"> and </w:t>
      </w:r>
      <w:hyperlink r:id="rId84">
        <w:r w:rsidRPr="6020AF72">
          <w:rPr>
            <w:rStyle w:val="Hyperlink"/>
            <w:rFonts w:eastAsia="Calibri" w:cs="Calibri"/>
          </w:rPr>
          <w:t>post-crediting period obligations for sequestration projects</w:t>
        </w:r>
      </w:hyperlink>
      <w:r w:rsidRPr="6020AF72">
        <w:rPr>
          <w:rFonts w:ascii="Calibri" w:eastAsia="Calibri" w:hAnsi="Calibri" w:cs="Calibri"/>
          <w:szCs w:val="22"/>
        </w:rPr>
        <w:t>.</w:t>
      </w:r>
    </w:p>
    <w:p w14:paraId="2654E38B" w14:textId="3EA9C017" w:rsidR="00E32902" w:rsidRDefault="00E32902" w:rsidP="00786388">
      <w:pPr>
        <w:pStyle w:val="Heading4"/>
      </w:pPr>
      <w:r>
        <w:t>W</w:t>
      </w:r>
      <w:r w:rsidR="00330A8D">
        <w:t xml:space="preserve">here </w:t>
      </w:r>
      <w:r w:rsidR="54CC014A">
        <w:t xml:space="preserve">does </w:t>
      </w:r>
      <w:r w:rsidR="00330A8D">
        <w:t xml:space="preserve">the requirement to provide ongoing offsets reports </w:t>
      </w:r>
      <w:r w:rsidR="79382296">
        <w:t>sequestration projects after</w:t>
      </w:r>
      <w:r w:rsidR="00330A8D">
        <w:t xml:space="preserve"> the </w:t>
      </w:r>
      <w:r w:rsidR="79382296">
        <w:t>crediting</w:t>
      </w:r>
      <w:r w:rsidR="00330A8D">
        <w:t xml:space="preserve"> period comes from</w:t>
      </w:r>
      <w:r w:rsidR="7524408E">
        <w:t>?</w:t>
      </w:r>
    </w:p>
    <w:p w14:paraId="4A364970" w14:textId="0FBE018C" w:rsidR="00CF50CF" w:rsidRDefault="7524408E" w:rsidP="19F0E246">
      <w:pPr>
        <w:spacing w:before="240" w:after="240"/>
        <w:rPr>
          <w:rFonts w:ascii="Calibri" w:eastAsia="Calibri" w:hAnsi="Calibri" w:cs="Calibri"/>
        </w:rPr>
      </w:pPr>
      <w:r w:rsidRPr="66F0CE50">
        <w:rPr>
          <w:rFonts w:ascii="Calibri" w:eastAsia="Calibri" w:hAnsi="Calibri" w:cs="Calibri"/>
        </w:rPr>
        <w:t xml:space="preserve">The requirement to provide offsets reports </w:t>
      </w:r>
      <w:r w:rsidR="78BDD0FA" w:rsidRPr="767B1DC9">
        <w:rPr>
          <w:rFonts w:ascii="Calibri" w:eastAsia="Calibri" w:hAnsi="Calibri" w:cs="Calibri"/>
        </w:rPr>
        <w:t xml:space="preserve">after </w:t>
      </w:r>
      <w:r w:rsidR="78BDD0FA" w:rsidRPr="6CC7214A">
        <w:rPr>
          <w:rFonts w:ascii="Calibri" w:eastAsia="Calibri" w:hAnsi="Calibri" w:cs="Calibri"/>
        </w:rPr>
        <w:t xml:space="preserve">the crediting </w:t>
      </w:r>
      <w:r w:rsidRPr="66F0CE50">
        <w:rPr>
          <w:rFonts w:ascii="Calibri" w:eastAsia="Calibri" w:hAnsi="Calibri" w:cs="Calibri"/>
        </w:rPr>
        <w:t xml:space="preserve">period </w:t>
      </w:r>
      <w:r w:rsidR="00661EE0" w:rsidRPr="66F0CE50">
        <w:rPr>
          <w:rFonts w:ascii="Calibri" w:eastAsia="Calibri" w:hAnsi="Calibri" w:cs="Calibri"/>
        </w:rPr>
        <w:t>arises</w:t>
      </w:r>
      <w:r w:rsidRPr="66F0CE50">
        <w:rPr>
          <w:rFonts w:ascii="Calibri" w:eastAsia="Calibri" w:hAnsi="Calibri" w:cs="Calibri"/>
        </w:rPr>
        <w:t xml:space="preserve"> from the </w:t>
      </w:r>
      <w:r w:rsidRPr="15441212">
        <w:rPr>
          <w:rFonts w:ascii="Calibri" w:eastAsia="Calibri" w:hAnsi="Calibri" w:cs="Calibri"/>
          <w:i/>
        </w:rPr>
        <w:t>Carbon Credits (Carbon Farming Initiative) Act 2011</w:t>
      </w:r>
      <w:r w:rsidRPr="66F0CE50">
        <w:rPr>
          <w:rFonts w:ascii="Calibri" w:eastAsia="Calibri" w:hAnsi="Calibri" w:cs="Calibri"/>
        </w:rPr>
        <w:t>. Under this legislation, registered sequestration projects must continue to submit offsets reports at intervals of no more than five years</w:t>
      </w:r>
      <w:r w:rsidR="5FE5A2E4" w:rsidRPr="6D1A9268">
        <w:rPr>
          <w:rFonts w:ascii="Calibri" w:eastAsia="Calibri" w:hAnsi="Calibri" w:cs="Calibri"/>
        </w:rPr>
        <w:t>,</w:t>
      </w:r>
      <w:r w:rsidRPr="66F0CE50">
        <w:rPr>
          <w:rFonts w:ascii="Calibri" w:eastAsia="Calibri" w:hAnsi="Calibri" w:cs="Calibri"/>
        </w:rPr>
        <w:t xml:space="preserve"> regardless of whether the project is still generating ACCUs</w:t>
      </w:r>
      <w:r w:rsidRPr="15441212">
        <w:rPr>
          <w:rFonts w:ascii="Calibri" w:eastAsia="Calibri" w:hAnsi="Calibri" w:cs="Calibri"/>
        </w:rPr>
        <w:t>.</w:t>
      </w:r>
    </w:p>
    <w:p w14:paraId="44D9650B" w14:textId="072DC0FC" w:rsidR="00CF50CF" w:rsidRDefault="7524408E" w:rsidP="19F0E246">
      <w:pPr>
        <w:spacing w:before="240" w:after="240"/>
        <w:rPr>
          <w:rFonts w:ascii="Calibri" w:eastAsia="Calibri" w:hAnsi="Calibri" w:cs="Calibri"/>
        </w:rPr>
      </w:pPr>
      <w:r w:rsidRPr="66F0CE50">
        <w:rPr>
          <w:rFonts w:ascii="Calibri" w:eastAsia="Calibri" w:hAnsi="Calibri" w:cs="Calibri"/>
        </w:rPr>
        <w:t xml:space="preserve">This ongoing reporting obligation ensures that the </w:t>
      </w:r>
      <w:r w:rsidR="279021A3" w:rsidRPr="66F0CE50">
        <w:rPr>
          <w:rFonts w:ascii="Calibri" w:eastAsia="Calibri" w:hAnsi="Calibri" w:cs="Calibri"/>
        </w:rPr>
        <w:t>CER</w:t>
      </w:r>
      <w:r w:rsidRPr="66F0CE50">
        <w:rPr>
          <w:rFonts w:ascii="Calibri" w:eastAsia="Calibri" w:hAnsi="Calibri" w:cs="Calibri"/>
        </w:rPr>
        <w:t xml:space="preserve"> can monitor the maintenance of carbon stocks and verify compliance with permanence commitments. The requirement remains in effect </w:t>
      </w:r>
      <w:bookmarkStart w:id="12" w:name="_Int_XdwKBLmc"/>
      <w:r w:rsidRPr="66F0CE50">
        <w:rPr>
          <w:rFonts w:ascii="Calibri" w:eastAsia="Calibri" w:hAnsi="Calibri" w:cs="Calibri"/>
        </w:rPr>
        <w:t>as long as</w:t>
      </w:r>
      <w:bookmarkEnd w:id="12"/>
      <w:r w:rsidRPr="66F0CE50">
        <w:rPr>
          <w:rFonts w:ascii="Calibri" w:eastAsia="Calibri" w:hAnsi="Calibri" w:cs="Calibri"/>
        </w:rPr>
        <w:t xml:space="preserve"> the project is registered</w:t>
      </w:r>
      <w:r w:rsidR="00AF453C">
        <w:rPr>
          <w:rFonts w:ascii="Calibri" w:eastAsia="Calibri" w:hAnsi="Calibri" w:cs="Calibri"/>
        </w:rPr>
        <w:t xml:space="preserve">, or until the CER approves an </w:t>
      </w:r>
      <w:hyperlink r:id="rId85" w:history="1">
        <w:r w:rsidR="00AF453C" w:rsidRPr="007A1D31">
          <w:rPr>
            <w:rStyle w:val="Hyperlink"/>
            <w:rFonts w:eastAsia="Calibri" w:cs="Calibri"/>
          </w:rPr>
          <w:t xml:space="preserve">application </w:t>
        </w:r>
        <w:r w:rsidR="007A1D31" w:rsidRPr="007A1D31">
          <w:rPr>
            <w:rStyle w:val="Hyperlink"/>
            <w:rFonts w:eastAsia="Calibri" w:cs="Calibri"/>
          </w:rPr>
          <w:t>to stop reporting on a sequestration project</w:t>
        </w:r>
      </w:hyperlink>
      <w:r w:rsidR="007A1D31">
        <w:rPr>
          <w:rFonts w:ascii="Calibri" w:eastAsia="Calibri" w:hAnsi="Calibri" w:cs="Calibri"/>
        </w:rPr>
        <w:t xml:space="preserve"> because it had been demonstrated to have reached its maximum sequestration capacity</w:t>
      </w:r>
      <w:r w:rsidRPr="66F0CE50">
        <w:rPr>
          <w:rFonts w:ascii="Calibri" w:eastAsia="Calibri" w:hAnsi="Calibri" w:cs="Calibri"/>
        </w:rPr>
        <w:t>.</w:t>
      </w:r>
    </w:p>
    <w:p w14:paraId="5C6A4D5F" w14:textId="05B5DEF3" w:rsidR="00CF50CF" w:rsidRDefault="7524408E" w:rsidP="19F0E246">
      <w:pPr>
        <w:spacing w:before="240" w:after="240"/>
      </w:pPr>
      <w:r w:rsidRPr="15441212">
        <w:rPr>
          <w:rFonts w:ascii="Calibri" w:eastAsia="Calibri" w:hAnsi="Calibri" w:cs="Calibri"/>
        </w:rPr>
        <w:t>For further details, refer to</w:t>
      </w:r>
      <w:r w:rsidR="121F4797" w:rsidRPr="15441212">
        <w:rPr>
          <w:rFonts w:ascii="Calibri" w:eastAsia="Calibri" w:hAnsi="Calibri" w:cs="Calibri"/>
        </w:rPr>
        <w:t xml:space="preserve"> </w:t>
      </w:r>
      <w:hyperlink r:id="rId86">
        <w:r w:rsidR="121F4797" w:rsidRPr="15441212">
          <w:rPr>
            <w:rStyle w:val="Hyperlink"/>
            <w:rFonts w:eastAsia="Calibri" w:cs="Calibri"/>
          </w:rPr>
          <w:t>permanence obligations</w:t>
        </w:r>
      </w:hyperlink>
      <w:r w:rsidR="121F4797" w:rsidRPr="15441212">
        <w:rPr>
          <w:rFonts w:ascii="Calibri" w:eastAsia="Calibri" w:hAnsi="Calibri" w:cs="Calibri"/>
        </w:rPr>
        <w:t xml:space="preserve"> </w:t>
      </w:r>
      <w:r w:rsidR="00AF453C">
        <w:t>and</w:t>
      </w:r>
      <w:r w:rsidR="6877FB9B">
        <w:t xml:space="preserve"> </w:t>
      </w:r>
      <w:hyperlink r:id="rId87">
        <w:r w:rsidR="00A72D05">
          <w:rPr>
            <w:rStyle w:val="Hyperlink"/>
          </w:rPr>
          <w:t>post-crediting period obligations for sequestration projects</w:t>
        </w:r>
      </w:hyperlink>
      <w:r w:rsidR="00A72D05">
        <w:t>.</w:t>
      </w:r>
    </w:p>
    <w:p w14:paraId="25B79277" w14:textId="36BC85AA" w:rsidR="00FA018E" w:rsidRDefault="00F37DDD" w:rsidP="19F0E246">
      <w:pPr>
        <w:pStyle w:val="Heading4"/>
        <w:rPr>
          <w:color w:val="92D050"/>
        </w:rPr>
      </w:pPr>
      <w:r>
        <w:t>Is a grant of probate always required? What about joint tenancy and the right of survivorship?</w:t>
      </w:r>
    </w:p>
    <w:p w14:paraId="0C196CA6" w14:textId="72A70F1A" w:rsidR="118B8E8E" w:rsidRDefault="118B8E8E" w:rsidP="62F714E9">
      <w:pPr>
        <w:spacing w:before="240" w:after="240"/>
      </w:pPr>
      <w:r w:rsidRPr="66F0CE50">
        <w:rPr>
          <w:rFonts w:ascii="Calibri" w:eastAsia="Calibri" w:hAnsi="Calibri" w:cs="Calibri"/>
        </w:rPr>
        <w:t xml:space="preserve">Yes, the </w:t>
      </w:r>
      <w:r w:rsidR="279021A3" w:rsidRPr="66F0CE50">
        <w:rPr>
          <w:rFonts w:ascii="Calibri" w:eastAsia="Calibri" w:hAnsi="Calibri" w:cs="Calibri"/>
        </w:rPr>
        <w:t>CER</w:t>
      </w:r>
      <w:r w:rsidRPr="66F0CE50">
        <w:rPr>
          <w:rFonts w:ascii="Calibri" w:eastAsia="Calibri" w:hAnsi="Calibri" w:cs="Calibri"/>
        </w:rPr>
        <w:t xml:space="preserve"> will request a grant of probate or letters of administration to verify a person’s legal authority to manage a deceased person’s estate, including the executor or administrator’s interest in a registered project</w:t>
      </w:r>
      <w:r w:rsidRPr="00A72D05">
        <w:rPr>
          <w:rFonts w:ascii="Calibri" w:eastAsia="Calibri" w:hAnsi="Calibri" w:cs="Calibri"/>
        </w:rPr>
        <w:t>.</w:t>
      </w:r>
    </w:p>
    <w:p w14:paraId="1794C94C" w14:textId="113B0228" w:rsidR="118B8E8E" w:rsidRDefault="118B8E8E" w:rsidP="62F714E9">
      <w:pPr>
        <w:spacing w:before="240" w:after="240"/>
      </w:pPr>
      <w:r w:rsidRPr="66F0CE50">
        <w:rPr>
          <w:rFonts w:ascii="Calibri" w:eastAsia="Calibri" w:hAnsi="Calibri" w:cs="Calibri"/>
        </w:rPr>
        <w:t xml:space="preserve">Joint tenancy and the right of survivorship may result in the ownership of assets related to the project, such as the project land, automatically changing on the proponent’s passing. However, these principles may not necessarily result in the legal right to carry out the project being transferred from the project proponent. Additionally, it does not change the project proponent on the declaration, which can only change on application to and approval by the </w:t>
      </w:r>
      <w:r w:rsidR="279021A3" w:rsidRPr="66F0CE50">
        <w:rPr>
          <w:rFonts w:ascii="Calibri" w:eastAsia="Calibri" w:hAnsi="Calibri" w:cs="Calibri"/>
        </w:rPr>
        <w:t>CER</w:t>
      </w:r>
      <w:r w:rsidR="778134B0" w:rsidRPr="66F0CE50">
        <w:rPr>
          <w:rFonts w:ascii="Calibri" w:eastAsia="Calibri" w:hAnsi="Calibri" w:cs="Calibri"/>
        </w:rPr>
        <w:t xml:space="preserve">. </w:t>
      </w:r>
    </w:p>
    <w:p w14:paraId="2859B6E5" w14:textId="2E4C5B06" w:rsidR="118B8E8E" w:rsidRDefault="118B8E8E" w:rsidP="62F714E9">
      <w:pPr>
        <w:spacing w:before="240" w:after="240"/>
      </w:pPr>
      <w:r w:rsidRPr="66F0CE50">
        <w:rPr>
          <w:rFonts w:ascii="Calibri" w:eastAsia="Calibri" w:hAnsi="Calibri" w:cs="Calibri"/>
        </w:rPr>
        <w:t xml:space="preserve">Therefore, the </w:t>
      </w:r>
      <w:r w:rsidR="279021A3" w:rsidRPr="66F0CE50">
        <w:rPr>
          <w:rFonts w:ascii="Calibri" w:eastAsia="Calibri" w:hAnsi="Calibri" w:cs="Calibri"/>
        </w:rPr>
        <w:t>CER</w:t>
      </w:r>
      <w:r w:rsidRPr="66F0CE50">
        <w:rPr>
          <w:rFonts w:ascii="Calibri" w:eastAsia="Calibri" w:hAnsi="Calibri" w:cs="Calibri"/>
        </w:rPr>
        <w:t xml:space="preserve"> requires evidence</w:t>
      </w:r>
      <w:r w:rsidR="00A72D05">
        <w:t xml:space="preserve"> – </w:t>
      </w:r>
      <w:r w:rsidRPr="66F0CE50">
        <w:rPr>
          <w:rFonts w:ascii="Calibri" w:eastAsia="Calibri" w:hAnsi="Calibri" w:cs="Calibri"/>
        </w:rPr>
        <w:t>typically a grant of probate or letters of administration</w:t>
      </w:r>
      <w:r w:rsidR="00A72D05">
        <w:t xml:space="preserve"> – </w:t>
      </w:r>
      <w:r w:rsidRPr="66F0CE50">
        <w:rPr>
          <w:rFonts w:ascii="Calibri" w:eastAsia="Calibri" w:hAnsi="Calibri" w:cs="Calibri"/>
        </w:rPr>
        <w:t xml:space="preserve">to confirm who is legally entitled to act on behalf of the deceased in relation to the project. Without a grant of probate or letters of administration, the </w:t>
      </w:r>
      <w:r w:rsidR="279021A3" w:rsidRPr="66F0CE50">
        <w:rPr>
          <w:rFonts w:ascii="Calibri" w:eastAsia="Calibri" w:hAnsi="Calibri" w:cs="Calibri"/>
        </w:rPr>
        <w:t>CER</w:t>
      </w:r>
      <w:r w:rsidRPr="66F0CE50">
        <w:rPr>
          <w:rFonts w:ascii="Calibri" w:eastAsia="Calibri" w:hAnsi="Calibri" w:cs="Calibri"/>
        </w:rPr>
        <w:t xml:space="preserve"> cannot process changes to the project declaration.</w:t>
      </w:r>
    </w:p>
    <w:p w14:paraId="54475878" w14:textId="2C65D5D5" w:rsidR="118B8E8E" w:rsidRDefault="118B8E8E" w:rsidP="62F714E9">
      <w:pPr>
        <w:spacing w:before="240" w:after="240"/>
      </w:pPr>
      <w:r w:rsidRPr="66F0CE50">
        <w:rPr>
          <w:rFonts w:ascii="Calibri" w:eastAsia="Calibri" w:hAnsi="Calibri" w:cs="Calibri"/>
        </w:rPr>
        <w:t xml:space="preserve">Wills and estate law vary across each State and Territory. We suggest you seek independent advice and get in touch with the </w:t>
      </w:r>
      <w:r w:rsidR="279021A3" w:rsidRPr="66F0CE50">
        <w:rPr>
          <w:rFonts w:ascii="Calibri" w:eastAsia="Calibri" w:hAnsi="Calibri" w:cs="Calibri"/>
        </w:rPr>
        <w:t>CER</w:t>
      </w:r>
      <w:r w:rsidRPr="66F0CE50">
        <w:rPr>
          <w:rFonts w:ascii="Calibri" w:eastAsia="Calibri" w:hAnsi="Calibri" w:cs="Calibri"/>
        </w:rPr>
        <w:t xml:space="preserve"> to discuss your individual situation. </w:t>
      </w:r>
    </w:p>
    <w:p w14:paraId="1F8389AD" w14:textId="677C10A4" w:rsidR="62F714E9" w:rsidRDefault="5FBF5608" w:rsidP="62F714E9">
      <w:r w:rsidRPr="15441212">
        <w:rPr>
          <w:rFonts w:ascii="Calibri" w:eastAsia="Calibri" w:hAnsi="Calibri" w:cs="Calibri"/>
        </w:rPr>
        <w:t>For more information, refer to</w:t>
      </w:r>
      <w:r w:rsidR="5D3D894C" w:rsidRPr="15441212">
        <w:rPr>
          <w:rFonts w:ascii="Calibri" w:eastAsia="Calibri" w:hAnsi="Calibri" w:cs="Calibri"/>
        </w:rPr>
        <w:t xml:space="preserve"> </w:t>
      </w:r>
      <w:hyperlink r:id="rId88">
        <w:r w:rsidR="5D3D894C" w:rsidRPr="15441212">
          <w:rPr>
            <w:rStyle w:val="Hyperlink"/>
            <w:rFonts w:eastAsia="Calibri" w:cs="Calibri"/>
          </w:rPr>
          <w:t>legal right and native title</w:t>
        </w:r>
      </w:hyperlink>
      <w:r w:rsidR="00C111FD">
        <w:t xml:space="preserve"> and</w:t>
      </w:r>
      <w:r w:rsidR="5FF98BED">
        <w:t xml:space="preserve"> </w:t>
      </w:r>
      <w:hyperlink r:id="rId89">
        <w:r w:rsidR="5FF98BED" w:rsidRPr="15441212">
          <w:rPr>
            <w:rStyle w:val="Hyperlink"/>
          </w:rPr>
          <w:t>Estate management for executors</w:t>
        </w:r>
      </w:hyperlink>
      <w:r w:rsidR="5FF98BED">
        <w:t xml:space="preserve">. </w:t>
      </w:r>
    </w:p>
    <w:p w14:paraId="4D0022F5" w14:textId="6C1931DB" w:rsidR="00EB3F41" w:rsidRDefault="00EB3F41" w:rsidP="00EB3F41">
      <w:pPr>
        <w:pStyle w:val="Heading4"/>
      </w:pPr>
      <w:r>
        <w:t xml:space="preserve">Could you share examples of how developers utilize land and generate revenue during the post-crediting permanence period? For a 100-year project on purchased land (freehold), it is </w:t>
      </w:r>
      <w:r>
        <w:lastRenderedPageBreak/>
        <w:t>concerned that after the 25-year crediting period ends, cash inflows stop while maintenance of land and forest must continue</w:t>
      </w:r>
      <w:r w:rsidR="00A72D05">
        <w:t xml:space="preserve"> – </w:t>
      </w:r>
      <w:r>
        <w:t xml:space="preserve">how is this usually addressed? </w:t>
      </w:r>
    </w:p>
    <w:p w14:paraId="0B570BE2" w14:textId="38BEFBCC" w:rsidR="00EB3F41" w:rsidRDefault="0F5044FF" w:rsidP="62F714E9">
      <w:pPr>
        <w:spacing w:before="240"/>
      </w:pPr>
      <w:r w:rsidRPr="11077323">
        <w:rPr>
          <w:rFonts w:ascii="Aptos" w:eastAsia="Aptos" w:hAnsi="Aptos" w:cs="Aptos"/>
        </w:rPr>
        <w:t xml:space="preserve">The </w:t>
      </w:r>
      <w:r w:rsidR="279021A3" w:rsidRPr="66F0CE50">
        <w:rPr>
          <w:rFonts w:ascii="Aptos" w:eastAsia="Aptos" w:hAnsi="Aptos" w:cs="Aptos"/>
        </w:rPr>
        <w:t>CER</w:t>
      </w:r>
      <w:r w:rsidRPr="11077323">
        <w:rPr>
          <w:rFonts w:ascii="Aptos" w:eastAsia="Aptos" w:hAnsi="Aptos" w:cs="Aptos"/>
        </w:rPr>
        <w:t xml:space="preserve"> does not provide financial advice, business models, or re</w:t>
      </w:r>
      <w:r w:rsidR="20CD3A22" w:rsidRPr="11077323">
        <w:rPr>
          <w:rFonts w:ascii="Aptos" w:eastAsia="Aptos" w:hAnsi="Aptos" w:cs="Aptos"/>
        </w:rPr>
        <w:t xml:space="preserve">venue-generating </w:t>
      </w:r>
      <w:r w:rsidR="45BD0C4A" w:rsidRPr="11077323">
        <w:rPr>
          <w:rFonts w:ascii="Aptos" w:eastAsia="Aptos" w:hAnsi="Aptos" w:cs="Aptos"/>
        </w:rPr>
        <w:t>strategies</w:t>
      </w:r>
      <w:r w:rsidR="20CD3A22" w:rsidRPr="33865CB4">
        <w:rPr>
          <w:rFonts w:ascii="Aptos" w:eastAsia="Aptos" w:hAnsi="Aptos" w:cs="Aptos"/>
        </w:rPr>
        <w:t>.</w:t>
      </w:r>
      <w:r w:rsidR="20CD3A22" w:rsidRPr="11077323">
        <w:rPr>
          <w:rFonts w:ascii="Aptos" w:eastAsia="Aptos" w:hAnsi="Aptos" w:cs="Aptos"/>
        </w:rPr>
        <w:t xml:space="preserve"> It is the responsibility of the project proponent to plan for long term sustainability of their projects, including how they</w:t>
      </w:r>
      <w:r w:rsidR="57322CAE" w:rsidRPr="11077323">
        <w:rPr>
          <w:rFonts w:ascii="Aptos" w:eastAsia="Aptos" w:hAnsi="Aptos" w:cs="Aptos"/>
        </w:rPr>
        <w:t xml:space="preserve"> will fund ongoing monitoring and maintenance once crediting ends.</w:t>
      </w:r>
    </w:p>
    <w:p w14:paraId="5869763C" w14:textId="791F8D67" w:rsidR="00694D83" w:rsidRDefault="2C315717" w:rsidP="11077323">
      <w:pPr>
        <w:spacing w:before="240"/>
      </w:pPr>
      <w:r w:rsidRPr="62F714E9">
        <w:rPr>
          <w:rFonts w:ascii="Aptos" w:eastAsia="Aptos" w:hAnsi="Aptos" w:cs="Aptos"/>
          <w:szCs w:val="22"/>
        </w:rPr>
        <w:t>For financial planning and alternative revenue strategies, project proponents typically seek advice from carbon service providers, consultant</w:t>
      </w:r>
      <w:r w:rsidR="58811ED9" w:rsidRPr="62F714E9">
        <w:rPr>
          <w:rFonts w:ascii="Aptos" w:eastAsia="Aptos" w:hAnsi="Aptos" w:cs="Aptos"/>
          <w:szCs w:val="22"/>
        </w:rPr>
        <w:t>s, or legal and financial advisors.</w:t>
      </w:r>
    </w:p>
    <w:p w14:paraId="07FD81CE" w14:textId="74F890EB" w:rsidR="15441212" w:rsidRDefault="00694D83" w:rsidP="00786388">
      <w:pPr>
        <w:spacing w:before="240"/>
      </w:pPr>
      <w:r w:rsidRPr="15441212">
        <w:rPr>
          <w:rFonts w:ascii="Calibri" w:eastAsia="Calibri" w:hAnsi="Calibri" w:cs="Calibri"/>
        </w:rPr>
        <w:t>For more information, refer to</w:t>
      </w:r>
      <w:r w:rsidR="6C7B3D6E" w:rsidRPr="15441212">
        <w:rPr>
          <w:rFonts w:ascii="Calibri" w:eastAsia="Calibri" w:hAnsi="Calibri" w:cs="Calibri"/>
        </w:rPr>
        <w:t xml:space="preserve"> </w:t>
      </w:r>
      <w:hyperlink r:id="rId90">
        <w:r w:rsidR="27A36FEC" w:rsidRPr="15441212">
          <w:rPr>
            <w:rStyle w:val="Hyperlink"/>
            <w:rFonts w:eastAsia="Calibri" w:cs="Calibri"/>
          </w:rPr>
          <w:t>legal right and native title</w:t>
        </w:r>
      </w:hyperlink>
      <w:r w:rsidR="27A36FEC">
        <w:t xml:space="preserve"> </w:t>
      </w:r>
      <w:r w:rsidR="00BF7708">
        <w:t xml:space="preserve">and </w:t>
      </w:r>
      <w:hyperlink r:id="rId91">
        <w:r w:rsidR="00A72D05">
          <w:rPr>
            <w:rStyle w:val="Hyperlink"/>
          </w:rPr>
          <w:t>post-crediting period obligations for sequestration projects</w:t>
        </w:r>
      </w:hyperlink>
      <w:r w:rsidR="00A72D05">
        <w:t>.</w:t>
      </w:r>
    </w:p>
    <w:p w14:paraId="08F1E156" w14:textId="400466DF" w:rsidR="00FA018E" w:rsidRPr="00FA018E" w:rsidRDefault="1A8B865B" w:rsidP="19F0E246">
      <w:pPr>
        <w:pStyle w:val="Heading4"/>
        <w:spacing w:before="0" w:after="240"/>
      </w:pPr>
      <w:r>
        <w:t xml:space="preserve">In relation to the suggestion that a sale contract must transfer legal right, does this not automatically transfer upon settlement of the sale (given that from this date the buyer </w:t>
      </w:r>
      <w:bookmarkStart w:id="13" w:name="_Int_uRHai33V"/>
      <w:proofErr w:type="gramStart"/>
      <w:r>
        <w:t>has the ability to</w:t>
      </w:r>
      <w:bookmarkEnd w:id="13"/>
      <w:proofErr w:type="gramEnd"/>
      <w:r>
        <w:t xml:space="preserve"> conduct the project, as they then own the land)? </w:t>
      </w:r>
    </w:p>
    <w:p w14:paraId="01C0205D" w14:textId="366AC8C1" w:rsidR="007E07C1" w:rsidRDefault="14B0CF7A" w:rsidP="62F714E9">
      <w:pPr>
        <w:spacing w:after="240"/>
      </w:pPr>
      <w:r w:rsidRPr="62F714E9">
        <w:rPr>
          <w:rFonts w:ascii="Calibri" w:eastAsia="Calibri" w:hAnsi="Calibri" w:cs="Calibri"/>
          <w:szCs w:val="22"/>
        </w:rPr>
        <w:t xml:space="preserve">It depends on the terms of the sale contract whether the buyer holds legal right on settlement. Ownership of the land may, but does not necessarily, mean that the buyer holds legal right. The right to carry out the project can be reserved by mutual agreement to remain with the seller post-settlement for an agreed period, notwithstanding that the buyer obtains title to the land. There are several possibilities, and it is up to the parties to the sale contract to provide for them in accordance with their requirements.  </w:t>
      </w:r>
    </w:p>
    <w:p w14:paraId="748B89D6" w14:textId="0AD37652" w:rsidR="62F714E9" w:rsidRDefault="007E07C1" w:rsidP="15441212">
      <w:pPr>
        <w:pStyle w:val="BodyText1"/>
        <w:spacing w:after="240"/>
        <w:rPr>
          <w:rStyle w:val="Hyperlink"/>
          <w:rFonts w:eastAsia="Calibri" w:cs="Calibri"/>
        </w:rPr>
      </w:pPr>
      <w:r w:rsidRPr="15441212">
        <w:rPr>
          <w:rFonts w:ascii="Calibri" w:eastAsia="Calibri" w:hAnsi="Calibri" w:cs="Calibri"/>
        </w:rPr>
        <w:t>For more information, refer to</w:t>
      </w:r>
      <w:r w:rsidR="31843BF1" w:rsidRPr="15441212">
        <w:rPr>
          <w:rFonts w:ascii="Calibri" w:eastAsia="Calibri" w:hAnsi="Calibri" w:cs="Calibri"/>
        </w:rPr>
        <w:t xml:space="preserve"> </w:t>
      </w:r>
      <w:hyperlink r:id="rId92">
        <w:r w:rsidR="15441212" w:rsidRPr="15441212">
          <w:rPr>
            <w:rStyle w:val="Hyperlink"/>
            <w:rFonts w:eastAsia="Calibri" w:cs="Calibri"/>
          </w:rPr>
          <w:t>legal right and native title</w:t>
        </w:r>
      </w:hyperlink>
      <w:r w:rsidR="15441212">
        <w:t xml:space="preserve"> and </w:t>
      </w:r>
      <w:hyperlink r:id="rId93">
        <w:r w:rsidR="15441212" w:rsidRPr="15441212">
          <w:rPr>
            <w:rStyle w:val="Hyperlink"/>
            <w:rFonts w:eastAsia="Calibri" w:cs="Calibri"/>
          </w:rPr>
          <w:t>selling or buying ACCU Scheme project property</w:t>
        </w:r>
      </w:hyperlink>
      <w:r w:rsidR="15441212" w:rsidRPr="15441212">
        <w:rPr>
          <w:rFonts w:ascii="Calibri" w:eastAsia="Calibri" w:hAnsi="Calibri" w:cs="Calibri"/>
        </w:rPr>
        <w:t>.</w:t>
      </w:r>
    </w:p>
    <w:p w14:paraId="7A08F026" w14:textId="6A44C09E" w:rsidR="15441212" w:rsidRDefault="15441212" w:rsidP="15441212">
      <w:pPr>
        <w:pStyle w:val="BodyText1"/>
        <w:rPr>
          <w:rFonts w:ascii="Calibri" w:eastAsia="Calibri" w:hAnsi="Calibri" w:cs="Calibri"/>
        </w:rPr>
      </w:pPr>
    </w:p>
    <w:p w14:paraId="4A48C5D8" w14:textId="4D3FCDD0" w:rsidR="00AD59C6" w:rsidRDefault="750D29D0" w:rsidP="00786388">
      <w:pPr>
        <w:pStyle w:val="CERbullets"/>
        <w:numPr>
          <w:ilvl w:val="0"/>
          <w:numId w:val="0"/>
        </w:numPr>
      </w:pPr>
      <w:r w:rsidRPr="62F714E9">
        <w:rPr>
          <w:b/>
        </w:rPr>
        <w:t>If this webinar has raised any questions about your specific project, feel free to reach out to your assessment team or contact us through our enquiries</w:t>
      </w:r>
      <w:r w:rsidR="00A72D05">
        <w:rPr>
          <w:b/>
        </w:rPr>
        <w:t xml:space="preserve"> </w:t>
      </w:r>
      <w:r w:rsidRPr="62F714E9">
        <w:rPr>
          <w:b/>
        </w:rPr>
        <w:t xml:space="preserve">mailbox at </w:t>
      </w:r>
      <w:hyperlink r:id="rId94">
        <w:r w:rsidRPr="62F714E9">
          <w:rPr>
            <w:rStyle w:val="Hyperlink"/>
            <w:rFonts w:asciiTheme="majorHAnsi" w:hAnsiTheme="majorHAnsi"/>
          </w:rPr>
          <w:t>enquiries@cer.gov.au</w:t>
        </w:r>
      </w:hyperlink>
      <w:r>
        <w:t>.</w:t>
      </w:r>
    </w:p>
    <w:sectPr w:rsidR="00AD59C6" w:rsidSect="00E349EF">
      <w:headerReference w:type="default" r:id="rId95"/>
      <w:footerReference w:type="even" r:id="rId96"/>
      <w:footerReference w:type="default" r:id="rId97"/>
      <w:headerReference w:type="first" r:id="rId98"/>
      <w:footerReference w:type="first" r:id="rId9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4073" w14:textId="77777777" w:rsidR="00FC1C12" w:rsidRDefault="00FC1C12" w:rsidP="00176C28">
      <w:r>
        <w:separator/>
      </w:r>
    </w:p>
    <w:p w14:paraId="499C58EA" w14:textId="77777777" w:rsidR="00FC1C12" w:rsidRDefault="00FC1C12"/>
  </w:endnote>
  <w:endnote w:type="continuationSeparator" w:id="0">
    <w:p w14:paraId="77C59F1D" w14:textId="77777777" w:rsidR="00FC1C12" w:rsidRDefault="00FC1C12" w:rsidP="00176C28">
      <w:r>
        <w:continuationSeparator/>
      </w:r>
    </w:p>
    <w:p w14:paraId="7376209B" w14:textId="77777777" w:rsidR="00FC1C12" w:rsidRDefault="00FC1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AE6AD50"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3BB24" w14:textId="77777777" w:rsidR="00977234" w:rsidRDefault="00977234" w:rsidP="009633DE">
    <w:pPr>
      <w:pStyle w:val="Footer"/>
      <w:ind w:right="360"/>
      <w:rPr>
        <w:rStyle w:val="PageNumber"/>
      </w:rPr>
    </w:pPr>
  </w:p>
  <w:p w14:paraId="747F2F43" w14:textId="77777777" w:rsidR="00977234" w:rsidRDefault="00977234" w:rsidP="009633DE">
    <w:pPr>
      <w:pStyle w:val="Footer"/>
    </w:pPr>
  </w:p>
  <w:p w14:paraId="4E451FB7"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CD8"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9D17D33" w14:textId="59A2EBB9"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355"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B0ED956" wp14:editId="03B4B3CE">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6A606F06" w14:textId="5A39FAF6"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85D0" w14:textId="77777777" w:rsidR="00FC1C12" w:rsidRDefault="00FC1C12" w:rsidP="00176C28">
      <w:r>
        <w:separator/>
      </w:r>
    </w:p>
    <w:p w14:paraId="63D42FE3" w14:textId="77777777" w:rsidR="00FC1C12" w:rsidRDefault="00FC1C12"/>
  </w:footnote>
  <w:footnote w:type="continuationSeparator" w:id="0">
    <w:p w14:paraId="0BCED2F3" w14:textId="77777777" w:rsidR="00FC1C12" w:rsidRDefault="00FC1C12" w:rsidP="00176C28">
      <w:r>
        <w:continuationSeparator/>
      </w:r>
    </w:p>
    <w:p w14:paraId="187F5B65" w14:textId="77777777" w:rsidR="00FC1C12" w:rsidRDefault="00FC1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1AA" w14:textId="420BCC21" w:rsidR="00D81782" w:rsidRDefault="00D81782" w:rsidP="00977234">
    <w:pPr>
      <w:pStyle w:val="Heading5"/>
      <w:tabs>
        <w:tab w:val="center" w:pos="4870"/>
        <w:tab w:val="left" w:pos="8745"/>
      </w:tabs>
      <w:spacing w:before="200" w:after="60"/>
      <w:jc w:val="center"/>
    </w:pPr>
  </w:p>
  <w:p w14:paraId="15741ECF"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0BCB2F09" wp14:editId="0CD83028">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F6FA" w14:textId="217B15E2"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CBC37BC" wp14:editId="3BB312E5">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07249F4E" w14:textId="77777777" w:rsidR="003D3FC1" w:rsidRPr="00BE0DA3" w:rsidRDefault="003D3FC1" w:rsidP="003D3FC1">
    <w:pPr>
      <w:pStyle w:val="LegislativesecrecyACT"/>
    </w:pPr>
  </w:p>
  <w:p w14:paraId="23001595" w14:textId="77777777" w:rsidR="00CA2954" w:rsidRPr="003D3FC1" w:rsidRDefault="003D3FC1" w:rsidP="003D3FC1">
    <w:pPr>
      <w:pStyle w:val="Header"/>
      <w:spacing w:before="240"/>
    </w:pPr>
    <w:r>
      <w:rPr>
        <w:noProof/>
      </w:rPr>
      <w:drawing>
        <wp:inline distT="0" distB="0" distL="0" distR="0" wp14:anchorId="5FE8AEBC" wp14:editId="7C845070">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BDF5"/>
    <w:multiLevelType w:val="hybridMultilevel"/>
    <w:tmpl w:val="DC0A28B6"/>
    <w:lvl w:ilvl="0" w:tplc="1B60B088">
      <w:start w:val="1"/>
      <w:numFmt w:val="bullet"/>
      <w:lvlText w:val=""/>
      <w:lvlJc w:val="left"/>
      <w:pPr>
        <w:ind w:left="720" w:hanging="360"/>
      </w:pPr>
      <w:rPr>
        <w:rFonts w:ascii="Symbol" w:hAnsi="Symbol" w:hint="default"/>
      </w:rPr>
    </w:lvl>
    <w:lvl w:ilvl="1" w:tplc="DE3C2430">
      <w:start w:val="1"/>
      <w:numFmt w:val="bullet"/>
      <w:lvlText w:val="o"/>
      <w:lvlJc w:val="left"/>
      <w:pPr>
        <w:ind w:left="1440" w:hanging="360"/>
      </w:pPr>
      <w:rPr>
        <w:rFonts w:ascii="Courier New" w:hAnsi="Courier New" w:hint="default"/>
      </w:rPr>
    </w:lvl>
    <w:lvl w:ilvl="2" w:tplc="9B94EE84">
      <w:start w:val="1"/>
      <w:numFmt w:val="bullet"/>
      <w:lvlText w:val=""/>
      <w:lvlJc w:val="left"/>
      <w:pPr>
        <w:ind w:left="2160" w:hanging="360"/>
      </w:pPr>
      <w:rPr>
        <w:rFonts w:ascii="Wingdings" w:hAnsi="Wingdings" w:hint="default"/>
      </w:rPr>
    </w:lvl>
    <w:lvl w:ilvl="3" w:tplc="E460CBDC">
      <w:start w:val="1"/>
      <w:numFmt w:val="bullet"/>
      <w:lvlText w:val=""/>
      <w:lvlJc w:val="left"/>
      <w:pPr>
        <w:ind w:left="2880" w:hanging="360"/>
      </w:pPr>
      <w:rPr>
        <w:rFonts w:ascii="Symbol" w:hAnsi="Symbol" w:hint="default"/>
      </w:rPr>
    </w:lvl>
    <w:lvl w:ilvl="4" w:tplc="40F41AD6">
      <w:start w:val="1"/>
      <w:numFmt w:val="bullet"/>
      <w:lvlText w:val="o"/>
      <w:lvlJc w:val="left"/>
      <w:pPr>
        <w:ind w:left="3600" w:hanging="360"/>
      </w:pPr>
      <w:rPr>
        <w:rFonts w:ascii="Courier New" w:hAnsi="Courier New" w:hint="default"/>
      </w:rPr>
    </w:lvl>
    <w:lvl w:ilvl="5" w:tplc="09DEE08E">
      <w:start w:val="1"/>
      <w:numFmt w:val="bullet"/>
      <w:lvlText w:val=""/>
      <w:lvlJc w:val="left"/>
      <w:pPr>
        <w:ind w:left="4320" w:hanging="360"/>
      </w:pPr>
      <w:rPr>
        <w:rFonts w:ascii="Wingdings" w:hAnsi="Wingdings" w:hint="default"/>
      </w:rPr>
    </w:lvl>
    <w:lvl w:ilvl="6" w:tplc="5120C9C2">
      <w:start w:val="1"/>
      <w:numFmt w:val="bullet"/>
      <w:lvlText w:val=""/>
      <w:lvlJc w:val="left"/>
      <w:pPr>
        <w:ind w:left="5040" w:hanging="360"/>
      </w:pPr>
      <w:rPr>
        <w:rFonts w:ascii="Symbol" w:hAnsi="Symbol" w:hint="default"/>
      </w:rPr>
    </w:lvl>
    <w:lvl w:ilvl="7" w:tplc="9AF2AB4C">
      <w:start w:val="1"/>
      <w:numFmt w:val="bullet"/>
      <w:lvlText w:val="o"/>
      <w:lvlJc w:val="left"/>
      <w:pPr>
        <w:ind w:left="5760" w:hanging="360"/>
      </w:pPr>
      <w:rPr>
        <w:rFonts w:ascii="Courier New" w:hAnsi="Courier New" w:hint="default"/>
      </w:rPr>
    </w:lvl>
    <w:lvl w:ilvl="8" w:tplc="2E4A221E">
      <w:start w:val="1"/>
      <w:numFmt w:val="bullet"/>
      <w:lvlText w:val=""/>
      <w:lvlJc w:val="left"/>
      <w:pPr>
        <w:ind w:left="6480" w:hanging="360"/>
      </w:pPr>
      <w:rPr>
        <w:rFonts w:ascii="Wingdings" w:hAnsi="Wingdings" w:hint="default"/>
      </w:rPr>
    </w:lvl>
  </w:abstractNum>
  <w:abstractNum w:abstractNumId="1" w15:restartNumberingAfterBreak="0">
    <w:nsid w:val="15226DB8"/>
    <w:multiLevelType w:val="multilevel"/>
    <w:tmpl w:val="D2F6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D02D0"/>
    <w:multiLevelType w:val="hybridMultilevel"/>
    <w:tmpl w:val="283E4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2D6C00"/>
    <w:multiLevelType w:val="hybridMultilevel"/>
    <w:tmpl w:val="7B061D88"/>
    <w:lvl w:ilvl="0" w:tplc="60483870">
      <w:start w:val="1"/>
      <w:numFmt w:val="bullet"/>
      <w:lvlText w:val=""/>
      <w:lvlJc w:val="left"/>
      <w:pPr>
        <w:ind w:left="720" w:hanging="360"/>
      </w:pPr>
      <w:rPr>
        <w:rFonts w:ascii="Symbol" w:hAnsi="Symbol" w:hint="default"/>
      </w:rPr>
    </w:lvl>
    <w:lvl w:ilvl="1" w:tplc="B32E7FD0">
      <w:start w:val="1"/>
      <w:numFmt w:val="bullet"/>
      <w:lvlText w:val="o"/>
      <w:lvlJc w:val="left"/>
      <w:pPr>
        <w:ind w:left="1440" w:hanging="360"/>
      </w:pPr>
      <w:rPr>
        <w:rFonts w:ascii="Courier New" w:hAnsi="Courier New" w:hint="default"/>
      </w:rPr>
    </w:lvl>
    <w:lvl w:ilvl="2" w:tplc="AB381EB2">
      <w:start w:val="1"/>
      <w:numFmt w:val="bullet"/>
      <w:lvlText w:val=""/>
      <w:lvlJc w:val="left"/>
      <w:pPr>
        <w:ind w:left="2160" w:hanging="360"/>
      </w:pPr>
      <w:rPr>
        <w:rFonts w:ascii="Wingdings" w:hAnsi="Wingdings" w:hint="default"/>
      </w:rPr>
    </w:lvl>
    <w:lvl w:ilvl="3" w:tplc="0F989FE6">
      <w:start w:val="1"/>
      <w:numFmt w:val="bullet"/>
      <w:lvlText w:val=""/>
      <w:lvlJc w:val="left"/>
      <w:pPr>
        <w:ind w:left="2880" w:hanging="360"/>
      </w:pPr>
      <w:rPr>
        <w:rFonts w:ascii="Symbol" w:hAnsi="Symbol" w:hint="default"/>
      </w:rPr>
    </w:lvl>
    <w:lvl w:ilvl="4" w:tplc="AD90FE06">
      <w:start w:val="1"/>
      <w:numFmt w:val="bullet"/>
      <w:lvlText w:val="o"/>
      <w:lvlJc w:val="left"/>
      <w:pPr>
        <w:ind w:left="3600" w:hanging="360"/>
      </w:pPr>
      <w:rPr>
        <w:rFonts w:ascii="Courier New" w:hAnsi="Courier New" w:hint="default"/>
      </w:rPr>
    </w:lvl>
    <w:lvl w:ilvl="5" w:tplc="DC40418C">
      <w:start w:val="1"/>
      <w:numFmt w:val="bullet"/>
      <w:lvlText w:val=""/>
      <w:lvlJc w:val="left"/>
      <w:pPr>
        <w:ind w:left="4320" w:hanging="360"/>
      </w:pPr>
      <w:rPr>
        <w:rFonts w:ascii="Wingdings" w:hAnsi="Wingdings" w:hint="default"/>
      </w:rPr>
    </w:lvl>
    <w:lvl w:ilvl="6" w:tplc="15C0ADDE">
      <w:start w:val="1"/>
      <w:numFmt w:val="bullet"/>
      <w:lvlText w:val=""/>
      <w:lvlJc w:val="left"/>
      <w:pPr>
        <w:ind w:left="5040" w:hanging="360"/>
      </w:pPr>
      <w:rPr>
        <w:rFonts w:ascii="Symbol" w:hAnsi="Symbol" w:hint="default"/>
      </w:rPr>
    </w:lvl>
    <w:lvl w:ilvl="7" w:tplc="A4FE35DA">
      <w:start w:val="1"/>
      <w:numFmt w:val="bullet"/>
      <w:lvlText w:val="o"/>
      <w:lvlJc w:val="left"/>
      <w:pPr>
        <w:ind w:left="5760" w:hanging="360"/>
      </w:pPr>
      <w:rPr>
        <w:rFonts w:ascii="Courier New" w:hAnsi="Courier New" w:hint="default"/>
      </w:rPr>
    </w:lvl>
    <w:lvl w:ilvl="8" w:tplc="567093EA">
      <w:start w:val="1"/>
      <w:numFmt w:val="bullet"/>
      <w:lvlText w:val=""/>
      <w:lvlJc w:val="left"/>
      <w:pPr>
        <w:ind w:left="6480" w:hanging="360"/>
      </w:pPr>
      <w:rPr>
        <w:rFonts w:ascii="Wingdings" w:hAnsi="Wingdings" w:hint="default"/>
      </w:rPr>
    </w:lvl>
  </w:abstractNum>
  <w:abstractNum w:abstractNumId="4" w15:restartNumberingAfterBreak="0">
    <w:nsid w:val="226D936F"/>
    <w:multiLevelType w:val="hybridMultilevel"/>
    <w:tmpl w:val="6FC2E81E"/>
    <w:lvl w:ilvl="0" w:tplc="59685732">
      <w:start w:val="1"/>
      <w:numFmt w:val="bullet"/>
      <w:lvlText w:val="·"/>
      <w:lvlJc w:val="left"/>
      <w:pPr>
        <w:ind w:left="720" w:hanging="360"/>
      </w:pPr>
      <w:rPr>
        <w:rFonts w:ascii="Symbol" w:hAnsi="Symbol" w:hint="default"/>
      </w:rPr>
    </w:lvl>
    <w:lvl w:ilvl="1" w:tplc="84761616">
      <w:start w:val="1"/>
      <w:numFmt w:val="bullet"/>
      <w:lvlText w:val="o"/>
      <w:lvlJc w:val="left"/>
      <w:pPr>
        <w:ind w:left="1440" w:hanging="360"/>
      </w:pPr>
      <w:rPr>
        <w:rFonts w:ascii="Courier New" w:hAnsi="Courier New" w:hint="default"/>
      </w:rPr>
    </w:lvl>
    <w:lvl w:ilvl="2" w:tplc="D1789734">
      <w:start w:val="1"/>
      <w:numFmt w:val="bullet"/>
      <w:lvlText w:val=""/>
      <w:lvlJc w:val="left"/>
      <w:pPr>
        <w:ind w:left="2160" w:hanging="360"/>
      </w:pPr>
      <w:rPr>
        <w:rFonts w:ascii="Wingdings" w:hAnsi="Wingdings" w:hint="default"/>
      </w:rPr>
    </w:lvl>
    <w:lvl w:ilvl="3" w:tplc="1A1C12DE">
      <w:start w:val="1"/>
      <w:numFmt w:val="bullet"/>
      <w:lvlText w:val=""/>
      <w:lvlJc w:val="left"/>
      <w:pPr>
        <w:ind w:left="2880" w:hanging="360"/>
      </w:pPr>
      <w:rPr>
        <w:rFonts w:ascii="Symbol" w:hAnsi="Symbol" w:hint="default"/>
      </w:rPr>
    </w:lvl>
    <w:lvl w:ilvl="4" w:tplc="30F0B122">
      <w:start w:val="1"/>
      <w:numFmt w:val="bullet"/>
      <w:lvlText w:val="o"/>
      <w:lvlJc w:val="left"/>
      <w:pPr>
        <w:ind w:left="3600" w:hanging="360"/>
      </w:pPr>
      <w:rPr>
        <w:rFonts w:ascii="Courier New" w:hAnsi="Courier New" w:hint="default"/>
      </w:rPr>
    </w:lvl>
    <w:lvl w:ilvl="5" w:tplc="00180DC8">
      <w:start w:val="1"/>
      <w:numFmt w:val="bullet"/>
      <w:lvlText w:val=""/>
      <w:lvlJc w:val="left"/>
      <w:pPr>
        <w:ind w:left="4320" w:hanging="360"/>
      </w:pPr>
      <w:rPr>
        <w:rFonts w:ascii="Wingdings" w:hAnsi="Wingdings" w:hint="default"/>
      </w:rPr>
    </w:lvl>
    <w:lvl w:ilvl="6" w:tplc="384C0542">
      <w:start w:val="1"/>
      <w:numFmt w:val="bullet"/>
      <w:lvlText w:val=""/>
      <w:lvlJc w:val="left"/>
      <w:pPr>
        <w:ind w:left="5040" w:hanging="360"/>
      </w:pPr>
      <w:rPr>
        <w:rFonts w:ascii="Symbol" w:hAnsi="Symbol" w:hint="default"/>
      </w:rPr>
    </w:lvl>
    <w:lvl w:ilvl="7" w:tplc="29A88066">
      <w:start w:val="1"/>
      <w:numFmt w:val="bullet"/>
      <w:lvlText w:val="o"/>
      <w:lvlJc w:val="left"/>
      <w:pPr>
        <w:ind w:left="5760" w:hanging="360"/>
      </w:pPr>
      <w:rPr>
        <w:rFonts w:ascii="Courier New" w:hAnsi="Courier New" w:hint="default"/>
      </w:rPr>
    </w:lvl>
    <w:lvl w:ilvl="8" w:tplc="556ECE06">
      <w:start w:val="1"/>
      <w:numFmt w:val="bullet"/>
      <w:lvlText w:val=""/>
      <w:lvlJc w:val="left"/>
      <w:pPr>
        <w:ind w:left="6480" w:hanging="360"/>
      </w:pPr>
      <w:rPr>
        <w:rFonts w:ascii="Wingdings" w:hAnsi="Wingdings" w:hint="default"/>
      </w:r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8F4BDF"/>
    <w:multiLevelType w:val="hybridMultilevel"/>
    <w:tmpl w:val="3D703EBC"/>
    <w:lvl w:ilvl="0" w:tplc="3AB0C5D6">
      <w:start w:val="1"/>
      <w:numFmt w:val="bullet"/>
      <w:lvlText w:val=""/>
      <w:lvlJc w:val="left"/>
      <w:pPr>
        <w:ind w:left="720" w:hanging="360"/>
      </w:pPr>
      <w:rPr>
        <w:rFonts w:ascii="Symbol" w:hAnsi="Symbol" w:hint="default"/>
      </w:rPr>
    </w:lvl>
    <w:lvl w:ilvl="1" w:tplc="2828E390">
      <w:start w:val="1"/>
      <w:numFmt w:val="bullet"/>
      <w:lvlText w:val="o"/>
      <w:lvlJc w:val="left"/>
      <w:pPr>
        <w:ind w:left="1440" w:hanging="360"/>
      </w:pPr>
      <w:rPr>
        <w:rFonts w:ascii="Courier New" w:hAnsi="Courier New" w:hint="default"/>
      </w:rPr>
    </w:lvl>
    <w:lvl w:ilvl="2" w:tplc="9C225F22">
      <w:start w:val="1"/>
      <w:numFmt w:val="bullet"/>
      <w:lvlText w:val=""/>
      <w:lvlJc w:val="left"/>
      <w:pPr>
        <w:ind w:left="2160" w:hanging="360"/>
      </w:pPr>
      <w:rPr>
        <w:rFonts w:ascii="Wingdings" w:hAnsi="Wingdings" w:hint="default"/>
      </w:rPr>
    </w:lvl>
    <w:lvl w:ilvl="3" w:tplc="FEC21062">
      <w:start w:val="1"/>
      <w:numFmt w:val="bullet"/>
      <w:lvlText w:val=""/>
      <w:lvlJc w:val="left"/>
      <w:pPr>
        <w:ind w:left="2880" w:hanging="360"/>
      </w:pPr>
      <w:rPr>
        <w:rFonts w:ascii="Symbol" w:hAnsi="Symbol" w:hint="default"/>
      </w:rPr>
    </w:lvl>
    <w:lvl w:ilvl="4" w:tplc="CA7C9EF2">
      <w:start w:val="1"/>
      <w:numFmt w:val="bullet"/>
      <w:lvlText w:val="o"/>
      <w:lvlJc w:val="left"/>
      <w:pPr>
        <w:ind w:left="3600" w:hanging="360"/>
      </w:pPr>
      <w:rPr>
        <w:rFonts w:ascii="Courier New" w:hAnsi="Courier New" w:hint="default"/>
      </w:rPr>
    </w:lvl>
    <w:lvl w:ilvl="5" w:tplc="38A69FFA">
      <w:start w:val="1"/>
      <w:numFmt w:val="bullet"/>
      <w:lvlText w:val=""/>
      <w:lvlJc w:val="left"/>
      <w:pPr>
        <w:ind w:left="4320" w:hanging="360"/>
      </w:pPr>
      <w:rPr>
        <w:rFonts w:ascii="Wingdings" w:hAnsi="Wingdings" w:hint="default"/>
      </w:rPr>
    </w:lvl>
    <w:lvl w:ilvl="6" w:tplc="C2D6095E">
      <w:start w:val="1"/>
      <w:numFmt w:val="bullet"/>
      <w:lvlText w:val=""/>
      <w:lvlJc w:val="left"/>
      <w:pPr>
        <w:ind w:left="5040" w:hanging="360"/>
      </w:pPr>
      <w:rPr>
        <w:rFonts w:ascii="Symbol" w:hAnsi="Symbol" w:hint="default"/>
      </w:rPr>
    </w:lvl>
    <w:lvl w:ilvl="7" w:tplc="CBFAC668">
      <w:start w:val="1"/>
      <w:numFmt w:val="bullet"/>
      <w:lvlText w:val="o"/>
      <w:lvlJc w:val="left"/>
      <w:pPr>
        <w:ind w:left="5760" w:hanging="360"/>
      </w:pPr>
      <w:rPr>
        <w:rFonts w:ascii="Courier New" w:hAnsi="Courier New" w:hint="default"/>
      </w:rPr>
    </w:lvl>
    <w:lvl w:ilvl="8" w:tplc="41B428EA">
      <w:start w:val="1"/>
      <w:numFmt w:val="bullet"/>
      <w:lvlText w:val=""/>
      <w:lvlJc w:val="left"/>
      <w:pPr>
        <w:ind w:left="6480" w:hanging="360"/>
      </w:pPr>
      <w:rPr>
        <w:rFonts w:ascii="Wingdings" w:hAnsi="Wingdings" w:hint="default"/>
      </w:rPr>
    </w:lvl>
  </w:abstractNum>
  <w:abstractNum w:abstractNumId="7" w15:restartNumberingAfterBreak="0">
    <w:nsid w:val="33BE68E7"/>
    <w:multiLevelType w:val="hybridMultilevel"/>
    <w:tmpl w:val="482E7F16"/>
    <w:lvl w:ilvl="0" w:tplc="E1D426CA">
      <w:start w:val="1"/>
      <w:numFmt w:val="bullet"/>
      <w:lvlText w:val=""/>
      <w:lvlJc w:val="left"/>
      <w:pPr>
        <w:ind w:left="720" w:hanging="360"/>
      </w:pPr>
      <w:rPr>
        <w:rFonts w:ascii="Symbol" w:hAnsi="Symbol" w:hint="default"/>
      </w:rPr>
    </w:lvl>
    <w:lvl w:ilvl="1" w:tplc="9EAE0EF8">
      <w:start w:val="1"/>
      <w:numFmt w:val="bullet"/>
      <w:lvlText w:val="o"/>
      <w:lvlJc w:val="left"/>
      <w:pPr>
        <w:ind w:left="1440" w:hanging="360"/>
      </w:pPr>
      <w:rPr>
        <w:rFonts w:ascii="Courier New" w:hAnsi="Courier New" w:hint="default"/>
      </w:rPr>
    </w:lvl>
    <w:lvl w:ilvl="2" w:tplc="C188FDE0">
      <w:start w:val="1"/>
      <w:numFmt w:val="bullet"/>
      <w:lvlText w:val=""/>
      <w:lvlJc w:val="left"/>
      <w:pPr>
        <w:ind w:left="2160" w:hanging="360"/>
      </w:pPr>
      <w:rPr>
        <w:rFonts w:ascii="Wingdings" w:hAnsi="Wingdings" w:hint="default"/>
      </w:rPr>
    </w:lvl>
    <w:lvl w:ilvl="3" w:tplc="1EEA3B08">
      <w:start w:val="1"/>
      <w:numFmt w:val="bullet"/>
      <w:lvlText w:val=""/>
      <w:lvlJc w:val="left"/>
      <w:pPr>
        <w:ind w:left="2880" w:hanging="360"/>
      </w:pPr>
      <w:rPr>
        <w:rFonts w:ascii="Symbol" w:hAnsi="Symbol" w:hint="default"/>
      </w:rPr>
    </w:lvl>
    <w:lvl w:ilvl="4" w:tplc="085AB1F0">
      <w:start w:val="1"/>
      <w:numFmt w:val="bullet"/>
      <w:lvlText w:val="o"/>
      <w:lvlJc w:val="left"/>
      <w:pPr>
        <w:ind w:left="3600" w:hanging="360"/>
      </w:pPr>
      <w:rPr>
        <w:rFonts w:ascii="Courier New" w:hAnsi="Courier New" w:hint="default"/>
      </w:rPr>
    </w:lvl>
    <w:lvl w:ilvl="5" w:tplc="B47454F2">
      <w:start w:val="1"/>
      <w:numFmt w:val="bullet"/>
      <w:lvlText w:val=""/>
      <w:lvlJc w:val="left"/>
      <w:pPr>
        <w:ind w:left="4320" w:hanging="360"/>
      </w:pPr>
      <w:rPr>
        <w:rFonts w:ascii="Wingdings" w:hAnsi="Wingdings" w:hint="default"/>
      </w:rPr>
    </w:lvl>
    <w:lvl w:ilvl="6" w:tplc="21180EC8">
      <w:start w:val="1"/>
      <w:numFmt w:val="bullet"/>
      <w:lvlText w:val=""/>
      <w:lvlJc w:val="left"/>
      <w:pPr>
        <w:ind w:left="5040" w:hanging="360"/>
      </w:pPr>
      <w:rPr>
        <w:rFonts w:ascii="Symbol" w:hAnsi="Symbol" w:hint="default"/>
      </w:rPr>
    </w:lvl>
    <w:lvl w:ilvl="7" w:tplc="926E1132">
      <w:start w:val="1"/>
      <w:numFmt w:val="bullet"/>
      <w:lvlText w:val="o"/>
      <w:lvlJc w:val="left"/>
      <w:pPr>
        <w:ind w:left="5760" w:hanging="360"/>
      </w:pPr>
      <w:rPr>
        <w:rFonts w:ascii="Courier New" w:hAnsi="Courier New" w:hint="default"/>
      </w:rPr>
    </w:lvl>
    <w:lvl w:ilvl="8" w:tplc="F2B243A8">
      <w:start w:val="1"/>
      <w:numFmt w:val="bullet"/>
      <w:lvlText w:val=""/>
      <w:lvlJc w:val="left"/>
      <w:pPr>
        <w:ind w:left="6480" w:hanging="360"/>
      </w:pPr>
      <w:rPr>
        <w:rFonts w:ascii="Wingdings" w:hAnsi="Wingdings" w:hint="default"/>
      </w:rPr>
    </w:lvl>
  </w:abstractNum>
  <w:abstractNum w:abstractNumId="8" w15:restartNumberingAfterBreak="0">
    <w:nsid w:val="359220B8"/>
    <w:multiLevelType w:val="hybridMultilevel"/>
    <w:tmpl w:val="AF2CBBAA"/>
    <w:lvl w:ilvl="0" w:tplc="F6E8D0A0">
      <w:start w:val="1"/>
      <w:numFmt w:val="bullet"/>
      <w:lvlText w:val=""/>
      <w:lvlJc w:val="left"/>
      <w:pPr>
        <w:ind w:left="720" w:hanging="360"/>
      </w:pPr>
      <w:rPr>
        <w:rFonts w:ascii="Symbol" w:hAnsi="Symbol" w:hint="default"/>
      </w:rPr>
    </w:lvl>
    <w:lvl w:ilvl="1" w:tplc="1B92172C">
      <w:start w:val="1"/>
      <w:numFmt w:val="bullet"/>
      <w:lvlText w:val="o"/>
      <w:lvlJc w:val="left"/>
      <w:pPr>
        <w:ind w:left="1440" w:hanging="360"/>
      </w:pPr>
      <w:rPr>
        <w:rFonts w:ascii="Courier New" w:hAnsi="Courier New" w:hint="default"/>
      </w:rPr>
    </w:lvl>
    <w:lvl w:ilvl="2" w:tplc="36549822">
      <w:start w:val="1"/>
      <w:numFmt w:val="bullet"/>
      <w:lvlText w:val=""/>
      <w:lvlJc w:val="left"/>
      <w:pPr>
        <w:ind w:left="2160" w:hanging="360"/>
      </w:pPr>
      <w:rPr>
        <w:rFonts w:ascii="Wingdings" w:hAnsi="Wingdings" w:hint="default"/>
      </w:rPr>
    </w:lvl>
    <w:lvl w:ilvl="3" w:tplc="C20CC90E">
      <w:start w:val="1"/>
      <w:numFmt w:val="bullet"/>
      <w:lvlText w:val=""/>
      <w:lvlJc w:val="left"/>
      <w:pPr>
        <w:ind w:left="2880" w:hanging="360"/>
      </w:pPr>
      <w:rPr>
        <w:rFonts w:ascii="Symbol" w:hAnsi="Symbol" w:hint="default"/>
      </w:rPr>
    </w:lvl>
    <w:lvl w:ilvl="4" w:tplc="C71059A4">
      <w:start w:val="1"/>
      <w:numFmt w:val="bullet"/>
      <w:lvlText w:val="o"/>
      <w:lvlJc w:val="left"/>
      <w:pPr>
        <w:ind w:left="3600" w:hanging="360"/>
      </w:pPr>
      <w:rPr>
        <w:rFonts w:ascii="Courier New" w:hAnsi="Courier New" w:hint="default"/>
      </w:rPr>
    </w:lvl>
    <w:lvl w:ilvl="5" w:tplc="7E54E69C">
      <w:start w:val="1"/>
      <w:numFmt w:val="bullet"/>
      <w:lvlText w:val=""/>
      <w:lvlJc w:val="left"/>
      <w:pPr>
        <w:ind w:left="4320" w:hanging="360"/>
      </w:pPr>
      <w:rPr>
        <w:rFonts w:ascii="Wingdings" w:hAnsi="Wingdings" w:hint="default"/>
      </w:rPr>
    </w:lvl>
    <w:lvl w:ilvl="6" w:tplc="8D50A2AA">
      <w:start w:val="1"/>
      <w:numFmt w:val="bullet"/>
      <w:lvlText w:val=""/>
      <w:lvlJc w:val="left"/>
      <w:pPr>
        <w:ind w:left="5040" w:hanging="360"/>
      </w:pPr>
      <w:rPr>
        <w:rFonts w:ascii="Symbol" w:hAnsi="Symbol" w:hint="default"/>
      </w:rPr>
    </w:lvl>
    <w:lvl w:ilvl="7" w:tplc="0420A162">
      <w:start w:val="1"/>
      <w:numFmt w:val="bullet"/>
      <w:lvlText w:val="o"/>
      <w:lvlJc w:val="left"/>
      <w:pPr>
        <w:ind w:left="5760" w:hanging="360"/>
      </w:pPr>
      <w:rPr>
        <w:rFonts w:ascii="Courier New" w:hAnsi="Courier New" w:hint="default"/>
      </w:rPr>
    </w:lvl>
    <w:lvl w:ilvl="8" w:tplc="96CA72A2">
      <w:start w:val="1"/>
      <w:numFmt w:val="bullet"/>
      <w:lvlText w:val=""/>
      <w:lvlJc w:val="left"/>
      <w:pPr>
        <w:ind w:left="6480" w:hanging="360"/>
      </w:pPr>
      <w:rPr>
        <w:rFonts w:ascii="Wingdings" w:hAnsi="Wingdings" w:hint="default"/>
      </w:rPr>
    </w:lvl>
  </w:abstractNum>
  <w:abstractNum w:abstractNumId="9" w15:restartNumberingAfterBreak="0">
    <w:nsid w:val="374559FB"/>
    <w:multiLevelType w:val="hybridMultilevel"/>
    <w:tmpl w:val="06E86250"/>
    <w:lvl w:ilvl="0" w:tplc="ED5C790C">
      <w:start w:val="1"/>
      <w:numFmt w:val="bullet"/>
      <w:lvlText w:val="·"/>
      <w:lvlJc w:val="left"/>
      <w:pPr>
        <w:ind w:left="720" w:hanging="360"/>
      </w:pPr>
      <w:rPr>
        <w:rFonts w:ascii="Symbol" w:hAnsi="Symbol" w:hint="default"/>
      </w:rPr>
    </w:lvl>
    <w:lvl w:ilvl="1" w:tplc="60285E52">
      <w:start w:val="1"/>
      <w:numFmt w:val="bullet"/>
      <w:lvlText w:val="o"/>
      <w:lvlJc w:val="left"/>
      <w:pPr>
        <w:ind w:left="1440" w:hanging="360"/>
      </w:pPr>
      <w:rPr>
        <w:rFonts w:ascii="Courier New" w:hAnsi="Courier New" w:hint="default"/>
      </w:rPr>
    </w:lvl>
    <w:lvl w:ilvl="2" w:tplc="C3F40ECC">
      <w:start w:val="1"/>
      <w:numFmt w:val="bullet"/>
      <w:lvlText w:val=""/>
      <w:lvlJc w:val="left"/>
      <w:pPr>
        <w:ind w:left="2160" w:hanging="360"/>
      </w:pPr>
      <w:rPr>
        <w:rFonts w:ascii="Wingdings" w:hAnsi="Wingdings" w:hint="default"/>
      </w:rPr>
    </w:lvl>
    <w:lvl w:ilvl="3" w:tplc="131EBC2C">
      <w:start w:val="1"/>
      <w:numFmt w:val="bullet"/>
      <w:lvlText w:val=""/>
      <w:lvlJc w:val="left"/>
      <w:pPr>
        <w:ind w:left="2880" w:hanging="360"/>
      </w:pPr>
      <w:rPr>
        <w:rFonts w:ascii="Symbol" w:hAnsi="Symbol" w:hint="default"/>
      </w:rPr>
    </w:lvl>
    <w:lvl w:ilvl="4" w:tplc="893AFFB4">
      <w:start w:val="1"/>
      <w:numFmt w:val="bullet"/>
      <w:lvlText w:val="o"/>
      <w:lvlJc w:val="left"/>
      <w:pPr>
        <w:ind w:left="3600" w:hanging="360"/>
      </w:pPr>
      <w:rPr>
        <w:rFonts w:ascii="Courier New" w:hAnsi="Courier New" w:hint="default"/>
      </w:rPr>
    </w:lvl>
    <w:lvl w:ilvl="5" w:tplc="4398A8D4">
      <w:start w:val="1"/>
      <w:numFmt w:val="bullet"/>
      <w:lvlText w:val=""/>
      <w:lvlJc w:val="left"/>
      <w:pPr>
        <w:ind w:left="4320" w:hanging="360"/>
      </w:pPr>
      <w:rPr>
        <w:rFonts w:ascii="Wingdings" w:hAnsi="Wingdings" w:hint="default"/>
      </w:rPr>
    </w:lvl>
    <w:lvl w:ilvl="6" w:tplc="4E22E46C">
      <w:start w:val="1"/>
      <w:numFmt w:val="bullet"/>
      <w:lvlText w:val=""/>
      <w:lvlJc w:val="left"/>
      <w:pPr>
        <w:ind w:left="5040" w:hanging="360"/>
      </w:pPr>
      <w:rPr>
        <w:rFonts w:ascii="Symbol" w:hAnsi="Symbol" w:hint="default"/>
      </w:rPr>
    </w:lvl>
    <w:lvl w:ilvl="7" w:tplc="C2CA347A">
      <w:start w:val="1"/>
      <w:numFmt w:val="bullet"/>
      <w:lvlText w:val="o"/>
      <w:lvlJc w:val="left"/>
      <w:pPr>
        <w:ind w:left="5760" w:hanging="360"/>
      </w:pPr>
      <w:rPr>
        <w:rFonts w:ascii="Courier New" w:hAnsi="Courier New" w:hint="default"/>
      </w:rPr>
    </w:lvl>
    <w:lvl w:ilvl="8" w:tplc="81D074DC">
      <w:start w:val="1"/>
      <w:numFmt w:val="bullet"/>
      <w:lvlText w:val=""/>
      <w:lvlJc w:val="left"/>
      <w:pPr>
        <w:ind w:left="6480" w:hanging="360"/>
      </w:pPr>
      <w:rPr>
        <w:rFonts w:ascii="Wingdings" w:hAnsi="Wingdings" w:hint="default"/>
      </w:rPr>
    </w:lvl>
  </w:abstractNum>
  <w:abstractNum w:abstractNumId="10" w15:restartNumberingAfterBreak="0">
    <w:nsid w:val="37D9FE59"/>
    <w:multiLevelType w:val="hybridMultilevel"/>
    <w:tmpl w:val="FD648A20"/>
    <w:lvl w:ilvl="0" w:tplc="816A5F50">
      <w:start w:val="1"/>
      <w:numFmt w:val="bullet"/>
      <w:lvlText w:val=""/>
      <w:lvlJc w:val="left"/>
      <w:pPr>
        <w:ind w:left="720" w:hanging="360"/>
      </w:pPr>
      <w:rPr>
        <w:rFonts w:ascii="Symbol" w:hAnsi="Symbol" w:hint="default"/>
      </w:rPr>
    </w:lvl>
    <w:lvl w:ilvl="1" w:tplc="0A7C9D0C">
      <w:start w:val="1"/>
      <w:numFmt w:val="bullet"/>
      <w:lvlText w:val="o"/>
      <w:lvlJc w:val="left"/>
      <w:pPr>
        <w:ind w:left="1440" w:hanging="360"/>
      </w:pPr>
      <w:rPr>
        <w:rFonts w:ascii="Courier New" w:hAnsi="Courier New" w:hint="default"/>
      </w:rPr>
    </w:lvl>
    <w:lvl w:ilvl="2" w:tplc="3ADC80CA">
      <w:start w:val="1"/>
      <w:numFmt w:val="bullet"/>
      <w:lvlText w:val=""/>
      <w:lvlJc w:val="left"/>
      <w:pPr>
        <w:ind w:left="2160" w:hanging="360"/>
      </w:pPr>
      <w:rPr>
        <w:rFonts w:ascii="Wingdings" w:hAnsi="Wingdings" w:hint="default"/>
      </w:rPr>
    </w:lvl>
    <w:lvl w:ilvl="3" w:tplc="4B72AC1A">
      <w:start w:val="1"/>
      <w:numFmt w:val="bullet"/>
      <w:lvlText w:val=""/>
      <w:lvlJc w:val="left"/>
      <w:pPr>
        <w:ind w:left="2880" w:hanging="360"/>
      </w:pPr>
      <w:rPr>
        <w:rFonts w:ascii="Symbol" w:hAnsi="Symbol" w:hint="default"/>
      </w:rPr>
    </w:lvl>
    <w:lvl w:ilvl="4" w:tplc="0E16D2F4">
      <w:start w:val="1"/>
      <w:numFmt w:val="bullet"/>
      <w:lvlText w:val="o"/>
      <w:lvlJc w:val="left"/>
      <w:pPr>
        <w:ind w:left="3600" w:hanging="360"/>
      </w:pPr>
      <w:rPr>
        <w:rFonts w:ascii="Courier New" w:hAnsi="Courier New" w:hint="default"/>
      </w:rPr>
    </w:lvl>
    <w:lvl w:ilvl="5" w:tplc="97E4B2BE">
      <w:start w:val="1"/>
      <w:numFmt w:val="bullet"/>
      <w:lvlText w:val=""/>
      <w:lvlJc w:val="left"/>
      <w:pPr>
        <w:ind w:left="4320" w:hanging="360"/>
      </w:pPr>
      <w:rPr>
        <w:rFonts w:ascii="Wingdings" w:hAnsi="Wingdings" w:hint="default"/>
      </w:rPr>
    </w:lvl>
    <w:lvl w:ilvl="6" w:tplc="DB501846">
      <w:start w:val="1"/>
      <w:numFmt w:val="bullet"/>
      <w:lvlText w:val=""/>
      <w:lvlJc w:val="left"/>
      <w:pPr>
        <w:ind w:left="5040" w:hanging="360"/>
      </w:pPr>
      <w:rPr>
        <w:rFonts w:ascii="Symbol" w:hAnsi="Symbol" w:hint="default"/>
      </w:rPr>
    </w:lvl>
    <w:lvl w:ilvl="7" w:tplc="7A184672">
      <w:start w:val="1"/>
      <w:numFmt w:val="bullet"/>
      <w:lvlText w:val="o"/>
      <w:lvlJc w:val="left"/>
      <w:pPr>
        <w:ind w:left="5760" w:hanging="360"/>
      </w:pPr>
      <w:rPr>
        <w:rFonts w:ascii="Courier New" w:hAnsi="Courier New" w:hint="default"/>
      </w:rPr>
    </w:lvl>
    <w:lvl w:ilvl="8" w:tplc="E0BABF7E">
      <w:start w:val="1"/>
      <w:numFmt w:val="bullet"/>
      <w:lvlText w:val=""/>
      <w:lvlJc w:val="left"/>
      <w:pPr>
        <w:ind w:left="6480" w:hanging="360"/>
      </w:pPr>
      <w:rPr>
        <w:rFonts w:ascii="Wingdings" w:hAnsi="Wingding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D14E53"/>
    <w:multiLevelType w:val="hybridMultilevel"/>
    <w:tmpl w:val="FFFFFFFF"/>
    <w:lvl w:ilvl="0" w:tplc="F65E1146">
      <w:start w:val="1"/>
      <w:numFmt w:val="bullet"/>
      <w:lvlText w:val="·"/>
      <w:lvlJc w:val="left"/>
      <w:pPr>
        <w:ind w:left="720" w:hanging="360"/>
      </w:pPr>
      <w:rPr>
        <w:rFonts w:ascii="Symbol" w:hAnsi="Symbol" w:hint="default"/>
      </w:rPr>
    </w:lvl>
    <w:lvl w:ilvl="1" w:tplc="EE4ED768">
      <w:start w:val="1"/>
      <w:numFmt w:val="bullet"/>
      <w:lvlText w:val="o"/>
      <w:lvlJc w:val="left"/>
      <w:pPr>
        <w:ind w:left="1440" w:hanging="360"/>
      </w:pPr>
      <w:rPr>
        <w:rFonts w:ascii="Courier New" w:hAnsi="Courier New" w:hint="default"/>
      </w:rPr>
    </w:lvl>
    <w:lvl w:ilvl="2" w:tplc="5392949C">
      <w:start w:val="1"/>
      <w:numFmt w:val="bullet"/>
      <w:lvlText w:val=""/>
      <w:lvlJc w:val="left"/>
      <w:pPr>
        <w:ind w:left="2160" w:hanging="360"/>
      </w:pPr>
      <w:rPr>
        <w:rFonts w:ascii="Wingdings" w:hAnsi="Wingdings" w:hint="default"/>
      </w:rPr>
    </w:lvl>
    <w:lvl w:ilvl="3" w:tplc="8A6CBEEE">
      <w:start w:val="1"/>
      <w:numFmt w:val="bullet"/>
      <w:lvlText w:val=""/>
      <w:lvlJc w:val="left"/>
      <w:pPr>
        <w:ind w:left="2880" w:hanging="360"/>
      </w:pPr>
      <w:rPr>
        <w:rFonts w:ascii="Symbol" w:hAnsi="Symbol" w:hint="default"/>
      </w:rPr>
    </w:lvl>
    <w:lvl w:ilvl="4" w:tplc="6482464C">
      <w:start w:val="1"/>
      <w:numFmt w:val="bullet"/>
      <w:lvlText w:val="o"/>
      <w:lvlJc w:val="left"/>
      <w:pPr>
        <w:ind w:left="3600" w:hanging="360"/>
      </w:pPr>
      <w:rPr>
        <w:rFonts w:ascii="Courier New" w:hAnsi="Courier New" w:hint="default"/>
      </w:rPr>
    </w:lvl>
    <w:lvl w:ilvl="5" w:tplc="680C1C72">
      <w:start w:val="1"/>
      <w:numFmt w:val="bullet"/>
      <w:lvlText w:val=""/>
      <w:lvlJc w:val="left"/>
      <w:pPr>
        <w:ind w:left="4320" w:hanging="360"/>
      </w:pPr>
      <w:rPr>
        <w:rFonts w:ascii="Wingdings" w:hAnsi="Wingdings" w:hint="default"/>
      </w:rPr>
    </w:lvl>
    <w:lvl w:ilvl="6" w:tplc="82AA118A">
      <w:start w:val="1"/>
      <w:numFmt w:val="bullet"/>
      <w:lvlText w:val=""/>
      <w:lvlJc w:val="left"/>
      <w:pPr>
        <w:ind w:left="5040" w:hanging="360"/>
      </w:pPr>
      <w:rPr>
        <w:rFonts w:ascii="Symbol" w:hAnsi="Symbol" w:hint="default"/>
      </w:rPr>
    </w:lvl>
    <w:lvl w:ilvl="7" w:tplc="18E69476">
      <w:start w:val="1"/>
      <w:numFmt w:val="bullet"/>
      <w:lvlText w:val="o"/>
      <w:lvlJc w:val="left"/>
      <w:pPr>
        <w:ind w:left="5760" w:hanging="360"/>
      </w:pPr>
      <w:rPr>
        <w:rFonts w:ascii="Courier New" w:hAnsi="Courier New" w:hint="default"/>
      </w:rPr>
    </w:lvl>
    <w:lvl w:ilvl="8" w:tplc="1AC6965E">
      <w:start w:val="1"/>
      <w:numFmt w:val="bullet"/>
      <w:lvlText w:val=""/>
      <w:lvlJc w:val="left"/>
      <w:pPr>
        <w:ind w:left="6480" w:hanging="360"/>
      </w:pPr>
      <w:rPr>
        <w:rFonts w:ascii="Wingdings" w:hAnsi="Wingdings" w:hint="default"/>
      </w:rPr>
    </w:lvl>
  </w:abstractNum>
  <w:abstractNum w:abstractNumId="13" w15:restartNumberingAfterBreak="0">
    <w:nsid w:val="47E0A788"/>
    <w:multiLevelType w:val="hybridMultilevel"/>
    <w:tmpl w:val="031ED2D6"/>
    <w:lvl w:ilvl="0" w:tplc="DDE2AC52">
      <w:start w:val="1"/>
      <w:numFmt w:val="bullet"/>
      <w:lvlText w:val=""/>
      <w:lvlJc w:val="left"/>
      <w:pPr>
        <w:ind w:left="720" w:hanging="360"/>
      </w:pPr>
      <w:rPr>
        <w:rFonts w:ascii="Symbol" w:hAnsi="Symbol" w:hint="default"/>
      </w:rPr>
    </w:lvl>
    <w:lvl w:ilvl="1" w:tplc="5CF6E144">
      <w:start w:val="1"/>
      <w:numFmt w:val="bullet"/>
      <w:lvlText w:val="o"/>
      <w:lvlJc w:val="left"/>
      <w:pPr>
        <w:ind w:left="1440" w:hanging="360"/>
      </w:pPr>
      <w:rPr>
        <w:rFonts w:ascii="Courier New" w:hAnsi="Courier New" w:hint="default"/>
      </w:rPr>
    </w:lvl>
    <w:lvl w:ilvl="2" w:tplc="90D01392">
      <w:start w:val="1"/>
      <w:numFmt w:val="bullet"/>
      <w:lvlText w:val=""/>
      <w:lvlJc w:val="left"/>
      <w:pPr>
        <w:ind w:left="2160" w:hanging="360"/>
      </w:pPr>
      <w:rPr>
        <w:rFonts w:ascii="Wingdings" w:hAnsi="Wingdings" w:hint="default"/>
      </w:rPr>
    </w:lvl>
    <w:lvl w:ilvl="3" w:tplc="3F32CEF6">
      <w:start w:val="1"/>
      <w:numFmt w:val="bullet"/>
      <w:lvlText w:val=""/>
      <w:lvlJc w:val="left"/>
      <w:pPr>
        <w:ind w:left="2880" w:hanging="360"/>
      </w:pPr>
      <w:rPr>
        <w:rFonts w:ascii="Symbol" w:hAnsi="Symbol" w:hint="default"/>
      </w:rPr>
    </w:lvl>
    <w:lvl w:ilvl="4" w:tplc="52B69C80">
      <w:start w:val="1"/>
      <w:numFmt w:val="bullet"/>
      <w:lvlText w:val="o"/>
      <w:lvlJc w:val="left"/>
      <w:pPr>
        <w:ind w:left="3600" w:hanging="360"/>
      </w:pPr>
      <w:rPr>
        <w:rFonts w:ascii="Courier New" w:hAnsi="Courier New" w:hint="default"/>
      </w:rPr>
    </w:lvl>
    <w:lvl w:ilvl="5" w:tplc="56B8251C">
      <w:start w:val="1"/>
      <w:numFmt w:val="bullet"/>
      <w:lvlText w:val=""/>
      <w:lvlJc w:val="left"/>
      <w:pPr>
        <w:ind w:left="4320" w:hanging="360"/>
      </w:pPr>
      <w:rPr>
        <w:rFonts w:ascii="Wingdings" w:hAnsi="Wingdings" w:hint="default"/>
      </w:rPr>
    </w:lvl>
    <w:lvl w:ilvl="6" w:tplc="26168EC4">
      <w:start w:val="1"/>
      <w:numFmt w:val="bullet"/>
      <w:lvlText w:val=""/>
      <w:lvlJc w:val="left"/>
      <w:pPr>
        <w:ind w:left="5040" w:hanging="360"/>
      </w:pPr>
      <w:rPr>
        <w:rFonts w:ascii="Symbol" w:hAnsi="Symbol" w:hint="default"/>
      </w:rPr>
    </w:lvl>
    <w:lvl w:ilvl="7" w:tplc="6BE6D778">
      <w:start w:val="1"/>
      <w:numFmt w:val="bullet"/>
      <w:lvlText w:val="o"/>
      <w:lvlJc w:val="left"/>
      <w:pPr>
        <w:ind w:left="5760" w:hanging="360"/>
      </w:pPr>
      <w:rPr>
        <w:rFonts w:ascii="Courier New" w:hAnsi="Courier New" w:hint="default"/>
      </w:rPr>
    </w:lvl>
    <w:lvl w:ilvl="8" w:tplc="D4E844C6">
      <w:start w:val="1"/>
      <w:numFmt w:val="bullet"/>
      <w:lvlText w:val=""/>
      <w:lvlJc w:val="left"/>
      <w:pPr>
        <w:ind w:left="6480" w:hanging="360"/>
      </w:pPr>
      <w:rPr>
        <w:rFonts w:ascii="Wingdings" w:hAnsi="Wingdings" w:hint="default"/>
      </w:rPr>
    </w:lvl>
  </w:abstractNum>
  <w:abstractNum w:abstractNumId="14" w15:restartNumberingAfterBreak="0">
    <w:nsid w:val="4AE626AB"/>
    <w:multiLevelType w:val="multilevel"/>
    <w:tmpl w:val="D57EE13C"/>
    <w:lvl w:ilvl="0">
      <w:start w:val="1"/>
      <w:numFmt w:val="bullet"/>
      <w:lvlText w:val="»"/>
      <w:lvlJc w:val="left"/>
      <w:pPr>
        <w:tabs>
          <w:tab w:val="num" w:pos="720"/>
        </w:tabs>
        <w:ind w:left="720" w:hanging="360"/>
      </w:pPr>
      <w:rPr>
        <w:rFonts w:ascii="Arial" w:hAnsi="Arial" w:hint="default"/>
        <w:color w:val="006C93"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B78F72"/>
    <w:multiLevelType w:val="hybridMultilevel"/>
    <w:tmpl w:val="8A60E486"/>
    <w:lvl w:ilvl="0" w:tplc="71D46ED4">
      <w:start w:val="1"/>
      <w:numFmt w:val="bullet"/>
      <w:lvlText w:val=""/>
      <w:lvlJc w:val="left"/>
      <w:pPr>
        <w:ind w:left="720" w:hanging="360"/>
      </w:pPr>
      <w:rPr>
        <w:rFonts w:ascii="Symbol" w:hAnsi="Symbol" w:hint="default"/>
      </w:rPr>
    </w:lvl>
    <w:lvl w:ilvl="1" w:tplc="321A6B2E">
      <w:start w:val="1"/>
      <w:numFmt w:val="bullet"/>
      <w:lvlText w:val="o"/>
      <w:lvlJc w:val="left"/>
      <w:pPr>
        <w:ind w:left="1440" w:hanging="360"/>
      </w:pPr>
      <w:rPr>
        <w:rFonts w:ascii="Courier New" w:hAnsi="Courier New" w:hint="default"/>
      </w:rPr>
    </w:lvl>
    <w:lvl w:ilvl="2" w:tplc="24F2A2F6">
      <w:start w:val="1"/>
      <w:numFmt w:val="bullet"/>
      <w:lvlText w:val=""/>
      <w:lvlJc w:val="left"/>
      <w:pPr>
        <w:ind w:left="2160" w:hanging="360"/>
      </w:pPr>
      <w:rPr>
        <w:rFonts w:ascii="Wingdings" w:hAnsi="Wingdings" w:hint="default"/>
      </w:rPr>
    </w:lvl>
    <w:lvl w:ilvl="3" w:tplc="50EE158A">
      <w:start w:val="1"/>
      <w:numFmt w:val="bullet"/>
      <w:lvlText w:val=""/>
      <w:lvlJc w:val="left"/>
      <w:pPr>
        <w:ind w:left="2880" w:hanging="360"/>
      </w:pPr>
      <w:rPr>
        <w:rFonts w:ascii="Symbol" w:hAnsi="Symbol" w:hint="default"/>
      </w:rPr>
    </w:lvl>
    <w:lvl w:ilvl="4" w:tplc="9926DF04">
      <w:start w:val="1"/>
      <w:numFmt w:val="bullet"/>
      <w:lvlText w:val="o"/>
      <w:lvlJc w:val="left"/>
      <w:pPr>
        <w:ind w:left="3600" w:hanging="360"/>
      </w:pPr>
      <w:rPr>
        <w:rFonts w:ascii="Courier New" w:hAnsi="Courier New" w:hint="default"/>
      </w:rPr>
    </w:lvl>
    <w:lvl w:ilvl="5" w:tplc="566837BA">
      <w:start w:val="1"/>
      <w:numFmt w:val="bullet"/>
      <w:lvlText w:val=""/>
      <w:lvlJc w:val="left"/>
      <w:pPr>
        <w:ind w:left="4320" w:hanging="360"/>
      </w:pPr>
      <w:rPr>
        <w:rFonts w:ascii="Wingdings" w:hAnsi="Wingdings" w:hint="default"/>
      </w:rPr>
    </w:lvl>
    <w:lvl w:ilvl="6" w:tplc="3D7C3E1E">
      <w:start w:val="1"/>
      <w:numFmt w:val="bullet"/>
      <w:lvlText w:val=""/>
      <w:lvlJc w:val="left"/>
      <w:pPr>
        <w:ind w:left="5040" w:hanging="360"/>
      </w:pPr>
      <w:rPr>
        <w:rFonts w:ascii="Symbol" w:hAnsi="Symbol" w:hint="default"/>
      </w:rPr>
    </w:lvl>
    <w:lvl w:ilvl="7" w:tplc="75AA6FBA">
      <w:start w:val="1"/>
      <w:numFmt w:val="bullet"/>
      <w:lvlText w:val="o"/>
      <w:lvlJc w:val="left"/>
      <w:pPr>
        <w:ind w:left="5760" w:hanging="360"/>
      </w:pPr>
      <w:rPr>
        <w:rFonts w:ascii="Courier New" w:hAnsi="Courier New" w:hint="default"/>
      </w:rPr>
    </w:lvl>
    <w:lvl w:ilvl="8" w:tplc="94C28278">
      <w:start w:val="1"/>
      <w:numFmt w:val="bullet"/>
      <w:lvlText w:val=""/>
      <w:lvlJc w:val="left"/>
      <w:pPr>
        <w:ind w:left="6480" w:hanging="360"/>
      </w:pPr>
      <w:rPr>
        <w:rFonts w:ascii="Wingdings" w:hAnsi="Wingdings" w:hint="default"/>
      </w:rPr>
    </w:lvl>
  </w:abstractNum>
  <w:abstractNum w:abstractNumId="17" w15:restartNumberingAfterBreak="0">
    <w:nsid w:val="6C2A008F"/>
    <w:multiLevelType w:val="hybridMultilevel"/>
    <w:tmpl w:val="96F25960"/>
    <w:lvl w:ilvl="0" w:tplc="404282FC">
      <w:start w:val="1"/>
      <w:numFmt w:val="bullet"/>
      <w:lvlText w:val=""/>
      <w:lvlJc w:val="left"/>
      <w:pPr>
        <w:ind w:left="720" w:hanging="360"/>
      </w:pPr>
      <w:rPr>
        <w:rFonts w:ascii="Symbol" w:hAnsi="Symbol" w:hint="default"/>
      </w:rPr>
    </w:lvl>
    <w:lvl w:ilvl="1" w:tplc="6DF2555E">
      <w:start w:val="1"/>
      <w:numFmt w:val="bullet"/>
      <w:lvlText w:val="o"/>
      <w:lvlJc w:val="left"/>
      <w:pPr>
        <w:ind w:left="1440" w:hanging="360"/>
      </w:pPr>
      <w:rPr>
        <w:rFonts w:ascii="Courier New" w:hAnsi="Courier New" w:hint="default"/>
      </w:rPr>
    </w:lvl>
    <w:lvl w:ilvl="2" w:tplc="66427AB6">
      <w:start w:val="1"/>
      <w:numFmt w:val="bullet"/>
      <w:lvlText w:val=""/>
      <w:lvlJc w:val="left"/>
      <w:pPr>
        <w:ind w:left="2160" w:hanging="360"/>
      </w:pPr>
      <w:rPr>
        <w:rFonts w:ascii="Wingdings" w:hAnsi="Wingdings" w:hint="default"/>
      </w:rPr>
    </w:lvl>
    <w:lvl w:ilvl="3" w:tplc="1480D320">
      <w:start w:val="1"/>
      <w:numFmt w:val="bullet"/>
      <w:lvlText w:val=""/>
      <w:lvlJc w:val="left"/>
      <w:pPr>
        <w:ind w:left="2880" w:hanging="360"/>
      </w:pPr>
      <w:rPr>
        <w:rFonts w:ascii="Symbol" w:hAnsi="Symbol" w:hint="default"/>
      </w:rPr>
    </w:lvl>
    <w:lvl w:ilvl="4" w:tplc="FD4A9556">
      <w:start w:val="1"/>
      <w:numFmt w:val="bullet"/>
      <w:lvlText w:val="o"/>
      <w:lvlJc w:val="left"/>
      <w:pPr>
        <w:ind w:left="3600" w:hanging="360"/>
      </w:pPr>
      <w:rPr>
        <w:rFonts w:ascii="Courier New" w:hAnsi="Courier New" w:hint="default"/>
      </w:rPr>
    </w:lvl>
    <w:lvl w:ilvl="5" w:tplc="B0D43BA4">
      <w:start w:val="1"/>
      <w:numFmt w:val="bullet"/>
      <w:lvlText w:val=""/>
      <w:lvlJc w:val="left"/>
      <w:pPr>
        <w:ind w:left="4320" w:hanging="360"/>
      </w:pPr>
      <w:rPr>
        <w:rFonts w:ascii="Wingdings" w:hAnsi="Wingdings" w:hint="default"/>
      </w:rPr>
    </w:lvl>
    <w:lvl w:ilvl="6" w:tplc="5406DCCE">
      <w:start w:val="1"/>
      <w:numFmt w:val="bullet"/>
      <w:lvlText w:val=""/>
      <w:lvlJc w:val="left"/>
      <w:pPr>
        <w:ind w:left="5040" w:hanging="360"/>
      </w:pPr>
      <w:rPr>
        <w:rFonts w:ascii="Symbol" w:hAnsi="Symbol" w:hint="default"/>
      </w:rPr>
    </w:lvl>
    <w:lvl w:ilvl="7" w:tplc="4F027E64">
      <w:start w:val="1"/>
      <w:numFmt w:val="bullet"/>
      <w:lvlText w:val="o"/>
      <w:lvlJc w:val="left"/>
      <w:pPr>
        <w:ind w:left="5760" w:hanging="360"/>
      </w:pPr>
      <w:rPr>
        <w:rFonts w:ascii="Courier New" w:hAnsi="Courier New" w:hint="default"/>
      </w:rPr>
    </w:lvl>
    <w:lvl w:ilvl="8" w:tplc="273206E0">
      <w:start w:val="1"/>
      <w:numFmt w:val="bullet"/>
      <w:lvlText w:val=""/>
      <w:lvlJc w:val="left"/>
      <w:pPr>
        <w:ind w:left="6480" w:hanging="360"/>
      </w:pPr>
      <w:rPr>
        <w:rFonts w:ascii="Wingdings" w:hAnsi="Wingdings" w:hint="default"/>
      </w:rPr>
    </w:lvl>
  </w:abstractNum>
  <w:abstractNum w:abstractNumId="18" w15:restartNumberingAfterBreak="0">
    <w:nsid w:val="70E15D26"/>
    <w:multiLevelType w:val="hybridMultilevel"/>
    <w:tmpl w:val="D23ABA1E"/>
    <w:lvl w:ilvl="0" w:tplc="BEF08ECC">
      <w:start w:val="1"/>
      <w:numFmt w:val="bullet"/>
      <w:lvlText w:val=""/>
      <w:lvlJc w:val="left"/>
      <w:pPr>
        <w:ind w:left="720" w:hanging="360"/>
      </w:pPr>
      <w:rPr>
        <w:rFonts w:ascii="Symbol" w:hAnsi="Symbol" w:hint="default"/>
      </w:rPr>
    </w:lvl>
    <w:lvl w:ilvl="1" w:tplc="A706320C">
      <w:start w:val="1"/>
      <w:numFmt w:val="bullet"/>
      <w:lvlText w:val="o"/>
      <w:lvlJc w:val="left"/>
      <w:pPr>
        <w:ind w:left="1440" w:hanging="360"/>
      </w:pPr>
      <w:rPr>
        <w:rFonts w:ascii="Courier New" w:hAnsi="Courier New" w:hint="default"/>
      </w:rPr>
    </w:lvl>
    <w:lvl w:ilvl="2" w:tplc="576662A4">
      <w:start w:val="1"/>
      <w:numFmt w:val="bullet"/>
      <w:lvlText w:val=""/>
      <w:lvlJc w:val="left"/>
      <w:pPr>
        <w:ind w:left="2160" w:hanging="360"/>
      </w:pPr>
      <w:rPr>
        <w:rFonts w:ascii="Wingdings" w:hAnsi="Wingdings" w:hint="default"/>
      </w:rPr>
    </w:lvl>
    <w:lvl w:ilvl="3" w:tplc="C6680ED6">
      <w:start w:val="1"/>
      <w:numFmt w:val="bullet"/>
      <w:lvlText w:val=""/>
      <w:lvlJc w:val="left"/>
      <w:pPr>
        <w:ind w:left="2880" w:hanging="360"/>
      </w:pPr>
      <w:rPr>
        <w:rFonts w:ascii="Symbol" w:hAnsi="Symbol" w:hint="default"/>
      </w:rPr>
    </w:lvl>
    <w:lvl w:ilvl="4" w:tplc="7E5E44BC">
      <w:start w:val="1"/>
      <w:numFmt w:val="bullet"/>
      <w:lvlText w:val="o"/>
      <w:lvlJc w:val="left"/>
      <w:pPr>
        <w:ind w:left="3600" w:hanging="360"/>
      </w:pPr>
      <w:rPr>
        <w:rFonts w:ascii="Courier New" w:hAnsi="Courier New" w:hint="default"/>
      </w:rPr>
    </w:lvl>
    <w:lvl w:ilvl="5" w:tplc="65B2B612">
      <w:start w:val="1"/>
      <w:numFmt w:val="bullet"/>
      <w:lvlText w:val=""/>
      <w:lvlJc w:val="left"/>
      <w:pPr>
        <w:ind w:left="4320" w:hanging="360"/>
      </w:pPr>
      <w:rPr>
        <w:rFonts w:ascii="Wingdings" w:hAnsi="Wingdings" w:hint="default"/>
      </w:rPr>
    </w:lvl>
    <w:lvl w:ilvl="6" w:tplc="826E2446">
      <w:start w:val="1"/>
      <w:numFmt w:val="bullet"/>
      <w:lvlText w:val=""/>
      <w:lvlJc w:val="left"/>
      <w:pPr>
        <w:ind w:left="5040" w:hanging="360"/>
      </w:pPr>
      <w:rPr>
        <w:rFonts w:ascii="Symbol" w:hAnsi="Symbol" w:hint="default"/>
      </w:rPr>
    </w:lvl>
    <w:lvl w:ilvl="7" w:tplc="E0A810B8">
      <w:start w:val="1"/>
      <w:numFmt w:val="bullet"/>
      <w:lvlText w:val="o"/>
      <w:lvlJc w:val="left"/>
      <w:pPr>
        <w:ind w:left="5760" w:hanging="360"/>
      </w:pPr>
      <w:rPr>
        <w:rFonts w:ascii="Courier New" w:hAnsi="Courier New" w:hint="default"/>
      </w:rPr>
    </w:lvl>
    <w:lvl w:ilvl="8" w:tplc="A7A4A84E">
      <w:start w:val="1"/>
      <w:numFmt w:val="bullet"/>
      <w:lvlText w:val=""/>
      <w:lvlJc w:val="left"/>
      <w:pPr>
        <w:ind w:left="6480" w:hanging="360"/>
      </w:pPr>
      <w:rPr>
        <w:rFonts w:ascii="Wingdings" w:hAnsi="Wingdings" w:hint="default"/>
      </w:rPr>
    </w:lvl>
  </w:abstractNum>
  <w:abstractNum w:abstractNumId="19" w15:restartNumberingAfterBreak="0">
    <w:nsid w:val="72EF98EB"/>
    <w:multiLevelType w:val="hybridMultilevel"/>
    <w:tmpl w:val="79BC9BEC"/>
    <w:lvl w:ilvl="0" w:tplc="46906B64">
      <w:start w:val="1"/>
      <w:numFmt w:val="bullet"/>
      <w:lvlText w:val="·"/>
      <w:lvlJc w:val="left"/>
      <w:pPr>
        <w:ind w:left="720" w:hanging="360"/>
      </w:pPr>
      <w:rPr>
        <w:rFonts w:ascii="Symbol" w:hAnsi="Symbol" w:hint="default"/>
      </w:rPr>
    </w:lvl>
    <w:lvl w:ilvl="1" w:tplc="4BCC4E96">
      <w:start w:val="1"/>
      <w:numFmt w:val="bullet"/>
      <w:lvlText w:val="o"/>
      <w:lvlJc w:val="left"/>
      <w:pPr>
        <w:ind w:left="1440" w:hanging="360"/>
      </w:pPr>
      <w:rPr>
        <w:rFonts w:ascii="Courier New" w:hAnsi="Courier New" w:hint="default"/>
      </w:rPr>
    </w:lvl>
    <w:lvl w:ilvl="2" w:tplc="2ABE1FA6">
      <w:start w:val="1"/>
      <w:numFmt w:val="bullet"/>
      <w:lvlText w:val=""/>
      <w:lvlJc w:val="left"/>
      <w:pPr>
        <w:ind w:left="2160" w:hanging="360"/>
      </w:pPr>
      <w:rPr>
        <w:rFonts w:ascii="Wingdings" w:hAnsi="Wingdings" w:hint="default"/>
      </w:rPr>
    </w:lvl>
    <w:lvl w:ilvl="3" w:tplc="809AFE22">
      <w:start w:val="1"/>
      <w:numFmt w:val="bullet"/>
      <w:lvlText w:val=""/>
      <w:lvlJc w:val="left"/>
      <w:pPr>
        <w:ind w:left="2880" w:hanging="360"/>
      </w:pPr>
      <w:rPr>
        <w:rFonts w:ascii="Symbol" w:hAnsi="Symbol" w:hint="default"/>
      </w:rPr>
    </w:lvl>
    <w:lvl w:ilvl="4" w:tplc="E0FA8DD8">
      <w:start w:val="1"/>
      <w:numFmt w:val="bullet"/>
      <w:lvlText w:val="o"/>
      <w:lvlJc w:val="left"/>
      <w:pPr>
        <w:ind w:left="3600" w:hanging="360"/>
      </w:pPr>
      <w:rPr>
        <w:rFonts w:ascii="Courier New" w:hAnsi="Courier New" w:hint="default"/>
      </w:rPr>
    </w:lvl>
    <w:lvl w:ilvl="5" w:tplc="2AB6EF8E">
      <w:start w:val="1"/>
      <w:numFmt w:val="bullet"/>
      <w:lvlText w:val=""/>
      <w:lvlJc w:val="left"/>
      <w:pPr>
        <w:ind w:left="4320" w:hanging="360"/>
      </w:pPr>
      <w:rPr>
        <w:rFonts w:ascii="Wingdings" w:hAnsi="Wingdings" w:hint="default"/>
      </w:rPr>
    </w:lvl>
    <w:lvl w:ilvl="6" w:tplc="ABBAAA00">
      <w:start w:val="1"/>
      <w:numFmt w:val="bullet"/>
      <w:lvlText w:val=""/>
      <w:lvlJc w:val="left"/>
      <w:pPr>
        <w:ind w:left="5040" w:hanging="360"/>
      </w:pPr>
      <w:rPr>
        <w:rFonts w:ascii="Symbol" w:hAnsi="Symbol" w:hint="default"/>
      </w:rPr>
    </w:lvl>
    <w:lvl w:ilvl="7" w:tplc="2DD4867C">
      <w:start w:val="1"/>
      <w:numFmt w:val="bullet"/>
      <w:lvlText w:val="o"/>
      <w:lvlJc w:val="left"/>
      <w:pPr>
        <w:ind w:left="5760" w:hanging="360"/>
      </w:pPr>
      <w:rPr>
        <w:rFonts w:ascii="Courier New" w:hAnsi="Courier New" w:hint="default"/>
      </w:rPr>
    </w:lvl>
    <w:lvl w:ilvl="8" w:tplc="ADB203CC">
      <w:start w:val="1"/>
      <w:numFmt w:val="bullet"/>
      <w:lvlText w:val=""/>
      <w:lvlJc w:val="left"/>
      <w:pPr>
        <w:ind w:left="6480" w:hanging="360"/>
      </w:pPr>
      <w:rPr>
        <w:rFonts w:ascii="Wingdings" w:hAnsi="Wingdings" w:hint="default"/>
      </w:rPr>
    </w:lvl>
  </w:abstractNum>
  <w:abstractNum w:abstractNumId="20" w15:restartNumberingAfterBreak="0">
    <w:nsid w:val="7708454C"/>
    <w:multiLevelType w:val="hybridMultilevel"/>
    <w:tmpl w:val="800A6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B23C0"/>
    <w:multiLevelType w:val="hybridMultilevel"/>
    <w:tmpl w:val="11A43BFC"/>
    <w:lvl w:ilvl="0" w:tplc="92E281DE">
      <w:start w:val="1"/>
      <w:numFmt w:val="bullet"/>
      <w:pStyle w:val="CERbullets"/>
      <w:lvlText w:val=""/>
      <w:lvlJc w:val="left"/>
      <w:pPr>
        <w:ind w:left="360" w:hanging="360"/>
      </w:pPr>
      <w:rPr>
        <w:rFonts w:ascii="Symbol" w:hAnsi="Symbol" w:hint="default"/>
        <w:color w:val="006C93" w:themeColor="accent3"/>
      </w:rPr>
    </w:lvl>
    <w:lvl w:ilvl="1" w:tplc="A38E1EF6">
      <w:start w:val="1"/>
      <w:numFmt w:val="bullet"/>
      <w:lvlText w:val="»"/>
      <w:lvlJc w:val="left"/>
      <w:pPr>
        <w:ind w:left="720" w:hanging="360"/>
      </w:pPr>
      <w:rPr>
        <w:rFonts w:ascii="Arial" w:hAnsi="Arial" w:hint="default"/>
        <w:color w:val="006C93" w:themeColor="accent3"/>
      </w:rPr>
    </w:lvl>
    <w:lvl w:ilvl="2" w:tplc="20F2545A">
      <w:start w:val="1"/>
      <w:numFmt w:val="bullet"/>
      <w:lvlText w:val="›"/>
      <w:lvlJc w:val="left"/>
      <w:pPr>
        <w:ind w:left="1080" w:hanging="360"/>
      </w:pPr>
      <w:rPr>
        <w:rFonts w:ascii="Arial" w:hAnsi="Arial" w:hint="default"/>
        <w:color w:val="006C93" w:themeColor="accent3"/>
      </w:rPr>
    </w:lvl>
    <w:lvl w:ilvl="3" w:tplc="947A8F04">
      <w:start w:val="1"/>
      <w:numFmt w:val="decimal"/>
      <w:lvlText w:val="(%4)"/>
      <w:lvlJc w:val="left"/>
      <w:pPr>
        <w:ind w:left="1440" w:hanging="360"/>
      </w:pPr>
    </w:lvl>
    <w:lvl w:ilvl="4" w:tplc="F0F69C84">
      <w:start w:val="1"/>
      <w:numFmt w:val="lowerLetter"/>
      <w:lvlText w:val="(%5)"/>
      <w:lvlJc w:val="left"/>
      <w:pPr>
        <w:ind w:left="1800" w:hanging="360"/>
      </w:pPr>
    </w:lvl>
    <w:lvl w:ilvl="5" w:tplc="FC529B2E">
      <w:start w:val="1"/>
      <w:numFmt w:val="lowerRoman"/>
      <w:lvlText w:val="(%6)"/>
      <w:lvlJc w:val="left"/>
      <w:pPr>
        <w:ind w:left="2160" w:hanging="360"/>
      </w:pPr>
    </w:lvl>
    <w:lvl w:ilvl="6" w:tplc="C2B40A0E">
      <w:start w:val="1"/>
      <w:numFmt w:val="decimal"/>
      <w:lvlText w:val="%7."/>
      <w:lvlJc w:val="left"/>
      <w:pPr>
        <w:ind w:left="2520" w:hanging="360"/>
      </w:pPr>
    </w:lvl>
    <w:lvl w:ilvl="7" w:tplc="F63C1DB0">
      <w:start w:val="1"/>
      <w:numFmt w:val="lowerLetter"/>
      <w:lvlText w:val="%8."/>
      <w:lvlJc w:val="left"/>
      <w:pPr>
        <w:ind w:left="2880" w:hanging="360"/>
      </w:pPr>
    </w:lvl>
    <w:lvl w:ilvl="8" w:tplc="30520BE2">
      <w:start w:val="1"/>
      <w:numFmt w:val="lowerRoman"/>
      <w:lvlText w:val="%9."/>
      <w:lvlJc w:val="left"/>
      <w:pPr>
        <w:ind w:left="3240" w:hanging="360"/>
      </w:pPr>
    </w:lvl>
  </w:abstractNum>
  <w:abstractNum w:abstractNumId="22" w15:restartNumberingAfterBreak="0">
    <w:nsid w:val="7C61556F"/>
    <w:multiLevelType w:val="hybridMultilevel"/>
    <w:tmpl w:val="7C3C87AC"/>
    <w:lvl w:ilvl="0" w:tplc="6478B9D0">
      <w:start w:val="1"/>
      <w:numFmt w:val="bullet"/>
      <w:lvlText w:val=""/>
      <w:lvlJc w:val="left"/>
      <w:pPr>
        <w:ind w:left="720" w:hanging="360"/>
      </w:pPr>
      <w:rPr>
        <w:rFonts w:ascii="Symbol" w:hAnsi="Symbol" w:hint="default"/>
      </w:rPr>
    </w:lvl>
    <w:lvl w:ilvl="1" w:tplc="E9AC01EC">
      <w:start w:val="1"/>
      <w:numFmt w:val="bullet"/>
      <w:lvlText w:val="o"/>
      <w:lvlJc w:val="left"/>
      <w:pPr>
        <w:ind w:left="1440" w:hanging="360"/>
      </w:pPr>
      <w:rPr>
        <w:rFonts w:ascii="Courier New" w:hAnsi="Courier New" w:hint="default"/>
      </w:rPr>
    </w:lvl>
    <w:lvl w:ilvl="2" w:tplc="16D8D66C">
      <w:start w:val="1"/>
      <w:numFmt w:val="bullet"/>
      <w:lvlText w:val=""/>
      <w:lvlJc w:val="left"/>
      <w:pPr>
        <w:ind w:left="2160" w:hanging="360"/>
      </w:pPr>
      <w:rPr>
        <w:rFonts w:ascii="Wingdings" w:hAnsi="Wingdings" w:hint="default"/>
      </w:rPr>
    </w:lvl>
    <w:lvl w:ilvl="3" w:tplc="9F8E77DA">
      <w:start w:val="1"/>
      <w:numFmt w:val="bullet"/>
      <w:lvlText w:val=""/>
      <w:lvlJc w:val="left"/>
      <w:pPr>
        <w:ind w:left="2880" w:hanging="360"/>
      </w:pPr>
      <w:rPr>
        <w:rFonts w:ascii="Symbol" w:hAnsi="Symbol" w:hint="default"/>
      </w:rPr>
    </w:lvl>
    <w:lvl w:ilvl="4" w:tplc="4B0A1F92">
      <w:start w:val="1"/>
      <w:numFmt w:val="bullet"/>
      <w:lvlText w:val="o"/>
      <w:lvlJc w:val="left"/>
      <w:pPr>
        <w:ind w:left="3600" w:hanging="360"/>
      </w:pPr>
      <w:rPr>
        <w:rFonts w:ascii="Courier New" w:hAnsi="Courier New" w:hint="default"/>
      </w:rPr>
    </w:lvl>
    <w:lvl w:ilvl="5" w:tplc="9EBC36AC">
      <w:start w:val="1"/>
      <w:numFmt w:val="bullet"/>
      <w:lvlText w:val=""/>
      <w:lvlJc w:val="left"/>
      <w:pPr>
        <w:ind w:left="4320" w:hanging="360"/>
      </w:pPr>
      <w:rPr>
        <w:rFonts w:ascii="Wingdings" w:hAnsi="Wingdings" w:hint="default"/>
      </w:rPr>
    </w:lvl>
    <w:lvl w:ilvl="6" w:tplc="C2583034">
      <w:start w:val="1"/>
      <w:numFmt w:val="bullet"/>
      <w:lvlText w:val=""/>
      <w:lvlJc w:val="left"/>
      <w:pPr>
        <w:ind w:left="5040" w:hanging="360"/>
      </w:pPr>
      <w:rPr>
        <w:rFonts w:ascii="Symbol" w:hAnsi="Symbol" w:hint="default"/>
      </w:rPr>
    </w:lvl>
    <w:lvl w:ilvl="7" w:tplc="9EA25A06">
      <w:start w:val="1"/>
      <w:numFmt w:val="bullet"/>
      <w:lvlText w:val="o"/>
      <w:lvlJc w:val="left"/>
      <w:pPr>
        <w:ind w:left="5760" w:hanging="360"/>
      </w:pPr>
      <w:rPr>
        <w:rFonts w:ascii="Courier New" w:hAnsi="Courier New" w:hint="default"/>
      </w:rPr>
    </w:lvl>
    <w:lvl w:ilvl="8" w:tplc="0B3EAD68">
      <w:start w:val="1"/>
      <w:numFmt w:val="bullet"/>
      <w:lvlText w:val=""/>
      <w:lvlJc w:val="left"/>
      <w:pPr>
        <w:ind w:left="6480" w:hanging="360"/>
      </w:pPr>
      <w:rPr>
        <w:rFonts w:ascii="Wingdings" w:hAnsi="Wingdings" w:hint="default"/>
      </w:rPr>
    </w:lvl>
  </w:abstractNum>
  <w:num w:numId="1" w16cid:durableId="1068579399">
    <w:abstractNumId w:val="12"/>
  </w:num>
  <w:num w:numId="2" w16cid:durableId="576328253">
    <w:abstractNumId w:val="16"/>
  </w:num>
  <w:num w:numId="3" w16cid:durableId="1384059521">
    <w:abstractNumId w:val="18"/>
  </w:num>
  <w:num w:numId="4" w16cid:durableId="342979155">
    <w:abstractNumId w:val="22"/>
  </w:num>
  <w:num w:numId="5" w16cid:durableId="1662388762">
    <w:abstractNumId w:val="10"/>
  </w:num>
  <w:num w:numId="6" w16cid:durableId="1149900966">
    <w:abstractNumId w:val="0"/>
  </w:num>
  <w:num w:numId="7" w16cid:durableId="64225936">
    <w:abstractNumId w:val="7"/>
  </w:num>
  <w:num w:numId="8" w16cid:durableId="800076998">
    <w:abstractNumId w:val="8"/>
  </w:num>
  <w:num w:numId="9" w16cid:durableId="2056658840">
    <w:abstractNumId w:val="6"/>
  </w:num>
  <w:num w:numId="10" w16cid:durableId="360785384">
    <w:abstractNumId w:val="17"/>
  </w:num>
  <w:num w:numId="11" w16cid:durableId="1524857519">
    <w:abstractNumId w:val="3"/>
  </w:num>
  <w:num w:numId="12" w16cid:durableId="1354306641">
    <w:abstractNumId w:val="15"/>
  </w:num>
  <w:num w:numId="13" w16cid:durableId="111634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7522351">
    <w:abstractNumId w:val="21"/>
  </w:num>
  <w:num w:numId="15" w16cid:durableId="898441945">
    <w:abstractNumId w:val="1"/>
  </w:num>
  <w:num w:numId="16" w16cid:durableId="240872863">
    <w:abstractNumId w:val="11"/>
  </w:num>
  <w:num w:numId="17" w16cid:durableId="879049754">
    <w:abstractNumId w:val="14"/>
  </w:num>
  <w:num w:numId="18" w16cid:durableId="1078550584">
    <w:abstractNumId w:val="2"/>
  </w:num>
  <w:num w:numId="19" w16cid:durableId="1230967481">
    <w:abstractNumId w:val="20"/>
  </w:num>
  <w:num w:numId="20" w16cid:durableId="262421816">
    <w:abstractNumId w:val="9"/>
  </w:num>
  <w:num w:numId="21" w16cid:durableId="1451820057">
    <w:abstractNumId w:val="4"/>
  </w:num>
  <w:num w:numId="22" w16cid:durableId="1645967124">
    <w:abstractNumId w:val="19"/>
  </w:num>
  <w:num w:numId="23" w16cid:durableId="67804816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6"/>
    <w:rsid w:val="00000630"/>
    <w:rsid w:val="00000D53"/>
    <w:rsid w:val="00001E38"/>
    <w:rsid w:val="00003663"/>
    <w:rsid w:val="000037C7"/>
    <w:rsid w:val="00004C68"/>
    <w:rsid w:val="00006B10"/>
    <w:rsid w:val="00006F1A"/>
    <w:rsid w:val="000073E3"/>
    <w:rsid w:val="0001099D"/>
    <w:rsid w:val="00010A40"/>
    <w:rsid w:val="00010C36"/>
    <w:rsid w:val="00011F48"/>
    <w:rsid w:val="00012240"/>
    <w:rsid w:val="000126D9"/>
    <w:rsid w:val="0001279F"/>
    <w:rsid w:val="000128F0"/>
    <w:rsid w:val="0001459F"/>
    <w:rsid w:val="00014706"/>
    <w:rsid w:val="00014961"/>
    <w:rsid w:val="00015432"/>
    <w:rsid w:val="00015C27"/>
    <w:rsid w:val="00015DD8"/>
    <w:rsid w:val="000175FE"/>
    <w:rsid w:val="0001799A"/>
    <w:rsid w:val="0002097D"/>
    <w:rsid w:val="0002179D"/>
    <w:rsid w:val="00022EBF"/>
    <w:rsid w:val="000238C0"/>
    <w:rsid w:val="000238EC"/>
    <w:rsid w:val="0002455C"/>
    <w:rsid w:val="00024577"/>
    <w:rsid w:val="0002494B"/>
    <w:rsid w:val="000252D7"/>
    <w:rsid w:val="000263F0"/>
    <w:rsid w:val="00031090"/>
    <w:rsid w:val="00031EFE"/>
    <w:rsid w:val="00031FD4"/>
    <w:rsid w:val="000323ED"/>
    <w:rsid w:val="00034185"/>
    <w:rsid w:val="0003525D"/>
    <w:rsid w:val="00035321"/>
    <w:rsid w:val="0003582F"/>
    <w:rsid w:val="0003619E"/>
    <w:rsid w:val="00036EA7"/>
    <w:rsid w:val="00037167"/>
    <w:rsid w:val="00037633"/>
    <w:rsid w:val="000378B6"/>
    <w:rsid w:val="00037D0D"/>
    <w:rsid w:val="000408E7"/>
    <w:rsid w:val="00041212"/>
    <w:rsid w:val="00041655"/>
    <w:rsid w:val="00041BDB"/>
    <w:rsid w:val="00041E80"/>
    <w:rsid w:val="00042A94"/>
    <w:rsid w:val="00043344"/>
    <w:rsid w:val="000442F7"/>
    <w:rsid w:val="0004566A"/>
    <w:rsid w:val="00045A7E"/>
    <w:rsid w:val="00045EA1"/>
    <w:rsid w:val="0004685C"/>
    <w:rsid w:val="00046EBF"/>
    <w:rsid w:val="000475FA"/>
    <w:rsid w:val="00050DF2"/>
    <w:rsid w:val="00051029"/>
    <w:rsid w:val="00051AC8"/>
    <w:rsid w:val="0005314B"/>
    <w:rsid w:val="0005365F"/>
    <w:rsid w:val="00053A89"/>
    <w:rsid w:val="00055188"/>
    <w:rsid w:val="00056B03"/>
    <w:rsid w:val="00056FF0"/>
    <w:rsid w:val="00057BE2"/>
    <w:rsid w:val="0006112F"/>
    <w:rsid w:val="000612E3"/>
    <w:rsid w:val="0006156E"/>
    <w:rsid w:val="0006171D"/>
    <w:rsid w:val="0006229E"/>
    <w:rsid w:val="00062927"/>
    <w:rsid w:val="000640CC"/>
    <w:rsid w:val="0006456A"/>
    <w:rsid w:val="000649DB"/>
    <w:rsid w:val="00066971"/>
    <w:rsid w:val="00066B8A"/>
    <w:rsid w:val="000678AA"/>
    <w:rsid w:val="000678BB"/>
    <w:rsid w:val="00067BB1"/>
    <w:rsid w:val="000700E2"/>
    <w:rsid w:val="00070ACD"/>
    <w:rsid w:val="00071252"/>
    <w:rsid w:val="00071425"/>
    <w:rsid w:val="00071488"/>
    <w:rsid w:val="0007229C"/>
    <w:rsid w:val="00072664"/>
    <w:rsid w:val="000738A0"/>
    <w:rsid w:val="00074BA9"/>
    <w:rsid w:val="00074BF8"/>
    <w:rsid w:val="000753C5"/>
    <w:rsid w:val="00075BA7"/>
    <w:rsid w:val="00075CE2"/>
    <w:rsid w:val="00076342"/>
    <w:rsid w:val="0008092B"/>
    <w:rsid w:val="000812D9"/>
    <w:rsid w:val="00081672"/>
    <w:rsid w:val="00081A27"/>
    <w:rsid w:val="000821C3"/>
    <w:rsid w:val="000821EE"/>
    <w:rsid w:val="00082367"/>
    <w:rsid w:val="00082C8B"/>
    <w:rsid w:val="000835E7"/>
    <w:rsid w:val="000838DF"/>
    <w:rsid w:val="00083EB4"/>
    <w:rsid w:val="00083FFC"/>
    <w:rsid w:val="000840F3"/>
    <w:rsid w:val="0008413A"/>
    <w:rsid w:val="000843B8"/>
    <w:rsid w:val="000854C3"/>
    <w:rsid w:val="0008642F"/>
    <w:rsid w:val="000869F4"/>
    <w:rsid w:val="00086C93"/>
    <w:rsid w:val="000873E6"/>
    <w:rsid w:val="000876A2"/>
    <w:rsid w:val="0009018F"/>
    <w:rsid w:val="000906DE"/>
    <w:rsid w:val="00090EDB"/>
    <w:rsid w:val="00091EE4"/>
    <w:rsid w:val="00091F15"/>
    <w:rsid w:val="00091FB0"/>
    <w:rsid w:val="00092C41"/>
    <w:rsid w:val="00093613"/>
    <w:rsid w:val="0009383D"/>
    <w:rsid w:val="000949B4"/>
    <w:rsid w:val="000964C2"/>
    <w:rsid w:val="00096878"/>
    <w:rsid w:val="00096B66"/>
    <w:rsid w:val="00096D72"/>
    <w:rsid w:val="000974D2"/>
    <w:rsid w:val="00097AEE"/>
    <w:rsid w:val="00097E71"/>
    <w:rsid w:val="000A0ADC"/>
    <w:rsid w:val="000A0DD5"/>
    <w:rsid w:val="000A3361"/>
    <w:rsid w:val="000A3B01"/>
    <w:rsid w:val="000A3DA9"/>
    <w:rsid w:val="000A46B9"/>
    <w:rsid w:val="000A5FF8"/>
    <w:rsid w:val="000A659C"/>
    <w:rsid w:val="000A7134"/>
    <w:rsid w:val="000A7E55"/>
    <w:rsid w:val="000B0D30"/>
    <w:rsid w:val="000B1DF9"/>
    <w:rsid w:val="000B2225"/>
    <w:rsid w:val="000B3E25"/>
    <w:rsid w:val="000B3F99"/>
    <w:rsid w:val="000B4794"/>
    <w:rsid w:val="000B589C"/>
    <w:rsid w:val="000B6755"/>
    <w:rsid w:val="000B7B66"/>
    <w:rsid w:val="000B7B6E"/>
    <w:rsid w:val="000C068E"/>
    <w:rsid w:val="000C137F"/>
    <w:rsid w:val="000C1BA6"/>
    <w:rsid w:val="000C252A"/>
    <w:rsid w:val="000C3B12"/>
    <w:rsid w:val="000C4092"/>
    <w:rsid w:val="000C4813"/>
    <w:rsid w:val="000C4969"/>
    <w:rsid w:val="000C5310"/>
    <w:rsid w:val="000C6353"/>
    <w:rsid w:val="000C6418"/>
    <w:rsid w:val="000C6864"/>
    <w:rsid w:val="000C776D"/>
    <w:rsid w:val="000D10C2"/>
    <w:rsid w:val="000D2194"/>
    <w:rsid w:val="000D23F8"/>
    <w:rsid w:val="000D2B59"/>
    <w:rsid w:val="000D2EA1"/>
    <w:rsid w:val="000D3C2F"/>
    <w:rsid w:val="000D3EF1"/>
    <w:rsid w:val="000D4CDE"/>
    <w:rsid w:val="000D59F0"/>
    <w:rsid w:val="000D787E"/>
    <w:rsid w:val="000D7A2B"/>
    <w:rsid w:val="000D7C68"/>
    <w:rsid w:val="000E0E21"/>
    <w:rsid w:val="000E2C69"/>
    <w:rsid w:val="000E2FF3"/>
    <w:rsid w:val="000E3311"/>
    <w:rsid w:val="000E3569"/>
    <w:rsid w:val="000E4ECF"/>
    <w:rsid w:val="000E5332"/>
    <w:rsid w:val="000E5822"/>
    <w:rsid w:val="000E5848"/>
    <w:rsid w:val="000E5A13"/>
    <w:rsid w:val="000E5C3D"/>
    <w:rsid w:val="000E6BDE"/>
    <w:rsid w:val="000F043B"/>
    <w:rsid w:val="000F1EB7"/>
    <w:rsid w:val="000F220F"/>
    <w:rsid w:val="000F246E"/>
    <w:rsid w:val="000F278B"/>
    <w:rsid w:val="000F2865"/>
    <w:rsid w:val="000F29E9"/>
    <w:rsid w:val="000F2BDF"/>
    <w:rsid w:val="000F450D"/>
    <w:rsid w:val="000F480C"/>
    <w:rsid w:val="000F5BD0"/>
    <w:rsid w:val="000F5E1B"/>
    <w:rsid w:val="000F6700"/>
    <w:rsid w:val="000F6B44"/>
    <w:rsid w:val="00100516"/>
    <w:rsid w:val="00100E0D"/>
    <w:rsid w:val="00103D6E"/>
    <w:rsid w:val="00103F2F"/>
    <w:rsid w:val="00104532"/>
    <w:rsid w:val="001063CC"/>
    <w:rsid w:val="00107957"/>
    <w:rsid w:val="00107CA0"/>
    <w:rsid w:val="00107F4D"/>
    <w:rsid w:val="00111203"/>
    <w:rsid w:val="00111BF8"/>
    <w:rsid w:val="00112E29"/>
    <w:rsid w:val="00114556"/>
    <w:rsid w:val="00115846"/>
    <w:rsid w:val="00115F35"/>
    <w:rsid w:val="00116BE0"/>
    <w:rsid w:val="00117CA2"/>
    <w:rsid w:val="00117F10"/>
    <w:rsid w:val="00121BF1"/>
    <w:rsid w:val="00122064"/>
    <w:rsid w:val="00122E3D"/>
    <w:rsid w:val="00122F06"/>
    <w:rsid w:val="00124AA1"/>
    <w:rsid w:val="00124AE2"/>
    <w:rsid w:val="00124DC2"/>
    <w:rsid w:val="00124DF3"/>
    <w:rsid w:val="00125032"/>
    <w:rsid w:val="0012658C"/>
    <w:rsid w:val="0012755E"/>
    <w:rsid w:val="00127579"/>
    <w:rsid w:val="001276AA"/>
    <w:rsid w:val="001278CA"/>
    <w:rsid w:val="00130010"/>
    <w:rsid w:val="00130E93"/>
    <w:rsid w:val="00130E96"/>
    <w:rsid w:val="00132752"/>
    <w:rsid w:val="001346FD"/>
    <w:rsid w:val="001348EA"/>
    <w:rsid w:val="00134EAA"/>
    <w:rsid w:val="00135085"/>
    <w:rsid w:val="0013759E"/>
    <w:rsid w:val="00137C4B"/>
    <w:rsid w:val="00137DF9"/>
    <w:rsid w:val="0014187A"/>
    <w:rsid w:val="00143A2F"/>
    <w:rsid w:val="00143D41"/>
    <w:rsid w:val="00144C3E"/>
    <w:rsid w:val="00145501"/>
    <w:rsid w:val="00145585"/>
    <w:rsid w:val="0014632C"/>
    <w:rsid w:val="00147338"/>
    <w:rsid w:val="00147B20"/>
    <w:rsid w:val="001507E5"/>
    <w:rsid w:val="00150F00"/>
    <w:rsid w:val="001512C0"/>
    <w:rsid w:val="00151587"/>
    <w:rsid w:val="00152F48"/>
    <w:rsid w:val="00154F7F"/>
    <w:rsid w:val="00154F98"/>
    <w:rsid w:val="00156091"/>
    <w:rsid w:val="00156D23"/>
    <w:rsid w:val="001570CD"/>
    <w:rsid w:val="00157175"/>
    <w:rsid w:val="00163159"/>
    <w:rsid w:val="00163AA2"/>
    <w:rsid w:val="00163DC8"/>
    <w:rsid w:val="00163FC4"/>
    <w:rsid w:val="0016453C"/>
    <w:rsid w:val="001651F7"/>
    <w:rsid w:val="001653A7"/>
    <w:rsid w:val="00165D11"/>
    <w:rsid w:val="00167FE5"/>
    <w:rsid w:val="001707A6"/>
    <w:rsid w:val="0017186A"/>
    <w:rsid w:val="00172F17"/>
    <w:rsid w:val="00176871"/>
    <w:rsid w:val="00176C28"/>
    <w:rsid w:val="001775B3"/>
    <w:rsid w:val="00180444"/>
    <w:rsid w:val="00182194"/>
    <w:rsid w:val="00183AA6"/>
    <w:rsid w:val="00184A95"/>
    <w:rsid w:val="001854C8"/>
    <w:rsid w:val="00190165"/>
    <w:rsid w:val="00191E9E"/>
    <w:rsid w:val="001929FD"/>
    <w:rsid w:val="0019399D"/>
    <w:rsid w:val="00193A6C"/>
    <w:rsid w:val="00193C36"/>
    <w:rsid w:val="0019433C"/>
    <w:rsid w:val="00195229"/>
    <w:rsid w:val="0019525B"/>
    <w:rsid w:val="00195977"/>
    <w:rsid w:val="00195D85"/>
    <w:rsid w:val="001962D9"/>
    <w:rsid w:val="00196FEC"/>
    <w:rsid w:val="00197F43"/>
    <w:rsid w:val="001A0D2D"/>
    <w:rsid w:val="001A13BC"/>
    <w:rsid w:val="001A44BA"/>
    <w:rsid w:val="001A45DB"/>
    <w:rsid w:val="001A4F67"/>
    <w:rsid w:val="001A5FF1"/>
    <w:rsid w:val="001A6272"/>
    <w:rsid w:val="001A6B04"/>
    <w:rsid w:val="001A7A9A"/>
    <w:rsid w:val="001B019E"/>
    <w:rsid w:val="001B0680"/>
    <w:rsid w:val="001B09BB"/>
    <w:rsid w:val="001B2A28"/>
    <w:rsid w:val="001B3214"/>
    <w:rsid w:val="001B6360"/>
    <w:rsid w:val="001B66AA"/>
    <w:rsid w:val="001B70B6"/>
    <w:rsid w:val="001B7276"/>
    <w:rsid w:val="001C01DD"/>
    <w:rsid w:val="001C08F1"/>
    <w:rsid w:val="001C191F"/>
    <w:rsid w:val="001C1D4F"/>
    <w:rsid w:val="001C24B6"/>
    <w:rsid w:val="001C35C9"/>
    <w:rsid w:val="001C387E"/>
    <w:rsid w:val="001C4746"/>
    <w:rsid w:val="001C5F8E"/>
    <w:rsid w:val="001C70D6"/>
    <w:rsid w:val="001C7267"/>
    <w:rsid w:val="001D2953"/>
    <w:rsid w:val="001D2A16"/>
    <w:rsid w:val="001D2DB3"/>
    <w:rsid w:val="001D3801"/>
    <w:rsid w:val="001D3831"/>
    <w:rsid w:val="001D38B1"/>
    <w:rsid w:val="001D4326"/>
    <w:rsid w:val="001D4349"/>
    <w:rsid w:val="001D4DD5"/>
    <w:rsid w:val="001D4F1A"/>
    <w:rsid w:val="001D5E01"/>
    <w:rsid w:val="001D684F"/>
    <w:rsid w:val="001E10C4"/>
    <w:rsid w:val="001E2FD0"/>
    <w:rsid w:val="001E369B"/>
    <w:rsid w:val="001E3F02"/>
    <w:rsid w:val="001E6B4D"/>
    <w:rsid w:val="001E7C45"/>
    <w:rsid w:val="001F0E1D"/>
    <w:rsid w:val="001F1A7F"/>
    <w:rsid w:val="001F2F2E"/>
    <w:rsid w:val="001F341A"/>
    <w:rsid w:val="001F3864"/>
    <w:rsid w:val="001F6F43"/>
    <w:rsid w:val="001F713B"/>
    <w:rsid w:val="001F7140"/>
    <w:rsid w:val="001F77A2"/>
    <w:rsid w:val="00200684"/>
    <w:rsid w:val="00200E4E"/>
    <w:rsid w:val="00201FF5"/>
    <w:rsid w:val="0020278B"/>
    <w:rsid w:val="002027DE"/>
    <w:rsid w:val="00202E1A"/>
    <w:rsid w:val="00203267"/>
    <w:rsid w:val="0020360E"/>
    <w:rsid w:val="00203758"/>
    <w:rsid w:val="00203B57"/>
    <w:rsid w:val="00203DBB"/>
    <w:rsid w:val="002042F3"/>
    <w:rsid w:val="0020512A"/>
    <w:rsid w:val="002054A4"/>
    <w:rsid w:val="00205897"/>
    <w:rsid w:val="00205BD7"/>
    <w:rsid w:val="002066AB"/>
    <w:rsid w:val="00206C33"/>
    <w:rsid w:val="00210DC8"/>
    <w:rsid w:val="002118E5"/>
    <w:rsid w:val="00212403"/>
    <w:rsid w:val="002128AB"/>
    <w:rsid w:val="0021360C"/>
    <w:rsid w:val="0021462B"/>
    <w:rsid w:val="00214CEB"/>
    <w:rsid w:val="00216E5D"/>
    <w:rsid w:val="00217104"/>
    <w:rsid w:val="0021782A"/>
    <w:rsid w:val="0021784E"/>
    <w:rsid w:val="00222920"/>
    <w:rsid w:val="00223676"/>
    <w:rsid w:val="0022374B"/>
    <w:rsid w:val="00223F9F"/>
    <w:rsid w:val="00224444"/>
    <w:rsid w:val="002251EC"/>
    <w:rsid w:val="00225576"/>
    <w:rsid w:val="002258CB"/>
    <w:rsid w:val="00226F57"/>
    <w:rsid w:val="002277D0"/>
    <w:rsid w:val="002279B6"/>
    <w:rsid w:val="002312CE"/>
    <w:rsid w:val="00231CDF"/>
    <w:rsid w:val="0023247C"/>
    <w:rsid w:val="00232D36"/>
    <w:rsid w:val="00232E2A"/>
    <w:rsid w:val="002346E8"/>
    <w:rsid w:val="00235963"/>
    <w:rsid w:val="00235B98"/>
    <w:rsid w:val="00235FDE"/>
    <w:rsid w:val="002362FB"/>
    <w:rsid w:val="002401FA"/>
    <w:rsid w:val="00240502"/>
    <w:rsid w:val="002416A6"/>
    <w:rsid w:val="002429D1"/>
    <w:rsid w:val="002432FC"/>
    <w:rsid w:val="00243E9E"/>
    <w:rsid w:val="0024650B"/>
    <w:rsid w:val="00250787"/>
    <w:rsid w:val="00250AA0"/>
    <w:rsid w:val="00250DC3"/>
    <w:rsid w:val="00250FA8"/>
    <w:rsid w:val="002514BA"/>
    <w:rsid w:val="00252FA1"/>
    <w:rsid w:val="002534B3"/>
    <w:rsid w:val="002537CF"/>
    <w:rsid w:val="00253BA3"/>
    <w:rsid w:val="00253FFC"/>
    <w:rsid w:val="00254319"/>
    <w:rsid w:val="00254EAE"/>
    <w:rsid w:val="00256BA0"/>
    <w:rsid w:val="00260591"/>
    <w:rsid w:val="00261F37"/>
    <w:rsid w:val="002622E9"/>
    <w:rsid w:val="00262B03"/>
    <w:rsid w:val="00262EC8"/>
    <w:rsid w:val="002630E5"/>
    <w:rsid w:val="00263652"/>
    <w:rsid w:val="002636C8"/>
    <w:rsid w:val="0026419F"/>
    <w:rsid w:val="0026431B"/>
    <w:rsid w:val="00266C37"/>
    <w:rsid w:val="002703B0"/>
    <w:rsid w:val="002735CB"/>
    <w:rsid w:val="00273CC4"/>
    <w:rsid w:val="0027404A"/>
    <w:rsid w:val="002775CA"/>
    <w:rsid w:val="00280966"/>
    <w:rsid w:val="00281A57"/>
    <w:rsid w:val="002820E1"/>
    <w:rsid w:val="0028240E"/>
    <w:rsid w:val="00282B6F"/>
    <w:rsid w:val="00283417"/>
    <w:rsid w:val="00284960"/>
    <w:rsid w:val="00284B93"/>
    <w:rsid w:val="002854A9"/>
    <w:rsid w:val="00285744"/>
    <w:rsid w:val="00285BA7"/>
    <w:rsid w:val="00286A33"/>
    <w:rsid w:val="00286C2D"/>
    <w:rsid w:val="00286D9C"/>
    <w:rsid w:val="00290058"/>
    <w:rsid w:val="0029097D"/>
    <w:rsid w:val="00290B97"/>
    <w:rsid w:val="00290E3D"/>
    <w:rsid w:val="00291952"/>
    <w:rsid w:val="00292341"/>
    <w:rsid w:val="0029262D"/>
    <w:rsid w:val="00293366"/>
    <w:rsid w:val="002938A6"/>
    <w:rsid w:val="00294202"/>
    <w:rsid w:val="00294F37"/>
    <w:rsid w:val="002952B3"/>
    <w:rsid w:val="00295310"/>
    <w:rsid w:val="002954BF"/>
    <w:rsid w:val="00296E2A"/>
    <w:rsid w:val="00297114"/>
    <w:rsid w:val="0029762A"/>
    <w:rsid w:val="00297A5F"/>
    <w:rsid w:val="002A1380"/>
    <w:rsid w:val="002A13E9"/>
    <w:rsid w:val="002A154D"/>
    <w:rsid w:val="002A2078"/>
    <w:rsid w:val="002A2829"/>
    <w:rsid w:val="002A3B2F"/>
    <w:rsid w:val="002A7536"/>
    <w:rsid w:val="002A7A51"/>
    <w:rsid w:val="002A7A96"/>
    <w:rsid w:val="002A7EA6"/>
    <w:rsid w:val="002B0C5C"/>
    <w:rsid w:val="002B11E3"/>
    <w:rsid w:val="002B13DB"/>
    <w:rsid w:val="002B24FC"/>
    <w:rsid w:val="002B310D"/>
    <w:rsid w:val="002B5252"/>
    <w:rsid w:val="002B582C"/>
    <w:rsid w:val="002B6200"/>
    <w:rsid w:val="002B634D"/>
    <w:rsid w:val="002B77CA"/>
    <w:rsid w:val="002B796E"/>
    <w:rsid w:val="002C08E7"/>
    <w:rsid w:val="002C0A51"/>
    <w:rsid w:val="002C0C8B"/>
    <w:rsid w:val="002C2B72"/>
    <w:rsid w:val="002C384C"/>
    <w:rsid w:val="002C3CC1"/>
    <w:rsid w:val="002C427B"/>
    <w:rsid w:val="002C47CA"/>
    <w:rsid w:val="002C5B21"/>
    <w:rsid w:val="002C5D4F"/>
    <w:rsid w:val="002C699E"/>
    <w:rsid w:val="002C702A"/>
    <w:rsid w:val="002C717F"/>
    <w:rsid w:val="002CCB9E"/>
    <w:rsid w:val="002D0F2C"/>
    <w:rsid w:val="002D126A"/>
    <w:rsid w:val="002D18F3"/>
    <w:rsid w:val="002D2DFD"/>
    <w:rsid w:val="002D30B2"/>
    <w:rsid w:val="002D32CA"/>
    <w:rsid w:val="002D339A"/>
    <w:rsid w:val="002D355F"/>
    <w:rsid w:val="002D3797"/>
    <w:rsid w:val="002D4277"/>
    <w:rsid w:val="002D45B1"/>
    <w:rsid w:val="002D5A42"/>
    <w:rsid w:val="002D5EDF"/>
    <w:rsid w:val="002D6AFB"/>
    <w:rsid w:val="002D6CE4"/>
    <w:rsid w:val="002D7F8B"/>
    <w:rsid w:val="002E00A6"/>
    <w:rsid w:val="002E09B0"/>
    <w:rsid w:val="002E1975"/>
    <w:rsid w:val="002E1AE5"/>
    <w:rsid w:val="002E2667"/>
    <w:rsid w:val="002E2FC0"/>
    <w:rsid w:val="002E42A5"/>
    <w:rsid w:val="002E439B"/>
    <w:rsid w:val="002E4802"/>
    <w:rsid w:val="002E4DF8"/>
    <w:rsid w:val="002E4F84"/>
    <w:rsid w:val="002E58B4"/>
    <w:rsid w:val="002E6689"/>
    <w:rsid w:val="002E69A8"/>
    <w:rsid w:val="002E77C2"/>
    <w:rsid w:val="002E7804"/>
    <w:rsid w:val="002F0F02"/>
    <w:rsid w:val="002F107E"/>
    <w:rsid w:val="002F1317"/>
    <w:rsid w:val="002F1986"/>
    <w:rsid w:val="002F1A96"/>
    <w:rsid w:val="002F2066"/>
    <w:rsid w:val="002F23E5"/>
    <w:rsid w:val="002F347B"/>
    <w:rsid w:val="002F3BCA"/>
    <w:rsid w:val="002F3BD3"/>
    <w:rsid w:val="002F46DF"/>
    <w:rsid w:val="002F61C7"/>
    <w:rsid w:val="002F628B"/>
    <w:rsid w:val="002F9833"/>
    <w:rsid w:val="00300BF2"/>
    <w:rsid w:val="00301BF2"/>
    <w:rsid w:val="00301CC0"/>
    <w:rsid w:val="00301E11"/>
    <w:rsid w:val="00302BF0"/>
    <w:rsid w:val="0030339C"/>
    <w:rsid w:val="00303B27"/>
    <w:rsid w:val="0030603A"/>
    <w:rsid w:val="003064C8"/>
    <w:rsid w:val="003069F3"/>
    <w:rsid w:val="0030782F"/>
    <w:rsid w:val="00310E6A"/>
    <w:rsid w:val="003112C5"/>
    <w:rsid w:val="00312D9C"/>
    <w:rsid w:val="003158E2"/>
    <w:rsid w:val="003159A9"/>
    <w:rsid w:val="003163DC"/>
    <w:rsid w:val="00316602"/>
    <w:rsid w:val="00316645"/>
    <w:rsid w:val="00316676"/>
    <w:rsid w:val="00316EE9"/>
    <w:rsid w:val="0031D696"/>
    <w:rsid w:val="00321539"/>
    <w:rsid w:val="00321738"/>
    <w:rsid w:val="00321E0A"/>
    <w:rsid w:val="00322287"/>
    <w:rsid w:val="003223D5"/>
    <w:rsid w:val="00322CC4"/>
    <w:rsid w:val="00323C96"/>
    <w:rsid w:val="003242B8"/>
    <w:rsid w:val="003252C0"/>
    <w:rsid w:val="003256E2"/>
    <w:rsid w:val="00325D70"/>
    <w:rsid w:val="00326105"/>
    <w:rsid w:val="003263FD"/>
    <w:rsid w:val="00327262"/>
    <w:rsid w:val="00327D68"/>
    <w:rsid w:val="00330A8D"/>
    <w:rsid w:val="00331FF8"/>
    <w:rsid w:val="003339D4"/>
    <w:rsid w:val="0033502A"/>
    <w:rsid w:val="00335329"/>
    <w:rsid w:val="00336671"/>
    <w:rsid w:val="00337928"/>
    <w:rsid w:val="00337CCB"/>
    <w:rsid w:val="00340C8B"/>
    <w:rsid w:val="00341640"/>
    <w:rsid w:val="00342194"/>
    <w:rsid w:val="003432A9"/>
    <w:rsid w:val="00344582"/>
    <w:rsid w:val="00344678"/>
    <w:rsid w:val="00344E42"/>
    <w:rsid w:val="0034504F"/>
    <w:rsid w:val="003454E7"/>
    <w:rsid w:val="003456B2"/>
    <w:rsid w:val="00345791"/>
    <w:rsid w:val="00346CE2"/>
    <w:rsid w:val="003470E0"/>
    <w:rsid w:val="00347FD2"/>
    <w:rsid w:val="00350376"/>
    <w:rsid w:val="00350B7E"/>
    <w:rsid w:val="0035262E"/>
    <w:rsid w:val="003534B6"/>
    <w:rsid w:val="00353D17"/>
    <w:rsid w:val="00353D5E"/>
    <w:rsid w:val="003543EF"/>
    <w:rsid w:val="0035660B"/>
    <w:rsid w:val="00357009"/>
    <w:rsid w:val="00357986"/>
    <w:rsid w:val="003579F0"/>
    <w:rsid w:val="00357C85"/>
    <w:rsid w:val="00361A93"/>
    <w:rsid w:val="00361E84"/>
    <w:rsid w:val="00363580"/>
    <w:rsid w:val="00363938"/>
    <w:rsid w:val="00363D2F"/>
    <w:rsid w:val="00363F94"/>
    <w:rsid w:val="00364AFC"/>
    <w:rsid w:val="00364F22"/>
    <w:rsid w:val="003651A8"/>
    <w:rsid w:val="00365CD3"/>
    <w:rsid w:val="00366402"/>
    <w:rsid w:val="00366847"/>
    <w:rsid w:val="00370CC9"/>
    <w:rsid w:val="00370CE8"/>
    <w:rsid w:val="00370D8F"/>
    <w:rsid w:val="00371059"/>
    <w:rsid w:val="003719AB"/>
    <w:rsid w:val="003728D1"/>
    <w:rsid w:val="00374582"/>
    <w:rsid w:val="00374722"/>
    <w:rsid w:val="00374AFA"/>
    <w:rsid w:val="00374B91"/>
    <w:rsid w:val="00374FB3"/>
    <w:rsid w:val="00376C42"/>
    <w:rsid w:val="00376CA8"/>
    <w:rsid w:val="00376D2A"/>
    <w:rsid w:val="00376EE2"/>
    <w:rsid w:val="003772C7"/>
    <w:rsid w:val="003778F8"/>
    <w:rsid w:val="00381523"/>
    <w:rsid w:val="003824D4"/>
    <w:rsid w:val="00384234"/>
    <w:rsid w:val="00385C0E"/>
    <w:rsid w:val="003866DE"/>
    <w:rsid w:val="00392E78"/>
    <w:rsid w:val="00394411"/>
    <w:rsid w:val="003949E3"/>
    <w:rsid w:val="0039629C"/>
    <w:rsid w:val="003979A6"/>
    <w:rsid w:val="003A0D22"/>
    <w:rsid w:val="003A0FB0"/>
    <w:rsid w:val="003A27FA"/>
    <w:rsid w:val="003A30A3"/>
    <w:rsid w:val="003A446D"/>
    <w:rsid w:val="003A5739"/>
    <w:rsid w:val="003A636C"/>
    <w:rsid w:val="003A67A0"/>
    <w:rsid w:val="003A68C2"/>
    <w:rsid w:val="003A760B"/>
    <w:rsid w:val="003B10C8"/>
    <w:rsid w:val="003B159D"/>
    <w:rsid w:val="003B271F"/>
    <w:rsid w:val="003B43BC"/>
    <w:rsid w:val="003B6746"/>
    <w:rsid w:val="003B6E36"/>
    <w:rsid w:val="003B7093"/>
    <w:rsid w:val="003B7809"/>
    <w:rsid w:val="003B783C"/>
    <w:rsid w:val="003C08EF"/>
    <w:rsid w:val="003C0B09"/>
    <w:rsid w:val="003C0D5F"/>
    <w:rsid w:val="003C30C3"/>
    <w:rsid w:val="003C3232"/>
    <w:rsid w:val="003C4B7C"/>
    <w:rsid w:val="003C5007"/>
    <w:rsid w:val="003C63E6"/>
    <w:rsid w:val="003C6481"/>
    <w:rsid w:val="003C70E4"/>
    <w:rsid w:val="003C7554"/>
    <w:rsid w:val="003D0CBA"/>
    <w:rsid w:val="003D129C"/>
    <w:rsid w:val="003D1DE1"/>
    <w:rsid w:val="003D3DC8"/>
    <w:rsid w:val="003D3FC1"/>
    <w:rsid w:val="003D4C60"/>
    <w:rsid w:val="003D5039"/>
    <w:rsid w:val="003D5180"/>
    <w:rsid w:val="003D636C"/>
    <w:rsid w:val="003D7417"/>
    <w:rsid w:val="003D7535"/>
    <w:rsid w:val="003D7DA8"/>
    <w:rsid w:val="003D7E2F"/>
    <w:rsid w:val="003E04DE"/>
    <w:rsid w:val="003E06EA"/>
    <w:rsid w:val="003E076B"/>
    <w:rsid w:val="003E09F1"/>
    <w:rsid w:val="003E1467"/>
    <w:rsid w:val="003E1C19"/>
    <w:rsid w:val="003E1F4F"/>
    <w:rsid w:val="003E20B8"/>
    <w:rsid w:val="003E248A"/>
    <w:rsid w:val="003E28D0"/>
    <w:rsid w:val="003E3789"/>
    <w:rsid w:val="003E4110"/>
    <w:rsid w:val="003E57C0"/>
    <w:rsid w:val="003E6058"/>
    <w:rsid w:val="003E643C"/>
    <w:rsid w:val="003E6723"/>
    <w:rsid w:val="003E69EA"/>
    <w:rsid w:val="003F1BDD"/>
    <w:rsid w:val="003F3E74"/>
    <w:rsid w:val="003F527C"/>
    <w:rsid w:val="003F6C37"/>
    <w:rsid w:val="003F7248"/>
    <w:rsid w:val="003F7366"/>
    <w:rsid w:val="003F76FF"/>
    <w:rsid w:val="00400BA0"/>
    <w:rsid w:val="00400D4D"/>
    <w:rsid w:val="00401D1E"/>
    <w:rsid w:val="00401F82"/>
    <w:rsid w:val="00401FDD"/>
    <w:rsid w:val="00402C49"/>
    <w:rsid w:val="00403486"/>
    <w:rsid w:val="00403BD1"/>
    <w:rsid w:val="0040587F"/>
    <w:rsid w:val="00407A97"/>
    <w:rsid w:val="00407D1C"/>
    <w:rsid w:val="00410C3D"/>
    <w:rsid w:val="004130E2"/>
    <w:rsid w:val="00414533"/>
    <w:rsid w:val="00414B60"/>
    <w:rsid w:val="00416217"/>
    <w:rsid w:val="004208CB"/>
    <w:rsid w:val="00420BF6"/>
    <w:rsid w:val="00420ED1"/>
    <w:rsid w:val="00421A85"/>
    <w:rsid w:val="00421B6B"/>
    <w:rsid w:val="00422A61"/>
    <w:rsid w:val="00422E1D"/>
    <w:rsid w:val="00424CC2"/>
    <w:rsid w:val="00424CC6"/>
    <w:rsid w:val="00425E1E"/>
    <w:rsid w:val="00426275"/>
    <w:rsid w:val="00426506"/>
    <w:rsid w:val="00426AAD"/>
    <w:rsid w:val="00427881"/>
    <w:rsid w:val="004304FD"/>
    <w:rsid w:val="004313C3"/>
    <w:rsid w:val="004319CF"/>
    <w:rsid w:val="00433BBF"/>
    <w:rsid w:val="00434036"/>
    <w:rsid w:val="00434BA2"/>
    <w:rsid w:val="00434D6C"/>
    <w:rsid w:val="004353C5"/>
    <w:rsid w:val="00435618"/>
    <w:rsid w:val="004357F9"/>
    <w:rsid w:val="004366B4"/>
    <w:rsid w:val="004367AB"/>
    <w:rsid w:val="0043767B"/>
    <w:rsid w:val="004378B9"/>
    <w:rsid w:val="00440DD9"/>
    <w:rsid w:val="00441603"/>
    <w:rsid w:val="00442398"/>
    <w:rsid w:val="00442F68"/>
    <w:rsid w:val="004436B8"/>
    <w:rsid w:val="00443AA5"/>
    <w:rsid w:val="00443ED8"/>
    <w:rsid w:val="004457DC"/>
    <w:rsid w:val="004458B4"/>
    <w:rsid w:val="00446D1A"/>
    <w:rsid w:val="004507E8"/>
    <w:rsid w:val="00450BCA"/>
    <w:rsid w:val="00450FF4"/>
    <w:rsid w:val="00451239"/>
    <w:rsid w:val="0045260F"/>
    <w:rsid w:val="0045304D"/>
    <w:rsid w:val="00453554"/>
    <w:rsid w:val="0045429D"/>
    <w:rsid w:val="00455455"/>
    <w:rsid w:val="004559EF"/>
    <w:rsid w:val="00455A54"/>
    <w:rsid w:val="00456F93"/>
    <w:rsid w:val="00457513"/>
    <w:rsid w:val="004577B5"/>
    <w:rsid w:val="00461023"/>
    <w:rsid w:val="004611EC"/>
    <w:rsid w:val="004617BB"/>
    <w:rsid w:val="00461B3E"/>
    <w:rsid w:val="00465287"/>
    <w:rsid w:val="00465335"/>
    <w:rsid w:val="004706B4"/>
    <w:rsid w:val="0047090E"/>
    <w:rsid w:val="004715C1"/>
    <w:rsid w:val="00471682"/>
    <w:rsid w:val="00472B2C"/>
    <w:rsid w:val="00472D37"/>
    <w:rsid w:val="0047328A"/>
    <w:rsid w:val="00473799"/>
    <w:rsid w:val="00474E20"/>
    <w:rsid w:val="0047561A"/>
    <w:rsid w:val="00475877"/>
    <w:rsid w:val="00475B9E"/>
    <w:rsid w:val="004765FA"/>
    <w:rsid w:val="00476C04"/>
    <w:rsid w:val="0047793B"/>
    <w:rsid w:val="00480154"/>
    <w:rsid w:val="004819CB"/>
    <w:rsid w:val="004832AE"/>
    <w:rsid w:val="00484E34"/>
    <w:rsid w:val="00485AC0"/>
    <w:rsid w:val="00486A62"/>
    <w:rsid w:val="0049007D"/>
    <w:rsid w:val="004900EA"/>
    <w:rsid w:val="00490637"/>
    <w:rsid w:val="00490BAB"/>
    <w:rsid w:val="00491A97"/>
    <w:rsid w:val="00491AE6"/>
    <w:rsid w:val="004936F8"/>
    <w:rsid w:val="00494710"/>
    <w:rsid w:val="00494F07"/>
    <w:rsid w:val="00495276"/>
    <w:rsid w:val="0049575B"/>
    <w:rsid w:val="004958DF"/>
    <w:rsid w:val="004959A9"/>
    <w:rsid w:val="0049635A"/>
    <w:rsid w:val="0049740D"/>
    <w:rsid w:val="00497975"/>
    <w:rsid w:val="004A0AB9"/>
    <w:rsid w:val="004A1ADE"/>
    <w:rsid w:val="004A23F4"/>
    <w:rsid w:val="004A4884"/>
    <w:rsid w:val="004A4B8E"/>
    <w:rsid w:val="004A52BA"/>
    <w:rsid w:val="004A581F"/>
    <w:rsid w:val="004A5F95"/>
    <w:rsid w:val="004A63D8"/>
    <w:rsid w:val="004A70E0"/>
    <w:rsid w:val="004B0840"/>
    <w:rsid w:val="004B1348"/>
    <w:rsid w:val="004B16D0"/>
    <w:rsid w:val="004B2115"/>
    <w:rsid w:val="004B2287"/>
    <w:rsid w:val="004B2811"/>
    <w:rsid w:val="004B2E48"/>
    <w:rsid w:val="004B2FB1"/>
    <w:rsid w:val="004B3A7A"/>
    <w:rsid w:val="004B3F70"/>
    <w:rsid w:val="004B402F"/>
    <w:rsid w:val="004B51ED"/>
    <w:rsid w:val="004B57FF"/>
    <w:rsid w:val="004B6AF5"/>
    <w:rsid w:val="004C09A9"/>
    <w:rsid w:val="004C0FC4"/>
    <w:rsid w:val="004C242A"/>
    <w:rsid w:val="004C342A"/>
    <w:rsid w:val="004C4301"/>
    <w:rsid w:val="004C4DDE"/>
    <w:rsid w:val="004C5A83"/>
    <w:rsid w:val="004C679E"/>
    <w:rsid w:val="004C6DF4"/>
    <w:rsid w:val="004D0162"/>
    <w:rsid w:val="004D08BE"/>
    <w:rsid w:val="004D0902"/>
    <w:rsid w:val="004D0B29"/>
    <w:rsid w:val="004D3C81"/>
    <w:rsid w:val="004D3F8B"/>
    <w:rsid w:val="004D491E"/>
    <w:rsid w:val="004D4A59"/>
    <w:rsid w:val="004D70CF"/>
    <w:rsid w:val="004D726B"/>
    <w:rsid w:val="004E0058"/>
    <w:rsid w:val="004E168A"/>
    <w:rsid w:val="004E1ABE"/>
    <w:rsid w:val="004E203E"/>
    <w:rsid w:val="004E28CA"/>
    <w:rsid w:val="004E3A04"/>
    <w:rsid w:val="004E4578"/>
    <w:rsid w:val="004E55CD"/>
    <w:rsid w:val="004E5AD2"/>
    <w:rsid w:val="004E5C45"/>
    <w:rsid w:val="004E5F41"/>
    <w:rsid w:val="004E60CC"/>
    <w:rsid w:val="004E635E"/>
    <w:rsid w:val="004F1F3D"/>
    <w:rsid w:val="004F3F02"/>
    <w:rsid w:val="004F491A"/>
    <w:rsid w:val="004F54D0"/>
    <w:rsid w:val="005007BD"/>
    <w:rsid w:val="00500A03"/>
    <w:rsid w:val="00500DDF"/>
    <w:rsid w:val="00501A98"/>
    <w:rsid w:val="00503DB7"/>
    <w:rsid w:val="00504EDD"/>
    <w:rsid w:val="005061B5"/>
    <w:rsid w:val="005115DD"/>
    <w:rsid w:val="00513CEC"/>
    <w:rsid w:val="00514BB6"/>
    <w:rsid w:val="00515A35"/>
    <w:rsid w:val="00515AAD"/>
    <w:rsid w:val="00516089"/>
    <w:rsid w:val="00516391"/>
    <w:rsid w:val="00517FCF"/>
    <w:rsid w:val="00520787"/>
    <w:rsid w:val="00521016"/>
    <w:rsid w:val="00521180"/>
    <w:rsid w:val="00521204"/>
    <w:rsid w:val="005226AA"/>
    <w:rsid w:val="005230BD"/>
    <w:rsid w:val="005236AC"/>
    <w:rsid w:val="005238EA"/>
    <w:rsid w:val="005239B2"/>
    <w:rsid w:val="0052457E"/>
    <w:rsid w:val="00524708"/>
    <w:rsid w:val="005247A4"/>
    <w:rsid w:val="005257E1"/>
    <w:rsid w:val="00526127"/>
    <w:rsid w:val="005265A2"/>
    <w:rsid w:val="0052737B"/>
    <w:rsid w:val="00530306"/>
    <w:rsid w:val="00530DCA"/>
    <w:rsid w:val="005314D5"/>
    <w:rsid w:val="00531EDF"/>
    <w:rsid w:val="00531F3B"/>
    <w:rsid w:val="00532056"/>
    <w:rsid w:val="0053323B"/>
    <w:rsid w:val="00534581"/>
    <w:rsid w:val="005345F8"/>
    <w:rsid w:val="00534FFE"/>
    <w:rsid w:val="00535B19"/>
    <w:rsid w:val="00536268"/>
    <w:rsid w:val="005367F0"/>
    <w:rsid w:val="0054032E"/>
    <w:rsid w:val="0054124C"/>
    <w:rsid w:val="0054199F"/>
    <w:rsid w:val="0054225D"/>
    <w:rsid w:val="005430A4"/>
    <w:rsid w:val="00543116"/>
    <w:rsid w:val="00543970"/>
    <w:rsid w:val="00544154"/>
    <w:rsid w:val="005443A6"/>
    <w:rsid w:val="005449AD"/>
    <w:rsid w:val="00544DAC"/>
    <w:rsid w:val="005455B3"/>
    <w:rsid w:val="005458F4"/>
    <w:rsid w:val="00545C48"/>
    <w:rsid w:val="005463DA"/>
    <w:rsid w:val="0054720E"/>
    <w:rsid w:val="005503DE"/>
    <w:rsid w:val="005509B3"/>
    <w:rsid w:val="0055118A"/>
    <w:rsid w:val="00552180"/>
    <w:rsid w:val="00554EC5"/>
    <w:rsid w:val="00554FE0"/>
    <w:rsid w:val="0055506D"/>
    <w:rsid w:val="005553A8"/>
    <w:rsid w:val="005558FF"/>
    <w:rsid w:val="00555EA6"/>
    <w:rsid w:val="00555F5A"/>
    <w:rsid w:val="005564F6"/>
    <w:rsid w:val="005565ED"/>
    <w:rsid w:val="00556EA6"/>
    <w:rsid w:val="005571FF"/>
    <w:rsid w:val="00560E68"/>
    <w:rsid w:val="00561E56"/>
    <w:rsid w:val="00563BFF"/>
    <w:rsid w:val="00564D3A"/>
    <w:rsid w:val="005669CD"/>
    <w:rsid w:val="0056718B"/>
    <w:rsid w:val="00572AF9"/>
    <w:rsid w:val="00572EA0"/>
    <w:rsid w:val="005740A4"/>
    <w:rsid w:val="005748BC"/>
    <w:rsid w:val="00576CEC"/>
    <w:rsid w:val="005779BC"/>
    <w:rsid w:val="00580563"/>
    <w:rsid w:val="00583AF0"/>
    <w:rsid w:val="00585240"/>
    <w:rsid w:val="00585B2D"/>
    <w:rsid w:val="00585D42"/>
    <w:rsid w:val="0058628C"/>
    <w:rsid w:val="00586F54"/>
    <w:rsid w:val="005870FB"/>
    <w:rsid w:val="00587742"/>
    <w:rsid w:val="005911B7"/>
    <w:rsid w:val="00594EEA"/>
    <w:rsid w:val="005951E3"/>
    <w:rsid w:val="00595D4F"/>
    <w:rsid w:val="00596441"/>
    <w:rsid w:val="005A014A"/>
    <w:rsid w:val="005A1DBD"/>
    <w:rsid w:val="005A1FDB"/>
    <w:rsid w:val="005A2369"/>
    <w:rsid w:val="005A266D"/>
    <w:rsid w:val="005A2D17"/>
    <w:rsid w:val="005A4D0A"/>
    <w:rsid w:val="005B09B0"/>
    <w:rsid w:val="005B1F66"/>
    <w:rsid w:val="005B2334"/>
    <w:rsid w:val="005B235B"/>
    <w:rsid w:val="005B32BF"/>
    <w:rsid w:val="005B4250"/>
    <w:rsid w:val="005B7631"/>
    <w:rsid w:val="005C0A6E"/>
    <w:rsid w:val="005C0A94"/>
    <w:rsid w:val="005C0C4B"/>
    <w:rsid w:val="005C133D"/>
    <w:rsid w:val="005C19C7"/>
    <w:rsid w:val="005C3069"/>
    <w:rsid w:val="005C3084"/>
    <w:rsid w:val="005C4298"/>
    <w:rsid w:val="005C593E"/>
    <w:rsid w:val="005C5DC0"/>
    <w:rsid w:val="005C6016"/>
    <w:rsid w:val="005C718A"/>
    <w:rsid w:val="005C7328"/>
    <w:rsid w:val="005C783E"/>
    <w:rsid w:val="005D0341"/>
    <w:rsid w:val="005D0927"/>
    <w:rsid w:val="005D13DA"/>
    <w:rsid w:val="005D1558"/>
    <w:rsid w:val="005D3DDE"/>
    <w:rsid w:val="005D4842"/>
    <w:rsid w:val="005D488F"/>
    <w:rsid w:val="005D4BD9"/>
    <w:rsid w:val="005D4D95"/>
    <w:rsid w:val="005D5B0D"/>
    <w:rsid w:val="005D6026"/>
    <w:rsid w:val="005D6927"/>
    <w:rsid w:val="005D738B"/>
    <w:rsid w:val="005E1111"/>
    <w:rsid w:val="005E1B04"/>
    <w:rsid w:val="005E2C09"/>
    <w:rsid w:val="005E3C59"/>
    <w:rsid w:val="005E486A"/>
    <w:rsid w:val="005E4C3B"/>
    <w:rsid w:val="005E545A"/>
    <w:rsid w:val="005E5651"/>
    <w:rsid w:val="005E5702"/>
    <w:rsid w:val="005E5B34"/>
    <w:rsid w:val="005E5ED8"/>
    <w:rsid w:val="005E7281"/>
    <w:rsid w:val="005F155D"/>
    <w:rsid w:val="005F174C"/>
    <w:rsid w:val="005F21E2"/>
    <w:rsid w:val="005F25BB"/>
    <w:rsid w:val="005F2B99"/>
    <w:rsid w:val="005F3427"/>
    <w:rsid w:val="005F4BE4"/>
    <w:rsid w:val="005F5ABD"/>
    <w:rsid w:val="005F70F5"/>
    <w:rsid w:val="005F788D"/>
    <w:rsid w:val="006008C8"/>
    <w:rsid w:val="0060118E"/>
    <w:rsid w:val="00601BD4"/>
    <w:rsid w:val="0060223F"/>
    <w:rsid w:val="00602772"/>
    <w:rsid w:val="00602E93"/>
    <w:rsid w:val="00602FC4"/>
    <w:rsid w:val="0060302A"/>
    <w:rsid w:val="00603C6C"/>
    <w:rsid w:val="00604082"/>
    <w:rsid w:val="00607598"/>
    <w:rsid w:val="00607F8D"/>
    <w:rsid w:val="0061010A"/>
    <w:rsid w:val="00613116"/>
    <w:rsid w:val="00613B2D"/>
    <w:rsid w:val="0061405B"/>
    <w:rsid w:val="00615FFB"/>
    <w:rsid w:val="00617716"/>
    <w:rsid w:val="00617B0D"/>
    <w:rsid w:val="00617D4E"/>
    <w:rsid w:val="0062080A"/>
    <w:rsid w:val="00620B17"/>
    <w:rsid w:val="00621480"/>
    <w:rsid w:val="006229DB"/>
    <w:rsid w:val="00622DA5"/>
    <w:rsid w:val="00624BB5"/>
    <w:rsid w:val="006256A8"/>
    <w:rsid w:val="00626248"/>
    <w:rsid w:val="00626885"/>
    <w:rsid w:val="00627D59"/>
    <w:rsid w:val="00630AA1"/>
    <w:rsid w:val="006318C0"/>
    <w:rsid w:val="00632E89"/>
    <w:rsid w:val="00632EF5"/>
    <w:rsid w:val="00634B64"/>
    <w:rsid w:val="00634C98"/>
    <w:rsid w:val="0063755F"/>
    <w:rsid w:val="00640408"/>
    <w:rsid w:val="00640778"/>
    <w:rsid w:val="006423DF"/>
    <w:rsid w:val="00643389"/>
    <w:rsid w:val="0064445A"/>
    <w:rsid w:val="00644B36"/>
    <w:rsid w:val="00644F92"/>
    <w:rsid w:val="00645155"/>
    <w:rsid w:val="00645272"/>
    <w:rsid w:val="006454E3"/>
    <w:rsid w:val="006456B7"/>
    <w:rsid w:val="00645A87"/>
    <w:rsid w:val="0064652F"/>
    <w:rsid w:val="00646E20"/>
    <w:rsid w:val="00646FDA"/>
    <w:rsid w:val="00647AA1"/>
    <w:rsid w:val="00647E30"/>
    <w:rsid w:val="0065049A"/>
    <w:rsid w:val="006514DF"/>
    <w:rsid w:val="006515DF"/>
    <w:rsid w:val="00651AAB"/>
    <w:rsid w:val="00652BB5"/>
    <w:rsid w:val="006530B0"/>
    <w:rsid w:val="00654203"/>
    <w:rsid w:val="00654C69"/>
    <w:rsid w:val="00655B2E"/>
    <w:rsid w:val="006570B1"/>
    <w:rsid w:val="006574BF"/>
    <w:rsid w:val="0065750A"/>
    <w:rsid w:val="00661619"/>
    <w:rsid w:val="00661A66"/>
    <w:rsid w:val="00661EE0"/>
    <w:rsid w:val="0066222C"/>
    <w:rsid w:val="00662ED8"/>
    <w:rsid w:val="00663256"/>
    <w:rsid w:val="00663893"/>
    <w:rsid w:val="00664139"/>
    <w:rsid w:val="00664949"/>
    <w:rsid w:val="006672CE"/>
    <w:rsid w:val="006725CF"/>
    <w:rsid w:val="00672E70"/>
    <w:rsid w:val="006732A7"/>
    <w:rsid w:val="00673489"/>
    <w:rsid w:val="00674932"/>
    <w:rsid w:val="00674939"/>
    <w:rsid w:val="00674E1D"/>
    <w:rsid w:val="00675E8F"/>
    <w:rsid w:val="0067746A"/>
    <w:rsid w:val="006779BA"/>
    <w:rsid w:val="006800F3"/>
    <w:rsid w:val="00680697"/>
    <w:rsid w:val="00680904"/>
    <w:rsid w:val="00680B5A"/>
    <w:rsid w:val="00682014"/>
    <w:rsid w:val="00682C67"/>
    <w:rsid w:val="00682F04"/>
    <w:rsid w:val="00683A77"/>
    <w:rsid w:val="0068464D"/>
    <w:rsid w:val="0068488A"/>
    <w:rsid w:val="00685E1D"/>
    <w:rsid w:val="00685E30"/>
    <w:rsid w:val="00686D44"/>
    <w:rsid w:val="006873A7"/>
    <w:rsid w:val="006904C1"/>
    <w:rsid w:val="00690A2A"/>
    <w:rsid w:val="00691789"/>
    <w:rsid w:val="00691FEA"/>
    <w:rsid w:val="00692751"/>
    <w:rsid w:val="00693BE0"/>
    <w:rsid w:val="00694D83"/>
    <w:rsid w:val="00694EFB"/>
    <w:rsid w:val="00697AC0"/>
    <w:rsid w:val="006A00EA"/>
    <w:rsid w:val="006A13C7"/>
    <w:rsid w:val="006A1906"/>
    <w:rsid w:val="006A1B9B"/>
    <w:rsid w:val="006A2026"/>
    <w:rsid w:val="006A2111"/>
    <w:rsid w:val="006A2857"/>
    <w:rsid w:val="006A28ED"/>
    <w:rsid w:val="006A313F"/>
    <w:rsid w:val="006A31E3"/>
    <w:rsid w:val="006A37D1"/>
    <w:rsid w:val="006A37D7"/>
    <w:rsid w:val="006A49FD"/>
    <w:rsid w:val="006A5169"/>
    <w:rsid w:val="006A548D"/>
    <w:rsid w:val="006A55C7"/>
    <w:rsid w:val="006A6308"/>
    <w:rsid w:val="006A6441"/>
    <w:rsid w:val="006A68F2"/>
    <w:rsid w:val="006A6C5A"/>
    <w:rsid w:val="006A6CCE"/>
    <w:rsid w:val="006A7714"/>
    <w:rsid w:val="006A771E"/>
    <w:rsid w:val="006A7A4E"/>
    <w:rsid w:val="006B0243"/>
    <w:rsid w:val="006B02C4"/>
    <w:rsid w:val="006B1B51"/>
    <w:rsid w:val="006B1E7A"/>
    <w:rsid w:val="006B23B3"/>
    <w:rsid w:val="006B26CA"/>
    <w:rsid w:val="006B39EC"/>
    <w:rsid w:val="006B40CF"/>
    <w:rsid w:val="006B51F7"/>
    <w:rsid w:val="006B5783"/>
    <w:rsid w:val="006B5FFF"/>
    <w:rsid w:val="006B6032"/>
    <w:rsid w:val="006B6B3B"/>
    <w:rsid w:val="006C0698"/>
    <w:rsid w:val="006C0E26"/>
    <w:rsid w:val="006C1078"/>
    <w:rsid w:val="006C121A"/>
    <w:rsid w:val="006C1275"/>
    <w:rsid w:val="006C145A"/>
    <w:rsid w:val="006C1FDE"/>
    <w:rsid w:val="006C2895"/>
    <w:rsid w:val="006C2E54"/>
    <w:rsid w:val="006C44E5"/>
    <w:rsid w:val="006C4866"/>
    <w:rsid w:val="006C53DB"/>
    <w:rsid w:val="006C58B9"/>
    <w:rsid w:val="006C6178"/>
    <w:rsid w:val="006C61CC"/>
    <w:rsid w:val="006C6802"/>
    <w:rsid w:val="006C7D3E"/>
    <w:rsid w:val="006D16DA"/>
    <w:rsid w:val="006D19E2"/>
    <w:rsid w:val="006D2DF3"/>
    <w:rsid w:val="006D37E7"/>
    <w:rsid w:val="006D419C"/>
    <w:rsid w:val="006D44A6"/>
    <w:rsid w:val="006D4B5C"/>
    <w:rsid w:val="006D4D9A"/>
    <w:rsid w:val="006D5581"/>
    <w:rsid w:val="006D67AA"/>
    <w:rsid w:val="006D784D"/>
    <w:rsid w:val="006D7AFD"/>
    <w:rsid w:val="006E02E5"/>
    <w:rsid w:val="006E1218"/>
    <w:rsid w:val="006E20EA"/>
    <w:rsid w:val="006E3CA9"/>
    <w:rsid w:val="006E3CAA"/>
    <w:rsid w:val="006E3E5C"/>
    <w:rsid w:val="006E3FE9"/>
    <w:rsid w:val="006E4C3E"/>
    <w:rsid w:val="006E510E"/>
    <w:rsid w:val="006E5419"/>
    <w:rsid w:val="006E5442"/>
    <w:rsid w:val="006E5C5D"/>
    <w:rsid w:val="006E5D20"/>
    <w:rsid w:val="006E6C17"/>
    <w:rsid w:val="006E6FBE"/>
    <w:rsid w:val="006E70E5"/>
    <w:rsid w:val="006E75BE"/>
    <w:rsid w:val="006E7DB2"/>
    <w:rsid w:val="006F0407"/>
    <w:rsid w:val="006F2B89"/>
    <w:rsid w:val="006F3999"/>
    <w:rsid w:val="006F3AE6"/>
    <w:rsid w:val="006F3E44"/>
    <w:rsid w:val="006F4683"/>
    <w:rsid w:val="006F4C30"/>
    <w:rsid w:val="006F4DD4"/>
    <w:rsid w:val="006F64FC"/>
    <w:rsid w:val="00700EF0"/>
    <w:rsid w:val="00702047"/>
    <w:rsid w:val="00702966"/>
    <w:rsid w:val="00703F98"/>
    <w:rsid w:val="00704A29"/>
    <w:rsid w:val="00704CE8"/>
    <w:rsid w:val="0070501C"/>
    <w:rsid w:val="00705B88"/>
    <w:rsid w:val="007136E7"/>
    <w:rsid w:val="007143C7"/>
    <w:rsid w:val="00715E89"/>
    <w:rsid w:val="007172C5"/>
    <w:rsid w:val="00717540"/>
    <w:rsid w:val="00717952"/>
    <w:rsid w:val="00720794"/>
    <w:rsid w:val="007223EF"/>
    <w:rsid w:val="00722636"/>
    <w:rsid w:val="00722FE7"/>
    <w:rsid w:val="0072436A"/>
    <w:rsid w:val="00724B10"/>
    <w:rsid w:val="00724EEE"/>
    <w:rsid w:val="00725567"/>
    <w:rsid w:val="00726725"/>
    <w:rsid w:val="007270A5"/>
    <w:rsid w:val="007276EE"/>
    <w:rsid w:val="00727B46"/>
    <w:rsid w:val="007306A9"/>
    <w:rsid w:val="00730CA5"/>
    <w:rsid w:val="00731105"/>
    <w:rsid w:val="007314B9"/>
    <w:rsid w:val="00731581"/>
    <w:rsid w:val="00731E91"/>
    <w:rsid w:val="0073252C"/>
    <w:rsid w:val="00733C45"/>
    <w:rsid w:val="007343CB"/>
    <w:rsid w:val="0073507C"/>
    <w:rsid w:val="00735BD7"/>
    <w:rsid w:val="00735DEC"/>
    <w:rsid w:val="007361C2"/>
    <w:rsid w:val="007361DF"/>
    <w:rsid w:val="00736376"/>
    <w:rsid w:val="00736E08"/>
    <w:rsid w:val="00737917"/>
    <w:rsid w:val="00740E28"/>
    <w:rsid w:val="00742D3F"/>
    <w:rsid w:val="007433A0"/>
    <w:rsid w:val="007456F2"/>
    <w:rsid w:val="007456FE"/>
    <w:rsid w:val="007463D0"/>
    <w:rsid w:val="0075065C"/>
    <w:rsid w:val="00750C13"/>
    <w:rsid w:val="00751140"/>
    <w:rsid w:val="00752BFD"/>
    <w:rsid w:val="007539A7"/>
    <w:rsid w:val="00753E02"/>
    <w:rsid w:val="00756086"/>
    <w:rsid w:val="0075700B"/>
    <w:rsid w:val="00757C65"/>
    <w:rsid w:val="0076397A"/>
    <w:rsid w:val="00765C45"/>
    <w:rsid w:val="00767FAB"/>
    <w:rsid w:val="007700F6"/>
    <w:rsid w:val="00770AFC"/>
    <w:rsid w:val="00770D2C"/>
    <w:rsid w:val="00771233"/>
    <w:rsid w:val="00771CB1"/>
    <w:rsid w:val="0077203C"/>
    <w:rsid w:val="0077279B"/>
    <w:rsid w:val="00774E3D"/>
    <w:rsid w:val="007763D4"/>
    <w:rsid w:val="007773D1"/>
    <w:rsid w:val="007779CD"/>
    <w:rsid w:val="00777B4C"/>
    <w:rsid w:val="007813EC"/>
    <w:rsid w:val="00782272"/>
    <w:rsid w:val="0078364C"/>
    <w:rsid w:val="00783A47"/>
    <w:rsid w:val="0078410C"/>
    <w:rsid w:val="007848C6"/>
    <w:rsid w:val="00785214"/>
    <w:rsid w:val="00786388"/>
    <w:rsid w:val="007875F9"/>
    <w:rsid w:val="00790E79"/>
    <w:rsid w:val="00791553"/>
    <w:rsid w:val="007916A6"/>
    <w:rsid w:val="007919A7"/>
    <w:rsid w:val="00793727"/>
    <w:rsid w:val="00793BFB"/>
    <w:rsid w:val="00793E37"/>
    <w:rsid w:val="0079480A"/>
    <w:rsid w:val="00796608"/>
    <w:rsid w:val="00796F10"/>
    <w:rsid w:val="007976FC"/>
    <w:rsid w:val="00797A67"/>
    <w:rsid w:val="007A0F3E"/>
    <w:rsid w:val="007A0F9C"/>
    <w:rsid w:val="007A1D31"/>
    <w:rsid w:val="007A24D6"/>
    <w:rsid w:val="007A2AA2"/>
    <w:rsid w:val="007A3147"/>
    <w:rsid w:val="007A32A0"/>
    <w:rsid w:val="007A5CF8"/>
    <w:rsid w:val="007A6ABD"/>
    <w:rsid w:val="007A7274"/>
    <w:rsid w:val="007B1924"/>
    <w:rsid w:val="007B1C7C"/>
    <w:rsid w:val="007B2261"/>
    <w:rsid w:val="007B2652"/>
    <w:rsid w:val="007B27C1"/>
    <w:rsid w:val="007B2AEE"/>
    <w:rsid w:val="007B31E7"/>
    <w:rsid w:val="007B4257"/>
    <w:rsid w:val="007B485F"/>
    <w:rsid w:val="007B54E4"/>
    <w:rsid w:val="007B6C46"/>
    <w:rsid w:val="007B6EED"/>
    <w:rsid w:val="007BB9E7"/>
    <w:rsid w:val="007C0D4B"/>
    <w:rsid w:val="007C0E13"/>
    <w:rsid w:val="007C310C"/>
    <w:rsid w:val="007C31F5"/>
    <w:rsid w:val="007C3B4E"/>
    <w:rsid w:val="007C43AF"/>
    <w:rsid w:val="007C443D"/>
    <w:rsid w:val="007C45AA"/>
    <w:rsid w:val="007C4766"/>
    <w:rsid w:val="007C588E"/>
    <w:rsid w:val="007C5BC6"/>
    <w:rsid w:val="007C6358"/>
    <w:rsid w:val="007C659B"/>
    <w:rsid w:val="007C7046"/>
    <w:rsid w:val="007C73E9"/>
    <w:rsid w:val="007C78EA"/>
    <w:rsid w:val="007D2089"/>
    <w:rsid w:val="007D40F4"/>
    <w:rsid w:val="007D48AB"/>
    <w:rsid w:val="007D4DC5"/>
    <w:rsid w:val="007D50A0"/>
    <w:rsid w:val="007D52AB"/>
    <w:rsid w:val="007D5B1C"/>
    <w:rsid w:val="007D68BE"/>
    <w:rsid w:val="007D7A68"/>
    <w:rsid w:val="007E0199"/>
    <w:rsid w:val="007E07C1"/>
    <w:rsid w:val="007E0B2E"/>
    <w:rsid w:val="007E0E10"/>
    <w:rsid w:val="007E0ECE"/>
    <w:rsid w:val="007E1B39"/>
    <w:rsid w:val="007E3BB0"/>
    <w:rsid w:val="007E442D"/>
    <w:rsid w:val="007E547E"/>
    <w:rsid w:val="007E5F85"/>
    <w:rsid w:val="007E69EC"/>
    <w:rsid w:val="007E6D88"/>
    <w:rsid w:val="007F0575"/>
    <w:rsid w:val="007F1388"/>
    <w:rsid w:val="007F224C"/>
    <w:rsid w:val="007F2263"/>
    <w:rsid w:val="007F278D"/>
    <w:rsid w:val="007F3928"/>
    <w:rsid w:val="007F4467"/>
    <w:rsid w:val="007F4717"/>
    <w:rsid w:val="007F5CFC"/>
    <w:rsid w:val="007F601D"/>
    <w:rsid w:val="007F672B"/>
    <w:rsid w:val="007F71C0"/>
    <w:rsid w:val="007F76FD"/>
    <w:rsid w:val="007F7BBF"/>
    <w:rsid w:val="008002E5"/>
    <w:rsid w:val="00800332"/>
    <w:rsid w:val="0080056C"/>
    <w:rsid w:val="00800838"/>
    <w:rsid w:val="00800DC3"/>
    <w:rsid w:val="008019A3"/>
    <w:rsid w:val="00801EDE"/>
    <w:rsid w:val="008026D0"/>
    <w:rsid w:val="0080288D"/>
    <w:rsid w:val="00803635"/>
    <w:rsid w:val="00803952"/>
    <w:rsid w:val="00803AD8"/>
    <w:rsid w:val="00805956"/>
    <w:rsid w:val="00805EBF"/>
    <w:rsid w:val="00806D12"/>
    <w:rsid w:val="00806D1F"/>
    <w:rsid w:val="00807014"/>
    <w:rsid w:val="00810AD8"/>
    <w:rsid w:val="00810D00"/>
    <w:rsid w:val="00811330"/>
    <w:rsid w:val="008120EB"/>
    <w:rsid w:val="00812E3F"/>
    <w:rsid w:val="00812E51"/>
    <w:rsid w:val="008131A7"/>
    <w:rsid w:val="00814663"/>
    <w:rsid w:val="00814C78"/>
    <w:rsid w:val="00814E0B"/>
    <w:rsid w:val="0081600A"/>
    <w:rsid w:val="0081614F"/>
    <w:rsid w:val="00816600"/>
    <w:rsid w:val="00816D8B"/>
    <w:rsid w:val="00816E64"/>
    <w:rsid w:val="00817911"/>
    <w:rsid w:val="00817934"/>
    <w:rsid w:val="00820F7F"/>
    <w:rsid w:val="00821A0D"/>
    <w:rsid w:val="008222FE"/>
    <w:rsid w:val="00822EDC"/>
    <w:rsid w:val="00822F25"/>
    <w:rsid w:val="0082349B"/>
    <w:rsid w:val="00823B09"/>
    <w:rsid w:val="00823BE3"/>
    <w:rsid w:val="0082593E"/>
    <w:rsid w:val="00826A84"/>
    <w:rsid w:val="008303A8"/>
    <w:rsid w:val="00830485"/>
    <w:rsid w:val="00831749"/>
    <w:rsid w:val="00831818"/>
    <w:rsid w:val="00831887"/>
    <w:rsid w:val="00831F31"/>
    <w:rsid w:val="00831FC5"/>
    <w:rsid w:val="00832229"/>
    <w:rsid w:val="008324AF"/>
    <w:rsid w:val="008329B8"/>
    <w:rsid w:val="00834F79"/>
    <w:rsid w:val="008352D1"/>
    <w:rsid w:val="00836059"/>
    <w:rsid w:val="008379BA"/>
    <w:rsid w:val="00837A50"/>
    <w:rsid w:val="00837FC8"/>
    <w:rsid w:val="008403E7"/>
    <w:rsid w:val="00840B25"/>
    <w:rsid w:val="008444A8"/>
    <w:rsid w:val="008463DC"/>
    <w:rsid w:val="0084673A"/>
    <w:rsid w:val="00846B61"/>
    <w:rsid w:val="0085212F"/>
    <w:rsid w:val="008525CF"/>
    <w:rsid w:val="0085264E"/>
    <w:rsid w:val="008531DD"/>
    <w:rsid w:val="00853297"/>
    <w:rsid w:val="0085390C"/>
    <w:rsid w:val="00854BDF"/>
    <w:rsid w:val="00854F44"/>
    <w:rsid w:val="00854FD0"/>
    <w:rsid w:val="008553D7"/>
    <w:rsid w:val="008556DE"/>
    <w:rsid w:val="00855BB9"/>
    <w:rsid w:val="00856237"/>
    <w:rsid w:val="00856E98"/>
    <w:rsid w:val="008573F2"/>
    <w:rsid w:val="00857567"/>
    <w:rsid w:val="00857DBD"/>
    <w:rsid w:val="00861BA0"/>
    <w:rsid w:val="00862A86"/>
    <w:rsid w:val="00862E08"/>
    <w:rsid w:val="008637EF"/>
    <w:rsid w:val="00864400"/>
    <w:rsid w:val="00866707"/>
    <w:rsid w:val="00867A0B"/>
    <w:rsid w:val="0087043B"/>
    <w:rsid w:val="00870894"/>
    <w:rsid w:val="008718BD"/>
    <w:rsid w:val="00871D1C"/>
    <w:rsid w:val="008726EE"/>
    <w:rsid w:val="00873055"/>
    <w:rsid w:val="0087398D"/>
    <w:rsid w:val="00873E6D"/>
    <w:rsid w:val="0087712C"/>
    <w:rsid w:val="0087745E"/>
    <w:rsid w:val="0088061E"/>
    <w:rsid w:val="00880A27"/>
    <w:rsid w:val="008818BD"/>
    <w:rsid w:val="00881DF7"/>
    <w:rsid w:val="008827C1"/>
    <w:rsid w:val="00883C12"/>
    <w:rsid w:val="008841EC"/>
    <w:rsid w:val="008843B8"/>
    <w:rsid w:val="0088452D"/>
    <w:rsid w:val="00885352"/>
    <w:rsid w:val="00885919"/>
    <w:rsid w:val="00885AB6"/>
    <w:rsid w:val="00886163"/>
    <w:rsid w:val="00886D56"/>
    <w:rsid w:val="00890462"/>
    <w:rsid w:val="00890472"/>
    <w:rsid w:val="00890CAD"/>
    <w:rsid w:val="00894154"/>
    <w:rsid w:val="008944C7"/>
    <w:rsid w:val="008945B3"/>
    <w:rsid w:val="00895EA9"/>
    <w:rsid w:val="00897451"/>
    <w:rsid w:val="00897A13"/>
    <w:rsid w:val="008A0B8B"/>
    <w:rsid w:val="008A2AAD"/>
    <w:rsid w:val="008A2D93"/>
    <w:rsid w:val="008A46D6"/>
    <w:rsid w:val="008A4776"/>
    <w:rsid w:val="008A4F2A"/>
    <w:rsid w:val="008A669F"/>
    <w:rsid w:val="008A68C7"/>
    <w:rsid w:val="008B0D79"/>
    <w:rsid w:val="008B1474"/>
    <w:rsid w:val="008B22E4"/>
    <w:rsid w:val="008B434A"/>
    <w:rsid w:val="008B5C7E"/>
    <w:rsid w:val="008C2DC9"/>
    <w:rsid w:val="008C4D00"/>
    <w:rsid w:val="008C63A1"/>
    <w:rsid w:val="008C7587"/>
    <w:rsid w:val="008C7639"/>
    <w:rsid w:val="008C7F44"/>
    <w:rsid w:val="008D078F"/>
    <w:rsid w:val="008D0B5A"/>
    <w:rsid w:val="008D0E08"/>
    <w:rsid w:val="008D1719"/>
    <w:rsid w:val="008D3E26"/>
    <w:rsid w:val="008D43A0"/>
    <w:rsid w:val="008D4526"/>
    <w:rsid w:val="008D5522"/>
    <w:rsid w:val="008D630A"/>
    <w:rsid w:val="008D6463"/>
    <w:rsid w:val="008D6729"/>
    <w:rsid w:val="008D69F0"/>
    <w:rsid w:val="008D6D9C"/>
    <w:rsid w:val="008D7C79"/>
    <w:rsid w:val="008D7E26"/>
    <w:rsid w:val="008E03AD"/>
    <w:rsid w:val="008E1307"/>
    <w:rsid w:val="008E15DF"/>
    <w:rsid w:val="008E173E"/>
    <w:rsid w:val="008E1C72"/>
    <w:rsid w:val="008E2C65"/>
    <w:rsid w:val="008E3B27"/>
    <w:rsid w:val="008E4123"/>
    <w:rsid w:val="008E471C"/>
    <w:rsid w:val="008E4BB1"/>
    <w:rsid w:val="008E6003"/>
    <w:rsid w:val="008E6CE0"/>
    <w:rsid w:val="008E73A8"/>
    <w:rsid w:val="008F1524"/>
    <w:rsid w:val="008F340C"/>
    <w:rsid w:val="008F4D90"/>
    <w:rsid w:val="008F548E"/>
    <w:rsid w:val="008F5AA9"/>
    <w:rsid w:val="008F60D9"/>
    <w:rsid w:val="008F6BA7"/>
    <w:rsid w:val="008F72CD"/>
    <w:rsid w:val="008F7796"/>
    <w:rsid w:val="008F77BB"/>
    <w:rsid w:val="00900429"/>
    <w:rsid w:val="0090122B"/>
    <w:rsid w:val="009016FA"/>
    <w:rsid w:val="009020C5"/>
    <w:rsid w:val="009022CF"/>
    <w:rsid w:val="00902F48"/>
    <w:rsid w:val="00903936"/>
    <w:rsid w:val="00905061"/>
    <w:rsid w:val="009050C5"/>
    <w:rsid w:val="009055DC"/>
    <w:rsid w:val="009057A3"/>
    <w:rsid w:val="00906890"/>
    <w:rsid w:val="00906DED"/>
    <w:rsid w:val="009077F5"/>
    <w:rsid w:val="00910013"/>
    <w:rsid w:val="00910790"/>
    <w:rsid w:val="0091108B"/>
    <w:rsid w:val="00911AE3"/>
    <w:rsid w:val="00911F12"/>
    <w:rsid w:val="00912C78"/>
    <w:rsid w:val="00913ED7"/>
    <w:rsid w:val="009158D1"/>
    <w:rsid w:val="00915A6C"/>
    <w:rsid w:val="00917D15"/>
    <w:rsid w:val="009209D5"/>
    <w:rsid w:val="00920F4A"/>
    <w:rsid w:val="00921574"/>
    <w:rsid w:val="00921D62"/>
    <w:rsid w:val="009220A3"/>
    <w:rsid w:val="009222DB"/>
    <w:rsid w:val="00922873"/>
    <w:rsid w:val="009230E2"/>
    <w:rsid w:val="009243E1"/>
    <w:rsid w:val="0092568B"/>
    <w:rsid w:val="009305E8"/>
    <w:rsid w:val="009307AA"/>
    <w:rsid w:val="00930D2E"/>
    <w:rsid w:val="00930F3F"/>
    <w:rsid w:val="00931A15"/>
    <w:rsid w:val="00931EDD"/>
    <w:rsid w:val="0093226C"/>
    <w:rsid w:val="00932BCE"/>
    <w:rsid w:val="00932C40"/>
    <w:rsid w:val="00933051"/>
    <w:rsid w:val="00933F31"/>
    <w:rsid w:val="00934917"/>
    <w:rsid w:val="009358D7"/>
    <w:rsid w:val="00935FCD"/>
    <w:rsid w:val="00936DBF"/>
    <w:rsid w:val="00936F53"/>
    <w:rsid w:val="009400AA"/>
    <w:rsid w:val="00940A0A"/>
    <w:rsid w:val="009410E6"/>
    <w:rsid w:val="00941315"/>
    <w:rsid w:val="00941593"/>
    <w:rsid w:val="009419C3"/>
    <w:rsid w:val="00942639"/>
    <w:rsid w:val="009426DD"/>
    <w:rsid w:val="00942A7B"/>
    <w:rsid w:val="0094365E"/>
    <w:rsid w:val="0094383D"/>
    <w:rsid w:val="00944C55"/>
    <w:rsid w:val="009452D0"/>
    <w:rsid w:val="0094601F"/>
    <w:rsid w:val="00950947"/>
    <w:rsid w:val="00950EC8"/>
    <w:rsid w:val="00951C04"/>
    <w:rsid w:val="00951E6F"/>
    <w:rsid w:val="00951F2D"/>
    <w:rsid w:val="009526D1"/>
    <w:rsid w:val="00953C61"/>
    <w:rsid w:val="00953E28"/>
    <w:rsid w:val="00954E52"/>
    <w:rsid w:val="00955821"/>
    <w:rsid w:val="00955DDE"/>
    <w:rsid w:val="0095796C"/>
    <w:rsid w:val="00957A8A"/>
    <w:rsid w:val="00957B0E"/>
    <w:rsid w:val="00962505"/>
    <w:rsid w:val="009633DE"/>
    <w:rsid w:val="00963C51"/>
    <w:rsid w:val="009649EC"/>
    <w:rsid w:val="00964A09"/>
    <w:rsid w:val="00964ED8"/>
    <w:rsid w:val="009660A7"/>
    <w:rsid w:val="009665DE"/>
    <w:rsid w:val="00966D5F"/>
    <w:rsid w:val="00967290"/>
    <w:rsid w:val="0096775A"/>
    <w:rsid w:val="00967FC1"/>
    <w:rsid w:val="0097086D"/>
    <w:rsid w:val="00970A44"/>
    <w:rsid w:val="00972BBC"/>
    <w:rsid w:val="009731A0"/>
    <w:rsid w:val="00974622"/>
    <w:rsid w:val="009757EB"/>
    <w:rsid w:val="00977234"/>
    <w:rsid w:val="009778CE"/>
    <w:rsid w:val="00980176"/>
    <w:rsid w:val="009801E4"/>
    <w:rsid w:val="0098036F"/>
    <w:rsid w:val="0098093C"/>
    <w:rsid w:val="0098118A"/>
    <w:rsid w:val="0098162B"/>
    <w:rsid w:val="00981FF8"/>
    <w:rsid w:val="009829F4"/>
    <w:rsid w:val="00983735"/>
    <w:rsid w:val="00983749"/>
    <w:rsid w:val="009842A6"/>
    <w:rsid w:val="00990C52"/>
    <w:rsid w:val="009924B7"/>
    <w:rsid w:val="00992A2E"/>
    <w:rsid w:val="00994020"/>
    <w:rsid w:val="00994433"/>
    <w:rsid w:val="00994B63"/>
    <w:rsid w:val="009956B1"/>
    <w:rsid w:val="00995F66"/>
    <w:rsid w:val="009963B5"/>
    <w:rsid w:val="00997C07"/>
    <w:rsid w:val="009A0456"/>
    <w:rsid w:val="009A0FCE"/>
    <w:rsid w:val="009A0FDB"/>
    <w:rsid w:val="009A14BA"/>
    <w:rsid w:val="009A1588"/>
    <w:rsid w:val="009A177C"/>
    <w:rsid w:val="009A207B"/>
    <w:rsid w:val="009A2199"/>
    <w:rsid w:val="009A2E7F"/>
    <w:rsid w:val="009A3473"/>
    <w:rsid w:val="009A5268"/>
    <w:rsid w:val="009A5AFB"/>
    <w:rsid w:val="009A76E6"/>
    <w:rsid w:val="009A7744"/>
    <w:rsid w:val="009A7908"/>
    <w:rsid w:val="009A7E82"/>
    <w:rsid w:val="009B04A2"/>
    <w:rsid w:val="009B0715"/>
    <w:rsid w:val="009B0A4D"/>
    <w:rsid w:val="009B0A84"/>
    <w:rsid w:val="009B1300"/>
    <w:rsid w:val="009B1D07"/>
    <w:rsid w:val="009B3773"/>
    <w:rsid w:val="009B5407"/>
    <w:rsid w:val="009B5B09"/>
    <w:rsid w:val="009B5B54"/>
    <w:rsid w:val="009B6047"/>
    <w:rsid w:val="009B7AF3"/>
    <w:rsid w:val="009C094A"/>
    <w:rsid w:val="009C1666"/>
    <w:rsid w:val="009C1CB8"/>
    <w:rsid w:val="009C1DAC"/>
    <w:rsid w:val="009C2AE5"/>
    <w:rsid w:val="009C2B3D"/>
    <w:rsid w:val="009C2EBA"/>
    <w:rsid w:val="009C30B4"/>
    <w:rsid w:val="009C317E"/>
    <w:rsid w:val="009C3848"/>
    <w:rsid w:val="009C46C8"/>
    <w:rsid w:val="009C5584"/>
    <w:rsid w:val="009C5DAB"/>
    <w:rsid w:val="009C6855"/>
    <w:rsid w:val="009D01EB"/>
    <w:rsid w:val="009D0501"/>
    <w:rsid w:val="009D1237"/>
    <w:rsid w:val="009D12A1"/>
    <w:rsid w:val="009D20ED"/>
    <w:rsid w:val="009D2606"/>
    <w:rsid w:val="009D2B65"/>
    <w:rsid w:val="009D325A"/>
    <w:rsid w:val="009D3789"/>
    <w:rsid w:val="009D38AC"/>
    <w:rsid w:val="009D4B55"/>
    <w:rsid w:val="009D4C1B"/>
    <w:rsid w:val="009D4D75"/>
    <w:rsid w:val="009E090A"/>
    <w:rsid w:val="009E0E35"/>
    <w:rsid w:val="009E1606"/>
    <w:rsid w:val="009E1BB0"/>
    <w:rsid w:val="009E29AD"/>
    <w:rsid w:val="009E5996"/>
    <w:rsid w:val="009E5B1F"/>
    <w:rsid w:val="009E5C02"/>
    <w:rsid w:val="009E5EE5"/>
    <w:rsid w:val="009E637D"/>
    <w:rsid w:val="009E74B4"/>
    <w:rsid w:val="009E7AA2"/>
    <w:rsid w:val="009F0A0F"/>
    <w:rsid w:val="009F0F5B"/>
    <w:rsid w:val="009F33F5"/>
    <w:rsid w:val="009F3494"/>
    <w:rsid w:val="009F3834"/>
    <w:rsid w:val="009F47DC"/>
    <w:rsid w:val="009F4AB1"/>
    <w:rsid w:val="009F4B97"/>
    <w:rsid w:val="009F4D81"/>
    <w:rsid w:val="009F58B9"/>
    <w:rsid w:val="009F6AFF"/>
    <w:rsid w:val="009F72FB"/>
    <w:rsid w:val="009F7464"/>
    <w:rsid w:val="009F7ABF"/>
    <w:rsid w:val="00A0133C"/>
    <w:rsid w:val="00A01424"/>
    <w:rsid w:val="00A01679"/>
    <w:rsid w:val="00A01EBE"/>
    <w:rsid w:val="00A01FAF"/>
    <w:rsid w:val="00A023CA"/>
    <w:rsid w:val="00A0274C"/>
    <w:rsid w:val="00A036F0"/>
    <w:rsid w:val="00A0412E"/>
    <w:rsid w:val="00A05F22"/>
    <w:rsid w:val="00A061E3"/>
    <w:rsid w:val="00A062CB"/>
    <w:rsid w:val="00A114F2"/>
    <w:rsid w:val="00A11B18"/>
    <w:rsid w:val="00A127CC"/>
    <w:rsid w:val="00A127FD"/>
    <w:rsid w:val="00A14770"/>
    <w:rsid w:val="00A149C3"/>
    <w:rsid w:val="00A20A3A"/>
    <w:rsid w:val="00A20BE5"/>
    <w:rsid w:val="00A20BF6"/>
    <w:rsid w:val="00A211DE"/>
    <w:rsid w:val="00A21501"/>
    <w:rsid w:val="00A22D38"/>
    <w:rsid w:val="00A23C1D"/>
    <w:rsid w:val="00A24012"/>
    <w:rsid w:val="00A24A1E"/>
    <w:rsid w:val="00A251B6"/>
    <w:rsid w:val="00A265CF"/>
    <w:rsid w:val="00A26882"/>
    <w:rsid w:val="00A26ADE"/>
    <w:rsid w:val="00A27E9D"/>
    <w:rsid w:val="00A302FA"/>
    <w:rsid w:val="00A30DDB"/>
    <w:rsid w:val="00A3253D"/>
    <w:rsid w:val="00A32A65"/>
    <w:rsid w:val="00A33F7D"/>
    <w:rsid w:val="00A3437D"/>
    <w:rsid w:val="00A343CF"/>
    <w:rsid w:val="00A35AE5"/>
    <w:rsid w:val="00A363CB"/>
    <w:rsid w:val="00A3655A"/>
    <w:rsid w:val="00A372C5"/>
    <w:rsid w:val="00A414B3"/>
    <w:rsid w:val="00A41A11"/>
    <w:rsid w:val="00A41CE2"/>
    <w:rsid w:val="00A420DF"/>
    <w:rsid w:val="00A42390"/>
    <w:rsid w:val="00A43077"/>
    <w:rsid w:val="00A43441"/>
    <w:rsid w:val="00A4394A"/>
    <w:rsid w:val="00A44269"/>
    <w:rsid w:val="00A442AE"/>
    <w:rsid w:val="00A4436C"/>
    <w:rsid w:val="00A44C0C"/>
    <w:rsid w:val="00A44D78"/>
    <w:rsid w:val="00A45CDD"/>
    <w:rsid w:val="00A47E85"/>
    <w:rsid w:val="00A50A9D"/>
    <w:rsid w:val="00A5176A"/>
    <w:rsid w:val="00A51ECB"/>
    <w:rsid w:val="00A52CF6"/>
    <w:rsid w:val="00A531D0"/>
    <w:rsid w:val="00A5379E"/>
    <w:rsid w:val="00A54A4C"/>
    <w:rsid w:val="00A55738"/>
    <w:rsid w:val="00A559D9"/>
    <w:rsid w:val="00A565E4"/>
    <w:rsid w:val="00A568F1"/>
    <w:rsid w:val="00A56942"/>
    <w:rsid w:val="00A56F26"/>
    <w:rsid w:val="00A573A0"/>
    <w:rsid w:val="00A5762F"/>
    <w:rsid w:val="00A57701"/>
    <w:rsid w:val="00A57E78"/>
    <w:rsid w:val="00A600D0"/>
    <w:rsid w:val="00A6059D"/>
    <w:rsid w:val="00A606C6"/>
    <w:rsid w:val="00A60B40"/>
    <w:rsid w:val="00A614AE"/>
    <w:rsid w:val="00A61D6E"/>
    <w:rsid w:val="00A6230C"/>
    <w:rsid w:val="00A62886"/>
    <w:rsid w:val="00A63C62"/>
    <w:rsid w:val="00A64E86"/>
    <w:rsid w:val="00A64FAC"/>
    <w:rsid w:val="00A656BF"/>
    <w:rsid w:val="00A6625A"/>
    <w:rsid w:val="00A6714B"/>
    <w:rsid w:val="00A676BF"/>
    <w:rsid w:val="00A70BF5"/>
    <w:rsid w:val="00A716D3"/>
    <w:rsid w:val="00A71796"/>
    <w:rsid w:val="00A7203B"/>
    <w:rsid w:val="00A72965"/>
    <w:rsid w:val="00A72B92"/>
    <w:rsid w:val="00A72D05"/>
    <w:rsid w:val="00A73C5E"/>
    <w:rsid w:val="00A7436B"/>
    <w:rsid w:val="00A76825"/>
    <w:rsid w:val="00A76DDF"/>
    <w:rsid w:val="00A80EA6"/>
    <w:rsid w:val="00A81FF2"/>
    <w:rsid w:val="00A82921"/>
    <w:rsid w:val="00A8389A"/>
    <w:rsid w:val="00A83B4A"/>
    <w:rsid w:val="00A83D86"/>
    <w:rsid w:val="00A84F23"/>
    <w:rsid w:val="00A85ED7"/>
    <w:rsid w:val="00A8756A"/>
    <w:rsid w:val="00A87E67"/>
    <w:rsid w:val="00A9099F"/>
    <w:rsid w:val="00A90B95"/>
    <w:rsid w:val="00A91E88"/>
    <w:rsid w:val="00A91F5B"/>
    <w:rsid w:val="00A92BA6"/>
    <w:rsid w:val="00A933F3"/>
    <w:rsid w:val="00A95106"/>
    <w:rsid w:val="00A952F2"/>
    <w:rsid w:val="00A95872"/>
    <w:rsid w:val="00A96FD4"/>
    <w:rsid w:val="00A97312"/>
    <w:rsid w:val="00AA052A"/>
    <w:rsid w:val="00AA0988"/>
    <w:rsid w:val="00AA0D48"/>
    <w:rsid w:val="00AA1A50"/>
    <w:rsid w:val="00AA265B"/>
    <w:rsid w:val="00AA2792"/>
    <w:rsid w:val="00AA2A36"/>
    <w:rsid w:val="00AA35C5"/>
    <w:rsid w:val="00AA4224"/>
    <w:rsid w:val="00AA45B9"/>
    <w:rsid w:val="00AA4A29"/>
    <w:rsid w:val="00AA515F"/>
    <w:rsid w:val="00AA51B2"/>
    <w:rsid w:val="00AA574B"/>
    <w:rsid w:val="00AA6A8A"/>
    <w:rsid w:val="00AA6E4D"/>
    <w:rsid w:val="00AA705A"/>
    <w:rsid w:val="00AA7BD9"/>
    <w:rsid w:val="00AB03FF"/>
    <w:rsid w:val="00AB04A4"/>
    <w:rsid w:val="00AB06A8"/>
    <w:rsid w:val="00AB09B9"/>
    <w:rsid w:val="00AB1020"/>
    <w:rsid w:val="00AB1D66"/>
    <w:rsid w:val="00AB63E4"/>
    <w:rsid w:val="00AB6F9B"/>
    <w:rsid w:val="00AB7E9F"/>
    <w:rsid w:val="00AC0862"/>
    <w:rsid w:val="00AC0EEC"/>
    <w:rsid w:val="00AC2349"/>
    <w:rsid w:val="00AC2547"/>
    <w:rsid w:val="00AC3800"/>
    <w:rsid w:val="00AC3900"/>
    <w:rsid w:val="00AC417F"/>
    <w:rsid w:val="00AC498C"/>
    <w:rsid w:val="00AC4CE7"/>
    <w:rsid w:val="00AC4CEA"/>
    <w:rsid w:val="00AC4D2A"/>
    <w:rsid w:val="00AC7D75"/>
    <w:rsid w:val="00AC7FBF"/>
    <w:rsid w:val="00AD07EA"/>
    <w:rsid w:val="00AD12BF"/>
    <w:rsid w:val="00AD1541"/>
    <w:rsid w:val="00AD17CF"/>
    <w:rsid w:val="00AD1A39"/>
    <w:rsid w:val="00AD1DCA"/>
    <w:rsid w:val="00AD2429"/>
    <w:rsid w:val="00AD334C"/>
    <w:rsid w:val="00AD389B"/>
    <w:rsid w:val="00AD3999"/>
    <w:rsid w:val="00AD53C8"/>
    <w:rsid w:val="00AD545F"/>
    <w:rsid w:val="00AD59C6"/>
    <w:rsid w:val="00AD61DC"/>
    <w:rsid w:val="00AD649E"/>
    <w:rsid w:val="00AD77A0"/>
    <w:rsid w:val="00AD7B7C"/>
    <w:rsid w:val="00AE1F8F"/>
    <w:rsid w:val="00AE280B"/>
    <w:rsid w:val="00AE350F"/>
    <w:rsid w:val="00AE4838"/>
    <w:rsid w:val="00AE4C23"/>
    <w:rsid w:val="00AE6187"/>
    <w:rsid w:val="00AE7BE5"/>
    <w:rsid w:val="00AF0BDE"/>
    <w:rsid w:val="00AF162C"/>
    <w:rsid w:val="00AF453C"/>
    <w:rsid w:val="00AF5F77"/>
    <w:rsid w:val="00AF6512"/>
    <w:rsid w:val="00AF668C"/>
    <w:rsid w:val="00AF7A8D"/>
    <w:rsid w:val="00AF7B97"/>
    <w:rsid w:val="00B011DF"/>
    <w:rsid w:val="00B0162E"/>
    <w:rsid w:val="00B01B1F"/>
    <w:rsid w:val="00B02F85"/>
    <w:rsid w:val="00B03009"/>
    <w:rsid w:val="00B03957"/>
    <w:rsid w:val="00B0400F"/>
    <w:rsid w:val="00B058A3"/>
    <w:rsid w:val="00B07453"/>
    <w:rsid w:val="00B07704"/>
    <w:rsid w:val="00B10BCE"/>
    <w:rsid w:val="00B10C94"/>
    <w:rsid w:val="00B1189E"/>
    <w:rsid w:val="00B12550"/>
    <w:rsid w:val="00B130C3"/>
    <w:rsid w:val="00B15AF2"/>
    <w:rsid w:val="00B16370"/>
    <w:rsid w:val="00B16DCF"/>
    <w:rsid w:val="00B1756C"/>
    <w:rsid w:val="00B17CDE"/>
    <w:rsid w:val="00B22D31"/>
    <w:rsid w:val="00B231E5"/>
    <w:rsid w:val="00B24775"/>
    <w:rsid w:val="00B26F67"/>
    <w:rsid w:val="00B27149"/>
    <w:rsid w:val="00B27BFA"/>
    <w:rsid w:val="00B30326"/>
    <w:rsid w:val="00B30DC8"/>
    <w:rsid w:val="00B323C0"/>
    <w:rsid w:val="00B33710"/>
    <w:rsid w:val="00B33A05"/>
    <w:rsid w:val="00B345FB"/>
    <w:rsid w:val="00B34834"/>
    <w:rsid w:val="00B34EAF"/>
    <w:rsid w:val="00B355CA"/>
    <w:rsid w:val="00B36477"/>
    <w:rsid w:val="00B36FAC"/>
    <w:rsid w:val="00B4069E"/>
    <w:rsid w:val="00B41BE9"/>
    <w:rsid w:val="00B42777"/>
    <w:rsid w:val="00B42D9B"/>
    <w:rsid w:val="00B4389C"/>
    <w:rsid w:val="00B43EB3"/>
    <w:rsid w:val="00B44479"/>
    <w:rsid w:val="00B4479C"/>
    <w:rsid w:val="00B45EB1"/>
    <w:rsid w:val="00B462EA"/>
    <w:rsid w:val="00B467D7"/>
    <w:rsid w:val="00B4691E"/>
    <w:rsid w:val="00B46BFE"/>
    <w:rsid w:val="00B46CE9"/>
    <w:rsid w:val="00B47537"/>
    <w:rsid w:val="00B50960"/>
    <w:rsid w:val="00B5162C"/>
    <w:rsid w:val="00B51F4F"/>
    <w:rsid w:val="00B52432"/>
    <w:rsid w:val="00B52C84"/>
    <w:rsid w:val="00B531D4"/>
    <w:rsid w:val="00B5364B"/>
    <w:rsid w:val="00B53CA5"/>
    <w:rsid w:val="00B5652F"/>
    <w:rsid w:val="00B56D4E"/>
    <w:rsid w:val="00B57E03"/>
    <w:rsid w:val="00B6112F"/>
    <w:rsid w:val="00B61530"/>
    <w:rsid w:val="00B62D49"/>
    <w:rsid w:val="00B6395D"/>
    <w:rsid w:val="00B63AF0"/>
    <w:rsid w:val="00B63EFF"/>
    <w:rsid w:val="00B6401E"/>
    <w:rsid w:val="00B64956"/>
    <w:rsid w:val="00B65494"/>
    <w:rsid w:val="00B66321"/>
    <w:rsid w:val="00B6665A"/>
    <w:rsid w:val="00B715DD"/>
    <w:rsid w:val="00B71DAC"/>
    <w:rsid w:val="00B7205B"/>
    <w:rsid w:val="00B73432"/>
    <w:rsid w:val="00B73C04"/>
    <w:rsid w:val="00B74875"/>
    <w:rsid w:val="00B74FFD"/>
    <w:rsid w:val="00B759FF"/>
    <w:rsid w:val="00B800D0"/>
    <w:rsid w:val="00B8020A"/>
    <w:rsid w:val="00B809BD"/>
    <w:rsid w:val="00B826CC"/>
    <w:rsid w:val="00B830BA"/>
    <w:rsid w:val="00B832A4"/>
    <w:rsid w:val="00B84214"/>
    <w:rsid w:val="00B84763"/>
    <w:rsid w:val="00B84F35"/>
    <w:rsid w:val="00B8617E"/>
    <w:rsid w:val="00B86515"/>
    <w:rsid w:val="00B86CEA"/>
    <w:rsid w:val="00B86DC3"/>
    <w:rsid w:val="00B87157"/>
    <w:rsid w:val="00B872E1"/>
    <w:rsid w:val="00B878A1"/>
    <w:rsid w:val="00B87F43"/>
    <w:rsid w:val="00B9050D"/>
    <w:rsid w:val="00B912DA"/>
    <w:rsid w:val="00B916A7"/>
    <w:rsid w:val="00B91B23"/>
    <w:rsid w:val="00B94520"/>
    <w:rsid w:val="00B94819"/>
    <w:rsid w:val="00B94F01"/>
    <w:rsid w:val="00B95262"/>
    <w:rsid w:val="00B9698E"/>
    <w:rsid w:val="00B97B72"/>
    <w:rsid w:val="00BA00A4"/>
    <w:rsid w:val="00BA0712"/>
    <w:rsid w:val="00BA18C9"/>
    <w:rsid w:val="00BA2EC8"/>
    <w:rsid w:val="00BA345A"/>
    <w:rsid w:val="00BA3D6B"/>
    <w:rsid w:val="00BA3FB6"/>
    <w:rsid w:val="00BA47BC"/>
    <w:rsid w:val="00BB05A2"/>
    <w:rsid w:val="00BB1A28"/>
    <w:rsid w:val="00BB353E"/>
    <w:rsid w:val="00BB4F42"/>
    <w:rsid w:val="00BB5DBA"/>
    <w:rsid w:val="00BB5E2E"/>
    <w:rsid w:val="00BB65D8"/>
    <w:rsid w:val="00BB7A76"/>
    <w:rsid w:val="00BB7A89"/>
    <w:rsid w:val="00BB7EDB"/>
    <w:rsid w:val="00BC098E"/>
    <w:rsid w:val="00BC0D4B"/>
    <w:rsid w:val="00BC1798"/>
    <w:rsid w:val="00BC248E"/>
    <w:rsid w:val="00BC25DC"/>
    <w:rsid w:val="00BC3A1A"/>
    <w:rsid w:val="00BC424D"/>
    <w:rsid w:val="00BC4556"/>
    <w:rsid w:val="00BC6572"/>
    <w:rsid w:val="00BC6875"/>
    <w:rsid w:val="00BC6931"/>
    <w:rsid w:val="00BD15A0"/>
    <w:rsid w:val="00BD1A94"/>
    <w:rsid w:val="00BD233C"/>
    <w:rsid w:val="00BD4264"/>
    <w:rsid w:val="00BD5ED5"/>
    <w:rsid w:val="00BD5EDC"/>
    <w:rsid w:val="00BD67A1"/>
    <w:rsid w:val="00BD6F9C"/>
    <w:rsid w:val="00BE024A"/>
    <w:rsid w:val="00BE1321"/>
    <w:rsid w:val="00BE1A87"/>
    <w:rsid w:val="00BE4BEB"/>
    <w:rsid w:val="00BE5B6C"/>
    <w:rsid w:val="00BE5FE6"/>
    <w:rsid w:val="00BE6056"/>
    <w:rsid w:val="00BE7AC9"/>
    <w:rsid w:val="00BF1207"/>
    <w:rsid w:val="00BF3588"/>
    <w:rsid w:val="00BF4DFE"/>
    <w:rsid w:val="00BF4EBD"/>
    <w:rsid w:val="00BF55A5"/>
    <w:rsid w:val="00BF5E15"/>
    <w:rsid w:val="00BF7079"/>
    <w:rsid w:val="00BF7708"/>
    <w:rsid w:val="00BF7AEB"/>
    <w:rsid w:val="00C03354"/>
    <w:rsid w:val="00C033D8"/>
    <w:rsid w:val="00C03B59"/>
    <w:rsid w:val="00C04068"/>
    <w:rsid w:val="00C04462"/>
    <w:rsid w:val="00C04640"/>
    <w:rsid w:val="00C04E78"/>
    <w:rsid w:val="00C05324"/>
    <w:rsid w:val="00C058F2"/>
    <w:rsid w:val="00C06239"/>
    <w:rsid w:val="00C0647C"/>
    <w:rsid w:val="00C067A3"/>
    <w:rsid w:val="00C06FDE"/>
    <w:rsid w:val="00C077F1"/>
    <w:rsid w:val="00C10771"/>
    <w:rsid w:val="00C111FD"/>
    <w:rsid w:val="00C1123B"/>
    <w:rsid w:val="00C115FC"/>
    <w:rsid w:val="00C11775"/>
    <w:rsid w:val="00C12F50"/>
    <w:rsid w:val="00C13A44"/>
    <w:rsid w:val="00C13A7F"/>
    <w:rsid w:val="00C13B55"/>
    <w:rsid w:val="00C142CC"/>
    <w:rsid w:val="00C15C8D"/>
    <w:rsid w:val="00C1724C"/>
    <w:rsid w:val="00C17F22"/>
    <w:rsid w:val="00C2051C"/>
    <w:rsid w:val="00C21254"/>
    <w:rsid w:val="00C21B70"/>
    <w:rsid w:val="00C23879"/>
    <w:rsid w:val="00C238D2"/>
    <w:rsid w:val="00C257C8"/>
    <w:rsid w:val="00C25E7A"/>
    <w:rsid w:val="00C25FE6"/>
    <w:rsid w:val="00C26163"/>
    <w:rsid w:val="00C27341"/>
    <w:rsid w:val="00C27433"/>
    <w:rsid w:val="00C27634"/>
    <w:rsid w:val="00C27C38"/>
    <w:rsid w:val="00C30FB5"/>
    <w:rsid w:val="00C3122E"/>
    <w:rsid w:val="00C3287F"/>
    <w:rsid w:val="00C33420"/>
    <w:rsid w:val="00C33434"/>
    <w:rsid w:val="00C33EEB"/>
    <w:rsid w:val="00C349C0"/>
    <w:rsid w:val="00C34E7A"/>
    <w:rsid w:val="00C35169"/>
    <w:rsid w:val="00C371E3"/>
    <w:rsid w:val="00C379B8"/>
    <w:rsid w:val="00C37A23"/>
    <w:rsid w:val="00C37C1E"/>
    <w:rsid w:val="00C40CF0"/>
    <w:rsid w:val="00C40F3B"/>
    <w:rsid w:val="00C420AA"/>
    <w:rsid w:val="00C42943"/>
    <w:rsid w:val="00C43F09"/>
    <w:rsid w:val="00C44294"/>
    <w:rsid w:val="00C4524A"/>
    <w:rsid w:val="00C454A4"/>
    <w:rsid w:val="00C45D18"/>
    <w:rsid w:val="00C4631F"/>
    <w:rsid w:val="00C46A0C"/>
    <w:rsid w:val="00C473AE"/>
    <w:rsid w:val="00C47609"/>
    <w:rsid w:val="00C47954"/>
    <w:rsid w:val="00C47A6F"/>
    <w:rsid w:val="00C47C00"/>
    <w:rsid w:val="00C47C05"/>
    <w:rsid w:val="00C47CAF"/>
    <w:rsid w:val="00C51706"/>
    <w:rsid w:val="00C5321F"/>
    <w:rsid w:val="00C537F4"/>
    <w:rsid w:val="00C539E9"/>
    <w:rsid w:val="00C53D3D"/>
    <w:rsid w:val="00C53DF3"/>
    <w:rsid w:val="00C545FB"/>
    <w:rsid w:val="00C56194"/>
    <w:rsid w:val="00C61FE1"/>
    <w:rsid w:val="00C6224C"/>
    <w:rsid w:val="00C62ACA"/>
    <w:rsid w:val="00C631EA"/>
    <w:rsid w:val="00C63794"/>
    <w:rsid w:val="00C650E2"/>
    <w:rsid w:val="00C6567B"/>
    <w:rsid w:val="00C65DFD"/>
    <w:rsid w:val="00C66062"/>
    <w:rsid w:val="00C661EE"/>
    <w:rsid w:val="00C669CD"/>
    <w:rsid w:val="00C67221"/>
    <w:rsid w:val="00C6755A"/>
    <w:rsid w:val="00C703B3"/>
    <w:rsid w:val="00C70E51"/>
    <w:rsid w:val="00C7101A"/>
    <w:rsid w:val="00C72140"/>
    <w:rsid w:val="00C73199"/>
    <w:rsid w:val="00C737F3"/>
    <w:rsid w:val="00C746A6"/>
    <w:rsid w:val="00C757B8"/>
    <w:rsid w:val="00C75C4D"/>
    <w:rsid w:val="00C760DA"/>
    <w:rsid w:val="00C7632C"/>
    <w:rsid w:val="00C76B85"/>
    <w:rsid w:val="00C7729E"/>
    <w:rsid w:val="00C80525"/>
    <w:rsid w:val="00C80B83"/>
    <w:rsid w:val="00C81B4E"/>
    <w:rsid w:val="00C8374E"/>
    <w:rsid w:val="00C846E8"/>
    <w:rsid w:val="00C85A1E"/>
    <w:rsid w:val="00C85FF1"/>
    <w:rsid w:val="00C86B48"/>
    <w:rsid w:val="00C90DA0"/>
    <w:rsid w:val="00C91365"/>
    <w:rsid w:val="00C91447"/>
    <w:rsid w:val="00C92B12"/>
    <w:rsid w:val="00C92D89"/>
    <w:rsid w:val="00C93B52"/>
    <w:rsid w:val="00C962E2"/>
    <w:rsid w:val="00C9655F"/>
    <w:rsid w:val="00C968F2"/>
    <w:rsid w:val="00C969CA"/>
    <w:rsid w:val="00C96E05"/>
    <w:rsid w:val="00CA16E0"/>
    <w:rsid w:val="00CA1A91"/>
    <w:rsid w:val="00CA227D"/>
    <w:rsid w:val="00CA2954"/>
    <w:rsid w:val="00CA2F88"/>
    <w:rsid w:val="00CA3297"/>
    <w:rsid w:val="00CA36AD"/>
    <w:rsid w:val="00CA3D5E"/>
    <w:rsid w:val="00CA3DBC"/>
    <w:rsid w:val="00CA3F6E"/>
    <w:rsid w:val="00CA46E3"/>
    <w:rsid w:val="00CA48D2"/>
    <w:rsid w:val="00CA63D2"/>
    <w:rsid w:val="00CA7CD4"/>
    <w:rsid w:val="00CB2043"/>
    <w:rsid w:val="00CB3BC9"/>
    <w:rsid w:val="00CB48B9"/>
    <w:rsid w:val="00CB570B"/>
    <w:rsid w:val="00CB5A4B"/>
    <w:rsid w:val="00CB5A76"/>
    <w:rsid w:val="00CB733F"/>
    <w:rsid w:val="00CB7ED6"/>
    <w:rsid w:val="00CC1B45"/>
    <w:rsid w:val="00CC2A00"/>
    <w:rsid w:val="00CC2C07"/>
    <w:rsid w:val="00CC2E59"/>
    <w:rsid w:val="00CC4BFC"/>
    <w:rsid w:val="00CC582D"/>
    <w:rsid w:val="00CC5840"/>
    <w:rsid w:val="00CC5AA4"/>
    <w:rsid w:val="00CC5C61"/>
    <w:rsid w:val="00CC5FFC"/>
    <w:rsid w:val="00CC60F5"/>
    <w:rsid w:val="00CC6786"/>
    <w:rsid w:val="00CC6D29"/>
    <w:rsid w:val="00CD09E5"/>
    <w:rsid w:val="00CD0E0A"/>
    <w:rsid w:val="00CD13D8"/>
    <w:rsid w:val="00CD38E7"/>
    <w:rsid w:val="00CD3B77"/>
    <w:rsid w:val="00CD53EA"/>
    <w:rsid w:val="00CD5E53"/>
    <w:rsid w:val="00CD617C"/>
    <w:rsid w:val="00CD7116"/>
    <w:rsid w:val="00CD79F6"/>
    <w:rsid w:val="00CE02B1"/>
    <w:rsid w:val="00CE04B1"/>
    <w:rsid w:val="00CE04C6"/>
    <w:rsid w:val="00CE12F1"/>
    <w:rsid w:val="00CE1640"/>
    <w:rsid w:val="00CE3E30"/>
    <w:rsid w:val="00CE3E73"/>
    <w:rsid w:val="00CE3EBA"/>
    <w:rsid w:val="00CE4E12"/>
    <w:rsid w:val="00CE513F"/>
    <w:rsid w:val="00CE53C0"/>
    <w:rsid w:val="00CE6CB8"/>
    <w:rsid w:val="00CE71C6"/>
    <w:rsid w:val="00CE7AB3"/>
    <w:rsid w:val="00CF0147"/>
    <w:rsid w:val="00CF01B4"/>
    <w:rsid w:val="00CF149E"/>
    <w:rsid w:val="00CF18F4"/>
    <w:rsid w:val="00CF2D67"/>
    <w:rsid w:val="00CF3747"/>
    <w:rsid w:val="00CF3B62"/>
    <w:rsid w:val="00CF3E4A"/>
    <w:rsid w:val="00CF50CF"/>
    <w:rsid w:val="00CF72AF"/>
    <w:rsid w:val="00CF7421"/>
    <w:rsid w:val="00CF78C0"/>
    <w:rsid w:val="00D007FA"/>
    <w:rsid w:val="00D01191"/>
    <w:rsid w:val="00D012DD"/>
    <w:rsid w:val="00D0460A"/>
    <w:rsid w:val="00D04627"/>
    <w:rsid w:val="00D04886"/>
    <w:rsid w:val="00D050A8"/>
    <w:rsid w:val="00D07937"/>
    <w:rsid w:val="00D101BD"/>
    <w:rsid w:val="00D102D0"/>
    <w:rsid w:val="00D104F5"/>
    <w:rsid w:val="00D11895"/>
    <w:rsid w:val="00D12DE4"/>
    <w:rsid w:val="00D1330A"/>
    <w:rsid w:val="00D14520"/>
    <w:rsid w:val="00D15A32"/>
    <w:rsid w:val="00D15CF3"/>
    <w:rsid w:val="00D15DF1"/>
    <w:rsid w:val="00D16706"/>
    <w:rsid w:val="00D16ECE"/>
    <w:rsid w:val="00D16FAA"/>
    <w:rsid w:val="00D16FBC"/>
    <w:rsid w:val="00D17434"/>
    <w:rsid w:val="00D21281"/>
    <w:rsid w:val="00D22CD8"/>
    <w:rsid w:val="00D2444C"/>
    <w:rsid w:val="00D26E77"/>
    <w:rsid w:val="00D272B8"/>
    <w:rsid w:val="00D275F2"/>
    <w:rsid w:val="00D27EE8"/>
    <w:rsid w:val="00D30380"/>
    <w:rsid w:val="00D3080B"/>
    <w:rsid w:val="00D30FCF"/>
    <w:rsid w:val="00D31391"/>
    <w:rsid w:val="00D33084"/>
    <w:rsid w:val="00D3381B"/>
    <w:rsid w:val="00D3500E"/>
    <w:rsid w:val="00D354E7"/>
    <w:rsid w:val="00D36429"/>
    <w:rsid w:val="00D37083"/>
    <w:rsid w:val="00D405E9"/>
    <w:rsid w:val="00D4079C"/>
    <w:rsid w:val="00D407C0"/>
    <w:rsid w:val="00D43515"/>
    <w:rsid w:val="00D435BB"/>
    <w:rsid w:val="00D43DA1"/>
    <w:rsid w:val="00D44841"/>
    <w:rsid w:val="00D45C7D"/>
    <w:rsid w:val="00D4605B"/>
    <w:rsid w:val="00D46F17"/>
    <w:rsid w:val="00D47E03"/>
    <w:rsid w:val="00D503BD"/>
    <w:rsid w:val="00D5095A"/>
    <w:rsid w:val="00D50B84"/>
    <w:rsid w:val="00D50DB6"/>
    <w:rsid w:val="00D5130D"/>
    <w:rsid w:val="00D518DE"/>
    <w:rsid w:val="00D519F2"/>
    <w:rsid w:val="00D51AF4"/>
    <w:rsid w:val="00D51D8C"/>
    <w:rsid w:val="00D51F18"/>
    <w:rsid w:val="00D52DE4"/>
    <w:rsid w:val="00D5386B"/>
    <w:rsid w:val="00D546F3"/>
    <w:rsid w:val="00D55C0F"/>
    <w:rsid w:val="00D564E9"/>
    <w:rsid w:val="00D56A56"/>
    <w:rsid w:val="00D56E65"/>
    <w:rsid w:val="00D576C5"/>
    <w:rsid w:val="00D57A12"/>
    <w:rsid w:val="00D60B00"/>
    <w:rsid w:val="00D61557"/>
    <w:rsid w:val="00D62DE2"/>
    <w:rsid w:val="00D6308B"/>
    <w:rsid w:val="00D64357"/>
    <w:rsid w:val="00D64531"/>
    <w:rsid w:val="00D64733"/>
    <w:rsid w:val="00D64861"/>
    <w:rsid w:val="00D66813"/>
    <w:rsid w:val="00D66982"/>
    <w:rsid w:val="00D669D7"/>
    <w:rsid w:val="00D66B26"/>
    <w:rsid w:val="00D66E84"/>
    <w:rsid w:val="00D67EC2"/>
    <w:rsid w:val="00D7050B"/>
    <w:rsid w:val="00D7099B"/>
    <w:rsid w:val="00D70AD3"/>
    <w:rsid w:val="00D70DF4"/>
    <w:rsid w:val="00D70F3F"/>
    <w:rsid w:val="00D71594"/>
    <w:rsid w:val="00D72794"/>
    <w:rsid w:val="00D72F62"/>
    <w:rsid w:val="00D73038"/>
    <w:rsid w:val="00D75C6F"/>
    <w:rsid w:val="00D771B8"/>
    <w:rsid w:val="00D77760"/>
    <w:rsid w:val="00D80F79"/>
    <w:rsid w:val="00D81129"/>
    <w:rsid w:val="00D81782"/>
    <w:rsid w:val="00D81F35"/>
    <w:rsid w:val="00D826DC"/>
    <w:rsid w:val="00D83871"/>
    <w:rsid w:val="00D84445"/>
    <w:rsid w:val="00D844F5"/>
    <w:rsid w:val="00D84535"/>
    <w:rsid w:val="00D84976"/>
    <w:rsid w:val="00D85269"/>
    <w:rsid w:val="00D858B2"/>
    <w:rsid w:val="00D9011A"/>
    <w:rsid w:val="00D90131"/>
    <w:rsid w:val="00D90D15"/>
    <w:rsid w:val="00D92DF7"/>
    <w:rsid w:val="00D946A6"/>
    <w:rsid w:val="00D948E7"/>
    <w:rsid w:val="00D95C62"/>
    <w:rsid w:val="00D9645C"/>
    <w:rsid w:val="00D97645"/>
    <w:rsid w:val="00D976E5"/>
    <w:rsid w:val="00D9774E"/>
    <w:rsid w:val="00D97E54"/>
    <w:rsid w:val="00DA1001"/>
    <w:rsid w:val="00DA148E"/>
    <w:rsid w:val="00DA182D"/>
    <w:rsid w:val="00DA26F2"/>
    <w:rsid w:val="00DA2F89"/>
    <w:rsid w:val="00DA3270"/>
    <w:rsid w:val="00DA6880"/>
    <w:rsid w:val="00DA73DE"/>
    <w:rsid w:val="00DB0866"/>
    <w:rsid w:val="00DB0952"/>
    <w:rsid w:val="00DB0B0F"/>
    <w:rsid w:val="00DB12A2"/>
    <w:rsid w:val="00DB16FB"/>
    <w:rsid w:val="00DB1FBF"/>
    <w:rsid w:val="00DB4D80"/>
    <w:rsid w:val="00DB4F74"/>
    <w:rsid w:val="00DB50A8"/>
    <w:rsid w:val="00DB50ED"/>
    <w:rsid w:val="00DB68E5"/>
    <w:rsid w:val="00DB70DC"/>
    <w:rsid w:val="00DB7A8B"/>
    <w:rsid w:val="00DB7B9B"/>
    <w:rsid w:val="00DB7D3B"/>
    <w:rsid w:val="00DC1D85"/>
    <w:rsid w:val="00DC21AF"/>
    <w:rsid w:val="00DC255F"/>
    <w:rsid w:val="00DC2F93"/>
    <w:rsid w:val="00DC3A30"/>
    <w:rsid w:val="00DC51AD"/>
    <w:rsid w:val="00DC666B"/>
    <w:rsid w:val="00DC6D94"/>
    <w:rsid w:val="00DC728F"/>
    <w:rsid w:val="00DC7A51"/>
    <w:rsid w:val="00DD0493"/>
    <w:rsid w:val="00DD0711"/>
    <w:rsid w:val="00DD2D45"/>
    <w:rsid w:val="00DD3A46"/>
    <w:rsid w:val="00DD4979"/>
    <w:rsid w:val="00DD61F7"/>
    <w:rsid w:val="00DD6B5A"/>
    <w:rsid w:val="00DD7379"/>
    <w:rsid w:val="00DE099B"/>
    <w:rsid w:val="00DE0F01"/>
    <w:rsid w:val="00DE114F"/>
    <w:rsid w:val="00DE1526"/>
    <w:rsid w:val="00DE1960"/>
    <w:rsid w:val="00DE1DF9"/>
    <w:rsid w:val="00DE3DC8"/>
    <w:rsid w:val="00DE5587"/>
    <w:rsid w:val="00DE67EA"/>
    <w:rsid w:val="00DE73AE"/>
    <w:rsid w:val="00DE73B3"/>
    <w:rsid w:val="00DE7423"/>
    <w:rsid w:val="00DE78FD"/>
    <w:rsid w:val="00DF0698"/>
    <w:rsid w:val="00DF0F4C"/>
    <w:rsid w:val="00DF128D"/>
    <w:rsid w:val="00DF25BC"/>
    <w:rsid w:val="00DF3364"/>
    <w:rsid w:val="00DF357F"/>
    <w:rsid w:val="00DF3D87"/>
    <w:rsid w:val="00DF4814"/>
    <w:rsid w:val="00DF5093"/>
    <w:rsid w:val="00DF6237"/>
    <w:rsid w:val="00DF6599"/>
    <w:rsid w:val="00DF731B"/>
    <w:rsid w:val="00DF7A15"/>
    <w:rsid w:val="00E02030"/>
    <w:rsid w:val="00E020C1"/>
    <w:rsid w:val="00E02164"/>
    <w:rsid w:val="00E03BBE"/>
    <w:rsid w:val="00E04707"/>
    <w:rsid w:val="00E04C5C"/>
    <w:rsid w:val="00E061BE"/>
    <w:rsid w:val="00E07438"/>
    <w:rsid w:val="00E07938"/>
    <w:rsid w:val="00E12286"/>
    <w:rsid w:val="00E12575"/>
    <w:rsid w:val="00E128CC"/>
    <w:rsid w:val="00E1315A"/>
    <w:rsid w:val="00E13423"/>
    <w:rsid w:val="00E13BFA"/>
    <w:rsid w:val="00E14D72"/>
    <w:rsid w:val="00E1550D"/>
    <w:rsid w:val="00E1647F"/>
    <w:rsid w:val="00E16829"/>
    <w:rsid w:val="00E17409"/>
    <w:rsid w:val="00E17A35"/>
    <w:rsid w:val="00E211B9"/>
    <w:rsid w:val="00E220D8"/>
    <w:rsid w:val="00E2239A"/>
    <w:rsid w:val="00E245B7"/>
    <w:rsid w:val="00E24F82"/>
    <w:rsid w:val="00E25A4C"/>
    <w:rsid w:val="00E2654D"/>
    <w:rsid w:val="00E2659A"/>
    <w:rsid w:val="00E26848"/>
    <w:rsid w:val="00E312AC"/>
    <w:rsid w:val="00E3206A"/>
    <w:rsid w:val="00E32902"/>
    <w:rsid w:val="00E32CE1"/>
    <w:rsid w:val="00E33AE2"/>
    <w:rsid w:val="00E33DBA"/>
    <w:rsid w:val="00E349EF"/>
    <w:rsid w:val="00E34D1F"/>
    <w:rsid w:val="00E3536F"/>
    <w:rsid w:val="00E35C86"/>
    <w:rsid w:val="00E367A4"/>
    <w:rsid w:val="00E3685E"/>
    <w:rsid w:val="00E37070"/>
    <w:rsid w:val="00E372C6"/>
    <w:rsid w:val="00E37FA4"/>
    <w:rsid w:val="00E41454"/>
    <w:rsid w:val="00E4226D"/>
    <w:rsid w:val="00E430B9"/>
    <w:rsid w:val="00E45E05"/>
    <w:rsid w:val="00E45E7E"/>
    <w:rsid w:val="00E4655D"/>
    <w:rsid w:val="00E50D11"/>
    <w:rsid w:val="00E5111B"/>
    <w:rsid w:val="00E51C5C"/>
    <w:rsid w:val="00E51D53"/>
    <w:rsid w:val="00E520B2"/>
    <w:rsid w:val="00E521FE"/>
    <w:rsid w:val="00E5258C"/>
    <w:rsid w:val="00E53736"/>
    <w:rsid w:val="00E54EBA"/>
    <w:rsid w:val="00E54EC7"/>
    <w:rsid w:val="00E554E2"/>
    <w:rsid w:val="00E55CD1"/>
    <w:rsid w:val="00E56AFB"/>
    <w:rsid w:val="00E57342"/>
    <w:rsid w:val="00E6000F"/>
    <w:rsid w:val="00E603EB"/>
    <w:rsid w:val="00E6234E"/>
    <w:rsid w:val="00E649FD"/>
    <w:rsid w:val="00E65E25"/>
    <w:rsid w:val="00E67EB2"/>
    <w:rsid w:val="00E707CF"/>
    <w:rsid w:val="00E70FDA"/>
    <w:rsid w:val="00E716B6"/>
    <w:rsid w:val="00E71BAE"/>
    <w:rsid w:val="00E76398"/>
    <w:rsid w:val="00E765D5"/>
    <w:rsid w:val="00E7694D"/>
    <w:rsid w:val="00E770EC"/>
    <w:rsid w:val="00E774D7"/>
    <w:rsid w:val="00E778D3"/>
    <w:rsid w:val="00E8018A"/>
    <w:rsid w:val="00E83A67"/>
    <w:rsid w:val="00E83C6B"/>
    <w:rsid w:val="00E841C1"/>
    <w:rsid w:val="00E85B8E"/>
    <w:rsid w:val="00E85BF6"/>
    <w:rsid w:val="00E85EEF"/>
    <w:rsid w:val="00E86EC1"/>
    <w:rsid w:val="00E86EC2"/>
    <w:rsid w:val="00E87216"/>
    <w:rsid w:val="00E91521"/>
    <w:rsid w:val="00E93E5E"/>
    <w:rsid w:val="00E94FFF"/>
    <w:rsid w:val="00E954F6"/>
    <w:rsid w:val="00E956A9"/>
    <w:rsid w:val="00E959B4"/>
    <w:rsid w:val="00E95F67"/>
    <w:rsid w:val="00E95F71"/>
    <w:rsid w:val="00EA01E8"/>
    <w:rsid w:val="00EA0DD8"/>
    <w:rsid w:val="00EA2ADD"/>
    <w:rsid w:val="00EA3481"/>
    <w:rsid w:val="00EA43DE"/>
    <w:rsid w:val="00EA7A28"/>
    <w:rsid w:val="00EB0A3F"/>
    <w:rsid w:val="00EB173D"/>
    <w:rsid w:val="00EB1A55"/>
    <w:rsid w:val="00EB3667"/>
    <w:rsid w:val="00EB395F"/>
    <w:rsid w:val="00EB3F41"/>
    <w:rsid w:val="00EB41E6"/>
    <w:rsid w:val="00EB582D"/>
    <w:rsid w:val="00EB58B0"/>
    <w:rsid w:val="00EB5F1B"/>
    <w:rsid w:val="00EB651B"/>
    <w:rsid w:val="00EB677B"/>
    <w:rsid w:val="00EB6900"/>
    <w:rsid w:val="00EB7C42"/>
    <w:rsid w:val="00EB7F5F"/>
    <w:rsid w:val="00EC0480"/>
    <w:rsid w:val="00EC0592"/>
    <w:rsid w:val="00EC0723"/>
    <w:rsid w:val="00EC167F"/>
    <w:rsid w:val="00EC2CDC"/>
    <w:rsid w:val="00EC404B"/>
    <w:rsid w:val="00EC4C67"/>
    <w:rsid w:val="00EC5372"/>
    <w:rsid w:val="00EC56A4"/>
    <w:rsid w:val="00EC6182"/>
    <w:rsid w:val="00EC66AB"/>
    <w:rsid w:val="00ED1CFE"/>
    <w:rsid w:val="00ED3161"/>
    <w:rsid w:val="00ED4288"/>
    <w:rsid w:val="00ED4F0A"/>
    <w:rsid w:val="00ED5645"/>
    <w:rsid w:val="00ED5F40"/>
    <w:rsid w:val="00ED60D0"/>
    <w:rsid w:val="00EE0346"/>
    <w:rsid w:val="00EE0381"/>
    <w:rsid w:val="00EE2182"/>
    <w:rsid w:val="00EE260B"/>
    <w:rsid w:val="00EE2DFA"/>
    <w:rsid w:val="00EE31D9"/>
    <w:rsid w:val="00EE39C7"/>
    <w:rsid w:val="00EE5911"/>
    <w:rsid w:val="00EE7C94"/>
    <w:rsid w:val="00EF1357"/>
    <w:rsid w:val="00EF1632"/>
    <w:rsid w:val="00EF1B95"/>
    <w:rsid w:val="00EF2283"/>
    <w:rsid w:val="00EF2C15"/>
    <w:rsid w:val="00EF3152"/>
    <w:rsid w:val="00EF3BE3"/>
    <w:rsid w:val="00EF42E8"/>
    <w:rsid w:val="00EF599A"/>
    <w:rsid w:val="00EF7ABD"/>
    <w:rsid w:val="00EF7CC1"/>
    <w:rsid w:val="00F015F0"/>
    <w:rsid w:val="00F0186B"/>
    <w:rsid w:val="00F01F00"/>
    <w:rsid w:val="00F024DB"/>
    <w:rsid w:val="00F036A9"/>
    <w:rsid w:val="00F038B4"/>
    <w:rsid w:val="00F0451B"/>
    <w:rsid w:val="00F04C19"/>
    <w:rsid w:val="00F05979"/>
    <w:rsid w:val="00F05DC1"/>
    <w:rsid w:val="00F064E6"/>
    <w:rsid w:val="00F0666A"/>
    <w:rsid w:val="00F068AD"/>
    <w:rsid w:val="00F1071F"/>
    <w:rsid w:val="00F107BD"/>
    <w:rsid w:val="00F1084B"/>
    <w:rsid w:val="00F10F12"/>
    <w:rsid w:val="00F11535"/>
    <w:rsid w:val="00F11FD5"/>
    <w:rsid w:val="00F1234C"/>
    <w:rsid w:val="00F1268F"/>
    <w:rsid w:val="00F12EE6"/>
    <w:rsid w:val="00F1320F"/>
    <w:rsid w:val="00F167B4"/>
    <w:rsid w:val="00F16BED"/>
    <w:rsid w:val="00F16E54"/>
    <w:rsid w:val="00F17FF5"/>
    <w:rsid w:val="00F20688"/>
    <w:rsid w:val="00F2201A"/>
    <w:rsid w:val="00F2223C"/>
    <w:rsid w:val="00F24903"/>
    <w:rsid w:val="00F24D38"/>
    <w:rsid w:val="00F25258"/>
    <w:rsid w:val="00F25756"/>
    <w:rsid w:val="00F259FF"/>
    <w:rsid w:val="00F2699C"/>
    <w:rsid w:val="00F26F43"/>
    <w:rsid w:val="00F27492"/>
    <w:rsid w:val="00F2767A"/>
    <w:rsid w:val="00F27787"/>
    <w:rsid w:val="00F30BA3"/>
    <w:rsid w:val="00F31AD0"/>
    <w:rsid w:val="00F32404"/>
    <w:rsid w:val="00F32EE4"/>
    <w:rsid w:val="00F32FE6"/>
    <w:rsid w:val="00F32FFD"/>
    <w:rsid w:val="00F33252"/>
    <w:rsid w:val="00F3431E"/>
    <w:rsid w:val="00F35155"/>
    <w:rsid w:val="00F3522B"/>
    <w:rsid w:val="00F36BD7"/>
    <w:rsid w:val="00F36FFC"/>
    <w:rsid w:val="00F37CC3"/>
    <w:rsid w:val="00F37D74"/>
    <w:rsid w:val="00F37DDD"/>
    <w:rsid w:val="00F4070A"/>
    <w:rsid w:val="00F4167E"/>
    <w:rsid w:val="00F44762"/>
    <w:rsid w:val="00F45175"/>
    <w:rsid w:val="00F461C8"/>
    <w:rsid w:val="00F4621C"/>
    <w:rsid w:val="00F4626A"/>
    <w:rsid w:val="00F51AA9"/>
    <w:rsid w:val="00F51B30"/>
    <w:rsid w:val="00F51DF9"/>
    <w:rsid w:val="00F531DF"/>
    <w:rsid w:val="00F53C57"/>
    <w:rsid w:val="00F540D3"/>
    <w:rsid w:val="00F548F2"/>
    <w:rsid w:val="00F5669A"/>
    <w:rsid w:val="00F566C4"/>
    <w:rsid w:val="00F5693C"/>
    <w:rsid w:val="00F572DB"/>
    <w:rsid w:val="00F57B9F"/>
    <w:rsid w:val="00F60441"/>
    <w:rsid w:val="00F60589"/>
    <w:rsid w:val="00F60A7C"/>
    <w:rsid w:val="00F61205"/>
    <w:rsid w:val="00F6315C"/>
    <w:rsid w:val="00F63347"/>
    <w:rsid w:val="00F6389E"/>
    <w:rsid w:val="00F63F52"/>
    <w:rsid w:val="00F64FE2"/>
    <w:rsid w:val="00F65087"/>
    <w:rsid w:val="00F65B79"/>
    <w:rsid w:val="00F67135"/>
    <w:rsid w:val="00F67694"/>
    <w:rsid w:val="00F67C39"/>
    <w:rsid w:val="00F67F4E"/>
    <w:rsid w:val="00F67FD8"/>
    <w:rsid w:val="00F7064B"/>
    <w:rsid w:val="00F70B17"/>
    <w:rsid w:val="00F71261"/>
    <w:rsid w:val="00F71D97"/>
    <w:rsid w:val="00F72414"/>
    <w:rsid w:val="00F7245E"/>
    <w:rsid w:val="00F72808"/>
    <w:rsid w:val="00F73CB8"/>
    <w:rsid w:val="00F75C1F"/>
    <w:rsid w:val="00F76419"/>
    <w:rsid w:val="00F76D5A"/>
    <w:rsid w:val="00F8070C"/>
    <w:rsid w:val="00F81F40"/>
    <w:rsid w:val="00F831A1"/>
    <w:rsid w:val="00F839BE"/>
    <w:rsid w:val="00F83E14"/>
    <w:rsid w:val="00F84AC8"/>
    <w:rsid w:val="00F86032"/>
    <w:rsid w:val="00F9111E"/>
    <w:rsid w:val="00F9155A"/>
    <w:rsid w:val="00F92753"/>
    <w:rsid w:val="00F940C2"/>
    <w:rsid w:val="00F94571"/>
    <w:rsid w:val="00F957C5"/>
    <w:rsid w:val="00F9594F"/>
    <w:rsid w:val="00F96B1E"/>
    <w:rsid w:val="00F96DFB"/>
    <w:rsid w:val="00FA018E"/>
    <w:rsid w:val="00FA0643"/>
    <w:rsid w:val="00FA0D05"/>
    <w:rsid w:val="00FA1397"/>
    <w:rsid w:val="00FA16D5"/>
    <w:rsid w:val="00FA2BE8"/>
    <w:rsid w:val="00FA68D2"/>
    <w:rsid w:val="00FA7635"/>
    <w:rsid w:val="00FA7FD2"/>
    <w:rsid w:val="00FB1547"/>
    <w:rsid w:val="00FB19BB"/>
    <w:rsid w:val="00FB24C9"/>
    <w:rsid w:val="00FB26CE"/>
    <w:rsid w:val="00FB30A6"/>
    <w:rsid w:val="00FB37C0"/>
    <w:rsid w:val="00FB3F6E"/>
    <w:rsid w:val="00FB4283"/>
    <w:rsid w:val="00FB47D7"/>
    <w:rsid w:val="00FB553E"/>
    <w:rsid w:val="00FB5A2F"/>
    <w:rsid w:val="00FB6BF8"/>
    <w:rsid w:val="00FB7576"/>
    <w:rsid w:val="00FB7873"/>
    <w:rsid w:val="00FB7F37"/>
    <w:rsid w:val="00FC0198"/>
    <w:rsid w:val="00FC0CE2"/>
    <w:rsid w:val="00FC1C12"/>
    <w:rsid w:val="00FC20CB"/>
    <w:rsid w:val="00FC33E4"/>
    <w:rsid w:val="00FC3AC1"/>
    <w:rsid w:val="00FC3CD6"/>
    <w:rsid w:val="00FC5211"/>
    <w:rsid w:val="00FC5CAA"/>
    <w:rsid w:val="00FD05E8"/>
    <w:rsid w:val="00FD2635"/>
    <w:rsid w:val="00FD3728"/>
    <w:rsid w:val="00FD3847"/>
    <w:rsid w:val="00FD3E2C"/>
    <w:rsid w:val="00FD709A"/>
    <w:rsid w:val="00FD7FEF"/>
    <w:rsid w:val="00FE04ED"/>
    <w:rsid w:val="00FE07BB"/>
    <w:rsid w:val="00FE08CE"/>
    <w:rsid w:val="00FE1B74"/>
    <w:rsid w:val="00FE2285"/>
    <w:rsid w:val="00FE2F68"/>
    <w:rsid w:val="00FE311A"/>
    <w:rsid w:val="00FE45A1"/>
    <w:rsid w:val="00FE5E99"/>
    <w:rsid w:val="00FE67EE"/>
    <w:rsid w:val="00FE68C8"/>
    <w:rsid w:val="00FE68F3"/>
    <w:rsid w:val="00FE6944"/>
    <w:rsid w:val="00FE6956"/>
    <w:rsid w:val="00FE7452"/>
    <w:rsid w:val="00FE772D"/>
    <w:rsid w:val="00FE7F07"/>
    <w:rsid w:val="00FF0DB6"/>
    <w:rsid w:val="00FF145E"/>
    <w:rsid w:val="00FF1890"/>
    <w:rsid w:val="00FF2990"/>
    <w:rsid w:val="00FF2C39"/>
    <w:rsid w:val="00FF31C6"/>
    <w:rsid w:val="00FF371D"/>
    <w:rsid w:val="00FF3B9A"/>
    <w:rsid w:val="00FF543B"/>
    <w:rsid w:val="00FF6785"/>
    <w:rsid w:val="010BCFC9"/>
    <w:rsid w:val="012F1B71"/>
    <w:rsid w:val="01441001"/>
    <w:rsid w:val="0149D9D6"/>
    <w:rsid w:val="015EC786"/>
    <w:rsid w:val="015F3319"/>
    <w:rsid w:val="01649192"/>
    <w:rsid w:val="017A5245"/>
    <w:rsid w:val="0183CAEB"/>
    <w:rsid w:val="018ED4A8"/>
    <w:rsid w:val="019E8818"/>
    <w:rsid w:val="01A37F78"/>
    <w:rsid w:val="01AC3DD6"/>
    <w:rsid w:val="01BEB566"/>
    <w:rsid w:val="01C30B38"/>
    <w:rsid w:val="01C77BC7"/>
    <w:rsid w:val="01C984CE"/>
    <w:rsid w:val="01FC1D28"/>
    <w:rsid w:val="020A99D0"/>
    <w:rsid w:val="024BE568"/>
    <w:rsid w:val="0257485F"/>
    <w:rsid w:val="026A360C"/>
    <w:rsid w:val="029B17FA"/>
    <w:rsid w:val="02C4FEA9"/>
    <w:rsid w:val="02C6C0A0"/>
    <w:rsid w:val="02D1C327"/>
    <w:rsid w:val="02E2F676"/>
    <w:rsid w:val="02F3581B"/>
    <w:rsid w:val="030B59FA"/>
    <w:rsid w:val="030C669C"/>
    <w:rsid w:val="0332472E"/>
    <w:rsid w:val="036BC052"/>
    <w:rsid w:val="03764738"/>
    <w:rsid w:val="037F77D4"/>
    <w:rsid w:val="037FDCDB"/>
    <w:rsid w:val="039F1FDE"/>
    <w:rsid w:val="03A4E971"/>
    <w:rsid w:val="03B2FBDB"/>
    <w:rsid w:val="03D77F8A"/>
    <w:rsid w:val="03EC145F"/>
    <w:rsid w:val="03F120B4"/>
    <w:rsid w:val="0413F2A3"/>
    <w:rsid w:val="042623F8"/>
    <w:rsid w:val="0435E8C9"/>
    <w:rsid w:val="0438702A"/>
    <w:rsid w:val="0452C9B9"/>
    <w:rsid w:val="04858B06"/>
    <w:rsid w:val="04875FB1"/>
    <w:rsid w:val="048BC231"/>
    <w:rsid w:val="0491A6B3"/>
    <w:rsid w:val="049E4CE7"/>
    <w:rsid w:val="04A5400A"/>
    <w:rsid w:val="04B1C354"/>
    <w:rsid w:val="04D7348D"/>
    <w:rsid w:val="04EC5495"/>
    <w:rsid w:val="0527FD78"/>
    <w:rsid w:val="052F0ADF"/>
    <w:rsid w:val="053A8650"/>
    <w:rsid w:val="054147AD"/>
    <w:rsid w:val="054B2E40"/>
    <w:rsid w:val="0555EAB4"/>
    <w:rsid w:val="05662CA0"/>
    <w:rsid w:val="056A5C3E"/>
    <w:rsid w:val="0573A0CF"/>
    <w:rsid w:val="058575B7"/>
    <w:rsid w:val="0598D9E6"/>
    <w:rsid w:val="05A36D60"/>
    <w:rsid w:val="05B7A815"/>
    <w:rsid w:val="05FFD849"/>
    <w:rsid w:val="0602389D"/>
    <w:rsid w:val="06138DCE"/>
    <w:rsid w:val="0617126D"/>
    <w:rsid w:val="0652D8FE"/>
    <w:rsid w:val="066FD8C3"/>
    <w:rsid w:val="06716914"/>
    <w:rsid w:val="0672E38C"/>
    <w:rsid w:val="0696D146"/>
    <w:rsid w:val="06A8F36C"/>
    <w:rsid w:val="06A9BBF8"/>
    <w:rsid w:val="06B028B6"/>
    <w:rsid w:val="06E09B07"/>
    <w:rsid w:val="07452EEA"/>
    <w:rsid w:val="075CD28F"/>
    <w:rsid w:val="076BADBC"/>
    <w:rsid w:val="07722C24"/>
    <w:rsid w:val="077CDA47"/>
    <w:rsid w:val="078FA8EE"/>
    <w:rsid w:val="07A0560F"/>
    <w:rsid w:val="07D82640"/>
    <w:rsid w:val="080AF051"/>
    <w:rsid w:val="080D3CA8"/>
    <w:rsid w:val="081ACFF3"/>
    <w:rsid w:val="088C5194"/>
    <w:rsid w:val="08A94A67"/>
    <w:rsid w:val="08BF4D4D"/>
    <w:rsid w:val="08C29E45"/>
    <w:rsid w:val="08CAAFE5"/>
    <w:rsid w:val="08CEA896"/>
    <w:rsid w:val="08D5542F"/>
    <w:rsid w:val="08FE8A5E"/>
    <w:rsid w:val="0945FF15"/>
    <w:rsid w:val="09918978"/>
    <w:rsid w:val="099E6709"/>
    <w:rsid w:val="09B9DC3A"/>
    <w:rsid w:val="09CE5771"/>
    <w:rsid w:val="09E72DDD"/>
    <w:rsid w:val="0A059072"/>
    <w:rsid w:val="0A1906B7"/>
    <w:rsid w:val="0A2063F1"/>
    <w:rsid w:val="0A5C5045"/>
    <w:rsid w:val="0A5F5874"/>
    <w:rsid w:val="0A6B012E"/>
    <w:rsid w:val="0A8900EC"/>
    <w:rsid w:val="0A97A0FB"/>
    <w:rsid w:val="0AABE690"/>
    <w:rsid w:val="0AB35D9E"/>
    <w:rsid w:val="0ABB7035"/>
    <w:rsid w:val="0ABF7866"/>
    <w:rsid w:val="0ACE2161"/>
    <w:rsid w:val="0AE5DA37"/>
    <w:rsid w:val="0AE72CD1"/>
    <w:rsid w:val="0AF8E482"/>
    <w:rsid w:val="0B0D3A89"/>
    <w:rsid w:val="0B363FA6"/>
    <w:rsid w:val="0B5F61ED"/>
    <w:rsid w:val="0B900238"/>
    <w:rsid w:val="0B955312"/>
    <w:rsid w:val="0BAE7D01"/>
    <w:rsid w:val="0BCD8BFF"/>
    <w:rsid w:val="0BD897CD"/>
    <w:rsid w:val="0BDEF703"/>
    <w:rsid w:val="0C0DB3BE"/>
    <w:rsid w:val="0C0EA309"/>
    <w:rsid w:val="0C63A0CB"/>
    <w:rsid w:val="0C69565F"/>
    <w:rsid w:val="0CAE4599"/>
    <w:rsid w:val="0CB1C91E"/>
    <w:rsid w:val="0CBDEDBD"/>
    <w:rsid w:val="0CD899F5"/>
    <w:rsid w:val="0D01B15E"/>
    <w:rsid w:val="0D2CF7F2"/>
    <w:rsid w:val="0D536A7C"/>
    <w:rsid w:val="0D68BF0E"/>
    <w:rsid w:val="0D7787BA"/>
    <w:rsid w:val="0D97182B"/>
    <w:rsid w:val="0DC7C5CD"/>
    <w:rsid w:val="0DD5976A"/>
    <w:rsid w:val="0DD61806"/>
    <w:rsid w:val="0DE2CFFD"/>
    <w:rsid w:val="0E033B89"/>
    <w:rsid w:val="0E06930D"/>
    <w:rsid w:val="0E1417EE"/>
    <w:rsid w:val="0E2282D8"/>
    <w:rsid w:val="0E2FC91D"/>
    <w:rsid w:val="0E3B2B45"/>
    <w:rsid w:val="0E99DAAC"/>
    <w:rsid w:val="0ECA1176"/>
    <w:rsid w:val="0ECD051A"/>
    <w:rsid w:val="0EF5FBC4"/>
    <w:rsid w:val="0EFE6167"/>
    <w:rsid w:val="0F4207F2"/>
    <w:rsid w:val="0F45B578"/>
    <w:rsid w:val="0F5044FF"/>
    <w:rsid w:val="0F767AD6"/>
    <w:rsid w:val="0FC92075"/>
    <w:rsid w:val="10104712"/>
    <w:rsid w:val="10300D1B"/>
    <w:rsid w:val="1039E9DB"/>
    <w:rsid w:val="10508C4A"/>
    <w:rsid w:val="1059C627"/>
    <w:rsid w:val="1067AC31"/>
    <w:rsid w:val="1075707D"/>
    <w:rsid w:val="107A6654"/>
    <w:rsid w:val="1083637C"/>
    <w:rsid w:val="10AC6991"/>
    <w:rsid w:val="10CDCDD3"/>
    <w:rsid w:val="10DB5C70"/>
    <w:rsid w:val="10FABB53"/>
    <w:rsid w:val="11077323"/>
    <w:rsid w:val="110AE6A0"/>
    <w:rsid w:val="1112C9F2"/>
    <w:rsid w:val="111C56EE"/>
    <w:rsid w:val="116159C9"/>
    <w:rsid w:val="116B7679"/>
    <w:rsid w:val="118B8E8E"/>
    <w:rsid w:val="11955BDD"/>
    <w:rsid w:val="11AB67BB"/>
    <w:rsid w:val="11BAFA09"/>
    <w:rsid w:val="11DCC89B"/>
    <w:rsid w:val="11E451C9"/>
    <w:rsid w:val="11F17646"/>
    <w:rsid w:val="11FC5A31"/>
    <w:rsid w:val="11FF3C11"/>
    <w:rsid w:val="121F4797"/>
    <w:rsid w:val="12386F48"/>
    <w:rsid w:val="123B359B"/>
    <w:rsid w:val="124584FA"/>
    <w:rsid w:val="127D0E78"/>
    <w:rsid w:val="1280B8EC"/>
    <w:rsid w:val="128162E0"/>
    <w:rsid w:val="12948367"/>
    <w:rsid w:val="12957054"/>
    <w:rsid w:val="12BA410D"/>
    <w:rsid w:val="12BF2EBA"/>
    <w:rsid w:val="12F271D6"/>
    <w:rsid w:val="12F58275"/>
    <w:rsid w:val="131C6FF7"/>
    <w:rsid w:val="131DDEC7"/>
    <w:rsid w:val="1340CA33"/>
    <w:rsid w:val="13AB997A"/>
    <w:rsid w:val="13AFC59F"/>
    <w:rsid w:val="13C0BE5B"/>
    <w:rsid w:val="13C42811"/>
    <w:rsid w:val="13C8BC7E"/>
    <w:rsid w:val="14110DEC"/>
    <w:rsid w:val="142F1A48"/>
    <w:rsid w:val="1437BBC6"/>
    <w:rsid w:val="144D047F"/>
    <w:rsid w:val="146787D0"/>
    <w:rsid w:val="1483B6E3"/>
    <w:rsid w:val="148882A3"/>
    <w:rsid w:val="14B0B9B5"/>
    <w:rsid w:val="14B0CF7A"/>
    <w:rsid w:val="14F0CF89"/>
    <w:rsid w:val="14F4A02D"/>
    <w:rsid w:val="14FB06F3"/>
    <w:rsid w:val="14FBF7A2"/>
    <w:rsid w:val="151A489B"/>
    <w:rsid w:val="15441212"/>
    <w:rsid w:val="154EE69A"/>
    <w:rsid w:val="154F277B"/>
    <w:rsid w:val="155254E6"/>
    <w:rsid w:val="155744CA"/>
    <w:rsid w:val="1569FF87"/>
    <w:rsid w:val="1579D5A1"/>
    <w:rsid w:val="15E0E4A1"/>
    <w:rsid w:val="16316A9F"/>
    <w:rsid w:val="16367540"/>
    <w:rsid w:val="1637D684"/>
    <w:rsid w:val="1651E02B"/>
    <w:rsid w:val="16B55473"/>
    <w:rsid w:val="16F6F919"/>
    <w:rsid w:val="170BADA0"/>
    <w:rsid w:val="1722655F"/>
    <w:rsid w:val="172B7A34"/>
    <w:rsid w:val="17448029"/>
    <w:rsid w:val="1745A8B3"/>
    <w:rsid w:val="1752663C"/>
    <w:rsid w:val="175CBB35"/>
    <w:rsid w:val="176A410D"/>
    <w:rsid w:val="17733A08"/>
    <w:rsid w:val="17898117"/>
    <w:rsid w:val="17AFEACD"/>
    <w:rsid w:val="17C679E7"/>
    <w:rsid w:val="17D971C1"/>
    <w:rsid w:val="17F9899B"/>
    <w:rsid w:val="17FBC203"/>
    <w:rsid w:val="18225A39"/>
    <w:rsid w:val="18226AB4"/>
    <w:rsid w:val="182D57A4"/>
    <w:rsid w:val="183D9426"/>
    <w:rsid w:val="183FFC56"/>
    <w:rsid w:val="1855FB87"/>
    <w:rsid w:val="18594C40"/>
    <w:rsid w:val="18A26243"/>
    <w:rsid w:val="18A26AA6"/>
    <w:rsid w:val="18ABD57A"/>
    <w:rsid w:val="18BBAC46"/>
    <w:rsid w:val="18BD0D58"/>
    <w:rsid w:val="18D6BEF4"/>
    <w:rsid w:val="18DC3D67"/>
    <w:rsid w:val="18E05C2E"/>
    <w:rsid w:val="18E4F3D0"/>
    <w:rsid w:val="190D9280"/>
    <w:rsid w:val="192B8A47"/>
    <w:rsid w:val="1943B6D1"/>
    <w:rsid w:val="196195B5"/>
    <w:rsid w:val="19BCC7BF"/>
    <w:rsid w:val="19C94BA5"/>
    <w:rsid w:val="19DEC97C"/>
    <w:rsid w:val="19F0E246"/>
    <w:rsid w:val="19F67CE5"/>
    <w:rsid w:val="1A01DCE2"/>
    <w:rsid w:val="1A1387BB"/>
    <w:rsid w:val="1A23B0C2"/>
    <w:rsid w:val="1A7974A6"/>
    <w:rsid w:val="1A8B314A"/>
    <w:rsid w:val="1A8B865B"/>
    <w:rsid w:val="1A8C4EBD"/>
    <w:rsid w:val="1A94C301"/>
    <w:rsid w:val="1A9BA94D"/>
    <w:rsid w:val="1ACB927A"/>
    <w:rsid w:val="1B10F1EB"/>
    <w:rsid w:val="1B2821E8"/>
    <w:rsid w:val="1B2BE206"/>
    <w:rsid w:val="1B3016B4"/>
    <w:rsid w:val="1B419E2C"/>
    <w:rsid w:val="1B55FAAB"/>
    <w:rsid w:val="1B57382C"/>
    <w:rsid w:val="1B5BBB1F"/>
    <w:rsid w:val="1B6B8071"/>
    <w:rsid w:val="1B73D256"/>
    <w:rsid w:val="1B80039A"/>
    <w:rsid w:val="1B824935"/>
    <w:rsid w:val="1BB07131"/>
    <w:rsid w:val="1BC09A22"/>
    <w:rsid w:val="1BD9039F"/>
    <w:rsid w:val="1BE7E4C8"/>
    <w:rsid w:val="1BE81568"/>
    <w:rsid w:val="1BE84697"/>
    <w:rsid w:val="1BFA7419"/>
    <w:rsid w:val="1C1C38DD"/>
    <w:rsid w:val="1C448AA3"/>
    <w:rsid w:val="1CA8A78D"/>
    <w:rsid w:val="1CAA21F3"/>
    <w:rsid w:val="1CDE58DF"/>
    <w:rsid w:val="1CE14C06"/>
    <w:rsid w:val="1CF86F33"/>
    <w:rsid w:val="1CFD97C3"/>
    <w:rsid w:val="1CFE3FE6"/>
    <w:rsid w:val="1D31486D"/>
    <w:rsid w:val="1D36E9A4"/>
    <w:rsid w:val="1D392FC2"/>
    <w:rsid w:val="1D52272C"/>
    <w:rsid w:val="1D55E89A"/>
    <w:rsid w:val="1D6F50FF"/>
    <w:rsid w:val="1D704F4A"/>
    <w:rsid w:val="1D72BDD4"/>
    <w:rsid w:val="1D73B52B"/>
    <w:rsid w:val="1D9A70F3"/>
    <w:rsid w:val="1D9EB7F4"/>
    <w:rsid w:val="1DA12214"/>
    <w:rsid w:val="1DB8A4B8"/>
    <w:rsid w:val="1DD03408"/>
    <w:rsid w:val="1DE12BE5"/>
    <w:rsid w:val="1DE14BA3"/>
    <w:rsid w:val="1DE54F92"/>
    <w:rsid w:val="1DE9B545"/>
    <w:rsid w:val="1DFABF73"/>
    <w:rsid w:val="1E0F114F"/>
    <w:rsid w:val="1E1B7E30"/>
    <w:rsid w:val="1E4F9724"/>
    <w:rsid w:val="1E732CEE"/>
    <w:rsid w:val="1E80A6A5"/>
    <w:rsid w:val="1E9D2254"/>
    <w:rsid w:val="1EAE6C62"/>
    <w:rsid w:val="1ED3BB6A"/>
    <w:rsid w:val="1EEF180C"/>
    <w:rsid w:val="1F0E6C04"/>
    <w:rsid w:val="1F2852DC"/>
    <w:rsid w:val="1F37BBD0"/>
    <w:rsid w:val="1F6EB653"/>
    <w:rsid w:val="1F711703"/>
    <w:rsid w:val="1F88F2C0"/>
    <w:rsid w:val="1F9D03D1"/>
    <w:rsid w:val="1FA51AFB"/>
    <w:rsid w:val="1FA739CE"/>
    <w:rsid w:val="1FAEBC6A"/>
    <w:rsid w:val="1FE1F2EA"/>
    <w:rsid w:val="202957C3"/>
    <w:rsid w:val="202A0835"/>
    <w:rsid w:val="202FD413"/>
    <w:rsid w:val="20355808"/>
    <w:rsid w:val="2041113D"/>
    <w:rsid w:val="20777599"/>
    <w:rsid w:val="20857B93"/>
    <w:rsid w:val="2089C5F4"/>
    <w:rsid w:val="20A18863"/>
    <w:rsid w:val="20A2BBE3"/>
    <w:rsid w:val="20CD3A22"/>
    <w:rsid w:val="20CD504C"/>
    <w:rsid w:val="20D182DE"/>
    <w:rsid w:val="20EBA5F9"/>
    <w:rsid w:val="20F47373"/>
    <w:rsid w:val="215961BC"/>
    <w:rsid w:val="215EFCDC"/>
    <w:rsid w:val="2173F7A2"/>
    <w:rsid w:val="21825F9C"/>
    <w:rsid w:val="219532C9"/>
    <w:rsid w:val="219D508C"/>
    <w:rsid w:val="21D01803"/>
    <w:rsid w:val="21DD69E2"/>
    <w:rsid w:val="21DD79E8"/>
    <w:rsid w:val="222E9D48"/>
    <w:rsid w:val="2235EDBD"/>
    <w:rsid w:val="2255A78C"/>
    <w:rsid w:val="2273CE62"/>
    <w:rsid w:val="227E22B8"/>
    <w:rsid w:val="22997FDE"/>
    <w:rsid w:val="22A29970"/>
    <w:rsid w:val="22BC3D0B"/>
    <w:rsid w:val="22CA6895"/>
    <w:rsid w:val="22E4E03B"/>
    <w:rsid w:val="22ECC46B"/>
    <w:rsid w:val="2308276A"/>
    <w:rsid w:val="23308519"/>
    <w:rsid w:val="234B9381"/>
    <w:rsid w:val="23636E47"/>
    <w:rsid w:val="2363F81B"/>
    <w:rsid w:val="23A3492B"/>
    <w:rsid w:val="23AB9CFD"/>
    <w:rsid w:val="23ACEC4E"/>
    <w:rsid w:val="23AD6B0D"/>
    <w:rsid w:val="23AEA898"/>
    <w:rsid w:val="23BF6B2D"/>
    <w:rsid w:val="23DC2B3E"/>
    <w:rsid w:val="23E71805"/>
    <w:rsid w:val="23FDAFF7"/>
    <w:rsid w:val="2415B38A"/>
    <w:rsid w:val="24210000"/>
    <w:rsid w:val="242393B5"/>
    <w:rsid w:val="24661271"/>
    <w:rsid w:val="246819E2"/>
    <w:rsid w:val="247287A2"/>
    <w:rsid w:val="247A4F04"/>
    <w:rsid w:val="24850207"/>
    <w:rsid w:val="2486F874"/>
    <w:rsid w:val="2491804C"/>
    <w:rsid w:val="24AC7EC5"/>
    <w:rsid w:val="25002F4E"/>
    <w:rsid w:val="2505BCBF"/>
    <w:rsid w:val="252AC207"/>
    <w:rsid w:val="25313988"/>
    <w:rsid w:val="253DDFBE"/>
    <w:rsid w:val="25679538"/>
    <w:rsid w:val="25B766B9"/>
    <w:rsid w:val="25D1E767"/>
    <w:rsid w:val="25E24B92"/>
    <w:rsid w:val="25EC1E52"/>
    <w:rsid w:val="25EDFAEC"/>
    <w:rsid w:val="25FC3DEA"/>
    <w:rsid w:val="260D044E"/>
    <w:rsid w:val="264329FE"/>
    <w:rsid w:val="2652AA16"/>
    <w:rsid w:val="26907E74"/>
    <w:rsid w:val="269D5C64"/>
    <w:rsid w:val="27031350"/>
    <w:rsid w:val="273EDF34"/>
    <w:rsid w:val="277927E5"/>
    <w:rsid w:val="278ED16C"/>
    <w:rsid w:val="279021A3"/>
    <w:rsid w:val="27A01D62"/>
    <w:rsid w:val="27A36FEC"/>
    <w:rsid w:val="27B987BD"/>
    <w:rsid w:val="27CEC351"/>
    <w:rsid w:val="27F9C125"/>
    <w:rsid w:val="2807BEB5"/>
    <w:rsid w:val="2826F9AC"/>
    <w:rsid w:val="283A6984"/>
    <w:rsid w:val="283EC370"/>
    <w:rsid w:val="28A0F99F"/>
    <w:rsid w:val="28C0EB29"/>
    <w:rsid w:val="28C53012"/>
    <w:rsid w:val="28F606F8"/>
    <w:rsid w:val="28FAC41D"/>
    <w:rsid w:val="29227C68"/>
    <w:rsid w:val="293A7BA9"/>
    <w:rsid w:val="294167AD"/>
    <w:rsid w:val="294EBD81"/>
    <w:rsid w:val="2957F2BB"/>
    <w:rsid w:val="29647491"/>
    <w:rsid w:val="29682980"/>
    <w:rsid w:val="297D0833"/>
    <w:rsid w:val="29C37AB1"/>
    <w:rsid w:val="29E02E83"/>
    <w:rsid w:val="29EA2451"/>
    <w:rsid w:val="29FF3642"/>
    <w:rsid w:val="2A0C42DF"/>
    <w:rsid w:val="2A18C4EF"/>
    <w:rsid w:val="2A4ADCB0"/>
    <w:rsid w:val="2A59CE0E"/>
    <w:rsid w:val="2A6A69C0"/>
    <w:rsid w:val="2A76686D"/>
    <w:rsid w:val="2A7FC09E"/>
    <w:rsid w:val="2A8925FF"/>
    <w:rsid w:val="2A97E491"/>
    <w:rsid w:val="2A994946"/>
    <w:rsid w:val="2AD1A89E"/>
    <w:rsid w:val="2B007927"/>
    <w:rsid w:val="2B25B5CC"/>
    <w:rsid w:val="2B25C2FA"/>
    <w:rsid w:val="2B2A0852"/>
    <w:rsid w:val="2B2E3152"/>
    <w:rsid w:val="2B60417C"/>
    <w:rsid w:val="2B81C5A4"/>
    <w:rsid w:val="2B85B2CE"/>
    <w:rsid w:val="2B902E92"/>
    <w:rsid w:val="2B9D8AEB"/>
    <w:rsid w:val="2BA6F6C7"/>
    <w:rsid w:val="2BB89531"/>
    <w:rsid w:val="2BC8EE7B"/>
    <w:rsid w:val="2BD9B8A1"/>
    <w:rsid w:val="2BEA5958"/>
    <w:rsid w:val="2BFB274A"/>
    <w:rsid w:val="2C112091"/>
    <w:rsid w:val="2C315717"/>
    <w:rsid w:val="2C5A184F"/>
    <w:rsid w:val="2C625BEB"/>
    <w:rsid w:val="2C6EC8CA"/>
    <w:rsid w:val="2C7171BE"/>
    <w:rsid w:val="2C75C1CD"/>
    <w:rsid w:val="2C828BDD"/>
    <w:rsid w:val="2C933B14"/>
    <w:rsid w:val="2C9EE39E"/>
    <w:rsid w:val="2CAEC609"/>
    <w:rsid w:val="2CC9769C"/>
    <w:rsid w:val="2CCF5695"/>
    <w:rsid w:val="2CDCF5B2"/>
    <w:rsid w:val="2CE3D97E"/>
    <w:rsid w:val="2CF1243F"/>
    <w:rsid w:val="2CF59DB9"/>
    <w:rsid w:val="2D2E7CB7"/>
    <w:rsid w:val="2D2F2E66"/>
    <w:rsid w:val="2D3911AB"/>
    <w:rsid w:val="2D4B4BC9"/>
    <w:rsid w:val="2D53E7D9"/>
    <w:rsid w:val="2D80360A"/>
    <w:rsid w:val="2D857964"/>
    <w:rsid w:val="2DAEDED4"/>
    <w:rsid w:val="2DF32150"/>
    <w:rsid w:val="2E01C4F3"/>
    <w:rsid w:val="2E0228BF"/>
    <w:rsid w:val="2E03D3BE"/>
    <w:rsid w:val="2E06CCA2"/>
    <w:rsid w:val="2E18E04A"/>
    <w:rsid w:val="2E1B4035"/>
    <w:rsid w:val="2E26F91F"/>
    <w:rsid w:val="2E27CF78"/>
    <w:rsid w:val="2E2A59E8"/>
    <w:rsid w:val="2E337873"/>
    <w:rsid w:val="2E3ECB3D"/>
    <w:rsid w:val="2E681E70"/>
    <w:rsid w:val="2E6AFA52"/>
    <w:rsid w:val="2E8EACEB"/>
    <w:rsid w:val="2E9D2046"/>
    <w:rsid w:val="2EA53AC5"/>
    <w:rsid w:val="2EAA405A"/>
    <w:rsid w:val="2EADB792"/>
    <w:rsid w:val="2EB319D4"/>
    <w:rsid w:val="2ED6232B"/>
    <w:rsid w:val="2EDCB964"/>
    <w:rsid w:val="2EF5D6BC"/>
    <w:rsid w:val="2F018AB4"/>
    <w:rsid w:val="2F1265A2"/>
    <w:rsid w:val="2F33A33E"/>
    <w:rsid w:val="2F343D91"/>
    <w:rsid w:val="2F40FEA7"/>
    <w:rsid w:val="2F47BA8B"/>
    <w:rsid w:val="2F57C561"/>
    <w:rsid w:val="2F66A426"/>
    <w:rsid w:val="2F6C293A"/>
    <w:rsid w:val="2FBAA44B"/>
    <w:rsid w:val="2FD25387"/>
    <w:rsid w:val="2FD29812"/>
    <w:rsid w:val="2FE74CD2"/>
    <w:rsid w:val="2FE7C87A"/>
    <w:rsid w:val="2FECDF10"/>
    <w:rsid w:val="2FF5F998"/>
    <w:rsid w:val="300CC28F"/>
    <w:rsid w:val="3016EEF3"/>
    <w:rsid w:val="30194879"/>
    <w:rsid w:val="302BBCB5"/>
    <w:rsid w:val="3056757D"/>
    <w:rsid w:val="306BA127"/>
    <w:rsid w:val="307604DC"/>
    <w:rsid w:val="309596A0"/>
    <w:rsid w:val="30C2CA1B"/>
    <w:rsid w:val="30F0B708"/>
    <w:rsid w:val="31013374"/>
    <w:rsid w:val="312531BC"/>
    <w:rsid w:val="312C4DAD"/>
    <w:rsid w:val="313AFCC4"/>
    <w:rsid w:val="314B785B"/>
    <w:rsid w:val="3165D7DC"/>
    <w:rsid w:val="31843BF1"/>
    <w:rsid w:val="3194085E"/>
    <w:rsid w:val="319C03F0"/>
    <w:rsid w:val="31BE7AFB"/>
    <w:rsid w:val="31C7EC02"/>
    <w:rsid w:val="31D12F46"/>
    <w:rsid w:val="321899DD"/>
    <w:rsid w:val="321E2456"/>
    <w:rsid w:val="326BED38"/>
    <w:rsid w:val="326FAD40"/>
    <w:rsid w:val="32803FA9"/>
    <w:rsid w:val="328F8782"/>
    <w:rsid w:val="32EB4E0A"/>
    <w:rsid w:val="330EF0D8"/>
    <w:rsid w:val="3317914B"/>
    <w:rsid w:val="3381D337"/>
    <w:rsid w:val="33865CB4"/>
    <w:rsid w:val="33917CA2"/>
    <w:rsid w:val="33933BD6"/>
    <w:rsid w:val="33A82BF4"/>
    <w:rsid w:val="33AB71AB"/>
    <w:rsid w:val="33CA04DB"/>
    <w:rsid w:val="33D22A9D"/>
    <w:rsid w:val="33D5CEAC"/>
    <w:rsid w:val="33D63B19"/>
    <w:rsid w:val="33E1EAD9"/>
    <w:rsid w:val="33F07472"/>
    <w:rsid w:val="3418C05E"/>
    <w:rsid w:val="342CC414"/>
    <w:rsid w:val="342CEE33"/>
    <w:rsid w:val="3433350C"/>
    <w:rsid w:val="3437C157"/>
    <w:rsid w:val="343A53CC"/>
    <w:rsid w:val="3444ED57"/>
    <w:rsid w:val="3451AD0D"/>
    <w:rsid w:val="34606927"/>
    <w:rsid w:val="34699020"/>
    <w:rsid w:val="346ABA25"/>
    <w:rsid w:val="346C86D9"/>
    <w:rsid w:val="347AC8FC"/>
    <w:rsid w:val="347F8693"/>
    <w:rsid w:val="3484D97A"/>
    <w:rsid w:val="348D7168"/>
    <w:rsid w:val="34922FC3"/>
    <w:rsid w:val="34A9CD47"/>
    <w:rsid w:val="34CC186A"/>
    <w:rsid w:val="34CCB70B"/>
    <w:rsid w:val="34CCD50A"/>
    <w:rsid w:val="34D6CAF3"/>
    <w:rsid w:val="34DC8B68"/>
    <w:rsid w:val="34E82FB2"/>
    <w:rsid w:val="350FC186"/>
    <w:rsid w:val="352057B8"/>
    <w:rsid w:val="3528DDCA"/>
    <w:rsid w:val="35309ADE"/>
    <w:rsid w:val="35377E2E"/>
    <w:rsid w:val="3542F73F"/>
    <w:rsid w:val="3549AA28"/>
    <w:rsid w:val="3571C7AF"/>
    <w:rsid w:val="359512B2"/>
    <w:rsid w:val="35BB55EC"/>
    <w:rsid w:val="35D838A5"/>
    <w:rsid w:val="35E69E75"/>
    <w:rsid w:val="35EC85C8"/>
    <w:rsid w:val="361E0B7B"/>
    <w:rsid w:val="362595C1"/>
    <w:rsid w:val="363002F1"/>
    <w:rsid w:val="3637DD8C"/>
    <w:rsid w:val="36381900"/>
    <w:rsid w:val="36384FDE"/>
    <w:rsid w:val="363A3895"/>
    <w:rsid w:val="363D020F"/>
    <w:rsid w:val="36854E6D"/>
    <w:rsid w:val="3687A6F0"/>
    <w:rsid w:val="369DE22C"/>
    <w:rsid w:val="36BCD694"/>
    <w:rsid w:val="36C8E8FF"/>
    <w:rsid w:val="36E1F1EC"/>
    <w:rsid w:val="372A79A9"/>
    <w:rsid w:val="374F2C72"/>
    <w:rsid w:val="375CBAC7"/>
    <w:rsid w:val="377066C1"/>
    <w:rsid w:val="37939E68"/>
    <w:rsid w:val="37A3BC5F"/>
    <w:rsid w:val="37B14F88"/>
    <w:rsid w:val="37B77781"/>
    <w:rsid w:val="37C69789"/>
    <w:rsid w:val="37DF8DF1"/>
    <w:rsid w:val="3806E968"/>
    <w:rsid w:val="3835ED39"/>
    <w:rsid w:val="383F8FE8"/>
    <w:rsid w:val="38412EEC"/>
    <w:rsid w:val="389C5725"/>
    <w:rsid w:val="392283E6"/>
    <w:rsid w:val="3945D547"/>
    <w:rsid w:val="394A4132"/>
    <w:rsid w:val="394D2D73"/>
    <w:rsid w:val="3969A753"/>
    <w:rsid w:val="3969FFFE"/>
    <w:rsid w:val="396FD74D"/>
    <w:rsid w:val="39748EA2"/>
    <w:rsid w:val="3978CC8E"/>
    <w:rsid w:val="397A1834"/>
    <w:rsid w:val="3990BF49"/>
    <w:rsid w:val="399CADBF"/>
    <w:rsid w:val="39ADF962"/>
    <w:rsid w:val="39B16BF5"/>
    <w:rsid w:val="39E5EA27"/>
    <w:rsid w:val="39EDA3B5"/>
    <w:rsid w:val="39F78E83"/>
    <w:rsid w:val="3A25DCB5"/>
    <w:rsid w:val="3A3FF1CD"/>
    <w:rsid w:val="3A4FDEEB"/>
    <w:rsid w:val="3A588896"/>
    <w:rsid w:val="3A648443"/>
    <w:rsid w:val="3A676114"/>
    <w:rsid w:val="3A7329F3"/>
    <w:rsid w:val="3A8F03BE"/>
    <w:rsid w:val="3A9E51F6"/>
    <w:rsid w:val="3AA990E6"/>
    <w:rsid w:val="3ABDCFCF"/>
    <w:rsid w:val="3AC76797"/>
    <w:rsid w:val="3AFF0423"/>
    <w:rsid w:val="3B07129F"/>
    <w:rsid w:val="3B5360EA"/>
    <w:rsid w:val="3B547ECA"/>
    <w:rsid w:val="3B9162EC"/>
    <w:rsid w:val="3BA289DE"/>
    <w:rsid w:val="3BABACC3"/>
    <w:rsid w:val="3BBD665C"/>
    <w:rsid w:val="3BDAC6B7"/>
    <w:rsid w:val="3BFF7974"/>
    <w:rsid w:val="3C32B875"/>
    <w:rsid w:val="3C43856D"/>
    <w:rsid w:val="3C737CC1"/>
    <w:rsid w:val="3C95E8FE"/>
    <w:rsid w:val="3C9E1B49"/>
    <w:rsid w:val="3CA39EAC"/>
    <w:rsid w:val="3CD62394"/>
    <w:rsid w:val="3CE809C5"/>
    <w:rsid w:val="3CE89A06"/>
    <w:rsid w:val="3CEB1274"/>
    <w:rsid w:val="3CEE5170"/>
    <w:rsid w:val="3D14CEE3"/>
    <w:rsid w:val="3D15C247"/>
    <w:rsid w:val="3D256EBD"/>
    <w:rsid w:val="3D392168"/>
    <w:rsid w:val="3D4B6CB8"/>
    <w:rsid w:val="3D915A6F"/>
    <w:rsid w:val="3DA96606"/>
    <w:rsid w:val="3DDAC086"/>
    <w:rsid w:val="3E0658E2"/>
    <w:rsid w:val="3E13D758"/>
    <w:rsid w:val="3E1ADF38"/>
    <w:rsid w:val="3E2F2A32"/>
    <w:rsid w:val="3E3C56B7"/>
    <w:rsid w:val="3E6F84D1"/>
    <w:rsid w:val="3E773F7B"/>
    <w:rsid w:val="3E95B4AE"/>
    <w:rsid w:val="3E9E51B1"/>
    <w:rsid w:val="3EC9D66E"/>
    <w:rsid w:val="3EDD6132"/>
    <w:rsid w:val="3F03FD77"/>
    <w:rsid w:val="3F3B6F16"/>
    <w:rsid w:val="3F5B0034"/>
    <w:rsid w:val="3F5ECE7C"/>
    <w:rsid w:val="3F62B36E"/>
    <w:rsid w:val="3F7BEDDC"/>
    <w:rsid w:val="3F82AB0A"/>
    <w:rsid w:val="3F931372"/>
    <w:rsid w:val="3F959D9A"/>
    <w:rsid w:val="3FA209FC"/>
    <w:rsid w:val="3FBD3BBC"/>
    <w:rsid w:val="3FFADF2F"/>
    <w:rsid w:val="40077793"/>
    <w:rsid w:val="400EC40F"/>
    <w:rsid w:val="402C6CDD"/>
    <w:rsid w:val="402DC365"/>
    <w:rsid w:val="40353E64"/>
    <w:rsid w:val="404C4CD1"/>
    <w:rsid w:val="406FED94"/>
    <w:rsid w:val="4071590D"/>
    <w:rsid w:val="40788090"/>
    <w:rsid w:val="408362C1"/>
    <w:rsid w:val="4096EAC9"/>
    <w:rsid w:val="40C621D0"/>
    <w:rsid w:val="40E70571"/>
    <w:rsid w:val="40F6DC20"/>
    <w:rsid w:val="41065DE8"/>
    <w:rsid w:val="410D2C53"/>
    <w:rsid w:val="4115F040"/>
    <w:rsid w:val="412E67E5"/>
    <w:rsid w:val="4131C65F"/>
    <w:rsid w:val="414702D0"/>
    <w:rsid w:val="414A7B58"/>
    <w:rsid w:val="4199BDCE"/>
    <w:rsid w:val="41B44747"/>
    <w:rsid w:val="41B886C8"/>
    <w:rsid w:val="41BC9DB5"/>
    <w:rsid w:val="41C40F49"/>
    <w:rsid w:val="41DCBDE2"/>
    <w:rsid w:val="41DD3FAE"/>
    <w:rsid w:val="41E669CF"/>
    <w:rsid w:val="4203E2AA"/>
    <w:rsid w:val="4205308A"/>
    <w:rsid w:val="420FE766"/>
    <w:rsid w:val="4236080D"/>
    <w:rsid w:val="424ECA25"/>
    <w:rsid w:val="425FDF2D"/>
    <w:rsid w:val="429694A6"/>
    <w:rsid w:val="42A93384"/>
    <w:rsid w:val="42B2BD9F"/>
    <w:rsid w:val="42B5F4BB"/>
    <w:rsid w:val="42B67930"/>
    <w:rsid w:val="42D4386F"/>
    <w:rsid w:val="42D72729"/>
    <w:rsid w:val="42ECC644"/>
    <w:rsid w:val="4345B159"/>
    <w:rsid w:val="435134BA"/>
    <w:rsid w:val="435BBB77"/>
    <w:rsid w:val="435F934C"/>
    <w:rsid w:val="43824247"/>
    <w:rsid w:val="43A20056"/>
    <w:rsid w:val="43DBEB80"/>
    <w:rsid w:val="43F34E93"/>
    <w:rsid w:val="43F94EB5"/>
    <w:rsid w:val="44065350"/>
    <w:rsid w:val="4414EB1F"/>
    <w:rsid w:val="4428EC17"/>
    <w:rsid w:val="446220B6"/>
    <w:rsid w:val="447E27E7"/>
    <w:rsid w:val="44840DE3"/>
    <w:rsid w:val="449D89BA"/>
    <w:rsid w:val="44AC37DE"/>
    <w:rsid w:val="44C10757"/>
    <w:rsid w:val="44CB0085"/>
    <w:rsid w:val="44D96935"/>
    <w:rsid w:val="44E32E5A"/>
    <w:rsid w:val="44E35B41"/>
    <w:rsid w:val="45032C71"/>
    <w:rsid w:val="450FD842"/>
    <w:rsid w:val="45387839"/>
    <w:rsid w:val="45441DF4"/>
    <w:rsid w:val="4587D2AC"/>
    <w:rsid w:val="458CDDB9"/>
    <w:rsid w:val="45957838"/>
    <w:rsid w:val="45AD35FD"/>
    <w:rsid w:val="45B24549"/>
    <w:rsid w:val="45B34D8A"/>
    <w:rsid w:val="45BD0C4A"/>
    <w:rsid w:val="45D380E7"/>
    <w:rsid w:val="45D3FE44"/>
    <w:rsid w:val="45FA95E2"/>
    <w:rsid w:val="462587FB"/>
    <w:rsid w:val="4676F797"/>
    <w:rsid w:val="467910BF"/>
    <w:rsid w:val="4685BC09"/>
    <w:rsid w:val="469D4C29"/>
    <w:rsid w:val="46B43437"/>
    <w:rsid w:val="46C136C6"/>
    <w:rsid w:val="46F38963"/>
    <w:rsid w:val="46F7C6FF"/>
    <w:rsid w:val="4745B07F"/>
    <w:rsid w:val="474979E9"/>
    <w:rsid w:val="475E08E3"/>
    <w:rsid w:val="47678BE3"/>
    <w:rsid w:val="476DDD65"/>
    <w:rsid w:val="47888DEA"/>
    <w:rsid w:val="47B9A2C4"/>
    <w:rsid w:val="47CF0C17"/>
    <w:rsid w:val="47FA6D87"/>
    <w:rsid w:val="480117C7"/>
    <w:rsid w:val="48191D4E"/>
    <w:rsid w:val="481BD116"/>
    <w:rsid w:val="4832671D"/>
    <w:rsid w:val="48349467"/>
    <w:rsid w:val="48450747"/>
    <w:rsid w:val="484B3E43"/>
    <w:rsid w:val="4853815E"/>
    <w:rsid w:val="48541F44"/>
    <w:rsid w:val="488AE3C4"/>
    <w:rsid w:val="48920691"/>
    <w:rsid w:val="4897D867"/>
    <w:rsid w:val="48A40D1D"/>
    <w:rsid w:val="48BE6F66"/>
    <w:rsid w:val="48D0D9D5"/>
    <w:rsid w:val="48D5DBAB"/>
    <w:rsid w:val="48DDB584"/>
    <w:rsid w:val="4941273F"/>
    <w:rsid w:val="49518051"/>
    <w:rsid w:val="496B9988"/>
    <w:rsid w:val="496C6E96"/>
    <w:rsid w:val="499B9A17"/>
    <w:rsid w:val="49A0AB61"/>
    <w:rsid w:val="49BA50DF"/>
    <w:rsid w:val="49D0310E"/>
    <w:rsid w:val="49D4FDCC"/>
    <w:rsid w:val="49E4208E"/>
    <w:rsid w:val="49E795A8"/>
    <w:rsid w:val="49E939CB"/>
    <w:rsid w:val="49ECAA3A"/>
    <w:rsid w:val="4A0AF24D"/>
    <w:rsid w:val="4A11EA43"/>
    <w:rsid w:val="4A40BE5F"/>
    <w:rsid w:val="4A54F2E7"/>
    <w:rsid w:val="4A5637D5"/>
    <w:rsid w:val="4A57ACE9"/>
    <w:rsid w:val="4A5A06C9"/>
    <w:rsid w:val="4A641AD7"/>
    <w:rsid w:val="4A88CF39"/>
    <w:rsid w:val="4AACDDEB"/>
    <w:rsid w:val="4AD6B8FB"/>
    <w:rsid w:val="4AF22AA5"/>
    <w:rsid w:val="4B18E5A8"/>
    <w:rsid w:val="4B2E741B"/>
    <w:rsid w:val="4B60B058"/>
    <w:rsid w:val="4B7A191B"/>
    <w:rsid w:val="4B987BBC"/>
    <w:rsid w:val="4BA09AC9"/>
    <w:rsid w:val="4BB586FA"/>
    <w:rsid w:val="4BC0DA20"/>
    <w:rsid w:val="4BE88447"/>
    <w:rsid w:val="4BF1AB53"/>
    <w:rsid w:val="4C09E99E"/>
    <w:rsid w:val="4C342EF7"/>
    <w:rsid w:val="4C5407A1"/>
    <w:rsid w:val="4C5A8B02"/>
    <w:rsid w:val="4C5B2966"/>
    <w:rsid w:val="4C7BE051"/>
    <w:rsid w:val="4C850355"/>
    <w:rsid w:val="4C873C5C"/>
    <w:rsid w:val="4C989F76"/>
    <w:rsid w:val="4CCC4BF6"/>
    <w:rsid w:val="4CF9DDA3"/>
    <w:rsid w:val="4D24A10A"/>
    <w:rsid w:val="4D3F31C1"/>
    <w:rsid w:val="4D621BA9"/>
    <w:rsid w:val="4D757A23"/>
    <w:rsid w:val="4D78D2DF"/>
    <w:rsid w:val="4D791C0F"/>
    <w:rsid w:val="4D830498"/>
    <w:rsid w:val="4D90D0AE"/>
    <w:rsid w:val="4D9D84A3"/>
    <w:rsid w:val="4DAB5CAC"/>
    <w:rsid w:val="4DC00252"/>
    <w:rsid w:val="4DCF92AE"/>
    <w:rsid w:val="4DD723A5"/>
    <w:rsid w:val="4DE34E4E"/>
    <w:rsid w:val="4E178B04"/>
    <w:rsid w:val="4E1D2558"/>
    <w:rsid w:val="4E29C0EF"/>
    <w:rsid w:val="4E3A62DE"/>
    <w:rsid w:val="4E3F082B"/>
    <w:rsid w:val="4E55254F"/>
    <w:rsid w:val="4E5637AA"/>
    <w:rsid w:val="4E59FD95"/>
    <w:rsid w:val="4E5DB811"/>
    <w:rsid w:val="4E6832B0"/>
    <w:rsid w:val="4EB40DD1"/>
    <w:rsid w:val="4EC1BC08"/>
    <w:rsid w:val="4EC93FB2"/>
    <w:rsid w:val="4ECD2D65"/>
    <w:rsid w:val="4ECF7465"/>
    <w:rsid w:val="4ED52E7B"/>
    <w:rsid w:val="4EE094F0"/>
    <w:rsid w:val="4EE83B3A"/>
    <w:rsid w:val="4EF41E9F"/>
    <w:rsid w:val="4EF8E20A"/>
    <w:rsid w:val="4F0CF72A"/>
    <w:rsid w:val="4F4840E5"/>
    <w:rsid w:val="4F50B0C3"/>
    <w:rsid w:val="4F6553F0"/>
    <w:rsid w:val="4FB223E8"/>
    <w:rsid w:val="4FEC9D51"/>
    <w:rsid w:val="4FF5B9CA"/>
    <w:rsid w:val="50046319"/>
    <w:rsid w:val="500747E2"/>
    <w:rsid w:val="503B6C67"/>
    <w:rsid w:val="504DF8C3"/>
    <w:rsid w:val="504E23A9"/>
    <w:rsid w:val="50668051"/>
    <w:rsid w:val="5066834F"/>
    <w:rsid w:val="506E947A"/>
    <w:rsid w:val="50715845"/>
    <w:rsid w:val="5073D90E"/>
    <w:rsid w:val="507C2CF0"/>
    <w:rsid w:val="5089F1E6"/>
    <w:rsid w:val="50D0BF20"/>
    <w:rsid w:val="50ED795E"/>
    <w:rsid w:val="51133405"/>
    <w:rsid w:val="512A6EA1"/>
    <w:rsid w:val="51624F3A"/>
    <w:rsid w:val="51857E9B"/>
    <w:rsid w:val="5187C5A4"/>
    <w:rsid w:val="51A08895"/>
    <w:rsid w:val="51A50CA8"/>
    <w:rsid w:val="51EC03CA"/>
    <w:rsid w:val="51F576D8"/>
    <w:rsid w:val="52199803"/>
    <w:rsid w:val="522210EC"/>
    <w:rsid w:val="525ADCD2"/>
    <w:rsid w:val="52A75F60"/>
    <w:rsid w:val="52C25DFE"/>
    <w:rsid w:val="52C312E2"/>
    <w:rsid w:val="52E0D793"/>
    <w:rsid w:val="52E74CAD"/>
    <w:rsid w:val="52F63BF2"/>
    <w:rsid w:val="530987AF"/>
    <w:rsid w:val="5312087B"/>
    <w:rsid w:val="5318D5BE"/>
    <w:rsid w:val="5323375F"/>
    <w:rsid w:val="532B414B"/>
    <w:rsid w:val="535042CD"/>
    <w:rsid w:val="535167AE"/>
    <w:rsid w:val="536E15DB"/>
    <w:rsid w:val="53C03057"/>
    <w:rsid w:val="53C1CE4A"/>
    <w:rsid w:val="53C5AABF"/>
    <w:rsid w:val="53CD8570"/>
    <w:rsid w:val="53D2E49C"/>
    <w:rsid w:val="53D75F04"/>
    <w:rsid w:val="53DB0E95"/>
    <w:rsid w:val="5415CACE"/>
    <w:rsid w:val="5417F8B4"/>
    <w:rsid w:val="542BDEEA"/>
    <w:rsid w:val="542E7737"/>
    <w:rsid w:val="54511977"/>
    <w:rsid w:val="5462E16C"/>
    <w:rsid w:val="5494ACAE"/>
    <w:rsid w:val="54A9F247"/>
    <w:rsid w:val="54AC968E"/>
    <w:rsid w:val="54AEA814"/>
    <w:rsid w:val="54B1BC9B"/>
    <w:rsid w:val="54C6ED42"/>
    <w:rsid w:val="54CC014A"/>
    <w:rsid w:val="54CD23EB"/>
    <w:rsid w:val="54DE4E57"/>
    <w:rsid w:val="54E96E56"/>
    <w:rsid w:val="5524840F"/>
    <w:rsid w:val="5543537B"/>
    <w:rsid w:val="554A12D9"/>
    <w:rsid w:val="5566FAE3"/>
    <w:rsid w:val="557671AE"/>
    <w:rsid w:val="5591BAD6"/>
    <w:rsid w:val="55A6EB79"/>
    <w:rsid w:val="55C0B8C9"/>
    <w:rsid w:val="55C5B564"/>
    <w:rsid w:val="55CE33E7"/>
    <w:rsid w:val="55D5EDF5"/>
    <w:rsid w:val="55D6E8E3"/>
    <w:rsid w:val="55DC198B"/>
    <w:rsid w:val="56016894"/>
    <w:rsid w:val="560947E8"/>
    <w:rsid w:val="5632F12B"/>
    <w:rsid w:val="56514730"/>
    <w:rsid w:val="5667316D"/>
    <w:rsid w:val="56718BBA"/>
    <w:rsid w:val="5674A9D8"/>
    <w:rsid w:val="56836D74"/>
    <w:rsid w:val="56925A50"/>
    <w:rsid w:val="56AE53AE"/>
    <w:rsid w:val="56C54243"/>
    <w:rsid w:val="56CAE349"/>
    <w:rsid w:val="56CDB714"/>
    <w:rsid w:val="56E96D75"/>
    <w:rsid w:val="56EFD099"/>
    <w:rsid w:val="56F3D71C"/>
    <w:rsid w:val="56F536C5"/>
    <w:rsid w:val="5715E5C0"/>
    <w:rsid w:val="572990CB"/>
    <w:rsid w:val="572E522A"/>
    <w:rsid w:val="57322CAE"/>
    <w:rsid w:val="5743F805"/>
    <w:rsid w:val="57517885"/>
    <w:rsid w:val="577DC91E"/>
    <w:rsid w:val="57ABC906"/>
    <w:rsid w:val="57BFDF5A"/>
    <w:rsid w:val="57D85A53"/>
    <w:rsid w:val="57D8D105"/>
    <w:rsid w:val="57DA7CFA"/>
    <w:rsid w:val="57F56BF0"/>
    <w:rsid w:val="582834C7"/>
    <w:rsid w:val="5835226D"/>
    <w:rsid w:val="5854206A"/>
    <w:rsid w:val="5858DBF5"/>
    <w:rsid w:val="5864C673"/>
    <w:rsid w:val="586BC590"/>
    <w:rsid w:val="586CF2DD"/>
    <w:rsid w:val="5873FC6D"/>
    <w:rsid w:val="58811ED9"/>
    <w:rsid w:val="5887C3F4"/>
    <w:rsid w:val="58923492"/>
    <w:rsid w:val="58E3D365"/>
    <w:rsid w:val="590E7173"/>
    <w:rsid w:val="591E71F8"/>
    <w:rsid w:val="5923412F"/>
    <w:rsid w:val="592F0665"/>
    <w:rsid w:val="592FEDED"/>
    <w:rsid w:val="5974858C"/>
    <w:rsid w:val="59852368"/>
    <w:rsid w:val="598A1C62"/>
    <w:rsid w:val="5997467B"/>
    <w:rsid w:val="599A358B"/>
    <w:rsid w:val="59EB0A29"/>
    <w:rsid w:val="5A067034"/>
    <w:rsid w:val="5A177CAA"/>
    <w:rsid w:val="5A2E2DEB"/>
    <w:rsid w:val="5A452EE3"/>
    <w:rsid w:val="5AA8E5E8"/>
    <w:rsid w:val="5AD07E16"/>
    <w:rsid w:val="5AD1627F"/>
    <w:rsid w:val="5AFD806F"/>
    <w:rsid w:val="5B3F41E4"/>
    <w:rsid w:val="5B5FE361"/>
    <w:rsid w:val="5B87850D"/>
    <w:rsid w:val="5BCE83B1"/>
    <w:rsid w:val="5BDFDDC2"/>
    <w:rsid w:val="5C022D5C"/>
    <w:rsid w:val="5C198589"/>
    <w:rsid w:val="5C27006E"/>
    <w:rsid w:val="5C42E82F"/>
    <w:rsid w:val="5C624559"/>
    <w:rsid w:val="5C6645D5"/>
    <w:rsid w:val="5C7D2A3F"/>
    <w:rsid w:val="5C899081"/>
    <w:rsid w:val="5C8C4FA1"/>
    <w:rsid w:val="5C980A26"/>
    <w:rsid w:val="5CBA3148"/>
    <w:rsid w:val="5CC01E3A"/>
    <w:rsid w:val="5CC0833D"/>
    <w:rsid w:val="5CDFAA66"/>
    <w:rsid w:val="5CE6FE2A"/>
    <w:rsid w:val="5D15451E"/>
    <w:rsid w:val="5D237480"/>
    <w:rsid w:val="5D2E6935"/>
    <w:rsid w:val="5D3D894C"/>
    <w:rsid w:val="5D577F62"/>
    <w:rsid w:val="5D5B0087"/>
    <w:rsid w:val="5D63E92E"/>
    <w:rsid w:val="5D64822B"/>
    <w:rsid w:val="5D86015F"/>
    <w:rsid w:val="5D96A186"/>
    <w:rsid w:val="5D9927F8"/>
    <w:rsid w:val="5D9ADDD1"/>
    <w:rsid w:val="5DBFDA9B"/>
    <w:rsid w:val="5DE47CE1"/>
    <w:rsid w:val="5DE58C2F"/>
    <w:rsid w:val="5DFBAC9E"/>
    <w:rsid w:val="5E0646D1"/>
    <w:rsid w:val="5E093A14"/>
    <w:rsid w:val="5E1D5E7E"/>
    <w:rsid w:val="5E31BF60"/>
    <w:rsid w:val="5E5B2B7F"/>
    <w:rsid w:val="5E77EC85"/>
    <w:rsid w:val="5E84CAA2"/>
    <w:rsid w:val="5E8A23F5"/>
    <w:rsid w:val="5E93D7D2"/>
    <w:rsid w:val="5EF13F0C"/>
    <w:rsid w:val="5F38F1FF"/>
    <w:rsid w:val="5F5C9B3F"/>
    <w:rsid w:val="5F6187E8"/>
    <w:rsid w:val="5F85F553"/>
    <w:rsid w:val="5F984ADB"/>
    <w:rsid w:val="5FAF45EF"/>
    <w:rsid w:val="5FB58875"/>
    <w:rsid w:val="5FBA1804"/>
    <w:rsid w:val="5FBF5608"/>
    <w:rsid w:val="5FE1EEA6"/>
    <w:rsid w:val="5FE5A2E4"/>
    <w:rsid w:val="5FEF5BF4"/>
    <w:rsid w:val="5FF0F2A8"/>
    <w:rsid w:val="5FF98BED"/>
    <w:rsid w:val="60020709"/>
    <w:rsid w:val="6020AF72"/>
    <w:rsid w:val="602B8A07"/>
    <w:rsid w:val="6030320D"/>
    <w:rsid w:val="60338D24"/>
    <w:rsid w:val="60473833"/>
    <w:rsid w:val="6051EB83"/>
    <w:rsid w:val="605899CD"/>
    <w:rsid w:val="606B397A"/>
    <w:rsid w:val="60749E35"/>
    <w:rsid w:val="6085C1BD"/>
    <w:rsid w:val="60A298C6"/>
    <w:rsid w:val="60A62436"/>
    <w:rsid w:val="60C79720"/>
    <w:rsid w:val="60FF799E"/>
    <w:rsid w:val="614CF576"/>
    <w:rsid w:val="615ACF52"/>
    <w:rsid w:val="6160E87F"/>
    <w:rsid w:val="617CCDD7"/>
    <w:rsid w:val="618028F0"/>
    <w:rsid w:val="619D8A63"/>
    <w:rsid w:val="61B0CE86"/>
    <w:rsid w:val="61E241D2"/>
    <w:rsid w:val="62039F07"/>
    <w:rsid w:val="6210F9BC"/>
    <w:rsid w:val="6213FDDD"/>
    <w:rsid w:val="621F7FF8"/>
    <w:rsid w:val="62352B23"/>
    <w:rsid w:val="624DCD17"/>
    <w:rsid w:val="62749F4F"/>
    <w:rsid w:val="62844C27"/>
    <w:rsid w:val="629E8E90"/>
    <w:rsid w:val="62B5EDB5"/>
    <w:rsid w:val="62D2892C"/>
    <w:rsid w:val="62E9155F"/>
    <w:rsid w:val="62EE2079"/>
    <w:rsid w:val="62EEBA35"/>
    <w:rsid w:val="62EFC975"/>
    <w:rsid w:val="62F5EAAD"/>
    <w:rsid w:val="62F714E9"/>
    <w:rsid w:val="63023D2C"/>
    <w:rsid w:val="63146A05"/>
    <w:rsid w:val="632C8BA4"/>
    <w:rsid w:val="632F4D75"/>
    <w:rsid w:val="635A83AA"/>
    <w:rsid w:val="63AEA6A2"/>
    <w:rsid w:val="63C2D0C2"/>
    <w:rsid w:val="63D54A87"/>
    <w:rsid w:val="63DB78B4"/>
    <w:rsid w:val="63E3FF38"/>
    <w:rsid w:val="63EE90FD"/>
    <w:rsid w:val="64006364"/>
    <w:rsid w:val="64056956"/>
    <w:rsid w:val="6429E9CA"/>
    <w:rsid w:val="642DD798"/>
    <w:rsid w:val="64302545"/>
    <w:rsid w:val="643DA24F"/>
    <w:rsid w:val="644CAA6A"/>
    <w:rsid w:val="646B4BC4"/>
    <w:rsid w:val="647B94A6"/>
    <w:rsid w:val="64871615"/>
    <w:rsid w:val="6487A384"/>
    <w:rsid w:val="6491A088"/>
    <w:rsid w:val="649F4599"/>
    <w:rsid w:val="649F7F13"/>
    <w:rsid w:val="64D04261"/>
    <w:rsid w:val="64DC65C0"/>
    <w:rsid w:val="64E6A44A"/>
    <w:rsid w:val="650417C9"/>
    <w:rsid w:val="65327EE6"/>
    <w:rsid w:val="653EBBC1"/>
    <w:rsid w:val="657C697D"/>
    <w:rsid w:val="6592479A"/>
    <w:rsid w:val="659DBFE1"/>
    <w:rsid w:val="65A46E20"/>
    <w:rsid w:val="65AF1297"/>
    <w:rsid w:val="65C78AB6"/>
    <w:rsid w:val="65E20F8C"/>
    <w:rsid w:val="65F38738"/>
    <w:rsid w:val="65F68883"/>
    <w:rsid w:val="6604F949"/>
    <w:rsid w:val="6625DC37"/>
    <w:rsid w:val="664B1A0A"/>
    <w:rsid w:val="6661A0F7"/>
    <w:rsid w:val="66624164"/>
    <w:rsid w:val="66C808A7"/>
    <w:rsid w:val="66CD732B"/>
    <w:rsid w:val="66DF36E4"/>
    <w:rsid w:val="66F0CE50"/>
    <w:rsid w:val="66FCF1E3"/>
    <w:rsid w:val="6712367C"/>
    <w:rsid w:val="67278147"/>
    <w:rsid w:val="67334B20"/>
    <w:rsid w:val="67448E1A"/>
    <w:rsid w:val="675A4264"/>
    <w:rsid w:val="675E2322"/>
    <w:rsid w:val="675FD978"/>
    <w:rsid w:val="67778CED"/>
    <w:rsid w:val="677AF562"/>
    <w:rsid w:val="6793FC9C"/>
    <w:rsid w:val="6794F2A7"/>
    <w:rsid w:val="67BABB91"/>
    <w:rsid w:val="67C07FB6"/>
    <w:rsid w:val="67C7A1FA"/>
    <w:rsid w:val="67C80585"/>
    <w:rsid w:val="67D761B2"/>
    <w:rsid w:val="67EC3CF7"/>
    <w:rsid w:val="682606FB"/>
    <w:rsid w:val="683B5FF0"/>
    <w:rsid w:val="684C59EC"/>
    <w:rsid w:val="68571794"/>
    <w:rsid w:val="685AA08A"/>
    <w:rsid w:val="685B4893"/>
    <w:rsid w:val="6877FB9B"/>
    <w:rsid w:val="6878BDB7"/>
    <w:rsid w:val="688DF12F"/>
    <w:rsid w:val="6898CAD2"/>
    <w:rsid w:val="68BE8C93"/>
    <w:rsid w:val="68E47CD5"/>
    <w:rsid w:val="68F89ABD"/>
    <w:rsid w:val="68FB4235"/>
    <w:rsid w:val="6905DF44"/>
    <w:rsid w:val="690E2C9D"/>
    <w:rsid w:val="69174878"/>
    <w:rsid w:val="692BA1FE"/>
    <w:rsid w:val="693C9DD5"/>
    <w:rsid w:val="6971CAAC"/>
    <w:rsid w:val="699BE206"/>
    <w:rsid w:val="69C35A05"/>
    <w:rsid w:val="6A12EBC3"/>
    <w:rsid w:val="6A2D1116"/>
    <w:rsid w:val="6A4CFF5A"/>
    <w:rsid w:val="6A7324C5"/>
    <w:rsid w:val="6A75F2DC"/>
    <w:rsid w:val="6A784E86"/>
    <w:rsid w:val="6A78C006"/>
    <w:rsid w:val="6A9076D8"/>
    <w:rsid w:val="6AA2DE4F"/>
    <w:rsid w:val="6AA38962"/>
    <w:rsid w:val="6AA5BFDF"/>
    <w:rsid w:val="6AA931ED"/>
    <w:rsid w:val="6AF64F24"/>
    <w:rsid w:val="6B136672"/>
    <w:rsid w:val="6B2CDF8E"/>
    <w:rsid w:val="6B3C20DD"/>
    <w:rsid w:val="6B3CDAFB"/>
    <w:rsid w:val="6B570064"/>
    <w:rsid w:val="6B62E66A"/>
    <w:rsid w:val="6B84D89C"/>
    <w:rsid w:val="6BAC8D54"/>
    <w:rsid w:val="6BB517EF"/>
    <w:rsid w:val="6BB548E9"/>
    <w:rsid w:val="6BC1C8F4"/>
    <w:rsid w:val="6BFD7906"/>
    <w:rsid w:val="6C0EE364"/>
    <w:rsid w:val="6C11CAC2"/>
    <w:rsid w:val="6C183AB1"/>
    <w:rsid w:val="6C2193E2"/>
    <w:rsid w:val="6C240D35"/>
    <w:rsid w:val="6C29BE07"/>
    <w:rsid w:val="6C4C6D15"/>
    <w:rsid w:val="6C50B228"/>
    <w:rsid w:val="6C7B3D6E"/>
    <w:rsid w:val="6CA54003"/>
    <w:rsid w:val="6CA58B7B"/>
    <w:rsid w:val="6CAAFEFF"/>
    <w:rsid w:val="6CB169AA"/>
    <w:rsid w:val="6CB9E395"/>
    <w:rsid w:val="6CC7214A"/>
    <w:rsid w:val="6CDD742B"/>
    <w:rsid w:val="6CF1A4B6"/>
    <w:rsid w:val="6CF55A89"/>
    <w:rsid w:val="6D1A9268"/>
    <w:rsid w:val="6D2C9FC3"/>
    <w:rsid w:val="6D3746E5"/>
    <w:rsid w:val="6D42614F"/>
    <w:rsid w:val="6D84F072"/>
    <w:rsid w:val="6D9E9E6F"/>
    <w:rsid w:val="6DA40E4C"/>
    <w:rsid w:val="6DA608E5"/>
    <w:rsid w:val="6DA759D9"/>
    <w:rsid w:val="6DB2CB9D"/>
    <w:rsid w:val="6DB3F5D3"/>
    <w:rsid w:val="6DBF84C5"/>
    <w:rsid w:val="6DC7933A"/>
    <w:rsid w:val="6DCB4D79"/>
    <w:rsid w:val="6DD01EC9"/>
    <w:rsid w:val="6DEE9881"/>
    <w:rsid w:val="6E0C56FE"/>
    <w:rsid w:val="6E134A30"/>
    <w:rsid w:val="6E376848"/>
    <w:rsid w:val="6E59A516"/>
    <w:rsid w:val="6E603AF0"/>
    <w:rsid w:val="6E69F18A"/>
    <w:rsid w:val="6E6B4792"/>
    <w:rsid w:val="6E7DC354"/>
    <w:rsid w:val="6E7E6814"/>
    <w:rsid w:val="6EA5CC92"/>
    <w:rsid w:val="6EAEB892"/>
    <w:rsid w:val="6EBD8863"/>
    <w:rsid w:val="6EDB5317"/>
    <w:rsid w:val="6F09EE6A"/>
    <w:rsid w:val="6F138A0F"/>
    <w:rsid w:val="6F175F04"/>
    <w:rsid w:val="6F31401E"/>
    <w:rsid w:val="6F5E4845"/>
    <w:rsid w:val="6F65CBEE"/>
    <w:rsid w:val="6F672469"/>
    <w:rsid w:val="6F7FD9B0"/>
    <w:rsid w:val="6F825CF9"/>
    <w:rsid w:val="6F8B03DE"/>
    <w:rsid w:val="6FB1A1EE"/>
    <w:rsid w:val="6FB4E658"/>
    <w:rsid w:val="6FB59E18"/>
    <w:rsid w:val="6FD8D413"/>
    <w:rsid w:val="6FE4636E"/>
    <w:rsid w:val="6FE7AE41"/>
    <w:rsid w:val="70122FC2"/>
    <w:rsid w:val="701B14E7"/>
    <w:rsid w:val="70371D53"/>
    <w:rsid w:val="7048B074"/>
    <w:rsid w:val="705AC0BF"/>
    <w:rsid w:val="706193DF"/>
    <w:rsid w:val="706E1B2A"/>
    <w:rsid w:val="7093E54D"/>
    <w:rsid w:val="709961AA"/>
    <w:rsid w:val="70ED20FD"/>
    <w:rsid w:val="70F97C64"/>
    <w:rsid w:val="71048425"/>
    <w:rsid w:val="7131E840"/>
    <w:rsid w:val="713310DB"/>
    <w:rsid w:val="713B2156"/>
    <w:rsid w:val="7153543D"/>
    <w:rsid w:val="717353E2"/>
    <w:rsid w:val="71B60CFF"/>
    <w:rsid w:val="71D1FC4A"/>
    <w:rsid w:val="71E7E50E"/>
    <w:rsid w:val="71EE44C1"/>
    <w:rsid w:val="721DCAD3"/>
    <w:rsid w:val="7226F191"/>
    <w:rsid w:val="722F9C45"/>
    <w:rsid w:val="72370D0F"/>
    <w:rsid w:val="72545009"/>
    <w:rsid w:val="72584772"/>
    <w:rsid w:val="727F5A7F"/>
    <w:rsid w:val="7284F461"/>
    <w:rsid w:val="7297642B"/>
    <w:rsid w:val="72B5FC7C"/>
    <w:rsid w:val="72C6E59C"/>
    <w:rsid w:val="72CE6BA3"/>
    <w:rsid w:val="72D1B479"/>
    <w:rsid w:val="72DA05E2"/>
    <w:rsid w:val="72E1C85C"/>
    <w:rsid w:val="72EE1BA7"/>
    <w:rsid w:val="730C1995"/>
    <w:rsid w:val="730F85B5"/>
    <w:rsid w:val="73117A0E"/>
    <w:rsid w:val="7328A9AD"/>
    <w:rsid w:val="7346064D"/>
    <w:rsid w:val="734A7056"/>
    <w:rsid w:val="73581ACD"/>
    <w:rsid w:val="73B10410"/>
    <w:rsid w:val="73B7D8DB"/>
    <w:rsid w:val="73CE762E"/>
    <w:rsid w:val="73CF8AE5"/>
    <w:rsid w:val="73D2359E"/>
    <w:rsid w:val="73D42058"/>
    <w:rsid w:val="73E6A728"/>
    <w:rsid w:val="7405A0B4"/>
    <w:rsid w:val="743DA596"/>
    <w:rsid w:val="745CF1ED"/>
    <w:rsid w:val="7479BCC3"/>
    <w:rsid w:val="747A06E1"/>
    <w:rsid w:val="74A60AD9"/>
    <w:rsid w:val="74E4ED5F"/>
    <w:rsid w:val="750D29D0"/>
    <w:rsid w:val="75146D7B"/>
    <w:rsid w:val="7524408E"/>
    <w:rsid w:val="754E3E5A"/>
    <w:rsid w:val="7553F092"/>
    <w:rsid w:val="7597A8C8"/>
    <w:rsid w:val="75BD21BA"/>
    <w:rsid w:val="75C666E3"/>
    <w:rsid w:val="75D1F686"/>
    <w:rsid w:val="75E77510"/>
    <w:rsid w:val="75F1BC8F"/>
    <w:rsid w:val="75F75D25"/>
    <w:rsid w:val="75FD2FE9"/>
    <w:rsid w:val="7630288D"/>
    <w:rsid w:val="763B4BCB"/>
    <w:rsid w:val="764100CE"/>
    <w:rsid w:val="7654B7F7"/>
    <w:rsid w:val="765714A5"/>
    <w:rsid w:val="7663DB90"/>
    <w:rsid w:val="767B1DC9"/>
    <w:rsid w:val="76BC2F8E"/>
    <w:rsid w:val="76C2FBF0"/>
    <w:rsid w:val="76C8ABB6"/>
    <w:rsid w:val="76CB18F9"/>
    <w:rsid w:val="76E3316A"/>
    <w:rsid w:val="76F809FF"/>
    <w:rsid w:val="77162CA1"/>
    <w:rsid w:val="7722731A"/>
    <w:rsid w:val="774E1637"/>
    <w:rsid w:val="774FEF08"/>
    <w:rsid w:val="77705122"/>
    <w:rsid w:val="778134B0"/>
    <w:rsid w:val="779E97E5"/>
    <w:rsid w:val="77AE7B67"/>
    <w:rsid w:val="77BE181F"/>
    <w:rsid w:val="77D514C0"/>
    <w:rsid w:val="77E36499"/>
    <w:rsid w:val="77EA06E3"/>
    <w:rsid w:val="7824BB99"/>
    <w:rsid w:val="784266DB"/>
    <w:rsid w:val="78549054"/>
    <w:rsid w:val="785DF9B3"/>
    <w:rsid w:val="787FBD74"/>
    <w:rsid w:val="789F8150"/>
    <w:rsid w:val="78AA6FD8"/>
    <w:rsid w:val="78BDD0FA"/>
    <w:rsid w:val="78D0F095"/>
    <w:rsid w:val="78D11B6E"/>
    <w:rsid w:val="78D51EDF"/>
    <w:rsid w:val="7922137F"/>
    <w:rsid w:val="79288281"/>
    <w:rsid w:val="79382296"/>
    <w:rsid w:val="795FD892"/>
    <w:rsid w:val="796AC316"/>
    <w:rsid w:val="799E6E68"/>
    <w:rsid w:val="79A78407"/>
    <w:rsid w:val="79C2D5CF"/>
    <w:rsid w:val="79C9487B"/>
    <w:rsid w:val="79CE0AFE"/>
    <w:rsid w:val="79EFAA3B"/>
    <w:rsid w:val="7A092180"/>
    <w:rsid w:val="7A0E2E58"/>
    <w:rsid w:val="7A1158BC"/>
    <w:rsid w:val="7A239FD7"/>
    <w:rsid w:val="7A467E99"/>
    <w:rsid w:val="7A5DEE46"/>
    <w:rsid w:val="7AA33193"/>
    <w:rsid w:val="7AA72840"/>
    <w:rsid w:val="7AB2471E"/>
    <w:rsid w:val="7AC9FBEA"/>
    <w:rsid w:val="7AEF43CB"/>
    <w:rsid w:val="7AF9E4CF"/>
    <w:rsid w:val="7B39E695"/>
    <w:rsid w:val="7B3CE4A8"/>
    <w:rsid w:val="7B4C2A13"/>
    <w:rsid w:val="7B58807A"/>
    <w:rsid w:val="7B81F52D"/>
    <w:rsid w:val="7BEB36C0"/>
    <w:rsid w:val="7BECBC99"/>
    <w:rsid w:val="7BF960C4"/>
    <w:rsid w:val="7BFDC254"/>
    <w:rsid w:val="7C180ACC"/>
    <w:rsid w:val="7C3336D4"/>
    <w:rsid w:val="7C45E487"/>
    <w:rsid w:val="7C4F414B"/>
    <w:rsid w:val="7C6A0FDC"/>
    <w:rsid w:val="7C7BE2C3"/>
    <w:rsid w:val="7C931703"/>
    <w:rsid w:val="7CB81F24"/>
    <w:rsid w:val="7CE4EE0E"/>
    <w:rsid w:val="7CF857A7"/>
    <w:rsid w:val="7D144DF9"/>
    <w:rsid w:val="7D234110"/>
    <w:rsid w:val="7D57701F"/>
    <w:rsid w:val="7D7622BE"/>
    <w:rsid w:val="7D7AA4DF"/>
    <w:rsid w:val="7D99BD95"/>
    <w:rsid w:val="7DC572F9"/>
    <w:rsid w:val="7DC71267"/>
    <w:rsid w:val="7DE29944"/>
    <w:rsid w:val="7DF83783"/>
    <w:rsid w:val="7E1EEADC"/>
    <w:rsid w:val="7E4A3720"/>
    <w:rsid w:val="7E7A3F7D"/>
    <w:rsid w:val="7E7BE60C"/>
    <w:rsid w:val="7E7DB2AB"/>
    <w:rsid w:val="7E88301F"/>
    <w:rsid w:val="7EAA2F3E"/>
    <w:rsid w:val="7EB3DC58"/>
    <w:rsid w:val="7EF8A486"/>
    <w:rsid w:val="7F06FCB5"/>
    <w:rsid w:val="7F130C28"/>
    <w:rsid w:val="7F1E7C9E"/>
    <w:rsid w:val="7F1EB081"/>
    <w:rsid w:val="7F5D7C5C"/>
    <w:rsid w:val="7F62F5CB"/>
    <w:rsid w:val="7F8458EA"/>
    <w:rsid w:val="7FB12E7C"/>
    <w:rsid w:val="7FE3DA39"/>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C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3"/>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1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AD59C6"/>
    <w:rPr>
      <w:color w:val="605E5C"/>
      <w:shd w:val="clear" w:color="auto" w:fill="E1DFDD"/>
    </w:rPr>
  </w:style>
  <w:style w:type="paragraph" w:styleId="CommentText">
    <w:name w:val="annotation text"/>
    <w:basedOn w:val="Normal"/>
    <w:link w:val="CommentTextChar"/>
    <w:uiPriority w:val="99"/>
    <w:unhideWhenUsed/>
    <w:rsid w:val="005115DD"/>
    <w:rPr>
      <w:sz w:val="20"/>
      <w:szCs w:val="20"/>
    </w:rPr>
  </w:style>
  <w:style w:type="character" w:customStyle="1" w:styleId="CommentTextChar">
    <w:name w:val="Comment Text Char"/>
    <w:basedOn w:val="DefaultParagraphFont"/>
    <w:link w:val="CommentText"/>
    <w:uiPriority w:val="99"/>
    <w:rsid w:val="005115DD"/>
    <w:rPr>
      <w:rFonts w:asciiTheme="minorHAnsi" w:hAnsiTheme="minorHAnsi" w:cstheme="minorHAnsi"/>
      <w:color w:val="000000" w:themeColor="text1"/>
      <w:lang w:eastAsia="en-US"/>
    </w:rPr>
  </w:style>
  <w:style w:type="character" w:styleId="CommentReference">
    <w:name w:val="annotation reference"/>
    <w:basedOn w:val="DefaultParagraphFont"/>
    <w:uiPriority w:val="99"/>
    <w:semiHidden/>
    <w:unhideWhenUsed/>
    <w:rsid w:val="005115DD"/>
    <w:rPr>
      <w:sz w:val="16"/>
      <w:szCs w:val="16"/>
    </w:rPr>
  </w:style>
  <w:style w:type="paragraph" w:styleId="Revision">
    <w:name w:val="Revision"/>
    <w:hidden/>
    <w:semiHidden/>
    <w:rsid w:val="005115DD"/>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79480A"/>
    <w:rPr>
      <w:b/>
      <w:bCs/>
    </w:rPr>
  </w:style>
  <w:style w:type="character" w:customStyle="1" w:styleId="CommentSubjectChar">
    <w:name w:val="Comment Subject Char"/>
    <w:basedOn w:val="CommentTextChar"/>
    <w:link w:val="CommentSubject"/>
    <w:uiPriority w:val="99"/>
    <w:semiHidden/>
    <w:rsid w:val="0079480A"/>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79480A"/>
    <w:rPr>
      <w:color w:val="2B579A"/>
      <w:shd w:val="clear" w:color="auto" w:fill="E1DFDD"/>
    </w:rPr>
  </w:style>
  <w:style w:type="paragraph" w:styleId="FootnoteText">
    <w:name w:val="footnote text"/>
    <w:basedOn w:val="Normal"/>
    <w:uiPriority w:val="99"/>
    <w:unhideWhenUsed/>
    <w:rsid w:val="2D857964"/>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99"/>
    <w:unhideWhenUsed/>
    <w:rsid w:val="00433BBF"/>
    <w:pPr>
      <w:spacing w:after="120"/>
    </w:pPr>
  </w:style>
  <w:style w:type="character" w:customStyle="1" w:styleId="BodyTextChar">
    <w:name w:val="Body Text Char"/>
    <w:basedOn w:val="DefaultParagraphFont"/>
    <w:link w:val="BodyText"/>
    <w:uiPriority w:val="99"/>
    <w:rsid w:val="00433BBF"/>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3795">
      <w:bodyDiv w:val="1"/>
      <w:marLeft w:val="0"/>
      <w:marRight w:val="0"/>
      <w:marTop w:val="0"/>
      <w:marBottom w:val="0"/>
      <w:divBdr>
        <w:top w:val="none" w:sz="0" w:space="0" w:color="auto"/>
        <w:left w:val="none" w:sz="0" w:space="0" w:color="auto"/>
        <w:bottom w:val="none" w:sz="0" w:space="0" w:color="auto"/>
        <w:right w:val="none" w:sz="0" w:space="0" w:color="auto"/>
      </w:divBdr>
      <w:divsChild>
        <w:div w:id="747843490">
          <w:marLeft w:val="0"/>
          <w:marRight w:val="0"/>
          <w:marTop w:val="0"/>
          <w:marBottom w:val="0"/>
          <w:divBdr>
            <w:top w:val="none" w:sz="0" w:space="0" w:color="auto"/>
            <w:left w:val="none" w:sz="0" w:space="0" w:color="auto"/>
            <w:bottom w:val="none" w:sz="0" w:space="0" w:color="auto"/>
            <w:right w:val="none" w:sz="0" w:space="0" w:color="auto"/>
          </w:divBdr>
          <w:divsChild>
            <w:div w:id="914976753">
              <w:marLeft w:val="0"/>
              <w:marRight w:val="0"/>
              <w:marTop w:val="0"/>
              <w:marBottom w:val="0"/>
              <w:divBdr>
                <w:top w:val="none" w:sz="0" w:space="0" w:color="auto"/>
                <w:left w:val="none" w:sz="0" w:space="0" w:color="auto"/>
                <w:bottom w:val="none" w:sz="0" w:space="0" w:color="auto"/>
                <w:right w:val="none" w:sz="0" w:space="0" w:color="auto"/>
              </w:divBdr>
              <w:divsChild>
                <w:div w:id="1149322206">
                  <w:marLeft w:val="0"/>
                  <w:marRight w:val="0"/>
                  <w:marTop w:val="0"/>
                  <w:marBottom w:val="0"/>
                  <w:divBdr>
                    <w:top w:val="none" w:sz="0" w:space="0" w:color="auto"/>
                    <w:left w:val="none" w:sz="0" w:space="0" w:color="auto"/>
                    <w:bottom w:val="none" w:sz="0" w:space="0" w:color="auto"/>
                    <w:right w:val="none" w:sz="0" w:space="0" w:color="auto"/>
                  </w:divBdr>
                  <w:divsChild>
                    <w:div w:id="1422528885">
                      <w:marLeft w:val="0"/>
                      <w:marRight w:val="0"/>
                      <w:marTop w:val="100"/>
                      <w:marBottom w:val="100"/>
                      <w:divBdr>
                        <w:top w:val="none" w:sz="0" w:space="0" w:color="auto"/>
                        <w:left w:val="none" w:sz="0" w:space="0" w:color="auto"/>
                        <w:bottom w:val="none" w:sz="0" w:space="0" w:color="auto"/>
                        <w:right w:val="none" w:sz="0" w:space="0" w:color="auto"/>
                      </w:divBdr>
                      <w:divsChild>
                        <w:div w:id="1725328120">
                          <w:marLeft w:val="0"/>
                          <w:marRight w:val="0"/>
                          <w:marTop w:val="0"/>
                          <w:marBottom w:val="0"/>
                          <w:divBdr>
                            <w:top w:val="none" w:sz="0" w:space="0" w:color="auto"/>
                            <w:left w:val="none" w:sz="0" w:space="0" w:color="auto"/>
                            <w:bottom w:val="none" w:sz="0" w:space="0" w:color="auto"/>
                            <w:right w:val="none" w:sz="0" w:space="0" w:color="auto"/>
                          </w:divBdr>
                          <w:divsChild>
                            <w:div w:id="2026243131">
                              <w:marLeft w:val="0"/>
                              <w:marRight w:val="0"/>
                              <w:marTop w:val="0"/>
                              <w:marBottom w:val="0"/>
                              <w:divBdr>
                                <w:top w:val="single" w:sz="6" w:space="2" w:color="D1D1D1"/>
                                <w:left w:val="single" w:sz="6" w:space="0" w:color="D1D1D1"/>
                                <w:bottom w:val="single" w:sz="6" w:space="4" w:color="D1D1D1"/>
                                <w:right w:val="single" w:sz="6" w:space="0" w:color="D1D1D1"/>
                              </w:divBdr>
                              <w:divsChild>
                                <w:div w:id="1616866962">
                                  <w:marLeft w:val="0"/>
                                  <w:marRight w:val="0"/>
                                  <w:marTop w:val="30"/>
                                  <w:marBottom w:val="0"/>
                                  <w:divBdr>
                                    <w:top w:val="none" w:sz="0" w:space="0" w:color="auto"/>
                                    <w:left w:val="none" w:sz="0" w:space="0" w:color="auto"/>
                                    <w:bottom w:val="none" w:sz="0" w:space="0" w:color="auto"/>
                                    <w:right w:val="none" w:sz="0" w:space="0" w:color="auto"/>
                                  </w:divBdr>
                                  <w:divsChild>
                                    <w:div w:id="21239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121">
      <w:bodyDiv w:val="1"/>
      <w:marLeft w:val="0"/>
      <w:marRight w:val="0"/>
      <w:marTop w:val="0"/>
      <w:marBottom w:val="0"/>
      <w:divBdr>
        <w:top w:val="none" w:sz="0" w:space="0" w:color="auto"/>
        <w:left w:val="none" w:sz="0" w:space="0" w:color="auto"/>
        <w:bottom w:val="none" w:sz="0" w:space="0" w:color="auto"/>
        <w:right w:val="none" w:sz="0" w:space="0" w:color="auto"/>
      </w:divBdr>
    </w:div>
    <w:div w:id="320937099">
      <w:bodyDiv w:val="1"/>
      <w:marLeft w:val="0"/>
      <w:marRight w:val="0"/>
      <w:marTop w:val="0"/>
      <w:marBottom w:val="0"/>
      <w:divBdr>
        <w:top w:val="none" w:sz="0" w:space="0" w:color="auto"/>
        <w:left w:val="none" w:sz="0" w:space="0" w:color="auto"/>
        <w:bottom w:val="none" w:sz="0" w:space="0" w:color="auto"/>
        <w:right w:val="none" w:sz="0" w:space="0" w:color="auto"/>
      </w:divBdr>
    </w:div>
    <w:div w:id="500320863">
      <w:bodyDiv w:val="1"/>
      <w:marLeft w:val="0"/>
      <w:marRight w:val="0"/>
      <w:marTop w:val="0"/>
      <w:marBottom w:val="0"/>
      <w:divBdr>
        <w:top w:val="none" w:sz="0" w:space="0" w:color="auto"/>
        <w:left w:val="none" w:sz="0" w:space="0" w:color="auto"/>
        <w:bottom w:val="none" w:sz="0" w:space="0" w:color="auto"/>
        <w:right w:val="none" w:sz="0" w:space="0" w:color="auto"/>
      </w:divBdr>
    </w:div>
    <w:div w:id="548805984">
      <w:bodyDiv w:val="1"/>
      <w:marLeft w:val="0"/>
      <w:marRight w:val="0"/>
      <w:marTop w:val="0"/>
      <w:marBottom w:val="0"/>
      <w:divBdr>
        <w:top w:val="none" w:sz="0" w:space="0" w:color="auto"/>
        <w:left w:val="none" w:sz="0" w:space="0" w:color="auto"/>
        <w:bottom w:val="none" w:sz="0" w:space="0" w:color="auto"/>
        <w:right w:val="none" w:sz="0" w:space="0" w:color="auto"/>
      </w:divBdr>
    </w:div>
    <w:div w:id="563178716">
      <w:bodyDiv w:val="1"/>
      <w:marLeft w:val="0"/>
      <w:marRight w:val="0"/>
      <w:marTop w:val="0"/>
      <w:marBottom w:val="0"/>
      <w:divBdr>
        <w:top w:val="none" w:sz="0" w:space="0" w:color="auto"/>
        <w:left w:val="none" w:sz="0" w:space="0" w:color="auto"/>
        <w:bottom w:val="none" w:sz="0" w:space="0" w:color="auto"/>
        <w:right w:val="none" w:sz="0" w:space="0" w:color="auto"/>
      </w:divBdr>
    </w:div>
    <w:div w:id="572664066">
      <w:bodyDiv w:val="1"/>
      <w:marLeft w:val="0"/>
      <w:marRight w:val="0"/>
      <w:marTop w:val="0"/>
      <w:marBottom w:val="0"/>
      <w:divBdr>
        <w:top w:val="none" w:sz="0" w:space="0" w:color="auto"/>
        <w:left w:val="none" w:sz="0" w:space="0" w:color="auto"/>
        <w:bottom w:val="none" w:sz="0" w:space="0" w:color="auto"/>
        <w:right w:val="none" w:sz="0" w:space="0" w:color="auto"/>
      </w:divBdr>
    </w:div>
    <w:div w:id="662129104">
      <w:bodyDiv w:val="1"/>
      <w:marLeft w:val="0"/>
      <w:marRight w:val="0"/>
      <w:marTop w:val="0"/>
      <w:marBottom w:val="0"/>
      <w:divBdr>
        <w:top w:val="none" w:sz="0" w:space="0" w:color="auto"/>
        <w:left w:val="none" w:sz="0" w:space="0" w:color="auto"/>
        <w:bottom w:val="none" w:sz="0" w:space="0" w:color="auto"/>
        <w:right w:val="none" w:sz="0" w:space="0" w:color="auto"/>
      </w:divBdr>
    </w:div>
    <w:div w:id="683946930">
      <w:bodyDiv w:val="1"/>
      <w:marLeft w:val="0"/>
      <w:marRight w:val="0"/>
      <w:marTop w:val="0"/>
      <w:marBottom w:val="0"/>
      <w:divBdr>
        <w:top w:val="none" w:sz="0" w:space="0" w:color="auto"/>
        <w:left w:val="none" w:sz="0" w:space="0" w:color="auto"/>
        <w:bottom w:val="none" w:sz="0" w:space="0" w:color="auto"/>
        <w:right w:val="none" w:sz="0" w:space="0" w:color="auto"/>
      </w:divBdr>
    </w:div>
    <w:div w:id="778569193">
      <w:bodyDiv w:val="1"/>
      <w:marLeft w:val="0"/>
      <w:marRight w:val="0"/>
      <w:marTop w:val="0"/>
      <w:marBottom w:val="0"/>
      <w:divBdr>
        <w:top w:val="none" w:sz="0" w:space="0" w:color="auto"/>
        <w:left w:val="none" w:sz="0" w:space="0" w:color="auto"/>
        <w:bottom w:val="none" w:sz="0" w:space="0" w:color="auto"/>
        <w:right w:val="none" w:sz="0" w:space="0" w:color="auto"/>
      </w:divBdr>
      <w:divsChild>
        <w:div w:id="1521234861">
          <w:marLeft w:val="0"/>
          <w:marRight w:val="0"/>
          <w:marTop w:val="0"/>
          <w:marBottom w:val="0"/>
          <w:divBdr>
            <w:top w:val="none" w:sz="0" w:space="0" w:color="auto"/>
            <w:left w:val="none" w:sz="0" w:space="0" w:color="auto"/>
            <w:bottom w:val="none" w:sz="0" w:space="0" w:color="auto"/>
            <w:right w:val="none" w:sz="0" w:space="0" w:color="auto"/>
          </w:divBdr>
          <w:divsChild>
            <w:div w:id="1967268959">
              <w:marLeft w:val="0"/>
              <w:marRight w:val="0"/>
              <w:marTop w:val="0"/>
              <w:marBottom w:val="0"/>
              <w:divBdr>
                <w:top w:val="none" w:sz="0" w:space="0" w:color="auto"/>
                <w:left w:val="none" w:sz="0" w:space="0" w:color="auto"/>
                <w:bottom w:val="none" w:sz="0" w:space="0" w:color="auto"/>
                <w:right w:val="none" w:sz="0" w:space="0" w:color="auto"/>
              </w:divBdr>
              <w:divsChild>
                <w:div w:id="773209519">
                  <w:marLeft w:val="0"/>
                  <w:marRight w:val="0"/>
                  <w:marTop w:val="0"/>
                  <w:marBottom w:val="0"/>
                  <w:divBdr>
                    <w:top w:val="none" w:sz="0" w:space="0" w:color="auto"/>
                    <w:left w:val="none" w:sz="0" w:space="0" w:color="auto"/>
                    <w:bottom w:val="none" w:sz="0" w:space="0" w:color="auto"/>
                    <w:right w:val="none" w:sz="0" w:space="0" w:color="auto"/>
                  </w:divBdr>
                  <w:divsChild>
                    <w:div w:id="1416243057">
                      <w:marLeft w:val="0"/>
                      <w:marRight w:val="0"/>
                      <w:marTop w:val="100"/>
                      <w:marBottom w:val="100"/>
                      <w:divBdr>
                        <w:top w:val="none" w:sz="0" w:space="0" w:color="auto"/>
                        <w:left w:val="none" w:sz="0" w:space="0" w:color="auto"/>
                        <w:bottom w:val="none" w:sz="0" w:space="0" w:color="auto"/>
                        <w:right w:val="none" w:sz="0" w:space="0" w:color="auto"/>
                      </w:divBdr>
                      <w:divsChild>
                        <w:div w:id="1501120706">
                          <w:marLeft w:val="0"/>
                          <w:marRight w:val="0"/>
                          <w:marTop w:val="0"/>
                          <w:marBottom w:val="0"/>
                          <w:divBdr>
                            <w:top w:val="none" w:sz="0" w:space="0" w:color="auto"/>
                            <w:left w:val="none" w:sz="0" w:space="0" w:color="auto"/>
                            <w:bottom w:val="none" w:sz="0" w:space="0" w:color="auto"/>
                            <w:right w:val="none" w:sz="0" w:space="0" w:color="auto"/>
                          </w:divBdr>
                          <w:divsChild>
                            <w:div w:id="1860505096">
                              <w:marLeft w:val="0"/>
                              <w:marRight w:val="0"/>
                              <w:marTop w:val="0"/>
                              <w:marBottom w:val="0"/>
                              <w:divBdr>
                                <w:top w:val="single" w:sz="6" w:space="2" w:color="D1D1D1"/>
                                <w:left w:val="single" w:sz="6" w:space="0" w:color="D1D1D1"/>
                                <w:bottom w:val="single" w:sz="6" w:space="4" w:color="D1D1D1"/>
                                <w:right w:val="single" w:sz="6" w:space="0" w:color="D1D1D1"/>
                              </w:divBdr>
                              <w:divsChild>
                                <w:div w:id="916474034">
                                  <w:marLeft w:val="0"/>
                                  <w:marRight w:val="0"/>
                                  <w:marTop w:val="30"/>
                                  <w:marBottom w:val="0"/>
                                  <w:divBdr>
                                    <w:top w:val="none" w:sz="0" w:space="0" w:color="auto"/>
                                    <w:left w:val="none" w:sz="0" w:space="0" w:color="auto"/>
                                    <w:bottom w:val="none" w:sz="0" w:space="0" w:color="auto"/>
                                    <w:right w:val="none" w:sz="0" w:space="0" w:color="auto"/>
                                  </w:divBdr>
                                  <w:divsChild>
                                    <w:div w:id="21193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66619426">
      <w:bodyDiv w:val="1"/>
      <w:marLeft w:val="0"/>
      <w:marRight w:val="0"/>
      <w:marTop w:val="0"/>
      <w:marBottom w:val="0"/>
      <w:divBdr>
        <w:top w:val="none" w:sz="0" w:space="0" w:color="auto"/>
        <w:left w:val="none" w:sz="0" w:space="0" w:color="auto"/>
        <w:bottom w:val="none" w:sz="0" w:space="0" w:color="auto"/>
        <w:right w:val="none" w:sz="0" w:space="0" w:color="auto"/>
      </w:divBdr>
    </w:div>
    <w:div w:id="1215461568">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03932723">
      <w:bodyDiv w:val="1"/>
      <w:marLeft w:val="0"/>
      <w:marRight w:val="0"/>
      <w:marTop w:val="0"/>
      <w:marBottom w:val="0"/>
      <w:divBdr>
        <w:top w:val="none" w:sz="0" w:space="0" w:color="auto"/>
        <w:left w:val="none" w:sz="0" w:space="0" w:color="auto"/>
        <w:bottom w:val="none" w:sz="0" w:space="0" w:color="auto"/>
        <w:right w:val="none" w:sz="0" w:space="0" w:color="auto"/>
      </w:divBdr>
    </w:div>
    <w:div w:id="165926553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12083145">
      <w:bodyDiv w:val="1"/>
      <w:marLeft w:val="0"/>
      <w:marRight w:val="0"/>
      <w:marTop w:val="0"/>
      <w:marBottom w:val="0"/>
      <w:divBdr>
        <w:top w:val="none" w:sz="0" w:space="0" w:color="auto"/>
        <w:left w:val="none" w:sz="0" w:space="0" w:color="auto"/>
        <w:bottom w:val="none" w:sz="0" w:space="0" w:color="auto"/>
        <w:right w:val="none" w:sz="0" w:space="0" w:color="auto"/>
      </w:divBdr>
    </w:div>
    <w:div w:id="20730401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cer.gov.au/schemes/australian-carbon-credit-unit-scheme/how-to-participate-accu-scheme/permanence-obligations" TargetMode="External"/><Relationship Id="rId21" Type="http://schemas.openxmlformats.org/officeDocument/2006/relationships/hyperlink" Target="https://cer.gov.au/schemes/australian-carbon-credit-unit-scheme/how-to-participate-accu-scheme/making-changes-to-your-project" TargetMode="External"/><Relationship Id="rId42" Type="http://schemas.openxmlformats.org/officeDocument/2006/relationships/hyperlink" Target="https://cer.gov.au/schemes/australian-carbon-credit-unit-scheme/how-to-participate-accu-scheme/project-reporting-and-audits" TargetMode="External"/><Relationship Id="rId47" Type="http://schemas.openxmlformats.org/officeDocument/2006/relationships/hyperlink" Target="https://cer.gov.au/schemes/australian-carbon-credit-unit-scheme/how-to-participate-accu-scheme/permanence-obligations" TargetMode="External"/><Relationship Id="rId63" Type="http://schemas.openxmlformats.org/officeDocument/2006/relationships/hyperlink" Target="https://cer.gov.au/schemes/australian-carbon-credit-unit-scheme/how-to-participate/carbon-maintenance-obligations" TargetMode="External"/><Relationship Id="rId68" Type="http://schemas.openxmlformats.org/officeDocument/2006/relationships/hyperlink" Target="https://cer.gov.au/schemes/australian-carbon-credit-unit-scheme/how-to-participate-accu-scheme/permanence-obligations" TargetMode="External"/><Relationship Id="rId84" Type="http://schemas.openxmlformats.org/officeDocument/2006/relationships/hyperlink" Target="https://cer.gov.au/schemes/australian-carbon-credit-unit-scheme/how-to-participate-accu-scheme/post-crediting-period-obligations-sequestration-projects" TargetMode="External"/><Relationship Id="rId89" Type="http://schemas.openxmlformats.org/officeDocument/2006/relationships/hyperlink" Target="https://cer.gov.au/schemes/australian-carbon-credit-unit-scheme/how-to-participate/making-changes-to-your-project/estate-management-for-executors" TargetMode="External"/><Relationship Id="rId16" Type="http://schemas.openxmlformats.org/officeDocument/2006/relationships/hyperlink" Target="https://cer.gov.au/schemes/australian-carbon-credit-unit-scheme/how-to-participate-accu-scheme/permanence-obligations" TargetMode="External"/><Relationship Id="rId11" Type="http://schemas.openxmlformats.org/officeDocument/2006/relationships/hyperlink" Target="https://cer.gov.au/document_page/permanence-plan-template-projects-under-reforestation-environmental-or-mallee-plantings-2024-method" TargetMode="External"/><Relationship Id="rId32" Type="http://schemas.openxmlformats.org/officeDocument/2006/relationships/hyperlink" Target="https://cer.gov.au/schemes/australian-carbon-credit-unit-scheme/how-to-participate-accu-scheme/permanence-obligations" TargetMode="External"/><Relationship Id="rId37" Type="http://schemas.openxmlformats.org/officeDocument/2006/relationships/hyperlink" Target="https://cer.gov.au/schemes/australian-carbon-credit-unit-scheme/how-to-participate-accu-scheme/project-reporting-and-audits" TargetMode="External"/><Relationship Id="rId53" Type="http://schemas.openxmlformats.org/officeDocument/2006/relationships/hyperlink" Target="https://cer.gov.au/schemes/australian-carbon-credit-unit-scheme/how-to-participate-accu-scheme/project-reporting-and-audits" TargetMode="External"/><Relationship Id="rId58" Type="http://schemas.openxmlformats.org/officeDocument/2006/relationships/hyperlink" Target="https://cer.gov.au/schemes/australian-carbon-credit-unit-scheme/how-to-participate-accu-scheme/permanence-obligations" TargetMode="External"/><Relationship Id="rId74" Type="http://schemas.openxmlformats.org/officeDocument/2006/relationships/hyperlink" Target="https://cer.gov.au/schemes/australian-carbon-credit-unit-scheme/how-to-participate-accu-scheme/plan-your-project/legal-right-and-native-title" TargetMode="External"/><Relationship Id="rId79" Type="http://schemas.openxmlformats.org/officeDocument/2006/relationships/hyperlink" Target="https://cer.gov.au/schemes/australian-carbon-credit-unit-scheme/how-to-participate-accu-scheme/project-reporting-and-audits" TargetMode="External"/><Relationship Id="rId5" Type="http://schemas.openxmlformats.org/officeDocument/2006/relationships/settings" Target="settings.xml"/><Relationship Id="rId90" Type="http://schemas.openxmlformats.org/officeDocument/2006/relationships/hyperlink" Target="https://cer.gov.au/schemes/australian-carbon-credit-unit-scheme/how-to-participate-accu-scheme/plan-your-project/legal-right-and-native-title" TargetMode="External"/><Relationship Id="rId95" Type="http://schemas.openxmlformats.org/officeDocument/2006/relationships/header" Target="header1.xml"/><Relationship Id="rId22" Type="http://schemas.openxmlformats.org/officeDocument/2006/relationships/hyperlink" Target="https://cer.gov.au/schemes/australian-carbon-credit-unit-scheme/how-to-participate-accu-scheme/permanence-obligations" TargetMode="External"/><Relationship Id="rId27" Type="http://schemas.openxmlformats.org/officeDocument/2006/relationships/hyperlink" Target="https://cer.gov.au/about-us/our-compliance-approach/compliance-policy-education-monitoring-and-enforcement-activities" TargetMode="External"/><Relationship Id="rId43" Type="http://schemas.openxmlformats.org/officeDocument/2006/relationships/hyperlink" Target="https://cer.gov.au/news-and-media/public-consultations/audit-thresholds-instrument" TargetMode="External"/><Relationship Id="rId48" Type="http://schemas.openxmlformats.org/officeDocument/2006/relationships/hyperlink" Target="https://cer.gov.au/schemes/australian-carbon-credit-unit-scheme/how-to-participate-accu-scheme/making-changes-to-your-project" TargetMode="External"/><Relationship Id="rId64" Type="http://schemas.openxmlformats.org/officeDocument/2006/relationships/hyperlink" Target="https://cer.gov.au/schemes/australian-carbon-credit-unit-scheme/how-to-participate-accu-scheme/plan-your-project/legal-right-and-native-title" TargetMode="External"/><Relationship Id="rId69" Type="http://schemas.openxmlformats.org/officeDocument/2006/relationships/hyperlink" Target="https://cer.gov.au/schemes/australian-carbon-credit-unit-scheme/how-to-participate-accu-scheme/project-reporting-and-audits" TargetMode="External"/><Relationship Id="rId80" Type="http://schemas.openxmlformats.org/officeDocument/2006/relationships/hyperlink" Target="https://cer.gov.au/document_page/reducing-risk-fire-and-preserving-sequestered-carbon-accu-scheme-projects" TargetMode="External"/><Relationship Id="rId85" Type="http://schemas.openxmlformats.org/officeDocument/2006/relationships/hyperlink" Target="https://cer.gov.au/document_page/cer-accu-007-application-to-stop-reporting-sequestration-project" TargetMode="External"/><Relationship Id="rId12" Type="http://schemas.openxmlformats.org/officeDocument/2006/relationships/hyperlink" Target="https://cer.gov.au/schemes/australian-carbon-credit-unit-scheme/how-to-participate-accu-scheme/permanence-obligations" TargetMode="External"/><Relationship Id="rId17" Type="http://schemas.openxmlformats.org/officeDocument/2006/relationships/hyperlink" Target="https://cer.gov.au/schemes/australian-carbon-credit-unit-scheme/how-to-participate/carbon-maintenance-obligations" TargetMode="External"/><Relationship Id="rId25" Type="http://schemas.openxmlformats.org/officeDocument/2006/relationships/hyperlink" Target="https://cer.gov.au/schemes/australian-carbon-credit-unit-scheme/how-to-participate-accu-scheme/permanence-obligations" TargetMode="External"/><Relationship Id="rId33" Type="http://schemas.openxmlformats.org/officeDocument/2006/relationships/hyperlink" Target="https://cer.gov.au/schemes/australian-carbon-credit-unit-scheme/managing-risk-and-integrity-accu-scheme/accu-scheme-project-timelines" TargetMode="External"/><Relationship Id="rId38" Type="http://schemas.openxmlformats.org/officeDocument/2006/relationships/hyperlink" Target="https://cer.gov.au/schemes/australian-carbon-credit-unit-scheme/accu-scheme-methods" TargetMode="External"/><Relationship Id="rId46" Type="http://schemas.openxmlformats.org/officeDocument/2006/relationships/hyperlink" Target="https://cer.gov.au/schemes/australian-carbon-credit-unit-scheme/how-to-participate-accu-scheme/project-reporting-and-audits" TargetMode="External"/><Relationship Id="rId59" Type="http://schemas.openxmlformats.org/officeDocument/2006/relationships/hyperlink" Target="https://cer.gov.au/schemes/australian-carbon-credit-unit-scheme/accu-scheme-methods/closed-methods/human-induced-regeneration-permanent-even-aged-native-forest-closed" TargetMode="External"/><Relationship Id="rId67" Type="http://schemas.openxmlformats.org/officeDocument/2006/relationships/hyperlink" Target="https://cer.gov.au/schemes/australian-carbon-credit-unit-scheme/how-to-participate-accu-scheme/project-reporting-and-audits" TargetMode="External"/><Relationship Id="rId20" Type="http://schemas.openxmlformats.org/officeDocument/2006/relationships/hyperlink" Target="https://cer.gov.au/schemes/australian-carbon-credit-unit-scheme/managing-risk-and-integrity-accu-scheme/accu-scheme-project-timelines" TargetMode="External"/><Relationship Id="rId41" Type="http://schemas.openxmlformats.org/officeDocument/2006/relationships/hyperlink" Target="https://cer.gov.au/schemes/australian-carbon-credit-unit-scheme/accu-scheme-methods/reforestation-environmental-or-mallee-plantings-fullcam-method-2014/environmental-plantings-pilot" TargetMode="External"/><Relationship Id="rId54" Type="http://schemas.openxmlformats.org/officeDocument/2006/relationships/hyperlink" Target="https://cer.gov.au/schemes/australian-carbon-credit-unit-scheme/how-to-participate-accu-scheme/permanence-obligations" TargetMode="External"/><Relationship Id="rId62" Type="http://schemas.openxmlformats.org/officeDocument/2006/relationships/hyperlink" Target="https://cer.gov.au/schemes/australian-carbon-credit-unit-scheme/how-to-participate-accu-scheme/permanence-obligations" TargetMode="External"/><Relationship Id="rId70" Type="http://schemas.openxmlformats.org/officeDocument/2006/relationships/hyperlink" Target="https://cer.gov.au/schemes/australian-carbon-credit-unit-scheme/how-to-participate-accu-scheme/permanence-obligations" TargetMode="External"/><Relationship Id="rId75" Type="http://schemas.openxmlformats.org/officeDocument/2006/relationships/hyperlink" Target="https://cer.gov.au/schemes/australian-carbon-credit-unit-scheme/accu-scheme-methods/method-variations-and-expiry" TargetMode="External"/><Relationship Id="rId83" Type="http://schemas.openxmlformats.org/officeDocument/2006/relationships/hyperlink" Target="https://cer.gov.au/schemes/australian-carbon-credit-unit-scheme/how-to-participate-accu-scheme/project-reporting-and-audits" TargetMode="External"/><Relationship Id="rId88" Type="http://schemas.openxmlformats.org/officeDocument/2006/relationships/hyperlink" Target="https://cer.gov.au/schemes/australian-carbon-credit-unit-scheme/how-to-participate-accu-scheme/plan-your-project/legal-right-and-native-title" TargetMode="External"/><Relationship Id="rId91" Type="http://schemas.openxmlformats.org/officeDocument/2006/relationships/hyperlink" Target="https://cer.gov.au/schemes/australian-carbon-credit-unit-scheme/how-to-participate-accu-scheme/post-crediting-period-obligations-sequestration-project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er.gov.au/schemes/australian-carbon-credit-unit-scheme/how-to-participate/carbon-maintenance-obligations" TargetMode="External"/><Relationship Id="rId23" Type="http://schemas.openxmlformats.org/officeDocument/2006/relationships/hyperlink" Target="https://cer.gov.au/schemes/australian-carbon-credit-unit-scheme/how-to-participate/carbon-maintenance-obligations" TargetMode="External"/><Relationship Id="rId28" Type="http://schemas.openxmlformats.org/officeDocument/2006/relationships/hyperlink" Target="https://cer.gov.au/schemes/australian-carbon-credit-unit-scheme/how-to-participate-accu-scheme/post-crediting-period-obligations-sequestration-projects" TargetMode="External"/><Relationship Id="rId36" Type="http://schemas.openxmlformats.org/officeDocument/2006/relationships/hyperlink" Target="https://cer.gov.au/schemes/australian-carbon-credit-unit-scheme/how-to-participate-accu-scheme/post-crediting-period-obligations-sequestration-projects" TargetMode="External"/><Relationship Id="rId49" Type="http://schemas.openxmlformats.org/officeDocument/2006/relationships/hyperlink" Target="https://cer.gov.au/schemes/australian-carbon-credit-unit-scheme/managing-risk-and-integrity-accu-scheme/accu-scheme-project-timelines" TargetMode="External"/><Relationship Id="rId57" Type="http://schemas.openxmlformats.org/officeDocument/2006/relationships/hyperlink" Target="https://onlineservices.cer.gov.au/" TargetMode="External"/><Relationship Id="rId10" Type="http://schemas.openxmlformats.org/officeDocument/2006/relationships/hyperlink" Target="https://cer.gov.au/schemes/australian-carbon-credit-unit-scheme/accu-scheme-methods/reforestation-environmental-or-mallee-plantings-fullcam-method-2014/environmental-plantings-pilot" TargetMode="External"/><Relationship Id="rId31" Type="http://schemas.openxmlformats.org/officeDocument/2006/relationships/hyperlink" Target="https://cer.gov.au/document/forest-management-plan-guidance" TargetMode="External"/><Relationship Id="rId44" Type="http://schemas.openxmlformats.org/officeDocument/2006/relationships/hyperlink" Target="https://www.legislation.gov.au/F2014L01212/latest/text" TargetMode="External"/><Relationship Id="rId52" Type="http://schemas.openxmlformats.org/officeDocument/2006/relationships/hyperlink" Target="https://cer.gov.au/document_page/guidance-meeting-requirements-soil-carbon-land-management-strategies-2021-soil-carbon-projects" TargetMode="External"/><Relationship Id="rId60" Type="http://schemas.openxmlformats.org/officeDocument/2006/relationships/hyperlink" Target="https://cer.gov.au/schemes/australian-carbon-credit-unit-scheme/how-to-participate-accu-scheme/plan-your-project/legal-right-and-native-title" TargetMode="External"/><Relationship Id="rId65" Type="http://schemas.openxmlformats.org/officeDocument/2006/relationships/hyperlink" Target="https://cer.gov.au/schemes/australian-carbon-credit-unit-scheme/how-to-participate/making-changes-to-your-project/selling-or-buying-accu-scheme-project-property" TargetMode="External"/><Relationship Id="rId73" Type="http://schemas.openxmlformats.org/officeDocument/2006/relationships/hyperlink" Target="https://cer.gov.au/schemes/australian-carbon-credit-unit-scheme/how-to-participate-accu-scheme/plan-your-project/legal-right-and-native-title" TargetMode="External"/><Relationship Id="rId78" Type="http://schemas.openxmlformats.org/officeDocument/2006/relationships/hyperlink" Target="https://cer.gov.au/schemes/australian-carbon-credit-unit-scheme/how-to-participate/making-changes-to-your-project/selling-or-buying-accu-scheme-project-property" TargetMode="External"/><Relationship Id="rId81" Type="http://schemas.openxmlformats.org/officeDocument/2006/relationships/hyperlink" Target="https://cer.gov.au/schemes/australian-carbon-credit-unit-scheme/how-to-participate-accu-scheme/permanence-obligations" TargetMode="External"/><Relationship Id="rId86" Type="http://schemas.openxmlformats.org/officeDocument/2006/relationships/hyperlink" Target="https://cer.gov.au/schemes/australian-carbon-credit-unit-scheme/how-to-participate-accu-scheme/permanence-obligations" TargetMode="External"/><Relationship Id="rId94" Type="http://schemas.openxmlformats.org/officeDocument/2006/relationships/hyperlink" Target="mailto:enquiries@cer.gov.au"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uruuoW4slSI" TargetMode="External"/><Relationship Id="rId13" Type="http://schemas.openxmlformats.org/officeDocument/2006/relationships/hyperlink" Target="https://cer.gov.au/schemes/australian-carbon-credit-unit-scheme/how-to-participate/carbon-maintenance-obligations" TargetMode="External"/><Relationship Id="rId18" Type="http://schemas.openxmlformats.org/officeDocument/2006/relationships/hyperlink" Target="https://cer.gov.au/schemes/australian-carbon-credit-unit-scheme/how-to-participate-accu-scheme/making-changes-to-your-project" TargetMode="External"/><Relationship Id="rId39" Type="http://schemas.openxmlformats.org/officeDocument/2006/relationships/hyperlink" Target="https://cer.gov.au/schemes/australian-carbon-credit-unit-scheme/how-to-participate-accu-scheme/permanence-obligations" TargetMode="External"/><Relationship Id="rId34" Type="http://schemas.openxmlformats.org/officeDocument/2006/relationships/hyperlink" Target="https://cer.gov.au/schemes/australian-carbon-credit-unit-scheme/how-to-participate-accu-scheme/project-reporting-and-audits" TargetMode="External"/><Relationship Id="rId50" Type="http://schemas.openxmlformats.org/officeDocument/2006/relationships/hyperlink" Target="https://cer.gov.au/schemes/australian-carbon-credit-unit-scheme/how-to-participate-accu-scheme/post-crediting-period-obligations-sequestration-projects" TargetMode="External"/><Relationship Id="rId55" Type="http://schemas.openxmlformats.org/officeDocument/2006/relationships/hyperlink" Target="https://cer.gov.au/schemes/australian-carbon-credit-unit-scheme/how-to-participate-accu-scheme/project-reporting-and-audits" TargetMode="External"/><Relationship Id="rId76" Type="http://schemas.openxmlformats.org/officeDocument/2006/relationships/hyperlink" Target="https://cer.gov.au/schemes/australian-carbon-credit-unit-scheme/how-to-participate-accu-scheme/permanence-obligations"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cer.gov.au/schemes/australian-carbon-credit-unit-scheme/how-to-participate-accu-scheme/permanence-obligations" TargetMode="External"/><Relationship Id="rId92" Type="http://schemas.openxmlformats.org/officeDocument/2006/relationships/hyperlink" Target="https://cer.gov.au/schemes/australian-carbon-credit-unit-scheme/how-to-participate-accu-scheme/plan-your-project/legal-right-and-native-title" TargetMode="External"/><Relationship Id="rId2" Type="http://schemas.openxmlformats.org/officeDocument/2006/relationships/customXml" Target="../customXml/item2.xml"/><Relationship Id="rId29" Type="http://schemas.openxmlformats.org/officeDocument/2006/relationships/hyperlink" Target="https://cer.gov.au/schemes/australian-carbon-credit-unit-scheme/how-to-participate-accu-scheme/project-reporting-and-audits" TargetMode="External"/><Relationship Id="rId24" Type="http://schemas.openxmlformats.org/officeDocument/2006/relationships/hyperlink" Target="https://cer.gov.au/schemes/australian-carbon-credit-unit-scheme/how-to-participate-accu-scheme/permanence-obligations" TargetMode="External"/><Relationship Id="rId40" Type="http://schemas.openxmlformats.org/officeDocument/2006/relationships/hyperlink" Target="https://cer.gov.au/schemes/australian-carbon-credit-unit-scheme/how-to-participate-accu-scheme/post-crediting-period-obligations-sequestration-projects" TargetMode="External"/><Relationship Id="rId45" Type="http://schemas.openxmlformats.org/officeDocument/2006/relationships/hyperlink" Target="https://www.legislation.gov.au/F2024L01473/asmade/text" TargetMode="External"/><Relationship Id="rId66" Type="http://schemas.openxmlformats.org/officeDocument/2006/relationships/hyperlink" Target="https://cer.gov.au/schemes/australian-carbon-credit-unit-scheme/accu-scheme-methods/method-variations-and-expiry" TargetMode="External"/><Relationship Id="rId87" Type="http://schemas.openxmlformats.org/officeDocument/2006/relationships/hyperlink" Target="https://cer.gov.au/schemes/australian-carbon-credit-unit-scheme/how-to-participate-accu-scheme/post-crediting-period-obligations-sequestration-projects" TargetMode="External"/><Relationship Id="rId61" Type="http://schemas.openxmlformats.org/officeDocument/2006/relationships/hyperlink" Target="https://cer.gov.au/schemes/australian-carbon-credit-unit-scheme/accu-scheme-methods/method-variations-and-expiry" TargetMode="External"/><Relationship Id="rId82" Type="http://schemas.openxmlformats.org/officeDocument/2006/relationships/hyperlink" Target="https://cer.gov.au/document_page/cer-accu-007-application-to-stop-reporting-sequestration-project" TargetMode="External"/><Relationship Id="rId19" Type="http://schemas.openxmlformats.org/officeDocument/2006/relationships/hyperlink" Target="https://cer.gov.au/schemes/australian-carbon-credit-unit-scheme/how-to-participate-accu-scheme/permanence-obligations" TargetMode="External"/><Relationship Id="rId14" Type="http://schemas.openxmlformats.org/officeDocument/2006/relationships/hyperlink" Target="https://cer.gov.au/schemes/australian-carbon-credit-unit-scheme/how-to-participate-accu-scheme/permanence-obligations" TargetMode="External"/><Relationship Id="rId30" Type="http://schemas.openxmlformats.org/officeDocument/2006/relationships/hyperlink" Target="https://cer.gov.au/schemes/australian-carbon-credit-unit-scheme/how-to-participate-accu-scheme/permanence-obligations" TargetMode="External"/><Relationship Id="rId35" Type="http://schemas.openxmlformats.org/officeDocument/2006/relationships/hyperlink" Target="https://cer.gov.au/schemes/nature-repair-market-scheme/replanting-native-forest-and-woodland-ecosystems-method" TargetMode="External"/><Relationship Id="rId56" Type="http://schemas.openxmlformats.org/officeDocument/2006/relationships/hyperlink" Target="https://cer.gov.au/schemes/australian-carbon-credit-unit-scheme/how-to-participate-accu-scheme/permanence-obligations" TargetMode="External"/><Relationship Id="rId77" Type="http://schemas.openxmlformats.org/officeDocument/2006/relationships/hyperlink" Target="https://cer.gov.au/schemes/australian-carbon-credit-unit-scheme/how-to-participate/making-changes-to-your-project/selling-or-buying-accu-scheme-project-property"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cer.gov.au/document_page/understanding-your-soil-carbon-project-simple-method-guide" TargetMode="External"/><Relationship Id="rId72" Type="http://schemas.openxmlformats.org/officeDocument/2006/relationships/hyperlink" Target="https://cer.gov.au/schemes/australian-carbon-credit-unit-scheme/how-to-participate-accu-scheme/project-reporting-and-audits" TargetMode="External"/><Relationship Id="rId93" Type="http://schemas.openxmlformats.org/officeDocument/2006/relationships/hyperlink" Target="https://cer.gov.au/schemes/australian-carbon-credit-unit-scheme/how-to-participate/making-changes-to-your-project/selling-or-buying-accu-scheme-project-property" TargetMode="External"/><Relationship Id="rId98" Type="http://schemas.openxmlformats.org/officeDocument/2006/relationships/header" Target="header2.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90D53-865C-43C2-84A5-C6A3E592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41503</Characters>
  <Application>Microsoft Office Word</Application>
  <DocSecurity>0</DocSecurity>
  <Lines>580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48874</CharactersWithSpaces>
  <SharedDoc>false</SharedDoc>
  <HLinks>
    <vt:vector size="522" baseType="variant">
      <vt:variant>
        <vt:i4>6553612</vt:i4>
      </vt:variant>
      <vt:variant>
        <vt:i4>258</vt:i4>
      </vt:variant>
      <vt:variant>
        <vt:i4>0</vt:i4>
      </vt:variant>
      <vt:variant>
        <vt:i4>5</vt:i4>
      </vt:variant>
      <vt:variant>
        <vt:lpwstr>mailto:enquiries@cer.gov.au</vt:lpwstr>
      </vt:variant>
      <vt:variant>
        <vt:lpwstr/>
      </vt:variant>
      <vt:variant>
        <vt:i4>983050</vt:i4>
      </vt:variant>
      <vt:variant>
        <vt:i4>255</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4718668</vt:i4>
      </vt:variant>
      <vt:variant>
        <vt:i4>252</vt:i4>
      </vt:variant>
      <vt:variant>
        <vt:i4>0</vt:i4>
      </vt:variant>
      <vt:variant>
        <vt:i4>5</vt:i4>
      </vt:variant>
      <vt:variant>
        <vt:lpwstr>https://cer.gov.au/schemes/australian-carbon-credit-unit-scheme/how-to-participate-accu-scheme/plan-your-project/legal-right-and-native-title</vt:lpwstr>
      </vt:variant>
      <vt:variant>
        <vt:lpwstr/>
      </vt:variant>
      <vt:variant>
        <vt:i4>3145782</vt:i4>
      </vt:variant>
      <vt:variant>
        <vt:i4>249</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4718668</vt:i4>
      </vt:variant>
      <vt:variant>
        <vt:i4>246</vt:i4>
      </vt:variant>
      <vt:variant>
        <vt:i4>0</vt:i4>
      </vt:variant>
      <vt:variant>
        <vt:i4>5</vt:i4>
      </vt:variant>
      <vt:variant>
        <vt:lpwstr>https://cer.gov.au/schemes/australian-carbon-credit-unit-scheme/how-to-participate-accu-scheme/plan-your-project/legal-right-and-native-title</vt:lpwstr>
      </vt:variant>
      <vt:variant>
        <vt:lpwstr/>
      </vt:variant>
      <vt:variant>
        <vt:i4>2031708</vt:i4>
      </vt:variant>
      <vt:variant>
        <vt:i4>243</vt:i4>
      </vt:variant>
      <vt:variant>
        <vt:i4>0</vt:i4>
      </vt:variant>
      <vt:variant>
        <vt:i4>5</vt:i4>
      </vt:variant>
      <vt:variant>
        <vt:lpwstr>https://cer.gov.au/schemes/australian-carbon-credit-unit-scheme/how-to-participate/making-changes-to-your-project/estate-management-for-executors</vt:lpwstr>
      </vt:variant>
      <vt:variant>
        <vt:lpwstr/>
      </vt:variant>
      <vt:variant>
        <vt:i4>4718668</vt:i4>
      </vt:variant>
      <vt:variant>
        <vt:i4>240</vt:i4>
      </vt:variant>
      <vt:variant>
        <vt:i4>0</vt:i4>
      </vt:variant>
      <vt:variant>
        <vt:i4>5</vt:i4>
      </vt:variant>
      <vt:variant>
        <vt:lpwstr>https://cer.gov.au/schemes/australian-carbon-credit-unit-scheme/how-to-participate-accu-scheme/plan-your-project/legal-right-and-native-title</vt:lpwstr>
      </vt:variant>
      <vt:variant>
        <vt:lpwstr/>
      </vt:variant>
      <vt:variant>
        <vt:i4>3145782</vt:i4>
      </vt:variant>
      <vt:variant>
        <vt:i4>237</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327682</vt:i4>
      </vt:variant>
      <vt:variant>
        <vt:i4>234</vt:i4>
      </vt:variant>
      <vt:variant>
        <vt:i4>0</vt:i4>
      </vt:variant>
      <vt:variant>
        <vt:i4>5</vt:i4>
      </vt:variant>
      <vt:variant>
        <vt:lpwstr>https://cer.gov.au/schemes/australian-carbon-credit-unit-scheme/how-to-participate-accu-scheme/permanence-obligations</vt:lpwstr>
      </vt:variant>
      <vt:variant>
        <vt:lpwstr/>
      </vt:variant>
      <vt:variant>
        <vt:i4>6553686</vt:i4>
      </vt:variant>
      <vt:variant>
        <vt:i4>231</vt:i4>
      </vt:variant>
      <vt:variant>
        <vt:i4>0</vt:i4>
      </vt:variant>
      <vt:variant>
        <vt:i4>5</vt:i4>
      </vt:variant>
      <vt:variant>
        <vt:lpwstr>https://cer.gov.au/document_page/cer-accu-007-application-to-stop-reporting-sequestration-project</vt:lpwstr>
      </vt:variant>
      <vt:variant>
        <vt:lpwstr/>
      </vt:variant>
      <vt:variant>
        <vt:i4>3145782</vt:i4>
      </vt:variant>
      <vt:variant>
        <vt:i4>228</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2359332</vt:i4>
      </vt:variant>
      <vt:variant>
        <vt:i4>225</vt:i4>
      </vt:variant>
      <vt:variant>
        <vt:i4>0</vt:i4>
      </vt:variant>
      <vt:variant>
        <vt:i4>5</vt:i4>
      </vt:variant>
      <vt:variant>
        <vt:lpwstr>https://cer.gov.au/schemes/australian-carbon-credit-unit-scheme/how-to-participate-accu-scheme/project-reporting-and-audits</vt:lpwstr>
      </vt:variant>
      <vt:variant>
        <vt:lpwstr/>
      </vt:variant>
      <vt:variant>
        <vt:i4>6553686</vt:i4>
      </vt:variant>
      <vt:variant>
        <vt:i4>222</vt:i4>
      </vt:variant>
      <vt:variant>
        <vt:i4>0</vt:i4>
      </vt:variant>
      <vt:variant>
        <vt:i4>5</vt:i4>
      </vt:variant>
      <vt:variant>
        <vt:lpwstr>https://cer.gov.au/document_page/cer-accu-007-application-to-stop-reporting-sequestration-project</vt:lpwstr>
      </vt:variant>
      <vt:variant>
        <vt:lpwstr/>
      </vt:variant>
      <vt:variant>
        <vt:i4>327682</vt:i4>
      </vt:variant>
      <vt:variant>
        <vt:i4>219</vt:i4>
      </vt:variant>
      <vt:variant>
        <vt:i4>0</vt:i4>
      </vt:variant>
      <vt:variant>
        <vt:i4>5</vt:i4>
      </vt:variant>
      <vt:variant>
        <vt:lpwstr>https://cer.gov.au/schemes/australian-carbon-credit-unit-scheme/how-to-participate-accu-scheme/permanence-obligations</vt:lpwstr>
      </vt:variant>
      <vt:variant>
        <vt:lpwstr/>
      </vt:variant>
      <vt:variant>
        <vt:i4>1114146</vt:i4>
      </vt:variant>
      <vt:variant>
        <vt:i4>216</vt:i4>
      </vt:variant>
      <vt:variant>
        <vt:i4>0</vt:i4>
      </vt:variant>
      <vt:variant>
        <vt:i4>5</vt:i4>
      </vt:variant>
      <vt:variant>
        <vt:lpwstr>https://cer.gov.au/document_page/reducing-risk-fire-and-preserving-sequestered-carbon-accu-scheme-projects</vt:lpwstr>
      </vt:variant>
      <vt:variant>
        <vt:lpwstr/>
      </vt:variant>
      <vt:variant>
        <vt:i4>2359332</vt:i4>
      </vt:variant>
      <vt:variant>
        <vt:i4>213</vt:i4>
      </vt:variant>
      <vt:variant>
        <vt:i4>0</vt:i4>
      </vt:variant>
      <vt:variant>
        <vt:i4>5</vt:i4>
      </vt:variant>
      <vt:variant>
        <vt:lpwstr>https://cer.gov.au/schemes/australian-carbon-credit-unit-scheme/how-to-participate-accu-scheme/project-reporting-and-audits</vt:lpwstr>
      </vt:variant>
      <vt:variant>
        <vt:lpwstr/>
      </vt:variant>
      <vt:variant>
        <vt:i4>983050</vt:i4>
      </vt:variant>
      <vt:variant>
        <vt:i4>210</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983050</vt:i4>
      </vt:variant>
      <vt:variant>
        <vt:i4>207</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7208992</vt:i4>
      </vt:variant>
      <vt:variant>
        <vt:i4>204</vt:i4>
      </vt:variant>
      <vt:variant>
        <vt:i4>0</vt:i4>
      </vt:variant>
      <vt:variant>
        <vt:i4>5</vt:i4>
      </vt:variant>
      <vt:variant>
        <vt:lpwstr>https://cer.gov.au/schemes/australian-carbon-credit-unit-scheme/how-to-participate-accu-scheme/permanence-obligations</vt:lpwstr>
      </vt:variant>
      <vt:variant>
        <vt:lpwstr>reversal-events</vt:lpwstr>
      </vt:variant>
      <vt:variant>
        <vt:i4>4259926</vt:i4>
      </vt:variant>
      <vt:variant>
        <vt:i4>201</vt:i4>
      </vt:variant>
      <vt:variant>
        <vt:i4>0</vt:i4>
      </vt:variant>
      <vt:variant>
        <vt:i4>5</vt:i4>
      </vt:variant>
      <vt:variant>
        <vt:lpwstr>https://cer.gov.au/schemes/australian-carbon-credit-unit-scheme/accu-scheme-methods/method-variations-and-expiry</vt:lpwstr>
      </vt:variant>
      <vt:variant>
        <vt:lpwstr/>
      </vt:variant>
      <vt:variant>
        <vt:i4>4718668</vt:i4>
      </vt:variant>
      <vt:variant>
        <vt:i4>198</vt:i4>
      </vt:variant>
      <vt:variant>
        <vt:i4>0</vt:i4>
      </vt:variant>
      <vt:variant>
        <vt:i4>5</vt:i4>
      </vt:variant>
      <vt:variant>
        <vt:lpwstr>https://cer.gov.au/schemes/australian-carbon-credit-unit-scheme/how-to-participate-accu-scheme/plan-your-project/legal-right-and-native-title</vt:lpwstr>
      </vt:variant>
      <vt:variant>
        <vt:lpwstr/>
      </vt:variant>
      <vt:variant>
        <vt:i4>4718668</vt:i4>
      </vt:variant>
      <vt:variant>
        <vt:i4>195</vt:i4>
      </vt:variant>
      <vt:variant>
        <vt:i4>0</vt:i4>
      </vt:variant>
      <vt:variant>
        <vt:i4>5</vt:i4>
      </vt:variant>
      <vt:variant>
        <vt:lpwstr>https://cer.gov.au/schemes/australian-carbon-credit-unit-scheme/how-to-participate-accu-scheme/plan-your-project/legal-right-and-native-title</vt:lpwstr>
      </vt:variant>
      <vt:variant>
        <vt:lpwstr/>
      </vt:variant>
      <vt:variant>
        <vt:i4>2359332</vt:i4>
      </vt:variant>
      <vt:variant>
        <vt:i4>192</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189</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186</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183</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180</vt:i4>
      </vt:variant>
      <vt:variant>
        <vt:i4>0</vt:i4>
      </vt:variant>
      <vt:variant>
        <vt:i4>5</vt:i4>
      </vt:variant>
      <vt:variant>
        <vt:lpwstr>https://cer.gov.au/schemes/australian-carbon-credit-unit-scheme/how-to-participate-accu-scheme/permanence-obligations</vt:lpwstr>
      </vt:variant>
      <vt:variant>
        <vt:lpwstr>reversal-events</vt:lpwstr>
      </vt:variant>
      <vt:variant>
        <vt:i4>2949152</vt:i4>
      </vt:variant>
      <vt:variant>
        <vt:i4>177</vt:i4>
      </vt:variant>
      <vt:variant>
        <vt:i4>0</vt:i4>
      </vt:variant>
      <vt:variant>
        <vt:i4>5</vt:i4>
      </vt:variant>
      <vt:variant>
        <vt:lpwstr>https://cer.gov.au/schemes/australian-carbon-credit-unit-scheme/how-to-participate-accu-scheme/project-reporting-and-audits</vt:lpwstr>
      </vt:variant>
      <vt:variant>
        <vt:lpwstr>Notifications</vt:lpwstr>
      </vt:variant>
      <vt:variant>
        <vt:i4>2359332</vt:i4>
      </vt:variant>
      <vt:variant>
        <vt:i4>174</vt:i4>
      </vt:variant>
      <vt:variant>
        <vt:i4>0</vt:i4>
      </vt:variant>
      <vt:variant>
        <vt:i4>5</vt:i4>
      </vt:variant>
      <vt:variant>
        <vt:lpwstr>https://cer.gov.au/schemes/australian-carbon-credit-unit-scheme/how-to-participate-accu-scheme/project-reporting-and-audits</vt:lpwstr>
      </vt:variant>
      <vt:variant>
        <vt:lpwstr/>
      </vt:variant>
      <vt:variant>
        <vt:i4>4259926</vt:i4>
      </vt:variant>
      <vt:variant>
        <vt:i4>171</vt:i4>
      </vt:variant>
      <vt:variant>
        <vt:i4>0</vt:i4>
      </vt:variant>
      <vt:variant>
        <vt:i4>5</vt:i4>
      </vt:variant>
      <vt:variant>
        <vt:lpwstr>https://cer.gov.au/schemes/australian-carbon-credit-unit-scheme/accu-scheme-methods/method-variations-and-expiry</vt:lpwstr>
      </vt:variant>
      <vt:variant>
        <vt:lpwstr/>
      </vt:variant>
      <vt:variant>
        <vt:i4>983050</vt:i4>
      </vt:variant>
      <vt:variant>
        <vt:i4>168</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4718668</vt:i4>
      </vt:variant>
      <vt:variant>
        <vt:i4>165</vt:i4>
      </vt:variant>
      <vt:variant>
        <vt:i4>0</vt:i4>
      </vt:variant>
      <vt:variant>
        <vt:i4>5</vt:i4>
      </vt:variant>
      <vt:variant>
        <vt:lpwstr>https://cer.gov.au/schemes/australian-carbon-credit-unit-scheme/how-to-participate-accu-scheme/plan-your-project/legal-right-and-native-title</vt:lpwstr>
      </vt:variant>
      <vt:variant>
        <vt:lpwstr/>
      </vt:variant>
      <vt:variant>
        <vt:i4>1507418</vt:i4>
      </vt:variant>
      <vt:variant>
        <vt:i4>162</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159</vt:i4>
      </vt:variant>
      <vt:variant>
        <vt:i4>0</vt:i4>
      </vt:variant>
      <vt:variant>
        <vt:i4>5</vt:i4>
      </vt:variant>
      <vt:variant>
        <vt:lpwstr>https://cer.gov.au/schemes/australian-carbon-credit-unit-scheme/how-to-participate-accu-scheme/permanence-obligations</vt:lpwstr>
      </vt:variant>
      <vt:variant>
        <vt:lpwstr>reversal-events</vt:lpwstr>
      </vt:variant>
      <vt:variant>
        <vt:i4>4259926</vt:i4>
      </vt:variant>
      <vt:variant>
        <vt:i4>156</vt:i4>
      </vt:variant>
      <vt:variant>
        <vt:i4>0</vt:i4>
      </vt:variant>
      <vt:variant>
        <vt:i4>5</vt:i4>
      </vt:variant>
      <vt:variant>
        <vt:lpwstr>https://cer.gov.au/schemes/australian-carbon-credit-unit-scheme/accu-scheme-methods/method-variations-and-expiry</vt:lpwstr>
      </vt:variant>
      <vt:variant>
        <vt:lpwstr/>
      </vt:variant>
      <vt:variant>
        <vt:i4>4718668</vt:i4>
      </vt:variant>
      <vt:variant>
        <vt:i4>153</vt:i4>
      </vt:variant>
      <vt:variant>
        <vt:i4>0</vt:i4>
      </vt:variant>
      <vt:variant>
        <vt:i4>5</vt:i4>
      </vt:variant>
      <vt:variant>
        <vt:lpwstr>https://cer.gov.au/schemes/australian-carbon-credit-unit-scheme/how-to-participate-accu-scheme/plan-your-project/legal-right-and-native-title</vt:lpwstr>
      </vt:variant>
      <vt:variant>
        <vt:lpwstr/>
      </vt:variant>
      <vt:variant>
        <vt:i4>2359406</vt:i4>
      </vt:variant>
      <vt:variant>
        <vt:i4>150</vt:i4>
      </vt:variant>
      <vt:variant>
        <vt:i4>0</vt:i4>
      </vt:variant>
      <vt:variant>
        <vt:i4>5</vt:i4>
      </vt:variant>
      <vt:variant>
        <vt:lpwstr>https://cer.gov.au/schemes/australian-carbon-credit-unit-scheme/accu-scheme-methods/closed-methods/human-induced-regeneration-permanent-even-aged-native-forest-closed</vt:lpwstr>
      </vt:variant>
      <vt:variant>
        <vt:lpwstr/>
      </vt:variant>
      <vt:variant>
        <vt:i4>7208992</vt:i4>
      </vt:variant>
      <vt:variant>
        <vt:i4>147</vt:i4>
      </vt:variant>
      <vt:variant>
        <vt:i4>0</vt:i4>
      </vt:variant>
      <vt:variant>
        <vt:i4>5</vt:i4>
      </vt:variant>
      <vt:variant>
        <vt:lpwstr>https://cer.gov.au/schemes/australian-carbon-credit-unit-scheme/how-to-participate-accu-scheme/permanence-obligations</vt:lpwstr>
      </vt:variant>
      <vt:variant>
        <vt:lpwstr>reversal-events</vt:lpwstr>
      </vt:variant>
      <vt:variant>
        <vt:i4>4063345</vt:i4>
      </vt:variant>
      <vt:variant>
        <vt:i4>144</vt:i4>
      </vt:variant>
      <vt:variant>
        <vt:i4>0</vt:i4>
      </vt:variant>
      <vt:variant>
        <vt:i4>5</vt:i4>
      </vt:variant>
      <vt:variant>
        <vt:lpwstr>https://onlineservices.cer.gov.au/</vt:lpwstr>
      </vt:variant>
      <vt:variant>
        <vt:lpwstr/>
      </vt:variant>
      <vt:variant>
        <vt:i4>7208992</vt:i4>
      </vt:variant>
      <vt:variant>
        <vt:i4>141</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138</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135</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132</vt:i4>
      </vt:variant>
      <vt:variant>
        <vt:i4>0</vt:i4>
      </vt:variant>
      <vt:variant>
        <vt:i4>5</vt:i4>
      </vt:variant>
      <vt:variant>
        <vt:lpwstr>https://cer.gov.au/schemes/australian-carbon-credit-unit-scheme/how-to-participate-accu-scheme/project-reporting-and-audits</vt:lpwstr>
      </vt:variant>
      <vt:variant>
        <vt:lpwstr/>
      </vt:variant>
      <vt:variant>
        <vt:i4>6160481</vt:i4>
      </vt:variant>
      <vt:variant>
        <vt:i4>129</vt:i4>
      </vt:variant>
      <vt:variant>
        <vt:i4>0</vt:i4>
      </vt:variant>
      <vt:variant>
        <vt:i4>5</vt:i4>
      </vt:variant>
      <vt:variant>
        <vt:lpwstr>https://cer.gov.au/document_page/guidance-meeting-requirements-soil-carbon-land-management-strategies-2021-soil-carbon-projects</vt:lpwstr>
      </vt:variant>
      <vt:variant>
        <vt:lpwstr/>
      </vt:variant>
      <vt:variant>
        <vt:i4>5701746</vt:i4>
      </vt:variant>
      <vt:variant>
        <vt:i4>126</vt:i4>
      </vt:variant>
      <vt:variant>
        <vt:i4>0</vt:i4>
      </vt:variant>
      <vt:variant>
        <vt:i4>5</vt:i4>
      </vt:variant>
      <vt:variant>
        <vt:lpwstr>https://cer.gov.au/document_page/understanding-your-soil-carbon-project-simple-method-guide</vt:lpwstr>
      </vt:variant>
      <vt:variant>
        <vt:lpwstr/>
      </vt:variant>
      <vt:variant>
        <vt:i4>3145782</vt:i4>
      </vt:variant>
      <vt:variant>
        <vt:i4>123</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5373977</vt:i4>
      </vt:variant>
      <vt:variant>
        <vt:i4>120</vt:i4>
      </vt:variant>
      <vt:variant>
        <vt:i4>0</vt:i4>
      </vt:variant>
      <vt:variant>
        <vt:i4>5</vt:i4>
      </vt:variant>
      <vt:variant>
        <vt:lpwstr>https://cer.gov.au/schemes/australian-carbon-credit-unit-scheme/managing-risk-and-integrity-accu-scheme/accu-scheme-project-timelines</vt:lpwstr>
      </vt:variant>
      <vt:variant>
        <vt:lpwstr/>
      </vt:variant>
      <vt:variant>
        <vt:i4>1966167</vt:i4>
      </vt:variant>
      <vt:variant>
        <vt:i4>117</vt:i4>
      </vt:variant>
      <vt:variant>
        <vt:i4>0</vt:i4>
      </vt:variant>
      <vt:variant>
        <vt:i4>5</vt:i4>
      </vt:variant>
      <vt:variant>
        <vt:lpwstr>https://cer.gov.au/schemes/australian-carbon-credit-unit-scheme/how-to-participate-accu-scheme/making-changes-to-your-project</vt:lpwstr>
      </vt:variant>
      <vt:variant>
        <vt:lpwstr/>
      </vt:variant>
      <vt:variant>
        <vt:i4>7208992</vt:i4>
      </vt:variant>
      <vt:variant>
        <vt:i4>114</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111</vt:i4>
      </vt:variant>
      <vt:variant>
        <vt:i4>0</vt:i4>
      </vt:variant>
      <vt:variant>
        <vt:i4>5</vt:i4>
      </vt:variant>
      <vt:variant>
        <vt:lpwstr>https://cer.gov.au/schemes/australian-carbon-credit-unit-scheme/how-to-participate-accu-scheme/project-reporting-and-audits</vt:lpwstr>
      </vt:variant>
      <vt:variant>
        <vt:lpwstr/>
      </vt:variant>
      <vt:variant>
        <vt:i4>2752575</vt:i4>
      </vt:variant>
      <vt:variant>
        <vt:i4>108</vt:i4>
      </vt:variant>
      <vt:variant>
        <vt:i4>0</vt:i4>
      </vt:variant>
      <vt:variant>
        <vt:i4>5</vt:i4>
      </vt:variant>
      <vt:variant>
        <vt:lpwstr>https://www.legislation.gov.au/F2024L01473/asmade/text</vt:lpwstr>
      </vt:variant>
      <vt:variant>
        <vt:lpwstr/>
      </vt:variant>
      <vt:variant>
        <vt:i4>3014717</vt:i4>
      </vt:variant>
      <vt:variant>
        <vt:i4>105</vt:i4>
      </vt:variant>
      <vt:variant>
        <vt:i4>0</vt:i4>
      </vt:variant>
      <vt:variant>
        <vt:i4>5</vt:i4>
      </vt:variant>
      <vt:variant>
        <vt:lpwstr>https://www.legislation.gov.au/F2014L01212/latest/text</vt:lpwstr>
      </vt:variant>
      <vt:variant>
        <vt:lpwstr/>
      </vt:variant>
      <vt:variant>
        <vt:i4>7864378</vt:i4>
      </vt:variant>
      <vt:variant>
        <vt:i4>102</vt:i4>
      </vt:variant>
      <vt:variant>
        <vt:i4>0</vt:i4>
      </vt:variant>
      <vt:variant>
        <vt:i4>5</vt:i4>
      </vt:variant>
      <vt:variant>
        <vt:lpwstr>https://cer.gov.au/news-and-media/public-consultations/audit-thresholds-instrument</vt:lpwstr>
      </vt:variant>
      <vt:variant>
        <vt:lpwstr/>
      </vt:variant>
      <vt:variant>
        <vt:i4>2359332</vt:i4>
      </vt:variant>
      <vt:variant>
        <vt:i4>99</vt:i4>
      </vt:variant>
      <vt:variant>
        <vt:i4>0</vt:i4>
      </vt:variant>
      <vt:variant>
        <vt:i4>5</vt:i4>
      </vt:variant>
      <vt:variant>
        <vt:lpwstr>https://cer.gov.au/schemes/australian-carbon-credit-unit-scheme/how-to-participate-accu-scheme/project-reporting-and-audits</vt:lpwstr>
      </vt:variant>
      <vt:variant>
        <vt:lpwstr/>
      </vt:variant>
      <vt:variant>
        <vt:i4>4980753</vt:i4>
      </vt:variant>
      <vt:variant>
        <vt:i4>96</vt:i4>
      </vt:variant>
      <vt:variant>
        <vt:i4>0</vt:i4>
      </vt:variant>
      <vt:variant>
        <vt:i4>5</vt:i4>
      </vt:variant>
      <vt:variant>
        <vt:lpwstr>https://cer.gov.au/schemes/australian-carbon-credit-unit-scheme/accu-scheme-methods/reforestation-environmental-or-mallee-plantings-fullcam-method-2014/environmental-plantings-pilot</vt:lpwstr>
      </vt:variant>
      <vt:variant>
        <vt:lpwstr/>
      </vt:variant>
      <vt:variant>
        <vt:i4>3145782</vt:i4>
      </vt:variant>
      <vt:variant>
        <vt:i4>93</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7208992</vt:i4>
      </vt:variant>
      <vt:variant>
        <vt:i4>90</vt:i4>
      </vt:variant>
      <vt:variant>
        <vt:i4>0</vt:i4>
      </vt:variant>
      <vt:variant>
        <vt:i4>5</vt:i4>
      </vt:variant>
      <vt:variant>
        <vt:lpwstr>https://cer.gov.au/schemes/australian-carbon-credit-unit-scheme/how-to-participate-accu-scheme/permanence-obligations</vt:lpwstr>
      </vt:variant>
      <vt:variant>
        <vt:lpwstr>reversal-events</vt:lpwstr>
      </vt:variant>
      <vt:variant>
        <vt:i4>6488188</vt:i4>
      </vt:variant>
      <vt:variant>
        <vt:i4>87</vt:i4>
      </vt:variant>
      <vt:variant>
        <vt:i4>0</vt:i4>
      </vt:variant>
      <vt:variant>
        <vt:i4>5</vt:i4>
      </vt:variant>
      <vt:variant>
        <vt:lpwstr>https://cer.gov.au/schemes/australian-carbon-credit-unit-scheme/accu-scheme-methods</vt:lpwstr>
      </vt:variant>
      <vt:variant>
        <vt:lpwstr/>
      </vt:variant>
      <vt:variant>
        <vt:i4>2359332</vt:i4>
      </vt:variant>
      <vt:variant>
        <vt:i4>84</vt:i4>
      </vt:variant>
      <vt:variant>
        <vt:i4>0</vt:i4>
      </vt:variant>
      <vt:variant>
        <vt:i4>5</vt:i4>
      </vt:variant>
      <vt:variant>
        <vt:lpwstr>https://cer.gov.au/schemes/australian-carbon-credit-unit-scheme/how-to-participate-accu-scheme/project-reporting-and-audits</vt:lpwstr>
      </vt:variant>
      <vt:variant>
        <vt:lpwstr/>
      </vt:variant>
      <vt:variant>
        <vt:i4>3145782</vt:i4>
      </vt:variant>
      <vt:variant>
        <vt:i4>81</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8126517</vt:i4>
      </vt:variant>
      <vt:variant>
        <vt:i4>78</vt:i4>
      </vt:variant>
      <vt:variant>
        <vt:i4>0</vt:i4>
      </vt:variant>
      <vt:variant>
        <vt:i4>5</vt:i4>
      </vt:variant>
      <vt:variant>
        <vt:lpwstr>https://cer.gov.au/schemes/nature-repair-market-scheme/replanting-native-forest-and-woodland-ecosystems-method</vt:lpwstr>
      </vt:variant>
      <vt:variant>
        <vt:lpwstr/>
      </vt:variant>
      <vt:variant>
        <vt:i4>2359332</vt:i4>
      </vt:variant>
      <vt:variant>
        <vt:i4>75</vt:i4>
      </vt:variant>
      <vt:variant>
        <vt:i4>0</vt:i4>
      </vt:variant>
      <vt:variant>
        <vt:i4>5</vt:i4>
      </vt:variant>
      <vt:variant>
        <vt:lpwstr>https://cer.gov.au/schemes/australian-carbon-credit-unit-scheme/how-to-participate-accu-scheme/project-reporting-and-audits</vt:lpwstr>
      </vt:variant>
      <vt:variant>
        <vt:lpwstr/>
      </vt:variant>
      <vt:variant>
        <vt:i4>5373977</vt:i4>
      </vt:variant>
      <vt:variant>
        <vt:i4>72</vt:i4>
      </vt:variant>
      <vt:variant>
        <vt:i4>0</vt:i4>
      </vt:variant>
      <vt:variant>
        <vt:i4>5</vt:i4>
      </vt:variant>
      <vt:variant>
        <vt:lpwstr>https://cer.gov.au/schemes/australian-carbon-credit-unit-scheme/managing-risk-and-integrity-accu-scheme/accu-scheme-project-timelines</vt:lpwstr>
      </vt:variant>
      <vt:variant>
        <vt:lpwstr/>
      </vt:variant>
      <vt:variant>
        <vt:i4>7208992</vt:i4>
      </vt:variant>
      <vt:variant>
        <vt:i4>69</vt:i4>
      </vt:variant>
      <vt:variant>
        <vt:i4>0</vt:i4>
      </vt:variant>
      <vt:variant>
        <vt:i4>5</vt:i4>
      </vt:variant>
      <vt:variant>
        <vt:lpwstr>https://cer.gov.au/schemes/australian-carbon-credit-unit-scheme/how-to-participate-accu-scheme/permanence-obligations</vt:lpwstr>
      </vt:variant>
      <vt:variant>
        <vt:lpwstr>reversal-events</vt:lpwstr>
      </vt:variant>
      <vt:variant>
        <vt:i4>8323192</vt:i4>
      </vt:variant>
      <vt:variant>
        <vt:i4>66</vt:i4>
      </vt:variant>
      <vt:variant>
        <vt:i4>0</vt:i4>
      </vt:variant>
      <vt:variant>
        <vt:i4>5</vt:i4>
      </vt:variant>
      <vt:variant>
        <vt:lpwstr>https://cer.gov.au/document/forest-management-plan-guidance</vt:lpwstr>
      </vt:variant>
      <vt:variant>
        <vt:lpwstr/>
      </vt:variant>
      <vt:variant>
        <vt:i4>7208992</vt:i4>
      </vt:variant>
      <vt:variant>
        <vt:i4>63</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60</vt:i4>
      </vt:variant>
      <vt:variant>
        <vt:i4>0</vt:i4>
      </vt:variant>
      <vt:variant>
        <vt:i4>5</vt:i4>
      </vt:variant>
      <vt:variant>
        <vt:lpwstr>https://cer.gov.au/schemes/australian-carbon-credit-unit-scheme/how-to-participate-accu-scheme/project-reporting-and-audits</vt:lpwstr>
      </vt:variant>
      <vt:variant>
        <vt:lpwstr/>
      </vt:variant>
      <vt:variant>
        <vt:i4>3145782</vt:i4>
      </vt:variant>
      <vt:variant>
        <vt:i4>57</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5373979</vt:i4>
      </vt:variant>
      <vt:variant>
        <vt:i4>54</vt:i4>
      </vt:variant>
      <vt:variant>
        <vt:i4>0</vt:i4>
      </vt:variant>
      <vt:variant>
        <vt:i4>5</vt:i4>
      </vt:variant>
      <vt:variant>
        <vt:lpwstr>https://cer.gov.au/about-us/our-compliance-approach/compliance-policy-education-monitoring-and-enforcement-activities</vt:lpwstr>
      </vt:variant>
      <vt:variant>
        <vt:lpwstr/>
      </vt:variant>
      <vt:variant>
        <vt:i4>7208992</vt:i4>
      </vt:variant>
      <vt:variant>
        <vt:i4>51</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48</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45</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42</vt:i4>
      </vt:variant>
      <vt:variant>
        <vt:i4>0</vt:i4>
      </vt:variant>
      <vt:variant>
        <vt:i4>5</vt:i4>
      </vt:variant>
      <vt:variant>
        <vt:lpwstr>https://cer.gov.au/schemes/australian-carbon-credit-unit-scheme/how-to-participate/carbon-maintenance-obligations</vt:lpwstr>
      </vt:variant>
      <vt:variant>
        <vt:lpwstr/>
      </vt:variant>
      <vt:variant>
        <vt:i4>327682</vt:i4>
      </vt:variant>
      <vt:variant>
        <vt:i4>39</vt:i4>
      </vt:variant>
      <vt:variant>
        <vt:i4>0</vt:i4>
      </vt:variant>
      <vt:variant>
        <vt:i4>5</vt:i4>
      </vt:variant>
      <vt:variant>
        <vt:lpwstr>https://cer.gov.au/schemes/australian-carbon-credit-unit-scheme/how-to-participate-accu-scheme/permanence-obligations</vt:lpwstr>
      </vt:variant>
      <vt:variant>
        <vt:lpwstr/>
      </vt:variant>
      <vt:variant>
        <vt:i4>1966167</vt:i4>
      </vt:variant>
      <vt:variant>
        <vt:i4>36</vt:i4>
      </vt:variant>
      <vt:variant>
        <vt:i4>0</vt:i4>
      </vt:variant>
      <vt:variant>
        <vt:i4>5</vt:i4>
      </vt:variant>
      <vt:variant>
        <vt:lpwstr>https://cer.gov.au/schemes/australian-carbon-credit-unit-scheme/how-to-participate-accu-scheme/making-changes-to-your-project</vt:lpwstr>
      </vt:variant>
      <vt:variant>
        <vt:lpwstr/>
      </vt:variant>
      <vt:variant>
        <vt:i4>5373977</vt:i4>
      </vt:variant>
      <vt:variant>
        <vt:i4>33</vt:i4>
      </vt:variant>
      <vt:variant>
        <vt:i4>0</vt:i4>
      </vt:variant>
      <vt:variant>
        <vt:i4>5</vt:i4>
      </vt:variant>
      <vt:variant>
        <vt:lpwstr>https://cer.gov.au/schemes/australian-carbon-credit-unit-scheme/managing-risk-and-integrity-accu-scheme/accu-scheme-project-timelines</vt:lpwstr>
      </vt:variant>
      <vt:variant>
        <vt:lpwstr/>
      </vt:variant>
      <vt:variant>
        <vt:i4>7208992</vt:i4>
      </vt:variant>
      <vt:variant>
        <vt:i4>30</vt:i4>
      </vt:variant>
      <vt:variant>
        <vt:i4>0</vt:i4>
      </vt:variant>
      <vt:variant>
        <vt:i4>5</vt:i4>
      </vt:variant>
      <vt:variant>
        <vt:lpwstr>https://cer.gov.au/schemes/australian-carbon-credit-unit-scheme/how-to-participate-accu-scheme/permanence-obligations</vt:lpwstr>
      </vt:variant>
      <vt:variant>
        <vt:lpwstr>reversal-events</vt:lpwstr>
      </vt:variant>
      <vt:variant>
        <vt:i4>1966167</vt:i4>
      </vt:variant>
      <vt:variant>
        <vt:i4>27</vt:i4>
      </vt:variant>
      <vt:variant>
        <vt:i4>0</vt:i4>
      </vt:variant>
      <vt:variant>
        <vt:i4>5</vt:i4>
      </vt:variant>
      <vt:variant>
        <vt:lpwstr>https://cer.gov.au/schemes/australian-carbon-credit-unit-scheme/how-to-participate-accu-scheme/making-changes-to-your-project</vt:lpwstr>
      </vt:variant>
      <vt:variant>
        <vt:lpwstr/>
      </vt:variant>
      <vt:variant>
        <vt:i4>1507418</vt:i4>
      </vt:variant>
      <vt:variant>
        <vt:i4>24</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21</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18</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15</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12</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9</vt:i4>
      </vt:variant>
      <vt:variant>
        <vt:i4>0</vt:i4>
      </vt:variant>
      <vt:variant>
        <vt:i4>5</vt:i4>
      </vt:variant>
      <vt:variant>
        <vt:lpwstr>https://cer.gov.au/schemes/australian-carbon-credit-unit-scheme/how-to-participate-accu-scheme/permanence-obligations</vt:lpwstr>
      </vt:variant>
      <vt:variant>
        <vt:lpwstr>reversal-events</vt:lpwstr>
      </vt:variant>
      <vt:variant>
        <vt:i4>2818074</vt:i4>
      </vt:variant>
      <vt:variant>
        <vt:i4>6</vt:i4>
      </vt:variant>
      <vt:variant>
        <vt:i4>0</vt:i4>
      </vt:variant>
      <vt:variant>
        <vt:i4>5</vt:i4>
      </vt:variant>
      <vt:variant>
        <vt:lpwstr>https://cer.gov.au/document_page/permanence-plan-template-projects-under-reforestation-environmental-or-mallee-plantings-2024-method</vt:lpwstr>
      </vt:variant>
      <vt:variant>
        <vt:lpwstr/>
      </vt:variant>
      <vt:variant>
        <vt:i4>4980753</vt:i4>
      </vt:variant>
      <vt:variant>
        <vt:i4>3</vt:i4>
      </vt:variant>
      <vt:variant>
        <vt:i4>0</vt:i4>
      </vt:variant>
      <vt:variant>
        <vt:i4>5</vt:i4>
      </vt:variant>
      <vt:variant>
        <vt:lpwstr>https://cer.gov.au/schemes/australian-carbon-credit-unit-scheme/accu-scheme-methods/reforestation-environmental-or-mallee-plantings-fullcam-method-2014/environmental-plantings-pilot</vt:lpwstr>
      </vt:variant>
      <vt:variant>
        <vt:lpwstr/>
      </vt:variant>
      <vt:variant>
        <vt:i4>3080312</vt:i4>
      </vt:variant>
      <vt:variant>
        <vt:i4>0</vt:i4>
      </vt:variant>
      <vt:variant>
        <vt:i4>0</vt:i4>
      </vt:variant>
      <vt:variant>
        <vt:i4>5</vt:i4>
      </vt:variant>
      <vt:variant>
        <vt:lpwstr>https://www.youtube.com/watch?v=uruuoW4slSI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BeACCUrate Post crediting period guidance and permanence obligations webinar – questions and answers</dc:title>
  <dc:subject/>
  <dc:creator/>
  <cp:keywords/>
  <cp:lastModifiedBy/>
  <cp:revision>1</cp:revision>
  <dcterms:created xsi:type="dcterms:W3CDTF">2026-03-05T00:03:00Z</dcterms:created>
  <dcterms:modified xsi:type="dcterms:W3CDTF">2026-03-05T00:13:00Z</dcterms:modified>
</cp:coreProperties>
</file>